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E6884" w14:textId="75FB92C7" w:rsidR="001B0FEA" w:rsidRPr="00C34B4B" w:rsidRDefault="00C34B4B" w:rsidP="00CB36E8">
      <w:pPr>
        <w:spacing w:after="480" w:line="216" w:lineRule="auto"/>
        <w:ind w:left="-567" w:right="1820"/>
        <w:rPr>
          <w:rFonts w:cs="Arial"/>
          <w:color w:val="351C26" w:themeColor="text2"/>
          <w:sz w:val="104"/>
          <w:szCs w:val="104"/>
        </w:rPr>
      </w:pPr>
      <w:r>
        <w:rPr>
          <w:rFonts w:ascii="SansaSoft Pro SemiBold" w:hAnsi="SansaSoft Pro SemiBold" w:cs="Arial"/>
          <w:noProof/>
          <w:sz w:val="44"/>
          <w:szCs w:val="44"/>
        </w:rPr>
        <w:drawing>
          <wp:anchor distT="0" distB="0" distL="114300" distR="114300" simplePos="0" relativeHeight="251659264" behindDoc="1" locked="0" layoutInCell="1" allowOverlap="1" wp14:anchorId="3DF5A40B" wp14:editId="273239D5">
            <wp:simplePos x="0" y="0"/>
            <wp:positionH relativeFrom="page">
              <wp:align>right</wp:align>
            </wp:positionH>
            <wp:positionV relativeFrom="paragraph">
              <wp:posOffset>-914400</wp:posOffset>
            </wp:positionV>
            <wp:extent cx="7548785" cy="10677525"/>
            <wp:effectExtent l="0" t="0" r="0" b="0"/>
            <wp:wrapNone/>
            <wp:docPr id="155918640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8640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8785" cy="10677525"/>
                    </a:xfrm>
                    <a:prstGeom prst="rect">
                      <a:avLst/>
                    </a:prstGeom>
                  </pic:spPr>
                </pic:pic>
              </a:graphicData>
            </a:graphic>
            <wp14:sizeRelH relativeFrom="page">
              <wp14:pctWidth>0</wp14:pctWidth>
            </wp14:sizeRelH>
            <wp14:sizeRelV relativeFrom="page">
              <wp14:pctHeight>0</wp14:pctHeight>
            </wp14:sizeRelV>
          </wp:anchor>
        </w:drawing>
      </w:r>
      <w:r w:rsidR="00291946" w:rsidRPr="00C34B4B">
        <w:rPr>
          <w:rFonts w:cs="Arial"/>
          <w:color w:val="351C26" w:themeColor="text2"/>
          <w:sz w:val="104"/>
          <w:szCs w:val="104"/>
        </w:rPr>
        <w:t>Equity Policy Options:</w:t>
      </w:r>
      <w:r w:rsidR="00CB36E8" w:rsidRPr="00C34B4B">
        <w:rPr>
          <w:rFonts w:cs="Arial"/>
          <w:color w:val="351C26" w:themeColor="text2"/>
          <w:sz w:val="104"/>
          <w:szCs w:val="104"/>
        </w:rPr>
        <w:t xml:space="preserve"> </w:t>
      </w:r>
      <w:r w:rsidR="00CB36E8" w:rsidRPr="00C34B4B">
        <w:rPr>
          <w:rFonts w:cs="Arial"/>
          <w:color w:val="351C26" w:themeColor="text2"/>
          <w:sz w:val="104"/>
          <w:szCs w:val="104"/>
        </w:rPr>
        <w:br/>
      </w:r>
      <w:r w:rsidR="00291946" w:rsidRPr="00C34B4B">
        <w:rPr>
          <w:rFonts w:cs="Arial"/>
          <w:color w:val="351C26" w:themeColor="text2"/>
          <w:sz w:val="104"/>
          <w:szCs w:val="104"/>
        </w:rPr>
        <w:t>Parity Targets</w:t>
      </w:r>
    </w:p>
    <w:p w14:paraId="3B3218FD" w14:textId="212543B3" w:rsidR="00291946" w:rsidRPr="00C34B4B" w:rsidRDefault="00291946" w:rsidP="00CB36E8">
      <w:pPr>
        <w:ind w:left="-567" w:right="1818"/>
        <w:rPr>
          <w:rFonts w:cs="Arial"/>
          <w:color w:val="6B3B57" w:themeColor="accent2"/>
          <w:sz w:val="40"/>
          <w:szCs w:val="40"/>
        </w:rPr>
      </w:pPr>
      <w:r w:rsidRPr="00C34B4B">
        <w:rPr>
          <w:rFonts w:cs="Arial"/>
          <w:color w:val="6B3B57" w:themeColor="accent2"/>
          <w:sz w:val="40"/>
          <w:szCs w:val="40"/>
        </w:rPr>
        <w:t>Final Report</w:t>
      </w:r>
    </w:p>
    <w:p w14:paraId="279B9203" w14:textId="686A3492" w:rsidR="00BA26F2" w:rsidRDefault="00E458F0" w:rsidP="00CB36E8">
      <w:pPr>
        <w:ind w:left="-567" w:right="1818"/>
        <w:rPr>
          <w:rFonts w:ascii="SansaSoft Pro SemiBold" w:hAnsi="SansaSoft Pro SemiBold" w:cs="Arial"/>
          <w:noProof/>
          <w:sz w:val="44"/>
          <w:szCs w:val="44"/>
          <w:lang w:eastAsia="en-AU"/>
        </w:rPr>
      </w:pPr>
      <w:r w:rsidRPr="00C34B4B">
        <w:rPr>
          <w:rFonts w:cs="Effra"/>
          <w:bCs/>
          <w:color w:val="6B3B57" w:themeColor="accent2"/>
          <w:sz w:val="25"/>
          <w:szCs w:val="25"/>
        </w:rPr>
        <w:t>October 2023</w:t>
      </w:r>
    </w:p>
    <w:p w14:paraId="12CA0D96" w14:textId="0484CEBB" w:rsidR="006B2AC7" w:rsidRDefault="00BA26F2" w:rsidP="00BA26F2">
      <w:pPr>
        <w:rPr>
          <w:rFonts w:ascii="SansaSoft Pro SemiBold" w:hAnsi="SansaSoft Pro SemiBold" w:cs="Arial"/>
          <w:sz w:val="44"/>
          <w:szCs w:val="44"/>
        </w:rPr>
      </w:pPr>
      <w:r>
        <w:br w:type="page"/>
      </w:r>
    </w:p>
    <w:p w14:paraId="7A8217CF" w14:textId="2D7B00C1" w:rsidR="002D13E9" w:rsidRPr="00CB36E8" w:rsidRDefault="002D13E9" w:rsidP="00CB36E8">
      <w:pPr>
        <w:pStyle w:val="Header"/>
        <w:spacing w:before="1080" w:after="600" w:line="276" w:lineRule="auto"/>
        <w:jc w:val="center"/>
        <w:rPr>
          <w:rFonts w:ascii="Inter Medium" w:hAnsi="Inter Medium" w:cs="Arial"/>
          <w:b/>
          <w:bCs/>
          <w:color w:val="6B3B57"/>
          <w:sz w:val="56"/>
          <w:szCs w:val="56"/>
        </w:rPr>
      </w:pPr>
      <w:r w:rsidRPr="00CB36E8">
        <w:rPr>
          <w:rFonts w:ascii="Inter Medium" w:hAnsi="Inter Medium" w:cs="Arial"/>
          <w:b/>
          <w:bCs/>
          <w:color w:val="6B3B57"/>
          <w:sz w:val="56"/>
          <w:szCs w:val="56"/>
        </w:rPr>
        <w:lastRenderedPageBreak/>
        <w:t xml:space="preserve">Equity Policy Options: </w:t>
      </w:r>
      <w:r w:rsidR="00CB36E8" w:rsidRPr="00CB36E8">
        <w:rPr>
          <w:rFonts w:ascii="Inter Medium" w:hAnsi="Inter Medium" w:cs="Arial"/>
          <w:b/>
          <w:bCs/>
          <w:color w:val="6B3B57"/>
          <w:sz w:val="56"/>
          <w:szCs w:val="56"/>
        </w:rPr>
        <w:br/>
      </w:r>
      <w:r w:rsidRPr="00CB36E8">
        <w:rPr>
          <w:rFonts w:ascii="Inter Medium" w:hAnsi="Inter Medium" w:cs="Arial"/>
          <w:b/>
          <w:bCs/>
          <w:color w:val="6B3B57"/>
          <w:sz w:val="56"/>
          <w:szCs w:val="56"/>
        </w:rPr>
        <w:t xml:space="preserve">Parity Targets </w:t>
      </w:r>
    </w:p>
    <w:p w14:paraId="6BD857DB" w14:textId="77777777" w:rsidR="002D13E9" w:rsidRPr="00CB36E8" w:rsidRDefault="002D13E9" w:rsidP="002D13E9">
      <w:pPr>
        <w:pStyle w:val="Header"/>
        <w:spacing w:before="1080" w:after="600"/>
        <w:jc w:val="center"/>
        <w:rPr>
          <w:rFonts w:cs="Arial"/>
          <w:color w:val="6B3B57"/>
          <w:sz w:val="48"/>
          <w:szCs w:val="48"/>
        </w:rPr>
      </w:pPr>
      <w:r w:rsidRPr="00CB36E8">
        <w:rPr>
          <w:rFonts w:cs="Arial"/>
          <w:color w:val="6B3B57"/>
          <w:sz w:val="48"/>
          <w:szCs w:val="48"/>
        </w:rPr>
        <w:t>Final Report</w:t>
      </w:r>
    </w:p>
    <w:p w14:paraId="65AF6FE8" w14:textId="3D5291AF" w:rsidR="002D13E9" w:rsidRPr="002D13E9" w:rsidRDefault="00E458F0" w:rsidP="002D13E9">
      <w:pPr>
        <w:pStyle w:val="Header"/>
        <w:spacing w:after="2640"/>
        <w:jc w:val="center"/>
      </w:pPr>
      <w:r>
        <w:t>October 2023</w:t>
      </w:r>
    </w:p>
    <w:p w14:paraId="44623E1E" w14:textId="77777777" w:rsidR="00CB36E8" w:rsidRDefault="00CB36E8" w:rsidP="006B3EBD">
      <w:pPr>
        <w:spacing w:line="240" w:lineRule="auto"/>
        <w:rPr>
          <w:b/>
        </w:rPr>
      </w:pPr>
    </w:p>
    <w:p w14:paraId="0C6717DE" w14:textId="3C3E7D85" w:rsidR="006B2AC7" w:rsidRDefault="00370A92" w:rsidP="006B3EBD">
      <w:pPr>
        <w:spacing w:line="240" w:lineRule="auto"/>
      </w:pPr>
      <w:r>
        <w:rPr>
          <w:b/>
        </w:rPr>
        <w:t>P</w:t>
      </w:r>
      <w:r w:rsidR="006B2AC7" w:rsidRPr="006B2AC7">
        <w:rPr>
          <w:b/>
        </w:rPr>
        <w:t>repared by:</w:t>
      </w:r>
      <w:r w:rsidR="00FF0A2D">
        <w:rPr>
          <w:b/>
        </w:rPr>
        <w:t xml:space="preserve"> </w:t>
      </w:r>
      <w:r w:rsidR="006B2AC7" w:rsidRPr="006B2AC7">
        <w:t xml:space="preserve">The </w:t>
      </w:r>
      <w:r w:rsidR="001D741B">
        <w:t>Australian</w:t>
      </w:r>
      <w:r w:rsidR="006B2AC7" w:rsidRPr="006B2AC7">
        <w:t xml:space="preserve"> Centre for Student Equity </w:t>
      </w:r>
      <w:r w:rsidR="001D741B">
        <w:t>and Success</w:t>
      </w:r>
      <w:r w:rsidR="006B2AC7" w:rsidRPr="006B2AC7">
        <w:t xml:space="preserve"> (</w:t>
      </w:r>
      <w:r w:rsidR="001D741B">
        <w:t>ACSES</w:t>
      </w:r>
      <w:r w:rsidR="006B2AC7" w:rsidRPr="006B2AC7">
        <w:t>)</w:t>
      </w:r>
      <w:r w:rsidR="006B3EBD">
        <w:t>, formerly the National Centre for Student Equity in Higher Education (NCSEHE)</w:t>
      </w:r>
      <w:r w:rsidR="00371CA8">
        <w:t xml:space="preserve"> </w:t>
      </w:r>
    </w:p>
    <w:p w14:paraId="3A7DEC1B" w14:textId="597345F4" w:rsidR="008A1F6F" w:rsidRPr="00FF0A2D" w:rsidRDefault="008A1F6F">
      <w:pPr>
        <w:rPr>
          <w:b/>
        </w:rPr>
      </w:pPr>
      <w:r w:rsidRPr="00A033D0">
        <w:rPr>
          <w:b/>
          <w:bCs/>
        </w:rPr>
        <w:t>Project team:</w:t>
      </w:r>
      <w:r>
        <w:t xml:space="preserve"> Gemma Cadby, Paul Koshy, John Phillimore</w:t>
      </w:r>
      <w:r w:rsidR="001D741B">
        <w:t>,</w:t>
      </w:r>
      <w:r>
        <w:t xml:space="preserve"> and Shamit Saggar</w:t>
      </w:r>
    </w:p>
    <w:p w14:paraId="3490F3BF" w14:textId="1B316FB8" w:rsidR="00F76B21" w:rsidRDefault="00F76B21" w:rsidP="006559B6">
      <w:pPr>
        <w:pStyle w:val="Address"/>
        <w:rPr>
          <w:rFonts w:cs="Arial"/>
          <w:szCs w:val="18"/>
          <w:lang w:val="en-GB"/>
        </w:rPr>
      </w:pPr>
    </w:p>
    <w:p w14:paraId="56A728D2" w14:textId="4F09B0D1" w:rsidR="006B2AC7" w:rsidRPr="00C941E0" w:rsidRDefault="006B2AC7" w:rsidP="006559B6">
      <w:pPr>
        <w:pStyle w:val="Address"/>
        <w:rPr>
          <w:rFonts w:cs="Arial"/>
          <w:color w:val="212121"/>
          <w:szCs w:val="18"/>
          <w:lang w:val="en-GB"/>
        </w:rPr>
      </w:pPr>
      <w:r w:rsidRPr="00C941E0">
        <w:rPr>
          <w:rFonts w:cs="Arial"/>
          <w:color w:val="212121"/>
          <w:szCs w:val="18"/>
          <w:lang w:val="en-GB"/>
        </w:rPr>
        <w:t xml:space="preserve">Tel: +61 8 9266 </w:t>
      </w:r>
      <w:r w:rsidR="00F76B21">
        <w:rPr>
          <w:rFonts w:cs="Arial"/>
          <w:color w:val="212121"/>
          <w:szCs w:val="18"/>
          <w:lang w:val="en-GB"/>
        </w:rPr>
        <w:t>2807</w:t>
      </w:r>
    </w:p>
    <w:p w14:paraId="65D5EB6F" w14:textId="23041BE2" w:rsidR="006B2AC7" w:rsidRPr="00C941E0" w:rsidRDefault="006B2AC7" w:rsidP="006559B6">
      <w:pPr>
        <w:pStyle w:val="Address"/>
        <w:rPr>
          <w:rFonts w:cs="Arial"/>
          <w:color w:val="212121"/>
          <w:szCs w:val="18"/>
          <w:lang w:val="en-GB"/>
        </w:rPr>
      </w:pPr>
      <w:r w:rsidRPr="00C941E0">
        <w:rPr>
          <w:rFonts w:cs="Arial"/>
          <w:color w:val="212121"/>
          <w:szCs w:val="18"/>
          <w:lang w:val="en-GB"/>
        </w:rPr>
        <w:t xml:space="preserve">Email: </w:t>
      </w:r>
      <w:hyperlink r:id="rId12" w:history="1">
        <w:r w:rsidR="001D741B" w:rsidRPr="003772AA">
          <w:rPr>
            <w:rStyle w:val="Hyperlink"/>
            <w:rFonts w:cs="Arial"/>
            <w:szCs w:val="18"/>
            <w:lang w:val="en-GB"/>
          </w:rPr>
          <w:t>acses@curtin.edu.au</w:t>
        </w:r>
      </w:hyperlink>
      <w:r w:rsidRPr="00CA68AC">
        <w:rPr>
          <w:rFonts w:cs="Arial"/>
          <w:color w:val="502C41" w:themeColor="accent2" w:themeShade="BF"/>
          <w:szCs w:val="18"/>
          <w:lang w:val="en-GB"/>
        </w:rPr>
        <w:t xml:space="preserve"> </w:t>
      </w:r>
    </w:p>
    <w:p w14:paraId="37CFBF1A" w14:textId="3A60BE3B" w:rsidR="00C1237A" w:rsidRDefault="001D741B" w:rsidP="00203225">
      <w:pPr>
        <w:pStyle w:val="Address"/>
        <w:rPr>
          <w:rFonts w:cs="Arial"/>
          <w:color w:val="212121"/>
          <w:szCs w:val="18"/>
          <w:lang w:val="en-GB"/>
        </w:rPr>
      </w:pPr>
      <w:r>
        <w:rPr>
          <w:rFonts w:cs="Arial"/>
          <w:color w:val="212121"/>
          <w:szCs w:val="18"/>
          <w:lang w:val="en-GB"/>
        </w:rPr>
        <w:t>Web</w:t>
      </w:r>
      <w:r w:rsidR="00851095">
        <w:rPr>
          <w:rFonts w:cs="Arial"/>
          <w:color w:val="212121"/>
          <w:szCs w:val="18"/>
          <w:lang w:val="en-GB"/>
        </w:rPr>
        <w:t xml:space="preserve">: </w:t>
      </w:r>
      <w:hyperlink r:id="rId13" w:history="1">
        <w:r w:rsidRPr="003772AA">
          <w:rPr>
            <w:rStyle w:val="Hyperlink"/>
            <w:lang w:val="en-GB"/>
          </w:rPr>
          <w:t>acses.edu.au</w:t>
        </w:r>
      </w:hyperlink>
    </w:p>
    <w:p w14:paraId="353E78AE" w14:textId="77777777" w:rsidR="001D741B" w:rsidRDefault="001D741B" w:rsidP="00203225">
      <w:pPr>
        <w:pStyle w:val="Address"/>
        <w:rPr>
          <w:rFonts w:cs="Arial"/>
          <w:szCs w:val="18"/>
          <w:lang w:val="en-GB"/>
        </w:rPr>
      </w:pPr>
    </w:p>
    <w:p w14:paraId="3C8AA9FD" w14:textId="0CB4226E" w:rsidR="00C1237A" w:rsidRDefault="00C1237A" w:rsidP="00C1237A">
      <w:pPr>
        <w:pStyle w:val="Address"/>
        <w:rPr>
          <w:rFonts w:cs="Arial"/>
          <w:color w:val="212121"/>
          <w:szCs w:val="18"/>
          <w:lang w:val="en-GB"/>
        </w:rPr>
      </w:pPr>
    </w:p>
    <w:p w14:paraId="3C45FE74" w14:textId="1F92CC04" w:rsidR="00C1237A" w:rsidRPr="00C941E0" w:rsidRDefault="003772AA" w:rsidP="00C1237A">
      <w:pPr>
        <w:pStyle w:val="Address"/>
        <w:rPr>
          <w:rFonts w:cs="Arial"/>
          <w:color w:val="212121"/>
          <w:szCs w:val="18"/>
          <w:lang w:val="en-GB"/>
        </w:rPr>
      </w:pPr>
      <w:r>
        <w:rPr>
          <w:rFonts w:cs="Arial"/>
          <w:color w:val="212121"/>
          <w:szCs w:val="18"/>
          <w:lang w:val="en-GB"/>
        </w:rPr>
        <w:t>Australian</w:t>
      </w:r>
      <w:r w:rsidR="00C1237A" w:rsidRPr="00C941E0">
        <w:rPr>
          <w:rFonts w:cs="Arial"/>
          <w:color w:val="212121"/>
          <w:szCs w:val="18"/>
          <w:lang w:val="en-GB"/>
        </w:rPr>
        <w:t xml:space="preserve"> Centre for Student Equity </w:t>
      </w:r>
      <w:r>
        <w:rPr>
          <w:rFonts w:cs="Arial"/>
          <w:color w:val="212121"/>
          <w:szCs w:val="18"/>
          <w:lang w:val="en-GB"/>
        </w:rPr>
        <w:t>and Success</w:t>
      </w:r>
    </w:p>
    <w:p w14:paraId="4105E1D5" w14:textId="643F759D" w:rsidR="009A00F9" w:rsidRDefault="009A00F9" w:rsidP="00203225">
      <w:pPr>
        <w:pStyle w:val="Address"/>
        <w:rPr>
          <w:rFonts w:cs="Arial"/>
          <w:color w:val="212121"/>
          <w:szCs w:val="18"/>
          <w:lang w:val="en-GB"/>
        </w:rPr>
      </w:pPr>
      <w:r>
        <w:rPr>
          <w:rFonts w:cs="Arial"/>
          <w:color w:val="212121"/>
          <w:szCs w:val="18"/>
          <w:lang w:val="en-GB"/>
        </w:rPr>
        <w:t>Curtin University</w:t>
      </w:r>
    </w:p>
    <w:p w14:paraId="6BF145A2" w14:textId="30D35A4D" w:rsidR="00F76B21" w:rsidRDefault="006B2AC7" w:rsidP="00F76B21">
      <w:pPr>
        <w:pStyle w:val="Address"/>
        <w:spacing w:after="240"/>
        <w:rPr>
          <w:rFonts w:cs="Arial"/>
          <w:color w:val="212121"/>
          <w:szCs w:val="18"/>
          <w:lang w:val="en-GB"/>
        </w:rPr>
      </w:pPr>
      <w:r w:rsidRPr="00C941E0">
        <w:rPr>
          <w:rFonts w:cs="Arial"/>
          <w:color w:val="212121"/>
          <w:szCs w:val="18"/>
          <w:lang w:val="en-GB"/>
        </w:rPr>
        <w:t xml:space="preserve">GPO Box U1987 </w:t>
      </w:r>
      <w:r w:rsidR="00F76B21">
        <w:rPr>
          <w:rFonts w:cs="Arial"/>
          <w:color w:val="212121"/>
          <w:szCs w:val="18"/>
          <w:lang w:val="en-GB"/>
        </w:rPr>
        <w:br/>
      </w:r>
      <w:r w:rsidRPr="00C941E0">
        <w:rPr>
          <w:rFonts w:cs="Arial"/>
          <w:color w:val="212121"/>
          <w:szCs w:val="18"/>
          <w:lang w:val="en-GB"/>
        </w:rPr>
        <w:t>Perth WA 6845</w:t>
      </w:r>
      <w:r w:rsidR="00F76B21">
        <w:rPr>
          <w:rFonts w:cs="Arial"/>
          <w:color w:val="212121"/>
          <w:szCs w:val="18"/>
          <w:lang w:val="en-GB"/>
        </w:rPr>
        <w:br/>
        <w:t xml:space="preserve">Australia </w:t>
      </w:r>
    </w:p>
    <w:p w14:paraId="421B94E0" w14:textId="64F4A77E" w:rsidR="00C941E0" w:rsidRPr="00122F03" w:rsidRDefault="00122F03" w:rsidP="006559B6">
      <w:pPr>
        <w:pStyle w:val="Default"/>
        <w:spacing w:before="480"/>
        <w:ind w:left="156"/>
        <w:rPr>
          <w:rFonts w:ascii="Arial" w:hAnsi="Arial" w:cs="Arial"/>
          <w:color w:val="1F1F1F"/>
          <w:sz w:val="18"/>
          <w:szCs w:val="18"/>
        </w:rPr>
      </w:pPr>
      <w:r w:rsidRPr="00C941E0">
        <w:rPr>
          <w:b/>
          <w:bCs/>
          <w:noProof/>
          <w:color w:val="502C41" w:themeColor="accent2" w:themeShade="BF"/>
          <w:sz w:val="16"/>
          <w:szCs w:val="16"/>
          <w:lang w:eastAsia="en-AU"/>
        </w:rPr>
        <mc:AlternateContent>
          <mc:Choice Requires="wps">
            <w:drawing>
              <wp:anchor distT="0" distB="0" distL="114300" distR="114300" simplePos="0" relativeHeight="251658240" behindDoc="1" locked="0" layoutInCell="1" allowOverlap="1" wp14:anchorId="38D640C1" wp14:editId="4D17C037">
                <wp:simplePos x="0" y="0"/>
                <wp:positionH relativeFrom="column">
                  <wp:posOffset>-899</wp:posOffset>
                </wp:positionH>
                <wp:positionV relativeFrom="paragraph">
                  <wp:posOffset>24907</wp:posOffset>
                </wp:positionV>
                <wp:extent cx="6163945" cy="1530849"/>
                <wp:effectExtent l="0" t="0" r="27305" b="1270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63945" cy="1530849"/>
                        </a:xfrm>
                        <a:prstGeom prst="rect">
                          <a:avLst/>
                        </a:prstGeom>
                        <a:noFill/>
                        <a:ln>
                          <a:solidFill>
                            <a:schemeClr val="accent2">
                              <a:lumMod val="75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4A168" id="Rectangle 7" o:spid="_x0000_s1026" alt="&quot;&quot;" style="position:absolute;margin-left:-.05pt;margin-top:1.95pt;width:485.35pt;height:12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" filled="f" strokecolor="#502c41 [2405]" strokeweight="2pt"/>
            </w:pict>
          </mc:Fallback>
        </mc:AlternateContent>
      </w:r>
      <w:r w:rsidR="00C941E0" w:rsidRPr="00122F03">
        <w:rPr>
          <w:rFonts w:ascii="Arial" w:hAnsi="Arial" w:cs="Arial"/>
          <w:b/>
          <w:bCs/>
          <w:color w:val="1F1F1F"/>
          <w:sz w:val="18"/>
          <w:szCs w:val="18"/>
        </w:rPr>
        <w:t xml:space="preserve">DISCLAIMER </w:t>
      </w:r>
    </w:p>
    <w:p w14:paraId="750863EF" w14:textId="7F1130BE" w:rsidR="00C941E0" w:rsidRPr="00122F03" w:rsidRDefault="00C941E0" w:rsidP="006559B6">
      <w:pPr>
        <w:pStyle w:val="Default"/>
        <w:spacing w:after="120"/>
        <w:ind w:left="156"/>
        <w:rPr>
          <w:rFonts w:ascii="Arial" w:hAnsi="Arial" w:cs="Arial"/>
          <w:color w:val="1F1F1F"/>
          <w:sz w:val="18"/>
          <w:szCs w:val="18"/>
        </w:rPr>
      </w:pPr>
      <w:r w:rsidRPr="00122F03">
        <w:rPr>
          <w:rFonts w:ascii="Arial" w:hAnsi="Arial" w:cs="Arial"/>
          <w:color w:val="1F1F1F"/>
          <w:sz w:val="18"/>
          <w:szCs w:val="18"/>
        </w:rPr>
        <w:t xml:space="preserve">Information in this publication is correct at the time of release but may be subject to change. This material does not purport to constitute legal or professional advice. </w:t>
      </w:r>
    </w:p>
    <w:p w14:paraId="5DEEAB07" w14:textId="64E8FB50" w:rsidR="00C941E0" w:rsidRDefault="00C941E0" w:rsidP="00C941E0">
      <w:pPr>
        <w:pStyle w:val="Default"/>
        <w:ind w:left="156"/>
        <w:rPr>
          <w:rFonts w:ascii="Arial" w:hAnsi="Arial" w:cs="Arial"/>
          <w:color w:val="1F1F1F"/>
          <w:sz w:val="18"/>
          <w:szCs w:val="18"/>
        </w:rPr>
      </w:pPr>
      <w:r w:rsidRPr="00122F03">
        <w:rPr>
          <w:rFonts w:ascii="Arial" w:hAnsi="Arial" w:cs="Arial"/>
          <w:color w:val="1F1F1F"/>
          <w:sz w:val="18"/>
          <w:szCs w:val="18"/>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w:t>
      </w:r>
      <w:r w:rsidR="000E0542">
        <w:rPr>
          <w:rFonts w:ascii="Arial" w:hAnsi="Arial" w:cs="Arial"/>
          <w:color w:val="1F1F1F"/>
          <w:sz w:val="18"/>
          <w:szCs w:val="18"/>
        </w:rPr>
        <w:t xml:space="preserve"> </w:t>
      </w:r>
      <w:r w:rsidRPr="00122F03">
        <w:rPr>
          <w:rFonts w:ascii="Arial" w:hAnsi="Arial" w:cs="Arial"/>
          <w:color w:val="1F1F1F"/>
          <w:sz w:val="18"/>
          <w:szCs w:val="18"/>
        </w:rPr>
        <w:t>result directly or indirectly from the use of this publication.</w:t>
      </w:r>
    </w:p>
    <w:p w14:paraId="78C87164" w14:textId="574886B7" w:rsidR="002E40A8" w:rsidRDefault="002E40A8">
      <w:pPr>
        <w:rPr>
          <w:rFonts w:ascii="Arial" w:eastAsiaTheme="minorHAnsi" w:hAnsi="Arial" w:cs="Arial"/>
          <w:color w:val="1F1F1F"/>
          <w:sz w:val="18"/>
          <w:szCs w:val="18"/>
          <w:lang w:eastAsia="en-US"/>
        </w:rPr>
      </w:pPr>
      <w:r>
        <w:rPr>
          <w:rFonts w:ascii="Arial" w:hAnsi="Arial" w:cs="Arial"/>
          <w:color w:val="1F1F1F"/>
          <w:sz w:val="18"/>
          <w:szCs w:val="18"/>
        </w:rPr>
        <w:br w:type="page"/>
      </w:r>
    </w:p>
    <w:p w14:paraId="114D4130" w14:textId="02706346" w:rsidR="00291946" w:rsidRDefault="00291946" w:rsidP="002E40A8">
      <w:pPr>
        <w:pStyle w:val="Heading1"/>
      </w:pPr>
      <w:bookmarkStart w:id="0" w:name="_Toc171511576"/>
      <w:r>
        <w:lastRenderedPageBreak/>
        <w:t>Acknowledgement of Country</w:t>
      </w:r>
      <w:bookmarkEnd w:id="0"/>
    </w:p>
    <w:p w14:paraId="1178B1DC" w14:textId="30158821" w:rsidR="00291946" w:rsidRPr="00291946" w:rsidRDefault="00291946" w:rsidP="00291946">
      <w:pPr>
        <w:rPr>
          <w:sz w:val="28"/>
          <w:szCs w:val="28"/>
        </w:rPr>
      </w:pPr>
      <w:r>
        <w:rPr>
          <w:sz w:val="32"/>
          <w:szCs w:val="36"/>
        </w:rPr>
        <w:br/>
      </w:r>
      <w:bookmarkStart w:id="1" w:name="_Hlk171503890"/>
      <w:r w:rsidRPr="00291946">
        <w:rPr>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bookmarkEnd w:id="1"/>
    </w:p>
    <w:bookmarkStart w:id="2" w:name="_Toc122093538" w:displacedByCustomXml="next"/>
    <w:bookmarkStart w:id="3" w:name="_Toc121914035" w:displacedByCustomXml="next"/>
    <w:bookmarkStart w:id="4" w:name="_Toc121821142" w:displacedByCustomXml="next"/>
    <w:bookmarkStart w:id="5" w:name="_Toc121820608" w:displacedByCustomXml="next"/>
    <w:bookmarkStart w:id="6" w:name="_Toc121900310" w:displacedByCustomXml="next"/>
    <w:sdt>
      <w:sdtPr>
        <w:rPr>
          <w:rFonts w:ascii="Arial" w:eastAsiaTheme="minorHAnsi" w:hAnsi="Arial" w:cstheme="minorBidi"/>
          <w:b/>
          <w:bCs w:val="0"/>
          <w:color w:val="auto"/>
          <w:sz w:val="22"/>
          <w:szCs w:val="22"/>
          <w:lang w:eastAsia="en-US"/>
        </w:rPr>
        <w:id w:val="2022051908"/>
        <w:docPartObj>
          <w:docPartGallery w:val="Table of Contents"/>
          <w:docPartUnique/>
        </w:docPartObj>
      </w:sdtPr>
      <w:sdtEndPr>
        <w:rPr>
          <w:rFonts w:ascii="Inter" w:eastAsia="Times New Roman" w:hAnsi="Inter" w:cs="Times New Roman"/>
          <w:b w:val="0"/>
          <w:noProof/>
          <w:color w:val="351C26" w:themeColor="text1"/>
          <w:szCs w:val="24"/>
          <w:lang w:eastAsia="en-GB"/>
        </w:rPr>
      </w:sdtEndPr>
      <w:sdtContent>
        <w:bookmarkEnd w:id="6" w:displacedByCustomXml="prev"/>
        <w:bookmarkEnd w:id="5" w:displacedByCustomXml="prev"/>
        <w:bookmarkEnd w:id="4" w:displacedByCustomXml="prev"/>
        <w:bookmarkEnd w:id="3" w:displacedByCustomXml="prev"/>
        <w:bookmarkEnd w:id="2" w:displacedByCustomXml="prev"/>
        <w:bookmarkStart w:id="7" w:name="_Toc171511577" w:displacedByCustomXml="prev"/>
        <w:p w14:paraId="5C605938" w14:textId="4B8E1899" w:rsidR="00A22F24" w:rsidRPr="00AA6628" w:rsidRDefault="00BA26F2" w:rsidP="003772AA">
          <w:pPr>
            <w:pStyle w:val="Heading1"/>
          </w:pPr>
          <w:r>
            <w:rPr>
              <w:rFonts w:eastAsiaTheme="minorHAnsi" w:cstheme="minorBidi"/>
              <w:b/>
              <w:color w:val="auto"/>
              <w:szCs w:val="22"/>
              <w:lang w:eastAsia="en-US"/>
            </w:rPr>
            <w:br w:type="page"/>
          </w:r>
          <w:bookmarkStart w:id="8" w:name="_Toc135401592"/>
          <w:bookmarkStart w:id="9" w:name="_Toc135645132"/>
          <w:r w:rsidR="000723A3" w:rsidRPr="003772AA">
            <w:lastRenderedPageBreak/>
            <w:t>Contents</w:t>
          </w:r>
          <w:bookmarkEnd w:id="8"/>
          <w:bookmarkEnd w:id="9"/>
          <w:bookmarkEnd w:id="7"/>
        </w:p>
        <w:p w14:paraId="2BD0AD2D" w14:textId="587B42C0" w:rsidR="007560E0" w:rsidRDefault="00D03BF8">
          <w:pPr>
            <w:pStyle w:val="TOC1"/>
            <w:rPr>
              <w:rFonts w:asciiTheme="minorHAnsi" w:hAnsiTheme="minorHAnsi" w:cstheme="minorBidi"/>
              <w:color w:val="auto"/>
              <w:kern w:val="2"/>
              <w:sz w:val="24"/>
              <w:szCs w:val="24"/>
              <w14:ligatures w14:val="standardContextual"/>
            </w:rPr>
          </w:pPr>
          <w:r>
            <w:fldChar w:fldCharType="begin"/>
          </w:r>
          <w:r>
            <w:instrText xml:space="preserve"> TOC \h \z \t "Heading 1,1" </w:instrText>
          </w:r>
          <w:r>
            <w:fldChar w:fldCharType="separate"/>
          </w:r>
          <w:hyperlink w:anchor="_Toc171511578" w:history="1">
            <w:r w:rsidR="007560E0" w:rsidRPr="00B245B6">
              <w:rPr>
                <w:rStyle w:val="Hyperlink"/>
              </w:rPr>
              <w:t>Notes to Reader</w:t>
            </w:r>
            <w:r w:rsidR="007560E0">
              <w:rPr>
                <w:webHidden/>
              </w:rPr>
              <w:tab/>
            </w:r>
            <w:r w:rsidR="007560E0">
              <w:rPr>
                <w:webHidden/>
              </w:rPr>
              <w:fldChar w:fldCharType="begin"/>
            </w:r>
            <w:r w:rsidR="007560E0">
              <w:rPr>
                <w:webHidden/>
              </w:rPr>
              <w:instrText xml:space="preserve"> PAGEREF _Toc171511578 \h </w:instrText>
            </w:r>
            <w:r w:rsidR="007560E0">
              <w:rPr>
                <w:webHidden/>
              </w:rPr>
            </w:r>
            <w:r w:rsidR="007560E0">
              <w:rPr>
                <w:webHidden/>
              </w:rPr>
              <w:fldChar w:fldCharType="separate"/>
            </w:r>
            <w:r w:rsidR="006164A1">
              <w:rPr>
                <w:webHidden/>
              </w:rPr>
              <w:t>i</w:t>
            </w:r>
            <w:r w:rsidR="007560E0">
              <w:rPr>
                <w:webHidden/>
              </w:rPr>
              <w:fldChar w:fldCharType="end"/>
            </w:r>
          </w:hyperlink>
        </w:p>
        <w:p w14:paraId="7F90657F" w14:textId="58F18FE6" w:rsidR="007560E0" w:rsidRDefault="00C34B4B">
          <w:pPr>
            <w:pStyle w:val="TOC1"/>
            <w:rPr>
              <w:rFonts w:asciiTheme="minorHAnsi" w:hAnsiTheme="minorHAnsi" w:cstheme="minorBidi"/>
              <w:color w:val="auto"/>
              <w:kern w:val="2"/>
              <w:sz w:val="24"/>
              <w:szCs w:val="24"/>
              <w14:ligatures w14:val="standardContextual"/>
            </w:rPr>
          </w:pPr>
          <w:hyperlink w:anchor="_Toc171511579" w:history="1">
            <w:r w:rsidR="007560E0" w:rsidRPr="00B245B6">
              <w:rPr>
                <w:rStyle w:val="Hyperlink"/>
              </w:rPr>
              <w:t>Executive Summary</w:t>
            </w:r>
            <w:r w:rsidR="007560E0">
              <w:rPr>
                <w:webHidden/>
              </w:rPr>
              <w:tab/>
            </w:r>
            <w:r w:rsidR="007560E0">
              <w:rPr>
                <w:webHidden/>
              </w:rPr>
              <w:fldChar w:fldCharType="begin"/>
            </w:r>
            <w:r w:rsidR="007560E0">
              <w:rPr>
                <w:webHidden/>
              </w:rPr>
              <w:instrText xml:space="preserve"> PAGEREF _Toc171511579 \h </w:instrText>
            </w:r>
            <w:r w:rsidR="007560E0">
              <w:rPr>
                <w:webHidden/>
              </w:rPr>
            </w:r>
            <w:r w:rsidR="007560E0">
              <w:rPr>
                <w:webHidden/>
              </w:rPr>
              <w:fldChar w:fldCharType="separate"/>
            </w:r>
            <w:r w:rsidR="006164A1">
              <w:rPr>
                <w:webHidden/>
              </w:rPr>
              <w:t>ii</w:t>
            </w:r>
            <w:r w:rsidR="007560E0">
              <w:rPr>
                <w:webHidden/>
              </w:rPr>
              <w:fldChar w:fldCharType="end"/>
            </w:r>
          </w:hyperlink>
        </w:p>
        <w:p w14:paraId="6192A448" w14:textId="3734372D" w:rsidR="007560E0" w:rsidRDefault="00C34B4B">
          <w:pPr>
            <w:pStyle w:val="TOC1"/>
            <w:rPr>
              <w:rFonts w:asciiTheme="minorHAnsi" w:hAnsiTheme="minorHAnsi" w:cstheme="minorBidi"/>
              <w:color w:val="auto"/>
              <w:kern w:val="2"/>
              <w:sz w:val="24"/>
              <w:szCs w:val="24"/>
              <w14:ligatures w14:val="standardContextual"/>
            </w:rPr>
          </w:pPr>
          <w:hyperlink w:anchor="_Toc171511580" w:history="1">
            <w:r w:rsidR="007560E0" w:rsidRPr="00B245B6">
              <w:rPr>
                <w:rStyle w:val="Hyperlink"/>
              </w:rPr>
              <w:t>Introduction</w:t>
            </w:r>
            <w:r w:rsidR="007560E0">
              <w:rPr>
                <w:webHidden/>
              </w:rPr>
              <w:tab/>
            </w:r>
            <w:r w:rsidR="007560E0">
              <w:rPr>
                <w:webHidden/>
              </w:rPr>
              <w:fldChar w:fldCharType="begin"/>
            </w:r>
            <w:r w:rsidR="007560E0">
              <w:rPr>
                <w:webHidden/>
              </w:rPr>
              <w:instrText xml:space="preserve"> PAGEREF _Toc171511580 \h </w:instrText>
            </w:r>
            <w:r w:rsidR="007560E0">
              <w:rPr>
                <w:webHidden/>
              </w:rPr>
            </w:r>
            <w:r w:rsidR="007560E0">
              <w:rPr>
                <w:webHidden/>
              </w:rPr>
              <w:fldChar w:fldCharType="separate"/>
            </w:r>
            <w:r w:rsidR="006164A1">
              <w:rPr>
                <w:webHidden/>
              </w:rPr>
              <w:t>1</w:t>
            </w:r>
            <w:r w:rsidR="007560E0">
              <w:rPr>
                <w:webHidden/>
              </w:rPr>
              <w:fldChar w:fldCharType="end"/>
            </w:r>
          </w:hyperlink>
        </w:p>
        <w:p w14:paraId="51B554C4" w14:textId="54F39377" w:rsidR="007560E0" w:rsidRDefault="00C34B4B">
          <w:pPr>
            <w:pStyle w:val="TOC1"/>
            <w:rPr>
              <w:rFonts w:asciiTheme="minorHAnsi" w:hAnsiTheme="minorHAnsi" w:cstheme="minorBidi"/>
              <w:color w:val="auto"/>
              <w:kern w:val="2"/>
              <w:sz w:val="24"/>
              <w:szCs w:val="24"/>
              <w14:ligatures w14:val="standardContextual"/>
            </w:rPr>
          </w:pPr>
          <w:hyperlink w:anchor="_Toc171511581" w:history="1">
            <w:r w:rsidR="007560E0" w:rsidRPr="00B245B6">
              <w:rPr>
                <w:rStyle w:val="Hyperlink"/>
              </w:rPr>
              <w:t>Equity Parity Targets:  Projections and Policy Options</w:t>
            </w:r>
            <w:r w:rsidR="007560E0">
              <w:rPr>
                <w:webHidden/>
              </w:rPr>
              <w:tab/>
            </w:r>
            <w:r w:rsidR="007560E0">
              <w:rPr>
                <w:webHidden/>
              </w:rPr>
              <w:fldChar w:fldCharType="begin"/>
            </w:r>
            <w:r w:rsidR="007560E0">
              <w:rPr>
                <w:webHidden/>
              </w:rPr>
              <w:instrText xml:space="preserve"> PAGEREF _Toc171511581 \h </w:instrText>
            </w:r>
            <w:r w:rsidR="007560E0">
              <w:rPr>
                <w:webHidden/>
              </w:rPr>
            </w:r>
            <w:r w:rsidR="007560E0">
              <w:rPr>
                <w:webHidden/>
              </w:rPr>
              <w:fldChar w:fldCharType="separate"/>
            </w:r>
            <w:r w:rsidR="006164A1">
              <w:rPr>
                <w:webHidden/>
              </w:rPr>
              <w:t>10</w:t>
            </w:r>
            <w:r w:rsidR="007560E0">
              <w:rPr>
                <w:webHidden/>
              </w:rPr>
              <w:fldChar w:fldCharType="end"/>
            </w:r>
          </w:hyperlink>
        </w:p>
        <w:p w14:paraId="3481D1A6" w14:textId="64FAC545" w:rsidR="007560E0" w:rsidRDefault="00C34B4B">
          <w:pPr>
            <w:pStyle w:val="TOC1"/>
            <w:rPr>
              <w:rFonts w:asciiTheme="minorHAnsi" w:hAnsiTheme="minorHAnsi" w:cstheme="minorBidi"/>
              <w:color w:val="auto"/>
              <w:kern w:val="2"/>
              <w:sz w:val="24"/>
              <w:szCs w:val="24"/>
              <w14:ligatures w14:val="standardContextual"/>
            </w:rPr>
          </w:pPr>
          <w:hyperlink w:anchor="_Toc171511582" w:history="1">
            <w:r w:rsidR="007560E0" w:rsidRPr="00B245B6">
              <w:rPr>
                <w:rStyle w:val="Hyperlink"/>
              </w:rPr>
              <w:t>Modelling to 2035: Participation</w:t>
            </w:r>
            <w:r w:rsidR="007560E0">
              <w:rPr>
                <w:webHidden/>
              </w:rPr>
              <w:tab/>
            </w:r>
            <w:r w:rsidR="007560E0">
              <w:rPr>
                <w:webHidden/>
              </w:rPr>
              <w:fldChar w:fldCharType="begin"/>
            </w:r>
            <w:r w:rsidR="007560E0">
              <w:rPr>
                <w:webHidden/>
              </w:rPr>
              <w:instrText xml:space="preserve"> PAGEREF _Toc171511582 \h </w:instrText>
            </w:r>
            <w:r w:rsidR="007560E0">
              <w:rPr>
                <w:webHidden/>
              </w:rPr>
            </w:r>
            <w:r w:rsidR="007560E0">
              <w:rPr>
                <w:webHidden/>
              </w:rPr>
              <w:fldChar w:fldCharType="separate"/>
            </w:r>
            <w:r w:rsidR="006164A1">
              <w:rPr>
                <w:webHidden/>
              </w:rPr>
              <w:t>19</w:t>
            </w:r>
            <w:r w:rsidR="007560E0">
              <w:rPr>
                <w:webHidden/>
              </w:rPr>
              <w:fldChar w:fldCharType="end"/>
            </w:r>
          </w:hyperlink>
        </w:p>
        <w:p w14:paraId="73549D1A" w14:textId="210C4522" w:rsidR="007560E0" w:rsidRDefault="00C34B4B">
          <w:pPr>
            <w:pStyle w:val="TOC1"/>
            <w:rPr>
              <w:rFonts w:asciiTheme="minorHAnsi" w:hAnsiTheme="minorHAnsi" w:cstheme="minorBidi"/>
              <w:color w:val="auto"/>
              <w:kern w:val="2"/>
              <w:sz w:val="24"/>
              <w:szCs w:val="24"/>
              <w14:ligatures w14:val="standardContextual"/>
            </w:rPr>
          </w:pPr>
          <w:hyperlink w:anchor="_Toc171511583" w:history="1">
            <w:r w:rsidR="007560E0" w:rsidRPr="00B245B6">
              <w:rPr>
                <w:rStyle w:val="Hyperlink"/>
              </w:rPr>
              <w:t>Modelling to 2035: Completion</w:t>
            </w:r>
            <w:r w:rsidR="007560E0">
              <w:rPr>
                <w:webHidden/>
              </w:rPr>
              <w:tab/>
            </w:r>
            <w:r w:rsidR="007560E0">
              <w:rPr>
                <w:webHidden/>
              </w:rPr>
              <w:fldChar w:fldCharType="begin"/>
            </w:r>
            <w:r w:rsidR="007560E0">
              <w:rPr>
                <w:webHidden/>
              </w:rPr>
              <w:instrText xml:space="preserve"> PAGEREF _Toc171511583 \h </w:instrText>
            </w:r>
            <w:r w:rsidR="007560E0">
              <w:rPr>
                <w:webHidden/>
              </w:rPr>
            </w:r>
            <w:r w:rsidR="007560E0">
              <w:rPr>
                <w:webHidden/>
              </w:rPr>
              <w:fldChar w:fldCharType="separate"/>
            </w:r>
            <w:r w:rsidR="006164A1">
              <w:rPr>
                <w:webHidden/>
              </w:rPr>
              <w:t>24</w:t>
            </w:r>
            <w:r w:rsidR="007560E0">
              <w:rPr>
                <w:webHidden/>
              </w:rPr>
              <w:fldChar w:fldCharType="end"/>
            </w:r>
          </w:hyperlink>
        </w:p>
        <w:p w14:paraId="101BD972" w14:textId="0B169B98" w:rsidR="007560E0" w:rsidRDefault="00C34B4B">
          <w:pPr>
            <w:pStyle w:val="TOC1"/>
            <w:rPr>
              <w:rFonts w:asciiTheme="minorHAnsi" w:hAnsiTheme="minorHAnsi" w:cstheme="minorBidi"/>
              <w:color w:val="auto"/>
              <w:kern w:val="2"/>
              <w:sz w:val="24"/>
              <w:szCs w:val="24"/>
              <w14:ligatures w14:val="standardContextual"/>
            </w:rPr>
          </w:pPr>
          <w:hyperlink w:anchor="_Toc171511584" w:history="1">
            <w:r w:rsidR="007560E0" w:rsidRPr="00B245B6">
              <w:rPr>
                <w:rStyle w:val="Hyperlink"/>
              </w:rPr>
              <w:t>Extending Parity Targets to 2040 and 2050</w:t>
            </w:r>
            <w:r w:rsidR="007560E0">
              <w:rPr>
                <w:webHidden/>
              </w:rPr>
              <w:tab/>
            </w:r>
            <w:r w:rsidR="007560E0">
              <w:rPr>
                <w:webHidden/>
              </w:rPr>
              <w:fldChar w:fldCharType="begin"/>
            </w:r>
            <w:r w:rsidR="007560E0">
              <w:rPr>
                <w:webHidden/>
              </w:rPr>
              <w:instrText xml:space="preserve"> PAGEREF _Toc171511584 \h </w:instrText>
            </w:r>
            <w:r w:rsidR="007560E0">
              <w:rPr>
                <w:webHidden/>
              </w:rPr>
            </w:r>
            <w:r w:rsidR="007560E0">
              <w:rPr>
                <w:webHidden/>
              </w:rPr>
              <w:fldChar w:fldCharType="separate"/>
            </w:r>
            <w:r w:rsidR="006164A1">
              <w:rPr>
                <w:webHidden/>
              </w:rPr>
              <w:t>28</w:t>
            </w:r>
            <w:r w:rsidR="007560E0">
              <w:rPr>
                <w:webHidden/>
              </w:rPr>
              <w:fldChar w:fldCharType="end"/>
            </w:r>
          </w:hyperlink>
        </w:p>
        <w:p w14:paraId="1771AC94" w14:textId="7F3CAAC8" w:rsidR="007560E0" w:rsidRDefault="00C34B4B">
          <w:pPr>
            <w:pStyle w:val="TOC1"/>
            <w:rPr>
              <w:rFonts w:asciiTheme="minorHAnsi" w:hAnsiTheme="minorHAnsi" w:cstheme="minorBidi"/>
              <w:color w:val="auto"/>
              <w:kern w:val="2"/>
              <w:sz w:val="24"/>
              <w:szCs w:val="24"/>
              <w14:ligatures w14:val="standardContextual"/>
            </w:rPr>
          </w:pPr>
          <w:hyperlink w:anchor="_Toc171511585" w:history="1">
            <w:r w:rsidR="007560E0" w:rsidRPr="00B245B6">
              <w:rPr>
                <w:rStyle w:val="Hyperlink"/>
              </w:rPr>
              <w:t>The Recommended Parity Target Option</w:t>
            </w:r>
            <w:r w:rsidR="007560E0">
              <w:rPr>
                <w:webHidden/>
              </w:rPr>
              <w:tab/>
            </w:r>
            <w:r w:rsidR="007560E0">
              <w:rPr>
                <w:webHidden/>
              </w:rPr>
              <w:fldChar w:fldCharType="begin"/>
            </w:r>
            <w:r w:rsidR="007560E0">
              <w:rPr>
                <w:webHidden/>
              </w:rPr>
              <w:instrText xml:space="preserve"> PAGEREF _Toc171511585 \h </w:instrText>
            </w:r>
            <w:r w:rsidR="007560E0">
              <w:rPr>
                <w:webHidden/>
              </w:rPr>
            </w:r>
            <w:r w:rsidR="007560E0">
              <w:rPr>
                <w:webHidden/>
              </w:rPr>
              <w:fldChar w:fldCharType="separate"/>
            </w:r>
            <w:r w:rsidR="006164A1">
              <w:rPr>
                <w:webHidden/>
              </w:rPr>
              <w:t>31</w:t>
            </w:r>
            <w:r w:rsidR="007560E0">
              <w:rPr>
                <w:webHidden/>
              </w:rPr>
              <w:fldChar w:fldCharType="end"/>
            </w:r>
          </w:hyperlink>
        </w:p>
        <w:p w14:paraId="7EF66C26" w14:textId="2EA3D92C" w:rsidR="007560E0" w:rsidRDefault="00C34B4B">
          <w:pPr>
            <w:pStyle w:val="TOC1"/>
            <w:rPr>
              <w:rFonts w:asciiTheme="minorHAnsi" w:hAnsiTheme="minorHAnsi" w:cstheme="minorBidi"/>
              <w:color w:val="auto"/>
              <w:kern w:val="2"/>
              <w:sz w:val="24"/>
              <w:szCs w:val="24"/>
              <w14:ligatures w14:val="standardContextual"/>
            </w:rPr>
          </w:pPr>
          <w:hyperlink w:anchor="_Toc171511586" w:history="1">
            <w:r w:rsidR="007560E0" w:rsidRPr="00B245B6">
              <w:rPr>
                <w:rStyle w:val="Hyperlink"/>
              </w:rPr>
              <w:t>Future Policy Considerations</w:t>
            </w:r>
            <w:r w:rsidR="007560E0">
              <w:rPr>
                <w:webHidden/>
              </w:rPr>
              <w:tab/>
            </w:r>
            <w:r w:rsidR="007560E0">
              <w:rPr>
                <w:webHidden/>
              </w:rPr>
              <w:fldChar w:fldCharType="begin"/>
            </w:r>
            <w:r w:rsidR="007560E0">
              <w:rPr>
                <w:webHidden/>
              </w:rPr>
              <w:instrText xml:space="preserve"> PAGEREF _Toc171511586 \h </w:instrText>
            </w:r>
            <w:r w:rsidR="007560E0">
              <w:rPr>
                <w:webHidden/>
              </w:rPr>
            </w:r>
            <w:r w:rsidR="007560E0">
              <w:rPr>
                <w:webHidden/>
              </w:rPr>
              <w:fldChar w:fldCharType="separate"/>
            </w:r>
            <w:r w:rsidR="006164A1">
              <w:rPr>
                <w:webHidden/>
              </w:rPr>
              <w:t>35</w:t>
            </w:r>
            <w:r w:rsidR="007560E0">
              <w:rPr>
                <w:webHidden/>
              </w:rPr>
              <w:fldChar w:fldCharType="end"/>
            </w:r>
          </w:hyperlink>
        </w:p>
        <w:p w14:paraId="4E9FEB75" w14:textId="24F8BA89" w:rsidR="007560E0" w:rsidRDefault="00C34B4B">
          <w:pPr>
            <w:pStyle w:val="TOC1"/>
            <w:rPr>
              <w:rFonts w:asciiTheme="minorHAnsi" w:hAnsiTheme="minorHAnsi" w:cstheme="minorBidi"/>
              <w:color w:val="auto"/>
              <w:kern w:val="2"/>
              <w:sz w:val="24"/>
              <w:szCs w:val="24"/>
              <w14:ligatures w14:val="standardContextual"/>
            </w:rPr>
          </w:pPr>
          <w:hyperlink w:anchor="_Toc171511587" w:history="1">
            <w:r w:rsidR="007560E0" w:rsidRPr="00B245B6">
              <w:rPr>
                <w:rStyle w:val="Hyperlink"/>
              </w:rPr>
              <w:t>References</w:t>
            </w:r>
            <w:r w:rsidR="007560E0">
              <w:rPr>
                <w:webHidden/>
              </w:rPr>
              <w:tab/>
            </w:r>
            <w:r w:rsidR="007560E0">
              <w:rPr>
                <w:webHidden/>
              </w:rPr>
              <w:fldChar w:fldCharType="begin"/>
            </w:r>
            <w:r w:rsidR="007560E0">
              <w:rPr>
                <w:webHidden/>
              </w:rPr>
              <w:instrText xml:space="preserve"> PAGEREF _Toc171511587 \h </w:instrText>
            </w:r>
            <w:r w:rsidR="007560E0">
              <w:rPr>
                <w:webHidden/>
              </w:rPr>
            </w:r>
            <w:r w:rsidR="007560E0">
              <w:rPr>
                <w:webHidden/>
              </w:rPr>
              <w:fldChar w:fldCharType="separate"/>
            </w:r>
            <w:r w:rsidR="006164A1">
              <w:rPr>
                <w:webHidden/>
              </w:rPr>
              <w:t>37</w:t>
            </w:r>
            <w:r w:rsidR="007560E0">
              <w:rPr>
                <w:webHidden/>
              </w:rPr>
              <w:fldChar w:fldCharType="end"/>
            </w:r>
          </w:hyperlink>
        </w:p>
        <w:p w14:paraId="6818D8DE" w14:textId="584418F7" w:rsidR="007560E0" w:rsidRDefault="00C34B4B">
          <w:pPr>
            <w:pStyle w:val="TOC1"/>
            <w:rPr>
              <w:rFonts w:asciiTheme="minorHAnsi" w:hAnsiTheme="minorHAnsi" w:cstheme="minorBidi"/>
              <w:color w:val="auto"/>
              <w:kern w:val="2"/>
              <w:sz w:val="24"/>
              <w:szCs w:val="24"/>
              <w14:ligatures w14:val="standardContextual"/>
            </w:rPr>
          </w:pPr>
          <w:hyperlink w:anchor="_Toc171511588" w:history="1">
            <w:r w:rsidR="007560E0" w:rsidRPr="00B245B6">
              <w:rPr>
                <w:rStyle w:val="Hyperlink"/>
              </w:rPr>
              <w:t>Appendix A: Equity Group Participation Rates, Table A Providers by State and Territory</w:t>
            </w:r>
            <w:r w:rsidR="007560E0">
              <w:rPr>
                <w:webHidden/>
              </w:rPr>
              <w:tab/>
            </w:r>
            <w:r w:rsidR="007560E0">
              <w:rPr>
                <w:webHidden/>
              </w:rPr>
              <w:fldChar w:fldCharType="begin"/>
            </w:r>
            <w:r w:rsidR="007560E0">
              <w:rPr>
                <w:webHidden/>
              </w:rPr>
              <w:instrText xml:space="preserve"> PAGEREF _Toc171511588 \h </w:instrText>
            </w:r>
            <w:r w:rsidR="007560E0">
              <w:rPr>
                <w:webHidden/>
              </w:rPr>
            </w:r>
            <w:r w:rsidR="007560E0">
              <w:rPr>
                <w:webHidden/>
              </w:rPr>
              <w:fldChar w:fldCharType="separate"/>
            </w:r>
            <w:r w:rsidR="006164A1">
              <w:rPr>
                <w:webHidden/>
              </w:rPr>
              <w:t>40</w:t>
            </w:r>
            <w:r w:rsidR="007560E0">
              <w:rPr>
                <w:webHidden/>
              </w:rPr>
              <w:fldChar w:fldCharType="end"/>
            </w:r>
          </w:hyperlink>
        </w:p>
        <w:p w14:paraId="1C44B609" w14:textId="7606E32C" w:rsidR="007560E0" w:rsidRDefault="00C34B4B">
          <w:pPr>
            <w:pStyle w:val="TOC1"/>
            <w:rPr>
              <w:rFonts w:asciiTheme="minorHAnsi" w:hAnsiTheme="minorHAnsi" w:cstheme="minorBidi"/>
              <w:color w:val="auto"/>
              <w:kern w:val="2"/>
              <w:sz w:val="24"/>
              <w:szCs w:val="24"/>
              <w14:ligatures w14:val="standardContextual"/>
            </w:rPr>
          </w:pPr>
          <w:hyperlink w:anchor="_Toc171511589" w:history="1">
            <w:r w:rsidR="007560E0" w:rsidRPr="00B245B6">
              <w:rPr>
                <w:rStyle w:val="Hyperlink"/>
              </w:rPr>
              <w:t>Appendix B: Equity Group Completion Rates, Table A Providers by State and Territory</w:t>
            </w:r>
            <w:r w:rsidR="007560E0">
              <w:rPr>
                <w:webHidden/>
              </w:rPr>
              <w:tab/>
            </w:r>
            <w:r w:rsidR="007560E0">
              <w:rPr>
                <w:webHidden/>
              </w:rPr>
              <w:fldChar w:fldCharType="begin"/>
            </w:r>
            <w:r w:rsidR="007560E0">
              <w:rPr>
                <w:webHidden/>
              </w:rPr>
              <w:instrText xml:space="preserve"> PAGEREF _Toc171511589 \h </w:instrText>
            </w:r>
            <w:r w:rsidR="007560E0">
              <w:rPr>
                <w:webHidden/>
              </w:rPr>
            </w:r>
            <w:r w:rsidR="007560E0">
              <w:rPr>
                <w:webHidden/>
              </w:rPr>
              <w:fldChar w:fldCharType="separate"/>
            </w:r>
            <w:r w:rsidR="006164A1">
              <w:rPr>
                <w:webHidden/>
              </w:rPr>
              <w:t>43</w:t>
            </w:r>
            <w:r w:rsidR="007560E0">
              <w:rPr>
                <w:webHidden/>
              </w:rPr>
              <w:fldChar w:fldCharType="end"/>
            </w:r>
          </w:hyperlink>
        </w:p>
        <w:p w14:paraId="372A5EA2" w14:textId="130834A4" w:rsidR="00A22F24" w:rsidRDefault="00D03BF8" w:rsidP="007B7B14">
          <w:r>
            <w:rPr>
              <w:rFonts w:eastAsiaTheme="minorEastAsia" w:cs="Arial"/>
              <w:noProof/>
              <w:szCs w:val="22"/>
              <w:lang w:eastAsia="en-AU"/>
            </w:rPr>
            <w:fldChar w:fldCharType="end"/>
          </w:r>
        </w:p>
      </w:sdtContent>
    </w:sdt>
    <w:p w14:paraId="1F2C585E" w14:textId="77777777" w:rsidR="009B2B7A" w:rsidRDefault="00C472C8">
      <w:pPr>
        <w:rPr>
          <w:lang w:val="en-US" w:eastAsia="ja-JP"/>
        </w:rPr>
        <w:sectPr w:rsidR="009B2B7A" w:rsidSect="002E40A8">
          <w:footerReference w:type="default" r:id="rId14"/>
          <w:pgSz w:w="11906" w:h="16838" w:code="9"/>
          <w:pgMar w:top="1440" w:right="1440" w:bottom="1440" w:left="1440" w:header="0" w:footer="624" w:gutter="0"/>
          <w:cols w:space="708"/>
          <w:titlePg/>
          <w:docGrid w:linePitch="360"/>
        </w:sectPr>
      </w:pPr>
      <w:r>
        <w:rPr>
          <w:lang w:val="en-US" w:eastAsia="ja-JP"/>
        </w:rPr>
        <w:br w:type="page"/>
      </w:r>
    </w:p>
    <w:p w14:paraId="70F9F4F9" w14:textId="4FB4A5F0" w:rsidR="002D13E9" w:rsidRDefault="002D13E9" w:rsidP="002D13E9">
      <w:pPr>
        <w:pStyle w:val="Heading1"/>
      </w:pPr>
      <w:bookmarkStart w:id="10" w:name="_Toc171511578"/>
      <w:bookmarkStart w:id="11" w:name="_Toc450307732"/>
      <w:r>
        <w:lastRenderedPageBreak/>
        <w:t>Notes to Reader</w:t>
      </w:r>
      <w:bookmarkEnd w:id="10"/>
      <w:r w:rsidR="002E40A8">
        <w:br/>
      </w:r>
    </w:p>
    <w:p w14:paraId="03C8C18A" w14:textId="64F439F9" w:rsidR="002E40A8" w:rsidRDefault="002E40A8" w:rsidP="004C41BD">
      <w:pPr>
        <w:pStyle w:val="ListParagraph"/>
        <w:numPr>
          <w:ilvl w:val="0"/>
          <w:numId w:val="46"/>
        </w:numPr>
      </w:pPr>
      <w:r>
        <w:t>This report is published by the Australian Centre for Student Equity and Success (ACSES), which was formerly the National Centre for Student Equity in Higher Education (NCSEHE).</w:t>
      </w:r>
      <w:r w:rsidR="005B2915">
        <w:t xml:space="preserve"> The change in name occurred in February 2024.</w:t>
      </w:r>
      <w:r>
        <w:t xml:space="preserve"> </w:t>
      </w:r>
      <w:r w:rsidR="007E7078">
        <w:t>T</w:t>
      </w:r>
      <w:r>
        <w:t>h</w:t>
      </w:r>
      <w:r w:rsidR="005B2915">
        <w:t>is</w:t>
      </w:r>
      <w:r>
        <w:t xml:space="preserve"> report was submitted </w:t>
      </w:r>
      <w:r w:rsidR="007E7078">
        <w:t>by</w:t>
      </w:r>
      <w:r>
        <w:t xml:space="preserve"> NCSEHE to the Australian Government Department of Education (the Department) in </w:t>
      </w:r>
      <w:r w:rsidR="00E458F0" w:rsidRPr="00E023C1">
        <w:t>October</w:t>
      </w:r>
      <w:r w:rsidRPr="00E023C1">
        <w:t xml:space="preserve"> 2023</w:t>
      </w:r>
      <w:r w:rsidR="005B2915">
        <w:t>. A public version of the report has been made available in July 2024</w:t>
      </w:r>
      <w:r w:rsidR="007E7078">
        <w:t xml:space="preserve"> under the ACSES name. </w:t>
      </w:r>
      <w:r w:rsidR="005B2915">
        <w:t>The report</w:t>
      </w:r>
      <w:r w:rsidR="007E7078">
        <w:t xml:space="preserve"> therefore refers to ACSES in most instances. </w:t>
      </w:r>
      <w:r w:rsidR="005B2915">
        <w:t xml:space="preserve">No other changes to the content of the report have been made since the report submission in </w:t>
      </w:r>
      <w:r w:rsidR="005B2915" w:rsidRPr="00E023C1">
        <w:t>October 2023</w:t>
      </w:r>
      <w:r w:rsidR="005B2915">
        <w:t>.</w:t>
      </w:r>
      <w:r w:rsidR="007E7078">
        <w:br/>
      </w:r>
    </w:p>
    <w:p w14:paraId="6FD50675" w14:textId="5DF09D40" w:rsidR="002D13E9" w:rsidRPr="002E40A8" w:rsidRDefault="002D13E9" w:rsidP="002D13E9">
      <w:pPr>
        <w:pStyle w:val="ListParagraph"/>
        <w:numPr>
          <w:ilvl w:val="0"/>
          <w:numId w:val="46"/>
        </w:numPr>
      </w:pPr>
      <w:r>
        <w:t xml:space="preserve">In </w:t>
      </w:r>
      <w:r w:rsidR="002E40A8">
        <w:t>this</w:t>
      </w:r>
      <w:r>
        <w:t xml:space="preserve"> ACSES report, we used the population reference values published by the Department for all equity groups, which includes the 2018 Survey of Disability Aging and Carers (SDAC) reference value for disability. ACSES queried the use of the reference value with the Department as students with disability would be participating at parity using this reference value.</w:t>
      </w:r>
      <w:r w:rsidR="002E40A8">
        <w:br/>
      </w:r>
      <w:r w:rsidR="002E40A8">
        <w:br/>
      </w:r>
      <w:r>
        <w:t>The SDAC reference value has been used in Australian higher education as a measure of the population with disability for at least 15 years, where it has been published along with participation rates. The SDAC reference value was used in the 2008 Bradley Review</w:t>
      </w:r>
      <w:r w:rsidR="00E458F0">
        <w:t xml:space="preserve"> (Bradley, 2008)</w:t>
      </w:r>
      <w:r>
        <w:t>.</w:t>
      </w:r>
      <w:r w:rsidR="002E40A8">
        <w:br/>
      </w:r>
      <w:r w:rsidR="002E40A8">
        <w:br/>
      </w:r>
      <w:r>
        <w:t xml:space="preserve">However, the SDAC reference value is limited as it excludes people with profound and severe core activity limitation, and the collection methods and questions differ between the Survey of Disability Aging and Carers and the university data collection </w:t>
      </w:r>
      <w:r w:rsidR="00E023C1">
        <w:t xml:space="preserve">and so </w:t>
      </w:r>
      <w:r>
        <w:t>might not be directly comparable.</w:t>
      </w:r>
      <w:r w:rsidR="002E40A8">
        <w:br/>
      </w:r>
      <w:r w:rsidR="002E40A8">
        <w:br/>
      </w:r>
      <w:r>
        <w:t>ACSES was asked to explain the limitations and issues with this data as part of the report that was provided to the Accord Panel. In th</w:t>
      </w:r>
      <w:r w:rsidR="00E458F0">
        <w:t>is</w:t>
      </w:r>
      <w:r>
        <w:t xml:space="preserve"> ACSES report, we made several references to the disability reference rate, along with a recommendation that ‘Consideration should be given to identifying a population reference value that is comparable to the disability definition used by institutions</w:t>
      </w:r>
      <w:r w:rsidR="00E458F0">
        <w:t>’ (see pages xvii and 36).</w:t>
      </w:r>
      <w:r>
        <w:br w:type="page"/>
      </w:r>
    </w:p>
    <w:p w14:paraId="34A11328" w14:textId="451C7583" w:rsidR="00B24FF8" w:rsidRPr="00C30F79" w:rsidRDefault="00B24FF8" w:rsidP="006559B6">
      <w:pPr>
        <w:pStyle w:val="Heading1"/>
      </w:pPr>
      <w:bookmarkStart w:id="12" w:name="_Toc171511579"/>
      <w:r w:rsidRPr="00C30F79">
        <w:lastRenderedPageBreak/>
        <w:t>Executive Summary</w:t>
      </w:r>
      <w:bookmarkEnd w:id="12"/>
    </w:p>
    <w:p w14:paraId="56128543" w14:textId="3478C775" w:rsidR="00884309" w:rsidRDefault="00B63AF9" w:rsidP="00884309">
      <w:r w:rsidRPr="005E00E0">
        <w:rPr>
          <w:highlight w:val="yellow"/>
        </w:rPr>
        <w:br/>
      </w:r>
      <w:r w:rsidR="00884309">
        <w:t xml:space="preserve">The </w:t>
      </w:r>
      <w:r w:rsidR="00BF077A">
        <w:t xml:space="preserve">Australian Universities Accord Review of Higher Education (“the </w:t>
      </w:r>
      <w:r w:rsidR="00884309">
        <w:t>Accord Panel</w:t>
      </w:r>
      <w:r w:rsidR="00BF077A">
        <w:t>”)</w:t>
      </w:r>
      <w:r w:rsidR="00884309">
        <w:t xml:space="preserve"> has indicated that it will consider parity targets for each </w:t>
      </w:r>
      <w:r w:rsidR="008A1F6F">
        <w:t xml:space="preserve">priority </w:t>
      </w:r>
      <w:r w:rsidR="00884309">
        <w:t>equity group</w:t>
      </w:r>
      <w:r w:rsidR="00581692">
        <w:t xml:space="preserve"> amongst Table A Provider institutions</w:t>
      </w:r>
      <w:r w:rsidR="00C15E08">
        <w:rPr>
          <w:rStyle w:val="FootnoteReference"/>
        </w:rPr>
        <w:footnoteReference w:id="2"/>
      </w:r>
      <w:r w:rsidR="00884309">
        <w:t xml:space="preserve">, whereby the representation of the group in </w:t>
      </w:r>
      <w:r w:rsidR="00884309" w:rsidRPr="00180541">
        <w:rPr>
          <w:b/>
          <w:bCs/>
        </w:rPr>
        <w:t>higher education</w:t>
      </w:r>
      <w:r w:rsidR="00884309">
        <w:t xml:space="preserve"> </w:t>
      </w:r>
      <w:r w:rsidR="00884309" w:rsidRPr="00180541">
        <w:rPr>
          <w:b/>
          <w:bCs/>
        </w:rPr>
        <w:t>undergraduate</w:t>
      </w:r>
      <w:r w:rsidR="00884309">
        <w:t xml:space="preserve"> </w:t>
      </w:r>
      <w:r w:rsidR="00884309" w:rsidRPr="00C32CF3">
        <w:rPr>
          <w:b/>
          <w:bCs/>
          <w:i/>
          <w:iCs/>
        </w:rPr>
        <w:t>participation</w:t>
      </w:r>
      <w:r w:rsidR="00884309" w:rsidRPr="00C32CF3">
        <w:rPr>
          <w:b/>
          <w:bCs/>
        </w:rPr>
        <w:t xml:space="preserve"> </w:t>
      </w:r>
      <w:r w:rsidR="00884309">
        <w:t xml:space="preserve">(undergraduate enrolment headcount) and </w:t>
      </w:r>
      <w:r w:rsidR="00884309" w:rsidRPr="00C32CF3">
        <w:rPr>
          <w:b/>
          <w:bCs/>
          <w:i/>
          <w:iCs/>
        </w:rPr>
        <w:t>completion</w:t>
      </w:r>
      <w:r w:rsidR="00884309" w:rsidRPr="00C32CF3">
        <w:rPr>
          <w:b/>
          <w:bCs/>
        </w:rPr>
        <w:t xml:space="preserve"> </w:t>
      </w:r>
      <w:r w:rsidR="00884309">
        <w:t xml:space="preserve">(headcount of </w:t>
      </w:r>
      <w:r w:rsidR="008A1F6F">
        <w:t>‘</w:t>
      </w:r>
      <w:r w:rsidR="00884309">
        <w:t>first-time</w:t>
      </w:r>
      <w:r w:rsidR="008A1F6F">
        <w:t>’</w:t>
      </w:r>
      <w:r w:rsidR="00884309">
        <w:t xml:space="preserve"> undergraduate completions) in a year is equal to that of their share of the Australian population aged 15 to 64 years. </w:t>
      </w:r>
    </w:p>
    <w:p w14:paraId="6D1EB2D6" w14:textId="7D623110" w:rsidR="00884309" w:rsidRDefault="00884309" w:rsidP="00884309">
      <w:r>
        <w:t xml:space="preserve">This </w:t>
      </w:r>
      <w:r w:rsidR="00BD26E9">
        <w:t xml:space="preserve">report </w:t>
      </w:r>
      <w:r>
        <w:t xml:space="preserve">outlines policy options for the Accord Panel in relation to </w:t>
      </w:r>
      <w:r>
        <w:rPr>
          <w:i/>
          <w:iCs/>
        </w:rPr>
        <w:t>parity</w:t>
      </w:r>
      <w:r>
        <w:t xml:space="preserve"> targets for four </w:t>
      </w:r>
      <w:r w:rsidR="008A1F6F">
        <w:t>priority</w:t>
      </w:r>
      <w:r w:rsidR="00056002">
        <w:t xml:space="preserve"> </w:t>
      </w:r>
      <w:r>
        <w:t>equity groups in Australian higher education:</w:t>
      </w:r>
    </w:p>
    <w:p w14:paraId="46222302" w14:textId="3C6DB570" w:rsidR="00AA5BC2" w:rsidRDefault="00AA5BC2" w:rsidP="00581958">
      <w:pPr>
        <w:pStyle w:val="ListParagraph"/>
        <w:numPr>
          <w:ilvl w:val="0"/>
          <w:numId w:val="23"/>
        </w:numPr>
      </w:pPr>
      <w:r>
        <w:t xml:space="preserve">People from </w:t>
      </w:r>
      <w:r w:rsidR="001650FE">
        <w:t>l</w:t>
      </w:r>
      <w:r w:rsidR="0063528E">
        <w:t xml:space="preserve">ow socio-economic status (low SES) </w:t>
      </w:r>
      <w:r w:rsidR="008F1872">
        <w:t>b</w:t>
      </w:r>
      <w:r>
        <w:t>ackgrounds (low SES students)</w:t>
      </w:r>
    </w:p>
    <w:p w14:paraId="26A5E788" w14:textId="40417641" w:rsidR="00AA5BC2" w:rsidRDefault="00AA5BC2" w:rsidP="00581958">
      <w:pPr>
        <w:pStyle w:val="ListParagraph"/>
        <w:numPr>
          <w:ilvl w:val="0"/>
          <w:numId w:val="23"/>
        </w:numPr>
      </w:pPr>
      <w:r>
        <w:t xml:space="preserve">People from </w:t>
      </w:r>
      <w:r w:rsidR="001650FE">
        <w:t>r</w:t>
      </w:r>
      <w:r>
        <w:t xml:space="preserve">ural and </w:t>
      </w:r>
      <w:r w:rsidR="001650FE">
        <w:t>i</w:t>
      </w:r>
      <w:r>
        <w:t>solated (</w:t>
      </w:r>
      <w:r w:rsidR="001650FE">
        <w:t>r</w:t>
      </w:r>
      <w:r>
        <w:t xml:space="preserve">emote) </w:t>
      </w:r>
      <w:r w:rsidR="001650FE">
        <w:t>a</w:t>
      </w:r>
      <w:r>
        <w:t>reas (regional/remote students)</w:t>
      </w:r>
    </w:p>
    <w:p w14:paraId="45B02426" w14:textId="77777777" w:rsidR="00AA5BC2" w:rsidRDefault="00AA5BC2" w:rsidP="00581958">
      <w:pPr>
        <w:pStyle w:val="ListParagraph"/>
        <w:numPr>
          <w:ilvl w:val="0"/>
          <w:numId w:val="23"/>
        </w:numPr>
      </w:pPr>
      <w:r>
        <w:t>First Nations (Aboriginal and Torres Strait Islander) Australians (First Nations students)</w:t>
      </w:r>
    </w:p>
    <w:p w14:paraId="1167942F" w14:textId="7FDCB29F" w:rsidR="00AA5BC2" w:rsidRDefault="00AA5BC2" w:rsidP="00581958">
      <w:pPr>
        <w:pStyle w:val="ListParagraph"/>
        <w:numPr>
          <w:ilvl w:val="0"/>
          <w:numId w:val="23"/>
        </w:numPr>
      </w:pPr>
      <w:r>
        <w:t xml:space="preserve">People with </w:t>
      </w:r>
      <w:r w:rsidR="001650FE">
        <w:t>d</w:t>
      </w:r>
      <w:r>
        <w:t xml:space="preserve">isability (students with disability) </w:t>
      </w:r>
    </w:p>
    <w:p w14:paraId="5E037820" w14:textId="0753EE28" w:rsidR="007C47E4" w:rsidRDefault="00884309" w:rsidP="00884309">
      <w:r>
        <w:t xml:space="preserve">The initial timeframe for meeting </w:t>
      </w:r>
      <w:r w:rsidR="008A1F6F">
        <w:t xml:space="preserve">parity </w:t>
      </w:r>
      <w:r>
        <w:t xml:space="preserve">targets is by 2035, with </w:t>
      </w:r>
      <w:r w:rsidR="00E31106">
        <w:t>a</w:t>
      </w:r>
      <w:r>
        <w:t xml:space="preserve"> further iteration of the analysis consider</w:t>
      </w:r>
      <w:r w:rsidR="00FF64AD">
        <w:t>ing</w:t>
      </w:r>
      <w:r>
        <w:t xml:space="preserve"> the impact of expanding the horizon to 2040 or 2050</w:t>
      </w:r>
      <w:r w:rsidR="00FF64AD">
        <w:t>.</w:t>
      </w:r>
      <w:r>
        <w:t xml:space="preserve"> </w:t>
      </w:r>
    </w:p>
    <w:p w14:paraId="640F3F7D" w14:textId="0D8A3809" w:rsidR="00C60E03" w:rsidRDefault="007C47E4" w:rsidP="00B0246A">
      <w:pPr>
        <w:pStyle w:val="Heading2"/>
      </w:pPr>
      <w:r w:rsidRPr="00B0246A">
        <w:t>Equity</w:t>
      </w:r>
      <w:r>
        <w:t xml:space="preserve"> Performance in Australian Higher Education </w:t>
      </w:r>
    </w:p>
    <w:p w14:paraId="4B6A475D" w14:textId="055FD9DF" w:rsidR="00E9419F" w:rsidRPr="00C60E03" w:rsidRDefault="00E9419F" w:rsidP="00581958">
      <w:pPr>
        <w:pStyle w:val="ListParagraph"/>
        <w:numPr>
          <w:ilvl w:val="0"/>
          <w:numId w:val="31"/>
        </w:numPr>
        <w:rPr>
          <w:b/>
          <w:bCs/>
        </w:rPr>
      </w:pPr>
      <w:r w:rsidRPr="00C60E03">
        <w:rPr>
          <w:b/>
          <w:bCs/>
        </w:rPr>
        <w:t>The Bradley Review Targets:</w:t>
      </w:r>
      <w:r>
        <w:t xml:space="preserve"> The</w:t>
      </w:r>
      <w:r w:rsidR="00DE1425">
        <w:t xml:space="preserve"> last major review of the </w:t>
      </w:r>
      <w:r w:rsidR="00FA56DC">
        <w:t>Australian higher education</w:t>
      </w:r>
      <w:r w:rsidR="00DE1425">
        <w:t>, the</w:t>
      </w:r>
      <w:r>
        <w:t xml:space="preserve"> 2008 Bradley Review</w:t>
      </w:r>
      <w:r w:rsidR="00DE1425">
        <w:t>,</w:t>
      </w:r>
      <w:r>
        <w:t xml:space="preserve"> examined measures to address the participation gap issue, including targets</w:t>
      </w:r>
      <w:r w:rsidR="00FA56DC">
        <w:t xml:space="preserve"> (Bradley, 2008)</w:t>
      </w:r>
      <w:r>
        <w:t xml:space="preserve">. The Review placed educational attainment and equity at the centre of </w:t>
      </w:r>
      <w:r w:rsidR="00C25417">
        <w:t xml:space="preserve">target-setting </w:t>
      </w:r>
      <w:r>
        <w:t>policy in Australia, notably with the eventual identification of two key targets by 2020:</w:t>
      </w:r>
    </w:p>
    <w:p w14:paraId="47409021" w14:textId="77777777" w:rsidR="00E9419F" w:rsidRDefault="00E9419F" w:rsidP="00581958">
      <w:pPr>
        <w:pStyle w:val="ListParagraph"/>
        <w:numPr>
          <w:ilvl w:val="0"/>
          <w:numId w:val="24"/>
        </w:numPr>
      </w:pPr>
      <w:r>
        <w:rPr>
          <w:b/>
          <w:bCs/>
        </w:rPr>
        <w:t>Attainment target:</w:t>
      </w:r>
      <w:r>
        <w:t xml:space="preserve"> 40% of 25- to 34-year-olds to have attained a bachelor’s qualification or higher. In 2010, this figure was closer to 32%. </w:t>
      </w:r>
    </w:p>
    <w:p w14:paraId="07985A7E" w14:textId="77777777" w:rsidR="00B6300C" w:rsidRDefault="00E9419F" w:rsidP="00581958">
      <w:pPr>
        <w:pStyle w:val="ListParagraph"/>
        <w:numPr>
          <w:ilvl w:val="0"/>
          <w:numId w:val="24"/>
        </w:numPr>
      </w:pPr>
      <w:r>
        <w:rPr>
          <w:b/>
          <w:bCs/>
        </w:rPr>
        <w:t>Enrolment target:</w:t>
      </w:r>
      <w:r>
        <w:t xml:space="preserve"> Students from low socio-economic (low SES) backgrounds to account for 20% of undergraduate domestic enrolment. In 2010, this figure was closer to 16.5%.  </w:t>
      </w:r>
    </w:p>
    <w:p w14:paraId="25C11BF2" w14:textId="0A947AED" w:rsidR="00F871C4" w:rsidRDefault="00B6300C" w:rsidP="00B0246A">
      <w:pPr>
        <w:spacing w:before="100" w:after="200"/>
        <w:ind w:left="709"/>
      </w:pPr>
      <w:r>
        <w:lastRenderedPageBreak/>
        <w:t>These twin goals underpinned the challenge facing the system in 2010, namely, to increase the low SES share of enrolment, and equity participation more generally, at the same time as overall university participation was increasing.</w:t>
      </w:r>
    </w:p>
    <w:p w14:paraId="17789009" w14:textId="7A68A44D" w:rsidR="009E0412" w:rsidRPr="00B0246A" w:rsidRDefault="00605070" w:rsidP="00B0246A">
      <w:pPr>
        <w:pStyle w:val="ListParagraph"/>
        <w:numPr>
          <w:ilvl w:val="0"/>
          <w:numId w:val="31"/>
        </w:numPr>
        <w:rPr>
          <w:b/>
          <w:bCs/>
        </w:rPr>
      </w:pPr>
      <w:r w:rsidRPr="00F871C4">
        <w:rPr>
          <w:b/>
          <w:bCs/>
        </w:rPr>
        <w:t xml:space="preserve">The Demand Driven System and Equity: </w:t>
      </w:r>
      <w:r w:rsidR="009E0412">
        <w:t xml:space="preserve">Bradley’s recommendations, and the Rudd </w:t>
      </w:r>
      <w:r w:rsidR="00FA56DC">
        <w:t xml:space="preserve">Labor </w:t>
      </w:r>
      <w:r w:rsidR="009E0412">
        <w:t xml:space="preserve">Government’s 2009 response – </w:t>
      </w:r>
      <w:r w:rsidR="009E0412" w:rsidRPr="00F871C4">
        <w:rPr>
          <w:i/>
          <w:iCs/>
        </w:rPr>
        <w:t>Transforming Australia’s Higher Education System</w:t>
      </w:r>
      <w:r w:rsidR="009E0412">
        <w:t xml:space="preserve"> (DEEWR, 2009) – resulted in the introduction of key initiatives to support the ambitious targets established by the Review. This was led by the introduction of the Demand Driven System (DDS) for undergraduate places over 2010-11, which provided funding for Commonwealth Supported Places (CSPs) for non-medical courses at universities, based on institutions meeting demand from students.</w:t>
      </w:r>
      <w:r w:rsidR="00E35206">
        <w:t xml:space="preserve"> </w:t>
      </w:r>
      <w:r w:rsidR="00432A0D">
        <w:t xml:space="preserve">This occurred alongside measures to widen equity student participation, </w:t>
      </w:r>
      <w:r w:rsidR="00432A0D" w:rsidDel="00A836F2">
        <w:t xml:space="preserve">such as the </w:t>
      </w:r>
      <w:r w:rsidR="00432A0D">
        <w:t xml:space="preserve">introduction of the Higher Education Participation and Partnerships Program (HEPPP).  </w:t>
      </w:r>
      <w:r w:rsidR="00B0246A">
        <w:br/>
      </w:r>
      <w:r w:rsidR="00B0246A">
        <w:br/>
      </w:r>
      <w:r w:rsidR="009E0412">
        <w:t xml:space="preserve">The post-Bradley Review era (2008 to 2021), including the seven years of the DDS, saw domestic undergraduate enrolments expand by 47.3%, or 251,716 additional students, as outlined in Table </w:t>
      </w:r>
      <w:r w:rsidR="00E35206">
        <w:t>A</w:t>
      </w:r>
      <w:r w:rsidR="009E0412">
        <w:t xml:space="preserve">. </w:t>
      </w:r>
    </w:p>
    <w:p w14:paraId="073A727A" w14:textId="7B72AE82" w:rsidR="009E0412" w:rsidRPr="008226BC" w:rsidRDefault="009E0412" w:rsidP="00D943E4">
      <w:pPr>
        <w:spacing w:line="240" w:lineRule="auto"/>
        <w:ind w:left="720"/>
        <w:rPr>
          <w:b/>
          <w:bCs/>
          <w:sz w:val="18"/>
          <w:szCs w:val="18"/>
        </w:rPr>
      </w:pPr>
      <w:r>
        <w:rPr>
          <w:rFonts w:cstheme="minorHAnsi"/>
          <w:b/>
          <w:bCs/>
          <w:color w:val="000000"/>
          <w:sz w:val="18"/>
          <w:szCs w:val="18"/>
          <w:lang w:eastAsia="en-AU"/>
        </w:rPr>
        <w:br/>
      </w:r>
      <w:r w:rsidRPr="008226BC">
        <w:rPr>
          <w:rFonts w:cstheme="minorHAnsi"/>
          <w:b/>
          <w:bCs/>
          <w:color w:val="000000"/>
          <w:sz w:val="18"/>
          <w:szCs w:val="18"/>
          <w:lang w:eastAsia="en-AU"/>
        </w:rPr>
        <w:t xml:space="preserve">Table </w:t>
      </w:r>
      <w:r w:rsidR="00E35206">
        <w:rPr>
          <w:rFonts w:cstheme="minorHAnsi"/>
          <w:b/>
          <w:bCs/>
          <w:color w:val="000000"/>
          <w:sz w:val="18"/>
          <w:szCs w:val="18"/>
          <w:lang w:eastAsia="en-AU"/>
        </w:rPr>
        <w:t>A</w:t>
      </w:r>
      <w:r w:rsidRPr="008226BC">
        <w:rPr>
          <w:rFonts w:cstheme="minorHAnsi"/>
          <w:b/>
          <w:bCs/>
          <w:color w:val="000000"/>
          <w:sz w:val="18"/>
          <w:szCs w:val="18"/>
          <w:lang w:eastAsia="en-AU"/>
        </w:rPr>
        <w:t xml:space="preserve">: </w:t>
      </w:r>
      <w:r w:rsidRPr="008226BC">
        <w:rPr>
          <w:rFonts w:cstheme="minorHAnsi"/>
          <w:color w:val="000000"/>
          <w:sz w:val="18"/>
          <w:szCs w:val="18"/>
          <w:lang w:eastAsia="en-AU"/>
        </w:rPr>
        <w:t xml:space="preserve">Domestic Undergraduate Enrolments, Australia 2008 </w:t>
      </w:r>
      <w:r>
        <w:rPr>
          <w:rFonts w:cstheme="minorHAnsi"/>
          <w:color w:val="000000"/>
          <w:sz w:val="18"/>
          <w:szCs w:val="18"/>
          <w:lang w:eastAsia="en-AU"/>
        </w:rPr>
        <w:t>and</w:t>
      </w:r>
      <w:r w:rsidRPr="008226BC">
        <w:rPr>
          <w:rFonts w:cstheme="minorHAnsi"/>
          <w:color w:val="000000"/>
          <w:sz w:val="18"/>
          <w:szCs w:val="18"/>
          <w:lang w:eastAsia="en-AU"/>
        </w:rPr>
        <w:t xml:space="preserve"> 2021</w:t>
      </w:r>
      <w:r>
        <w:rPr>
          <w:rFonts w:cstheme="minorHAnsi"/>
          <w:color w:val="000000"/>
          <w:sz w:val="18"/>
          <w:szCs w:val="18"/>
          <w:lang w:eastAsia="en-AU"/>
        </w:rPr>
        <w:t>, Growth %</w:t>
      </w:r>
    </w:p>
    <w:tbl>
      <w:tblPr>
        <w:tblW w:w="92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5"/>
        <w:gridCol w:w="1134"/>
        <w:gridCol w:w="1276"/>
        <w:gridCol w:w="992"/>
        <w:gridCol w:w="1418"/>
        <w:gridCol w:w="1138"/>
      </w:tblGrid>
      <w:tr w:rsidR="00193DA5" w14:paraId="3DE8209A" w14:textId="77777777" w:rsidTr="00F43DD4">
        <w:trPr>
          <w:trHeight w:val="2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6778D" w14:textId="77777777" w:rsidR="009E0412" w:rsidRPr="008226BC" w:rsidRDefault="009E0412" w:rsidP="00164085">
            <w:pPr>
              <w:rPr>
                <w:rFonts w:cs="Arial"/>
                <w:b/>
                <w:bCs/>
                <w:color w:val="EDE8E0" w:themeColor="background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72655621" w14:textId="77777777" w:rsidR="009E0412" w:rsidRPr="00F43DD4" w:rsidRDefault="009E0412" w:rsidP="00164085">
            <w:pPr>
              <w:spacing w:after="0" w:line="240" w:lineRule="auto"/>
              <w:jc w:val="center"/>
              <w:rPr>
                <w:rFonts w:cs="Arial"/>
                <w:b/>
                <w:bCs/>
                <w:color w:val="FFFFFF"/>
                <w:sz w:val="18"/>
                <w:szCs w:val="18"/>
                <w:lang w:eastAsia="en-AU"/>
              </w:rPr>
            </w:pPr>
            <w:r w:rsidRPr="00F43DD4">
              <w:rPr>
                <w:rFonts w:cs="Arial"/>
                <w:b/>
                <w:bCs/>
                <w:color w:val="FFFFFF"/>
                <w:sz w:val="18"/>
                <w:szCs w:val="18"/>
              </w:rPr>
              <w:t>2008</w:t>
            </w:r>
          </w:p>
        </w:tc>
        <w:tc>
          <w:tcPr>
            <w:tcW w:w="1134"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34A61E22" w14:textId="77777777" w:rsidR="009E0412" w:rsidRPr="00F43DD4" w:rsidRDefault="009E0412" w:rsidP="00164085">
            <w:pPr>
              <w:spacing w:after="0" w:line="240" w:lineRule="auto"/>
              <w:jc w:val="center"/>
              <w:rPr>
                <w:rFonts w:cs="Arial"/>
                <w:b/>
                <w:bCs/>
                <w:color w:val="FFFFFF"/>
                <w:sz w:val="18"/>
                <w:szCs w:val="18"/>
                <w:lang w:eastAsia="en-AU"/>
              </w:rPr>
            </w:pPr>
            <w:r w:rsidRPr="00F43DD4">
              <w:rPr>
                <w:rFonts w:cs="Arial"/>
                <w:b/>
                <w:bCs/>
                <w:color w:val="FFFFFF"/>
                <w:sz w:val="18"/>
                <w:szCs w:val="18"/>
              </w:rPr>
              <w:t>Share (%)</w:t>
            </w:r>
          </w:p>
        </w:tc>
        <w:tc>
          <w:tcPr>
            <w:tcW w:w="1276"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63DED8CA" w14:textId="77777777" w:rsidR="009E0412" w:rsidRPr="00F43DD4" w:rsidRDefault="009E0412" w:rsidP="00164085">
            <w:pPr>
              <w:spacing w:after="0" w:line="240" w:lineRule="auto"/>
              <w:jc w:val="center"/>
              <w:rPr>
                <w:rFonts w:cs="Arial"/>
                <w:b/>
                <w:bCs/>
                <w:color w:val="FFFFFF"/>
                <w:sz w:val="18"/>
                <w:szCs w:val="18"/>
                <w:lang w:eastAsia="en-AU"/>
              </w:rPr>
            </w:pPr>
            <w:r w:rsidRPr="00F43DD4">
              <w:rPr>
                <w:rFonts w:cs="Arial"/>
                <w:b/>
                <w:bCs/>
                <w:color w:val="FFFFFF"/>
                <w:sz w:val="18"/>
                <w:szCs w:val="18"/>
              </w:rPr>
              <w:t>2021</w:t>
            </w:r>
          </w:p>
        </w:tc>
        <w:tc>
          <w:tcPr>
            <w:tcW w:w="992"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772FA06F" w14:textId="77777777" w:rsidR="009E0412" w:rsidRPr="00F43DD4" w:rsidRDefault="009E0412" w:rsidP="00164085">
            <w:pPr>
              <w:spacing w:after="0" w:line="240" w:lineRule="auto"/>
              <w:jc w:val="center"/>
              <w:rPr>
                <w:rFonts w:cs="Arial"/>
                <w:b/>
                <w:bCs/>
                <w:color w:val="FFFFFF"/>
                <w:sz w:val="18"/>
                <w:szCs w:val="18"/>
                <w:lang w:eastAsia="en-AU"/>
              </w:rPr>
            </w:pPr>
            <w:r w:rsidRPr="00F43DD4">
              <w:rPr>
                <w:rFonts w:cs="Arial"/>
                <w:b/>
                <w:bCs/>
                <w:color w:val="FFFFFF"/>
                <w:sz w:val="18"/>
                <w:szCs w:val="18"/>
              </w:rPr>
              <w:t>Share (%)</w:t>
            </w:r>
          </w:p>
        </w:tc>
        <w:tc>
          <w:tcPr>
            <w:tcW w:w="1418" w:type="dxa"/>
            <w:tcBorders>
              <w:top w:val="single" w:sz="4" w:space="0" w:color="auto"/>
              <w:left w:val="single" w:sz="4" w:space="0" w:color="auto"/>
              <w:bottom w:val="single" w:sz="4" w:space="0" w:color="auto"/>
              <w:right w:val="single" w:sz="4" w:space="0" w:color="auto"/>
            </w:tcBorders>
            <w:shd w:val="clear" w:color="auto" w:fill="6B3B57"/>
            <w:vAlign w:val="center"/>
          </w:tcPr>
          <w:p w14:paraId="792AC778" w14:textId="77777777" w:rsidR="009E0412" w:rsidRPr="00F43DD4" w:rsidRDefault="009E0412" w:rsidP="00164085">
            <w:pPr>
              <w:spacing w:after="0" w:line="240" w:lineRule="auto"/>
              <w:jc w:val="center"/>
              <w:rPr>
                <w:rFonts w:cs="Arial"/>
                <w:b/>
                <w:bCs/>
                <w:color w:val="FFFFFF"/>
                <w:sz w:val="18"/>
                <w:szCs w:val="18"/>
              </w:rPr>
            </w:pPr>
            <w:r w:rsidRPr="00F43DD4">
              <w:rPr>
                <w:rFonts w:cs="Arial"/>
                <w:b/>
                <w:bCs/>
                <w:color w:val="FFFFFF"/>
                <w:sz w:val="18"/>
                <w:szCs w:val="18"/>
              </w:rPr>
              <w:t>2008 to 2021</w:t>
            </w:r>
            <w:r w:rsidRPr="00F43DD4">
              <w:rPr>
                <w:rFonts w:cs="Arial"/>
                <w:b/>
                <w:bCs/>
                <w:color w:val="FFFFFF"/>
                <w:sz w:val="18"/>
                <w:szCs w:val="18"/>
              </w:rPr>
              <w:br/>
              <w:t>Growth (%)</w:t>
            </w:r>
          </w:p>
        </w:tc>
        <w:tc>
          <w:tcPr>
            <w:tcW w:w="1138" w:type="dxa"/>
            <w:tcBorders>
              <w:top w:val="single" w:sz="4" w:space="0" w:color="auto"/>
              <w:left w:val="single" w:sz="4" w:space="0" w:color="auto"/>
              <w:bottom w:val="single" w:sz="4" w:space="0" w:color="auto"/>
              <w:right w:val="single" w:sz="4" w:space="0" w:color="auto"/>
            </w:tcBorders>
            <w:shd w:val="clear" w:color="auto" w:fill="6B3B57"/>
          </w:tcPr>
          <w:p w14:paraId="79333E40" w14:textId="77777777" w:rsidR="009E0412" w:rsidRPr="00F43DD4" w:rsidRDefault="009E0412" w:rsidP="00164085">
            <w:pPr>
              <w:spacing w:after="0" w:line="240" w:lineRule="auto"/>
              <w:jc w:val="center"/>
              <w:rPr>
                <w:rFonts w:cs="Arial"/>
                <w:b/>
                <w:bCs/>
                <w:color w:val="FFFFFF"/>
                <w:sz w:val="18"/>
                <w:szCs w:val="18"/>
              </w:rPr>
            </w:pPr>
            <w:r w:rsidRPr="00F43DD4">
              <w:rPr>
                <w:rFonts w:cs="Arial"/>
                <w:b/>
                <w:bCs/>
                <w:color w:val="FFFFFF"/>
                <w:sz w:val="18"/>
                <w:szCs w:val="18"/>
              </w:rPr>
              <w:t>Share of Growth (%)</w:t>
            </w:r>
          </w:p>
        </w:tc>
      </w:tr>
      <w:tr w:rsidR="00D943E4" w14:paraId="37C70BB2"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tcPr>
          <w:p w14:paraId="0D377776" w14:textId="77777777" w:rsidR="009E0412" w:rsidRPr="008226BC" w:rsidRDefault="009E0412" w:rsidP="00164085">
            <w:pPr>
              <w:spacing w:after="0" w:line="240" w:lineRule="auto"/>
              <w:rPr>
                <w:rFonts w:cs="Arial"/>
                <w:color w:val="000000"/>
                <w:sz w:val="18"/>
                <w:szCs w:val="18"/>
                <w:lang w:eastAsia="en-AU"/>
              </w:rPr>
            </w:pPr>
            <w:r w:rsidRPr="008226BC">
              <w:rPr>
                <w:rFonts w:cs="Arial"/>
                <w:b/>
                <w:bCs/>
                <w:color w:val="000000"/>
                <w:sz w:val="18"/>
                <w:szCs w:val="18"/>
                <w:lang w:eastAsia="en-AU"/>
              </w:rPr>
              <w:t>Undergraduates</w:t>
            </w:r>
          </w:p>
        </w:tc>
        <w:tc>
          <w:tcPr>
            <w:tcW w:w="1275" w:type="dxa"/>
            <w:tcBorders>
              <w:top w:val="single" w:sz="4" w:space="0" w:color="auto"/>
              <w:left w:val="single" w:sz="4" w:space="0" w:color="auto"/>
              <w:bottom w:val="single" w:sz="4" w:space="0" w:color="auto"/>
              <w:right w:val="single" w:sz="4" w:space="0" w:color="auto"/>
            </w:tcBorders>
            <w:noWrap/>
            <w:vAlign w:val="center"/>
          </w:tcPr>
          <w:p w14:paraId="23EE903C" w14:textId="77777777" w:rsidR="009E0412" w:rsidRPr="008226BC" w:rsidRDefault="009E0412" w:rsidP="00164085">
            <w:pPr>
              <w:spacing w:after="0" w:line="240" w:lineRule="auto"/>
              <w:ind w:right="201"/>
              <w:jc w:val="right"/>
              <w:rPr>
                <w:rFonts w:cs="Arial"/>
                <w:sz w:val="18"/>
                <w:szCs w:val="18"/>
              </w:rPr>
            </w:pPr>
            <w:r w:rsidRPr="008226BC">
              <w:rPr>
                <w:rFonts w:cs="Arial"/>
                <w:b/>
                <w:bCs/>
                <w:sz w:val="18"/>
                <w:szCs w:val="18"/>
              </w:rPr>
              <w:t>532,503</w:t>
            </w:r>
          </w:p>
        </w:tc>
        <w:tc>
          <w:tcPr>
            <w:tcW w:w="1134" w:type="dxa"/>
            <w:tcBorders>
              <w:top w:val="single" w:sz="4" w:space="0" w:color="auto"/>
              <w:left w:val="single" w:sz="4" w:space="0" w:color="auto"/>
              <w:bottom w:val="single" w:sz="4" w:space="0" w:color="auto"/>
              <w:right w:val="single" w:sz="4" w:space="0" w:color="auto"/>
            </w:tcBorders>
            <w:noWrap/>
            <w:vAlign w:val="center"/>
          </w:tcPr>
          <w:p w14:paraId="12200147" w14:textId="77777777" w:rsidR="009E0412" w:rsidRPr="008226BC" w:rsidRDefault="009E0412" w:rsidP="00164085">
            <w:pPr>
              <w:spacing w:after="0" w:line="240" w:lineRule="auto"/>
              <w:ind w:right="201"/>
              <w:jc w:val="right"/>
              <w:rPr>
                <w:rFonts w:cs="Arial"/>
                <w:sz w:val="18"/>
                <w:szCs w:val="18"/>
              </w:rPr>
            </w:pPr>
            <w:r w:rsidRPr="008226BC">
              <w:rPr>
                <w:rFonts w:cs="Arial"/>
                <w:b/>
                <w:bCs/>
                <w:sz w:val="18"/>
                <w:szCs w:val="18"/>
              </w:rPr>
              <w:t>100.0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70DDAC19" w14:textId="77777777" w:rsidR="009E0412" w:rsidRPr="008226BC" w:rsidRDefault="009E0412" w:rsidP="00164085">
            <w:pPr>
              <w:spacing w:after="0" w:line="240" w:lineRule="auto"/>
              <w:ind w:right="201"/>
              <w:jc w:val="right"/>
              <w:rPr>
                <w:rFonts w:cs="Arial"/>
                <w:sz w:val="18"/>
                <w:szCs w:val="18"/>
              </w:rPr>
            </w:pPr>
            <w:r w:rsidRPr="008226BC">
              <w:rPr>
                <w:rFonts w:cs="Arial"/>
                <w:b/>
                <w:bCs/>
                <w:sz w:val="18"/>
                <w:szCs w:val="18"/>
              </w:rPr>
              <w:t>784,219</w:t>
            </w:r>
          </w:p>
        </w:tc>
        <w:tc>
          <w:tcPr>
            <w:tcW w:w="992" w:type="dxa"/>
            <w:tcBorders>
              <w:top w:val="single" w:sz="4" w:space="0" w:color="auto"/>
              <w:left w:val="single" w:sz="4" w:space="0" w:color="auto"/>
              <w:bottom w:val="single" w:sz="4" w:space="0" w:color="auto"/>
              <w:right w:val="single" w:sz="4" w:space="0" w:color="auto"/>
            </w:tcBorders>
            <w:noWrap/>
            <w:vAlign w:val="center"/>
          </w:tcPr>
          <w:p w14:paraId="03203AD7" w14:textId="77777777" w:rsidR="009E0412" w:rsidRPr="008226BC" w:rsidRDefault="009E0412" w:rsidP="00164085">
            <w:pPr>
              <w:spacing w:after="0" w:line="240" w:lineRule="auto"/>
              <w:ind w:right="201"/>
              <w:jc w:val="right"/>
              <w:rPr>
                <w:rFonts w:cs="Arial"/>
                <w:sz w:val="18"/>
                <w:szCs w:val="18"/>
              </w:rPr>
            </w:pPr>
            <w:r w:rsidRPr="008226BC">
              <w:rPr>
                <w:rFonts w:cs="Arial"/>
                <w:b/>
                <w:bCs/>
                <w:sz w:val="18"/>
                <w:szCs w:val="18"/>
              </w:rPr>
              <w:t>100.0</w:t>
            </w:r>
          </w:p>
        </w:tc>
        <w:tc>
          <w:tcPr>
            <w:tcW w:w="1418" w:type="dxa"/>
            <w:tcBorders>
              <w:top w:val="single" w:sz="4" w:space="0" w:color="auto"/>
              <w:left w:val="single" w:sz="4" w:space="0" w:color="auto"/>
              <w:bottom w:val="single" w:sz="4" w:space="0" w:color="auto"/>
              <w:right w:val="single" w:sz="4" w:space="0" w:color="auto"/>
            </w:tcBorders>
            <w:vAlign w:val="center"/>
          </w:tcPr>
          <w:p w14:paraId="067DF20C" w14:textId="77777777" w:rsidR="009E0412" w:rsidRPr="008226BC" w:rsidRDefault="009E0412" w:rsidP="00164085">
            <w:pPr>
              <w:spacing w:after="0" w:line="240" w:lineRule="auto"/>
              <w:ind w:right="456"/>
              <w:jc w:val="right"/>
              <w:rPr>
                <w:rFonts w:cs="Arial"/>
                <w:sz w:val="18"/>
                <w:szCs w:val="18"/>
              </w:rPr>
            </w:pPr>
            <w:r w:rsidRPr="008226BC">
              <w:rPr>
                <w:rFonts w:cs="Arial"/>
                <w:b/>
                <w:bCs/>
                <w:sz w:val="18"/>
                <w:szCs w:val="18"/>
              </w:rPr>
              <w:t>47.3</w:t>
            </w:r>
          </w:p>
        </w:tc>
        <w:tc>
          <w:tcPr>
            <w:tcW w:w="1138" w:type="dxa"/>
            <w:tcBorders>
              <w:top w:val="single" w:sz="4" w:space="0" w:color="auto"/>
              <w:left w:val="single" w:sz="4" w:space="0" w:color="auto"/>
              <w:bottom w:val="single" w:sz="4" w:space="0" w:color="auto"/>
              <w:right w:val="single" w:sz="4" w:space="0" w:color="auto"/>
            </w:tcBorders>
          </w:tcPr>
          <w:p w14:paraId="28BB62B9" w14:textId="77777777" w:rsidR="009E0412" w:rsidRPr="008226BC" w:rsidRDefault="009E0412" w:rsidP="00164085">
            <w:pPr>
              <w:spacing w:after="0" w:line="240" w:lineRule="auto"/>
              <w:ind w:right="456"/>
              <w:jc w:val="right"/>
              <w:rPr>
                <w:rFonts w:cs="Arial"/>
                <w:b/>
                <w:bCs/>
                <w:sz w:val="18"/>
                <w:szCs w:val="18"/>
              </w:rPr>
            </w:pPr>
            <w:r>
              <w:rPr>
                <w:rFonts w:cs="Arial"/>
                <w:b/>
                <w:bCs/>
                <w:sz w:val="18"/>
                <w:szCs w:val="18"/>
              </w:rPr>
              <w:t>-</w:t>
            </w:r>
          </w:p>
        </w:tc>
      </w:tr>
      <w:tr w:rsidR="00D943E4" w14:paraId="6CCCBDC0"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A18749B" w14:textId="77777777" w:rsidR="009E0412" w:rsidRPr="008226BC" w:rsidRDefault="009E0412" w:rsidP="00164085">
            <w:pPr>
              <w:spacing w:after="0" w:line="240" w:lineRule="auto"/>
              <w:rPr>
                <w:rFonts w:cs="Arial"/>
                <w:color w:val="000000"/>
                <w:sz w:val="18"/>
                <w:szCs w:val="18"/>
                <w:lang w:eastAsia="en-AU"/>
              </w:rPr>
            </w:pPr>
            <w:r w:rsidRPr="008226BC">
              <w:rPr>
                <w:rFonts w:cs="Arial"/>
                <w:color w:val="000000"/>
                <w:sz w:val="18"/>
                <w:szCs w:val="18"/>
                <w:lang w:eastAsia="en-AU"/>
              </w:rPr>
              <w:t xml:space="preserve">Low SES </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73E44A9"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86,561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ADCE5E1"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16.3</w:t>
            </w:r>
          </w:p>
        </w:tc>
        <w:tc>
          <w:tcPr>
            <w:tcW w:w="1276" w:type="dxa"/>
            <w:tcBorders>
              <w:top w:val="single" w:sz="4" w:space="0" w:color="auto"/>
              <w:left w:val="single" w:sz="4" w:space="0" w:color="auto"/>
              <w:bottom w:val="single" w:sz="4" w:space="0" w:color="auto"/>
              <w:right w:val="single" w:sz="4" w:space="0" w:color="auto"/>
            </w:tcBorders>
            <w:noWrap/>
            <w:hideMark/>
          </w:tcPr>
          <w:p w14:paraId="476BC473"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sz w:val="18"/>
                <w:szCs w:val="18"/>
              </w:rPr>
              <w:t xml:space="preserve"> 13</w:t>
            </w:r>
            <w:r>
              <w:rPr>
                <w:sz w:val="18"/>
                <w:szCs w:val="18"/>
              </w:rPr>
              <w:t>3</w:t>
            </w:r>
            <w:r w:rsidRPr="008226BC">
              <w:rPr>
                <w:sz w:val="18"/>
                <w:szCs w:val="18"/>
              </w:rPr>
              <w:t>,</w:t>
            </w:r>
            <w:r>
              <w:rPr>
                <w:sz w:val="18"/>
                <w:szCs w:val="18"/>
              </w:rPr>
              <w:t>901</w:t>
            </w:r>
            <w:r w:rsidRPr="008226BC">
              <w:rPr>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5C5635" w14:textId="77777777" w:rsidR="009E0412" w:rsidRPr="008226BC" w:rsidRDefault="009E0412" w:rsidP="00164085">
            <w:pPr>
              <w:spacing w:after="0" w:line="240" w:lineRule="auto"/>
              <w:ind w:right="201"/>
              <w:jc w:val="right"/>
              <w:rPr>
                <w:rFonts w:cs="Arial"/>
                <w:color w:val="000000"/>
                <w:sz w:val="18"/>
                <w:szCs w:val="18"/>
                <w:lang w:eastAsia="en-AU"/>
              </w:rPr>
            </w:pPr>
            <w:r>
              <w:rPr>
                <w:rFonts w:cs="Arial"/>
                <w:sz w:val="18"/>
                <w:szCs w:val="18"/>
              </w:rPr>
              <w:t>17.1</w:t>
            </w:r>
          </w:p>
        </w:tc>
        <w:tc>
          <w:tcPr>
            <w:tcW w:w="1418" w:type="dxa"/>
            <w:tcBorders>
              <w:top w:val="single" w:sz="4" w:space="0" w:color="auto"/>
              <w:left w:val="single" w:sz="4" w:space="0" w:color="auto"/>
              <w:bottom w:val="single" w:sz="4" w:space="0" w:color="auto"/>
              <w:right w:val="single" w:sz="4" w:space="0" w:color="auto"/>
            </w:tcBorders>
            <w:vAlign w:val="center"/>
          </w:tcPr>
          <w:p w14:paraId="4D63EE58" w14:textId="77777777" w:rsidR="009E0412" w:rsidRPr="008226BC" w:rsidRDefault="009E0412" w:rsidP="00164085">
            <w:pPr>
              <w:spacing w:after="0" w:line="240" w:lineRule="auto"/>
              <w:ind w:right="456"/>
              <w:jc w:val="right"/>
              <w:rPr>
                <w:rFonts w:cs="Arial"/>
                <w:sz w:val="18"/>
                <w:szCs w:val="18"/>
              </w:rPr>
            </w:pPr>
            <w:r w:rsidRPr="008226BC">
              <w:rPr>
                <w:rFonts w:cs="Arial"/>
                <w:sz w:val="18"/>
                <w:szCs w:val="18"/>
              </w:rPr>
              <w:t>5</w:t>
            </w:r>
            <w:r>
              <w:rPr>
                <w:rFonts w:cs="Arial"/>
                <w:sz w:val="18"/>
                <w:szCs w:val="18"/>
              </w:rPr>
              <w:t>4</w:t>
            </w:r>
            <w:r w:rsidRPr="008226BC">
              <w:rPr>
                <w:rFonts w:cs="Arial"/>
                <w:sz w:val="18"/>
                <w:szCs w:val="18"/>
              </w:rPr>
              <w:t>.</w:t>
            </w:r>
            <w:r>
              <w:rPr>
                <w:rFonts w:cs="Arial"/>
                <w:sz w:val="18"/>
                <w:szCs w:val="18"/>
              </w:rPr>
              <w:t>7</w:t>
            </w:r>
          </w:p>
        </w:tc>
        <w:tc>
          <w:tcPr>
            <w:tcW w:w="1138" w:type="dxa"/>
            <w:tcBorders>
              <w:top w:val="single" w:sz="4" w:space="0" w:color="auto"/>
              <w:left w:val="single" w:sz="4" w:space="0" w:color="auto"/>
              <w:bottom w:val="single" w:sz="4" w:space="0" w:color="auto"/>
              <w:right w:val="single" w:sz="4" w:space="0" w:color="auto"/>
            </w:tcBorders>
            <w:vAlign w:val="center"/>
          </w:tcPr>
          <w:p w14:paraId="0DBB7D90" w14:textId="77777777" w:rsidR="009E0412" w:rsidRPr="008226BC" w:rsidRDefault="009E0412" w:rsidP="00164085">
            <w:pPr>
              <w:spacing w:after="0" w:line="240" w:lineRule="auto"/>
              <w:ind w:right="421"/>
              <w:jc w:val="right"/>
              <w:rPr>
                <w:rFonts w:cs="Arial"/>
                <w:sz w:val="18"/>
                <w:szCs w:val="18"/>
              </w:rPr>
            </w:pPr>
            <w:r>
              <w:rPr>
                <w:rFonts w:cs="Arial"/>
                <w:color w:val="000000"/>
                <w:sz w:val="18"/>
                <w:szCs w:val="18"/>
              </w:rPr>
              <w:t>18.8</w:t>
            </w:r>
          </w:p>
        </w:tc>
      </w:tr>
      <w:tr w:rsidR="00D943E4" w14:paraId="6E066EA4"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tcPr>
          <w:p w14:paraId="059850AF" w14:textId="77777777" w:rsidR="009E0412" w:rsidRPr="008226BC" w:rsidRDefault="009E0412" w:rsidP="00164085">
            <w:pPr>
              <w:spacing w:after="0" w:line="240" w:lineRule="auto"/>
              <w:rPr>
                <w:rFonts w:cs="Arial"/>
                <w:sz w:val="18"/>
                <w:szCs w:val="18"/>
                <w:lang w:eastAsia="en-AU"/>
              </w:rPr>
            </w:pPr>
            <w:r w:rsidRPr="008226BC">
              <w:rPr>
                <w:rFonts w:cs="Arial"/>
                <w:sz w:val="18"/>
                <w:szCs w:val="18"/>
                <w:lang w:eastAsia="en-AU"/>
              </w:rPr>
              <w:t>Regional/Remote</w:t>
            </w:r>
          </w:p>
        </w:tc>
        <w:tc>
          <w:tcPr>
            <w:tcW w:w="1275" w:type="dxa"/>
            <w:tcBorders>
              <w:top w:val="single" w:sz="4" w:space="0" w:color="auto"/>
              <w:left w:val="single" w:sz="4" w:space="0" w:color="auto"/>
              <w:bottom w:val="single" w:sz="4" w:space="0" w:color="auto"/>
              <w:right w:val="single" w:sz="4" w:space="0" w:color="auto"/>
            </w:tcBorders>
            <w:noWrap/>
            <w:vAlign w:val="center"/>
          </w:tcPr>
          <w:p w14:paraId="3F5C0CA3" w14:textId="77777777" w:rsidR="009E0412" w:rsidRPr="008226BC" w:rsidRDefault="009E0412" w:rsidP="00164085">
            <w:pPr>
              <w:spacing w:after="0" w:line="240" w:lineRule="auto"/>
              <w:ind w:right="201"/>
              <w:jc w:val="right"/>
              <w:rPr>
                <w:rFonts w:cs="Arial"/>
                <w:sz w:val="18"/>
                <w:szCs w:val="18"/>
                <w:lang w:eastAsia="en-AU"/>
              </w:rPr>
            </w:pPr>
            <w:r w:rsidRPr="008226BC">
              <w:rPr>
                <w:rFonts w:cs="Arial"/>
                <w:sz w:val="18"/>
                <w:szCs w:val="18"/>
                <w:lang w:eastAsia="en-AU"/>
              </w:rPr>
              <w:t>106,579</w:t>
            </w:r>
          </w:p>
        </w:tc>
        <w:tc>
          <w:tcPr>
            <w:tcW w:w="1134" w:type="dxa"/>
            <w:tcBorders>
              <w:top w:val="single" w:sz="4" w:space="0" w:color="auto"/>
              <w:left w:val="single" w:sz="4" w:space="0" w:color="auto"/>
              <w:bottom w:val="single" w:sz="4" w:space="0" w:color="auto"/>
              <w:right w:val="single" w:sz="4" w:space="0" w:color="auto"/>
            </w:tcBorders>
            <w:noWrap/>
            <w:vAlign w:val="center"/>
          </w:tcPr>
          <w:p w14:paraId="495D927F" w14:textId="77777777" w:rsidR="009E0412" w:rsidRPr="008226BC" w:rsidRDefault="009E0412" w:rsidP="00164085">
            <w:pPr>
              <w:spacing w:after="0" w:line="240" w:lineRule="auto"/>
              <w:ind w:right="201"/>
              <w:jc w:val="right"/>
              <w:rPr>
                <w:rFonts w:cs="Arial"/>
                <w:sz w:val="18"/>
                <w:szCs w:val="18"/>
                <w:lang w:eastAsia="en-AU"/>
              </w:rPr>
            </w:pPr>
            <w:r w:rsidRPr="008226BC">
              <w:rPr>
                <w:rFonts w:cs="Arial"/>
                <w:sz w:val="18"/>
                <w:szCs w:val="18"/>
                <w:lang w:eastAsia="en-AU"/>
              </w:rPr>
              <w:t>20.0</w:t>
            </w:r>
          </w:p>
        </w:tc>
        <w:tc>
          <w:tcPr>
            <w:tcW w:w="1276" w:type="dxa"/>
            <w:tcBorders>
              <w:top w:val="single" w:sz="4" w:space="0" w:color="auto"/>
              <w:left w:val="single" w:sz="4" w:space="0" w:color="auto"/>
              <w:bottom w:val="single" w:sz="4" w:space="0" w:color="auto"/>
              <w:right w:val="single" w:sz="4" w:space="0" w:color="auto"/>
            </w:tcBorders>
            <w:noWrap/>
          </w:tcPr>
          <w:p w14:paraId="25C9DE57" w14:textId="77777777" w:rsidR="009E0412" w:rsidRPr="008226BC" w:rsidRDefault="009E0412" w:rsidP="00164085">
            <w:pPr>
              <w:spacing w:after="0" w:line="240" w:lineRule="auto"/>
              <w:ind w:right="201"/>
              <w:jc w:val="right"/>
              <w:rPr>
                <w:rFonts w:cs="Arial"/>
                <w:sz w:val="18"/>
                <w:szCs w:val="18"/>
                <w:lang w:eastAsia="en-AU"/>
              </w:rPr>
            </w:pPr>
            <w:r w:rsidRPr="008226BC">
              <w:rPr>
                <w:sz w:val="18"/>
                <w:szCs w:val="18"/>
              </w:rPr>
              <w:t xml:space="preserve"> 1</w:t>
            </w:r>
            <w:r>
              <w:rPr>
                <w:sz w:val="18"/>
                <w:szCs w:val="18"/>
              </w:rPr>
              <w:t>60</w:t>
            </w:r>
            <w:r w:rsidRPr="008226BC">
              <w:rPr>
                <w:sz w:val="18"/>
                <w:szCs w:val="18"/>
              </w:rPr>
              <w:t>,5</w:t>
            </w:r>
            <w:r>
              <w:rPr>
                <w:sz w:val="18"/>
                <w:szCs w:val="18"/>
              </w:rPr>
              <w:t>42</w:t>
            </w:r>
            <w:r w:rsidRPr="008226BC">
              <w:rPr>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tcPr>
          <w:p w14:paraId="4C637F07" w14:textId="77777777" w:rsidR="009E0412" w:rsidRPr="008226BC" w:rsidRDefault="009E0412" w:rsidP="00164085">
            <w:pPr>
              <w:spacing w:after="0" w:line="240" w:lineRule="auto"/>
              <w:ind w:right="201"/>
              <w:jc w:val="right"/>
              <w:rPr>
                <w:rFonts w:cs="Arial"/>
                <w:sz w:val="18"/>
                <w:szCs w:val="18"/>
                <w:lang w:eastAsia="en-AU"/>
              </w:rPr>
            </w:pPr>
            <w:r>
              <w:rPr>
                <w:rFonts w:cs="Arial"/>
                <w:sz w:val="18"/>
                <w:szCs w:val="18"/>
                <w:lang w:eastAsia="en-AU"/>
              </w:rPr>
              <w:t>20.5</w:t>
            </w:r>
          </w:p>
        </w:tc>
        <w:tc>
          <w:tcPr>
            <w:tcW w:w="1418" w:type="dxa"/>
            <w:tcBorders>
              <w:top w:val="single" w:sz="4" w:space="0" w:color="auto"/>
              <w:left w:val="single" w:sz="4" w:space="0" w:color="auto"/>
              <w:bottom w:val="single" w:sz="4" w:space="0" w:color="auto"/>
              <w:right w:val="single" w:sz="4" w:space="0" w:color="auto"/>
            </w:tcBorders>
            <w:vAlign w:val="center"/>
          </w:tcPr>
          <w:p w14:paraId="200D1E11" w14:textId="77777777" w:rsidR="009E0412" w:rsidRPr="008226BC" w:rsidRDefault="009E0412" w:rsidP="00164085">
            <w:pPr>
              <w:spacing w:after="0" w:line="240" w:lineRule="auto"/>
              <w:ind w:right="456"/>
              <w:jc w:val="right"/>
              <w:rPr>
                <w:rFonts w:cs="Arial"/>
                <w:sz w:val="18"/>
                <w:szCs w:val="18"/>
                <w:lang w:eastAsia="en-AU"/>
              </w:rPr>
            </w:pPr>
            <w:r w:rsidRPr="008226BC">
              <w:rPr>
                <w:rFonts w:cs="Arial"/>
                <w:sz w:val="18"/>
                <w:szCs w:val="18"/>
                <w:lang w:eastAsia="en-AU"/>
              </w:rPr>
              <w:t>5</w:t>
            </w:r>
            <w:r>
              <w:rPr>
                <w:rFonts w:cs="Arial"/>
                <w:sz w:val="18"/>
                <w:szCs w:val="18"/>
                <w:lang w:eastAsia="en-AU"/>
              </w:rPr>
              <w:t>0</w:t>
            </w:r>
            <w:r w:rsidRPr="008226BC">
              <w:rPr>
                <w:rFonts w:cs="Arial"/>
                <w:sz w:val="18"/>
                <w:szCs w:val="18"/>
                <w:lang w:eastAsia="en-AU"/>
              </w:rPr>
              <w:t>.6</w:t>
            </w:r>
          </w:p>
        </w:tc>
        <w:tc>
          <w:tcPr>
            <w:tcW w:w="1138" w:type="dxa"/>
            <w:tcBorders>
              <w:top w:val="single" w:sz="4" w:space="0" w:color="auto"/>
              <w:left w:val="single" w:sz="4" w:space="0" w:color="auto"/>
              <w:bottom w:val="single" w:sz="4" w:space="0" w:color="auto"/>
              <w:right w:val="single" w:sz="4" w:space="0" w:color="auto"/>
            </w:tcBorders>
            <w:vAlign w:val="center"/>
          </w:tcPr>
          <w:p w14:paraId="32472295" w14:textId="77777777" w:rsidR="009E0412" w:rsidRPr="008226BC" w:rsidRDefault="009E0412" w:rsidP="00164085">
            <w:pPr>
              <w:spacing w:after="0" w:line="240" w:lineRule="auto"/>
              <w:ind w:right="421"/>
              <w:jc w:val="right"/>
              <w:rPr>
                <w:rFonts w:cs="Arial"/>
                <w:sz w:val="18"/>
                <w:szCs w:val="18"/>
                <w:lang w:eastAsia="en-AU"/>
              </w:rPr>
            </w:pPr>
            <w:r>
              <w:rPr>
                <w:rFonts w:cs="Arial"/>
                <w:color w:val="000000"/>
                <w:sz w:val="18"/>
                <w:szCs w:val="18"/>
              </w:rPr>
              <w:t>21.4</w:t>
            </w:r>
          </w:p>
        </w:tc>
      </w:tr>
      <w:tr w:rsidR="00D943E4" w14:paraId="48BC7001"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07CF727B" w14:textId="77777777" w:rsidR="009E0412" w:rsidRPr="008226BC" w:rsidRDefault="009E0412" w:rsidP="00164085">
            <w:pPr>
              <w:spacing w:after="0" w:line="240" w:lineRule="auto"/>
              <w:rPr>
                <w:rFonts w:cs="Arial"/>
                <w:color w:val="000000"/>
                <w:sz w:val="18"/>
                <w:szCs w:val="18"/>
                <w:lang w:eastAsia="en-AU"/>
              </w:rPr>
            </w:pPr>
            <w:r w:rsidRPr="008226BC">
              <w:rPr>
                <w:rFonts w:cs="Arial"/>
                <w:color w:val="000000"/>
                <w:sz w:val="18"/>
                <w:szCs w:val="18"/>
                <w:lang w:eastAsia="en-AU"/>
              </w:rPr>
              <w:t xml:space="preserve">First Nations </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C67978D"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6,820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D2DBEE8"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1.3</w:t>
            </w:r>
          </w:p>
        </w:tc>
        <w:tc>
          <w:tcPr>
            <w:tcW w:w="1276" w:type="dxa"/>
            <w:tcBorders>
              <w:top w:val="single" w:sz="4" w:space="0" w:color="auto"/>
              <w:left w:val="single" w:sz="4" w:space="0" w:color="auto"/>
              <w:bottom w:val="single" w:sz="4" w:space="0" w:color="auto"/>
              <w:right w:val="single" w:sz="4" w:space="0" w:color="auto"/>
            </w:tcBorders>
            <w:noWrap/>
            <w:hideMark/>
          </w:tcPr>
          <w:p w14:paraId="0F01BD73"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sz w:val="18"/>
                <w:szCs w:val="18"/>
              </w:rPr>
              <w:t xml:space="preserve"> 16,383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0CD9F4C"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2.1</w:t>
            </w:r>
          </w:p>
        </w:tc>
        <w:tc>
          <w:tcPr>
            <w:tcW w:w="1418" w:type="dxa"/>
            <w:tcBorders>
              <w:top w:val="single" w:sz="4" w:space="0" w:color="auto"/>
              <w:left w:val="single" w:sz="4" w:space="0" w:color="auto"/>
              <w:bottom w:val="single" w:sz="4" w:space="0" w:color="auto"/>
              <w:right w:val="single" w:sz="4" w:space="0" w:color="auto"/>
            </w:tcBorders>
            <w:vAlign w:val="center"/>
          </w:tcPr>
          <w:p w14:paraId="7B64FB20" w14:textId="77777777" w:rsidR="009E0412" w:rsidRPr="008226BC" w:rsidRDefault="009E0412" w:rsidP="00164085">
            <w:pPr>
              <w:spacing w:after="0" w:line="240" w:lineRule="auto"/>
              <w:ind w:right="456"/>
              <w:jc w:val="right"/>
              <w:rPr>
                <w:rFonts w:cs="Arial"/>
                <w:sz w:val="18"/>
                <w:szCs w:val="18"/>
              </w:rPr>
            </w:pPr>
            <w:r w:rsidRPr="008226BC">
              <w:rPr>
                <w:rFonts w:cs="Arial"/>
                <w:sz w:val="18"/>
                <w:szCs w:val="18"/>
              </w:rPr>
              <w:t>144.9</w:t>
            </w:r>
          </w:p>
        </w:tc>
        <w:tc>
          <w:tcPr>
            <w:tcW w:w="1138" w:type="dxa"/>
            <w:tcBorders>
              <w:top w:val="single" w:sz="4" w:space="0" w:color="auto"/>
              <w:left w:val="single" w:sz="4" w:space="0" w:color="auto"/>
              <w:bottom w:val="single" w:sz="4" w:space="0" w:color="auto"/>
              <w:right w:val="single" w:sz="4" w:space="0" w:color="auto"/>
            </w:tcBorders>
            <w:vAlign w:val="center"/>
          </w:tcPr>
          <w:p w14:paraId="6C02F6A1" w14:textId="77777777" w:rsidR="009E0412" w:rsidRPr="008226BC" w:rsidRDefault="009E0412" w:rsidP="00164085">
            <w:pPr>
              <w:spacing w:after="0" w:line="240" w:lineRule="auto"/>
              <w:ind w:right="421"/>
              <w:jc w:val="right"/>
              <w:rPr>
                <w:rFonts w:cs="Arial"/>
                <w:sz w:val="18"/>
                <w:szCs w:val="18"/>
              </w:rPr>
            </w:pPr>
            <w:r>
              <w:rPr>
                <w:rFonts w:cs="Arial"/>
                <w:color w:val="000000"/>
                <w:sz w:val="18"/>
                <w:szCs w:val="18"/>
              </w:rPr>
              <w:t>3.8</w:t>
            </w:r>
          </w:p>
        </w:tc>
      </w:tr>
      <w:tr w:rsidR="00D943E4" w14:paraId="4E960D23"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tcPr>
          <w:p w14:paraId="0021B766" w14:textId="77777777" w:rsidR="009E0412" w:rsidRPr="008226BC" w:rsidRDefault="009E0412" w:rsidP="00164085">
            <w:pPr>
              <w:spacing w:after="0" w:line="240" w:lineRule="auto"/>
              <w:rPr>
                <w:rFonts w:cs="Arial"/>
                <w:color w:val="000000"/>
                <w:sz w:val="18"/>
                <w:szCs w:val="18"/>
                <w:lang w:eastAsia="en-AU"/>
              </w:rPr>
            </w:pPr>
            <w:r w:rsidRPr="008226BC">
              <w:rPr>
                <w:rFonts w:cs="Arial"/>
                <w:sz w:val="18"/>
                <w:szCs w:val="18"/>
                <w:lang w:eastAsia="en-AU"/>
              </w:rPr>
              <w:t>Disability</w:t>
            </w:r>
          </w:p>
        </w:tc>
        <w:tc>
          <w:tcPr>
            <w:tcW w:w="1275" w:type="dxa"/>
            <w:tcBorders>
              <w:top w:val="single" w:sz="4" w:space="0" w:color="auto"/>
              <w:left w:val="single" w:sz="4" w:space="0" w:color="auto"/>
              <w:bottom w:val="single" w:sz="4" w:space="0" w:color="auto"/>
              <w:right w:val="single" w:sz="4" w:space="0" w:color="auto"/>
            </w:tcBorders>
            <w:noWrap/>
            <w:vAlign w:val="center"/>
          </w:tcPr>
          <w:p w14:paraId="28858026"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23,447</w:t>
            </w:r>
          </w:p>
        </w:tc>
        <w:tc>
          <w:tcPr>
            <w:tcW w:w="1134" w:type="dxa"/>
            <w:tcBorders>
              <w:top w:val="single" w:sz="4" w:space="0" w:color="auto"/>
              <w:left w:val="single" w:sz="4" w:space="0" w:color="auto"/>
              <w:bottom w:val="single" w:sz="4" w:space="0" w:color="auto"/>
              <w:right w:val="single" w:sz="4" w:space="0" w:color="auto"/>
            </w:tcBorders>
            <w:noWrap/>
            <w:vAlign w:val="center"/>
          </w:tcPr>
          <w:p w14:paraId="2491FF36"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4.4</w:t>
            </w:r>
          </w:p>
        </w:tc>
        <w:tc>
          <w:tcPr>
            <w:tcW w:w="1276" w:type="dxa"/>
            <w:tcBorders>
              <w:top w:val="single" w:sz="4" w:space="0" w:color="auto"/>
              <w:left w:val="single" w:sz="4" w:space="0" w:color="auto"/>
              <w:bottom w:val="single" w:sz="4" w:space="0" w:color="auto"/>
              <w:right w:val="single" w:sz="4" w:space="0" w:color="auto"/>
            </w:tcBorders>
            <w:noWrap/>
          </w:tcPr>
          <w:p w14:paraId="0FF86E79"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sz w:val="18"/>
                <w:szCs w:val="18"/>
              </w:rPr>
              <w:t xml:space="preserve"> 80,769 </w:t>
            </w:r>
          </w:p>
        </w:tc>
        <w:tc>
          <w:tcPr>
            <w:tcW w:w="992" w:type="dxa"/>
            <w:tcBorders>
              <w:top w:val="single" w:sz="4" w:space="0" w:color="auto"/>
              <w:left w:val="single" w:sz="4" w:space="0" w:color="auto"/>
              <w:bottom w:val="single" w:sz="4" w:space="0" w:color="auto"/>
              <w:right w:val="single" w:sz="4" w:space="0" w:color="auto"/>
            </w:tcBorders>
            <w:noWrap/>
            <w:vAlign w:val="center"/>
          </w:tcPr>
          <w:p w14:paraId="48B2BFBE" w14:textId="77777777" w:rsidR="009E0412" w:rsidRPr="008226BC" w:rsidRDefault="009E0412" w:rsidP="00164085">
            <w:pPr>
              <w:spacing w:after="0" w:line="240" w:lineRule="auto"/>
              <w:ind w:right="201"/>
              <w:jc w:val="right"/>
              <w:rPr>
                <w:rFonts w:cs="Arial"/>
                <w:color w:val="000000"/>
                <w:sz w:val="18"/>
                <w:szCs w:val="18"/>
                <w:lang w:eastAsia="en-AU"/>
              </w:rPr>
            </w:pPr>
            <w:r w:rsidRPr="008226BC">
              <w:rPr>
                <w:rFonts w:cs="Arial"/>
                <w:sz w:val="18"/>
                <w:szCs w:val="18"/>
              </w:rPr>
              <w:t>10.2</w:t>
            </w:r>
          </w:p>
        </w:tc>
        <w:tc>
          <w:tcPr>
            <w:tcW w:w="1418" w:type="dxa"/>
            <w:tcBorders>
              <w:top w:val="single" w:sz="4" w:space="0" w:color="auto"/>
              <w:left w:val="single" w:sz="4" w:space="0" w:color="auto"/>
              <w:bottom w:val="single" w:sz="4" w:space="0" w:color="auto"/>
              <w:right w:val="single" w:sz="4" w:space="0" w:color="auto"/>
            </w:tcBorders>
            <w:vAlign w:val="center"/>
          </w:tcPr>
          <w:p w14:paraId="0C72C72D" w14:textId="77777777" w:rsidR="009E0412" w:rsidRPr="008226BC" w:rsidRDefault="009E0412" w:rsidP="00164085">
            <w:pPr>
              <w:spacing w:after="0" w:line="240" w:lineRule="auto"/>
              <w:ind w:right="456"/>
              <w:jc w:val="right"/>
              <w:rPr>
                <w:rFonts w:cs="Arial"/>
                <w:sz w:val="18"/>
                <w:szCs w:val="18"/>
              </w:rPr>
            </w:pPr>
            <w:r w:rsidRPr="008226BC">
              <w:rPr>
                <w:rFonts w:cs="Arial"/>
                <w:sz w:val="18"/>
                <w:szCs w:val="18"/>
              </w:rPr>
              <w:t>246.9</w:t>
            </w:r>
          </w:p>
        </w:tc>
        <w:tc>
          <w:tcPr>
            <w:tcW w:w="1138" w:type="dxa"/>
            <w:tcBorders>
              <w:top w:val="single" w:sz="4" w:space="0" w:color="auto"/>
              <w:left w:val="single" w:sz="4" w:space="0" w:color="auto"/>
              <w:bottom w:val="single" w:sz="4" w:space="0" w:color="auto"/>
              <w:right w:val="single" w:sz="4" w:space="0" w:color="auto"/>
            </w:tcBorders>
            <w:vAlign w:val="center"/>
          </w:tcPr>
          <w:p w14:paraId="2A4FB316" w14:textId="77777777" w:rsidR="009E0412" w:rsidRPr="008226BC" w:rsidRDefault="009E0412" w:rsidP="00164085">
            <w:pPr>
              <w:spacing w:after="0" w:line="240" w:lineRule="auto"/>
              <w:ind w:right="421"/>
              <w:jc w:val="right"/>
              <w:rPr>
                <w:rFonts w:cs="Arial"/>
                <w:sz w:val="18"/>
                <w:szCs w:val="18"/>
              </w:rPr>
            </w:pPr>
            <w:r>
              <w:rPr>
                <w:rFonts w:cs="Arial"/>
                <w:color w:val="000000"/>
                <w:sz w:val="18"/>
                <w:szCs w:val="18"/>
              </w:rPr>
              <w:t>22.8</w:t>
            </w:r>
          </w:p>
        </w:tc>
      </w:tr>
      <w:tr w:rsidR="00D943E4" w14:paraId="40AA7FB7"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tcPr>
          <w:p w14:paraId="6D82CFC1" w14:textId="2A6241D8" w:rsidR="009E0412" w:rsidRPr="007B0B44" w:rsidRDefault="009E0412" w:rsidP="00164085">
            <w:pPr>
              <w:spacing w:after="0" w:line="240" w:lineRule="auto"/>
              <w:rPr>
                <w:rFonts w:cs="Arial"/>
                <w:b/>
                <w:bCs/>
                <w:i/>
                <w:iCs/>
                <w:color w:val="000000"/>
                <w:sz w:val="18"/>
                <w:szCs w:val="18"/>
                <w:lang w:eastAsia="en-AU"/>
              </w:rPr>
            </w:pPr>
            <w:r w:rsidRPr="007B0B44">
              <w:rPr>
                <w:rFonts w:cs="Arial"/>
                <w:b/>
                <w:bCs/>
                <w:i/>
                <w:iCs/>
                <w:color w:val="000000"/>
                <w:sz w:val="18"/>
                <w:szCs w:val="18"/>
                <w:lang w:eastAsia="en-AU"/>
              </w:rPr>
              <w:t>Equity</w:t>
            </w:r>
            <w:r w:rsidR="00D943E4">
              <w:rPr>
                <w:rFonts w:cs="Arial"/>
                <w:b/>
                <w:bCs/>
                <w:i/>
                <w:iCs/>
                <w:color w:val="000000"/>
                <w:sz w:val="18"/>
                <w:szCs w:val="18"/>
                <w:lang w:eastAsia="en-AU"/>
              </w:rPr>
              <w:t xml:space="preserve"> </w:t>
            </w:r>
            <w:r w:rsidR="001E4106">
              <w:rPr>
                <w:rFonts w:cs="Arial"/>
                <w:b/>
                <w:bCs/>
                <w:i/>
                <w:iCs/>
                <w:color w:val="000000"/>
                <w:sz w:val="18"/>
                <w:szCs w:val="18"/>
                <w:lang w:eastAsia="en-AU"/>
              </w:rPr>
              <w:t>Group</w:t>
            </w:r>
            <w:r w:rsidR="00FF751D">
              <w:rPr>
                <w:rFonts w:cs="Arial"/>
                <w:b/>
                <w:bCs/>
                <w:i/>
                <w:iCs/>
                <w:color w:val="000000"/>
                <w:sz w:val="18"/>
                <w:szCs w:val="18"/>
                <w:lang w:eastAsia="en-AU"/>
              </w:rPr>
              <w:t>*</w:t>
            </w:r>
          </w:p>
        </w:tc>
        <w:tc>
          <w:tcPr>
            <w:tcW w:w="1275" w:type="dxa"/>
            <w:tcBorders>
              <w:top w:val="single" w:sz="4" w:space="0" w:color="auto"/>
              <w:left w:val="single" w:sz="4" w:space="0" w:color="auto"/>
              <w:bottom w:val="single" w:sz="4" w:space="0" w:color="auto"/>
              <w:right w:val="single" w:sz="4" w:space="0" w:color="auto"/>
            </w:tcBorders>
            <w:noWrap/>
            <w:vAlign w:val="center"/>
          </w:tcPr>
          <w:p w14:paraId="4E69095C" w14:textId="77777777" w:rsidR="009E0412" w:rsidRPr="007B0B44" w:rsidRDefault="009E0412" w:rsidP="00164085">
            <w:pPr>
              <w:spacing w:after="0" w:line="240" w:lineRule="auto"/>
              <w:ind w:right="201"/>
              <w:jc w:val="right"/>
              <w:rPr>
                <w:rFonts w:cs="Arial"/>
                <w:b/>
                <w:bCs/>
                <w:i/>
                <w:iCs/>
                <w:color w:val="000000"/>
                <w:sz w:val="18"/>
                <w:szCs w:val="18"/>
                <w:lang w:eastAsia="en-AU"/>
              </w:rPr>
            </w:pPr>
            <w:r w:rsidRPr="007B0B44">
              <w:rPr>
                <w:rFonts w:cs="Arial"/>
                <w:b/>
                <w:bCs/>
                <w:i/>
                <w:iCs/>
                <w:color w:val="000000"/>
                <w:sz w:val="18"/>
                <w:szCs w:val="18"/>
                <w:lang w:eastAsia="en-AU"/>
              </w:rPr>
              <w:t>176,492</w:t>
            </w:r>
          </w:p>
        </w:tc>
        <w:tc>
          <w:tcPr>
            <w:tcW w:w="1134" w:type="dxa"/>
            <w:tcBorders>
              <w:top w:val="single" w:sz="4" w:space="0" w:color="auto"/>
              <w:left w:val="single" w:sz="4" w:space="0" w:color="auto"/>
              <w:bottom w:val="single" w:sz="4" w:space="0" w:color="auto"/>
              <w:right w:val="single" w:sz="4" w:space="0" w:color="auto"/>
            </w:tcBorders>
            <w:noWrap/>
            <w:vAlign w:val="center"/>
          </w:tcPr>
          <w:p w14:paraId="2E98FE24" w14:textId="77777777" w:rsidR="009E0412" w:rsidRPr="007B0B44" w:rsidRDefault="009E0412" w:rsidP="00164085">
            <w:pPr>
              <w:spacing w:after="0" w:line="240" w:lineRule="auto"/>
              <w:ind w:right="201"/>
              <w:jc w:val="right"/>
              <w:rPr>
                <w:rFonts w:cs="Arial"/>
                <w:b/>
                <w:bCs/>
                <w:i/>
                <w:iCs/>
                <w:color w:val="000000"/>
                <w:sz w:val="18"/>
                <w:szCs w:val="18"/>
                <w:lang w:eastAsia="en-AU"/>
              </w:rPr>
            </w:pPr>
            <w:r w:rsidRPr="007B0B44">
              <w:rPr>
                <w:rFonts w:cs="Arial"/>
                <w:b/>
                <w:bCs/>
                <w:i/>
                <w:iCs/>
                <w:color w:val="000000"/>
                <w:sz w:val="18"/>
                <w:szCs w:val="18"/>
                <w:lang w:eastAsia="en-AU"/>
              </w:rPr>
              <w:t>33.1</w:t>
            </w:r>
          </w:p>
        </w:tc>
        <w:tc>
          <w:tcPr>
            <w:tcW w:w="1276" w:type="dxa"/>
            <w:tcBorders>
              <w:top w:val="single" w:sz="4" w:space="0" w:color="auto"/>
              <w:left w:val="single" w:sz="4" w:space="0" w:color="auto"/>
              <w:bottom w:val="single" w:sz="4" w:space="0" w:color="auto"/>
              <w:right w:val="single" w:sz="4" w:space="0" w:color="auto"/>
            </w:tcBorders>
            <w:noWrap/>
          </w:tcPr>
          <w:p w14:paraId="3E5A7E40" w14:textId="77777777" w:rsidR="009E0412" w:rsidRPr="007B0B44" w:rsidRDefault="009E0412" w:rsidP="00164085">
            <w:pPr>
              <w:spacing w:after="0" w:line="240" w:lineRule="auto"/>
              <w:ind w:right="201"/>
              <w:jc w:val="right"/>
              <w:rPr>
                <w:rFonts w:cs="Arial"/>
                <w:b/>
                <w:bCs/>
                <w:i/>
                <w:iCs/>
                <w:color w:val="000000"/>
                <w:sz w:val="18"/>
                <w:szCs w:val="18"/>
                <w:lang w:eastAsia="en-AU"/>
              </w:rPr>
            </w:pPr>
            <w:r w:rsidRPr="007B0B44">
              <w:rPr>
                <w:b/>
                <w:bCs/>
                <w:i/>
                <w:iCs/>
                <w:sz w:val="18"/>
                <w:szCs w:val="18"/>
              </w:rPr>
              <w:t xml:space="preserve"> </w:t>
            </w:r>
            <w:r>
              <w:rPr>
                <w:b/>
                <w:bCs/>
                <w:i/>
                <w:iCs/>
                <w:sz w:val="18"/>
                <w:szCs w:val="18"/>
              </w:rPr>
              <w:t>309,360</w:t>
            </w:r>
            <w:r w:rsidRPr="007B0B44">
              <w:rPr>
                <w:b/>
                <w:bCs/>
                <w:i/>
                <w:i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tcPr>
          <w:p w14:paraId="30AA288E" w14:textId="77777777" w:rsidR="009E0412" w:rsidRPr="007B0B44" w:rsidRDefault="009E0412" w:rsidP="00164085">
            <w:pPr>
              <w:spacing w:after="0" w:line="240" w:lineRule="auto"/>
              <w:ind w:right="201"/>
              <w:jc w:val="right"/>
              <w:rPr>
                <w:rFonts w:cs="Arial"/>
                <w:b/>
                <w:bCs/>
                <w:i/>
                <w:iCs/>
                <w:color w:val="000000"/>
                <w:sz w:val="18"/>
                <w:szCs w:val="18"/>
                <w:lang w:eastAsia="en-AU"/>
              </w:rPr>
            </w:pPr>
            <w:r w:rsidRPr="007B0B44">
              <w:rPr>
                <w:rFonts w:cs="Arial"/>
                <w:b/>
                <w:bCs/>
                <w:i/>
                <w:iCs/>
                <w:color w:val="000000"/>
                <w:sz w:val="18"/>
                <w:szCs w:val="18"/>
                <w:lang w:eastAsia="en-AU"/>
              </w:rPr>
              <w:t>39</w:t>
            </w:r>
            <w:r>
              <w:rPr>
                <w:rFonts w:cs="Arial"/>
                <w:b/>
                <w:bCs/>
                <w:i/>
                <w:iCs/>
                <w:color w:val="000000"/>
                <w:sz w:val="18"/>
                <w:szCs w:val="18"/>
                <w:lang w:eastAsia="en-AU"/>
              </w:rPr>
              <w:t>.4</w:t>
            </w:r>
          </w:p>
        </w:tc>
        <w:tc>
          <w:tcPr>
            <w:tcW w:w="1418" w:type="dxa"/>
            <w:tcBorders>
              <w:top w:val="single" w:sz="4" w:space="0" w:color="auto"/>
              <w:left w:val="single" w:sz="4" w:space="0" w:color="auto"/>
              <w:bottom w:val="single" w:sz="4" w:space="0" w:color="auto"/>
              <w:right w:val="single" w:sz="4" w:space="0" w:color="auto"/>
            </w:tcBorders>
            <w:vAlign w:val="center"/>
          </w:tcPr>
          <w:p w14:paraId="0AE2981F" w14:textId="77777777" w:rsidR="009E0412" w:rsidRPr="007B0B44" w:rsidRDefault="009E0412" w:rsidP="00164085">
            <w:pPr>
              <w:spacing w:after="0" w:line="240" w:lineRule="auto"/>
              <w:ind w:right="456"/>
              <w:jc w:val="right"/>
              <w:rPr>
                <w:rFonts w:cs="Arial"/>
                <w:b/>
                <w:bCs/>
                <w:i/>
                <w:iCs/>
                <w:sz w:val="18"/>
                <w:szCs w:val="18"/>
              </w:rPr>
            </w:pPr>
            <w:r>
              <w:rPr>
                <w:rFonts w:cs="Arial"/>
                <w:b/>
                <w:bCs/>
                <w:i/>
                <w:iCs/>
                <w:sz w:val="18"/>
                <w:szCs w:val="18"/>
              </w:rPr>
              <w:t>75.3</w:t>
            </w:r>
          </w:p>
        </w:tc>
        <w:tc>
          <w:tcPr>
            <w:tcW w:w="1138" w:type="dxa"/>
            <w:tcBorders>
              <w:top w:val="single" w:sz="4" w:space="0" w:color="auto"/>
              <w:left w:val="single" w:sz="4" w:space="0" w:color="auto"/>
              <w:bottom w:val="single" w:sz="4" w:space="0" w:color="auto"/>
              <w:right w:val="single" w:sz="4" w:space="0" w:color="auto"/>
            </w:tcBorders>
            <w:vAlign w:val="center"/>
          </w:tcPr>
          <w:p w14:paraId="31F28A25" w14:textId="77777777" w:rsidR="009E0412" w:rsidRPr="007B0B44" w:rsidRDefault="009E0412" w:rsidP="00164085">
            <w:pPr>
              <w:spacing w:after="0" w:line="240" w:lineRule="auto"/>
              <w:ind w:right="421"/>
              <w:jc w:val="right"/>
              <w:rPr>
                <w:rFonts w:cs="Arial"/>
                <w:b/>
                <w:bCs/>
                <w:i/>
                <w:iCs/>
                <w:sz w:val="18"/>
                <w:szCs w:val="18"/>
              </w:rPr>
            </w:pPr>
            <w:r>
              <w:rPr>
                <w:rFonts w:cs="Arial"/>
                <w:b/>
                <w:bCs/>
                <w:i/>
                <w:iCs/>
                <w:color w:val="000000"/>
                <w:sz w:val="18"/>
                <w:szCs w:val="18"/>
              </w:rPr>
              <w:t>52</w:t>
            </w:r>
            <w:r w:rsidRPr="007B0B44">
              <w:rPr>
                <w:rFonts w:cs="Arial"/>
                <w:b/>
                <w:bCs/>
                <w:i/>
                <w:iCs/>
                <w:color w:val="000000"/>
                <w:sz w:val="18"/>
                <w:szCs w:val="18"/>
              </w:rPr>
              <w:t>.</w:t>
            </w:r>
            <w:r>
              <w:rPr>
                <w:rFonts w:cs="Arial"/>
                <w:b/>
                <w:bCs/>
                <w:i/>
                <w:iCs/>
                <w:color w:val="000000"/>
                <w:sz w:val="18"/>
                <w:szCs w:val="18"/>
              </w:rPr>
              <w:t>8</w:t>
            </w:r>
          </w:p>
        </w:tc>
      </w:tr>
      <w:tr w:rsidR="00D943E4" w14:paraId="1ECFEF21" w14:textId="77777777" w:rsidTr="00193DA5">
        <w:trPr>
          <w:trHeight w:val="290"/>
        </w:trPr>
        <w:tc>
          <w:tcPr>
            <w:tcW w:w="1985" w:type="dxa"/>
            <w:tcBorders>
              <w:top w:val="single" w:sz="4" w:space="0" w:color="auto"/>
              <w:left w:val="single" w:sz="4" w:space="0" w:color="auto"/>
              <w:bottom w:val="single" w:sz="4" w:space="0" w:color="auto"/>
              <w:right w:val="single" w:sz="4" w:space="0" w:color="auto"/>
            </w:tcBorders>
            <w:noWrap/>
            <w:vAlign w:val="center"/>
          </w:tcPr>
          <w:p w14:paraId="67F253E3" w14:textId="77777777" w:rsidR="009E0412" w:rsidRPr="008226BC" w:rsidRDefault="009E0412" w:rsidP="00164085">
            <w:pPr>
              <w:spacing w:after="0" w:line="240" w:lineRule="auto"/>
              <w:rPr>
                <w:rFonts w:cs="Arial"/>
                <w:i/>
                <w:iCs/>
                <w:color w:val="000000"/>
                <w:sz w:val="18"/>
                <w:szCs w:val="18"/>
                <w:lang w:eastAsia="en-AU"/>
              </w:rPr>
            </w:pPr>
            <w:r w:rsidRPr="008226BC">
              <w:rPr>
                <w:rFonts w:cs="Arial"/>
                <w:i/>
                <w:iCs/>
                <w:color w:val="000000"/>
                <w:sz w:val="18"/>
                <w:szCs w:val="18"/>
                <w:lang w:eastAsia="en-AU"/>
              </w:rPr>
              <w:t>Non-Equity</w:t>
            </w:r>
          </w:p>
        </w:tc>
        <w:tc>
          <w:tcPr>
            <w:tcW w:w="1275" w:type="dxa"/>
            <w:tcBorders>
              <w:top w:val="single" w:sz="4" w:space="0" w:color="auto"/>
              <w:left w:val="single" w:sz="4" w:space="0" w:color="auto"/>
              <w:bottom w:val="single" w:sz="4" w:space="0" w:color="auto"/>
              <w:right w:val="single" w:sz="4" w:space="0" w:color="auto"/>
            </w:tcBorders>
            <w:noWrap/>
            <w:vAlign w:val="center"/>
          </w:tcPr>
          <w:p w14:paraId="56892572" w14:textId="77777777" w:rsidR="009E0412" w:rsidRPr="007B0B44" w:rsidRDefault="009E0412" w:rsidP="00164085">
            <w:pPr>
              <w:spacing w:after="0" w:line="240" w:lineRule="auto"/>
              <w:ind w:right="201"/>
              <w:jc w:val="right"/>
              <w:rPr>
                <w:rFonts w:cs="Arial"/>
                <w:i/>
                <w:iCs/>
                <w:color w:val="000000"/>
                <w:sz w:val="18"/>
                <w:szCs w:val="18"/>
                <w:lang w:eastAsia="en-AU"/>
              </w:rPr>
            </w:pPr>
            <w:r w:rsidRPr="007B0B44">
              <w:rPr>
                <w:rFonts w:cs="Arial"/>
                <w:i/>
                <w:iCs/>
                <w:color w:val="000000"/>
                <w:sz w:val="18"/>
                <w:szCs w:val="18"/>
                <w:lang w:eastAsia="en-AU"/>
              </w:rPr>
              <w:t>356,011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66E7B86" w14:textId="77777777" w:rsidR="009E0412" w:rsidRPr="007B0B44" w:rsidRDefault="009E0412" w:rsidP="00164085">
            <w:pPr>
              <w:spacing w:after="0" w:line="240" w:lineRule="auto"/>
              <w:ind w:right="201"/>
              <w:jc w:val="right"/>
              <w:rPr>
                <w:rFonts w:cs="Arial"/>
                <w:i/>
                <w:iCs/>
                <w:color w:val="000000"/>
                <w:sz w:val="18"/>
                <w:szCs w:val="18"/>
                <w:lang w:eastAsia="en-AU"/>
              </w:rPr>
            </w:pPr>
            <w:r w:rsidRPr="007B0B44">
              <w:rPr>
                <w:rFonts w:cs="Arial"/>
                <w:i/>
                <w:iCs/>
                <w:color w:val="000000"/>
                <w:sz w:val="18"/>
                <w:szCs w:val="18"/>
                <w:lang w:eastAsia="en-AU"/>
              </w:rPr>
              <w:t>66.9</w:t>
            </w:r>
          </w:p>
        </w:tc>
        <w:tc>
          <w:tcPr>
            <w:tcW w:w="1276" w:type="dxa"/>
            <w:tcBorders>
              <w:top w:val="single" w:sz="4" w:space="0" w:color="auto"/>
              <w:left w:val="single" w:sz="4" w:space="0" w:color="auto"/>
              <w:bottom w:val="single" w:sz="4" w:space="0" w:color="auto"/>
              <w:right w:val="single" w:sz="4" w:space="0" w:color="auto"/>
            </w:tcBorders>
            <w:noWrap/>
          </w:tcPr>
          <w:p w14:paraId="3785C036" w14:textId="77777777" w:rsidR="009E0412" w:rsidRPr="007B0B44" w:rsidRDefault="009E0412" w:rsidP="00164085">
            <w:pPr>
              <w:spacing w:after="0" w:line="240" w:lineRule="auto"/>
              <w:ind w:right="201"/>
              <w:jc w:val="right"/>
              <w:rPr>
                <w:rFonts w:cs="Arial"/>
                <w:i/>
                <w:iCs/>
                <w:color w:val="000000"/>
                <w:sz w:val="18"/>
                <w:szCs w:val="18"/>
                <w:lang w:eastAsia="en-AU"/>
              </w:rPr>
            </w:pPr>
            <w:r w:rsidRPr="007B0B44">
              <w:rPr>
                <w:i/>
                <w:iCs/>
                <w:sz w:val="18"/>
                <w:szCs w:val="18"/>
              </w:rPr>
              <w:t xml:space="preserve"> </w:t>
            </w:r>
            <w:r>
              <w:rPr>
                <w:i/>
                <w:iCs/>
                <w:sz w:val="18"/>
                <w:szCs w:val="18"/>
              </w:rPr>
              <w:t>474,859</w:t>
            </w:r>
            <w:r w:rsidRPr="007B0B44">
              <w:rPr>
                <w:i/>
                <w:i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tcPr>
          <w:p w14:paraId="212BAD1D" w14:textId="77777777" w:rsidR="009E0412" w:rsidRPr="007B0B44" w:rsidRDefault="009E0412" w:rsidP="00164085">
            <w:pPr>
              <w:spacing w:after="0" w:line="240" w:lineRule="auto"/>
              <w:ind w:right="201"/>
              <w:jc w:val="right"/>
              <w:rPr>
                <w:rFonts w:cs="Arial"/>
                <w:i/>
                <w:iCs/>
                <w:color w:val="000000"/>
                <w:sz w:val="18"/>
                <w:szCs w:val="18"/>
                <w:lang w:eastAsia="en-AU"/>
              </w:rPr>
            </w:pPr>
            <w:r w:rsidRPr="007B0B44">
              <w:rPr>
                <w:rFonts w:cs="Arial"/>
                <w:i/>
                <w:iCs/>
                <w:color w:val="000000"/>
                <w:sz w:val="18"/>
                <w:szCs w:val="18"/>
                <w:lang w:eastAsia="en-AU"/>
              </w:rPr>
              <w:t>6</w:t>
            </w:r>
            <w:r>
              <w:rPr>
                <w:rFonts w:cs="Arial"/>
                <w:i/>
                <w:iCs/>
                <w:color w:val="000000"/>
                <w:sz w:val="18"/>
                <w:szCs w:val="18"/>
                <w:lang w:eastAsia="en-AU"/>
              </w:rPr>
              <w:t>0</w:t>
            </w:r>
            <w:r w:rsidRPr="007B0B44">
              <w:rPr>
                <w:rFonts w:cs="Arial"/>
                <w:i/>
                <w:iCs/>
                <w:color w:val="000000"/>
                <w:sz w:val="18"/>
                <w:szCs w:val="18"/>
                <w:lang w:eastAsia="en-AU"/>
              </w:rPr>
              <w:t>.</w:t>
            </w:r>
            <w:r>
              <w:rPr>
                <w:rFonts w:cs="Arial"/>
                <w:i/>
                <w:iCs/>
                <w:color w:val="000000"/>
                <w:sz w:val="18"/>
                <w:szCs w:val="18"/>
                <w:lang w:eastAsia="en-AU"/>
              </w:rPr>
              <w:t>6</w:t>
            </w:r>
          </w:p>
        </w:tc>
        <w:tc>
          <w:tcPr>
            <w:tcW w:w="1418" w:type="dxa"/>
            <w:tcBorders>
              <w:top w:val="single" w:sz="4" w:space="0" w:color="auto"/>
              <w:left w:val="single" w:sz="4" w:space="0" w:color="auto"/>
              <w:bottom w:val="single" w:sz="4" w:space="0" w:color="auto"/>
              <w:right w:val="single" w:sz="4" w:space="0" w:color="auto"/>
            </w:tcBorders>
            <w:vAlign w:val="center"/>
          </w:tcPr>
          <w:p w14:paraId="239CEEAE" w14:textId="77777777" w:rsidR="009E0412" w:rsidRPr="007B0B44" w:rsidRDefault="009E0412" w:rsidP="00164085">
            <w:pPr>
              <w:spacing w:after="0" w:line="240" w:lineRule="auto"/>
              <w:ind w:right="456"/>
              <w:jc w:val="right"/>
              <w:rPr>
                <w:rFonts w:cs="Arial"/>
                <w:i/>
                <w:iCs/>
                <w:sz w:val="18"/>
                <w:szCs w:val="18"/>
              </w:rPr>
            </w:pPr>
            <w:r>
              <w:rPr>
                <w:rFonts w:cs="Arial"/>
                <w:i/>
                <w:iCs/>
                <w:sz w:val="18"/>
                <w:szCs w:val="18"/>
              </w:rPr>
              <w:t>33</w:t>
            </w:r>
            <w:r w:rsidRPr="007B0B44">
              <w:rPr>
                <w:rFonts w:cs="Arial"/>
                <w:i/>
                <w:iCs/>
                <w:sz w:val="18"/>
                <w:szCs w:val="18"/>
              </w:rPr>
              <w:t>.</w:t>
            </w:r>
            <w:r>
              <w:rPr>
                <w:rFonts w:cs="Arial"/>
                <w:i/>
                <w:iCs/>
                <w:sz w:val="18"/>
                <w:szCs w:val="18"/>
              </w:rPr>
              <w:t>4</w:t>
            </w:r>
          </w:p>
        </w:tc>
        <w:tc>
          <w:tcPr>
            <w:tcW w:w="1138" w:type="dxa"/>
            <w:tcBorders>
              <w:top w:val="single" w:sz="4" w:space="0" w:color="auto"/>
              <w:left w:val="single" w:sz="4" w:space="0" w:color="auto"/>
              <w:bottom w:val="single" w:sz="4" w:space="0" w:color="auto"/>
              <w:right w:val="single" w:sz="4" w:space="0" w:color="auto"/>
            </w:tcBorders>
            <w:vAlign w:val="center"/>
          </w:tcPr>
          <w:p w14:paraId="567D4514" w14:textId="77777777" w:rsidR="009E0412" w:rsidRPr="007B0B44" w:rsidRDefault="009E0412" w:rsidP="00164085">
            <w:pPr>
              <w:spacing w:after="0" w:line="240" w:lineRule="auto"/>
              <w:ind w:right="421"/>
              <w:jc w:val="right"/>
              <w:rPr>
                <w:rFonts w:cs="Arial"/>
                <w:i/>
                <w:iCs/>
                <w:sz w:val="18"/>
                <w:szCs w:val="18"/>
              </w:rPr>
            </w:pPr>
            <w:r>
              <w:rPr>
                <w:rFonts w:cs="Arial"/>
                <w:i/>
                <w:iCs/>
                <w:color w:val="000000"/>
                <w:sz w:val="18"/>
                <w:szCs w:val="18"/>
              </w:rPr>
              <w:t>47</w:t>
            </w:r>
            <w:r w:rsidRPr="007B0B44">
              <w:rPr>
                <w:rFonts w:cs="Arial"/>
                <w:i/>
                <w:iCs/>
                <w:color w:val="000000"/>
                <w:sz w:val="18"/>
                <w:szCs w:val="18"/>
              </w:rPr>
              <w:t>.</w:t>
            </w:r>
            <w:r>
              <w:rPr>
                <w:rFonts w:cs="Arial"/>
                <w:i/>
                <w:iCs/>
                <w:color w:val="000000"/>
                <w:sz w:val="18"/>
                <w:szCs w:val="18"/>
              </w:rPr>
              <w:t>2</w:t>
            </w:r>
          </w:p>
        </w:tc>
      </w:tr>
    </w:tbl>
    <w:p w14:paraId="7E3AA8EC" w14:textId="354D2E92" w:rsidR="00FF751D" w:rsidRDefault="00FF751D" w:rsidP="00FF751D">
      <w:pPr>
        <w:spacing w:after="0" w:line="240" w:lineRule="auto"/>
        <w:ind w:left="709"/>
        <w:rPr>
          <w:b/>
          <w:bCs/>
          <w:sz w:val="18"/>
          <w:szCs w:val="18"/>
        </w:rPr>
      </w:pPr>
      <w:r>
        <w:rPr>
          <w:b/>
          <w:bCs/>
          <w:sz w:val="18"/>
          <w:szCs w:val="18"/>
        </w:rPr>
        <w:t>Note:</w:t>
      </w:r>
      <w:r w:rsidR="00E600A1">
        <w:rPr>
          <w:b/>
          <w:bCs/>
          <w:sz w:val="18"/>
          <w:szCs w:val="18"/>
        </w:rPr>
        <w:t xml:space="preserve"> *</w:t>
      </w:r>
      <w:r>
        <w:rPr>
          <w:b/>
          <w:bCs/>
          <w:sz w:val="18"/>
          <w:szCs w:val="18"/>
        </w:rPr>
        <w:t xml:space="preserve"> </w:t>
      </w:r>
      <w:r w:rsidRPr="00FF751D">
        <w:rPr>
          <w:sz w:val="18"/>
          <w:szCs w:val="18"/>
        </w:rPr>
        <w:t xml:space="preserve">The </w:t>
      </w:r>
      <w:r w:rsidRPr="00FF751D">
        <w:rPr>
          <w:i/>
          <w:iCs/>
          <w:sz w:val="18"/>
          <w:szCs w:val="18"/>
        </w:rPr>
        <w:t>Equity Group</w:t>
      </w:r>
      <w:r w:rsidRPr="00FF751D">
        <w:rPr>
          <w:sz w:val="18"/>
          <w:szCs w:val="18"/>
        </w:rPr>
        <w:t xml:space="preserve"> measure is a sum of the four groups under consideration</w:t>
      </w:r>
      <w:r w:rsidR="00141065">
        <w:rPr>
          <w:sz w:val="18"/>
          <w:szCs w:val="18"/>
        </w:rPr>
        <w:t>, adjusting for membership of</w:t>
      </w:r>
      <w:r w:rsidRPr="00FF751D">
        <w:rPr>
          <w:sz w:val="18"/>
          <w:szCs w:val="18"/>
        </w:rPr>
        <w:t xml:space="preserve"> multiple equity groups</w:t>
      </w:r>
      <w:r w:rsidR="00141065">
        <w:rPr>
          <w:sz w:val="18"/>
          <w:szCs w:val="18"/>
        </w:rPr>
        <w:t xml:space="preserve">. </w:t>
      </w:r>
    </w:p>
    <w:p w14:paraId="2A1576D1" w14:textId="689C121E" w:rsidR="009E0412" w:rsidRDefault="009E0412" w:rsidP="00D943E4">
      <w:pPr>
        <w:spacing w:after="0" w:line="240" w:lineRule="auto"/>
        <w:ind w:firstLine="720"/>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r w:rsidRPr="009E5181">
        <w:rPr>
          <w:rFonts w:cs="Arial"/>
          <w:sz w:val="18"/>
          <w:szCs w:val="18"/>
        </w:rPr>
        <w:t xml:space="preserve"> </w:t>
      </w:r>
      <w:r>
        <w:rPr>
          <w:sz w:val="18"/>
          <w:szCs w:val="18"/>
        </w:rPr>
        <w:t xml:space="preserve"> </w:t>
      </w:r>
      <w:r>
        <w:t xml:space="preserve"> </w:t>
      </w:r>
    </w:p>
    <w:p w14:paraId="285C79A6" w14:textId="114CCC9F" w:rsidR="00432A0D" w:rsidRDefault="009E0412" w:rsidP="007F0FC3">
      <w:pPr>
        <w:ind w:left="720"/>
      </w:pPr>
      <w:r>
        <w:br/>
      </w:r>
      <w:r w:rsidR="005A2435">
        <w:t>The</w:t>
      </w:r>
      <w:r w:rsidR="00432A0D">
        <w:t xml:space="preserve"> combination of</w:t>
      </w:r>
      <w:r w:rsidR="005A2435">
        <w:t xml:space="preserve"> </w:t>
      </w:r>
      <w:r w:rsidR="00432A0D">
        <w:t xml:space="preserve">the </w:t>
      </w:r>
      <w:r w:rsidR="005A2435">
        <w:t xml:space="preserve">DDS </w:t>
      </w:r>
      <w:r w:rsidR="00432A0D">
        <w:t xml:space="preserve">and targeted equity support </w:t>
      </w:r>
      <w:r w:rsidR="009875BF">
        <w:t>saw both an</w:t>
      </w:r>
      <w:r w:rsidR="005A2435">
        <w:t xml:space="preserve"> increase </w:t>
      </w:r>
      <w:r w:rsidR="009875BF">
        <w:t xml:space="preserve">in </w:t>
      </w:r>
      <w:r w:rsidR="005A2435">
        <w:t>overall enrolments</w:t>
      </w:r>
      <w:r w:rsidR="00ED00A7">
        <w:t xml:space="preserve"> as well as </w:t>
      </w:r>
      <w:r w:rsidR="007E2597">
        <w:t>an</w:t>
      </w:r>
      <w:r w:rsidR="00ED00A7">
        <w:t xml:space="preserve"> increase in equity group representation in the system</w:t>
      </w:r>
      <w:r w:rsidR="00432A0D">
        <w:t xml:space="preserve"> </w:t>
      </w:r>
      <w:r w:rsidR="0019188E">
        <w:t>in the post-Bradley era</w:t>
      </w:r>
      <w:r w:rsidR="00432A0D">
        <w:t>.</w:t>
      </w:r>
      <w:r w:rsidR="007B1922">
        <w:t xml:space="preserve"> The analysis </w:t>
      </w:r>
      <w:r w:rsidR="007F0FC3">
        <w:t>reported</w:t>
      </w:r>
      <w:r w:rsidR="007B1922">
        <w:t xml:space="preserve"> here </w:t>
      </w:r>
      <w:r w:rsidR="00027DDC">
        <w:t>provides projections for parity targets in view of similar conditions – an expansion in overall enrolments and concerted policy efforts to increase equity group</w:t>
      </w:r>
      <w:r w:rsidR="004A1B8A">
        <w:t xml:space="preserve"> participation. </w:t>
      </w:r>
      <w:r w:rsidR="007B1922">
        <w:t xml:space="preserve">  </w:t>
      </w:r>
      <w:r w:rsidR="00432A0D">
        <w:t xml:space="preserve">  </w:t>
      </w:r>
      <w:r w:rsidR="00ED00A7">
        <w:t xml:space="preserve"> </w:t>
      </w:r>
      <w:r w:rsidR="00432A0D">
        <w:br w:type="page"/>
      </w:r>
    </w:p>
    <w:p w14:paraId="3D99146E" w14:textId="61BBE046" w:rsidR="00A961D0" w:rsidRDefault="00346464" w:rsidP="00B0246A">
      <w:pPr>
        <w:pStyle w:val="Heading2"/>
      </w:pPr>
      <w:r>
        <w:lastRenderedPageBreak/>
        <w:t xml:space="preserve">Modelling Parity Targets in Australian Higher Education </w:t>
      </w:r>
    </w:p>
    <w:p w14:paraId="4EE0F062" w14:textId="51A74F32" w:rsidR="00C0449E" w:rsidRPr="006928B5" w:rsidRDefault="00C0449E" w:rsidP="00581958">
      <w:pPr>
        <w:pStyle w:val="ListParagraph"/>
        <w:rPr>
          <w:b/>
          <w:bCs/>
        </w:rPr>
      </w:pPr>
      <w:bookmarkStart w:id="13" w:name="_Hlk149318350"/>
      <w:r w:rsidRPr="00C0449E">
        <w:rPr>
          <w:b/>
          <w:bCs/>
        </w:rPr>
        <w:t>Equity Groups:</w:t>
      </w:r>
      <w:r>
        <w:t xml:space="preserve"> We </w:t>
      </w:r>
      <w:r w:rsidRPr="00581958">
        <w:t>undertake</w:t>
      </w:r>
      <w:r>
        <w:t xml:space="preserve"> </w:t>
      </w:r>
      <w:bookmarkEnd w:id="13"/>
      <w:r>
        <w:t xml:space="preserve">an analysis of policy options in relation to equity group parity for the four equity groups (low SES; regional/remote; First </w:t>
      </w:r>
      <w:r w:rsidR="00031E07">
        <w:t>N</w:t>
      </w:r>
      <w:r>
        <w:t xml:space="preserve">ations; students with disability) and a composite group, </w:t>
      </w:r>
      <w:r w:rsidRPr="00C0449E">
        <w:rPr>
          <w:i/>
          <w:iCs/>
        </w:rPr>
        <w:t>Equity</w:t>
      </w:r>
      <w:r w:rsidR="00140BA7">
        <w:rPr>
          <w:i/>
          <w:iCs/>
        </w:rPr>
        <w:t xml:space="preserve"> Group</w:t>
      </w:r>
      <w:r>
        <w:t>, which is the total enrolment across all four groups after adjusting for multiple group membership</w:t>
      </w:r>
      <w:r w:rsidR="004A1B8A">
        <w:t xml:space="preserve"> (as per Table A above)</w:t>
      </w:r>
      <w:r>
        <w:t xml:space="preserve">. </w:t>
      </w:r>
      <w:r w:rsidR="00AD49AC">
        <w:t xml:space="preserve">Low SES and regional/remote students are identified using </w:t>
      </w:r>
      <w:r w:rsidR="00FF3A12">
        <w:t>‘</w:t>
      </w:r>
      <w:r w:rsidR="00AD49AC">
        <w:t>first address</w:t>
      </w:r>
      <w:r w:rsidR="00FF3A12">
        <w:t>’, which assigns status to students using their home address at</w:t>
      </w:r>
      <w:r w:rsidR="003251C7">
        <w:t xml:space="preserve"> the</w:t>
      </w:r>
      <w:r w:rsidR="00FF3A12">
        <w:t xml:space="preserve"> commencement</w:t>
      </w:r>
      <w:r w:rsidR="003251C7">
        <w:t xml:space="preserve"> of their studies.</w:t>
      </w:r>
    </w:p>
    <w:p w14:paraId="7237EA34" w14:textId="77777777" w:rsidR="00C0449E" w:rsidRDefault="00C0449E" w:rsidP="00581958">
      <w:pPr>
        <w:pStyle w:val="ListParagraph"/>
        <w:numPr>
          <w:ilvl w:val="0"/>
          <w:numId w:val="0"/>
        </w:numPr>
        <w:ind w:left="357"/>
      </w:pPr>
    </w:p>
    <w:p w14:paraId="7A175CBA" w14:textId="063158BB" w:rsidR="00C0449E" w:rsidRPr="000422CA" w:rsidRDefault="00C0449E" w:rsidP="00581958">
      <w:pPr>
        <w:pStyle w:val="ListParagraph"/>
        <w:rPr>
          <w:b/>
          <w:bCs/>
        </w:rPr>
      </w:pPr>
      <w:r w:rsidRPr="00C0449E">
        <w:rPr>
          <w:b/>
          <w:bCs/>
        </w:rPr>
        <w:t>University Demand Projections:</w:t>
      </w:r>
      <w:r>
        <w:t xml:space="preserve"> We base our parity target</w:t>
      </w:r>
      <w:r w:rsidR="008261DA">
        <w:t xml:space="preserve"> projections</w:t>
      </w:r>
      <w:r>
        <w:t xml:space="preserve"> on the Australian Government Department of Education’s (“the Department”) projections on participation and completion to 2035 for the Accord Panel’s Interim Report (Australian Universities Accord, 2023), and confirmed projections to 2040 and 2050 from that work. Those projections draw on the work from BIS-OE which indicate that by 2050 around 55% of all employed persons will require a higher education qualification, compared with 36% presently. The Department’s projections for higher education to meet this demand require:</w:t>
      </w:r>
    </w:p>
    <w:p w14:paraId="7F0D4DCE" w14:textId="77777777" w:rsidR="000422CA" w:rsidRPr="006928B5" w:rsidRDefault="000422CA" w:rsidP="00581958">
      <w:pPr>
        <w:pStyle w:val="ListParagraph"/>
        <w:numPr>
          <w:ilvl w:val="0"/>
          <w:numId w:val="0"/>
        </w:numPr>
        <w:ind w:left="357"/>
      </w:pPr>
    </w:p>
    <w:p w14:paraId="6D4D4FE4" w14:textId="6B8FB829" w:rsidR="00C0449E" w:rsidRDefault="00C0449E" w:rsidP="00581958">
      <w:pPr>
        <w:pStyle w:val="ListParagraph"/>
        <w:numPr>
          <w:ilvl w:val="1"/>
          <w:numId w:val="43"/>
        </w:numPr>
      </w:pPr>
      <w:r w:rsidRPr="00657242">
        <w:rPr>
          <w:b/>
          <w:bCs/>
        </w:rPr>
        <w:t>Participation:</w:t>
      </w:r>
      <w:r>
        <w:t xml:space="preserve"> An increase</w:t>
      </w:r>
      <w:r w:rsidRPr="00400109">
        <w:t xml:space="preserve"> in Australian undergraduate enrolments from a headcount of around 7</w:t>
      </w:r>
      <w:r>
        <w:t>84,000</w:t>
      </w:r>
      <w:r w:rsidRPr="00400109">
        <w:t xml:space="preserve"> in 2021 to 1.</w:t>
      </w:r>
      <w:r>
        <w:t>07</w:t>
      </w:r>
      <w:r w:rsidRPr="00400109">
        <w:t xml:space="preserve"> million in 2035, </w:t>
      </w:r>
      <w:r>
        <w:t xml:space="preserve">or </w:t>
      </w:r>
      <w:r w:rsidRPr="00400109">
        <w:t xml:space="preserve">an increase in enrolments </w:t>
      </w:r>
      <w:r>
        <w:t>of 36.4</w:t>
      </w:r>
      <w:r w:rsidRPr="00400109">
        <w:t>% over a 14-year period</w:t>
      </w:r>
      <w:r>
        <w:t>. Beyond, 2035, enrolment headcounts to 2040 and 2050 are 1.3 million and 1.8 million</w:t>
      </w:r>
      <w:r w:rsidR="006333F5">
        <w:t>,</w:t>
      </w:r>
      <w:r>
        <w:t xml:space="preserve"> respectively.  </w:t>
      </w:r>
    </w:p>
    <w:p w14:paraId="4A9906B4" w14:textId="006F563F" w:rsidR="00C0449E" w:rsidRPr="00FF0A2D" w:rsidRDefault="00C0449E" w:rsidP="00581958">
      <w:pPr>
        <w:pStyle w:val="ListParagraph"/>
        <w:numPr>
          <w:ilvl w:val="1"/>
          <w:numId w:val="43"/>
        </w:numPr>
      </w:pPr>
      <w:r w:rsidRPr="00657242">
        <w:rPr>
          <w:b/>
          <w:bCs/>
        </w:rPr>
        <w:t>Completion:</w:t>
      </w:r>
      <w:r>
        <w:t xml:space="preserve"> F</w:t>
      </w:r>
      <w:r w:rsidRPr="00400109">
        <w:t xml:space="preserve">irst-time completions </w:t>
      </w:r>
      <w:r>
        <w:t xml:space="preserve">will </w:t>
      </w:r>
      <w:r w:rsidRPr="00400109">
        <w:t>need to rise by 27% from 118,000</w:t>
      </w:r>
      <w:r>
        <w:t xml:space="preserve"> in 2021</w:t>
      </w:r>
      <w:r w:rsidRPr="00400109">
        <w:t xml:space="preserve"> to 151,000 in 2035</w:t>
      </w:r>
      <w:r>
        <w:t>, rising to 195,000 in 2040 and 277,000 in 2050</w:t>
      </w:r>
      <w:r w:rsidR="00FF0A2D">
        <w:t>.</w:t>
      </w:r>
      <w:r>
        <w:t xml:space="preserve"> </w:t>
      </w:r>
    </w:p>
    <w:p w14:paraId="16499D34" w14:textId="77777777" w:rsidR="00C0449E" w:rsidRDefault="00C0449E" w:rsidP="00581958">
      <w:pPr>
        <w:pStyle w:val="ListParagraph"/>
        <w:numPr>
          <w:ilvl w:val="0"/>
          <w:numId w:val="0"/>
        </w:numPr>
        <w:ind w:left="357"/>
      </w:pPr>
    </w:p>
    <w:p w14:paraId="5D7301F6" w14:textId="2F24D0FF" w:rsidR="000422CA" w:rsidRPr="00A160A2" w:rsidRDefault="009D37C6" w:rsidP="00A160A2">
      <w:pPr>
        <w:pStyle w:val="ListParagraph"/>
        <w:rPr>
          <w:b/>
          <w:bCs/>
        </w:rPr>
      </w:pPr>
      <w:r>
        <w:rPr>
          <w:b/>
          <w:bCs/>
        </w:rPr>
        <w:t>Achieving Parity</w:t>
      </w:r>
      <w:r w:rsidR="00A961D0" w:rsidRPr="00116FD3">
        <w:rPr>
          <w:b/>
          <w:bCs/>
        </w:rPr>
        <w:t xml:space="preserve">: </w:t>
      </w:r>
      <w:r w:rsidR="0080649A">
        <w:t>Population parity targets establish participation and completion</w:t>
      </w:r>
      <w:r w:rsidR="00ED2217">
        <w:t xml:space="preserve"> share</w:t>
      </w:r>
      <w:r w:rsidR="008F2741">
        <w:t>s</w:t>
      </w:r>
      <w:r w:rsidR="006D2C1B">
        <w:t xml:space="preserve"> – formerly known as</w:t>
      </w:r>
      <w:r w:rsidR="008F2741">
        <w:t xml:space="preserve"> the</w:t>
      </w:r>
      <w:r w:rsidR="006D2C1B">
        <w:t xml:space="preserve"> </w:t>
      </w:r>
      <w:r w:rsidR="0089578C">
        <w:rPr>
          <w:b/>
          <w:bCs/>
        </w:rPr>
        <w:t>p</w:t>
      </w:r>
      <w:r w:rsidR="006D2C1B" w:rsidRPr="00116FD3">
        <w:rPr>
          <w:b/>
          <w:bCs/>
        </w:rPr>
        <w:t>articipation</w:t>
      </w:r>
      <w:r w:rsidR="008F2741" w:rsidRPr="00116FD3">
        <w:rPr>
          <w:b/>
          <w:bCs/>
        </w:rPr>
        <w:t xml:space="preserve"> </w:t>
      </w:r>
      <w:r w:rsidR="0089578C">
        <w:rPr>
          <w:b/>
          <w:bCs/>
        </w:rPr>
        <w:t>r</w:t>
      </w:r>
      <w:r w:rsidR="008F2741" w:rsidRPr="00116FD3">
        <w:rPr>
          <w:b/>
          <w:bCs/>
        </w:rPr>
        <w:t>ate</w:t>
      </w:r>
      <w:r w:rsidR="006D2C1B" w:rsidRPr="00116FD3">
        <w:rPr>
          <w:b/>
          <w:bCs/>
        </w:rPr>
        <w:t xml:space="preserve"> </w:t>
      </w:r>
      <w:r w:rsidR="006D2C1B">
        <w:t>and</w:t>
      </w:r>
      <w:r w:rsidR="008F2741">
        <w:t xml:space="preserve"> the</w:t>
      </w:r>
      <w:r w:rsidR="00ED2217">
        <w:t xml:space="preserve"> </w:t>
      </w:r>
      <w:r w:rsidR="00A35172">
        <w:rPr>
          <w:b/>
          <w:bCs/>
        </w:rPr>
        <w:t xml:space="preserve">completion </w:t>
      </w:r>
      <w:r w:rsidR="0089578C">
        <w:rPr>
          <w:b/>
          <w:bCs/>
        </w:rPr>
        <w:t>r</w:t>
      </w:r>
      <w:r w:rsidR="00ED2217" w:rsidRPr="00116FD3">
        <w:rPr>
          <w:b/>
          <w:bCs/>
        </w:rPr>
        <w:t>ate</w:t>
      </w:r>
      <w:r w:rsidR="006D2C1B">
        <w:t xml:space="preserve"> –</w:t>
      </w:r>
      <w:r w:rsidR="0080649A">
        <w:t xml:space="preserve"> targets for equity groups that are identical to their share of population aged 15 to 64</w:t>
      </w:r>
      <w:r w:rsidR="005D1619">
        <w:t xml:space="preserve"> years</w:t>
      </w:r>
      <w:r w:rsidR="0080649A">
        <w:t>.</w:t>
      </w:r>
      <w:r w:rsidR="00E86F46">
        <w:t xml:space="preserve"> </w:t>
      </w:r>
      <w:r w:rsidR="00A160A2">
        <w:br/>
      </w:r>
      <w:r w:rsidR="00A160A2">
        <w:br/>
      </w:r>
      <w:r w:rsidR="004C61A1">
        <w:t>An equity</w:t>
      </w:r>
      <w:r w:rsidR="008F2741">
        <w:t xml:space="preserve"> group’s </w:t>
      </w:r>
      <w:r w:rsidR="004C61A1" w:rsidRPr="00A160A2">
        <w:rPr>
          <w:b/>
          <w:bCs/>
        </w:rPr>
        <w:t>performance ratio</w:t>
      </w:r>
      <w:r w:rsidR="004C61A1">
        <w:t xml:space="preserve"> for </w:t>
      </w:r>
      <w:r w:rsidR="008F2741">
        <w:t xml:space="preserve">participation </w:t>
      </w:r>
      <w:r w:rsidR="004C61A1">
        <w:t>and completion</w:t>
      </w:r>
      <w:r w:rsidR="008F2741">
        <w:t xml:space="preserve"> is</w:t>
      </w:r>
      <w:r w:rsidR="004C61A1">
        <w:t xml:space="preserve"> ca</w:t>
      </w:r>
      <w:r w:rsidR="00116FD3">
        <w:t xml:space="preserve">lculated by dividing the above rates by </w:t>
      </w:r>
      <w:r w:rsidR="00B000BE">
        <w:t>a</w:t>
      </w:r>
      <w:r w:rsidR="00B000BE" w:rsidRPr="00A160A2">
        <w:rPr>
          <w:b/>
          <w:bCs/>
        </w:rPr>
        <w:t xml:space="preserve"> reference value</w:t>
      </w:r>
      <w:r w:rsidR="00B000BE">
        <w:t xml:space="preserve"> – the equity group share of </w:t>
      </w:r>
      <w:r w:rsidR="00116FD3">
        <w:t>population</w:t>
      </w:r>
      <w:r w:rsidR="00B000BE">
        <w:t xml:space="preserve"> – </w:t>
      </w:r>
      <w:r w:rsidR="00116FD3">
        <w:t xml:space="preserve">with a ratio of 1.00 indicating parity has been achieved.  </w:t>
      </w:r>
      <w:r w:rsidR="00F614ED">
        <w:t xml:space="preserve">Table </w:t>
      </w:r>
      <w:r w:rsidR="002127EA">
        <w:t>B</w:t>
      </w:r>
      <w:r w:rsidR="00F614ED">
        <w:t xml:space="preserve"> below shows the extent of this challenge. For instance, the national low SES</w:t>
      </w:r>
      <w:r w:rsidR="00EA6644">
        <w:t xml:space="preserve"> share is equal to the 25% of the Australian population who live in the lowest</w:t>
      </w:r>
      <w:r w:rsidR="00644BAB">
        <w:t xml:space="preserve"> ranked </w:t>
      </w:r>
      <w:r w:rsidR="00C04EBB">
        <w:t>areas</w:t>
      </w:r>
      <w:r w:rsidR="0089578C">
        <w:t xml:space="preserve"> (postcodes or statistical collection areas)</w:t>
      </w:r>
      <w:r w:rsidR="00644BAB">
        <w:t xml:space="preserve"> </w:t>
      </w:r>
      <w:r w:rsidR="00C04EBB">
        <w:t>using</w:t>
      </w:r>
      <w:r w:rsidR="00644BAB">
        <w:t xml:space="preserve"> Australian Bureau of Statistics (ABS) </w:t>
      </w:r>
      <w:r w:rsidR="00C04EBB">
        <w:t>C</w:t>
      </w:r>
      <w:r w:rsidR="00644BAB">
        <w:t xml:space="preserve">ensus data on education </w:t>
      </w:r>
      <w:r w:rsidR="00644BAB">
        <w:lastRenderedPageBreak/>
        <w:t xml:space="preserve">and occupation status for </w:t>
      </w:r>
      <w:r w:rsidR="00C04EBB">
        <w:t>all</w:t>
      </w:r>
      <w:r w:rsidR="00644BAB">
        <w:t xml:space="preserve"> areas</w:t>
      </w:r>
      <w:r w:rsidR="009F4B08">
        <w:t>. However, the</w:t>
      </w:r>
      <w:r w:rsidR="00FD4A6D">
        <w:t xml:space="preserve"> low SES</w:t>
      </w:r>
      <w:r w:rsidR="009F4B08">
        <w:t xml:space="preserve"> participation</w:t>
      </w:r>
      <w:r w:rsidR="00FD4A6D">
        <w:t xml:space="preserve"> </w:t>
      </w:r>
      <w:r w:rsidR="009F4B08">
        <w:t>(</w:t>
      </w:r>
      <w:r w:rsidR="000407A0">
        <w:t>17.1</w:t>
      </w:r>
      <w:r w:rsidR="009F4B08">
        <w:t xml:space="preserve">%) and </w:t>
      </w:r>
      <w:r w:rsidR="00C47AB4">
        <w:t>completion</w:t>
      </w:r>
      <w:r w:rsidR="009F4B08">
        <w:t xml:space="preserve"> (</w:t>
      </w:r>
      <w:r w:rsidR="000407A0">
        <w:t>14.6</w:t>
      </w:r>
      <w:r w:rsidR="009F4B08">
        <w:t>%)</w:t>
      </w:r>
      <w:r w:rsidR="00FD4A6D">
        <w:t xml:space="preserve"> rates</w:t>
      </w:r>
      <w:r w:rsidR="00840E96">
        <w:t xml:space="preserve"> show that </w:t>
      </w:r>
      <w:r w:rsidR="003E2108">
        <w:t>low SES students are at two-thirds of population parity</w:t>
      </w:r>
      <w:r w:rsidR="00840E96">
        <w:t xml:space="preserve"> for participation with</w:t>
      </w:r>
      <w:r w:rsidR="00B871E5">
        <w:t xml:space="preserve"> </w:t>
      </w:r>
      <w:r w:rsidR="0089578C">
        <w:t>a</w:t>
      </w:r>
      <w:r w:rsidR="003E2108">
        <w:t xml:space="preserve"> </w:t>
      </w:r>
      <w:r w:rsidR="0089578C">
        <w:t>p</w:t>
      </w:r>
      <w:r w:rsidR="003E2108">
        <w:t xml:space="preserve">erformance ratio </w:t>
      </w:r>
      <w:r w:rsidR="0089578C">
        <w:t>o</w:t>
      </w:r>
      <w:r w:rsidR="003E2108">
        <w:t>f 0.6</w:t>
      </w:r>
      <w:r w:rsidR="00991CA4">
        <w:t>8</w:t>
      </w:r>
      <w:r w:rsidR="00840E96">
        <w:t>,</w:t>
      </w:r>
      <w:r w:rsidR="0089578C">
        <w:t xml:space="preserve"> and</w:t>
      </w:r>
      <w:r w:rsidR="00484974">
        <w:t xml:space="preserve"> an</w:t>
      </w:r>
      <w:r w:rsidR="0089578C">
        <w:t xml:space="preserve"> even lower</w:t>
      </w:r>
      <w:r w:rsidR="00597E33">
        <w:t xml:space="preserve"> ratio of 0.</w:t>
      </w:r>
      <w:r w:rsidR="002523F6">
        <w:t>5</w:t>
      </w:r>
      <w:r w:rsidR="00991CA4">
        <w:t>8</w:t>
      </w:r>
      <w:r w:rsidR="00597E33">
        <w:t xml:space="preserve"> for completion</w:t>
      </w:r>
      <w:r w:rsidR="009332E2">
        <w:t>, when compared to the national reference value of 25.0%</w:t>
      </w:r>
      <w:r w:rsidR="002523F6">
        <w:t>.</w:t>
      </w:r>
      <w:r w:rsidR="0089578C">
        <w:t xml:space="preserve"> First Nations students have even lower levels of representation</w:t>
      </w:r>
      <w:r w:rsidR="001A4652">
        <w:t xml:space="preserve">, with low rates of participation and high levels of attrition resulting in a </w:t>
      </w:r>
      <w:r w:rsidR="00C47AB4">
        <w:t>completion</w:t>
      </w:r>
      <w:r w:rsidR="001A4652">
        <w:t xml:space="preserve"> performance ratio of just 0.41, implying a completion share </w:t>
      </w:r>
      <w:r w:rsidR="00C75A28">
        <w:t>that is less than half the First Nation population share.</w:t>
      </w:r>
      <w:r w:rsidR="0089578C">
        <w:t xml:space="preserve"> </w:t>
      </w:r>
      <w:r w:rsidR="003E2108">
        <w:t xml:space="preserve"> </w:t>
      </w:r>
      <w:r w:rsidR="009F4B08">
        <w:t xml:space="preserve"> </w:t>
      </w:r>
      <w:r w:rsidR="00EA6644">
        <w:t xml:space="preserve"> </w:t>
      </w:r>
      <w:r w:rsidR="00F614ED">
        <w:t xml:space="preserve"> </w:t>
      </w:r>
      <w:r w:rsidR="0080649A">
        <w:t xml:space="preserve">  </w:t>
      </w:r>
    </w:p>
    <w:p w14:paraId="7DE3A6BB" w14:textId="77777777" w:rsidR="00432A0D" w:rsidRDefault="00432A0D" w:rsidP="00581958">
      <w:pPr>
        <w:pStyle w:val="ListParagraph"/>
        <w:numPr>
          <w:ilvl w:val="0"/>
          <w:numId w:val="0"/>
        </w:numPr>
        <w:ind w:left="357"/>
        <w:rPr>
          <w:lang w:eastAsia="en-AU"/>
        </w:rPr>
      </w:pPr>
    </w:p>
    <w:p w14:paraId="7F9087D0" w14:textId="161B9CC8" w:rsidR="00F86DCC" w:rsidRDefault="00F86DCC" w:rsidP="00581958">
      <w:pPr>
        <w:spacing w:line="240" w:lineRule="auto"/>
        <w:ind w:left="426"/>
      </w:pPr>
      <w:r>
        <w:rPr>
          <w:rFonts w:cstheme="minorHAnsi"/>
          <w:b/>
          <w:bCs/>
          <w:color w:val="000000"/>
          <w:sz w:val="18"/>
          <w:szCs w:val="18"/>
          <w:lang w:eastAsia="en-AU"/>
        </w:rPr>
        <w:t>Table</w:t>
      </w:r>
      <w:r w:rsidRPr="00F86DCC">
        <w:rPr>
          <w:rFonts w:cstheme="minorHAnsi"/>
          <w:b/>
          <w:bCs/>
          <w:color w:val="000000"/>
          <w:sz w:val="18"/>
          <w:szCs w:val="18"/>
          <w:lang w:eastAsia="en-AU"/>
        </w:rPr>
        <w:t xml:space="preserve"> </w:t>
      </w:r>
      <w:r w:rsidR="00432A0D">
        <w:rPr>
          <w:rFonts w:cstheme="minorHAnsi"/>
          <w:b/>
          <w:bCs/>
          <w:color w:val="000000"/>
          <w:sz w:val="18"/>
          <w:szCs w:val="18"/>
          <w:lang w:eastAsia="en-AU"/>
        </w:rPr>
        <w:t>B</w:t>
      </w:r>
      <w:r w:rsidRPr="00F86DCC">
        <w:rPr>
          <w:rFonts w:cstheme="minorHAnsi"/>
          <w:b/>
          <w:bCs/>
          <w:color w:val="000000"/>
          <w:sz w:val="18"/>
          <w:szCs w:val="18"/>
          <w:lang w:eastAsia="en-AU"/>
        </w:rPr>
        <w:t>:</w:t>
      </w:r>
      <w:r>
        <w:rPr>
          <w:rFonts w:cstheme="minorHAnsi"/>
          <w:color w:val="000000"/>
          <w:sz w:val="18"/>
          <w:szCs w:val="18"/>
          <w:lang w:eastAsia="en-AU"/>
        </w:rPr>
        <w:t xml:space="preserve"> </w:t>
      </w:r>
      <w:r w:rsidRPr="005907CC">
        <w:rPr>
          <w:rFonts w:cstheme="minorHAnsi"/>
          <w:color w:val="000000"/>
          <w:sz w:val="18"/>
          <w:szCs w:val="18"/>
          <w:lang w:eastAsia="en-AU"/>
        </w:rPr>
        <w:t>Equity Group</w:t>
      </w:r>
      <w:r w:rsidRPr="00185BAE">
        <w:rPr>
          <w:rFonts w:cstheme="minorHAnsi"/>
          <w:color w:val="000000"/>
          <w:sz w:val="18"/>
          <w:szCs w:val="18"/>
          <w:lang w:eastAsia="en-AU"/>
        </w:rPr>
        <w:t xml:space="preserve"> Population</w:t>
      </w:r>
      <w:r>
        <w:rPr>
          <w:rFonts w:cstheme="minorHAnsi"/>
          <w:color w:val="000000"/>
          <w:sz w:val="18"/>
          <w:szCs w:val="18"/>
          <w:lang w:eastAsia="en-AU"/>
        </w:rPr>
        <w:t xml:space="preserve"> Shares, </w:t>
      </w:r>
      <w:r w:rsidRPr="00185BAE">
        <w:rPr>
          <w:rFonts w:cstheme="minorHAnsi"/>
          <w:color w:val="000000"/>
          <w:sz w:val="18"/>
          <w:szCs w:val="18"/>
          <w:lang w:eastAsia="en-AU"/>
        </w:rPr>
        <w:t>Undergraduate Participation</w:t>
      </w:r>
      <w:r>
        <w:rPr>
          <w:rFonts w:cstheme="minorHAnsi"/>
          <w:color w:val="000000"/>
          <w:sz w:val="18"/>
          <w:szCs w:val="18"/>
          <w:lang w:eastAsia="en-AU"/>
        </w:rPr>
        <w:t xml:space="preserve"> Rates, and </w:t>
      </w:r>
      <w:r w:rsidR="00C47AB4">
        <w:rPr>
          <w:rFonts w:cstheme="minorHAnsi"/>
          <w:color w:val="000000"/>
          <w:sz w:val="18"/>
          <w:szCs w:val="18"/>
          <w:lang w:eastAsia="en-AU"/>
        </w:rPr>
        <w:t>Completion</w:t>
      </w:r>
      <w:r>
        <w:rPr>
          <w:rFonts w:cstheme="minorHAnsi"/>
          <w:color w:val="000000"/>
          <w:sz w:val="18"/>
          <w:szCs w:val="18"/>
          <w:lang w:eastAsia="en-AU"/>
        </w:rPr>
        <w:t xml:space="preserve"> Rates </w:t>
      </w:r>
      <w:r w:rsidRPr="00185BAE">
        <w:rPr>
          <w:rFonts w:cstheme="minorHAnsi"/>
          <w:color w:val="000000"/>
          <w:sz w:val="18"/>
          <w:szCs w:val="18"/>
          <w:lang w:eastAsia="en-AU"/>
        </w:rPr>
        <w:t xml:space="preserve">(Per cent) and </w:t>
      </w:r>
      <w:r>
        <w:rPr>
          <w:rFonts w:cstheme="minorHAnsi"/>
          <w:color w:val="000000"/>
          <w:sz w:val="18"/>
          <w:szCs w:val="18"/>
          <w:lang w:eastAsia="en-AU"/>
        </w:rPr>
        <w:t>(</w:t>
      </w:r>
      <w:r w:rsidRPr="00185BAE">
        <w:rPr>
          <w:rFonts w:cstheme="minorHAnsi"/>
          <w:color w:val="000000"/>
          <w:sz w:val="18"/>
          <w:szCs w:val="18"/>
          <w:lang w:eastAsia="en-AU"/>
        </w:rPr>
        <w:t>Performance Ratios</w:t>
      </w:r>
      <w:r>
        <w:rPr>
          <w:rFonts w:cstheme="minorHAnsi"/>
          <w:color w:val="000000"/>
          <w:sz w:val="18"/>
          <w:szCs w:val="18"/>
          <w:lang w:eastAsia="en-AU"/>
        </w:rPr>
        <w:t>)</w:t>
      </w:r>
      <w:r w:rsidRPr="00185BAE">
        <w:rPr>
          <w:rFonts w:cstheme="minorHAnsi"/>
          <w:color w:val="000000"/>
          <w:sz w:val="18"/>
          <w:szCs w:val="18"/>
          <w:lang w:eastAsia="en-AU"/>
        </w:rPr>
        <w:t xml:space="preserve"> (2021)</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843"/>
        <w:gridCol w:w="2268"/>
        <w:gridCol w:w="2552"/>
      </w:tblGrid>
      <w:tr w:rsidR="00F86DCC" w14:paraId="48795725" w14:textId="77777777" w:rsidTr="00581958">
        <w:trPr>
          <w:trHeight w:val="290"/>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2DF8B" w14:textId="77777777" w:rsidR="00F86DCC" w:rsidRPr="008226BC" w:rsidRDefault="00F86DCC">
            <w:pPr>
              <w:rPr>
                <w:rFonts w:cs="Arial"/>
                <w:b/>
                <w:bCs/>
                <w:color w:val="EDE8E0" w:themeColor="background1"/>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6B3B57"/>
            <w:vAlign w:val="center"/>
          </w:tcPr>
          <w:p w14:paraId="08369E28" w14:textId="64474958" w:rsidR="00F86DCC" w:rsidRPr="00F43DD4" w:rsidRDefault="00C326FF">
            <w:pPr>
              <w:spacing w:after="0" w:line="240" w:lineRule="auto"/>
              <w:jc w:val="center"/>
              <w:rPr>
                <w:rFonts w:cs="Arial"/>
                <w:b/>
                <w:bCs/>
                <w:color w:val="FFFFFF"/>
                <w:sz w:val="18"/>
                <w:szCs w:val="18"/>
              </w:rPr>
            </w:pPr>
            <w:r w:rsidRPr="00F43DD4">
              <w:rPr>
                <w:rFonts w:cs="Arial"/>
                <w:b/>
                <w:bCs/>
                <w:color w:val="FFFFFF"/>
                <w:sz w:val="18"/>
                <w:szCs w:val="18"/>
              </w:rPr>
              <w:t xml:space="preserve">National </w:t>
            </w:r>
            <w:r w:rsidR="00B000BE" w:rsidRPr="00F43DD4">
              <w:rPr>
                <w:rFonts w:cs="Arial"/>
                <w:b/>
                <w:bCs/>
                <w:color w:val="FFFFFF"/>
                <w:sz w:val="18"/>
                <w:szCs w:val="18"/>
              </w:rPr>
              <w:t>Reference Value</w:t>
            </w:r>
            <w:r w:rsidR="00F86DCC" w:rsidRPr="00F43DD4">
              <w:rPr>
                <w:rFonts w:cs="Arial"/>
                <w:b/>
                <w:bCs/>
                <w:color w:val="FFFFFF"/>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6B3B57"/>
            <w:vAlign w:val="center"/>
          </w:tcPr>
          <w:p w14:paraId="325E2306" w14:textId="77777777" w:rsidR="00F86DCC" w:rsidRPr="00F43DD4" w:rsidRDefault="00F86DCC">
            <w:pPr>
              <w:spacing w:after="0" w:line="240" w:lineRule="auto"/>
              <w:jc w:val="center"/>
              <w:rPr>
                <w:rFonts w:cs="Arial"/>
                <w:b/>
                <w:bCs/>
                <w:color w:val="FFFFFF"/>
                <w:sz w:val="18"/>
                <w:szCs w:val="18"/>
                <w:lang w:eastAsia="en-AU"/>
              </w:rPr>
            </w:pPr>
          </w:p>
          <w:p w14:paraId="60726363" w14:textId="090BFF2B" w:rsidR="00F86DCC" w:rsidRPr="00F43DD4" w:rsidRDefault="00F86DCC">
            <w:pPr>
              <w:spacing w:after="0" w:line="240" w:lineRule="auto"/>
              <w:jc w:val="center"/>
              <w:rPr>
                <w:rFonts w:cs="Arial"/>
                <w:b/>
                <w:bCs/>
                <w:color w:val="FFFFFF"/>
                <w:sz w:val="18"/>
                <w:szCs w:val="18"/>
                <w:lang w:eastAsia="en-AU"/>
              </w:rPr>
            </w:pPr>
            <w:r w:rsidRPr="00F43DD4">
              <w:rPr>
                <w:rFonts w:cs="Arial"/>
                <w:b/>
                <w:bCs/>
                <w:color w:val="FFFFFF"/>
                <w:sz w:val="18"/>
                <w:szCs w:val="18"/>
                <w:lang w:eastAsia="en-AU"/>
              </w:rPr>
              <w:t xml:space="preserve">Participation </w:t>
            </w:r>
            <w:r w:rsidR="00975ACD" w:rsidRPr="00F43DD4">
              <w:rPr>
                <w:rFonts w:cs="Arial"/>
                <w:b/>
                <w:bCs/>
                <w:color w:val="FFFFFF"/>
                <w:sz w:val="18"/>
                <w:szCs w:val="18"/>
                <w:lang w:eastAsia="en-AU"/>
              </w:rPr>
              <w:t>Rates</w:t>
            </w:r>
            <w:r w:rsidRPr="00F43DD4">
              <w:rPr>
                <w:rFonts w:cs="Arial"/>
                <w:b/>
                <w:bCs/>
                <w:color w:val="FFFFFF"/>
                <w:sz w:val="18"/>
                <w:szCs w:val="18"/>
                <w:lang w:eastAsia="en-AU"/>
              </w:rPr>
              <w:t xml:space="preserve"> % </w:t>
            </w:r>
            <w:r w:rsidRPr="00F43DD4">
              <w:rPr>
                <w:rFonts w:cs="Arial"/>
                <w:b/>
                <w:bCs/>
                <w:color w:val="FFFFFF"/>
                <w:sz w:val="18"/>
                <w:szCs w:val="18"/>
                <w:lang w:eastAsia="en-AU"/>
              </w:rPr>
              <w:br/>
              <w:t>(Performance Ratio)</w:t>
            </w:r>
          </w:p>
          <w:p w14:paraId="1F5BAE60" w14:textId="77777777" w:rsidR="00F86DCC" w:rsidRPr="00F43DD4" w:rsidRDefault="00F86DCC">
            <w:pPr>
              <w:spacing w:after="0" w:line="240" w:lineRule="auto"/>
              <w:jc w:val="center"/>
              <w:rPr>
                <w:rFonts w:cs="Arial"/>
                <w:b/>
                <w:bCs/>
                <w:color w:val="FFFFFF"/>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6B3B57"/>
            <w:vAlign w:val="center"/>
          </w:tcPr>
          <w:p w14:paraId="1466C24A" w14:textId="77777777" w:rsidR="00ED2217" w:rsidRPr="00F43DD4" w:rsidRDefault="00ED2217">
            <w:pPr>
              <w:spacing w:after="0" w:line="240" w:lineRule="auto"/>
              <w:jc w:val="center"/>
              <w:rPr>
                <w:rFonts w:cs="Arial"/>
                <w:b/>
                <w:bCs/>
                <w:color w:val="FFFFFF"/>
                <w:sz w:val="18"/>
                <w:szCs w:val="18"/>
                <w:lang w:eastAsia="en-AU"/>
              </w:rPr>
            </w:pPr>
          </w:p>
          <w:p w14:paraId="1A6A6193" w14:textId="130C5F9C" w:rsidR="00F86DCC" w:rsidRPr="00F43DD4" w:rsidRDefault="008D725F">
            <w:pPr>
              <w:spacing w:after="0" w:line="240" w:lineRule="auto"/>
              <w:jc w:val="center"/>
              <w:rPr>
                <w:rFonts w:cs="Arial"/>
                <w:b/>
                <w:bCs/>
                <w:color w:val="FFFFFF"/>
                <w:sz w:val="18"/>
                <w:szCs w:val="18"/>
                <w:lang w:eastAsia="en-AU"/>
              </w:rPr>
            </w:pPr>
            <w:r w:rsidRPr="00F43DD4">
              <w:rPr>
                <w:rFonts w:cs="Arial"/>
                <w:b/>
                <w:bCs/>
                <w:color w:val="FFFFFF"/>
                <w:sz w:val="18"/>
                <w:szCs w:val="18"/>
                <w:lang w:eastAsia="en-AU"/>
              </w:rPr>
              <w:t xml:space="preserve">Completion </w:t>
            </w:r>
            <w:r w:rsidR="00975ACD" w:rsidRPr="00F43DD4">
              <w:rPr>
                <w:rFonts w:cs="Arial"/>
                <w:b/>
                <w:bCs/>
                <w:color w:val="FFFFFF"/>
                <w:sz w:val="18"/>
                <w:szCs w:val="18"/>
                <w:lang w:eastAsia="en-AU"/>
              </w:rPr>
              <w:t>Rates</w:t>
            </w:r>
            <w:r w:rsidR="00F86DCC" w:rsidRPr="00F43DD4">
              <w:rPr>
                <w:rFonts w:cs="Arial"/>
                <w:b/>
                <w:bCs/>
                <w:color w:val="FFFFFF"/>
                <w:sz w:val="18"/>
                <w:szCs w:val="18"/>
                <w:lang w:eastAsia="en-AU"/>
              </w:rPr>
              <w:t xml:space="preserve"> % (Performance Ratio)</w:t>
            </w:r>
          </w:p>
          <w:p w14:paraId="7E2E1219" w14:textId="77777777" w:rsidR="00F86DCC" w:rsidRPr="00F43DD4" w:rsidRDefault="00F86DCC">
            <w:pPr>
              <w:spacing w:after="0" w:line="240" w:lineRule="auto"/>
              <w:jc w:val="center"/>
              <w:rPr>
                <w:rFonts w:cs="Arial"/>
                <w:b/>
                <w:bCs/>
                <w:color w:val="FFFFFF"/>
                <w:sz w:val="18"/>
                <w:szCs w:val="18"/>
              </w:rPr>
            </w:pPr>
          </w:p>
        </w:tc>
      </w:tr>
      <w:tr w:rsidR="00F86DCC" w14:paraId="0E879710" w14:textId="77777777" w:rsidTr="00581958">
        <w:trPr>
          <w:trHeight w:val="290"/>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72110F43" w14:textId="77777777" w:rsidR="00F86DCC" w:rsidRPr="008226BC" w:rsidRDefault="00F86DCC">
            <w:pPr>
              <w:spacing w:after="0" w:line="240" w:lineRule="auto"/>
              <w:rPr>
                <w:rFonts w:cs="Arial"/>
                <w:color w:val="000000"/>
                <w:sz w:val="18"/>
                <w:szCs w:val="18"/>
                <w:lang w:eastAsia="en-AU"/>
              </w:rPr>
            </w:pPr>
            <w:r w:rsidRPr="008226BC">
              <w:rPr>
                <w:rFonts w:cs="Arial"/>
                <w:color w:val="000000"/>
                <w:sz w:val="18"/>
                <w:szCs w:val="18"/>
                <w:lang w:eastAsia="en-AU"/>
              </w:rPr>
              <w:t xml:space="preserve">Low SES </w:t>
            </w:r>
          </w:p>
        </w:tc>
        <w:tc>
          <w:tcPr>
            <w:tcW w:w="1843" w:type="dxa"/>
            <w:tcBorders>
              <w:top w:val="single" w:sz="4" w:space="0" w:color="auto"/>
              <w:left w:val="single" w:sz="4" w:space="0" w:color="auto"/>
              <w:bottom w:val="single" w:sz="4" w:space="0" w:color="auto"/>
              <w:right w:val="single" w:sz="4" w:space="0" w:color="auto"/>
            </w:tcBorders>
            <w:vAlign w:val="center"/>
          </w:tcPr>
          <w:p w14:paraId="138381F7" w14:textId="77777777" w:rsidR="00F86DCC" w:rsidRPr="008226BC" w:rsidRDefault="00F86DCC" w:rsidP="005352E7">
            <w:pPr>
              <w:spacing w:after="0" w:line="240" w:lineRule="auto"/>
              <w:ind w:right="606"/>
              <w:jc w:val="right"/>
              <w:rPr>
                <w:rFonts w:cs="Arial"/>
                <w:sz w:val="18"/>
                <w:szCs w:val="18"/>
              </w:rPr>
            </w:pPr>
            <w:r w:rsidRPr="008226BC">
              <w:rPr>
                <w:rFonts w:cs="Arial"/>
                <w:sz w:val="18"/>
                <w:szCs w:val="18"/>
              </w:rPr>
              <w:t>25.0</w:t>
            </w:r>
          </w:p>
        </w:tc>
        <w:tc>
          <w:tcPr>
            <w:tcW w:w="2268" w:type="dxa"/>
            <w:tcBorders>
              <w:top w:val="single" w:sz="4" w:space="0" w:color="auto"/>
              <w:left w:val="single" w:sz="4" w:space="0" w:color="auto"/>
              <w:bottom w:val="single" w:sz="4" w:space="0" w:color="auto"/>
              <w:right w:val="single" w:sz="4" w:space="0" w:color="auto"/>
            </w:tcBorders>
            <w:vAlign w:val="center"/>
          </w:tcPr>
          <w:p w14:paraId="371DA7B0" w14:textId="51CB5992" w:rsidR="00F86DCC" w:rsidRPr="008226BC" w:rsidRDefault="0041546D" w:rsidP="005352E7">
            <w:pPr>
              <w:spacing w:after="0" w:line="240" w:lineRule="auto"/>
              <w:ind w:right="606"/>
              <w:jc w:val="right"/>
              <w:rPr>
                <w:rFonts w:cs="Arial"/>
                <w:sz w:val="18"/>
                <w:szCs w:val="18"/>
              </w:rPr>
            </w:pPr>
            <w:r>
              <w:rPr>
                <w:rFonts w:cs="Arial"/>
                <w:sz w:val="18"/>
                <w:szCs w:val="18"/>
              </w:rPr>
              <w:t>17.1</w:t>
            </w:r>
            <w:r w:rsidR="00F86DCC">
              <w:rPr>
                <w:rFonts w:cs="Arial"/>
                <w:sz w:val="18"/>
                <w:szCs w:val="18"/>
              </w:rPr>
              <w:t xml:space="preserve"> (0.6</w:t>
            </w:r>
            <w:r w:rsidR="006B1267">
              <w:rPr>
                <w:rFonts w:cs="Arial"/>
                <w:sz w:val="18"/>
                <w:szCs w:val="18"/>
              </w:rPr>
              <w:t>8</w:t>
            </w:r>
            <w:r w:rsidR="00F86DCC">
              <w:rPr>
                <w:rFonts w:cs="Arial"/>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14:paraId="07B6E54E" w14:textId="29A6BDF7" w:rsidR="00F86DCC" w:rsidRPr="008226BC" w:rsidRDefault="00E6300A" w:rsidP="005352E7">
            <w:pPr>
              <w:spacing w:after="0" w:line="240" w:lineRule="auto"/>
              <w:ind w:right="606"/>
              <w:jc w:val="right"/>
              <w:rPr>
                <w:rFonts w:cs="Arial"/>
                <w:sz w:val="18"/>
                <w:szCs w:val="18"/>
              </w:rPr>
            </w:pPr>
            <w:r>
              <w:rPr>
                <w:rFonts w:cs="Arial"/>
                <w:sz w:val="18"/>
                <w:szCs w:val="18"/>
              </w:rPr>
              <w:t>14.6</w:t>
            </w:r>
            <w:r w:rsidR="00F86DCC">
              <w:rPr>
                <w:rFonts w:cs="Arial"/>
                <w:sz w:val="18"/>
                <w:szCs w:val="18"/>
              </w:rPr>
              <w:t xml:space="preserve"> (0.5</w:t>
            </w:r>
            <w:r>
              <w:rPr>
                <w:rFonts w:cs="Arial"/>
                <w:sz w:val="18"/>
                <w:szCs w:val="18"/>
              </w:rPr>
              <w:t>8</w:t>
            </w:r>
            <w:r w:rsidR="00F86DCC">
              <w:rPr>
                <w:rFonts w:cs="Arial"/>
                <w:sz w:val="18"/>
                <w:szCs w:val="18"/>
              </w:rPr>
              <w:t>)</w:t>
            </w:r>
          </w:p>
        </w:tc>
      </w:tr>
      <w:tr w:rsidR="00F86DCC" w14:paraId="56F7C90E" w14:textId="77777777" w:rsidTr="00581958">
        <w:trPr>
          <w:trHeight w:val="290"/>
        </w:trPr>
        <w:tc>
          <w:tcPr>
            <w:tcW w:w="2126" w:type="dxa"/>
            <w:tcBorders>
              <w:top w:val="single" w:sz="4" w:space="0" w:color="auto"/>
              <w:left w:val="single" w:sz="4" w:space="0" w:color="auto"/>
              <w:bottom w:val="single" w:sz="4" w:space="0" w:color="auto"/>
              <w:right w:val="single" w:sz="4" w:space="0" w:color="auto"/>
            </w:tcBorders>
            <w:noWrap/>
            <w:vAlign w:val="center"/>
          </w:tcPr>
          <w:p w14:paraId="02BAFD5C" w14:textId="77777777" w:rsidR="00F86DCC" w:rsidRPr="008226BC" w:rsidRDefault="00F86DCC">
            <w:pPr>
              <w:spacing w:after="0" w:line="240" w:lineRule="auto"/>
              <w:rPr>
                <w:rFonts w:cs="Arial"/>
                <w:sz w:val="18"/>
                <w:szCs w:val="18"/>
                <w:lang w:eastAsia="en-AU"/>
              </w:rPr>
            </w:pPr>
            <w:r w:rsidRPr="008226BC">
              <w:rPr>
                <w:rFonts w:cs="Arial"/>
                <w:sz w:val="18"/>
                <w:szCs w:val="18"/>
                <w:lang w:eastAsia="en-AU"/>
              </w:rPr>
              <w:t>Regional/Remote</w:t>
            </w:r>
          </w:p>
        </w:tc>
        <w:tc>
          <w:tcPr>
            <w:tcW w:w="1843" w:type="dxa"/>
            <w:tcBorders>
              <w:top w:val="single" w:sz="4" w:space="0" w:color="auto"/>
              <w:left w:val="single" w:sz="4" w:space="0" w:color="auto"/>
              <w:bottom w:val="single" w:sz="4" w:space="0" w:color="auto"/>
              <w:right w:val="single" w:sz="4" w:space="0" w:color="auto"/>
            </w:tcBorders>
            <w:vAlign w:val="center"/>
          </w:tcPr>
          <w:p w14:paraId="5A965CE8" w14:textId="77777777" w:rsidR="00F86DCC" w:rsidRPr="008226BC" w:rsidRDefault="00F86DCC" w:rsidP="005352E7">
            <w:pPr>
              <w:spacing w:after="0" w:line="240" w:lineRule="auto"/>
              <w:ind w:right="606"/>
              <w:jc w:val="right"/>
              <w:rPr>
                <w:rFonts w:cs="Arial"/>
                <w:sz w:val="18"/>
                <w:szCs w:val="18"/>
                <w:lang w:eastAsia="en-AU"/>
              </w:rPr>
            </w:pPr>
            <w:r w:rsidRPr="008226BC">
              <w:rPr>
                <w:rFonts w:cs="Arial"/>
                <w:sz w:val="18"/>
                <w:szCs w:val="18"/>
                <w:lang w:eastAsia="en-AU"/>
              </w:rPr>
              <w:t>26.1</w:t>
            </w:r>
          </w:p>
        </w:tc>
        <w:tc>
          <w:tcPr>
            <w:tcW w:w="2268" w:type="dxa"/>
            <w:tcBorders>
              <w:top w:val="single" w:sz="4" w:space="0" w:color="auto"/>
              <w:left w:val="single" w:sz="4" w:space="0" w:color="auto"/>
              <w:bottom w:val="single" w:sz="4" w:space="0" w:color="auto"/>
              <w:right w:val="single" w:sz="4" w:space="0" w:color="auto"/>
            </w:tcBorders>
            <w:vAlign w:val="center"/>
          </w:tcPr>
          <w:p w14:paraId="557709BF" w14:textId="10275AF7" w:rsidR="00F86DCC" w:rsidRPr="008226BC" w:rsidRDefault="000400E0" w:rsidP="005352E7">
            <w:pPr>
              <w:spacing w:after="0" w:line="240" w:lineRule="auto"/>
              <w:ind w:right="606"/>
              <w:jc w:val="right"/>
              <w:rPr>
                <w:rFonts w:cs="Arial"/>
                <w:sz w:val="18"/>
                <w:szCs w:val="18"/>
                <w:lang w:eastAsia="en-AU"/>
              </w:rPr>
            </w:pPr>
            <w:r>
              <w:rPr>
                <w:rFonts w:cs="Arial"/>
                <w:sz w:val="18"/>
                <w:szCs w:val="18"/>
                <w:lang w:eastAsia="en-AU"/>
              </w:rPr>
              <w:t>20.5</w:t>
            </w:r>
            <w:r w:rsidR="00F86DCC">
              <w:rPr>
                <w:rFonts w:cs="Arial"/>
                <w:sz w:val="18"/>
                <w:szCs w:val="18"/>
                <w:lang w:eastAsia="en-AU"/>
              </w:rPr>
              <w:t xml:space="preserve"> (0.7</w:t>
            </w:r>
            <w:r w:rsidR="00DA4B94">
              <w:rPr>
                <w:rFonts w:cs="Arial"/>
                <w:sz w:val="18"/>
                <w:szCs w:val="18"/>
                <w:lang w:eastAsia="en-AU"/>
              </w:rPr>
              <w:t>8</w:t>
            </w:r>
            <w:r w:rsidR="00F86DCC">
              <w:rPr>
                <w:rFonts w:cs="Arial"/>
                <w:sz w:val="18"/>
                <w:szCs w:val="18"/>
                <w:lang w:eastAsia="en-AU"/>
              </w:rPr>
              <w:t>)</w:t>
            </w:r>
          </w:p>
        </w:tc>
        <w:tc>
          <w:tcPr>
            <w:tcW w:w="2552" w:type="dxa"/>
            <w:tcBorders>
              <w:top w:val="single" w:sz="4" w:space="0" w:color="auto"/>
              <w:left w:val="single" w:sz="4" w:space="0" w:color="auto"/>
              <w:bottom w:val="single" w:sz="4" w:space="0" w:color="auto"/>
              <w:right w:val="single" w:sz="4" w:space="0" w:color="auto"/>
            </w:tcBorders>
            <w:vAlign w:val="center"/>
          </w:tcPr>
          <w:p w14:paraId="52BDD095" w14:textId="122F54CE" w:rsidR="00F86DCC" w:rsidRPr="008226BC" w:rsidRDefault="001937BF" w:rsidP="005352E7">
            <w:pPr>
              <w:spacing w:after="0" w:line="240" w:lineRule="auto"/>
              <w:ind w:right="606"/>
              <w:jc w:val="right"/>
              <w:rPr>
                <w:rFonts w:cs="Arial"/>
                <w:sz w:val="18"/>
                <w:szCs w:val="18"/>
                <w:lang w:eastAsia="en-AU"/>
              </w:rPr>
            </w:pPr>
            <w:r>
              <w:rPr>
                <w:rFonts w:cs="Arial"/>
                <w:sz w:val="18"/>
                <w:szCs w:val="18"/>
                <w:lang w:eastAsia="en-AU"/>
              </w:rPr>
              <w:t>18.8</w:t>
            </w:r>
            <w:r w:rsidR="00F86DCC">
              <w:rPr>
                <w:rFonts w:cs="Arial"/>
                <w:sz w:val="18"/>
                <w:szCs w:val="18"/>
                <w:lang w:eastAsia="en-AU"/>
              </w:rPr>
              <w:t xml:space="preserve"> (0.</w:t>
            </w:r>
            <w:r>
              <w:rPr>
                <w:rFonts w:cs="Arial"/>
                <w:sz w:val="18"/>
                <w:szCs w:val="18"/>
                <w:lang w:eastAsia="en-AU"/>
              </w:rPr>
              <w:t>72</w:t>
            </w:r>
            <w:r w:rsidR="00F86DCC">
              <w:rPr>
                <w:rFonts w:cs="Arial"/>
                <w:sz w:val="18"/>
                <w:szCs w:val="18"/>
                <w:lang w:eastAsia="en-AU"/>
              </w:rPr>
              <w:t>)</w:t>
            </w:r>
          </w:p>
        </w:tc>
      </w:tr>
      <w:tr w:rsidR="00F86DCC" w14:paraId="302E0BA5" w14:textId="77777777" w:rsidTr="00581958">
        <w:trPr>
          <w:trHeight w:val="290"/>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7AE9119F" w14:textId="77777777" w:rsidR="00F86DCC" w:rsidRPr="008226BC" w:rsidRDefault="00F86DCC">
            <w:pPr>
              <w:spacing w:after="0" w:line="240" w:lineRule="auto"/>
              <w:rPr>
                <w:rFonts w:cs="Arial"/>
                <w:color w:val="000000"/>
                <w:sz w:val="18"/>
                <w:szCs w:val="18"/>
                <w:lang w:eastAsia="en-AU"/>
              </w:rPr>
            </w:pPr>
            <w:r w:rsidRPr="008226BC">
              <w:rPr>
                <w:rFonts w:cs="Arial"/>
                <w:color w:val="000000"/>
                <w:sz w:val="18"/>
                <w:szCs w:val="18"/>
                <w:lang w:eastAsia="en-AU"/>
              </w:rPr>
              <w:t xml:space="preserve">First Nations </w:t>
            </w:r>
          </w:p>
        </w:tc>
        <w:tc>
          <w:tcPr>
            <w:tcW w:w="1843" w:type="dxa"/>
            <w:tcBorders>
              <w:top w:val="single" w:sz="4" w:space="0" w:color="auto"/>
              <w:left w:val="single" w:sz="4" w:space="0" w:color="auto"/>
              <w:bottom w:val="single" w:sz="4" w:space="0" w:color="auto"/>
              <w:right w:val="single" w:sz="4" w:space="0" w:color="auto"/>
            </w:tcBorders>
            <w:vAlign w:val="center"/>
          </w:tcPr>
          <w:p w14:paraId="5A560469" w14:textId="77777777" w:rsidR="00F86DCC" w:rsidRPr="008226BC" w:rsidRDefault="00F86DCC" w:rsidP="005352E7">
            <w:pPr>
              <w:spacing w:after="0" w:line="240" w:lineRule="auto"/>
              <w:ind w:right="606"/>
              <w:jc w:val="right"/>
              <w:rPr>
                <w:rFonts w:cs="Arial"/>
                <w:sz w:val="18"/>
                <w:szCs w:val="18"/>
              </w:rPr>
            </w:pPr>
            <w:r w:rsidRPr="008226BC">
              <w:rPr>
                <w:rFonts w:cs="Arial"/>
                <w:sz w:val="18"/>
                <w:szCs w:val="18"/>
              </w:rPr>
              <w:t>3.4</w:t>
            </w:r>
          </w:p>
        </w:tc>
        <w:tc>
          <w:tcPr>
            <w:tcW w:w="2268" w:type="dxa"/>
            <w:tcBorders>
              <w:top w:val="single" w:sz="4" w:space="0" w:color="auto"/>
              <w:left w:val="single" w:sz="4" w:space="0" w:color="auto"/>
              <w:bottom w:val="single" w:sz="4" w:space="0" w:color="auto"/>
              <w:right w:val="single" w:sz="4" w:space="0" w:color="auto"/>
            </w:tcBorders>
            <w:vAlign w:val="center"/>
          </w:tcPr>
          <w:p w14:paraId="30F40F88" w14:textId="3ABC2479" w:rsidR="00F86DCC" w:rsidRPr="008226BC" w:rsidRDefault="00F86DCC" w:rsidP="005352E7">
            <w:pPr>
              <w:spacing w:after="0" w:line="240" w:lineRule="auto"/>
              <w:ind w:right="606"/>
              <w:jc w:val="right"/>
              <w:rPr>
                <w:rFonts w:cs="Arial"/>
                <w:sz w:val="18"/>
                <w:szCs w:val="18"/>
              </w:rPr>
            </w:pPr>
            <w:r w:rsidRPr="008226BC">
              <w:rPr>
                <w:rFonts w:cs="Arial"/>
                <w:sz w:val="18"/>
                <w:szCs w:val="18"/>
              </w:rPr>
              <w:t>2.1</w:t>
            </w:r>
            <w:r>
              <w:rPr>
                <w:rFonts w:cs="Arial"/>
                <w:sz w:val="18"/>
                <w:szCs w:val="18"/>
              </w:rPr>
              <w:t xml:space="preserve"> (0.6</w:t>
            </w:r>
            <w:r w:rsidR="00DA4B94">
              <w:rPr>
                <w:rFonts w:cs="Arial"/>
                <w:sz w:val="18"/>
                <w:szCs w:val="18"/>
              </w:rPr>
              <w:t>1</w:t>
            </w:r>
            <w:r>
              <w:rPr>
                <w:rFonts w:cs="Arial"/>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14:paraId="1E0490A7" w14:textId="77777777" w:rsidR="00F86DCC" w:rsidRPr="008226BC" w:rsidRDefault="00F86DCC" w:rsidP="005352E7">
            <w:pPr>
              <w:spacing w:after="0" w:line="240" w:lineRule="auto"/>
              <w:ind w:right="606"/>
              <w:jc w:val="right"/>
              <w:rPr>
                <w:rFonts w:cs="Arial"/>
                <w:sz w:val="18"/>
                <w:szCs w:val="18"/>
              </w:rPr>
            </w:pPr>
            <w:r>
              <w:rPr>
                <w:rFonts w:cs="Arial"/>
                <w:sz w:val="18"/>
                <w:szCs w:val="18"/>
              </w:rPr>
              <w:t>1.4 (0.41)</w:t>
            </w:r>
          </w:p>
        </w:tc>
      </w:tr>
      <w:tr w:rsidR="00F86DCC" w14:paraId="27D82948" w14:textId="77777777" w:rsidTr="00581958">
        <w:trPr>
          <w:trHeight w:val="290"/>
        </w:trPr>
        <w:tc>
          <w:tcPr>
            <w:tcW w:w="2126" w:type="dxa"/>
            <w:tcBorders>
              <w:top w:val="single" w:sz="4" w:space="0" w:color="auto"/>
              <w:left w:val="single" w:sz="4" w:space="0" w:color="auto"/>
              <w:bottom w:val="single" w:sz="4" w:space="0" w:color="auto"/>
              <w:right w:val="single" w:sz="4" w:space="0" w:color="auto"/>
            </w:tcBorders>
            <w:noWrap/>
            <w:vAlign w:val="center"/>
          </w:tcPr>
          <w:p w14:paraId="71817C86" w14:textId="77777777" w:rsidR="00F86DCC" w:rsidRPr="008226BC" w:rsidRDefault="00F86DCC">
            <w:pPr>
              <w:spacing w:after="0" w:line="240" w:lineRule="auto"/>
              <w:rPr>
                <w:rFonts w:cs="Arial"/>
                <w:color w:val="000000"/>
                <w:sz w:val="18"/>
                <w:szCs w:val="18"/>
                <w:lang w:eastAsia="en-AU"/>
              </w:rPr>
            </w:pPr>
            <w:r w:rsidRPr="008226BC">
              <w:rPr>
                <w:rFonts w:cs="Arial"/>
                <w:sz w:val="18"/>
                <w:szCs w:val="18"/>
                <w:lang w:eastAsia="en-AU"/>
              </w:rPr>
              <w:t>Disability</w:t>
            </w:r>
          </w:p>
        </w:tc>
        <w:tc>
          <w:tcPr>
            <w:tcW w:w="1843" w:type="dxa"/>
            <w:tcBorders>
              <w:top w:val="single" w:sz="4" w:space="0" w:color="auto"/>
              <w:left w:val="single" w:sz="4" w:space="0" w:color="auto"/>
              <w:bottom w:val="single" w:sz="4" w:space="0" w:color="auto"/>
              <w:right w:val="single" w:sz="4" w:space="0" w:color="auto"/>
            </w:tcBorders>
            <w:vAlign w:val="center"/>
          </w:tcPr>
          <w:p w14:paraId="0F931ABE" w14:textId="77777777" w:rsidR="00F86DCC" w:rsidRPr="008226BC" w:rsidRDefault="00F86DCC" w:rsidP="005352E7">
            <w:pPr>
              <w:spacing w:after="0" w:line="240" w:lineRule="auto"/>
              <w:ind w:right="606"/>
              <w:jc w:val="right"/>
              <w:rPr>
                <w:rFonts w:cs="Arial"/>
                <w:sz w:val="18"/>
                <w:szCs w:val="18"/>
              </w:rPr>
            </w:pPr>
            <w:r w:rsidRPr="008226BC">
              <w:rPr>
                <w:rFonts w:cs="Arial"/>
                <w:sz w:val="18"/>
                <w:szCs w:val="18"/>
              </w:rPr>
              <w:t>8.4</w:t>
            </w:r>
          </w:p>
        </w:tc>
        <w:tc>
          <w:tcPr>
            <w:tcW w:w="2268" w:type="dxa"/>
            <w:tcBorders>
              <w:top w:val="single" w:sz="4" w:space="0" w:color="auto"/>
              <w:left w:val="single" w:sz="4" w:space="0" w:color="auto"/>
              <w:bottom w:val="single" w:sz="4" w:space="0" w:color="auto"/>
              <w:right w:val="single" w:sz="4" w:space="0" w:color="auto"/>
            </w:tcBorders>
            <w:vAlign w:val="center"/>
          </w:tcPr>
          <w:p w14:paraId="19759A75" w14:textId="3E45E750" w:rsidR="00F86DCC" w:rsidRPr="008226BC" w:rsidRDefault="00F86DCC" w:rsidP="005352E7">
            <w:pPr>
              <w:spacing w:after="0" w:line="240" w:lineRule="auto"/>
              <w:ind w:right="606"/>
              <w:jc w:val="right"/>
              <w:rPr>
                <w:rFonts w:cs="Arial"/>
                <w:sz w:val="18"/>
                <w:szCs w:val="18"/>
              </w:rPr>
            </w:pPr>
            <w:r w:rsidRPr="008226BC">
              <w:rPr>
                <w:rFonts w:cs="Arial"/>
                <w:sz w:val="18"/>
                <w:szCs w:val="18"/>
              </w:rPr>
              <w:t>10.</w:t>
            </w:r>
            <w:r w:rsidR="00C5787D">
              <w:rPr>
                <w:rFonts w:cs="Arial"/>
                <w:sz w:val="18"/>
                <w:szCs w:val="18"/>
              </w:rPr>
              <w:t>3</w:t>
            </w:r>
            <w:r>
              <w:rPr>
                <w:rFonts w:cs="Arial"/>
                <w:sz w:val="18"/>
                <w:szCs w:val="18"/>
              </w:rPr>
              <w:t xml:space="preserve"> (1.2</w:t>
            </w:r>
            <w:r w:rsidR="00FB4266">
              <w:rPr>
                <w:rFonts w:cs="Arial"/>
                <w:sz w:val="18"/>
                <w:szCs w:val="18"/>
              </w:rPr>
              <w:t>3</w:t>
            </w:r>
            <w:r>
              <w:rPr>
                <w:rFonts w:cs="Arial"/>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14:paraId="4FB32D28" w14:textId="77777777" w:rsidR="00F86DCC" w:rsidRPr="008226BC" w:rsidRDefault="00F86DCC" w:rsidP="005352E7">
            <w:pPr>
              <w:spacing w:after="0" w:line="240" w:lineRule="auto"/>
              <w:ind w:right="606"/>
              <w:jc w:val="right"/>
              <w:rPr>
                <w:rFonts w:cs="Arial"/>
                <w:sz w:val="18"/>
                <w:szCs w:val="18"/>
              </w:rPr>
            </w:pPr>
            <w:r>
              <w:rPr>
                <w:rFonts w:cs="Arial"/>
                <w:sz w:val="18"/>
                <w:szCs w:val="18"/>
              </w:rPr>
              <w:t>7.8 (0.93)</w:t>
            </w:r>
          </w:p>
        </w:tc>
      </w:tr>
      <w:tr w:rsidR="00F86DCC" w14:paraId="2731340F" w14:textId="77777777" w:rsidTr="00581958">
        <w:trPr>
          <w:trHeight w:val="290"/>
        </w:trPr>
        <w:tc>
          <w:tcPr>
            <w:tcW w:w="2126" w:type="dxa"/>
            <w:tcBorders>
              <w:top w:val="single" w:sz="4" w:space="0" w:color="auto"/>
              <w:left w:val="single" w:sz="4" w:space="0" w:color="auto"/>
              <w:bottom w:val="single" w:sz="4" w:space="0" w:color="auto"/>
              <w:right w:val="single" w:sz="4" w:space="0" w:color="auto"/>
            </w:tcBorders>
            <w:noWrap/>
            <w:vAlign w:val="center"/>
          </w:tcPr>
          <w:p w14:paraId="2AB46927" w14:textId="02DC9503" w:rsidR="00F86DCC" w:rsidRPr="005352E7" w:rsidRDefault="00F86DCC">
            <w:pPr>
              <w:spacing w:after="0" w:line="240" w:lineRule="auto"/>
              <w:rPr>
                <w:rFonts w:cs="Arial"/>
                <w:b/>
                <w:bCs/>
                <w:i/>
                <w:iCs/>
                <w:sz w:val="18"/>
                <w:szCs w:val="18"/>
                <w:lang w:eastAsia="en-AU"/>
              </w:rPr>
            </w:pPr>
            <w:r w:rsidRPr="005352E7">
              <w:rPr>
                <w:rFonts w:cs="Arial"/>
                <w:b/>
                <w:bCs/>
                <w:i/>
                <w:iCs/>
                <w:color w:val="000000"/>
                <w:sz w:val="18"/>
                <w:szCs w:val="18"/>
                <w:lang w:eastAsia="en-AU"/>
              </w:rPr>
              <w:t>Equity</w:t>
            </w:r>
            <w:r w:rsidR="004107C6">
              <w:rPr>
                <w:rFonts w:cs="Arial"/>
                <w:b/>
                <w:bCs/>
                <w:i/>
                <w:iCs/>
                <w:color w:val="000000"/>
                <w:sz w:val="18"/>
                <w:szCs w:val="18"/>
                <w:lang w:eastAsia="en-AU"/>
              </w:rPr>
              <w:t xml:space="preserve"> Group</w:t>
            </w:r>
            <w:r w:rsidRPr="005352E7">
              <w:rPr>
                <w:rFonts w:cs="Arial"/>
                <w:b/>
                <w:bCs/>
                <w:i/>
                <w:iCs/>
                <w:color w:val="000000"/>
                <w:sz w:val="18"/>
                <w:szCs w:val="18"/>
                <w:lang w:eastAsia="en-AU"/>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6632C745" w14:textId="77777777" w:rsidR="00F86DCC" w:rsidRPr="005352E7" w:rsidRDefault="00F86DCC" w:rsidP="005352E7">
            <w:pPr>
              <w:spacing w:after="0" w:line="240" w:lineRule="auto"/>
              <w:ind w:right="606"/>
              <w:jc w:val="right"/>
              <w:rPr>
                <w:rFonts w:cs="Arial"/>
                <w:b/>
                <w:bCs/>
                <w:sz w:val="18"/>
                <w:szCs w:val="18"/>
              </w:rPr>
            </w:pPr>
            <w:r w:rsidRPr="005352E7">
              <w:rPr>
                <w:rFonts w:cs="Arial"/>
                <w:b/>
                <w:bCs/>
                <w:sz w:val="18"/>
                <w:szCs w:val="18"/>
              </w:rPr>
              <w:t>49.1</w:t>
            </w:r>
          </w:p>
        </w:tc>
        <w:tc>
          <w:tcPr>
            <w:tcW w:w="2268" w:type="dxa"/>
            <w:tcBorders>
              <w:top w:val="single" w:sz="4" w:space="0" w:color="auto"/>
              <w:left w:val="single" w:sz="4" w:space="0" w:color="auto"/>
              <w:bottom w:val="single" w:sz="4" w:space="0" w:color="auto"/>
              <w:right w:val="single" w:sz="4" w:space="0" w:color="auto"/>
            </w:tcBorders>
            <w:vAlign w:val="center"/>
          </w:tcPr>
          <w:p w14:paraId="4513948F" w14:textId="715FB649" w:rsidR="00F86DCC" w:rsidRPr="005352E7" w:rsidRDefault="00F86DCC" w:rsidP="005352E7">
            <w:pPr>
              <w:spacing w:after="0" w:line="240" w:lineRule="auto"/>
              <w:ind w:right="606"/>
              <w:jc w:val="right"/>
              <w:rPr>
                <w:rFonts w:cs="Arial"/>
                <w:b/>
                <w:bCs/>
                <w:sz w:val="18"/>
                <w:szCs w:val="18"/>
              </w:rPr>
            </w:pPr>
            <w:r w:rsidRPr="005352E7">
              <w:rPr>
                <w:rFonts w:cs="Arial"/>
                <w:b/>
                <w:bCs/>
                <w:sz w:val="18"/>
                <w:szCs w:val="18"/>
              </w:rPr>
              <w:t>3</w:t>
            </w:r>
            <w:r w:rsidR="00442468" w:rsidRPr="005352E7">
              <w:rPr>
                <w:rFonts w:cs="Arial"/>
                <w:b/>
                <w:bCs/>
                <w:sz w:val="18"/>
                <w:szCs w:val="18"/>
              </w:rPr>
              <w:t xml:space="preserve">9.4 </w:t>
            </w:r>
            <w:r w:rsidRPr="005352E7">
              <w:rPr>
                <w:rFonts w:cs="Arial"/>
                <w:b/>
                <w:bCs/>
                <w:sz w:val="18"/>
                <w:szCs w:val="18"/>
              </w:rPr>
              <w:t>(0.</w:t>
            </w:r>
            <w:r w:rsidR="008E62C7" w:rsidRPr="005352E7">
              <w:rPr>
                <w:rFonts w:cs="Arial"/>
                <w:b/>
                <w:bCs/>
                <w:sz w:val="18"/>
                <w:szCs w:val="18"/>
              </w:rPr>
              <w:t>80</w:t>
            </w:r>
            <w:r w:rsidRPr="005352E7">
              <w:rPr>
                <w:rFonts w:cs="Arial"/>
                <w:b/>
                <w:bCs/>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14:paraId="1B36FA68" w14:textId="1AA69809" w:rsidR="00F86DCC" w:rsidRPr="005352E7" w:rsidRDefault="001937BF" w:rsidP="005352E7">
            <w:pPr>
              <w:spacing w:after="0" w:line="240" w:lineRule="auto"/>
              <w:ind w:right="606"/>
              <w:jc w:val="right"/>
              <w:rPr>
                <w:rFonts w:cs="Arial"/>
                <w:b/>
                <w:bCs/>
                <w:sz w:val="18"/>
                <w:szCs w:val="18"/>
              </w:rPr>
            </w:pPr>
            <w:r w:rsidRPr="005352E7">
              <w:rPr>
                <w:rFonts w:cs="Arial"/>
                <w:b/>
                <w:bCs/>
                <w:sz w:val="18"/>
                <w:szCs w:val="18"/>
              </w:rPr>
              <w:t>33.6</w:t>
            </w:r>
            <w:r w:rsidR="00F86DCC" w:rsidRPr="005352E7">
              <w:rPr>
                <w:rFonts w:cs="Arial"/>
                <w:b/>
                <w:bCs/>
                <w:sz w:val="18"/>
                <w:szCs w:val="18"/>
              </w:rPr>
              <w:t xml:space="preserve"> (0.6</w:t>
            </w:r>
            <w:r w:rsidRPr="005352E7">
              <w:rPr>
                <w:rFonts w:cs="Arial"/>
                <w:b/>
                <w:bCs/>
                <w:sz w:val="18"/>
                <w:szCs w:val="18"/>
              </w:rPr>
              <w:t>8</w:t>
            </w:r>
            <w:r w:rsidR="00F86DCC" w:rsidRPr="005352E7">
              <w:rPr>
                <w:rFonts w:cs="Arial"/>
                <w:b/>
                <w:bCs/>
                <w:sz w:val="18"/>
                <w:szCs w:val="18"/>
              </w:rPr>
              <w:t>)</w:t>
            </w:r>
          </w:p>
        </w:tc>
      </w:tr>
    </w:tbl>
    <w:p w14:paraId="6FEE8009" w14:textId="50037FAE" w:rsidR="00F86DCC" w:rsidRDefault="00BD7560" w:rsidP="00581958">
      <w:pPr>
        <w:spacing w:before="60" w:line="300" w:lineRule="auto"/>
        <w:ind w:left="567"/>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w:t>
      </w:r>
    </w:p>
    <w:p w14:paraId="6F55DCC8" w14:textId="3D496AD1" w:rsidR="009D37C6" w:rsidRDefault="006808DD" w:rsidP="00581958">
      <w:pPr>
        <w:pStyle w:val="ListParagraph"/>
        <w:numPr>
          <w:ilvl w:val="0"/>
          <w:numId w:val="0"/>
        </w:numPr>
        <w:ind w:left="357"/>
      </w:pPr>
      <w:r>
        <w:br/>
      </w:r>
      <w:r w:rsidR="002B5CF5">
        <w:t>Overall, we report on a composite measure across all four equity groups</w:t>
      </w:r>
      <w:r w:rsidR="001567B2">
        <w:t xml:space="preserve">, </w:t>
      </w:r>
      <w:r w:rsidR="001567B2">
        <w:rPr>
          <w:i/>
          <w:iCs/>
        </w:rPr>
        <w:t>Equity Group</w:t>
      </w:r>
      <w:r w:rsidR="00FE7E4D">
        <w:t xml:space="preserve">. As per Table </w:t>
      </w:r>
      <w:r w:rsidR="00432A0D">
        <w:t>B</w:t>
      </w:r>
      <w:r w:rsidR="00FE7E4D">
        <w:t>, this is a sum of the four groups with a correction factor of 0.79 applied to the four-group total to account for equity students being members of multiple equity groups</w:t>
      </w:r>
      <w:r w:rsidR="00321070">
        <w:t xml:space="preserve">. </w:t>
      </w:r>
      <w:r w:rsidR="00C60C45">
        <w:t xml:space="preserve">This provides an overview of the </w:t>
      </w:r>
      <w:r w:rsidR="007D480A">
        <w:t>broader equity challenge, with the four groups combining for 49.1% of the population</w:t>
      </w:r>
      <w:r w:rsidR="00556B09">
        <w:t>, but only accounting for 3</w:t>
      </w:r>
      <w:r w:rsidR="00225026">
        <w:t>9</w:t>
      </w:r>
      <w:r w:rsidR="00556B09">
        <w:t>.</w:t>
      </w:r>
      <w:r w:rsidR="00225026">
        <w:t>4</w:t>
      </w:r>
      <w:r w:rsidR="00556B09">
        <w:t xml:space="preserve">% </w:t>
      </w:r>
      <w:r w:rsidR="003D5F52">
        <w:t>of participation headcount</w:t>
      </w:r>
      <w:r w:rsidR="000E28E2">
        <w:t xml:space="preserve"> (performance ratio of 0.</w:t>
      </w:r>
      <w:r w:rsidR="00225026">
        <w:t>80</w:t>
      </w:r>
      <w:r w:rsidR="00B32E99">
        <w:t>)</w:t>
      </w:r>
      <w:r w:rsidR="003D5F52">
        <w:t xml:space="preserve"> and 3</w:t>
      </w:r>
      <w:r w:rsidR="00225026">
        <w:t>3.6</w:t>
      </w:r>
      <w:r w:rsidR="003D5F52">
        <w:t>% of completion headcount</w:t>
      </w:r>
      <w:r w:rsidR="00830B1F">
        <w:t xml:space="preserve"> </w:t>
      </w:r>
      <w:r w:rsidR="007736B9">
        <w:t>(</w:t>
      </w:r>
      <w:r w:rsidR="00830B1F">
        <w:t>0.6</w:t>
      </w:r>
      <w:r w:rsidR="007736B9">
        <w:t>8</w:t>
      </w:r>
      <w:r w:rsidR="00830B1F">
        <w:t>)</w:t>
      </w:r>
      <w:r w:rsidR="00AE21BA">
        <w:t>. This demonstrates the nature of the</w:t>
      </w:r>
      <w:r w:rsidR="00FF0A2D">
        <w:t xml:space="preserve"> parity</w:t>
      </w:r>
      <w:r w:rsidR="00AE21BA">
        <w:t xml:space="preserve"> challenge, with t</w:t>
      </w:r>
      <w:r w:rsidR="00C75A28">
        <w:t xml:space="preserve">his </w:t>
      </w:r>
      <w:r w:rsidR="00BD26E9">
        <w:t xml:space="preserve">report </w:t>
      </w:r>
      <w:r w:rsidR="00C75A28">
        <w:t>outlin</w:t>
      </w:r>
      <w:r w:rsidR="00AE21BA">
        <w:t>ing</w:t>
      </w:r>
      <w:r w:rsidR="00C75A28">
        <w:t xml:space="preserve"> the</w:t>
      </w:r>
      <w:r w:rsidR="00A27B68">
        <w:t xml:space="preserve"> required increase in equity </w:t>
      </w:r>
      <w:r w:rsidR="000F422F">
        <w:t>group</w:t>
      </w:r>
      <w:r w:rsidR="00A27B68">
        <w:t xml:space="preserve"> participation and completion</w:t>
      </w:r>
      <w:r w:rsidR="000F422F">
        <w:t xml:space="preserve"> headcounts for participation and </w:t>
      </w:r>
      <w:r w:rsidR="00C47AB4">
        <w:t>completion</w:t>
      </w:r>
      <w:r w:rsidR="000F422F">
        <w:t xml:space="preserve"> performance ratios to reach parity</w:t>
      </w:r>
      <w:r w:rsidR="009D37C6">
        <w:t xml:space="preserve"> at 1.00.</w:t>
      </w:r>
    </w:p>
    <w:p w14:paraId="5D55C910" w14:textId="3DEA5933" w:rsidR="00464AD9" w:rsidRDefault="00464AD9" w:rsidP="00581958">
      <w:pPr>
        <w:pStyle w:val="ListParagraph"/>
        <w:numPr>
          <w:ilvl w:val="0"/>
          <w:numId w:val="0"/>
        </w:numPr>
        <w:ind w:left="357"/>
      </w:pPr>
    </w:p>
    <w:p w14:paraId="42D987FF" w14:textId="1EB0FEC4" w:rsidR="005405C5" w:rsidRPr="005E4F6E" w:rsidRDefault="004934F6" w:rsidP="00581958">
      <w:pPr>
        <w:pStyle w:val="ListParagraph"/>
        <w:rPr>
          <w:b/>
          <w:bCs/>
        </w:rPr>
      </w:pPr>
      <w:r>
        <w:rPr>
          <w:b/>
          <w:bCs/>
        </w:rPr>
        <w:t>The Reference Population</w:t>
      </w:r>
      <w:r w:rsidR="009D37C6" w:rsidRPr="00A8680E">
        <w:rPr>
          <w:b/>
          <w:bCs/>
        </w:rPr>
        <w:t xml:space="preserve">: </w:t>
      </w:r>
      <w:r w:rsidR="009D37C6">
        <w:t>Population parity targets</w:t>
      </w:r>
      <w:r w:rsidR="000D7491">
        <w:t xml:space="preserve"> depend critically on the </w:t>
      </w:r>
      <w:r w:rsidR="00B000BE">
        <w:t xml:space="preserve">reference </w:t>
      </w:r>
      <w:r w:rsidR="000D7491">
        <w:t>population</w:t>
      </w:r>
      <w:r w:rsidR="00860269">
        <w:t xml:space="preserve">. In the Australian context, this </w:t>
      </w:r>
      <w:r w:rsidR="00612DA0">
        <w:t>includes balancing national policy-setting with the reality that Australian higher education is heavily segmented within state</w:t>
      </w:r>
      <w:r w:rsidR="00450E26">
        <w:t xml:space="preserve"> and </w:t>
      </w:r>
      <w:r w:rsidR="00612DA0">
        <w:t>territory boundaries, as we discuss in th</w:t>
      </w:r>
      <w:r w:rsidR="008D0B9E">
        <w:t>is</w:t>
      </w:r>
      <w:r w:rsidR="00612DA0">
        <w:t xml:space="preserve"> report, whereby 80 to 90% of students attend university (in-person or online) at an institution in</w:t>
      </w:r>
      <w:r w:rsidR="005405C5">
        <w:t xml:space="preserve"> the jurisdiction in which they resided when they commenced studies. This creates a rationale for </w:t>
      </w:r>
      <w:r w:rsidR="00450E26">
        <w:t>a shift from national population parity targets to state</w:t>
      </w:r>
      <w:r w:rsidR="00131504">
        <w:t>/</w:t>
      </w:r>
      <w:r w:rsidR="00450E26">
        <w:t xml:space="preserve">territory-based targets given differences in equity </w:t>
      </w:r>
      <w:r w:rsidR="00450E26">
        <w:lastRenderedPageBreak/>
        <w:t>group</w:t>
      </w:r>
      <w:r w:rsidR="00954005">
        <w:t xml:space="preserve"> shares across states and territories</w:t>
      </w:r>
      <w:r w:rsidR="00061305">
        <w:t>, a</w:t>
      </w:r>
      <w:r w:rsidR="00954005">
        <w:t>s</w:t>
      </w:r>
      <w:r w:rsidR="00061305">
        <w:t xml:space="preserve"> shown in</w:t>
      </w:r>
      <w:r w:rsidR="00954005">
        <w:t xml:space="preserve"> Table </w:t>
      </w:r>
      <w:r w:rsidR="00C71078">
        <w:t>C, where</w:t>
      </w:r>
      <w:r w:rsidR="00061305">
        <w:t xml:space="preserve"> for instance,</w:t>
      </w:r>
      <w:r w:rsidR="009D1082">
        <w:t xml:space="preserve"> regional/remote</w:t>
      </w:r>
      <w:r w:rsidR="00061305">
        <w:t xml:space="preserve"> </w:t>
      </w:r>
      <w:r w:rsidR="009D1082">
        <w:t>population shares vary from 0.1%</w:t>
      </w:r>
      <w:r w:rsidR="00421E64">
        <w:t xml:space="preserve"> in the Australian Capital Territory</w:t>
      </w:r>
      <w:r w:rsidR="009D1082">
        <w:t xml:space="preserve"> to 100%</w:t>
      </w:r>
      <w:r w:rsidR="00421E64">
        <w:t xml:space="preserve"> in Tasmania</w:t>
      </w:r>
      <w:r w:rsidR="00C71078">
        <w:t>.</w:t>
      </w:r>
      <w:r w:rsidR="00421E64">
        <w:t xml:space="preserve"> </w:t>
      </w:r>
      <w:r w:rsidR="00954005">
        <w:br/>
        <w:t xml:space="preserve"> </w:t>
      </w:r>
    </w:p>
    <w:p w14:paraId="2CF1781C" w14:textId="55D21E23" w:rsidR="005405C5" w:rsidRPr="003873F1" w:rsidRDefault="005405C5" w:rsidP="00A160A2">
      <w:pPr>
        <w:pStyle w:val="Caption"/>
        <w:spacing w:line="240" w:lineRule="auto"/>
        <w:ind w:left="284"/>
        <w:rPr>
          <w:b w:val="0"/>
          <w:bCs w:val="0"/>
          <w:color w:val="auto"/>
        </w:rPr>
      </w:pPr>
      <w:r>
        <w:rPr>
          <w:color w:val="auto"/>
        </w:rPr>
        <w:t>Table</w:t>
      </w:r>
      <w:r w:rsidRPr="003873F1">
        <w:rPr>
          <w:color w:val="auto"/>
        </w:rPr>
        <w:t xml:space="preserve"> </w:t>
      </w:r>
      <w:r w:rsidR="00C71078">
        <w:rPr>
          <w:color w:val="auto"/>
        </w:rPr>
        <w:t>C</w:t>
      </w:r>
      <w:r w:rsidRPr="003873F1">
        <w:rPr>
          <w:color w:val="auto"/>
        </w:rPr>
        <w:t>:</w:t>
      </w:r>
      <w:r w:rsidRPr="003873F1">
        <w:rPr>
          <w:b w:val="0"/>
          <w:bCs w:val="0"/>
          <w:color w:val="auto"/>
        </w:rPr>
        <w:t xml:space="preserve"> </w:t>
      </w:r>
      <w:r>
        <w:rPr>
          <w:b w:val="0"/>
          <w:bCs w:val="0"/>
          <w:color w:val="auto"/>
        </w:rPr>
        <w:t>Selected Equity Group</w:t>
      </w:r>
      <w:r w:rsidR="00C326FF">
        <w:rPr>
          <w:b w:val="0"/>
          <w:bCs w:val="0"/>
          <w:color w:val="auto"/>
        </w:rPr>
        <w:t xml:space="preserve"> State/Territory</w:t>
      </w:r>
      <w:r>
        <w:rPr>
          <w:b w:val="0"/>
          <w:bCs w:val="0"/>
          <w:color w:val="auto"/>
        </w:rPr>
        <w:t xml:space="preserve"> Reference Values, 2021, Share of Population (15-64 years) (%) </w:t>
      </w:r>
    </w:p>
    <w:tbl>
      <w:tblPr>
        <w:tblW w:w="892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560"/>
        <w:gridCol w:w="1559"/>
        <w:gridCol w:w="1559"/>
        <w:gridCol w:w="1556"/>
      </w:tblGrid>
      <w:tr w:rsidR="005405C5" w:rsidRPr="005C5A70" w14:paraId="58C59D63" w14:textId="77777777" w:rsidTr="00A160A2">
        <w:trPr>
          <w:trHeight w:val="315"/>
        </w:trPr>
        <w:tc>
          <w:tcPr>
            <w:tcW w:w="2693" w:type="dxa"/>
            <w:shd w:val="clear" w:color="auto" w:fill="auto"/>
            <w:hideMark/>
          </w:tcPr>
          <w:p w14:paraId="46999793" w14:textId="77777777" w:rsidR="005405C5" w:rsidRPr="005C5A70" w:rsidRDefault="005405C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60" w:type="dxa"/>
            <w:shd w:val="clear" w:color="auto" w:fill="6B3B57"/>
            <w:hideMark/>
          </w:tcPr>
          <w:p w14:paraId="0D58AE3C" w14:textId="28166101" w:rsidR="005405C5" w:rsidRPr="00F43DD4" w:rsidRDefault="005405C5">
            <w:pPr>
              <w:spacing w:before="60" w:after="0" w:line="240" w:lineRule="auto"/>
              <w:jc w:val="center"/>
              <w:rPr>
                <w:rFonts w:cs="Arial"/>
                <w:b/>
                <w:bCs/>
                <w:color w:val="FFFFFF"/>
                <w:sz w:val="18"/>
                <w:szCs w:val="18"/>
                <w:lang w:eastAsia="en-AU"/>
              </w:rPr>
            </w:pPr>
            <w:r w:rsidRPr="00F43DD4">
              <w:rPr>
                <w:rFonts w:cs="Arial"/>
                <w:b/>
                <w:bCs/>
                <w:color w:val="FFFFFF"/>
                <w:sz w:val="18"/>
                <w:szCs w:val="18"/>
                <w:lang w:eastAsia="en-AU"/>
              </w:rPr>
              <w:t>Low SES</w:t>
            </w:r>
          </w:p>
        </w:tc>
        <w:tc>
          <w:tcPr>
            <w:tcW w:w="1559" w:type="dxa"/>
            <w:shd w:val="clear" w:color="auto" w:fill="6B3B57"/>
            <w:hideMark/>
          </w:tcPr>
          <w:p w14:paraId="1E20E062" w14:textId="77777777" w:rsidR="005405C5" w:rsidRPr="00F43DD4" w:rsidRDefault="005405C5">
            <w:pPr>
              <w:spacing w:before="60" w:after="0" w:line="240" w:lineRule="auto"/>
              <w:jc w:val="center"/>
              <w:rPr>
                <w:rFonts w:cs="Arial"/>
                <w:b/>
                <w:bCs/>
                <w:color w:val="FFFFFF"/>
                <w:sz w:val="18"/>
                <w:szCs w:val="18"/>
                <w:lang w:eastAsia="en-AU"/>
              </w:rPr>
            </w:pPr>
            <w:r w:rsidRPr="00F43DD4">
              <w:rPr>
                <w:rFonts w:cs="Arial"/>
                <w:b/>
                <w:bCs/>
                <w:color w:val="FFFFFF"/>
                <w:sz w:val="18"/>
                <w:szCs w:val="18"/>
                <w:lang w:eastAsia="en-AU"/>
              </w:rPr>
              <w:t>First Nations</w:t>
            </w:r>
          </w:p>
        </w:tc>
        <w:tc>
          <w:tcPr>
            <w:tcW w:w="1559" w:type="dxa"/>
            <w:shd w:val="clear" w:color="auto" w:fill="6B3B57"/>
          </w:tcPr>
          <w:p w14:paraId="6E4CC5FF" w14:textId="7B4820C6" w:rsidR="005405C5" w:rsidRPr="00F43DD4" w:rsidRDefault="005405C5">
            <w:pPr>
              <w:spacing w:before="60" w:after="0" w:line="240" w:lineRule="auto"/>
              <w:jc w:val="center"/>
              <w:rPr>
                <w:rFonts w:cs="Arial"/>
                <w:b/>
                <w:bCs/>
                <w:color w:val="FFFFFF"/>
                <w:sz w:val="18"/>
                <w:szCs w:val="18"/>
                <w:lang w:eastAsia="en-AU"/>
              </w:rPr>
            </w:pPr>
            <w:r w:rsidRPr="00F43DD4">
              <w:rPr>
                <w:rFonts w:cs="Arial"/>
                <w:b/>
                <w:bCs/>
                <w:color w:val="FFFFFF"/>
                <w:sz w:val="18"/>
                <w:szCs w:val="18"/>
                <w:lang w:eastAsia="en-AU"/>
              </w:rPr>
              <w:t>Regional</w:t>
            </w:r>
            <w:r w:rsidR="009D1082" w:rsidRPr="00F43DD4">
              <w:rPr>
                <w:rFonts w:cs="Arial"/>
                <w:b/>
                <w:bCs/>
                <w:color w:val="FFFFFF"/>
                <w:sz w:val="18"/>
                <w:szCs w:val="18"/>
                <w:lang w:eastAsia="en-AU"/>
              </w:rPr>
              <w:t>/</w:t>
            </w:r>
            <w:r w:rsidRPr="00F43DD4">
              <w:rPr>
                <w:rFonts w:cs="Arial"/>
                <w:b/>
                <w:bCs/>
                <w:color w:val="FFFFFF"/>
                <w:sz w:val="18"/>
                <w:szCs w:val="18"/>
                <w:lang w:eastAsia="en-AU"/>
              </w:rPr>
              <w:br/>
              <w:t>Remote</w:t>
            </w:r>
          </w:p>
        </w:tc>
        <w:tc>
          <w:tcPr>
            <w:tcW w:w="1556" w:type="dxa"/>
            <w:shd w:val="clear" w:color="auto" w:fill="6B3B57"/>
          </w:tcPr>
          <w:p w14:paraId="1254C2E6" w14:textId="481D536D" w:rsidR="005405C5" w:rsidRPr="00F43DD4" w:rsidRDefault="005405C5">
            <w:pPr>
              <w:spacing w:before="60" w:after="0" w:line="240" w:lineRule="auto"/>
              <w:jc w:val="center"/>
              <w:rPr>
                <w:rFonts w:cs="Arial"/>
                <w:b/>
                <w:bCs/>
                <w:color w:val="FFFFFF"/>
                <w:sz w:val="18"/>
                <w:szCs w:val="18"/>
                <w:lang w:eastAsia="en-AU"/>
              </w:rPr>
            </w:pPr>
            <w:r w:rsidRPr="00F43DD4">
              <w:rPr>
                <w:rFonts w:cs="Arial"/>
                <w:b/>
                <w:bCs/>
                <w:color w:val="FFFFFF"/>
                <w:sz w:val="18"/>
                <w:szCs w:val="18"/>
                <w:lang w:eastAsia="en-AU"/>
              </w:rPr>
              <w:t xml:space="preserve">Disability </w:t>
            </w:r>
          </w:p>
        </w:tc>
      </w:tr>
      <w:tr w:rsidR="005405C5" w:rsidRPr="005C5A70" w14:paraId="001A1647" w14:textId="77777777" w:rsidTr="00A160A2">
        <w:trPr>
          <w:trHeight w:val="315"/>
        </w:trPr>
        <w:tc>
          <w:tcPr>
            <w:tcW w:w="2693" w:type="dxa"/>
            <w:shd w:val="clear" w:color="000000" w:fill="FFFFFF"/>
            <w:vAlign w:val="center"/>
            <w:hideMark/>
          </w:tcPr>
          <w:p w14:paraId="3033C2C5"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New South Wales </w:t>
            </w:r>
          </w:p>
        </w:tc>
        <w:tc>
          <w:tcPr>
            <w:tcW w:w="1560" w:type="dxa"/>
            <w:shd w:val="clear" w:color="000000" w:fill="FFFFFF"/>
            <w:vAlign w:val="center"/>
            <w:hideMark/>
          </w:tcPr>
          <w:p w14:paraId="4CC3D74F" w14:textId="77777777" w:rsidR="005405C5" w:rsidRPr="005C5A70" w:rsidRDefault="005405C5">
            <w:pPr>
              <w:spacing w:after="0" w:line="240" w:lineRule="auto"/>
              <w:jc w:val="center"/>
              <w:rPr>
                <w:rFonts w:cs="Arial"/>
                <w:color w:val="000000"/>
                <w:sz w:val="18"/>
                <w:szCs w:val="18"/>
                <w:lang w:eastAsia="en-AU"/>
              </w:rPr>
            </w:pPr>
            <w:r>
              <w:rPr>
                <w:rFonts w:cs="Arial"/>
                <w:color w:val="auto"/>
                <w:sz w:val="18"/>
                <w:szCs w:val="18"/>
                <w:lang w:eastAsia="en-AU"/>
              </w:rPr>
              <w:t>23.0</w:t>
            </w:r>
          </w:p>
        </w:tc>
        <w:tc>
          <w:tcPr>
            <w:tcW w:w="1559" w:type="dxa"/>
            <w:shd w:val="clear" w:color="000000" w:fill="FFFFFF"/>
            <w:vAlign w:val="center"/>
            <w:hideMark/>
          </w:tcPr>
          <w:p w14:paraId="1027C014"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3.0</w:t>
            </w:r>
          </w:p>
        </w:tc>
        <w:tc>
          <w:tcPr>
            <w:tcW w:w="1559" w:type="dxa"/>
            <w:shd w:val="clear" w:color="000000" w:fill="FFFFFF"/>
            <w:vAlign w:val="center"/>
          </w:tcPr>
          <w:p w14:paraId="60007297"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23.1</w:t>
            </w:r>
          </w:p>
        </w:tc>
        <w:tc>
          <w:tcPr>
            <w:tcW w:w="1556" w:type="dxa"/>
            <w:shd w:val="clear" w:color="000000" w:fill="FFFFFF"/>
            <w:vAlign w:val="center"/>
          </w:tcPr>
          <w:p w14:paraId="0C38F4F5" w14:textId="77777777" w:rsidR="005405C5" w:rsidRDefault="005405C5">
            <w:pPr>
              <w:spacing w:after="0" w:line="240" w:lineRule="auto"/>
              <w:jc w:val="center"/>
              <w:rPr>
                <w:rFonts w:cs="Arial"/>
                <w:color w:val="000000"/>
                <w:sz w:val="18"/>
                <w:szCs w:val="18"/>
              </w:rPr>
            </w:pPr>
            <w:r>
              <w:rPr>
                <w:rFonts w:cs="Arial"/>
                <w:color w:val="000000"/>
                <w:sz w:val="18"/>
                <w:szCs w:val="18"/>
              </w:rPr>
              <w:t>8</w:t>
            </w:r>
            <w:r w:rsidRPr="004F7AA7">
              <w:rPr>
                <w:rFonts w:cs="Arial"/>
                <w:color w:val="000000"/>
                <w:sz w:val="18"/>
                <w:szCs w:val="18"/>
              </w:rPr>
              <w:t>.4</w:t>
            </w:r>
          </w:p>
        </w:tc>
      </w:tr>
      <w:tr w:rsidR="005405C5" w:rsidRPr="005C5A70" w14:paraId="1E2F73D0" w14:textId="77777777" w:rsidTr="00A160A2">
        <w:trPr>
          <w:trHeight w:val="315"/>
        </w:trPr>
        <w:tc>
          <w:tcPr>
            <w:tcW w:w="2693" w:type="dxa"/>
            <w:shd w:val="clear" w:color="auto" w:fill="auto"/>
            <w:vAlign w:val="center"/>
            <w:hideMark/>
          </w:tcPr>
          <w:p w14:paraId="03D548E9"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Victoria </w:t>
            </w:r>
          </w:p>
        </w:tc>
        <w:tc>
          <w:tcPr>
            <w:tcW w:w="1560" w:type="dxa"/>
            <w:shd w:val="clear" w:color="auto" w:fill="auto"/>
            <w:vAlign w:val="center"/>
            <w:hideMark/>
          </w:tcPr>
          <w:p w14:paraId="285ABF15" w14:textId="77777777" w:rsidR="005405C5" w:rsidRPr="005C5A70" w:rsidRDefault="005405C5">
            <w:pPr>
              <w:spacing w:after="0" w:line="240" w:lineRule="auto"/>
              <w:jc w:val="center"/>
              <w:rPr>
                <w:rFonts w:cs="Arial"/>
                <w:color w:val="000000"/>
                <w:sz w:val="18"/>
                <w:szCs w:val="18"/>
                <w:lang w:eastAsia="en-AU"/>
              </w:rPr>
            </w:pPr>
            <w:r>
              <w:rPr>
                <w:rFonts w:cs="Arial"/>
                <w:color w:val="auto"/>
                <w:sz w:val="18"/>
                <w:szCs w:val="18"/>
                <w:lang w:eastAsia="en-AU"/>
              </w:rPr>
              <w:t>19.4</w:t>
            </w:r>
          </w:p>
        </w:tc>
        <w:tc>
          <w:tcPr>
            <w:tcW w:w="1559" w:type="dxa"/>
            <w:shd w:val="clear" w:color="auto" w:fill="auto"/>
            <w:vAlign w:val="center"/>
            <w:hideMark/>
          </w:tcPr>
          <w:p w14:paraId="3C613F77"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0.9</w:t>
            </w:r>
          </w:p>
        </w:tc>
        <w:tc>
          <w:tcPr>
            <w:tcW w:w="1559" w:type="dxa"/>
            <w:shd w:val="clear" w:color="auto" w:fill="auto"/>
            <w:vAlign w:val="center"/>
          </w:tcPr>
          <w:p w14:paraId="79CC79AD"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20.8</w:t>
            </w:r>
          </w:p>
        </w:tc>
        <w:tc>
          <w:tcPr>
            <w:tcW w:w="1556" w:type="dxa"/>
            <w:shd w:val="clear" w:color="auto" w:fill="auto"/>
            <w:vAlign w:val="center"/>
          </w:tcPr>
          <w:p w14:paraId="3464E845" w14:textId="77777777" w:rsidR="005405C5" w:rsidRDefault="005405C5">
            <w:pPr>
              <w:spacing w:after="0" w:line="240" w:lineRule="auto"/>
              <w:jc w:val="center"/>
              <w:rPr>
                <w:rFonts w:cs="Arial"/>
                <w:color w:val="000000"/>
                <w:sz w:val="18"/>
                <w:szCs w:val="18"/>
              </w:rPr>
            </w:pPr>
            <w:r w:rsidRPr="00670BAD">
              <w:rPr>
                <w:rFonts w:cs="Arial"/>
                <w:color w:val="000000"/>
                <w:sz w:val="18"/>
                <w:szCs w:val="18"/>
              </w:rPr>
              <w:t>8.4</w:t>
            </w:r>
          </w:p>
        </w:tc>
      </w:tr>
      <w:tr w:rsidR="005405C5" w:rsidRPr="005C5A70" w14:paraId="2FB74C8D" w14:textId="77777777" w:rsidTr="00A160A2">
        <w:trPr>
          <w:trHeight w:val="315"/>
        </w:trPr>
        <w:tc>
          <w:tcPr>
            <w:tcW w:w="2693" w:type="dxa"/>
            <w:shd w:val="clear" w:color="auto" w:fill="auto"/>
            <w:vAlign w:val="center"/>
            <w:hideMark/>
          </w:tcPr>
          <w:p w14:paraId="1D7AB6C0"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Queensland </w:t>
            </w:r>
          </w:p>
        </w:tc>
        <w:tc>
          <w:tcPr>
            <w:tcW w:w="1560" w:type="dxa"/>
            <w:shd w:val="clear" w:color="auto" w:fill="auto"/>
            <w:vAlign w:val="center"/>
            <w:hideMark/>
          </w:tcPr>
          <w:p w14:paraId="07C1A278" w14:textId="77777777" w:rsidR="005405C5" w:rsidRPr="005C5A70" w:rsidRDefault="005405C5">
            <w:pPr>
              <w:spacing w:after="0" w:line="240" w:lineRule="auto"/>
              <w:jc w:val="center"/>
              <w:rPr>
                <w:rFonts w:cs="Arial"/>
                <w:color w:val="000000"/>
                <w:sz w:val="18"/>
                <w:szCs w:val="18"/>
                <w:lang w:eastAsia="en-AU"/>
              </w:rPr>
            </w:pPr>
            <w:r>
              <w:rPr>
                <w:rFonts w:cs="Arial"/>
                <w:color w:val="auto"/>
                <w:sz w:val="18"/>
                <w:szCs w:val="18"/>
                <w:lang w:eastAsia="en-AU"/>
              </w:rPr>
              <w:t>28.1</w:t>
            </w:r>
          </w:p>
        </w:tc>
        <w:tc>
          <w:tcPr>
            <w:tcW w:w="1559" w:type="dxa"/>
            <w:shd w:val="clear" w:color="auto" w:fill="auto"/>
            <w:vAlign w:val="center"/>
            <w:hideMark/>
          </w:tcPr>
          <w:p w14:paraId="2A828A58"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4.4</w:t>
            </w:r>
          </w:p>
        </w:tc>
        <w:tc>
          <w:tcPr>
            <w:tcW w:w="1559" w:type="dxa"/>
            <w:shd w:val="clear" w:color="auto" w:fill="auto"/>
            <w:vAlign w:val="center"/>
          </w:tcPr>
          <w:p w14:paraId="6D022703"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35.6</w:t>
            </w:r>
          </w:p>
        </w:tc>
        <w:tc>
          <w:tcPr>
            <w:tcW w:w="1556" w:type="dxa"/>
            <w:shd w:val="clear" w:color="auto" w:fill="auto"/>
            <w:vAlign w:val="center"/>
          </w:tcPr>
          <w:p w14:paraId="069F7E27" w14:textId="77777777" w:rsidR="005405C5" w:rsidRDefault="005405C5">
            <w:pPr>
              <w:spacing w:after="0" w:line="240" w:lineRule="auto"/>
              <w:jc w:val="center"/>
              <w:rPr>
                <w:rFonts w:cs="Arial"/>
                <w:color w:val="000000"/>
                <w:sz w:val="18"/>
                <w:szCs w:val="18"/>
              </w:rPr>
            </w:pPr>
            <w:r w:rsidRPr="00670BAD">
              <w:rPr>
                <w:rFonts w:cs="Arial"/>
                <w:color w:val="000000"/>
                <w:sz w:val="18"/>
                <w:szCs w:val="18"/>
              </w:rPr>
              <w:t>8.4</w:t>
            </w:r>
          </w:p>
        </w:tc>
      </w:tr>
      <w:tr w:rsidR="005405C5" w:rsidRPr="005C5A70" w14:paraId="7C4606DA" w14:textId="77777777" w:rsidTr="00A160A2">
        <w:trPr>
          <w:trHeight w:val="315"/>
        </w:trPr>
        <w:tc>
          <w:tcPr>
            <w:tcW w:w="2693" w:type="dxa"/>
            <w:shd w:val="clear" w:color="auto" w:fill="auto"/>
            <w:vAlign w:val="center"/>
            <w:hideMark/>
          </w:tcPr>
          <w:p w14:paraId="26008169" w14:textId="77777777" w:rsidR="005405C5" w:rsidRPr="000D6A20" w:rsidRDefault="005405C5">
            <w:pPr>
              <w:spacing w:after="0" w:line="240" w:lineRule="auto"/>
              <w:rPr>
                <w:rFonts w:cs="Arial"/>
                <w:color w:val="auto"/>
                <w:sz w:val="18"/>
                <w:szCs w:val="18"/>
                <w:lang w:eastAsia="en-AU"/>
              </w:rPr>
            </w:pPr>
            <w:r w:rsidRPr="000D6A20">
              <w:rPr>
                <w:rFonts w:cs="Arial"/>
                <w:color w:val="auto"/>
                <w:sz w:val="18"/>
                <w:szCs w:val="18"/>
                <w:lang w:eastAsia="en-AU"/>
              </w:rPr>
              <w:t xml:space="preserve">Western Australia </w:t>
            </w:r>
          </w:p>
        </w:tc>
        <w:tc>
          <w:tcPr>
            <w:tcW w:w="1560" w:type="dxa"/>
            <w:shd w:val="clear" w:color="auto" w:fill="auto"/>
            <w:vAlign w:val="center"/>
            <w:hideMark/>
          </w:tcPr>
          <w:p w14:paraId="7C7157DB" w14:textId="77777777" w:rsidR="005405C5" w:rsidRPr="000D6A20" w:rsidRDefault="005405C5">
            <w:pPr>
              <w:spacing w:after="0" w:line="240" w:lineRule="auto"/>
              <w:jc w:val="center"/>
              <w:rPr>
                <w:rFonts w:cs="Arial"/>
                <w:color w:val="auto"/>
                <w:sz w:val="18"/>
                <w:szCs w:val="18"/>
                <w:lang w:eastAsia="en-AU"/>
              </w:rPr>
            </w:pPr>
            <w:r>
              <w:rPr>
                <w:rFonts w:cs="Arial"/>
                <w:color w:val="auto"/>
                <w:sz w:val="18"/>
                <w:szCs w:val="18"/>
                <w:lang w:eastAsia="en-AU"/>
              </w:rPr>
              <w:t>22.8</w:t>
            </w:r>
          </w:p>
        </w:tc>
        <w:tc>
          <w:tcPr>
            <w:tcW w:w="1559" w:type="dxa"/>
            <w:shd w:val="clear" w:color="auto" w:fill="auto"/>
            <w:vAlign w:val="center"/>
            <w:hideMark/>
          </w:tcPr>
          <w:p w14:paraId="23446E09" w14:textId="77777777" w:rsidR="005405C5" w:rsidRPr="000D6A20" w:rsidRDefault="005405C5">
            <w:pPr>
              <w:spacing w:after="0" w:line="240" w:lineRule="auto"/>
              <w:jc w:val="center"/>
              <w:rPr>
                <w:rFonts w:cs="Arial"/>
                <w:color w:val="auto"/>
                <w:sz w:val="18"/>
                <w:szCs w:val="18"/>
                <w:lang w:eastAsia="en-AU"/>
              </w:rPr>
            </w:pPr>
            <w:r w:rsidRPr="000D6A20">
              <w:rPr>
                <w:rFonts w:cs="Arial"/>
                <w:color w:val="auto"/>
                <w:sz w:val="18"/>
                <w:szCs w:val="18"/>
                <w:lang w:eastAsia="en-AU"/>
              </w:rPr>
              <w:t>4.0</w:t>
            </w:r>
          </w:p>
        </w:tc>
        <w:tc>
          <w:tcPr>
            <w:tcW w:w="1559" w:type="dxa"/>
            <w:shd w:val="clear" w:color="auto" w:fill="auto"/>
            <w:vAlign w:val="center"/>
          </w:tcPr>
          <w:p w14:paraId="133E2451" w14:textId="77777777" w:rsidR="005405C5" w:rsidRPr="000D6A20" w:rsidRDefault="005405C5">
            <w:pPr>
              <w:spacing w:after="0" w:line="240" w:lineRule="auto"/>
              <w:jc w:val="center"/>
              <w:rPr>
                <w:rFonts w:cs="Arial"/>
                <w:color w:val="auto"/>
                <w:sz w:val="18"/>
                <w:szCs w:val="18"/>
                <w:lang w:eastAsia="en-AU"/>
              </w:rPr>
            </w:pPr>
            <w:r w:rsidRPr="000D6A20">
              <w:rPr>
                <w:rFonts w:cs="Arial"/>
                <w:color w:val="auto"/>
                <w:sz w:val="18"/>
                <w:szCs w:val="18"/>
              </w:rPr>
              <w:t>21.7</w:t>
            </w:r>
          </w:p>
        </w:tc>
        <w:tc>
          <w:tcPr>
            <w:tcW w:w="1556" w:type="dxa"/>
            <w:shd w:val="clear" w:color="auto" w:fill="auto"/>
            <w:vAlign w:val="center"/>
          </w:tcPr>
          <w:p w14:paraId="5203F11F" w14:textId="77777777" w:rsidR="005405C5" w:rsidRPr="000D6A20" w:rsidRDefault="005405C5">
            <w:pPr>
              <w:spacing w:after="0" w:line="240" w:lineRule="auto"/>
              <w:jc w:val="center"/>
              <w:rPr>
                <w:rFonts w:cs="Arial"/>
                <w:color w:val="auto"/>
                <w:sz w:val="18"/>
                <w:szCs w:val="18"/>
              </w:rPr>
            </w:pPr>
            <w:r w:rsidRPr="00670BAD">
              <w:rPr>
                <w:rFonts w:cs="Arial"/>
                <w:color w:val="000000"/>
                <w:sz w:val="18"/>
                <w:szCs w:val="18"/>
              </w:rPr>
              <w:t>8.4</w:t>
            </w:r>
          </w:p>
        </w:tc>
      </w:tr>
      <w:tr w:rsidR="005405C5" w:rsidRPr="005C5A70" w14:paraId="15C74459" w14:textId="77777777" w:rsidTr="00A160A2">
        <w:trPr>
          <w:trHeight w:val="315"/>
        </w:trPr>
        <w:tc>
          <w:tcPr>
            <w:tcW w:w="2693" w:type="dxa"/>
            <w:shd w:val="clear" w:color="auto" w:fill="auto"/>
            <w:vAlign w:val="center"/>
            <w:hideMark/>
          </w:tcPr>
          <w:p w14:paraId="2581DC2C"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South Australia </w:t>
            </w:r>
          </w:p>
        </w:tc>
        <w:tc>
          <w:tcPr>
            <w:tcW w:w="1560" w:type="dxa"/>
            <w:shd w:val="clear" w:color="auto" w:fill="auto"/>
            <w:vAlign w:val="center"/>
            <w:hideMark/>
          </w:tcPr>
          <w:p w14:paraId="01E84AF2" w14:textId="77777777" w:rsidR="005405C5" w:rsidRPr="005C5A70" w:rsidRDefault="005405C5">
            <w:pPr>
              <w:spacing w:after="0" w:line="240" w:lineRule="auto"/>
              <w:jc w:val="center"/>
              <w:rPr>
                <w:rFonts w:cs="Arial"/>
                <w:color w:val="000000"/>
                <w:sz w:val="18"/>
                <w:szCs w:val="18"/>
                <w:lang w:eastAsia="en-AU"/>
              </w:rPr>
            </w:pPr>
            <w:r>
              <w:rPr>
                <w:rFonts w:cs="Arial"/>
                <w:color w:val="auto"/>
                <w:sz w:val="18"/>
                <w:szCs w:val="18"/>
                <w:lang w:eastAsia="en-AU"/>
              </w:rPr>
              <w:t>30</w:t>
            </w:r>
            <w:r w:rsidRPr="005C5A70">
              <w:rPr>
                <w:rFonts w:cs="Arial"/>
                <w:color w:val="auto"/>
                <w:sz w:val="18"/>
                <w:szCs w:val="18"/>
                <w:lang w:eastAsia="en-AU"/>
              </w:rPr>
              <w:t>.0</w:t>
            </w:r>
          </w:p>
        </w:tc>
        <w:tc>
          <w:tcPr>
            <w:tcW w:w="1559" w:type="dxa"/>
            <w:shd w:val="clear" w:color="auto" w:fill="auto"/>
            <w:vAlign w:val="center"/>
            <w:hideMark/>
          </w:tcPr>
          <w:p w14:paraId="478FD9EA"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2.6</w:t>
            </w:r>
          </w:p>
        </w:tc>
        <w:tc>
          <w:tcPr>
            <w:tcW w:w="1559" w:type="dxa"/>
            <w:shd w:val="clear" w:color="auto" w:fill="auto"/>
            <w:vAlign w:val="center"/>
          </w:tcPr>
          <w:p w14:paraId="74A7C218"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25.3</w:t>
            </w:r>
          </w:p>
        </w:tc>
        <w:tc>
          <w:tcPr>
            <w:tcW w:w="1556" w:type="dxa"/>
            <w:shd w:val="clear" w:color="auto" w:fill="auto"/>
            <w:vAlign w:val="center"/>
          </w:tcPr>
          <w:p w14:paraId="62CE0CA0" w14:textId="77777777" w:rsidR="005405C5" w:rsidRDefault="005405C5">
            <w:pPr>
              <w:spacing w:after="0" w:line="240" w:lineRule="auto"/>
              <w:jc w:val="center"/>
              <w:rPr>
                <w:rFonts w:cs="Arial"/>
                <w:color w:val="000000"/>
                <w:sz w:val="18"/>
                <w:szCs w:val="18"/>
              </w:rPr>
            </w:pPr>
            <w:r w:rsidRPr="00670BAD">
              <w:rPr>
                <w:rFonts w:cs="Arial"/>
                <w:color w:val="000000"/>
                <w:sz w:val="18"/>
                <w:szCs w:val="18"/>
              </w:rPr>
              <w:t>8.4</w:t>
            </w:r>
          </w:p>
        </w:tc>
      </w:tr>
      <w:tr w:rsidR="005405C5" w:rsidRPr="005C5A70" w14:paraId="28A17140" w14:textId="77777777" w:rsidTr="00A160A2">
        <w:trPr>
          <w:trHeight w:val="315"/>
        </w:trPr>
        <w:tc>
          <w:tcPr>
            <w:tcW w:w="2693" w:type="dxa"/>
            <w:shd w:val="clear" w:color="auto" w:fill="auto"/>
            <w:vAlign w:val="center"/>
            <w:hideMark/>
          </w:tcPr>
          <w:p w14:paraId="1895C53A"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Tasmania </w:t>
            </w:r>
          </w:p>
        </w:tc>
        <w:tc>
          <w:tcPr>
            <w:tcW w:w="1560" w:type="dxa"/>
            <w:shd w:val="clear" w:color="auto" w:fill="auto"/>
            <w:vAlign w:val="center"/>
            <w:hideMark/>
          </w:tcPr>
          <w:p w14:paraId="44BC1311"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auto"/>
                <w:sz w:val="18"/>
                <w:szCs w:val="18"/>
                <w:lang w:eastAsia="en-AU"/>
              </w:rPr>
              <w:t>4</w:t>
            </w:r>
            <w:r>
              <w:rPr>
                <w:rFonts w:cs="Arial"/>
                <w:color w:val="auto"/>
                <w:sz w:val="18"/>
                <w:szCs w:val="18"/>
                <w:lang w:eastAsia="en-AU"/>
              </w:rPr>
              <w:t>2</w:t>
            </w:r>
            <w:r w:rsidRPr="005C5A70">
              <w:rPr>
                <w:rFonts w:cs="Arial"/>
                <w:color w:val="auto"/>
                <w:sz w:val="18"/>
                <w:szCs w:val="18"/>
                <w:lang w:eastAsia="en-AU"/>
              </w:rPr>
              <w:t>.3</w:t>
            </w:r>
          </w:p>
        </w:tc>
        <w:tc>
          <w:tcPr>
            <w:tcW w:w="1559" w:type="dxa"/>
            <w:shd w:val="clear" w:color="auto" w:fill="auto"/>
            <w:vAlign w:val="center"/>
            <w:hideMark/>
          </w:tcPr>
          <w:p w14:paraId="7E345A93"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5.5</w:t>
            </w:r>
          </w:p>
        </w:tc>
        <w:tc>
          <w:tcPr>
            <w:tcW w:w="1559" w:type="dxa"/>
            <w:shd w:val="clear" w:color="auto" w:fill="auto"/>
            <w:vAlign w:val="center"/>
          </w:tcPr>
          <w:p w14:paraId="3983ACB8"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100.0</w:t>
            </w:r>
          </w:p>
        </w:tc>
        <w:tc>
          <w:tcPr>
            <w:tcW w:w="1556" w:type="dxa"/>
            <w:shd w:val="clear" w:color="auto" w:fill="auto"/>
            <w:vAlign w:val="center"/>
          </w:tcPr>
          <w:p w14:paraId="0B85D74E" w14:textId="77777777" w:rsidR="005405C5" w:rsidRDefault="005405C5">
            <w:pPr>
              <w:spacing w:after="0" w:line="240" w:lineRule="auto"/>
              <w:jc w:val="center"/>
              <w:rPr>
                <w:rFonts w:cs="Arial"/>
                <w:color w:val="000000"/>
                <w:sz w:val="18"/>
                <w:szCs w:val="18"/>
              </w:rPr>
            </w:pPr>
            <w:r w:rsidRPr="00670BAD">
              <w:rPr>
                <w:rFonts w:cs="Arial"/>
                <w:color w:val="000000"/>
                <w:sz w:val="18"/>
                <w:szCs w:val="18"/>
              </w:rPr>
              <w:t>8.4</w:t>
            </w:r>
          </w:p>
        </w:tc>
      </w:tr>
      <w:tr w:rsidR="005405C5" w:rsidRPr="005C5A70" w14:paraId="77058E99" w14:textId="77777777" w:rsidTr="00A160A2">
        <w:trPr>
          <w:trHeight w:val="315"/>
        </w:trPr>
        <w:tc>
          <w:tcPr>
            <w:tcW w:w="2693" w:type="dxa"/>
            <w:shd w:val="clear" w:color="auto" w:fill="auto"/>
            <w:vAlign w:val="center"/>
            <w:hideMark/>
          </w:tcPr>
          <w:p w14:paraId="54827AA4"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Northern Territory </w:t>
            </w:r>
          </w:p>
        </w:tc>
        <w:tc>
          <w:tcPr>
            <w:tcW w:w="1560" w:type="dxa"/>
            <w:shd w:val="clear" w:color="auto" w:fill="auto"/>
            <w:vAlign w:val="center"/>
            <w:hideMark/>
          </w:tcPr>
          <w:p w14:paraId="2CA7CFFA"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auto"/>
                <w:sz w:val="18"/>
                <w:szCs w:val="18"/>
                <w:lang w:eastAsia="en-AU"/>
              </w:rPr>
              <w:t>23.</w:t>
            </w:r>
            <w:r>
              <w:rPr>
                <w:rFonts w:cs="Arial"/>
                <w:color w:val="auto"/>
                <w:sz w:val="18"/>
                <w:szCs w:val="18"/>
                <w:lang w:eastAsia="en-AU"/>
              </w:rPr>
              <w:t>1</w:t>
            </w:r>
          </w:p>
        </w:tc>
        <w:tc>
          <w:tcPr>
            <w:tcW w:w="1559" w:type="dxa"/>
            <w:shd w:val="clear" w:color="auto" w:fill="auto"/>
            <w:vAlign w:val="center"/>
            <w:hideMark/>
          </w:tcPr>
          <w:p w14:paraId="3CE280F6"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31.3</w:t>
            </w:r>
          </w:p>
        </w:tc>
        <w:tc>
          <w:tcPr>
            <w:tcW w:w="1559" w:type="dxa"/>
            <w:shd w:val="clear" w:color="auto" w:fill="auto"/>
            <w:vAlign w:val="center"/>
          </w:tcPr>
          <w:p w14:paraId="587A40B9"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100.0</w:t>
            </w:r>
          </w:p>
        </w:tc>
        <w:tc>
          <w:tcPr>
            <w:tcW w:w="1556" w:type="dxa"/>
            <w:shd w:val="clear" w:color="auto" w:fill="auto"/>
            <w:vAlign w:val="center"/>
          </w:tcPr>
          <w:p w14:paraId="6511CD80" w14:textId="77777777" w:rsidR="005405C5" w:rsidRDefault="005405C5">
            <w:pPr>
              <w:spacing w:after="0" w:line="240" w:lineRule="auto"/>
              <w:jc w:val="center"/>
              <w:rPr>
                <w:rFonts w:cs="Arial"/>
                <w:color w:val="000000"/>
                <w:sz w:val="18"/>
                <w:szCs w:val="18"/>
              </w:rPr>
            </w:pPr>
            <w:r w:rsidRPr="00670BAD">
              <w:rPr>
                <w:rFonts w:cs="Arial"/>
                <w:color w:val="000000"/>
                <w:sz w:val="18"/>
                <w:szCs w:val="18"/>
              </w:rPr>
              <w:t>8.4</w:t>
            </w:r>
          </w:p>
        </w:tc>
      </w:tr>
      <w:tr w:rsidR="005405C5" w:rsidRPr="005C5A70" w14:paraId="6AA2EC51" w14:textId="77777777" w:rsidTr="00A160A2">
        <w:trPr>
          <w:trHeight w:val="315"/>
        </w:trPr>
        <w:tc>
          <w:tcPr>
            <w:tcW w:w="2693" w:type="dxa"/>
            <w:shd w:val="clear" w:color="auto" w:fill="auto"/>
            <w:vAlign w:val="center"/>
            <w:hideMark/>
          </w:tcPr>
          <w:p w14:paraId="2B3C8163" w14:textId="77777777" w:rsidR="005405C5" w:rsidRPr="005C5A70" w:rsidRDefault="005405C5">
            <w:pPr>
              <w:spacing w:after="0" w:line="240" w:lineRule="auto"/>
              <w:rPr>
                <w:rFonts w:cs="Arial"/>
                <w:color w:val="000000"/>
                <w:sz w:val="18"/>
                <w:szCs w:val="18"/>
                <w:lang w:eastAsia="en-AU"/>
              </w:rPr>
            </w:pPr>
            <w:r w:rsidRPr="005C5A70">
              <w:rPr>
                <w:rFonts w:cs="Arial"/>
                <w:color w:val="000000"/>
                <w:sz w:val="18"/>
                <w:szCs w:val="18"/>
                <w:lang w:eastAsia="en-AU"/>
              </w:rPr>
              <w:t xml:space="preserve">Australian Capital Territory </w:t>
            </w:r>
          </w:p>
        </w:tc>
        <w:tc>
          <w:tcPr>
            <w:tcW w:w="1560" w:type="dxa"/>
            <w:shd w:val="clear" w:color="auto" w:fill="auto"/>
            <w:vAlign w:val="center"/>
            <w:hideMark/>
          </w:tcPr>
          <w:p w14:paraId="4B3C8BE8"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auto"/>
                <w:sz w:val="18"/>
                <w:szCs w:val="18"/>
                <w:lang w:eastAsia="en-AU"/>
              </w:rPr>
              <w:t>0.2</w:t>
            </w:r>
          </w:p>
        </w:tc>
        <w:tc>
          <w:tcPr>
            <w:tcW w:w="1559" w:type="dxa"/>
            <w:shd w:val="clear" w:color="auto" w:fill="auto"/>
            <w:vAlign w:val="center"/>
            <w:hideMark/>
          </w:tcPr>
          <w:p w14:paraId="6CD00E0F" w14:textId="77777777" w:rsidR="005405C5" w:rsidRPr="005C5A70" w:rsidRDefault="005405C5">
            <w:pPr>
              <w:spacing w:after="0" w:line="240" w:lineRule="auto"/>
              <w:jc w:val="center"/>
              <w:rPr>
                <w:rFonts w:cs="Arial"/>
                <w:color w:val="000000"/>
                <w:sz w:val="18"/>
                <w:szCs w:val="18"/>
                <w:lang w:eastAsia="en-AU"/>
              </w:rPr>
            </w:pPr>
            <w:r w:rsidRPr="005C5A70">
              <w:rPr>
                <w:rFonts w:cs="Arial"/>
                <w:color w:val="000000"/>
                <w:sz w:val="18"/>
                <w:szCs w:val="18"/>
                <w:lang w:eastAsia="en-AU"/>
              </w:rPr>
              <w:t>1.9</w:t>
            </w:r>
          </w:p>
        </w:tc>
        <w:tc>
          <w:tcPr>
            <w:tcW w:w="1559" w:type="dxa"/>
            <w:shd w:val="clear" w:color="auto" w:fill="auto"/>
            <w:vAlign w:val="center"/>
          </w:tcPr>
          <w:p w14:paraId="04B839EF" w14:textId="77777777" w:rsidR="005405C5" w:rsidRPr="005C5A70" w:rsidRDefault="005405C5">
            <w:pPr>
              <w:spacing w:after="0" w:line="240" w:lineRule="auto"/>
              <w:jc w:val="center"/>
              <w:rPr>
                <w:rFonts w:cs="Arial"/>
                <w:color w:val="000000"/>
                <w:sz w:val="18"/>
                <w:szCs w:val="18"/>
                <w:lang w:eastAsia="en-AU"/>
              </w:rPr>
            </w:pPr>
            <w:r>
              <w:rPr>
                <w:rFonts w:cs="Arial"/>
                <w:color w:val="000000"/>
                <w:sz w:val="18"/>
                <w:szCs w:val="18"/>
              </w:rPr>
              <w:t>0.1</w:t>
            </w:r>
          </w:p>
        </w:tc>
        <w:tc>
          <w:tcPr>
            <w:tcW w:w="1556" w:type="dxa"/>
            <w:shd w:val="clear" w:color="auto" w:fill="auto"/>
            <w:vAlign w:val="center"/>
          </w:tcPr>
          <w:p w14:paraId="2A932944" w14:textId="77777777" w:rsidR="005405C5" w:rsidRDefault="005405C5">
            <w:pPr>
              <w:spacing w:after="0" w:line="240" w:lineRule="auto"/>
              <w:jc w:val="center"/>
              <w:rPr>
                <w:rFonts w:cs="Arial"/>
                <w:color w:val="000000"/>
                <w:sz w:val="18"/>
                <w:szCs w:val="18"/>
              </w:rPr>
            </w:pPr>
            <w:r w:rsidRPr="00670BAD">
              <w:rPr>
                <w:rFonts w:cs="Arial"/>
                <w:color w:val="000000"/>
                <w:sz w:val="18"/>
                <w:szCs w:val="18"/>
              </w:rPr>
              <w:t>8.4</w:t>
            </w:r>
          </w:p>
        </w:tc>
      </w:tr>
    </w:tbl>
    <w:p w14:paraId="0750DEBC" w14:textId="23854F88" w:rsidR="005405C5" w:rsidRPr="00B26882" w:rsidRDefault="005405C5" w:rsidP="00A160A2">
      <w:pPr>
        <w:spacing w:before="60" w:after="0" w:line="240" w:lineRule="auto"/>
        <w:ind w:left="284"/>
        <w:rPr>
          <w:rFonts w:cs="Arial"/>
          <w:sz w:val="18"/>
          <w:szCs w:val="18"/>
        </w:rPr>
      </w:pPr>
      <w:r w:rsidRPr="00B26882">
        <w:rPr>
          <w:rFonts w:cs="Arial"/>
          <w:b/>
          <w:bCs/>
          <w:sz w:val="18"/>
          <w:szCs w:val="18"/>
        </w:rPr>
        <w:t xml:space="preserve">Note: </w:t>
      </w:r>
      <w:r w:rsidR="00710CC1" w:rsidRPr="00B26882">
        <w:rPr>
          <w:rFonts w:cs="Arial"/>
          <w:sz w:val="18"/>
          <w:szCs w:val="18"/>
        </w:rPr>
        <w:t>The l</w:t>
      </w:r>
      <w:r w:rsidRPr="00B26882">
        <w:rPr>
          <w:rFonts w:cs="Arial"/>
          <w:sz w:val="18"/>
          <w:szCs w:val="18"/>
        </w:rPr>
        <w:t xml:space="preserve">ow SES equity reference value uses the 2016 SEIFA IEO estimates (ABS). All other equity reference values are sourced from Australian Government Department of Education (2023b). The Australian Government Department of Education’s equity reference value for </w:t>
      </w:r>
      <w:r w:rsidR="00710CC1" w:rsidRPr="00B26882">
        <w:rPr>
          <w:rFonts w:cs="Arial"/>
          <w:sz w:val="18"/>
          <w:szCs w:val="18"/>
        </w:rPr>
        <w:t>d</w:t>
      </w:r>
      <w:r w:rsidRPr="00B26882">
        <w:rPr>
          <w:rFonts w:cs="Arial"/>
          <w:sz w:val="18"/>
          <w:szCs w:val="18"/>
        </w:rPr>
        <w:t xml:space="preserve">isability for each state and territory is the national estimate of 8.4%.  </w:t>
      </w:r>
    </w:p>
    <w:p w14:paraId="64512CAD" w14:textId="6AED9158" w:rsidR="00C8185B" w:rsidRPr="00B26882" w:rsidRDefault="00C8185B" w:rsidP="00A160A2">
      <w:pPr>
        <w:spacing w:before="60" w:after="0" w:line="240" w:lineRule="auto"/>
        <w:ind w:left="284"/>
        <w:rPr>
          <w:rFonts w:cs="Arial"/>
          <w:sz w:val="18"/>
          <w:szCs w:val="18"/>
        </w:rPr>
      </w:pPr>
      <w:r w:rsidRPr="00B26882">
        <w:rPr>
          <w:b/>
          <w:bCs/>
          <w:sz w:val="18"/>
          <w:szCs w:val="18"/>
        </w:rPr>
        <w:t>Source:</w:t>
      </w:r>
      <w:r w:rsidRPr="00B26882">
        <w:rPr>
          <w:sz w:val="18"/>
          <w:szCs w:val="18"/>
        </w:rPr>
        <w:t xml:space="preserve"> </w:t>
      </w:r>
      <w:r w:rsidRPr="00B26882">
        <w:rPr>
          <w:rFonts w:cs="Arial"/>
          <w:sz w:val="18"/>
          <w:szCs w:val="18"/>
        </w:rPr>
        <w:t xml:space="preserve">Australian Government Department of Education (2023) and </w:t>
      </w:r>
      <w:r w:rsidR="002D13E9">
        <w:rPr>
          <w:rFonts w:cs="Arial"/>
          <w:sz w:val="18"/>
          <w:szCs w:val="18"/>
        </w:rPr>
        <w:t>ACSES</w:t>
      </w:r>
      <w:r w:rsidRPr="00B26882">
        <w:rPr>
          <w:rFonts w:cs="Arial"/>
          <w:sz w:val="18"/>
          <w:szCs w:val="18"/>
        </w:rPr>
        <w:t xml:space="preserve"> calculations.</w:t>
      </w:r>
    </w:p>
    <w:p w14:paraId="44D4E145" w14:textId="40A0361B" w:rsidR="0080649A" w:rsidRDefault="00860269" w:rsidP="00421E64">
      <w:r>
        <w:t xml:space="preserve"> </w:t>
      </w:r>
    </w:p>
    <w:p w14:paraId="2F714ED1" w14:textId="342E9F1D" w:rsidR="00B268AF" w:rsidRDefault="00E96642" w:rsidP="00A160A2">
      <w:pPr>
        <w:ind w:left="284"/>
      </w:pPr>
      <w:r>
        <w:t xml:space="preserve">We develop three options for </w:t>
      </w:r>
      <w:r w:rsidR="00FF0A2D">
        <w:t>reference populations</w:t>
      </w:r>
      <w:r>
        <w:t>.</w:t>
      </w:r>
      <w:r w:rsidR="00DE61C0">
        <w:t xml:space="preserve"> The</w:t>
      </w:r>
      <w:r w:rsidR="00FF0A2D">
        <w:t>se</w:t>
      </w:r>
      <w:r w:rsidR="00DE61C0">
        <w:t xml:space="preserve"> </w:t>
      </w:r>
      <w:r w:rsidR="009C31A1">
        <w:t>reflect historic approaches to describing parity targets in Australia</w:t>
      </w:r>
      <w:r w:rsidR="00CE2219">
        <w:t xml:space="preserve"> and emphasise approaches based on shared geography, rather than institutional</w:t>
      </w:r>
      <w:r w:rsidR="00363FAC">
        <w:t xml:space="preserve">-specific measures. </w:t>
      </w:r>
    </w:p>
    <w:p w14:paraId="002F134C" w14:textId="77777777" w:rsidR="002540E3" w:rsidRDefault="002540E3" w:rsidP="006928B5">
      <w:pPr>
        <w:ind w:left="720"/>
      </w:pPr>
    </w:p>
    <w:p w14:paraId="24A1078E" w14:textId="77777777" w:rsidR="00DB0F4E" w:rsidRDefault="00DB0F4E" w:rsidP="006928B5">
      <w:pPr>
        <w:ind w:left="720"/>
      </w:pPr>
    </w:p>
    <w:p w14:paraId="6292DF55" w14:textId="77777777" w:rsidR="00DB0F4E" w:rsidRDefault="00DB0F4E">
      <w:pPr>
        <w:rPr>
          <w:b/>
          <w:bCs/>
          <w:sz w:val="18"/>
          <w:szCs w:val="18"/>
        </w:rPr>
      </w:pPr>
      <w:r>
        <w:rPr>
          <w:b/>
          <w:bCs/>
          <w:sz w:val="18"/>
          <w:szCs w:val="18"/>
        </w:rPr>
        <w:br w:type="page"/>
      </w:r>
    </w:p>
    <w:p w14:paraId="308B98DE" w14:textId="50AB9C2A" w:rsidR="00BC41B7" w:rsidRPr="00A545B0" w:rsidRDefault="00BC41B7" w:rsidP="00B26882">
      <w:pPr>
        <w:spacing w:line="240" w:lineRule="auto"/>
        <w:ind w:left="720"/>
        <w:rPr>
          <w:sz w:val="18"/>
          <w:szCs w:val="18"/>
        </w:rPr>
      </w:pPr>
      <w:r w:rsidRPr="00107A02">
        <w:rPr>
          <w:b/>
          <w:bCs/>
          <w:sz w:val="18"/>
          <w:szCs w:val="18"/>
        </w:rPr>
        <w:lastRenderedPageBreak/>
        <w:t>Figure A</w:t>
      </w:r>
      <w:r w:rsidRPr="00A545B0">
        <w:rPr>
          <w:sz w:val="18"/>
          <w:szCs w:val="18"/>
        </w:rPr>
        <w:t xml:space="preserve">: </w:t>
      </w:r>
      <w:r w:rsidR="001E5600" w:rsidRPr="00A545B0">
        <w:rPr>
          <w:sz w:val="18"/>
          <w:szCs w:val="18"/>
        </w:rPr>
        <w:t xml:space="preserve">Three </w:t>
      </w:r>
      <w:r w:rsidR="00625F3C" w:rsidRPr="00A545B0">
        <w:rPr>
          <w:sz w:val="18"/>
          <w:szCs w:val="18"/>
        </w:rPr>
        <w:t>t</w:t>
      </w:r>
      <w:r w:rsidR="001E5600" w:rsidRPr="00A545B0">
        <w:rPr>
          <w:sz w:val="18"/>
          <w:szCs w:val="18"/>
        </w:rPr>
        <w:t xml:space="preserve">ypes of </w:t>
      </w:r>
      <w:r w:rsidR="002A0CAD" w:rsidRPr="00A545B0">
        <w:rPr>
          <w:sz w:val="18"/>
          <w:szCs w:val="18"/>
        </w:rPr>
        <w:t>Parity Targets</w:t>
      </w:r>
    </w:p>
    <w:tbl>
      <w:tblPr>
        <w:tblStyle w:val="TableGrid"/>
        <w:tblW w:w="9050" w:type="dxa"/>
        <w:tblInd w:w="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55"/>
      </w:tblGrid>
      <w:tr w:rsidR="00E96642" w14:paraId="17657375" w14:textId="77777777" w:rsidTr="00EB0ACD">
        <w:trPr>
          <w:cnfStyle w:val="100000000000" w:firstRow="1" w:lastRow="0" w:firstColumn="0" w:lastColumn="0" w:oddVBand="0" w:evenVBand="0" w:oddHBand="0" w:evenHBand="0" w:firstRowFirstColumn="0" w:firstRowLastColumn="0" w:lastRowFirstColumn="0" w:lastRowLastColumn="0"/>
        </w:trPr>
        <w:tc>
          <w:tcPr>
            <w:tcW w:w="4395" w:type="dxa"/>
            <w:shd w:val="clear" w:color="auto" w:fill="EFE2E7" w:themeFill="text1" w:themeFillTint="1A"/>
          </w:tcPr>
          <w:p w14:paraId="7F54BE2E" w14:textId="77777777" w:rsidR="00E96642" w:rsidRDefault="00E96642">
            <w:pPr>
              <w:rPr>
                <w:b/>
                <w:bCs/>
              </w:rPr>
            </w:pPr>
          </w:p>
          <w:p w14:paraId="7110DCE6" w14:textId="1B0B6505" w:rsidR="00E96642" w:rsidRDefault="00E96642">
            <w:r w:rsidRPr="00E1022E">
              <w:rPr>
                <w:b/>
                <w:bCs/>
              </w:rPr>
              <w:t xml:space="preserve">National Parity Targets: </w:t>
            </w:r>
            <w:r>
              <w:t xml:space="preserve">Table A Providers are individually or collectively set a target for each equity group whereby its share </w:t>
            </w:r>
            <w:r w:rsidR="006F34AB">
              <w:t>of</w:t>
            </w:r>
            <w:r>
              <w:t xml:space="preserve"> the institution’s enrolment and completions is equal to the </w:t>
            </w:r>
            <w:r w:rsidRPr="00E1022E">
              <w:rPr>
                <w:i/>
                <w:iCs/>
              </w:rPr>
              <w:t>national</w:t>
            </w:r>
            <w:r>
              <w:t xml:space="preserve"> population share. </w:t>
            </w:r>
          </w:p>
          <w:p w14:paraId="2EF75CDD" w14:textId="77777777" w:rsidR="00E96642" w:rsidRDefault="00E96642"/>
          <w:p w14:paraId="62B2671F" w14:textId="77777777" w:rsidR="00E96642" w:rsidRDefault="00E96642"/>
        </w:tc>
        <w:tc>
          <w:tcPr>
            <w:tcW w:w="4655" w:type="dxa"/>
            <w:shd w:val="clear" w:color="auto" w:fill="EFE2E7" w:themeFill="text1" w:themeFillTint="1A"/>
            <w:vAlign w:val="center"/>
          </w:tcPr>
          <w:p w14:paraId="712AEC1F" w14:textId="77777777" w:rsidR="00E96642" w:rsidRDefault="00E96642"/>
          <w:p w14:paraId="16B155A1" w14:textId="77777777" w:rsidR="00E96642" w:rsidRDefault="00E96642">
            <w:r>
              <w:rPr>
                <w:noProof/>
              </w:rPr>
              <w:drawing>
                <wp:inline distT="0" distB="0" distL="0" distR="0" wp14:anchorId="3502B40B" wp14:editId="4C8482DD">
                  <wp:extent cx="2746800" cy="1602000"/>
                  <wp:effectExtent l="0" t="0" r="15875" b="17780"/>
                  <wp:docPr id="1304168751" name="Diagram 1304168751" descr="A large light blue circle with white border on a light burgundy background with the word National written in it"/>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C2EB86A" w14:textId="77777777" w:rsidR="00E96642" w:rsidRDefault="00E96642"/>
        </w:tc>
      </w:tr>
      <w:tr w:rsidR="00E96642" w14:paraId="6AEE5121" w14:textId="77777777" w:rsidTr="00EB0ACD">
        <w:trPr>
          <w:cnfStyle w:val="000000100000" w:firstRow="0" w:lastRow="0" w:firstColumn="0" w:lastColumn="0" w:oddVBand="0" w:evenVBand="0" w:oddHBand="1" w:evenHBand="0" w:firstRowFirstColumn="0" w:firstRowLastColumn="0" w:lastRowFirstColumn="0" w:lastRowLastColumn="0"/>
        </w:trPr>
        <w:tc>
          <w:tcPr>
            <w:tcW w:w="4395" w:type="dxa"/>
            <w:shd w:val="clear" w:color="auto" w:fill="F7F7F7"/>
          </w:tcPr>
          <w:p w14:paraId="2A0B04C8" w14:textId="77777777" w:rsidR="00E96642" w:rsidRDefault="00E96642">
            <w:pPr>
              <w:rPr>
                <w:b/>
                <w:bCs/>
              </w:rPr>
            </w:pPr>
          </w:p>
          <w:p w14:paraId="03C325C1" w14:textId="081BCFE6" w:rsidR="00E96642" w:rsidRDefault="00E96642">
            <w:r>
              <w:rPr>
                <w:b/>
                <w:bCs/>
              </w:rPr>
              <w:t>State/Territory (</w:t>
            </w:r>
            <w:r w:rsidRPr="006B07C5">
              <w:rPr>
                <w:b/>
                <w:bCs/>
              </w:rPr>
              <w:t>Home Institution</w:t>
            </w:r>
            <w:r>
              <w:rPr>
                <w:b/>
                <w:bCs/>
              </w:rPr>
              <w:t>) Parity Targets</w:t>
            </w:r>
            <w:r w:rsidRPr="006B07C5">
              <w:rPr>
                <w:b/>
                <w:bCs/>
              </w:rPr>
              <w:t xml:space="preserve">: </w:t>
            </w:r>
            <w:r>
              <w:rPr>
                <w:b/>
                <w:bCs/>
              </w:rPr>
              <w:t xml:space="preserve"> </w:t>
            </w:r>
            <w:r>
              <w:t xml:space="preserve">Table A Providers are individually or collectively set a parity target for each equity group whereby its enrolment share in the institution’s enrolment and completions is equal to the population share reported in their </w:t>
            </w:r>
            <w:r w:rsidRPr="006B07C5">
              <w:rPr>
                <w:i/>
                <w:iCs/>
              </w:rPr>
              <w:t>home</w:t>
            </w:r>
            <w:r>
              <w:t xml:space="preserve"> state or territory</w:t>
            </w:r>
            <w:r w:rsidR="00C47AB4">
              <w:t xml:space="preserve">, as indicated by the location of their main campus. The Australian Catholic University (ACU) is classified as a multi-state </w:t>
            </w:r>
            <w:r w:rsidR="0059004D">
              <w:t>university</w:t>
            </w:r>
            <w:r w:rsidR="00C47AB4">
              <w:t>.</w:t>
            </w:r>
            <w:r w:rsidR="00D01D47">
              <w:t xml:space="preserve"> </w:t>
            </w:r>
          </w:p>
        </w:tc>
        <w:tc>
          <w:tcPr>
            <w:tcW w:w="4655" w:type="dxa"/>
            <w:shd w:val="clear" w:color="auto" w:fill="F7F7F7"/>
            <w:vAlign w:val="center"/>
          </w:tcPr>
          <w:p w14:paraId="708C2052" w14:textId="77777777" w:rsidR="00E96642" w:rsidRDefault="00E96642"/>
          <w:p w14:paraId="4AC0E75E" w14:textId="77777777" w:rsidR="00E96642" w:rsidRDefault="00E96642">
            <w:r>
              <w:rPr>
                <w:noProof/>
              </w:rPr>
              <w:drawing>
                <wp:inline distT="0" distB="0" distL="0" distR="0" wp14:anchorId="7DC1D7C4" wp14:editId="0A47AEAE">
                  <wp:extent cx="2746800" cy="1602000"/>
                  <wp:effectExtent l="0" t="0" r="15875" b="17780"/>
                  <wp:docPr id="956039348" name="Diagram 956039348" descr="Three small light blue circles placed in a rectangle so they don't overlap. The three circles are individually labelled as: State A (top left), Territory (centre bottom), State B (top right)"/>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578EB78" w14:textId="77777777" w:rsidR="00E96642" w:rsidRDefault="00E96642"/>
        </w:tc>
      </w:tr>
      <w:tr w:rsidR="00E96642" w14:paraId="0407A99E" w14:textId="77777777" w:rsidTr="00EB0ACD">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EFE2E7" w:themeFill="text1" w:themeFillTint="1A"/>
          </w:tcPr>
          <w:p w14:paraId="53AB4677" w14:textId="77777777" w:rsidR="00E96642" w:rsidRDefault="00E96642">
            <w:pPr>
              <w:rPr>
                <w:b/>
                <w:bCs/>
              </w:rPr>
            </w:pPr>
          </w:p>
          <w:p w14:paraId="6CBB1739" w14:textId="00FB6347" w:rsidR="00E96642" w:rsidRDefault="00E96642">
            <w:r w:rsidRPr="00AD71AE">
              <w:rPr>
                <w:b/>
                <w:bCs/>
              </w:rPr>
              <w:t xml:space="preserve">State/Territory (All Institutions) Parity Targets: </w:t>
            </w:r>
            <w:r>
              <w:t xml:space="preserve">This approach uses </w:t>
            </w:r>
            <w:r w:rsidR="00576803">
              <w:t xml:space="preserve">permanent home address </w:t>
            </w:r>
            <w:r>
              <w:t xml:space="preserve">data to attribute students to their </w:t>
            </w:r>
            <w:r w:rsidRPr="00775FFE">
              <w:rPr>
                <w:i/>
                <w:iCs/>
              </w:rPr>
              <w:t xml:space="preserve">home </w:t>
            </w:r>
            <w:r>
              <w:t>state</w:t>
            </w:r>
            <w:r w:rsidR="00F252B3">
              <w:t>/</w:t>
            </w:r>
            <w:r w:rsidR="00775FFE">
              <w:t>territory</w:t>
            </w:r>
            <w:r>
              <w:t xml:space="preserve">, to consider interstate movements among students undertaking </w:t>
            </w:r>
            <w:r w:rsidR="00D86E85">
              <w:t>‘</w:t>
            </w:r>
            <w:r>
              <w:t>in-person</w:t>
            </w:r>
            <w:r w:rsidR="00D86E85">
              <w:t>’</w:t>
            </w:r>
            <w:r>
              <w:t xml:space="preserve"> or online interstate studies. Table A institutions are individually or collectively set a parity target for each equity group based on </w:t>
            </w:r>
            <w:r w:rsidRPr="00AD71AE">
              <w:rPr>
                <w:i/>
                <w:iCs/>
              </w:rPr>
              <w:t>home</w:t>
            </w:r>
            <w:r>
              <w:t xml:space="preserve"> state</w:t>
            </w:r>
            <w:r w:rsidR="00F252B3">
              <w:t>/</w:t>
            </w:r>
            <w:r>
              <w:t>territory enrolment, but also consider participation and completions achieved by institutions from other states</w:t>
            </w:r>
            <w:r w:rsidR="000A57D0">
              <w:t xml:space="preserve"> and </w:t>
            </w:r>
            <w:r>
              <w:t>territories.</w:t>
            </w:r>
          </w:p>
        </w:tc>
        <w:tc>
          <w:tcPr>
            <w:tcW w:w="4655" w:type="dxa"/>
            <w:shd w:val="clear" w:color="auto" w:fill="EFE2E7" w:themeFill="text1" w:themeFillTint="1A"/>
            <w:vAlign w:val="center"/>
          </w:tcPr>
          <w:p w14:paraId="6076D74C" w14:textId="77777777" w:rsidR="00E96642" w:rsidRDefault="00E96642"/>
          <w:p w14:paraId="4A2E6689" w14:textId="77777777" w:rsidR="00E96642" w:rsidRDefault="00E96642">
            <w:r>
              <w:rPr>
                <w:noProof/>
              </w:rPr>
              <w:drawing>
                <wp:inline distT="0" distB="0" distL="0" distR="0" wp14:anchorId="07ACC0E8" wp14:editId="793D7A71">
                  <wp:extent cx="2746375" cy="1706245"/>
                  <wp:effectExtent l="0" t="0" r="15875" b="27305"/>
                  <wp:docPr id="2000906570" name="Diagram 2000906570" descr="Three light blue circles with white borders are placed within a rectangle. They all overlap slightly with one common overlap point in the centre. Three small light blue circles placed in a rectangle so they don't overlap. The three circles are individually labelled as: State A (top left), Territory (centre bottom), State B (top right)."/>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1206D22" w14:textId="77777777" w:rsidR="00E96642" w:rsidRDefault="00E96642"/>
        </w:tc>
      </w:tr>
    </w:tbl>
    <w:p w14:paraId="5EAC33FE" w14:textId="627543F8" w:rsidR="00B26882" w:rsidRPr="00925A21" w:rsidRDefault="004F1096">
      <w:pPr>
        <w:rPr>
          <w:b/>
          <w:bCs/>
        </w:rPr>
      </w:pPr>
      <w:r>
        <w:rPr>
          <w:b/>
          <w:bCs/>
        </w:rPr>
        <w:br/>
      </w:r>
    </w:p>
    <w:p w14:paraId="07E6722F" w14:textId="05C219CB" w:rsidR="002A7ADD" w:rsidRPr="007A7552" w:rsidRDefault="00363FAC" w:rsidP="00581958">
      <w:pPr>
        <w:pStyle w:val="ListParagraph"/>
        <w:rPr>
          <w:rFonts w:cs="Arial"/>
          <w:szCs w:val="22"/>
          <w:shd w:val="clear" w:color="auto" w:fill="FFFFFF"/>
        </w:rPr>
      </w:pPr>
      <w:r w:rsidRPr="00925A21">
        <w:rPr>
          <w:b/>
          <w:bCs/>
        </w:rPr>
        <w:t>P</w:t>
      </w:r>
      <w:r w:rsidRPr="001E13B5">
        <w:rPr>
          <w:b/>
          <w:bCs/>
        </w:rPr>
        <w:t xml:space="preserve">olicy Options: </w:t>
      </w:r>
      <w:r>
        <w:t xml:space="preserve">We develop </w:t>
      </w:r>
      <w:r w:rsidR="000749F4">
        <w:t>four</w:t>
      </w:r>
      <w:r>
        <w:t xml:space="preserve"> options for parity targets</w:t>
      </w:r>
      <w:r w:rsidR="007A7552">
        <w:t xml:space="preserve"> (Figure B)</w:t>
      </w:r>
      <w:r>
        <w:t>. The</w:t>
      </w:r>
      <w:r w:rsidR="000749F4">
        <w:t xml:space="preserve"> first is a</w:t>
      </w:r>
      <w:r w:rsidR="000749F4" w:rsidRPr="00ED3759">
        <w:t xml:space="preserve"> </w:t>
      </w:r>
      <w:r w:rsidR="000749F4" w:rsidRPr="001E13B5">
        <w:rPr>
          <w:i/>
          <w:iCs/>
        </w:rPr>
        <w:t xml:space="preserve">Business-as-Usual </w:t>
      </w:r>
      <w:r w:rsidR="00ED3759" w:rsidRPr="00ED3759">
        <w:t>option</w:t>
      </w:r>
      <w:r w:rsidR="00ED3759">
        <w:t xml:space="preserve"> which maintains 2021 participation and completion </w:t>
      </w:r>
      <w:r w:rsidR="00824523">
        <w:t>shares</w:t>
      </w:r>
      <w:r w:rsidR="00ED3759">
        <w:t xml:space="preserve"> and the </w:t>
      </w:r>
      <w:r w:rsidR="007E7B0A">
        <w:t xml:space="preserve">remaining </w:t>
      </w:r>
      <w:r>
        <w:t>three</w:t>
      </w:r>
      <w:r w:rsidR="00ED3759">
        <w:t xml:space="preserve"> are </w:t>
      </w:r>
      <w:r w:rsidR="00ED3759" w:rsidRPr="001E13B5">
        <w:rPr>
          <w:b/>
          <w:bCs/>
        </w:rPr>
        <w:t>active</w:t>
      </w:r>
      <w:r>
        <w:t xml:space="preserve"> options </w:t>
      </w:r>
      <w:r w:rsidR="00ED3759">
        <w:t xml:space="preserve">that </w:t>
      </w:r>
      <w:r>
        <w:t xml:space="preserve">emphasise </w:t>
      </w:r>
      <w:r w:rsidR="00F80419">
        <w:t>target-setting</w:t>
      </w:r>
      <w:r>
        <w:t xml:space="preserve"> based on shared geography</w:t>
      </w:r>
      <w:r w:rsidR="0023377C">
        <w:t xml:space="preserve">. </w:t>
      </w:r>
      <w:r>
        <w:t xml:space="preserve">  </w:t>
      </w:r>
    </w:p>
    <w:p w14:paraId="1F180A59" w14:textId="77777777" w:rsidR="007A7552" w:rsidRPr="00107A02" w:rsidRDefault="007A7552" w:rsidP="00581958">
      <w:pPr>
        <w:pStyle w:val="ListParagraph"/>
        <w:numPr>
          <w:ilvl w:val="0"/>
          <w:numId w:val="0"/>
        </w:numPr>
        <w:ind w:left="357"/>
        <w:rPr>
          <w:shd w:val="clear" w:color="auto" w:fill="FFFFFF"/>
        </w:rPr>
      </w:pPr>
    </w:p>
    <w:p w14:paraId="0D0F9F0F" w14:textId="77777777" w:rsidR="00C71078" w:rsidRDefault="00C71078">
      <w:pPr>
        <w:rPr>
          <w:rStyle w:val="cf01"/>
          <w:rFonts w:ascii="Arial" w:hAnsi="Arial" w:cs="Arial"/>
        </w:rPr>
      </w:pPr>
      <w:r>
        <w:rPr>
          <w:rStyle w:val="cf01"/>
          <w:rFonts w:ascii="Arial" w:hAnsi="Arial" w:cs="Arial"/>
        </w:rPr>
        <w:br w:type="page"/>
      </w:r>
    </w:p>
    <w:p w14:paraId="53135D64" w14:textId="772CCF0A" w:rsidR="00107A02" w:rsidRPr="00107A02" w:rsidRDefault="00107A02" w:rsidP="00EB0ACD">
      <w:pPr>
        <w:spacing w:line="240" w:lineRule="auto"/>
        <w:ind w:firstLine="426"/>
        <w:rPr>
          <w:rFonts w:cs="Arial"/>
          <w:szCs w:val="22"/>
          <w:shd w:val="clear" w:color="auto" w:fill="FFFFFF"/>
        </w:rPr>
      </w:pPr>
      <w:r w:rsidRPr="00107A02">
        <w:rPr>
          <w:rStyle w:val="cf01"/>
          <w:rFonts w:ascii="Arial" w:hAnsi="Arial" w:cs="Arial"/>
        </w:rPr>
        <w:lastRenderedPageBreak/>
        <w:t xml:space="preserve">Figure B: </w:t>
      </w:r>
      <w:r w:rsidRPr="00107A02">
        <w:rPr>
          <w:rStyle w:val="cf11"/>
          <w:rFonts w:ascii="Arial" w:hAnsi="Arial" w:cs="Arial"/>
        </w:rPr>
        <w:t xml:space="preserve">Indicative impact of </w:t>
      </w:r>
      <w:r w:rsidR="00CF0D93">
        <w:rPr>
          <w:rStyle w:val="cf11"/>
          <w:rFonts w:ascii="Arial" w:hAnsi="Arial" w:cs="Arial"/>
        </w:rPr>
        <w:t>the four</w:t>
      </w:r>
      <w:r w:rsidRPr="00107A02">
        <w:rPr>
          <w:rStyle w:val="cf11"/>
          <w:rFonts w:ascii="Arial" w:hAnsi="Arial" w:cs="Arial"/>
        </w:rPr>
        <w:t xml:space="preserve"> Parity Target Policy Option</w:t>
      </w:r>
      <w:r w:rsidR="00CF0D93">
        <w:rPr>
          <w:rStyle w:val="cf11"/>
          <w:rFonts w:ascii="Arial" w:hAnsi="Arial" w:cs="Arial"/>
        </w:rPr>
        <w:t>s</w:t>
      </w:r>
      <w:r w:rsidRPr="00107A02">
        <w:rPr>
          <w:rStyle w:val="cf11"/>
          <w:rFonts w:ascii="Arial" w:hAnsi="Arial" w:cs="Arial"/>
        </w:rPr>
        <w:t>.</w:t>
      </w:r>
    </w:p>
    <w:tbl>
      <w:tblPr>
        <w:tblStyle w:val="TableGrid"/>
        <w:tblW w:w="0" w:type="auto"/>
        <w:tblInd w:w="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746"/>
      </w:tblGrid>
      <w:tr w:rsidR="008D75DF" w14:paraId="37BDC23F" w14:textId="77777777" w:rsidTr="00EB0ACD">
        <w:trPr>
          <w:cnfStyle w:val="100000000000" w:firstRow="1" w:lastRow="0" w:firstColumn="0" w:lastColumn="0" w:oddVBand="0" w:evenVBand="0" w:oddHBand="0" w:evenHBand="0" w:firstRowFirstColumn="0" w:firstRowLastColumn="0" w:lastRowFirstColumn="0" w:lastRowLastColumn="0"/>
          <w:trHeight w:val="2936"/>
        </w:trPr>
        <w:tc>
          <w:tcPr>
            <w:tcW w:w="4417" w:type="dxa"/>
            <w:shd w:val="clear" w:color="auto" w:fill="EFE2E7" w:themeFill="text1" w:themeFillTint="1A"/>
          </w:tcPr>
          <w:p w14:paraId="3196D5C2" w14:textId="77777777" w:rsidR="008D75DF" w:rsidRDefault="008D75DF" w:rsidP="00164085"/>
          <w:p w14:paraId="02934CB8" w14:textId="089082AC" w:rsidR="008D75DF" w:rsidRDefault="008D75DF" w:rsidP="00164085">
            <w:r w:rsidRPr="005E4FE7">
              <w:rPr>
                <w:b/>
                <w:bCs/>
              </w:rPr>
              <w:t>Business-as-Usual Option:</w:t>
            </w:r>
            <w:r>
              <w:t xml:space="preserve"> Equity group participation and completion </w:t>
            </w:r>
            <w:r w:rsidR="00F705EC">
              <w:t>shares</w:t>
            </w:r>
            <w:r>
              <w:t xml:space="preserve"> remain constant between 2021 and 2035, such that enrolment and completion </w:t>
            </w:r>
            <w:proofErr w:type="gramStart"/>
            <w:r>
              <w:t>shares</w:t>
            </w:r>
            <w:proofErr w:type="gramEnd"/>
            <w:r>
              <w:t xml:space="preserve"> in 2035 are identical to those in 2021. This also implies that the share of growth in participation and completion attributable to equity groups mirrors their 2021 shares.   </w:t>
            </w:r>
          </w:p>
        </w:tc>
        <w:tc>
          <w:tcPr>
            <w:tcW w:w="4746" w:type="dxa"/>
            <w:shd w:val="clear" w:color="auto" w:fill="EFE2E7" w:themeFill="text1" w:themeFillTint="1A"/>
          </w:tcPr>
          <w:p w14:paraId="67F2EF21" w14:textId="77777777" w:rsidR="008D75DF" w:rsidRDefault="008D75DF" w:rsidP="00164085"/>
          <w:p w14:paraId="6DCCBF59" w14:textId="77777777" w:rsidR="008D75DF" w:rsidRDefault="008D75DF" w:rsidP="00164085">
            <w:pPr>
              <w:jc w:val="center"/>
            </w:pPr>
            <w:r>
              <w:rPr>
                <w:noProof/>
              </w:rPr>
              <w:drawing>
                <wp:inline distT="0" distB="0" distL="0" distR="0" wp14:anchorId="6FBE32C4" wp14:editId="547A4B2F">
                  <wp:extent cx="2512800" cy="1674000"/>
                  <wp:effectExtent l="0" t="0" r="1905" b="2540"/>
                  <wp:docPr id="928137295" name="Picture 928137295" descr="Line graph showing Equity Group Share of universities A, B, C, D, and E and the Parity Target from 2021 to 2035 under the Business-as-Usual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37295" name="Picture 928137295" descr="Line graph showing Equity Group Share of universities A, B, C, D, and E and the Parity Target from 2021 to 2035 under the Business-as-Usual Policy Op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12800" cy="1674000"/>
                          </a:xfrm>
                          <a:prstGeom prst="rect">
                            <a:avLst/>
                          </a:prstGeom>
                          <a:noFill/>
                        </pic:spPr>
                      </pic:pic>
                    </a:graphicData>
                  </a:graphic>
                </wp:inline>
              </w:drawing>
            </w:r>
          </w:p>
          <w:p w14:paraId="62D59B90" w14:textId="77777777" w:rsidR="008D75DF" w:rsidRDefault="008D75DF" w:rsidP="00164085"/>
        </w:tc>
      </w:tr>
      <w:tr w:rsidR="008D75DF" w14:paraId="51D03B8E" w14:textId="77777777" w:rsidTr="00EB0ACD">
        <w:trPr>
          <w:cnfStyle w:val="000000100000" w:firstRow="0" w:lastRow="0" w:firstColumn="0" w:lastColumn="0" w:oddVBand="0" w:evenVBand="0" w:oddHBand="1" w:evenHBand="0" w:firstRowFirstColumn="0" w:firstRowLastColumn="0" w:lastRowFirstColumn="0" w:lastRowLastColumn="0"/>
        </w:trPr>
        <w:tc>
          <w:tcPr>
            <w:tcW w:w="4417" w:type="dxa"/>
            <w:shd w:val="clear" w:color="auto" w:fill="F7F7F7"/>
          </w:tcPr>
          <w:p w14:paraId="05D1CA0D" w14:textId="77777777" w:rsidR="008D75DF" w:rsidRDefault="008D75DF" w:rsidP="00164085"/>
          <w:p w14:paraId="5C40FC0F" w14:textId="48C5A82E" w:rsidR="008D75DF" w:rsidRDefault="008D75DF" w:rsidP="00164085">
            <w:r w:rsidRPr="001220CC">
              <w:rPr>
                <w:b/>
                <w:bCs/>
              </w:rPr>
              <w:t>Convergence:</w:t>
            </w:r>
            <w:r w:rsidRPr="001220CC">
              <w:t xml:space="preserve"> Each institution achieves at least equity group parity by 2035, where overall outcomes exceed parity if one or more individual institutions are at parity in 2021. Under this </w:t>
            </w:r>
            <w:r w:rsidR="00914739">
              <w:t>option</w:t>
            </w:r>
            <w:r w:rsidRPr="001220CC">
              <w:t xml:space="preserve">, the “floor target” for each institution is set at parity or the 2021 level of participation (or completion) – whichever is greater. </w:t>
            </w:r>
            <w:r>
              <w:t>A</w:t>
            </w:r>
            <w:r w:rsidRPr="001220CC">
              <w:t xml:space="preserve">ll institutions below parity in 2021 must meet the parity target, while those above parity in 2021 must at least maintain that share.   </w:t>
            </w:r>
          </w:p>
        </w:tc>
        <w:tc>
          <w:tcPr>
            <w:tcW w:w="4746" w:type="dxa"/>
            <w:shd w:val="clear" w:color="auto" w:fill="F7F7F7"/>
          </w:tcPr>
          <w:p w14:paraId="4412B326" w14:textId="77777777" w:rsidR="008D75DF" w:rsidRDefault="008D75DF" w:rsidP="00164085"/>
          <w:p w14:paraId="1C6FA1A2" w14:textId="77777777" w:rsidR="008D75DF" w:rsidRDefault="008D75DF" w:rsidP="00164085">
            <w:pPr>
              <w:jc w:val="center"/>
            </w:pPr>
            <w:r>
              <w:rPr>
                <w:noProof/>
              </w:rPr>
              <w:drawing>
                <wp:inline distT="0" distB="0" distL="0" distR="0" wp14:anchorId="38E2CC37" wp14:editId="4FD002C4">
                  <wp:extent cx="2512800" cy="1674000"/>
                  <wp:effectExtent l="0" t="0" r="1905" b="2540"/>
                  <wp:docPr id="837734729" name="Picture 837734729" descr="Line graph showing Equity Group Share of universities A, B, C, D, and E and the Parity Target from 2021 to 2035 under the Convergence Policy Op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34729" name="Picture 837734729" descr="Line graph showing Equity Group Share of universities A, B, C, D, and E and the Parity Target from 2021 to 2035 under the Convergence Policy Option&#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2800" cy="1674000"/>
                          </a:xfrm>
                          <a:prstGeom prst="rect">
                            <a:avLst/>
                          </a:prstGeom>
                          <a:noFill/>
                        </pic:spPr>
                      </pic:pic>
                    </a:graphicData>
                  </a:graphic>
                </wp:inline>
              </w:drawing>
            </w:r>
          </w:p>
          <w:p w14:paraId="01987BC1" w14:textId="77777777" w:rsidR="008D75DF" w:rsidRDefault="008D75DF" w:rsidP="00164085"/>
        </w:tc>
      </w:tr>
      <w:tr w:rsidR="008D75DF" w14:paraId="69027537" w14:textId="77777777" w:rsidTr="00EB0ACD">
        <w:trPr>
          <w:cnfStyle w:val="000000010000" w:firstRow="0" w:lastRow="0" w:firstColumn="0" w:lastColumn="0" w:oddVBand="0" w:evenVBand="0" w:oddHBand="0" w:evenHBand="1" w:firstRowFirstColumn="0" w:firstRowLastColumn="0" w:lastRowFirstColumn="0" w:lastRowLastColumn="0"/>
        </w:trPr>
        <w:tc>
          <w:tcPr>
            <w:tcW w:w="4417" w:type="dxa"/>
            <w:shd w:val="clear" w:color="auto" w:fill="EFE2E7" w:themeFill="text1" w:themeFillTint="1A"/>
          </w:tcPr>
          <w:p w14:paraId="3C89A961" w14:textId="77777777" w:rsidR="008D75DF" w:rsidRDefault="008D75DF" w:rsidP="00164085"/>
          <w:p w14:paraId="0833B7AC" w14:textId="1CAC97CE" w:rsidR="008D75DF" w:rsidRDefault="008D75DF" w:rsidP="00164085">
            <w:r w:rsidRPr="00A150AC">
              <w:rPr>
                <w:b/>
                <w:bCs/>
              </w:rPr>
              <w:t>Equal Effort:</w:t>
            </w:r>
            <w:r w:rsidRPr="00A150AC">
              <w:t xml:space="preserve"> In this option, the parity target is for a jurisdiction. This is achieved through a target of an identical percentage increase in participation/completion outcomes from the 2021 starting point for each institution, equal to the required percentage increase to achieve a parity outcome for the jurisdiction. If the 2021 participation (or </w:t>
            </w:r>
            <w:r>
              <w:t>completion</w:t>
            </w:r>
            <w:r w:rsidRPr="00A150AC">
              <w:t xml:space="preserve">) rate is higher than the parity target for 2035, the parity target is for institutions to at least match the 2021 performance – as per the Business-as-Usual </w:t>
            </w:r>
            <w:r w:rsidR="00914739">
              <w:t>option</w:t>
            </w:r>
            <w:r w:rsidRPr="00A150AC">
              <w:t>.</w:t>
            </w:r>
          </w:p>
        </w:tc>
        <w:tc>
          <w:tcPr>
            <w:tcW w:w="4746" w:type="dxa"/>
            <w:shd w:val="clear" w:color="auto" w:fill="EFE2E7" w:themeFill="text1" w:themeFillTint="1A"/>
          </w:tcPr>
          <w:p w14:paraId="4319F543" w14:textId="77777777" w:rsidR="008D75DF" w:rsidRDefault="008D75DF" w:rsidP="00164085"/>
          <w:p w14:paraId="55E2D285" w14:textId="77777777" w:rsidR="008D75DF" w:rsidRDefault="008D75DF" w:rsidP="00164085">
            <w:pPr>
              <w:jc w:val="center"/>
            </w:pPr>
            <w:r>
              <w:rPr>
                <w:noProof/>
              </w:rPr>
              <w:drawing>
                <wp:inline distT="0" distB="0" distL="0" distR="0" wp14:anchorId="621BCEE4" wp14:editId="319F71B8">
                  <wp:extent cx="2512800" cy="1674000"/>
                  <wp:effectExtent l="0" t="0" r="1905" b="2540"/>
                  <wp:docPr id="14636154" name="Picture 14636154" descr="Line graph showing Equity Group Share of universities A, B, C, D, and E and the Parity Target from 2021 to 2035 under the Equal Effort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154" name="Picture 14636154" descr="Line graph showing Equity Group Share of universities A, B, C, D, and E and the Parity Target from 2021 to 2035 under the Equal Effort Policy Op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2800" cy="1674000"/>
                          </a:xfrm>
                          <a:prstGeom prst="rect">
                            <a:avLst/>
                          </a:prstGeom>
                          <a:noFill/>
                        </pic:spPr>
                      </pic:pic>
                    </a:graphicData>
                  </a:graphic>
                </wp:inline>
              </w:drawing>
            </w:r>
          </w:p>
          <w:p w14:paraId="79B32795" w14:textId="77777777" w:rsidR="008D75DF" w:rsidRDefault="008D75DF" w:rsidP="00164085"/>
        </w:tc>
      </w:tr>
      <w:tr w:rsidR="008D75DF" w14:paraId="5D06FA53" w14:textId="77777777" w:rsidTr="00EB0ACD">
        <w:trPr>
          <w:cnfStyle w:val="000000100000" w:firstRow="0" w:lastRow="0" w:firstColumn="0" w:lastColumn="0" w:oddVBand="0" w:evenVBand="0" w:oddHBand="1" w:evenHBand="0" w:firstRowFirstColumn="0" w:firstRowLastColumn="0" w:lastRowFirstColumn="0" w:lastRowLastColumn="0"/>
        </w:trPr>
        <w:tc>
          <w:tcPr>
            <w:tcW w:w="4417" w:type="dxa"/>
            <w:shd w:val="clear" w:color="auto" w:fill="F7F7F7"/>
          </w:tcPr>
          <w:p w14:paraId="1E57A303" w14:textId="77777777" w:rsidR="008D75DF" w:rsidRDefault="008D75DF" w:rsidP="00164085"/>
          <w:p w14:paraId="23157060" w14:textId="77777777" w:rsidR="008D75DF" w:rsidRDefault="008D75DF" w:rsidP="00164085">
            <w:r w:rsidRPr="00EB5401">
              <w:rPr>
                <w:b/>
                <w:bCs/>
              </w:rPr>
              <w:t>Divergence:</w:t>
            </w:r>
            <w:r w:rsidRPr="00EB5401">
              <w:t xml:space="preserve"> The Divergence option is </w:t>
            </w:r>
            <w:proofErr w:type="gramStart"/>
            <w:r w:rsidRPr="00EB5401">
              <w:t>similar to</w:t>
            </w:r>
            <w:proofErr w:type="gramEnd"/>
            <w:r w:rsidRPr="00EB5401">
              <w:t xml:space="preserve"> Equal Effort, but institutions already above the parity target in 2021 are not required to exceed this “ceiling target” to contribute to the jurisdiction target. Instead, the required increase in enrolments to achieve the jurisdiction target is spread across those institutions operating below the parity target in 2021. This is referred to as Divergence as the growth paths on institutional participation</w:t>
            </w:r>
            <w:r>
              <w:t>/completion</w:t>
            </w:r>
            <w:r w:rsidRPr="00EB5401">
              <w:t xml:space="preserve"> differ</w:t>
            </w:r>
            <w:r>
              <w:t xml:space="preserve">. </w:t>
            </w:r>
            <w:r w:rsidRPr="00EB5401">
              <w:t xml:space="preserve">    </w:t>
            </w:r>
          </w:p>
        </w:tc>
        <w:tc>
          <w:tcPr>
            <w:tcW w:w="4746" w:type="dxa"/>
            <w:shd w:val="clear" w:color="auto" w:fill="F7F7F7"/>
          </w:tcPr>
          <w:p w14:paraId="0884D4E4" w14:textId="77777777" w:rsidR="008D75DF" w:rsidRDefault="008D75DF" w:rsidP="00164085"/>
          <w:p w14:paraId="6AE7E347" w14:textId="77777777" w:rsidR="008D75DF" w:rsidRDefault="008D75DF" w:rsidP="00164085">
            <w:pPr>
              <w:jc w:val="center"/>
            </w:pPr>
            <w:r>
              <w:rPr>
                <w:noProof/>
              </w:rPr>
              <w:drawing>
                <wp:inline distT="0" distB="0" distL="0" distR="0" wp14:anchorId="385011B0" wp14:editId="5CE00917">
                  <wp:extent cx="2512800" cy="1674000"/>
                  <wp:effectExtent l="0" t="0" r="1905" b="2540"/>
                  <wp:docPr id="1368958056" name="Picture 1368958056" descr="Line graph showing Equity Group Share of universities A, B, C, D, and E and the Parity Target from 2021 to 2035 under the Divergence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58056" name="Picture 1368958056" descr="Line graph showing Equity Group Share of universities A, B, C, D, and E and the Parity Target from 2021 to 2035 under the Divergence Policy Op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12800" cy="1674000"/>
                          </a:xfrm>
                          <a:prstGeom prst="rect">
                            <a:avLst/>
                          </a:prstGeom>
                          <a:noFill/>
                        </pic:spPr>
                      </pic:pic>
                    </a:graphicData>
                  </a:graphic>
                </wp:inline>
              </w:drawing>
            </w:r>
          </w:p>
        </w:tc>
      </w:tr>
    </w:tbl>
    <w:p w14:paraId="54FFCBCF" w14:textId="77777777" w:rsidR="00F26628" w:rsidRDefault="00F26628" w:rsidP="000B5DBB">
      <w:pPr>
        <w:spacing w:line="240" w:lineRule="auto"/>
        <w:ind w:left="426"/>
        <w:rPr>
          <w:b/>
          <w:bCs/>
          <w:sz w:val="18"/>
          <w:szCs w:val="18"/>
        </w:rPr>
      </w:pPr>
    </w:p>
    <w:p w14:paraId="35D5C0F0" w14:textId="0E76912A" w:rsidR="00BD48B4" w:rsidRDefault="007A7F5F" w:rsidP="000B5DBB">
      <w:pPr>
        <w:spacing w:line="240" w:lineRule="auto"/>
        <w:ind w:left="426"/>
        <w:rPr>
          <w:sz w:val="18"/>
          <w:szCs w:val="18"/>
        </w:rPr>
      </w:pPr>
      <w:r w:rsidRPr="00CB2F27">
        <w:rPr>
          <w:b/>
          <w:bCs/>
          <w:sz w:val="18"/>
          <w:szCs w:val="18"/>
        </w:rPr>
        <w:t>Note:</w:t>
      </w:r>
      <w:r>
        <w:rPr>
          <w:sz w:val="18"/>
          <w:szCs w:val="18"/>
        </w:rPr>
        <w:t xml:space="preserve"> These estimates relate to equity group shares (%), with our reported outcomes being participation and completion headcounts. </w:t>
      </w:r>
      <w:r w:rsidR="007C47E4">
        <w:rPr>
          <w:sz w:val="18"/>
          <w:szCs w:val="18"/>
        </w:rPr>
        <w:t>T</w:t>
      </w:r>
      <w:r>
        <w:rPr>
          <w:sz w:val="18"/>
          <w:szCs w:val="18"/>
        </w:rPr>
        <w:t xml:space="preserve">he </w:t>
      </w:r>
      <w:r>
        <w:rPr>
          <w:i/>
          <w:iCs/>
          <w:sz w:val="18"/>
          <w:szCs w:val="18"/>
        </w:rPr>
        <w:t>Business-As-Usual</w:t>
      </w:r>
      <w:r>
        <w:rPr>
          <w:sz w:val="18"/>
          <w:szCs w:val="18"/>
        </w:rPr>
        <w:t xml:space="preserve"> option indicate</w:t>
      </w:r>
      <w:r w:rsidR="007C47E4">
        <w:rPr>
          <w:sz w:val="18"/>
          <w:szCs w:val="18"/>
        </w:rPr>
        <w:t>s</w:t>
      </w:r>
      <w:r>
        <w:rPr>
          <w:sz w:val="18"/>
          <w:szCs w:val="18"/>
        </w:rPr>
        <w:t xml:space="preserve"> no variation in the rate, </w:t>
      </w:r>
      <w:r w:rsidR="007C47E4">
        <w:rPr>
          <w:sz w:val="18"/>
          <w:szCs w:val="18"/>
        </w:rPr>
        <w:t>but</w:t>
      </w:r>
      <w:r>
        <w:rPr>
          <w:sz w:val="18"/>
          <w:szCs w:val="18"/>
        </w:rPr>
        <w:t xml:space="preserve"> participation and completion headcounts for equity groups will rise in line with overall enrolments. </w:t>
      </w:r>
    </w:p>
    <w:p w14:paraId="5B0F0DBE" w14:textId="5A480853" w:rsidR="00BD48B4" w:rsidRDefault="00BD48B4" w:rsidP="00B0246A">
      <w:pPr>
        <w:pStyle w:val="Heading2"/>
      </w:pPr>
      <w:r>
        <w:lastRenderedPageBreak/>
        <w:t xml:space="preserve">Key Findings </w:t>
      </w:r>
    </w:p>
    <w:p w14:paraId="0AE38FAB" w14:textId="0A575D8A" w:rsidR="0076095B" w:rsidRPr="00581958" w:rsidRDefault="00C47AB4" w:rsidP="00581958">
      <w:pPr>
        <w:pStyle w:val="ListParagraph"/>
        <w:numPr>
          <w:ilvl w:val="0"/>
          <w:numId w:val="45"/>
        </w:numPr>
        <w:ind w:left="284"/>
        <w:rPr>
          <w:rFonts w:eastAsiaTheme="majorEastAsia"/>
        </w:rPr>
      </w:pPr>
      <w:r w:rsidRPr="00581958">
        <w:rPr>
          <w:rFonts w:eastAsiaTheme="majorEastAsia"/>
          <w:b/>
          <w:bCs/>
        </w:rPr>
        <w:t xml:space="preserve">Parity </w:t>
      </w:r>
      <w:r w:rsidR="006866A8" w:rsidRPr="00581958">
        <w:rPr>
          <w:rFonts w:eastAsiaTheme="majorEastAsia"/>
          <w:b/>
          <w:bCs/>
        </w:rPr>
        <w:t>t</w:t>
      </w:r>
      <w:r w:rsidRPr="00581958">
        <w:rPr>
          <w:rFonts w:eastAsiaTheme="majorEastAsia"/>
          <w:b/>
          <w:bCs/>
        </w:rPr>
        <w:t xml:space="preserve">argets to 2035 </w:t>
      </w:r>
      <w:r w:rsidR="006866A8" w:rsidRPr="00581958">
        <w:rPr>
          <w:rFonts w:eastAsiaTheme="majorEastAsia"/>
          <w:b/>
          <w:bCs/>
        </w:rPr>
        <w:t>a</w:t>
      </w:r>
      <w:r w:rsidRPr="00581958">
        <w:rPr>
          <w:rFonts w:eastAsiaTheme="majorEastAsia"/>
          <w:b/>
          <w:bCs/>
        </w:rPr>
        <w:t xml:space="preserve">re </w:t>
      </w:r>
      <w:r w:rsidR="006866A8" w:rsidRPr="00581958">
        <w:rPr>
          <w:rFonts w:eastAsiaTheme="majorEastAsia"/>
          <w:b/>
          <w:bCs/>
        </w:rPr>
        <w:t>u</w:t>
      </w:r>
      <w:r w:rsidRPr="00581958">
        <w:rPr>
          <w:rFonts w:eastAsiaTheme="majorEastAsia"/>
          <w:b/>
          <w:bCs/>
        </w:rPr>
        <w:t>nrealistic:</w:t>
      </w:r>
      <w:r w:rsidRPr="00581958" w:rsidDel="00484F8B">
        <w:rPr>
          <w:rFonts w:eastAsiaTheme="majorEastAsia"/>
          <w:b/>
          <w:bCs/>
        </w:rPr>
        <w:t xml:space="preserve"> </w:t>
      </w:r>
      <w:r w:rsidR="00CD6F8E">
        <w:t xml:space="preserve">The key finding from this analysis is that </w:t>
      </w:r>
      <w:r w:rsidR="0059004D">
        <w:t>parity targets</w:t>
      </w:r>
      <w:r w:rsidR="00CD6F8E">
        <w:t xml:space="preserve"> to 2035 will be challenging to achieve under all three active policy options, primarily because of the sheer size of the participation gap between equity and non-equity students</w:t>
      </w:r>
      <w:r w:rsidR="00E45787">
        <w:t xml:space="preserve"> in comparison with the projected growth in overall enrolments</w:t>
      </w:r>
      <w:r w:rsidR="00CD6F8E">
        <w:t xml:space="preserve">.  </w:t>
      </w:r>
      <w:r w:rsidR="00581958">
        <w:br/>
      </w:r>
      <w:r w:rsidR="00581958">
        <w:br/>
      </w:r>
      <w:r w:rsidRPr="00581958">
        <w:rPr>
          <w:rFonts w:eastAsiaTheme="majorEastAsia"/>
        </w:rPr>
        <w:t>As an example, we present findings on the requirements for the system to meet a National Parity Target by 2035, with the implications for institutions under the four policy options.</w:t>
      </w:r>
      <w:r w:rsidR="00581958">
        <w:rPr>
          <w:rFonts w:eastAsiaTheme="majorEastAsia"/>
        </w:rPr>
        <w:br/>
      </w:r>
      <w:r w:rsidR="00581958">
        <w:rPr>
          <w:rFonts w:eastAsiaTheme="majorEastAsia"/>
        </w:rPr>
        <w:br/>
      </w:r>
      <w:r w:rsidR="0076095B">
        <w:t xml:space="preserve">In all four </w:t>
      </w:r>
      <w:r w:rsidR="001F58A3">
        <w:t>options</w:t>
      </w:r>
      <w:r w:rsidR="0076095B">
        <w:t xml:space="preserve"> to 2035, total participation reaches 1.</w:t>
      </w:r>
      <w:r w:rsidR="006A6540">
        <w:t>07</w:t>
      </w:r>
      <w:r w:rsidR="0076095B">
        <w:t xml:space="preserve"> million, representing a 36% expansion in headcount or an additional 285,954 students by 2035. As the 2035 </w:t>
      </w:r>
      <w:r w:rsidR="0076095B" w:rsidRPr="00581958">
        <w:rPr>
          <w:i/>
          <w:iCs/>
        </w:rPr>
        <w:t xml:space="preserve">Business-as-Usual </w:t>
      </w:r>
      <w:r w:rsidR="0076095B">
        <w:t>option sees equity group participation rates remain static at their 2021 levels, the equity share of total growth in the system represents the 2021 share of total enrolment at 3</w:t>
      </w:r>
      <w:r w:rsidR="00DA35E2">
        <w:t>9</w:t>
      </w:r>
      <w:r w:rsidR="0076095B">
        <w:t>.</w:t>
      </w:r>
      <w:r w:rsidR="00DA35E2">
        <w:t>4</w:t>
      </w:r>
      <w:r w:rsidR="0076095B">
        <w:t>%</w:t>
      </w:r>
      <w:r>
        <w:t xml:space="preserve">, implying a required expansion in equity students of </w:t>
      </w:r>
      <w:r w:rsidR="00DA35E2">
        <w:t>112,804</w:t>
      </w:r>
      <w:r>
        <w:t xml:space="preserve">. </w:t>
      </w:r>
      <w:r w:rsidR="0076095B">
        <w:t xml:space="preserve"> </w:t>
      </w:r>
    </w:p>
    <w:p w14:paraId="570B3F41" w14:textId="77777777" w:rsidR="0076095B" w:rsidRDefault="0076095B" w:rsidP="0076095B">
      <w:pPr>
        <w:spacing w:line="240" w:lineRule="auto"/>
        <w:ind w:left="1440" w:hanging="1440"/>
        <w:rPr>
          <w:rFonts w:cstheme="minorHAnsi"/>
          <w:b/>
          <w:bCs/>
          <w:color w:val="000000"/>
          <w:lang w:eastAsia="en-AU"/>
        </w:rPr>
      </w:pPr>
    </w:p>
    <w:p w14:paraId="5D525C72" w14:textId="4C467569" w:rsidR="00923F82" w:rsidRDefault="0076095B" w:rsidP="00581958">
      <w:pPr>
        <w:spacing w:line="240" w:lineRule="auto"/>
        <w:ind w:left="993" w:hanging="720"/>
        <w:rPr>
          <w:rFonts w:cstheme="minorHAnsi"/>
          <w:color w:val="000000"/>
          <w:sz w:val="18"/>
          <w:szCs w:val="18"/>
          <w:lang w:eastAsia="en-AU"/>
        </w:rPr>
      </w:pPr>
      <w:r w:rsidRPr="00185BAE">
        <w:rPr>
          <w:rFonts w:cstheme="minorHAnsi"/>
          <w:b/>
          <w:bCs/>
          <w:color w:val="000000"/>
          <w:sz w:val="18"/>
          <w:szCs w:val="18"/>
          <w:lang w:eastAsia="en-AU"/>
        </w:rPr>
        <w:t xml:space="preserve">Table </w:t>
      </w:r>
      <w:r w:rsidR="002F4EE4">
        <w:rPr>
          <w:rFonts w:cstheme="minorHAnsi"/>
          <w:b/>
          <w:bCs/>
          <w:color w:val="000000"/>
          <w:sz w:val="18"/>
          <w:szCs w:val="18"/>
          <w:lang w:eastAsia="en-AU"/>
        </w:rPr>
        <w:t>D</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Pr="00185BAE">
        <w:rPr>
          <w:rFonts w:cstheme="minorHAnsi"/>
          <w:color w:val="000000"/>
          <w:sz w:val="18"/>
          <w:szCs w:val="18"/>
          <w:lang w:eastAsia="en-AU"/>
        </w:rPr>
        <w:t xml:space="preserve">Equity Group Enrolment Projections: National </w:t>
      </w:r>
      <w:r>
        <w:rPr>
          <w:rFonts w:cstheme="minorHAnsi"/>
          <w:color w:val="000000"/>
          <w:sz w:val="18"/>
          <w:szCs w:val="18"/>
          <w:lang w:eastAsia="en-AU"/>
        </w:rPr>
        <w:t xml:space="preserve">Parity </w:t>
      </w:r>
      <w:r w:rsidRPr="00185BAE">
        <w:rPr>
          <w:rFonts w:cstheme="minorHAnsi"/>
          <w:color w:val="000000"/>
          <w:sz w:val="18"/>
          <w:szCs w:val="18"/>
          <w:lang w:eastAsia="en-AU"/>
        </w:rPr>
        <w:t xml:space="preserve">Targets Under Four </w:t>
      </w:r>
      <w:r>
        <w:rPr>
          <w:rFonts w:cstheme="minorHAnsi"/>
          <w:color w:val="000000"/>
          <w:sz w:val="18"/>
          <w:szCs w:val="18"/>
          <w:lang w:eastAsia="en-AU"/>
        </w:rPr>
        <w:t>Options</w:t>
      </w:r>
      <w:r w:rsidRPr="00185BAE">
        <w:rPr>
          <w:rFonts w:cstheme="minorHAnsi"/>
          <w:color w:val="000000"/>
          <w:sz w:val="18"/>
          <w:szCs w:val="18"/>
          <w:lang w:eastAsia="en-AU"/>
        </w:rPr>
        <w:t xml:space="preserve"> to 2035</w:t>
      </w:r>
    </w:p>
    <w:tbl>
      <w:tblPr>
        <w:tblW w:w="94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14"/>
        <w:gridCol w:w="1337"/>
        <w:gridCol w:w="1408"/>
        <w:gridCol w:w="1478"/>
        <w:gridCol w:w="1418"/>
      </w:tblGrid>
      <w:tr w:rsidR="00923F82" w:rsidRPr="009B6407" w14:paraId="7B1BDA5A" w14:textId="77777777" w:rsidTr="00D04D54">
        <w:trPr>
          <w:trHeight w:val="534"/>
        </w:trPr>
        <w:tc>
          <w:tcPr>
            <w:tcW w:w="2552" w:type="dxa"/>
            <w:vMerge w:val="restart"/>
            <w:shd w:val="clear" w:color="auto" w:fill="auto"/>
            <w:noWrap/>
            <w:vAlign w:val="center"/>
            <w:hideMark/>
          </w:tcPr>
          <w:p w14:paraId="75DFB4DD" w14:textId="77777777" w:rsidR="00923F82" w:rsidRPr="009B6407" w:rsidRDefault="00923F82">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214" w:type="dxa"/>
            <w:vMerge w:val="restart"/>
            <w:shd w:val="clear" w:color="auto" w:fill="6B3B57"/>
            <w:vAlign w:val="center"/>
            <w:hideMark/>
          </w:tcPr>
          <w:p w14:paraId="222A857D" w14:textId="77777777" w:rsidR="00923F82" w:rsidRPr="00EB0ACD" w:rsidRDefault="00923F82">
            <w:pPr>
              <w:spacing w:after="0" w:line="240" w:lineRule="auto"/>
              <w:jc w:val="center"/>
              <w:rPr>
                <w:rFonts w:cs="Arial"/>
                <w:b/>
                <w:bCs/>
                <w:color w:val="FFFFFF"/>
                <w:sz w:val="18"/>
                <w:szCs w:val="18"/>
                <w:lang w:eastAsia="en-AU"/>
              </w:rPr>
            </w:pPr>
            <w:r w:rsidRPr="00EB0ACD">
              <w:rPr>
                <w:rFonts w:cs="Arial"/>
                <w:b/>
                <w:bCs/>
                <w:color w:val="FFFFFF"/>
                <w:sz w:val="18"/>
                <w:szCs w:val="18"/>
                <w:lang w:eastAsia="en-AU"/>
              </w:rPr>
              <w:t>2021</w:t>
            </w:r>
          </w:p>
        </w:tc>
        <w:tc>
          <w:tcPr>
            <w:tcW w:w="1337" w:type="dxa"/>
            <w:vMerge w:val="restart"/>
            <w:shd w:val="clear" w:color="auto" w:fill="6B3B57"/>
            <w:vAlign w:val="center"/>
            <w:hideMark/>
          </w:tcPr>
          <w:p w14:paraId="544FC1FC" w14:textId="77777777" w:rsidR="00923F82" w:rsidRPr="00EB0ACD" w:rsidRDefault="00923F82">
            <w:pPr>
              <w:spacing w:after="0" w:line="240" w:lineRule="auto"/>
              <w:jc w:val="center"/>
              <w:rPr>
                <w:rFonts w:cs="Arial"/>
                <w:b/>
                <w:bCs/>
                <w:color w:val="FFFFFF"/>
                <w:sz w:val="18"/>
                <w:szCs w:val="18"/>
                <w:lang w:eastAsia="en-AU"/>
              </w:rPr>
            </w:pPr>
            <w:r w:rsidRPr="00EB0ACD">
              <w:rPr>
                <w:rFonts w:cs="Arial"/>
                <w:b/>
                <w:bCs/>
                <w:color w:val="FFFFFF"/>
                <w:sz w:val="18"/>
                <w:szCs w:val="18"/>
                <w:lang w:eastAsia="en-AU"/>
              </w:rPr>
              <w:t>Business-As-Usual</w:t>
            </w:r>
          </w:p>
        </w:tc>
        <w:tc>
          <w:tcPr>
            <w:tcW w:w="1408" w:type="dxa"/>
            <w:vMerge w:val="restart"/>
            <w:shd w:val="clear" w:color="auto" w:fill="6B3B57"/>
            <w:vAlign w:val="center"/>
            <w:hideMark/>
          </w:tcPr>
          <w:p w14:paraId="12D1B585" w14:textId="77777777" w:rsidR="00923F82" w:rsidRPr="00EB0ACD" w:rsidRDefault="00923F82">
            <w:pPr>
              <w:spacing w:after="0" w:line="240" w:lineRule="auto"/>
              <w:jc w:val="center"/>
              <w:rPr>
                <w:rFonts w:cs="Arial"/>
                <w:b/>
                <w:bCs/>
                <w:color w:val="FFFFFF"/>
                <w:sz w:val="18"/>
                <w:szCs w:val="18"/>
                <w:lang w:eastAsia="en-AU"/>
              </w:rPr>
            </w:pPr>
            <w:r w:rsidRPr="00EB0ACD">
              <w:rPr>
                <w:rFonts w:cs="Arial"/>
                <w:b/>
                <w:bCs/>
                <w:color w:val="FFFFFF"/>
                <w:sz w:val="18"/>
                <w:szCs w:val="18"/>
                <w:lang w:eastAsia="en-AU"/>
              </w:rPr>
              <w:t>Convergence</w:t>
            </w:r>
          </w:p>
        </w:tc>
        <w:tc>
          <w:tcPr>
            <w:tcW w:w="1478" w:type="dxa"/>
            <w:vMerge w:val="restart"/>
            <w:shd w:val="clear" w:color="auto" w:fill="6B3B57"/>
            <w:vAlign w:val="center"/>
            <w:hideMark/>
          </w:tcPr>
          <w:p w14:paraId="122D620C" w14:textId="77777777" w:rsidR="00923F82" w:rsidRPr="00EB0ACD" w:rsidRDefault="00923F82">
            <w:pPr>
              <w:spacing w:after="0" w:line="240" w:lineRule="auto"/>
              <w:jc w:val="center"/>
              <w:rPr>
                <w:rFonts w:cs="Arial"/>
                <w:b/>
                <w:bCs/>
                <w:color w:val="FFFFFF"/>
                <w:sz w:val="18"/>
                <w:szCs w:val="18"/>
                <w:lang w:eastAsia="en-AU"/>
              </w:rPr>
            </w:pPr>
            <w:r w:rsidRPr="00EB0ACD">
              <w:rPr>
                <w:rFonts w:cs="Arial"/>
                <w:b/>
                <w:bCs/>
                <w:color w:val="FFFFFF"/>
                <w:sz w:val="18"/>
                <w:szCs w:val="18"/>
                <w:lang w:eastAsia="en-AU"/>
              </w:rPr>
              <w:t>Equal Effort</w:t>
            </w:r>
          </w:p>
        </w:tc>
        <w:tc>
          <w:tcPr>
            <w:tcW w:w="1418" w:type="dxa"/>
            <w:vMerge w:val="restart"/>
            <w:shd w:val="clear" w:color="auto" w:fill="6B3B57"/>
            <w:vAlign w:val="center"/>
            <w:hideMark/>
          </w:tcPr>
          <w:p w14:paraId="721718B5" w14:textId="77777777" w:rsidR="00923F82" w:rsidRPr="00EB0ACD" w:rsidRDefault="00923F82">
            <w:pPr>
              <w:spacing w:after="0" w:line="240" w:lineRule="auto"/>
              <w:jc w:val="center"/>
              <w:rPr>
                <w:rFonts w:cs="Arial"/>
                <w:b/>
                <w:bCs/>
                <w:color w:val="FFFFFF"/>
                <w:sz w:val="18"/>
                <w:szCs w:val="18"/>
                <w:lang w:eastAsia="en-AU"/>
              </w:rPr>
            </w:pPr>
            <w:r w:rsidRPr="00EB0ACD">
              <w:rPr>
                <w:rFonts w:cs="Arial"/>
                <w:b/>
                <w:bCs/>
                <w:color w:val="FFFFFF"/>
                <w:sz w:val="18"/>
                <w:szCs w:val="18"/>
                <w:lang w:eastAsia="en-AU"/>
              </w:rPr>
              <w:t>Divergence</w:t>
            </w:r>
          </w:p>
        </w:tc>
      </w:tr>
      <w:tr w:rsidR="00923F82" w:rsidRPr="009B6407" w14:paraId="6E6EF778" w14:textId="77777777" w:rsidTr="00D04D54">
        <w:trPr>
          <w:trHeight w:val="534"/>
        </w:trPr>
        <w:tc>
          <w:tcPr>
            <w:tcW w:w="2552" w:type="dxa"/>
            <w:vMerge/>
            <w:shd w:val="clear" w:color="auto" w:fill="auto"/>
            <w:vAlign w:val="center"/>
            <w:hideMark/>
          </w:tcPr>
          <w:p w14:paraId="76949F9C" w14:textId="77777777" w:rsidR="00923F82" w:rsidRPr="009B6407" w:rsidRDefault="00923F82">
            <w:pPr>
              <w:spacing w:after="0" w:line="240" w:lineRule="auto"/>
              <w:rPr>
                <w:rFonts w:ascii="Calibri" w:hAnsi="Calibri" w:cs="Calibri"/>
                <w:color w:val="000000"/>
                <w:sz w:val="18"/>
                <w:szCs w:val="18"/>
                <w:lang w:eastAsia="en-AU"/>
              </w:rPr>
            </w:pPr>
          </w:p>
        </w:tc>
        <w:tc>
          <w:tcPr>
            <w:tcW w:w="1214" w:type="dxa"/>
            <w:vMerge/>
            <w:shd w:val="clear" w:color="auto" w:fill="6B3B57"/>
            <w:vAlign w:val="center"/>
            <w:hideMark/>
          </w:tcPr>
          <w:p w14:paraId="3EBC19AF" w14:textId="77777777" w:rsidR="00923F82" w:rsidRPr="009B6407" w:rsidRDefault="00923F82">
            <w:pPr>
              <w:spacing w:after="0" w:line="240" w:lineRule="auto"/>
              <w:rPr>
                <w:rFonts w:cs="Arial"/>
                <w:b/>
                <w:bCs/>
                <w:color w:val="FFFFFF"/>
                <w:sz w:val="18"/>
                <w:szCs w:val="18"/>
                <w:lang w:eastAsia="en-AU"/>
              </w:rPr>
            </w:pPr>
          </w:p>
        </w:tc>
        <w:tc>
          <w:tcPr>
            <w:tcW w:w="1337" w:type="dxa"/>
            <w:vMerge/>
            <w:shd w:val="clear" w:color="auto" w:fill="6B3B57"/>
            <w:vAlign w:val="center"/>
            <w:hideMark/>
          </w:tcPr>
          <w:p w14:paraId="51322BB6" w14:textId="77777777" w:rsidR="00923F82" w:rsidRPr="009B6407" w:rsidRDefault="00923F82">
            <w:pPr>
              <w:spacing w:after="0" w:line="240" w:lineRule="auto"/>
              <w:rPr>
                <w:rFonts w:cs="Arial"/>
                <w:b/>
                <w:bCs/>
                <w:color w:val="FFFFFF"/>
                <w:sz w:val="18"/>
                <w:szCs w:val="18"/>
                <w:lang w:eastAsia="en-AU"/>
              </w:rPr>
            </w:pPr>
          </w:p>
        </w:tc>
        <w:tc>
          <w:tcPr>
            <w:tcW w:w="1408" w:type="dxa"/>
            <w:vMerge/>
            <w:shd w:val="clear" w:color="auto" w:fill="6B3B57"/>
            <w:vAlign w:val="center"/>
            <w:hideMark/>
          </w:tcPr>
          <w:p w14:paraId="0CC3B67E" w14:textId="77777777" w:rsidR="00923F82" w:rsidRPr="009B6407" w:rsidRDefault="00923F82">
            <w:pPr>
              <w:spacing w:after="0" w:line="240" w:lineRule="auto"/>
              <w:rPr>
                <w:rFonts w:cs="Arial"/>
                <w:b/>
                <w:bCs/>
                <w:color w:val="FFFFFF"/>
                <w:sz w:val="18"/>
                <w:szCs w:val="18"/>
                <w:lang w:eastAsia="en-AU"/>
              </w:rPr>
            </w:pPr>
          </w:p>
        </w:tc>
        <w:tc>
          <w:tcPr>
            <w:tcW w:w="1478" w:type="dxa"/>
            <w:vMerge/>
            <w:shd w:val="clear" w:color="auto" w:fill="6B3B57"/>
            <w:vAlign w:val="center"/>
            <w:hideMark/>
          </w:tcPr>
          <w:p w14:paraId="4B3CBD4A" w14:textId="77777777" w:rsidR="00923F82" w:rsidRPr="009B6407" w:rsidRDefault="00923F82">
            <w:pPr>
              <w:spacing w:after="0" w:line="240" w:lineRule="auto"/>
              <w:rPr>
                <w:rFonts w:cs="Arial"/>
                <w:b/>
                <w:bCs/>
                <w:color w:val="FFFFFF"/>
                <w:sz w:val="18"/>
                <w:szCs w:val="18"/>
                <w:lang w:eastAsia="en-AU"/>
              </w:rPr>
            </w:pPr>
          </w:p>
        </w:tc>
        <w:tc>
          <w:tcPr>
            <w:tcW w:w="1418" w:type="dxa"/>
            <w:vMerge/>
            <w:shd w:val="clear" w:color="auto" w:fill="6B3B57"/>
            <w:vAlign w:val="center"/>
            <w:hideMark/>
          </w:tcPr>
          <w:p w14:paraId="74369E97" w14:textId="77777777" w:rsidR="00923F82" w:rsidRPr="009B6407" w:rsidRDefault="00923F82">
            <w:pPr>
              <w:spacing w:after="0" w:line="240" w:lineRule="auto"/>
              <w:rPr>
                <w:rFonts w:cs="Arial"/>
                <w:b/>
                <w:bCs/>
                <w:color w:val="FFFFFF"/>
                <w:sz w:val="18"/>
                <w:szCs w:val="18"/>
                <w:lang w:eastAsia="en-AU"/>
              </w:rPr>
            </w:pPr>
          </w:p>
        </w:tc>
      </w:tr>
      <w:tr w:rsidR="00923F82" w:rsidRPr="009B6407" w14:paraId="69C85275" w14:textId="77777777" w:rsidTr="00D04D54">
        <w:trPr>
          <w:trHeight w:val="315"/>
        </w:trPr>
        <w:tc>
          <w:tcPr>
            <w:tcW w:w="2552" w:type="dxa"/>
            <w:shd w:val="clear" w:color="auto" w:fill="auto"/>
            <w:noWrap/>
            <w:vAlign w:val="center"/>
            <w:hideMark/>
          </w:tcPr>
          <w:p w14:paraId="3218B719" w14:textId="77777777" w:rsidR="00923F82" w:rsidRPr="009B6407" w:rsidRDefault="00923F82">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214" w:type="dxa"/>
            <w:shd w:val="clear" w:color="auto" w:fill="auto"/>
            <w:noWrap/>
            <w:vAlign w:val="center"/>
            <w:hideMark/>
          </w:tcPr>
          <w:p w14:paraId="79350156" w14:textId="77777777" w:rsidR="00923F82" w:rsidRPr="00BB5958" w:rsidRDefault="00923F82">
            <w:pPr>
              <w:spacing w:after="0" w:line="240" w:lineRule="auto"/>
              <w:ind w:right="206"/>
              <w:jc w:val="right"/>
              <w:rPr>
                <w:rFonts w:cs="Arial"/>
                <w:b/>
                <w:bCs/>
                <w:color w:val="000000"/>
                <w:sz w:val="18"/>
                <w:szCs w:val="18"/>
                <w:lang w:eastAsia="en-AU"/>
              </w:rPr>
            </w:pPr>
            <w:r w:rsidRPr="00BB5958">
              <w:rPr>
                <w:b/>
                <w:bCs/>
                <w:sz w:val="18"/>
                <w:szCs w:val="18"/>
              </w:rPr>
              <w:t>784,219</w:t>
            </w:r>
          </w:p>
        </w:tc>
        <w:tc>
          <w:tcPr>
            <w:tcW w:w="1337" w:type="dxa"/>
            <w:shd w:val="clear" w:color="auto" w:fill="auto"/>
            <w:noWrap/>
            <w:vAlign w:val="center"/>
            <w:hideMark/>
          </w:tcPr>
          <w:p w14:paraId="0181367C" w14:textId="77777777" w:rsidR="00923F82" w:rsidRPr="00BB5958" w:rsidRDefault="00923F82">
            <w:pPr>
              <w:spacing w:after="0" w:line="240" w:lineRule="auto"/>
              <w:ind w:right="206"/>
              <w:jc w:val="right"/>
              <w:rPr>
                <w:rFonts w:cs="Arial"/>
                <w:b/>
                <w:bCs/>
                <w:color w:val="000000"/>
                <w:sz w:val="18"/>
                <w:szCs w:val="18"/>
                <w:lang w:eastAsia="en-AU"/>
              </w:rPr>
            </w:pPr>
            <w:r w:rsidRPr="00BB5958">
              <w:rPr>
                <w:b/>
                <w:bCs/>
                <w:sz w:val="18"/>
                <w:szCs w:val="18"/>
              </w:rPr>
              <w:t>1,070,173</w:t>
            </w:r>
          </w:p>
        </w:tc>
        <w:tc>
          <w:tcPr>
            <w:tcW w:w="1408" w:type="dxa"/>
            <w:shd w:val="clear" w:color="auto" w:fill="auto"/>
            <w:noWrap/>
            <w:vAlign w:val="center"/>
            <w:hideMark/>
          </w:tcPr>
          <w:p w14:paraId="5513D86F" w14:textId="77777777" w:rsidR="00923F82" w:rsidRPr="00BB5958" w:rsidRDefault="00923F82">
            <w:pPr>
              <w:spacing w:after="0" w:line="240" w:lineRule="auto"/>
              <w:ind w:right="206"/>
              <w:jc w:val="right"/>
              <w:rPr>
                <w:rFonts w:cs="Arial"/>
                <w:b/>
                <w:bCs/>
                <w:color w:val="000000"/>
                <w:sz w:val="18"/>
                <w:szCs w:val="18"/>
                <w:lang w:eastAsia="en-AU"/>
              </w:rPr>
            </w:pPr>
            <w:r w:rsidRPr="00BB5958">
              <w:rPr>
                <w:b/>
                <w:bCs/>
                <w:sz w:val="18"/>
                <w:szCs w:val="18"/>
              </w:rPr>
              <w:t>1,070,173</w:t>
            </w:r>
          </w:p>
        </w:tc>
        <w:tc>
          <w:tcPr>
            <w:tcW w:w="1478" w:type="dxa"/>
            <w:shd w:val="clear" w:color="auto" w:fill="auto"/>
            <w:noWrap/>
            <w:vAlign w:val="center"/>
            <w:hideMark/>
          </w:tcPr>
          <w:p w14:paraId="75630CAA" w14:textId="77777777" w:rsidR="00923F82" w:rsidRPr="00BB5958" w:rsidRDefault="00923F82">
            <w:pPr>
              <w:spacing w:after="0" w:line="240" w:lineRule="auto"/>
              <w:ind w:right="206"/>
              <w:jc w:val="right"/>
              <w:rPr>
                <w:rFonts w:cs="Arial"/>
                <w:b/>
                <w:bCs/>
                <w:color w:val="000000"/>
                <w:sz w:val="18"/>
                <w:szCs w:val="18"/>
                <w:lang w:eastAsia="en-AU"/>
              </w:rPr>
            </w:pPr>
            <w:r w:rsidRPr="00BB5958">
              <w:rPr>
                <w:b/>
                <w:bCs/>
                <w:sz w:val="18"/>
                <w:szCs w:val="18"/>
              </w:rPr>
              <w:t>1,070,173</w:t>
            </w:r>
          </w:p>
        </w:tc>
        <w:tc>
          <w:tcPr>
            <w:tcW w:w="1418" w:type="dxa"/>
            <w:shd w:val="clear" w:color="auto" w:fill="auto"/>
            <w:noWrap/>
            <w:vAlign w:val="center"/>
            <w:hideMark/>
          </w:tcPr>
          <w:p w14:paraId="73E9C21A" w14:textId="77777777" w:rsidR="00923F82" w:rsidRPr="00BB5958" w:rsidRDefault="00923F82">
            <w:pPr>
              <w:spacing w:after="0" w:line="240" w:lineRule="auto"/>
              <w:ind w:right="206"/>
              <w:jc w:val="right"/>
              <w:rPr>
                <w:rFonts w:cs="Arial"/>
                <w:b/>
                <w:bCs/>
                <w:color w:val="000000"/>
                <w:sz w:val="18"/>
                <w:szCs w:val="18"/>
                <w:lang w:eastAsia="en-AU"/>
              </w:rPr>
            </w:pPr>
            <w:r w:rsidRPr="00BB5958">
              <w:rPr>
                <w:b/>
                <w:bCs/>
                <w:sz w:val="18"/>
                <w:szCs w:val="18"/>
              </w:rPr>
              <w:t>1,070,173</w:t>
            </w:r>
          </w:p>
        </w:tc>
      </w:tr>
      <w:tr w:rsidR="00923F82" w:rsidRPr="009B6407" w14:paraId="26321DB7" w14:textId="77777777" w:rsidTr="00D04D54">
        <w:trPr>
          <w:trHeight w:val="315"/>
        </w:trPr>
        <w:tc>
          <w:tcPr>
            <w:tcW w:w="2552" w:type="dxa"/>
            <w:shd w:val="clear" w:color="auto" w:fill="auto"/>
            <w:noWrap/>
            <w:vAlign w:val="center"/>
            <w:hideMark/>
          </w:tcPr>
          <w:p w14:paraId="45104BD0" w14:textId="77777777" w:rsidR="00923F82" w:rsidRPr="009B6407" w:rsidRDefault="00923F82">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214" w:type="dxa"/>
            <w:shd w:val="clear" w:color="auto" w:fill="auto"/>
            <w:noWrap/>
            <w:vAlign w:val="center"/>
          </w:tcPr>
          <w:p w14:paraId="1D394754"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133,901</w:t>
            </w:r>
          </w:p>
        </w:tc>
        <w:tc>
          <w:tcPr>
            <w:tcW w:w="1337" w:type="dxa"/>
            <w:shd w:val="clear" w:color="auto" w:fill="auto"/>
            <w:noWrap/>
            <w:vAlign w:val="center"/>
          </w:tcPr>
          <w:p w14:paraId="3972100C"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182,726</w:t>
            </w:r>
          </w:p>
        </w:tc>
        <w:tc>
          <w:tcPr>
            <w:tcW w:w="1408" w:type="dxa"/>
            <w:shd w:val="clear" w:color="auto" w:fill="auto"/>
            <w:noWrap/>
            <w:vAlign w:val="center"/>
          </w:tcPr>
          <w:p w14:paraId="67DE6E7B"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274,372</w:t>
            </w:r>
          </w:p>
        </w:tc>
        <w:tc>
          <w:tcPr>
            <w:tcW w:w="1478" w:type="dxa"/>
            <w:shd w:val="clear" w:color="auto" w:fill="auto"/>
            <w:noWrap/>
            <w:vAlign w:val="center"/>
          </w:tcPr>
          <w:p w14:paraId="5B414185"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267,543</w:t>
            </w:r>
          </w:p>
        </w:tc>
        <w:tc>
          <w:tcPr>
            <w:tcW w:w="1418" w:type="dxa"/>
            <w:shd w:val="clear" w:color="auto" w:fill="auto"/>
            <w:noWrap/>
            <w:vAlign w:val="center"/>
          </w:tcPr>
          <w:p w14:paraId="717B672D"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267,543</w:t>
            </w:r>
          </w:p>
        </w:tc>
      </w:tr>
      <w:tr w:rsidR="00923F82" w:rsidRPr="009B6407" w14:paraId="79C81F46" w14:textId="77777777" w:rsidTr="00D04D54">
        <w:trPr>
          <w:trHeight w:val="315"/>
        </w:trPr>
        <w:tc>
          <w:tcPr>
            <w:tcW w:w="2552" w:type="dxa"/>
            <w:shd w:val="clear" w:color="auto" w:fill="auto"/>
            <w:noWrap/>
            <w:vAlign w:val="center"/>
            <w:hideMark/>
          </w:tcPr>
          <w:p w14:paraId="6BAAAC67" w14:textId="77777777" w:rsidR="00923F82" w:rsidRPr="009B6407" w:rsidRDefault="00923F82">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214" w:type="dxa"/>
            <w:shd w:val="clear" w:color="auto" w:fill="auto"/>
            <w:noWrap/>
            <w:vAlign w:val="center"/>
          </w:tcPr>
          <w:p w14:paraId="0DA4CABB"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160,542</w:t>
            </w:r>
          </w:p>
        </w:tc>
        <w:tc>
          <w:tcPr>
            <w:tcW w:w="1337" w:type="dxa"/>
            <w:shd w:val="clear" w:color="auto" w:fill="auto"/>
            <w:noWrap/>
            <w:vAlign w:val="center"/>
          </w:tcPr>
          <w:p w14:paraId="06021D36"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219,081</w:t>
            </w:r>
          </w:p>
        </w:tc>
        <w:tc>
          <w:tcPr>
            <w:tcW w:w="1408" w:type="dxa"/>
            <w:shd w:val="clear" w:color="auto" w:fill="auto"/>
            <w:noWrap/>
            <w:vAlign w:val="center"/>
          </w:tcPr>
          <w:p w14:paraId="1A2759B7"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334,537</w:t>
            </w:r>
          </w:p>
        </w:tc>
        <w:tc>
          <w:tcPr>
            <w:tcW w:w="1478" w:type="dxa"/>
            <w:shd w:val="clear" w:color="auto" w:fill="auto"/>
            <w:noWrap/>
            <w:vAlign w:val="center"/>
          </w:tcPr>
          <w:p w14:paraId="72A984B0"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279,315</w:t>
            </w:r>
          </w:p>
        </w:tc>
        <w:tc>
          <w:tcPr>
            <w:tcW w:w="1418" w:type="dxa"/>
            <w:shd w:val="clear" w:color="auto" w:fill="auto"/>
            <w:noWrap/>
            <w:vAlign w:val="center"/>
          </w:tcPr>
          <w:p w14:paraId="6C545184" w14:textId="77777777" w:rsidR="00923F82" w:rsidRPr="00E54E9C" w:rsidRDefault="00923F82">
            <w:pPr>
              <w:spacing w:after="0" w:line="240" w:lineRule="auto"/>
              <w:ind w:right="206"/>
              <w:jc w:val="right"/>
              <w:rPr>
                <w:rFonts w:cs="Arial"/>
                <w:color w:val="000000"/>
                <w:sz w:val="18"/>
                <w:szCs w:val="18"/>
                <w:lang w:eastAsia="en-AU"/>
              </w:rPr>
            </w:pPr>
            <w:r w:rsidRPr="00B8400A">
              <w:rPr>
                <w:rFonts w:eastAsiaTheme="minorHAnsi" w:cs="Arial"/>
                <w:color w:val="000000"/>
                <w:sz w:val="18"/>
                <w:szCs w:val="18"/>
                <w:lang w:eastAsia="en-US"/>
              </w:rPr>
              <w:t>279,315</w:t>
            </w:r>
          </w:p>
        </w:tc>
      </w:tr>
      <w:tr w:rsidR="00923F82" w:rsidRPr="009B6407" w14:paraId="363F915F" w14:textId="77777777" w:rsidTr="00D04D54">
        <w:trPr>
          <w:trHeight w:val="315"/>
        </w:trPr>
        <w:tc>
          <w:tcPr>
            <w:tcW w:w="2552" w:type="dxa"/>
            <w:shd w:val="clear" w:color="auto" w:fill="auto"/>
            <w:noWrap/>
            <w:vAlign w:val="center"/>
            <w:hideMark/>
          </w:tcPr>
          <w:p w14:paraId="0D64B70B" w14:textId="77777777" w:rsidR="00923F82" w:rsidRPr="009B6407" w:rsidRDefault="00923F82">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214" w:type="dxa"/>
            <w:shd w:val="clear" w:color="auto" w:fill="auto"/>
            <w:noWrap/>
            <w:vAlign w:val="center"/>
            <w:hideMark/>
          </w:tcPr>
          <w:p w14:paraId="6BCEE926"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16,383</w:t>
            </w:r>
          </w:p>
        </w:tc>
        <w:tc>
          <w:tcPr>
            <w:tcW w:w="1337" w:type="dxa"/>
            <w:shd w:val="clear" w:color="auto" w:fill="auto"/>
            <w:noWrap/>
            <w:vAlign w:val="center"/>
            <w:hideMark/>
          </w:tcPr>
          <w:p w14:paraId="7BD353EE"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22,357</w:t>
            </w:r>
          </w:p>
        </w:tc>
        <w:tc>
          <w:tcPr>
            <w:tcW w:w="1408" w:type="dxa"/>
            <w:shd w:val="clear" w:color="auto" w:fill="auto"/>
            <w:noWrap/>
            <w:vAlign w:val="center"/>
            <w:hideMark/>
          </w:tcPr>
          <w:p w14:paraId="7547DED9"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43,566</w:t>
            </w:r>
          </w:p>
        </w:tc>
        <w:tc>
          <w:tcPr>
            <w:tcW w:w="1478" w:type="dxa"/>
            <w:shd w:val="clear" w:color="auto" w:fill="auto"/>
            <w:noWrap/>
            <w:vAlign w:val="center"/>
            <w:hideMark/>
          </w:tcPr>
          <w:p w14:paraId="613D21BE"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42,124</w:t>
            </w:r>
          </w:p>
        </w:tc>
        <w:tc>
          <w:tcPr>
            <w:tcW w:w="1418" w:type="dxa"/>
            <w:shd w:val="clear" w:color="auto" w:fill="auto"/>
            <w:noWrap/>
            <w:vAlign w:val="center"/>
            <w:hideMark/>
          </w:tcPr>
          <w:p w14:paraId="01445A0F"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42,124</w:t>
            </w:r>
          </w:p>
        </w:tc>
      </w:tr>
      <w:tr w:rsidR="00923F82" w:rsidRPr="009B6407" w14:paraId="1AB64759" w14:textId="77777777" w:rsidTr="00D04D54">
        <w:trPr>
          <w:trHeight w:val="315"/>
        </w:trPr>
        <w:tc>
          <w:tcPr>
            <w:tcW w:w="2552" w:type="dxa"/>
            <w:shd w:val="clear" w:color="auto" w:fill="auto"/>
            <w:noWrap/>
            <w:vAlign w:val="center"/>
            <w:hideMark/>
          </w:tcPr>
          <w:p w14:paraId="3FB8AB86" w14:textId="77777777" w:rsidR="00923F82" w:rsidRPr="009B6407" w:rsidRDefault="00923F82">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214" w:type="dxa"/>
            <w:shd w:val="clear" w:color="auto" w:fill="auto"/>
            <w:noWrap/>
            <w:vAlign w:val="center"/>
            <w:hideMark/>
          </w:tcPr>
          <w:p w14:paraId="2A9919F5"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80,769</w:t>
            </w:r>
          </w:p>
        </w:tc>
        <w:tc>
          <w:tcPr>
            <w:tcW w:w="1337" w:type="dxa"/>
            <w:shd w:val="clear" w:color="auto" w:fill="auto"/>
            <w:noWrap/>
            <w:vAlign w:val="center"/>
            <w:hideMark/>
          </w:tcPr>
          <w:p w14:paraId="4E85A385"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110,220</w:t>
            </w:r>
          </w:p>
        </w:tc>
        <w:tc>
          <w:tcPr>
            <w:tcW w:w="1408" w:type="dxa"/>
            <w:shd w:val="clear" w:color="auto" w:fill="auto"/>
            <w:noWrap/>
            <w:vAlign w:val="center"/>
            <w:hideMark/>
          </w:tcPr>
          <w:p w14:paraId="77DF0526"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115,079</w:t>
            </w:r>
          </w:p>
        </w:tc>
        <w:tc>
          <w:tcPr>
            <w:tcW w:w="1478" w:type="dxa"/>
            <w:shd w:val="clear" w:color="auto" w:fill="auto"/>
            <w:noWrap/>
            <w:vAlign w:val="center"/>
            <w:hideMark/>
          </w:tcPr>
          <w:p w14:paraId="41D568DB"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110,220</w:t>
            </w:r>
          </w:p>
        </w:tc>
        <w:tc>
          <w:tcPr>
            <w:tcW w:w="1418" w:type="dxa"/>
            <w:shd w:val="clear" w:color="auto" w:fill="auto"/>
            <w:noWrap/>
            <w:vAlign w:val="center"/>
            <w:hideMark/>
          </w:tcPr>
          <w:p w14:paraId="332482AF" w14:textId="77777777" w:rsidR="00923F82" w:rsidRPr="00752C39" w:rsidRDefault="00923F82">
            <w:pPr>
              <w:spacing w:after="0" w:line="240" w:lineRule="auto"/>
              <w:ind w:right="206"/>
              <w:jc w:val="right"/>
              <w:rPr>
                <w:rFonts w:cs="Arial"/>
                <w:color w:val="000000"/>
                <w:sz w:val="18"/>
                <w:szCs w:val="18"/>
                <w:lang w:eastAsia="en-AU"/>
              </w:rPr>
            </w:pPr>
            <w:r w:rsidRPr="00752C39">
              <w:rPr>
                <w:sz w:val="18"/>
                <w:szCs w:val="18"/>
              </w:rPr>
              <w:t>110,220</w:t>
            </w:r>
          </w:p>
        </w:tc>
      </w:tr>
      <w:tr w:rsidR="00923F82" w:rsidRPr="009B6407" w14:paraId="3BD29D55" w14:textId="77777777" w:rsidTr="00D04D54">
        <w:trPr>
          <w:trHeight w:val="315"/>
        </w:trPr>
        <w:tc>
          <w:tcPr>
            <w:tcW w:w="2552" w:type="dxa"/>
            <w:shd w:val="clear" w:color="auto" w:fill="EFE2E7" w:themeFill="text1" w:themeFillTint="1A"/>
            <w:noWrap/>
            <w:vAlign w:val="center"/>
            <w:hideMark/>
          </w:tcPr>
          <w:p w14:paraId="5DDBD7A7" w14:textId="6D783AC9" w:rsidR="00923F82" w:rsidRPr="00F51D28" w:rsidRDefault="00923F82">
            <w:pPr>
              <w:spacing w:after="0" w:line="240" w:lineRule="auto"/>
              <w:rPr>
                <w:rFonts w:cs="Arial"/>
                <w:b/>
                <w:bCs/>
                <w:i/>
                <w:iCs/>
                <w:color w:val="000000"/>
                <w:sz w:val="18"/>
                <w:szCs w:val="18"/>
                <w:lang w:eastAsia="en-AU"/>
              </w:rPr>
            </w:pPr>
            <w:r w:rsidRPr="00F51D28">
              <w:rPr>
                <w:rFonts w:cs="Arial"/>
                <w:b/>
                <w:bCs/>
                <w:i/>
                <w:iCs/>
                <w:color w:val="000000"/>
                <w:sz w:val="18"/>
                <w:szCs w:val="18"/>
                <w:lang w:eastAsia="en-AU"/>
              </w:rPr>
              <w:t>Equity Group</w:t>
            </w:r>
          </w:p>
        </w:tc>
        <w:tc>
          <w:tcPr>
            <w:tcW w:w="1214" w:type="dxa"/>
            <w:shd w:val="clear" w:color="auto" w:fill="EFE2E7" w:themeFill="text1" w:themeFillTint="1A"/>
            <w:noWrap/>
            <w:vAlign w:val="center"/>
          </w:tcPr>
          <w:p w14:paraId="55ED15F5" w14:textId="77777777" w:rsidR="00923F82" w:rsidRPr="00F51D28" w:rsidRDefault="00923F82">
            <w:pPr>
              <w:spacing w:after="0" w:line="240" w:lineRule="auto"/>
              <w:ind w:right="206"/>
              <w:jc w:val="right"/>
              <w:rPr>
                <w:rFonts w:cs="Arial"/>
                <w:b/>
                <w:bCs/>
                <w:color w:val="000000"/>
                <w:sz w:val="18"/>
                <w:szCs w:val="18"/>
                <w:lang w:eastAsia="en-AU"/>
              </w:rPr>
            </w:pPr>
            <w:r w:rsidRPr="00F51D28">
              <w:rPr>
                <w:b/>
                <w:bCs/>
                <w:sz w:val="18"/>
                <w:szCs w:val="18"/>
              </w:rPr>
              <w:t>309,360</w:t>
            </w:r>
          </w:p>
        </w:tc>
        <w:tc>
          <w:tcPr>
            <w:tcW w:w="1337" w:type="dxa"/>
            <w:shd w:val="clear" w:color="auto" w:fill="EFE2E7" w:themeFill="text1" w:themeFillTint="1A"/>
            <w:noWrap/>
            <w:vAlign w:val="center"/>
          </w:tcPr>
          <w:p w14:paraId="03702E40" w14:textId="77777777" w:rsidR="00923F82" w:rsidRPr="00F51D28" w:rsidRDefault="00923F82">
            <w:pPr>
              <w:spacing w:after="0" w:line="240" w:lineRule="auto"/>
              <w:ind w:right="206"/>
              <w:jc w:val="right"/>
              <w:rPr>
                <w:rFonts w:cs="Arial"/>
                <w:b/>
                <w:bCs/>
                <w:color w:val="000000"/>
                <w:sz w:val="18"/>
                <w:szCs w:val="18"/>
                <w:lang w:eastAsia="en-AU"/>
              </w:rPr>
            </w:pPr>
            <w:r w:rsidRPr="00F51D28">
              <w:rPr>
                <w:b/>
                <w:bCs/>
                <w:sz w:val="18"/>
                <w:szCs w:val="18"/>
              </w:rPr>
              <w:t>422,164</w:t>
            </w:r>
          </w:p>
        </w:tc>
        <w:tc>
          <w:tcPr>
            <w:tcW w:w="1408" w:type="dxa"/>
            <w:shd w:val="clear" w:color="auto" w:fill="EFE2E7" w:themeFill="text1" w:themeFillTint="1A"/>
            <w:noWrap/>
            <w:vAlign w:val="center"/>
          </w:tcPr>
          <w:p w14:paraId="01AB035A" w14:textId="77777777" w:rsidR="00923F82" w:rsidRPr="00F51D28" w:rsidRDefault="00923F82">
            <w:pPr>
              <w:spacing w:after="0" w:line="240" w:lineRule="auto"/>
              <w:ind w:right="206"/>
              <w:jc w:val="right"/>
              <w:rPr>
                <w:rFonts w:cs="Arial"/>
                <w:b/>
                <w:bCs/>
                <w:color w:val="000000"/>
                <w:sz w:val="18"/>
                <w:szCs w:val="18"/>
                <w:lang w:eastAsia="en-AU"/>
              </w:rPr>
            </w:pPr>
            <w:r w:rsidRPr="00F51D28">
              <w:rPr>
                <w:b/>
                <w:bCs/>
                <w:sz w:val="18"/>
                <w:szCs w:val="18"/>
              </w:rPr>
              <w:t>606,367</w:t>
            </w:r>
          </w:p>
        </w:tc>
        <w:tc>
          <w:tcPr>
            <w:tcW w:w="1478" w:type="dxa"/>
            <w:shd w:val="clear" w:color="auto" w:fill="EFE2E7" w:themeFill="text1" w:themeFillTint="1A"/>
            <w:noWrap/>
            <w:vAlign w:val="center"/>
          </w:tcPr>
          <w:p w14:paraId="18AC4CB8" w14:textId="77777777" w:rsidR="00923F82" w:rsidRPr="00F51D28" w:rsidRDefault="00923F82">
            <w:pPr>
              <w:spacing w:after="0" w:line="240" w:lineRule="auto"/>
              <w:ind w:right="206"/>
              <w:jc w:val="right"/>
              <w:rPr>
                <w:rFonts w:cs="Arial"/>
                <w:b/>
                <w:bCs/>
                <w:color w:val="000000"/>
                <w:sz w:val="18"/>
                <w:szCs w:val="18"/>
                <w:lang w:eastAsia="en-AU"/>
              </w:rPr>
            </w:pPr>
            <w:r w:rsidRPr="00F51D28">
              <w:rPr>
                <w:b/>
                <w:bCs/>
                <w:sz w:val="18"/>
                <w:szCs w:val="18"/>
              </w:rPr>
              <w:t>552,370</w:t>
            </w:r>
          </w:p>
        </w:tc>
        <w:tc>
          <w:tcPr>
            <w:tcW w:w="1418" w:type="dxa"/>
            <w:shd w:val="clear" w:color="auto" w:fill="EFE2E7" w:themeFill="text1" w:themeFillTint="1A"/>
            <w:noWrap/>
            <w:vAlign w:val="center"/>
          </w:tcPr>
          <w:p w14:paraId="2507EB17" w14:textId="77777777" w:rsidR="00923F82" w:rsidRPr="00F51D28" w:rsidRDefault="00923F82">
            <w:pPr>
              <w:spacing w:after="0" w:line="240" w:lineRule="auto"/>
              <w:ind w:right="206"/>
              <w:jc w:val="right"/>
              <w:rPr>
                <w:rFonts w:cs="Arial"/>
                <w:b/>
                <w:bCs/>
                <w:color w:val="000000"/>
                <w:sz w:val="18"/>
                <w:szCs w:val="18"/>
                <w:lang w:eastAsia="en-AU"/>
              </w:rPr>
            </w:pPr>
            <w:r w:rsidRPr="00F51D28">
              <w:rPr>
                <w:b/>
                <w:bCs/>
                <w:sz w:val="18"/>
                <w:szCs w:val="18"/>
              </w:rPr>
              <w:t>552,370</w:t>
            </w:r>
          </w:p>
        </w:tc>
      </w:tr>
      <w:tr w:rsidR="00923F82" w:rsidRPr="009B6407" w14:paraId="21B8AFBC" w14:textId="77777777" w:rsidTr="00D04D54">
        <w:trPr>
          <w:trHeight w:val="315"/>
        </w:trPr>
        <w:tc>
          <w:tcPr>
            <w:tcW w:w="2552" w:type="dxa"/>
            <w:shd w:val="clear" w:color="000000" w:fill="FFFFFF"/>
            <w:noWrap/>
            <w:vAlign w:val="center"/>
            <w:hideMark/>
          </w:tcPr>
          <w:p w14:paraId="19EAA6C4" w14:textId="77777777" w:rsidR="00923F82" w:rsidRPr="009B6407" w:rsidRDefault="00923F82">
            <w:pPr>
              <w:spacing w:after="0" w:line="240" w:lineRule="auto"/>
              <w:rPr>
                <w:rFonts w:cs="Arial"/>
                <w:i/>
                <w:iCs/>
                <w:color w:val="000000"/>
                <w:sz w:val="18"/>
                <w:szCs w:val="18"/>
                <w:lang w:eastAsia="en-AU"/>
              </w:rPr>
            </w:pPr>
            <w:r w:rsidRPr="009B6407">
              <w:rPr>
                <w:rFonts w:cs="Arial"/>
                <w:i/>
                <w:iCs/>
                <w:color w:val="000000"/>
                <w:sz w:val="18"/>
                <w:szCs w:val="18"/>
                <w:lang w:eastAsia="en-AU"/>
              </w:rPr>
              <w:t> </w:t>
            </w:r>
          </w:p>
        </w:tc>
        <w:tc>
          <w:tcPr>
            <w:tcW w:w="1214" w:type="dxa"/>
            <w:shd w:val="clear" w:color="000000" w:fill="FFFFFF"/>
            <w:noWrap/>
            <w:vAlign w:val="center"/>
            <w:hideMark/>
          </w:tcPr>
          <w:p w14:paraId="5A0C5B5C" w14:textId="77777777" w:rsidR="00923F82" w:rsidRPr="00752C39" w:rsidRDefault="00923F82">
            <w:pPr>
              <w:spacing w:after="0" w:line="240" w:lineRule="auto"/>
              <w:ind w:right="206"/>
              <w:jc w:val="right"/>
              <w:rPr>
                <w:rFonts w:cs="Arial"/>
                <w:color w:val="000000"/>
                <w:sz w:val="18"/>
                <w:szCs w:val="18"/>
                <w:lang w:eastAsia="en-AU"/>
              </w:rPr>
            </w:pPr>
          </w:p>
        </w:tc>
        <w:tc>
          <w:tcPr>
            <w:tcW w:w="1337" w:type="dxa"/>
            <w:shd w:val="clear" w:color="000000" w:fill="FFFFFF"/>
            <w:noWrap/>
            <w:vAlign w:val="center"/>
            <w:hideMark/>
          </w:tcPr>
          <w:p w14:paraId="2719AE11" w14:textId="77777777" w:rsidR="00923F82" w:rsidRPr="00752C39" w:rsidRDefault="00923F82">
            <w:pPr>
              <w:spacing w:after="0" w:line="240" w:lineRule="auto"/>
              <w:ind w:right="206"/>
              <w:jc w:val="right"/>
              <w:rPr>
                <w:rFonts w:cs="Arial"/>
                <w:color w:val="000000"/>
                <w:sz w:val="18"/>
                <w:szCs w:val="18"/>
                <w:lang w:eastAsia="en-AU"/>
              </w:rPr>
            </w:pPr>
          </w:p>
        </w:tc>
        <w:tc>
          <w:tcPr>
            <w:tcW w:w="1408" w:type="dxa"/>
            <w:shd w:val="clear" w:color="000000" w:fill="FFFFFF"/>
            <w:noWrap/>
            <w:vAlign w:val="center"/>
            <w:hideMark/>
          </w:tcPr>
          <w:p w14:paraId="1F378D42" w14:textId="77777777" w:rsidR="00923F82" w:rsidRPr="00752C39" w:rsidRDefault="00923F82">
            <w:pPr>
              <w:spacing w:after="0" w:line="240" w:lineRule="auto"/>
              <w:ind w:right="206"/>
              <w:jc w:val="right"/>
              <w:rPr>
                <w:rFonts w:cs="Arial"/>
                <w:color w:val="000000"/>
                <w:sz w:val="18"/>
                <w:szCs w:val="18"/>
                <w:lang w:eastAsia="en-AU"/>
              </w:rPr>
            </w:pPr>
          </w:p>
        </w:tc>
        <w:tc>
          <w:tcPr>
            <w:tcW w:w="1478" w:type="dxa"/>
            <w:shd w:val="clear" w:color="000000" w:fill="FFFFFF"/>
            <w:noWrap/>
            <w:vAlign w:val="center"/>
            <w:hideMark/>
          </w:tcPr>
          <w:p w14:paraId="3132D09A" w14:textId="77777777" w:rsidR="00923F82" w:rsidRPr="00752C39" w:rsidRDefault="00923F82">
            <w:pPr>
              <w:spacing w:after="0" w:line="240" w:lineRule="auto"/>
              <w:ind w:right="206"/>
              <w:jc w:val="right"/>
              <w:rPr>
                <w:rFonts w:cs="Arial"/>
                <w:color w:val="000000"/>
                <w:sz w:val="18"/>
                <w:szCs w:val="18"/>
                <w:lang w:eastAsia="en-AU"/>
              </w:rPr>
            </w:pPr>
          </w:p>
        </w:tc>
        <w:tc>
          <w:tcPr>
            <w:tcW w:w="1418" w:type="dxa"/>
            <w:shd w:val="clear" w:color="000000" w:fill="FFFFFF"/>
            <w:noWrap/>
            <w:vAlign w:val="center"/>
            <w:hideMark/>
          </w:tcPr>
          <w:p w14:paraId="0579838F" w14:textId="77777777" w:rsidR="00923F82" w:rsidRPr="00752C39" w:rsidRDefault="00923F82">
            <w:pPr>
              <w:spacing w:after="0" w:line="240" w:lineRule="auto"/>
              <w:ind w:right="206"/>
              <w:jc w:val="right"/>
              <w:rPr>
                <w:rFonts w:cs="Arial"/>
                <w:color w:val="000000"/>
                <w:sz w:val="18"/>
                <w:szCs w:val="18"/>
                <w:lang w:eastAsia="en-AU"/>
              </w:rPr>
            </w:pPr>
          </w:p>
        </w:tc>
      </w:tr>
      <w:tr w:rsidR="00923F82" w:rsidRPr="009B6407" w14:paraId="35AFE01B" w14:textId="77777777" w:rsidTr="00D04D54">
        <w:trPr>
          <w:trHeight w:val="315"/>
        </w:trPr>
        <w:tc>
          <w:tcPr>
            <w:tcW w:w="2552" w:type="dxa"/>
            <w:shd w:val="clear" w:color="auto" w:fill="auto"/>
            <w:noWrap/>
            <w:vAlign w:val="center"/>
            <w:hideMark/>
          </w:tcPr>
          <w:p w14:paraId="453A8E45" w14:textId="77777777" w:rsidR="00923F82" w:rsidRPr="009B6407" w:rsidRDefault="00923F82">
            <w:pPr>
              <w:spacing w:after="0" w:line="240" w:lineRule="auto"/>
              <w:rPr>
                <w:rFonts w:cs="Arial"/>
                <w:i/>
                <w:iCs/>
                <w:color w:val="000000"/>
                <w:sz w:val="18"/>
                <w:szCs w:val="18"/>
                <w:lang w:eastAsia="en-AU"/>
              </w:rPr>
            </w:pPr>
            <w:r w:rsidRPr="009B6407">
              <w:rPr>
                <w:rFonts w:cs="Arial"/>
                <w:i/>
                <w:iCs/>
                <w:color w:val="000000"/>
                <w:sz w:val="18"/>
                <w:szCs w:val="18"/>
                <w:lang w:eastAsia="en-AU"/>
              </w:rPr>
              <w:t>Equity Share</w:t>
            </w:r>
            <w:r w:rsidRPr="003E37A9">
              <w:rPr>
                <w:rFonts w:cs="Arial"/>
                <w:i/>
                <w:iCs/>
                <w:color w:val="000000"/>
                <w:sz w:val="18"/>
                <w:szCs w:val="18"/>
                <w:lang w:eastAsia="en-AU"/>
              </w:rPr>
              <w:t xml:space="preserve"> of Growth</w:t>
            </w:r>
            <w:r w:rsidRPr="009B6407">
              <w:rPr>
                <w:rFonts w:cs="Arial"/>
                <w:i/>
                <w:iCs/>
                <w:color w:val="000000"/>
                <w:sz w:val="18"/>
                <w:szCs w:val="18"/>
                <w:lang w:eastAsia="en-AU"/>
              </w:rPr>
              <w:t xml:space="preserve"> (%)</w:t>
            </w:r>
          </w:p>
        </w:tc>
        <w:tc>
          <w:tcPr>
            <w:tcW w:w="1214" w:type="dxa"/>
            <w:shd w:val="clear" w:color="auto" w:fill="auto"/>
            <w:noWrap/>
            <w:vAlign w:val="center"/>
            <w:hideMark/>
          </w:tcPr>
          <w:p w14:paraId="7270D823" w14:textId="77777777" w:rsidR="00923F82" w:rsidRPr="00752C39" w:rsidRDefault="00923F82">
            <w:pPr>
              <w:spacing w:after="0" w:line="240" w:lineRule="auto"/>
              <w:ind w:right="206"/>
              <w:jc w:val="right"/>
              <w:rPr>
                <w:rFonts w:cs="Arial"/>
                <w:color w:val="000000"/>
                <w:sz w:val="18"/>
                <w:szCs w:val="18"/>
                <w:lang w:eastAsia="en-AU"/>
              </w:rPr>
            </w:pPr>
          </w:p>
        </w:tc>
        <w:tc>
          <w:tcPr>
            <w:tcW w:w="1337" w:type="dxa"/>
            <w:shd w:val="clear" w:color="auto" w:fill="auto"/>
            <w:noWrap/>
            <w:vAlign w:val="center"/>
          </w:tcPr>
          <w:p w14:paraId="6E20A635" w14:textId="77777777" w:rsidR="00923F82" w:rsidRPr="00577C75" w:rsidRDefault="00923F82">
            <w:pPr>
              <w:spacing w:after="0" w:line="240" w:lineRule="auto"/>
              <w:ind w:right="206"/>
              <w:jc w:val="right"/>
              <w:rPr>
                <w:rFonts w:cs="Arial"/>
                <w:color w:val="000000"/>
                <w:sz w:val="18"/>
                <w:szCs w:val="18"/>
                <w:lang w:eastAsia="en-AU"/>
              </w:rPr>
            </w:pPr>
            <w:r w:rsidRPr="00B8400A">
              <w:rPr>
                <w:rFonts w:cs="Arial"/>
                <w:color w:val="000000"/>
                <w:sz w:val="18"/>
                <w:szCs w:val="18"/>
              </w:rPr>
              <w:t>39.4</w:t>
            </w:r>
          </w:p>
        </w:tc>
        <w:tc>
          <w:tcPr>
            <w:tcW w:w="1408" w:type="dxa"/>
            <w:shd w:val="clear" w:color="auto" w:fill="auto"/>
            <w:noWrap/>
            <w:vAlign w:val="center"/>
          </w:tcPr>
          <w:p w14:paraId="759523E1" w14:textId="52BF0B49" w:rsidR="00923F82" w:rsidRPr="00577C75" w:rsidRDefault="00923F82">
            <w:pPr>
              <w:spacing w:after="0" w:line="240" w:lineRule="auto"/>
              <w:ind w:right="206"/>
              <w:jc w:val="right"/>
              <w:rPr>
                <w:rFonts w:cs="Arial"/>
                <w:color w:val="000000"/>
                <w:sz w:val="18"/>
                <w:szCs w:val="18"/>
                <w:lang w:eastAsia="en-AU"/>
              </w:rPr>
            </w:pPr>
            <w:r w:rsidRPr="00B8400A">
              <w:rPr>
                <w:rFonts w:cs="Arial"/>
                <w:color w:val="000000"/>
                <w:sz w:val="18"/>
                <w:szCs w:val="18"/>
              </w:rPr>
              <w:t>103.9</w:t>
            </w:r>
            <w:r>
              <w:rPr>
                <w:rFonts w:cs="Arial"/>
                <w:color w:val="000000"/>
                <w:sz w:val="18"/>
                <w:szCs w:val="18"/>
              </w:rPr>
              <w:t>*</w:t>
            </w:r>
          </w:p>
        </w:tc>
        <w:tc>
          <w:tcPr>
            <w:tcW w:w="1478" w:type="dxa"/>
            <w:shd w:val="clear" w:color="auto" w:fill="auto"/>
            <w:noWrap/>
            <w:vAlign w:val="center"/>
          </w:tcPr>
          <w:p w14:paraId="758E6CD7" w14:textId="77777777" w:rsidR="00923F82" w:rsidRPr="00577C75" w:rsidRDefault="00923F82">
            <w:pPr>
              <w:spacing w:after="0" w:line="240" w:lineRule="auto"/>
              <w:ind w:right="206"/>
              <w:jc w:val="right"/>
              <w:rPr>
                <w:rFonts w:cs="Arial"/>
                <w:color w:val="000000"/>
                <w:sz w:val="18"/>
                <w:szCs w:val="18"/>
                <w:lang w:eastAsia="en-AU"/>
              </w:rPr>
            </w:pPr>
            <w:r w:rsidRPr="00B8400A">
              <w:rPr>
                <w:rFonts w:cs="Arial"/>
                <w:color w:val="000000"/>
                <w:sz w:val="18"/>
                <w:szCs w:val="18"/>
              </w:rPr>
              <w:t>85.0</w:t>
            </w:r>
          </w:p>
        </w:tc>
        <w:tc>
          <w:tcPr>
            <w:tcW w:w="1418" w:type="dxa"/>
            <w:shd w:val="clear" w:color="auto" w:fill="auto"/>
            <w:noWrap/>
            <w:vAlign w:val="center"/>
          </w:tcPr>
          <w:p w14:paraId="73F268EA" w14:textId="77777777" w:rsidR="00923F82" w:rsidRPr="00577C75" w:rsidRDefault="00923F82">
            <w:pPr>
              <w:spacing w:after="0" w:line="240" w:lineRule="auto"/>
              <w:ind w:right="206"/>
              <w:jc w:val="right"/>
              <w:rPr>
                <w:rFonts w:cs="Arial"/>
                <w:color w:val="000000"/>
                <w:sz w:val="18"/>
                <w:szCs w:val="18"/>
                <w:lang w:eastAsia="en-AU"/>
              </w:rPr>
            </w:pPr>
            <w:r w:rsidRPr="00B8400A">
              <w:rPr>
                <w:rFonts w:cs="Arial"/>
                <w:color w:val="000000"/>
                <w:sz w:val="18"/>
                <w:szCs w:val="18"/>
              </w:rPr>
              <w:t>85.0</w:t>
            </w:r>
          </w:p>
        </w:tc>
      </w:tr>
    </w:tbl>
    <w:p w14:paraId="72D92F75" w14:textId="71050883" w:rsidR="0076095B" w:rsidRPr="000B5DBB" w:rsidRDefault="005F0C95" w:rsidP="00581958">
      <w:pPr>
        <w:spacing w:before="60" w:after="0" w:line="240" w:lineRule="auto"/>
        <w:ind w:left="284"/>
        <w:rPr>
          <w:sz w:val="18"/>
          <w:szCs w:val="18"/>
        </w:rPr>
      </w:pPr>
      <w:r>
        <w:rPr>
          <w:b/>
          <w:bCs/>
          <w:sz w:val="18"/>
          <w:szCs w:val="18"/>
        </w:rPr>
        <w:t xml:space="preserve">Note: </w:t>
      </w:r>
      <w:r>
        <w:rPr>
          <w:sz w:val="18"/>
          <w:szCs w:val="18"/>
        </w:rPr>
        <w:t>*The equity group share of growth exceeds 100% where the increase in equity group participation required exceeds total undergraduate growth.</w:t>
      </w:r>
      <w:r w:rsidR="00B92880">
        <w:rPr>
          <w:rFonts w:cstheme="minorHAnsi"/>
          <w:b/>
          <w:bCs/>
          <w:color w:val="000000"/>
          <w:sz w:val="18"/>
          <w:szCs w:val="18"/>
          <w:lang w:eastAsia="en-AU"/>
        </w:rPr>
        <w:br/>
      </w:r>
      <w:r w:rsidR="0076095B">
        <w:rPr>
          <w:b/>
          <w:bCs/>
          <w:sz w:val="18"/>
          <w:szCs w:val="18"/>
        </w:rPr>
        <w:t>Source:</w:t>
      </w:r>
      <w:r w:rsidR="0076095B">
        <w:rPr>
          <w:sz w:val="18"/>
          <w:szCs w:val="18"/>
        </w:rPr>
        <w:t xml:space="preserve"> </w:t>
      </w:r>
      <w:r w:rsidR="0076095B" w:rsidRPr="009E5181">
        <w:rPr>
          <w:rFonts w:cs="Arial"/>
          <w:sz w:val="18"/>
          <w:szCs w:val="18"/>
        </w:rPr>
        <w:t>Australian Government Department of Education (2023)</w:t>
      </w:r>
      <w:r w:rsidR="0076095B">
        <w:rPr>
          <w:rFonts w:cs="Arial"/>
          <w:sz w:val="18"/>
          <w:szCs w:val="18"/>
        </w:rPr>
        <w:t xml:space="preserve"> and </w:t>
      </w:r>
      <w:r w:rsidR="002D13E9">
        <w:rPr>
          <w:rFonts w:cs="Arial"/>
          <w:sz w:val="18"/>
          <w:szCs w:val="18"/>
        </w:rPr>
        <w:t>ACSES</w:t>
      </w:r>
      <w:r w:rsidR="0076095B">
        <w:rPr>
          <w:rFonts w:cs="Arial"/>
          <w:sz w:val="18"/>
          <w:szCs w:val="18"/>
        </w:rPr>
        <w:t xml:space="preserve"> calculations. </w:t>
      </w:r>
    </w:p>
    <w:p w14:paraId="10A2E340" w14:textId="0A3CE616" w:rsidR="00A11B58" w:rsidRPr="000A3BEC" w:rsidRDefault="0076095B" w:rsidP="00581958">
      <w:pPr>
        <w:ind w:left="284"/>
        <w:rPr>
          <w:rFonts w:eastAsiaTheme="majorEastAsia"/>
          <w:b/>
          <w:bCs/>
        </w:rPr>
      </w:pPr>
      <w:r>
        <w:br/>
        <w:t xml:space="preserve">In contrast, in the </w:t>
      </w:r>
      <w:r>
        <w:rPr>
          <w:i/>
          <w:iCs/>
        </w:rPr>
        <w:t>Convergence</w:t>
      </w:r>
      <w:r>
        <w:t xml:space="preserve"> option, whereby each institution is required to achieve parity with national population shares in 2035 or retain their equity student shares if above that target in 2021, an additional </w:t>
      </w:r>
      <w:r w:rsidR="00707DE4">
        <w:t>297,007</w:t>
      </w:r>
      <w:r>
        <w:t xml:space="preserve"> equity students are required</w:t>
      </w:r>
      <w:r w:rsidR="00C47AB4">
        <w:t xml:space="preserve"> between 2021 and 2035</w:t>
      </w:r>
      <w:r>
        <w:t>. This is equal to 10</w:t>
      </w:r>
      <w:r w:rsidR="00B107EA">
        <w:t>3</w:t>
      </w:r>
      <w:r>
        <w:t>.</w:t>
      </w:r>
      <w:r w:rsidR="00B107EA">
        <w:t>9</w:t>
      </w:r>
      <w:r>
        <w:t xml:space="preserve">% of the projected increase in overall enrolment to 2035, rendering the </w:t>
      </w:r>
      <w:r>
        <w:rPr>
          <w:i/>
          <w:iCs/>
        </w:rPr>
        <w:t>National P</w:t>
      </w:r>
      <w:r w:rsidRPr="00BA652D">
        <w:rPr>
          <w:i/>
          <w:iCs/>
        </w:rPr>
        <w:t xml:space="preserve">arity </w:t>
      </w:r>
      <w:r>
        <w:rPr>
          <w:i/>
          <w:iCs/>
        </w:rPr>
        <w:t>T</w:t>
      </w:r>
      <w:r w:rsidRPr="00BA652D">
        <w:rPr>
          <w:i/>
          <w:iCs/>
        </w:rPr>
        <w:t>arget</w:t>
      </w:r>
      <w:r>
        <w:rPr>
          <w:i/>
          <w:iCs/>
        </w:rPr>
        <w:t>s</w:t>
      </w:r>
      <w:r>
        <w:t xml:space="preserve"> impossible to achieve unless undergraduate </w:t>
      </w:r>
      <w:r>
        <w:lastRenderedPageBreak/>
        <w:t>enrolments increase</w:t>
      </w:r>
      <w:r w:rsidR="00D67B71">
        <w:t xml:space="preserve"> even further</w:t>
      </w:r>
      <w:r>
        <w:t xml:space="preserve"> by 2035 or the target is reached at some point in the future. </w:t>
      </w:r>
      <w:r w:rsidR="00A10B04">
        <w:t xml:space="preserve">This includes increases in student enrolments compared with 2021, resulting in 274,372 low SES, 334,537 regional/remote and 43,566 First Nations students, and 115,079 students with disability in 2035.    </w:t>
      </w:r>
      <w:r w:rsidR="00581958">
        <w:br/>
      </w:r>
      <w:r w:rsidR="00581958">
        <w:br/>
      </w:r>
      <w:r>
        <w:t xml:space="preserve">The </w:t>
      </w:r>
      <w:r>
        <w:rPr>
          <w:i/>
          <w:iCs/>
        </w:rPr>
        <w:t xml:space="preserve">Equal Effort and Divergence </w:t>
      </w:r>
      <w:r w:rsidRPr="001D0494">
        <w:t>options</w:t>
      </w:r>
      <w:r w:rsidRPr="00E05D18">
        <w:t xml:space="preserve"> </w:t>
      </w:r>
      <w:r>
        <w:t xml:space="preserve">yield identical estimates in aggregate, as their outcomes represent a parity target for the Australian higher education system (Table A Providers), with institutions making variable contributions because of their </w:t>
      </w:r>
      <w:r w:rsidRPr="00797CAE">
        <w:t xml:space="preserve">2021 </w:t>
      </w:r>
      <w:r>
        <w:t>starting points (</w:t>
      </w:r>
      <w:r>
        <w:rPr>
          <w:i/>
          <w:iCs/>
        </w:rPr>
        <w:t>Equal Effort</w:t>
      </w:r>
      <w:r>
        <w:t>), as well as an additional consideration where institutions already above parity are not obligated to increase their enrolments (</w:t>
      </w:r>
      <w:r>
        <w:rPr>
          <w:i/>
          <w:iCs/>
        </w:rPr>
        <w:t>Divergence</w:t>
      </w:r>
      <w:r>
        <w:t xml:space="preserve">). The two </w:t>
      </w:r>
      <w:r w:rsidR="008A1593">
        <w:t>options</w:t>
      </w:r>
      <w:r>
        <w:t xml:space="preserve"> see reduced outcomes, requiring 552,370 equity students (5</w:t>
      </w:r>
      <w:r w:rsidR="00600205">
        <w:t>3,997</w:t>
      </w:r>
      <w:r>
        <w:t xml:space="preserve"> fewer than under </w:t>
      </w:r>
      <w:r>
        <w:rPr>
          <w:i/>
          <w:iCs/>
        </w:rPr>
        <w:t>Convergence</w:t>
      </w:r>
      <w:r>
        <w:t xml:space="preserve">) and a reduced projected equity share of growth at </w:t>
      </w:r>
      <w:r w:rsidR="00A363B2">
        <w:t>85.0</w:t>
      </w:r>
      <w:r>
        <w:t xml:space="preserve">% of total enrolment growth. </w:t>
      </w:r>
      <w:r w:rsidR="00581958">
        <w:br/>
      </w:r>
      <w:r w:rsidR="00581958">
        <w:br/>
      </w:r>
      <w:r w:rsidR="0089464B">
        <w:rPr>
          <w:rFonts w:eastAsiaTheme="majorEastAsia"/>
        </w:rPr>
        <w:t xml:space="preserve">The above finding holds for all parity targets and policy options to 2035, for both participation and completion targets. </w:t>
      </w:r>
      <w:r w:rsidR="0089464B" w:rsidRPr="000A3BEC">
        <w:rPr>
          <w:rFonts w:eastAsiaTheme="majorEastAsia"/>
        </w:rPr>
        <w:t>A</w:t>
      </w:r>
      <w:r w:rsidR="0078461B" w:rsidRPr="000A3BEC">
        <w:rPr>
          <w:rFonts w:eastAsiaTheme="majorEastAsia"/>
        </w:rPr>
        <w:t>ll nine active policy options (three active options against the three parity targets) require equity group participation and completion growth to 2035 to dominate</w:t>
      </w:r>
      <w:r w:rsidR="006D5CF6" w:rsidRPr="000A3BEC">
        <w:rPr>
          <w:rFonts w:eastAsiaTheme="majorEastAsia"/>
        </w:rPr>
        <w:t xml:space="preserve"> overall</w:t>
      </w:r>
      <w:r w:rsidR="0078461B" w:rsidRPr="000A3BEC">
        <w:rPr>
          <w:rFonts w:eastAsiaTheme="majorEastAsia"/>
        </w:rPr>
        <w:t xml:space="preserve"> enrolment </w:t>
      </w:r>
      <w:r w:rsidR="006A6540" w:rsidRPr="000A3BEC">
        <w:rPr>
          <w:rFonts w:eastAsiaTheme="majorEastAsia"/>
        </w:rPr>
        <w:t xml:space="preserve">in </w:t>
      </w:r>
      <w:r w:rsidR="0078461B" w:rsidRPr="000A3BEC">
        <w:rPr>
          <w:rFonts w:eastAsiaTheme="majorEastAsia"/>
        </w:rPr>
        <w:t>both</w:t>
      </w:r>
      <w:r w:rsidR="006A6540" w:rsidRPr="000A3BEC">
        <w:rPr>
          <w:rFonts w:eastAsiaTheme="majorEastAsia"/>
        </w:rPr>
        <w:t xml:space="preserve"> cases.</w:t>
      </w:r>
      <w:r w:rsidR="0078461B" w:rsidRPr="000A3BEC">
        <w:rPr>
          <w:rFonts w:eastAsiaTheme="majorEastAsia"/>
        </w:rPr>
        <w:t xml:space="preserve">  </w:t>
      </w:r>
      <w:r w:rsidR="00AD0B15" w:rsidRPr="000A3BEC">
        <w:rPr>
          <w:rFonts w:eastAsiaTheme="majorEastAsia"/>
        </w:rPr>
        <w:t xml:space="preserve"> </w:t>
      </w:r>
      <w:r w:rsidR="00644488" w:rsidRPr="000A3BEC">
        <w:rPr>
          <w:rFonts w:eastAsiaTheme="majorEastAsia"/>
        </w:rPr>
        <w:t xml:space="preserve"> </w:t>
      </w:r>
    </w:p>
    <w:p w14:paraId="1457F835" w14:textId="15CA2580" w:rsidR="00581958" w:rsidRPr="00581958" w:rsidRDefault="008B1103" w:rsidP="00581958">
      <w:pPr>
        <w:pStyle w:val="Caption"/>
        <w:spacing w:line="240" w:lineRule="auto"/>
        <w:ind w:left="284"/>
        <w:rPr>
          <w:b w:val="0"/>
          <w:bCs w:val="0"/>
          <w:color w:val="auto"/>
        </w:rPr>
      </w:pPr>
      <w:r>
        <w:rPr>
          <w:color w:val="auto"/>
        </w:rPr>
        <w:br/>
      </w:r>
      <w:r w:rsidR="0076095B">
        <w:rPr>
          <w:color w:val="auto"/>
        </w:rPr>
        <w:t>Table</w:t>
      </w:r>
      <w:r w:rsidR="0076095B" w:rsidRPr="003873F1">
        <w:rPr>
          <w:color w:val="auto"/>
        </w:rPr>
        <w:t xml:space="preserve"> </w:t>
      </w:r>
      <w:r w:rsidR="00AD0A2E">
        <w:rPr>
          <w:color w:val="auto"/>
        </w:rPr>
        <w:t>E</w:t>
      </w:r>
      <w:r w:rsidR="0076095B" w:rsidRPr="003873F1">
        <w:rPr>
          <w:color w:val="auto"/>
        </w:rPr>
        <w:t>:</w:t>
      </w:r>
      <w:r w:rsidR="0076095B" w:rsidRPr="003873F1">
        <w:rPr>
          <w:b w:val="0"/>
          <w:bCs w:val="0"/>
          <w:color w:val="auto"/>
        </w:rPr>
        <w:t xml:space="preserve"> </w:t>
      </w:r>
      <w:r w:rsidR="0076095B">
        <w:rPr>
          <w:b w:val="0"/>
          <w:bCs w:val="0"/>
          <w:color w:val="auto"/>
        </w:rPr>
        <w:t xml:space="preserve">Equity Group Share of Total Enrolment Growth to 2035 under Three Parity Targets and Four Policy Options  </w:t>
      </w:r>
    </w:p>
    <w:tbl>
      <w:tblPr>
        <w:tblpPr w:leftFromText="180" w:rightFromText="180" w:vertAnchor="text" w:horzAnchor="margin" w:tblpXSpec="center" w:tblpY="38"/>
        <w:tblOverlap w:val="neve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1417"/>
        <w:gridCol w:w="1276"/>
        <w:gridCol w:w="1427"/>
      </w:tblGrid>
      <w:tr w:rsidR="0076095B" w:rsidRPr="009B6407" w14:paraId="17EFDA04" w14:textId="77777777" w:rsidTr="008B1103">
        <w:trPr>
          <w:trHeight w:val="519"/>
        </w:trPr>
        <w:tc>
          <w:tcPr>
            <w:tcW w:w="3539" w:type="dxa"/>
            <w:vMerge w:val="restart"/>
            <w:shd w:val="clear" w:color="auto" w:fill="auto"/>
            <w:noWrap/>
            <w:vAlign w:val="center"/>
            <w:hideMark/>
          </w:tcPr>
          <w:p w14:paraId="7D03A161" w14:textId="2591D1AC" w:rsidR="0076095B" w:rsidRPr="00BE6910" w:rsidRDefault="00DD1BAB" w:rsidP="0076095B">
            <w:pPr>
              <w:spacing w:after="0" w:line="240" w:lineRule="auto"/>
              <w:rPr>
                <w:rFonts w:cs="Arial"/>
                <w:b/>
                <w:bCs/>
                <w:color w:val="000000"/>
                <w:sz w:val="18"/>
                <w:szCs w:val="18"/>
                <w:lang w:eastAsia="en-AU"/>
              </w:rPr>
            </w:pPr>
            <w:r w:rsidRPr="002B082A">
              <w:rPr>
                <w:rFonts w:cs="Arial"/>
                <w:b/>
                <w:bCs/>
                <w:color w:val="auto"/>
                <w:sz w:val="18"/>
                <w:szCs w:val="18"/>
                <w:lang w:eastAsia="en-AU"/>
              </w:rPr>
              <w:t xml:space="preserve">2035 </w:t>
            </w:r>
            <w:r w:rsidR="0076095B" w:rsidRPr="002B082A">
              <w:rPr>
                <w:rFonts w:cs="Arial"/>
                <w:b/>
                <w:bCs/>
                <w:color w:val="auto"/>
                <w:sz w:val="18"/>
                <w:szCs w:val="18"/>
                <w:lang w:eastAsia="en-AU"/>
              </w:rPr>
              <w:t>Parity Target </w:t>
            </w:r>
          </w:p>
        </w:tc>
        <w:tc>
          <w:tcPr>
            <w:tcW w:w="1276" w:type="dxa"/>
            <w:vMerge w:val="restart"/>
            <w:shd w:val="clear" w:color="auto" w:fill="6B3B57"/>
            <w:vAlign w:val="center"/>
            <w:hideMark/>
          </w:tcPr>
          <w:p w14:paraId="0F530911" w14:textId="77777777" w:rsidR="0076095B" w:rsidRPr="00634F7E" w:rsidRDefault="0076095B" w:rsidP="007609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Business-As-Usual</w:t>
            </w:r>
          </w:p>
        </w:tc>
        <w:tc>
          <w:tcPr>
            <w:tcW w:w="1417" w:type="dxa"/>
            <w:vMerge w:val="restart"/>
            <w:shd w:val="clear" w:color="auto" w:fill="6B3B57"/>
            <w:vAlign w:val="center"/>
            <w:hideMark/>
          </w:tcPr>
          <w:p w14:paraId="7F8F8A58" w14:textId="77777777" w:rsidR="0076095B" w:rsidRPr="00634F7E" w:rsidRDefault="0076095B" w:rsidP="007609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Convergence</w:t>
            </w:r>
          </w:p>
        </w:tc>
        <w:tc>
          <w:tcPr>
            <w:tcW w:w="1276" w:type="dxa"/>
            <w:vMerge w:val="restart"/>
            <w:shd w:val="clear" w:color="auto" w:fill="6B3B57"/>
            <w:vAlign w:val="center"/>
            <w:hideMark/>
          </w:tcPr>
          <w:p w14:paraId="40BB4283" w14:textId="77777777" w:rsidR="0076095B" w:rsidRPr="00634F7E" w:rsidRDefault="0076095B" w:rsidP="0076095B">
            <w:pPr>
              <w:spacing w:after="0" w:line="240" w:lineRule="auto"/>
              <w:rPr>
                <w:rFonts w:cs="Arial"/>
                <w:b/>
                <w:bCs/>
                <w:color w:val="FFFFFF"/>
                <w:sz w:val="18"/>
                <w:szCs w:val="18"/>
                <w:lang w:eastAsia="en-AU"/>
              </w:rPr>
            </w:pPr>
            <w:r w:rsidRPr="00634F7E">
              <w:rPr>
                <w:rFonts w:cs="Arial"/>
                <w:b/>
                <w:bCs/>
                <w:color w:val="FFFFFF"/>
                <w:sz w:val="18"/>
                <w:szCs w:val="18"/>
                <w:lang w:eastAsia="en-AU"/>
              </w:rPr>
              <w:t>Equal Effort</w:t>
            </w:r>
          </w:p>
        </w:tc>
        <w:tc>
          <w:tcPr>
            <w:tcW w:w="1427" w:type="dxa"/>
            <w:vMerge w:val="restart"/>
            <w:shd w:val="clear" w:color="auto" w:fill="6B3B57"/>
            <w:vAlign w:val="center"/>
            <w:hideMark/>
          </w:tcPr>
          <w:p w14:paraId="6AF36ED5" w14:textId="77777777" w:rsidR="0076095B" w:rsidRPr="00634F7E" w:rsidRDefault="0076095B" w:rsidP="007609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Divergence</w:t>
            </w:r>
          </w:p>
        </w:tc>
      </w:tr>
      <w:tr w:rsidR="0076095B" w:rsidRPr="009B6407" w14:paraId="47D53FE6" w14:textId="77777777" w:rsidTr="008B1103">
        <w:trPr>
          <w:trHeight w:val="519"/>
        </w:trPr>
        <w:tc>
          <w:tcPr>
            <w:tcW w:w="3539" w:type="dxa"/>
            <w:vMerge/>
            <w:shd w:val="clear" w:color="auto" w:fill="auto"/>
            <w:vAlign w:val="center"/>
            <w:hideMark/>
          </w:tcPr>
          <w:p w14:paraId="678B9003" w14:textId="77777777" w:rsidR="0076095B" w:rsidRPr="009B6407" w:rsidRDefault="0076095B" w:rsidP="0076095B">
            <w:pPr>
              <w:spacing w:after="0" w:line="240" w:lineRule="auto"/>
              <w:rPr>
                <w:rFonts w:ascii="Calibri" w:hAnsi="Calibri" w:cs="Calibri"/>
                <w:color w:val="000000"/>
                <w:sz w:val="18"/>
                <w:szCs w:val="18"/>
                <w:lang w:eastAsia="en-AU"/>
              </w:rPr>
            </w:pPr>
          </w:p>
        </w:tc>
        <w:tc>
          <w:tcPr>
            <w:tcW w:w="1276" w:type="dxa"/>
            <w:vMerge/>
            <w:shd w:val="clear" w:color="auto" w:fill="6B3B57"/>
            <w:vAlign w:val="center"/>
            <w:hideMark/>
          </w:tcPr>
          <w:p w14:paraId="7020A4A5" w14:textId="77777777" w:rsidR="0076095B" w:rsidRPr="009B6407" w:rsidRDefault="0076095B" w:rsidP="0076095B">
            <w:pPr>
              <w:spacing w:after="0" w:line="240" w:lineRule="auto"/>
              <w:rPr>
                <w:rFonts w:cs="Arial"/>
                <w:b/>
                <w:bCs/>
                <w:color w:val="FFFFFF"/>
                <w:sz w:val="18"/>
                <w:szCs w:val="18"/>
                <w:lang w:eastAsia="en-AU"/>
              </w:rPr>
            </w:pPr>
          </w:p>
        </w:tc>
        <w:tc>
          <w:tcPr>
            <w:tcW w:w="1417" w:type="dxa"/>
            <w:vMerge/>
            <w:shd w:val="clear" w:color="auto" w:fill="6B3B57"/>
            <w:vAlign w:val="center"/>
            <w:hideMark/>
          </w:tcPr>
          <w:p w14:paraId="2F593AD0" w14:textId="77777777" w:rsidR="0076095B" w:rsidRPr="009B6407" w:rsidRDefault="0076095B" w:rsidP="0076095B">
            <w:pPr>
              <w:spacing w:after="0" w:line="240" w:lineRule="auto"/>
              <w:rPr>
                <w:rFonts w:cs="Arial"/>
                <w:b/>
                <w:bCs/>
                <w:color w:val="FFFFFF"/>
                <w:sz w:val="18"/>
                <w:szCs w:val="18"/>
                <w:lang w:eastAsia="en-AU"/>
              </w:rPr>
            </w:pPr>
          </w:p>
        </w:tc>
        <w:tc>
          <w:tcPr>
            <w:tcW w:w="1276" w:type="dxa"/>
            <w:vMerge/>
            <w:shd w:val="clear" w:color="auto" w:fill="6B3B57"/>
            <w:vAlign w:val="center"/>
            <w:hideMark/>
          </w:tcPr>
          <w:p w14:paraId="0D32148F" w14:textId="77777777" w:rsidR="0076095B" w:rsidRPr="009B6407" w:rsidRDefault="0076095B" w:rsidP="0076095B">
            <w:pPr>
              <w:spacing w:after="0" w:line="240" w:lineRule="auto"/>
              <w:rPr>
                <w:rFonts w:cs="Arial"/>
                <w:b/>
                <w:bCs/>
                <w:color w:val="FFFFFF"/>
                <w:sz w:val="18"/>
                <w:szCs w:val="18"/>
                <w:lang w:eastAsia="en-AU"/>
              </w:rPr>
            </w:pPr>
          </w:p>
        </w:tc>
        <w:tc>
          <w:tcPr>
            <w:tcW w:w="1427" w:type="dxa"/>
            <w:vMerge/>
            <w:shd w:val="clear" w:color="auto" w:fill="6B3B57"/>
            <w:vAlign w:val="center"/>
            <w:hideMark/>
          </w:tcPr>
          <w:p w14:paraId="554B6101" w14:textId="77777777" w:rsidR="0076095B" w:rsidRPr="009B6407" w:rsidRDefault="0076095B" w:rsidP="0076095B">
            <w:pPr>
              <w:spacing w:after="0" w:line="240" w:lineRule="auto"/>
              <w:rPr>
                <w:rFonts w:cs="Arial"/>
                <w:b/>
                <w:bCs/>
                <w:color w:val="FFFFFF"/>
                <w:sz w:val="18"/>
                <w:szCs w:val="18"/>
                <w:lang w:eastAsia="en-AU"/>
              </w:rPr>
            </w:pPr>
          </w:p>
        </w:tc>
      </w:tr>
      <w:tr w:rsidR="0076095B" w:rsidRPr="009B6407" w14:paraId="7C4F47E1" w14:textId="77777777" w:rsidTr="008B1103">
        <w:trPr>
          <w:trHeight w:val="315"/>
        </w:trPr>
        <w:tc>
          <w:tcPr>
            <w:tcW w:w="3539" w:type="dxa"/>
            <w:shd w:val="clear" w:color="auto" w:fill="auto"/>
            <w:noWrap/>
            <w:vAlign w:val="center"/>
            <w:hideMark/>
          </w:tcPr>
          <w:p w14:paraId="5B0140E8" w14:textId="77777777" w:rsidR="0076095B" w:rsidRPr="009B6407" w:rsidRDefault="0076095B" w:rsidP="0076095B">
            <w:pPr>
              <w:spacing w:after="0" w:line="240" w:lineRule="auto"/>
              <w:rPr>
                <w:rFonts w:cs="Arial"/>
                <w:b/>
                <w:bCs/>
                <w:color w:val="000000"/>
                <w:sz w:val="18"/>
                <w:szCs w:val="18"/>
                <w:lang w:eastAsia="en-AU"/>
              </w:rPr>
            </w:pPr>
            <w:r>
              <w:rPr>
                <w:rFonts w:cs="Arial"/>
                <w:b/>
                <w:bCs/>
                <w:color w:val="000000"/>
                <w:sz w:val="18"/>
                <w:szCs w:val="18"/>
                <w:lang w:eastAsia="en-AU"/>
              </w:rPr>
              <w:t xml:space="preserve">Participation </w:t>
            </w:r>
          </w:p>
        </w:tc>
        <w:tc>
          <w:tcPr>
            <w:tcW w:w="1276" w:type="dxa"/>
            <w:shd w:val="clear" w:color="auto" w:fill="auto"/>
            <w:noWrap/>
            <w:vAlign w:val="center"/>
          </w:tcPr>
          <w:p w14:paraId="5A23E2C4" w14:textId="77777777" w:rsidR="0076095B" w:rsidRPr="00BB5958" w:rsidRDefault="0076095B" w:rsidP="0076095B">
            <w:pPr>
              <w:spacing w:after="0" w:line="240" w:lineRule="auto"/>
              <w:jc w:val="right"/>
              <w:rPr>
                <w:rFonts w:cs="Arial"/>
                <w:b/>
                <w:bCs/>
                <w:color w:val="000000"/>
                <w:sz w:val="18"/>
                <w:szCs w:val="18"/>
                <w:lang w:eastAsia="en-AU"/>
              </w:rPr>
            </w:pPr>
          </w:p>
        </w:tc>
        <w:tc>
          <w:tcPr>
            <w:tcW w:w="1417" w:type="dxa"/>
            <w:shd w:val="clear" w:color="auto" w:fill="auto"/>
            <w:noWrap/>
            <w:vAlign w:val="center"/>
          </w:tcPr>
          <w:p w14:paraId="2DBF54EB" w14:textId="77777777" w:rsidR="0076095B" w:rsidRPr="00BB5958" w:rsidRDefault="0076095B" w:rsidP="0076095B">
            <w:pPr>
              <w:spacing w:after="0" w:line="240" w:lineRule="auto"/>
              <w:jc w:val="right"/>
              <w:rPr>
                <w:rFonts w:cs="Arial"/>
                <w:b/>
                <w:bCs/>
                <w:color w:val="000000"/>
                <w:sz w:val="18"/>
                <w:szCs w:val="18"/>
                <w:lang w:eastAsia="en-AU"/>
              </w:rPr>
            </w:pPr>
          </w:p>
        </w:tc>
        <w:tc>
          <w:tcPr>
            <w:tcW w:w="1276" w:type="dxa"/>
            <w:shd w:val="clear" w:color="auto" w:fill="auto"/>
            <w:noWrap/>
            <w:vAlign w:val="center"/>
          </w:tcPr>
          <w:p w14:paraId="20297B70" w14:textId="77777777" w:rsidR="0076095B" w:rsidRPr="00BB5958" w:rsidRDefault="0076095B" w:rsidP="0076095B">
            <w:pPr>
              <w:spacing w:after="0" w:line="240" w:lineRule="auto"/>
              <w:jc w:val="right"/>
              <w:rPr>
                <w:rFonts w:cs="Arial"/>
                <w:b/>
                <w:bCs/>
                <w:color w:val="000000"/>
                <w:sz w:val="18"/>
                <w:szCs w:val="18"/>
                <w:lang w:eastAsia="en-AU"/>
              </w:rPr>
            </w:pPr>
          </w:p>
        </w:tc>
        <w:tc>
          <w:tcPr>
            <w:tcW w:w="1427" w:type="dxa"/>
            <w:shd w:val="clear" w:color="auto" w:fill="auto"/>
            <w:noWrap/>
            <w:vAlign w:val="center"/>
          </w:tcPr>
          <w:p w14:paraId="727136C6" w14:textId="77777777" w:rsidR="0076095B" w:rsidRPr="00BB5958" w:rsidRDefault="0076095B" w:rsidP="0076095B">
            <w:pPr>
              <w:spacing w:after="0" w:line="240" w:lineRule="auto"/>
              <w:jc w:val="right"/>
              <w:rPr>
                <w:rFonts w:cs="Arial"/>
                <w:b/>
                <w:bCs/>
                <w:color w:val="000000"/>
                <w:sz w:val="18"/>
                <w:szCs w:val="18"/>
                <w:lang w:eastAsia="en-AU"/>
              </w:rPr>
            </w:pPr>
          </w:p>
        </w:tc>
      </w:tr>
      <w:tr w:rsidR="0076095B" w:rsidRPr="009B6407" w14:paraId="3A125B14" w14:textId="77777777" w:rsidTr="008B1103">
        <w:trPr>
          <w:trHeight w:val="315"/>
        </w:trPr>
        <w:tc>
          <w:tcPr>
            <w:tcW w:w="3539" w:type="dxa"/>
            <w:shd w:val="clear" w:color="000000" w:fill="FFFFFF"/>
            <w:noWrap/>
            <w:vAlign w:val="center"/>
            <w:hideMark/>
          </w:tcPr>
          <w:p w14:paraId="08858FFB" w14:textId="77777777" w:rsidR="0076095B" w:rsidRPr="009B6407" w:rsidRDefault="0076095B" w:rsidP="0076095B">
            <w:pPr>
              <w:spacing w:after="0" w:line="240" w:lineRule="auto"/>
              <w:rPr>
                <w:rFonts w:cs="Arial"/>
                <w:i/>
                <w:iCs/>
                <w:color w:val="000000"/>
                <w:sz w:val="18"/>
                <w:szCs w:val="18"/>
                <w:lang w:eastAsia="en-AU"/>
              </w:rPr>
            </w:pPr>
            <w:r>
              <w:rPr>
                <w:rFonts w:cs="Arial"/>
                <w:i/>
                <w:iCs/>
                <w:color w:val="000000"/>
                <w:sz w:val="18"/>
                <w:szCs w:val="18"/>
                <w:lang w:eastAsia="en-AU"/>
              </w:rPr>
              <w:t xml:space="preserve">National </w:t>
            </w:r>
          </w:p>
        </w:tc>
        <w:tc>
          <w:tcPr>
            <w:tcW w:w="1276" w:type="dxa"/>
            <w:shd w:val="clear" w:color="000000" w:fill="FFFFFF"/>
            <w:noWrap/>
            <w:vAlign w:val="center"/>
            <w:hideMark/>
          </w:tcPr>
          <w:p w14:paraId="06F152CC" w14:textId="395C9B47" w:rsidR="0076095B" w:rsidRPr="00752C39" w:rsidRDefault="0076095B" w:rsidP="0076095B">
            <w:pPr>
              <w:spacing w:after="0" w:line="240" w:lineRule="auto"/>
              <w:ind w:right="349"/>
              <w:jc w:val="right"/>
              <w:rPr>
                <w:rFonts w:cs="Arial"/>
                <w:color w:val="000000"/>
                <w:sz w:val="18"/>
                <w:szCs w:val="18"/>
                <w:lang w:eastAsia="en-AU"/>
              </w:rPr>
            </w:pPr>
            <w:r w:rsidRPr="00752C39">
              <w:rPr>
                <w:sz w:val="18"/>
                <w:szCs w:val="18"/>
              </w:rPr>
              <w:t>3</w:t>
            </w:r>
            <w:r w:rsidR="00E87708">
              <w:rPr>
                <w:sz w:val="18"/>
                <w:szCs w:val="18"/>
              </w:rPr>
              <w:t>9</w:t>
            </w:r>
            <w:r w:rsidRPr="00752C39">
              <w:rPr>
                <w:sz w:val="18"/>
                <w:szCs w:val="18"/>
              </w:rPr>
              <w:t>.</w:t>
            </w:r>
            <w:r w:rsidR="00E87708">
              <w:rPr>
                <w:sz w:val="18"/>
                <w:szCs w:val="18"/>
              </w:rPr>
              <w:t>4</w:t>
            </w:r>
          </w:p>
        </w:tc>
        <w:tc>
          <w:tcPr>
            <w:tcW w:w="1417" w:type="dxa"/>
            <w:shd w:val="clear" w:color="000000" w:fill="FFFFFF"/>
            <w:noWrap/>
            <w:vAlign w:val="center"/>
            <w:hideMark/>
          </w:tcPr>
          <w:p w14:paraId="730221F1" w14:textId="4A549B31" w:rsidR="0076095B" w:rsidRPr="00752C39" w:rsidRDefault="0076095B" w:rsidP="0076095B">
            <w:pPr>
              <w:spacing w:after="0" w:line="240" w:lineRule="auto"/>
              <w:ind w:right="349"/>
              <w:jc w:val="right"/>
              <w:rPr>
                <w:rFonts w:cs="Arial"/>
                <w:color w:val="000000"/>
                <w:sz w:val="18"/>
                <w:szCs w:val="18"/>
                <w:lang w:eastAsia="en-AU"/>
              </w:rPr>
            </w:pPr>
            <w:r w:rsidRPr="00752C39">
              <w:rPr>
                <w:sz w:val="18"/>
                <w:szCs w:val="18"/>
              </w:rPr>
              <w:t>10</w:t>
            </w:r>
            <w:r w:rsidR="00E87708">
              <w:rPr>
                <w:sz w:val="18"/>
                <w:szCs w:val="18"/>
              </w:rPr>
              <w:t>3</w:t>
            </w:r>
            <w:r w:rsidRPr="00752C39">
              <w:rPr>
                <w:sz w:val="18"/>
                <w:szCs w:val="18"/>
              </w:rPr>
              <w:t>.</w:t>
            </w:r>
            <w:r w:rsidR="00F51B13">
              <w:rPr>
                <w:sz w:val="18"/>
                <w:szCs w:val="18"/>
              </w:rPr>
              <w:t>9</w:t>
            </w:r>
            <w:r>
              <w:rPr>
                <w:sz w:val="18"/>
                <w:szCs w:val="18"/>
              </w:rPr>
              <w:t>*</w:t>
            </w:r>
          </w:p>
        </w:tc>
        <w:tc>
          <w:tcPr>
            <w:tcW w:w="1276" w:type="dxa"/>
            <w:shd w:val="clear" w:color="000000" w:fill="FFFFFF"/>
            <w:noWrap/>
            <w:vAlign w:val="center"/>
            <w:hideMark/>
          </w:tcPr>
          <w:p w14:paraId="33DCFF7B" w14:textId="5E3A8CED" w:rsidR="0076095B" w:rsidRPr="00752C39" w:rsidRDefault="0076095B" w:rsidP="0076095B">
            <w:pPr>
              <w:spacing w:after="0" w:line="240" w:lineRule="auto"/>
              <w:ind w:right="349"/>
              <w:jc w:val="right"/>
              <w:rPr>
                <w:rFonts w:cs="Arial"/>
                <w:color w:val="000000"/>
                <w:sz w:val="18"/>
                <w:szCs w:val="18"/>
                <w:lang w:eastAsia="en-AU"/>
              </w:rPr>
            </w:pPr>
            <w:r w:rsidRPr="00752C39">
              <w:rPr>
                <w:sz w:val="18"/>
                <w:szCs w:val="18"/>
              </w:rPr>
              <w:t>8</w:t>
            </w:r>
            <w:r w:rsidR="00F51B13">
              <w:rPr>
                <w:sz w:val="18"/>
                <w:szCs w:val="18"/>
              </w:rPr>
              <w:t>5</w:t>
            </w:r>
            <w:r w:rsidRPr="00752C39">
              <w:rPr>
                <w:sz w:val="18"/>
                <w:szCs w:val="18"/>
              </w:rPr>
              <w:t>.</w:t>
            </w:r>
            <w:r w:rsidR="00F51B13">
              <w:rPr>
                <w:sz w:val="18"/>
                <w:szCs w:val="18"/>
              </w:rPr>
              <w:t>0</w:t>
            </w:r>
          </w:p>
        </w:tc>
        <w:tc>
          <w:tcPr>
            <w:tcW w:w="1427" w:type="dxa"/>
            <w:shd w:val="clear" w:color="000000" w:fill="FFFFFF"/>
            <w:noWrap/>
            <w:vAlign w:val="center"/>
            <w:hideMark/>
          </w:tcPr>
          <w:p w14:paraId="4041DEEF" w14:textId="4B6A3EBE" w:rsidR="0076095B" w:rsidRPr="00752C39" w:rsidRDefault="0076095B" w:rsidP="0076095B">
            <w:pPr>
              <w:spacing w:after="0" w:line="240" w:lineRule="auto"/>
              <w:ind w:right="349"/>
              <w:jc w:val="right"/>
              <w:rPr>
                <w:rFonts w:cs="Arial"/>
                <w:color w:val="000000"/>
                <w:sz w:val="18"/>
                <w:szCs w:val="18"/>
                <w:lang w:eastAsia="en-AU"/>
              </w:rPr>
            </w:pPr>
            <w:r w:rsidRPr="00752C39">
              <w:rPr>
                <w:sz w:val="18"/>
                <w:szCs w:val="18"/>
              </w:rPr>
              <w:t>8</w:t>
            </w:r>
            <w:r w:rsidR="00F51B13">
              <w:rPr>
                <w:sz w:val="18"/>
                <w:szCs w:val="18"/>
              </w:rPr>
              <w:t>5</w:t>
            </w:r>
            <w:r w:rsidRPr="00752C39">
              <w:rPr>
                <w:sz w:val="18"/>
                <w:szCs w:val="18"/>
              </w:rPr>
              <w:t>.</w:t>
            </w:r>
            <w:r w:rsidR="00F51B13">
              <w:rPr>
                <w:sz w:val="18"/>
                <w:szCs w:val="18"/>
              </w:rPr>
              <w:t>0</w:t>
            </w:r>
          </w:p>
        </w:tc>
      </w:tr>
      <w:tr w:rsidR="0076095B" w:rsidRPr="009B6407" w14:paraId="6DBD5E50" w14:textId="77777777" w:rsidTr="008B1103">
        <w:trPr>
          <w:trHeight w:val="315"/>
        </w:trPr>
        <w:tc>
          <w:tcPr>
            <w:tcW w:w="3539" w:type="dxa"/>
            <w:shd w:val="clear" w:color="000000" w:fill="FFFFFF"/>
            <w:noWrap/>
            <w:vAlign w:val="center"/>
          </w:tcPr>
          <w:p w14:paraId="6D3CE973" w14:textId="77777777" w:rsidR="0076095B" w:rsidRDefault="0076095B" w:rsidP="0076095B">
            <w:pPr>
              <w:spacing w:after="0" w:line="240" w:lineRule="auto"/>
              <w:rPr>
                <w:rFonts w:cs="Arial"/>
                <w:i/>
                <w:iCs/>
                <w:color w:val="000000"/>
                <w:sz w:val="18"/>
                <w:szCs w:val="18"/>
                <w:lang w:eastAsia="en-AU"/>
              </w:rPr>
            </w:pPr>
            <w:r w:rsidRPr="00EF06AB">
              <w:rPr>
                <w:rFonts w:cstheme="minorHAnsi"/>
                <w:i/>
                <w:iCs/>
                <w:color w:val="000000"/>
                <w:sz w:val="18"/>
                <w:szCs w:val="18"/>
                <w:lang w:eastAsia="en-AU"/>
              </w:rPr>
              <w:t>State/Territory (Home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276" w:type="dxa"/>
            <w:shd w:val="clear" w:color="000000" w:fill="FFFFFF"/>
            <w:noWrap/>
            <w:vAlign w:val="center"/>
          </w:tcPr>
          <w:p w14:paraId="54D4E327" w14:textId="78A2F41F" w:rsidR="0076095B" w:rsidRPr="00752C39" w:rsidRDefault="0076095B" w:rsidP="0076095B">
            <w:pPr>
              <w:spacing w:after="0" w:line="240" w:lineRule="auto"/>
              <w:ind w:right="349"/>
              <w:jc w:val="right"/>
              <w:rPr>
                <w:sz w:val="18"/>
                <w:szCs w:val="18"/>
              </w:rPr>
            </w:pPr>
            <w:r w:rsidRPr="0009045C">
              <w:rPr>
                <w:rFonts w:cs="Arial"/>
                <w:color w:val="000000"/>
                <w:sz w:val="18"/>
                <w:szCs w:val="18"/>
              </w:rPr>
              <w:t>3</w:t>
            </w:r>
            <w:r w:rsidR="0014129B">
              <w:rPr>
                <w:rFonts w:cs="Arial"/>
                <w:color w:val="000000"/>
                <w:sz w:val="18"/>
                <w:szCs w:val="18"/>
              </w:rPr>
              <w:t>9</w:t>
            </w:r>
            <w:r w:rsidRPr="0009045C">
              <w:rPr>
                <w:rFonts w:cs="Arial"/>
                <w:color w:val="000000"/>
                <w:sz w:val="18"/>
                <w:szCs w:val="18"/>
              </w:rPr>
              <w:t>.</w:t>
            </w:r>
            <w:r w:rsidR="0014129B">
              <w:rPr>
                <w:rFonts w:cs="Arial"/>
                <w:color w:val="000000"/>
                <w:sz w:val="18"/>
                <w:szCs w:val="18"/>
              </w:rPr>
              <w:t>4</w:t>
            </w:r>
          </w:p>
        </w:tc>
        <w:tc>
          <w:tcPr>
            <w:tcW w:w="1417" w:type="dxa"/>
            <w:shd w:val="clear" w:color="000000" w:fill="FFFFFF"/>
            <w:noWrap/>
            <w:vAlign w:val="center"/>
          </w:tcPr>
          <w:p w14:paraId="061B2B1C" w14:textId="637A37D5" w:rsidR="0076095B" w:rsidRPr="00752C39" w:rsidRDefault="0076095B" w:rsidP="0076095B">
            <w:pPr>
              <w:spacing w:after="0" w:line="240" w:lineRule="auto"/>
              <w:ind w:right="349"/>
              <w:jc w:val="right"/>
              <w:rPr>
                <w:sz w:val="18"/>
                <w:szCs w:val="18"/>
              </w:rPr>
            </w:pPr>
            <w:r w:rsidRPr="00A53346">
              <w:rPr>
                <w:rFonts w:cs="Arial"/>
                <w:color w:val="000000"/>
                <w:sz w:val="18"/>
                <w:szCs w:val="18"/>
              </w:rPr>
              <w:t>10</w:t>
            </w:r>
            <w:r w:rsidR="0014129B">
              <w:rPr>
                <w:rFonts w:cs="Arial"/>
                <w:color w:val="000000"/>
                <w:sz w:val="18"/>
                <w:szCs w:val="18"/>
              </w:rPr>
              <w:t>1</w:t>
            </w:r>
            <w:r w:rsidRPr="00A53346">
              <w:rPr>
                <w:rFonts w:cs="Arial"/>
                <w:color w:val="000000"/>
                <w:sz w:val="18"/>
                <w:szCs w:val="18"/>
              </w:rPr>
              <w:t>.</w:t>
            </w:r>
            <w:r w:rsidR="004D2B8F">
              <w:rPr>
                <w:rFonts w:cs="Arial"/>
                <w:color w:val="000000"/>
                <w:sz w:val="18"/>
                <w:szCs w:val="18"/>
              </w:rPr>
              <w:t>1</w:t>
            </w:r>
            <w:r>
              <w:rPr>
                <w:rFonts w:cs="Arial"/>
                <w:color w:val="000000"/>
                <w:sz w:val="18"/>
                <w:szCs w:val="18"/>
              </w:rPr>
              <w:t>*</w:t>
            </w:r>
          </w:p>
        </w:tc>
        <w:tc>
          <w:tcPr>
            <w:tcW w:w="1276" w:type="dxa"/>
            <w:shd w:val="clear" w:color="000000" w:fill="FFFFFF"/>
            <w:noWrap/>
            <w:vAlign w:val="center"/>
          </w:tcPr>
          <w:p w14:paraId="5B517FC7" w14:textId="485C3D35" w:rsidR="0076095B" w:rsidRPr="00752C39" w:rsidRDefault="004D2B8F" w:rsidP="0076095B">
            <w:pPr>
              <w:spacing w:after="0" w:line="240" w:lineRule="auto"/>
              <w:ind w:right="349"/>
              <w:jc w:val="right"/>
              <w:rPr>
                <w:sz w:val="18"/>
                <w:szCs w:val="18"/>
              </w:rPr>
            </w:pPr>
            <w:r>
              <w:rPr>
                <w:rFonts w:cs="Arial"/>
                <w:color w:val="000000"/>
                <w:sz w:val="18"/>
                <w:szCs w:val="18"/>
              </w:rPr>
              <w:t>86</w:t>
            </w:r>
            <w:r w:rsidR="0076095B" w:rsidRPr="00A53346">
              <w:rPr>
                <w:rFonts w:cs="Arial"/>
                <w:color w:val="000000"/>
                <w:sz w:val="18"/>
                <w:szCs w:val="18"/>
              </w:rPr>
              <w:t>.</w:t>
            </w:r>
            <w:r w:rsidR="0007189B">
              <w:rPr>
                <w:rFonts w:cs="Arial"/>
                <w:color w:val="000000"/>
                <w:sz w:val="18"/>
                <w:szCs w:val="18"/>
              </w:rPr>
              <w:t>0</w:t>
            </w:r>
          </w:p>
        </w:tc>
        <w:tc>
          <w:tcPr>
            <w:tcW w:w="1427" w:type="dxa"/>
            <w:shd w:val="clear" w:color="000000" w:fill="FFFFFF"/>
            <w:noWrap/>
            <w:vAlign w:val="center"/>
          </w:tcPr>
          <w:p w14:paraId="609FCE62" w14:textId="13E51DA1" w:rsidR="0076095B" w:rsidRPr="00752C39" w:rsidRDefault="00433A35" w:rsidP="0076095B">
            <w:pPr>
              <w:spacing w:after="0" w:line="240" w:lineRule="auto"/>
              <w:ind w:right="349"/>
              <w:jc w:val="right"/>
              <w:rPr>
                <w:sz w:val="18"/>
                <w:szCs w:val="18"/>
              </w:rPr>
            </w:pPr>
            <w:r>
              <w:rPr>
                <w:rFonts w:cs="Arial"/>
                <w:color w:val="000000"/>
                <w:sz w:val="18"/>
                <w:szCs w:val="18"/>
              </w:rPr>
              <w:t>86</w:t>
            </w:r>
            <w:r w:rsidR="0076095B" w:rsidRPr="00A53346">
              <w:rPr>
                <w:rFonts w:cs="Arial"/>
                <w:color w:val="000000"/>
                <w:sz w:val="18"/>
                <w:szCs w:val="18"/>
              </w:rPr>
              <w:t>.</w:t>
            </w:r>
            <w:r w:rsidR="0007189B">
              <w:rPr>
                <w:rFonts w:cs="Arial"/>
                <w:color w:val="000000"/>
                <w:sz w:val="18"/>
                <w:szCs w:val="18"/>
              </w:rPr>
              <w:t>0</w:t>
            </w:r>
          </w:p>
        </w:tc>
      </w:tr>
      <w:tr w:rsidR="0076095B" w:rsidRPr="009B6407" w14:paraId="32FBBF55" w14:textId="77777777" w:rsidTr="008B1103">
        <w:trPr>
          <w:trHeight w:val="315"/>
        </w:trPr>
        <w:tc>
          <w:tcPr>
            <w:tcW w:w="3539" w:type="dxa"/>
            <w:shd w:val="clear" w:color="auto" w:fill="auto"/>
            <w:noWrap/>
            <w:vAlign w:val="center"/>
          </w:tcPr>
          <w:p w14:paraId="14D825AA" w14:textId="77777777" w:rsidR="0076095B" w:rsidRPr="00EF06AB" w:rsidRDefault="0076095B" w:rsidP="0076095B">
            <w:pPr>
              <w:spacing w:after="0" w:line="240" w:lineRule="auto"/>
              <w:rPr>
                <w:rFonts w:cs="Arial"/>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276" w:type="dxa"/>
            <w:shd w:val="clear" w:color="auto" w:fill="auto"/>
            <w:noWrap/>
            <w:vAlign w:val="center"/>
          </w:tcPr>
          <w:p w14:paraId="4329B550" w14:textId="77777777" w:rsidR="0076095B" w:rsidRPr="00752C39" w:rsidRDefault="0076095B" w:rsidP="0076095B">
            <w:pPr>
              <w:spacing w:after="0" w:line="240" w:lineRule="auto"/>
              <w:ind w:right="349"/>
              <w:jc w:val="right"/>
              <w:rPr>
                <w:rFonts w:cs="Arial"/>
                <w:color w:val="000000"/>
                <w:sz w:val="18"/>
                <w:szCs w:val="18"/>
                <w:lang w:eastAsia="en-AU"/>
              </w:rPr>
            </w:pPr>
            <w:r w:rsidRPr="00F51049">
              <w:rPr>
                <w:sz w:val="18"/>
                <w:szCs w:val="18"/>
              </w:rPr>
              <w:t>39.6</w:t>
            </w:r>
          </w:p>
        </w:tc>
        <w:tc>
          <w:tcPr>
            <w:tcW w:w="1417" w:type="dxa"/>
            <w:shd w:val="clear" w:color="auto" w:fill="auto"/>
            <w:noWrap/>
            <w:vAlign w:val="center"/>
          </w:tcPr>
          <w:p w14:paraId="321D8DA3" w14:textId="77777777" w:rsidR="0076095B" w:rsidRPr="00752C39" w:rsidRDefault="0076095B" w:rsidP="0076095B">
            <w:pPr>
              <w:spacing w:after="0" w:line="240" w:lineRule="auto"/>
              <w:ind w:right="349"/>
              <w:jc w:val="right"/>
              <w:rPr>
                <w:rFonts w:cs="Arial"/>
                <w:color w:val="000000"/>
                <w:sz w:val="18"/>
                <w:szCs w:val="18"/>
                <w:lang w:eastAsia="en-AU"/>
              </w:rPr>
            </w:pPr>
            <w:r w:rsidRPr="00F51049">
              <w:rPr>
                <w:sz w:val="18"/>
                <w:szCs w:val="18"/>
              </w:rPr>
              <w:t>96.0</w:t>
            </w:r>
          </w:p>
        </w:tc>
        <w:tc>
          <w:tcPr>
            <w:tcW w:w="1276" w:type="dxa"/>
            <w:shd w:val="clear" w:color="auto" w:fill="auto"/>
            <w:noWrap/>
            <w:vAlign w:val="center"/>
          </w:tcPr>
          <w:p w14:paraId="32CF7C4F" w14:textId="77777777" w:rsidR="0076095B" w:rsidRPr="00752C39" w:rsidRDefault="0076095B" w:rsidP="0076095B">
            <w:pPr>
              <w:spacing w:after="0" w:line="240" w:lineRule="auto"/>
              <w:ind w:right="349"/>
              <w:jc w:val="right"/>
              <w:rPr>
                <w:rFonts w:cs="Arial"/>
                <w:color w:val="000000"/>
                <w:sz w:val="18"/>
                <w:szCs w:val="18"/>
                <w:lang w:eastAsia="en-AU"/>
              </w:rPr>
            </w:pPr>
            <w:r w:rsidRPr="00F51049">
              <w:rPr>
                <w:sz w:val="18"/>
                <w:szCs w:val="18"/>
              </w:rPr>
              <w:t>80.5</w:t>
            </w:r>
          </w:p>
        </w:tc>
        <w:tc>
          <w:tcPr>
            <w:tcW w:w="1427" w:type="dxa"/>
            <w:shd w:val="clear" w:color="auto" w:fill="auto"/>
            <w:noWrap/>
            <w:vAlign w:val="center"/>
          </w:tcPr>
          <w:p w14:paraId="5CE0B139" w14:textId="77777777" w:rsidR="0076095B" w:rsidRPr="00752C39" w:rsidRDefault="0076095B" w:rsidP="0076095B">
            <w:pPr>
              <w:spacing w:after="0" w:line="240" w:lineRule="auto"/>
              <w:ind w:right="349"/>
              <w:jc w:val="right"/>
              <w:rPr>
                <w:rFonts w:cs="Arial"/>
                <w:color w:val="000000"/>
                <w:sz w:val="18"/>
                <w:szCs w:val="18"/>
                <w:lang w:eastAsia="en-AU"/>
              </w:rPr>
            </w:pPr>
            <w:r w:rsidRPr="00F51049">
              <w:rPr>
                <w:sz w:val="18"/>
                <w:szCs w:val="18"/>
              </w:rPr>
              <w:t>80.5</w:t>
            </w:r>
          </w:p>
        </w:tc>
      </w:tr>
      <w:tr w:rsidR="0076095B" w:rsidRPr="009B6407" w14:paraId="6E9B8B8A" w14:textId="77777777" w:rsidTr="008B1103">
        <w:trPr>
          <w:trHeight w:val="315"/>
        </w:trPr>
        <w:tc>
          <w:tcPr>
            <w:tcW w:w="3539" w:type="dxa"/>
            <w:shd w:val="clear" w:color="auto" w:fill="auto"/>
            <w:noWrap/>
            <w:vAlign w:val="center"/>
          </w:tcPr>
          <w:p w14:paraId="7EE801BB" w14:textId="77777777" w:rsidR="0076095B" w:rsidRPr="00EF06AB" w:rsidRDefault="0076095B" w:rsidP="0076095B">
            <w:pPr>
              <w:spacing w:after="0" w:line="240" w:lineRule="auto"/>
              <w:rPr>
                <w:rFonts w:cstheme="minorHAnsi"/>
                <w:i/>
                <w:iCs/>
                <w:color w:val="000000"/>
                <w:sz w:val="18"/>
                <w:szCs w:val="18"/>
                <w:lang w:eastAsia="en-AU"/>
              </w:rPr>
            </w:pPr>
          </w:p>
        </w:tc>
        <w:tc>
          <w:tcPr>
            <w:tcW w:w="1276" w:type="dxa"/>
            <w:shd w:val="clear" w:color="auto" w:fill="auto"/>
            <w:noWrap/>
            <w:vAlign w:val="center"/>
          </w:tcPr>
          <w:p w14:paraId="25976BAE" w14:textId="77777777" w:rsidR="0076095B" w:rsidRPr="00F51049" w:rsidRDefault="0076095B" w:rsidP="0076095B">
            <w:pPr>
              <w:spacing w:after="0" w:line="240" w:lineRule="auto"/>
              <w:ind w:right="349"/>
              <w:jc w:val="right"/>
              <w:rPr>
                <w:sz w:val="18"/>
                <w:szCs w:val="18"/>
              </w:rPr>
            </w:pPr>
          </w:p>
        </w:tc>
        <w:tc>
          <w:tcPr>
            <w:tcW w:w="1417" w:type="dxa"/>
            <w:shd w:val="clear" w:color="auto" w:fill="auto"/>
            <w:noWrap/>
            <w:vAlign w:val="center"/>
          </w:tcPr>
          <w:p w14:paraId="3D0AB8B8" w14:textId="77777777" w:rsidR="0076095B" w:rsidRPr="00F51049" w:rsidRDefault="0076095B" w:rsidP="0076095B">
            <w:pPr>
              <w:spacing w:after="0" w:line="240" w:lineRule="auto"/>
              <w:ind w:right="349"/>
              <w:jc w:val="right"/>
              <w:rPr>
                <w:sz w:val="18"/>
                <w:szCs w:val="18"/>
              </w:rPr>
            </w:pPr>
          </w:p>
        </w:tc>
        <w:tc>
          <w:tcPr>
            <w:tcW w:w="1276" w:type="dxa"/>
            <w:shd w:val="clear" w:color="auto" w:fill="auto"/>
            <w:noWrap/>
            <w:vAlign w:val="center"/>
          </w:tcPr>
          <w:p w14:paraId="5F5D41C2" w14:textId="77777777" w:rsidR="0076095B" w:rsidRPr="00F51049" w:rsidRDefault="0076095B" w:rsidP="0076095B">
            <w:pPr>
              <w:spacing w:after="0" w:line="240" w:lineRule="auto"/>
              <w:ind w:right="349"/>
              <w:jc w:val="right"/>
              <w:rPr>
                <w:sz w:val="18"/>
                <w:szCs w:val="18"/>
              </w:rPr>
            </w:pPr>
          </w:p>
        </w:tc>
        <w:tc>
          <w:tcPr>
            <w:tcW w:w="1427" w:type="dxa"/>
            <w:shd w:val="clear" w:color="auto" w:fill="auto"/>
            <w:noWrap/>
            <w:vAlign w:val="center"/>
          </w:tcPr>
          <w:p w14:paraId="17B0A44B" w14:textId="77777777" w:rsidR="0076095B" w:rsidRPr="00F51049" w:rsidRDefault="0076095B" w:rsidP="0076095B">
            <w:pPr>
              <w:spacing w:after="0" w:line="240" w:lineRule="auto"/>
              <w:ind w:right="349"/>
              <w:jc w:val="right"/>
              <w:rPr>
                <w:sz w:val="18"/>
                <w:szCs w:val="18"/>
              </w:rPr>
            </w:pPr>
          </w:p>
        </w:tc>
      </w:tr>
      <w:tr w:rsidR="0076095B" w:rsidRPr="009B6407" w14:paraId="7BF773BC" w14:textId="77777777" w:rsidTr="008B1103">
        <w:trPr>
          <w:trHeight w:val="315"/>
        </w:trPr>
        <w:tc>
          <w:tcPr>
            <w:tcW w:w="3539" w:type="dxa"/>
            <w:shd w:val="clear" w:color="auto" w:fill="auto"/>
            <w:noWrap/>
            <w:vAlign w:val="center"/>
          </w:tcPr>
          <w:p w14:paraId="6045131C" w14:textId="77777777" w:rsidR="0076095B" w:rsidRPr="00EF06AB" w:rsidRDefault="0076095B" w:rsidP="0076095B">
            <w:pPr>
              <w:spacing w:after="0" w:line="240" w:lineRule="auto"/>
              <w:rPr>
                <w:rFonts w:cstheme="minorHAnsi"/>
                <w:i/>
                <w:iCs/>
                <w:color w:val="000000"/>
                <w:sz w:val="18"/>
                <w:szCs w:val="18"/>
                <w:lang w:eastAsia="en-AU"/>
              </w:rPr>
            </w:pPr>
            <w:r>
              <w:rPr>
                <w:rFonts w:cs="Arial"/>
                <w:b/>
                <w:bCs/>
                <w:color w:val="000000"/>
                <w:sz w:val="18"/>
                <w:szCs w:val="18"/>
                <w:lang w:eastAsia="en-AU"/>
              </w:rPr>
              <w:t xml:space="preserve">Completion </w:t>
            </w:r>
          </w:p>
        </w:tc>
        <w:tc>
          <w:tcPr>
            <w:tcW w:w="1276" w:type="dxa"/>
            <w:shd w:val="clear" w:color="auto" w:fill="auto"/>
            <w:noWrap/>
            <w:vAlign w:val="center"/>
          </w:tcPr>
          <w:p w14:paraId="54FAFB41" w14:textId="77777777" w:rsidR="0076095B" w:rsidRPr="00F51049" w:rsidRDefault="0076095B" w:rsidP="0076095B">
            <w:pPr>
              <w:spacing w:after="0" w:line="240" w:lineRule="auto"/>
              <w:ind w:right="349"/>
              <w:jc w:val="right"/>
              <w:rPr>
                <w:sz w:val="18"/>
                <w:szCs w:val="18"/>
              </w:rPr>
            </w:pPr>
          </w:p>
        </w:tc>
        <w:tc>
          <w:tcPr>
            <w:tcW w:w="1417" w:type="dxa"/>
            <w:shd w:val="clear" w:color="auto" w:fill="auto"/>
            <w:noWrap/>
            <w:vAlign w:val="center"/>
          </w:tcPr>
          <w:p w14:paraId="3B85BD89" w14:textId="77777777" w:rsidR="0076095B" w:rsidRPr="00F51049" w:rsidRDefault="0076095B" w:rsidP="0076095B">
            <w:pPr>
              <w:spacing w:after="0" w:line="240" w:lineRule="auto"/>
              <w:ind w:right="349"/>
              <w:jc w:val="right"/>
              <w:rPr>
                <w:sz w:val="18"/>
                <w:szCs w:val="18"/>
              </w:rPr>
            </w:pPr>
          </w:p>
        </w:tc>
        <w:tc>
          <w:tcPr>
            <w:tcW w:w="1276" w:type="dxa"/>
            <w:shd w:val="clear" w:color="auto" w:fill="auto"/>
            <w:noWrap/>
            <w:vAlign w:val="center"/>
          </w:tcPr>
          <w:p w14:paraId="14C51135" w14:textId="77777777" w:rsidR="0076095B" w:rsidRPr="00F51049" w:rsidRDefault="0076095B" w:rsidP="0076095B">
            <w:pPr>
              <w:spacing w:after="0" w:line="240" w:lineRule="auto"/>
              <w:ind w:right="349"/>
              <w:jc w:val="right"/>
              <w:rPr>
                <w:sz w:val="18"/>
                <w:szCs w:val="18"/>
              </w:rPr>
            </w:pPr>
          </w:p>
        </w:tc>
        <w:tc>
          <w:tcPr>
            <w:tcW w:w="1427" w:type="dxa"/>
            <w:shd w:val="clear" w:color="auto" w:fill="auto"/>
            <w:noWrap/>
            <w:vAlign w:val="center"/>
          </w:tcPr>
          <w:p w14:paraId="6731C8F6" w14:textId="77777777" w:rsidR="0076095B" w:rsidRPr="00F51049" w:rsidRDefault="0076095B" w:rsidP="0076095B">
            <w:pPr>
              <w:spacing w:after="0" w:line="240" w:lineRule="auto"/>
              <w:ind w:right="349"/>
              <w:jc w:val="right"/>
              <w:rPr>
                <w:sz w:val="18"/>
                <w:szCs w:val="18"/>
              </w:rPr>
            </w:pPr>
          </w:p>
        </w:tc>
      </w:tr>
      <w:tr w:rsidR="0076095B" w:rsidRPr="009B6407" w14:paraId="33151A48" w14:textId="77777777" w:rsidTr="008B1103">
        <w:trPr>
          <w:trHeight w:val="315"/>
        </w:trPr>
        <w:tc>
          <w:tcPr>
            <w:tcW w:w="3539" w:type="dxa"/>
            <w:shd w:val="clear" w:color="auto" w:fill="auto"/>
            <w:noWrap/>
            <w:vAlign w:val="center"/>
          </w:tcPr>
          <w:p w14:paraId="5F1FE27D" w14:textId="77777777" w:rsidR="0076095B" w:rsidRPr="00EF06AB" w:rsidRDefault="0076095B" w:rsidP="0076095B">
            <w:pPr>
              <w:spacing w:after="0" w:line="240" w:lineRule="auto"/>
              <w:rPr>
                <w:rFonts w:cstheme="minorHAnsi"/>
                <w:i/>
                <w:iCs/>
                <w:color w:val="000000"/>
                <w:sz w:val="18"/>
                <w:szCs w:val="18"/>
                <w:lang w:eastAsia="en-AU"/>
              </w:rPr>
            </w:pPr>
            <w:r>
              <w:rPr>
                <w:rFonts w:cs="Arial"/>
                <w:i/>
                <w:iCs/>
                <w:color w:val="000000"/>
                <w:sz w:val="18"/>
                <w:szCs w:val="18"/>
                <w:lang w:eastAsia="en-AU"/>
              </w:rPr>
              <w:t xml:space="preserve">National </w:t>
            </w:r>
          </w:p>
        </w:tc>
        <w:tc>
          <w:tcPr>
            <w:tcW w:w="1276" w:type="dxa"/>
            <w:shd w:val="clear" w:color="auto" w:fill="auto"/>
            <w:noWrap/>
          </w:tcPr>
          <w:p w14:paraId="6540C487" w14:textId="69A78FB7" w:rsidR="0076095B" w:rsidRPr="00F51049" w:rsidRDefault="0076095B" w:rsidP="0076095B">
            <w:pPr>
              <w:spacing w:after="0" w:line="240" w:lineRule="auto"/>
              <w:ind w:right="349"/>
              <w:jc w:val="right"/>
              <w:rPr>
                <w:sz w:val="18"/>
                <w:szCs w:val="18"/>
              </w:rPr>
            </w:pPr>
            <w:r w:rsidRPr="00932478">
              <w:rPr>
                <w:sz w:val="18"/>
                <w:szCs w:val="18"/>
              </w:rPr>
              <w:t>3</w:t>
            </w:r>
            <w:r w:rsidR="006A787C">
              <w:rPr>
                <w:sz w:val="18"/>
                <w:szCs w:val="18"/>
              </w:rPr>
              <w:t>3</w:t>
            </w:r>
            <w:r w:rsidRPr="00932478">
              <w:rPr>
                <w:sz w:val="18"/>
                <w:szCs w:val="18"/>
              </w:rPr>
              <w:t>.</w:t>
            </w:r>
            <w:r w:rsidR="006A787C">
              <w:rPr>
                <w:sz w:val="18"/>
                <w:szCs w:val="18"/>
              </w:rPr>
              <w:t>6</w:t>
            </w:r>
          </w:p>
        </w:tc>
        <w:tc>
          <w:tcPr>
            <w:tcW w:w="1417" w:type="dxa"/>
            <w:shd w:val="clear" w:color="auto" w:fill="auto"/>
            <w:noWrap/>
          </w:tcPr>
          <w:p w14:paraId="00C05733" w14:textId="716B1718" w:rsidR="0076095B" w:rsidRPr="00F51049" w:rsidRDefault="0076095B" w:rsidP="0076095B">
            <w:pPr>
              <w:spacing w:after="0" w:line="240" w:lineRule="auto"/>
              <w:ind w:right="349"/>
              <w:jc w:val="right"/>
              <w:rPr>
                <w:sz w:val="18"/>
                <w:szCs w:val="18"/>
              </w:rPr>
            </w:pPr>
            <w:r w:rsidRPr="00932478">
              <w:rPr>
                <w:sz w:val="18"/>
                <w:szCs w:val="18"/>
              </w:rPr>
              <w:t>1</w:t>
            </w:r>
            <w:r w:rsidR="006A787C">
              <w:rPr>
                <w:sz w:val="18"/>
                <w:szCs w:val="18"/>
              </w:rPr>
              <w:t>25</w:t>
            </w:r>
            <w:r w:rsidRPr="00932478">
              <w:rPr>
                <w:sz w:val="18"/>
                <w:szCs w:val="18"/>
              </w:rPr>
              <w:t>.</w:t>
            </w:r>
            <w:r w:rsidR="006A787C">
              <w:rPr>
                <w:sz w:val="18"/>
                <w:szCs w:val="18"/>
              </w:rPr>
              <w:t>5</w:t>
            </w:r>
            <w:r>
              <w:rPr>
                <w:sz w:val="18"/>
                <w:szCs w:val="18"/>
              </w:rPr>
              <w:t>*</w:t>
            </w:r>
          </w:p>
        </w:tc>
        <w:tc>
          <w:tcPr>
            <w:tcW w:w="1276" w:type="dxa"/>
            <w:shd w:val="clear" w:color="auto" w:fill="auto"/>
            <w:noWrap/>
          </w:tcPr>
          <w:p w14:paraId="6DDDDF12" w14:textId="76CB706D" w:rsidR="0076095B" w:rsidRPr="00F51049" w:rsidRDefault="0076095B" w:rsidP="0076095B">
            <w:pPr>
              <w:spacing w:after="0" w:line="240" w:lineRule="auto"/>
              <w:ind w:right="349"/>
              <w:jc w:val="right"/>
              <w:rPr>
                <w:sz w:val="18"/>
                <w:szCs w:val="18"/>
              </w:rPr>
            </w:pPr>
            <w:r w:rsidRPr="00932478">
              <w:rPr>
                <w:sz w:val="18"/>
                <w:szCs w:val="18"/>
              </w:rPr>
              <w:t>1</w:t>
            </w:r>
            <w:r w:rsidR="006A787C">
              <w:rPr>
                <w:sz w:val="18"/>
                <w:szCs w:val="18"/>
              </w:rPr>
              <w:t>09</w:t>
            </w:r>
            <w:r w:rsidRPr="00932478">
              <w:rPr>
                <w:sz w:val="18"/>
                <w:szCs w:val="18"/>
              </w:rPr>
              <w:t>.</w:t>
            </w:r>
            <w:r w:rsidR="006A787C">
              <w:rPr>
                <w:sz w:val="18"/>
                <w:szCs w:val="18"/>
              </w:rPr>
              <w:t>0</w:t>
            </w:r>
            <w:r>
              <w:rPr>
                <w:sz w:val="18"/>
                <w:szCs w:val="18"/>
              </w:rPr>
              <w:t>*</w:t>
            </w:r>
          </w:p>
        </w:tc>
        <w:tc>
          <w:tcPr>
            <w:tcW w:w="1427" w:type="dxa"/>
            <w:shd w:val="clear" w:color="auto" w:fill="auto"/>
            <w:noWrap/>
          </w:tcPr>
          <w:p w14:paraId="73C3A16F" w14:textId="2FB00D72" w:rsidR="0076095B" w:rsidRPr="00F51049" w:rsidRDefault="0076095B" w:rsidP="0076095B">
            <w:pPr>
              <w:spacing w:after="0" w:line="240" w:lineRule="auto"/>
              <w:ind w:right="349"/>
              <w:jc w:val="right"/>
              <w:rPr>
                <w:sz w:val="18"/>
                <w:szCs w:val="18"/>
              </w:rPr>
            </w:pPr>
            <w:r w:rsidRPr="00932478">
              <w:rPr>
                <w:sz w:val="18"/>
                <w:szCs w:val="18"/>
              </w:rPr>
              <w:t>1</w:t>
            </w:r>
            <w:r w:rsidR="006A787C">
              <w:rPr>
                <w:sz w:val="18"/>
                <w:szCs w:val="18"/>
              </w:rPr>
              <w:t>09</w:t>
            </w:r>
            <w:r w:rsidRPr="00932478">
              <w:rPr>
                <w:sz w:val="18"/>
                <w:szCs w:val="18"/>
              </w:rPr>
              <w:t>.</w:t>
            </w:r>
            <w:r w:rsidR="006A787C">
              <w:rPr>
                <w:sz w:val="18"/>
                <w:szCs w:val="18"/>
              </w:rPr>
              <w:t>0</w:t>
            </w:r>
            <w:r>
              <w:rPr>
                <w:sz w:val="18"/>
                <w:szCs w:val="18"/>
              </w:rPr>
              <w:t>*</w:t>
            </w:r>
          </w:p>
        </w:tc>
      </w:tr>
      <w:tr w:rsidR="0076095B" w:rsidRPr="009B6407" w14:paraId="685D8485" w14:textId="77777777" w:rsidTr="008B1103">
        <w:trPr>
          <w:trHeight w:val="315"/>
        </w:trPr>
        <w:tc>
          <w:tcPr>
            <w:tcW w:w="3539" w:type="dxa"/>
            <w:shd w:val="clear" w:color="auto" w:fill="auto"/>
            <w:noWrap/>
            <w:vAlign w:val="center"/>
          </w:tcPr>
          <w:p w14:paraId="4B9E18D8" w14:textId="77777777" w:rsidR="0076095B" w:rsidRPr="00EF06AB" w:rsidRDefault="0076095B" w:rsidP="0076095B">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(Home Institution)</w:t>
            </w:r>
          </w:p>
        </w:tc>
        <w:tc>
          <w:tcPr>
            <w:tcW w:w="1276" w:type="dxa"/>
            <w:shd w:val="clear" w:color="auto" w:fill="auto"/>
            <w:noWrap/>
          </w:tcPr>
          <w:p w14:paraId="0B2BE466" w14:textId="2951E028" w:rsidR="0076095B" w:rsidRPr="00F51049" w:rsidRDefault="0076095B" w:rsidP="0076095B">
            <w:pPr>
              <w:spacing w:after="0" w:line="240" w:lineRule="auto"/>
              <w:ind w:right="349"/>
              <w:jc w:val="right"/>
              <w:rPr>
                <w:sz w:val="18"/>
                <w:szCs w:val="18"/>
              </w:rPr>
            </w:pPr>
            <w:r w:rsidRPr="0009045C">
              <w:rPr>
                <w:sz w:val="18"/>
                <w:szCs w:val="18"/>
              </w:rPr>
              <w:t>3</w:t>
            </w:r>
            <w:r w:rsidR="00A938B4">
              <w:rPr>
                <w:sz w:val="18"/>
                <w:szCs w:val="18"/>
              </w:rPr>
              <w:t>3</w:t>
            </w:r>
            <w:r w:rsidRPr="0009045C">
              <w:rPr>
                <w:sz w:val="18"/>
                <w:szCs w:val="18"/>
              </w:rPr>
              <w:t>.</w:t>
            </w:r>
            <w:r w:rsidR="00A938B4">
              <w:rPr>
                <w:sz w:val="18"/>
                <w:szCs w:val="18"/>
              </w:rPr>
              <w:t>6</w:t>
            </w:r>
          </w:p>
        </w:tc>
        <w:tc>
          <w:tcPr>
            <w:tcW w:w="1417" w:type="dxa"/>
            <w:shd w:val="clear" w:color="auto" w:fill="auto"/>
            <w:noWrap/>
          </w:tcPr>
          <w:p w14:paraId="2DE5CCEF" w14:textId="0DD5D3F5" w:rsidR="0076095B" w:rsidRPr="00F51049" w:rsidRDefault="0076095B" w:rsidP="0076095B">
            <w:pPr>
              <w:spacing w:after="0" w:line="240" w:lineRule="auto"/>
              <w:ind w:right="349"/>
              <w:jc w:val="right"/>
              <w:rPr>
                <w:sz w:val="18"/>
                <w:szCs w:val="18"/>
              </w:rPr>
            </w:pPr>
            <w:r w:rsidRPr="005E76E9">
              <w:rPr>
                <w:sz w:val="18"/>
                <w:szCs w:val="18"/>
              </w:rPr>
              <w:t>1</w:t>
            </w:r>
            <w:r w:rsidR="00C623FE">
              <w:rPr>
                <w:sz w:val="18"/>
                <w:szCs w:val="18"/>
              </w:rPr>
              <w:t>16</w:t>
            </w:r>
            <w:r w:rsidRPr="005E76E9">
              <w:rPr>
                <w:sz w:val="18"/>
                <w:szCs w:val="18"/>
              </w:rPr>
              <w:t>.</w:t>
            </w:r>
            <w:r w:rsidR="00C623FE">
              <w:rPr>
                <w:sz w:val="18"/>
                <w:szCs w:val="18"/>
              </w:rPr>
              <w:t>9</w:t>
            </w:r>
            <w:r>
              <w:rPr>
                <w:sz w:val="18"/>
                <w:szCs w:val="18"/>
              </w:rPr>
              <w:t>*</w:t>
            </w:r>
          </w:p>
        </w:tc>
        <w:tc>
          <w:tcPr>
            <w:tcW w:w="1276" w:type="dxa"/>
            <w:shd w:val="clear" w:color="auto" w:fill="auto"/>
            <w:noWrap/>
          </w:tcPr>
          <w:p w14:paraId="63F3C949" w14:textId="2CFB3E74" w:rsidR="0076095B" w:rsidRPr="00F51049" w:rsidRDefault="0076095B" w:rsidP="0076095B">
            <w:pPr>
              <w:spacing w:after="0" w:line="240" w:lineRule="auto"/>
              <w:ind w:right="349"/>
              <w:jc w:val="right"/>
              <w:rPr>
                <w:sz w:val="18"/>
                <w:szCs w:val="18"/>
              </w:rPr>
            </w:pPr>
            <w:r w:rsidRPr="005E76E9">
              <w:rPr>
                <w:sz w:val="18"/>
                <w:szCs w:val="18"/>
              </w:rPr>
              <w:t>1</w:t>
            </w:r>
            <w:r w:rsidR="00C623FE">
              <w:rPr>
                <w:sz w:val="18"/>
                <w:szCs w:val="18"/>
              </w:rPr>
              <w:t>03</w:t>
            </w:r>
            <w:r w:rsidRPr="005E76E9">
              <w:rPr>
                <w:sz w:val="18"/>
                <w:szCs w:val="18"/>
              </w:rPr>
              <w:t>.</w:t>
            </w:r>
            <w:r w:rsidR="00C623FE">
              <w:rPr>
                <w:sz w:val="18"/>
                <w:szCs w:val="18"/>
              </w:rPr>
              <w:t>5</w:t>
            </w:r>
            <w:r>
              <w:rPr>
                <w:sz w:val="18"/>
                <w:szCs w:val="18"/>
              </w:rPr>
              <w:t>*</w:t>
            </w:r>
          </w:p>
        </w:tc>
        <w:tc>
          <w:tcPr>
            <w:tcW w:w="1427" w:type="dxa"/>
            <w:shd w:val="clear" w:color="auto" w:fill="auto"/>
            <w:noWrap/>
          </w:tcPr>
          <w:p w14:paraId="1A7DD4E8" w14:textId="4907B424" w:rsidR="0076095B" w:rsidRPr="00F51049" w:rsidRDefault="0076095B" w:rsidP="0076095B">
            <w:pPr>
              <w:spacing w:after="0" w:line="240" w:lineRule="auto"/>
              <w:ind w:right="349"/>
              <w:jc w:val="right"/>
              <w:rPr>
                <w:sz w:val="18"/>
                <w:szCs w:val="18"/>
              </w:rPr>
            </w:pPr>
            <w:r w:rsidRPr="005E76E9">
              <w:rPr>
                <w:sz w:val="18"/>
                <w:szCs w:val="18"/>
              </w:rPr>
              <w:t>1</w:t>
            </w:r>
            <w:r w:rsidR="00C623FE">
              <w:rPr>
                <w:sz w:val="18"/>
                <w:szCs w:val="18"/>
              </w:rPr>
              <w:t>03</w:t>
            </w:r>
            <w:r w:rsidRPr="005E76E9">
              <w:rPr>
                <w:sz w:val="18"/>
                <w:szCs w:val="18"/>
              </w:rPr>
              <w:t>.</w:t>
            </w:r>
            <w:r w:rsidR="00C623FE">
              <w:rPr>
                <w:sz w:val="18"/>
                <w:szCs w:val="18"/>
              </w:rPr>
              <w:t>5</w:t>
            </w:r>
            <w:r>
              <w:rPr>
                <w:sz w:val="18"/>
                <w:szCs w:val="18"/>
              </w:rPr>
              <w:t>*</w:t>
            </w:r>
          </w:p>
        </w:tc>
      </w:tr>
      <w:tr w:rsidR="0076095B" w:rsidRPr="009B6407" w14:paraId="75C79043" w14:textId="77777777" w:rsidTr="008B1103">
        <w:trPr>
          <w:trHeight w:val="315"/>
        </w:trPr>
        <w:tc>
          <w:tcPr>
            <w:tcW w:w="3539" w:type="dxa"/>
            <w:shd w:val="clear" w:color="auto" w:fill="auto"/>
            <w:noWrap/>
            <w:vAlign w:val="center"/>
          </w:tcPr>
          <w:p w14:paraId="66B1E404" w14:textId="77777777" w:rsidR="0076095B" w:rsidRPr="00EF06AB" w:rsidRDefault="0076095B" w:rsidP="0076095B">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276" w:type="dxa"/>
            <w:shd w:val="clear" w:color="auto" w:fill="auto"/>
            <w:noWrap/>
          </w:tcPr>
          <w:p w14:paraId="51855767" w14:textId="77777777" w:rsidR="0076095B" w:rsidRPr="00F51049" w:rsidRDefault="0076095B" w:rsidP="0076095B">
            <w:pPr>
              <w:spacing w:after="0" w:line="240" w:lineRule="auto"/>
              <w:ind w:right="349"/>
              <w:jc w:val="right"/>
              <w:rPr>
                <w:sz w:val="18"/>
                <w:szCs w:val="18"/>
              </w:rPr>
            </w:pPr>
            <w:r w:rsidRPr="006153E1">
              <w:rPr>
                <w:sz w:val="18"/>
                <w:szCs w:val="18"/>
              </w:rPr>
              <w:t>37.1</w:t>
            </w:r>
          </w:p>
        </w:tc>
        <w:tc>
          <w:tcPr>
            <w:tcW w:w="1417" w:type="dxa"/>
            <w:shd w:val="clear" w:color="auto" w:fill="auto"/>
            <w:noWrap/>
          </w:tcPr>
          <w:p w14:paraId="0376DE1E" w14:textId="77777777" w:rsidR="0076095B" w:rsidRPr="00F51049" w:rsidRDefault="0076095B" w:rsidP="0076095B">
            <w:pPr>
              <w:spacing w:after="0" w:line="240" w:lineRule="auto"/>
              <w:ind w:right="349"/>
              <w:jc w:val="right"/>
              <w:rPr>
                <w:sz w:val="18"/>
                <w:szCs w:val="18"/>
              </w:rPr>
            </w:pPr>
            <w:r w:rsidRPr="006153E1">
              <w:rPr>
                <w:sz w:val="18"/>
                <w:szCs w:val="18"/>
              </w:rPr>
              <w:t>111.5</w:t>
            </w:r>
            <w:r>
              <w:rPr>
                <w:sz w:val="18"/>
                <w:szCs w:val="18"/>
              </w:rPr>
              <w:t>*</w:t>
            </w:r>
          </w:p>
        </w:tc>
        <w:tc>
          <w:tcPr>
            <w:tcW w:w="1276" w:type="dxa"/>
            <w:shd w:val="clear" w:color="auto" w:fill="auto"/>
            <w:noWrap/>
          </w:tcPr>
          <w:p w14:paraId="0233D442" w14:textId="77777777" w:rsidR="0076095B" w:rsidRPr="00F51049" w:rsidRDefault="0076095B" w:rsidP="0076095B">
            <w:pPr>
              <w:spacing w:after="0" w:line="240" w:lineRule="auto"/>
              <w:ind w:right="349"/>
              <w:jc w:val="right"/>
              <w:rPr>
                <w:sz w:val="18"/>
                <w:szCs w:val="18"/>
              </w:rPr>
            </w:pPr>
            <w:r w:rsidRPr="006153E1">
              <w:rPr>
                <w:sz w:val="18"/>
                <w:szCs w:val="18"/>
              </w:rPr>
              <w:t>92.4</w:t>
            </w:r>
          </w:p>
        </w:tc>
        <w:tc>
          <w:tcPr>
            <w:tcW w:w="1427" w:type="dxa"/>
            <w:shd w:val="clear" w:color="auto" w:fill="auto"/>
            <w:noWrap/>
          </w:tcPr>
          <w:p w14:paraId="196293AA" w14:textId="77777777" w:rsidR="0076095B" w:rsidRPr="00F51049" w:rsidRDefault="0076095B" w:rsidP="0076095B">
            <w:pPr>
              <w:spacing w:after="0" w:line="240" w:lineRule="auto"/>
              <w:ind w:right="349"/>
              <w:jc w:val="right"/>
              <w:rPr>
                <w:sz w:val="18"/>
                <w:szCs w:val="18"/>
              </w:rPr>
            </w:pPr>
            <w:r w:rsidRPr="006153E1">
              <w:rPr>
                <w:sz w:val="18"/>
                <w:szCs w:val="18"/>
              </w:rPr>
              <w:t>92.4</w:t>
            </w:r>
          </w:p>
        </w:tc>
      </w:tr>
    </w:tbl>
    <w:p w14:paraId="4BBA594D" w14:textId="36462AD8" w:rsidR="00A11B58" w:rsidRDefault="00A11B58" w:rsidP="008B1103">
      <w:pPr>
        <w:spacing w:before="60" w:after="0" w:line="240" w:lineRule="auto"/>
        <w:ind w:left="284"/>
        <w:rPr>
          <w:rFonts w:cs="Arial"/>
          <w:sz w:val="18"/>
          <w:szCs w:val="18"/>
        </w:rPr>
      </w:pPr>
      <w:r>
        <w:rPr>
          <w:b/>
          <w:bCs/>
          <w:sz w:val="18"/>
          <w:szCs w:val="18"/>
        </w:rPr>
        <w:t xml:space="preserve">Note: </w:t>
      </w:r>
      <w:r w:rsidR="00BD7560">
        <w:rPr>
          <w:sz w:val="18"/>
          <w:szCs w:val="18"/>
        </w:rPr>
        <w:t>*</w:t>
      </w:r>
      <w:r>
        <w:rPr>
          <w:sz w:val="18"/>
          <w:szCs w:val="18"/>
        </w:rPr>
        <w:t>The equity group share of growth exceeds 100% where the increase in equity group</w:t>
      </w:r>
      <w:r w:rsidR="006A6540">
        <w:rPr>
          <w:sz w:val="18"/>
          <w:szCs w:val="18"/>
        </w:rPr>
        <w:t xml:space="preserve"> participation and</w:t>
      </w:r>
      <w:r>
        <w:rPr>
          <w:sz w:val="18"/>
          <w:szCs w:val="18"/>
        </w:rPr>
        <w:t xml:space="preserve"> completion required exceeds total undergraduate growth. </w:t>
      </w:r>
      <w:r>
        <w:rPr>
          <w:b/>
          <w:bCs/>
          <w:sz w:val="18"/>
          <w:szCs w:val="18"/>
        </w:rPr>
        <w:br/>
      </w:r>
      <w:r w:rsidR="00BD7560">
        <w:rPr>
          <w:b/>
          <w:bCs/>
          <w:sz w:val="18"/>
          <w:szCs w:val="18"/>
        </w:rPr>
        <w:t>S</w:t>
      </w:r>
      <w:r>
        <w:rPr>
          <w:b/>
          <w:bCs/>
          <w:sz w:val="18"/>
          <w:szCs w:val="18"/>
        </w:rPr>
        <w:t>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702EBA9F" w14:textId="77777777" w:rsidR="00A11B58" w:rsidRDefault="00A11B58" w:rsidP="00A11B58">
      <w:pPr>
        <w:rPr>
          <w:rFonts w:eastAsiaTheme="majorEastAsia"/>
        </w:rPr>
      </w:pPr>
    </w:p>
    <w:p w14:paraId="42694EFE" w14:textId="4BE3C61C" w:rsidR="00FB5F54" w:rsidRDefault="005C596B" w:rsidP="008B1103">
      <w:pPr>
        <w:ind w:left="426"/>
        <w:rPr>
          <w:rFonts w:eastAsiaTheme="majorEastAsia"/>
        </w:rPr>
      </w:pPr>
      <w:r>
        <w:rPr>
          <w:rFonts w:eastAsiaTheme="majorEastAsia"/>
        </w:rPr>
        <w:lastRenderedPageBreak/>
        <w:t xml:space="preserve">These findings </w:t>
      </w:r>
      <w:r w:rsidR="007B6951">
        <w:rPr>
          <w:rFonts w:eastAsiaTheme="majorEastAsia"/>
        </w:rPr>
        <w:t>indicate that for equity parity targets to be reached</w:t>
      </w:r>
      <w:r w:rsidR="00FA2B72">
        <w:rPr>
          <w:rFonts w:eastAsiaTheme="majorEastAsia"/>
        </w:rPr>
        <w:t xml:space="preserve"> by 2035, overall growth in the higher education system will have to be considerabl</w:t>
      </w:r>
      <w:r w:rsidR="003874E4">
        <w:rPr>
          <w:rFonts w:eastAsiaTheme="majorEastAsia"/>
        </w:rPr>
        <w:t>y</w:t>
      </w:r>
      <w:r w:rsidR="00FA2B72">
        <w:rPr>
          <w:rFonts w:eastAsiaTheme="majorEastAsia"/>
        </w:rPr>
        <w:t xml:space="preserve"> higher, or additional enrolment growth will</w:t>
      </w:r>
      <w:r w:rsidR="00782143">
        <w:rPr>
          <w:rFonts w:eastAsiaTheme="majorEastAsia"/>
        </w:rPr>
        <w:t xml:space="preserve"> have to be</w:t>
      </w:r>
      <w:r w:rsidR="00FA2B72">
        <w:rPr>
          <w:rFonts w:eastAsiaTheme="majorEastAsia"/>
        </w:rPr>
        <w:t xml:space="preserve"> almost</w:t>
      </w:r>
      <w:r w:rsidR="00782143">
        <w:rPr>
          <w:rFonts w:eastAsiaTheme="majorEastAsia"/>
        </w:rPr>
        <w:t xml:space="preserve"> exclusively concentrated among equity students</w:t>
      </w:r>
      <w:r w:rsidR="00B07E49">
        <w:rPr>
          <w:rFonts w:eastAsiaTheme="majorEastAsia"/>
        </w:rPr>
        <w:t xml:space="preserve"> in the case of participation, with a similar finding holding for completion targets wh</w:t>
      </w:r>
      <w:r w:rsidR="00B92BC8">
        <w:rPr>
          <w:rFonts w:eastAsiaTheme="majorEastAsia"/>
        </w:rPr>
        <w:t xml:space="preserve">ere equity groups are already further away from parity. </w:t>
      </w:r>
      <w:r w:rsidR="00FA2B72">
        <w:rPr>
          <w:rFonts w:eastAsiaTheme="majorEastAsia"/>
        </w:rPr>
        <w:t xml:space="preserve"> </w:t>
      </w:r>
    </w:p>
    <w:p w14:paraId="744131C6" w14:textId="77777777" w:rsidR="008B1103" w:rsidRPr="00740969" w:rsidRDefault="008B1103" w:rsidP="008B1103">
      <w:pPr>
        <w:rPr>
          <w:rFonts w:eastAsiaTheme="majorEastAsia"/>
        </w:rPr>
      </w:pPr>
    </w:p>
    <w:p w14:paraId="3F19FD76" w14:textId="20218D82" w:rsidR="00AE73E2" w:rsidRPr="008B1103" w:rsidRDefault="00FB5F54" w:rsidP="008B1103">
      <w:pPr>
        <w:pStyle w:val="ListParagraph"/>
        <w:rPr>
          <w:rFonts w:eastAsiaTheme="majorEastAsia"/>
          <w:b/>
          <w:bCs/>
        </w:rPr>
      </w:pPr>
      <w:r w:rsidRPr="00740969">
        <w:rPr>
          <w:rFonts w:eastAsiaTheme="majorEastAsia"/>
          <w:b/>
          <w:bCs/>
        </w:rPr>
        <w:t xml:space="preserve">Parity </w:t>
      </w:r>
      <w:r w:rsidR="006866A8">
        <w:rPr>
          <w:rFonts w:eastAsiaTheme="majorEastAsia"/>
          <w:b/>
          <w:bCs/>
        </w:rPr>
        <w:t>t</w:t>
      </w:r>
      <w:r w:rsidRPr="0020518B">
        <w:rPr>
          <w:rFonts w:eastAsiaTheme="majorEastAsia"/>
          <w:b/>
          <w:bCs/>
        </w:rPr>
        <w:t>argets to 2050</w:t>
      </w:r>
      <w:r w:rsidR="003C5572" w:rsidRPr="0020518B">
        <w:rPr>
          <w:rFonts w:eastAsiaTheme="majorEastAsia"/>
          <w:b/>
          <w:bCs/>
        </w:rPr>
        <w:t xml:space="preserve"> </w:t>
      </w:r>
      <w:r w:rsidR="006866A8">
        <w:rPr>
          <w:rFonts w:eastAsiaTheme="majorEastAsia"/>
          <w:b/>
          <w:bCs/>
        </w:rPr>
        <w:t>a</w:t>
      </w:r>
      <w:r w:rsidR="00B574AD">
        <w:rPr>
          <w:rFonts w:eastAsiaTheme="majorEastAsia"/>
          <w:b/>
          <w:bCs/>
        </w:rPr>
        <w:t xml:space="preserve">re </w:t>
      </w:r>
      <w:r w:rsidR="006866A8">
        <w:rPr>
          <w:rFonts w:eastAsiaTheme="majorEastAsia"/>
          <w:b/>
          <w:bCs/>
        </w:rPr>
        <w:t>m</w:t>
      </w:r>
      <w:r w:rsidR="00B574AD">
        <w:rPr>
          <w:rFonts w:eastAsiaTheme="majorEastAsia"/>
          <w:b/>
          <w:bCs/>
        </w:rPr>
        <w:t xml:space="preserve">ore </w:t>
      </w:r>
      <w:r w:rsidR="006866A8">
        <w:rPr>
          <w:rFonts w:eastAsiaTheme="majorEastAsia"/>
          <w:b/>
          <w:bCs/>
        </w:rPr>
        <w:t>r</w:t>
      </w:r>
      <w:r w:rsidR="00B574AD">
        <w:rPr>
          <w:rFonts w:eastAsiaTheme="majorEastAsia"/>
          <w:b/>
          <w:bCs/>
        </w:rPr>
        <w:t>ealistic</w:t>
      </w:r>
      <w:r w:rsidRPr="0020518B">
        <w:rPr>
          <w:rFonts w:eastAsiaTheme="majorEastAsia"/>
          <w:b/>
          <w:bCs/>
        </w:rPr>
        <w:t xml:space="preserve">: </w:t>
      </w:r>
      <w:r w:rsidR="00CB66C3" w:rsidRPr="0020518B">
        <w:rPr>
          <w:rFonts w:eastAsiaTheme="majorEastAsia"/>
        </w:rPr>
        <w:t xml:space="preserve">To test the extent to which </w:t>
      </w:r>
      <w:r w:rsidR="000E6E27" w:rsidRPr="0020518B">
        <w:rPr>
          <w:rFonts w:eastAsiaTheme="majorEastAsia"/>
        </w:rPr>
        <w:t>extending the horizon for parity targets makes them more achievable</w:t>
      </w:r>
      <w:r w:rsidR="00F126F4" w:rsidRPr="0020518B">
        <w:rPr>
          <w:rFonts w:eastAsiaTheme="majorEastAsia"/>
        </w:rPr>
        <w:t>, we also modelled parity targets to 2050</w:t>
      </w:r>
      <w:r w:rsidR="00AE73E2" w:rsidRPr="0020518B">
        <w:rPr>
          <w:rFonts w:eastAsiaTheme="majorEastAsia"/>
        </w:rPr>
        <w:t xml:space="preserve"> under the Department’s projections for system growth to that year. </w:t>
      </w:r>
      <w:r w:rsidR="008B1103">
        <w:rPr>
          <w:rFonts w:eastAsiaTheme="majorEastAsia"/>
        </w:rPr>
        <w:br/>
      </w:r>
      <w:r w:rsidR="008B1103">
        <w:rPr>
          <w:rFonts w:eastAsiaTheme="majorEastAsia"/>
        </w:rPr>
        <w:br/>
      </w:r>
      <w:r w:rsidR="008331A0" w:rsidRPr="008B1103">
        <w:rPr>
          <w:rFonts w:eastAsiaTheme="majorEastAsia"/>
        </w:rPr>
        <w:t xml:space="preserve">The estimates for 2050 parity targets show that </w:t>
      </w:r>
      <w:r w:rsidR="0016497A" w:rsidRPr="008B1103">
        <w:rPr>
          <w:rFonts w:eastAsiaTheme="majorEastAsia"/>
        </w:rPr>
        <w:t>in all nine active target-options combinations</w:t>
      </w:r>
      <w:r w:rsidR="00FB3F93" w:rsidRPr="008B1103">
        <w:rPr>
          <w:rFonts w:eastAsiaTheme="majorEastAsia"/>
        </w:rPr>
        <w:t xml:space="preserve">, the required </w:t>
      </w:r>
      <w:r w:rsidR="00147EC6" w:rsidRPr="008B1103">
        <w:rPr>
          <w:rFonts w:eastAsiaTheme="majorEastAsia"/>
        </w:rPr>
        <w:t>e</w:t>
      </w:r>
      <w:r w:rsidR="00FB3F93" w:rsidRPr="008B1103">
        <w:rPr>
          <w:rFonts w:eastAsiaTheme="majorEastAsia"/>
        </w:rPr>
        <w:t xml:space="preserve">quity </w:t>
      </w:r>
      <w:r w:rsidR="00147EC6" w:rsidRPr="008B1103">
        <w:rPr>
          <w:rFonts w:eastAsiaTheme="majorEastAsia"/>
        </w:rPr>
        <w:t xml:space="preserve">share – </w:t>
      </w:r>
      <w:r w:rsidR="008A5462" w:rsidRPr="008B1103">
        <w:rPr>
          <w:rFonts w:eastAsiaTheme="majorEastAsia"/>
        </w:rPr>
        <w:t>the</w:t>
      </w:r>
      <w:r w:rsidR="00147EC6" w:rsidRPr="008B1103">
        <w:rPr>
          <w:rFonts w:eastAsiaTheme="majorEastAsia"/>
        </w:rPr>
        <w:t xml:space="preserve"> </w:t>
      </w:r>
      <w:r w:rsidR="00147EC6" w:rsidRPr="008B1103">
        <w:rPr>
          <w:rFonts w:eastAsiaTheme="majorEastAsia"/>
          <w:i/>
          <w:iCs/>
        </w:rPr>
        <w:t>Equity Group</w:t>
      </w:r>
      <w:r w:rsidR="008A5462" w:rsidRPr="008B1103">
        <w:rPr>
          <w:rFonts w:eastAsiaTheme="majorEastAsia"/>
          <w:i/>
          <w:iCs/>
        </w:rPr>
        <w:t xml:space="preserve"> </w:t>
      </w:r>
      <w:r w:rsidR="008A5462" w:rsidRPr="008B1103">
        <w:rPr>
          <w:rFonts w:eastAsiaTheme="majorEastAsia"/>
        </w:rPr>
        <w:t>share</w:t>
      </w:r>
      <w:r w:rsidR="00147EC6" w:rsidRPr="008B1103">
        <w:rPr>
          <w:rFonts w:eastAsiaTheme="majorEastAsia"/>
          <w:i/>
          <w:iCs/>
        </w:rPr>
        <w:t xml:space="preserve"> </w:t>
      </w:r>
      <w:r w:rsidR="009C5117" w:rsidRPr="008B1103">
        <w:rPr>
          <w:rFonts w:eastAsiaTheme="majorEastAsia"/>
          <w:i/>
          <w:iCs/>
        </w:rPr>
        <w:t xml:space="preserve">– </w:t>
      </w:r>
      <w:r w:rsidR="00FB3F93" w:rsidRPr="008B1103">
        <w:rPr>
          <w:rFonts w:eastAsiaTheme="majorEastAsia"/>
        </w:rPr>
        <w:t>of enrolments is above 50% of total enrolment growth</w:t>
      </w:r>
      <w:r w:rsidR="00A44859" w:rsidRPr="008B1103">
        <w:rPr>
          <w:rFonts w:eastAsiaTheme="majorEastAsia"/>
        </w:rPr>
        <w:t>,</w:t>
      </w:r>
      <w:r w:rsidR="004B3FEB" w:rsidRPr="008B1103">
        <w:rPr>
          <w:rFonts w:eastAsiaTheme="majorEastAsia"/>
        </w:rPr>
        <w:t xml:space="preserve"> </w:t>
      </w:r>
      <w:r w:rsidR="00521F1E" w:rsidRPr="008B1103">
        <w:rPr>
          <w:rFonts w:eastAsiaTheme="majorEastAsia"/>
        </w:rPr>
        <w:t>but</w:t>
      </w:r>
      <w:r w:rsidR="00A608AB" w:rsidRPr="008B1103">
        <w:rPr>
          <w:rFonts w:eastAsiaTheme="majorEastAsia"/>
        </w:rPr>
        <w:t xml:space="preserve"> these</w:t>
      </w:r>
      <w:r w:rsidR="00521F1E" w:rsidRPr="008B1103">
        <w:rPr>
          <w:rFonts w:eastAsiaTheme="majorEastAsia"/>
        </w:rPr>
        <w:t xml:space="preserve"> </w:t>
      </w:r>
      <w:r w:rsidR="00A608AB" w:rsidRPr="008B1103">
        <w:rPr>
          <w:rFonts w:eastAsiaTheme="majorEastAsia"/>
        </w:rPr>
        <w:t>are</w:t>
      </w:r>
      <w:r w:rsidR="00521F1E" w:rsidRPr="008B1103">
        <w:rPr>
          <w:rFonts w:eastAsiaTheme="majorEastAsia"/>
        </w:rPr>
        <w:t xml:space="preserve"> considerably lower than </w:t>
      </w:r>
      <w:r w:rsidR="00A608AB" w:rsidRPr="008B1103">
        <w:rPr>
          <w:rFonts w:eastAsiaTheme="majorEastAsia"/>
        </w:rPr>
        <w:t xml:space="preserve">shares </w:t>
      </w:r>
      <w:r w:rsidR="00521F1E" w:rsidRPr="008B1103">
        <w:rPr>
          <w:rFonts w:eastAsiaTheme="majorEastAsia"/>
        </w:rPr>
        <w:t>under the 2035 targets</w:t>
      </w:r>
      <w:r w:rsidR="00A608AB" w:rsidRPr="008B1103">
        <w:rPr>
          <w:rFonts w:eastAsiaTheme="majorEastAsia"/>
        </w:rPr>
        <w:t>,</w:t>
      </w:r>
      <w:r w:rsidR="00521F1E" w:rsidRPr="008B1103">
        <w:rPr>
          <w:rFonts w:eastAsiaTheme="majorEastAsia"/>
        </w:rPr>
        <w:t xml:space="preserve"> where parity is reached 15 years earlier.  </w:t>
      </w:r>
      <w:r w:rsidR="0020518B" w:rsidRPr="008B1103">
        <w:rPr>
          <w:rFonts w:eastAsiaTheme="majorEastAsia"/>
        </w:rPr>
        <w:br/>
      </w:r>
    </w:p>
    <w:p w14:paraId="2F7DCB31" w14:textId="756093F8" w:rsidR="00AE73E2" w:rsidRDefault="00AE73E2" w:rsidP="008B1103">
      <w:pPr>
        <w:pStyle w:val="Caption"/>
        <w:spacing w:line="240" w:lineRule="auto"/>
        <w:ind w:left="284"/>
        <w:rPr>
          <w:b w:val="0"/>
          <w:bCs w:val="0"/>
          <w:color w:val="auto"/>
        </w:rPr>
      </w:pPr>
      <w:r>
        <w:rPr>
          <w:color w:val="auto"/>
        </w:rPr>
        <w:t>Table</w:t>
      </w:r>
      <w:r w:rsidRPr="003873F1">
        <w:rPr>
          <w:color w:val="auto"/>
        </w:rPr>
        <w:t xml:space="preserve"> </w:t>
      </w:r>
      <w:r w:rsidR="00AD0A2E">
        <w:rPr>
          <w:color w:val="auto"/>
        </w:rPr>
        <w:t>F</w:t>
      </w:r>
      <w:r w:rsidRPr="003873F1">
        <w:rPr>
          <w:color w:val="auto"/>
        </w:rPr>
        <w:t>:</w:t>
      </w:r>
      <w:r w:rsidRPr="003873F1">
        <w:rPr>
          <w:b w:val="0"/>
          <w:bCs w:val="0"/>
          <w:color w:val="auto"/>
        </w:rPr>
        <w:t xml:space="preserve"> </w:t>
      </w:r>
      <w:r>
        <w:rPr>
          <w:b w:val="0"/>
          <w:bCs w:val="0"/>
          <w:color w:val="auto"/>
        </w:rPr>
        <w:t xml:space="preserve">Equity Group Share of Total </w:t>
      </w:r>
      <w:r w:rsidR="009607FE">
        <w:rPr>
          <w:b w:val="0"/>
          <w:bCs w:val="0"/>
          <w:color w:val="auto"/>
        </w:rPr>
        <w:t xml:space="preserve">Participation and Completions </w:t>
      </w:r>
      <w:r>
        <w:rPr>
          <w:b w:val="0"/>
          <w:bCs w:val="0"/>
          <w:color w:val="auto"/>
        </w:rPr>
        <w:t xml:space="preserve">Growth to 2050 under Three Parity Targets and Four Policy Options  </w:t>
      </w:r>
    </w:p>
    <w:tbl>
      <w:tblPr>
        <w:tblpPr w:leftFromText="180" w:rightFromText="180" w:vertAnchor="text" w:tblpX="380" w:tblpY="1"/>
        <w:tblOverlap w:val="neve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323"/>
        <w:gridCol w:w="1456"/>
        <w:gridCol w:w="1455"/>
        <w:gridCol w:w="1456"/>
      </w:tblGrid>
      <w:tr w:rsidR="009607FE" w:rsidRPr="009B6407" w14:paraId="7AFD5AA6" w14:textId="77777777" w:rsidTr="008B1103">
        <w:trPr>
          <w:trHeight w:val="519"/>
        </w:trPr>
        <w:tc>
          <w:tcPr>
            <w:tcW w:w="3256" w:type="dxa"/>
            <w:vMerge w:val="restart"/>
            <w:shd w:val="clear" w:color="auto" w:fill="auto"/>
            <w:noWrap/>
            <w:vAlign w:val="center"/>
            <w:hideMark/>
          </w:tcPr>
          <w:p w14:paraId="6D14BC40" w14:textId="77777777" w:rsidR="009607FE" w:rsidRPr="00E62334" w:rsidRDefault="009607FE" w:rsidP="008B1103">
            <w:pPr>
              <w:spacing w:after="0" w:line="240" w:lineRule="auto"/>
              <w:rPr>
                <w:rFonts w:cs="Arial"/>
                <w:b/>
                <w:bCs/>
                <w:color w:val="000000"/>
                <w:sz w:val="18"/>
                <w:szCs w:val="18"/>
                <w:lang w:eastAsia="en-AU"/>
              </w:rPr>
            </w:pPr>
            <w:r w:rsidRPr="002B082A">
              <w:rPr>
                <w:rFonts w:cs="Arial"/>
                <w:b/>
                <w:bCs/>
                <w:color w:val="auto"/>
                <w:sz w:val="18"/>
                <w:szCs w:val="18"/>
                <w:lang w:eastAsia="en-AU"/>
              </w:rPr>
              <w:t>2050 Parity Target </w:t>
            </w:r>
          </w:p>
        </w:tc>
        <w:tc>
          <w:tcPr>
            <w:tcW w:w="1323" w:type="dxa"/>
            <w:vMerge w:val="restart"/>
            <w:shd w:val="clear" w:color="auto" w:fill="6B3B57"/>
            <w:vAlign w:val="center"/>
            <w:hideMark/>
          </w:tcPr>
          <w:p w14:paraId="4F86C7A7" w14:textId="77777777" w:rsidR="009607FE" w:rsidRPr="00634F7E" w:rsidRDefault="009607FE" w:rsidP="008B1103">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Business-As-Usual</w:t>
            </w:r>
          </w:p>
        </w:tc>
        <w:tc>
          <w:tcPr>
            <w:tcW w:w="1456" w:type="dxa"/>
            <w:vMerge w:val="restart"/>
            <w:shd w:val="clear" w:color="auto" w:fill="6B3B57"/>
            <w:vAlign w:val="center"/>
            <w:hideMark/>
          </w:tcPr>
          <w:p w14:paraId="00A63ACC" w14:textId="77777777" w:rsidR="009607FE" w:rsidRPr="00634F7E" w:rsidRDefault="009607FE" w:rsidP="008B1103">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Convergence</w:t>
            </w:r>
          </w:p>
          <w:p w14:paraId="042A5185" w14:textId="77777777" w:rsidR="009607FE" w:rsidRPr="00634F7E" w:rsidRDefault="009607FE" w:rsidP="008B1103">
            <w:pPr>
              <w:spacing w:after="0" w:line="240" w:lineRule="auto"/>
              <w:jc w:val="center"/>
              <w:rPr>
                <w:rFonts w:cs="Arial"/>
                <w:b/>
                <w:bCs/>
                <w:color w:val="FFFFFF"/>
                <w:sz w:val="18"/>
                <w:szCs w:val="18"/>
                <w:lang w:eastAsia="en-AU"/>
              </w:rPr>
            </w:pPr>
          </w:p>
        </w:tc>
        <w:tc>
          <w:tcPr>
            <w:tcW w:w="1455" w:type="dxa"/>
            <w:vMerge w:val="restart"/>
            <w:shd w:val="clear" w:color="auto" w:fill="6B3B57"/>
            <w:vAlign w:val="center"/>
            <w:hideMark/>
          </w:tcPr>
          <w:p w14:paraId="668611A3" w14:textId="77777777" w:rsidR="009607FE" w:rsidRPr="00634F7E" w:rsidRDefault="009607FE" w:rsidP="008B1103">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Equal Effort</w:t>
            </w:r>
          </w:p>
          <w:p w14:paraId="405F9A00" w14:textId="77777777" w:rsidR="009607FE" w:rsidRPr="00634F7E" w:rsidRDefault="009607FE" w:rsidP="008B1103">
            <w:pPr>
              <w:spacing w:after="0" w:line="240" w:lineRule="auto"/>
              <w:jc w:val="center"/>
              <w:rPr>
                <w:rFonts w:cs="Arial"/>
                <w:b/>
                <w:bCs/>
                <w:color w:val="FFFFFF"/>
                <w:sz w:val="18"/>
                <w:szCs w:val="18"/>
                <w:lang w:eastAsia="en-AU"/>
              </w:rPr>
            </w:pPr>
          </w:p>
        </w:tc>
        <w:tc>
          <w:tcPr>
            <w:tcW w:w="1456" w:type="dxa"/>
            <w:vMerge w:val="restart"/>
            <w:shd w:val="clear" w:color="auto" w:fill="6B3B57"/>
            <w:vAlign w:val="center"/>
            <w:hideMark/>
          </w:tcPr>
          <w:p w14:paraId="2EA3CF49" w14:textId="77777777" w:rsidR="009607FE" w:rsidRPr="00634F7E" w:rsidRDefault="009607FE" w:rsidP="008B1103">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Divergence</w:t>
            </w:r>
          </w:p>
          <w:p w14:paraId="5D5402D4" w14:textId="77777777" w:rsidR="009607FE" w:rsidRPr="00634F7E" w:rsidRDefault="009607FE" w:rsidP="008B1103">
            <w:pPr>
              <w:spacing w:after="0" w:line="240" w:lineRule="auto"/>
              <w:jc w:val="center"/>
              <w:rPr>
                <w:rFonts w:cs="Arial"/>
                <w:b/>
                <w:bCs/>
                <w:color w:val="FFFFFF"/>
                <w:sz w:val="18"/>
                <w:szCs w:val="18"/>
                <w:lang w:eastAsia="en-AU"/>
              </w:rPr>
            </w:pPr>
          </w:p>
        </w:tc>
      </w:tr>
      <w:tr w:rsidR="009607FE" w:rsidRPr="009B6407" w14:paraId="4BC037F3" w14:textId="77777777" w:rsidTr="008B1103">
        <w:trPr>
          <w:trHeight w:val="519"/>
        </w:trPr>
        <w:tc>
          <w:tcPr>
            <w:tcW w:w="3256" w:type="dxa"/>
            <w:vMerge/>
            <w:shd w:val="clear" w:color="auto" w:fill="auto"/>
            <w:vAlign w:val="center"/>
            <w:hideMark/>
          </w:tcPr>
          <w:p w14:paraId="648B9820" w14:textId="77777777" w:rsidR="009607FE" w:rsidRPr="009B6407" w:rsidRDefault="009607FE" w:rsidP="008B1103">
            <w:pPr>
              <w:spacing w:after="0" w:line="240" w:lineRule="auto"/>
              <w:rPr>
                <w:rFonts w:ascii="Calibri" w:hAnsi="Calibri" w:cs="Calibri"/>
                <w:color w:val="000000"/>
                <w:sz w:val="18"/>
                <w:szCs w:val="18"/>
                <w:lang w:eastAsia="en-AU"/>
              </w:rPr>
            </w:pPr>
          </w:p>
        </w:tc>
        <w:tc>
          <w:tcPr>
            <w:tcW w:w="1323" w:type="dxa"/>
            <w:vMerge/>
            <w:shd w:val="clear" w:color="auto" w:fill="6B3B57"/>
            <w:vAlign w:val="center"/>
            <w:hideMark/>
          </w:tcPr>
          <w:p w14:paraId="5A57ED59" w14:textId="77777777" w:rsidR="009607FE" w:rsidRPr="009B6407" w:rsidRDefault="009607FE" w:rsidP="008B1103">
            <w:pPr>
              <w:spacing w:after="0" w:line="240" w:lineRule="auto"/>
              <w:rPr>
                <w:rFonts w:cs="Arial"/>
                <w:b/>
                <w:bCs/>
                <w:color w:val="FFFFFF"/>
                <w:sz w:val="18"/>
                <w:szCs w:val="18"/>
                <w:lang w:eastAsia="en-AU"/>
              </w:rPr>
            </w:pPr>
          </w:p>
        </w:tc>
        <w:tc>
          <w:tcPr>
            <w:tcW w:w="1456" w:type="dxa"/>
            <w:vMerge/>
            <w:shd w:val="clear" w:color="auto" w:fill="6B3B57"/>
            <w:vAlign w:val="center"/>
            <w:hideMark/>
          </w:tcPr>
          <w:p w14:paraId="7A39547B" w14:textId="77777777" w:rsidR="009607FE" w:rsidRPr="009B6407" w:rsidRDefault="009607FE" w:rsidP="008B1103">
            <w:pPr>
              <w:spacing w:after="0" w:line="240" w:lineRule="auto"/>
              <w:rPr>
                <w:rFonts w:cs="Arial"/>
                <w:b/>
                <w:bCs/>
                <w:color w:val="FFFFFF"/>
                <w:sz w:val="18"/>
                <w:szCs w:val="18"/>
                <w:lang w:eastAsia="en-AU"/>
              </w:rPr>
            </w:pPr>
          </w:p>
        </w:tc>
        <w:tc>
          <w:tcPr>
            <w:tcW w:w="1455" w:type="dxa"/>
            <w:vMerge/>
            <w:shd w:val="clear" w:color="auto" w:fill="6B3B57"/>
            <w:vAlign w:val="center"/>
            <w:hideMark/>
          </w:tcPr>
          <w:p w14:paraId="046AFB22" w14:textId="77777777" w:rsidR="009607FE" w:rsidRPr="009B6407" w:rsidRDefault="009607FE" w:rsidP="008B1103">
            <w:pPr>
              <w:spacing w:after="0" w:line="240" w:lineRule="auto"/>
              <w:rPr>
                <w:rFonts w:cs="Arial"/>
                <w:b/>
                <w:bCs/>
                <w:color w:val="FFFFFF"/>
                <w:sz w:val="18"/>
                <w:szCs w:val="18"/>
                <w:lang w:eastAsia="en-AU"/>
              </w:rPr>
            </w:pPr>
          </w:p>
        </w:tc>
        <w:tc>
          <w:tcPr>
            <w:tcW w:w="1456" w:type="dxa"/>
            <w:vMerge/>
            <w:shd w:val="clear" w:color="auto" w:fill="6B3B57"/>
            <w:vAlign w:val="center"/>
            <w:hideMark/>
          </w:tcPr>
          <w:p w14:paraId="1730F1FD" w14:textId="77777777" w:rsidR="009607FE" w:rsidRPr="009B6407" w:rsidRDefault="009607FE" w:rsidP="008B1103">
            <w:pPr>
              <w:spacing w:after="0" w:line="240" w:lineRule="auto"/>
              <w:rPr>
                <w:rFonts w:cs="Arial"/>
                <w:b/>
                <w:bCs/>
                <w:color w:val="FFFFFF"/>
                <w:sz w:val="18"/>
                <w:szCs w:val="18"/>
                <w:lang w:eastAsia="en-AU"/>
              </w:rPr>
            </w:pPr>
          </w:p>
        </w:tc>
      </w:tr>
      <w:tr w:rsidR="009607FE" w:rsidRPr="009B6407" w14:paraId="232277DF" w14:textId="77777777" w:rsidTr="008B1103">
        <w:trPr>
          <w:trHeight w:val="315"/>
        </w:trPr>
        <w:tc>
          <w:tcPr>
            <w:tcW w:w="3256" w:type="dxa"/>
            <w:shd w:val="clear" w:color="auto" w:fill="auto"/>
            <w:noWrap/>
            <w:vAlign w:val="center"/>
            <w:hideMark/>
          </w:tcPr>
          <w:p w14:paraId="282F323B" w14:textId="77777777" w:rsidR="009607FE" w:rsidRPr="009B6407" w:rsidRDefault="009607FE" w:rsidP="008B1103">
            <w:pPr>
              <w:spacing w:after="0" w:line="240" w:lineRule="auto"/>
              <w:rPr>
                <w:rFonts w:cs="Arial"/>
                <w:b/>
                <w:bCs/>
                <w:color w:val="000000"/>
                <w:sz w:val="18"/>
                <w:szCs w:val="18"/>
                <w:lang w:eastAsia="en-AU"/>
              </w:rPr>
            </w:pPr>
            <w:r>
              <w:rPr>
                <w:rFonts w:cs="Arial"/>
                <w:b/>
                <w:bCs/>
                <w:color w:val="000000"/>
                <w:sz w:val="18"/>
                <w:szCs w:val="18"/>
                <w:lang w:eastAsia="en-AU"/>
              </w:rPr>
              <w:t xml:space="preserve">Participation </w:t>
            </w:r>
          </w:p>
        </w:tc>
        <w:tc>
          <w:tcPr>
            <w:tcW w:w="1323" w:type="dxa"/>
            <w:shd w:val="clear" w:color="auto" w:fill="auto"/>
            <w:noWrap/>
            <w:vAlign w:val="center"/>
          </w:tcPr>
          <w:p w14:paraId="35A6C9D1" w14:textId="77777777" w:rsidR="009607FE" w:rsidRPr="00BB5958" w:rsidRDefault="009607FE" w:rsidP="008B1103">
            <w:pPr>
              <w:spacing w:after="0" w:line="240" w:lineRule="auto"/>
              <w:jc w:val="right"/>
              <w:rPr>
                <w:rFonts w:cs="Arial"/>
                <w:b/>
                <w:bCs/>
                <w:color w:val="000000"/>
                <w:sz w:val="18"/>
                <w:szCs w:val="18"/>
                <w:lang w:eastAsia="en-AU"/>
              </w:rPr>
            </w:pPr>
          </w:p>
        </w:tc>
        <w:tc>
          <w:tcPr>
            <w:tcW w:w="1456" w:type="dxa"/>
            <w:shd w:val="clear" w:color="auto" w:fill="auto"/>
            <w:noWrap/>
            <w:vAlign w:val="center"/>
          </w:tcPr>
          <w:p w14:paraId="5A991C3C" w14:textId="77777777" w:rsidR="009607FE" w:rsidRPr="00BB5958" w:rsidRDefault="009607FE" w:rsidP="008B1103">
            <w:pPr>
              <w:spacing w:after="0" w:line="240" w:lineRule="auto"/>
              <w:jc w:val="right"/>
              <w:rPr>
                <w:rFonts w:cs="Arial"/>
                <w:b/>
                <w:bCs/>
                <w:color w:val="000000"/>
                <w:sz w:val="18"/>
                <w:szCs w:val="18"/>
                <w:lang w:eastAsia="en-AU"/>
              </w:rPr>
            </w:pPr>
          </w:p>
        </w:tc>
        <w:tc>
          <w:tcPr>
            <w:tcW w:w="1455" w:type="dxa"/>
            <w:shd w:val="clear" w:color="auto" w:fill="auto"/>
            <w:noWrap/>
            <w:vAlign w:val="center"/>
          </w:tcPr>
          <w:p w14:paraId="3EDD0450" w14:textId="77777777" w:rsidR="009607FE" w:rsidRPr="00BB5958" w:rsidRDefault="009607FE" w:rsidP="008B1103">
            <w:pPr>
              <w:spacing w:after="0" w:line="240" w:lineRule="auto"/>
              <w:jc w:val="right"/>
              <w:rPr>
                <w:rFonts w:cs="Arial"/>
                <w:b/>
                <w:bCs/>
                <w:color w:val="000000"/>
                <w:sz w:val="18"/>
                <w:szCs w:val="18"/>
                <w:lang w:eastAsia="en-AU"/>
              </w:rPr>
            </w:pPr>
          </w:p>
        </w:tc>
        <w:tc>
          <w:tcPr>
            <w:tcW w:w="1456" w:type="dxa"/>
            <w:shd w:val="clear" w:color="auto" w:fill="auto"/>
            <w:noWrap/>
            <w:vAlign w:val="center"/>
          </w:tcPr>
          <w:p w14:paraId="3FFB34B9" w14:textId="77777777" w:rsidR="009607FE" w:rsidRPr="00BB5958" w:rsidRDefault="009607FE" w:rsidP="008B1103">
            <w:pPr>
              <w:spacing w:after="0" w:line="240" w:lineRule="auto"/>
              <w:jc w:val="right"/>
              <w:rPr>
                <w:rFonts w:cs="Arial"/>
                <w:b/>
                <w:bCs/>
                <w:color w:val="000000"/>
                <w:sz w:val="18"/>
                <w:szCs w:val="18"/>
                <w:lang w:eastAsia="en-AU"/>
              </w:rPr>
            </w:pPr>
          </w:p>
        </w:tc>
      </w:tr>
      <w:tr w:rsidR="009607FE" w:rsidRPr="009B6407" w14:paraId="4E0AAA31" w14:textId="77777777" w:rsidTr="008B1103">
        <w:trPr>
          <w:trHeight w:val="315"/>
        </w:trPr>
        <w:tc>
          <w:tcPr>
            <w:tcW w:w="3256" w:type="dxa"/>
            <w:shd w:val="clear" w:color="000000" w:fill="FFFFFF"/>
            <w:noWrap/>
            <w:vAlign w:val="center"/>
            <w:hideMark/>
          </w:tcPr>
          <w:p w14:paraId="7C5D779B" w14:textId="77777777" w:rsidR="009607FE" w:rsidRPr="009B6407" w:rsidRDefault="009607FE" w:rsidP="008B1103">
            <w:pPr>
              <w:spacing w:after="0" w:line="240" w:lineRule="auto"/>
              <w:rPr>
                <w:rFonts w:cs="Arial"/>
                <w:i/>
                <w:iCs/>
                <w:color w:val="000000"/>
                <w:sz w:val="18"/>
                <w:szCs w:val="18"/>
                <w:lang w:eastAsia="en-AU"/>
              </w:rPr>
            </w:pPr>
            <w:r>
              <w:rPr>
                <w:rFonts w:cs="Arial"/>
                <w:i/>
                <w:iCs/>
                <w:color w:val="000000"/>
                <w:sz w:val="18"/>
                <w:szCs w:val="18"/>
                <w:lang w:eastAsia="en-AU"/>
              </w:rPr>
              <w:t xml:space="preserve">National </w:t>
            </w:r>
          </w:p>
        </w:tc>
        <w:tc>
          <w:tcPr>
            <w:tcW w:w="1323" w:type="dxa"/>
            <w:shd w:val="clear" w:color="000000" w:fill="FFFFFF"/>
            <w:noWrap/>
            <w:vAlign w:val="center"/>
          </w:tcPr>
          <w:p w14:paraId="28C26E18" w14:textId="4B80131B" w:rsidR="009607FE" w:rsidRPr="00B901CE" w:rsidRDefault="009607FE" w:rsidP="008B1103">
            <w:pPr>
              <w:spacing w:after="0" w:line="240" w:lineRule="auto"/>
              <w:ind w:right="349"/>
              <w:jc w:val="right"/>
              <w:rPr>
                <w:rFonts w:cs="Arial"/>
                <w:color w:val="000000"/>
                <w:sz w:val="18"/>
                <w:szCs w:val="18"/>
                <w:lang w:eastAsia="en-AU"/>
              </w:rPr>
            </w:pPr>
            <w:r w:rsidRPr="00B8400A">
              <w:rPr>
                <w:rFonts w:cs="Arial"/>
                <w:color w:val="000000"/>
                <w:sz w:val="18"/>
                <w:szCs w:val="18"/>
              </w:rPr>
              <w:t>39.4</w:t>
            </w:r>
          </w:p>
        </w:tc>
        <w:tc>
          <w:tcPr>
            <w:tcW w:w="1456" w:type="dxa"/>
            <w:shd w:val="clear" w:color="000000" w:fill="FFFFFF"/>
            <w:noWrap/>
            <w:vAlign w:val="center"/>
          </w:tcPr>
          <w:p w14:paraId="46066111" w14:textId="0B69D62B" w:rsidR="009607FE" w:rsidRPr="00B901CE" w:rsidRDefault="009607FE" w:rsidP="008B1103">
            <w:pPr>
              <w:spacing w:after="0" w:line="240" w:lineRule="auto"/>
              <w:ind w:right="349"/>
              <w:jc w:val="right"/>
              <w:rPr>
                <w:rFonts w:cs="Arial"/>
                <w:color w:val="000000"/>
                <w:sz w:val="18"/>
                <w:szCs w:val="18"/>
                <w:lang w:eastAsia="en-AU"/>
              </w:rPr>
            </w:pPr>
            <w:r w:rsidRPr="00B8400A">
              <w:rPr>
                <w:rFonts w:cs="Arial"/>
                <w:color w:val="000000"/>
                <w:sz w:val="18"/>
                <w:szCs w:val="18"/>
              </w:rPr>
              <w:t>71.5</w:t>
            </w:r>
          </w:p>
        </w:tc>
        <w:tc>
          <w:tcPr>
            <w:tcW w:w="1455" w:type="dxa"/>
            <w:shd w:val="clear" w:color="000000" w:fill="FFFFFF"/>
            <w:noWrap/>
            <w:vAlign w:val="center"/>
          </w:tcPr>
          <w:p w14:paraId="7DC6948D" w14:textId="7649DD8D" w:rsidR="009607FE" w:rsidRPr="00B901CE" w:rsidRDefault="009607FE" w:rsidP="008B1103">
            <w:pPr>
              <w:spacing w:after="0" w:line="240" w:lineRule="auto"/>
              <w:ind w:right="349"/>
              <w:jc w:val="right"/>
              <w:rPr>
                <w:rFonts w:cs="Arial"/>
                <w:color w:val="000000"/>
                <w:sz w:val="18"/>
                <w:szCs w:val="18"/>
                <w:lang w:eastAsia="en-AU"/>
              </w:rPr>
            </w:pPr>
            <w:r w:rsidRPr="00B8400A">
              <w:rPr>
                <w:rFonts w:cs="Arial"/>
                <w:color w:val="000000"/>
                <w:sz w:val="18"/>
                <w:szCs w:val="18"/>
              </w:rPr>
              <w:t>62.6</w:t>
            </w:r>
          </w:p>
        </w:tc>
        <w:tc>
          <w:tcPr>
            <w:tcW w:w="1456" w:type="dxa"/>
            <w:shd w:val="clear" w:color="000000" w:fill="FFFFFF"/>
            <w:noWrap/>
            <w:vAlign w:val="center"/>
          </w:tcPr>
          <w:p w14:paraId="463DDB16" w14:textId="0AC55154" w:rsidR="009607FE" w:rsidRPr="00B901CE" w:rsidRDefault="009607FE" w:rsidP="008B1103">
            <w:pPr>
              <w:spacing w:after="0" w:line="240" w:lineRule="auto"/>
              <w:ind w:right="349"/>
              <w:jc w:val="right"/>
              <w:rPr>
                <w:rFonts w:cs="Arial"/>
                <w:color w:val="000000"/>
                <w:sz w:val="18"/>
                <w:szCs w:val="18"/>
                <w:lang w:eastAsia="en-AU"/>
              </w:rPr>
            </w:pPr>
            <w:r w:rsidRPr="00B8400A">
              <w:rPr>
                <w:rFonts w:cs="Arial"/>
                <w:color w:val="000000"/>
                <w:sz w:val="18"/>
                <w:szCs w:val="18"/>
              </w:rPr>
              <w:t>62.6</w:t>
            </w:r>
          </w:p>
        </w:tc>
      </w:tr>
      <w:tr w:rsidR="009607FE" w:rsidRPr="009B6407" w14:paraId="4381DED7" w14:textId="77777777" w:rsidTr="008B1103">
        <w:trPr>
          <w:trHeight w:val="315"/>
        </w:trPr>
        <w:tc>
          <w:tcPr>
            <w:tcW w:w="3256" w:type="dxa"/>
            <w:shd w:val="clear" w:color="000000" w:fill="FFFFFF"/>
            <w:noWrap/>
            <w:vAlign w:val="center"/>
          </w:tcPr>
          <w:p w14:paraId="0A2FF36B" w14:textId="77777777" w:rsidR="009607FE" w:rsidRDefault="009607FE" w:rsidP="008B1103">
            <w:pPr>
              <w:spacing w:after="0" w:line="240" w:lineRule="auto"/>
              <w:rPr>
                <w:rFonts w:cs="Arial"/>
                <w:i/>
                <w:iCs/>
                <w:color w:val="000000"/>
                <w:sz w:val="18"/>
                <w:szCs w:val="18"/>
                <w:lang w:eastAsia="en-AU"/>
              </w:rPr>
            </w:pPr>
            <w:r w:rsidRPr="00EF06AB">
              <w:rPr>
                <w:rFonts w:cstheme="minorHAnsi"/>
                <w:i/>
                <w:iCs/>
                <w:color w:val="000000"/>
                <w:sz w:val="18"/>
                <w:szCs w:val="18"/>
                <w:lang w:eastAsia="en-AU"/>
              </w:rPr>
              <w:t>State/Territory (Home Institution)</w:t>
            </w:r>
          </w:p>
        </w:tc>
        <w:tc>
          <w:tcPr>
            <w:tcW w:w="1323" w:type="dxa"/>
            <w:shd w:val="clear" w:color="000000" w:fill="FFFFFF"/>
            <w:noWrap/>
            <w:vAlign w:val="center"/>
          </w:tcPr>
          <w:p w14:paraId="6C9A0CA3" w14:textId="4ECDB498" w:rsidR="009607FE" w:rsidRPr="00802C14" w:rsidRDefault="009607FE" w:rsidP="008B1103">
            <w:pPr>
              <w:spacing w:after="0" w:line="240" w:lineRule="auto"/>
              <w:ind w:right="349"/>
              <w:jc w:val="right"/>
              <w:rPr>
                <w:sz w:val="18"/>
                <w:szCs w:val="18"/>
              </w:rPr>
            </w:pPr>
            <w:r w:rsidRPr="00B8400A">
              <w:rPr>
                <w:rFonts w:cs="Arial"/>
                <w:color w:val="000000"/>
                <w:sz w:val="18"/>
                <w:szCs w:val="18"/>
              </w:rPr>
              <w:t>39.4</w:t>
            </w:r>
          </w:p>
        </w:tc>
        <w:tc>
          <w:tcPr>
            <w:tcW w:w="1456" w:type="dxa"/>
            <w:shd w:val="clear" w:color="000000" w:fill="FFFFFF"/>
            <w:noWrap/>
            <w:vAlign w:val="center"/>
          </w:tcPr>
          <w:p w14:paraId="6CE3AEF7" w14:textId="44960415" w:rsidR="009607FE" w:rsidRPr="00802C14" w:rsidRDefault="009607FE" w:rsidP="008B1103">
            <w:pPr>
              <w:spacing w:after="0" w:line="240" w:lineRule="auto"/>
              <w:ind w:right="349"/>
              <w:jc w:val="right"/>
              <w:rPr>
                <w:sz w:val="18"/>
                <w:szCs w:val="18"/>
              </w:rPr>
            </w:pPr>
            <w:r w:rsidRPr="00B8400A">
              <w:rPr>
                <w:rFonts w:cs="Arial"/>
                <w:color w:val="000000"/>
                <w:sz w:val="18"/>
                <w:szCs w:val="18"/>
              </w:rPr>
              <w:t>70.1</w:t>
            </w:r>
          </w:p>
        </w:tc>
        <w:tc>
          <w:tcPr>
            <w:tcW w:w="1455" w:type="dxa"/>
            <w:shd w:val="clear" w:color="000000" w:fill="FFFFFF"/>
            <w:noWrap/>
            <w:vAlign w:val="center"/>
          </w:tcPr>
          <w:p w14:paraId="75BC2D58" w14:textId="4A2783CD" w:rsidR="009607FE" w:rsidRPr="00802C14" w:rsidRDefault="009607FE" w:rsidP="008B1103">
            <w:pPr>
              <w:spacing w:after="0" w:line="240" w:lineRule="auto"/>
              <w:ind w:right="349"/>
              <w:jc w:val="right"/>
              <w:rPr>
                <w:sz w:val="18"/>
                <w:szCs w:val="18"/>
              </w:rPr>
            </w:pPr>
            <w:r w:rsidRPr="00B8400A">
              <w:rPr>
                <w:rFonts w:cs="Arial"/>
                <w:color w:val="000000"/>
                <w:sz w:val="18"/>
                <w:szCs w:val="18"/>
              </w:rPr>
              <w:t>62.9</w:t>
            </w:r>
          </w:p>
        </w:tc>
        <w:tc>
          <w:tcPr>
            <w:tcW w:w="1456" w:type="dxa"/>
            <w:shd w:val="clear" w:color="000000" w:fill="FFFFFF"/>
            <w:noWrap/>
            <w:vAlign w:val="center"/>
          </w:tcPr>
          <w:p w14:paraId="4F246D4C" w14:textId="68F83812" w:rsidR="009607FE" w:rsidRPr="00802C14" w:rsidRDefault="009607FE" w:rsidP="008B1103">
            <w:pPr>
              <w:spacing w:after="0" w:line="240" w:lineRule="auto"/>
              <w:ind w:right="349"/>
              <w:jc w:val="right"/>
              <w:rPr>
                <w:sz w:val="18"/>
                <w:szCs w:val="18"/>
              </w:rPr>
            </w:pPr>
            <w:r w:rsidRPr="00B8400A">
              <w:rPr>
                <w:rFonts w:cs="Arial"/>
                <w:color w:val="000000"/>
                <w:sz w:val="18"/>
                <w:szCs w:val="18"/>
              </w:rPr>
              <w:t>62.9</w:t>
            </w:r>
          </w:p>
        </w:tc>
      </w:tr>
      <w:tr w:rsidR="009607FE" w:rsidRPr="009B6407" w14:paraId="28917AC7" w14:textId="77777777" w:rsidTr="008B1103">
        <w:trPr>
          <w:trHeight w:val="315"/>
        </w:trPr>
        <w:tc>
          <w:tcPr>
            <w:tcW w:w="3256" w:type="dxa"/>
            <w:shd w:val="clear" w:color="auto" w:fill="auto"/>
            <w:noWrap/>
            <w:vAlign w:val="center"/>
          </w:tcPr>
          <w:p w14:paraId="684EBCF6" w14:textId="77777777" w:rsidR="009607FE" w:rsidRPr="00EF06AB" w:rsidRDefault="009607FE" w:rsidP="008B1103">
            <w:pPr>
              <w:spacing w:after="0" w:line="240" w:lineRule="auto"/>
              <w:rPr>
                <w:rFonts w:cs="Arial"/>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323" w:type="dxa"/>
            <w:shd w:val="clear" w:color="auto" w:fill="auto"/>
            <w:noWrap/>
            <w:vAlign w:val="center"/>
          </w:tcPr>
          <w:p w14:paraId="2FB427EC" w14:textId="158BFA43" w:rsidR="009607FE" w:rsidRPr="00CE29B2" w:rsidRDefault="009607FE" w:rsidP="008B1103">
            <w:pPr>
              <w:spacing w:after="0" w:line="240" w:lineRule="auto"/>
              <w:ind w:right="349"/>
              <w:jc w:val="right"/>
              <w:rPr>
                <w:rFonts w:cs="Arial"/>
                <w:color w:val="000000"/>
                <w:sz w:val="18"/>
                <w:szCs w:val="18"/>
                <w:lang w:eastAsia="en-AU"/>
              </w:rPr>
            </w:pPr>
            <w:r w:rsidRPr="00CE29B2">
              <w:rPr>
                <w:rFonts w:cs="Arial"/>
                <w:color w:val="000000"/>
                <w:sz w:val="18"/>
                <w:szCs w:val="18"/>
              </w:rPr>
              <w:t>39.6</w:t>
            </w:r>
          </w:p>
        </w:tc>
        <w:tc>
          <w:tcPr>
            <w:tcW w:w="1456" w:type="dxa"/>
            <w:shd w:val="clear" w:color="auto" w:fill="auto"/>
            <w:noWrap/>
            <w:vAlign w:val="center"/>
          </w:tcPr>
          <w:p w14:paraId="2D6C5A8F" w14:textId="360C8926" w:rsidR="009607FE" w:rsidRPr="00CE29B2" w:rsidRDefault="009607FE" w:rsidP="008B1103">
            <w:pPr>
              <w:spacing w:after="0" w:line="240" w:lineRule="auto"/>
              <w:ind w:right="349"/>
              <w:jc w:val="right"/>
              <w:rPr>
                <w:rFonts w:cs="Arial"/>
                <w:color w:val="000000"/>
                <w:sz w:val="18"/>
                <w:szCs w:val="18"/>
                <w:lang w:eastAsia="en-AU"/>
              </w:rPr>
            </w:pPr>
            <w:r w:rsidRPr="00CE29B2">
              <w:rPr>
                <w:rFonts w:cs="Arial"/>
                <w:color w:val="000000"/>
                <w:sz w:val="18"/>
                <w:szCs w:val="18"/>
              </w:rPr>
              <w:t>61.7</w:t>
            </w:r>
          </w:p>
        </w:tc>
        <w:tc>
          <w:tcPr>
            <w:tcW w:w="1455" w:type="dxa"/>
            <w:shd w:val="clear" w:color="auto" w:fill="auto"/>
            <w:noWrap/>
            <w:vAlign w:val="center"/>
          </w:tcPr>
          <w:p w14:paraId="30DAE0EA" w14:textId="19F6421C" w:rsidR="009607FE" w:rsidRPr="00CE29B2" w:rsidRDefault="009607FE" w:rsidP="008B1103">
            <w:pPr>
              <w:spacing w:after="0" w:line="240" w:lineRule="auto"/>
              <w:ind w:right="349"/>
              <w:jc w:val="right"/>
              <w:rPr>
                <w:rFonts w:cs="Arial"/>
                <w:color w:val="000000"/>
                <w:sz w:val="18"/>
                <w:szCs w:val="18"/>
                <w:lang w:eastAsia="en-AU"/>
              </w:rPr>
            </w:pPr>
            <w:r w:rsidRPr="00CE29B2">
              <w:rPr>
                <w:rFonts w:cs="Arial"/>
                <w:color w:val="000000"/>
                <w:sz w:val="18"/>
                <w:szCs w:val="18"/>
              </w:rPr>
              <w:t>55.9</w:t>
            </w:r>
          </w:p>
        </w:tc>
        <w:tc>
          <w:tcPr>
            <w:tcW w:w="1456" w:type="dxa"/>
            <w:shd w:val="clear" w:color="auto" w:fill="auto"/>
            <w:noWrap/>
            <w:vAlign w:val="center"/>
          </w:tcPr>
          <w:p w14:paraId="57F336FD" w14:textId="1752F4B5" w:rsidR="009607FE" w:rsidRPr="00CE29B2" w:rsidRDefault="009607FE" w:rsidP="008B1103">
            <w:pPr>
              <w:spacing w:after="0" w:line="240" w:lineRule="auto"/>
              <w:ind w:right="349"/>
              <w:jc w:val="right"/>
              <w:rPr>
                <w:rFonts w:cs="Arial"/>
                <w:color w:val="000000"/>
                <w:sz w:val="18"/>
                <w:szCs w:val="18"/>
                <w:lang w:eastAsia="en-AU"/>
              </w:rPr>
            </w:pPr>
            <w:r w:rsidRPr="00CE29B2">
              <w:rPr>
                <w:rFonts w:cs="Arial"/>
                <w:color w:val="000000"/>
                <w:sz w:val="18"/>
                <w:szCs w:val="18"/>
              </w:rPr>
              <w:t>55.9</w:t>
            </w:r>
          </w:p>
        </w:tc>
      </w:tr>
      <w:tr w:rsidR="009607FE" w:rsidRPr="009B6407" w14:paraId="229097DD" w14:textId="77777777" w:rsidTr="008B1103">
        <w:trPr>
          <w:trHeight w:val="315"/>
        </w:trPr>
        <w:tc>
          <w:tcPr>
            <w:tcW w:w="3256" w:type="dxa"/>
            <w:shd w:val="clear" w:color="auto" w:fill="auto"/>
            <w:noWrap/>
            <w:vAlign w:val="center"/>
          </w:tcPr>
          <w:p w14:paraId="701FE939" w14:textId="77777777" w:rsidR="009607FE" w:rsidRPr="00EF06AB" w:rsidRDefault="009607FE" w:rsidP="008B1103">
            <w:pPr>
              <w:spacing w:after="0" w:line="240" w:lineRule="auto"/>
              <w:rPr>
                <w:rFonts w:cstheme="minorHAnsi"/>
                <w:i/>
                <w:iCs/>
                <w:color w:val="000000"/>
                <w:sz w:val="18"/>
                <w:szCs w:val="18"/>
                <w:lang w:eastAsia="en-AU"/>
              </w:rPr>
            </w:pPr>
          </w:p>
        </w:tc>
        <w:tc>
          <w:tcPr>
            <w:tcW w:w="1323" w:type="dxa"/>
            <w:shd w:val="clear" w:color="auto" w:fill="auto"/>
            <w:noWrap/>
            <w:vAlign w:val="center"/>
          </w:tcPr>
          <w:p w14:paraId="1343341C" w14:textId="77777777" w:rsidR="009607FE" w:rsidRPr="003107DE" w:rsidRDefault="009607FE" w:rsidP="008B1103">
            <w:pPr>
              <w:spacing w:after="0" w:line="240" w:lineRule="auto"/>
              <w:ind w:right="349"/>
              <w:jc w:val="right"/>
              <w:rPr>
                <w:sz w:val="18"/>
                <w:szCs w:val="18"/>
              </w:rPr>
            </w:pPr>
          </w:p>
        </w:tc>
        <w:tc>
          <w:tcPr>
            <w:tcW w:w="1456" w:type="dxa"/>
            <w:shd w:val="clear" w:color="auto" w:fill="auto"/>
            <w:noWrap/>
            <w:vAlign w:val="center"/>
          </w:tcPr>
          <w:p w14:paraId="1432C827" w14:textId="77777777" w:rsidR="009607FE" w:rsidRPr="003107DE" w:rsidRDefault="009607FE" w:rsidP="008B1103">
            <w:pPr>
              <w:spacing w:after="0" w:line="240" w:lineRule="auto"/>
              <w:ind w:right="349"/>
              <w:jc w:val="right"/>
              <w:rPr>
                <w:sz w:val="18"/>
                <w:szCs w:val="18"/>
              </w:rPr>
            </w:pPr>
          </w:p>
        </w:tc>
        <w:tc>
          <w:tcPr>
            <w:tcW w:w="1455" w:type="dxa"/>
            <w:shd w:val="clear" w:color="auto" w:fill="auto"/>
            <w:noWrap/>
            <w:vAlign w:val="center"/>
          </w:tcPr>
          <w:p w14:paraId="7B35398F" w14:textId="77777777" w:rsidR="009607FE" w:rsidRPr="003107DE" w:rsidRDefault="009607FE" w:rsidP="008B1103">
            <w:pPr>
              <w:spacing w:after="0" w:line="240" w:lineRule="auto"/>
              <w:ind w:right="349"/>
              <w:jc w:val="right"/>
              <w:rPr>
                <w:sz w:val="18"/>
                <w:szCs w:val="18"/>
              </w:rPr>
            </w:pPr>
          </w:p>
        </w:tc>
        <w:tc>
          <w:tcPr>
            <w:tcW w:w="1456" w:type="dxa"/>
            <w:shd w:val="clear" w:color="auto" w:fill="auto"/>
            <w:noWrap/>
            <w:vAlign w:val="center"/>
          </w:tcPr>
          <w:p w14:paraId="43EE2866" w14:textId="77777777" w:rsidR="009607FE" w:rsidRPr="003107DE" w:rsidRDefault="009607FE" w:rsidP="008B1103">
            <w:pPr>
              <w:spacing w:after="0" w:line="240" w:lineRule="auto"/>
              <w:ind w:right="349"/>
              <w:jc w:val="right"/>
              <w:rPr>
                <w:sz w:val="18"/>
                <w:szCs w:val="18"/>
              </w:rPr>
            </w:pPr>
          </w:p>
        </w:tc>
      </w:tr>
      <w:tr w:rsidR="009607FE" w:rsidRPr="009B6407" w14:paraId="3D302161" w14:textId="77777777" w:rsidTr="008B1103">
        <w:trPr>
          <w:trHeight w:val="315"/>
        </w:trPr>
        <w:tc>
          <w:tcPr>
            <w:tcW w:w="3256" w:type="dxa"/>
            <w:shd w:val="clear" w:color="auto" w:fill="auto"/>
            <w:noWrap/>
            <w:vAlign w:val="center"/>
          </w:tcPr>
          <w:p w14:paraId="201EC5B7" w14:textId="77777777" w:rsidR="009607FE" w:rsidRPr="00EF06AB" w:rsidRDefault="009607FE" w:rsidP="008B1103">
            <w:pPr>
              <w:spacing w:after="0" w:line="240" w:lineRule="auto"/>
              <w:rPr>
                <w:rFonts w:cstheme="minorHAnsi"/>
                <w:i/>
                <w:iCs/>
                <w:color w:val="000000"/>
                <w:sz w:val="18"/>
                <w:szCs w:val="18"/>
                <w:lang w:eastAsia="en-AU"/>
              </w:rPr>
            </w:pPr>
            <w:r>
              <w:rPr>
                <w:rFonts w:cs="Arial"/>
                <w:b/>
                <w:bCs/>
                <w:color w:val="000000"/>
                <w:sz w:val="18"/>
                <w:szCs w:val="18"/>
                <w:lang w:eastAsia="en-AU"/>
              </w:rPr>
              <w:t xml:space="preserve">Completion </w:t>
            </w:r>
          </w:p>
        </w:tc>
        <w:tc>
          <w:tcPr>
            <w:tcW w:w="1323" w:type="dxa"/>
            <w:shd w:val="clear" w:color="auto" w:fill="auto"/>
            <w:noWrap/>
            <w:vAlign w:val="center"/>
          </w:tcPr>
          <w:p w14:paraId="5793BB72" w14:textId="77777777" w:rsidR="009607FE" w:rsidRPr="003107DE" w:rsidRDefault="009607FE" w:rsidP="008B1103">
            <w:pPr>
              <w:spacing w:after="0" w:line="240" w:lineRule="auto"/>
              <w:ind w:right="349"/>
              <w:jc w:val="right"/>
              <w:rPr>
                <w:sz w:val="18"/>
                <w:szCs w:val="18"/>
              </w:rPr>
            </w:pPr>
          </w:p>
        </w:tc>
        <w:tc>
          <w:tcPr>
            <w:tcW w:w="1456" w:type="dxa"/>
            <w:shd w:val="clear" w:color="auto" w:fill="auto"/>
            <w:noWrap/>
            <w:vAlign w:val="center"/>
          </w:tcPr>
          <w:p w14:paraId="598AE692" w14:textId="77777777" w:rsidR="009607FE" w:rsidRPr="003107DE" w:rsidRDefault="009607FE" w:rsidP="008B1103">
            <w:pPr>
              <w:spacing w:after="0" w:line="240" w:lineRule="auto"/>
              <w:ind w:right="349"/>
              <w:jc w:val="right"/>
              <w:rPr>
                <w:sz w:val="18"/>
                <w:szCs w:val="18"/>
              </w:rPr>
            </w:pPr>
          </w:p>
        </w:tc>
        <w:tc>
          <w:tcPr>
            <w:tcW w:w="1455" w:type="dxa"/>
            <w:shd w:val="clear" w:color="auto" w:fill="auto"/>
            <w:noWrap/>
            <w:vAlign w:val="center"/>
          </w:tcPr>
          <w:p w14:paraId="40BC46EE" w14:textId="77777777" w:rsidR="009607FE" w:rsidRPr="003107DE" w:rsidRDefault="009607FE" w:rsidP="008B1103">
            <w:pPr>
              <w:spacing w:after="0" w:line="240" w:lineRule="auto"/>
              <w:ind w:right="349"/>
              <w:jc w:val="right"/>
              <w:rPr>
                <w:sz w:val="18"/>
                <w:szCs w:val="18"/>
              </w:rPr>
            </w:pPr>
          </w:p>
        </w:tc>
        <w:tc>
          <w:tcPr>
            <w:tcW w:w="1456" w:type="dxa"/>
            <w:shd w:val="clear" w:color="auto" w:fill="auto"/>
            <w:noWrap/>
            <w:vAlign w:val="center"/>
          </w:tcPr>
          <w:p w14:paraId="11F9F4C7" w14:textId="77777777" w:rsidR="009607FE" w:rsidRPr="003107DE" w:rsidRDefault="009607FE" w:rsidP="008B1103">
            <w:pPr>
              <w:spacing w:after="0" w:line="240" w:lineRule="auto"/>
              <w:ind w:right="349"/>
              <w:jc w:val="right"/>
              <w:rPr>
                <w:sz w:val="18"/>
                <w:szCs w:val="18"/>
              </w:rPr>
            </w:pPr>
          </w:p>
        </w:tc>
      </w:tr>
      <w:tr w:rsidR="009607FE" w:rsidRPr="009B6407" w14:paraId="21086B64" w14:textId="77777777" w:rsidTr="008B1103">
        <w:trPr>
          <w:trHeight w:val="315"/>
        </w:trPr>
        <w:tc>
          <w:tcPr>
            <w:tcW w:w="3256" w:type="dxa"/>
            <w:shd w:val="clear" w:color="auto" w:fill="auto"/>
            <w:noWrap/>
            <w:vAlign w:val="center"/>
          </w:tcPr>
          <w:p w14:paraId="7A7D4AB8" w14:textId="77777777" w:rsidR="009607FE" w:rsidRPr="00EF06AB" w:rsidRDefault="009607FE" w:rsidP="008B1103">
            <w:pPr>
              <w:spacing w:after="0" w:line="240" w:lineRule="auto"/>
              <w:rPr>
                <w:rFonts w:cstheme="minorHAnsi"/>
                <w:i/>
                <w:iCs/>
                <w:color w:val="000000"/>
                <w:sz w:val="18"/>
                <w:szCs w:val="18"/>
                <w:lang w:eastAsia="en-AU"/>
              </w:rPr>
            </w:pPr>
            <w:r>
              <w:rPr>
                <w:rFonts w:cs="Arial"/>
                <w:i/>
                <w:iCs/>
                <w:color w:val="000000"/>
                <w:sz w:val="18"/>
                <w:szCs w:val="18"/>
                <w:lang w:eastAsia="en-AU"/>
              </w:rPr>
              <w:t xml:space="preserve">National </w:t>
            </w:r>
          </w:p>
        </w:tc>
        <w:tc>
          <w:tcPr>
            <w:tcW w:w="1323" w:type="dxa"/>
            <w:shd w:val="clear" w:color="auto" w:fill="auto"/>
            <w:noWrap/>
            <w:vAlign w:val="center"/>
          </w:tcPr>
          <w:p w14:paraId="33A875CC" w14:textId="2DE3EC2C" w:rsidR="009607FE" w:rsidRPr="004E5307" w:rsidRDefault="009607FE" w:rsidP="008B1103">
            <w:pPr>
              <w:spacing w:after="0" w:line="240" w:lineRule="auto"/>
              <w:ind w:right="349"/>
              <w:jc w:val="right"/>
              <w:rPr>
                <w:sz w:val="18"/>
                <w:szCs w:val="18"/>
              </w:rPr>
            </w:pPr>
            <w:r w:rsidRPr="00B8400A">
              <w:rPr>
                <w:sz w:val="18"/>
                <w:szCs w:val="18"/>
              </w:rPr>
              <w:t>33.6</w:t>
            </w:r>
          </w:p>
        </w:tc>
        <w:tc>
          <w:tcPr>
            <w:tcW w:w="1456" w:type="dxa"/>
            <w:shd w:val="clear" w:color="auto" w:fill="auto"/>
            <w:noWrap/>
            <w:vAlign w:val="center"/>
          </w:tcPr>
          <w:p w14:paraId="60BBDDD0" w14:textId="1BE81B2B" w:rsidR="009607FE" w:rsidRPr="004E5307" w:rsidRDefault="009607FE" w:rsidP="008B1103">
            <w:pPr>
              <w:spacing w:after="0" w:line="240" w:lineRule="auto"/>
              <w:ind w:right="349"/>
              <w:jc w:val="right"/>
              <w:rPr>
                <w:sz w:val="18"/>
                <w:szCs w:val="18"/>
              </w:rPr>
            </w:pPr>
            <w:r w:rsidRPr="00B8400A">
              <w:rPr>
                <w:sz w:val="18"/>
                <w:szCs w:val="18"/>
              </w:rPr>
              <w:t>69.8</w:t>
            </w:r>
          </w:p>
        </w:tc>
        <w:tc>
          <w:tcPr>
            <w:tcW w:w="1455" w:type="dxa"/>
            <w:shd w:val="clear" w:color="auto" w:fill="auto"/>
            <w:noWrap/>
            <w:vAlign w:val="center"/>
          </w:tcPr>
          <w:p w14:paraId="22395213" w14:textId="32670987" w:rsidR="009607FE" w:rsidRPr="004E5307" w:rsidRDefault="009607FE" w:rsidP="008B1103">
            <w:pPr>
              <w:spacing w:after="0" w:line="240" w:lineRule="auto"/>
              <w:ind w:right="349"/>
              <w:jc w:val="right"/>
              <w:rPr>
                <w:sz w:val="18"/>
                <w:szCs w:val="18"/>
              </w:rPr>
            </w:pPr>
            <w:r w:rsidRPr="00B8400A">
              <w:rPr>
                <w:sz w:val="18"/>
                <w:szCs w:val="18"/>
              </w:rPr>
              <w:t>63.5</w:t>
            </w:r>
          </w:p>
        </w:tc>
        <w:tc>
          <w:tcPr>
            <w:tcW w:w="1456" w:type="dxa"/>
            <w:shd w:val="clear" w:color="auto" w:fill="auto"/>
            <w:noWrap/>
            <w:vAlign w:val="center"/>
          </w:tcPr>
          <w:p w14:paraId="0C0E70C2" w14:textId="35E54FC5" w:rsidR="009607FE" w:rsidRPr="004E5307" w:rsidRDefault="009607FE" w:rsidP="008B1103">
            <w:pPr>
              <w:spacing w:after="0" w:line="240" w:lineRule="auto"/>
              <w:ind w:right="349"/>
              <w:jc w:val="right"/>
              <w:rPr>
                <w:sz w:val="18"/>
                <w:szCs w:val="18"/>
              </w:rPr>
            </w:pPr>
            <w:r w:rsidRPr="00B8400A">
              <w:rPr>
                <w:sz w:val="18"/>
                <w:szCs w:val="18"/>
              </w:rPr>
              <w:t>63.5</w:t>
            </w:r>
          </w:p>
        </w:tc>
      </w:tr>
      <w:tr w:rsidR="009607FE" w:rsidRPr="009B6407" w14:paraId="32D8B71D" w14:textId="77777777" w:rsidTr="008B1103">
        <w:trPr>
          <w:trHeight w:val="315"/>
        </w:trPr>
        <w:tc>
          <w:tcPr>
            <w:tcW w:w="3256" w:type="dxa"/>
            <w:shd w:val="clear" w:color="auto" w:fill="auto"/>
            <w:noWrap/>
            <w:vAlign w:val="center"/>
          </w:tcPr>
          <w:p w14:paraId="5B0C958C" w14:textId="77777777" w:rsidR="009607FE" w:rsidRPr="00EF06AB" w:rsidRDefault="009607FE" w:rsidP="008B1103">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(Home Institution)</w:t>
            </w:r>
          </w:p>
        </w:tc>
        <w:tc>
          <w:tcPr>
            <w:tcW w:w="1323" w:type="dxa"/>
            <w:shd w:val="clear" w:color="auto" w:fill="auto"/>
            <w:noWrap/>
            <w:vAlign w:val="center"/>
          </w:tcPr>
          <w:p w14:paraId="0CD1FADF" w14:textId="3931F63C" w:rsidR="009607FE" w:rsidRPr="00A64101" w:rsidRDefault="009607FE" w:rsidP="008B1103">
            <w:pPr>
              <w:spacing w:after="0" w:line="240" w:lineRule="auto"/>
              <w:ind w:right="349"/>
              <w:jc w:val="right"/>
              <w:rPr>
                <w:sz w:val="18"/>
                <w:szCs w:val="18"/>
              </w:rPr>
            </w:pPr>
            <w:r w:rsidRPr="00B8400A">
              <w:rPr>
                <w:rFonts w:cs="Arial"/>
                <w:color w:val="000000"/>
                <w:sz w:val="18"/>
                <w:szCs w:val="18"/>
              </w:rPr>
              <w:t>33.6</w:t>
            </w:r>
          </w:p>
        </w:tc>
        <w:tc>
          <w:tcPr>
            <w:tcW w:w="1456" w:type="dxa"/>
            <w:shd w:val="clear" w:color="auto" w:fill="auto"/>
            <w:noWrap/>
            <w:vAlign w:val="center"/>
          </w:tcPr>
          <w:p w14:paraId="6E91FCC6" w14:textId="4CC02214" w:rsidR="009607FE" w:rsidRPr="00A64101" w:rsidRDefault="009607FE" w:rsidP="008B1103">
            <w:pPr>
              <w:spacing w:after="0" w:line="240" w:lineRule="auto"/>
              <w:ind w:right="349"/>
              <w:jc w:val="right"/>
              <w:rPr>
                <w:sz w:val="18"/>
                <w:szCs w:val="18"/>
              </w:rPr>
            </w:pPr>
            <w:r w:rsidRPr="00B8400A">
              <w:rPr>
                <w:rFonts w:cs="Arial"/>
                <w:color w:val="000000"/>
                <w:sz w:val="18"/>
                <w:szCs w:val="18"/>
              </w:rPr>
              <w:t>66.4</w:t>
            </w:r>
          </w:p>
        </w:tc>
        <w:tc>
          <w:tcPr>
            <w:tcW w:w="1455" w:type="dxa"/>
            <w:shd w:val="clear" w:color="auto" w:fill="auto"/>
            <w:noWrap/>
            <w:vAlign w:val="center"/>
          </w:tcPr>
          <w:p w14:paraId="719B27DF" w14:textId="01E841A5" w:rsidR="009607FE" w:rsidRPr="00A64101" w:rsidRDefault="009607FE" w:rsidP="008B1103">
            <w:pPr>
              <w:spacing w:after="0" w:line="240" w:lineRule="auto"/>
              <w:ind w:right="349"/>
              <w:jc w:val="right"/>
              <w:rPr>
                <w:sz w:val="18"/>
                <w:szCs w:val="18"/>
              </w:rPr>
            </w:pPr>
            <w:r w:rsidRPr="00B8400A">
              <w:rPr>
                <w:rFonts w:cs="Arial"/>
                <w:color w:val="000000"/>
                <w:sz w:val="18"/>
                <w:szCs w:val="18"/>
              </w:rPr>
              <w:t>61.2</w:t>
            </w:r>
          </w:p>
        </w:tc>
        <w:tc>
          <w:tcPr>
            <w:tcW w:w="1456" w:type="dxa"/>
            <w:shd w:val="clear" w:color="auto" w:fill="auto"/>
            <w:noWrap/>
            <w:vAlign w:val="center"/>
          </w:tcPr>
          <w:p w14:paraId="68557E3C" w14:textId="462B0B64" w:rsidR="009607FE" w:rsidRPr="00A64101" w:rsidRDefault="009607FE" w:rsidP="008B1103">
            <w:pPr>
              <w:spacing w:after="0" w:line="240" w:lineRule="auto"/>
              <w:ind w:right="349"/>
              <w:jc w:val="right"/>
              <w:rPr>
                <w:sz w:val="18"/>
                <w:szCs w:val="18"/>
              </w:rPr>
            </w:pPr>
            <w:r w:rsidRPr="00B8400A">
              <w:rPr>
                <w:rFonts w:cs="Arial"/>
                <w:color w:val="000000"/>
                <w:sz w:val="18"/>
                <w:szCs w:val="18"/>
              </w:rPr>
              <w:t>61.2</w:t>
            </w:r>
          </w:p>
        </w:tc>
      </w:tr>
      <w:tr w:rsidR="009607FE" w:rsidRPr="009B6407" w14:paraId="644D28AE" w14:textId="77777777" w:rsidTr="008B1103">
        <w:trPr>
          <w:trHeight w:val="315"/>
        </w:trPr>
        <w:tc>
          <w:tcPr>
            <w:tcW w:w="3256" w:type="dxa"/>
            <w:shd w:val="clear" w:color="auto" w:fill="auto"/>
            <w:noWrap/>
            <w:vAlign w:val="center"/>
          </w:tcPr>
          <w:p w14:paraId="3EF59BEB" w14:textId="77777777" w:rsidR="009607FE" w:rsidRPr="00EF06AB" w:rsidRDefault="009607FE" w:rsidP="008B1103">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323" w:type="dxa"/>
            <w:shd w:val="clear" w:color="auto" w:fill="auto"/>
            <w:noWrap/>
            <w:vAlign w:val="center"/>
          </w:tcPr>
          <w:p w14:paraId="6F6B4BAD" w14:textId="7C60DADC" w:rsidR="009607FE" w:rsidRPr="00B369E7" w:rsidRDefault="009607FE" w:rsidP="008B1103">
            <w:pPr>
              <w:spacing w:after="0" w:line="240" w:lineRule="auto"/>
              <w:ind w:right="349"/>
              <w:jc w:val="right"/>
              <w:rPr>
                <w:sz w:val="18"/>
                <w:szCs w:val="18"/>
              </w:rPr>
            </w:pPr>
            <w:r w:rsidRPr="00B369E7">
              <w:rPr>
                <w:rFonts w:cs="Arial"/>
                <w:color w:val="000000"/>
                <w:sz w:val="18"/>
                <w:szCs w:val="18"/>
              </w:rPr>
              <w:t>37.1</w:t>
            </w:r>
          </w:p>
        </w:tc>
        <w:tc>
          <w:tcPr>
            <w:tcW w:w="1456" w:type="dxa"/>
            <w:shd w:val="clear" w:color="auto" w:fill="auto"/>
            <w:noWrap/>
            <w:vAlign w:val="center"/>
          </w:tcPr>
          <w:p w14:paraId="02432CBA" w14:textId="2AB93178" w:rsidR="009607FE" w:rsidRPr="00B369E7" w:rsidRDefault="009607FE" w:rsidP="008B1103">
            <w:pPr>
              <w:spacing w:after="0" w:line="240" w:lineRule="auto"/>
              <w:ind w:right="349"/>
              <w:jc w:val="right"/>
              <w:rPr>
                <w:sz w:val="18"/>
                <w:szCs w:val="18"/>
              </w:rPr>
            </w:pPr>
            <w:r w:rsidRPr="00B369E7">
              <w:rPr>
                <w:rFonts w:cs="Arial"/>
                <w:color w:val="000000"/>
                <w:sz w:val="18"/>
                <w:szCs w:val="18"/>
              </w:rPr>
              <w:t>66.4</w:t>
            </w:r>
          </w:p>
        </w:tc>
        <w:tc>
          <w:tcPr>
            <w:tcW w:w="1455" w:type="dxa"/>
            <w:shd w:val="clear" w:color="auto" w:fill="auto"/>
            <w:noWrap/>
            <w:vAlign w:val="center"/>
          </w:tcPr>
          <w:p w14:paraId="66179F3B" w14:textId="1DAB92B3" w:rsidR="009607FE" w:rsidRPr="00B369E7" w:rsidRDefault="009607FE" w:rsidP="008B1103">
            <w:pPr>
              <w:spacing w:after="0" w:line="240" w:lineRule="auto"/>
              <w:ind w:right="349"/>
              <w:jc w:val="right"/>
              <w:rPr>
                <w:sz w:val="18"/>
                <w:szCs w:val="18"/>
              </w:rPr>
            </w:pPr>
            <w:r w:rsidRPr="00B369E7">
              <w:rPr>
                <w:rFonts w:cs="Arial"/>
                <w:color w:val="000000"/>
                <w:sz w:val="18"/>
                <w:szCs w:val="18"/>
              </w:rPr>
              <w:t>59.2</w:t>
            </w:r>
          </w:p>
        </w:tc>
        <w:tc>
          <w:tcPr>
            <w:tcW w:w="1456" w:type="dxa"/>
            <w:shd w:val="clear" w:color="auto" w:fill="auto"/>
            <w:noWrap/>
            <w:vAlign w:val="center"/>
          </w:tcPr>
          <w:p w14:paraId="3344751A" w14:textId="5A27A927" w:rsidR="009607FE" w:rsidRPr="00B369E7" w:rsidRDefault="009607FE" w:rsidP="008B1103">
            <w:pPr>
              <w:spacing w:after="0" w:line="240" w:lineRule="auto"/>
              <w:ind w:right="349"/>
              <w:jc w:val="right"/>
              <w:rPr>
                <w:sz w:val="18"/>
                <w:szCs w:val="18"/>
              </w:rPr>
            </w:pPr>
            <w:r w:rsidRPr="00B369E7">
              <w:rPr>
                <w:rFonts w:cs="Arial"/>
                <w:color w:val="000000"/>
                <w:sz w:val="18"/>
                <w:szCs w:val="18"/>
              </w:rPr>
              <w:t>59.2</w:t>
            </w:r>
          </w:p>
        </w:tc>
      </w:tr>
    </w:tbl>
    <w:p w14:paraId="6B404196" w14:textId="75CAFDA1" w:rsidR="00AE73E2" w:rsidRDefault="00AE73E2" w:rsidP="008B1103">
      <w:pPr>
        <w:spacing w:line="240" w:lineRule="auto"/>
        <w:ind w:left="284"/>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20FDA54B" w14:textId="77777777" w:rsidR="00FB5F54" w:rsidRPr="00A11B58" w:rsidRDefault="00FB5F54" w:rsidP="00C71ED7">
      <w:pPr>
        <w:ind w:left="709"/>
        <w:rPr>
          <w:rFonts w:eastAsiaTheme="majorEastAsia"/>
        </w:rPr>
      </w:pPr>
    </w:p>
    <w:p w14:paraId="1E63E97A" w14:textId="77777777" w:rsidR="00300A8C" w:rsidRDefault="00300A8C">
      <w:pPr>
        <w:rPr>
          <w:rFonts w:eastAsiaTheme="majorEastAsia"/>
          <w:b/>
          <w:bCs/>
        </w:rPr>
      </w:pPr>
      <w:r>
        <w:rPr>
          <w:rFonts w:eastAsiaTheme="majorEastAsia"/>
          <w:b/>
          <w:bCs/>
        </w:rPr>
        <w:br w:type="page"/>
      </w:r>
    </w:p>
    <w:p w14:paraId="14762581" w14:textId="102FEF4A" w:rsidR="00C21567" w:rsidRPr="008B1103" w:rsidRDefault="00C21567" w:rsidP="008B1103">
      <w:pPr>
        <w:pStyle w:val="ListParagraph"/>
        <w:rPr>
          <w:rFonts w:eastAsiaTheme="majorEastAsia"/>
          <w:b/>
          <w:bCs/>
        </w:rPr>
      </w:pPr>
      <w:r>
        <w:rPr>
          <w:rFonts w:eastAsiaTheme="majorEastAsia"/>
          <w:b/>
          <w:bCs/>
        </w:rPr>
        <w:lastRenderedPageBreak/>
        <w:t xml:space="preserve">The </w:t>
      </w:r>
      <w:r w:rsidR="006866A8">
        <w:rPr>
          <w:rFonts w:eastAsiaTheme="majorEastAsia"/>
          <w:b/>
          <w:bCs/>
        </w:rPr>
        <w:t>k</w:t>
      </w:r>
      <w:r>
        <w:rPr>
          <w:rFonts w:eastAsiaTheme="majorEastAsia"/>
          <w:b/>
          <w:bCs/>
        </w:rPr>
        <w:t xml:space="preserve">ey </w:t>
      </w:r>
      <w:r w:rsidR="006866A8">
        <w:rPr>
          <w:rFonts w:eastAsiaTheme="majorEastAsia"/>
          <w:b/>
          <w:bCs/>
        </w:rPr>
        <w:t>c</w:t>
      </w:r>
      <w:r>
        <w:rPr>
          <w:rFonts w:eastAsiaTheme="majorEastAsia"/>
          <w:b/>
          <w:bCs/>
        </w:rPr>
        <w:t xml:space="preserve">riteria for a </w:t>
      </w:r>
      <w:r w:rsidR="006866A8">
        <w:rPr>
          <w:rFonts w:eastAsiaTheme="majorEastAsia"/>
          <w:b/>
          <w:bCs/>
        </w:rPr>
        <w:t>p</w:t>
      </w:r>
      <w:r>
        <w:rPr>
          <w:rFonts w:eastAsiaTheme="majorEastAsia"/>
          <w:b/>
          <w:bCs/>
        </w:rPr>
        <w:t xml:space="preserve">arity </w:t>
      </w:r>
      <w:r w:rsidR="006866A8">
        <w:rPr>
          <w:rFonts w:eastAsiaTheme="majorEastAsia"/>
          <w:b/>
          <w:bCs/>
        </w:rPr>
        <w:t>t</w:t>
      </w:r>
      <w:r>
        <w:rPr>
          <w:rFonts w:eastAsiaTheme="majorEastAsia"/>
          <w:b/>
          <w:bCs/>
        </w:rPr>
        <w:t>arget</w:t>
      </w:r>
      <w:r w:rsidR="00994E1B">
        <w:rPr>
          <w:rFonts w:eastAsiaTheme="majorEastAsia"/>
          <w:b/>
          <w:bCs/>
        </w:rPr>
        <w:t xml:space="preserve">:  </w:t>
      </w:r>
      <w:r w:rsidR="00994E1B">
        <w:t xml:space="preserve">The findings from the projection work reported here indicate the following: </w:t>
      </w:r>
      <w:r w:rsidR="008B1103">
        <w:br/>
      </w:r>
      <w:r w:rsidR="008B1103">
        <w:br/>
      </w:r>
      <w:r w:rsidR="00994E1B" w:rsidRPr="008B1103">
        <w:rPr>
          <w:b/>
          <w:bCs/>
        </w:rPr>
        <w:t>Timeframes:</w:t>
      </w:r>
      <w:r w:rsidR="00994E1B">
        <w:t xml:space="preserve"> The 2021 </w:t>
      </w:r>
      <w:r w:rsidR="00994E1B" w:rsidRPr="008B1103">
        <w:rPr>
          <w:i/>
          <w:iCs/>
        </w:rPr>
        <w:t>Equity Group</w:t>
      </w:r>
      <w:r w:rsidR="00994E1B">
        <w:t xml:space="preserve"> participation share of 3</w:t>
      </w:r>
      <w:r w:rsidR="00050424">
        <w:t>9.4</w:t>
      </w:r>
      <w:r w:rsidR="00994E1B">
        <w:t xml:space="preserve">% and completion share of </w:t>
      </w:r>
      <w:r w:rsidR="00291AAF">
        <w:t>33.6</w:t>
      </w:r>
      <w:r w:rsidR="00994E1B">
        <w:t xml:space="preserve">%, contrast sharply with the national parity measure for the overall equity grouping of 49.1% (as per Table </w:t>
      </w:r>
      <w:r w:rsidR="00B85670">
        <w:t>B above</w:t>
      </w:r>
      <w:r w:rsidR="00994E1B">
        <w:t>), necessarily implies a high share of additional enrolments to a given target year, be it 2035 or 2050, must be taken up by equity students in a system that is projected to see participation expand by 36.4% to 2035.</w:t>
      </w:r>
      <w:r w:rsidR="008B1103">
        <w:br/>
      </w:r>
      <w:r w:rsidR="008B1103">
        <w:br/>
      </w:r>
      <w:r w:rsidR="00994E1B">
        <w:t xml:space="preserve">Thus, the projections show a mismatch between the level of growth required in equity enrolments to achieve population parity and projected growth in the system overall </w:t>
      </w:r>
      <w:r w:rsidR="00A376CB">
        <w:t xml:space="preserve">for </w:t>
      </w:r>
      <w:r w:rsidR="00987B8A">
        <w:t>all</w:t>
      </w:r>
      <w:r w:rsidR="00994E1B">
        <w:t xml:space="preserve"> timeframes</w:t>
      </w:r>
      <w:r w:rsidR="00A376CB">
        <w:t xml:space="preserve">. </w:t>
      </w:r>
      <w:r w:rsidR="00AD43AF">
        <w:t xml:space="preserve">Even </w:t>
      </w:r>
      <w:r w:rsidR="00994E1B">
        <w:t>projections to 2050 requir</w:t>
      </w:r>
      <w:r w:rsidR="00AD43AF">
        <w:t>e</w:t>
      </w:r>
      <w:r w:rsidR="00994E1B">
        <w:t xml:space="preserve"> an </w:t>
      </w:r>
      <w:r w:rsidR="00994E1B" w:rsidRPr="008B1103">
        <w:rPr>
          <w:i/>
          <w:iCs/>
        </w:rPr>
        <w:t xml:space="preserve">Equity Group </w:t>
      </w:r>
      <w:r w:rsidR="00994E1B">
        <w:t>share of additional enrolments (participation) ranging across the nine active policy options from 55.9% to 7</w:t>
      </w:r>
      <w:r w:rsidR="00B12FAA">
        <w:t>1</w:t>
      </w:r>
      <w:r w:rsidR="00994E1B">
        <w:t>.</w:t>
      </w:r>
      <w:r w:rsidR="00B12FAA">
        <w:t>5</w:t>
      </w:r>
      <w:r w:rsidR="00994E1B">
        <w:t xml:space="preserve">%, with uniformly higher shares for completion, given the lower starting point of </w:t>
      </w:r>
      <w:r w:rsidR="00B12FAA">
        <w:t>33.6</w:t>
      </w:r>
      <w:r w:rsidR="00994E1B">
        <w:t xml:space="preserve">%. </w:t>
      </w:r>
      <w:r w:rsidR="008B1103">
        <w:br/>
      </w:r>
      <w:r w:rsidR="008B1103">
        <w:br/>
      </w:r>
      <w:r w:rsidR="00994E1B">
        <w:t>This necessitates the use of 2050 as the target year, but with the potential to include a</w:t>
      </w:r>
      <w:r w:rsidR="00382ADF">
        <w:t>n</w:t>
      </w:r>
      <w:r w:rsidR="00994E1B">
        <w:t xml:space="preserve"> interim target for 2035 based on the share of growth taking place to that year – 2</w:t>
      </w:r>
      <w:r w:rsidR="00EC7A04">
        <w:t>9</w:t>
      </w:r>
      <w:r w:rsidR="00994E1B">
        <w:t>.</w:t>
      </w:r>
      <w:r w:rsidR="00EC7A04">
        <w:t>3</w:t>
      </w:r>
      <w:r w:rsidR="00994E1B">
        <w:t xml:space="preserve">% in the case of participation and 20.8% for completions.  </w:t>
      </w:r>
      <w:r w:rsidR="008B1103">
        <w:br/>
      </w:r>
      <w:r w:rsidR="008B1103">
        <w:br/>
      </w:r>
      <w:r w:rsidR="00994E1B" w:rsidRPr="008B1103">
        <w:rPr>
          <w:b/>
          <w:bCs/>
          <w:i/>
        </w:rPr>
        <w:t xml:space="preserve">Recommendation on </w:t>
      </w:r>
      <w:r w:rsidR="00474619" w:rsidRPr="008B1103">
        <w:rPr>
          <w:b/>
          <w:bCs/>
          <w:i/>
        </w:rPr>
        <w:t>t</w:t>
      </w:r>
      <w:r w:rsidR="00994E1B" w:rsidRPr="008B1103">
        <w:rPr>
          <w:b/>
          <w:bCs/>
          <w:i/>
        </w:rPr>
        <w:t>imeframe:</w:t>
      </w:r>
      <w:r w:rsidR="00994E1B">
        <w:t xml:space="preserve"> We recommend the use of 2050 as the target year, with 2035 serving as an interim target year, where the participation and completion headcount targets are calculated in 2035, based on the percentage of growth in overall enrolments to 2050 that is projected to take place by 2035 – 29.3% in the case of participation and 20.8% for completions.     </w:t>
      </w:r>
      <w:r w:rsidR="008B1103">
        <w:br/>
      </w:r>
      <w:r w:rsidR="008B1103">
        <w:br/>
      </w:r>
      <w:r w:rsidR="00994E1B" w:rsidRPr="008B1103">
        <w:rPr>
          <w:b/>
          <w:bCs/>
        </w:rPr>
        <w:t xml:space="preserve">Reference </w:t>
      </w:r>
      <w:r w:rsidR="00474619" w:rsidRPr="008B1103">
        <w:rPr>
          <w:b/>
          <w:bCs/>
        </w:rPr>
        <w:t>p</w:t>
      </w:r>
      <w:r w:rsidR="00994E1B" w:rsidRPr="008B1103">
        <w:rPr>
          <w:b/>
          <w:bCs/>
        </w:rPr>
        <w:t>opulation:</w:t>
      </w:r>
      <w:r w:rsidR="00994E1B">
        <w:t xml:space="preserve"> We considered three options in relation to reference population, resulting in three parity targets. The </w:t>
      </w:r>
      <w:r w:rsidR="00994E1B" w:rsidRPr="008B1103">
        <w:rPr>
          <w:i/>
          <w:iCs/>
        </w:rPr>
        <w:t xml:space="preserve">National Parity Target </w:t>
      </w:r>
      <w:r w:rsidR="00994E1B">
        <w:t xml:space="preserve">results in the greatest requirement in terms of equity share of increased undergraduate enrolment, largely because of differences across states and territories in relation to low SES and regional/remote population shares. </w:t>
      </w:r>
      <w:r w:rsidR="008B1103">
        <w:br/>
      </w:r>
      <w:r w:rsidR="008B1103">
        <w:br/>
      </w:r>
      <w:r w:rsidR="00994E1B">
        <w:t xml:space="preserve">We show that the introduction of </w:t>
      </w:r>
      <w:r w:rsidR="00994E1B" w:rsidRPr="008B1103">
        <w:rPr>
          <w:i/>
          <w:iCs/>
        </w:rPr>
        <w:t xml:space="preserve">State/Territory </w:t>
      </w:r>
      <w:r w:rsidR="00994E1B">
        <w:t xml:space="preserve">targets can be justified based on the continued geographic segmentation of Australian higher education, with 80 to 90% of undergraduates in each state and territory engaging in studies at an institution whose </w:t>
      </w:r>
      <w:r w:rsidR="00994E1B">
        <w:lastRenderedPageBreak/>
        <w:t xml:space="preserve">main campus </w:t>
      </w:r>
      <w:proofErr w:type="gramStart"/>
      <w:r w:rsidR="00994E1B">
        <w:t>is located in</w:t>
      </w:r>
      <w:proofErr w:type="gramEnd"/>
      <w:r w:rsidR="00994E1B">
        <w:t xml:space="preserve"> their jurisdiction. The utilisation of </w:t>
      </w:r>
      <w:r w:rsidR="00994E1B" w:rsidRPr="008B1103">
        <w:rPr>
          <w:i/>
          <w:iCs/>
        </w:rPr>
        <w:t xml:space="preserve">State/Territory (Home Institution) Parity Targets </w:t>
      </w:r>
      <w:r w:rsidR="00994E1B">
        <w:t xml:space="preserve">lowers overall parity targets and the resulting equity share of additional participation and completion headcounts. </w:t>
      </w:r>
      <w:r w:rsidR="008B1103">
        <w:br/>
      </w:r>
      <w:r w:rsidR="008B1103">
        <w:br/>
      </w:r>
      <w:r w:rsidR="00994E1B">
        <w:t xml:space="preserve">We find that a further adjustment to the </w:t>
      </w:r>
      <w:r w:rsidR="00994E1B" w:rsidRPr="008B1103">
        <w:rPr>
          <w:i/>
          <w:iCs/>
        </w:rPr>
        <w:t>State/Territory</w:t>
      </w:r>
      <w:r w:rsidR="00994E1B">
        <w:t xml:space="preserve"> target – </w:t>
      </w:r>
      <w:r w:rsidR="00994E1B" w:rsidRPr="008B1103">
        <w:rPr>
          <w:i/>
          <w:iCs/>
        </w:rPr>
        <w:t xml:space="preserve">State/Territory (All Institutions) – </w:t>
      </w:r>
      <w:r w:rsidR="00C44F2B">
        <w:t xml:space="preserve">could be appropriate </w:t>
      </w:r>
      <w:r w:rsidR="00994E1B">
        <w:t xml:space="preserve">in refining </w:t>
      </w:r>
      <w:r w:rsidR="00C44F2B">
        <w:t>the target</w:t>
      </w:r>
      <w:r w:rsidR="00994E1B">
        <w:t xml:space="preserve"> through </w:t>
      </w:r>
      <w:r w:rsidR="006D5F28">
        <w:t>an adjustment</w:t>
      </w:r>
      <w:r w:rsidR="00994E1B">
        <w:t xml:space="preserve"> for state and territory </w:t>
      </w:r>
      <w:r w:rsidR="006D5F28">
        <w:t>settings</w:t>
      </w:r>
      <w:r w:rsidR="00994E1B">
        <w:t xml:space="preserve"> based on student</w:t>
      </w:r>
      <w:r w:rsidR="006D5F28">
        <w:t>,</w:t>
      </w:r>
      <w:r w:rsidR="00994E1B">
        <w:t xml:space="preserve"> rather than institutional</w:t>
      </w:r>
      <w:r w:rsidR="006D5F28">
        <w:t>,</w:t>
      </w:r>
      <w:r w:rsidR="00994E1B">
        <w:t xml:space="preserve"> location. However, this requires constructing targets for </w:t>
      </w:r>
      <w:r w:rsidR="00424224">
        <w:t>interstate</w:t>
      </w:r>
      <w:r w:rsidR="00994E1B">
        <w:t xml:space="preserve"> institutions, which introduces a level of complexity that compromises the universal application of targets, when adjustments can be negotiated in special cases instead. </w:t>
      </w:r>
      <w:r w:rsidR="008B1103">
        <w:br/>
      </w:r>
      <w:r w:rsidR="008B1103">
        <w:br/>
      </w:r>
      <w:r w:rsidR="00994E1B" w:rsidRPr="008B1103">
        <w:rPr>
          <w:b/>
          <w:bCs/>
          <w:i/>
        </w:rPr>
        <w:t xml:space="preserve">Recommendation on </w:t>
      </w:r>
      <w:r w:rsidR="00474619" w:rsidRPr="008B1103">
        <w:rPr>
          <w:b/>
          <w:bCs/>
          <w:i/>
        </w:rPr>
        <w:t>r</w:t>
      </w:r>
      <w:r w:rsidR="00994E1B" w:rsidRPr="008B1103">
        <w:rPr>
          <w:b/>
          <w:bCs/>
          <w:i/>
        </w:rPr>
        <w:t xml:space="preserve">eference </w:t>
      </w:r>
      <w:r w:rsidR="00474619" w:rsidRPr="008B1103">
        <w:rPr>
          <w:b/>
          <w:bCs/>
          <w:i/>
        </w:rPr>
        <w:t>p</w:t>
      </w:r>
      <w:r w:rsidR="00994E1B" w:rsidRPr="008B1103">
        <w:rPr>
          <w:b/>
          <w:bCs/>
          <w:i/>
        </w:rPr>
        <w:t>opulation:</w:t>
      </w:r>
      <w:r w:rsidR="00994E1B" w:rsidRPr="00994E1B">
        <w:t xml:space="preserve"> We</w:t>
      </w:r>
      <w:r w:rsidR="00994E1B">
        <w:t xml:space="preserve"> recommend the use of the </w:t>
      </w:r>
      <w:r w:rsidR="00994E1B" w:rsidRPr="008B1103">
        <w:rPr>
          <w:i/>
          <w:iCs/>
        </w:rPr>
        <w:t>State/Territory (Home Institution</w:t>
      </w:r>
      <w:r w:rsidR="00944921" w:rsidRPr="008B1103">
        <w:rPr>
          <w:i/>
          <w:iCs/>
        </w:rPr>
        <w:t>)</w:t>
      </w:r>
      <w:r w:rsidR="00994E1B" w:rsidRPr="008B1103">
        <w:rPr>
          <w:i/>
          <w:iCs/>
        </w:rPr>
        <w:t xml:space="preserve"> </w:t>
      </w:r>
      <w:r w:rsidR="00994E1B">
        <w:t xml:space="preserve">to ensure that universities face parity targets that reflect their reference populations. </w:t>
      </w:r>
      <w:r w:rsidR="008B1103">
        <w:br/>
      </w:r>
      <w:r w:rsidR="008B1103">
        <w:br/>
      </w:r>
      <w:r w:rsidR="00994E1B" w:rsidRPr="008B1103">
        <w:rPr>
          <w:b/>
          <w:bCs/>
        </w:rPr>
        <w:t xml:space="preserve">Policy </w:t>
      </w:r>
      <w:r w:rsidR="00B45B52" w:rsidRPr="008B1103">
        <w:rPr>
          <w:b/>
          <w:bCs/>
        </w:rPr>
        <w:t>o</w:t>
      </w:r>
      <w:r w:rsidR="00994E1B" w:rsidRPr="008B1103">
        <w:rPr>
          <w:b/>
          <w:bCs/>
        </w:rPr>
        <w:t>ptions:</w:t>
      </w:r>
      <w:r w:rsidR="00994E1B">
        <w:t xml:space="preserve"> We considered three active policy options: </w:t>
      </w:r>
      <w:r w:rsidR="00994E1B" w:rsidRPr="008B1103">
        <w:rPr>
          <w:i/>
          <w:iCs/>
        </w:rPr>
        <w:t>Convergence</w:t>
      </w:r>
      <w:r w:rsidR="00994E1B">
        <w:t xml:space="preserve">, </w:t>
      </w:r>
      <w:r w:rsidR="00994E1B" w:rsidRPr="008B1103">
        <w:rPr>
          <w:i/>
          <w:iCs/>
        </w:rPr>
        <w:t>Equal Effort</w:t>
      </w:r>
      <w:r w:rsidR="00994E1B">
        <w:t xml:space="preserve"> and </w:t>
      </w:r>
      <w:r w:rsidR="00994E1B" w:rsidRPr="008B1103">
        <w:rPr>
          <w:i/>
          <w:iCs/>
        </w:rPr>
        <w:t>Divergence</w:t>
      </w:r>
      <w:r w:rsidR="00994E1B">
        <w:t xml:space="preserve">. </w:t>
      </w:r>
      <w:r w:rsidR="004C7627">
        <w:t>T</w:t>
      </w:r>
      <w:r w:rsidR="00BD2C42">
        <w:t>he</w:t>
      </w:r>
      <w:r w:rsidR="00994E1B">
        <w:t xml:space="preserve"> </w:t>
      </w:r>
      <w:r w:rsidR="00994E1B" w:rsidRPr="008B1103">
        <w:rPr>
          <w:i/>
          <w:iCs/>
        </w:rPr>
        <w:t>Convergence</w:t>
      </w:r>
      <w:r w:rsidR="00994E1B">
        <w:t xml:space="preserve"> </w:t>
      </w:r>
      <w:r w:rsidR="00BD2C42">
        <w:t>option</w:t>
      </w:r>
      <w:r w:rsidR="00B45B52">
        <w:t>,</w:t>
      </w:r>
      <w:r w:rsidR="00BD2C42">
        <w:t xml:space="preserve"> </w:t>
      </w:r>
      <w:r w:rsidR="00994E1B">
        <w:t xml:space="preserve">where all institutions are required to meet the parity target, is not viable at a system level given the share of the growth in participation and completion headcount it would require, </w:t>
      </w:r>
      <w:proofErr w:type="gramStart"/>
      <w:r w:rsidR="00994E1B">
        <w:t>and also</w:t>
      </w:r>
      <w:proofErr w:type="gramEnd"/>
      <w:r w:rsidR="00994E1B">
        <w:t xml:space="preserve"> on the basis of individual institutional outcomes. The </w:t>
      </w:r>
      <w:r w:rsidR="00994E1B" w:rsidRPr="008B1103">
        <w:rPr>
          <w:i/>
          <w:iCs/>
        </w:rPr>
        <w:t>Equal Effort</w:t>
      </w:r>
      <w:r w:rsidR="00994E1B">
        <w:t xml:space="preserve"> policy option sees institutions increas</w:t>
      </w:r>
      <w:r w:rsidR="00956304">
        <w:t>ing</w:t>
      </w:r>
      <w:r w:rsidR="00994E1B">
        <w:t xml:space="preserve"> equity participation and completions </w:t>
      </w:r>
      <w:r w:rsidR="00BE5708">
        <w:t xml:space="preserve">by </w:t>
      </w:r>
      <w:r w:rsidR="00956304">
        <w:t>the same percentage.</w:t>
      </w:r>
      <w:r w:rsidR="00994E1B">
        <w:t xml:space="preserve"> The variation on this option, </w:t>
      </w:r>
      <w:r w:rsidR="00994E1B" w:rsidRPr="008B1103">
        <w:rPr>
          <w:i/>
          <w:iCs/>
        </w:rPr>
        <w:t>Divergence</w:t>
      </w:r>
      <w:r w:rsidR="00994E1B">
        <w:t xml:space="preserve">, where institutions above parity in 2021 can remain at their current participation level while other institutions increase participation and completion outcomes to meet the parity target, could be viable in certain instances, but should not constitute a default position in institutional negotiations.   </w:t>
      </w:r>
      <w:r w:rsidR="008B1103">
        <w:br/>
      </w:r>
      <w:r w:rsidR="008B1103">
        <w:br/>
      </w:r>
      <w:r w:rsidR="00994E1B" w:rsidRPr="008B1103">
        <w:rPr>
          <w:b/>
          <w:bCs/>
          <w:i/>
        </w:rPr>
        <w:t xml:space="preserve">Recommendation on </w:t>
      </w:r>
      <w:r w:rsidR="00B45B52" w:rsidRPr="008B1103">
        <w:rPr>
          <w:b/>
          <w:bCs/>
          <w:i/>
        </w:rPr>
        <w:t>p</w:t>
      </w:r>
      <w:r w:rsidR="00994E1B" w:rsidRPr="008B1103">
        <w:rPr>
          <w:b/>
          <w:bCs/>
          <w:i/>
        </w:rPr>
        <w:t xml:space="preserve">olicy </w:t>
      </w:r>
      <w:r w:rsidR="00B45B52" w:rsidRPr="008B1103">
        <w:rPr>
          <w:b/>
          <w:bCs/>
          <w:i/>
        </w:rPr>
        <w:t>o</w:t>
      </w:r>
      <w:r w:rsidR="00994E1B" w:rsidRPr="008B1103">
        <w:rPr>
          <w:b/>
          <w:bCs/>
          <w:i/>
        </w:rPr>
        <w:t>ption:</w:t>
      </w:r>
      <w:r w:rsidR="00994E1B" w:rsidRPr="008B1103">
        <w:rPr>
          <w:b/>
          <w:bCs/>
          <w:i/>
          <w:iCs/>
        </w:rPr>
        <w:t xml:space="preserve"> </w:t>
      </w:r>
      <w:r w:rsidR="00994E1B">
        <w:t xml:space="preserve">We recommend the introduction of the </w:t>
      </w:r>
      <w:r w:rsidR="00994E1B" w:rsidRPr="008B1103">
        <w:rPr>
          <w:i/>
          <w:iCs/>
        </w:rPr>
        <w:t>Equal Effort</w:t>
      </w:r>
      <w:r w:rsidR="00994E1B">
        <w:t xml:space="preserve"> policy option, with modified targets possible subject to negotiations between regulators (such as the </w:t>
      </w:r>
      <w:r w:rsidR="00E66C69">
        <w:t xml:space="preserve">proposed </w:t>
      </w:r>
      <w:r w:rsidR="00994E1B">
        <w:t>TEC) and institutions</w:t>
      </w:r>
      <w:r>
        <w:t>.</w:t>
      </w:r>
    </w:p>
    <w:p w14:paraId="317C96B0" w14:textId="77777777" w:rsidR="00994E1B" w:rsidRDefault="00994E1B" w:rsidP="00994E1B"/>
    <w:p w14:paraId="61084538" w14:textId="77777777" w:rsidR="00300A8C" w:rsidRDefault="00300A8C">
      <w:pPr>
        <w:rPr>
          <w:rFonts w:eastAsiaTheme="majorEastAsia"/>
          <w:b/>
          <w:bCs/>
        </w:rPr>
      </w:pPr>
      <w:r>
        <w:rPr>
          <w:rFonts w:eastAsiaTheme="majorEastAsia"/>
          <w:b/>
          <w:bCs/>
        </w:rPr>
        <w:br w:type="page"/>
      </w:r>
    </w:p>
    <w:p w14:paraId="0A6D3F19" w14:textId="0F99DB2C" w:rsidR="00994E1B" w:rsidRPr="006928B5" w:rsidRDefault="0015697F" w:rsidP="008B1103">
      <w:pPr>
        <w:pStyle w:val="ListParagraph"/>
        <w:rPr>
          <w:rFonts w:eastAsiaTheme="majorEastAsia"/>
          <w:b/>
          <w:bCs/>
        </w:rPr>
      </w:pPr>
      <w:r>
        <w:rPr>
          <w:rFonts w:eastAsiaTheme="majorEastAsia"/>
          <w:b/>
          <w:bCs/>
        </w:rPr>
        <w:lastRenderedPageBreak/>
        <w:t xml:space="preserve">The </w:t>
      </w:r>
      <w:r w:rsidR="00E66C69">
        <w:rPr>
          <w:rFonts w:eastAsiaTheme="majorEastAsia"/>
          <w:b/>
          <w:bCs/>
        </w:rPr>
        <w:t>r</w:t>
      </w:r>
      <w:r>
        <w:rPr>
          <w:rFonts w:eastAsiaTheme="majorEastAsia"/>
          <w:b/>
          <w:bCs/>
        </w:rPr>
        <w:t xml:space="preserve">ecommended </w:t>
      </w:r>
      <w:r w:rsidR="00E66C69">
        <w:rPr>
          <w:rFonts w:eastAsiaTheme="majorEastAsia"/>
          <w:b/>
          <w:bCs/>
        </w:rPr>
        <w:t>o</w:t>
      </w:r>
      <w:r>
        <w:rPr>
          <w:rFonts w:eastAsiaTheme="majorEastAsia"/>
          <w:b/>
          <w:bCs/>
        </w:rPr>
        <w:t xml:space="preserve">ption: </w:t>
      </w:r>
      <w:r w:rsidR="00994E1B">
        <w:t xml:space="preserve">The recommended policy option in relation to both participation and completion headcount is reported in Tables </w:t>
      </w:r>
      <w:r w:rsidR="00DF0E95">
        <w:t>G</w:t>
      </w:r>
      <w:r w:rsidR="00994E1B">
        <w:t xml:space="preserve"> and </w:t>
      </w:r>
      <w:r w:rsidR="00DF0E95">
        <w:t>H</w:t>
      </w:r>
      <w:r w:rsidR="00994E1B">
        <w:t xml:space="preserve"> below. These report the projected headcounts in 2050, the growth in headcount between 2021 and 2050, and each equity group’s share of total growth in undergraduate headcount.     </w:t>
      </w:r>
      <w:r w:rsidR="00994E1B">
        <w:br/>
      </w:r>
    </w:p>
    <w:p w14:paraId="1C1A593B" w14:textId="4E11AEFA" w:rsidR="00994E1B" w:rsidRPr="00D87ECA" w:rsidRDefault="00994E1B" w:rsidP="008B1103">
      <w:pPr>
        <w:spacing w:before="240" w:line="240" w:lineRule="auto"/>
        <w:ind w:left="426"/>
        <w:rPr>
          <w:rFonts w:cstheme="minorHAnsi"/>
          <w:color w:val="000000"/>
          <w:sz w:val="18"/>
          <w:szCs w:val="18"/>
          <w:lang w:eastAsia="en-AU"/>
        </w:rPr>
      </w:pPr>
      <w:r w:rsidRPr="00185BAE">
        <w:rPr>
          <w:rFonts w:cstheme="minorHAnsi"/>
          <w:b/>
          <w:bCs/>
          <w:color w:val="000000"/>
          <w:sz w:val="18"/>
          <w:szCs w:val="18"/>
          <w:lang w:eastAsia="en-AU"/>
        </w:rPr>
        <w:t xml:space="preserve">Table </w:t>
      </w:r>
      <w:r w:rsidR="00DF0E95">
        <w:rPr>
          <w:rFonts w:cstheme="minorHAnsi"/>
          <w:b/>
          <w:bCs/>
          <w:color w:val="000000"/>
          <w:sz w:val="18"/>
          <w:szCs w:val="18"/>
          <w:lang w:eastAsia="en-AU"/>
        </w:rPr>
        <w:t>G</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Pr>
          <w:rFonts w:cstheme="minorHAnsi"/>
          <w:color w:val="000000"/>
          <w:sz w:val="18"/>
          <w:szCs w:val="18"/>
          <w:lang w:eastAsia="en-AU"/>
        </w:rPr>
        <w:t xml:space="preserve">Participation – the Equal Effort Option to meet a </w:t>
      </w:r>
      <w:r>
        <w:rPr>
          <w:rFonts w:cstheme="minorHAnsi"/>
          <w:i/>
          <w:iCs/>
          <w:color w:val="000000"/>
          <w:sz w:val="18"/>
          <w:szCs w:val="18"/>
          <w:lang w:eastAsia="en-AU"/>
        </w:rPr>
        <w:t>State/Territory (Home Institutions</w:t>
      </w:r>
      <w:r>
        <w:rPr>
          <w:rFonts w:cstheme="minorHAnsi"/>
          <w:color w:val="000000"/>
          <w:sz w:val="18"/>
          <w:szCs w:val="18"/>
          <w:lang w:eastAsia="en-AU"/>
        </w:rPr>
        <w:t xml:space="preserve">) Parity Target </w:t>
      </w:r>
      <w:r>
        <w:rPr>
          <w:rFonts w:cstheme="minorHAnsi"/>
          <w:color w:val="000000"/>
          <w:sz w:val="18"/>
          <w:szCs w:val="18"/>
          <w:lang w:eastAsia="en-AU"/>
        </w:rPr>
        <w:br/>
        <w:t>in 2050.</w:t>
      </w:r>
    </w:p>
    <w:tbl>
      <w:tblPr>
        <w:tblW w:w="891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63"/>
        <w:gridCol w:w="1838"/>
        <w:gridCol w:w="1837"/>
        <w:gridCol w:w="1838"/>
      </w:tblGrid>
      <w:tr w:rsidR="00001984" w:rsidRPr="009B6407" w14:paraId="58359DAB" w14:textId="77777777" w:rsidTr="008B1103">
        <w:trPr>
          <w:trHeight w:val="1018"/>
        </w:trPr>
        <w:tc>
          <w:tcPr>
            <w:tcW w:w="1843" w:type="dxa"/>
            <w:shd w:val="clear" w:color="auto" w:fill="auto"/>
            <w:noWrap/>
            <w:vAlign w:val="center"/>
            <w:hideMark/>
          </w:tcPr>
          <w:p w14:paraId="2BC77366" w14:textId="77777777" w:rsidR="00001984" w:rsidRPr="009B6407" w:rsidRDefault="00001984">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563" w:type="dxa"/>
            <w:shd w:val="clear" w:color="auto" w:fill="6B3B57"/>
            <w:vAlign w:val="center"/>
            <w:hideMark/>
          </w:tcPr>
          <w:p w14:paraId="1DA2EBEB" w14:textId="77777777" w:rsidR="00001984" w:rsidRPr="00634F7E" w:rsidRDefault="000019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2021</w:t>
            </w:r>
          </w:p>
        </w:tc>
        <w:tc>
          <w:tcPr>
            <w:tcW w:w="1838" w:type="dxa"/>
            <w:shd w:val="clear" w:color="auto" w:fill="6B3B57"/>
            <w:vAlign w:val="center"/>
            <w:hideMark/>
          </w:tcPr>
          <w:p w14:paraId="0E416460" w14:textId="77777777" w:rsidR="00001984" w:rsidRPr="00634F7E" w:rsidRDefault="000019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 xml:space="preserve">2050 </w:t>
            </w:r>
          </w:p>
          <w:p w14:paraId="7DB46DB8" w14:textId="77777777" w:rsidR="00001984" w:rsidRPr="00634F7E" w:rsidRDefault="000019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Equal Effort</w:t>
            </w:r>
          </w:p>
          <w:p w14:paraId="0DE22A8D" w14:textId="77777777" w:rsidR="00001984" w:rsidRPr="00634F7E" w:rsidRDefault="00001984">
            <w:pPr>
              <w:spacing w:after="0" w:line="240" w:lineRule="auto"/>
              <w:jc w:val="center"/>
              <w:rPr>
                <w:rFonts w:cs="Arial"/>
                <w:b/>
                <w:bCs/>
                <w:color w:val="FFFFFF"/>
                <w:sz w:val="18"/>
                <w:szCs w:val="18"/>
                <w:lang w:eastAsia="en-AU"/>
              </w:rPr>
            </w:pPr>
          </w:p>
        </w:tc>
        <w:tc>
          <w:tcPr>
            <w:tcW w:w="1837" w:type="dxa"/>
            <w:shd w:val="clear" w:color="auto" w:fill="6B3B57"/>
            <w:vAlign w:val="center"/>
          </w:tcPr>
          <w:p w14:paraId="38871CB2" w14:textId="77777777" w:rsidR="00001984" w:rsidRPr="00634F7E" w:rsidRDefault="000019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Growth (headcount)</w:t>
            </w:r>
          </w:p>
        </w:tc>
        <w:tc>
          <w:tcPr>
            <w:tcW w:w="1838" w:type="dxa"/>
            <w:shd w:val="clear" w:color="auto" w:fill="6B3B57"/>
            <w:vAlign w:val="center"/>
          </w:tcPr>
          <w:p w14:paraId="3264985B" w14:textId="77777777" w:rsidR="00001984" w:rsidRPr="00634F7E" w:rsidRDefault="000019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Share of Growth (%)</w:t>
            </w:r>
          </w:p>
        </w:tc>
      </w:tr>
      <w:tr w:rsidR="00001984" w:rsidRPr="009B6407" w14:paraId="2469E2D4" w14:textId="77777777" w:rsidTr="008B1103">
        <w:trPr>
          <w:trHeight w:val="315"/>
        </w:trPr>
        <w:tc>
          <w:tcPr>
            <w:tcW w:w="1843" w:type="dxa"/>
            <w:shd w:val="clear" w:color="auto" w:fill="auto"/>
            <w:noWrap/>
            <w:vAlign w:val="center"/>
            <w:hideMark/>
          </w:tcPr>
          <w:p w14:paraId="1BEE9552" w14:textId="77777777" w:rsidR="00001984" w:rsidRPr="009B6407" w:rsidRDefault="00001984">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563" w:type="dxa"/>
            <w:shd w:val="clear" w:color="auto" w:fill="auto"/>
            <w:noWrap/>
            <w:vAlign w:val="center"/>
          </w:tcPr>
          <w:p w14:paraId="2AE3295B" w14:textId="77777777" w:rsidR="00001984" w:rsidRPr="009C2545" w:rsidRDefault="00001984" w:rsidP="00526D91">
            <w:pPr>
              <w:spacing w:after="0" w:line="240" w:lineRule="auto"/>
              <w:ind w:right="461"/>
              <w:jc w:val="right"/>
              <w:rPr>
                <w:rFonts w:cs="Arial"/>
                <w:b/>
                <w:bCs/>
                <w:color w:val="000000"/>
                <w:sz w:val="18"/>
                <w:szCs w:val="18"/>
                <w:lang w:eastAsia="en-AU"/>
              </w:rPr>
            </w:pPr>
            <w:r w:rsidRPr="006928B5">
              <w:rPr>
                <w:b/>
                <w:bCs/>
                <w:sz w:val="18"/>
                <w:szCs w:val="18"/>
              </w:rPr>
              <w:t>784,219</w:t>
            </w:r>
          </w:p>
        </w:tc>
        <w:tc>
          <w:tcPr>
            <w:tcW w:w="1838" w:type="dxa"/>
            <w:shd w:val="clear" w:color="auto" w:fill="EFE2E7" w:themeFill="text1" w:themeFillTint="1A"/>
            <w:noWrap/>
            <w:vAlign w:val="center"/>
          </w:tcPr>
          <w:p w14:paraId="67B6553C" w14:textId="77777777" w:rsidR="00001984" w:rsidRPr="009C2545" w:rsidRDefault="00001984" w:rsidP="00526D91">
            <w:pPr>
              <w:spacing w:after="0" w:line="240" w:lineRule="auto"/>
              <w:ind w:right="461"/>
              <w:jc w:val="right"/>
              <w:rPr>
                <w:rFonts w:cs="Arial"/>
                <w:b/>
                <w:bCs/>
                <w:color w:val="000000"/>
                <w:sz w:val="18"/>
                <w:szCs w:val="18"/>
                <w:lang w:eastAsia="en-AU"/>
              </w:rPr>
            </w:pPr>
            <w:r w:rsidRPr="006928B5">
              <w:rPr>
                <w:b/>
                <w:bCs/>
                <w:sz w:val="18"/>
                <w:szCs w:val="18"/>
              </w:rPr>
              <w:t>1,761,463</w:t>
            </w:r>
          </w:p>
        </w:tc>
        <w:tc>
          <w:tcPr>
            <w:tcW w:w="1837" w:type="dxa"/>
            <w:shd w:val="clear" w:color="auto" w:fill="auto"/>
            <w:noWrap/>
            <w:vAlign w:val="center"/>
          </w:tcPr>
          <w:p w14:paraId="58F0BC15" w14:textId="77777777" w:rsidR="00001984" w:rsidRPr="009C2545" w:rsidRDefault="00001984" w:rsidP="00526D91">
            <w:pPr>
              <w:spacing w:after="0" w:line="240" w:lineRule="auto"/>
              <w:ind w:right="461"/>
              <w:jc w:val="right"/>
              <w:rPr>
                <w:rFonts w:cs="Arial"/>
                <w:b/>
                <w:bCs/>
                <w:color w:val="000000"/>
                <w:sz w:val="18"/>
                <w:szCs w:val="18"/>
                <w:lang w:eastAsia="en-AU"/>
              </w:rPr>
            </w:pPr>
            <w:r w:rsidRPr="009C2545">
              <w:rPr>
                <w:rFonts w:cs="Arial"/>
                <w:b/>
                <w:bCs/>
                <w:color w:val="000000"/>
                <w:sz w:val="18"/>
                <w:szCs w:val="18"/>
              </w:rPr>
              <w:t>977,244</w:t>
            </w:r>
          </w:p>
        </w:tc>
        <w:tc>
          <w:tcPr>
            <w:tcW w:w="1838" w:type="dxa"/>
            <w:vAlign w:val="center"/>
          </w:tcPr>
          <w:p w14:paraId="266C50F1" w14:textId="77777777" w:rsidR="00001984" w:rsidRPr="006928B5" w:rsidDel="00961A47" w:rsidRDefault="00001984" w:rsidP="00526D91">
            <w:pPr>
              <w:spacing w:after="0" w:line="240" w:lineRule="auto"/>
              <w:ind w:right="461"/>
              <w:jc w:val="right"/>
              <w:rPr>
                <w:b/>
                <w:bCs/>
                <w:sz w:val="18"/>
                <w:szCs w:val="18"/>
              </w:rPr>
            </w:pPr>
            <w:r w:rsidRPr="006928B5">
              <w:rPr>
                <w:rFonts w:cs="Arial"/>
                <w:b/>
                <w:bCs/>
                <w:color w:val="000000"/>
                <w:sz w:val="18"/>
                <w:szCs w:val="18"/>
              </w:rPr>
              <w:t>- </w:t>
            </w:r>
          </w:p>
        </w:tc>
      </w:tr>
      <w:tr w:rsidR="00001984" w:rsidRPr="009B6407" w14:paraId="4794B5A3" w14:textId="77777777" w:rsidTr="008B1103">
        <w:trPr>
          <w:trHeight w:val="315"/>
        </w:trPr>
        <w:tc>
          <w:tcPr>
            <w:tcW w:w="1843" w:type="dxa"/>
            <w:shd w:val="clear" w:color="auto" w:fill="auto"/>
            <w:noWrap/>
            <w:vAlign w:val="center"/>
            <w:hideMark/>
          </w:tcPr>
          <w:p w14:paraId="0D2F981D" w14:textId="77777777" w:rsidR="00001984" w:rsidRPr="009B6407" w:rsidRDefault="00001984">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563" w:type="dxa"/>
            <w:shd w:val="clear" w:color="auto" w:fill="auto"/>
            <w:noWrap/>
            <w:vAlign w:val="center"/>
          </w:tcPr>
          <w:p w14:paraId="75EB53BE"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13</w:t>
            </w:r>
            <w:r>
              <w:rPr>
                <w:sz w:val="18"/>
                <w:szCs w:val="18"/>
              </w:rPr>
              <w:t>3</w:t>
            </w:r>
            <w:r w:rsidRPr="006928B5">
              <w:rPr>
                <w:sz w:val="18"/>
                <w:szCs w:val="18"/>
              </w:rPr>
              <w:t>,</w:t>
            </w:r>
            <w:r>
              <w:rPr>
                <w:sz w:val="18"/>
                <w:szCs w:val="18"/>
              </w:rPr>
              <w:t>901</w:t>
            </w:r>
          </w:p>
        </w:tc>
        <w:tc>
          <w:tcPr>
            <w:tcW w:w="1838" w:type="dxa"/>
            <w:shd w:val="clear" w:color="auto" w:fill="EFE2E7" w:themeFill="text1" w:themeFillTint="1A"/>
            <w:noWrap/>
            <w:vAlign w:val="center"/>
          </w:tcPr>
          <w:p w14:paraId="5FF89D9A"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41</w:t>
            </w:r>
            <w:r>
              <w:rPr>
                <w:sz w:val="18"/>
                <w:szCs w:val="18"/>
              </w:rPr>
              <w:t>6</w:t>
            </w:r>
            <w:r w:rsidRPr="006928B5">
              <w:rPr>
                <w:sz w:val="18"/>
                <w:szCs w:val="18"/>
              </w:rPr>
              <w:t>,</w:t>
            </w:r>
            <w:r>
              <w:rPr>
                <w:sz w:val="18"/>
                <w:szCs w:val="18"/>
              </w:rPr>
              <w:t>354</w:t>
            </w:r>
          </w:p>
        </w:tc>
        <w:tc>
          <w:tcPr>
            <w:tcW w:w="1837" w:type="dxa"/>
            <w:shd w:val="clear" w:color="auto" w:fill="auto"/>
            <w:noWrap/>
            <w:vAlign w:val="center"/>
          </w:tcPr>
          <w:p w14:paraId="5FC30744" w14:textId="77777777" w:rsidR="00001984" w:rsidRPr="00BF2FDF" w:rsidRDefault="00001984" w:rsidP="00526D91">
            <w:pPr>
              <w:spacing w:after="0" w:line="240" w:lineRule="auto"/>
              <w:ind w:right="461"/>
              <w:jc w:val="right"/>
              <w:rPr>
                <w:rFonts w:cs="Arial"/>
                <w:color w:val="000000"/>
                <w:sz w:val="18"/>
                <w:szCs w:val="18"/>
                <w:lang w:eastAsia="en-AU"/>
              </w:rPr>
            </w:pPr>
            <w:r w:rsidRPr="006928B5">
              <w:rPr>
                <w:rFonts w:cs="Arial"/>
                <w:color w:val="000000"/>
                <w:sz w:val="18"/>
                <w:szCs w:val="18"/>
              </w:rPr>
              <w:t>28</w:t>
            </w:r>
            <w:r>
              <w:rPr>
                <w:rFonts w:cs="Arial"/>
                <w:color w:val="000000"/>
                <w:sz w:val="18"/>
                <w:szCs w:val="18"/>
              </w:rPr>
              <w:t>2</w:t>
            </w:r>
            <w:r w:rsidRPr="006928B5">
              <w:rPr>
                <w:rFonts w:cs="Arial"/>
                <w:color w:val="000000"/>
                <w:sz w:val="18"/>
                <w:szCs w:val="18"/>
              </w:rPr>
              <w:t>,</w:t>
            </w:r>
            <w:r>
              <w:rPr>
                <w:rFonts w:cs="Arial"/>
                <w:color w:val="000000"/>
                <w:sz w:val="18"/>
                <w:szCs w:val="18"/>
              </w:rPr>
              <w:t>453</w:t>
            </w:r>
          </w:p>
        </w:tc>
        <w:tc>
          <w:tcPr>
            <w:tcW w:w="1838" w:type="dxa"/>
            <w:vAlign w:val="center"/>
          </w:tcPr>
          <w:p w14:paraId="57FAB23D" w14:textId="77777777" w:rsidR="00001984" w:rsidRPr="007B51E8" w:rsidDel="00961A47" w:rsidRDefault="00001984" w:rsidP="00526D91">
            <w:pPr>
              <w:spacing w:after="0" w:line="240" w:lineRule="auto"/>
              <w:ind w:right="461"/>
              <w:jc w:val="right"/>
              <w:rPr>
                <w:sz w:val="18"/>
                <w:szCs w:val="18"/>
              </w:rPr>
            </w:pPr>
            <w:r>
              <w:rPr>
                <w:rFonts w:cs="Arial"/>
                <w:color w:val="000000"/>
                <w:sz w:val="18"/>
                <w:szCs w:val="18"/>
              </w:rPr>
              <w:t>28.9</w:t>
            </w:r>
          </w:p>
        </w:tc>
      </w:tr>
      <w:tr w:rsidR="00001984" w:rsidRPr="009B6407" w14:paraId="3A980C5B" w14:textId="77777777" w:rsidTr="008B1103">
        <w:trPr>
          <w:trHeight w:val="315"/>
        </w:trPr>
        <w:tc>
          <w:tcPr>
            <w:tcW w:w="1843" w:type="dxa"/>
            <w:shd w:val="clear" w:color="auto" w:fill="auto"/>
            <w:noWrap/>
            <w:vAlign w:val="center"/>
            <w:hideMark/>
          </w:tcPr>
          <w:p w14:paraId="2F090223" w14:textId="77777777" w:rsidR="00001984" w:rsidRPr="009B6407" w:rsidRDefault="00001984">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563" w:type="dxa"/>
            <w:shd w:val="clear" w:color="auto" w:fill="auto"/>
            <w:noWrap/>
            <w:vAlign w:val="center"/>
          </w:tcPr>
          <w:p w14:paraId="07A3BCFA"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1</w:t>
            </w:r>
            <w:r>
              <w:rPr>
                <w:sz w:val="18"/>
                <w:szCs w:val="18"/>
              </w:rPr>
              <w:t>60</w:t>
            </w:r>
            <w:r w:rsidRPr="006928B5">
              <w:rPr>
                <w:sz w:val="18"/>
                <w:szCs w:val="18"/>
              </w:rPr>
              <w:t>,5</w:t>
            </w:r>
            <w:r>
              <w:rPr>
                <w:sz w:val="18"/>
                <w:szCs w:val="18"/>
              </w:rPr>
              <w:t>42</w:t>
            </w:r>
          </w:p>
        </w:tc>
        <w:tc>
          <w:tcPr>
            <w:tcW w:w="1838" w:type="dxa"/>
            <w:shd w:val="clear" w:color="auto" w:fill="EFE2E7" w:themeFill="text1" w:themeFillTint="1A"/>
            <w:noWrap/>
            <w:vAlign w:val="center"/>
          </w:tcPr>
          <w:p w14:paraId="2F958881"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49</w:t>
            </w:r>
            <w:r>
              <w:rPr>
                <w:sz w:val="18"/>
                <w:szCs w:val="18"/>
              </w:rPr>
              <w:t>2</w:t>
            </w:r>
            <w:r w:rsidRPr="006928B5">
              <w:rPr>
                <w:sz w:val="18"/>
                <w:szCs w:val="18"/>
              </w:rPr>
              <w:t>,</w:t>
            </w:r>
            <w:r>
              <w:rPr>
                <w:sz w:val="18"/>
                <w:szCs w:val="18"/>
              </w:rPr>
              <w:t>025</w:t>
            </w:r>
          </w:p>
        </w:tc>
        <w:tc>
          <w:tcPr>
            <w:tcW w:w="1837" w:type="dxa"/>
            <w:shd w:val="clear" w:color="auto" w:fill="auto"/>
            <w:noWrap/>
            <w:vAlign w:val="center"/>
          </w:tcPr>
          <w:p w14:paraId="16A293DC" w14:textId="77777777" w:rsidR="00001984" w:rsidRPr="00BF2FDF" w:rsidRDefault="00001984" w:rsidP="00526D91">
            <w:pPr>
              <w:spacing w:after="0" w:line="240" w:lineRule="auto"/>
              <w:ind w:right="461"/>
              <w:jc w:val="right"/>
              <w:rPr>
                <w:rFonts w:cs="Arial"/>
                <w:color w:val="000000"/>
                <w:sz w:val="18"/>
                <w:szCs w:val="18"/>
                <w:lang w:eastAsia="en-AU"/>
              </w:rPr>
            </w:pPr>
            <w:r w:rsidRPr="006928B5">
              <w:rPr>
                <w:rFonts w:cs="Arial"/>
                <w:color w:val="000000"/>
                <w:sz w:val="18"/>
                <w:szCs w:val="18"/>
              </w:rPr>
              <w:t>3</w:t>
            </w:r>
            <w:r>
              <w:rPr>
                <w:rFonts w:cs="Arial"/>
                <w:color w:val="000000"/>
                <w:sz w:val="18"/>
                <w:szCs w:val="18"/>
              </w:rPr>
              <w:t>31</w:t>
            </w:r>
            <w:r w:rsidRPr="006928B5">
              <w:rPr>
                <w:rFonts w:cs="Arial"/>
                <w:color w:val="000000"/>
                <w:sz w:val="18"/>
                <w:szCs w:val="18"/>
              </w:rPr>
              <w:t>,4</w:t>
            </w:r>
            <w:r>
              <w:rPr>
                <w:rFonts w:cs="Arial"/>
                <w:color w:val="000000"/>
                <w:sz w:val="18"/>
                <w:szCs w:val="18"/>
              </w:rPr>
              <w:t>83</w:t>
            </w:r>
          </w:p>
        </w:tc>
        <w:tc>
          <w:tcPr>
            <w:tcW w:w="1838" w:type="dxa"/>
            <w:vAlign w:val="center"/>
          </w:tcPr>
          <w:p w14:paraId="760F0DF9" w14:textId="77777777" w:rsidR="00001984" w:rsidRPr="007B51E8" w:rsidDel="00961A47" w:rsidRDefault="00001984" w:rsidP="00526D91">
            <w:pPr>
              <w:spacing w:after="0" w:line="240" w:lineRule="auto"/>
              <w:ind w:right="461"/>
              <w:jc w:val="right"/>
              <w:rPr>
                <w:sz w:val="18"/>
                <w:szCs w:val="18"/>
              </w:rPr>
            </w:pPr>
            <w:r>
              <w:rPr>
                <w:rFonts w:cs="Arial"/>
                <w:color w:val="000000"/>
                <w:sz w:val="18"/>
                <w:szCs w:val="18"/>
              </w:rPr>
              <w:t>33.9</w:t>
            </w:r>
          </w:p>
        </w:tc>
      </w:tr>
      <w:tr w:rsidR="00001984" w:rsidRPr="009B6407" w14:paraId="3B3C32B3" w14:textId="77777777" w:rsidTr="008B1103">
        <w:trPr>
          <w:trHeight w:val="315"/>
        </w:trPr>
        <w:tc>
          <w:tcPr>
            <w:tcW w:w="1843" w:type="dxa"/>
            <w:shd w:val="clear" w:color="auto" w:fill="auto"/>
            <w:noWrap/>
            <w:vAlign w:val="center"/>
            <w:hideMark/>
          </w:tcPr>
          <w:p w14:paraId="761EE57C" w14:textId="77777777" w:rsidR="00001984" w:rsidRPr="009B6407" w:rsidRDefault="00001984">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563" w:type="dxa"/>
            <w:shd w:val="clear" w:color="auto" w:fill="auto"/>
            <w:noWrap/>
            <w:vAlign w:val="center"/>
          </w:tcPr>
          <w:p w14:paraId="1A56AB81"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16,383</w:t>
            </w:r>
          </w:p>
        </w:tc>
        <w:tc>
          <w:tcPr>
            <w:tcW w:w="1838" w:type="dxa"/>
            <w:shd w:val="clear" w:color="auto" w:fill="EFE2E7" w:themeFill="text1" w:themeFillTint="1A"/>
            <w:noWrap/>
            <w:vAlign w:val="center"/>
          </w:tcPr>
          <w:p w14:paraId="09FE253F"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80,002</w:t>
            </w:r>
          </w:p>
        </w:tc>
        <w:tc>
          <w:tcPr>
            <w:tcW w:w="1837" w:type="dxa"/>
            <w:shd w:val="clear" w:color="auto" w:fill="auto"/>
            <w:noWrap/>
            <w:vAlign w:val="center"/>
          </w:tcPr>
          <w:p w14:paraId="75E789E5" w14:textId="77777777" w:rsidR="00001984" w:rsidRPr="00BF2FDF" w:rsidRDefault="00001984" w:rsidP="00526D91">
            <w:pPr>
              <w:spacing w:after="0" w:line="240" w:lineRule="auto"/>
              <w:ind w:right="461"/>
              <w:jc w:val="right"/>
              <w:rPr>
                <w:rFonts w:cs="Arial"/>
                <w:color w:val="000000"/>
                <w:sz w:val="18"/>
                <w:szCs w:val="18"/>
                <w:lang w:eastAsia="en-AU"/>
              </w:rPr>
            </w:pPr>
            <w:r w:rsidRPr="006928B5">
              <w:rPr>
                <w:rFonts w:cs="Arial"/>
                <w:color w:val="000000"/>
                <w:sz w:val="18"/>
                <w:szCs w:val="18"/>
              </w:rPr>
              <w:t>63,619</w:t>
            </w:r>
          </w:p>
        </w:tc>
        <w:tc>
          <w:tcPr>
            <w:tcW w:w="1838" w:type="dxa"/>
            <w:vAlign w:val="center"/>
          </w:tcPr>
          <w:p w14:paraId="4EA2163E" w14:textId="77777777" w:rsidR="00001984" w:rsidRPr="007B51E8" w:rsidDel="00961A47" w:rsidRDefault="00001984" w:rsidP="00526D91">
            <w:pPr>
              <w:spacing w:after="0" w:line="240" w:lineRule="auto"/>
              <w:ind w:right="461"/>
              <w:jc w:val="right"/>
              <w:rPr>
                <w:sz w:val="18"/>
                <w:szCs w:val="18"/>
              </w:rPr>
            </w:pPr>
            <w:r>
              <w:rPr>
                <w:rFonts w:cs="Arial"/>
                <w:color w:val="000000"/>
                <w:sz w:val="18"/>
                <w:szCs w:val="18"/>
              </w:rPr>
              <w:t>6.5</w:t>
            </w:r>
          </w:p>
        </w:tc>
      </w:tr>
      <w:tr w:rsidR="00001984" w:rsidRPr="009B6407" w14:paraId="169D74DF" w14:textId="77777777" w:rsidTr="008B1103">
        <w:trPr>
          <w:trHeight w:val="315"/>
        </w:trPr>
        <w:tc>
          <w:tcPr>
            <w:tcW w:w="1843" w:type="dxa"/>
            <w:shd w:val="clear" w:color="auto" w:fill="auto"/>
            <w:noWrap/>
            <w:vAlign w:val="center"/>
            <w:hideMark/>
          </w:tcPr>
          <w:p w14:paraId="0F71BF44" w14:textId="77777777" w:rsidR="00001984" w:rsidRPr="009B6407" w:rsidRDefault="00001984">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563" w:type="dxa"/>
            <w:shd w:val="clear" w:color="auto" w:fill="auto"/>
            <w:noWrap/>
            <w:vAlign w:val="center"/>
          </w:tcPr>
          <w:p w14:paraId="19C35D10"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80,769</w:t>
            </w:r>
          </w:p>
        </w:tc>
        <w:tc>
          <w:tcPr>
            <w:tcW w:w="1838" w:type="dxa"/>
            <w:shd w:val="clear" w:color="auto" w:fill="EFE2E7" w:themeFill="text1" w:themeFillTint="1A"/>
            <w:noWrap/>
            <w:vAlign w:val="center"/>
          </w:tcPr>
          <w:p w14:paraId="76D5DB9E" w14:textId="77777777" w:rsidR="00001984" w:rsidRPr="001E2EFA" w:rsidRDefault="00001984" w:rsidP="00526D91">
            <w:pPr>
              <w:spacing w:after="0" w:line="240" w:lineRule="auto"/>
              <w:ind w:right="461"/>
              <w:jc w:val="right"/>
              <w:rPr>
                <w:rFonts w:cs="Arial"/>
                <w:color w:val="000000"/>
                <w:sz w:val="18"/>
                <w:szCs w:val="18"/>
                <w:lang w:eastAsia="en-AU"/>
              </w:rPr>
            </w:pPr>
            <w:r w:rsidRPr="006928B5">
              <w:rPr>
                <w:sz w:val="18"/>
                <w:szCs w:val="18"/>
              </w:rPr>
              <w:t>181,849</w:t>
            </w:r>
          </w:p>
        </w:tc>
        <w:tc>
          <w:tcPr>
            <w:tcW w:w="1837" w:type="dxa"/>
            <w:shd w:val="clear" w:color="auto" w:fill="auto"/>
            <w:noWrap/>
            <w:vAlign w:val="center"/>
          </w:tcPr>
          <w:p w14:paraId="05572E12" w14:textId="77777777" w:rsidR="00001984" w:rsidRPr="00BF2FDF" w:rsidRDefault="00001984" w:rsidP="00526D91">
            <w:pPr>
              <w:spacing w:after="0" w:line="240" w:lineRule="auto"/>
              <w:ind w:right="461"/>
              <w:jc w:val="right"/>
              <w:rPr>
                <w:rFonts w:cs="Arial"/>
                <w:color w:val="000000"/>
                <w:sz w:val="18"/>
                <w:szCs w:val="18"/>
                <w:lang w:eastAsia="en-AU"/>
              </w:rPr>
            </w:pPr>
            <w:r w:rsidRPr="006928B5">
              <w:rPr>
                <w:rFonts w:cs="Arial"/>
                <w:color w:val="000000"/>
                <w:sz w:val="18"/>
                <w:szCs w:val="18"/>
              </w:rPr>
              <w:t>101,080</w:t>
            </w:r>
          </w:p>
        </w:tc>
        <w:tc>
          <w:tcPr>
            <w:tcW w:w="1838" w:type="dxa"/>
            <w:vAlign w:val="center"/>
          </w:tcPr>
          <w:p w14:paraId="7C8F0AC7" w14:textId="77777777" w:rsidR="00001984" w:rsidRPr="007B51E8" w:rsidDel="00961A47" w:rsidRDefault="00001984" w:rsidP="00526D91">
            <w:pPr>
              <w:spacing w:after="0" w:line="240" w:lineRule="auto"/>
              <w:ind w:right="461"/>
              <w:jc w:val="right"/>
              <w:rPr>
                <w:sz w:val="18"/>
                <w:szCs w:val="18"/>
              </w:rPr>
            </w:pPr>
            <w:r>
              <w:rPr>
                <w:rFonts w:cs="Arial"/>
                <w:color w:val="000000"/>
                <w:sz w:val="18"/>
                <w:szCs w:val="18"/>
              </w:rPr>
              <w:t>10.3</w:t>
            </w:r>
          </w:p>
        </w:tc>
      </w:tr>
      <w:tr w:rsidR="00001984" w:rsidRPr="009B6407" w14:paraId="713D596B" w14:textId="77777777" w:rsidTr="008B1103">
        <w:trPr>
          <w:trHeight w:val="315"/>
        </w:trPr>
        <w:tc>
          <w:tcPr>
            <w:tcW w:w="1843" w:type="dxa"/>
            <w:shd w:val="clear" w:color="auto" w:fill="auto"/>
            <w:noWrap/>
            <w:vAlign w:val="center"/>
            <w:hideMark/>
          </w:tcPr>
          <w:p w14:paraId="31995D2A" w14:textId="0DA02AFE" w:rsidR="00001984" w:rsidRPr="00731C99" w:rsidRDefault="00001984">
            <w:pPr>
              <w:spacing w:after="0" w:line="240" w:lineRule="auto"/>
              <w:rPr>
                <w:rFonts w:cs="Arial"/>
                <w:b/>
                <w:bCs/>
                <w:i/>
                <w:iCs/>
                <w:color w:val="000000"/>
                <w:sz w:val="18"/>
                <w:szCs w:val="18"/>
                <w:lang w:eastAsia="en-AU"/>
              </w:rPr>
            </w:pPr>
            <w:r w:rsidRPr="00731C99">
              <w:rPr>
                <w:rFonts w:cs="Arial"/>
                <w:b/>
                <w:bCs/>
                <w:i/>
                <w:iCs/>
                <w:color w:val="000000"/>
                <w:sz w:val="18"/>
                <w:szCs w:val="18"/>
                <w:lang w:eastAsia="en-AU"/>
              </w:rPr>
              <w:t>Equity Group</w:t>
            </w:r>
          </w:p>
        </w:tc>
        <w:tc>
          <w:tcPr>
            <w:tcW w:w="1563" w:type="dxa"/>
            <w:shd w:val="clear" w:color="auto" w:fill="auto"/>
            <w:noWrap/>
            <w:vAlign w:val="center"/>
          </w:tcPr>
          <w:p w14:paraId="6397D90A" w14:textId="77777777" w:rsidR="00001984" w:rsidRPr="00731C99" w:rsidRDefault="00001984" w:rsidP="00526D91">
            <w:pPr>
              <w:spacing w:after="0" w:line="240" w:lineRule="auto"/>
              <w:ind w:right="461"/>
              <w:jc w:val="right"/>
              <w:rPr>
                <w:rFonts w:cs="Arial"/>
                <w:b/>
                <w:bCs/>
                <w:color w:val="000000"/>
                <w:sz w:val="18"/>
                <w:szCs w:val="18"/>
                <w:lang w:eastAsia="en-AU"/>
              </w:rPr>
            </w:pPr>
            <w:r w:rsidRPr="00731C99">
              <w:rPr>
                <w:b/>
                <w:bCs/>
                <w:sz w:val="18"/>
                <w:szCs w:val="18"/>
              </w:rPr>
              <w:t>309,360</w:t>
            </w:r>
          </w:p>
        </w:tc>
        <w:tc>
          <w:tcPr>
            <w:tcW w:w="1838" w:type="dxa"/>
            <w:shd w:val="clear" w:color="auto" w:fill="EFE2E7" w:themeFill="text1" w:themeFillTint="1A"/>
            <w:noWrap/>
            <w:vAlign w:val="center"/>
          </w:tcPr>
          <w:p w14:paraId="536E4B18" w14:textId="77777777" w:rsidR="00001984" w:rsidRPr="00731C99" w:rsidRDefault="00001984" w:rsidP="00526D91">
            <w:pPr>
              <w:spacing w:after="0" w:line="240" w:lineRule="auto"/>
              <w:ind w:right="461"/>
              <w:jc w:val="right"/>
              <w:rPr>
                <w:rFonts w:cs="Arial"/>
                <w:b/>
                <w:bCs/>
                <w:color w:val="000000"/>
                <w:sz w:val="18"/>
                <w:szCs w:val="18"/>
                <w:lang w:eastAsia="en-AU"/>
              </w:rPr>
            </w:pPr>
            <w:r w:rsidRPr="00731C99">
              <w:rPr>
                <w:b/>
                <w:bCs/>
                <w:sz w:val="18"/>
                <w:szCs w:val="18"/>
              </w:rPr>
              <w:t>924,481</w:t>
            </w:r>
          </w:p>
        </w:tc>
        <w:tc>
          <w:tcPr>
            <w:tcW w:w="1837" w:type="dxa"/>
            <w:shd w:val="clear" w:color="auto" w:fill="auto"/>
            <w:noWrap/>
            <w:vAlign w:val="center"/>
          </w:tcPr>
          <w:p w14:paraId="4943B83A" w14:textId="77777777" w:rsidR="00001984" w:rsidRPr="00731C99" w:rsidRDefault="00001984" w:rsidP="00526D91">
            <w:pPr>
              <w:spacing w:after="0" w:line="240" w:lineRule="auto"/>
              <w:ind w:right="461"/>
              <w:jc w:val="right"/>
              <w:rPr>
                <w:rFonts w:cs="Arial"/>
                <w:b/>
                <w:bCs/>
                <w:color w:val="000000"/>
                <w:sz w:val="18"/>
                <w:szCs w:val="18"/>
                <w:lang w:eastAsia="en-AU"/>
              </w:rPr>
            </w:pPr>
            <w:r w:rsidRPr="00731C99">
              <w:rPr>
                <w:rFonts w:cs="Arial"/>
                <w:b/>
                <w:bCs/>
                <w:color w:val="000000"/>
                <w:sz w:val="18"/>
                <w:szCs w:val="18"/>
              </w:rPr>
              <w:t>615,121</w:t>
            </w:r>
          </w:p>
        </w:tc>
        <w:tc>
          <w:tcPr>
            <w:tcW w:w="1838" w:type="dxa"/>
            <w:vAlign w:val="center"/>
          </w:tcPr>
          <w:p w14:paraId="45FF611C" w14:textId="77777777" w:rsidR="00001984" w:rsidRPr="00731C99" w:rsidDel="00961A47" w:rsidRDefault="00001984" w:rsidP="00526D91">
            <w:pPr>
              <w:spacing w:after="0" w:line="240" w:lineRule="auto"/>
              <w:ind w:right="461"/>
              <w:jc w:val="right"/>
              <w:rPr>
                <w:b/>
                <w:bCs/>
                <w:sz w:val="18"/>
                <w:szCs w:val="18"/>
              </w:rPr>
            </w:pPr>
            <w:r w:rsidRPr="00731C99">
              <w:rPr>
                <w:rFonts w:cs="Arial"/>
                <w:b/>
                <w:bCs/>
                <w:color w:val="000000"/>
                <w:sz w:val="18"/>
                <w:szCs w:val="18"/>
              </w:rPr>
              <w:t>62.9</w:t>
            </w:r>
          </w:p>
        </w:tc>
      </w:tr>
    </w:tbl>
    <w:p w14:paraId="1B73E948" w14:textId="0659E680" w:rsidR="00994E1B" w:rsidRDefault="00994E1B" w:rsidP="008B1103">
      <w:pPr>
        <w:spacing w:line="240" w:lineRule="auto"/>
        <w:ind w:left="-284" w:firstLine="720"/>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48C931FE" w14:textId="77777777" w:rsidR="00994E1B" w:rsidRDefault="00994E1B" w:rsidP="00994E1B">
      <w:pPr>
        <w:spacing w:before="240" w:line="240" w:lineRule="auto"/>
        <w:rPr>
          <w:rFonts w:cstheme="minorHAnsi"/>
          <w:b/>
          <w:bCs/>
          <w:color w:val="000000"/>
          <w:sz w:val="18"/>
          <w:szCs w:val="18"/>
          <w:lang w:eastAsia="en-AU"/>
        </w:rPr>
      </w:pPr>
    </w:p>
    <w:p w14:paraId="698FB802" w14:textId="09F82FF5" w:rsidR="00994E1B" w:rsidRDefault="00994E1B" w:rsidP="008B1103">
      <w:pPr>
        <w:spacing w:before="240" w:line="240" w:lineRule="auto"/>
        <w:ind w:left="426"/>
        <w:rPr>
          <w:rFonts w:cstheme="minorHAnsi"/>
          <w:color w:val="000000"/>
          <w:sz w:val="18"/>
          <w:szCs w:val="18"/>
          <w:lang w:eastAsia="en-AU"/>
        </w:rPr>
      </w:pPr>
      <w:r w:rsidRPr="00185BAE">
        <w:rPr>
          <w:rFonts w:cstheme="minorHAnsi"/>
          <w:b/>
          <w:bCs/>
          <w:color w:val="000000"/>
          <w:sz w:val="18"/>
          <w:szCs w:val="18"/>
          <w:lang w:eastAsia="en-AU"/>
        </w:rPr>
        <w:t xml:space="preserve">Table </w:t>
      </w:r>
      <w:r w:rsidR="00DF0E95">
        <w:rPr>
          <w:rFonts w:cstheme="minorHAnsi"/>
          <w:b/>
          <w:bCs/>
          <w:color w:val="000000"/>
          <w:sz w:val="18"/>
          <w:szCs w:val="18"/>
          <w:lang w:eastAsia="en-AU"/>
        </w:rPr>
        <w:t>H</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Pr>
          <w:rFonts w:cstheme="minorHAnsi"/>
          <w:color w:val="000000"/>
          <w:sz w:val="18"/>
          <w:szCs w:val="18"/>
          <w:lang w:eastAsia="en-AU"/>
        </w:rPr>
        <w:t xml:space="preserve">Completion – the Equal Effort Option to meet a </w:t>
      </w:r>
      <w:r>
        <w:rPr>
          <w:rFonts w:cstheme="minorHAnsi"/>
          <w:i/>
          <w:iCs/>
          <w:color w:val="000000"/>
          <w:sz w:val="18"/>
          <w:szCs w:val="18"/>
          <w:lang w:eastAsia="en-AU"/>
        </w:rPr>
        <w:t>State/Territory (Home Institutions</w:t>
      </w:r>
      <w:r>
        <w:rPr>
          <w:rFonts w:cstheme="minorHAnsi"/>
          <w:color w:val="000000"/>
          <w:sz w:val="18"/>
          <w:szCs w:val="18"/>
          <w:lang w:eastAsia="en-AU"/>
        </w:rPr>
        <w:t xml:space="preserve">) Parity Target </w:t>
      </w:r>
      <w:r>
        <w:rPr>
          <w:rFonts w:cstheme="minorHAnsi"/>
          <w:color w:val="000000"/>
          <w:sz w:val="18"/>
          <w:szCs w:val="18"/>
          <w:lang w:eastAsia="en-AU"/>
        </w:rPr>
        <w:br/>
        <w:t>in 2050.</w:t>
      </w:r>
    </w:p>
    <w:tbl>
      <w:tblPr>
        <w:tblW w:w="891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19"/>
        <w:gridCol w:w="1852"/>
        <w:gridCol w:w="1852"/>
        <w:gridCol w:w="1853"/>
      </w:tblGrid>
      <w:tr w:rsidR="00185980" w:rsidRPr="009B6407" w14:paraId="562CE2E5" w14:textId="77777777" w:rsidTr="008B1103">
        <w:trPr>
          <w:trHeight w:val="1018"/>
        </w:trPr>
        <w:tc>
          <w:tcPr>
            <w:tcW w:w="1843" w:type="dxa"/>
            <w:shd w:val="clear" w:color="auto" w:fill="auto"/>
            <w:noWrap/>
            <w:vAlign w:val="center"/>
            <w:hideMark/>
          </w:tcPr>
          <w:p w14:paraId="7E713F7A" w14:textId="77777777" w:rsidR="00185980" w:rsidRPr="009B6407" w:rsidRDefault="00185980">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519" w:type="dxa"/>
            <w:shd w:val="clear" w:color="auto" w:fill="6B3B57"/>
            <w:vAlign w:val="center"/>
            <w:hideMark/>
          </w:tcPr>
          <w:p w14:paraId="599D277A" w14:textId="77777777" w:rsidR="00185980" w:rsidRPr="00634F7E" w:rsidRDefault="00185980">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2021</w:t>
            </w:r>
          </w:p>
        </w:tc>
        <w:tc>
          <w:tcPr>
            <w:tcW w:w="1852" w:type="dxa"/>
            <w:shd w:val="clear" w:color="auto" w:fill="6B3B57"/>
            <w:vAlign w:val="center"/>
            <w:hideMark/>
          </w:tcPr>
          <w:p w14:paraId="7D004C68" w14:textId="77777777" w:rsidR="00185980" w:rsidRPr="00634F7E" w:rsidRDefault="00185980">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 xml:space="preserve">2050 </w:t>
            </w:r>
          </w:p>
          <w:p w14:paraId="0F8030DD" w14:textId="77777777" w:rsidR="00185980" w:rsidRPr="00634F7E" w:rsidRDefault="00185980">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Equal Effort</w:t>
            </w:r>
          </w:p>
          <w:p w14:paraId="43DF4429" w14:textId="77777777" w:rsidR="00185980" w:rsidRPr="00634F7E" w:rsidRDefault="00185980">
            <w:pPr>
              <w:spacing w:after="0" w:line="240" w:lineRule="auto"/>
              <w:jc w:val="center"/>
              <w:rPr>
                <w:rFonts w:cs="Arial"/>
                <w:b/>
                <w:bCs/>
                <w:color w:val="FFFFFF"/>
                <w:sz w:val="18"/>
                <w:szCs w:val="18"/>
                <w:lang w:eastAsia="en-AU"/>
              </w:rPr>
            </w:pPr>
          </w:p>
        </w:tc>
        <w:tc>
          <w:tcPr>
            <w:tcW w:w="1852" w:type="dxa"/>
            <w:shd w:val="clear" w:color="auto" w:fill="6B3B57"/>
            <w:vAlign w:val="center"/>
          </w:tcPr>
          <w:p w14:paraId="6746A35F" w14:textId="77777777" w:rsidR="00185980" w:rsidRPr="00634F7E" w:rsidRDefault="00185980">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Growth (headcount)</w:t>
            </w:r>
          </w:p>
        </w:tc>
        <w:tc>
          <w:tcPr>
            <w:tcW w:w="1853" w:type="dxa"/>
            <w:shd w:val="clear" w:color="auto" w:fill="6B3B57"/>
            <w:vAlign w:val="center"/>
          </w:tcPr>
          <w:p w14:paraId="1BF6627C" w14:textId="77777777" w:rsidR="00185980" w:rsidRPr="00634F7E" w:rsidRDefault="00185980">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Share of Growth (%)</w:t>
            </w:r>
          </w:p>
        </w:tc>
      </w:tr>
      <w:tr w:rsidR="00185980" w:rsidRPr="009B6407" w14:paraId="6D47C81A" w14:textId="77777777" w:rsidTr="008B1103">
        <w:trPr>
          <w:trHeight w:val="315"/>
        </w:trPr>
        <w:tc>
          <w:tcPr>
            <w:tcW w:w="1843" w:type="dxa"/>
            <w:shd w:val="clear" w:color="auto" w:fill="auto"/>
            <w:noWrap/>
            <w:vAlign w:val="center"/>
            <w:hideMark/>
          </w:tcPr>
          <w:p w14:paraId="13095FB5" w14:textId="77777777" w:rsidR="00185980" w:rsidRPr="009B6407" w:rsidRDefault="00185980">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519" w:type="dxa"/>
            <w:shd w:val="clear" w:color="auto" w:fill="auto"/>
            <w:noWrap/>
            <w:vAlign w:val="center"/>
          </w:tcPr>
          <w:p w14:paraId="69A96789" w14:textId="77777777" w:rsidR="00185980" w:rsidRPr="001E2EFA" w:rsidRDefault="00185980" w:rsidP="00526D91">
            <w:pPr>
              <w:spacing w:after="0" w:line="240" w:lineRule="auto"/>
              <w:ind w:right="416"/>
              <w:jc w:val="right"/>
              <w:rPr>
                <w:rFonts w:cs="Arial"/>
                <w:b/>
                <w:bCs/>
                <w:color w:val="000000"/>
                <w:sz w:val="18"/>
                <w:szCs w:val="18"/>
                <w:lang w:eastAsia="en-AU"/>
              </w:rPr>
            </w:pPr>
            <w:r w:rsidRPr="001F0FF9">
              <w:rPr>
                <w:rFonts w:cs="Arial"/>
                <w:b/>
                <w:bCs/>
                <w:color w:val="000000"/>
                <w:sz w:val="18"/>
                <w:szCs w:val="18"/>
              </w:rPr>
              <w:t>118,000</w:t>
            </w:r>
          </w:p>
        </w:tc>
        <w:tc>
          <w:tcPr>
            <w:tcW w:w="1852" w:type="dxa"/>
            <w:shd w:val="clear" w:color="auto" w:fill="EFE2E7" w:themeFill="text1" w:themeFillTint="1A"/>
            <w:noWrap/>
            <w:vAlign w:val="center"/>
          </w:tcPr>
          <w:p w14:paraId="22F5E93C" w14:textId="77777777" w:rsidR="00185980" w:rsidRPr="001E2EFA" w:rsidRDefault="00185980">
            <w:pPr>
              <w:spacing w:after="0" w:line="240" w:lineRule="auto"/>
              <w:ind w:right="436"/>
              <w:jc w:val="right"/>
              <w:rPr>
                <w:rFonts w:cs="Arial"/>
                <w:b/>
                <w:bCs/>
                <w:color w:val="000000"/>
                <w:sz w:val="18"/>
                <w:szCs w:val="18"/>
                <w:lang w:eastAsia="en-AU"/>
              </w:rPr>
            </w:pPr>
            <w:r w:rsidRPr="001F0FF9">
              <w:rPr>
                <w:rFonts w:cs="Arial"/>
                <w:b/>
                <w:bCs/>
                <w:color w:val="000000"/>
                <w:sz w:val="18"/>
                <w:szCs w:val="18"/>
              </w:rPr>
              <w:t>276,871</w:t>
            </w:r>
          </w:p>
        </w:tc>
        <w:tc>
          <w:tcPr>
            <w:tcW w:w="1852" w:type="dxa"/>
            <w:shd w:val="clear" w:color="auto" w:fill="auto"/>
            <w:noWrap/>
            <w:vAlign w:val="center"/>
          </w:tcPr>
          <w:p w14:paraId="4F015CF1" w14:textId="77777777" w:rsidR="00185980" w:rsidRPr="001F0FF9" w:rsidRDefault="00185980">
            <w:pPr>
              <w:spacing w:after="0" w:line="240" w:lineRule="auto"/>
              <w:ind w:right="319"/>
              <w:jc w:val="right"/>
              <w:rPr>
                <w:rFonts w:cs="Arial"/>
                <w:color w:val="000000"/>
                <w:sz w:val="18"/>
                <w:szCs w:val="18"/>
                <w:lang w:eastAsia="en-AU"/>
              </w:rPr>
            </w:pPr>
            <w:r>
              <w:rPr>
                <w:rFonts w:cs="Arial"/>
                <w:b/>
                <w:bCs/>
                <w:color w:val="000000"/>
                <w:sz w:val="18"/>
                <w:szCs w:val="18"/>
              </w:rPr>
              <w:t>158,871</w:t>
            </w:r>
          </w:p>
        </w:tc>
        <w:tc>
          <w:tcPr>
            <w:tcW w:w="1853" w:type="dxa"/>
            <w:vAlign w:val="center"/>
          </w:tcPr>
          <w:p w14:paraId="02576198" w14:textId="77777777" w:rsidR="00185980" w:rsidRPr="006928B5" w:rsidDel="00961A47" w:rsidRDefault="00185980">
            <w:pPr>
              <w:spacing w:after="0" w:line="240" w:lineRule="auto"/>
              <w:ind w:right="586"/>
              <w:jc w:val="right"/>
              <w:rPr>
                <w:b/>
                <w:bCs/>
                <w:sz w:val="18"/>
                <w:szCs w:val="18"/>
              </w:rPr>
            </w:pPr>
            <w:r w:rsidRPr="006928B5">
              <w:rPr>
                <w:rFonts w:cs="Arial"/>
                <w:b/>
                <w:bCs/>
                <w:color w:val="000000"/>
                <w:sz w:val="18"/>
                <w:szCs w:val="18"/>
              </w:rPr>
              <w:t>- </w:t>
            </w:r>
          </w:p>
        </w:tc>
      </w:tr>
      <w:tr w:rsidR="00185980" w:rsidRPr="009B6407" w14:paraId="13C3FAD5" w14:textId="77777777" w:rsidTr="008B1103">
        <w:trPr>
          <w:trHeight w:val="315"/>
        </w:trPr>
        <w:tc>
          <w:tcPr>
            <w:tcW w:w="1843" w:type="dxa"/>
            <w:shd w:val="clear" w:color="auto" w:fill="auto"/>
            <w:noWrap/>
            <w:vAlign w:val="center"/>
            <w:hideMark/>
          </w:tcPr>
          <w:p w14:paraId="75D47D03" w14:textId="77777777" w:rsidR="00185980" w:rsidRPr="009B6407" w:rsidRDefault="00185980">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519" w:type="dxa"/>
            <w:shd w:val="clear" w:color="auto" w:fill="auto"/>
            <w:noWrap/>
            <w:vAlign w:val="center"/>
          </w:tcPr>
          <w:p w14:paraId="73CCDEB0" w14:textId="77777777" w:rsidR="00185980" w:rsidRPr="008253C2" w:rsidRDefault="00185980" w:rsidP="00526D91">
            <w:pPr>
              <w:spacing w:after="0" w:line="240" w:lineRule="auto"/>
              <w:ind w:right="416"/>
              <w:jc w:val="right"/>
              <w:rPr>
                <w:rFonts w:cs="Arial"/>
                <w:color w:val="000000"/>
                <w:sz w:val="18"/>
                <w:szCs w:val="18"/>
                <w:lang w:eastAsia="en-AU"/>
              </w:rPr>
            </w:pPr>
            <w:r w:rsidRPr="00B8400A">
              <w:rPr>
                <w:sz w:val="18"/>
                <w:szCs w:val="18"/>
              </w:rPr>
              <w:t>17,179</w:t>
            </w:r>
          </w:p>
        </w:tc>
        <w:tc>
          <w:tcPr>
            <w:tcW w:w="1852" w:type="dxa"/>
            <w:shd w:val="clear" w:color="auto" w:fill="EFE2E7" w:themeFill="text1" w:themeFillTint="1A"/>
            <w:noWrap/>
            <w:vAlign w:val="center"/>
          </w:tcPr>
          <w:p w14:paraId="1587F6DB" w14:textId="77777777" w:rsidR="00185980" w:rsidRPr="0068102B" w:rsidRDefault="00185980">
            <w:pPr>
              <w:spacing w:after="0" w:line="240" w:lineRule="auto"/>
              <w:ind w:right="436"/>
              <w:jc w:val="right"/>
              <w:rPr>
                <w:rFonts w:cs="Arial"/>
                <w:color w:val="000000"/>
                <w:sz w:val="18"/>
                <w:szCs w:val="18"/>
                <w:lang w:eastAsia="en-AU"/>
              </w:rPr>
            </w:pPr>
            <w:r w:rsidRPr="00B8400A">
              <w:rPr>
                <w:sz w:val="18"/>
                <w:szCs w:val="18"/>
              </w:rPr>
              <w:t>64,412</w:t>
            </w:r>
          </w:p>
        </w:tc>
        <w:tc>
          <w:tcPr>
            <w:tcW w:w="1852" w:type="dxa"/>
            <w:shd w:val="clear" w:color="auto" w:fill="auto"/>
            <w:noWrap/>
            <w:vAlign w:val="center"/>
          </w:tcPr>
          <w:p w14:paraId="1C15FF36" w14:textId="77777777" w:rsidR="00185980" w:rsidRPr="002F259A" w:rsidRDefault="00185980">
            <w:pPr>
              <w:spacing w:after="0" w:line="240" w:lineRule="auto"/>
              <w:ind w:right="319"/>
              <w:jc w:val="right"/>
              <w:rPr>
                <w:rFonts w:cs="Arial"/>
                <w:color w:val="000000"/>
                <w:sz w:val="18"/>
                <w:szCs w:val="18"/>
                <w:lang w:eastAsia="en-AU"/>
              </w:rPr>
            </w:pPr>
            <w:r>
              <w:rPr>
                <w:rFonts w:cs="Arial"/>
                <w:color w:val="000000"/>
                <w:sz w:val="18"/>
                <w:szCs w:val="18"/>
              </w:rPr>
              <w:t>47</w:t>
            </w:r>
            <w:r w:rsidRPr="006928B5">
              <w:rPr>
                <w:rFonts w:cs="Arial"/>
                <w:color w:val="000000"/>
                <w:sz w:val="18"/>
                <w:szCs w:val="18"/>
              </w:rPr>
              <w:t>,</w:t>
            </w:r>
            <w:r>
              <w:rPr>
                <w:rFonts w:cs="Arial"/>
                <w:color w:val="000000"/>
                <w:sz w:val="18"/>
                <w:szCs w:val="18"/>
              </w:rPr>
              <w:t>233</w:t>
            </w:r>
          </w:p>
        </w:tc>
        <w:tc>
          <w:tcPr>
            <w:tcW w:w="1853" w:type="dxa"/>
            <w:vAlign w:val="center"/>
          </w:tcPr>
          <w:p w14:paraId="12EC7151" w14:textId="77777777" w:rsidR="00185980" w:rsidRPr="007B51E8" w:rsidDel="00961A47" w:rsidRDefault="00185980">
            <w:pPr>
              <w:spacing w:after="0" w:line="240" w:lineRule="auto"/>
              <w:ind w:right="586"/>
              <w:jc w:val="right"/>
              <w:rPr>
                <w:sz w:val="18"/>
                <w:szCs w:val="18"/>
              </w:rPr>
            </w:pPr>
            <w:r>
              <w:rPr>
                <w:rFonts w:cs="Arial"/>
                <w:color w:val="000000"/>
                <w:sz w:val="18"/>
                <w:szCs w:val="18"/>
              </w:rPr>
              <w:t>29.7</w:t>
            </w:r>
          </w:p>
        </w:tc>
      </w:tr>
      <w:tr w:rsidR="00185980" w:rsidRPr="009B6407" w14:paraId="5CF0A911" w14:textId="77777777" w:rsidTr="008B1103">
        <w:trPr>
          <w:trHeight w:val="315"/>
        </w:trPr>
        <w:tc>
          <w:tcPr>
            <w:tcW w:w="1843" w:type="dxa"/>
            <w:shd w:val="clear" w:color="auto" w:fill="auto"/>
            <w:noWrap/>
            <w:vAlign w:val="center"/>
            <w:hideMark/>
          </w:tcPr>
          <w:p w14:paraId="607A7F04" w14:textId="77777777" w:rsidR="00185980" w:rsidRPr="009B6407" w:rsidRDefault="00185980">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519" w:type="dxa"/>
            <w:shd w:val="clear" w:color="auto" w:fill="auto"/>
            <w:noWrap/>
            <w:vAlign w:val="center"/>
          </w:tcPr>
          <w:p w14:paraId="56679AC9" w14:textId="77777777" w:rsidR="00185980" w:rsidRPr="008253C2" w:rsidRDefault="00185980" w:rsidP="00526D91">
            <w:pPr>
              <w:spacing w:after="0" w:line="240" w:lineRule="auto"/>
              <w:ind w:right="416"/>
              <w:jc w:val="right"/>
              <w:rPr>
                <w:rFonts w:cs="Arial"/>
                <w:color w:val="000000"/>
                <w:sz w:val="18"/>
                <w:szCs w:val="18"/>
                <w:lang w:eastAsia="en-AU"/>
              </w:rPr>
            </w:pPr>
            <w:r w:rsidRPr="00B8400A">
              <w:rPr>
                <w:sz w:val="18"/>
                <w:szCs w:val="18"/>
              </w:rPr>
              <w:t>22,154</w:t>
            </w:r>
          </w:p>
        </w:tc>
        <w:tc>
          <w:tcPr>
            <w:tcW w:w="1852" w:type="dxa"/>
            <w:shd w:val="clear" w:color="auto" w:fill="EFE2E7" w:themeFill="text1" w:themeFillTint="1A"/>
            <w:noWrap/>
            <w:vAlign w:val="center"/>
          </w:tcPr>
          <w:p w14:paraId="5FAA0528" w14:textId="77777777" w:rsidR="00185980" w:rsidRPr="0068102B" w:rsidRDefault="00185980">
            <w:pPr>
              <w:spacing w:after="0" w:line="240" w:lineRule="auto"/>
              <w:ind w:right="436"/>
              <w:jc w:val="right"/>
              <w:rPr>
                <w:rFonts w:cs="Arial"/>
                <w:color w:val="000000"/>
                <w:sz w:val="18"/>
                <w:szCs w:val="18"/>
                <w:lang w:eastAsia="en-AU"/>
              </w:rPr>
            </w:pPr>
            <w:r w:rsidRPr="00B8400A">
              <w:rPr>
                <w:sz w:val="18"/>
                <w:szCs w:val="18"/>
              </w:rPr>
              <w:t>73,597</w:t>
            </w:r>
          </w:p>
        </w:tc>
        <w:tc>
          <w:tcPr>
            <w:tcW w:w="1852" w:type="dxa"/>
            <w:shd w:val="clear" w:color="auto" w:fill="auto"/>
            <w:noWrap/>
            <w:vAlign w:val="center"/>
          </w:tcPr>
          <w:p w14:paraId="1894BE34" w14:textId="77777777" w:rsidR="00185980" w:rsidRPr="002F259A" w:rsidRDefault="00185980">
            <w:pPr>
              <w:spacing w:after="0" w:line="240" w:lineRule="auto"/>
              <w:ind w:right="319"/>
              <w:jc w:val="right"/>
              <w:rPr>
                <w:rFonts w:cs="Arial"/>
                <w:color w:val="000000"/>
                <w:sz w:val="18"/>
                <w:szCs w:val="18"/>
                <w:lang w:eastAsia="en-AU"/>
              </w:rPr>
            </w:pPr>
            <w:r w:rsidRPr="006928B5">
              <w:rPr>
                <w:rFonts w:cs="Arial"/>
                <w:color w:val="000000"/>
                <w:sz w:val="18"/>
                <w:szCs w:val="18"/>
              </w:rPr>
              <w:t>5</w:t>
            </w:r>
            <w:r>
              <w:rPr>
                <w:rFonts w:cs="Arial"/>
                <w:color w:val="000000"/>
                <w:sz w:val="18"/>
                <w:szCs w:val="18"/>
              </w:rPr>
              <w:t>1</w:t>
            </w:r>
            <w:r w:rsidRPr="006928B5">
              <w:rPr>
                <w:rFonts w:cs="Arial"/>
                <w:color w:val="000000"/>
                <w:sz w:val="18"/>
                <w:szCs w:val="18"/>
              </w:rPr>
              <w:t>,</w:t>
            </w:r>
            <w:r>
              <w:rPr>
                <w:rFonts w:cs="Arial"/>
                <w:color w:val="000000"/>
                <w:sz w:val="18"/>
                <w:szCs w:val="18"/>
              </w:rPr>
              <w:t>443</w:t>
            </w:r>
          </w:p>
        </w:tc>
        <w:tc>
          <w:tcPr>
            <w:tcW w:w="1853" w:type="dxa"/>
            <w:vAlign w:val="center"/>
          </w:tcPr>
          <w:p w14:paraId="1D518F3C" w14:textId="77777777" w:rsidR="00185980" w:rsidRPr="007B51E8" w:rsidDel="00961A47" w:rsidRDefault="00185980">
            <w:pPr>
              <w:spacing w:after="0" w:line="240" w:lineRule="auto"/>
              <w:ind w:right="586"/>
              <w:jc w:val="right"/>
              <w:rPr>
                <w:sz w:val="18"/>
                <w:szCs w:val="18"/>
              </w:rPr>
            </w:pPr>
            <w:r>
              <w:rPr>
                <w:rFonts w:cs="Arial"/>
                <w:color w:val="000000"/>
                <w:sz w:val="18"/>
                <w:szCs w:val="18"/>
              </w:rPr>
              <w:t>32.4</w:t>
            </w:r>
          </w:p>
        </w:tc>
      </w:tr>
      <w:tr w:rsidR="00185980" w:rsidRPr="009B6407" w14:paraId="2A59FCF8" w14:textId="77777777" w:rsidTr="008B1103">
        <w:trPr>
          <w:trHeight w:val="315"/>
        </w:trPr>
        <w:tc>
          <w:tcPr>
            <w:tcW w:w="1843" w:type="dxa"/>
            <w:shd w:val="clear" w:color="auto" w:fill="auto"/>
            <w:noWrap/>
            <w:vAlign w:val="center"/>
            <w:hideMark/>
          </w:tcPr>
          <w:p w14:paraId="1792DAD4" w14:textId="77777777" w:rsidR="00185980" w:rsidRPr="009B6407" w:rsidRDefault="00185980">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519" w:type="dxa"/>
            <w:shd w:val="clear" w:color="auto" w:fill="auto"/>
            <w:noWrap/>
            <w:vAlign w:val="center"/>
          </w:tcPr>
          <w:p w14:paraId="77E1AED6" w14:textId="77777777" w:rsidR="00185980" w:rsidRPr="001E2EFA" w:rsidRDefault="00185980" w:rsidP="00526D91">
            <w:pPr>
              <w:spacing w:after="0" w:line="240" w:lineRule="auto"/>
              <w:ind w:right="416"/>
              <w:jc w:val="right"/>
              <w:rPr>
                <w:rFonts w:cs="Arial"/>
                <w:color w:val="000000"/>
                <w:sz w:val="18"/>
                <w:szCs w:val="18"/>
                <w:lang w:eastAsia="en-AU"/>
              </w:rPr>
            </w:pPr>
            <w:r w:rsidRPr="001F0FF9">
              <w:rPr>
                <w:rFonts w:cs="Arial"/>
                <w:color w:val="000000"/>
                <w:sz w:val="18"/>
                <w:szCs w:val="18"/>
              </w:rPr>
              <w:t>1,637</w:t>
            </w:r>
          </w:p>
        </w:tc>
        <w:tc>
          <w:tcPr>
            <w:tcW w:w="1852" w:type="dxa"/>
            <w:shd w:val="clear" w:color="auto" w:fill="EFE2E7" w:themeFill="text1" w:themeFillTint="1A"/>
            <w:noWrap/>
            <w:vAlign w:val="center"/>
          </w:tcPr>
          <w:p w14:paraId="27FD2DF2" w14:textId="77777777" w:rsidR="00185980" w:rsidRPr="001E2EFA" w:rsidRDefault="00185980">
            <w:pPr>
              <w:spacing w:after="0" w:line="240" w:lineRule="auto"/>
              <w:ind w:right="436"/>
              <w:jc w:val="right"/>
              <w:rPr>
                <w:rFonts w:cs="Arial"/>
                <w:color w:val="000000"/>
                <w:sz w:val="18"/>
                <w:szCs w:val="18"/>
                <w:lang w:eastAsia="en-AU"/>
              </w:rPr>
            </w:pPr>
            <w:r w:rsidRPr="001F0FF9">
              <w:rPr>
                <w:rFonts w:cs="Arial"/>
                <w:color w:val="000000"/>
                <w:sz w:val="18"/>
                <w:szCs w:val="18"/>
              </w:rPr>
              <w:t>11,439</w:t>
            </w:r>
          </w:p>
        </w:tc>
        <w:tc>
          <w:tcPr>
            <w:tcW w:w="1852" w:type="dxa"/>
            <w:shd w:val="clear" w:color="auto" w:fill="auto"/>
            <w:noWrap/>
            <w:vAlign w:val="center"/>
          </w:tcPr>
          <w:p w14:paraId="36D86D76" w14:textId="77777777" w:rsidR="00185980" w:rsidRPr="002F259A" w:rsidRDefault="00185980">
            <w:pPr>
              <w:spacing w:after="0" w:line="240" w:lineRule="auto"/>
              <w:ind w:right="319"/>
              <w:jc w:val="right"/>
              <w:rPr>
                <w:rFonts w:cs="Arial"/>
                <w:color w:val="000000"/>
                <w:sz w:val="18"/>
                <w:szCs w:val="18"/>
                <w:lang w:eastAsia="en-AU"/>
              </w:rPr>
            </w:pPr>
            <w:r w:rsidRPr="006928B5">
              <w:rPr>
                <w:rFonts w:cs="Arial"/>
                <w:color w:val="000000"/>
                <w:sz w:val="18"/>
                <w:szCs w:val="18"/>
              </w:rPr>
              <w:t>9,802</w:t>
            </w:r>
          </w:p>
        </w:tc>
        <w:tc>
          <w:tcPr>
            <w:tcW w:w="1853" w:type="dxa"/>
            <w:vAlign w:val="center"/>
          </w:tcPr>
          <w:p w14:paraId="27EC2BD3" w14:textId="77777777" w:rsidR="00185980" w:rsidRPr="007B51E8" w:rsidDel="00961A47" w:rsidRDefault="00185980">
            <w:pPr>
              <w:spacing w:after="0" w:line="240" w:lineRule="auto"/>
              <w:ind w:right="586"/>
              <w:jc w:val="right"/>
              <w:rPr>
                <w:sz w:val="18"/>
                <w:szCs w:val="18"/>
              </w:rPr>
            </w:pPr>
            <w:r>
              <w:rPr>
                <w:rFonts w:cs="Arial"/>
                <w:color w:val="000000"/>
                <w:sz w:val="18"/>
                <w:szCs w:val="18"/>
              </w:rPr>
              <w:t>6.2</w:t>
            </w:r>
          </w:p>
        </w:tc>
      </w:tr>
      <w:tr w:rsidR="00185980" w:rsidRPr="009B6407" w14:paraId="6B79FCDF" w14:textId="77777777" w:rsidTr="008B1103">
        <w:trPr>
          <w:trHeight w:val="315"/>
        </w:trPr>
        <w:tc>
          <w:tcPr>
            <w:tcW w:w="1843" w:type="dxa"/>
            <w:shd w:val="clear" w:color="auto" w:fill="auto"/>
            <w:noWrap/>
            <w:vAlign w:val="center"/>
            <w:hideMark/>
          </w:tcPr>
          <w:p w14:paraId="594A7C3A" w14:textId="77777777" w:rsidR="00185980" w:rsidRPr="009B6407" w:rsidRDefault="00185980">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519" w:type="dxa"/>
            <w:shd w:val="clear" w:color="auto" w:fill="auto"/>
            <w:noWrap/>
            <w:vAlign w:val="center"/>
          </w:tcPr>
          <w:p w14:paraId="198C9783" w14:textId="77777777" w:rsidR="00185980" w:rsidRPr="001E2EFA" w:rsidRDefault="00185980" w:rsidP="00526D91">
            <w:pPr>
              <w:spacing w:after="0" w:line="240" w:lineRule="auto"/>
              <w:ind w:right="416"/>
              <w:jc w:val="right"/>
              <w:rPr>
                <w:rFonts w:cs="Arial"/>
                <w:color w:val="000000"/>
                <w:sz w:val="18"/>
                <w:szCs w:val="18"/>
                <w:lang w:eastAsia="en-AU"/>
              </w:rPr>
            </w:pPr>
            <w:r w:rsidRPr="001F0FF9">
              <w:rPr>
                <w:rFonts w:cs="Arial"/>
                <w:color w:val="000000"/>
                <w:sz w:val="18"/>
                <w:szCs w:val="18"/>
              </w:rPr>
              <w:t>9,215</w:t>
            </w:r>
          </w:p>
        </w:tc>
        <w:tc>
          <w:tcPr>
            <w:tcW w:w="1852" w:type="dxa"/>
            <w:shd w:val="clear" w:color="auto" w:fill="EFE2E7" w:themeFill="text1" w:themeFillTint="1A"/>
            <w:noWrap/>
            <w:vAlign w:val="center"/>
          </w:tcPr>
          <w:p w14:paraId="419D3948" w14:textId="77777777" w:rsidR="00185980" w:rsidRPr="001E2EFA" w:rsidRDefault="00185980">
            <w:pPr>
              <w:spacing w:after="0" w:line="240" w:lineRule="auto"/>
              <w:ind w:right="436"/>
              <w:jc w:val="right"/>
              <w:rPr>
                <w:rFonts w:cs="Arial"/>
                <w:color w:val="000000"/>
                <w:sz w:val="18"/>
                <w:szCs w:val="18"/>
                <w:lang w:eastAsia="en-AU"/>
              </w:rPr>
            </w:pPr>
            <w:r w:rsidRPr="001F0FF9">
              <w:rPr>
                <w:rFonts w:cs="Arial"/>
                <w:color w:val="000000"/>
                <w:sz w:val="18"/>
                <w:szCs w:val="18"/>
              </w:rPr>
              <w:t>23,904</w:t>
            </w:r>
          </w:p>
        </w:tc>
        <w:tc>
          <w:tcPr>
            <w:tcW w:w="1852" w:type="dxa"/>
            <w:shd w:val="clear" w:color="auto" w:fill="auto"/>
            <w:noWrap/>
            <w:vAlign w:val="center"/>
          </w:tcPr>
          <w:p w14:paraId="47AB5DF1" w14:textId="77777777" w:rsidR="00185980" w:rsidRPr="002F259A" w:rsidRDefault="00185980">
            <w:pPr>
              <w:spacing w:after="0" w:line="240" w:lineRule="auto"/>
              <w:ind w:right="319"/>
              <w:jc w:val="right"/>
              <w:rPr>
                <w:rFonts w:cs="Arial"/>
                <w:color w:val="000000"/>
                <w:sz w:val="18"/>
                <w:szCs w:val="18"/>
                <w:lang w:eastAsia="en-AU"/>
              </w:rPr>
            </w:pPr>
            <w:r w:rsidRPr="006928B5">
              <w:rPr>
                <w:rFonts w:cs="Arial"/>
                <w:color w:val="000000"/>
                <w:sz w:val="18"/>
                <w:szCs w:val="18"/>
              </w:rPr>
              <w:t>14,689</w:t>
            </w:r>
          </w:p>
        </w:tc>
        <w:tc>
          <w:tcPr>
            <w:tcW w:w="1853" w:type="dxa"/>
            <w:vAlign w:val="center"/>
          </w:tcPr>
          <w:p w14:paraId="143FB7C7" w14:textId="77777777" w:rsidR="00185980" w:rsidRPr="007B51E8" w:rsidDel="00961A47" w:rsidRDefault="00185980">
            <w:pPr>
              <w:spacing w:after="0" w:line="240" w:lineRule="auto"/>
              <w:ind w:right="586"/>
              <w:jc w:val="right"/>
              <w:rPr>
                <w:sz w:val="18"/>
                <w:szCs w:val="18"/>
              </w:rPr>
            </w:pPr>
            <w:r>
              <w:rPr>
                <w:rFonts w:cs="Arial"/>
                <w:color w:val="000000"/>
                <w:sz w:val="18"/>
                <w:szCs w:val="18"/>
              </w:rPr>
              <w:t>9.2</w:t>
            </w:r>
          </w:p>
        </w:tc>
      </w:tr>
      <w:tr w:rsidR="00185980" w:rsidRPr="009B6407" w14:paraId="3AC3B223" w14:textId="77777777" w:rsidTr="008B1103">
        <w:trPr>
          <w:trHeight w:val="315"/>
        </w:trPr>
        <w:tc>
          <w:tcPr>
            <w:tcW w:w="1843" w:type="dxa"/>
            <w:shd w:val="clear" w:color="auto" w:fill="auto"/>
            <w:noWrap/>
            <w:vAlign w:val="center"/>
            <w:hideMark/>
          </w:tcPr>
          <w:p w14:paraId="41E6DDF7" w14:textId="44DBB6FA" w:rsidR="00185980" w:rsidRPr="00731C99" w:rsidRDefault="00185980">
            <w:pPr>
              <w:spacing w:after="0" w:line="240" w:lineRule="auto"/>
              <w:rPr>
                <w:rFonts w:cs="Arial"/>
                <w:b/>
                <w:bCs/>
                <w:i/>
                <w:iCs/>
                <w:color w:val="000000"/>
                <w:sz w:val="18"/>
                <w:szCs w:val="18"/>
                <w:lang w:eastAsia="en-AU"/>
              </w:rPr>
            </w:pPr>
            <w:r w:rsidRPr="00731C99">
              <w:rPr>
                <w:rFonts w:cs="Arial"/>
                <w:b/>
                <w:bCs/>
                <w:i/>
                <w:iCs/>
                <w:color w:val="000000"/>
                <w:sz w:val="18"/>
                <w:szCs w:val="18"/>
                <w:lang w:eastAsia="en-AU"/>
              </w:rPr>
              <w:t>Equity Group</w:t>
            </w:r>
          </w:p>
        </w:tc>
        <w:tc>
          <w:tcPr>
            <w:tcW w:w="1519" w:type="dxa"/>
            <w:shd w:val="clear" w:color="auto" w:fill="auto"/>
            <w:noWrap/>
            <w:vAlign w:val="center"/>
          </w:tcPr>
          <w:p w14:paraId="50DE1662" w14:textId="77777777" w:rsidR="00185980" w:rsidRPr="00731C99" w:rsidRDefault="00185980" w:rsidP="00526D91">
            <w:pPr>
              <w:spacing w:after="0" w:line="240" w:lineRule="auto"/>
              <w:ind w:right="416"/>
              <w:jc w:val="right"/>
              <w:rPr>
                <w:rFonts w:cs="Arial"/>
                <w:b/>
                <w:bCs/>
                <w:color w:val="000000"/>
                <w:sz w:val="18"/>
                <w:szCs w:val="18"/>
                <w:lang w:eastAsia="en-AU"/>
              </w:rPr>
            </w:pPr>
            <w:r w:rsidRPr="00731C99">
              <w:rPr>
                <w:b/>
                <w:bCs/>
                <w:sz w:val="18"/>
                <w:szCs w:val="18"/>
              </w:rPr>
              <w:t>39,646</w:t>
            </w:r>
          </w:p>
        </w:tc>
        <w:tc>
          <w:tcPr>
            <w:tcW w:w="1852" w:type="dxa"/>
            <w:shd w:val="clear" w:color="auto" w:fill="EFE2E7" w:themeFill="text1" w:themeFillTint="1A"/>
            <w:noWrap/>
            <w:vAlign w:val="center"/>
          </w:tcPr>
          <w:p w14:paraId="730D9CA4" w14:textId="77777777" w:rsidR="00185980" w:rsidRPr="00731C99" w:rsidRDefault="00185980">
            <w:pPr>
              <w:spacing w:after="0" w:line="240" w:lineRule="auto"/>
              <w:ind w:right="436"/>
              <w:jc w:val="right"/>
              <w:rPr>
                <w:rFonts w:cs="Arial"/>
                <w:b/>
                <w:bCs/>
                <w:color w:val="000000"/>
                <w:sz w:val="18"/>
                <w:szCs w:val="18"/>
                <w:lang w:eastAsia="en-AU"/>
              </w:rPr>
            </w:pPr>
            <w:r w:rsidRPr="00731C99">
              <w:rPr>
                <w:b/>
                <w:bCs/>
                <w:sz w:val="18"/>
                <w:szCs w:val="18"/>
              </w:rPr>
              <w:t>136,948</w:t>
            </w:r>
          </w:p>
        </w:tc>
        <w:tc>
          <w:tcPr>
            <w:tcW w:w="1852" w:type="dxa"/>
            <w:shd w:val="clear" w:color="auto" w:fill="auto"/>
            <w:noWrap/>
            <w:vAlign w:val="center"/>
          </w:tcPr>
          <w:p w14:paraId="6C3F471F" w14:textId="77777777" w:rsidR="00185980" w:rsidRPr="00731C99" w:rsidRDefault="00185980">
            <w:pPr>
              <w:spacing w:after="0" w:line="240" w:lineRule="auto"/>
              <w:ind w:right="319"/>
              <w:jc w:val="right"/>
              <w:rPr>
                <w:rFonts w:cs="Arial"/>
                <w:b/>
                <w:bCs/>
                <w:color w:val="000000"/>
                <w:sz w:val="18"/>
                <w:szCs w:val="18"/>
                <w:lang w:eastAsia="en-AU"/>
              </w:rPr>
            </w:pPr>
            <w:r w:rsidRPr="00731C99">
              <w:rPr>
                <w:rFonts w:cs="Arial"/>
                <w:b/>
                <w:bCs/>
                <w:color w:val="000000"/>
                <w:sz w:val="18"/>
                <w:szCs w:val="18"/>
              </w:rPr>
              <w:t>97,302</w:t>
            </w:r>
          </w:p>
        </w:tc>
        <w:tc>
          <w:tcPr>
            <w:tcW w:w="1853" w:type="dxa"/>
            <w:vAlign w:val="center"/>
          </w:tcPr>
          <w:p w14:paraId="529860BA" w14:textId="77777777" w:rsidR="00185980" w:rsidRPr="00731C99" w:rsidDel="00961A47" w:rsidRDefault="00185980">
            <w:pPr>
              <w:spacing w:after="0" w:line="240" w:lineRule="auto"/>
              <w:ind w:right="586"/>
              <w:jc w:val="right"/>
              <w:rPr>
                <w:b/>
                <w:bCs/>
                <w:sz w:val="18"/>
                <w:szCs w:val="18"/>
              </w:rPr>
            </w:pPr>
            <w:r w:rsidRPr="00731C99">
              <w:rPr>
                <w:rFonts w:cs="Arial"/>
                <w:b/>
                <w:bCs/>
                <w:color w:val="000000"/>
                <w:sz w:val="18"/>
                <w:szCs w:val="18"/>
              </w:rPr>
              <w:t>61.2</w:t>
            </w:r>
          </w:p>
        </w:tc>
      </w:tr>
    </w:tbl>
    <w:p w14:paraId="02C6F7E9" w14:textId="28EF2035" w:rsidR="00994E1B" w:rsidRDefault="00994E1B" w:rsidP="008B1103">
      <w:pPr>
        <w:spacing w:line="240" w:lineRule="auto"/>
        <w:ind w:left="-284" w:firstLine="709"/>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2E2CD0BF" w14:textId="77777777" w:rsidR="007828CF" w:rsidRDefault="007828CF" w:rsidP="007828CF">
      <w:pPr>
        <w:spacing w:line="240" w:lineRule="auto"/>
        <w:rPr>
          <w:rFonts w:cs="Arial"/>
          <w:sz w:val="18"/>
          <w:szCs w:val="18"/>
        </w:rPr>
      </w:pPr>
    </w:p>
    <w:p w14:paraId="0850FC31" w14:textId="5FA5984E" w:rsidR="007828CF" w:rsidRDefault="007828CF" w:rsidP="008B1103">
      <w:pPr>
        <w:ind w:left="426"/>
        <w:rPr>
          <w:rFonts w:eastAsiaTheme="majorEastAsia"/>
        </w:rPr>
      </w:pPr>
      <w:r>
        <w:rPr>
          <w:rFonts w:eastAsiaTheme="majorEastAsia"/>
        </w:rPr>
        <w:t xml:space="preserve">By way of example, Figure </w:t>
      </w:r>
      <w:r w:rsidR="00BC41B7">
        <w:rPr>
          <w:rFonts w:eastAsiaTheme="majorEastAsia"/>
        </w:rPr>
        <w:t>C</w:t>
      </w:r>
      <w:r>
        <w:rPr>
          <w:rFonts w:eastAsiaTheme="majorEastAsia"/>
        </w:rPr>
        <w:t xml:space="preserve"> reports the growth paths in the </w:t>
      </w:r>
      <w:r>
        <w:rPr>
          <w:rFonts w:eastAsiaTheme="majorEastAsia"/>
          <w:i/>
          <w:iCs/>
        </w:rPr>
        <w:t>Equity Group</w:t>
      </w:r>
      <w:r>
        <w:rPr>
          <w:rFonts w:eastAsiaTheme="majorEastAsia"/>
        </w:rPr>
        <w:t xml:space="preserve"> student participation rate and enrolments required under the </w:t>
      </w:r>
      <w:r>
        <w:rPr>
          <w:rFonts w:eastAsiaTheme="majorEastAsia"/>
          <w:i/>
          <w:iCs/>
        </w:rPr>
        <w:t xml:space="preserve">Equal Effort </w:t>
      </w:r>
      <w:r>
        <w:rPr>
          <w:rFonts w:eastAsiaTheme="majorEastAsia"/>
        </w:rPr>
        <w:t xml:space="preserve">policy option with a </w:t>
      </w:r>
      <w:r>
        <w:rPr>
          <w:rFonts w:eastAsiaTheme="majorEastAsia"/>
          <w:i/>
          <w:iCs/>
        </w:rPr>
        <w:t xml:space="preserve">State/Territory (Home Institution) </w:t>
      </w:r>
      <w:r>
        <w:rPr>
          <w:rFonts w:eastAsiaTheme="majorEastAsia"/>
        </w:rPr>
        <w:t xml:space="preserve">parity target, for timeframes to 2035 and 2050. The participation rate plot </w:t>
      </w:r>
      <w:proofErr w:type="gramStart"/>
      <w:r>
        <w:rPr>
          <w:rFonts w:eastAsiaTheme="majorEastAsia"/>
        </w:rPr>
        <w:t>in particular demonstrates</w:t>
      </w:r>
      <w:proofErr w:type="gramEnd"/>
      <w:r>
        <w:rPr>
          <w:rFonts w:eastAsiaTheme="majorEastAsia"/>
        </w:rPr>
        <w:t xml:space="preserve"> the difference in the gradient of expansion between 2035 and the longer timeframe, with the enrolment time paths demonstrating the implication this has for equity student numbers to 2035 under both timeframes. </w:t>
      </w:r>
    </w:p>
    <w:p w14:paraId="663E4D52" w14:textId="77777777" w:rsidR="0038018C" w:rsidRDefault="007828CF" w:rsidP="00A160A2">
      <w:pPr>
        <w:pStyle w:val="Caption"/>
        <w:spacing w:line="240" w:lineRule="auto"/>
        <w:ind w:left="426" w:hanging="1"/>
        <w:rPr>
          <w:b w:val="0"/>
          <w:bCs w:val="0"/>
          <w:color w:val="auto"/>
        </w:rPr>
      </w:pPr>
      <w:r>
        <w:rPr>
          <w:color w:val="auto"/>
        </w:rPr>
        <w:lastRenderedPageBreak/>
        <w:t xml:space="preserve">Figure </w:t>
      </w:r>
      <w:r w:rsidR="00BC41B7">
        <w:rPr>
          <w:color w:val="auto"/>
        </w:rPr>
        <w:t>C</w:t>
      </w:r>
      <w:r w:rsidRPr="003873F1">
        <w:rPr>
          <w:color w:val="auto"/>
        </w:rPr>
        <w:t>:</w:t>
      </w:r>
      <w:r w:rsidRPr="003873F1">
        <w:rPr>
          <w:b w:val="0"/>
          <w:bCs w:val="0"/>
          <w:color w:val="auto"/>
        </w:rPr>
        <w:t xml:space="preserve"> </w:t>
      </w:r>
      <w:r>
        <w:rPr>
          <w:b w:val="0"/>
          <w:bCs w:val="0"/>
          <w:i/>
          <w:iCs/>
          <w:color w:val="auto"/>
        </w:rPr>
        <w:t xml:space="preserve"> </w:t>
      </w:r>
      <w:r w:rsidRPr="000967DB">
        <w:rPr>
          <w:b w:val="0"/>
          <w:bCs w:val="0"/>
          <w:i/>
          <w:iCs/>
          <w:color w:val="auto"/>
        </w:rPr>
        <w:t xml:space="preserve">Equity Group </w:t>
      </w:r>
      <w:r>
        <w:rPr>
          <w:b w:val="0"/>
          <w:bCs w:val="0"/>
          <w:color w:val="auto"/>
        </w:rPr>
        <w:t xml:space="preserve">Student Outcomes under a </w:t>
      </w:r>
      <w:r>
        <w:rPr>
          <w:b w:val="0"/>
          <w:bCs w:val="0"/>
          <w:i/>
          <w:iCs/>
          <w:color w:val="auto"/>
        </w:rPr>
        <w:t xml:space="preserve">State/Territory (Home Institution) Target </w:t>
      </w:r>
      <w:r>
        <w:rPr>
          <w:b w:val="0"/>
          <w:bCs w:val="0"/>
          <w:color w:val="auto"/>
        </w:rPr>
        <w:t xml:space="preserve">under the </w:t>
      </w:r>
      <w:r>
        <w:rPr>
          <w:b w:val="0"/>
          <w:bCs w:val="0"/>
          <w:i/>
          <w:iCs/>
          <w:color w:val="auto"/>
        </w:rPr>
        <w:t>Equal Effort</w:t>
      </w:r>
      <w:r>
        <w:rPr>
          <w:b w:val="0"/>
          <w:bCs w:val="0"/>
          <w:color w:val="auto"/>
        </w:rPr>
        <w:t xml:space="preserve"> Policy Option: (a) Participation Rate and (b) Enrolments, 2035 and 2050 timeframes. </w:t>
      </w:r>
    </w:p>
    <w:p w14:paraId="775C8B15" w14:textId="097846BC" w:rsidR="007828CF" w:rsidRDefault="0038018C" w:rsidP="0038018C">
      <w:pPr>
        <w:pStyle w:val="Caption"/>
        <w:spacing w:line="240" w:lineRule="auto"/>
        <w:ind w:left="567" w:hanging="1"/>
        <w:rPr>
          <w:b w:val="0"/>
          <w:bCs w:val="0"/>
          <w:color w:val="auto"/>
        </w:rPr>
      </w:pPr>
      <w:r>
        <w:rPr>
          <w:b w:val="0"/>
          <w:bCs w:val="0"/>
          <w:color w:val="auto"/>
        </w:rPr>
        <w:t>(a) Participation Rate</w:t>
      </w:r>
    </w:p>
    <w:p w14:paraId="34509A31" w14:textId="77777777" w:rsidR="007828CF" w:rsidRPr="00634321" w:rsidRDefault="007828CF" w:rsidP="007828CF">
      <w:pPr>
        <w:jc w:val="center"/>
      </w:pPr>
      <w:r>
        <w:rPr>
          <w:noProof/>
        </w:rPr>
        <w:drawing>
          <wp:inline distT="0" distB="0" distL="0" distR="0" wp14:anchorId="00C194BA" wp14:editId="3A94DFC1">
            <wp:extent cx="5396230" cy="2481943"/>
            <wp:effectExtent l="0" t="0" r="13970" b="13970"/>
            <wp:docPr id="177697520" name="Chart 177697520" descr="Line graph for Participation Rate, Equity Group Student Outcomes under a State/Territory (Home Institution) Target under the Equal Effort Policy Option. One line shows 2035 target and a second line shows 2050 target. ">
              <a:extLst xmlns:a="http://schemas.openxmlformats.org/drawingml/2006/main">
                <a:ext uri="{FF2B5EF4-FFF2-40B4-BE49-F238E27FC236}">
                  <a16:creationId xmlns:a16="http://schemas.microsoft.com/office/drawing/2014/main" id="{3F87126E-51DB-472D-84F4-B5D9D63C9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338237E" w14:textId="579BC2AE" w:rsidR="007828CF" w:rsidRPr="0038018C" w:rsidRDefault="0038018C" w:rsidP="0038018C">
      <w:pPr>
        <w:pStyle w:val="Caption"/>
        <w:spacing w:line="240" w:lineRule="auto"/>
        <w:ind w:left="567" w:hanging="1"/>
        <w:rPr>
          <w:b w:val="0"/>
          <w:bCs w:val="0"/>
          <w:color w:val="auto"/>
        </w:rPr>
      </w:pPr>
      <w:r>
        <w:rPr>
          <w:b w:val="0"/>
          <w:bCs w:val="0"/>
          <w:color w:val="auto"/>
        </w:rPr>
        <w:t>(b) Enrolments</w:t>
      </w:r>
    </w:p>
    <w:p w14:paraId="6BB65C82" w14:textId="77777777" w:rsidR="007828CF" w:rsidRDefault="007828CF" w:rsidP="002679C1">
      <w:pPr>
        <w:jc w:val="center"/>
        <w:rPr>
          <w:rFonts w:eastAsiaTheme="majorEastAsia"/>
        </w:rPr>
      </w:pPr>
      <w:r>
        <w:rPr>
          <w:noProof/>
        </w:rPr>
        <w:drawing>
          <wp:inline distT="0" distB="0" distL="0" distR="0" wp14:anchorId="6A9A9327" wp14:editId="2D2EF8EF">
            <wp:extent cx="5381263" cy="2824480"/>
            <wp:effectExtent l="0" t="0" r="10160" b="13970"/>
            <wp:docPr id="937449277" name="Chart 937449277" descr="Line graph for Enrolments, Equity Group Student Outcomes under a State/Territory (Home Institution) Target under the Equal Effort Policy Option. One line shows 2035 target and a second line shows 2050 target. ">
              <a:extLst xmlns:a="http://schemas.openxmlformats.org/drawingml/2006/main">
                <a:ext uri="{FF2B5EF4-FFF2-40B4-BE49-F238E27FC236}">
                  <a16:creationId xmlns:a16="http://schemas.microsoft.com/office/drawing/2014/main" id="{46C35AB9-6B1F-4B94-8901-DE626B1BA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07C8DC" w14:textId="77777777" w:rsidR="007828CF" w:rsidRDefault="007828CF" w:rsidP="007828CF">
      <w:pPr>
        <w:jc w:val="center"/>
        <w:rPr>
          <w:rFonts w:eastAsiaTheme="majorEastAsia"/>
        </w:rPr>
      </w:pPr>
    </w:p>
    <w:p w14:paraId="1BB16D7A" w14:textId="42DD1F0F" w:rsidR="00A160A2" w:rsidRDefault="007828CF" w:rsidP="007828CF">
      <w:pPr>
        <w:rPr>
          <w:rFonts w:eastAsiaTheme="majorEastAsia"/>
        </w:rPr>
      </w:pPr>
      <w:r>
        <w:rPr>
          <w:rFonts w:eastAsiaTheme="majorEastAsia"/>
        </w:rPr>
        <w:t xml:space="preserve"> </w:t>
      </w:r>
    </w:p>
    <w:p w14:paraId="37FD5FF6" w14:textId="77777777" w:rsidR="00A160A2" w:rsidRDefault="00A160A2">
      <w:pPr>
        <w:rPr>
          <w:rFonts w:eastAsiaTheme="majorEastAsia"/>
        </w:rPr>
      </w:pPr>
      <w:r>
        <w:rPr>
          <w:rFonts w:eastAsiaTheme="majorEastAsia"/>
        </w:rPr>
        <w:br w:type="page"/>
      </w:r>
    </w:p>
    <w:p w14:paraId="26214677" w14:textId="371D6504" w:rsidR="00994E1B" w:rsidRPr="007F6F36" w:rsidRDefault="00994E1B" w:rsidP="007F6F36">
      <w:pPr>
        <w:spacing w:before="480" w:after="240" w:line="240" w:lineRule="auto"/>
        <w:ind w:left="425"/>
        <w:rPr>
          <w:b/>
          <w:bCs/>
        </w:rPr>
      </w:pPr>
      <w:r w:rsidRPr="00BD2C42">
        <w:rPr>
          <w:b/>
          <w:bCs/>
        </w:rPr>
        <w:lastRenderedPageBreak/>
        <w:t>Interim Targets in 2035</w:t>
      </w:r>
    </w:p>
    <w:p w14:paraId="5939A703" w14:textId="2E96D2AC" w:rsidR="00994E1B" w:rsidRDefault="00994E1B" w:rsidP="008B1103">
      <w:pPr>
        <w:ind w:left="426"/>
        <w:rPr>
          <w:rFonts w:cs="Arial"/>
          <w:b/>
          <w:bCs/>
          <w:color w:val="000000"/>
          <w:sz w:val="18"/>
          <w:szCs w:val="18"/>
        </w:rPr>
      </w:pPr>
      <w:r>
        <w:t xml:space="preserve">The interim targets for 2035 represent growth in equity group participation and completion headcount that is equivalent to the share of overall growth in undergraduate enrolments that is projected to take place to 2035 under the </w:t>
      </w:r>
      <w:r>
        <w:rPr>
          <w:i/>
          <w:iCs/>
        </w:rPr>
        <w:t>Equal Effort</w:t>
      </w:r>
      <w:r>
        <w:t xml:space="preserve"> option that meets the parity target goal in 2050.         </w:t>
      </w:r>
    </w:p>
    <w:p w14:paraId="13C90B90" w14:textId="7072F3F5" w:rsidR="00994E1B" w:rsidRPr="00D87ECA" w:rsidRDefault="00994E1B" w:rsidP="008B1103">
      <w:pPr>
        <w:spacing w:before="240" w:line="240" w:lineRule="auto"/>
        <w:ind w:left="426"/>
        <w:rPr>
          <w:rFonts w:cstheme="minorHAnsi"/>
          <w:color w:val="000000"/>
          <w:sz w:val="18"/>
          <w:szCs w:val="18"/>
          <w:lang w:eastAsia="en-AU"/>
        </w:rPr>
      </w:pPr>
      <w:r w:rsidRPr="00185BAE">
        <w:rPr>
          <w:rFonts w:cstheme="minorHAnsi"/>
          <w:b/>
          <w:bCs/>
          <w:color w:val="000000"/>
          <w:sz w:val="18"/>
          <w:szCs w:val="18"/>
          <w:lang w:eastAsia="en-AU"/>
        </w:rPr>
        <w:t xml:space="preserve">Table </w:t>
      </w:r>
      <w:r w:rsidR="00DF0E95">
        <w:rPr>
          <w:rFonts w:cstheme="minorHAnsi"/>
          <w:b/>
          <w:bCs/>
          <w:color w:val="000000"/>
          <w:sz w:val="18"/>
          <w:szCs w:val="18"/>
          <w:lang w:eastAsia="en-AU"/>
        </w:rPr>
        <w:t>I</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Pr>
          <w:rFonts w:cstheme="minorHAnsi"/>
          <w:color w:val="000000"/>
          <w:sz w:val="18"/>
          <w:szCs w:val="18"/>
          <w:lang w:eastAsia="en-AU"/>
        </w:rPr>
        <w:t xml:space="preserve">Participation – The Equal Effort Option to meet a </w:t>
      </w:r>
      <w:r>
        <w:rPr>
          <w:rFonts w:cstheme="minorHAnsi"/>
          <w:i/>
          <w:iCs/>
          <w:color w:val="000000"/>
          <w:sz w:val="18"/>
          <w:szCs w:val="18"/>
          <w:lang w:eastAsia="en-AU"/>
        </w:rPr>
        <w:t>State/Territory (Home Institutions</w:t>
      </w:r>
      <w:r>
        <w:rPr>
          <w:rFonts w:cstheme="minorHAnsi"/>
          <w:color w:val="000000"/>
          <w:sz w:val="18"/>
          <w:szCs w:val="18"/>
          <w:lang w:eastAsia="en-AU"/>
        </w:rPr>
        <w:t xml:space="preserve">) Parity Target </w:t>
      </w:r>
      <w:r>
        <w:rPr>
          <w:rFonts w:cstheme="minorHAnsi"/>
          <w:color w:val="000000"/>
          <w:sz w:val="18"/>
          <w:szCs w:val="18"/>
          <w:lang w:eastAsia="en-AU"/>
        </w:rPr>
        <w:br/>
        <w:t>in 2035.</w:t>
      </w:r>
    </w:p>
    <w:tbl>
      <w:tblPr>
        <w:tblW w:w="89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3"/>
        <w:gridCol w:w="1784"/>
        <w:gridCol w:w="1784"/>
        <w:gridCol w:w="1784"/>
        <w:gridCol w:w="1784"/>
      </w:tblGrid>
      <w:tr w:rsidR="00994E1B" w:rsidRPr="009B6407" w14:paraId="7521F871" w14:textId="77777777" w:rsidTr="008B1103">
        <w:trPr>
          <w:trHeight w:val="1018"/>
        </w:trPr>
        <w:tc>
          <w:tcPr>
            <w:tcW w:w="1783" w:type="dxa"/>
            <w:shd w:val="clear" w:color="auto" w:fill="auto"/>
            <w:noWrap/>
            <w:vAlign w:val="center"/>
            <w:hideMark/>
          </w:tcPr>
          <w:p w14:paraId="22CD5540" w14:textId="77777777" w:rsidR="00994E1B" w:rsidRPr="009B6407" w:rsidRDefault="00994E1B" w:rsidP="00784A84">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784" w:type="dxa"/>
            <w:shd w:val="clear" w:color="auto" w:fill="6B3B57"/>
            <w:vAlign w:val="center"/>
            <w:hideMark/>
          </w:tcPr>
          <w:p w14:paraId="3A4C4C18" w14:textId="77777777" w:rsidR="00994E1B" w:rsidRPr="00634F7E" w:rsidRDefault="00994E1B" w:rsidP="00784A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2021</w:t>
            </w:r>
          </w:p>
        </w:tc>
        <w:tc>
          <w:tcPr>
            <w:tcW w:w="1784" w:type="dxa"/>
            <w:shd w:val="clear" w:color="auto" w:fill="6B3B57"/>
            <w:vAlign w:val="center"/>
            <w:hideMark/>
          </w:tcPr>
          <w:p w14:paraId="1C101860" w14:textId="77777777" w:rsidR="00994E1B" w:rsidRPr="00634F7E" w:rsidRDefault="00994E1B" w:rsidP="00784A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2035</w:t>
            </w:r>
          </w:p>
          <w:p w14:paraId="3083E4AE" w14:textId="77777777" w:rsidR="00994E1B" w:rsidRPr="00634F7E" w:rsidRDefault="00994E1B" w:rsidP="00784A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Equal Effort*</w:t>
            </w:r>
          </w:p>
          <w:p w14:paraId="4EE8BDD4" w14:textId="77777777" w:rsidR="00994E1B" w:rsidRPr="00634F7E" w:rsidRDefault="00994E1B" w:rsidP="00784A84">
            <w:pPr>
              <w:spacing w:after="0" w:line="240" w:lineRule="auto"/>
              <w:jc w:val="center"/>
              <w:rPr>
                <w:rFonts w:cs="Arial"/>
                <w:b/>
                <w:bCs/>
                <w:color w:val="FFFFFF"/>
                <w:sz w:val="18"/>
                <w:szCs w:val="18"/>
                <w:lang w:eastAsia="en-AU"/>
              </w:rPr>
            </w:pPr>
          </w:p>
        </w:tc>
        <w:tc>
          <w:tcPr>
            <w:tcW w:w="1784" w:type="dxa"/>
            <w:shd w:val="clear" w:color="auto" w:fill="6B3B57"/>
            <w:vAlign w:val="center"/>
          </w:tcPr>
          <w:p w14:paraId="51C746F4" w14:textId="77777777" w:rsidR="00994E1B" w:rsidRPr="00634F7E" w:rsidRDefault="00994E1B" w:rsidP="00784A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 xml:space="preserve">Growth </w:t>
            </w:r>
          </w:p>
          <w:p w14:paraId="64F9EFC8" w14:textId="77777777" w:rsidR="00994E1B" w:rsidRPr="00634F7E" w:rsidRDefault="00994E1B" w:rsidP="00784A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(headcount)</w:t>
            </w:r>
          </w:p>
        </w:tc>
        <w:tc>
          <w:tcPr>
            <w:tcW w:w="1784" w:type="dxa"/>
            <w:shd w:val="clear" w:color="auto" w:fill="6B3B57"/>
            <w:vAlign w:val="center"/>
          </w:tcPr>
          <w:p w14:paraId="6370B022" w14:textId="77777777" w:rsidR="00994E1B" w:rsidRPr="00634F7E" w:rsidRDefault="00994E1B" w:rsidP="00784A84">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Share of Growth (%)</w:t>
            </w:r>
          </w:p>
        </w:tc>
      </w:tr>
      <w:tr w:rsidR="004026F4" w:rsidRPr="009B6407" w14:paraId="619F8834" w14:textId="77777777" w:rsidTr="008B1103">
        <w:trPr>
          <w:trHeight w:val="315"/>
        </w:trPr>
        <w:tc>
          <w:tcPr>
            <w:tcW w:w="1783" w:type="dxa"/>
            <w:shd w:val="clear" w:color="auto" w:fill="auto"/>
            <w:noWrap/>
            <w:vAlign w:val="center"/>
            <w:hideMark/>
          </w:tcPr>
          <w:p w14:paraId="3344FD10" w14:textId="77777777" w:rsidR="004026F4" w:rsidRPr="009B6407" w:rsidRDefault="004026F4" w:rsidP="004026F4">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784" w:type="dxa"/>
            <w:shd w:val="clear" w:color="auto" w:fill="auto"/>
            <w:noWrap/>
            <w:vAlign w:val="center"/>
          </w:tcPr>
          <w:p w14:paraId="78AD2BF2" w14:textId="35DB3B8C" w:rsidR="004026F4" w:rsidRPr="00BD2F1D" w:rsidRDefault="004026F4" w:rsidP="004026F4">
            <w:pPr>
              <w:spacing w:after="0" w:line="240" w:lineRule="auto"/>
              <w:ind w:right="484"/>
              <w:jc w:val="right"/>
              <w:rPr>
                <w:rFonts w:cs="Arial"/>
                <w:b/>
                <w:bCs/>
                <w:color w:val="000000"/>
                <w:sz w:val="18"/>
                <w:szCs w:val="18"/>
                <w:lang w:eastAsia="en-AU"/>
              </w:rPr>
            </w:pPr>
            <w:r w:rsidRPr="00BD2F1D">
              <w:rPr>
                <w:b/>
                <w:bCs/>
                <w:sz w:val="18"/>
                <w:szCs w:val="18"/>
              </w:rPr>
              <w:t>784,219</w:t>
            </w:r>
          </w:p>
        </w:tc>
        <w:tc>
          <w:tcPr>
            <w:tcW w:w="1784" w:type="dxa"/>
            <w:shd w:val="clear" w:color="auto" w:fill="EFE2E7" w:themeFill="text1" w:themeFillTint="1A"/>
            <w:noWrap/>
            <w:vAlign w:val="center"/>
          </w:tcPr>
          <w:p w14:paraId="267BDAA7" w14:textId="1C91B9AA" w:rsidR="004026F4" w:rsidRPr="008D6C50" w:rsidRDefault="004026F4" w:rsidP="004026F4">
            <w:pPr>
              <w:spacing w:after="0" w:line="240" w:lineRule="auto"/>
              <w:ind w:right="484"/>
              <w:jc w:val="right"/>
              <w:rPr>
                <w:rFonts w:cs="Arial"/>
                <w:b/>
                <w:bCs/>
                <w:color w:val="000000"/>
                <w:sz w:val="18"/>
                <w:szCs w:val="18"/>
                <w:lang w:eastAsia="en-AU"/>
              </w:rPr>
            </w:pPr>
            <w:r>
              <w:rPr>
                <w:rFonts w:cs="Arial"/>
                <w:b/>
                <w:bCs/>
                <w:color w:val="000000"/>
                <w:sz w:val="18"/>
                <w:szCs w:val="18"/>
              </w:rPr>
              <w:t>1,070,173</w:t>
            </w:r>
          </w:p>
        </w:tc>
        <w:tc>
          <w:tcPr>
            <w:tcW w:w="1784" w:type="dxa"/>
            <w:shd w:val="clear" w:color="auto" w:fill="auto"/>
            <w:noWrap/>
            <w:vAlign w:val="center"/>
          </w:tcPr>
          <w:p w14:paraId="787FF655" w14:textId="24CE9C2F" w:rsidR="004026F4" w:rsidRPr="008D6C50" w:rsidRDefault="004026F4" w:rsidP="004026F4">
            <w:pPr>
              <w:spacing w:after="0" w:line="240" w:lineRule="auto"/>
              <w:ind w:right="484"/>
              <w:jc w:val="right"/>
              <w:rPr>
                <w:rFonts w:cs="Arial"/>
                <w:b/>
                <w:bCs/>
                <w:color w:val="000000"/>
                <w:sz w:val="18"/>
                <w:szCs w:val="18"/>
                <w:lang w:eastAsia="en-AU"/>
              </w:rPr>
            </w:pPr>
            <w:r>
              <w:rPr>
                <w:rFonts w:cs="Arial"/>
                <w:b/>
                <w:bCs/>
                <w:color w:val="000000"/>
                <w:sz w:val="18"/>
                <w:szCs w:val="18"/>
              </w:rPr>
              <w:t>285,954</w:t>
            </w:r>
          </w:p>
        </w:tc>
        <w:tc>
          <w:tcPr>
            <w:tcW w:w="1784" w:type="dxa"/>
            <w:vAlign w:val="center"/>
          </w:tcPr>
          <w:p w14:paraId="601A0786" w14:textId="77777777" w:rsidR="004026F4" w:rsidRPr="008D6C50" w:rsidDel="00961A47" w:rsidRDefault="004026F4" w:rsidP="004026F4">
            <w:pPr>
              <w:spacing w:after="0" w:line="240" w:lineRule="auto"/>
              <w:ind w:right="484"/>
              <w:jc w:val="right"/>
              <w:rPr>
                <w:b/>
                <w:bCs/>
                <w:sz w:val="18"/>
                <w:szCs w:val="18"/>
              </w:rPr>
            </w:pPr>
            <w:r w:rsidRPr="008D6C50">
              <w:rPr>
                <w:rFonts w:cs="Arial"/>
                <w:b/>
                <w:bCs/>
                <w:color w:val="000000"/>
                <w:sz w:val="18"/>
                <w:szCs w:val="18"/>
              </w:rPr>
              <w:t>- </w:t>
            </w:r>
          </w:p>
        </w:tc>
      </w:tr>
      <w:tr w:rsidR="00B6205C" w:rsidRPr="009B6407" w14:paraId="211E14A9" w14:textId="77777777" w:rsidTr="008B1103">
        <w:trPr>
          <w:trHeight w:val="315"/>
        </w:trPr>
        <w:tc>
          <w:tcPr>
            <w:tcW w:w="1783" w:type="dxa"/>
            <w:shd w:val="clear" w:color="auto" w:fill="auto"/>
            <w:noWrap/>
            <w:vAlign w:val="center"/>
            <w:hideMark/>
          </w:tcPr>
          <w:p w14:paraId="40391BA4" w14:textId="77777777" w:rsidR="00B6205C" w:rsidRPr="009B6407" w:rsidRDefault="00B6205C" w:rsidP="00B6205C">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784" w:type="dxa"/>
            <w:shd w:val="clear" w:color="auto" w:fill="auto"/>
            <w:noWrap/>
            <w:vAlign w:val="center"/>
          </w:tcPr>
          <w:p w14:paraId="69E639DE" w14:textId="24A85B0E" w:rsidR="00B6205C" w:rsidRPr="00BD2F1D" w:rsidRDefault="00B6205C" w:rsidP="00B6205C">
            <w:pPr>
              <w:spacing w:after="0" w:line="240" w:lineRule="auto"/>
              <w:ind w:right="484"/>
              <w:jc w:val="right"/>
              <w:rPr>
                <w:rFonts w:cs="Arial"/>
                <w:color w:val="000000"/>
                <w:sz w:val="18"/>
                <w:szCs w:val="18"/>
                <w:lang w:eastAsia="en-AU"/>
              </w:rPr>
            </w:pPr>
            <w:r w:rsidRPr="00BD2F1D">
              <w:rPr>
                <w:sz w:val="18"/>
                <w:szCs w:val="18"/>
              </w:rPr>
              <w:t>133,901</w:t>
            </w:r>
          </w:p>
        </w:tc>
        <w:tc>
          <w:tcPr>
            <w:tcW w:w="1784" w:type="dxa"/>
            <w:shd w:val="clear" w:color="auto" w:fill="EFE2E7" w:themeFill="text1" w:themeFillTint="1A"/>
            <w:noWrap/>
            <w:vAlign w:val="center"/>
          </w:tcPr>
          <w:p w14:paraId="4046EAF1" w14:textId="3116C1A3"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216,550</w:t>
            </w:r>
          </w:p>
        </w:tc>
        <w:tc>
          <w:tcPr>
            <w:tcW w:w="1784" w:type="dxa"/>
            <w:shd w:val="clear" w:color="auto" w:fill="auto"/>
            <w:noWrap/>
            <w:vAlign w:val="center"/>
          </w:tcPr>
          <w:p w14:paraId="7BAFEB9A" w14:textId="35DA72E2"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82,649</w:t>
            </w:r>
          </w:p>
        </w:tc>
        <w:tc>
          <w:tcPr>
            <w:tcW w:w="1784" w:type="dxa"/>
            <w:vAlign w:val="center"/>
          </w:tcPr>
          <w:p w14:paraId="26EE5ACC" w14:textId="2301C3DA" w:rsidR="00B6205C" w:rsidRPr="007B51E8" w:rsidDel="00961A47" w:rsidRDefault="00B6205C" w:rsidP="00B6205C">
            <w:pPr>
              <w:spacing w:after="0" w:line="240" w:lineRule="auto"/>
              <w:ind w:right="484"/>
              <w:jc w:val="right"/>
              <w:rPr>
                <w:sz w:val="18"/>
                <w:szCs w:val="18"/>
              </w:rPr>
            </w:pPr>
            <w:r>
              <w:rPr>
                <w:rFonts w:cs="Arial"/>
                <w:color w:val="000000"/>
                <w:sz w:val="18"/>
                <w:szCs w:val="18"/>
              </w:rPr>
              <w:t>28.9</w:t>
            </w:r>
          </w:p>
        </w:tc>
      </w:tr>
      <w:tr w:rsidR="00B6205C" w:rsidRPr="009B6407" w14:paraId="754E31B1" w14:textId="77777777" w:rsidTr="008B1103">
        <w:trPr>
          <w:trHeight w:val="315"/>
        </w:trPr>
        <w:tc>
          <w:tcPr>
            <w:tcW w:w="1783" w:type="dxa"/>
            <w:shd w:val="clear" w:color="auto" w:fill="auto"/>
            <w:noWrap/>
            <w:vAlign w:val="center"/>
            <w:hideMark/>
          </w:tcPr>
          <w:p w14:paraId="1A0B54FD" w14:textId="77777777" w:rsidR="00B6205C" w:rsidRPr="009B6407" w:rsidRDefault="00B6205C" w:rsidP="00B6205C">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784" w:type="dxa"/>
            <w:shd w:val="clear" w:color="auto" w:fill="auto"/>
            <w:noWrap/>
            <w:vAlign w:val="center"/>
          </w:tcPr>
          <w:p w14:paraId="3FC82D3A" w14:textId="1CC0F71D" w:rsidR="00B6205C" w:rsidRPr="00BD2F1D" w:rsidRDefault="00B6205C" w:rsidP="00B6205C">
            <w:pPr>
              <w:spacing w:after="0" w:line="240" w:lineRule="auto"/>
              <w:ind w:right="484"/>
              <w:jc w:val="right"/>
              <w:rPr>
                <w:rFonts w:cs="Arial"/>
                <w:color w:val="000000"/>
                <w:sz w:val="18"/>
                <w:szCs w:val="18"/>
                <w:lang w:eastAsia="en-AU"/>
              </w:rPr>
            </w:pPr>
            <w:r w:rsidRPr="00BD2F1D">
              <w:rPr>
                <w:sz w:val="18"/>
                <w:szCs w:val="18"/>
              </w:rPr>
              <w:t>160,542</w:t>
            </w:r>
          </w:p>
        </w:tc>
        <w:tc>
          <w:tcPr>
            <w:tcW w:w="1784" w:type="dxa"/>
            <w:shd w:val="clear" w:color="auto" w:fill="EFE2E7" w:themeFill="text1" w:themeFillTint="1A"/>
            <w:noWrap/>
            <w:vAlign w:val="center"/>
          </w:tcPr>
          <w:p w14:paraId="7D7BD033" w14:textId="55EE8539"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257,538</w:t>
            </w:r>
          </w:p>
        </w:tc>
        <w:tc>
          <w:tcPr>
            <w:tcW w:w="1784" w:type="dxa"/>
            <w:shd w:val="clear" w:color="auto" w:fill="auto"/>
            <w:noWrap/>
            <w:vAlign w:val="center"/>
          </w:tcPr>
          <w:p w14:paraId="11EF3555" w14:textId="057CDDAF"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96,996</w:t>
            </w:r>
          </w:p>
        </w:tc>
        <w:tc>
          <w:tcPr>
            <w:tcW w:w="1784" w:type="dxa"/>
            <w:vAlign w:val="center"/>
          </w:tcPr>
          <w:p w14:paraId="20DDBAA6" w14:textId="15C33E4A" w:rsidR="00B6205C" w:rsidRPr="007B51E8" w:rsidDel="00961A47" w:rsidRDefault="00B6205C" w:rsidP="00B6205C">
            <w:pPr>
              <w:spacing w:after="0" w:line="240" w:lineRule="auto"/>
              <w:ind w:right="484"/>
              <w:jc w:val="right"/>
              <w:rPr>
                <w:sz w:val="18"/>
                <w:szCs w:val="18"/>
              </w:rPr>
            </w:pPr>
            <w:r>
              <w:rPr>
                <w:rFonts w:cs="Arial"/>
                <w:color w:val="000000"/>
                <w:sz w:val="18"/>
                <w:szCs w:val="18"/>
              </w:rPr>
              <w:t>33.9</w:t>
            </w:r>
          </w:p>
        </w:tc>
      </w:tr>
      <w:tr w:rsidR="00B6205C" w:rsidRPr="009B6407" w14:paraId="189368B5" w14:textId="77777777" w:rsidTr="008B1103">
        <w:trPr>
          <w:trHeight w:val="315"/>
        </w:trPr>
        <w:tc>
          <w:tcPr>
            <w:tcW w:w="1783" w:type="dxa"/>
            <w:shd w:val="clear" w:color="auto" w:fill="auto"/>
            <w:noWrap/>
            <w:vAlign w:val="center"/>
            <w:hideMark/>
          </w:tcPr>
          <w:p w14:paraId="53D546C4" w14:textId="77777777" w:rsidR="00B6205C" w:rsidRPr="009B6407" w:rsidRDefault="00B6205C" w:rsidP="00B6205C">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784" w:type="dxa"/>
            <w:shd w:val="clear" w:color="auto" w:fill="auto"/>
            <w:noWrap/>
            <w:vAlign w:val="center"/>
          </w:tcPr>
          <w:p w14:paraId="3808A399" w14:textId="4BE36440" w:rsidR="00B6205C" w:rsidRPr="00BD2F1D" w:rsidRDefault="00B6205C" w:rsidP="00B6205C">
            <w:pPr>
              <w:spacing w:after="0" w:line="240" w:lineRule="auto"/>
              <w:ind w:right="484"/>
              <w:jc w:val="right"/>
              <w:rPr>
                <w:rFonts w:cs="Arial"/>
                <w:color w:val="000000"/>
                <w:sz w:val="18"/>
                <w:szCs w:val="18"/>
                <w:lang w:eastAsia="en-AU"/>
              </w:rPr>
            </w:pPr>
            <w:r w:rsidRPr="00BD2F1D">
              <w:rPr>
                <w:sz w:val="18"/>
                <w:szCs w:val="18"/>
              </w:rPr>
              <w:t>16,383</w:t>
            </w:r>
          </w:p>
        </w:tc>
        <w:tc>
          <w:tcPr>
            <w:tcW w:w="1784" w:type="dxa"/>
            <w:shd w:val="clear" w:color="auto" w:fill="EFE2E7" w:themeFill="text1" w:themeFillTint="1A"/>
            <w:noWrap/>
            <w:vAlign w:val="center"/>
          </w:tcPr>
          <w:p w14:paraId="3E78E89E" w14:textId="6C4775BC"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34,999</w:t>
            </w:r>
          </w:p>
        </w:tc>
        <w:tc>
          <w:tcPr>
            <w:tcW w:w="1784" w:type="dxa"/>
            <w:shd w:val="clear" w:color="auto" w:fill="auto"/>
            <w:noWrap/>
            <w:vAlign w:val="center"/>
          </w:tcPr>
          <w:p w14:paraId="3F80CC8A" w14:textId="2364E1F0"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18,616</w:t>
            </w:r>
          </w:p>
        </w:tc>
        <w:tc>
          <w:tcPr>
            <w:tcW w:w="1784" w:type="dxa"/>
            <w:vAlign w:val="center"/>
          </w:tcPr>
          <w:p w14:paraId="4B33AD7D" w14:textId="7E396A48" w:rsidR="00B6205C" w:rsidRPr="007B51E8" w:rsidDel="00961A47" w:rsidRDefault="00B6205C" w:rsidP="00B6205C">
            <w:pPr>
              <w:spacing w:after="0" w:line="240" w:lineRule="auto"/>
              <w:ind w:right="484"/>
              <w:jc w:val="right"/>
              <w:rPr>
                <w:sz w:val="18"/>
                <w:szCs w:val="18"/>
              </w:rPr>
            </w:pPr>
            <w:r>
              <w:rPr>
                <w:rFonts w:cs="Arial"/>
                <w:color w:val="000000"/>
                <w:sz w:val="18"/>
                <w:szCs w:val="18"/>
              </w:rPr>
              <w:t>6.5</w:t>
            </w:r>
          </w:p>
        </w:tc>
      </w:tr>
      <w:tr w:rsidR="00B6205C" w:rsidRPr="009B6407" w14:paraId="0F0D4112" w14:textId="77777777" w:rsidTr="008B1103">
        <w:trPr>
          <w:trHeight w:val="315"/>
        </w:trPr>
        <w:tc>
          <w:tcPr>
            <w:tcW w:w="1783" w:type="dxa"/>
            <w:shd w:val="clear" w:color="auto" w:fill="auto"/>
            <w:noWrap/>
            <w:vAlign w:val="center"/>
            <w:hideMark/>
          </w:tcPr>
          <w:p w14:paraId="6A24A87D" w14:textId="77777777" w:rsidR="00B6205C" w:rsidRPr="009B6407" w:rsidRDefault="00B6205C" w:rsidP="00B6205C">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784" w:type="dxa"/>
            <w:shd w:val="clear" w:color="auto" w:fill="auto"/>
            <w:noWrap/>
            <w:vAlign w:val="center"/>
          </w:tcPr>
          <w:p w14:paraId="1B60C138" w14:textId="5BD058B4" w:rsidR="00B6205C" w:rsidRPr="00BD2F1D" w:rsidRDefault="00B6205C" w:rsidP="00B6205C">
            <w:pPr>
              <w:spacing w:after="0" w:line="240" w:lineRule="auto"/>
              <w:ind w:right="484"/>
              <w:jc w:val="right"/>
              <w:rPr>
                <w:rFonts w:cs="Arial"/>
                <w:color w:val="000000"/>
                <w:sz w:val="18"/>
                <w:szCs w:val="18"/>
                <w:lang w:eastAsia="en-AU"/>
              </w:rPr>
            </w:pPr>
            <w:r w:rsidRPr="00BD2F1D">
              <w:rPr>
                <w:sz w:val="18"/>
                <w:szCs w:val="18"/>
              </w:rPr>
              <w:t>80,769</w:t>
            </w:r>
          </w:p>
        </w:tc>
        <w:tc>
          <w:tcPr>
            <w:tcW w:w="1784" w:type="dxa"/>
            <w:shd w:val="clear" w:color="auto" w:fill="EFE2E7" w:themeFill="text1" w:themeFillTint="1A"/>
            <w:noWrap/>
            <w:vAlign w:val="center"/>
          </w:tcPr>
          <w:p w14:paraId="69E133D8" w14:textId="21A0CCB8"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110,346</w:t>
            </w:r>
          </w:p>
        </w:tc>
        <w:tc>
          <w:tcPr>
            <w:tcW w:w="1784" w:type="dxa"/>
            <w:shd w:val="clear" w:color="auto" w:fill="auto"/>
            <w:noWrap/>
            <w:vAlign w:val="center"/>
          </w:tcPr>
          <w:p w14:paraId="7F8ECFA3" w14:textId="588714BF" w:rsidR="00B6205C" w:rsidRPr="00FD241E" w:rsidRDefault="00B6205C" w:rsidP="00B6205C">
            <w:pPr>
              <w:spacing w:after="0" w:line="240" w:lineRule="auto"/>
              <w:ind w:right="484"/>
              <w:jc w:val="right"/>
              <w:rPr>
                <w:rFonts w:cs="Arial"/>
                <w:color w:val="000000"/>
                <w:sz w:val="18"/>
                <w:szCs w:val="18"/>
                <w:lang w:eastAsia="en-AU"/>
              </w:rPr>
            </w:pPr>
            <w:r>
              <w:rPr>
                <w:rFonts w:cs="Arial"/>
                <w:color w:val="000000"/>
                <w:sz w:val="18"/>
                <w:szCs w:val="18"/>
              </w:rPr>
              <w:t>29,577</w:t>
            </w:r>
          </w:p>
        </w:tc>
        <w:tc>
          <w:tcPr>
            <w:tcW w:w="1784" w:type="dxa"/>
            <w:vAlign w:val="center"/>
          </w:tcPr>
          <w:p w14:paraId="24C0AF2E" w14:textId="7BAF3E58" w:rsidR="00B6205C" w:rsidRPr="007B51E8" w:rsidDel="00961A47" w:rsidRDefault="00B6205C" w:rsidP="00B6205C">
            <w:pPr>
              <w:spacing w:after="0" w:line="240" w:lineRule="auto"/>
              <w:ind w:right="484"/>
              <w:jc w:val="right"/>
              <w:rPr>
                <w:sz w:val="18"/>
                <w:szCs w:val="18"/>
              </w:rPr>
            </w:pPr>
            <w:r>
              <w:rPr>
                <w:rFonts w:cs="Arial"/>
                <w:color w:val="000000"/>
                <w:sz w:val="18"/>
                <w:szCs w:val="18"/>
              </w:rPr>
              <w:t>10.3</w:t>
            </w:r>
          </w:p>
        </w:tc>
      </w:tr>
      <w:tr w:rsidR="00B6205C" w:rsidRPr="009B6407" w14:paraId="6ACE6D08" w14:textId="77777777" w:rsidTr="008B1103">
        <w:trPr>
          <w:trHeight w:val="315"/>
        </w:trPr>
        <w:tc>
          <w:tcPr>
            <w:tcW w:w="1783" w:type="dxa"/>
            <w:shd w:val="clear" w:color="auto" w:fill="auto"/>
            <w:noWrap/>
            <w:vAlign w:val="center"/>
            <w:hideMark/>
          </w:tcPr>
          <w:p w14:paraId="0A85FC5A" w14:textId="1CE196D4" w:rsidR="00B6205C" w:rsidRPr="00731C99" w:rsidRDefault="00B6205C" w:rsidP="00B6205C">
            <w:pPr>
              <w:spacing w:after="0" w:line="240" w:lineRule="auto"/>
              <w:rPr>
                <w:rFonts w:cs="Arial"/>
                <w:b/>
                <w:bCs/>
                <w:i/>
                <w:iCs/>
                <w:color w:val="000000"/>
                <w:sz w:val="18"/>
                <w:szCs w:val="18"/>
                <w:lang w:eastAsia="en-AU"/>
              </w:rPr>
            </w:pPr>
            <w:r w:rsidRPr="00731C99">
              <w:rPr>
                <w:rFonts w:cs="Arial"/>
                <w:b/>
                <w:bCs/>
                <w:i/>
                <w:iCs/>
                <w:color w:val="000000"/>
                <w:sz w:val="18"/>
                <w:szCs w:val="18"/>
                <w:lang w:eastAsia="en-AU"/>
              </w:rPr>
              <w:t>Equity Group</w:t>
            </w:r>
          </w:p>
        </w:tc>
        <w:tc>
          <w:tcPr>
            <w:tcW w:w="1784" w:type="dxa"/>
            <w:shd w:val="clear" w:color="auto" w:fill="auto"/>
            <w:noWrap/>
            <w:vAlign w:val="center"/>
          </w:tcPr>
          <w:p w14:paraId="512EADA2" w14:textId="38F53AAB" w:rsidR="00B6205C" w:rsidRPr="00BD2F1D" w:rsidRDefault="00B6205C" w:rsidP="00B6205C">
            <w:pPr>
              <w:spacing w:after="0" w:line="240" w:lineRule="auto"/>
              <w:ind w:right="484"/>
              <w:jc w:val="right"/>
              <w:rPr>
                <w:rFonts w:cs="Arial"/>
                <w:b/>
                <w:bCs/>
                <w:color w:val="000000"/>
                <w:sz w:val="18"/>
                <w:szCs w:val="18"/>
                <w:lang w:eastAsia="en-AU"/>
              </w:rPr>
            </w:pPr>
            <w:r w:rsidRPr="00BD2F1D">
              <w:rPr>
                <w:b/>
                <w:bCs/>
                <w:sz w:val="18"/>
                <w:szCs w:val="18"/>
              </w:rPr>
              <w:t>309,360</w:t>
            </w:r>
          </w:p>
        </w:tc>
        <w:tc>
          <w:tcPr>
            <w:tcW w:w="1784" w:type="dxa"/>
            <w:shd w:val="clear" w:color="auto" w:fill="EFE2E7" w:themeFill="text1" w:themeFillTint="1A"/>
            <w:noWrap/>
            <w:vAlign w:val="center"/>
          </w:tcPr>
          <w:p w14:paraId="06C80EC0" w14:textId="4A4A584A" w:rsidR="00B6205C" w:rsidRPr="004026F4" w:rsidRDefault="00B6205C" w:rsidP="00B6205C">
            <w:pPr>
              <w:spacing w:after="0" w:line="240" w:lineRule="auto"/>
              <w:ind w:right="484"/>
              <w:jc w:val="right"/>
              <w:rPr>
                <w:rFonts w:cs="Arial"/>
                <w:b/>
                <w:bCs/>
                <w:color w:val="000000"/>
                <w:sz w:val="18"/>
                <w:szCs w:val="18"/>
                <w:lang w:eastAsia="en-AU"/>
              </w:rPr>
            </w:pPr>
            <w:r w:rsidRPr="004026F4">
              <w:rPr>
                <w:rFonts w:cs="Arial"/>
                <w:b/>
                <w:bCs/>
                <w:color w:val="000000"/>
                <w:sz w:val="18"/>
                <w:szCs w:val="18"/>
              </w:rPr>
              <w:t>489,352</w:t>
            </w:r>
          </w:p>
        </w:tc>
        <w:tc>
          <w:tcPr>
            <w:tcW w:w="1784" w:type="dxa"/>
            <w:shd w:val="clear" w:color="auto" w:fill="auto"/>
            <w:noWrap/>
            <w:vAlign w:val="center"/>
          </w:tcPr>
          <w:p w14:paraId="43EA88A2" w14:textId="4C59046D" w:rsidR="00B6205C" w:rsidRPr="004026F4" w:rsidRDefault="00B6205C" w:rsidP="00B6205C">
            <w:pPr>
              <w:spacing w:after="0" w:line="240" w:lineRule="auto"/>
              <w:ind w:right="484"/>
              <w:jc w:val="right"/>
              <w:rPr>
                <w:rFonts w:cs="Arial"/>
                <w:b/>
                <w:bCs/>
                <w:color w:val="000000"/>
                <w:sz w:val="18"/>
                <w:szCs w:val="18"/>
                <w:lang w:eastAsia="en-AU"/>
              </w:rPr>
            </w:pPr>
            <w:r w:rsidRPr="004026F4">
              <w:rPr>
                <w:rFonts w:cs="Arial"/>
                <w:b/>
                <w:bCs/>
                <w:color w:val="000000"/>
                <w:sz w:val="18"/>
                <w:szCs w:val="18"/>
              </w:rPr>
              <w:t>179,992</w:t>
            </w:r>
          </w:p>
        </w:tc>
        <w:tc>
          <w:tcPr>
            <w:tcW w:w="1784" w:type="dxa"/>
            <w:vAlign w:val="center"/>
          </w:tcPr>
          <w:p w14:paraId="17888120" w14:textId="0CF7AF48" w:rsidR="00B6205C" w:rsidRPr="00B6205C" w:rsidDel="00961A47" w:rsidRDefault="00B6205C" w:rsidP="00B6205C">
            <w:pPr>
              <w:spacing w:after="0" w:line="240" w:lineRule="auto"/>
              <w:ind w:right="484"/>
              <w:jc w:val="right"/>
              <w:rPr>
                <w:b/>
                <w:bCs/>
                <w:sz w:val="18"/>
                <w:szCs w:val="18"/>
              </w:rPr>
            </w:pPr>
            <w:r w:rsidRPr="00B6205C">
              <w:rPr>
                <w:rFonts w:cs="Arial"/>
                <w:b/>
                <w:bCs/>
                <w:color w:val="000000"/>
                <w:sz w:val="18"/>
                <w:szCs w:val="18"/>
              </w:rPr>
              <w:t>62.9</w:t>
            </w:r>
          </w:p>
        </w:tc>
      </w:tr>
    </w:tbl>
    <w:p w14:paraId="1F698A94" w14:textId="123AD645" w:rsidR="00994E1B" w:rsidRDefault="00994E1B" w:rsidP="008B1103">
      <w:pPr>
        <w:spacing w:line="240" w:lineRule="auto"/>
        <w:ind w:left="567"/>
        <w:rPr>
          <w:rFonts w:cs="Arial"/>
          <w:sz w:val="18"/>
          <w:szCs w:val="18"/>
        </w:rPr>
      </w:pPr>
      <w:r>
        <w:rPr>
          <w:b/>
          <w:bCs/>
          <w:sz w:val="18"/>
          <w:szCs w:val="18"/>
        </w:rPr>
        <w:t xml:space="preserve">Note: </w:t>
      </w:r>
      <w:r>
        <w:rPr>
          <w:sz w:val="18"/>
          <w:szCs w:val="18"/>
        </w:rPr>
        <w:t xml:space="preserve">This represents a target in 2035 under the 2050 timeframe, when 29.3% of the growth in participation headcount to 2050 takes place. </w:t>
      </w:r>
      <w:r w:rsidR="00006DA9">
        <w:rPr>
          <w:sz w:val="18"/>
          <w:szCs w:val="18"/>
        </w:rPr>
        <w:br/>
      </w: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341A1752" w14:textId="50CB1673" w:rsidR="00994E1B" w:rsidRDefault="000771AA" w:rsidP="008B1103">
      <w:pPr>
        <w:spacing w:before="240" w:line="240" w:lineRule="auto"/>
        <w:ind w:left="426"/>
        <w:rPr>
          <w:rFonts w:cstheme="minorHAnsi"/>
          <w:color w:val="000000"/>
          <w:sz w:val="18"/>
          <w:szCs w:val="18"/>
          <w:lang w:eastAsia="en-AU"/>
        </w:rPr>
      </w:pPr>
      <w:r>
        <w:rPr>
          <w:rFonts w:cstheme="minorHAnsi"/>
          <w:b/>
          <w:bCs/>
          <w:color w:val="000000"/>
          <w:sz w:val="18"/>
          <w:szCs w:val="18"/>
          <w:lang w:eastAsia="en-AU"/>
        </w:rPr>
        <w:br/>
      </w:r>
      <w:r>
        <w:rPr>
          <w:rFonts w:cstheme="minorHAnsi"/>
          <w:b/>
          <w:bCs/>
          <w:color w:val="000000"/>
          <w:sz w:val="18"/>
          <w:szCs w:val="18"/>
          <w:lang w:eastAsia="en-AU"/>
        </w:rPr>
        <w:br/>
      </w:r>
      <w:r w:rsidR="00994E1B" w:rsidRPr="00185BAE">
        <w:rPr>
          <w:rFonts w:cstheme="minorHAnsi"/>
          <w:b/>
          <w:bCs/>
          <w:color w:val="000000"/>
          <w:sz w:val="18"/>
          <w:szCs w:val="18"/>
          <w:lang w:eastAsia="en-AU"/>
        </w:rPr>
        <w:t xml:space="preserve">Table </w:t>
      </w:r>
      <w:r w:rsidR="00DF0E95">
        <w:rPr>
          <w:rFonts w:cstheme="minorHAnsi"/>
          <w:b/>
          <w:bCs/>
          <w:color w:val="000000"/>
          <w:sz w:val="18"/>
          <w:szCs w:val="18"/>
          <w:lang w:eastAsia="en-AU"/>
        </w:rPr>
        <w:t>J</w:t>
      </w:r>
      <w:r w:rsidR="00994E1B" w:rsidRPr="00185BAE">
        <w:rPr>
          <w:rFonts w:cstheme="minorHAnsi"/>
          <w:b/>
          <w:bCs/>
          <w:color w:val="000000"/>
          <w:sz w:val="18"/>
          <w:szCs w:val="18"/>
          <w:lang w:eastAsia="en-AU"/>
        </w:rPr>
        <w:t>:</w:t>
      </w:r>
      <w:r w:rsidR="00994E1B">
        <w:rPr>
          <w:rFonts w:cstheme="minorHAnsi"/>
          <w:b/>
          <w:bCs/>
          <w:color w:val="000000"/>
          <w:sz w:val="18"/>
          <w:szCs w:val="18"/>
          <w:lang w:eastAsia="en-AU"/>
        </w:rPr>
        <w:t xml:space="preserve"> </w:t>
      </w:r>
      <w:r w:rsidR="00994E1B">
        <w:rPr>
          <w:rFonts w:cstheme="minorHAnsi"/>
          <w:color w:val="000000"/>
          <w:sz w:val="18"/>
          <w:szCs w:val="18"/>
          <w:lang w:eastAsia="en-AU"/>
        </w:rPr>
        <w:t xml:space="preserve">Completion – the Equal Effort Option to meet a </w:t>
      </w:r>
      <w:r w:rsidR="00994E1B">
        <w:rPr>
          <w:rFonts w:cstheme="minorHAnsi"/>
          <w:i/>
          <w:iCs/>
          <w:color w:val="000000"/>
          <w:sz w:val="18"/>
          <w:szCs w:val="18"/>
          <w:lang w:eastAsia="en-AU"/>
        </w:rPr>
        <w:t>State/Territory (Home Institutions</w:t>
      </w:r>
      <w:r w:rsidR="00994E1B">
        <w:rPr>
          <w:rFonts w:cstheme="minorHAnsi"/>
          <w:color w:val="000000"/>
          <w:sz w:val="18"/>
          <w:szCs w:val="18"/>
          <w:lang w:eastAsia="en-AU"/>
        </w:rPr>
        <w:t xml:space="preserve">) Parity Target </w:t>
      </w:r>
      <w:r w:rsidR="00994E1B">
        <w:rPr>
          <w:rFonts w:cstheme="minorHAnsi"/>
          <w:color w:val="000000"/>
          <w:sz w:val="18"/>
          <w:szCs w:val="18"/>
          <w:lang w:eastAsia="en-AU"/>
        </w:rPr>
        <w:br/>
        <w:t>in 2035.</w:t>
      </w:r>
    </w:p>
    <w:tbl>
      <w:tblPr>
        <w:tblW w:w="891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26"/>
        <w:gridCol w:w="1850"/>
        <w:gridCol w:w="1850"/>
        <w:gridCol w:w="1850"/>
      </w:tblGrid>
      <w:tr w:rsidR="00BB275B" w:rsidRPr="009B6407" w14:paraId="0224740B" w14:textId="77777777" w:rsidTr="008B1103">
        <w:trPr>
          <w:trHeight w:val="1018"/>
        </w:trPr>
        <w:tc>
          <w:tcPr>
            <w:tcW w:w="1843" w:type="dxa"/>
            <w:shd w:val="clear" w:color="auto" w:fill="auto"/>
            <w:noWrap/>
            <w:vAlign w:val="center"/>
            <w:hideMark/>
          </w:tcPr>
          <w:p w14:paraId="26BCE992" w14:textId="77777777" w:rsidR="00BB275B" w:rsidRPr="009B6407" w:rsidRDefault="00BB275B">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526" w:type="dxa"/>
            <w:shd w:val="clear" w:color="auto" w:fill="6B3B57"/>
            <w:vAlign w:val="center"/>
            <w:hideMark/>
          </w:tcPr>
          <w:p w14:paraId="38594042" w14:textId="77777777" w:rsidR="00BB275B" w:rsidRPr="00634F7E" w:rsidRDefault="00BB27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2021</w:t>
            </w:r>
          </w:p>
        </w:tc>
        <w:tc>
          <w:tcPr>
            <w:tcW w:w="1850" w:type="dxa"/>
            <w:shd w:val="clear" w:color="auto" w:fill="6B3B57"/>
            <w:vAlign w:val="center"/>
            <w:hideMark/>
          </w:tcPr>
          <w:p w14:paraId="530302FC" w14:textId="77777777" w:rsidR="00BB275B" w:rsidRPr="00634F7E" w:rsidRDefault="00BB27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 xml:space="preserve">2035 </w:t>
            </w:r>
          </w:p>
          <w:p w14:paraId="359663AD" w14:textId="77777777" w:rsidR="00BB275B" w:rsidRPr="00634F7E" w:rsidRDefault="00BB27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Equal Effort*</w:t>
            </w:r>
          </w:p>
          <w:p w14:paraId="657AAD6D" w14:textId="77777777" w:rsidR="00BB275B" w:rsidRPr="00634F7E" w:rsidRDefault="00BB275B">
            <w:pPr>
              <w:spacing w:after="0" w:line="240" w:lineRule="auto"/>
              <w:jc w:val="center"/>
              <w:rPr>
                <w:rFonts w:cs="Arial"/>
                <w:b/>
                <w:bCs/>
                <w:color w:val="FFFFFF"/>
                <w:sz w:val="18"/>
                <w:szCs w:val="18"/>
                <w:lang w:eastAsia="en-AU"/>
              </w:rPr>
            </w:pPr>
          </w:p>
        </w:tc>
        <w:tc>
          <w:tcPr>
            <w:tcW w:w="1850" w:type="dxa"/>
            <w:shd w:val="clear" w:color="auto" w:fill="6B3B57"/>
            <w:vAlign w:val="center"/>
          </w:tcPr>
          <w:p w14:paraId="2E5C16AD" w14:textId="77777777" w:rsidR="00BB275B" w:rsidRPr="00634F7E" w:rsidRDefault="00BB27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Growth (headcount)</w:t>
            </w:r>
          </w:p>
        </w:tc>
        <w:tc>
          <w:tcPr>
            <w:tcW w:w="1850" w:type="dxa"/>
            <w:shd w:val="clear" w:color="auto" w:fill="6B3B57"/>
            <w:vAlign w:val="center"/>
          </w:tcPr>
          <w:p w14:paraId="1DDEA9CA" w14:textId="77777777" w:rsidR="00BB275B" w:rsidRPr="00634F7E" w:rsidRDefault="00BB275B">
            <w:pPr>
              <w:spacing w:after="0" w:line="240" w:lineRule="auto"/>
              <w:jc w:val="center"/>
              <w:rPr>
                <w:rFonts w:cs="Arial"/>
                <w:b/>
                <w:bCs/>
                <w:color w:val="FFFFFF"/>
                <w:sz w:val="18"/>
                <w:szCs w:val="18"/>
                <w:lang w:eastAsia="en-AU"/>
              </w:rPr>
            </w:pPr>
            <w:r w:rsidRPr="00634F7E">
              <w:rPr>
                <w:rFonts w:cs="Arial"/>
                <w:b/>
                <w:bCs/>
                <w:color w:val="FFFFFF"/>
                <w:sz w:val="18"/>
                <w:szCs w:val="18"/>
                <w:lang w:eastAsia="en-AU"/>
              </w:rPr>
              <w:t>Share of Growth (%)</w:t>
            </w:r>
          </w:p>
        </w:tc>
      </w:tr>
      <w:tr w:rsidR="00BB275B" w:rsidRPr="009B6407" w14:paraId="45714EC6" w14:textId="77777777" w:rsidTr="008B1103">
        <w:trPr>
          <w:trHeight w:val="315"/>
        </w:trPr>
        <w:tc>
          <w:tcPr>
            <w:tcW w:w="1843" w:type="dxa"/>
            <w:shd w:val="clear" w:color="auto" w:fill="auto"/>
            <w:noWrap/>
            <w:vAlign w:val="center"/>
            <w:hideMark/>
          </w:tcPr>
          <w:p w14:paraId="4B846C50" w14:textId="77777777" w:rsidR="00BB275B" w:rsidRPr="009B6407" w:rsidRDefault="00BB275B">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526" w:type="dxa"/>
            <w:shd w:val="clear" w:color="auto" w:fill="auto"/>
            <w:noWrap/>
            <w:vAlign w:val="center"/>
          </w:tcPr>
          <w:p w14:paraId="323C1A3F" w14:textId="77777777" w:rsidR="00BB275B" w:rsidRPr="001E2EFA" w:rsidRDefault="00BB275B" w:rsidP="00E7523F">
            <w:pPr>
              <w:spacing w:after="0" w:line="240" w:lineRule="auto"/>
              <w:ind w:right="431"/>
              <w:jc w:val="right"/>
              <w:rPr>
                <w:rFonts w:cs="Arial"/>
                <w:b/>
                <w:bCs/>
                <w:color w:val="000000"/>
                <w:sz w:val="18"/>
                <w:szCs w:val="18"/>
                <w:lang w:eastAsia="en-AU"/>
              </w:rPr>
            </w:pPr>
            <w:r w:rsidRPr="001F0FF9">
              <w:rPr>
                <w:rFonts w:cs="Arial"/>
                <w:b/>
                <w:bCs/>
                <w:color w:val="000000"/>
                <w:sz w:val="18"/>
                <w:szCs w:val="18"/>
              </w:rPr>
              <w:t>118,000</w:t>
            </w:r>
          </w:p>
        </w:tc>
        <w:tc>
          <w:tcPr>
            <w:tcW w:w="1850" w:type="dxa"/>
            <w:shd w:val="clear" w:color="auto" w:fill="EFE2E7" w:themeFill="text1" w:themeFillTint="1A"/>
            <w:noWrap/>
            <w:vAlign w:val="center"/>
          </w:tcPr>
          <w:p w14:paraId="46C7C3EB" w14:textId="77777777" w:rsidR="00BB275B" w:rsidRPr="00AA2E8B" w:rsidRDefault="00BB275B">
            <w:pPr>
              <w:spacing w:after="0" w:line="240" w:lineRule="auto"/>
              <w:ind w:right="436"/>
              <w:jc w:val="right"/>
              <w:rPr>
                <w:rFonts w:cs="Arial"/>
                <w:b/>
                <w:bCs/>
                <w:color w:val="000000"/>
                <w:sz w:val="18"/>
                <w:szCs w:val="18"/>
                <w:lang w:eastAsia="en-AU"/>
              </w:rPr>
            </w:pPr>
            <w:r w:rsidRPr="00AA2E8B">
              <w:rPr>
                <w:b/>
                <w:bCs/>
                <w:sz w:val="18"/>
                <w:szCs w:val="18"/>
              </w:rPr>
              <w:t>150,973</w:t>
            </w:r>
          </w:p>
        </w:tc>
        <w:tc>
          <w:tcPr>
            <w:tcW w:w="1850" w:type="dxa"/>
            <w:shd w:val="clear" w:color="auto" w:fill="auto"/>
            <w:noWrap/>
            <w:vAlign w:val="center"/>
          </w:tcPr>
          <w:p w14:paraId="78B3F0D3" w14:textId="77777777" w:rsidR="00BB275B" w:rsidRPr="00AA2E8B" w:rsidRDefault="00BB275B" w:rsidP="00E7523F">
            <w:pPr>
              <w:spacing w:after="0" w:line="240" w:lineRule="auto"/>
              <w:ind w:right="577"/>
              <w:jc w:val="right"/>
              <w:rPr>
                <w:rFonts w:cs="Arial"/>
                <w:b/>
                <w:bCs/>
                <w:color w:val="000000"/>
                <w:sz w:val="18"/>
                <w:szCs w:val="18"/>
                <w:lang w:eastAsia="en-AU"/>
              </w:rPr>
            </w:pPr>
            <w:r w:rsidRPr="00AA2E8B">
              <w:rPr>
                <w:b/>
                <w:bCs/>
                <w:sz w:val="18"/>
                <w:szCs w:val="18"/>
              </w:rPr>
              <w:t>32,973</w:t>
            </w:r>
          </w:p>
        </w:tc>
        <w:tc>
          <w:tcPr>
            <w:tcW w:w="1850" w:type="dxa"/>
            <w:vAlign w:val="center"/>
          </w:tcPr>
          <w:p w14:paraId="2A2AC26B" w14:textId="77777777" w:rsidR="00BB275B" w:rsidRPr="00AA2E8B" w:rsidDel="00961A47" w:rsidRDefault="00BB275B">
            <w:pPr>
              <w:spacing w:after="0" w:line="240" w:lineRule="auto"/>
              <w:ind w:right="586"/>
              <w:jc w:val="right"/>
              <w:rPr>
                <w:b/>
                <w:bCs/>
                <w:sz w:val="18"/>
                <w:szCs w:val="18"/>
              </w:rPr>
            </w:pPr>
            <w:r w:rsidRPr="00AA2E8B">
              <w:rPr>
                <w:rFonts w:cs="Arial"/>
                <w:b/>
                <w:bCs/>
                <w:color w:val="000000"/>
                <w:sz w:val="18"/>
                <w:szCs w:val="18"/>
              </w:rPr>
              <w:t>- </w:t>
            </w:r>
          </w:p>
        </w:tc>
      </w:tr>
      <w:tr w:rsidR="00BB275B" w:rsidRPr="009B6407" w14:paraId="54B3594A" w14:textId="77777777" w:rsidTr="008B1103">
        <w:trPr>
          <w:trHeight w:val="315"/>
        </w:trPr>
        <w:tc>
          <w:tcPr>
            <w:tcW w:w="1843" w:type="dxa"/>
            <w:shd w:val="clear" w:color="auto" w:fill="auto"/>
            <w:noWrap/>
            <w:vAlign w:val="center"/>
            <w:hideMark/>
          </w:tcPr>
          <w:p w14:paraId="26E7DBD8" w14:textId="77777777" w:rsidR="00BB275B" w:rsidRPr="009B6407" w:rsidRDefault="00BB275B">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526" w:type="dxa"/>
            <w:shd w:val="clear" w:color="auto" w:fill="auto"/>
            <w:noWrap/>
            <w:vAlign w:val="center"/>
          </w:tcPr>
          <w:p w14:paraId="27E9C61C" w14:textId="77777777" w:rsidR="00BB275B" w:rsidRPr="003E69B6" w:rsidRDefault="00BB275B" w:rsidP="00E7523F">
            <w:pPr>
              <w:spacing w:after="0" w:line="240" w:lineRule="auto"/>
              <w:ind w:right="431"/>
              <w:jc w:val="right"/>
              <w:rPr>
                <w:rFonts w:cs="Arial"/>
                <w:color w:val="000000"/>
                <w:sz w:val="18"/>
                <w:szCs w:val="18"/>
                <w:lang w:eastAsia="en-AU"/>
              </w:rPr>
            </w:pPr>
            <w:r w:rsidRPr="00B8400A">
              <w:rPr>
                <w:sz w:val="18"/>
                <w:szCs w:val="18"/>
              </w:rPr>
              <w:t>17,179</w:t>
            </w:r>
          </w:p>
        </w:tc>
        <w:tc>
          <w:tcPr>
            <w:tcW w:w="1850" w:type="dxa"/>
            <w:shd w:val="clear" w:color="auto" w:fill="EFE2E7" w:themeFill="text1" w:themeFillTint="1A"/>
            <w:noWrap/>
            <w:vAlign w:val="center"/>
          </w:tcPr>
          <w:p w14:paraId="4E61F571" w14:textId="77777777" w:rsidR="00BB275B" w:rsidRPr="003E69B6" w:rsidRDefault="00BB275B">
            <w:pPr>
              <w:spacing w:after="0" w:line="240" w:lineRule="auto"/>
              <w:ind w:right="436"/>
              <w:jc w:val="right"/>
              <w:rPr>
                <w:rFonts w:cs="Arial"/>
                <w:color w:val="000000"/>
                <w:sz w:val="18"/>
                <w:szCs w:val="18"/>
                <w:lang w:eastAsia="en-AU"/>
              </w:rPr>
            </w:pPr>
            <w:r w:rsidRPr="00B8400A">
              <w:rPr>
                <w:sz w:val="18"/>
                <w:szCs w:val="18"/>
              </w:rPr>
              <w:t>26,982</w:t>
            </w:r>
          </w:p>
        </w:tc>
        <w:tc>
          <w:tcPr>
            <w:tcW w:w="1850" w:type="dxa"/>
            <w:shd w:val="clear" w:color="auto" w:fill="auto"/>
            <w:noWrap/>
            <w:vAlign w:val="center"/>
          </w:tcPr>
          <w:p w14:paraId="1F11BEA7" w14:textId="77777777" w:rsidR="00BB275B" w:rsidRPr="003E69B6" w:rsidRDefault="00BB275B" w:rsidP="00E7523F">
            <w:pPr>
              <w:spacing w:after="0" w:line="240" w:lineRule="auto"/>
              <w:ind w:right="577"/>
              <w:jc w:val="right"/>
              <w:rPr>
                <w:rFonts w:cs="Arial"/>
                <w:color w:val="000000"/>
                <w:sz w:val="18"/>
                <w:szCs w:val="18"/>
                <w:lang w:eastAsia="en-AU"/>
              </w:rPr>
            </w:pPr>
            <w:r w:rsidRPr="00B8400A">
              <w:rPr>
                <w:sz w:val="18"/>
                <w:szCs w:val="18"/>
              </w:rPr>
              <w:t>9,803</w:t>
            </w:r>
          </w:p>
        </w:tc>
        <w:tc>
          <w:tcPr>
            <w:tcW w:w="1850" w:type="dxa"/>
            <w:vAlign w:val="center"/>
          </w:tcPr>
          <w:p w14:paraId="06CBD4E7" w14:textId="77777777" w:rsidR="00BB275B" w:rsidRPr="007B51E8" w:rsidDel="00961A47" w:rsidRDefault="00BB275B">
            <w:pPr>
              <w:spacing w:after="0" w:line="240" w:lineRule="auto"/>
              <w:ind w:right="586"/>
              <w:jc w:val="right"/>
              <w:rPr>
                <w:sz w:val="18"/>
                <w:szCs w:val="18"/>
              </w:rPr>
            </w:pPr>
            <w:r>
              <w:rPr>
                <w:rFonts w:cs="Arial"/>
                <w:color w:val="000000"/>
                <w:sz w:val="18"/>
                <w:szCs w:val="18"/>
              </w:rPr>
              <w:t>29.7</w:t>
            </w:r>
          </w:p>
        </w:tc>
      </w:tr>
      <w:tr w:rsidR="00BB275B" w:rsidRPr="009B6407" w14:paraId="03B4C759" w14:textId="77777777" w:rsidTr="008B1103">
        <w:trPr>
          <w:trHeight w:val="315"/>
        </w:trPr>
        <w:tc>
          <w:tcPr>
            <w:tcW w:w="1843" w:type="dxa"/>
            <w:shd w:val="clear" w:color="auto" w:fill="auto"/>
            <w:noWrap/>
            <w:vAlign w:val="center"/>
            <w:hideMark/>
          </w:tcPr>
          <w:p w14:paraId="7F754EA2" w14:textId="77777777" w:rsidR="00BB275B" w:rsidRPr="009B6407" w:rsidRDefault="00BB275B">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526" w:type="dxa"/>
            <w:shd w:val="clear" w:color="auto" w:fill="auto"/>
            <w:noWrap/>
            <w:vAlign w:val="center"/>
          </w:tcPr>
          <w:p w14:paraId="5256AC7D" w14:textId="77777777" w:rsidR="00BB275B" w:rsidRPr="003E69B6" w:rsidRDefault="00BB275B" w:rsidP="00E7523F">
            <w:pPr>
              <w:spacing w:after="0" w:line="240" w:lineRule="auto"/>
              <w:ind w:right="431"/>
              <w:jc w:val="right"/>
              <w:rPr>
                <w:rFonts w:cs="Arial"/>
                <w:color w:val="000000"/>
                <w:sz w:val="18"/>
                <w:szCs w:val="18"/>
                <w:lang w:eastAsia="en-AU"/>
              </w:rPr>
            </w:pPr>
            <w:r w:rsidRPr="00B8400A">
              <w:rPr>
                <w:sz w:val="18"/>
                <w:szCs w:val="18"/>
              </w:rPr>
              <w:t>22,154</w:t>
            </w:r>
          </w:p>
        </w:tc>
        <w:tc>
          <w:tcPr>
            <w:tcW w:w="1850" w:type="dxa"/>
            <w:shd w:val="clear" w:color="auto" w:fill="EFE2E7" w:themeFill="text1" w:themeFillTint="1A"/>
            <w:noWrap/>
            <w:vAlign w:val="center"/>
          </w:tcPr>
          <w:p w14:paraId="62241931" w14:textId="77777777" w:rsidR="00BB275B" w:rsidRPr="003E69B6" w:rsidRDefault="00BB275B">
            <w:pPr>
              <w:spacing w:after="0" w:line="240" w:lineRule="auto"/>
              <w:ind w:right="436"/>
              <w:jc w:val="right"/>
              <w:rPr>
                <w:rFonts w:cs="Arial"/>
                <w:color w:val="000000"/>
                <w:sz w:val="18"/>
                <w:szCs w:val="18"/>
                <w:lang w:eastAsia="en-AU"/>
              </w:rPr>
            </w:pPr>
            <w:r w:rsidRPr="00B8400A">
              <w:rPr>
                <w:sz w:val="18"/>
                <w:szCs w:val="18"/>
              </w:rPr>
              <w:t>32,831</w:t>
            </w:r>
          </w:p>
        </w:tc>
        <w:tc>
          <w:tcPr>
            <w:tcW w:w="1850" w:type="dxa"/>
            <w:shd w:val="clear" w:color="auto" w:fill="auto"/>
            <w:noWrap/>
            <w:vAlign w:val="center"/>
          </w:tcPr>
          <w:p w14:paraId="1DE74837" w14:textId="77777777" w:rsidR="00BB275B" w:rsidRPr="003E69B6" w:rsidRDefault="00BB275B" w:rsidP="00E7523F">
            <w:pPr>
              <w:spacing w:after="0" w:line="240" w:lineRule="auto"/>
              <w:ind w:right="577"/>
              <w:jc w:val="right"/>
              <w:rPr>
                <w:rFonts w:cs="Arial"/>
                <w:color w:val="000000"/>
                <w:sz w:val="18"/>
                <w:szCs w:val="18"/>
                <w:lang w:eastAsia="en-AU"/>
              </w:rPr>
            </w:pPr>
            <w:r w:rsidRPr="00B8400A">
              <w:rPr>
                <w:sz w:val="18"/>
                <w:szCs w:val="18"/>
              </w:rPr>
              <w:t>10,677</w:t>
            </w:r>
          </w:p>
        </w:tc>
        <w:tc>
          <w:tcPr>
            <w:tcW w:w="1850" w:type="dxa"/>
            <w:vAlign w:val="center"/>
          </w:tcPr>
          <w:p w14:paraId="4CCA3089" w14:textId="77777777" w:rsidR="00BB275B" w:rsidRPr="007B51E8" w:rsidDel="00961A47" w:rsidRDefault="00BB275B">
            <w:pPr>
              <w:spacing w:after="0" w:line="240" w:lineRule="auto"/>
              <w:ind w:right="586"/>
              <w:jc w:val="right"/>
              <w:rPr>
                <w:sz w:val="18"/>
                <w:szCs w:val="18"/>
              </w:rPr>
            </w:pPr>
            <w:r>
              <w:rPr>
                <w:rFonts w:cs="Arial"/>
                <w:color w:val="000000"/>
                <w:sz w:val="18"/>
                <w:szCs w:val="18"/>
              </w:rPr>
              <w:t>32.4</w:t>
            </w:r>
          </w:p>
        </w:tc>
      </w:tr>
      <w:tr w:rsidR="00BB275B" w:rsidRPr="009B6407" w14:paraId="4AC12B23" w14:textId="77777777" w:rsidTr="008B1103">
        <w:trPr>
          <w:trHeight w:val="315"/>
        </w:trPr>
        <w:tc>
          <w:tcPr>
            <w:tcW w:w="1843" w:type="dxa"/>
            <w:shd w:val="clear" w:color="auto" w:fill="auto"/>
            <w:noWrap/>
            <w:vAlign w:val="center"/>
            <w:hideMark/>
          </w:tcPr>
          <w:p w14:paraId="49505110" w14:textId="77777777" w:rsidR="00BB275B" w:rsidRPr="009B6407" w:rsidRDefault="00BB275B">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526" w:type="dxa"/>
            <w:shd w:val="clear" w:color="auto" w:fill="auto"/>
            <w:noWrap/>
            <w:vAlign w:val="center"/>
          </w:tcPr>
          <w:p w14:paraId="2942A157" w14:textId="77777777" w:rsidR="00BB275B" w:rsidRPr="001E2EFA" w:rsidRDefault="00BB275B" w:rsidP="00E7523F">
            <w:pPr>
              <w:spacing w:after="0" w:line="240" w:lineRule="auto"/>
              <w:ind w:right="431"/>
              <w:jc w:val="right"/>
              <w:rPr>
                <w:rFonts w:cs="Arial"/>
                <w:color w:val="000000"/>
                <w:sz w:val="18"/>
                <w:szCs w:val="18"/>
                <w:lang w:eastAsia="en-AU"/>
              </w:rPr>
            </w:pPr>
            <w:r w:rsidRPr="001F0FF9">
              <w:rPr>
                <w:rFonts w:cs="Arial"/>
                <w:color w:val="000000"/>
                <w:sz w:val="18"/>
                <w:szCs w:val="18"/>
              </w:rPr>
              <w:t>1,637</w:t>
            </w:r>
          </w:p>
        </w:tc>
        <w:tc>
          <w:tcPr>
            <w:tcW w:w="1850" w:type="dxa"/>
            <w:shd w:val="clear" w:color="auto" w:fill="EFE2E7" w:themeFill="text1" w:themeFillTint="1A"/>
            <w:noWrap/>
            <w:vAlign w:val="center"/>
          </w:tcPr>
          <w:p w14:paraId="7C3447DD" w14:textId="77777777" w:rsidR="00BB275B" w:rsidRPr="00AA2E8B" w:rsidRDefault="00BB275B">
            <w:pPr>
              <w:spacing w:after="0" w:line="240" w:lineRule="auto"/>
              <w:ind w:right="436"/>
              <w:jc w:val="right"/>
              <w:rPr>
                <w:rFonts w:cs="Arial"/>
                <w:color w:val="000000"/>
                <w:sz w:val="18"/>
                <w:szCs w:val="18"/>
                <w:lang w:eastAsia="en-AU"/>
              </w:rPr>
            </w:pPr>
            <w:r w:rsidRPr="00AA2E8B">
              <w:rPr>
                <w:sz w:val="18"/>
                <w:szCs w:val="18"/>
              </w:rPr>
              <w:t>3,671</w:t>
            </w:r>
          </w:p>
        </w:tc>
        <w:tc>
          <w:tcPr>
            <w:tcW w:w="1850" w:type="dxa"/>
            <w:shd w:val="clear" w:color="auto" w:fill="auto"/>
            <w:noWrap/>
            <w:vAlign w:val="center"/>
          </w:tcPr>
          <w:p w14:paraId="7CB5F180" w14:textId="77777777" w:rsidR="00BB275B" w:rsidRPr="00AA2E8B" w:rsidRDefault="00BB275B" w:rsidP="00E7523F">
            <w:pPr>
              <w:spacing w:after="0" w:line="240" w:lineRule="auto"/>
              <w:ind w:right="577"/>
              <w:jc w:val="right"/>
              <w:rPr>
                <w:rFonts w:cs="Arial"/>
                <w:color w:val="000000"/>
                <w:sz w:val="18"/>
                <w:szCs w:val="18"/>
                <w:lang w:eastAsia="en-AU"/>
              </w:rPr>
            </w:pPr>
            <w:r w:rsidRPr="00AA2E8B">
              <w:rPr>
                <w:sz w:val="18"/>
                <w:szCs w:val="18"/>
              </w:rPr>
              <w:t>2,034</w:t>
            </w:r>
          </w:p>
        </w:tc>
        <w:tc>
          <w:tcPr>
            <w:tcW w:w="1850" w:type="dxa"/>
            <w:vAlign w:val="center"/>
          </w:tcPr>
          <w:p w14:paraId="6AFEC464" w14:textId="77777777" w:rsidR="00BB275B" w:rsidRPr="007B51E8" w:rsidDel="00961A47" w:rsidRDefault="00BB275B">
            <w:pPr>
              <w:spacing w:after="0" w:line="240" w:lineRule="auto"/>
              <w:ind w:right="586"/>
              <w:jc w:val="right"/>
              <w:rPr>
                <w:sz w:val="18"/>
                <w:szCs w:val="18"/>
              </w:rPr>
            </w:pPr>
            <w:r>
              <w:rPr>
                <w:rFonts w:cs="Arial"/>
                <w:color w:val="000000"/>
                <w:sz w:val="18"/>
                <w:szCs w:val="18"/>
              </w:rPr>
              <w:t>6.2</w:t>
            </w:r>
          </w:p>
        </w:tc>
      </w:tr>
      <w:tr w:rsidR="00BB275B" w:rsidRPr="009B6407" w14:paraId="3B629604" w14:textId="77777777" w:rsidTr="008B1103">
        <w:trPr>
          <w:trHeight w:val="315"/>
        </w:trPr>
        <w:tc>
          <w:tcPr>
            <w:tcW w:w="1843" w:type="dxa"/>
            <w:shd w:val="clear" w:color="auto" w:fill="auto"/>
            <w:noWrap/>
            <w:vAlign w:val="center"/>
            <w:hideMark/>
          </w:tcPr>
          <w:p w14:paraId="6FA0AC76" w14:textId="77777777" w:rsidR="00BB275B" w:rsidRPr="009B6407" w:rsidRDefault="00BB275B">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526" w:type="dxa"/>
            <w:shd w:val="clear" w:color="auto" w:fill="auto"/>
            <w:noWrap/>
            <w:vAlign w:val="center"/>
          </w:tcPr>
          <w:p w14:paraId="02052767" w14:textId="77777777" w:rsidR="00BB275B" w:rsidRPr="001E2EFA" w:rsidRDefault="00BB275B" w:rsidP="00E7523F">
            <w:pPr>
              <w:spacing w:after="0" w:line="240" w:lineRule="auto"/>
              <w:ind w:right="431"/>
              <w:jc w:val="right"/>
              <w:rPr>
                <w:rFonts w:cs="Arial"/>
                <w:color w:val="000000"/>
                <w:sz w:val="18"/>
                <w:szCs w:val="18"/>
                <w:lang w:eastAsia="en-AU"/>
              </w:rPr>
            </w:pPr>
            <w:r w:rsidRPr="001F0FF9">
              <w:rPr>
                <w:rFonts w:cs="Arial"/>
                <w:color w:val="000000"/>
                <w:sz w:val="18"/>
                <w:szCs w:val="18"/>
              </w:rPr>
              <w:t>9,215</w:t>
            </w:r>
          </w:p>
        </w:tc>
        <w:tc>
          <w:tcPr>
            <w:tcW w:w="1850" w:type="dxa"/>
            <w:shd w:val="clear" w:color="auto" w:fill="EFE2E7" w:themeFill="text1" w:themeFillTint="1A"/>
            <w:noWrap/>
            <w:vAlign w:val="center"/>
          </w:tcPr>
          <w:p w14:paraId="1AC549B3" w14:textId="77777777" w:rsidR="00BB275B" w:rsidRPr="00AA2E8B" w:rsidRDefault="00BB275B">
            <w:pPr>
              <w:spacing w:after="0" w:line="240" w:lineRule="auto"/>
              <w:ind w:right="436"/>
              <w:jc w:val="right"/>
              <w:rPr>
                <w:rFonts w:cs="Arial"/>
                <w:color w:val="000000"/>
                <w:sz w:val="18"/>
                <w:szCs w:val="18"/>
                <w:lang w:eastAsia="en-AU"/>
              </w:rPr>
            </w:pPr>
            <w:r w:rsidRPr="00AA2E8B">
              <w:rPr>
                <w:sz w:val="18"/>
                <w:szCs w:val="18"/>
              </w:rPr>
              <w:t>12,264</w:t>
            </w:r>
          </w:p>
        </w:tc>
        <w:tc>
          <w:tcPr>
            <w:tcW w:w="1850" w:type="dxa"/>
            <w:shd w:val="clear" w:color="auto" w:fill="auto"/>
            <w:noWrap/>
            <w:vAlign w:val="center"/>
          </w:tcPr>
          <w:p w14:paraId="1DA9231C" w14:textId="77777777" w:rsidR="00BB275B" w:rsidRPr="00AA2E8B" w:rsidRDefault="00BB275B" w:rsidP="00E7523F">
            <w:pPr>
              <w:spacing w:after="0" w:line="240" w:lineRule="auto"/>
              <w:ind w:right="577"/>
              <w:jc w:val="right"/>
              <w:rPr>
                <w:rFonts w:cs="Arial"/>
                <w:color w:val="000000"/>
                <w:sz w:val="18"/>
                <w:szCs w:val="18"/>
                <w:lang w:eastAsia="en-AU"/>
              </w:rPr>
            </w:pPr>
            <w:r w:rsidRPr="00AA2E8B">
              <w:rPr>
                <w:sz w:val="18"/>
                <w:szCs w:val="18"/>
              </w:rPr>
              <w:t>3,049</w:t>
            </w:r>
          </w:p>
        </w:tc>
        <w:tc>
          <w:tcPr>
            <w:tcW w:w="1850" w:type="dxa"/>
            <w:vAlign w:val="center"/>
          </w:tcPr>
          <w:p w14:paraId="7CB4B3CC" w14:textId="77777777" w:rsidR="00BB275B" w:rsidRPr="007B51E8" w:rsidDel="00961A47" w:rsidRDefault="00BB275B">
            <w:pPr>
              <w:spacing w:after="0" w:line="240" w:lineRule="auto"/>
              <w:ind w:right="586"/>
              <w:jc w:val="right"/>
              <w:rPr>
                <w:sz w:val="18"/>
                <w:szCs w:val="18"/>
              </w:rPr>
            </w:pPr>
            <w:r>
              <w:rPr>
                <w:rFonts w:cs="Arial"/>
                <w:color w:val="000000"/>
                <w:sz w:val="18"/>
                <w:szCs w:val="18"/>
              </w:rPr>
              <w:t>9.2</w:t>
            </w:r>
          </w:p>
        </w:tc>
      </w:tr>
      <w:tr w:rsidR="00BB275B" w:rsidRPr="009B6407" w14:paraId="1C6A48C9" w14:textId="77777777" w:rsidTr="008B1103">
        <w:trPr>
          <w:trHeight w:val="315"/>
        </w:trPr>
        <w:tc>
          <w:tcPr>
            <w:tcW w:w="1843" w:type="dxa"/>
            <w:shd w:val="clear" w:color="auto" w:fill="auto"/>
            <w:noWrap/>
            <w:vAlign w:val="center"/>
            <w:hideMark/>
          </w:tcPr>
          <w:p w14:paraId="5021E980" w14:textId="7ACD4915" w:rsidR="00BB275B" w:rsidRPr="00731C99" w:rsidRDefault="00BB275B">
            <w:pPr>
              <w:spacing w:after="0" w:line="240" w:lineRule="auto"/>
              <w:rPr>
                <w:rFonts w:cs="Arial"/>
                <w:b/>
                <w:bCs/>
                <w:i/>
                <w:iCs/>
                <w:color w:val="000000"/>
                <w:sz w:val="18"/>
                <w:szCs w:val="18"/>
                <w:lang w:eastAsia="en-AU"/>
              </w:rPr>
            </w:pPr>
            <w:r w:rsidRPr="00731C99">
              <w:rPr>
                <w:rFonts w:cs="Arial"/>
                <w:b/>
                <w:bCs/>
                <w:i/>
                <w:iCs/>
                <w:color w:val="000000"/>
                <w:sz w:val="18"/>
                <w:szCs w:val="18"/>
                <w:lang w:eastAsia="en-AU"/>
              </w:rPr>
              <w:t>Equity Group</w:t>
            </w:r>
          </w:p>
        </w:tc>
        <w:tc>
          <w:tcPr>
            <w:tcW w:w="1526" w:type="dxa"/>
            <w:shd w:val="clear" w:color="auto" w:fill="auto"/>
            <w:noWrap/>
            <w:vAlign w:val="center"/>
          </w:tcPr>
          <w:p w14:paraId="4007A95E" w14:textId="2EB874E6" w:rsidR="00BB275B" w:rsidRPr="00731C99" w:rsidRDefault="00A363A2" w:rsidP="00E7523F">
            <w:pPr>
              <w:spacing w:after="0" w:line="240" w:lineRule="auto"/>
              <w:ind w:right="431"/>
              <w:jc w:val="right"/>
              <w:rPr>
                <w:rFonts w:cs="Arial"/>
                <w:b/>
                <w:bCs/>
                <w:color w:val="000000"/>
                <w:sz w:val="18"/>
                <w:szCs w:val="18"/>
                <w:lang w:eastAsia="en-AU"/>
              </w:rPr>
            </w:pPr>
            <w:r>
              <w:rPr>
                <w:rFonts w:cs="Arial"/>
                <w:b/>
                <w:bCs/>
                <w:color w:val="000000"/>
                <w:sz w:val="18"/>
                <w:szCs w:val="18"/>
              </w:rPr>
              <w:t>39,646</w:t>
            </w:r>
          </w:p>
        </w:tc>
        <w:tc>
          <w:tcPr>
            <w:tcW w:w="1850" w:type="dxa"/>
            <w:shd w:val="clear" w:color="auto" w:fill="EFE2E7" w:themeFill="text1" w:themeFillTint="1A"/>
            <w:noWrap/>
            <w:vAlign w:val="center"/>
          </w:tcPr>
          <w:p w14:paraId="00F95B23" w14:textId="659F0557" w:rsidR="00BB275B" w:rsidRPr="00731C99" w:rsidRDefault="00BB275B">
            <w:pPr>
              <w:spacing w:after="0" w:line="240" w:lineRule="auto"/>
              <w:ind w:right="436"/>
              <w:jc w:val="right"/>
              <w:rPr>
                <w:rFonts w:cs="Arial"/>
                <w:b/>
                <w:bCs/>
                <w:color w:val="000000"/>
                <w:sz w:val="18"/>
                <w:szCs w:val="18"/>
                <w:lang w:eastAsia="en-AU"/>
              </w:rPr>
            </w:pPr>
            <w:r w:rsidRPr="00731C99">
              <w:rPr>
                <w:b/>
                <w:bCs/>
                <w:sz w:val="18"/>
                <w:szCs w:val="18"/>
              </w:rPr>
              <w:t>5</w:t>
            </w:r>
            <w:r w:rsidR="00A363A2">
              <w:rPr>
                <w:b/>
                <w:bCs/>
                <w:sz w:val="18"/>
                <w:szCs w:val="18"/>
              </w:rPr>
              <w:t>9</w:t>
            </w:r>
            <w:r w:rsidRPr="00731C99">
              <w:rPr>
                <w:b/>
                <w:bCs/>
                <w:sz w:val="18"/>
                <w:szCs w:val="18"/>
              </w:rPr>
              <w:t>,841</w:t>
            </w:r>
          </w:p>
        </w:tc>
        <w:tc>
          <w:tcPr>
            <w:tcW w:w="1850" w:type="dxa"/>
            <w:shd w:val="clear" w:color="auto" w:fill="auto"/>
            <w:noWrap/>
            <w:vAlign w:val="center"/>
          </w:tcPr>
          <w:p w14:paraId="7929F4F9" w14:textId="77777777" w:rsidR="00BB275B" w:rsidRPr="00731C99" w:rsidRDefault="00BB275B" w:rsidP="00E7523F">
            <w:pPr>
              <w:spacing w:after="0" w:line="240" w:lineRule="auto"/>
              <w:ind w:right="577"/>
              <w:jc w:val="right"/>
              <w:rPr>
                <w:rFonts w:cs="Arial"/>
                <w:b/>
                <w:bCs/>
                <w:color w:val="000000"/>
                <w:sz w:val="18"/>
                <w:szCs w:val="18"/>
                <w:lang w:eastAsia="en-AU"/>
              </w:rPr>
            </w:pPr>
            <w:r w:rsidRPr="00731C99">
              <w:rPr>
                <w:b/>
                <w:bCs/>
                <w:sz w:val="18"/>
                <w:szCs w:val="18"/>
              </w:rPr>
              <w:t>20,195</w:t>
            </w:r>
          </w:p>
        </w:tc>
        <w:tc>
          <w:tcPr>
            <w:tcW w:w="1850" w:type="dxa"/>
            <w:vAlign w:val="center"/>
          </w:tcPr>
          <w:p w14:paraId="59A7FB8D" w14:textId="77777777" w:rsidR="00BB275B" w:rsidRPr="00731C99" w:rsidDel="00961A47" w:rsidRDefault="00BB275B">
            <w:pPr>
              <w:spacing w:after="0" w:line="240" w:lineRule="auto"/>
              <w:ind w:right="586"/>
              <w:jc w:val="right"/>
              <w:rPr>
                <w:b/>
                <w:bCs/>
                <w:sz w:val="18"/>
                <w:szCs w:val="18"/>
              </w:rPr>
            </w:pPr>
            <w:r w:rsidRPr="00731C99">
              <w:rPr>
                <w:rFonts w:cs="Arial"/>
                <w:b/>
                <w:bCs/>
                <w:color w:val="000000"/>
                <w:sz w:val="18"/>
                <w:szCs w:val="18"/>
              </w:rPr>
              <w:t>61.2</w:t>
            </w:r>
          </w:p>
        </w:tc>
      </w:tr>
    </w:tbl>
    <w:p w14:paraId="6F7749B8" w14:textId="49B33C94" w:rsidR="00994E1B" w:rsidRDefault="00994E1B" w:rsidP="008B1103">
      <w:pPr>
        <w:spacing w:line="240" w:lineRule="auto"/>
        <w:ind w:left="567"/>
        <w:rPr>
          <w:rFonts w:cs="Arial"/>
          <w:sz w:val="18"/>
          <w:szCs w:val="18"/>
        </w:rPr>
      </w:pPr>
      <w:r>
        <w:rPr>
          <w:b/>
          <w:bCs/>
          <w:sz w:val="18"/>
          <w:szCs w:val="18"/>
        </w:rPr>
        <w:t xml:space="preserve">Note: </w:t>
      </w:r>
      <w:r>
        <w:rPr>
          <w:sz w:val="18"/>
          <w:szCs w:val="18"/>
        </w:rPr>
        <w:t xml:space="preserve">This represents a target in 2035 under the 2050 timeframe, when 20.8% of the growth in participation headcount to 2050 takes place. </w:t>
      </w:r>
      <w:r w:rsidR="00006DA9">
        <w:rPr>
          <w:sz w:val="18"/>
          <w:szCs w:val="18"/>
        </w:rPr>
        <w:br/>
      </w: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65B8E89F" w14:textId="77777777" w:rsidR="00994E1B" w:rsidRPr="008B1103" w:rsidRDefault="00994E1B" w:rsidP="008B1103">
      <w:pPr>
        <w:ind w:left="357" w:hanging="357"/>
        <w:rPr>
          <w:rFonts w:eastAsiaTheme="majorEastAsia"/>
        </w:rPr>
      </w:pPr>
    </w:p>
    <w:p w14:paraId="6DCC27EF" w14:textId="77777777" w:rsidR="007034BA" w:rsidRDefault="007034BA" w:rsidP="00300A8C">
      <w:pPr>
        <w:rPr>
          <w:rFonts w:eastAsiaTheme="majorEastAsia"/>
        </w:rPr>
      </w:pPr>
    </w:p>
    <w:p w14:paraId="78B4924D" w14:textId="77777777" w:rsidR="007F6F36" w:rsidRDefault="007F6F36">
      <w:pPr>
        <w:rPr>
          <w:rFonts w:eastAsiaTheme="majorEastAsia" w:cstheme="majorBidi"/>
          <w:b/>
          <w:bCs/>
          <w:color w:val="6B3B57"/>
          <w:sz w:val="26"/>
          <w:szCs w:val="26"/>
        </w:rPr>
      </w:pPr>
      <w:r>
        <w:br w:type="page"/>
      </w:r>
    </w:p>
    <w:p w14:paraId="48D4F8CB" w14:textId="3680727A" w:rsidR="00300A8C" w:rsidRDefault="00300A8C" w:rsidP="00B0246A">
      <w:pPr>
        <w:pStyle w:val="Heading2"/>
      </w:pPr>
      <w:r>
        <w:lastRenderedPageBreak/>
        <w:t xml:space="preserve">Other Considerations </w:t>
      </w:r>
    </w:p>
    <w:p w14:paraId="7F40C812" w14:textId="4BFFC78A" w:rsidR="009D3C61" w:rsidRPr="00ED7646" w:rsidRDefault="009D3C61" w:rsidP="008B1103">
      <w:pPr>
        <w:spacing w:before="240" w:after="240" w:line="240" w:lineRule="auto"/>
        <w:ind w:left="425"/>
        <w:rPr>
          <w:b/>
          <w:bCs/>
        </w:rPr>
      </w:pPr>
      <w:r w:rsidRPr="00ED7646">
        <w:rPr>
          <w:b/>
          <w:bCs/>
        </w:rPr>
        <w:t xml:space="preserve">Equity Group Definitions </w:t>
      </w:r>
    </w:p>
    <w:p w14:paraId="47188EBC" w14:textId="6B6F2DB0" w:rsidR="00DC2FAC" w:rsidRDefault="009D3C61" w:rsidP="008B1103">
      <w:pPr>
        <w:pStyle w:val="ListParagraph"/>
        <w:numPr>
          <w:ilvl w:val="0"/>
          <w:numId w:val="26"/>
        </w:numPr>
        <w:ind w:left="924" w:hanging="357"/>
      </w:pPr>
      <w:r w:rsidRPr="00775356">
        <w:rPr>
          <w:b/>
          <w:bCs/>
        </w:rPr>
        <w:t>Current Group Definitions:</w:t>
      </w:r>
      <w:r>
        <w:t xml:space="preserve"> Equity group membership data need to be collected consistently for parity targets to be effectively used as benchmark reference </w:t>
      </w:r>
      <w:r w:rsidR="00A04F8C">
        <w:t xml:space="preserve">values </w:t>
      </w:r>
      <w:r>
        <w:t>or to compare across higher education institutions. In particular, the collection of data on First Nations and disability status relies on self-reporting by students and there is enough inconsistency between institutions in the collection of these data to result in over- or under-reporting across institutions.</w:t>
      </w:r>
    </w:p>
    <w:p w14:paraId="4F0E84D6" w14:textId="746EAED1" w:rsidR="00BE1413" w:rsidRPr="008B1103" w:rsidRDefault="009D3C61" w:rsidP="008B1103">
      <w:pPr>
        <w:pStyle w:val="ListParagraph"/>
        <w:numPr>
          <w:ilvl w:val="0"/>
          <w:numId w:val="26"/>
        </w:numPr>
        <w:ind w:left="924" w:hanging="357"/>
      </w:pPr>
      <w:r w:rsidRPr="00DC2FAC">
        <w:rPr>
          <w:b/>
          <w:bCs/>
        </w:rPr>
        <w:t>Multiple Equity Group Membership:</w:t>
      </w:r>
      <w:r>
        <w:t xml:space="preserve"> Multiple group membership, which captures the effect of cumulative or compounding disadvantage should be explicitly measured and reported on</w:t>
      </w:r>
      <w:r w:rsidR="00BE1413">
        <w:t>.</w:t>
      </w:r>
      <w:r>
        <w:t xml:space="preserve"> </w:t>
      </w:r>
    </w:p>
    <w:p w14:paraId="0C757383" w14:textId="77777777" w:rsidR="009D3C61" w:rsidRPr="00ED7646" w:rsidRDefault="009D3C61" w:rsidP="008B1103">
      <w:pPr>
        <w:spacing w:before="480" w:after="240" w:line="240" w:lineRule="auto"/>
        <w:ind w:left="425"/>
        <w:rPr>
          <w:b/>
          <w:bCs/>
        </w:rPr>
      </w:pPr>
      <w:r>
        <w:rPr>
          <w:b/>
          <w:bCs/>
        </w:rPr>
        <w:t>Parity Population</w:t>
      </w:r>
      <w:r w:rsidRPr="00ED7646">
        <w:rPr>
          <w:b/>
          <w:bCs/>
        </w:rPr>
        <w:t xml:space="preserve"> </w:t>
      </w:r>
      <w:r>
        <w:rPr>
          <w:b/>
          <w:bCs/>
        </w:rPr>
        <w:t xml:space="preserve">Data and </w:t>
      </w:r>
      <w:r w:rsidRPr="00ED7646">
        <w:rPr>
          <w:b/>
          <w:bCs/>
        </w:rPr>
        <w:t xml:space="preserve">Definitions </w:t>
      </w:r>
    </w:p>
    <w:p w14:paraId="10DD103B" w14:textId="77777777" w:rsidR="009D3C61" w:rsidRPr="00775356" w:rsidRDefault="009D3C61" w:rsidP="008B1103">
      <w:pPr>
        <w:pStyle w:val="ListParagraph"/>
        <w:numPr>
          <w:ilvl w:val="0"/>
          <w:numId w:val="26"/>
        </w:numPr>
        <w:ind w:left="924" w:hanging="357"/>
        <w:rPr>
          <w:b/>
          <w:bCs/>
        </w:rPr>
      </w:pPr>
      <w:r w:rsidRPr="00775356">
        <w:rPr>
          <w:b/>
          <w:bCs/>
        </w:rPr>
        <w:t>Population Data:</w:t>
      </w:r>
      <w:r>
        <w:rPr>
          <w:b/>
          <w:bCs/>
        </w:rPr>
        <w:t xml:space="preserve"> </w:t>
      </w:r>
      <w:r>
        <w:t xml:space="preserve">Effective target-setting will require an evaluation of the collection and reporting of population-level data on equity groups that is used to establish parity targets. </w:t>
      </w:r>
    </w:p>
    <w:p w14:paraId="0BC45E49" w14:textId="30D7A110" w:rsidR="009D3C61" w:rsidRDefault="009D3C61" w:rsidP="008B1103">
      <w:pPr>
        <w:pStyle w:val="ListParagraph"/>
        <w:numPr>
          <w:ilvl w:val="0"/>
          <w:numId w:val="26"/>
        </w:numPr>
        <w:ind w:left="924" w:hanging="357"/>
      </w:pPr>
      <w:r w:rsidRPr="00775356">
        <w:rPr>
          <w:b/>
          <w:bCs/>
        </w:rPr>
        <w:t>Disability:</w:t>
      </w:r>
      <w:r>
        <w:t xml:space="preserve"> The ABS data on disability that is used as a national population reference </w:t>
      </w:r>
      <w:r w:rsidR="00A04F8C">
        <w:t xml:space="preserve">value </w:t>
      </w:r>
      <w:r>
        <w:t xml:space="preserve">is not comparable to disability data collected by higher education institutions. This contributes to the disability reference </w:t>
      </w:r>
      <w:r w:rsidR="00A04F8C">
        <w:t xml:space="preserve">value </w:t>
      </w:r>
      <w:r>
        <w:t xml:space="preserve">of 8.4% being </w:t>
      </w:r>
      <w:r w:rsidRPr="00A111B3">
        <w:rPr>
          <w:i/>
          <w:iCs/>
        </w:rPr>
        <w:t>lower</w:t>
      </w:r>
      <w:r>
        <w:t xml:space="preserve"> than the 2021 national participation share of students with disability (10.3%) – effectively implying that participation parity has already been achieved in the system. Consideration should be given to identifying a population reference </w:t>
      </w:r>
      <w:r w:rsidR="00A04F8C">
        <w:t xml:space="preserve">value </w:t>
      </w:r>
      <w:r>
        <w:t xml:space="preserve">that is comparable to the disability definition used by institutions. </w:t>
      </w:r>
    </w:p>
    <w:p w14:paraId="4D558FE5" w14:textId="2A090C0C" w:rsidR="009D3C61" w:rsidRDefault="009D3C61" w:rsidP="009D3C61">
      <w:pPr>
        <w:pStyle w:val="ListParagraph"/>
        <w:numPr>
          <w:ilvl w:val="0"/>
          <w:numId w:val="26"/>
        </w:numPr>
        <w:ind w:left="924" w:hanging="357"/>
      </w:pPr>
      <w:r w:rsidRPr="00775356">
        <w:rPr>
          <w:b/>
          <w:bCs/>
        </w:rPr>
        <w:t>Low SES:</w:t>
      </w:r>
      <w:r>
        <w:t xml:space="preserve"> Measure of low SES may need to be refined to better reflect a student’s family background. Noting that not all people living in low SES areas face disadvantage, and that people in non-low SES areas may also face disadvantage. </w:t>
      </w:r>
    </w:p>
    <w:p w14:paraId="667E2346" w14:textId="77777777" w:rsidR="009D3C61" w:rsidRPr="008B1103" w:rsidRDefault="009D3C61" w:rsidP="008B1103">
      <w:pPr>
        <w:spacing w:before="480" w:after="240" w:line="240" w:lineRule="auto"/>
        <w:ind w:left="425"/>
        <w:rPr>
          <w:b/>
          <w:bCs/>
        </w:rPr>
      </w:pPr>
      <w:r w:rsidRPr="008B1103">
        <w:rPr>
          <w:b/>
          <w:bCs/>
        </w:rPr>
        <w:t xml:space="preserve">Parity Targets </w:t>
      </w:r>
    </w:p>
    <w:p w14:paraId="658FFFF3" w14:textId="125542F4" w:rsidR="009D3C61" w:rsidRPr="00736D4C" w:rsidRDefault="009D3C61" w:rsidP="008B1103">
      <w:pPr>
        <w:pStyle w:val="ListParagraph"/>
        <w:numPr>
          <w:ilvl w:val="0"/>
          <w:numId w:val="39"/>
        </w:numPr>
        <w:ind w:left="924" w:hanging="357"/>
        <w:rPr>
          <w:rFonts w:eastAsiaTheme="majorEastAsia"/>
        </w:rPr>
      </w:pPr>
      <w:r w:rsidRPr="009D3C61">
        <w:rPr>
          <w:rFonts w:eastAsiaTheme="majorEastAsia"/>
        </w:rPr>
        <w:t>A key issue is the tension between national and state/territory targets. The modelling in the</w:t>
      </w:r>
      <w:r w:rsidR="00E66C69">
        <w:rPr>
          <w:rFonts w:eastAsiaTheme="majorEastAsia"/>
        </w:rPr>
        <w:t xml:space="preserve"> report</w:t>
      </w:r>
      <w:r w:rsidRPr="009D3C61">
        <w:rPr>
          <w:rFonts w:eastAsiaTheme="majorEastAsia"/>
        </w:rPr>
        <w:t xml:space="preserve"> demonstrates that Australian higher education is still very much comprised of </w:t>
      </w:r>
      <w:r w:rsidR="00E66C69">
        <w:rPr>
          <w:rFonts w:eastAsiaTheme="majorEastAsia"/>
        </w:rPr>
        <w:t>‘</w:t>
      </w:r>
      <w:r w:rsidRPr="009D3C61">
        <w:rPr>
          <w:rFonts w:eastAsiaTheme="majorEastAsia"/>
        </w:rPr>
        <w:t>state/territory markets</w:t>
      </w:r>
      <w:r w:rsidR="00E66C69">
        <w:rPr>
          <w:rFonts w:eastAsiaTheme="majorEastAsia"/>
        </w:rPr>
        <w:t xml:space="preserve">’ </w:t>
      </w:r>
      <w:r w:rsidRPr="009D3C61">
        <w:rPr>
          <w:rFonts w:eastAsiaTheme="majorEastAsia"/>
        </w:rPr>
        <w:t xml:space="preserve">although the position of the </w:t>
      </w:r>
      <w:r w:rsidR="00E66C69">
        <w:rPr>
          <w:rFonts w:eastAsiaTheme="majorEastAsia"/>
        </w:rPr>
        <w:t>T</w:t>
      </w:r>
      <w:r w:rsidRPr="009D3C61">
        <w:rPr>
          <w:rFonts w:eastAsiaTheme="majorEastAsia"/>
        </w:rPr>
        <w:t xml:space="preserve">erritories and Tasmania is less certain, as is the case of two equity groups, First Nations and </w:t>
      </w:r>
      <w:r w:rsidRPr="009D3C61">
        <w:rPr>
          <w:rFonts w:eastAsiaTheme="majorEastAsia"/>
        </w:rPr>
        <w:lastRenderedPageBreak/>
        <w:t xml:space="preserve">regional/remote, who appear to have considerably higher interstate enrolment levels than the overall system. This issue requires further examination. </w:t>
      </w:r>
    </w:p>
    <w:p w14:paraId="605AEF0F" w14:textId="77777777" w:rsidR="009D3C61" w:rsidRPr="008B1103" w:rsidRDefault="009D3C61" w:rsidP="008B1103">
      <w:pPr>
        <w:spacing w:before="480" w:after="240" w:line="240" w:lineRule="auto"/>
        <w:ind w:left="425"/>
        <w:rPr>
          <w:b/>
          <w:bCs/>
        </w:rPr>
      </w:pPr>
      <w:r w:rsidRPr="008B1103">
        <w:rPr>
          <w:b/>
          <w:bCs/>
        </w:rPr>
        <w:t xml:space="preserve">Policy Options </w:t>
      </w:r>
    </w:p>
    <w:p w14:paraId="485F01D7" w14:textId="718C54A8" w:rsidR="009D3C61" w:rsidRPr="00736D4C" w:rsidRDefault="009D3C61" w:rsidP="009D3C61">
      <w:pPr>
        <w:pStyle w:val="ListParagraph"/>
        <w:numPr>
          <w:ilvl w:val="0"/>
          <w:numId w:val="39"/>
        </w:numPr>
        <w:ind w:left="924" w:hanging="357"/>
        <w:rPr>
          <w:rFonts w:eastAsiaTheme="majorEastAsia"/>
        </w:rPr>
      </w:pPr>
      <w:r w:rsidRPr="000C1795">
        <w:rPr>
          <w:rFonts w:eastAsiaTheme="majorEastAsia"/>
        </w:rPr>
        <w:t xml:space="preserve">The evidence on policy options is a little clearer. Targets that mandate each institution achieve each equity group target are fraught given the existing differences in equity group participation and completion outcomes across institutions. The </w:t>
      </w:r>
      <w:r w:rsidRPr="000C1795">
        <w:rPr>
          <w:rFonts w:eastAsiaTheme="majorEastAsia"/>
          <w:i/>
          <w:iCs/>
        </w:rPr>
        <w:t>Equal Effort</w:t>
      </w:r>
      <w:r w:rsidRPr="000C1795">
        <w:rPr>
          <w:rFonts w:eastAsiaTheme="majorEastAsia"/>
        </w:rPr>
        <w:t xml:space="preserve"> policy option addresses this issue, proving institutions with targets that are proportional to their outcomes in 2021 – representing changes flowing from both the increase in undergraduate participation and completion over the previous decade but also changes in policy.  </w:t>
      </w:r>
    </w:p>
    <w:p w14:paraId="127E9015" w14:textId="77777777" w:rsidR="00BE1413" w:rsidRPr="00736D4C" w:rsidRDefault="00BE1413" w:rsidP="00736D4C">
      <w:pPr>
        <w:spacing w:before="480" w:after="240" w:line="240" w:lineRule="auto"/>
        <w:ind w:left="425"/>
        <w:rPr>
          <w:b/>
          <w:bCs/>
        </w:rPr>
      </w:pPr>
      <w:r w:rsidRPr="00736D4C">
        <w:rPr>
          <w:b/>
          <w:bCs/>
        </w:rPr>
        <w:t xml:space="preserve">Targeting Participation and Completion </w:t>
      </w:r>
    </w:p>
    <w:p w14:paraId="1394D9AC" w14:textId="2AA42CE9" w:rsidR="00BE1413" w:rsidRPr="00736D4C" w:rsidRDefault="00BE1413" w:rsidP="00736D4C">
      <w:pPr>
        <w:pStyle w:val="ListParagraph"/>
        <w:numPr>
          <w:ilvl w:val="0"/>
          <w:numId w:val="39"/>
        </w:numPr>
        <w:ind w:left="924" w:hanging="357"/>
        <w:rPr>
          <w:rFonts w:eastAsiaTheme="majorEastAsia"/>
        </w:rPr>
      </w:pPr>
      <w:r w:rsidRPr="00BE1413">
        <w:rPr>
          <w:rFonts w:eastAsiaTheme="majorEastAsia"/>
        </w:rPr>
        <w:t>While separate participation and completion targets can be established at the institutional level, the two are linked by completion performance, that is the ability of institutions to raise the retention and success of equity students in combination with a greater number of such students undertaking courses in their institutions. The two targets are necessarily linked as completion requires retention of students before first year and therefore necessarily bolsters participation outcomes. The setting of targets needs to recognise this and incorporate associated targets that link outcomes in both domains.</w:t>
      </w:r>
    </w:p>
    <w:p w14:paraId="7FD664AD" w14:textId="77777777" w:rsidR="009D3C61" w:rsidRPr="00736D4C" w:rsidRDefault="009D3C61" w:rsidP="00736D4C">
      <w:pPr>
        <w:spacing w:before="480" w:after="240" w:line="240" w:lineRule="auto"/>
        <w:ind w:left="425"/>
        <w:rPr>
          <w:b/>
          <w:bCs/>
        </w:rPr>
      </w:pPr>
      <w:r w:rsidRPr="00736D4C">
        <w:rPr>
          <w:b/>
          <w:bCs/>
        </w:rPr>
        <w:t>Broader Policy Responses</w:t>
      </w:r>
    </w:p>
    <w:p w14:paraId="2CFC8A0F" w14:textId="77777777" w:rsidR="00736D4C" w:rsidRPr="000C1795" w:rsidRDefault="00736D4C" w:rsidP="00736D4C">
      <w:pPr>
        <w:pStyle w:val="ListParagraph"/>
        <w:numPr>
          <w:ilvl w:val="0"/>
          <w:numId w:val="39"/>
        </w:numPr>
        <w:ind w:left="924" w:hanging="357"/>
        <w:rPr>
          <w:rFonts w:eastAsiaTheme="majorEastAsia"/>
        </w:rPr>
        <w:sectPr w:rsidR="00736D4C" w:rsidRPr="000C1795" w:rsidSect="00736D4C">
          <w:footerReference w:type="default" r:id="rId36"/>
          <w:pgSz w:w="11906" w:h="16838" w:code="9"/>
          <w:pgMar w:top="1276" w:right="1134" w:bottom="1702" w:left="1134" w:header="0" w:footer="709" w:gutter="0"/>
          <w:pgNumType w:fmt="lowerRoman" w:start="1"/>
          <w:cols w:space="708"/>
          <w:docGrid w:linePitch="360"/>
        </w:sectPr>
      </w:pPr>
      <w:r w:rsidRPr="000C1795">
        <w:rPr>
          <w:rFonts w:eastAsiaTheme="majorEastAsia"/>
        </w:rPr>
        <w:t>Although the modelling does not include the impact of changes in other policies on outcomes under parity targeting, it not difficult to appreciate that overall context of higher education policy can affect institutions’ capacity to meet parity targets. This includes</w:t>
      </w:r>
      <w:r w:rsidRPr="000C1795">
        <w:rPr>
          <w:rFonts w:eastAsiaTheme="majorEastAsia"/>
          <w:i/>
          <w:iCs/>
        </w:rPr>
        <w:t xml:space="preserve"> general</w:t>
      </w:r>
      <w:r w:rsidRPr="000C1795">
        <w:rPr>
          <w:rFonts w:eastAsiaTheme="majorEastAsia"/>
        </w:rPr>
        <w:t xml:space="preserve"> policy responses, such as: better secondary education outcomes for equity students; changes to student income support; improved careers advice; and more transparent admissions systems. In addition, </w:t>
      </w:r>
      <w:r w:rsidRPr="000C1795">
        <w:rPr>
          <w:rFonts w:eastAsiaTheme="majorEastAsia"/>
          <w:i/>
          <w:iCs/>
        </w:rPr>
        <w:t>specific</w:t>
      </w:r>
      <w:r w:rsidRPr="000C1795">
        <w:rPr>
          <w:rFonts w:eastAsiaTheme="majorEastAsia"/>
        </w:rPr>
        <w:t xml:space="preserve"> policy responses for each of the four equity groups will be critical.</w:t>
      </w:r>
    </w:p>
    <w:p w14:paraId="7B004C0D" w14:textId="60CADFA5" w:rsidR="00370B39" w:rsidRDefault="00370B39" w:rsidP="008416A3">
      <w:pPr>
        <w:pStyle w:val="Heading1"/>
      </w:pPr>
      <w:bookmarkStart w:id="14" w:name="_Toc171511580"/>
      <w:bookmarkStart w:id="15" w:name="_Toc450741137"/>
      <w:bookmarkEnd w:id="11"/>
      <w:r>
        <w:lastRenderedPageBreak/>
        <w:t>Introduction</w:t>
      </w:r>
      <w:bookmarkEnd w:id="14"/>
    </w:p>
    <w:p w14:paraId="4D5BDD8E" w14:textId="29CE18C0" w:rsidR="00370B39" w:rsidRDefault="00915200">
      <w:r>
        <w:br/>
      </w:r>
      <w:r w:rsidR="00370B39">
        <w:t xml:space="preserve">This </w:t>
      </w:r>
      <w:r w:rsidR="00BD26E9">
        <w:t xml:space="preserve">report </w:t>
      </w:r>
      <w:r w:rsidR="00370B39">
        <w:t>outlines policy options for</w:t>
      </w:r>
      <w:r w:rsidR="009A679C">
        <w:t xml:space="preserve"> the Accord </w:t>
      </w:r>
      <w:r w:rsidR="00917578">
        <w:t>Panel</w:t>
      </w:r>
      <w:r w:rsidR="009A679C">
        <w:t xml:space="preserve"> in relation to</w:t>
      </w:r>
      <w:r w:rsidR="00370B39">
        <w:t xml:space="preserve"> </w:t>
      </w:r>
      <w:r w:rsidR="00370B39">
        <w:rPr>
          <w:i/>
          <w:iCs/>
        </w:rPr>
        <w:t>parity</w:t>
      </w:r>
      <w:r w:rsidR="00370B39">
        <w:t xml:space="preserve"> targets for four </w:t>
      </w:r>
      <w:r w:rsidR="00056002">
        <w:t xml:space="preserve">priority </w:t>
      </w:r>
      <w:r w:rsidR="00370B39">
        <w:t>equity groups in Australian higher education:</w:t>
      </w:r>
    </w:p>
    <w:p w14:paraId="0653831A" w14:textId="77777777" w:rsidR="00BA3E37" w:rsidRDefault="00BA3E37" w:rsidP="00581958">
      <w:pPr>
        <w:pStyle w:val="ListParagraph"/>
        <w:numPr>
          <w:ilvl w:val="0"/>
          <w:numId w:val="23"/>
        </w:numPr>
      </w:pPr>
      <w:r>
        <w:t>People from low socio-economic status (low SES) Backgrounds (low SES students)</w:t>
      </w:r>
    </w:p>
    <w:p w14:paraId="4CD92189" w14:textId="77777777" w:rsidR="00BA3E37" w:rsidRDefault="00BA3E37" w:rsidP="00581958">
      <w:pPr>
        <w:pStyle w:val="ListParagraph"/>
        <w:numPr>
          <w:ilvl w:val="0"/>
          <w:numId w:val="23"/>
        </w:numPr>
      </w:pPr>
      <w:r>
        <w:t>People from rural and isolated (remote) areas (regional/remote students)</w:t>
      </w:r>
    </w:p>
    <w:p w14:paraId="40E85B3D" w14:textId="77777777" w:rsidR="00BA3E37" w:rsidRDefault="00BA3E37" w:rsidP="00581958">
      <w:pPr>
        <w:pStyle w:val="ListParagraph"/>
        <w:numPr>
          <w:ilvl w:val="0"/>
          <w:numId w:val="23"/>
        </w:numPr>
      </w:pPr>
      <w:r>
        <w:t>First Nations (Aboriginal and Torres Strait Islander) Australians (First Nations students)</w:t>
      </w:r>
    </w:p>
    <w:p w14:paraId="2D00FE2A" w14:textId="77777777" w:rsidR="00BA3E37" w:rsidRDefault="00BA3E37" w:rsidP="00581958">
      <w:pPr>
        <w:pStyle w:val="ListParagraph"/>
        <w:numPr>
          <w:ilvl w:val="0"/>
          <w:numId w:val="23"/>
        </w:numPr>
      </w:pPr>
      <w:r>
        <w:t xml:space="preserve">People with disability (students with disability) </w:t>
      </w:r>
    </w:p>
    <w:p w14:paraId="314C170A" w14:textId="0907E355" w:rsidR="00A368B7" w:rsidRDefault="00917578" w:rsidP="00A74553">
      <w:r>
        <w:t>The Accord Panel has indicated that it will consider parity targets</w:t>
      </w:r>
      <w:r w:rsidR="00500BF9">
        <w:t xml:space="preserve"> for each equity group</w:t>
      </w:r>
      <w:r w:rsidR="00934F92">
        <w:t xml:space="preserve"> among undergraduates in Table A Providers</w:t>
      </w:r>
      <w:r w:rsidR="00934F92">
        <w:rPr>
          <w:rStyle w:val="FootnoteReference"/>
        </w:rPr>
        <w:footnoteReference w:id="3"/>
      </w:r>
      <w:r w:rsidR="00500BF9">
        <w:t xml:space="preserve">, whereby the representation of </w:t>
      </w:r>
      <w:r w:rsidR="00934F92">
        <w:t>each</w:t>
      </w:r>
      <w:r w:rsidR="00500BF9">
        <w:t xml:space="preserve"> group in </w:t>
      </w:r>
      <w:r w:rsidR="00934F92">
        <w:t xml:space="preserve">terms of </w:t>
      </w:r>
      <w:r w:rsidR="00500BF9" w:rsidRPr="00500BF9">
        <w:rPr>
          <w:i/>
          <w:iCs/>
        </w:rPr>
        <w:t>participation</w:t>
      </w:r>
      <w:r w:rsidR="00500BF9">
        <w:t xml:space="preserve"> </w:t>
      </w:r>
      <w:r w:rsidR="00180541">
        <w:t xml:space="preserve">(undergraduate enrolment headcount) </w:t>
      </w:r>
      <w:r w:rsidR="00500BF9">
        <w:t xml:space="preserve">and </w:t>
      </w:r>
      <w:r w:rsidR="00500BF9" w:rsidRPr="00500BF9">
        <w:rPr>
          <w:i/>
          <w:iCs/>
        </w:rPr>
        <w:t>completion</w:t>
      </w:r>
      <w:r w:rsidR="00500BF9">
        <w:t xml:space="preserve"> </w:t>
      </w:r>
      <w:r w:rsidR="00180541">
        <w:t>(</w:t>
      </w:r>
      <w:r w:rsidR="00500BF9">
        <w:t>headcount</w:t>
      </w:r>
      <w:r w:rsidR="00180541">
        <w:t xml:space="preserve"> of </w:t>
      </w:r>
      <w:r w:rsidR="00C949BC">
        <w:t>‘</w:t>
      </w:r>
      <w:r w:rsidR="004271D5">
        <w:t>first-time</w:t>
      </w:r>
      <w:r w:rsidR="00C949BC">
        <w:t>’</w:t>
      </w:r>
      <w:r w:rsidR="004271D5">
        <w:t xml:space="preserve"> </w:t>
      </w:r>
      <w:r w:rsidR="00180541">
        <w:t>undergraduate completions) in a year</w:t>
      </w:r>
      <w:r w:rsidR="00072665">
        <w:t xml:space="preserve"> is equal to that of their share of the Australian population aged </w:t>
      </w:r>
      <w:r w:rsidR="002F12F6">
        <w:t xml:space="preserve">15 to 64 years. </w:t>
      </w:r>
    </w:p>
    <w:p w14:paraId="25FE8B2C" w14:textId="425D87F6" w:rsidR="005F453F" w:rsidRDefault="002F12F6" w:rsidP="00A74553">
      <w:r>
        <w:t xml:space="preserve">The initial timeframe for </w:t>
      </w:r>
      <w:r w:rsidR="00C860CF">
        <w:t>meeting targets is by 2035</w:t>
      </w:r>
      <w:r w:rsidR="00D41F70">
        <w:t>, with the reporting of findings focusing on this timeframe</w:t>
      </w:r>
      <w:r w:rsidR="00434FAD">
        <w:t xml:space="preserve">. </w:t>
      </w:r>
      <w:r w:rsidR="00572291">
        <w:t>However, a</w:t>
      </w:r>
      <w:r w:rsidR="00D41F70">
        <w:t xml:space="preserve"> further</w:t>
      </w:r>
      <w:r w:rsidR="00434FAD">
        <w:t xml:space="preserve"> iteration of the analysis</w:t>
      </w:r>
      <w:r w:rsidR="00D41F70">
        <w:t>, which</w:t>
      </w:r>
      <w:r w:rsidR="00434FAD">
        <w:t xml:space="preserve"> </w:t>
      </w:r>
      <w:r w:rsidR="00DD6DCD">
        <w:t>considers the</w:t>
      </w:r>
      <w:r w:rsidR="00914A5B">
        <w:t xml:space="preserve"> </w:t>
      </w:r>
      <w:r w:rsidR="00D41F70">
        <w:t>impact of expanding the horizon to 2040 or 2050</w:t>
      </w:r>
      <w:r w:rsidR="00DD6DCD">
        <w:t xml:space="preserve"> </w:t>
      </w:r>
      <w:r w:rsidR="00CD5A0D">
        <w:t>was</w:t>
      </w:r>
      <w:r w:rsidR="00DD6DCD">
        <w:t xml:space="preserve"> also </w:t>
      </w:r>
      <w:r w:rsidR="00CD5A0D">
        <w:t>undertaken</w:t>
      </w:r>
      <w:r w:rsidR="00D66567">
        <w:t xml:space="preserve"> in view of </w:t>
      </w:r>
      <w:r w:rsidR="001151CC">
        <w:t>work on funding options for the Accord Panel which outlined a reform agenda to 2050</w:t>
      </w:r>
      <w:r w:rsidR="008A0376">
        <w:t>.</w:t>
      </w:r>
      <w:r w:rsidR="00400109">
        <w:t xml:space="preserve"> </w:t>
      </w:r>
      <w:r w:rsidR="00D41F70">
        <w:t xml:space="preserve"> </w:t>
      </w:r>
      <w:r w:rsidR="00A368B7">
        <w:t xml:space="preserve"> </w:t>
      </w:r>
    </w:p>
    <w:p w14:paraId="7A7EB516" w14:textId="2DF10F9E" w:rsidR="00370B39" w:rsidRDefault="009732B5" w:rsidP="00B0246A">
      <w:pPr>
        <w:pStyle w:val="Heading2"/>
      </w:pPr>
      <w:r>
        <w:t>Defining Equity Group Populations</w:t>
      </w:r>
    </w:p>
    <w:p w14:paraId="723A31A9" w14:textId="3556BDDB" w:rsidR="002E3B8A" w:rsidRDefault="002E3B8A" w:rsidP="002E3B8A">
      <w:r>
        <w:t xml:space="preserve">The last 15 years of equity policy constitute something of a </w:t>
      </w:r>
      <w:r w:rsidR="00C97CC9">
        <w:t>‘</w:t>
      </w:r>
      <w:r>
        <w:t>second half</w:t>
      </w:r>
      <w:r w:rsidR="00C97CC9">
        <w:t>’</w:t>
      </w:r>
      <w:r>
        <w:t xml:space="preserve"> of the last 30 years of equity policy in Australia. This period commenced with the release of a major report on disadvantage and underrepresentation in higher education, </w:t>
      </w:r>
      <w:r>
        <w:rPr>
          <w:i/>
          <w:iCs/>
        </w:rPr>
        <w:t>A Fair Chance for All</w:t>
      </w:r>
      <w:r>
        <w:t xml:space="preserve"> (DEET, 1990) and the subsequent introduction of equity performance indicators by the 1994 </w:t>
      </w:r>
      <w:r>
        <w:rPr>
          <w:i/>
          <w:iCs/>
        </w:rPr>
        <w:t>Review of Equity and General Performance Indicators in Higher Education</w:t>
      </w:r>
      <w:r>
        <w:t xml:space="preserve"> (“the Martin Review”; Martin, 1994). This work led to the establishment of the equity reporting system that has </w:t>
      </w:r>
      <w:r w:rsidR="00806073">
        <w:t>since</w:t>
      </w:r>
      <w:r>
        <w:t xml:space="preserve"> underpinned policy and research on underrepresentation in Australian higher education (Harvey, </w:t>
      </w:r>
      <w:proofErr w:type="spellStart"/>
      <w:r>
        <w:t>Burnheim</w:t>
      </w:r>
      <w:proofErr w:type="spellEnd"/>
      <w:r>
        <w:t xml:space="preserve"> and Brett, 2016).  </w:t>
      </w:r>
    </w:p>
    <w:p w14:paraId="42B7D2DC" w14:textId="3947D2BC" w:rsidR="00371F70" w:rsidRDefault="002E3B8A" w:rsidP="002E3B8A">
      <w:r>
        <w:lastRenderedPageBreak/>
        <w:t xml:space="preserve">A core feature of this response was the creation of formal “equity student” groups in Australia </w:t>
      </w:r>
      <w:r w:rsidR="001151CC">
        <w:t xml:space="preserve">that </w:t>
      </w:r>
      <w:r>
        <w:t xml:space="preserve">have characterised the discussion around widening participation and success in the lead up to, and subsequent implementation of reforms, to address disadvantage and underrepresentation in Australian higher education (Koshy, 2016). </w:t>
      </w:r>
    </w:p>
    <w:p w14:paraId="44B2B506" w14:textId="336848A6" w:rsidR="00A740DF" w:rsidRDefault="002E3B8A" w:rsidP="002E3B8A">
      <w:r>
        <w:t xml:space="preserve">The </w:t>
      </w:r>
      <w:r w:rsidR="0005488B">
        <w:t xml:space="preserve">Martin </w:t>
      </w:r>
      <w:r>
        <w:t xml:space="preserve">Review identified </w:t>
      </w:r>
      <w:r w:rsidR="00056002">
        <w:t xml:space="preserve">priority </w:t>
      </w:r>
      <w:r>
        <w:t>equity groups in Australia (current terms in brackets)</w:t>
      </w:r>
      <w:r w:rsidR="0005488B">
        <w:t>:</w:t>
      </w:r>
      <w:r>
        <w:t xml:space="preserve"> </w:t>
      </w:r>
    </w:p>
    <w:p w14:paraId="42411099" w14:textId="77777777" w:rsidR="00A740DF" w:rsidRDefault="00A740DF" w:rsidP="00581958">
      <w:pPr>
        <w:pStyle w:val="ListParagraph"/>
        <w:numPr>
          <w:ilvl w:val="0"/>
          <w:numId w:val="23"/>
        </w:numPr>
      </w:pPr>
      <w:r>
        <w:t>People from Socioeconomically Disadvantaged Backgrounds (Low SES students)</w:t>
      </w:r>
    </w:p>
    <w:p w14:paraId="3DC2AC5B" w14:textId="47CDF6BF" w:rsidR="002E3B8A" w:rsidRDefault="002E3B8A" w:rsidP="00581958">
      <w:pPr>
        <w:pStyle w:val="ListParagraph"/>
        <w:numPr>
          <w:ilvl w:val="0"/>
          <w:numId w:val="23"/>
        </w:numPr>
      </w:pPr>
      <w:r>
        <w:t>People with Disability (</w:t>
      </w:r>
      <w:r w:rsidR="00A740DF">
        <w:t>S</w:t>
      </w:r>
      <w:r>
        <w:t xml:space="preserve">tudents with Disability) </w:t>
      </w:r>
    </w:p>
    <w:p w14:paraId="705AF0A7" w14:textId="77777777" w:rsidR="002E3B8A" w:rsidRDefault="002E3B8A" w:rsidP="00581958">
      <w:pPr>
        <w:pStyle w:val="ListParagraph"/>
        <w:numPr>
          <w:ilvl w:val="0"/>
          <w:numId w:val="23"/>
        </w:numPr>
      </w:pPr>
      <w:r>
        <w:t>Indigenous People (First Nations students)</w:t>
      </w:r>
    </w:p>
    <w:p w14:paraId="6BCF2F73" w14:textId="437FD85A" w:rsidR="002E3B8A" w:rsidRDefault="002E3B8A" w:rsidP="00581958">
      <w:pPr>
        <w:pStyle w:val="ListParagraph"/>
        <w:numPr>
          <w:ilvl w:val="0"/>
          <w:numId w:val="23"/>
        </w:numPr>
      </w:pPr>
      <w:r>
        <w:t>People from Rural and Isolated (Remote) Areas (Regional</w:t>
      </w:r>
      <w:r w:rsidR="001970A3">
        <w:t>/</w:t>
      </w:r>
      <w:r>
        <w:t>Remote students)</w:t>
      </w:r>
    </w:p>
    <w:p w14:paraId="065C477E" w14:textId="02F7F997" w:rsidR="002E3B8A" w:rsidRDefault="002E3B8A" w:rsidP="00581958">
      <w:pPr>
        <w:pStyle w:val="ListParagraph"/>
        <w:numPr>
          <w:ilvl w:val="0"/>
          <w:numId w:val="23"/>
        </w:numPr>
      </w:pPr>
      <w:r>
        <w:t xml:space="preserve">Women in Non-Traditional Areas </w:t>
      </w:r>
      <w:r w:rsidR="008641FE">
        <w:t>(</w:t>
      </w:r>
      <w:r>
        <w:t>WINTA students)</w:t>
      </w:r>
    </w:p>
    <w:p w14:paraId="1D2F51DE" w14:textId="77777777" w:rsidR="002E3B8A" w:rsidRDefault="002E3B8A" w:rsidP="00581958">
      <w:pPr>
        <w:pStyle w:val="ListParagraph"/>
        <w:numPr>
          <w:ilvl w:val="0"/>
          <w:numId w:val="23"/>
        </w:numPr>
      </w:pPr>
      <w:r>
        <w:t>People from Non-</w:t>
      </w:r>
      <w:proofErr w:type="gramStart"/>
      <w:r>
        <w:t>English Speaking</w:t>
      </w:r>
      <w:proofErr w:type="gramEnd"/>
      <w:r>
        <w:t xml:space="preserve"> Backgrounds (NESB) (NESB Students).</w:t>
      </w:r>
    </w:p>
    <w:p w14:paraId="3B6461C1" w14:textId="65D7067A" w:rsidR="002E3B8A" w:rsidRDefault="002E3B8A" w:rsidP="002E3B8A">
      <w:r>
        <w:t xml:space="preserve">The </w:t>
      </w:r>
      <w:r w:rsidR="001970A3">
        <w:t>l</w:t>
      </w:r>
      <w:r>
        <w:t xml:space="preserve">ow SES and </w:t>
      </w:r>
      <w:r w:rsidR="001970A3">
        <w:t>regional/r</w:t>
      </w:r>
      <w:r>
        <w:t xml:space="preserve">emote groups were defined </w:t>
      </w:r>
      <w:r w:rsidR="008C1C3D">
        <w:t xml:space="preserve">based </w:t>
      </w:r>
      <w:r>
        <w:t xml:space="preserve">on the current address location of </w:t>
      </w:r>
      <w:r w:rsidR="00062699">
        <w:t xml:space="preserve">a student’s </w:t>
      </w:r>
      <w:r>
        <w:t xml:space="preserve">household, with socioeconomic status and regionality being assigned </w:t>
      </w:r>
      <w:r w:rsidR="00062699">
        <w:t xml:space="preserve">using </w:t>
      </w:r>
      <w:r>
        <w:t xml:space="preserve">the Australian Bureau of Statistics’ </w:t>
      </w:r>
      <w:r>
        <w:rPr>
          <w:i/>
          <w:iCs/>
        </w:rPr>
        <w:t>Socio-Economic Index for Areas (SEIFA)</w:t>
      </w:r>
      <w:r>
        <w:t xml:space="preserve"> (Education and Occupation Index) for postcode (later, Statistical Area 1 – SA1) (ABS, 2012)</w:t>
      </w:r>
      <w:r w:rsidR="00062699">
        <w:t>,</w:t>
      </w:r>
      <w:r>
        <w:t xml:space="preserve"> and geographical remoteness classification system</w:t>
      </w:r>
      <w:r w:rsidR="00062699">
        <w:t xml:space="preserve"> (ABS, 2015),</w:t>
      </w:r>
      <w:r>
        <w:t xml:space="preserve"> respectively. This has continued to this day, with the one policy-related change being the introduction of the </w:t>
      </w:r>
      <w:r w:rsidR="00F015DB">
        <w:t>‘</w:t>
      </w:r>
      <w:r>
        <w:t>first address</w:t>
      </w:r>
      <w:r w:rsidR="00F015DB">
        <w:t>’</w:t>
      </w:r>
      <w:r>
        <w:t xml:space="preserve"> measure which assigned status to students using their home address at commencement (Koshy, </w:t>
      </w:r>
      <w:r w:rsidR="00815916">
        <w:t xml:space="preserve">2018; </w:t>
      </w:r>
      <w:r>
        <w:t>2020). The WINTA group w</w:t>
      </w:r>
      <w:r w:rsidR="00062699">
        <w:t>as</w:t>
      </w:r>
      <w:r>
        <w:t xml:space="preserve"> defined using female share of enrolments in defined </w:t>
      </w:r>
      <w:r w:rsidR="00F015DB">
        <w:t>‘</w:t>
      </w:r>
      <w:r>
        <w:t>non-traditional areas</w:t>
      </w:r>
      <w:r w:rsidR="00F015DB">
        <w:t>’</w:t>
      </w:r>
      <w:r>
        <w:t xml:space="preserve"> which strongly overlap with a more recent focus on enrolments in the STEM (Science, Technology, Engineering and Mathematics) areas. The other groups – students with disability, First Nations students, and NESB students – </w:t>
      </w:r>
      <w:r w:rsidR="001970A3">
        <w:t xml:space="preserve">are defined </w:t>
      </w:r>
      <w:r>
        <w:t>via</w:t>
      </w:r>
      <w:r w:rsidR="005C7A08">
        <w:t xml:space="preserve"> </w:t>
      </w:r>
      <w:r>
        <w:t>self-identification</w:t>
      </w:r>
      <w:r w:rsidR="005C7A08">
        <w:t xml:space="preserve"> questions</w:t>
      </w:r>
      <w:r w:rsidR="00B32083">
        <w:t xml:space="preserve"> in </w:t>
      </w:r>
      <w:r w:rsidR="00844B41">
        <w:t xml:space="preserve">university </w:t>
      </w:r>
      <w:r w:rsidR="00B32083">
        <w:t>student data collection</w:t>
      </w:r>
      <w:r w:rsidR="00844B41">
        <w:t xml:space="preserve"> systems</w:t>
      </w:r>
      <w:r>
        <w:t xml:space="preserve">.   </w:t>
      </w:r>
    </w:p>
    <w:p w14:paraId="1506F41F" w14:textId="1225CBDC" w:rsidR="002E3B8A" w:rsidRDefault="002E3B8A" w:rsidP="002E3B8A">
      <w:r>
        <w:t xml:space="preserve">The recommendations of the Martin Review led to the establishment of data collection across </w:t>
      </w:r>
      <w:r w:rsidR="00B32083">
        <w:t xml:space="preserve">equity </w:t>
      </w:r>
      <w:r>
        <w:t xml:space="preserve">groups, coupled with reporting of various student outcomes ranging from access rates (share of commencing enrolments) and participation rates (share of all enrolments) to retention, success (number of subjects passes) and </w:t>
      </w:r>
      <w:r w:rsidR="00C47AB4">
        <w:t>completion rate</w:t>
      </w:r>
      <w:r w:rsidR="00C47AB4">
        <w:rPr>
          <w:rStyle w:val="FootnoteReference"/>
        </w:rPr>
        <w:footnoteReference w:id="4"/>
      </w:r>
      <w:r w:rsidR="00C47AB4">
        <w:t xml:space="preserve"> </w:t>
      </w:r>
      <w:r>
        <w:t xml:space="preserve">(share </w:t>
      </w:r>
      <w:r>
        <w:lastRenderedPageBreak/>
        <w:t xml:space="preserve">of completions). Each indicator was accompanied by a </w:t>
      </w:r>
      <w:r w:rsidR="00FB2C76">
        <w:t xml:space="preserve">population </w:t>
      </w:r>
      <w:r>
        <w:t xml:space="preserve">reference </w:t>
      </w:r>
      <w:r w:rsidR="00FB2C76">
        <w:t xml:space="preserve">value </w:t>
      </w:r>
      <w:r>
        <w:t>against which it could be judged. The most common of these was in relation to participation, where the reference value was the equity group share of population aged 15 to 64 in each population.</w:t>
      </w:r>
      <w:r>
        <w:rPr>
          <w:rStyle w:val="FootnoteReference"/>
        </w:rPr>
        <w:footnoteReference w:id="5"/>
      </w:r>
      <w:r>
        <w:t xml:space="preserve"> </w:t>
      </w:r>
    </w:p>
    <w:p w14:paraId="47DD1F0D" w14:textId="66E74C7B" w:rsidR="00570F12" w:rsidRPr="006928B5" w:rsidRDefault="00374A35" w:rsidP="00400109">
      <w:r>
        <w:t xml:space="preserve">Trends in </w:t>
      </w:r>
      <w:r w:rsidR="00A752A9">
        <w:t xml:space="preserve">equity </w:t>
      </w:r>
      <w:r w:rsidR="002E3B8A">
        <w:t>indicators in the first 15 years (1993 to 2018) of equity data can be seen in a comparison of participation rates (enrolments shares) across equity groups between 2001 and 2007</w:t>
      </w:r>
      <w:r w:rsidR="00A752A9">
        <w:t>,</w:t>
      </w:r>
      <w:r w:rsidR="002E3B8A">
        <w:t xml:space="preserve"> as per Table </w:t>
      </w:r>
      <w:r w:rsidR="00E945D7">
        <w:t>1</w:t>
      </w:r>
      <w:r w:rsidR="002E3B8A">
        <w:t xml:space="preserve"> below. This demonstrates the most immediate measure of underrepresentation of equity students in higher education, with all </w:t>
      </w:r>
      <w:r w:rsidR="00A752A9">
        <w:t xml:space="preserve">equity </w:t>
      </w:r>
      <w:r w:rsidR="002E3B8A">
        <w:t>groups reporting participation rates below their population</w:t>
      </w:r>
      <w:r w:rsidR="00FB2C76">
        <w:t xml:space="preserve"> reference</w:t>
      </w:r>
      <w:r w:rsidR="002B5DED">
        <w:t xml:space="preserve"> values </w:t>
      </w:r>
      <w:r w:rsidR="00EB5541">
        <w:t xml:space="preserve">or </w:t>
      </w:r>
      <w:r w:rsidR="00EB5541" w:rsidRPr="006928B5">
        <w:rPr>
          <w:i/>
          <w:iCs/>
        </w:rPr>
        <w:t>population parity</w:t>
      </w:r>
      <w:r w:rsidR="002E3B8A">
        <w:t>.</w:t>
      </w:r>
      <w:r w:rsidR="00BD6074">
        <w:t xml:space="preserve"> For instance, the national low SES reference </w:t>
      </w:r>
      <w:r w:rsidR="00803428">
        <w:t>value</w:t>
      </w:r>
      <w:r w:rsidR="00BD6074">
        <w:t xml:space="preserve"> was equal to its population share of 25%</w:t>
      </w:r>
      <w:r w:rsidR="00803428">
        <w:t xml:space="preserve">, but the low </w:t>
      </w:r>
      <w:r w:rsidR="003D30CF">
        <w:t xml:space="preserve">SES </w:t>
      </w:r>
      <w:r w:rsidR="00803428">
        <w:t>participation rate was</w:t>
      </w:r>
      <w:r w:rsidR="001A3435">
        <w:t xml:space="preserve"> 16.</w:t>
      </w:r>
      <w:r w:rsidR="0045367B">
        <w:t>2</w:t>
      </w:r>
      <w:r w:rsidR="001A3435">
        <w:t>%</w:t>
      </w:r>
      <w:r w:rsidR="0045367B">
        <w:t xml:space="preserve"> in 2007</w:t>
      </w:r>
      <w:r w:rsidR="001A3435">
        <w:t xml:space="preserve">. </w:t>
      </w:r>
      <w:r w:rsidR="002E3B8A">
        <w:t xml:space="preserve"> </w:t>
      </w:r>
    </w:p>
    <w:p w14:paraId="331A1C1A" w14:textId="74715653" w:rsidR="002E3B8A" w:rsidRPr="00570F12" w:rsidRDefault="00815916" w:rsidP="00030140">
      <w:pPr>
        <w:spacing w:line="240" w:lineRule="auto"/>
        <w:rPr>
          <w:b/>
          <w:bCs/>
          <w:sz w:val="18"/>
          <w:szCs w:val="18"/>
          <w:lang w:val="en-US"/>
        </w:rPr>
      </w:pPr>
      <w:r>
        <w:rPr>
          <w:b/>
          <w:sz w:val="18"/>
          <w:szCs w:val="18"/>
        </w:rPr>
        <w:br/>
      </w:r>
      <w:r w:rsidR="002E3B8A" w:rsidRPr="00570F12">
        <w:rPr>
          <w:b/>
          <w:sz w:val="18"/>
          <w:szCs w:val="18"/>
        </w:rPr>
        <w:t>Table 1</w:t>
      </w:r>
      <w:r w:rsidR="00FB2C76">
        <w:rPr>
          <w:b/>
          <w:sz w:val="18"/>
          <w:szCs w:val="18"/>
        </w:rPr>
        <w:t xml:space="preserve">: </w:t>
      </w:r>
      <w:r w:rsidR="002E3B8A" w:rsidRPr="00570F12">
        <w:rPr>
          <w:bCs/>
          <w:sz w:val="18"/>
          <w:szCs w:val="18"/>
        </w:rPr>
        <w:t xml:space="preserve">Historic </w:t>
      </w:r>
      <w:r w:rsidR="002E3B8A" w:rsidRPr="00570F12">
        <w:rPr>
          <w:bCs/>
          <w:sz w:val="18"/>
          <w:szCs w:val="18"/>
          <w:lang w:val="en-US"/>
        </w:rPr>
        <w:t xml:space="preserve">Equity Group Higher Education Participation Rates, 2001 to 2007, Undergraduates, Various Years </w:t>
      </w:r>
      <w:r w:rsidR="00FB2C76">
        <w:rPr>
          <w:bCs/>
          <w:sz w:val="18"/>
          <w:szCs w:val="18"/>
          <w:lang w:val="en-US"/>
        </w:rPr>
        <w:br/>
      </w:r>
      <w:r w:rsidR="002E3B8A" w:rsidRPr="00570F12">
        <w:rPr>
          <w:bCs/>
          <w:sz w:val="18"/>
          <w:szCs w:val="18"/>
          <w:lang w:val="en-US"/>
        </w:rPr>
        <w:t xml:space="preserve">and 2006 Population Reference </w:t>
      </w:r>
      <w:r w:rsidR="00FB2C76">
        <w:rPr>
          <w:bCs/>
          <w:sz w:val="18"/>
          <w:szCs w:val="18"/>
          <w:lang w:val="en-US"/>
        </w:rPr>
        <w:t>Value</w:t>
      </w:r>
    </w:p>
    <w:tbl>
      <w:tblPr>
        <w:tblW w:w="91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1276"/>
        <w:gridCol w:w="1277"/>
        <w:gridCol w:w="1135"/>
        <w:gridCol w:w="1135"/>
        <w:gridCol w:w="1276"/>
      </w:tblGrid>
      <w:tr w:rsidR="00C04FB2" w14:paraId="7A0DE993" w14:textId="77777777" w:rsidTr="00634F7E">
        <w:trPr>
          <w:trHeight w:val="315"/>
        </w:trPr>
        <w:tc>
          <w:tcPr>
            <w:tcW w:w="3096" w:type="dxa"/>
            <w:shd w:val="clear" w:color="auto" w:fill="auto"/>
            <w:noWrap/>
            <w:vAlign w:val="center"/>
            <w:hideMark/>
          </w:tcPr>
          <w:p w14:paraId="0BB4E239" w14:textId="689E2CDC" w:rsidR="002E3B8A" w:rsidRPr="00570F12" w:rsidRDefault="002E3B8A" w:rsidP="00570F12">
            <w:pPr>
              <w:spacing w:after="0" w:line="240" w:lineRule="auto"/>
              <w:rPr>
                <w:rFonts w:cs="Arial"/>
                <w:b/>
                <w:color w:val="EDE8E0" w:themeColor="background1"/>
                <w:sz w:val="18"/>
                <w:szCs w:val="18"/>
                <w:lang w:eastAsia="en-AU"/>
              </w:rPr>
            </w:pPr>
          </w:p>
        </w:tc>
        <w:tc>
          <w:tcPr>
            <w:tcW w:w="1276" w:type="dxa"/>
            <w:shd w:val="clear" w:color="auto" w:fill="6B3B57"/>
            <w:noWrap/>
            <w:vAlign w:val="center"/>
            <w:hideMark/>
          </w:tcPr>
          <w:p w14:paraId="355750D7" w14:textId="77777777" w:rsidR="002E3B8A" w:rsidRPr="00570F12" w:rsidRDefault="002E3B8A">
            <w:pPr>
              <w:spacing w:after="0" w:line="240" w:lineRule="auto"/>
              <w:jc w:val="center"/>
              <w:rPr>
                <w:rFonts w:cs="Arial"/>
                <w:b/>
                <w:color w:val="EDE8E0" w:themeColor="background1"/>
                <w:sz w:val="18"/>
                <w:szCs w:val="18"/>
                <w:lang w:eastAsia="en-AU"/>
              </w:rPr>
            </w:pPr>
            <w:r w:rsidRPr="00570F12">
              <w:rPr>
                <w:rFonts w:cs="Arial"/>
                <w:b/>
                <w:color w:val="EDE8E0" w:themeColor="background1"/>
                <w:sz w:val="18"/>
                <w:szCs w:val="18"/>
                <w:lang w:eastAsia="en-AU"/>
              </w:rPr>
              <w:t>2001</w:t>
            </w:r>
          </w:p>
        </w:tc>
        <w:tc>
          <w:tcPr>
            <w:tcW w:w="1277" w:type="dxa"/>
            <w:shd w:val="clear" w:color="auto" w:fill="6B3B57"/>
            <w:noWrap/>
            <w:vAlign w:val="center"/>
            <w:hideMark/>
          </w:tcPr>
          <w:p w14:paraId="71C5216B" w14:textId="77777777" w:rsidR="002E3B8A" w:rsidRPr="00570F12" w:rsidRDefault="002E3B8A">
            <w:pPr>
              <w:spacing w:after="0" w:line="240" w:lineRule="auto"/>
              <w:jc w:val="center"/>
              <w:rPr>
                <w:rFonts w:cs="Arial"/>
                <w:b/>
                <w:color w:val="EDE8E0" w:themeColor="background1"/>
                <w:sz w:val="18"/>
                <w:szCs w:val="18"/>
                <w:lang w:eastAsia="en-AU"/>
              </w:rPr>
            </w:pPr>
            <w:r w:rsidRPr="00570F12">
              <w:rPr>
                <w:rFonts w:cs="Arial"/>
                <w:b/>
                <w:color w:val="EDE8E0" w:themeColor="background1"/>
                <w:sz w:val="18"/>
                <w:szCs w:val="18"/>
                <w:lang w:eastAsia="en-AU"/>
              </w:rPr>
              <w:t>2003</w:t>
            </w:r>
          </w:p>
        </w:tc>
        <w:tc>
          <w:tcPr>
            <w:tcW w:w="1135" w:type="dxa"/>
            <w:shd w:val="clear" w:color="auto" w:fill="6B3B57"/>
            <w:noWrap/>
            <w:vAlign w:val="center"/>
            <w:hideMark/>
          </w:tcPr>
          <w:p w14:paraId="329FF37E" w14:textId="77777777" w:rsidR="002E3B8A" w:rsidRPr="00570F12" w:rsidRDefault="002E3B8A">
            <w:pPr>
              <w:spacing w:after="0" w:line="240" w:lineRule="auto"/>
              <w:jc w:val="center"/>
              <w:rPr>
                <w:rFonts w:cs="Arial"/>
                <w:b/>
                <w:color w:val="EDE8E0" w:themeColor="background1"/>
                <w:sz w:val="18"/>
                <w:szCs w:val="18"/>
                <w:lang w:eastAsia="en-AU"/>
              </w:rPr>
            </w:pPr>
            <w:r w:rsidRPr="00570F12">
              <w:rPr>
                <w:rFonts w:cs="Arial"/>
                <w:b/>
                <w:color w:val="EDE8E0" w:themeColor="background1"/>
                <w:sz w:val="18"/>
                <w:szCs w:val="18"/>
                <w:lang w:eastAsia="en-AU"/>
              </w:rPr>
              <w:t>2005</w:t>
            </w:r>
          </w:p>
        </w:tc>
        <w:tc>
          <w:tcPr>
            <w:tcW w:w="1135" w:type="dxa"/>
            <w:shd w:val="clear" w:color="auto" w:fill="6B3B57"/>
            <w:noWrap/>
            <w:vAlign w:val="center"/>
            <w:hideMark/>
          </w:tcPr>
          <w:p w14:paraId="3D4CF8B9" w14:textId="77777777" w:rsidR="002E3B8A" w:rsidRPr="00570F12" w:rsidRDefault="002E3B8A">
            <w:pPr>
              <w:spacing w:after="0" w:line="240" w:lineRule="auto"/>
              <w:jc w:val="center"/>
              <w:rPr>
                <w:rFonts w:cs="Arial"/>
                <w:b/>
                <w:color w:val="EDE8E0" w:themeColor="background1"/>
                <w:sz w:val="18"/>
                <w:szCs w:val="18"/>
                <w:lang w:eastAsia="en-AU"/>
              </w:rPr>
            </w:pPr>
            <w:r w:rsidRPr="00570F12">
              <w:rPr>
                <w:rFonts w:cs="Arial"/>
                <w:b/>
                <w:color w:val="EDE8E0" w:themeColor="background1"/>
                <w:sz w:val="18"/>
                <w:szCs w:val="18"/>
                <w:lang w:eastAsia="en-AU"/>
              </w:rPr>
              <w:t>2007</w:t>
            </w:r>
          </w:p>
        </w:tc>
        <w:tc>
          <w:tcPr>
            <w:tcW w:w="1276" w:type="dxa"/>
            <w:shd w:val="clear" w:color="auto" w:fill="6B3B57"/>
            <w:vAlign w:val="center"/>
            <w:hideMark/>
          </w:tcPr>
          <w:p w14:paraId="4CEEA3C7" w14:textId="3B09981A" w:rsidR="002E3B8A" w:rsidRPr="00570F12" w:rsidRDefault="002E3B8A">
            <w:pPr>
              <w:spacing w:after="0" w:line="240" w:lineRule="auto"/>
              <w:jc w:val="center"/>
              <w:rPr>
                <w:rFonts w:cs="Arial"/>
                <w:b/>
                <w:color w:val="EDE8E0" w:themeColor="background1"/>
                <w:sz w:val="18"/>
                <w:szCs w:val="18"/>
                <w:lang w:eastAsia="en-AU"/>
              </w:rPr>
            </w:pPr>
            <w:r w:rsidRPr="00570F12">
              <w:rPr>
                <w:rFonts w:cs="Arial"/>
                <w:b/>
                <w:color w:val="EDE8E0" w:themeColor="background1"/>
                <w:sz w:val="18"/>
                <w:szCs w:val="18"/>
                <w:lang w:eastAsia="en-AU"/>
              </w:rPr>
              <w:t xml:space="preserve">Reference </w:t>
            </w:r>
            <w:r w:rsidR="00FB2C76">
              <w:rPr>
                <w:rFonts w:cs="Arial"/>
                <w:b/>
                <w:color w:val="EDE8E0" w:themeColor="background1"/>
                <w:sz w:val="18"/>
                <w:szCs w:val="18"/>
                <w:lang w:eastAsia="en-AU"/>
              </w:rPr>
              <w:t>Value</w:t>
            </w:r>
            <w:r w:rsidR="00FB2C76" w:rsidRPr="00570F12">
              <w:rPr>
                <w:rFonts w:cs="Arial"/>
                <w:b/>
                <w:color w:val="EDE8E0" w:themeColor="background1"/>
                <w:sz w:val="18"/>
                <w:szCs w:val="18"/>
                <w:lang w:eastAsia="en-AU"/>
              </w:rPr>
              <w:t xml:space="preserve"> </w:t>
            </w:r>
            <w:r w:rsidRPr="00570F12">
              <w:rPr>
                <w:rFonts w:cs="Arial"/>
                <w:b/>
                <w:color w:val="EDE8E0" w:themeColor="background1"/>
                <w:sz w:val="18"/>
                <w:szCs w:val="18"/>
                <w:lang w:eastAsia="en-AU"/>
              </w:rPr>
              <w:t>(2006)</w:t>
            </w:r>
          </w:p>
        </w:tc>
      </w:tr>
      <w:tr w:rsidR="002E3B8A" w14:paraId="54F392D5" w14:textId="77777777" w:rsidTr="00634F7E">
        <w:trPr>
          <w:trHeight w:val="315"/>
        </w:trPr>
        <w:tc>
          <w:tcPr>
            <w:tcW w:w="3096" w:type="dxa"/>
            <w:noWrap/>
            <w:vAlign w:val="center"/>
            <w:hideMark/>
          </w:tcPr>
          <w:p w14:paraId="02C695E8" w14:textId="77777777" w:rsidR="002E3B8A" w:rsidRPr="00570F12" w:rsidRDefault="002E3B8A">
            <w:pPr>
              <w:spacing w:after="0" w:line="240" w:lineRule="auto"/>
              <w:rPr>
                <w:rFonts w:cs="Arial"/>
                <w:color w:val="000000"/>
                <w:sz w:val="18"/>
                <w:szCs w:val="18"/>
                <w:lang w:eastAsia="en-AU"/>
              </w:rPr>
            </w:pPr>
            <w:r w:rsidRPr="00570F12">
              <w:rPr>
                <w:rFonts w:cs="Arial"/>
                <w:color w:val="000000"/>
                <w:sz w:val="18"/>
                <w:szCs w:val="18"/>
                <w:lang w:eastAsia="en-AU"/>
              </w:rPr>
              <w:t>Low SES</w:t>
            </w:r>
          </w:p>
        </w:tc>
        <w:tc>
          <w:tcPr>
            <w:tcW w:w="1276" w:type="dxa"/>
            <w:shd w:val="clear" w:color="auto" w:fill="FFFFFF"/>
            <w:noWrap/>
            <w:vAlign w:val="center"/>
            <w:hideMark/>
          </w:tcPr>
          <w:p w14:paraId="17718F2B" w14:textId="77777777" w:rsidR="002E3B8A" w:rsidRPr="00570F12" w:rsidRDefault="002E3B8A">
            <w:pPr>
              <w:spacing w:after="0" w:line="240" w:lineRule="auto"/>
              <w:ind w:right="240"/>
              <w:jc w:val="right"/>
              <w:rPr>
                <w:rFonts w:cs="Arial"/>
                <w:i/>
                <w:iCs/>
                <w:color w:val="000000"/>
                <w:sz w:val="18"/>
                <w:szCs w:val="18"/>
                <w:lang w:eastAsia="en-AU"/>
              </w:rPr>
            </w:pPr>
            <w:r w:rsidRPr="00570F12">
              <w:rPr>
                <w:rFonts w:cs="Arial"/>
                <w:color w:val="000000"/>
                <w:sz w:val="18"/>
                <w:szCs w:val="18"/>
                <w:lang w:eastAsia="en-AU"/>
              </w:rPr>
              <w:t>16.8%</w:t>
            </w:r>
          </w:p>
        </w:tc>
        <w:tc>
          <w:tcPr>
            <w:tcW w:w="1277" w:type="dxa"/>
            <w:shd w:val="clear" w:color="auto" w:fill="FFFFFF"/>
            <w:noWrap/>
            <w:vAlign w:val="center"/>
            <w:hideMark/>
          </w:tcPr>
          <w:p w14:paraId="7A8E2CB4" w14:textId="77777777" w:rsidR="002E3B8A" w:rsidRPr="00570F12" w:rsidRDefault="002E3B8A">
            <w:pPr>
              <w:spacing w:after="0" w:line="240" w:lineRule="auto"/>
              <w:ind w:right="240"/>
              <w:jc w:val="right"/>
              <w:rPr>
                <w:rFonts w:cs="Arial"/>
                <w:i/>
                <w:iCs/>
                <w:color w:val="000000"/>
                <w:sz w:val="18"/>
                <w:szCs w:val="18"/>
                <w:lang w:eastAsia="en-AU"/>
              </w:rPr>
            </w:pPr>
            <w:r w:rsidRPr="00570F12">
              <w:rPr>
                <w:rFonts w:cs="Arial"/>
                <w:color w:val="000000"/>
                <w:sz w:val="18"/>
                <w:szCs w:val="18"/>
                <w:lang w:eastAsia="en-AU"/>
              </w:rPr>
              <w:t>16.5%</w:t>
            </w:r>
          </w:p>
        </w:tc>
        <w:tc>
          <w:tcPr>
            <w:tcW w:w="1135" w:type="dxa"/>
            <w:noWrap/>
            <w:vAlign w:val="center"/>
            <w:hideMark/>
          </w:tcPr>
          <w:p w14:paraId="3B55DC31"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16.0%</w:t>
            </w:r>
          </w:p>
        </w:tc>
        <w:tc>
          <w:tcPr>
            <w:tcW w:w="1135" w:type="dxa"/>
            <w:noWrap/>
            <w:vAlign w:val="center"/>
            <w:hideMark/>
          </w:tcPr>
          <w:p w14:paraId="67ED25BB"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16.2%</w:t>
            </w:r>
          </w:p>
        </w:tc>
        <w:tc>
          <w:tcPr>
            <w:tcW w:w="1276" w:type="dxa"/>
            <w:shd w:val="clear" w:color="auto" w:fill="EFE2E7" w:themeFill="text1" w:themeFillTint="1A"/>
            <w:vAlign w:val="center"/>
            <w:hideMark/>
          </w:tcPr>
          <w:p w14:paraId="0FCD6049"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25%</w:t>
            </w:r>
          </w:p>
        </w:tc>
      </w:tr>
      <w:tr w:rsidR="002E3B8A" w14:paraId="5C457119" w14:textId="77777777" w:rsidTr="00634F7E">
        <w:trPr>
          <w:trHeight w:val="315"/>
        </w:trPr>
        <w:tc>
          <w:tcPr>
            <w:tcW w:w="3096" w:type="dxa"/>
            <w:noWrap/>
            <w:vAlign w:val="center"/>
            <w:hideMark/>
          </w:tcPr>
          <w:p w14:paraId="1F54C5B4" w14:textId="77777777" w:rsidR="002E3B8A" w:rsidRPr="00570F12" w:rsidRDefault="002E3B8A">
            <w:pPr>
              <w:spacing w:after="0" w:line="240" w:lineRule="auto"/>
              <w:rPr>
                <w:rFonts w:cs="Arial"/>
                <w:bCs/>
                <w:color w:val="000000"/>
                <w:sz w:val="18"/>
                <w:szCs w:val="18"/>
                <w:lang w:eastAsia="en-AU"/>
              </w:rPr>
            </w:pPr>
            <w:r w:rsidRPr="00570F12">
              <w:rPr>
                <w:rFonts w:cs="Arial"/>
                <w:color w:val="000000"/>
                <w:sz w:val="18"/>
                <w:szCs w:val="18"/>
                <w:lang w:eastAsia="en-AU"/>
              </w:rPr>
              <w:t xml:space="preserve">Students with a disability </w:t>
            </w:r>
          </w:p>
        </w:tc>
        <w:tc>
          <w:tcPr>
            <w:tcW w:w="1276" w:type="dxa"/>
            <w:noWrap/>
            <w:vAlign w:val="center"/>
            <w:hideMark/>
          </w:tcPr>
          <w:p w14:paraId="12315971" w14:textId="77777777" w:rsidR="002E3B8A" w:rsidRPr="00570F12" w:rsidRDefault="002E3B8A">
            <w:pPr>
              <w:spacing w:after="0" w:line="240" w:lineRule="auto"/>
              <w:ind w:right="240"/>
              <w:jc w:val="right"/>
              <w:rPr>
                <w:rFonts w:cs="Arial"/>
                <w:bCs/>
                <w:color w:val="000000"/>
                <w:sz w:val="18"/>
                <w:szCs w:val="18"/>
                <w:lang w:eastAsia="en-AU"/>
              </w:rPr>
            </w:pPr>
            <w:r w:rsidRPr="00570F12">
              <w:rPr>
                <w:rFonts w:cs="Arial"/>
                <w:color w:val="000000"/>
                <w:sz w:val="18"/>
                <w:szCs w:val="18"/>
                <w:lang w:eastAsia="en-AU"/>
              </w:rPr>
              <w:t>3.4%</w:t>
            </w:r>
          </w:p>
        </w:tc>
        <w:tc>
          <w:tcPr>
            <w:tcW w:w="1277" w:type="dxa"/>
            <w:noWrap/>
            <w:vAlign w:val="center"/>
            <w:hideMark/>
          </w:tcPr>
          <w:p w14:paraId="0A410FBB" w14:textId="77777777" w:rsidR="002E3B8A" w:rsidRPr="00570F12" w:rsidRDefault="002E3B8A">
            <w:pPr>
              <w:spacing w:after="0" w:line="240" w:lineRule="auto"/>
              <w:ind w:right="240"/>
              <w:jc w:val="right"/>
              <w:rPr>
                <w:rFonts w:cs="Arial"/>
                <w:bCs/>
                <w:color w:val="000000"/>
                <w:sz w:val="18"/>
                <w:szCs w:val="18"/>
                <w:lang w:eastAsia="en-AU"/>
              </w:rPr>
            </w:pPr>
            <w:r w:rsidRPr="00570F12">
              <w:rPr>
                <w:rFonts w:cs="Arial"/>
                <w:color w:val="000000"/>
                <w:sz w:val="18"/>
                <w:szCs w:val="18"/>
                <w:lang w:eastAsia="en-AU"/>
              </w:rPr>
              <w:t>3.9%</w:t>
            </w:r>
          </w:p>
        </w:tc>
        <w:tc>
          <w:tcPr>
            <w:tcW w:w="1135" w:type="dxa"/>
            <w:noWrap/>
            <w:vAlign w:val="center"/>
            <w:hideMark/>
          </w:tcPr>
          <w:p w14:paraId="7D053DF0" w14:textId="77777777" w:rsidR="002E3B8A" w:rsidRPr="00570F12" w:rsidRDefault="002E3B8A">
            <w:pPr>
              <w:spacing w:after="0" w:line="240" w:lineRule="auto"/>
              <w:ind w:right="240"/>
              <w:jc w:val="right"/>
              <w:rPr>
                <w:rFonts w:cs="Arial"/>
                <w:bCs/>
                <w:color w:val="000000"/>
                <w:sz w:val="18"/>
                <w:szCs w:val="18"/>
                <w:lang w:eastAsia="en-AU"/>
              </w:rPr>
            </w:pPr>
            <w:r w:rsidRPr="00570F12">
              <w:rPr>
                <w:rFonts w:cs="Arial"/>
                <w:color w:val="000000"/>
                <w:sz w:val="18"/>
                <w:szCs w:val="18"/>
                <w:lang w:eastAsia="en-AU"/>
              </w:rPr>
              <w:t>4.3%</w:t>
            </w:r>
          </w:p>
        </w:tc>
        <w:tc>
          <w:tcPr>
            <w:tcW w:w="1135" w:type="dxa"/>
            <w:noWrap/>
            <w:vAlign w:val="center"/>
            <w:hideMark/>
          </w:tcPr>
          <w:p w14:paraId="4D262B8E" w14:textId="77777777" w:rsidR="002E3B8A" w:rsidRPr="00570F12" w:rsidRDefault="002E3B8A">
            <w:pPr>
              <w:spacing w:after="0" w:line="240" w:lineRule="auto"/>
              <w:ind w:right="240"/>
              <w:jc w:val="right"/>
              <w:rPr>
                <w:rFonts w:cs="Arial"/>
                <w:bCs/>
                <w:color w:val="000000"/>
                <w:sz w:val="18"/>
                <w:szCs w:val="18"/>
                <w:lang w:eastAsia="en-AU"/>
              </w:rPr>
            </w:pPr>
            <w:r w:rsidRPr="00570F12">
              <w:rPr>
                <w:rFonts w:cs="Arial"/>
                <w:color w:val="000000"/>
                <w:sz w:val="18"/>
                <w:szCs w:val="18"/>
                <w:lang w:eastAsia="en-AU"/>
              </w:rPr>
              <w:t>4.4%</w:t>
            </w:r>
          </w:p>
        </w:tc>
        <w:tc>
          <w:tcPr>
            <w:tcW w:w="1276" w:type="dxa"/>
            <w:shd w:val="clear" w:color="auto" w:fill="EFE2E7" w:themeFill="text1" w:themeFillTint="1A"/>
            <w:vAlign w:val="center"/>
            <w:hideMark/>
          </w:tcPr>
          <w:p w14:paraId="4C61BABB"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8%</w:t>
            </w:r>
          </w:p>
        </w:tc>
      </w:tr>
      <w:tr w:rsidR="002E3B8A" w14:paraId="527DD88B" w14:textId="77777777" w:rsidTr="00634F7E">
        <w:trPr>
          <w:trHeight w:val="315"/>
        </w:trPr>
        <w:tc>
          <w:tcPr>
            <w:tcW w:w="3096" w:type="dxa"/>
            <w:noWrap/>
            <w:vAlign w:val="center"/>
            <w:hideMark/>
          </w:tcPr>
          <w:p w14:paraId="6F10ABC3" w14:textId="77777777" w:rsidR="002E3B8A" w:rsidRPr="00570F12" w:rsidRDefault="002E3B8A">
            <w:pPr>
              <w:spacing w:after="0" w:line="240" w:lineRule="auto"/>
              <w:rPr>
                <w:rFonts w:cs="Arial"/>
                <w:color w:val="000000"/>
                <w:sz w:val="18"/>
                <w:szCs w:val="18"/>
                <w:lang w:eastAsia="en-AU"/>
              </w:rPr>
            </w:pPr>
            <w:r w:rsidRPr="00570F12">
              <w:rPr>
                <w:rFonts w:cs="Arial"/>
                <w:color w:val="000000"/>
                <w:sz w:val="18"/>
                <w:szCs w:val="18"/>
                <w:lang w:eastAsia="en-AU"/>
              </w:rPr>
              <w:t xml:space="preserve">First Nations </w:t>
            </w:r>
          </w:p>
        </w:tc>
        <w:tc>
          <w:tcPr>
            <w:tcW w:w="1276" w:type="dxa"/>
            <w:shd w:val="clear" w:color="auto" w:fill="FFFFFF"/>
            <w:noWrap/>
            <w:vAlign w:val="center"/>
            <w:hideMark/>
          </w:tcPr>
          <w:p w14:paraId="6D9A5651"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1.2%</w:t>
            </w:r>
          </w:p>
        </w:tc>
        <w:tc>
          <w:tcPr>
            <w:tcW w:w="1277" w:type="dxa"/>
            <w:shd w:val="clear" w:color="auto" w:fill="FFFFFF"/>
            <w:noWrap/>
            <w:vAlign w:val="center"/>
            <w:hideMark/>
          </w:tcPr>
          <w:p w14:paraId="54EE52A4"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1.3%</w:t>
            </w:r>
          </w:p>
        </w:tc>
        <w:tc>
          <w:tcPr>
            <w:tcW w:w="1135" w:type="dxa"/>
            <w:noWrap/>
            <w:vAlign w:val="center"/>
            <w:hideMark/>
          </w:tcPr>
          <w:p w14:paraId="55E54919"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1.2%</w:t>
            </w:r>
          </w:p>
        </w:tc>
        <w:tc>
          <w:tcPr>
            <w:tcW w:w="1135" w:type="dxa"/>
            <w:noWrap/>
            <w:vAlign w:val="center"/>
            <w:hideMark/>
          </w:tcPr>
          <w:p w14:paraId="58323705"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1.3%</w:t>
            </w:r>
          </w:p>
        </w:tc>
        <w:tc>
          <w:tcPr>
            <w:tcW w:w="1276" w:type="dxa"/>
            <w:shd w:val="clear" w:color="auto" w:fill="EFE2E7" w:themeFill="text1" w:themeFillTint="1A"/>
            <w:vAlign w:val="center"/>
            <w:hideMark/>
          </w:tcPr>
          <w:p w14:paraId="1975AD16" w14:textId="7A1CF149"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2.3%</w:t>
            </w:r>
          </w:p>
        </w:tc>
      </w:tr>
      <w:tr w:rsidR="002E3B8A" w14:paraId="331FA42C" w14:textId="77777777" w:rsidTr="00634F7E">
        <w:trPr>
          <w:trHeight w:val="315"/>
        </w:trPr>
        <w:tc>
          <w:tcPr>
            <w:tcW w:w="3096" w:type="dxa"/>
            <w:noWrap/>
            <w:vAlign w:val="center"/>
            <w:hideMark/>
          </w:tcPr>
          <w:p w14:paraId="40E92523" w14:textId="77777777" w:rsidR="002E3B8A" w:rsidRPr="00570F12" w:rsidRDefault="002E3B8A">
            <w:pPr>
              <w:spacing w:after="0" w:line="240" w:lineRule="auto"/>
              <w:rPr>
                <w:rFonts w:cs="Arial"/>
                <w:color w:val="000000"/>
                <w:sz w:val="18"/>
                <w:szCs w:val="18"/>
                <w:lang w:eastAsia="en-AU"/>
              </w:rPr>
            </w:pPr>
            <w:r w:rsidRPr="00570F12">
              <w:rPr>
                <w:rFonts w:cs="Arial"/>
                <w:color w:val="000000"/>
                <w:sz w:val="18"/>
                <w:szCs w:val="18"/>
                <w:lang w:eastAsia="en-AU"/>
              </w:rPr>
              <w:t>Regional</w:t>
            </w:r>
          </w:p>
        </w:tc>
        <w:tc>
          <w:tcPr>
            <w:tcW w:w="1276" w:type="dxa"/>
            <w:shd w:val="clear" w:color="auto" w:fill="FFFFFF"/>
            <w:noWrap/>
            <w:vAlign w:val="center"/>
            <w:hideMark/>
          </w:tcPr>
          <w:p w14:paraId="4B4284FC"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20.2%</w:t>
            </w:r>
          </w:p>
        </w:tc>
        <w:tc>
          <w:tcPr>
            <w:tcW w:w="1277" w:type="dxa"/>
            <w:shd w:val="clear" w:color="auto" w:fill="FFFFFF"/>
            <w:noWrap/>
            <w:vAlign w:val="center"/>
            <w:hideMark/>
          </w:tcPr>
          <w:p w14:paraId="51F48625"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19.8%</w:t>
            </w:r>
          </w:p>
        </w:tc>
        <w:tc>
          <w:tcPr>
            <w:tcW w:w="1135" w:type="dxa"/>
            <w:noWrap/>
            <w:vAlign w:val="center"/>
            <w:hideMark/>
          </w:tcPr>
          <w:p w14:paraId="2CCB2809"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19.1%</w:t>
            </w:r>
          </w:p>
        </w:tc>
        <w:tc>
          <w:tcPr>
            <w:tcW w:w="1135" w:type="dxa"/>
            <w:noWrap/>
            <w:vAlign w:val="center"/>
            <w:hideMark/>
          </w:tcPr>
          <w:p w14:paraId="08CBBF02"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19.1%</w:t>
            </w:r>
          </w:p>
        </w:tc>
        <w:tc>
          <w:tcPr>
            <w:tcW w:w="1276" w:type="dxa"/>
            <w:shd w:val="clear" w:color="auto" w:fill="EFE2E7" w:themeFill="text1" w:themeFillTint="1A"/>
            <w:vAlign w:val="center"/>
            <w:hideMark/>
          </w:tcPr>
          <w:p w14:paraId="0B6B6C1F" w14:textId="4361878A"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25.4%</w:t>
            </w:r>
          </w:p>
        </w:tc>
      </w:tr>
      <w:tr w:rsidR="002E3B8A" w14:paraId="548ADA11" w14:textId="77777777" w:rsidTr="00634F7E">
        <w:trPr>
          <w:trHeight w:val="315"/>
        </w:trPr>
        <w:tc>
          <w:tcPr>
            <w:tcW w:w="3096" w:type="dxa"/>
            <w:noWrap/>
            <w:vAlign w:val="center"/>
            <w:hideMark/>
          </w:tcPr>
          <w:p w14:paraId="5FEA0DB0" w14:textId="77777777" w:rsidR="002E3B8A" w:rsidRPr="00570F12" w:rsidRDefault="002E3B8A">
            <w:pPr>
              <w:spacing w:after="0" w:line="240" w:lineRule="auto"/>
              <w:rPr>
                <w:rFonts w:cs="Arial"/>
                <w:color w:val="000000"/>
                <w:sz w:val="18"/>
                <w:szCs w:val="18"/>
                <w:lang w:eastAsia="en-AU"/>
              </w:rPr>
            </w:pPr>
            <w:r w:rsidRPr="00570F12">
              <w:rPr>
                <w:rFonts w:cs="Arial"/>
                <w:color w:val="000000"/>
                <w:sz w:val="18"/>
                <w:szCs w:val="18"/>
                <w:lang w:eastAsia="en-AU"/>
              </w:rPr>
              <w:t>Remote</w:t>
            </w:r>
          </w:p>
        </w:tc>
        <w:tc>
          <w:tcPr>
            <w:tcW w:w="1276" w:type="dxa"/>
            <w:shd w:val="clear" w:color="auto" w:fill="FFFFFF"/>
            <w:noWrap/>
            <w:vAlign w:val="center"/>
            <w:hideMark/>
          </w:tcPr>
          <w:p w14:paraId="311C13BF"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1.3%</w:t>
            </w:r>
          </w:p>
        </w:tc>
        <w:tc>
          <w:tcPr>
            <w:tcW w:w="1277" w:type="dxa"/>
            <w:shd w:val="clear" w:color="auto" w:fill="FFFFFF"/>
            <w:noWrap/>
            <w:vAlign w:val="center"/>
            <w:hideMark/>
          </w:tcPr>
          <w:p w14:paraId="1D2E5510"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1.2%</w:t>
            </w:r>
          </w:p>
        </w:tc>
        <w:tc>
          <w:tcPr>
            <w:tcW w:w="1135" w:type="dxa"/>
            <w:noWrap/>
            <w:vAlign w:val="center"/>
            <w:hideMark/>
          </w:tcPr>
          <w:p w14:paraId="15821604"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1.1%</w:t>
            </w:r>
          </w:p>
        </w:tc>
        <w:tc>
          <w:tcPr>
            <w:tcW w:w="1135" w:type="dxa"/>
            <w:noWrap/>
            <w:vAlign w:val="center"/>
            <w:hideMark/>
          </w:tcPr>
          <w:p w14:paraId="3A934AB4"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1.0%</w:t>
            </w:r>
          </w:p>
        </w:tc>
        <w:tc>
          <w:tcPr>
            <w:tcW w:w="1276" w:type="dxa"/>
            <w:shd w:val="clear" w:color="auto" w:fill="EFE2E7" w:themeFill="text1" w:themeFillTint="1A"/>
            <w:vAlign w:val="center"/>
            <w:hideMark/>
          </w:tcPr>
          <w:p w14:paraId="3FA5BE85" w14:textId="0F99831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2.4%</w:t>
            </w:r>
          </w:p>
        </w:tc>
      </w:tr>
      <w:tr w:rsidR="002E3B8A" w14:paraId="39ADD576" w14:textId="77777777" w:rsidTr="00634F7E">
        <w:trPr>
          <w:trHeight w:val="315"/>
        </w:trPr>
        <w:tc>
          <w:tcPr>
            <w:tcW w:w="3096" w:type="dxa"/>
            <w:noWrap/>
            <w:vAlign w:val="center"/>
            <w:hideMark/>
          </w:tcPr>
          <w:p w14:paraId="6DDCB1A3" w14:textId="77777777" w:rsidR="002E3B8A" w:rsidRPr="00570F12" w:rsidRDefault="002E3B8A">
            <w:pPr>
              <w:spacing w:after="0" w:line="240" w:lineRule="auto"/>
              <w:rPr>
                <w:rFonts w:cs="Arial"/>
                <w:color w:val="000000"/>
                <w:sz w:val="18"/>
                <w:szCs w:val="18"/>
                <w:lang w:eastAsia="en-AU"/>
              </w:rPr>
            </w:pPr>
            <w:r w:rsidRPr="00570F12">
              <w:rPr>
                <w:rFonts w:cs="Arial"/>
                <w:color w:val="000000"/>
                <w:sz w:val="18"/>
                <w:szCs w:val="18"/>
                <w:lang w:eastAsia="en-AU"/>
              </w:rPr>
              <w:t xml:space="preserve">WINTA </w:t>
            </w:r>
          </w:p>
        </w:tc>
        <w:tc>
          <w:tcPr>
            <w:tcW w:w="1276" w:type="dxa"/>
            <w:shd w:val="clear" w:color="auto" w:fill="FFFFFF"/>
            <w:noWrap/>
            <w:vAlign w:val="center"/>
            <w:hideMark/>
          </w:tcPr>
          <w:p w14:paraId="4697B6E5"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21.0%</w:t>
            </w:r>
          </w:p>
        </w:tc>
        <w:tc>
          <w:tcPr>
            <w:tcW w:w="1277" w:type="dxa"/>
            <w:shd w:val="clear" w:color="auto" w:fill="FFFFFF"/>
            <w:noWrap/>
            <w:vAlign w:val="center"/>
            <w:hideMark/>
          </w:tcPr>
          <w:p w14:paraId="4550529F"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20.7%</w:t>
            </w:r>
          </w:p>
        </w:tc>
        <w:tc>
          <w:tcPr>
            <w:tcW w:w="1135" w:type="dxa"/>
            <w:noWrap/>
            <w:vAlign w:val="center"/>
            <w:hideMark/>
          </w:tcPr>
          <w:p w14:paraId="357E7906"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19.9%</w:t>
            </w:r>
          </w:p>
        </w:tc>
        <w:tc>
          <w:tcPr>
            <w:tcW w:w="1135" w:type="dxa"/>
            <w:noWrap/>
            <w:vAlign w:val="center"/>
            <w:hideMark/>
          </w:tcPr>
          <w:p w14:paraId="4FF5BE29"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19.1%</w:t>
            </w:r>
          </w:p>
        </w:tc>
        <w:tc>
          <w:tcPr>
            <w:tcW w:w="1276" w:type="dxa"/>
            <w:shd w:val="clear" w:color="auto" w:fill="EFE2E7" w:themeFill="text1" w:themeFillTint="1A"/>
            <w:vAlign w:val="center"/>
            <w:hideMark/>
          </w:tcPr>
          <w:p w14:paraId="218D02B6"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w:t>
            </w:r>
          </w:p>
        </w:tc>
      </w:tr>
      <w:tr w:rsidR="002E3B8A" w14:paraId="5B49221E" w14:textId="77777777" w:rsidTr="00634F7E">
        <w:trPr>
          <w:trHeight w:val="315"/>
        </w:trPr>
        <w:tc>
          <w:tcPr>
            <w:tcW w:w="3096" w:type="dxa"/>
            <w:noWrap/>
            <w:vAlign w:val="center"/>
            <w:hideMark/>
          </w:tcPr>
          <w:p w14:paraId="5CE2E56F" w14:textId="77777777" w:rsidR="002E3B8A" w:rsidRPr="00570F12" w:rsidRDefault="002E3B8A">
            <w:pPr>
              <w:spacing w:after="0" w:line="240" w:lineRule="auto"/>
              <w:rPr>
                <w:rFonts w:cs="Arial"/>
                <w:bCs/>
                <w:color w:val="000000"/>
                <w:sz w:val="18"/>
                <w:szCs w:val="18"/>
                <w:lang w:eastAsia="en-AU"/>
              </w:rPr>
            </w:pPr>
            <w:r w:rsidRPr="00570F12">
              <w:rPr>
                <w:rFonts w:cs="Arial"/>
                <w:color w:val="000000"/>
                <w:sz w:val="18"/>
                <w:szCs w:val="18"/>
                <w:lang w:eastAsia="en-AU"/>
              </w:rPr>
              <w:t>NESB</w:t>
            </w:r>
          </w:p>
        </w:tc>
        <w:tc>
          <w:tcPr>
            <w:tcW w:w="1276" w:type="dxa"/>
            <w:noWrap/>
            <w:vAlign w:val="center"/>
            <w:hideMark/>
          </w:tcPr>
          <w:p w14:paraId="0788BDCD" w14:textId="77777777" w:rsidR="002E3B8A" w:rsidRPr="00570F12" w:rsidRDefault="002E3B8A">
            <w:pPr>
              <w:spacing w:after="0" w:line="240" w:lineRule="auto"/>
              <w:ind w:right="240"/>
              <w:jc w:val="right"/>
              <w:rPr>
                <w:rFonts w:cs="Arial"/>
                <w:i/>
                <w:iCs/>
                <w:color w:val="000000"/>
                <w:sz w:val="18"/>
                <w:szCs w:val="18"/>
                <w:lang w:eastAsia="en-AU"/>
              </w:rPr>
            </w:pPr>
            <w:r w:rsidRPr="00570F12">
              <w:rPr>
                <w:rFonts w:cs="Arial"/>
                <w:color w:val="000000"/>
                <w:sz w:val="18"/>
                <w:szCs w:val="18"/>
                <w:lang w:eastAsia="en-AU"/>
              </w:rPr>
              <w:t>3.2%</w:t>
            </w:r>
          </w:p>
        </w:tc>
        <w:tc>
          <w:tcPr>
            <w:tcW w:w="1277" w:type="dxa"/>
            <w:noWrap/>
            <w:vAlign w:val="center"/>
            <w:hideMark/>
          </w:tcPr>
          <w:p w14:paraId="23E61939" w14:textId="77777777" w:rsidR="002E3B8A" w:rsidRPr="00570F12" w:rsidRDefault="002E3B8A">
            <w:pPr>
              <w:spacing w:after="0" w:line="240" w:lineRule="auto"/>
              <w:ind w:right="240"/>
              <w:jc w:val="right"/>
              <w:rPr>
                <w:rFonts w:cs="Arial"/>
                <w:i/>
                <w:iCs/>
                <w:color w:val="000000"/>
                <w:sz w:val="18"/>
                <w:szCs w:val="18"/>
                <w:lang w:eastAsia="en-AU"/>
              </w:rPr>
            </w:pPr>
            <w:r w:rsidRPr="00570F12">
              <w:rPr>
                <w:rFonts w:cs="Arial"/>
                <w:color w:val="000000"/>
                <w:sz w:val="18"/>
                <w:szCs w:val="18"/>
                <w:lang w:eastAsia="en-AU"/>
              </w:rPr>
              <w:t>3.1%</w:t>
            </w:r>
          </w:p>
        </w:tc>
        <w:tc>
          <w:tcPr>
            <w:tcW w:w="1135" w:type="dxa"/>
            <w:noWrap/>
            <w:vAlign w:val="center"/>
            <w:hideMark/>
          </w:tcPr>
          <w:p w14:paraId="4D625894"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3.1%</w:t>
            </w:r>
          </w:p>
        </w:tc>
        <w:tc>
          <w:tcPr>
            <w:tcW w:w="1135" w:type="dxa"/>
            <w:noWrap/>
            <w:vAlign w:val="center"/>
            <w:hideMark/>
          </w:tcPr>
          <w:p w14:paraId="50ECFA6F" w14:textId="77777777"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3.2%</w:t>
            </w:r>
          </w:p>
        </w:tc>
        <w:tc>
          <w:tcPr>
            <w:tcW w:w="1276" w:type="dxa"/>
            <w:shd w:val="clear" w:color="auto" w:fill="EFE2E7" w:themeFill="text1" w:themeFillTint="1A"/>
            <w:vAlign w:val="center"/>
            <w:hideMark/>
          </w:tcPr>
          <w:p w14:paraId="2E5057E8" w14:textId="0F46C78D" w:rsidR="002E3B8A" w:rsidRPr="00570F12" w:rsidRDefault="002E3B8A">
            <w:pPr>
              <w:spacing w:after="0" w:line="240" w:lineRule="auto"/>
              <w:ind w:right="240"/>
              <w:jc w:val="right"/>
              <w:rPr>
                <w:rFonts w:cs="Arial"/>
                <w:color w:val="000000"/>
                <w:sz w:val="18"/>
                <w:szCs w:val="18"/>
                <w:lang w:eastAsia="en-AU"/>
              </w:rPr>
            </w:pPr>
            <w:r w:rsidRPr="00570F12">
              <w:rPr>
                <w:rFonts w:cs="Arial"/>
                <w:color w:val="000000"/>
                <w:sz w:val="18"/>
                <w:szCs w:val="18"/>
                <w:lang w:eastAsia="en-AU"/>
              </w:rPr>
              <w:t>3.7%</w:t>
            </w:r>
          </w:p>
        </w:tc>
      </w:tr>
    </w:tbl>
    <w:p w14:paraId="1FAEB3A4" w14:textId="16F4AEF3" w:rsidR="002E3B8A" w:rsidRPr="000624EF" w:rsidRDefault="002E3B8A" w:rsidP="002E3B8A">
      <w:pPr>
        <w:spacing w:after="0" w:line="240" w:lineRule="auto"/>
        <w:rPr>
          <w:rFonts w:eastAsiaTheme="minorHAnsi"/>
          <w:kern w:val="2"/>
          <w:sz w:val="18"/>
          <w:szCs w:val="18"/>
          <w14:ligatures w14:val="standardContextual"/>
        </w:rPr>
      </w:pPr>
      <w:r w:rsidRPr="000624EF">
        <w:rPr>
          <w:b/>
          <w:sz w:val="18"/>
          <w:szCs w:val="18"/>
        </w:rPr>
        <w:t>Source:</w:t>
      </w:r>
      <w:r w:rsidRPr="000624EF">
        <w:rPr>
          <w:sz w:val="18"/>
          <w:szCs w:val="18"/>
        </w:rPr>
        <w:t xml:space="preserve"> Koshy (2016). </w:t>
      </w:r>
    </w:p>
    <w:p w14:paraId="5730587F" w14:textId="053DCB0C" w:rsidR="009732B5" w:rsidRDefault="000318AC" w:rsidP="00B0246A">
      <w:pPr>
        <w:pStyle w:val="Heading2"/>
      </w:pPr>
      <w:r>
        <w:br/>
      </w:r>
      <w:r w:rsidR="009732B5">
        <w:t xml:space="preserve">The 2008 Bradley Review and </w:t>
      </w:r>
      <w:r w:rsidR="00597AEE">
        <w:t xml:space="preserve">the Low SES </w:t>
      </w:r>
      <w:r w:rsidR="009732B5">
        <w:t>Participation Target</w:t>
      </w:r>
    </w:p>
    <w:p w14:paraId="05885E6E" w14:textId="45CC9B79" w:rsidR="002E3B8A" w:rsidRDefault="001421CB" w:rsidP="002E3B8A">
      <w:r>
        <w:t>T</w:t>
      </w:r>
      <w:r w:rsidR="002E3B8A">
        <w:t xml:space="preserve">he first 15 years of equity performance measurement in Australia were characterised by a recognition that equity group participation fell considerably short of what would take place under parity. It was in this context that the 2008 </w:t>
      </w:r>
      <w:r w:rsidR="002E3B8A">
        <w:rPr>
          <w:i/>
          <w:iCs/>
        </w:rPr>
        <w:t>Review of Australian Higher Education</w:t>
      </w:r>
      <w:r w:rsidR="002E3B8A">
        <w:t xml:space="preserve"> (the ‘Bradley Review’) (Bradley, 2008) </w:t>
      </w:r>
      <w:r w:rsidR="00B867B1">
        <w:t>examined measures to address the participation gap issue</w:t>
      </w:r>
      <w:r w:rsidR="00BD6074">
        <w:t>, including targets</w:t>
      </w:r>
      <w:r w:rsidR="002E3B8A">
        <w:t xml:space="preserve">. The Review placed educational attainment and equity at the centre of </w:t>
      </w:r>
      <w:r w:rsidR="002E3B8A">
        <w:lastRenderedPageBreak/>
        <w:t>policy-targeting setting in Australia, notably with the eventual identification of two key targets by 2020:</w:t>
      </w:r>
    </w:p>
    <w:p w14:paraId="5B9B5CDA" w14:textId="5EE5689F" w:rsidR="002E3B8A" w:rsidRDefault="00FE4A8F" w:rsidP="00A160A2">
      <w:pPr>
        <w:pStyle w:val="ListParagraph"/>
        <w:numPr>
          <w:ilvl w:val="0"/>
          <w:numId w:val="24"/>
        </w:numPr>
        <w:ind w:left="993"/>
      </w:pPr>
      <w:r>
        <w:rPr>
          <w:b/>
          <w:bCs/>
        </w:rPr>
        <w:t>Attainment</w:t>
      </w:r>
      <w:r w:rsidR="002E3B8A">
        <w:rPr>
          <w:b/>
          <w:bCs/>
        </w:rPr>
        <w:t xml:space="preserve"> target:</w:t>
      </w:r>
      <w:r w:rsidR="002E3B8A">
        <w:t xml:space="preserve"> 40% of 25</w:t>
      </w:r>
      <w:r w:rsidR="00BB2453">
        <w:t>-</w:t>
      </w:r>
      <w:r w:rsidR="002E3B8A">
        <w:t xml:space="preserve"> to 34</w:t>
      </w:r>
      <w:r w:rsidR="00BB2453">
        <w:t>-</w:t>
      </w:r>
      <w:r w:rsidR="002E3B8A">
        <w:t xml:space="preserve">year-olds to have attained a bachelor’s qualification or higher. </w:t>
      </w:r>
      <w:r w:rsidR="00F17E80">
        <w:t>In 2010, t</w:t>
      </w:r>
      <w:r w:rsidR="002E3B8A">
        <w:t>his figure was closer to 32%</w:t>
      </w:r>
      <w:r w:rsidR="00F17E80">
        <w:t>.</w:t>
      </w:r>
      <w:r w:rsidR="002E3B8A">
        <w:t xml:space="preserve"> </w:t>
      </w:r>
    </w:p>
    <w:p w14:paraId="72460E8E" w14:textId="3BE74084" w:rsidR="002E3B8A" w:rsidRDefault="002E3B8A" w:rsidP="00A160A2">
      <w:pPr>
        <w:pStyle w:val="ListParagraph"/>
        <w:numPr>
          <w:ilvl w:val="0"/>
          <w:numId w:val="24"/>
        </w:numPr>
        <w:ind w:left="993"/>
      </w:pPr>
      <w:r>
        <w:rPr>
          <w:b/>
          <w:bCs/>
        </w:rPr>
        <w:t>Enrolment target:</w:t>
      </w:r>
      <w:r>
        <w:t xml:space="preserve"> Students from low socio-economic (low SES) backgrounds to account for 20% of undergraduate domestic enrolment. </w:t>
      </w:r>
      <w:r w:rsidR="00F17E80">
        <w:t>In 2010, t</w:t>
      </w:r>
      <w:r>
        <w:t>his figure was closer to 16.5%</w:t>
      </w:r>
      <w:r w:rsidR="00F17E80">
        <w:t>.</w:t>
      </w:r>
      <w:r>
        <w:t xml:space="preserve">  </w:t>
      </w:r>
    </w:p>
    <w:p w14:paraId="6CC86ADC" w14:textId="4FDCC481" w:rsidR="002E3B8A" w:rsidRDefault="007A1B45" w:rsidP="002E3B8A">
      <w:r>
        <w:t>These twin goals underpinned the challenge facing the system in 2010,</w:t>
      </w:r>
      <w:r w:rsidR="00C927C8">
        <w:t xml:space="preserve"> namely,</w:t>
      </w:r>
      <w:r>
        <w:t xml:space="preserve"> to increase the low SES share of enrolment, and equity participation more generally, at the same time as overall university </w:t>
      </w:r>
      <w:r w:rsidR="00C927C8">
        <w:t xml:space="preserve">participation </w:t>
      </w:r>
      <w:r>
        <w:t>was increasing.</w:t>
      </w:r>
      <w:r w:rsidR="00CF5A53">
        <w:t xml:space="preserve"> </w:t>
      </w:r>
      <w:r w:rsidR="002E3B8A">
        <w:t>Bradley’s recommendations</w:t>
      </w:r>
      <w:r w:rsidR="000318AC">
        <w:t>,</w:t>
      </w:r>
      <w:r w:rsidR="002E3B8A">
        <w:t xml:space="preserve"> and the Rudd Government’s 2009 response</w:t>
      </w:r>
      <w:r w:rsidR="00A263E9">
        <w:t xml:space="preserve"> –</w:t>
      </w:r>
      <w:r w:rsidR="002E3B8A">
        <w:t xml:space="preserve"> </w:t>
      </w:r>
      <w:r w:rsidR="002E3B8A">
        <w:rPr>
          <w:i/>
          <w:iCs/>
        </w:rPr>
        <w:t>Transforming Australia’s Higher Education System</w:t>
      </w:r>
      <w:r w:rsidR="002E3B8A">
        <w:t xml:space="preserve"> (DEEWR, 2009)</w:t>
      </w:r>
      <w:r w:rsidR="00A263E9">
        <w:t xml:space="preserve"> –</w:t>
      </w:r>
      <w:r w:rsidR="002E3B8A">
        <w:t xml:space="preserve"> resulted in the introduction of key initiatives to support the ambitious targets established by the Review. This was led by the introduction of the Demand Driven System (DDS) for undergraduate places over 2010-11, which provided funding for Commonwealth Supported Places (CSPs) for non-medical courses at universities, based on institutions meeting demand from students. Over the seven years of its operation to 2017, the DDS resulted in an expansion of undergraduate enrolments of around 35%, with growth slowing after its discontinuation in that year. </w:t>
      </w:r>
    </w:p>
    <w:p w14:paraId="5FB868AA" w14:textId="77777777" w:rsidR="002E3B8A" w:rsidRDefault="002E3B8A" w:rsidP="002E3B8A">
      <w:r>
        <w:t xml:space="preserve">In addition, the low SES target was supported through the creation of the Higher Education Participation and Partnerships Program (HEPPP), which provided annual funding of around $130 million to institutions to create and support programs to increase low SES student enrolment and retention, with activities under HEPPP spanning pre-access programs in schools to retention programs within universities (NCSEHE, 2013; 2014). </w:t>
      </w:r>
    </w:p>
    <w:p w14:paraId="3B304626" w14:textId="34889E2E" w:rsidR="00617A27" w:rsidRDefault="00F668F8" w:rsidP="00617A27">
      <w:r>
        <w:t>The</w:t>
      </w:r>
      <w:r w:rsidR="00617A27">
        <w:t xml:space="preserve"> post-Bradley Review era</w:t>
      </w:r>
      <w:r w:rsidR="002B5AF1">
        <w:t xml:space="preserve"> (2008 to 2021), including the seven years of the DDS,</w:t>
      </w:r>
      <w:r w:rsidR="00617A27">
        <w:t xml:space="preserve"> saw domestic undergraduate enrolments expand by 47.3%, </w:t>
      </w:r>
      <w:r w:rsidR="00841026">
        <w:t>equal to</w:t>
      </w:r>
      <w:r w:rsidR="00617A27">
        <w:t xml:space="preserve"> 251,716 students, as </w:t>
      </w:r>
      <w:r w:rsidR="00D63D33">
        <w:t xml:space="preserve">per </w:t>
      </w:r>
      <w:r w:rsidR="00617A27">
        <w:t xml:space="preserve">Table </w:t>
      </w:r>
      <w:r w:rsidR="002E7B26">
        <w:t>2</w:t>
      </w:r>
      <w:r w:rsidR="00617A27">
        <w:t xml:space="preserve">. </w:t>
      </w:r>
    </w:p>
    <w:p w14:paraId="3B205959" w14:textId="77777777" w:rsidR="00736D4C" w:rsidRDefault="007C47E4" w:rsidP="004B5386">
      <w:pPr>
        <w:spacing w:line="240" w:lineRule="auto"/>
        <w:rPr>
          <w:rFonts w:cstheme="minorHAnsi"/>
          <w:b/>
          <w:bCs/>
          <w:color w:val="000000"/>
          <w:sz w:val="18"/>
          <w:szCs w:val="18"/>
          <w:lang w:eastAsia="en-AU"/>
        </w:rPr>
      </w:pPr>
      <w:r>
        <w:rPr>
          <w:rFonts w:cstheme="minorHAnsi"/>
          <w:b/>
          <w:bCs/>
          <w:color w:val="000000"/>
          <w:sz w:val="18"/>
          <w:szCs w:val="18"/>
          <w:lang w:eastAsia="en-AU"/>
        </w:rPr>
        <w:br/>
      </w:r>
    </w:p>
    <w:p w14:paraId="0A36AD27" w14:textId="77777777" w:rsidR="00736D4C" w:rsidRDefault="00736D4C">
      <w:pPr>
        <w:rPr>
          <w:rFonts w:cstheme="minorHAnsi"/>
          <w:b/>
          <w:bCs/>
          <w:color w:val="000000"/>
          <w:sz w:val="18"/>
          <w:szCs w:val="18"/>
          <w:lang w:eastAsia="en-AU"/>
        </w:rPr>
      </w:pPr>
      <w:r>
        <w:rPr>
          <w:rFonts w:cstheme="minorHAnsi"/>
          <w:b/>
          <w:bCs/>
          <w:color w:val="000000"/>
          <w:sz w:val="18"/>
          <w:szCs w:val="18"/>
          <w:lang w:eastAsia="en-AU"/>
        </w:rPr>
        <w:br w:type="page"/>
      </w:r>
    </w:p>
    <w:p w14:paraId="523C43B0" w14:textId="63107A74" w:rsidR="00617A27" w:rsidRPr="008226BC" w:rsidRDefault="00617A27" w:rsidP="004B5386">
      <w:pPr>
        <w:spacing w:line="240" w:lineRule="auto"/>
        <w:rPr>
          <w:b/>
          <w:bCs/>
          <w:sz w:val="18"/>
          <w:szCs w:val="18"/>
        </w:rPr>
      </w:pPr>
      <w:r w:rsidRPr="008226BC">
        <w:rPr>
          <w:rFonts w:cstheme="minorHAnsi"/>
          <w:b/>
          <w:bCs/>
          <w:color w:val="000000"/>
          <w:sz w:val="18"/>
          <w:szCs w:val="18"/>
          <w:lang w:eastAsia="en-AU"/>
        </w:rPr>
        <w:lastRenderedPageBreak/>
        <w:t xml:space="preserve">Table </w:t>
      </w:r>
      <w:r w:rsidR="007605BD">
        <w:rPr>
          <w:rFonts w:cstheme="minorHAnsi"/>
          <w:b/>
          <w:bCs/>
          <w:color w:val="000000"/>
          <w:sz w:val="18"/>
          <w:szCs w:val="18"/>
          <w:lang w:eastAsia="en-AU"/>
        </w:rPr>
        <w:t>2</w:t>
      </w:r>
      <w:r w:rsidRPr="008226BC">
        <w:rPr>
          <w:rFonts w:cstheme="minorHAnsi"/>
          <w:b/>
          <w:bCs/>
          <w:color w:val="000000"/>
          <w:sz w:val="18"/>
          <w:szCs w:val="18"/>
          <w:lang w:eastAsia="en-AU"/>
        </w:rPr>
        <w:t xml:space="preserve">: </w:t>
      </w:r>
      <w:r w:rsidRPr="008226BC">
        <w:rPr>
          <w:rFonts w:cstheme="minorHAnsi"/>
          <w:color w:val="000000"/>
          <w:sz w:val="18"/>
          <w:szCs w:val="18"/>
          <w:lang w:eastAsia="en-AU"/>
        </w:rPr>
        <w:t xml:space="preserve">Domestic Undergraduate Enrolments, Australia 2008 </w:t>
      </w:r>
      <w:r>
        <w:rPr>
          <w:rFonts w:cstheme="minorHAnsi"/>
          <w:color w:val="000000"/>
          <w:sz w:val="18"/>
          <w:szCs w:val="18"/>
          <w:lang w:eastAsia="en-AU"/>
        </w:rPr>
        <w:t>and</w:t>
      </w:r>
      <w:r w:rsidRPr="008226BC">
        <w:rPr>
          <w:rFonts w:cstheme="minorHAnsi"/>
          <w:color w:val="000000"/>
          <w:sz w:val="18"/>
          <w:szCs w:val="18"/>
          <w:lang w:eastAsia="en-AU"/>
        </w:rPr>
        <w:t xml:space="preserve"> 2021</w:t>
      </w:r>
      <w:r>
        <w:rPr>
          <w:rFonts w:cstheme="minorHAnsi"/>
          <w:color w:val="000000"/>
          <w:sz w:val="18"/>
          <w:szCs w:val="18"/>
          <w:lang w:eastAsia="en-AU"/>
        </w:rPr>
        <w:t>, Growth %</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4"/>
        <w:gridCol w:w="1275"/>
        <w:gridCol w:w="1275"/>
        <w:gridCol w:w="1274"/>
        <w:gridCol w:w="1422"/>
        <w:gridCol w:w="1422"/>
      </w:tblGrid>
      <w:tr w:rsidR="00617A27" w14:paraId="09702CB8" w14:textId="77777777" w:rsidTr="00160B8E">
        <w:trPr>
          <w:trHeight w:val="29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D9498" w14:textId="77777777" w:rsidR="00617A27" w:rsidRPr="008226BC" w:rsidRDefault="00617A27">
            <w:pPr>
              <w:rPr>
                <w:rFonts w:cs="Arial"/>
                <w:b/>
                <w:bCs/>
                <w:color w:val="EDE8E0" w:themeColor="background1"/>
                <w:sz w:val="18"/>
                <w:szCs w:val="18"/>
              </w:rPr>
            </w:pPr>
          </w:p>
        </w:tc>
        <w:tc>
          <w:tcPr>
            <w:tcW w:w="1274"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573A8D5E" w14:textId="77777777" w:rsidR="00617A27" w:rsidRPr="00ED5CE9" w:rsidRDefault="00617A27">
            <w:pPr>
              <w:spacing w:after="0" w:line="240" w:lineRule="auto"/>
              <w:jc w:val="center"/>
              <w:rPr>
                <w:rFonts w:cs="Arial"/>
                <w:b/>
                <w:bCs/>
                <w:color w:val="EDE8E0" w:themeColor="background1"/>
                <w:sz w:val="18"/>
                <w:szCs w:val="18"/>
                <w:lang w:eastAsia="en-AU"/>
              </w:rPr>
            </w:pPr>
            <w:r w:rsidRPr="00ED5CE9">
              <w:rPr>
                <w:rFonts w:cs="Arial"/>
                <w:b/>
                <w:bCs/>
                <w:color w:val="EDE8E0" w:themeColor="background1"/>
                <w:sz w:val="18"/>
                <w:szCs w:val="18"/>
              </w:rPr>
              <w:t>2008</w:t>
            </w:r>
          </w:p>
        </w:tc>
        <w:tc>
          <w:tcPr>
            <w:tcW w:w="1275"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7C4E3C9E" w14:textId="77777777" w:rsidR="00617A27" w:rsidRPr="00ED5CE9" w:rsidRDefault="00617A27">
            <w:pPr>
              <w:spacing w:after="0" w:line="240" w:lineRule="auto"/>
              <w:jc w:val="center"/>
              <w:rPr>
                <w:rFonts w:cs="Arial"/>
                <w:b/>
                <w:bCs/>
                <w:color w:val="EDE8E0" w:themeColor="background1"/>
                <w:sz w:val="18"/>
                <w:szCs w:val="18"/>
                <w:lang w:eastAsia="en-AU"/>
              </w:rPr>
            </w:pPr>
            <w:r w:rsidRPr="00ED5CE9">
              <w:rPr>
                <w:rFonts w:cs="Arial"/>
                <w:b/>
                <w:bCs/>
                <w:color w:val="EDE8E0" w:themeColor="background1"/>
                <w:sz w:val="18"/>
                <w:szCs w:val="18"/>
              </w:rPr>
              <w:t>Share (%)</w:t>
            </w:r>
          </w:p>
        </w:tc>
        <w:tc>
          <w:tcPr>
            <w:tcW w:w="1275"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607861B2" w14:textId="77777777" w:rsidR="00617A27" w:rsidRPr="00ED5CE9" w:rsidRDefault="00617A27">
            <w:pPr>
              <w:spacing w:after="0" w:line="240" w:lineRule="auto"/>
              <w:jc w:val="center"/>
              <w:rPr>
                <w:rFonts w:cs="Arial"/>
                <w:b/>
                <w:bCs/>
                <w:color w:val="EDE8E0" w:themeColor="background1"/>
                <w:sz w:val="18"/>
                <w:szCs w:val="18"/>
                <w:lang w:eastAsia="en-AU"/>
              </w:rPr>
            </w:pPr>
            <w:r w:rsidRPr="00ED5CE9">
              <w:rPr>
                <w:rFonts w:cs="Arial"/>
                <w:b/>
                <w:bCs/>
                <w:color w:val="EDE8E0" w:themeColor="background1"/>
                <w:sz w:val="18"/>
                <w:szCs w:val="18"/>
              </w:rPr>
              <w:t>2021</w:t>
            </w:r>
          </w:p>
        </w:tc>
        <w:tc>
          <w:tcPr>
            <w:tcW w:w="1274" w:type="dxa"/>
            <w:tcBorders>
              <w:top w:val="single" w:sz="4" w:space="0" w:color="auto"/>
              <w:left w:val="single" w:sz="4" w:space="0" w:color="auto"/>
              <w:bottom w:val="single" w:sz="4" w:space="0" w:color="auto"/>
              <w:right w:val="single" w:sz="4" w:space="0" w:color="auto"/>
            </w:tcBorders>
            <w:shd w:val="clear" w:color="auto" w:fill="6B3B57"/>
            <w:noWrap/>
            <w:vAlign w:val="center"/>
            <w:hideMark/>
          </w:tcPr>
          <w:p w14:paraId="0548E3E0" w14:textId="77777777" w:rsidR="00617A27" w:rsidRPr="00ED5CE9" w:rsidRDefault="00617A27">
            <w:pPr>
              <w:spacing w:after="0" w:line="240" w:lineRule="auto"/>
              <w:jc w:val="center"/>
              <w:rPr>
                <w:rFonts w:cs="Arial"/>
                <w:b/>
                <w:bCs/>
                <w:color w:val="EDE8E0" w:themeColor="background1"/>
                <w:sz w:val="18"/>
                <w:szCs w:val="18"/>
                <w:lang w:eastAsia="en-AU"/>
              </w:rPr>
            </w:pPr>
            <w:r w:rsidRPr="00ED5CE9">
              <w:rPr>
                <w:rFonts w:cs="Arial"/>
                <w:b/>
                <w:bCs/>
                <w:color w:val="EDE8E0" w:themeColor="background1"/>
                <w:sz w:val="18"/>
                <w:szCs w:val="18"/>
              </w:rPr>
              <w:t>Share (%)</w:t>
            </w:r>
          </w:p>
        </w:tc>
        <w:tc>
          <w:tcPr>
            <w:tcW w:w="1422" w:type="dxa"/>
            <w:tcBorders>
              <w:top w:val="single" w:sz="4" w:space="0" w:color="auto"/>
              <w:left w:val="single" w:sz="4" w:space="0" w:color="auto"/>
              <w:bottom w:val="single" w:sz="4" w:space="0" w:color="auto"/>
              <w:right w:val="single" w:sz="4" w:space="0" w:color="auto"/>
            </w:tcBorders>
            <w:shd w:val="clear" w:color="auto" w:fill="6B3B57"/>
            <w:vAlign w:val="center"/>
          </w:tcPr>
          <w:p w14:paraId="585AC5AA" w14:textId="77777777" w:rsidR="00617A27" w:rsidRPr="00ED5CE9" w:rsidRDefault="00617A27">
            <w:pPr>
              <w:spacing w:after="0" w:line="240" w:lineRule="auto"/>
              <w:jc w:val="center"/>
              <w:rPr>
                <w:rFonts w:cs="Arial"/>
                <w:b/>
                <w:bCs/>
                <w:color w:val="EDE8E0" w:themeColor="background1"/>
                <w:sz w:val="18"/>
                <w:szCs w:val="18"/>
              </w:rPr>
            </w:pPr>
            <w:r w:rsidRPr="00ED5CE9">
              <w:rPr>
                <w:rFonts w:cs="Arial"/>
                <w:b/>
                <w:bCs/>
                <w:color w:val="EDE8E0" w:themeColor="background1"/>
                <w:sz w:val="18"/>
                <w:szCs w:val="18"/>
              </w:rPr>
              <w:t>2008 to 2021</w:t>
            </w:r>
            <w:r w:rsidRPr="00ED5CE9">
              <w:rPr>
                <w:rFonts w:cs="Arial"/>
                <w:b/>
                <w:bCs/>
                <w:color w:val="EDE8E0" w:themeColor="background1"/>
                <w:sz w:val="18"/>
                <w:szCs w:val="18"/>
              </w:rPr>
              <w:br/>
              <w:t>Growth (%)</w:t>
            </w:r>
          </w:p>
        </w:tc>
        <w:tc>
          <w:tcPr>
            <w:tcW w:w="1422" w:type="dxa"/>
            <w:tcBorders>
              <w:top w:val="single" w:sz="4" w:space="0" w:color="auto"/>
              <w:left w:val="single" w:sz="4" w:space="0" w:color="auto"/>
              <w:bottom w:val="single" w:sz="4" w:space="0" w:color="auto"/>
              <w:right w:val="single" w:sz="4" w:space="0" w:color="auto"/>
            </w:tcBorders>
            <w:shd w:val="clear" w:color="auto" w:fill="6B3B57"/>
          </w:tcPr>
          <w:p w14:paraId="2D5DFAED" w14:textId="77777777" w:rsidR="00617A27" w:rsidRPr="00ED5CE9" w:rsidRDefault="00617A27">
            <w:pPr>
              <w:spacing w:after="0" w:line="240" w:lineRule="auto"/>
              <w:jc w:val="center"/>
              <w:rPr>
                <w:rFonts w:cs="Arial"/>
                <w:b/>
                <w:bCs/>
                <w:color w:val="EDE8E0" w:themeColor="background1"/>
                <w:sz w:val="18"/>
                <w:szCs w:val="18"/>
              </w:rPr>
            </w:pPr>
            <w:r w:rsidRPr="00ED5CE9">
              <w:rPr>
                <w:rFonts w:cs="Arial"/>
                <w:b/>
                <w:bCs/>
                <w:color w:val="EDE8E0" w:themeColor="background1"/>
                <w:sz w:val="18"/>
                <w:szCs w:val="18"/>
              </w:rPr>
              <w:t>Share of Growth (%)</w:t>
            </w:r>
          </w:p>
        </w:tc>
      </w:tr>
      <w:tr w:rsidR="00617A27" w14:paraId="217CC015"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2F70416C" w14:textId="77777777" w:rsidR="00617A27" w:rsidRPr="008226BC" w:rsidRDefault="00617A27">
            <w:pPr>
              <w:spacing w:after="0" w:line="240" w:lineRule="auto"/>
              <w:rPr>
                <w:rFonts w:cs="Arial"/>
                <w:color w:val="000000"/>
                <w:sz w:val="18"/>
                <w:szCs w:val="18"/>
                <w:lang w:eastAsia="en-AU"/>
              </w:rPr>
            </w:pPr>
            <w:r w:rsidRPr="008226BC">
              <w:rPr>
                <w:rFonts w:cs="Arial"/>
                <w:b/>
                <w:bCs/>
                <w:color w:val="000000"/>
                <w:sz w:val="18"/>
                <w:szCs w:val="18"/>
                <w:lang w:eastAsia="en-AU"/>
              </w:rPr>
              <w:t>Undergraduates</w:t>
            </w:r>
          </w:p>
        </w:tc>
        <w:tc>
          <w:tcPr>
            <w:tcW w:w="1274" w:type="dxa"/>
            <w:tcBorders>
              <w:top w:val="single" w:sz="4" w:space="0" w:color="auto"/>
              <w:left w:val="single" w:sz="4" w:space="0" w:color="auto"/>
              <w:bottom w:val="single" w:sz="4" w:space="0" w:color="auto"/>
              <w:right w:val="single" w:sz="4" w:space="0" w:color="auto"/>
            </w:tcBorders>
            <w:noWrap/>
            <w:vAlign w:val="center"/>
          </w:tcPr>
          <w:p w14:paraId="008A9704" w14:textId="77777777" w:rsidR="00617A27" w:rsidRPr="008226BC" w:rsidRDefault="00617A27">
            <w:pPr>
              <w:spacing w:after="0" w:line="240" w:lineRule="auto"/>
              <w:ind w:right="201"/>
              <w:jc w:val="right"/>
              <w:rPr>
                <w:rFonts w:cs="Arial"/>
                <w:sz w:val="18"/>
                <w:szCs w:val="18"/>
              </w:rPr>
            </w:pPr>
            <w:r w:rsidRPr="008226BC">
              <w:rPr>
                <w:rFonts w:cs="Arial"/>
                <w:b/>
                <w:bCs/>
                <w:sz w:val="18"/>
                <w:szCs w:val="18"/>
              </w:rPr>
              <w:t>532,503</w:t>
            </w:r>
          </w:p>
        </w:tc>
        <w:tc>
          <w:tcPr>
            <w:tcW w:w="1275" w:type="dxa"/>
            <w:tcBorders>
              <w:top w:val="single" w:sz="4" w:space="0" w:color="auto"/>
              <w:left w:val="single" w:sz="4" w:space="0" w:color="auto"/>
              <w:bottom w:val="single" w:sz="4" w:space="0" w:color="auto"/>
              <w:right w:val="single" w:sz="4" w:space="0" w:color="auto"/>
            </w:tcBorders>
            <w:noWrap/>
            <w:vAlign w:val="center"/>
          </w:tcPr>
          <w:p w14:paraId="5FD03291" w14:textId="77777777" w:rsidR="00617A27" w:rsidRPr="008226BC" w:rsidRDefault="00617A27">
            <w:pPr>
              <w:spacing w:after="0" w:line="240" w:lineRule="auto"/>
              <w:ind w:right="201"/>
              <w:jc w:val="right"/>
              <w:rPr>
                <w:rFonts w:cs="Arial"/>
                <w:sz w:val="18"/>
                <w:szCs w:val="18"/>
              </w:rPr>
            </w:pPr>
            <w:r w:rsidRPr="008226BC">
              <w:rPr>
                <w:rFonts w:cs="Arial"/>
                <w:b/>
                <w:bCs/>
                <w:sz w:val="18"/>
                <w:szCs w:val="18"/>
              </w:rPr>
              <w:t>100.0</w:t>
            </w:r>
          </w:p>
        </w:tc>
        <w:tc>
          <w:tcPr>
            <w:tcW w:w="1275" w:type="dxa"/>
            <w:tcBorders>
              <w:top w:val="single" w:sz="4" w:space="0" w:color="auto"/>
              <w:left w:val="single" w:sz="4" w:space="0" w:color="auto"/>
              <w:bottom w:val="single" w:sz="4" w:space="0" w:color="auto"/>
              <w:right w:val="single" w:sz="4" w:space="0" w:color="auto"/>
            </w:tcBorders>
            <w:noWrap/>
            <w:vAlign w:val="center"/>
          </w:tcPr>
          <w:p w14:paraId="5130D4C5" w14:textId="77777777" w:rsidR="00617A27" w:rsidRPr="008226BC" w:rsidRDefault="00617A27">
            <w:pPr>
              <w:spacing w:after="0" w:line="240" w:lineRule="auto"/>
              <w:ind w:right="201"/>
              <w:jc w:val="right"/>
              <w:rPr>
                <w:rFonts w:cs="Arial"/>
                <w:sz w:val="18"/>
                <w:szCs w:val="18"/>
              </w:rPr>
            </w:pPr>
            <w:r w:rsidRPr="008226BC">
              <w:rPr>
                <w:rFonts w:cs="Arial"/>
                <w:b/>
                <w:bCs/>
                <w:sz w:val="18"/>
                <w:szCs w:val="18"/>
              </w:rPr>
              <w:t>784,219</w:t>
            </w:r>
          </w:p>
        </w:tc>
        <w:tc>
          <w:tcPr>
            <w:tcW w:w="1274" w:type="dxa"/>
            <w:tcBorders>
              <w:top w:val="single" w:sz="4" w:space="0" w:color="auto"/>
              <w:left w:val="single" w:sz="4" w:space="0" w:color="auto"/>
              <w:bottom w:val="single" w:sz="4" w:space="0" w:color="auto"/>
              <w:right w:val="single" w:sz="4" w:space="0" w:color="auto"/>
            </w:tcBorders>
            <w:noWrap/>
            <w:vAlign w:val="center"/>
          </w:tcPr>
          <w:p w14:paraId="595F64AE" w14:textId="77777777" w:rsidR="00617A27" w:rsidRPr="008226BC" w:rsidRDefault="00617A27">
            <w:pPr>
              <w:spacing w:after="0" w:line="240" w:lineRule="auto"/>
              <w:ind w:right="201"/>
              <w:jc w:val="right"/>
              <w:rPr>
                <w:rFonts w:cs="Arial"/>
                <w:sz w:val="18"/>
                <w:szCs w:val="18"/>
              </w:rPr>
            </w:pPr>
            <w:r w:rsidRPr="008226BC">
              <w:rPr>
                <w:rFonts w:cs="Arial"/>
                <w:b/>
                <w:bCs/>
                <w:sz w:val="18"/>
                <w:szCs w:val="18"/>
              </w:rPr>
              <w:t>100.0</w:t>
            </w:r>
          </w:p>
        </w:tc>
        <w:tc>
          <w:tcPr>
            <w:tcW w:w="1422" w:type="dxa"/>
            <w:tcBorders>
              <w:top w:val="single" w:sz="4" w:space="0" w:color="auto"/>
              <w:left w:val="single" w:sz="4" w:space="0" w:color="auto"/>
              <w:bottom w:val="single" w:sz="4" w:space="0" w:color="auto"/>
              <w:right w:val="single" w:sz="4" w:space="0" w:color="auto"/>
            </w:tcBorders>
            <w:vAlign w:val="center"/>
          </w:tcPr>
          <w:p w14:paraId="3BA63C41" w14:textId="77777777" w:rsidR="00617A27" w:rsidRPr="008226BC" w:rsidRDefault="00617A27">
            <w:pPr>
              <w:spacing w:after="0" w:line="240" w:lineRule="auto"/>
              <w:ind w:right="456"/>
              <w:jc w:val="right"/>
              <w:rPr>
                <w:rFonts w:cs="Arial"/>
                <w:sz w:val="18"/>
                <w:szCs w:val="18"/>
              </w:rPr>
            </w:pPr>
            <w:r w:rsidRPr="008226BC">
              <w:rPr>
                <w:rFonts w:cs="Arial"/>
                <w:b/>
                <w:bCs/>
                <w:sz w:val="18"/>
                <w:szCs w:val="18"/>
              </w:rPr>
              <w:t>47.3</w:t>
            </w:r>
          </w:p>
        </w:tc>
        <w:tc>
          <w:tcPr>
            <w:tcW w:w="1422" w:type="dxa"/>
            <w:tcBorders>
              <w:top w:val="single" w:sz="4" w:space="0" w:color="auto"/>
              <w:left w:val="single" w:sz="4" w:space="0" w:color="auto"/>
              <w:bottom w:val="single" w:sz="4" w:space="0" w:color="auto"/>
              <w:right w:val="single" w:sz="4" w:space="0" w:color="auto"/>
            </w:tcBorders>
          </w:tcPr>
          <w:p w14:paraId="736269AB" w14:textId="77777777" w:rsidR="00617A27" w:rsidRPr="008226BC" w:rsidRDefault="00617A27">
            <w:pPr>
              <w:spacing w:after="0" w:line="240" w:lineRule="auto"/>
              <w:ind w:right="456"/>
              <w:jc w:val="right"/>
              <w:rPr>
                <w:rFonts w:cs="Arial"/>
                <w:b/>
                <w:bCs/>
                <w:sz w:val="18"/>
                <w:szCs w:val="18"/>
              </w:rPr>
            </w:pPr>
            <w:r>
              <w:rPr>
                <w:rFonts w:cs="Arial"/>
                <w:b/>
                <w:bCs/>
                <w:sz w:val="18"/>
                <w:szCs w:val="18"/>
              </w:rPr>
              <w:t>-</w:t>
            </w:r>
          </w:p>
        </w:tc>
      </w:tr>
      <w:tr w:rsidR="00617A27" w14:paraId="6FB547B8"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9E19BF4" w14:textId="77777777" w:rsidR="00617A27" w:rsidRPr="008226BC" w:rsidRDefault="00617A27">
            <w:pPr>
              <w:spacing w:after="0" w:line="240" w:lineRule="auto"/>
              <w:rPr>
                <w:rFonts w:cs="Arial"/>
                <w:color w:val="000000"/>
                <w:sz w:val="18"/>
                <w:szCs w:val="18"/>
                <w:lang w:eastAsia="en-AU"/>
              </w:rPr>
            </w:pPr>
            <w:r w:rsidRPr="008226BC">
              <w:rPr>
                <w:rFonts w:cs="Arial"/>
                <w:color w:val="000000"/>
                <w:sz w:val="18"/>
                <w:szCs w:val="18"/>
                <w:lang w:eastAsia="en-AU"/>
              </w:rPr>
              <w:t xml:space="preserve">Low SES </w:t>
            </w:r>
          </w:p>
        </w:tc>
        <w:tc>
          <w:tcPr>
            <w:tcW w:w="1274" w:type="dxa"/>
            <w:tcBorders>
              <w:top w:val="single" w:sz="4" w:space="0" w:color="auto"/>
              <w:left w:val="single" w:sz="4" w:space="0" w:color="auto"/>
              <w:bottom w:val="single" w:sz="4" w:space="0" w:color="auto"/>
              <w:right w:val="single" w:sz="4" w:space="0" w:color="auto"/>
            </w:tcBorders>
            <w:noWrap/>
            <w:vAlign w:val="center"/>
            <w:hideMark/>
          </w:tcPr>
          <w:p w14:paraId="6F28AD90"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86,561</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69769EC"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16.3</w:t>
            </w:r>
          </w:p>
        </w:tc>
        <w:tc>
          <w:tcPr>
            <w:tcW w:w="1275" w:type="dxa"/>
            <w:tcBorders>
              <w:top w:val="single" w:sz="4" w:space="0" w:color="auto"/>
              <w:left w:val="single" w:sz="4" w:space="0" w:color="auto"/>
              <w:bottom w:val="single" w:sz="4" w:space="0" w:color="auto"/>
              <w:right w:val="single" w:sz="4" w:space="0" w:color="auto"/>
            </w:tcBorders>
            <w:noWrap/>
            <w:hideMark/>
          </w:tcPr>
          <w:p w14:paraId="79C738E8" w14:textId="6B60CD8E" w:rsidR="00617A27" w:rsidRPr="008226BC" w:rsidRDefault="00617A27">
            <w:pPr>
              <w:spacing w:after="0" w:line="240" w:lineRule="auto"/>
              <w:ind w:right="201"/>
              <w:jc w:val="right"/>
              <w:rPr>
                <w:rFonts w:cs="Arial"/>
                <w:color w:val="000000"/>
                <w:sz w:val="18"/>
                <w:szCs w:val="18"/>
                <w:lang w:eastAsia="en-AU"/>
              </w:rPr>
            </w:pPr>
            <w:r w:rsidRPr="008226BC">
              <w:rPr>
                <w:sz w:val="18"/>
                <w:szCs w:val="18"/>
              </w:rPr>
              <w:t xml:space="preserve"> 13</w:t>
            </w:r>
            <w:r w:rsidR="00E35E03">
              <w:rPr>
                <w:sz w:val="18"/>
                <w:szCs w:val="18"/>
              </w:rPr>
              <w:t>3</w:t>
            </w:r>
            <w:r w:rsidRPr="008226BC">
              <w:rPr>
                <w:sz w:val="18"/>
                <w:szCs w:val="18"/>
              </w:rPr>
              <w:t>,</w:t>
            </w:r>
            <w:r w:rsidR="00151493">
              <w:rPr>
                <w:sz w:val="18"/>
                <w:szCs w:val="18"/>
              </w:rPr>
              <w:t>901</w:t>
            </w:r>
            <w:r w:rsidRPr="008226BC">
              <w:rPr>
                <w:sz w:val="18"/>
                <w:szCs w:val="18"/>
              </w:rPr>
              <w:t xml:space="preserve"> </w:t>
            </w:r>
          </w:p>
        </w:tc>
        <w:tc>
          <w:tcPr>
            <w:tcW w:w="1274" w:type="dxa"/>
            <w:tcBorders>
              <w:top w:val="single" w:sz="4" w:space="0" w:color="auto"/>
              <w:left w:val="single" w:sz="4" w:space="0" w:color="auto"/>
              <w:bottom w:val="single" w:sz="4" w:space="0" w:color="auto"/>
              <w:right w:val="single" w:sz="4" w:space="0" w:color="auto"/>
            </w:tcBorders>
            <w:noWrap/>
            <w:vAlign w:val="center"/>
            <w:hideMark/>
          </w:tcPr>
          <w:p w14:paraId="6ADF02A2" w14:textId="2F65F88B" w:rsidR="00617A27" w:rsidRPr="008226BC" w:rsidRDefault="00C1749D">
            <w:pPr>
              <w:spacing w:after="0" w:line="240" w:lineRule="auto"/>
              <w:ind w:right="201"/>
              <w:jc w:val="right"/>
              <w:rPr>
                <w:rFonts w:cs="Arial"/>
                <w:color w:val="000000"/>
                <w:sz w:val="18"/>
                <w:szCs w:val="18"/>
                <w:lang w:eastAsia="en-AU"/>
              </w:rPr>
            </w:pPr>
            <w:r>
              <w:rPr>
                <w:rFonts w:cs="Arial"/>
                <w:sz w:val="18"/>
                <w:szCs w:val="18"/>
              </w:rPr>
              <w:t>17.1</w:t>
            </w:r>
          </w:p>
        </w:tc>
        <w:tc>
          <w:tcPr>
            <w:tcW w:w="1422" w:type="dxa"/>
            <w:tcBorders>
              <w:top w:val="single" w:sz="4" w:space="0" w:color="auto"/>
              <w:left w:val="single" w:sz="4" w:space="0" w:color="auto"/>
              <w:bottom w:val="single" w:sz="4" w:space="0" w:color="auto"/>
              <w:right w:val="single" w:sz="4" w:space="0" w:color="auto"/>
            </w:tcBorders>
            <w:vAlign w:val="center"/>
          </w:tcPr>
          <w:p w14:paraId="0874DF7D" w14:textId="62FA3D0C" w:rsidR="00617A27" w:rsidRPr="008226BC" w:rsidRDefault="00617A27">
            <w:pPr>
              <w:spacing w:after="0" w:line="240" w:lineRule="auto"/>
              <w:ind w:right="456"/>
              <w:jc w:val="right"/>
              <w:rPr>
                <w:rFonts w:cs="Arial"/>
                <w:sz w:val="18"/>
                <w:szCs w:val="18"/>
              </w:rPr>
            </w:pPr>
            <w:r w:rsidRPr="008226BC">
              <w:rPr>
                <w:rFonts w:cs="Arial"/>
                <w:sz w:val="18"/>
                <w:szCs w:val="18"/>
              </w:rPr>
              <w:t>5</w:t>
            </w:r>
            <w:r w:rsidR="0028533C">
              <w:rPr>
                <w:rFonts w:cs="Arial"/>
                <w:sz w:val="18"/>
                <w:szCs w:val="18"/>
              </w:rPr>
              <w:t>4</w:t>
            </w:r>
            <w:r w:rsidRPr="008226BC">
              <w:rPr>
                <w:rFonts w:cs="Arial"/>
                <w:sz w:val="18"/>
                <w:szCs w:val="18"/>
              </w:rPr>
              <w:t>.</w:t>
            </w:r>
            <w:r w:rsidR="0028533C">
              <w:rPr>
                <w:rFonts w:cs="Arial"/>
                <w:sz w:val="18"/>
                <w:szCs w:val="18"/>
              </w:rPr>
              <w:t>7</w:t>
            </w:r>
          </w:p>
        </w:tc>
        <w:tc>
          <w:tcPr>
            <w:tcW w:w="1422" w:type="dxa"/>
            <w:tcBorders>
              <w:top w:val="single" w:sz="4" w:space="0" w:color="auto"/>
              <w:left w:val="single" w:sz="4" w:space="0" w:color="auto"/>
              <w:bottom w:val="single" w:sz="4" w:space="0" w:color="auto"/>
              <w:right w:val="single" w:sz="4" w:space="0" w:color="auto"/>
            </w:tcBorders>
            <w:vAlign w:val="center"/>
          </w:tcPr>
          <w:p w14:paraId="06AE81C6" w14:textId="4A43AEA4" w:rsidR="00617A27" w:rsidRPr="008226BC" w:rsidRDefault="00617A27">
            <w:pPr>
              <w:spacing w:after="0" w:line="240" w:lineRule="auto"/>
              <w:ind w:right="421"/>
              <w:jc w:val="right"/>
              <w:rPr>
                <w:rFonts w:cs="Arial"/>
                <w:sz w:val="18"/>
                <w:szCs w:val="18"/>
              </w:rPr>
            </w:pPr>
            <w:r>
              <w:rPr>
                <w:rFonts w:cs="Arial"/>
                <w:color w:val="000000"/>
                <w:sz w:val="18"/>
                <w:szCs w:val="18"/>
              </w:rPr>
              <w:t>1</w:t>
            </w:r>
            <w:r w:rsidR="00B10F19">
              <w:rPr>
                <w:rFonts w:cs="Arial"/>
                <w:color w:val="000000"/>
                <w:sz w:val="18"/>
                <w:szCs w:val="18"/>
              </w:rPr>
              <w:t>8</w:t>
            </w:r>
            <w:r>
              <w:rPr>
                <w:rFonts w:cs="Arial"/>
                <w:color w:val="000000"/>
                <w:sz w:val="18"/>
                <w:szCs w:val="18"/>
              </w:rPr>
              <w:t>.</w:t>
            </w:r>
            <w:r w:rsidR="00B10F19">
              <w:rPr>
                <w:rFonts w:cs="Arial"/>
                <w:color w:val="000000"/>
                <w:sz w:val="18"/>
                <w:szCs w:val="18"/>
              </w:rPr>
              <w:t>8</w:t>
            </w:r>
          </w:p>
        </w:tc>
      </w:tr>
      <w:tr w:rsidR="00617A27" w14:paraId="0C05CD76"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188D3FED" w14:textId="77777777" w:rsidR="00617A27" w:rsidRPr="008226BC" w:rsidRDefault="00617A27">
            <w:pPr>
              <w:spacing w:after="0" w:line="240" w:lineRule="auto"/>
              <w:rPr>
                <w:rFonts w:cs="Arial"/>
                <w:sz w:val="18"/>
                <w:szCs w:val="18"/>
                <w:lang w:eastAsia="en-AU"/>
              </w:rPr>
            </w:pPr>
            <w:r w:rsidRPr="008226BC">
              <w:rPr>
                <w:rFonts w:cs="Arial"/>
                <w:sz w:val="18"/>
                <w:szCs w:val="18"/>
                <w:lang w:eastAsia="en-AU"/>
              </w:rPr>
              <w:t>Regional/Remote</w:t>
            </w:r>
          </w:p>
        </w:tc>
        <w:tc>
          <w:tcPr>
            <w:tcW w:w="1274" w:type="dxa"/>
            <w:tcBorders>
              <w:top w:val="single" w:sz="4" w:space="0" w:color="auto"/>
              <w:left w:val="single" w:sz="4" w:space="0" w:color="auto"/>
              <w:bottom w:val="single" w:sz="4" w:space="0" w:color="auto"/>
              <w:right w:val="single" w:sz="4" w:space="0" w:color="auto"/>
            </w:tcBorders>
            <w:noWrap/>
            <w:vAlign w:val="center"/>
          </w:tcPr>
          <w:p w14:paraId="7DDA3817" w14:textId="77777777" w:rsidR="00617A27" w:rsidRPr="008226BC" w:rsidRDefault="00617A27">
            <w:pPr>
              <w:spacing w:after="0" w:line="240" w:lineRule="auto"/>
              <w:ind w:right="201"/>
              <w:jc w:val="right"/>
              <w:rPr>
                <w:rFonts w:cs="Arial"/>
                <w:sz w:val="18"/>
                <w:szCs w:val="18"/>
                <w:lang w:eastAsia="en-AU"/>
              </w:rPr>
            </w:pPr>
            <w:r w:rsidRPr="008226BC">
              <w:rPr>
                <w:rFonts w:cs="Arial"/>
                <w:sz w:val="18"/>
                <w:szCs w:val="18"/>
                <w:lang w:eastAsia="en-AU"/>
              </w:rPr>
              <w:t>106,579</w:t>
            </w:r>
          </w:p>
        </w:tc>
        <w:tc>
          <w:tcPr>
            <w:tcW w:w="1275" w:type="dxa"/>
            <w:tcBorders>
              <w:top w:val="single" w:sz="4" w:space="0" w:color="auto"/>
              <w:left w:val="single" w:sz="4" w:space="0" w:color="auto"/>
              <w:bottom w:val="single" w:sz="4" w:space="0" w:color="auto"/>
              <w:right w:val="single" w:sz="4" w:space="0" w:color="auto"/>
            </w:tcBorders>
            <w:noWrap/>
            <w:vAlign w:val="center"/>
          </w:tcPr>
          <w:p w14:paraId="37A6D81F" w14:textId="77777777" w:rsidR="00617A27" w:rsidRPr="008226BC" w:rsidRDefault="00617A27">
            <w:pPr>
              <w:spacing w:after="0" w:line="240" w:lineRule="auto"/>
              <w:ind w:right="201"/>
              <w:jc w:val="right"/>
              <w:rPr>
                <w:rFonts w:cs="Arial"/>
                <w:sz w:val="18"/>
                <w:szCs w:val="18"/>
                <w:lang w:eastAsia="en-AU"/>
              </w:rPr>
            </w:pPr>
            <w:r w:rsidRPr="008226BC">
              <w:rPr>
                <w:rFonts w:cs="Arial"/>
                <w:sz w:val="18"/>
                <w:szCs w:val="18"/>
                <w:lang w:eastAsia="en-AU"/>
              </w:rPr>
              <w:t>20.0</w:t>
            </w:r>
          </w:p>
        </w:tc>
        <w:tc>
          <w:tcPr>
            <w:tcW w:w="1275" w:type="dxa"/>
            <w:tcBorders>
              <w:top w:val="single" w:sz="4" w:space="0" w:color="auto"/>
              <w:left w:val="single" w:sz="4" w:space="0" w:color="auto"/>
              <w:bottom w:val="single" w:sz="4" w:space="0" w:color="auto"/>
              <w:right w:val="single" w:sz="4" w:space="0" w:color="auto"/>
            </w:tcBorders>
            <w:noWrap/>
          </w:tcPr>
          <w:p w14:paraId="16BDEA37" w14:textId="03BF0C3D" w:rsidR="00617A27" w:rsidRPr="008226BC" w:rsidRDefault="00617A27">
            <w:pPr>
              <w:spacing w:after="0" w:line="240" w:lineRule="auto"/>
              <w:ind w:right="201"/>
              <w:jc w:val="right"/>
              <w:rPr>
                <w:rFonts w:cs="Arial"/>
                <w:sz w:val="18"/>
                <w:szCs w:val="18"/>
                <w:lang w:eastAsia="en-AU"/>
              </w:rPr>
            </w:pPr>
            <w:r w:rsidRPr="008226BC">
              <w:rPr>
                <w:sz w:val="18"/>
                <w:szCs w:val="18"/>
              </w:rPr>
              <w:t xml:space="preserve"> 1</w:t>
            </w:r>
            <w:r w:rsidR="00570EBC">
              <w:rPr>
                <w:sz w:val="18"/>
                <w:szCs w:val="18"/>
              </w:rPr>
              <w:t>60</w:t>
            </w:r>
            <w:r w:rsidRPr="008226BC">
              <w:rPr>
                <w:sz w:val="18"/>
                <w:szCs w:val="18"/>
              </w:rPr>
              <w:t>,5</w:t>
            </w:r>
            <w:r w:rsidR="00533F14">
              <w:rPr>
                <w:sz w:val="18"/>
                <w:szCs w:val="18"/>
              </w:rPr>
              <w:t>42</w:t>
            </w:r>
            <w:r w:rsidRPr="008226BC">
              <w:rPr>
                <w:sz w:val="18"/>
                <w:szCs w:val="18"/>
              </w:rPr>
              <w:t xml:space="preserve"> </w:t>
            </w:r>
          </w:p>
        </w:tc>
        <w:tc>
          <w:tcPr>
            <w:tcW w:w="1274" w:type="dxa"/>
            <w:tcBorders>
              <w:top w:val="single" w:sz="4" w:space="0" w:color="auto"/>
              <w:left w:val="single" w:sz="4" w:space="0" w:color="auto"/>
              <w:bottom w:val="single" w:sz="4" w:space="0" w:color="auto"/>
              <w:right w:val="single" w:sz="4" w:space="0" w:color="auto"/>
            </w:tcBorders>
            <w:noWrap/>
            <w:vAlign w:val="center"/>
          </w:tcPr>
          <w:p w14:paraId="0ECF085D" w14:textId="296EB6DB" w:rsidR="00617A27" w:rsidRPr="008226BC" w:rsidRDefault="00C30CB1">
            <w:pPr>
              <w:spacing w:after="0" w:line="240" w:lineRule="auto"/>
              <w:ind w:right="201"/>
              <w:jc w:val="right"/>
              <w:rPr>
                <w:rFonts w:cs="Arial"/>
                <w:sz w:val="18"/>
                <w:szCs w:val="18"/>
                <w:lang w:eastAsia="en-AU"/>
              </w:rPr>
            </w:pPr>
            <w:r>
              <w:rPr>
                <w:rFonts w:cs="Arial"/>
                <w:sz w:val="18"/>
                <w:szCs w:val="18"/>
                <w:lang w:eastAsia="en-AU"/>
              </w:rPr>
              <w:t>20</w:t>
            </w:r>
            <w:r w:rsidR="00CE32BB">
              <w:rPr>
                <w:rFonts w:cs="Arial"/>
                <w:sz w:val="18"/>
                <w:szCs w:val="18"/>
                <w:lang w:eastAsia="en-AU"/>
              </w:rPr>
              <w:t>.5</w:t>
            </w:r>
          </w:p>
        </w:tc>
        <w:tc>
          <w:tcPr>
            <w:tcW w:w="1422" w:type="dxa"/>
            <w:tcBorders>
              <w:top w:val="single" w:sz="4" w:space="0" w:color="auto"/>
              <w:left w:val="single" w:sz="4" w:space="0" w:color="auto"/>
              <w:bottom w:val="single" w:sz="4" w:space="0" w:color="auto"/>
              <w:right w:val="single" w:sz="4" w:space="0" w:color="auto"/>
            </w:tcBorders>
            <w:vAlign w:val="center"/>
          </w:tcPr>
          <w:p w14:paraId="37809D18" w14:textId="7D7E1B93" w:rsidR="00617A27" w:rsidRPr="008226BC" w:rsidRDefault="00617A27">
            <w:pPr>
              <w:spacing w:after="0" w:line="240" w:lineRule="auto"/>
              <w:ind w:right="456"/>
              <w:jc w:val="right"/>
              <w:rPr>
                <w:rFonts w:cs="Arial"/>
                <w:sz w:val="18"/>
                <w:szCs w:val="18"/>
                <w:lang w:eastAsia="en-AU"/>
              </w:rPr>
            </w:pPr>
            <w:r w:rsidRPr="008226BC">
              <w:rPr>
                <w:rFonts w:cs="Arial"/>
                <w:sz w:val="18"/>
                <w:szCs w:val="18"/>
                <w:lang w:eastAsia="en-AU"/>
              </w:rPr>
              <w:t>5</w:t>
            </w:r>
            <w:r w:rsidR="009401BA">
              <w:rPr>
                <w:rFonts w:cs="Arial"/>
                <w:sz w:val="18"/>
                <w:szCs w:val="18"/>
                <w:lang w:eastAsia="en-AU"/>
              </w:rPr>
              <w:t>0</w:t>
            </w:r>
            <w:r w:rsidRPr="008226BC">
              <w:rPr>
                <w:rFonts w:cs="Arial"/>
                <w:sz w:val="18"/>
                <w:szCs w:val="18"/>
                <w:lang w:eastAsia="en-AU"/>
              </w:rPr>
              <w:t>.6</w:t>
            </w:r>
          </w:p>
        </w:tc>
        <w:tc>
          <w:tcPr>
            <w:tcW w:w="1422" w:type="dxa"/>
            <w:tcBorders>
              <w:top w:val="single" w:sz="4" w:space="0" w:color="auto"/>
              <w:left w:val="single" w:sz="4" w:space="0" w:color="auto"/>
              <w:bottom w:val="single" w:sz="4" w:space="0" w:color="auto"/>
              <w:right w:val="single" w:sz="4" w:space="0" w:color="auto"/>
            </w:tcBorders>
            <w:vAlign w:val="center"/>
          </w:tcPr>
          <w:p w14:paraId="5C177C3B" w14:textId="60B829FE" w:rsidR="00617A27" w:rsidRPr="008226BC" w:rsidRDefault="00EC1E94">
            <w:pPr>
              <w:spacing w:after="0" w:line="240" w:lineRule="auto"/>
              <w:ind w:right="421"/>
              <w:jc w:val="right"/>
              <w:rPr>
                <w:rFonts w:cs="Arial"/>
                <w:sz w:val="18"/>
                <w:szCs w:val="18"/>
                <w:lang w:eastAsia="en-AU"/>
              </w:rPr>
            </w:pPr>
            <w:r>
              <w:rPr>
                <w:rFonts w:cs="Arial"/>
                <w:color w:val="000000"/>
                <w:sz w:val="18"/>
                <w:szCs w:val="18"/>
              </w:rPr>
              <w:t>21.4</w:t>
            </w:r>
          </w:p>
        </w:tc>
      </w:tr>
      <w:tr w:rsidR="00617A27" w14:paraId="2B11C1C8"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5A7DC2B" w14:textId="77777777" w:rsidR="00617A27" w:rsidRPr="008226BC" w:rsidRDefault="00617A27">
            <w:pPr>
              <w:spacing w:after="0" w:line="240" w:lineRule="auto"/>
              <w:rPr>
                <w:rFonts w:cs="Arial"/>
                <w:color w:val="000000"/>
                <w:sz w:val="18"/>
                <w:szCs w:val="18"/>
                <w:lang w:eastAsia="en-AU"/>
              </w:rPr>
            </w:pPr>
            <w:r w:rsidRPr="008226BC">
              <w:rPr>
                <w:rFonts w:cs="Arial"/>
                <w:color w:val="000000"/>
                <w:sz w:val="18"/>
                <w:szCs w:val="18"/>
                <w:lang w:eastAsia="en-AU"/>
              </w:rPr>
              <w:t xml:space="preserve">First Nations </w:t>
            </w:r>
          </w:p>
        </w:tc>
        <w:tc>
          <w:tcPr>
            <w:tcW w:w="1274" w:type="dxa"/>
            <w:tcBorders>
              <w:top w:val="single" w:sz="4" w:space="0" w:color="auto"/>
              <w:left w:val="single" w:sz="4" w:space="0" w:color="auto"/>
              <w:bottom w:val="single" w:sz="4" w:space="0" w:color="auto"/>
              <w:right w:val="single" w:sz="4" w:space="0" w:color="auto"/>
            </w:tcBorders>
            <w:noWrap/>
            <w:vAlign w:val="center"/>
            <w:hideMark/>
          </w:tcPr>
          <w:p w14:paraId="23B62F38"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6,820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F3E49C4"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1.3</w:t>
            </w:r>
          </w:p>
        </w:tc>
        <w:tc>
          <w:tcPr>
            <w:tcW w:w="1275" w:type="dxa"/>
            <w:tcBorders>
              <w:top w:val="single" w:sz="4" w:space="0" w:color="auto"/>
              <w:left w:val="single" w:sz="4" w:space="0" w:color="auto"/>
              <w:bottom w:val="single" w:sz="4" w:space="0" w:color="auto"/>
              <w:right w:val="single" w:sz="4" w:space="0" w:color="auto"/>
            </w:tcBorders>
            <w:noWrap/>
            <w:hideMark/>
          </w:tcPr>
          <w:p w14:paraId="33A0B68D" w14:textId="77777777" w:rsidR="00617A27" w:rsidRPr="008226BC" w:rsidRDefault="00617A27">
            <w:pPr>
              <w:spacing w:after="0" w:line="240" w:lineRule="auto"/>
              <w:ind w:right="201"/>
              <w:jc w:val="right"/>
              <w:rPr>
                <w:rFonts w:cs="Arial"/>
                <w:color w:val="000000"/>
                <w:sz w:val="18"/>
                <w:szCs w:val="18"/>
                <w:lang w:eastAsia="en-AU"/>
              </w:rPr>
            </w:pPr>
            <w:r w:rsidRPr="008226BC">
              <w:rPr>
                <w:sz w:val="18"/>
                <w:szCs w:val="18"/>
              </w:rPr>
              <w:t xml:space="preserve"> 16,383 </w:t>
            </w:r>
          </w:p>
        </w:tc>
        <w:tc>
          <w:tcPr>
            <w:tcW w:w="1274" w:type="dxa"/>
            <w:tcBorders>
              <w:top w:val="single" w:sz="4" w:space="0" w:color="auto"/>
              <w:left w:val="single" w:sz="4" w:space="0" w:color="auto"/>
              <w:bottom w:val="single" w:sz="4" w:space="0" w:color="auto"/>
              <w:right w:val="single" w:sz="4" w:space="0" w:color="auto"/>
            </w:tcBorders>
            <w:noWrap/>
            <w:vAlign w:val="center"/>
            <w:hideMark/>
          </w:tcPr>
          <w:p w14:paraId="37880A9A"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2.1</w:t>
            </w:r>
          </w:p>
        </w:tc>
        <w:tc>
          <w:tcPr>
            <w:tcW w:w="1422" w:type="dxa"/>
            <w:tcBorders>
              <w:top w:val="single" w:sz="4" w:space="0" w:color="auto"/>
              <w:left w:val="single" w:sz="4" w:space="0" w:color="auto"/>
              <w:bottom w:val="single" w:sz="4" w:space="0" w:color="auto"/>
              <w:right w:val="single" w:sz="4" w:space="0" w:color="auto"/>
            </w:tcBorders>
            <w:vAlign w:val="center"/>
          </w:tcPr>
          <w:p w14:paraId="790B8571" w14:textId="77777777" w:rsidR="00617A27" w:rsidRPr="008226BC" w:rsidRDefault="00617A27">
            <w:pPr>
              <w:spacing w:after="0" w:line="240" w:lineRule="auto"/>
              <w:ind w:right="456"/>
              <w:jc w:val="right"/>
              <w:rPr>
                <w:rFonts w:cs="Arial"/>
                <w:sz w:val="18"/>
                <w:szCs w:val="18"/>
              </w:rPr>
            </w:pPr>
            <w:r w:rsidRPr="008226BC">
              <w:rPr>
                <w:rFonts w:cs="Arial"/>
                <w:sz w:val="18"/>
                <w:szCs w:val="18"/>
              </w:rPr>
              <w:t>144.9</w:t>
            </w:r>
          </w:p>
        </w:tc>
        <w:tc>
          <w:tcPr>
            <w:tcW w:w="1422" w:type="dxa"/>
            <w:tcBorders>
              <w:top w:val="single" w:sz="4" w:space="0" w:color="auto"/>
              <w:left w:val="single" w:sz="4" w:space="0" w:color="auto"/>
              <w:bottom w:val="single" w:sz="4" w:space="0" w:color="auto"/>
              <w:right w:val="single" w:sz="4" w:space="0" w:color="auto"/>
            </w:tcBorders>
            <w:vAlign w:val="center"/>
          </w:tcPr>
          <w:p w14:paraId="4A0B358A" w14:textId="77777777" w:rsidR="00617A27" w:rsidRPr="008226BC" w:rsidRDefault="00617A27">
            <w:pPr>
              <w:spacing w:after="0" w:line="240" w:lineRule="auto"/>
              <w:ind w:right="421"/>
              <w:jc w:val="right"/>
              <w:rPr>
                <w:rFonts w:cs="Arial"/>
                <w:sz w:val="18"/>
                <w:szCs w:val="18"/>
              </w:rPr>
            </w:pPr>
            <w:r>
              <w:rPr>
                <w:rFonts w:cs="Arial"/>
                <w:color w:val="000000"/>
                <w:sz w:val="18"/>
                <w:szCs w:val="18"/>
              </w:rPr>
              <w:t>3.8</w:t>
            </w:r>
          </w:p>
        </w:tc>
      </w:tr>
      <w:tr w:rsidR="00617A27" w14:paraId="6889F44D"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6343D68B" w14:textId="77777777" w:rsidR="00617A27" w:rsidRPr="008226BC" w:rsidRDefault="00617A27">
            <w:pPr>
              <w:spacing w:after="0" w:line="240" w:lineRule="auto"/>
              <w:rPr>
                <w:rFonts w:cs="Arial"/>
                <w:color w:val="000000"/>
                <w:sz w:val="18"/>
                <w:szCs w:val="18"/>
                <w:lang w:eastAsia="en-AU"/>
              </w:rPr>
            </w:pPr>
            <w:r w:rsidRPr="008226BC">
              <w:rPr>
                <w:rFonts w:cs="Arial"/>
                <w:sz w:val="18"/>
                <w:szCs w:val="18"/>
                <w:lang w:eastAsia="en-AU"/>
              </w:rPr>
              <w:t>Disability</w:t>
            </w:r>
          </w:p>
        </w:tc>
        <w:tc>
          <w:tcPr>
            <w:tcW w:w="1274" w:type="dxa"/>
            <w:tcBorders>
              <w:top w:val="single" w:sz="4" w:space="0" w:color="auto"/>
              <w:left w:val="single" w:sz="4" w:space="0" w:color="auto"/>
              <w:bottom w:val="single" w:sz="4" w:space="0" w:color="auto"/>
              <w:right w:val="single" w:sz="4" w:space="0" w:color="auto"/>
            </w:tcBorders>
            <w:noWrap/>
            <w:vAlign w:val="center"/>
          </w:tcPr>
          <w:p w14:paraId="3C8A77E0"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23,447</w:t>
            </w:r>
          </w:p>
        </w:tc>
        <w:tc>
          <w:tcPr>
            <w:tcW w:w="1275" w:type="dxa"/>
            <w:tcBorders>
              <w:top w:val="single" w:sz="4" w:space="0" w:color="auto"/>
              <w:left w:val="single" w:sz="4" w:space="0" w:color="auto"/>
              <w:bottom w:val="single" w:sz="4" w:space="0" w:color="auto"/>
              <w:right w:val="single" w:sz="4" w:space="0" w:color="auto"/>
            </w:tcBorders>
            <w:noWrap/>
            <w:vAlign w:val="center"/>
          </w:tcPr>
          <w:p w14:paraId="27259D00"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4.4</w:t>
            </w:r>
          </w:p>
        </w:tc>
        <w:tc>
          <w:tcPr>
            <w:tcW w:w="1275" w:type="dxa"/>
            <w:tcBorders>
              <w:top w:val="single" w:sz="4" w:space="0" w:color="auto"/>
              <w:left w:val="single" w:sz="4" w:space="0" w:color="auto"/>
              <w:bottom w:val="single" w:sz="4" w:space="0" w:color="auto"/>
              <w:right w:val="single" w:sz="4" w:space="0" w:color="auto"/>
            </w:tcBorders>
            <w:noWrap/>
          </w:tcPr>
          <w:p w14:paraId="6904CD8F" w14:textId="77777777" w:rsidR="00617A27" w:rsidRPr="008226BC" w:rsidRDefault="00617A27">
            <w:pPr>
              <w:spacing w:after="0" w:line="240" w:lineRule="auto"/>
              <w:ind w:right="201"/>
              <w:jc w:val="right"/>
              <w:rPr>
                <w:rFonts w:cs="Arial"/>
                <w:color w:val="000000"/>
                <w:sz w:val="18"/>
                <w:szCs w:val="18"/>
                <w:lang w:eastAsia="en-AU"/>
              </w:rPr>
            </w:pPr>
            <w:r w:rsidRPr="008226BC">
              <w:rPr>
                <w:sz w:val="18"/>
                <w:szCs w:val="18"/>
              </w:rPr>
              <w:t xml:space="preserve"> 80,769 </w:t>
            </w:r>
          </w:p>
        </w:tc>
        <w:tc>
          <w:tcPr>
            <w:tcW w:w="1274" w:type="dxa"/>
            <w:tcBorders>
              <w:top w:val="single" w:sz="4" w:space="0" w:color="auto"/>
              <w:left w:val="single" w:sz="4" w:space="0" w:color="auto"/>
              <w:bottom w:val="single" w:sz="4" w:space="0" w:color="auto"/>
              <w:right w:val="single" w:sz="4" w:space="0" w:color="auto"/>
            </w:tcBorders>
            <w:noWrap/>
            <w:vAlign w:val="center"/>
          </w:tcPr>
          <w:p w14:paraId="784EC881" w14:textId="77777777" w:rsidR="00617A27" w:rsidRPr="008226BC" w:rsidRDefault="00617A27">
            <w:pPr>
              <w:spacing w:after="0" w:line="240" w:lineRule="auto"/>
              <w:ind w:right="201"/>
              <w:jc w:val="right"/>
              <w:rPr>
                <w:rFonts w:cs="Arial"/>
                <w:color w:val="000000"/>
                <w:sz w:val="18"/>
                <w:szCs w:val="18"/>
                <w:lang w:eastAsia="en-AU"/>
              </w:rPr>
            </w:pPr>
            <w:r w:rsidRPr="008226BC">
              <w:rPr>
                <w:rFonts w:cs="Arial"/>
                <w:sz w:val="18"/>
                <w:szCs w:val="18"/>
              </w:rPr>
              <w:t>10.2</w:t>
            </w:r>
          </w:p>
        </w:tc>
        <w:tc>
          <w:tcPr>
            <w:tcW w:w="1422" w:type="dxa"/>
            <w:tcBorders>
              <w:top w:val="single" w:sz="4" w:space="0" w:color="auto"/>
              <w:left w:val="single" w:sz="4" w:space="0" w:color="auto"/>
              <w:bottom w:val="single" w:sz="4" w:space="0" w:color="auto"/>
              <w:right w:val="single" w:sz="4" w:space="0" w:color="auto"/>
            </w:tcBorders>
            <w:vAlign w:val="center"/>
          </w:tcPr>
          <w:p w14:paraId="016EE9BD" w14:textId="77777777" w:rsidR="00617A27" w:rsidRPr="008226BC" w:rsidRDefault="00617A27">
            <w:pPr>
              <w:spacing w:after="0" w:line="240" w:lineRule="auto"/>
              <w:ind w:right="456"/>
              <w:jc w:val="right"/>
              <w:rPr>
                <w:rFonts w:cs="Arial"/>
                <w:sz w:val="18"/>
                <w:szCs w:val="18"/>
              </w:rPr>
            </w:pPr>
            <w:r w:rsidRPr="008226BC">
              <w:rPr>
                <w:rFonts w:cs="Arial"/>
                <w:sz w:val="18"/>
                <w:szCs w:val="18"/>
              </w:rPr>
              <w:t>246.9</w:t>
            </w:r>
          </w:p>
        </w:tc>
        <w:tc>
          <w:tcPr>
            <w:tcW w:w="1422" w:type="dxa"/>
            <w:tcBorders>
              <w:top w:val="single" w:sz="4" w:space="0" w:color="auto"/>
              <w:left w:val="single" w:sz="4" w:space="0" w:color="auto"/>
              <w:bottom w:val="single" w:sz="4" w:space="0" w:color="auto"/>
              <w:right w:val="single" w:sz="4" w:space="0" w:color="auto"/>
            </w:tcBorders>
            <w:vAlign w:val="center"/>
          </w:tcPr>
          <w:p w14:paraId="1709A84B" w14:textId="77777777" w:rsidR="00617A27" w:rsidRPr="008226BC" w:rsidRDefault="00617A27">
            <w:pPr>
              <w:spacing w:after="0" w:line="240" w:lineRule="auto"/>
              <w:ind w:right="421"/>
              <w:jc w:val="right"/>
              <w:rPr>
                <w:rFonts w:cs="Arial"/>
                <w:sz w:val="18"/>
                <w:szCs w:val="18"/>
              </w:rPr>
            </w:pPr>
            <w:r>
              <w:rPr>
                <w:rFonts w:cs="Arial"/>
                <w:color w:val="000000"/>
                <w:sz w:val="18"/>
                <w:szCs w:val="18"/>
              </w:rPr>
              <w:t>22.8</w:t>
            </w:r>
          </w:p>
        </w:tc>
      </w:tr>
      <w:tr w:rsidR="00617A27" w14:paraId="5804E279"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0F6E1604" w14:textId="46F37442" w:rsidR="00617A27" w:rsidRPr="007B0B44" w:rsidRDefault="00617A27">
            <w:pPr>
              <w:spacing w:after="0" w:line="240" w:lineRule="auto"/>
              <w:rPr>
                <w:rFonts w:cs="Arial"/>
                <w:b/>
                <w:bCs/>
                <w:i/>
                <w:iCs/>
                <w:color w:val="000000"/>
                <w:sz w:val="18"/>
                <w:szCs w:val="18"/>
                <w:lang w:eastAsia="en-AU"/>
              </w:rPr>
            </w:pPr>
            <w:r w:rsidRPr="007B0B44">
              <w:rPr>
                <w:rFonts w:cs="Arial"/>
                <w:b/>
                <w:bCs/>
                <w:i/>
                <w:iCs/>
                <w:color w:val="000000"/>
                <w:sz w:val="18"/>
                <w:szCs w:val="18"/>
                <w:lang w:eastAsia="en-AU"/>
              </w:rPr>
              <w:t xml:space="preserve">Equity </w:t>
            </w:r>
            <w:r w:rsidR="00A27267">
              <w:rPr>
                <w:rFonts w:cs="Arial"/>
                <w:b/>
                <w:bCs/>
                <w:i/>
                <w:iCs/>
                <w:color w:val="000000"/>
                <w:sz w:val="18"/>
                <w:szCs w:val="18"/>
                <w:lang w:eastAsia="en-AU"/>
              </w:rPr>
              <w:t>Group</w:t>
            </w:r>
          </w:p>
        </w:tc>
        <w:tc>
          <w:tcPr>
            <w:tcW w:w="1274" w:type="dxa"/>
            <w:tcBorders>
              <w:top w:val="single" w:sz="4" w:space="0" w:color="auto"/>
              <w:left w:val="single" w:sz="4" w:space="0" w:color="auto"/>
              <w:bottom w:val="single" w:sz="4" w:space="0" w:color="auto"/>
              <w:right w:val="single" w:sz="4" w:space="0" w:color="auto"/>
            </w:tcBorders>
            <w:noWrap/>
            <w:vAlign w:val="center"/>
          </w:tcPr>
          <w:p w14:paraId="0D4F3FC5" w14:textId="77777777" w:rsidR="00617A27" w:rsidRPr="007B0B44" w:rsidRDefault="00617A27">
            <w:pPr>
              <w:spacing w:after="0" w:line="240" w:lineRule="auto"/>
              <w:ind w:right="201"/>
              <w:jc w:val="right"/>
              <w:rPr>
                <w:rFonts w:cs="Arial"/>
                <w:b/>
                <w:bCs/>
                <w:i/>
                <w:iCs/>
                <w:color w:val="000000"/>
                <w:sz w:val="18"/>
                <w:szCs w:val="18"/>
                <w:lang w:eastAsia="en-AU"/>
              </w:rPr>
            </w:pPr>
            <w:r w:rsidRPr="007B0B44">
              <w:rPr>
                <w:rFonts w:cs="Arial"/>
                <w:b/>
                <w:bCs/>
                <w:i/>
                <w:iCs/>
                <w:color w:val="000000"/>
                <w:sz w:val="18"/>
                <w:szCs w:val="18"/>
                <w:lang w:eastAsia="en-AU"/>
              </w:rPr>
              <w:t>176,492</w:t>
            </w:r>
          </w:p>
        </w:tc>
        <w:tc>
          <w:tcPr>
            <w:tcW w:w="1275" w:type="dxa"/>
            <w:tcBorders>
              <w:top w:val="single" w:sz="4" w:space="0" w:color="auto"/>
              <w:left w:val="single" w:sz="4" w:space="0" w:color="auto"/>
              <w:bottom w:val="single" w:sz="4" w:space="0" w:color="auto"/>
              <w:right w:val="single" w:sz="4" w:space="0" w:color="auto"/>
            </w:tcBorders>
            <w:noWrap/>
            <w:vAlign w:val="center"/>
          </w:tcPr>
          <w:p w14:paraId="344E1167" w14:textId="77777777" w:rsidR="00617A27" w:rsidRPr="007B0B44" w:rsidRDefault="00617A27">
            <w:pPr>
              <w:spacing w:after="0" w:line="240" w:lineRule="auto"/>
              <w:ind w:right="201"/>
              <w:jc w:val="right"/>
              <w:rPr>
                <w:rFonts w:cs="Arial"/>
                <w:b/>
                <w:bCs/>
                <w:i/>
                <w:iCs/>
                <w:color w:val="000000"/>
                <w:sz w:val="18"/>
                <w:szCs w:val="18"/>
                <w:lang w:eastAsia="en-AU"/>
              </w:rPr>
            </w:pPr>
            <w:r w:rsidRPr="007B0B44">
              <w:rPr>
                <w:rFonts w:cs="Arial"/>
                <w:b/>
                <w:bCs/>
                <w:i/>
                <w:iCs/>
                <w:color w:val="000000"/>
                <w:sz w:val="18"/>
                <w:szCs w:val="18"/>
                <w:lang w:eastAsia="en-AU"/>
              </w:rPr>
              <w:t>33.1</w:t>
            </w:r>
          </w:p>
        </w:tc>
        <w:tc>
          <w:tcPr>
            <w:tcW w:w="1275" w:type="dxa"/>
            <w:tcBorders>
              <w:top w:val="single" w:sz="4" w:space="0" w:color="auto"/>
              <w:left w:val="single" w:sz="4" w:space="0" w:color="auto"/>
              <w:bottom w:val="single" w:sz="4" w:space="0" w:color="auto"/>
              <w:right w:val="single" w:sz="4" w:space="0" w:color="auto"/>
            </w:tcBorders>
            <w:noWrap/>
          </w:tcPr>
          <w:p w14:paraId="31FE7609" w14:textId="45640EF7" w:rsidR="00617A27" w:rsidRPr="007B0B44" w:rsidRDefault="00617A27">
            <w:pPr>
              <w:spacing w:after="0" w:line="240" w:lineRule="auto"/>
              <w:ind w:right="201"/>
              <w:jc w:val="right"/>
              <w:rPr>
                <w:rFonts w:cs="Arial"/>
                <w:b/>
                <w:bCs/>
                <w:i/>
                <w:iCs/>
                <w:color w:val="000000"/>
                <w:sz w:val="18"/>
                <w:szCs w:val="18"/>
                <w:lang w:eastAsia="en-AU"/>
              </w:rPr>
            </w:pPr>
            <w:r w:rsidRPr="007B0B44">
              <w:rPr>
                <w:b/>
                <w:bCs/>
                <w:i/>
                <w:iCs/>
                <w:sz w:val="18"/>
                <w:szCs w:val="18"/>
              </w:rPr>
              <w:t xml:space="preserve"> </w:t>
            </w:r>
            <w:r w:rsidR="002B0CB8">
              <w:rPr>
                <w:b/>
                <w:bCs/>
                <w:i/>
                <w:iCs/>
                <w:sz w:val="18"/>
                <w:szCs w:val="18"/>
              </w:rPr>
              <w:t>309,360</w:t>
            </w:r>
            <w:r w:rsidRPr="007B0B44">
              <w:rPr>
                <w:b/>
                <w:bCs/>
                <w:i/>
                <w:iCs/>
                <w:sz w:val="18"/>
                <w:szCs w:val="18"/>
              </w:rPr>
              <w:t xml:space="preserve"> </w:t>
            </w:r>
          </w:p>
        </w:tc>
        <w:tc>
          <w:tcPr>
            <w:tcW w:w="1274" w:type="dxa"/>
            <w:tcBorders>
              <w:top w:val="single" w:sz="4" w:space="0" w:color="auto"/>
              <w:left w:val="single" w:sz="4" w:space="0" w:color="auto"/>
              <w:bottom w:val="single" w:sz="4" w:space="0" w:color="auto"/>
              <w:right w:val="single" w:sz="4" w:space="0" w:color="auto"/>
            </w:tcBorders>
            <w:noWrap/>
            <w:vAlign w:val="center"/>
          </w:tcPr>
          <w:p w14:paraId="0A02F40A" w14:textId="3D2F8B70" w:rsidR="00617A27" w:rsidRPr="007B0B44" w:rsidRDefault="00617A27">
            <w:pPr>
              <w:spacing w:after="0" w:line="240" w:lineRule="auto"/>
              <w:ind w:right="201"/>
              <w:jc w:val="right"/>
              <w:rPr>
                <w:rFonts w:cs="Arial"/>
                <w:b/>
                <w:bCs/>
                <w:i/>
                <w:iCs/>
                <w:color w:val="000000"/>
                <w:sz w:val="18"/>
                <w:szCs w:val="18"/>
                <w:lang w:eastAsia="en-AU"/>
              </w:rPr>
            </w:pPr>
            <w:r w:rsidRPr="007B0B44">
              <w:rPr>
                <w:rFonts w:cs="Arial"/>
                <w:b/>
                <w:bCs/>
                <w:i/>
                <w:iCs/>
                <w:color w:val="000000"/>
                <w:sz w:val="18"/>
                <w:szCs w:val="18"/>
                <w:lang w:eastAsia="en-AU"/>
              </w:rPr>
              <w:t>39</w:t>
            </w:r>
            <w:r w:rsidR="00EC1E94">
              <w:rPr>
                <w:rFonts w:cs="Arial"/>
                <w:b/>
                <w:bCs/>
                <w:i/>
                <w:iCs/>
                <w:color w:val="000000"/>
                <w:sz w:val="18"/>
                <w:szCs w:val="18"/>
                <w:lang w:eastAsia="en-AU"/>
              </w:rPr>
              <w:t>.4</w:t>
            </w:r>
          </w:p>
        </w:tc>
        <w:tc>
          <w:tcPr>
            <w:tcW w:w="1422" w:type="dxa"/>
            <w:tcBorders>
              <w:top w:val="single" w:sz="4" w:space="0" w:color="auto"/>
              <w:left w:val="single" w:sz="4" w:space="0" w:color="auto"/>
              <w:bottom w:val="single" w:sz="4" w:space="0" w:color="auto"/>
              <w:right w:val="single" w:sz="4" w:space="0" w:color="auto"/>
            </w:tcBorders>
            <w:vAlign w:val="center"/>
          </w:tcPr>
          <w:p w14:paraId="2E58E306" w14:textId="7030D8BE" w:rsidR="00617A27" w:rsidRPr="007B0B44" w:rsidRDefault="00404A43">
            <w:pPr>
              <w:spacing w:after="0" w:line="240" w:lineRule="auto"/>
              <w:ind w:right="456"/>
              <w:jc w:val="right"/>
              <w:rPr>
                <w:rFonts w:cs="Arial"/>
                <w:b/>
                <w:bCs/>
                <w:i/>
                <w:iCs/>
                <w:sz w:val="18"/>
                <w:szCs w:val="18"/>
              </w:rPr>
            </w:pPr>
            <w:r>
              <w:rPr>
                <w:rFonts w:cs="Arial"/>
                <w:b/>
                <w:bCs/>
                <w:i/>
                <w:iCs/>
                <w:sz w:val="18"/>
                <w:szCs w:val="18"/>
              </w:rPr>
              <w:t>75.3</w:t>
            </w:r>
          </w:p>
        </w:tc>
        <w:tc>
          <w:tcPr>
            <w:tcW w:w="1422" w:type="dxa"/>
            <w:tcBorders>
              <w:top w:val="single" w:sz="4" w:space="0" w:color="auto"/>
              <w:left w:val="single" w:sz="4" w:space="0" w:color="auto"/>
              <w:bottom w:val="single" w:sz="4" w:space="0" w:color="auto"/>
              <w:right w:val="single" w:sz="4" w:space="0" w:color="auto"/>
            </w:tcBorders>
            <w:vAlign w:val="center"/>
          </w:tcPr>
          <w:p w14:paraId="230A2A48" w14:textId="496DA404" w:rsidR="00617A27" w:rsidRPr="007B0B44" w:rsidRDefault="00CB1644">
            <w:pPr>
              <w:spacing w:after="0" w:line="240" w:lineRule="auto"/>
              <w:ind w:right="421"/>
              <w:jc w:val="right"/>
              <w:rPr>
                <w:rFonts w:cs="Arial"/>
                <w:b/>
                <w:bCs/>
                <w:i/>
                <w:iCs/>
                <w:sz w:val="18"/>
                <w:szCs w:val="18"/>
              </w:rPr>
            </w:pPr>
            <w:r>
              <w:rPr>
                <w:rFonts w:cs="Arial"/>
                <w:b/>
                <w:bCs/>
                <w:i/>
                <w:iCs/>
                <w:color w:val="000000"/>
                <w:sz w:val="18"/>
                <w:szCs w:val="18"/>
              </w:rPr>
              <w:t>5</w:t>
            </w:r>
            <w:r w:rsidR="00404A43">
              <w:rPr>
                <w:rFonts w:cs="Arial"/>
                <w:b/>
                <w:bCs/>
                <w:i/>
                <w:iCs/>
                <w:color w:val="000000"/>
                <w:sz w:val="18"/>
                <w:szCs w:val="18"/>
              </w:rPr>
              <w:t>2</w:t>
            </w:r>
            <w:r w:rsidR="00617A27" w:rsidRPr="007B0B44">
              <w:rPr>
                <w:rFonts w:cs="Arial"/>
                <w:b/>
                <w:bCs/>
                <w:i/>
                <w:iCs/>
                <w:color w:val="000000"/>
                <w:sz w:val="18"/>
                <w:szCs w:val="18"/>
              </w:rPr>
              <w:t>.</w:t>
            </w:r>
            <w:r w:rsidR="00404A43">
              <w:rPr>
                <w:rFonts w:cs="Arial"/>
                <w:b/>
                <w:bCs/>
                <w:i/>
                <w:iCs/>
                <w:color w:val="000000"/>
                <w:sz w:val="18"/>
                <w:szCs w:val="18"/>
              </w:rPr>
              <w:t>8</w:t>
            </w:r>
          </w:p>
        </w:tc>
      </w:tr>
      <w:tr w:rsidR="00617A27" w14:paraId="48C7614C" w14:textId="77777777">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4E711F63" w14:textId="77777777" w:rsidR="00617A27" w:rsidRPr="008226BC" w:rsidRDefault="00617A27">
            <w:pPr>
              <w:spacing w:after="0" w:line="240" w:lineRule="auto"/>
              <w:rPr>
                <w:rFonts w:cs="Arial"/>
                <w:i/>
                <w:iCs/>
                <w:color w:val="000000"/>
                <w:sz w:val="18"/>
                <w:szCs w:val="18"/>
                <w:lang w:eastAsia="en-AU"/>
              </w:rPr>
            </w:pPr>
            <w:r w:rsidRPr="008226BC">
              <w:rPr>
                <w:rFonts w:cs="Arial"/>
                <w:i/>
                <w:iCs/>
                <w:color w:val="000000"/>
                <w:sz w:val="18"/>
                <w:szCs w:val="18"/>
                <w:lang w:eastAsia="en-AU"/>
              </w:rPr>
              <w:t>Non-Equity</w:t>
            </w:r>
          </w:p>
        </w:tc>
        <w:tc>
          <w:tcPr>
            <w:tcW w:w="1274" w:type="dxa"/>
            <w:tcBorders>
              <w:top w:val="single" w:sz="4" w:space="0" w:color="auto"/>
              <w:left w:val="single" w:sz="4" w:space="0" w:color="auto"/>
              <w:bottom w:val="single" w:sz="4" w:space="0" w:color="auto"/>
              <w:right w:val="single" w:sz="4" w:space="0" w:color="auto"/>
            </w:tcBorders>
            <w:noWrap/>
            <w:vAlign w:val="center"/>
          </w:tcPr>
          <w:p w14:paraId="64CDF43A" w14:textId="77777777" w:rsidR="00617A27" w:rsidRPr="007B0B44" w:rsidRDefault="00617A27">
            <w:pPr>
              <w:spacing w:after="0" w:line="240" w:lineRule="auto"/>
              <w:ind w:right="201"/>
              <w:jc w:val="right"/>
              <w:rPr>
                <w:rFonts w:cs="Arial"/>
                <w:i/>
                <w:iCs/>
                <w:color w:val="000000"/>
                <w:sz w:val="18"/>
                <w:szCs w:val="18"/>
                <w:lang w:eastAsia="en-AU"/>
              </w:rPr>
            </w:pPr>
            <w:r w:rsidRPr="007B0B44">
              <w:rPr>
                <w:rFonts w:cs="Arial"/>
                <w:i/>
                <w:iCs/>
                <w:color w:val="000000"/>
                <w:sz w:val="18"/>
                <w:szCs w:val="18"/>
                <w:lang w:eastAsia="en-AU"/>
              </w:rPr>
              <w:t>356,011</w:t>
            </w:r>
          </w:p>
        </w:tc>
        <w:tc>
          <w:tcPr>
            <w:tcW w:w="1275" w:type="dxa"/>
            <w:tcBorders>
              <w:top w:val="single" w:sz="4" w:space="0" w:color="auto"/>
              <w:left w:val="single" w:sz="4" w:space="0" w:color="auto"/>
              <w:bottom w:val="single" w:sz="4" w:space="0" w:color="auto"/>
              <w:right w:val="single" w:sz="4" w:space="0" w:color="auto"/>
            </w:tcBorders>
            <w:noWrap/>
            <w:vAlign w:val="center"/>
          </w:tcPr>
          <w:p w14:paraId="4C1F380D" w14:textId="77777777" w:rsidR="00617A27" w:rsidRPr="007B0B44" w:rsidRDefault="00617A27">
            <w:pPr>
              <w:spacing w:after="0" w:line="240" w:lineRule="auto"/>
              <w:ind w:right="201"/>
              <w:jc w:val="right"/>
              <w:rPr>
                <w:rFonts w:cs="Arial"/>
                <w:i/>
                <w:iCs/>
                <w:color w:val="000000"/>
                <w:sz w:val="18"/>
                <w:szCs w:val="18"/>
                <w:lang w:eastAsia="en-AU"/>
              </w:rPr>
            </w:pPr>
            <w:r w:rsidRPr="007B0B44">
              <w:rPr>
                <w:rFonts w:cs="Arial"/>
                <w:i/>
                <w:iCs/>
                <w:color w:val="000000"/>
                <w:sz w:val="18"/>
                <w:szCs w:val="18"/>
                <w:lang w:eastAsia="en-AU"/>
              </w:rPr>
              <w:t>66.9</w:t>
            </w:r>
          </w:p>
        </w:tc>
        <w:tc>
          <w:tcPr>
            <w:tcW w:w="1275" w:type="dxa"/>
            <w:tcBorders>
              <w:top w:val="single" w:sz="4" w:space="0" w:color="auto"/>
              <w:left w:val="single" w:sz="4" w:space="0" w:color="auto"/>
              <w:bottom w:val="single" w:sz="4" w:space="0" w:color="auto"/>
              <w:right w:val="single" w:sz="4" w:space="0" w:color="auto"/>
            </w:tcBorders>
            <w:noWrap/>
          </w:tcPr>
          <w:p w14:paraId="64B62289" w14:textId="77B745DC" w:rsidR="00617A27" w:rsidRPr="007B0B44" w:rsidRDefault="00617A27">
            <w:pPr>
              <w:spacing w:after="0" w:line="240" w:lineRule="auto"/>
              <w:ind w:right="201"/>
              <w:jc w:val="right"/>
              <w:rPr>
                <w:rFonts w:cs="Arial"/>
                <w:i/>
                <w:iCs/>
                <w:color w:val="000000"/>
                <w:sz w:val="18"/>
                <w:szCs w:val="18"/>
                <w:lang w:eastAsia="en-AU"/>
              </w:rPr>
            </w:pPr>
            <w:r w:rsidRPr="007B0B44">
              <w:rPr>
                <w:i/>
                <w:iCs/>
                <w:sz w:val="18"/>
                <w:szCs w:val="18"/>
              </w:rPr>
              <w:t xml:space="preserve"> </w:t>
            </w:r>
            <w:r w:rsidR="002B0CB8">
              <w:rPr>
                <w:i/>
                <w:iCs/>
                <w:sz w:val="18"/>
                <w:szCs w:val="18"/>
              </w:rPr>
              <w:t>474,</w:t>
            </w:r>
            <w:r w:rsidR="00404A43">
              <w:rPr>
                <w:i/>
                <w:iCs/>
                <w:sz w:val="18"/>
                <w:szCs w:val="18"/>
              </w:rPr>
              <w:t>8</w:t>
            </w:r>
            <w:r w:rsidR="008C0B07">
              <w:rPr>
                <w:i/>
                <w:iCs/>
                <w:sz w:val="18"/>
                <w:szCs w:val="18"/>
              </w:rPr>
              <w:t>59</w:t>
            </w:r>
            <w:r w:rsidRPr="007B0B44">
              <w:rPr>
                <w:i/>
                <w:iCs/>
                <w:sz w:val="18"/>
                <w:szCs w:val="18"/>
              </w:rPr>
              <w:t xml:space="preserve"> </w:t>
            </w:r>
          </w:p>
        </w:tc>
        <w:tc>
          <w:tcPr>
            <w:tcW w:w="1274" w:type="dxa"/>
            <w:tcBorders>
              <w:top w:val="single" w:sz="4" w:space="0" w:color="auto"/>
              <w:left w:val="single" w:sz="4" w:space="0" w:color="auto"/>
              <w:bottom w:val="single" w:sz="4" w:space="0" w:color="auto"/>
              <w:right w:val="single" w:sz="4" w:space="0" w:color="auto"/>
            </w:tcBorders>
            <w:noWrap/>
            <w:vAlign w:val="center"/>
          </w:tcPr>
          <w:p w14:paraId="3A57DD7A" w14:textId="7E68602C" w:rsidR="00617A27" w:rsidRPr="007B0B44" w:rsidRDefault="00617A27">
            <w:pPr>
              <w:spacing w:after="0" w:line="240" w:lineRule="auto"/>
              <w:ind w:right="201"/>
              <w:jc w:val="right"/>
              <w:rPr>
                <w:rFonts w:cs="Arial"/>
                <w:i/>
                <w:iCs/>
                <w:color w:val="000000"/>
                <w:sz w:val="18"/>
                <w:szCs w:val="18"/>
                <w:lang w:eastAsia="en-AU"/>
              </w:rPr>
            </w:pPr>
            <w:r w:rsidRPr="007B0B44">
              <w:rPr>
                <w:rFonts w:cs="Arial"/>
                <w:i/>
                <w:iCs/>
                <w:color w:val="000000"/>
                <w:sz w:val="18"/>
                <w:szCs w:val="18"/>
                <w:lang w:eastAsia="en-AU"/>
              </w:rPr>
              <w:t>6</w:t>
            </w:r>
            <w:r w:rsidR="00404A43">
              <w:rPr>
                <w:rFonts w:cs="Arial"/>
                <w:i/>
                <w:iCs/>
                <w:color w:val="000000"/>
                <w:sz w:val="18"/>
                <w:szCs w:val="18"/>
                <w:lang w:eastAsia="en-AU"/>
              </w:rPr>
              <w:t>0</w:t>
            </w:r>
            <w:r w:rsidRPr="007B0B44">
              <w:rPr>
                <w:rFonts w:cs="Arial"/>
                <w:i/>
                <w:iCs/>
                <w:color w:val="000000"/>
                <w:sz w:val="18"/>
                <w:szCs w:val="18"/>
                <w:lang w:eastAsia="en-AU"/>
              </w:rPr>
              <w:t>.</w:t>
            </w:r>
            <w:r w:rsidR="00404A43">
              <w:rPr>
                <w:rFonts w:cs="Arial"/>
                <w:i/>
                <w:iCs/>
                <w:color w:val="000000"/>
                <w:sz w:val="18"/>
                <w:szCs w:val="18"/>
                <w:lang w:eastAsia="en-AU"/>
              </w:rPr>
              <w:t>6</w:t>
            </w:r>
          </w:p>
        </w:tc>
        <w:tc>
          <w:tcPr>
            <w:tcW w:w="1422" w:type="dxa"/>
            <w:tcBorders>
              <w:top w:val="single" w:sz="4" w:space="0" w:color="auto"/>
              <w:left w:val="single" w:sz="4" w:space="0" w:color="auto"/>
              <w:bottom w:val="single" w:sz="4" w:space="0" w:color="auto"/>
              <w:right w:val="single" w:sz="4" w:space="0" w:color="auto"/>
            </w:tcBorders>
            <w:vAlign w:val="center"/>
          </w:tcPr>
          <w:p w14:paraId="57D866E3" w14:textId="2F7E7647" w:rsidR="00617A27" w:rsidRPr="007B0B44" w:rsidRDefault="00CD1507">
            <w:pPr>
              <w:spacing w:after="0" w:line="240" w:lineRule="auto"/>
              <w:ind w:right="456"/>
              <w:jc w:val="right"/>
              <w:rPr>
                <w:rFonts w:cs="Arial"/>
                <w:i/>
                <w:iCs/>
                <w:sz w:val="18"/>
                <w:szCs w:val="18"/>
              </w:rPr>
            </w:pPr>
            <w:r>
              <w:rPr>
                <w:rFonts w:cs="Arial"/>
                <w:i/>
                <w:iCs/>
                <w:sz w:val="18"/>
                <w:szCs w:val="18"/>
              </w:rPr>
              <w:t>33</w:t>
            </w:r>
            <w:r w:rsidR="00617A27" w:rsidRPr="007B0B44">
              <w:rPr>
                <w:rFonts w:cs="Arial"/>
                <w:i/>
                <w:iCs/>
                <w:sz w:val="18"/>
                <w:szCs w:val="18"/>
              </w:rPr>
              <w:t>.</w:t>
            </w:r>
            <w:r>
              <w:rPr>
                <w:rFonts w:cs="Arial"/>
                <w:i/>
                <w:iCs/>
                <w:sz w:val="18"/>
                <w:szCs w:val="18"/>
              </w:rPr>
              <w:t>4</w:t>
            </w:r>
          </w:p>
        </w:tc>
        <w:tc>
          <w:tcPr>
            <w:tcW w:w="1422" w:type="dxa"/>
            <w:tcBorders>
              <w:top w:val="single" w:sz="4" w:space="0" w:color="auto"/>
              <w:left w:val="single" w:sz="4" w:space="0" w:color="auto"/>
              <w:bottom w:val="single" w:sz="4" w:space="0" w:color="auto"/>
              <w:right w:val="single" w:sz="4" w:space="0" w:color="auto"/>
            </w:tcBorders>
            <w:vAlign w:val="center"/>
          </w:tcPr>
          <w:p w14:paraId="23EFFCF1" w14:textId="3C0D90A4" w:rsidR="00617A27" w:rsidRPr="007B0B44" w:rsidRDefault="00DA7ECA">
            <w:pPr>
              <w:spacing w:after="0" w:line="240" w:lineRule="auto"/>
              <w:ind w:right="421"/>
              <w:jc w:val="right"/>
              <w:rPr>
                <w:rFonts w:cs="Arial"/>
                <w:i/>
                <w:iCs/>
                <w:sz w:val="18"/>
                <w:szCs w:val="18"/>
              </w:rPr>
            </w:pPr>
            <w:r>
              <w:rPr>
                <w:rFonts w:cs="Arial"/>
                <w:i/>
                <w:iCs/>
                <w:color w:val="000000"/>
                <w:sz w:val="18"/>
                <w:szCs w:val="18"/>
              </w:rPr>
              <w:t>47</w:t>
            </w:r>
            <w:r w:rsidR="00617A27" w:rsidRPr="007B0B44">
              <w:rPr>
                <w:rFonts w:cs="Arial"/>
                <w:i/>
                <w:iCs/>
                <w:color w:val="000000"/>
                <w:sz w:val="18"/>
                <w:szCs w:val="18"/>
              </w:rPr>
              <w:t>.</w:t>
            </w:r>
            <w:r>
              <w:rPr>
                <w:rFonts w:cs="Arial"/>
                <w:i/>
                <w:iCs/>
                <w:color w:val="000000"/>
                <w:sz w:val="18"/>
                <w:szCs w:val="18"/>
              </w:rPr>
              <w:t>2</w:t>
            </w:r>
          </w:p>
        </w:tc>
      </w:tr>
    </w:tbl>
    <w:p w14:paraId="23EC7FD8" w14:textId="212119A3" w:rsidR="00617A27" w:rsidRDefault="00617A27" w:rsidP="00B92880">
      <w:pPr>
        <w:spacing w:after="0" w:line="240" w:lineRule="auto"/>
      </w:pPr>
      <w:r>
        <w:rPr>
          <w:b/>
          <w:bCs/>
          <w:sz w:val="18"/>
          <w:szCs w:val="18"/>
        </w:rPr>
        <w:t>Source:</w:t>
      </w:r>
      <w:r>
        <w:rPr>
          <w:sz w:val="18"/>
          <w:szCs w:val="18"/>
        </w:rPr>
        <w:t xml:space="preserve"> </w:t>
      </w:r>
      <w:bookmarkStart w:id="16" w:name="_Hlk146961681"/>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r w:rsidRPr="009E5181">
        <w:rPr>
          <w:rFonts w:cs="Arial"/>
          <w:sz w:val="18"/>
          <w:szCs w:val="18"/>
        </w:rPr>
        <w:t xml:space="preserve"> </w:t>
      </w:r>
      <w:r>
        <w:rPr>
          <w:sz w:val="18"/>
          <w:szCs w:val="18"/>
        </w:rPr>
        <w:t xml:space="preserve"> </w:t>
      </w:r>
      <w:r>
        <w:t xml:space="preserve"> </w:t>
      </w:r>
      <w:bookmarkEnd w:id="16"/>
    </w:p>
    <w:p w14:paraId="13664EAF" w14:textId="769A3D83" w:rsidR="00290AF5" w:rsidRDefault="00815916" w:rsidP="00290AF5">
      <w:r>
        <w:br/>
      </w:r>
      <w:r w:rsidR="00FC7CB2">
        <w:t xml:space="preserve">Enrolments among </w:t>
      </w:r>
      <w:r w:rsidR="00FC7CB2" w:rsidRPr="001F0FF9">
        <w:rPr>
          <w:i/>
          <w:iCs/>
        </w:rPr>
        <w:t>Equity</w:t>
      </w:r>
      <w:r w:rsidR="00FC7CB2">
        <w:rPr>
          <w:i/>
          <w:iCs/>
        </w:rPr>
        <w:t xml:space="preserve"> Group</w:t>
      </w:r>
      <w:r w:rsidR="00FC7CB2">
        <w:rPr>
          <w:rStyle w:val="FootnoteReference"/>
          <w:i/>
          <w:iCs/>
        </w:rPr>
        <w:footnoteReference w:id="6"/>
      </w:r>
      <w:r w:rsidR="00FC7CB2">
        <w:t xml:space="preserve"> students (all four groups, taking cross-membership into consideration) increased by </w:t>
      </w:r>
      <w:r w:rsidR="00DA5015">
        <w:t>75</w:t>
      </w:r>
      <w:r w:rsidR="00FC7CB2">
        <w:t xml:space="preserve">.3% over this period, accounting for just </w:t>
      </w:r>
      <w:r w:rsidR="00BF36AA">
        <w:t xml:space="preserve">over </w:t>
      </w:r>
      <w:r w:rsidR="00FC7CB2">
        <w:t>half of all growth in enrolments (</w:t>
      </w:r>
      <w:r w:rsidR="00BF36AA">
        <w:t>52.8</w:t>
      </w:r>
      <w:r w:rsidR="00FC7CB2">
        <w:t xml:space="preserve">%). </w:t>
      </w:r>
      <w:r w:rsidR="008D0533">
        <w:t>T</w:t>
      </w:r>
      <w:r w:rsidR="00355F02">
        <w:t>hree groups saw increases in their enrolment shares</w:t>
      </w:r>
      <w:r w:rsidR="00747DEA">
        <w:t>:</w:t>
      </w:r>
      <w:r w:rsidR="00355F02">
        <w:t xml:space="preserve"> </w:t>
      </w:r>
      <w:r w:rsidR="00AC273A">
        <w:t>l</w:t>
      </w:r>
      <w:r w:rsidR="00355F02">
        <w:t>ow SES</w:t>
      </w:r>
      <w:r w:rsidR="00747DEA">
        <w:t>;</w:t>
      </w:r>
      <w:r w:rsidR="00355F02">
        <w:t xml:space="preserve"> First Nations</w:t>
      </w:r>
      <w:r w:rsidR="00747DEA">
        <w:t>;</w:t>
      </w:r>
      <w:r w:rsidR="00355F02">
        <w:t xml:space="preserve"> and </w:t>
      </w:r>
      <w:r w:rsidR="00AC273A">
        <w:t>students with d</w:t>
      </w:r>
      <w:r w:rsidR="00355F02">
        <w:t>isability</w:t>
      </w:r>
      <w:r w:rsidR="00747DEA">
        <w:t>.</w:t>
      </w:r>
      <w:r w:rsidR="00355F02">
        <w:t xml:space="preserve"> </w:t>
      </w:r>
      <w:r w:rsidR="00747DEA">
        <w:t>T</w:t>
      </w:r>
      <w:r w:rsidR="00355F02">
        <w:t>he regional/remote group showing a decline in enrolment share from 20% in 2008 to 18.</w:t>
      </w:r>
      <w:r w:rsidR="0005787A">
        <w:t>8</w:t>
      </w:r>
      <w:r w:rsidR="00355F02">
        <w:t>% in 2021.</w:t>
      </w:r>
      <w:r w:rsidR="008D0533">
        <w:t xml:space="preserve"> </w:t>
      </w:r>
      <w:r w:rsidR="000102BD">
        <w:t xml:space="preserve">Importantly, </w:t>
      </w:r>
      <w:r w:rsidR="0096372F">
        <w:t>the overall growth in equity student numbers, driven by</w:t>
      </w:r>
      <w:r w:rsidR="000102BD">
        <w:t xml:space="preserve"> </w:t>
      </w:r>
      <w:r w:rsidR="00AA14BD">
        <w:t>a</w:t>
      </w:r>
      <w:r w:rsidR="008D0533">
        <w:t xml:space="preserve">bove-average growth in low SES enrolments </w:t>
      </w:r>
      <w:r w:rsidR="0096372F">
        <w:t>and</w:t>
      </w:r>
      <w:r w:rsidR="008D0533">
        <w:t xml:space="preserve"> rapid growth </w:t>
      </w:r>
      <w:r w:rsidR="002E267F">
        <w:t xml:space="preserve">in the smaller </w:t>
      </w:r>
      <w:r w:rsidR="008D0533">
        <w:t>First Nations (</w:t>
      </w:r>
      <w:r w:rsidR="005D5C08">
        <w:t xml:space="preserve">144.9%) and </w:t>
      </w:r>
      <w:r w:rsidR="00AC273A">
        <w:t>students with d</w:t>
      </w:r>
      <w:r w:rsidR="005D5C08">
        <w:t>isability (246.9%)</w:t>
      </w:r>
      <w:r w:rsidR="002E267F">
        <w:t xml:space="preserve"> groups</w:t>
      </w:r>
      <w:r w:rsidR="005D5C08">
        <w:t xml:space="preserve"> resulted in </w:t>
      </w:r>
      <w:r w:rsidR="00EF56D5">
        <w:t xml:space="preserve">the </w:t>
      </w:r>
      <w:r w:rsidR="001F1FB5">
        <w:rPr>
          <w:i/>
          <w:iCs/>
        </w:rPr>
        <w:t xml:space="preserve">Equity </w:t>
      </w:r>
      <w:r w:rsidR="002E3C32" w:rsidRPr="002E3C32">
        <w:rPr>
          <w:i/>
          <w:iCs/>
        </w:rPr>
        <w:t>G</w:t>
      </w:r>
      <w:r w:rsidR="00EF56D5" w:rsidRPr="002E3C32">
        <w:rPr>
          <w:i/>
          <w:iCs/>
        </w:rPr>
        <w:t>roup</w:t>
      </w:r>
      <w:r w:rsidR="005E7FD1">
        <w:rPr>
          <w:i/>
          <w:iCs/>
        </w:rPr>
        <w:t xml:space="preserve"> </w:t>
      </w:r>
      <w:r w:rsidR="005E7FD1">
        <w:t>share</w:t>
      </w:r>
      <w:r w:rsidR="00EF56D5">
        <w:t xml:space="preserve"> </w:t>
      </w:r>
      <w:r w:rsidR="002A5CAE">
        <w:t>among total undergraduates increasing</w:t>
      </w:r>
      <w:r w:rsidR="00EF56D5">
        <w:t xml:space="preserve"> to 3</w:t>
      </w:r>
      <w:r w:rsidR="00470E76">
        <w:t>9</w:t>
      </w:r>
      <w:r w:rsidR="00EF56D5">
        <w:t>.</w:t>
      </w:r>
      <w:r w:rsidR="00470E76">
        <w:t>4</w:t>
      </w:r>
      <w:r w:rsidR="00EF56D5">
        <w:t>%</w:t>
      </w:r>
      <w:r w:rsidR="002A5CAE">
        <w:t xml:space="preserve"> in 2021</w:t>
      </w:r>
      <w:r w:rsidR="000102BD">
        <w:t xml:space="preserve"> from 33.1% in 2008. </w:t>
      </w:r>
      <w:r w:rsidR="002E3C32">
        <w:t xml:space="preserve"> </w:t>
      </w:r>
    </w:p>
    <w:p w14:paraId="41A44FD9" w14:textId="6DA2A56E" w:rsidR="000E6773" w:rsidRDefault="000E6773" w:rsidP="00290AF5">
      <w:r>
        <w:t xml:space="preserve">Given the focus on participation over the past decade, it is instructive to examine the extent to which the system achieved the low SES target. On this basis, it is not clear that the low SES target was a policy failure. A projection by Phillimore and Koshy (2010) of the likely expansion in low SES enrolments needed to meet the 20% target by 2020 is instructive. As Table 3 shows, in 2008 there were 532,503 domestic undergraduates in Australian universities, of who 86,561 were from low SES areas, constituting 16.3% of total enrolments. Phillimore and Koshy (2010) looked at two broad </w:t>
      </w:r>
      <w:r w:rsidR="00C276CC">
        <w:t>options</w:t>
      </w:r>
      <w:r>
        <w:t xml:space="preserve">, both involving a 31% increase in overall demand for undergraduate places. The first saw Australian higher education retain its low SES student share of 16.3% by 2020, and the second, an increase in low SES share to 20% of domestic undergraduate enrolment. The actual data for 2020 shows a near 49.5% increase in enrolments, with low SES enrolments growing slightly faster at 53%. This translated into a marginal improvement in the low SES share to 16.6% by 2020. However, </w:t>
      </w:r>
      <w:r>
        <w:lastRenderedPageBreak/>
        <w:t xml:space="preserve">the growth in low SES enrolment saw this segment of the student population reach 95% of the projected required share of 139,327 enrolments in 2020 under the 20% share </w:t>
      </w:r>
      <w:r w:rsidR="00FC23F6">
        <w:t>option</w:t>
      </w:r>
      <w:r>
        <w:t xml:space="preserve">. Essentially, the targeted participation level (but not rate) of low SES students was almost reached because of greater-than-projected enrolments in higher education.  </w:t>
      </w:r>
      <w:r>
        <w:br/>
      </w:r>
    </w:p>
    <w:p w14:paraId="5798174A" w14:textId="48D04C1F" w:rsidR="000E6773" w:rsidRPr="002D3ECD" w:rsidRDefault="000E6773" w:rsidP="001A6DBD">
      <w:pPr>
        <w:tabs>
          <w:tab w:val="left" w:pos="851"/>
        </w:tabs>
        <w:spacing w:line="240" w:lineRule="auto"/>
        <w:ind w:left="851" w:hanging="851"/>
        <w:rPr>
          <w:b/>
          <w:bCs/>
          <w:sz w:val="18"/>
          <w:szCs w:val="18"/>
        </w:rPr>
      </w:pPr>
      <w:r w:rsidRPr="002D3ECD">
        <w:rPr>
          <w:b/>
          <w:bCs/>
          <w:sz w:val="18"/>
          <w:szCs w:val="18"/>
        </w:rPr>
        <w:t xml:space="preserve">Table </w:t>
      </w:r>
      <w:r>
        <w:rPr>
          <w:b/>
          <w:bCs/>
          <w:sz w:val="18"/>
          <w:szCs w:val="18"/>
        </w:rPr>
        <w:t>3</w:t>
      </w:r>
      <w:r w:rsidRPr="002D3ECD">
        <w:rPr>
          <w:b/>
          <w:bCs/>
          <w:sz w:val="18"/>
          <w:szCs w:val="18"/>
        </w:rPr>
        <w:t>:</w:t>
      </w:r>
      <w:r w:rsidRPr="002D3ECD">
        <w:rPr>
          <w:b/>
          <w:bCs/>
          <w:sz w:val="18"/>
          <w:szCs w:val="18"/>
        </w:rPr>
        <w:tab/>
      </w:r>
      <w:r w:rsidRPr="002D3ECD">
        <w:rPr>
          <w:sz w:val="18"/>
          <w:szCs w:val="18"/>
        </w:rPr>
        <w:t xml:space="preserve">2009-10 Projections of 2020 Domestic Undergraduates and Low SES Undergraduate Enrolments – </w:t>
      </w:r>
      <w:r>
        <w:rPr>
          <w:sz w:val="18"/>
          <w:szCs w:val="18"/>
        </w:rPr>
        <w:br/>
      </w:r>
      <w:r w:rsidRPr="002D3ECD">
        <w:rPr>
          <w:sz w:val="18"/>
          <w:szCs w:val="18"/>
        </w:rPr>
        <w:t xml:space="preserve">Two </w:t>
      </w:r>
      <w:r w:rsidR="00C276CC">
        <w:rPr>
          <w:sz w:val="18"/>
          <w:szCs w:val="18"/>
        </w:rPr>
        <w:t>Options</w:t>
      </w:r>
      <w:r w:rsidRPr="002D3ECD">
        <w:rPr>
          <w:sz w:val="18"/>
          <w:szCs w:val="18"/>
        </w:rPr>
        <w:t xml:space="preserve">: </w:t>
      </w:r>
      <w:r w:rsidRPr="002D3ECD">
        <w:rPr>
          <w:i/>
          <w:iCs/>
          <w:sz w:val="18"/>
          <w:szCs w:val="18"/>
        </w:rPr>
        <w:t>Stable Share</w:t>
      </w:r>
      <w:r w:rsidRPr="002D3ECD">
        <w:rPr>
          <w:sz w:val="18"/>
          <w:szCs w:val="18"/>
        </w:rPr>
        <w:t xml:space="preserve"> and </w:t>
      </w:r>
      <w:r w:rsidRPr="002D3ECD">
        <w:rPr>
          <w:i/>
          <w:iCs/>
          <w:sz w:val="18"/>
          <w:szCs w:val="18"/>
        </w:rPr>
        <w:t>Target Share</w:t>
      </w:r>
      <w:r w:rsidRPr="002D3ECD">
        <w:rPr>
          <w:sz w:val="18"/>
          <w:szCs w:val="18"/>
        </w:rPr>
        <w:t>; and Actual 2020 Outcomes</w:t>
      </w:r>
      <w:r w:rsidRPr="002D3ECD">
        <w:rPr>
          <w:b/>
          <w:bCs/>
          <w:sz w:val="18"/>
          <w:szCs w:val="18"/>
        </w:rPr>
        <w:t xml:space="preserve"> </w:t>
      </w:r>
    </w:p>
    <w:tbl>
      <w:tblPr>
        <w:tblStyle w:val="TableGrid"/>
        <w:tblW w:w="0" w:type="auto"/>
        <w:tblLayout w:type="fixed"/>
        <w:tblLook w:val="04A0" w:firstRow="1" w:lastRow="0" w:firstColumn="1" w:lastColumn="0" w:noHBand="0" w:noVBand="1"/>
      </w:tblPr>
      <w:tblGrid>
        <w:gridCol w:w="1555"/>
        <w:gridCol w:w="1701"/>
        <w:gridCol w:w="1275"/>
        <w:gridCol w:w="1701"/>
        <w:gridCol w:w="1276"/>
        <w:gridCol w:w="1508"/>
      </w:tblGrid>
      <w:tr w:rsidR="000E6773" w14:paraId="3D5A9688" w14:textId="77777777" w:rsidTr="00160B8E">
        <w:trPr>
          <w:cnfStyle w:val="100000000000" w:firstRow="1" w:lastRow="0" w:firstColumn="0" w:lastColumn="0" w:oddVBand="0" w:evenVBand="0" w:oddHBand="0" w:evenHBand="0" w:firstRowFirstColumn="0" w:firstRowLastColumn="0" w:lastRowFirstColumn="0" w:lastRowLastColumn="0"/>
          <w:trHeight w:val="607"/>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25B76" w14:textId="27AF1985" w:rsidR="000E6773" w:rsidRPr="00093AFB" w:rsidRDefault="000E6773" w:rsidP="00784A84">
            <w:pPr>
              <w:rPr>
                <w:b/>
                <w:bCs/>
                <w:color w:val="EDE8E0" w:themeColor="background1"/>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3B3B6EB9" w14:textId="77777777" w:rsidR="000E6773" w:rsidRPr="00093AFB" w:rsidRDefault="000E6773" w:rsidP="00784A84">
            <w:pPr>
              <w:jc w:val="center"/>
              <w:rPr>
                <w:b/>
                <w:bCs/>
                <w:color w:val="EDE8E0" w:themeColor="background1"/>
                <w:sz w:val="18"/>
                <w:szCs w:val="18"/>
              </w:rPr>
            </w:pPr>
            <w:r w:rsidRPr="00093AFB">
              <w:rPr>
                <w:b/>
                <w:bCs/>
                <w:color w:val="EDE8E0" w:themeColor="background1"/>
                <w:sz w:val="18"/>
                <w:szCs w:val="18"/>
              </w:rPr>
              <w:t>All Domestic Undergraduates</w:t>
            </w:r>
          </w:p>
        </w:tc>
        <w:tc>
          <w:tcPr>
            <w:tcW w:w="1275"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7213732A" w14:textId="77777777" w:rsidR="000E6773" w:rsidRPr="00093AFB" w:rsidRDefault="000E6773" w:rsidP="00784A84">
            <w:pPr>
              <w:jc w:val="center"/>
              <w:rPr>
                <w:b/>
                <w:bCs/>
                <w:color w:val="EDE8E0" w:themeColor="background1"/>
                <w:sz w:val="18"/>
                <w:szCs w:val="18"/>
              </w:rPr>
            </w:pPr>
            <w:r w:rsidRPr="00093AFB">
              <w:rPr>
                <w:b/>
                <w:bCs/>
                <w:color w:val="EDE8E0" w:themeColor="background1"/>
                <w:sz w:val="18"/>
                <w:szCs w:val="18"/>
              </w:rPr>
              <w:t xml:space="preserve">% Growth from 2008 </w:t>
            </w:r>
          </w:p>
        </w:tc>
        <w:tc>
          <w:tcPr>
            <w:tcW w:w="1701"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6F361441" w14:textId="77777777" w:rsidR="000E6773" w:rsidRPr="00093AFB" w:rsidRDefault="000E6773" w:rsidP="00784A84">
            <w:pPr>
              <w:jc w:val="center"/>
              <w:rPr>
                <w:b/>
                <w:bCs/>
                <w:color w:val="EDE8E0" w:themeColor="background1"/>
                <w:sz w:val="18"/>
                <w:szCs w:val="18"/>
              </w:rPr>
            </w:pPr>
            <w:r w:rsidRPr="00093AFB">
              <w:rPr>
                <w:b/>
                <w:bCs/>
                <w:color w:val="EDE8E0" w:themeColor="background1"/>
                <w:sz w:val="18"/>
                <w:szCs w:val="18"/>
              </w:rPr>
              <w:t>Low SES Undergraduates</w:t>
            </w:r>
          </w:p>
        </w:tc>
        <w:tc>
          <w:tcPr>
            <w:tcW w:w="1276"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6D7F8AF2" w14:textId="77777777" w:rsidR="000E6773" w:rsidRDefault="000E6773" w:rsidP="00784A84">
            <w:pPr>
              <w:jc w:val="center"/>
              <w:rPr>
                <w:b/>
                <w:bCs/>
                <w:color w:val="EDE8E0" w:themeColor="background1"/>
                <w:sz w:val="18"/>
                <w:szCs w:val="18"/>
              </w:rPr>
            </w:pPr>
            <w:r w:rsidRPr="00093AFB">
              <w:rPr>
                <w:b/>
                <w:bCs/>
                <w:color w:val="EDE8E0" w:themeColor="background1"/>
                <w:sz w:val="18"/>
                <w:szCs w:val="18"/>
              </w:rPr>
              <w:t>% Growth from 2008</w:t>
            </w:r>
          </w:p>
          <w:p w14:paraId="08B40784" w14:textId="77777777" w:rsidR="00FB52B7" w:rsidRPr="00093AFB" w:rsidRDefault="00FB52B7" w:rsidP="00784A84">
            <w:pPr>
              <w:jc w:val="center"/>
              <w:rPr>
                <w:b/>
                <w:bCs/>
                <w:color w:val="EDE8E0" w:themeColor="background1"/>
                <w:sz w:val="18"/>
                <w:szCs w:val="18"/>
              </w:rPr>
            </w:pPr>
          </w:p>
        </w:tc>
        <w:tc>
          <w:tcPr>
            <w:tcW w:w="1508"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7D90F6D7" w14:textId="77777777" w:rsidR="000E6773" w:rsidRPr="00093AFB" w:rsidRDefault="000E6773" w:rsidP="00784A84">
            <w:pPr>
              <w:jc w:val="center"/>
              <w:rPr>
                <w:b/>
                <w:bCs/>
                <w:color w:val="EDE8E0" w:themeColor="background1"/>
                <w:sz w:val="18"/>
                <w:szCs w:val="18"/>
              </w:rPr>
            </w:pPr>
            <w:r w:rsidRPr="00093AFB">
              <w:rPr>
                <w:b/>
                <w:bCs/>
                <w:color w:val="EDE8E0" w:themeColor="background1"/>
                <w:sz w:val="18"/>
                <w:szCs w:val="18"/>
              </w:rPr>
              <w:t>% Low SES</w:t>
            </w:r>
          </w:p>
        </w:tc>
      </w:tr>
      <w:tr w:rsidR="000E6773" w14:paraId="7C9969F6" w14:textId="77777777" w:rsidTr="00160B8E">
        <w:trPr>
          <w:cnfStyle w:val="000000100000" w:firstRow="0" w:lastRow="0" w:firstColumn="0" w:lastColumn="0" w:oddVBand="0" w:evenVBand="0" w:oddHBand="1" w:evenHBand="0" w:firstRowFirstColumn="0" w:firstRowLastColumn="0" w:lastRowFirstColumn="0" w:lastRowLastColumn="0"/>
          <w:trHeight w:val="247"/>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DC622" w14:textId="77777777" w:rsidR="000E6773" w:rsidRPr="00735564" w:rsidRDefault="000E6773" w:rsidP="00784A84">
            <w:pPr>
              <w:rPr>
                <w:sz w:val="18"/>
                <w:szCs w:val="18"/>
              </w:rPr>
            </w:pPr>
            <w:r w:rsidRPr="00735564">
              <w:rPr>
                <w:sz w:val="18"/>
                <w:szCs w:val="18"/>
              </w:rPr>
              <w:t>2008 Actual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6E150" w14:textId="77777777" w:rsidR="000E6773" w:rsidRPr="00735564" w:rsidRDefault="000E6773" w:rsidP="00784A84">
            <w:pPr>
              <w:jc w:val="center"/>
              <w:rPr>
                <w:sz w:val="18"/>
                <w:szCs w:val="18"/>
              </w:rPr>
            </w:pPr>
            <w:r w:rsidRPr="00735564">
              <w:rPr>
                <w:sz w:val="18"/>
                <w:szCs w:val="18"/>
              </w:rPr>
              <w:t>532,503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EA788" w14:textId="77777777" w:rsidR="000E6773" w:rsidRPr="00735564" w:rsidRDefault="000E6773" w:rsidP="00784A84">
            <w:pPr>
              <w:jc w:val="center"/>
              <w:rPr>
                <w:sz w:val="18"/>
                <w:szCs w:val="18"/>
              </w:rPr>
            </w:pPr>
            <w:r w:rsidRPr="00735564">
              <w:rPr>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EFE2E7" w:themeFill="text1" w:themeFillTint="1A"/>
            <w:vAlign w:val="center"/>
            <w:hideMark/>
          </w:tcPr>
          <w:p w14:paraId="1D9DF4B5" w14:textId="77777777" w:rsidR="000E6773" w:rsidRPr="00735564" w:rsidRDefault="000E6773" w:rsidP="00784A84">
            <w:pPr>
              <w:jc w:val="center"/>
              <w:rPr>
                <w:sz w:val="18"/>
                <w:szCs w:val="18"/>
              </w:rPr>
            </w:pPr>
            <w:r w:rsidRPr="00735564">
              <w:rPr>
                <w:sz w:val="18"/>
                <w:szCs w:val="18"/>
              </w:rPr>
              <w:t>86,561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C19799" w14:textId="77777777" w:rsidR="000E6773" w:rsidRPr="00735564" w:rsidRDefault="000E6773" w:rsidP="00784A84">
            <w:pPr>
              <w:jc w:val="center"/>
              <w:rPr>
                <w:sz w:val="18"/>
                <w:szCs w:val="18"/>
              </w:rPr>
            </w:pP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1AC3C" w14:textId="77777777" w:rsidR="000E6773" w:rsidRPr="00735564" w:rsidRDefault="000E6773" w:rsidP="00784A84">
            <w:pPr>
              <w:jc w:val="center"/>
              <w:rPr>
                <w:sz w:val="18"/>
                <w:szCs w:val="18"/>
              </w:rPr>
            </w:pPr>
            <w:r w:rsidRPr="00735564">
              <w:rPr>
                <w:sz w:val="18"/>
                <w:szCs w:val="18"/>
              </w:rPr>
              <w:t>16.3%</w:t>
            </w:r>
          </w:p>
        </w:tc>
      </w:tr>
      <w:tr w:rsidR="000E6773" w14:paraId="1E590BC1" w14:textId="77777777" w:rsidTr="00160B8E">
        <w:trPr>
          <w:cnfStyle w:val="000000010000" w:firstRow="0" w:lastRow="0" w:firstColumn="0" w:lastColumn="0" w:oddVBand="0" w:evenVBand="0" w:oddHBand="0" w:evenHBand="1" w:firstRowFirstColumn="0" w:firstRowLastColumn="0" w:lastRowFirstColumn="0" w:lastRowLastColumn="0"/>
          <w:trHeight w:val="247"/>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482FF59" w14:textId="77777777" w:rsidR="000E6773" w:rsidRPr="00735564" w:rsidRDefault="000E6773" w:rsidP="00784A84">
            <w:pPr>
              <w:rPr>
                <w:i/>
                <w:i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8AD245" w14:textId="77777777" w:rsidR="000E6773" w:rsidRPr="00735564" w:rsidRDefault="000E6773" w:rsidP="00784A8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B19234" w14:textId="77777777" w:rsidR="000E6773" w:rsidRPr="00735564" w:rsidRDefault="000E6773" w:rsidP="00784A8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EFE2E7" w:themeFill="text1" w:themeFillTint="1A"/>
            <w:vAlign w:val="center"/>
          </w:tcPr>
          <w:p w14:paraId="4F42DFBB" w14:textId="77777777" w:rsidR="000E6773" w:rsidRPr="00735564" w:rsidRDefault="000E6773" w:rsidP="00784A84">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8DF91A" w14:textId="77777777" w:rsidR="000E6773" w:rsidRPr="00735564" w:rsidRDefault="000E6773" w:rsidP="00784A84">
            <w:pPr>
              <w:jc w:val="center"/>
              <w:rPr>
                <w:sz w:val="18"/>
                <w:szCs w:val="18"/>
              </w:rPr>
            </w:pP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tcPr>
          <w:p w14:paraId="089A3111" w14:textId="77777777" w:rsidR="000E6773" w:rsidRPr="00735564" w:rsidRDefault="000E6773" w:rsidP="00784A84">
            <w:pPr>
              <w:jc w:val="center"/>
              <w:rPr>
                <w:sz w:val="18"/>
                <w:szCs w:val="18"/>
              </w:rPr>
            </w:pPr>
          </w:p>
        </w:tc>
      </w:tr>
      <w:tr w:rsidR="000E6773" w14:paraId="5FEF64D8" w14:textId="77777777" w:rsidTr="00160B8E">
        <w:trPr>
          <w:cnfStyle w:val="000000100000" w:firstRow="0" w:lastRow="0" w:firstColumn="0" w:lastColumn="0" w:oddVBand="0" w:evenVBand="0" w:oddHBand="1" w:evenHBand="0" w:firstRowFirstColumn="0" w:firstRowLastColumn="0" w:lastRowFirstColumn="0" w:lastRowLastColumn="0"/>
          <w:trHeight w:val="247"/>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4B5E4" w14:textId="4AE02497" w:rsidR="000E6773" w:rsidRPr="00735564" w:rsidRDefault="000E6773" w:rsidP="00784A84">
            <w:pPr>
              <w:rPr>
                <w:sz w:val="18"/>
                <w:szCs w:val="18"/>
              </w:rPr>
            </w:pPr>
            <w:r w:rsidRPr="00735564">
              <w:rPr>
                <w:i/>
                <w:iCs/>
                <w:sz w:val="18"/>
                <w:szCs w:val="18"/>
              </w:rPr>
              <w:t xml:space="preserve">2020 </w:t>
            </w:r>
            <w:r w:rsidR="00FC23F6">
              <w:rPr>
                <w:i/>
                <w:iCs/>
                <w:sz w:val="18"/>
                <w:szCs w:val="18"/>
              </w:rPr>
              <w:t>Option</w:t>
            </w:r>
            <w:r w:rsidRPr="00735564">
              <w:rPr>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2D04E" w14:textId="77777777" w:rsidR="000E6773" w:rsidRPr="00735564" w:rsidRDefault="000E6773" w:rsidP="00784A84">
            <w:pPr>
              <w:jc w:val="center"/>
              <w:rPr>
                <w:sz w:val="18"/>
                <w:szCs w:val="18"/>
              </w:rPr>
            </w:pPr>
            <w:r w:rsidRPr="00735564">
              <w:rPr>
                <w:sz w:val="18"/>
                <w:szCs w:val="18"/>
              </w:rPr>
              <w:t>696,633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E306E" w14:textId="77777777" w:rsidR="000E6773" w:rsidRPr="00735564" w:rsidRDefault="000E6773" w:rsidP="00784A84">
            <w:pPr>
              <w:jc w:val="center"/>
              <w:rPr>
                <w:sz w:val="18"/>
                <w:szCs w:val="18"/>
              </w:rPr>
            </w:pPr>
            <w:r w:rsidRPr="00735564">
              <w:rPr>
                <w:sz w:val="18"/>
                <w:szCs w:val="18"/>
              </w:rPr>
              <w:t>30.8%</w:t>
            </w:r>
          </w:p>
        </w:tc>
        <w:tc>
          <w:tcPr>
            <w:tcW w:w="1701" w:type="dxa"/>
            <w:tcBorders>
              <w:top w:val="single" w:sz="4" w:space="0" w:color="auto"/>
              <w:left w:val="single" w:sz="4" w:space="0" w:color="auto"/>
              <w:bottom w:val="single" w:sz="4" w:space="0" w:color="auto"/>
              <w:right w:val="single" w:sz="4" w:space="0" w:color="auto"/>
            </w:tcBorders>
            <w:shd w:val="clear" w:color="auto" w:fill="EFE2E7" w:themeFill="text1" w:themeFillTint="1A"/>
            <w:vAlign w:val="center"/>
            <w:hideMark/>
          </w:tcPr>
          <w:p w14:paraId="7BF4BB9B" w14:textId="77777777" w:rsidR="000E6773" w:rsidRPr="00735564" w:rsidRDefault="000E6773" w:rsidP="00784A84">
            <w:pPr>
              <w:jc w:val="center"/>
              <w:rPr>
                <w:sz w:val="18"/>
                <w:szCs w:val="18"/>
              </w:rPr>
            </w:pPr>
            <w:r w:rsidRPr="00735564">
              <w:rPr>
                <w:sz w:val="18"/>
                <w:szCs w:val="18"/>
              </w:rPr>
              <w:t>139,327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2CBB" w14:textId="77777777" w:rsidR="000E6773" w:rsidRPr="00735564" w:rsidRDefault="000E6773" w:rsidP="00784A84">
            <w:pPr>
              <w:jc w:val="center"/>
              <w:rPr>
                <w:sz w:val="18"/>
                <w:szCs w:val="18"/>
              </w:rPr>
            </w:pPr>
            <w:r w:rsidRPr="00735564">
              <w:rPr>
                <w:sz w:val="18"/>
                <w:szCs w:val="18"/>
              </w:rPr>
              <w:t>61.0%</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6F2D9" w14:textId="77777777" w:rsidR="000E6773" w:rsidRPr="00735564" w:rsidRDefault="000E6773" w:rsidP="00784A84">
            <w:pPr>
              <w:jc w:val="center"/>
              <w:rPr>
                <w:sz w:val="18"/>
                <w:szCs w:val="18"/>
              </w:rPr>
            </w:pPr>
            <w:r w:rsidRPr="00735564">
              <w:rPr>
                <w:sz w:val="18"/>
                <w:szCs w:val="18"/>
              </w:rPr>
              <w:t>20.0%</w:t>
            </w:r>
          </w:p>
        </w:tc>
      </w:tr>
      <w:tr w:rsidR="000E6773" w14:paraId="37A51570" w14:textId="77777777" w:rsidTr="00160B8E">
        <w:trPr>
          <w:cnfStyle w:val="000000010000" w:firstRow="0" w:lastRow="0" w:firstColumn="0" w:lastColumn="0" w:oddVBand="0" w:evenVBand="0" w:oddHBand="0" w:evenHBand="1" w:firstRowFirstColumn="0" w:firstRowLastColumn="0" w:lastRowFirstColumn="0" w:lastRowLastColumn="0"/>
          <w:trHeight w:val="247"/>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C8F87" w14:textId="77777777" w:rsidR="000E6773" w:rsidRPr="00735564" w:rsidRDefault="000E6773" w:rsidP="00784A84">
            <w:pPr>
              <w:rPr>
                <w:b/>
                <w:bCs/>
                <w:sz w:val="18"/>
                <w:szCs w:val="18"/>
              </w:rPr>
            </w:pPr>
            <w:r w:rsidRPr="00735564">
              <w:rPr>
                <w:b/>
                <w:bCs/>
                <w:sz w:val="18"/>
                <w:szCs w:val="18"/>
              </w:rPr>
              <w:t>2020 Actual**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B1ECF" w14:textId="77777777" w:rsidR="000E6773" w:rsidRPr="00735564" w:rsidRDefault="000E6773" w:rsidP="00784A84">
            <w:pPr>
              <w:jc w:val="center"/>
              <w:rPr>
                <w:b/>
                <w:bCs/>
                <w:sz w:val="18"/>
                <w:szCs w:val="18"/>
              </w:rPr>
            </w:pPr>
            <w:r w:rsidRPr="00735564">
              <w:rPr>
                <w:b/>
                <w:bCs/>
                <w:sz w:val="18"/>
                <w:szCs w:val="18"/>
              </w:rPr>
              <w:t>796,192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9D346" w14:textId="77777777" w:rsidR="000E6773" w:rsidRPr="00735564" w:rsidRDefault="000E6773" w:rsidP="00784A84">
            <w:pPr>
              <w:jc w:val="center"/>
              <w:rPr>
                <w:b/>
                <w:bCs/>
                <w:sz w:val="18"/>
                <w:szCs w:val="18"/>
              </w:rPr>
            </w:pPr>
            <w:r w:rsidRPr="00735564">
              <w:rPr>
                <w:b/>
                <w:bCs/>
                <w:sz w:val="18"/>
                <w:szCs w:val="18"/>
              </w:rPr>
              <w:t>49.5%</w:t>
            </w:r>
          </w:p>
        </w:tc>
        <w:tc>
          <w:tcPr>
            <w:tcW w:w="1701" w:type="dxa"/>
            <w:tcBorders>
              <w:top w:val="single" w:sz="4" w:space="0" w:color="auto"/>
              <w:left w:val="single" w:sz="4" w:space="0" w:color="auto"/>
              <w:bottom w:val="single" w:sz="4" w:space="0" w:color="auto"/>
              <w:right w:val="single" w:sz="4" w:space="0" w:color="auto"/>
            </w:tcBorders>
            <w:shd w:val="clear" w:color="auto" w:fill="EFE2E7" w:themeFill="text1" w:themeFillTint="1A"/>
            <w:vAlign w:val="center"/>
            <w:hideMark/>
          </w:tcPr>
          <w:p w14:paraId="00AB09BD" w14:textId="77777777" w:rsidR="000E6773" w:rsidRPr="00735564" w:rsidRDefault="000E6773" w:rsidP="00784A84">
            <w:pPr>
              <w:jc w:val="center"/>
              <w:rPr>
                <w:b/>
                <w:bCs/>
                <w:sz w:val="18"/>
                <w:szCs w:val="18"/>
              </w:rPr>
            </w:pPr>
            <w:r w:rsidRPr="00735564">
              <w:rPr>
                <w:b/>
                <w:bCs/>
                <w:sz w:val="18"/>
                <w:szCs w:val="18"/>
              </w:rPr>
              <w:t>132,415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13AF4" w14:textId="77777777" w:rsidR="000E6773" w:rsidRPr="00735564" w:rsidRDefault="000E6773" w:rsidP="00784A84">
            <w:pPr>
              <w:jc w:val="center"/>
              <w:rPr>
                <w:b/>
                <w:bCs/>
                <w:sz w:val="18"/>
                <w:szCs w:val="18"/>
              </w:rPr>
            </w:pPr>
            <w:r w:rsidRPr="00735564">
              <w:rPr>
                <w:b/>
                <w:bCs/>
                <w:sz w:val="18"/>
                <w:szCs w:val="18"/>
              </w:rPr>
              <w:t>53.0%</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F6B53" w14:textId="77777777" w:rsidR="000E6773" w:rsidRPr="00735564" w:rsidRDefault="000E6773" w:rsidP="00784A84">
            <w:pPr>
              <w:jc w:val="center"/>
              <w:rPr>
                <w:b/>
                <w:bCs/>
                <w:sz w:val="18"/>
                <w:szCs w:val="18"/>
              </w:rPr>
            </w:pPr>
            <w:r w:rsidRPr="00735564">
              <w:rPr>
                <w:b/>
                <w:bCs/>
                <w:sz w:val="18"/>
                <w:szCs w:val="18"/>
              </w:rPr>
              <w:t>16.6%</w:t>
            </w:r>
          </w:p>
        </w:tc>
      </w:tr>
    </w:tbl>
    <w:p w14:paraId="53342BB3" w14:textId="13799D1D" w:rsidR="000E6773" w:rsidRDefault="000E6773" w:rsidP="000E6773">
      <w:pPr>
        <w:spacing w:line="240" w:lineRule="auto"/>
        <w:rPr>
          <w:kern w:val="2"/>
          <w:sz w:val="18"/>
          <w:szCs w:val="18"/>
          <w14:ligatures w14:val="standardContextual"/>
        </w:rPr>
      </w:pPr>
      <w:r>
        <w:rPr>
          <w:b/>
          <w:bCs/>
          <w:sz w:val="18"/>
          <w:szCs w:val="18"/>
        </w:rPr>
        <w:t>Source:</w:t>
      </w:r>
      <w:r>
        <w:rPr>
          <w:sz w:val="18"/>
          <w:szCs w:val="18"/>
        </w:rPr>
        <w:t xml:space="preserve"> * The 2020 Low SES Enrolment </w:t>
      </w:r>
      <w:r w:rsidR="00C276CC">
        <w:rPr>
          <w:sz w:val="18"/>
          <w:szCs w:val="18"/>
        </w:rPr>
        <w:t>options</w:t>
      </w:r>
      <w:r>
        <w:rPr>
          <w:sz w:val="18"/>
          <w:szCs w:val="18"/>
        </w:rPr>
        <w:t xml:space="preserve"> are from Phillimore and Koshy (2010): * Low SES Share at 20% of undergraduate enrolments. **Actual 2020 Data. All domestic and Low SES undergraduate numbers and % Low SES data are from </w:t>
      </w:r>
      <w:r w:rsidR="002D13E9">
        <w:rPr>
          <w:sz w:val="18"/>
          <w:szCs w:val="18"/>
        </w:rPr>
        <w:t>ACSES</w:t>
      </w:r>
      <w:r>
        <w:rPr>
          <w:sz w:val="18"/>
          <w:szCs w:val="18"/>
        </w:rPr>
        <w:t xml:space="preserve"> (2023). </w:t>
      </w:r>
    </w:p>
    <w:p w14:paraId="221CD67B" w14:textId="77777777" w:rsidR="000E6773" w:rsidRDefault="000E6773" w:rsidP="00527D55">
      <w:pPr>
        <w:spacing w:line="240" w:lineRule="auto"/>
        <w:rPr>
          <w:kern w:val="2"/>
          <w:sz w:val="18"/>
          <w:szCs w:val="18"/>
          <w14:ligatures w14:val="standardContextual"/>
        </w:rPr>
      </w:pPr>
    </w:p>
    <w:p w14:paraId="0CA90B3C" w14:textId="77777777" w:rsidR="00371F70" w:rsidRDefault="00371F70">
      <w:pPr>
        <w:rPr>
          <w:rFonts w:ascii="SansaSoft Pro Normal" w:eastAsiaTheme="majorEastAsia" w:hAnsi="SansaSoft Pro Normal" w:cstheme="majorBidi"/>
          <w:b/>
          <w:bCs/>
          <w:sz w:val="26"/>
          <w:szCs w:val="26"/>
        </w:rPr>
      </w:pPr>
      <w:r>
        <w:br w:type="page"/>
      </w:r>
    </w:p>
    <w:p w14:paraId="492226E5" w14:textId="2121117F" w:rsidR="000E6773" w:rsidRDefault="009A23B2" w:rsidP="00B0246A">
      <w:pPr>
        <w:pStyle w:val="Heading2"/>
      </w:pPr>
      <w:r>
        <w:lastRenderedPageBreak/>
        <w:t xml:space="preserve">The </w:t>
      </w:r>
      <w:r w:rsidR="00A7515B">
        <w:t xml:space="preserve">Recent </w:t>
      </w:r>
      <w:r>
        <w:t xml:space="preserve">Policy Context </w:t>
      </w:r>
    </w:p>
    <w:p w14:paraId="5894C498" w14:textId="563BF6C3" w:rsidR="000624EF" w:rsidRDefault="000624EF" w:rsidP="000624EF">
      <w:r>
        <w:t xml:space="preserve">In this context, in 2017-18 the Australian Government announced that it was capping </w:t>
      </w:r>
      <w:r w:rsidR="0002673B">
        <w:t>Comm</w:t>
      </w:r>
      <w:r w:rsidR="00275C33">
        <w:t>onwealth Grant Scheme</w:t>
      </w:r>
      <w:r w:rsidR="0002673B">
        <w:t xml:space="preserve"> </w:t>
      </w:r>
      <w:r w:rsidR="00187BD8">
        <w:t>(CGS)</w:t>
      </w:r>
      <w:r w:rsidR="0002673B">
        <w:t xml:space="preserve"> </w:t>
      </w:r>
      <w:r>
        <w:t xml:space="preserve">funding for bachelor-level places at 2017 levels for 2018 and 2019, with funding to grow in line with population growth in the 18-64 </w:t>
      </w:r>
      <w:r w:rsidR="007A1B78">
        <w:t xml:space="preserve">years </w:t>
      </w:r>
      <w:r>
        <w:t xml:space="preserve">age bracket, subject to universities meeting performance requirements. This culminated in the 2019 </w:t>
      </w:r>
      <w:r w:rsidRPr="001F0748">
        <w:rPr>
          <w:i/>
          <w:iCs/>
        </w:rPr>
        <w:t>Review of Performance-Based Funding for the Commonwealth Grant Scheme</w:t>
      </w:r>
      <w:r>
        <w:t xml:space="preserve"> (Wellings et al., 2019) which included an equity group participation measure for Indigenous (First Nations), low SES and regional/remote students.</w:t>
      </w:r>
    </w:p>
    <w:p w14:paraId="5E46F0B4" w14:textId="77777777" w:rsidR="000624EF" w:rsidRDefault="000624EF" w:rsidP="000624EF">
      <w:r>
        <w:t xml:space="preserve">In its review of the impact of the DDS, the Productivity Commission (2019) found that the funding system increased the number of young people participating in higher education, but its analysis of data from the Longitudinal Surveys of Australian Youth (LSAY) indicated that this was confined to students from low SES backgrounds in younger cohorts, with marginal changes in regional and remote participation and among First Nations people – although an increase was reported overall in the latter case (Koshy, 2020). </w:t>
      </w:r>
    </w:p>
    <w:p w14:paraId="023B98BB" w14:textId="77777777" w:rsidR="0091450B" w:rsidRDefault="000624EF" w:rsidP="000624EF">
      <w:r>
        <w:t>However, t</w:t>
      </w:r>
      <w:r w:rsidRPr="00F37FB4">
        <w:t>he more</w:t>
      </w:r>
      <w:r>
        <w:t xml:space="preserve"> substantive discussion around the low SES target was in relation to the effectiveness of non-DDS policy in promoting low SES participation, notably the programs funded under HEPPP. The 2017 ACIL Allen Consulting evaluation of HEPPP identified the extent to which funding created infrastructure to engage with low SES students, most notably in the pre-access and access areas, but indicated that a true evaluation of the national program was not possible in the absence of a framework to demonstrate the effectiveness of approaches being undertaken (ACIL Allen Consulting, 2017). </w:t>
      </w:r>
    </w:p>
    <w:p w14:paraId="2660B3A1" w14:textId="77777777" w:rsidR="002830F5" w:rsidRDefault="000624EF" w:rsidP="000624EF">
      <w:r>
        <w:t xml:space="preserve">Following this work, the Institute for Social Sciences Research (ISSR) was engaged to co-design a </w:t>
      </w:r>
      <w:r>
        <w:rPr>
          <w:i/>
          <w:iCs/>
        </w:rPr>
        <w:t>Student Equity in Higher Education Evaluation Framework (SEHEEF)</w:t>
      </w:r>
      <w:r>
        <w:t>, with its 2021 report outlining how the SEHEEF could be deployed to construct an evidence base and analytical system for quality improvement and evaluation of HEPPP programs (Robinson, et al., 2021).</w:t>
      </w:r>
    </w:p>
    <w:p w14:paraId="5B6D8A4E" w14:textId="55B5F352" w:rsidR="000624EF" w:rsidRDefault="00B57525" w:rsidP="000624EF">
      <w:r>
        <w:t xml:space="preserve">Finally, </w:t>
      </w:r>
      <w:r w:rsidR="00002C2E">
        <w:t>policy</w:t>
      </w:r>
      <w:r w:rsidR="00B4053D">
        <w:t xml:space="preserve"> settings </w:t>
      </w:r>
      <w:r w:rsidR="000624EF">
        <w:t>on</w:t>
      </w:r>
      <w:r w:rsidR="00002C2E">
        <w:t xml:space="preserve"> widening </w:t>
      </w:r>
      <w:r w:rsidR="000624EF">
        <w:t>participation through targeted programs</w:t>
      </w:r>
      <w:r>
        <w:t xml:space="preserve"> was expanded</w:t>
      </w:r>
      <w:r w:rsidR="000624EF">
        <w:t xml:space="preserve"> to</w:t>
      </w:r>
      <w:r>
        <w:t xml:space="preserve"> include</w:t>
      </w:r>
      <w:r w:rsidR="000624EF">
        <w:t xml:space="preserve"> equity groups</w:t>
      </w:r>
      <w:r w:rsidR="00B4053D">
        <w:t xml:space="preserve"> other than low SES,</w:t>
      </w:r>
      <w:r w:rsidR="000624EF">
        <w:t xml:space="preserve"> resulting in the creation of the Indigenous, Regional and Low SES Attainment Fund (IRLSAF) to encompass HEPPP and other equity support and assistance programs, as part of the Job-ready Graduates Package in 2020 (DESE, 2020). </w:t>
      </w:r>
    </w:p>
    <w:p w14:paraId="2AD84D5D" w14:textId="77777777" w:rsidR="002968DB" w:rsidRDefault="002968DB" w:rsidP="000624EF"/>
    <w:p w14:paraId="4963FEE8" w14:textId="6BD73637" w:rsidR="009A23B2" w:rsidRDefault="009A23B2" w:rsidP="00B0246A">
      <w:pPr>
        <w:pStyle w:val="Heading2"/>
      </w:pPr>
      <w:r>
        <w:lastRenderedPageBreak/>
        <w:t>The Parity Target Challenge</w:t>
      </w:r>
    </w:p>
    <w:p w14:paraId="5BBEA820" w14:textId="176A1E90" w:rsidR="00597AEE" w:rsidRDefault="00597AEE" w:rsidP="00597AEE">
      <w:r>
        <w:t>Despite t</w:t>
      </w:r>
      <w:r w:rsidR="009A23B2">
        <w:t>he</w:t>
      </w:r>
      <w:r w:rsidR="00883D0F">
        <w:t xml:space="preserve"> policy activity and </w:t>
      </w:r>
      <w:r>
        <w:t>progress</w:t>
      </w:r>
      <w:r w:rsidR="00883D0F">
        <w:t xml:space="preserve"> reported above</w:t>
      </w:r>
      <w:r>
        <w:t xml:space="preserve">, equity students are still largely underrepresented in Australian higher education in comparison with their equity reference values. Table </w:t>
      </w:r>
      <w:r w:rsidR="0086751F">
        <w:t>4</w:t>
      </w:r>
      <w:r>
        <w:t xml:space="preserve"> reports participation and population reference values for each equity group and estimates for </w:t>
      </w:r>
      <w:r>
        <w:rPr>
          <w:i/>
          <w:iCs/>
        </w:rPr>
        <w:t xml:space="preserve">Equity </w:t>
      </w:r>
      <w:r w:rsidR="001B682E">
        <w:rPr>
          <w:i/>
          <w:iCs/>
        </w:rPr>
        <w:t>Group</w:t>
      </w:r>
      <w:r>
        <w:rPr>
          <w:i/>
          <w:iCs/>
        </w:rPr>
        <w:t xml:space="preserve">. </w:t>
      </w:r>
      <w:r>
        <w:t xml:space="preserve">The ratio of the participation share to the reference is referred to as the Equity Performance Ratio. Population </w:t>
      </w:r>
      <w:r w:rsidRPr="001F0FF9">
        <w:t>parity</w:t>
      </w:r>
      <w:r w:rsidRPr="000535E6">
        <w:t xml:space="preserve"> </w:t>
      </w:r>
      <w:r>
        <w:t xml:space="preserve">implies the shares are identical to the refence values, with a performance ratio equal to 1.00.   </w:t>
      </w:r>
    </w:p>
    <w:p w14:paraId="3C44C298" w14:textId="7968E6BC" w:rsidR="00597AEE" w:rsidRDefault="00597AEE" w:rsidP="00597AEE">
      <w:r>
        <w:t>The students with disability group have achieved parity with a performance ratio of 1.2</w:t>
      </w:r>
      <w:r w:rsidR="00D61ADC">
        <w:t>3</w:t>
      </w:r>
      <w:r>
        <w:t>. In contrast, the other groups are lagging. For instance, the First Nations group’s enrolment share of 2.1% is less than two-thirds of its national population share of 3.4%, with the performance ratio of 0.62 indicating the distance from parity. Overall, an indicative calculation for</w:t>
      </w:r>
      <w:r w:rsidR="009944FC">
        <w:t xml:space="preserve"> the</w:t>
      </w:r>
      <w:r>
        <w:t xml:space="preserve"> </w:t>
      </w:r>
      <w:r>
        <w:rPr>
          <w:i/>
          <w:iCs/>
        </w:rPr>
        <w:t>Equity Group</w:t>
      </w:r>
      <w:r w:rsidR="009944FC">
        <w:rPr>
          <w:i/>
          <w:iCs/>
        </w:rPr>
        <w:t xml:space="preserve"> </w:t>
      </w:r>
      <w:r w:rsidR="009944FC" w:rsidRPr="009944FC">
        <w:t>indicator</w:t>
      </w:r>
      <w:r>
        <w:rPr>
          <w:i/>
          <w:iCs/>
        </w:rPr>
        <w:t xml:space="preserve"> </w:t>
      </w:r>
      <w:r>
        <w:t>indicates an overall share of enrolments of 3</w:t>
      </w:r>
      <w:r w:rsidR="00BC04A8">
        <w:t>9</w:t>
      </w:r>
      <w:r>
        <w:t>.</w:t>
      </w:r>
      <w:r w:rsidR="00BC04A8">
        <w:t>4</w:t>
      </w:r>
      <w:r>
        <w:t>% compared with a population share of around 49.1%, with the performance ratio of 0.</w:t>
      </w:r>
      <w:r w:rsidR="00F85F8A">
        <w:t>80</w:t>
      </w:r>
      <w:r>
        <w:t xml:space="preserve"> implying that the share of enrolments across the groups would have to expand by </w:t>
      </w:r>
      <w:r w:rsidR="009F30F0">
        <w:t>a quarter</w:t>
      </w:r>
      <w:r>
        <w:t xml:space="preserve"> (0.2</w:t>
      </w:r>
      <w:r w:rsidR="009F30F0">
        <w:t>0</w:t>
      </w:r>
      <w:r>
        <w:t xml:space="preserve"> of 0.</w:t>
      </w:r>
      <w:r w:rsidR="00841BDB">
        <w:t>80</w:t>
      </w:r>
      <w:r>
        <w:t>) for their enrolment shares to reach parity.</w:t>
      </w:r>
      <w:r>
        <w:br/>
      </w:r>
    </w:p>
    <w:p w14:paraId="34EA1B6F" w14:textId="231AF79E" w:rsidR="00597AEE" w:rsidRPr="00185BAE" w:rsidRDefault="00597AEE" w:rsidP="00693F82">
      <w:pPr>
        <w:spacing w:line="240" w:lineRule="auto"/>
        <w:rPr>
          <w:b/>
          <w:bCs/>
          <w:sz w:val="18"/>
          <w:szCs w:val="18"/>
        </w:rPr>
      </w:pPr>
      <w:bookmarkStart w:id="17" w:name="_Hlk149316573"/>
      <w:r w:rsidRPr="00185BAE">
        <w:rPr>
          <w:rFonts w:cstheme="minorHAnsi"/>
          <w:b/>
          <w:bCs/>
          <w:color w:val="000000"/>
          <w:sz w:val="18"/>
          <w:szCs w:val="18"/>
          <w:lang w:eastAsia="en-AU"/>
        </w:rPr>
        <w:t xml:space="preserve">Table </w:t>
      </w:r>
      <w:r w:rsidR="00883D0F">
        <w:rPr>
          <w:rFonts w:cstheme="minorHAnsi"/>
          <w:b/>
          <w:bCs/>
          <w:color w:val="000000"/>
          <w:sz w:val="18"/>
          <w:szCs w:val="18"/>
          <w:lang w:eastAsia="en-AU"/>
        </w:rPr>
        <w:t>4</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Pr="005907CC">
        <w:rPr>
          <w:rFonts w:cstheme="minorHAnsi"/>
          <w:color w:val="000000"/>
          <w:sz w:val="18"/>
          <w:szCs w:val="18"/>
          <w:lang w:eastAsia="en-AU"/>
        </w:rPr>
        <w:t>Equity Group</w:t>
      </w:r>
      <w:r w:rsidRPr="00185BAE">
        <w:rPr>
          <w:rFonts w:cstheme="minorHAnsi"/>
          <w:color w:val="000000"/>
          <w:sz w:val="18"/>
          <w:szCs w:val="18"/>
          <w:lang w:eastAsia="en-AU"/>
        </w:rPr>
        <w:t xml:space="preserve"> Population</w:t>
      </w:r>
      <w:r>
        <w:rPr>
          <w:rFonts w:cstheme="minorHAnsi"/>
          <w:color w:val="000000"/>
          <w:sz w:val="18"/>
          <w:szCs w:val="18"/>
          <w:lang w:eastAsia="en-AU"/>
        </w:rPr>
        <w:t xml:space="preserve"> Shares, </w:t>
      </w:r>
      <w:r w:rsidRPr="00185BAE">
        <w:rPr>
          <w:rFonts w:cstheme="minorHAnsi"/>
          <w:color w:val="000000"/>
          <w:sz w:val="18"/>
          <w:szCs w:val="18"/>
          <w:lang w:eastAsia="en-AU"/>
        </w:rPr>
        <w:t>Undergraduate Participation</w:t>
      </w:r>
      <w:r>
        <w:rPr>
          <w:rFonts w:cstheme="minorHAnsi"/>
          <w:color w:val="000000"/>
          <w:sz w:val="18"/>
          <w:szCs w:val="18"/>
          <w:lang w:eastAsia="en-AU"/>
        </w:rPr>
        <w:t xml:space="preserve"> Rates, and Completion Rates </w:t>
      </w:r>
      <w:r w:rsidRPr="00185BAE">
        <w:rPr>
          <w:rFonts w:cstheme="minorHAnsi"/>
          <w:color w:val="000000"/>
          <w:sz w:val="18"/>
          <w:szCs w:val="18"/>
          <w:lang w:eastAsia="en-AU"/>
        </w:rPr>
        <w:t xml:space="preserve">(Per cent) and </w:t>
      </w:r>
      <w:r>
        <w:rPr>
          <w:rFonts w:cstheme="minorHAnsi"/>
          <w:color w:val="000000"/>
          <w:sz w:val="18"/>
          <w:szCs w:val="18"/>
          <w:lang w:eastAsia="en-AU"/>
        </w:rPr>
        <w:t>(</w:t>
      </w:r>
      <w:r w:rsidRPr="00185BAE">
        <w:rPr>
          <w:rFonts w:cstheme="minorHAnsi"/>
          <w:color w:val="000000"/>
          <w:sz w:val="18"/>
          <w:szCs w:val="18"/>
          <w:lang w:eastAsia="en-AU"/>
        </w:rPr>
        <w:t>Performance Ratios</w:t>
      </w:r>
      <w:r>
        <w:rPr>
          <w:rFonts w:cstheme="minorHAnsi"/>
          <w:color w:val="000000"/>
          <w:sz w:val="18"/>
          <w:szCs w:val="18"/>
          <w:lang w:eastAsia="en-AU"/>
        </w:rPr>
        <w:t>)</w:t>
      </w:r>
      <w:r w:rsidRPr="00185BAE">
        <w:rPr>
          <w:rFonts w:cstheme="minorHAnsi"/>
          <w:color w:val="000000"/>
          <w:sz w:val="18"/>
          <w:szCs w:val="18"/>
          <w:lang w:eastAsia="en-AU"/>
        </w:rPr>
        <w:t xml:space="preserve"> (2021)</w:t>
      </w:r>
    </w:p>
    <w:bookmarkEnd w:id="1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26"/>
        <w:gridCol w:w="2835"/>
        <w:gridCol w:w="2552"/>
      </w:tblGrid>
      <w:tr w:rsidR="00597AEE" w14:paraId="07008153" w14:textId="77777777" w:rsidTr="00160B8E">
        <w:trPr>
          <w:trHeight w:val="29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B3F7A" w14:textId="77777777" w:rsidR="00597AEE" w:rsidRPr="008226BC" w:rsidRDefault="00597AEE" w:rsidP="00784A84">
            <w:pPr>
              <w:rPr>
                <w:rFonts w:cs="Arial"/>
                <w:b/>
                <w:bCs/>
                <w:color w:val="EDE8E0" w:themeColor="background1"/>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6B3B57"/>
            <w:vAlign w:val="center"/>
          </w:tcPr>
          <w:p w14:paraId="5A2EF01A" w14:textId="15D9670C" w:rsidR="00597AEE" w:rsidRPr="008226BC" w:rsidRDefault="00E16613" w:rsidP="00784A84">
            <w:pPr>
              <w:spacing w:after="0" w:line="240" w:lineRule="auto"/>
              <w:jc w:val="center"/>
              <w:rPr>
                <w:rFonts w:cs="Arial"/>
                <w:b/>
                <w:bCs/>
                <w:color w:val="EDE8E0" w:themeColor="background1"/>
                <w:sz w:val="18"/>
                <w:szCs w:val="18"/>
              </w:rPr>
            </w:pPr>
            <w:r>
              <w:rPr>
                <w:rFonts w:cs="Arial"/>
                <w:b/>
                <w:bCs/>
                <w:color w:val="EDE8E0" w:themeColor="background1"/>
                <w:sz w:val="18"/>
                <w:szCs w:val="18"/>
              </w:rPr>
              <w:t>National</w:t>
            </w:r>
            <w:r w:rsidRPr="008226BC">
              <w:rPr>
                <w:rFonts w:cs="Arial"/>
                <w:b/>
                <w:bCs/>
                <w:color w:val="EDE8E0" w:themeColor="background1"/>
                <w:sz w:val="18"/>
                <w:szCs w:val="18"/>
              </w:rPr>
              <w:t xml:space="preserve"> </w:t>
            </w:r>
            <w:r w:rsidR="00597AEE">
              <w:rPr>
                <w:rFonts w:cs="Arial"/>
                <w:b/>
                <w:bCs/>
                <w:color w:val="EDE8E0" w:themeColor="background1"/>
                <w:sz w:val="18"/>
                <w:szCs w:val="18"/>
              </w:rPr>
              <w:t>Reference Value</w:t>
            </w:r>
            <w:r w:rsidR="00597AEE" w:rsidRPr="008226BC">
              <w:rPr>
                <w:rFonts w:cs="Arial"/>
                <w:b/>
                <w:bCs/>
                <w:color w:val="EDE8E0" w:themeColor="background1"/>
                <w:sz w:val="18"/>
                <w:szCs w:val="18"/>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6B3B57"/>
            <w:vAlign w:val="center"/>
          </w:tcPr>
          <w:p w14:paraId="55BE0BE8" w14:textId="77777777" w:rsidR="00597AEE" w:rsidRDefault="00597AEE" w:rsidP="00784A84">
            <w:pPr>
              <w:spacing w:after="0" w:line="240" w:lineRule="auto"/>
              <w:jc w:val="center"/>
              <w:rPr>
                <w:rFonts w:cs="Arial"/>
                <w:b/>
                <w:bCs/>
                <w:color w:val="EDE8E0" w:themeColor="background1"/>
                <w:sz w:val="18"/>
                <w:szCs w:val="18"/>
                <w:lang w:eastAsia="en-AU"/>
              </w:rPr>
            </w:pPr>
          </w:p>
          <w:p w14:paraId="76DBA3C9" w14:textId="77777777" w:rsidR="00597AEE" w:rsidRDefault="00597AEE" w:rsidP="00784A84">
            <w:pPr>
              <w:spacing w:after="0" w:line="240" w:lineRule="auto"/>
              <w:jc w:val="center"/>
              <w:rPr>
                <w:rFonts w:cs="Arial"/>
                <w:b/>
                <w:bCs/>
                <w:color w:val="EDE8E0" w:themeColor="background1"/>
                <w:sz w:val="18"/>
                <w:szCs w:val="18"/>
                <w:lang w:eastAsia="en-AU"/>
              </w:rPr>
            </w:pPr>
            <w:r w:rsidRPr="008226BC">
              <w:rPr>
                <w:rFonts w:cs="Arial"/>
                <w:b/>
                <w:bCs/>
                <w:color w:val="EDE8E0" w:themeColor="background1"/>
                <w:sz w:val="18"/>
                <w:szCs w:val="18"/>
                <w:lang w:eastAsia="en-AU"/>
              </w:rPr>
              <w:t xml:space="preserve">Participation </w:t>
            </w:r>
            <w:r>
              <w:rPr>
                <w:rFonts w:cs="Arial"/>
                <w:b/>
                <w:bCs/>
                <w:color w:val="EDE8E0" w:themeColor="background1"/>
                <w:sz w:val="18"/>
                <w:szCs w:val="18"/>
                <w:lang w:eastAsia="en-AU"/>
              </w:rPr>
              <w:t>Rate</w:t>
            </w:r>
            <w:r w:rsidRPr="008226BC">
              <w:rPr>
                <w:rFonts w:cs="Arial"/>
                <w:b/>
                <w:bCs/>
                <w:color w:val="EDE8E0" w:themeColor="background1"/>
                <w:sz w:val="18"/>
                <w:szCs w:val="18"/>
                <w:lang w:eastAsia="en-AU"/>
              </w:rPr>
              <w:t xml:space="preserve"> %</w:t>
            </w:r>
            <w:r>
              <w:rPr>
                <w:rFonts w:cs="Arial"/>
                <w:b/>
                <w:bCs/>
                <w:color w:val="EDE8E0" w:themeColor="background1"/>
                <w:sz w:val="18"/>
                <w:szCs w:val="18"/>
                <w:lang w:eastAsia="en-AU"/>
              </w:rPr>
              <w:t xml:space="preserve"> </w:t>
            </w:r>
            <w:r>
              <w:rPr>
                <w:rFonts w:cs="Arial"/>
                <w:b/>
                <w:bCs/>
                <w:color w:val="EDE8E0" w:themeColor="background1"/>
                <w:sz w:val="18"/>
                <w:szCs w:val="18"/>
                <w:lang w:eastAsia="en-AU"/>
              </w:rPr>
              <w:br/>
              <w:t>(Equity Performance Ratio)</w:t>
            </w:r>
          </w:p>
          <w:p w14:paraId="6327546C" w14:textId="77777777" w:rsidR="00597AEE" w:rsidRPr="008226BC" w:rsidRDefault="00597AEE" w:rsidP="00784A84">
            <w:pPr>
              <w:spacing w:after="0" w:line="240" w:lineRule="auto"/>
              <w:jc w:val="center"/>
              <w:rPr>
                <w:rFonts w:cs="Arial"/>
                <w:b/>
                <w:bCs/>
                <w:color w:val="EDE8E0" w:themeColor="background1"/>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6B3B57"/>
            <w:vAlign w:val="center"/>
          </w:tcPr>
          <w:p w14:paraId="76DE9D8E" w14:textId="77777777" w:rsidR="00597AEE" w:rsidRDefault="00597AEE" w:rsidP="00784A84">
            <w:pPr>
              <w:spacing w:after="0" w:line="240" w:lineRule="auto"/>
              <w:jc w:val="center"/>
              <w:rPr>
                <w:rFonts w:cs="Arial"/>
                <w:b/>
                <w:bCs/>
                <w:color w:val="EDE8E0" w:themeColor="background1"/>
                <w:sz w:val="18"/>
                <w:szCs w:val="18"/>
                <w:lang w:eastAsia="en-AU"/>
              </w:rPr>
            </w:pPr>
          </w:p>
          <w:p w14:paraId="554F471F" w14:textId="77777777" w:rsidR="00597AEE" w:rsidRDefault="00597AEE" w:rsidP="00784A84">
            <w:pPr>
              <w:spacing w:after="0" w:line="240" w:lineRule="auto"/>
              <w:jc w:val="center"/>
              <w:rPr>
                <w:rFonts w:cs="Arial"/>
                <w:b/>
                <w:bCs/>
                <w:color w:val="EDE8E0" w:themeColor="background1"/>
                <w:sz w:val="18"/>
                <w:szCs w:val="18"/>
                <w:lang w:eastAsia="en-AU"/>
              </w:rPr>
            </w:pPr>
            <w:r>
              <w:rPr>
                <w:rFonts w:cs="Arial"/>
                <w:b/>
                <w:bCs/>
                <w:color w:val="EDE8E0" w:themeColor="background1"/>
                <w:sz w:val="18"/>
                <w:szCs w:val="18"/>
                <w:lang w:eastAsia="en-AU"/>
              </w:rPr>
              <w:t>Completion Rates</w:t>
            </w:r>
            <w:r w:rsidRPr="008226BC">
              <w:rPr>
                <w:rFonts w:cs="Arial"/>
                <w:b/>
                <w:bCs/>
                <w:color w:val="EDE8E0" w:themeColor="background1"/>
                <w:sz w:val="18"/>
                <w:szCs w:val="18"/>
                <w:lang w:eastAsia="en-AU"/>
              </w:rPr>
              <w:t xml:space="preserve"> %</w:t>
            </w:r>
            <w:r>
              <w:rPr>
                <w:rFonts w:cs="Arial"/>
                <w:b/>
                <w:bCs/>
                <w:color w:val="EDE8E0" w:themeColor="background1"/>
                <w:sz w:val="18"/>
                <w:szCs w:val="18"/>
                <w:lang w:eastAsia="en-AU"/>
              </w:rPr>
              <w:t xml:space="preserve"> (Equity Performance Ratio)</w:t>
            </w:r>
          </w:p>
          <w:p w14:paraId="5D6857E3" w14:textId="77777777" w:rsidR="00597AEE" w:rsidRPr="008226BC" w:rsidRDefault="00597AEE" w:rsidP="00784A84">
            <w:pPr>
              <w:spacing w:after="0" w:line="240" w:lineRule="auto"/>
              <w:jc w:val="center"/>
              <w:rPr>
                <w:rFonts w:cs="Arial"/>
                <w:b/>
                <w:bCs/>
                <w:color w:val="EDE8E0" w:themeColor="background1"/>
                <w:sz w:val="18"/>
                <w:szCs w:val="18"/>
              </w:rPr>
            </w:pPr>
          </w:p>
        </w:tc>
      </w:tr>
      <w:tr w:rsidR="00597AEE" w14:paraId="35A38135" w14:textId="77777777" w:rsidTr="00784A84">
        <w:trPr>
          <w:trHeight w:val="290"/>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96E092C" w14:textId="77777777" w:rsidR="00597AEE" w:rsidRPr="008226BC" w:rsidRDefault="00597AEE" w:rsidP="00784A84">
            <w:pPr>
              <w:spacing w:after="0" w:line="240" w:lineRule="auto"/>
              <w:rPr>
                <w:rFonts w:cs="Arial"/>
                <w:color w:val="000000"/>
                <w:sz w:val="18"/>
                <w:szCs w:val="18"/>
                <w:lang w:eastAsia="en-AU"/>
              </w:rPr>
            </w:pPr>
            <w:r w:rsidRPr="008226BC">
              <w:rPr>
                <w:rFonts w:cs="Arial"/>
                <w:color w:val="000000"/>
                <w:sz w:val="18"/>
                <w:szCs w:val="18"/>
                <w:lang w:eastAsia="en-AU"/>
              </w:rPr>
              <w:t xml:space="preserve">Low SES </w:t>
            </w:r>
          </w:p>
        </w:tc>
        <w:tc>
          <w:tcPr>
            <w:tcW w:w="2126" w:type="dxa"/>
            <w:tcBorders>
              <w:top w:val="single" w:sz="4" w:space="0" w:color="auto"/>
              <w:left w:val="single" w:sz="4" w:space="0" w:color="auto"/>
              <w:bottom w:val="single" w:sz="4" w:space="0" w:color="auto"/>
              <w:right w:val="single" w:sz="4" w:space="0" w:color="auto"/>
            </w:tcBorders>
            <w:vAlign w:val="center"/>
          </w:tcPr>
          <w:p w14:paraId="4D62A36B" w14:textId="77777777" w:rsidR="00597AEE" w:rsidRPr="008226BC" w:rsidRDefault="00597AEE" w:rsidP="00784A84">
            <w:pPr>
              <w:spacing w:after="0" w:line="240" w:lineRule="auto"/>
              <w:ind w:right="746"/>
              <w:jc w:val="right"/>
              <w:rPr>
                <w:rFonts w:cs="Arial"/>
                <w:sz w:val="18"/>
                <w:szCs w:val="18"/>
              </w:rPr>
            </w:pPr>
            <w:r w:rsidRPr="008226BC">
              <w:rPr>
                <w:rFonts w:cs="Arial"/>
                <w:sz w:val="18"/>
                <w:szCs w:val="18"/>
              </w:rPr>
              <w:t>25.0</w:t>
            </w:r>
          </w:p>
        </w:tc>
        <w:tc>
          <w:tcPr>
            <w:tcW w:w="2835" w:type="dxa"/>
            <w:tcBorders>
              <w:top w:val="single" w:sz="4" w:space="0" w:color="auto"/>
              <w:left w:val="single" w:sz="4" w:space="0" w:color="auto"/>
              <w:bottom w:val="single" w:sz="4" w:space="0" w:color="auto"/>
              <w:right w:val="single" w:sz="4" w:space="0" w:color="auto"/>
            </w:tcBorders>
            <w:vAlign w:val="center"/>
          </w:tcPr>
          <w:p w14:paraId="5C240FD1" w14:textId="7E6969B9" w:rsidR="00597AEE" w:rsidRPr="008226BC" w:rsidRDefault="00B01D39" w:rsidP="00784A84">
            <w:pPr>
              <w:spacing w:after="0" w:line="240" w:lineRule="auto"/>
              <w:ind w:right="886"/>
              <w:jc w:val="right"/>
              <w:rPr>
                <w:rFonts w:cs="Arial"/>
                <w:sz w:val="18"/>
                <w:szCs w:val="18"/>
              </w:rPr>
            </w:pPr>
            <w:r>
              <w:rPr>
                <w:rFonts w:cs="Arial"/>
                <w:sz w:val="18"/>
                <w:szCs w:val="18"/>
              </w:rPr>
              <w:t>17.1 (0.68)</w:t>
            </w:r>
          </w:p>
        </w:tc>
        <w:tc>
          <w:tcPr>
            <w:tcW w:w="2552" w:type="dxa"/>
            <w:tcBorders>
              <w:top w:val="single" w:sz="4" w:space="0" w:color="auto"/>
              <w:left w:val="single" w:sz="4" w:space="0" w:color="auto"/>
              <w:bottom w:val="single" w:sz="4" w:space="0" w:color="auto"/>
              <w:right w:val="single" w:sz="4" w:space="0" w:color="auto"/>
            </w:tcBorders>
            <w:vAlign w:val="center"/>
          </w:tcPr>
          <w:p w14:paraId="6E7FBDDC" w14:textId="1B5915FB" w:rsidR="00597AEE" w:rsidRPr="008226BC" w:rsidRDefault="00B01D39" w:rsidP="00784A84">
            <w:pPr>
              <w:spacing w:after="0" w:line="240" w:lineRule="auto"/>
              <w:ind w:right="746"/>
              <w:jc w:val="right"/>
              <w:rPr>
                <w:rFonts w:cs="Arial"/>
                <w:sz w:val="18"/>
                <w:szCs w:val="18"/>
              </w:rPr>
            </w:pPr>
            <w:r>
              <w:rPr>
                <w:rFonts w:cs="Arial"/>
                <w:sz w:val="18"/>
                <w:szCs w:val="18"/>
              </w:rPr>
              <w:t>14.6 (0.58)</w:t>
            </w:r>
          </w:p>
        </w:tc>
      </w:tr>
      <w:tr w:rsidR="00597AEE" w14:paraId="60612101" w14:textId="77777777" w:rsidTr="00784A84">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5CA09177" w14:textId="77777777" w:rsidR="00597AEE" w:rsidRPr="008226BC" w:rsidRDefault="00597AEE" w:rsidP="00784A84">
            <w:pPr>
              <w:spacing w:after="0" w:line="240" w:lineRule="auto"/>
              <w:rPr>
                <w:rFonts w:cs="Arial"/>
                <w:sz w:val="18"/>
                <w:szCs w:val="18"/>
                <w:lang w:eastAsia="en-AU"/>
              </w:rPr>
            </w:pPr>
            <w:r w:rsidRPr="008226BC">
              <w:rPr>
                <w:rFonts w:cs="Arial"/>
                <w:sz w:val="18"/>
                <w:szCs w:val="18"/>
                <w:lang w:eastAsia="en-AU"/>
              </w:rPr>
              <w:t>Regional/Remote</w:t>
            </w:r>
          </w:p>
        </w:tc>
        <w:tc>
          <w:tcPr>
            <w:tcW w:w="2126" w:type="dxa"/>
            <w:tcBorders>
              <w:top w:val="single" w:sz="4" w:space="0" w:color="auto"/>
              <w:left w:val="single" w:sz="4" w:space="0" w:color="auto"/>
              <w:bottom w:val="single" w:sz="4" w:space="0" w:color="auto"/>
              <w:right w:val="single" w:sz="4" w:space="0" w:color="auto"/>
            </w:tcBorders>
            <w:vAlign w:val="center"/>
          </w:tcPr>
          <w:p w14:paraId="16F95973" w14:textId="77777777" w:rsidR="00597AEE" w:rsidRPr="008226BC" w:rsidRDefault="00597AEE" w:rsidP="00784A84">
            <w:pPr>
              <w:spacing w:after="0" w:line="240" w:lineRule="auto"/>
              <w:ind w:right="746"/>
              <w:jc w:val="right"/>
              <w:rPr>
                <w:rFonts w:cs="Arial"/>
                <w:sz w:val="18"/>
                <w:szCs w:val="18"/>
                <w:lang w:eastAsia="en-AU"/>
              </w:rPr>
            </w:pPr>
            <w:r w:rsidRPr="008226BC">
              <w:rPr>
                <w:rFonts w:cs="Arial"/>
                <w:sz w:val="18"/>
                <w:szCs w:val="18"/>
                <w:lang w:eastAsia="en-AU"/>
              </w:rPr>
              <w:t>26.1</w:t>
            </w:r>
          </w:p>
        </w:tc>
        <w:tc>
          <w:tcPr>
            <w:tcW w:w="2835" w:type="dxa"/>
            <w:tcBorders>
              <w:top w:val="single" w:sz="4" w:space="0" w:color="auto"/>
              <w:left w:val="single" w:sz="4" w:space="0" w:color="auto"/>
              <w:bottom w:val="single" w:sz="4" w:space="0" w:color="auto"/>
              <w:right w:val="single" w:sz="4" w:space="0" w:color="auto"/>
            </w:tcBorders>
            <w:vAlign w:val="center"/>
          </w:tcPr>
          <w:p w14:paraId="76E954BC" w14:textId="2CD0E816" w:rsidR="00597AEE" w:rsidRPr="008226BC" w:rsidRDefault="00B01D39" w:rsidP="00784A84">
            <w:pPr>
              <w:spacing w:after="0" w:line="240" w:lineRule="auto"/>
              <w:ind w:right="886"/>
              <w:jc w:val="right"/>
              <w:rPr>
                <w:rFonts w:cs="Arial"/>
                <w:sz w:val="18"/>
                <w:szCs w:val="18"/>
                <w:lang w:eastAsia="en-AU"/>
              </w:rPr>
            </w:pPr>
            <w:r>
              <w:rPr>
                <w:rFonts w:cs="Arial"/>
                <w:sz w:val="18"/>
                <w:szCs w:val="18"/>
                <w:lang w:eastAsia="en-AU"/>
              </w:rPr>
              <w:t>20.5 (0.78)</w:t>
            </w:r>
          </w:p>
        </w:tc>
        <w:tc>
          <w:tcPr>
            <w:tcW w:w="2552" w:type="dxa"/>
            <w:tcBorders>
              <w:top w:val="single" w:sz="4" w:space="0" w:color="auto"/>
              <w:left w:val="single" w:sz="4" w:space="0" w:color="auto"/>
              <w:bottom w:val="single" w:sz="4" w:space="0" w:color="auto"/>
              <w:right w:val="single" w:sz="4" w:space="0" w:color="auto"/>
            </w:tcBorders>
            <w:vAlign w:val="center"/>
          </w:tcPr>
          <w:p w14:paraId="7064A6D5" w14:textId="262A7063" w:rsidR="00597AEE" w:rsidRPr="008226BC" w:rsidRDefault="00B01D39" w:rsidP="00784A84">
            <w:pPr>
              <w:spacing w:after="0" w:line="240" w:lineRule="auto"/>
              <w:ind w:right="746"/>
              <w:jc w:val="right"/>
              <w:rPr>
                <w:rFonts w:cs="Arial"/>
                <w:sz w:val="18"/>
                <w:szCs w:val="18"/>
                <w:lang w:eastAsia="en-AU"/>
              </w:rPr>
            </w:pPr>
            <w:r>
              <w:rPr>
                <w:rFonts w:cs="Arial"/>
                <w:sz w:val="18"/>
                <w:szCs w:val="18"/>
                <w:lang w:eastAsia="en-AU"/>
              </w:rPr>
              <w:t>18.8 (0.72)</w:t>
            </w:r>
          </w:p>
        </w:tc>
      </w:tr>
      <w:tr w:rsidR="00597AEE" w14:paraId="3988CE01" w14:textId="77777777" w:rsidTr="00784A84">
        <w:trPr>
          <w:trHeight w:val="290"/>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93C054C" w14:textId="77777777" w:rsidR="00597AEE" w:rsidRPr="008226BC" w:rsidRDefault="00597AEE" w:rsidP="00784A84">
            <w:pPr>
              <w:spacing w:after="0" w:line="240" w:lineRule="auto"/>
              <w:rPr>
                <w:rFonts w:cs="Arial"/>
                <w:color w:val="000000"/>
                <w:sz w:val="18"/>
                <w:szCs w:val="18"/>
                <w:lang w:eastAsia="en-AU"/>
              </w:rPr>
            </w:pPr>
            <w:r w:rsidRPr="008226BC">
              <w:rPr>
                <w:rFonts w:cs="Arial"/>
                <w:color w:val="000000"/>
                <w:sz w:val="18"/>
                <w:szCs w:val="18"/>
                <w:lang w:eastAsia="en-AU"/>
              </w:rPr>
              <w:t xml:space="preserve">First Nations </w:t>
            </w:r>
          </w:p>
        </w:tc>
        <w:tc>
          <w:tcPr>
            <w:tcW w:w="2126" w:type="dxa"/>
            <w:tcBorders>
              <w:top w:val="single" w:sz="4" w:space="0" w:color="auto"/>
              <w:left w:val="single" w:sz="4" w:space="0" w:color="auto"/>
              <w:bottom w:val="single" w:sz="4" w:space="0" w:color="auto"/>
              <w:right w:val="single" w:sz="4" w:space="0" w:color="auto"/>
            </w:tcBorders>
            <w:vAlign w:val="center"/>
          </w:tcPr>
          <w:p w14:paraId="5EA3F798" w14:textId="77777777" w:rsidR="00597AEE" w:rsidRPr="008226BC" w:rsidRDefault="00597AEE" w:rsidP="00784A84">
            <w:pPr>
              <w:spacing w:after="0" w:line="240" w:lineRule="auto"/>
              <w:ind w:right="746"/>
              <w:jc w:val="right"/>
              <w:rPr>
                <w:rFonts w:cs="Arial"/>
                <w:sz w:val="18"/>
                <w:szCs w:val="18"/>
              </w:rPr>
            </w:pPr>
            <w:r w:rsidRPr="008226BC">
              <w:rPr>
                <w:rFonts w:cs="Arial"/>
                <w:sz w:val="18"/>
                <w:szCs w:val="18"/>
              </w:rPr>
              <w:t>3.4</w:t>
            </w:r>
          </w:p>
        </w:tc>
        <w:tc>
          <w:tcPr>
            <w:tcW w:w="2835" w:type="dxa"/>
            <w:tcBorders>
              <w:top w:val="single" w:sz="4" w:space="0" w:color="auto"/>
              <w:left w:val="single" w:sz="4" w:space="0" w:color="auto"/>
              <w:bottom w:val="single" w:sz="4" w:space="0" w:color="auto"/>
              <w:right w:val="single" w:sz="4" w:space="0" w:color="auto"/>
            </w:tcBorders>
            <w:vAlign w:val="center"/>
          </w:tcPr>
          <w:p w14:paraId="535E6AE5" w14:textId="5C787BAD" w:rsidR="00597AEE" w:rsidRPr="008226BC" w:rsidRDefault="00B01D39" w:rsidP="00784A84">
            <w:pPr>
              <w:spacing w:after="0" w:line="240" w:lineRule="auto"/>
              <w:ind w:right="886"/>
              <w:jc w:val="right"/>
              <w:rPr>
                <w:rFonts w:cs="Arial"/>
                <w:sz w:val="18"/>
                <w:szCs w:val="18"/>
              </w:rPr>
            </w:pPr>
            <w:r w:rsidRPr="008226BC">
              <w:rPr>
                <w:rFonts w:cs="Arial"/>
                <w:sz w:val="18"/>
                <w:szCs w:val="18"/>
              </w:rPr>
              <w:t>2.1</w:t>
            </w:r>
            <w:r>
              <w:rPr>
                <w:rFonts w:cs="Arial"/>
                <w:sz w:val="18"/>
                <w:szCs w:val="18"/>
              </w:rPr>
              <w:t xml:space="preserve"> (0.6</w:t>
            </w:r>
            <w:r w:rsidR="00FB6813">
              <w:rPr>
                <w:rFonts w:cs="Arial"/>
                <w:sz w:val="18"/>
                <w:szCs w:val="18"/>
              </w:rPr>
              <w:t>2</w:t>
            </w:r>
            <w:r>
              <w:rPr>
                <w:rFonts w:cs="Arial"/>
                <w:sz w:val="18"/>
                <w:szCs w:val="18"/>
              </w:rPr>
              <w:t>)</w:t>
            </w:r>
          </w:p>
        </w:tc>
        <w:tc>
          <w:tcPr>
            <w:tcW w:w="2552" w:type="dxa"/>
            <w:tcBorders>
              <w:top w:val="single" w:sz="4" w:space="0" w:color="auto"/>
              <w:left w:val="single" w:sz="4" w:space="0" w:color="auto"/>
              <w:bottom w:val="single" w:sz="4" w:space="0" w:color="auto"/>
              <w:right w:val="single" w:sz="4" w:space="0" w:color="auto"/>
            </w:tcBorders>
            <w:vAlign w:val="center"/>
          </w:tcPr>
          <w:p w14:paraId="6837A383" w14:textId="11CBDAE3" w:rsidR="00597AEE" w:rsidRPr="008226BC" w:rsidRDefault="00B01D39" w:rsidP="00784A84">
            <w:pPr>
              <w:spacing w:after="0" w:line="240" w:lineRule="auto"/>
              <w:ind w:right="746"/>
              <w:jc w:val="right"/>
              <w:rPr>
                <w:rFonts w:cs="Arial"/>
                <w:sz w:val="18"/>
                <w:szCs w:val="18"/>
              </w:rPr>
            </w:pPr>
            <w:r>
              <w:rPr>
                <w:rFonts w:cs="Arial"/>
                <w:sz w:val="18"/>
                <w:szCs w:val="18"/>
              </w:rPr>
              <w:t>1.4 (0.41)</w:t>
            </w:r>
          </w:p>
        </w:tc>
      </w:tr>
      <w:tr w:rsidR="00597AEE" w14:paraId="4BB61A69" w14:textId="77777777" w:rsidTr="00784A84">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5053C80A" w14:textId="77777777" w:rsidR="00597AEE" w:rsidRPr="008226BC" w:rsidRDefault="00597AEE" w:rsidP="00784A84">
            <w:pPr>
              <w:spacing w:after="0" w:line="240" w:lineRule="auto"/>
              <w:rPr>
                <w:rFonts w:cs="Arial"/>
                <w:color w:val="000000"/>
                <w:sz w:val="18"/>
                <w:szCs w:val="18"/>
                <w:lang w:eastAsia="en-AU"/>
              </w:rPr>
            </w:pPr>
            <w:r w:rsidRPr="008226BC">
              <w:rPr>
                <w:rFonts w:cs="Arial"/>
                <w:sz w:val="18"/>
                <w:szCs w:val="18"/>
                <w:lang w:eastAsia="en-AU"/>
              </w:rPr>
              <w:t>Disability</w:t>
            </w:r>
          </w:p>
        </w:tc>
        <w:tc>
          <w:tcPr>
            <w:tcW w:w="2126" w:type="dxa"/>
            <w:tcBorders>
              <w:top w:val="single" w:sz="4" w:space="0" w:color="auto"/>
              <w:left w:val="single" w:sz="4" w:space="0" w:color="auto"/>
              <w:bottom w:val="single" w:sz="4" w:space="0" w:color="auto"/>
              <w:right w:val="single" w:sz="4" w:space="0" w:color="auto"/>
            </w:tcBorders>
            <w:vAlign w:val="center"/>
          </w:tcPr>
          <w:p w14:paraId="392E1301" w14:textId="77777777" w:rsidR="00597AEE" w:rsidRPr="008226BC" w:rsidRDefault="00597AEE" w:rsidP="00784A84">
            <w:pPr>
              <w:spacing w:after="0" w:line="240" w:lineRule="auto"/>
              <w:ind w:right="746"/>
              <w:jc w:val="right"/>
              <w:rPr>
                <w:rFonts w:cs="Arial"/>
                <w:sz w:val="18"/>
                <w:szCs w:val="18"/>
              </w:rPr>
            </w:pPr>
            <w:r w:rsidRPr="008226BC">
              <w:rPr>
                <w:rFonts w:cs="Arial"/>
                <w:sz w:val="18"/>
                <w:szCs w:val="18"/>
              </w:rPr>
              <w:t>8.4</w:t>
            </w:r>
          </w:p>
        </w:tc>
        <w:tc>
          <w:tcPr>
            <w:tcW w:w="2835" w:type="dxa"/>
            <w:tcBorders>
              <w:top w:val="single" w:sz="4" w:space="0" w:color="auto"/>
              <w:left w:val="single" w:sz="4" w:space="0" w:color="auto"/>
              <w:bottom w:val="single" w:sz="4" w:space="0" w:color="auto"/>
              <w:right w:val="single" w:sz="4" w:space="0" w:color="auto"/>
            </w:tcBorders>
            <w:vAlign w:val="center"/>
          </w:tcPr>
          <w:p w14:paraId="379BF25E" w14:textId="53961F29" w:rsidR="00597AEE" w:rsidRPr="008226BC" w:rsidRDefault="00B01D39" w:rsidP="00784A84">
            <w:pPr>
              <w:spacing w:after="0" w:line="240" w:lineRule="auto"/>
              <w:ind w:right="886"/>
              <w:jc w:val="right"/>
              <w:rPr>
                <w:rFonts w:cs="Arial"/>
                <w:sz w:val="18"/>
                <w:szCs w:val="18"/>
              </w:rPr>
            </w:pPr>
            <w:r w:rsidRPr="008226BC">
              <w:rPr>
                <w:rFonts w:cs="Arial"/>
                <w:sz w:val="18"/>
                <w:szCs w:val="18"/>
              </w:rPr>
              <w:t>10.</w:t>
            </w:r>
            <w:r>
              <w:rPr>
                <w:rFonts w:cs="Arial"/>
                <w:sz w:val="18"/>
                <w:szCs w:val="18"/>
              </w:rPr>
              <w:t>3 (1.23)</w:t>
            </w:r>
          </w:p>
        </w:tc>
        <w:tc>
          <w:tcPr>
            <w:tcW w:w="2552" w:type="dxa"/>
            <w:tcBorders>
              <w:top w:val="single" w:sz="4" w:space="0" w:color="auto"/>
              <w:left w:val="single" w:sz="4" w:space="0" w:color="auto"/>
              <w:bottom w:val="single" w:sz="4" w:space="0" w:color="auto"/>
              <w:right w:val="single" w:sz="4" w:space="0" w:color="auto"/>
            </w:tcBorders>
            <w:vAlign w:val="center"/>
          </w:tcPr>
          <w:p w14:paraId="74ADD44A" w14:textId="5645A69A" w:rsidR="00597AEE" w:rsidRPr="008226BC" w:rsidRDefault="00B01D39" w:rsidP="00784A84">
            <w:pPr>
              <w:spacing w:after="0" w:line="240" w:lineRule="auto"/>
              <w:ind w:right="746"/>
              <w:jc w:val="right"/>
              <w:rPr>
                <w:rFonts w:cs="Arial"/>
                <w:sz w:val="18"/>
                <w:szCs w:val="18"/>
              </w:rPr>
            </w:pPr>
            <w:r>
              <w:rPr>
                <w:rFonts w:cs="Arial"/>
                <w:sz w:val="18"/>
                <w:szCs w:val="18"/>
              </w:rPr>
              <w:t>7.8 (0.93)</w:t>
            </w:r>
          </w:p>
        </w:tc>
      </w:tr>
      <w:tr w:rsidR="00597AEE" w14:paraId="317764D3" w14:textId="77777777" w:rsidTr="00784A84">
        <w:trPr>
          <w:trHeight w:val="290"/>
        </w:trPr>
        <w:tc>
          <w:tcPr>
            <w:tcW w:w="1980" w:type="dxa"/>
            <w:tcBorders>
              <w:top w:val="single" w:sz="4" w:space="0" w:color="auto"/>
              <w:left w:val="single" w:sz="4" w:space="0" w:color="auto"/>
              <w:bottom w:val="single" w:sz="4" w:space="0" w:color="auto"/>
              <w:right w:val="single" w:sz="4" w:space="0" w:color="auto"/>
            </w:tcBorders>
            <w:noWrap/>
            <w:vAlign w:val="center"/>
          </w:tcPr>
          <w:p w14:paraId="24200DFB" w14:textId="5BDB550E" w:rsidR="00597AEE" w:rsidRPr="006928B5" w:rsidRDefault="00597AEE" w:rsidP="00784A84">
            <w:pPr>
              <w:spacing w:after="0" w:line="240" w:lineRule="auto"/>
              <w:rPr>
                <w:rFonts w:cs="Arial"/>
                <w:b/>
                <w:bCs/>
                <w:sz w:val="18"/>
                <w:szCs w:val="18"/>
                <w:lang w:eastAsia="en-AU"/>
              </w:rPr>
            </w:pPr>
            <w:r w:rsidRPr="006928B5">
              <w:rPr>
                <w:rFonts w:cs="Arial"/>
                <w:b/>
                <w:bCs/>
                <w:i/>
                <w:iCs/>
                <w:color w:val="000000"/>
                <w:sz w:val="18"/>
                <w:szCs w:val="18"/>
                <w:lang w:eastAsia="en-AU"/>
              </w:rPr>
              <w:t>Equity Group</w:t>
            </w:r>
            <w:r w:rsidRPr="006928B5">
              <w:rPr>
                <w:rFonts w:cs="Arial"/>
                <w:b/>
                <w:bCs/>
                <w:color w:val="000000"/>
                <w:sz w:val="18"/>
                <w:szCs w:val="18"/>
                <w:lang w:eastAsia="en-AU"/>
              </w:rPr>
              <w:t>*</w:t>
            </w:r>
          </w:p>
        </w:tc>
        <w:tc>
          <w:tcPr>
            <w:tcW w:w="2126" w:type="dxa"/>
            <w:tcBorders>
              <w:top w:val="single" w:sz="4" w:space="0" w:color="auto"/>
              <w:left w:val="single" w:sz="4" w:space="0" w:color="auto"/>
              <w:bottom w:val="single" w:sz="4" w:space="0" w:color="auto"/>
              <w:right w:val="single" w:sz="4" w:space="0" w:color="auto"/>
            </w:tcBorders>
            <w:vAlign w:val="center"/>
          </w:tcPr>
          <w:p w14:paraId="7CC515DF" w14:textId="77777777" w:rsidR="00597AEE" w:rsidRPr="006928B5" w:rsidRDefault="00597AEE" w:rsidP="00784A84">
            <w:pPr>
              <w:spacing w:after="0" w:line="240" w:lineRule="auto"/>
              <w:ind w:right="746"/>
              <w:jc w:val="right"/>
              <w:rPr>
                <w:rFonts w:cs="Arial"/>
                <w:b/>
                <w:bCs/>
                <w:sz w:val="18"/>
                <w:szCs w:val="18"/>
              </w:rPr>
            </w:pPr>
            <w:r w:rsidRPr="006928B5">
              <w:rPr>
                <w:rFonts w:cs="Arial"/>
                <w:b/>
                <w:bCs/>
                <w:sz w:val="18"/>
                <w:szCs w:val="18"/>
              </w:rPr>
              <w:t>49.1</w:t>
            </w:r>
          </w:p>
        </w:tc>
        <w:tc>
          <w:tcPr>
            <w:tcW w:w="2835" w:type="dxa"/>
            <w:tcBorders>
              <w:top w:val="single" w:sz="4" w:space="0" w:color="auto"/>
              <w:left w:val="single" w:sz="4" w:space="0" w:color="auto"/>
              <w:bottom w:val="single" w:sz="4" w:space="0" w:color="auto"/>
              <w:right w:val="single" w:sz="4" w:space="0" w:color="auto"/>
            </w:tcBorders>
            <w:vAlign w:val="center"/>
          </w:tcPr>
          <w:p w14:paraId="2FE4F4FD" w14:textId="7E31FED6" w:rsidR="00597AEE" w:rsidRPr="006928B5" w:rsidRDefault="00B01D39" w:rsidP="00784A84">
            <w:pPr>
              <w:spacing w:after="0" w:line="240" w:lineRule="auto"/>
              <w:ind w:right="886"/>
              <w:jc w:val="right"/>
              <w:rPr>
                <w:rFonts w:cs="Arial"/>
                <w:b/>
                <w:bCs/>
                <w:sz w:val="18"/>
                <w:szCs w:val="18"/>
              </w:rPr>
            </w:pPr>
            <w:r>
              <w:rPr>
                <w:rFonts w:cs="Arial"/>
                <w:b/>
                <w:bCs/>
                <w:sz w:val="18"/>
                <w:szCs w:val="18"/>
              </w:rPr>
              <w:t xml:space="preserve">  </w:t>
            </w:r>
            <w:r w:rsidRPr="00E7523F">
              <w:rPr>
                <w:rFonts w:cs="Arial"/>
                <w:b/>
                <w:bCs/>
                <w:sz w:val="18"/>
                <w:szCs w:val="18"/>
              </w:rPr>
              <w:t>39.4 (0.80)</w:t>
            </w:r>
          </w:p>
        </w:tc>
        <w:tc>
          <w:tcPr>
            <w:tcW w:w="2552" w:type="dxa"/>
            <w:tcBorders>
              <w:top w:val="single" w:sz="4" w:space="0" w:color="auto"/>
              <w:left w:val="single" w:sz="4" w:space="0" w:color="auto"/>
              <w:bottom w:val="single" w:sz="4" w:space="0" w:color="auto"/>
              <w:right w:val="single" w:sz="4" w:space="0" w:color="auto"/>
            </w:tcBorders>
            <w:vAlign w:val="center"/>
          </w:tcPr>
          <w:p w14:paraId="7D9753D1" w14:textId="4C8C0454" w:rsidR="00597AEE" w:rsidRPr="006928B5" w:rsidRDefault="00B01D39" w:rsidP="00784A84">
            <w:pPr>
              <w:spacing w:after="0" w:line="240" w:lineRule="auto"/>
              <w:ind w:right="746"/>
              <w:jc w:val="right"/>
              <w:rPr>
                <w:rFonts w:cs="Arial"/>
                <w:b/>
                <w:bCs/>
                <w:sz w:val="18"/>
                <w:szCs w:val="18"/>
              </w:rPr>
            </w:pPr>
            <w:r w:rsidRPr="00183978">
              <w:rPr>
                <w:rFonts w:cs="Arial"/>
                <w:b/>
                <w:bCs/>
                <w:sz w:val="18"/>
                <w:szCs w:val="18"/>
              </w:rPr>
              <w:t>33.6 (0.68)</w:t>
            </w:r>
          </w:p>
        </w:tc>
      </w:tr>
    </w:tbl>
    <w:p w14:paraId="2924EC6A" w14:textId="30DE8992" w:rsidR="00597AEE" w:rsidRPr="00006DA9" w:rsidRDefault="00597AEE" w:rsidP="00597AEE">
      <w:pPr>
        <w:spacing w:line="240" w:lineRule="auto"/>
        <w:rPr>
          <w:b/>
          <w:bCs/>
          <w:sz w:val="18"/>
          <w:szCs w:val="18"/>
        </w:rPr>
      </w:pPr>
      <w:r>
        <w:rPr>
          <w:b/>
          <w:bCs/>
          <w:sz w:val="18"/>
          <w:szCs w:val="18"/>
        </w:rPr>
        <w:t xml:space="preserve">Note: </w:t>
      </w:r>
      <w:r>
        <w:rPr>
          <w:rFonts w:cs="Arial"/>
          <w:sz w:val="18"/>
          <w:szCs w:val="18"/>
        </w:rPr>
        <w:t>*This is indicative only, as it assumes that cross-membership of equity groups in the general population is identical to that in the student population.</w:t>
      </w:r>
      <w:r w:rsidR="00006DA9">
        <w:rPr>
          <w:b/>
          <w:bCs/>
          <w:sz w:val="18"/>
          <w:szCs w:val="18"/>
        </w:rPr>
        <w:br/>
      </w: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088E7A4C" w14:textId="74919346" w:rsidR="00597AEE" w:rsidRDefault="00597AEE" w:rsidP="00597AEE">
      <w:r>
        <w:br/>
        <w:t xml:space="preserve">By way of comparison, Table </w:t>
      </w:r>
      <w:r w:rsidR="00883D0F">
        <w:t>4</w:t>
      </w:r>
      <w:r>
        <w:t xml:space="preserve"> also reports completion rates for equity groups – the equity group’s share of undergraduate completions, as well as the relevant performance ratios. This shows that completion rates are uniformly lower than participation rates across all equity groups, with an overall performance ratio of 0.6</w:t>
      </w:r>
      <w:r w:rsidR="00385D9D">
        <w:t>8</w:t>
      </w:r>
      <w:r>
        <w:t>, compared with 0.</w:t>
      </w:r>
      <w:r w:rsidR="00385D9D">
        <w:t>80</w:t>
      </w:r>
      <w:r>
        <w:t xml:space="preserve">. Completion rates are noticeably lower for First Nations students and students with disability. </w:t>
      </w:r>
    </w:p>
    <w:p w14:paraId="63ECB432" w14:textId="47CAE140" w:rsidR="00A7515B" w:rsidRDefault="00FA038B" w:rsidP="00597AEE">
      <w:r>
        <w:lastRenderedPageBreak/>
        <w:t xml:space="preserve">The </w:t>
      </w:r>
      <w:r w:rsidR="00DB6F46">
        <w:t xml:space="preserve">presence of gaps in both </w:t>
      </w:r>
      <w:r>
        <w:t>participation and completion</w:t>
      </w:r>
      <w:r w:rsidR="00CF1938">
        <w:t xml:space="preserve"> serves as</w:t>
      </w:r>
      <w:r w:rsidR="005C7457">
        <w:t xml:space="preserve"> an impetus for expanding the focus on parity across the student life cycle, with these core measures of engagement</w:t>
      </w:r>
      <w:r w:rsidR="00FC1D67">
        <w:t xml:space="preserve"> serving as </w:t>
      </w:r>
      <w:r w:rsidR="007C200D">
        <w:t>key performance indicators for university activities across the life cycle, ranging from access and outreach work, to retention, and to work-integrated learning initiatives that promote equitable rates of completion.</w:t>
      </w:r>
      <w:r w:rsidR="00692F81">
        <w:t xml:space="preserve"> </w:t>
      </w:r>
    </w:p>
    <w:p w14:paraId="3F16AA1D" w14:textId="1935C91A" w:rsidR="00742CBC" w:rsidRPr="00A43001" w:rsidRDefault="00883D0F" w:rsidP="00736D4C">
      <w:pPr>
        <w:pStyle w:val="Heading1"/>
      </w:pPr>
      <w:r>
        <w:br w:type="page"/>
      </w:r>
      <w:bookmarkStart w:id="18" w:name="_Toc171511581"/>
      <w:r w:rsidR="0084302C">
        <w:lastRenderedPageBreak/>
        <w:t xml:space="preserve">Equity </w:t>
      </w:r>
      <w:r w:rsidR="002B05C4">
        <w:t>Parity Targets</w:t>
      </w:r>
      <w:r w:rsidR="0084302C">
        <w:t>:</w:t>
      </w:r>
      <w:r w:rsidR="00F5787B">
        <w:t xml:space="preserve"> </w:t>
      </w:r>
      <w:r w:rsidR="007F6F36">
        <w:br/>
      </w:r>
      <w:r w:rsidR="002B05C4">
        <w:t>P</w:t>
      </w:r>
      <w:r w:rsidR="00F5787B">
        <w:t>rojections</w:t>
      </w:r>
      <w:r w:rsidR="0084302C">
        <w:t xml:space="preserve"> and Policy</w:t>
      </w:r>
      <w:r w:rsidR="00ED6E43">
        <w:t xml:space="preserve"> Options</w:t>
      </w:r>
      <w:bookmarkEnd w:id="18"/>
      <w:r w:rsidR="00F5787B">
        <w:t xml:space="preserve"> </w:t>
      </w:r>
    </w:p>
    <w:p w14:paraId="28CB18EF" w14:textId="3F70B107" w:rsidR="00E1225E" w:rsidRDefault="00B8673C" w:rsidP="00B0246A">
      <w:pPr>
        <w:pStyle w:val="Heading2"/>
      </w:pPr>
      <w:r>
        <w:t xml:space="preserve">Overview </w:t>
      </w:r>
      <w:r w:rsidR="00E43DDB">
        <w:t xml:space="preserve"> </w:t>
      </w:r>
    </w:p>
    <w:p w14:paraId="7E0B50DC" w14:textId="08DF2F91" w:rsidR="002D4EE8" w:rsidRDefault="0084302C" w:rsidP="00742CBC">
      <w:r>
        <w:t xml:space="preserve">The current briefing </w:t>
      </w:r>
      <w:r w:rsidR="00BD26E9">
        <w:t xml:space="preserve">report </w:t>
      </w:r>
      <w:r w:rsidR="0092514C">
        <w:t xml:space="preserve">outlines </w:t>
      </w:r>
      <w:r w:rsidR="00FE4F5B">
        <w:t xml:space="preserve">a series of options in relation to target-setting </w:t>
      </w:r>
      <w:r w:rsidR="006766EC">
        <w:t>for parity</w:t>
      </w:r>
      <w:r w:rsidR="002D4EE8">
        <w:t>.</w:t>
      </w:r>
      <w:r w:rsidR="00CD36A4">
        <w:t xml:space="preserve"> </w:t>
      </w:r>
      <w:r w:rsidR="00A8085B">
        <w:t xml:space="preserve">The focus is primarily on the identification of parity targets and an analysis of </w:t>
      </w:r>
      <w:r w:rsidR="008E5259">
        <w:t>the policy options in relation to target-setting</w:t>
      </w:r>
      <w:r w:rsidR="00C2510B">
        <w:t xml:space="preserve">. It is envisaged that this work will </w:t>
      </w:r>
      <w:r w:rsidR="006A6142">
        <w:t xml:space="preserve">inform and </w:t>
      </w:r>
      <w:r w:rsidR="00C2510B">
        <w:t xml:space="preserve">complement other work for the Accord Panel on funding and </w:t>
      </w:r>
      <w:r w:rsidR="006A6142">
        <w:t xml:space="preserve">other </w:t>
      </w:r>
      <w:r w:rsidR="00C2510B">
        <w:t xml:space="preserve">policy delivery options.  </w:t>
      </w:r>
    </w:p>
    <w:p w14:paraId="2B32306A" w14:textId="020A2A65" w:rsidR="001D1361" w:rsidRDefault="002D4EE8" w:rsidP="00742CBC">
      <w:r>
        <w:t>The targe</w:t>
      </w:r>
      <w:r w:rsidR="00A8085B">
        <w:t>t</w:t>
      </w:r>
      <w:r>
        <w:t>s</w:t>
      </w:r>
      <w:r w:rsidR="00A8085B">
        <w:t xml:space="preserve"> are </w:t>
      </w:r>
      <w:r w:rsidR="00CD36A4">
        <w:t>for</w:t>
      </w:r>
      <w:r w:rsidR="00CD36A4" w:rsidRPr="00167DCE">
        <w:t xml:space="preserve"> equity groups</w:t>
      </w:r>
      <w:r w:rsidR="00C457EC" w:rsidRPr="00167DCE">
        <w:t xml:space="preserve"> </w:t>
      </w:r>
      <w:r w:rsidR="006766EC" w:rsidRPr="00167DCE">
        <w:t>in relation to</w:t>
      </w:r>
      <w:r w:rsidR="00BE7682" w:rsidRPr="00167DCE">
        <w:t xml:space="preserve"> domestic</w:t>
      </w:r>
      <w:r w:rsidR="006766EC" w:rsidRPr="00167DCE">
        <w:t xml:space="preserve"> undergraduate participation and </w:t>
      </w:r>
      <w:r w:rsidR="00BE7682" w:rsidRPr="00167DCE">
        <w:t>completion</w:t>
      </w:r>
      <w:r w:rsidR="00C457EC" w:rsidRPr="00167DCE">
        <w:t>.</w:t>
      </w:r>
      <w:r w:rsidR="00A8085B" w:rsidRPr="00167DCE">
        <w:t xml:space="preserve"> </w:t>
      </w:r>
      <w:r w:rsidR="00C457EC">
        <w:t xml:space="preserve">This </w:t>
      </w:r>
      <w:r w:rsidR="00BE7682">
        <w:t>follow</w:t>
      </w:r>
      <w:r w:rsidR="00C457EC">
        <w:t xml:space="preserve">s </w:t>
      </w:r>
      <w:r w:rsidR="00BE7682">
        <w:t xml:space="preserve">Australia’s historic </w:t>
      </w:r>
      <w:r w:rsidR="009F482E">
        <w:t xml:space="preserve">and continuing </w:t>
      </w:r>
      <w:r w:rsidR="00BE7682">
        <w:t>focus on domestic student equity</w:t>
      </w:r>
      <w:r w:rsidR="003D7627">
        <w:t xml:space="preserve"> at the undergraduate level. The analysis </w:t>
      </w:r>
      <w:r w:rsidR="0065524E">
        <w:t xml:space="preserve">is </w:t>
      </w:r>
      <w:r w:rsidR="00ED6E43">
        <w:t>in relation to the</w:t>
      </w:r>
      <w:r w:rsidR="0018348D">
        <w:t xml:space="preserve"> four </w:t>
      </w:r>
      <w:r w:rsidR="00AA4C10">
        <w:t xml:space="preserve">traditional </w:t>
      </w:r>
      <w:r w:rsidR="0018348D">
        <w:t>equity group</w:t>
      </w:r>
      <w:r w:rsidR="00ED6E43">
        <w:t>s</w:t>
      </w:r>
      <w:r w:rsidR="000834E5">
        <w:t>:</w:t>
      </w:r>
    </w:p>
    <w:p w14:paraId="323A967D" w14:textId="325F3A13" w:rsidR="000834E5" w:rsidRDefault="000834E5" w:rsidP="00581958">
      <w:pPr>
        <w:pStyle w:val="ListParagraph"/>
        <w:numPr>
          <w:ilvl w:val="0"/>
          <w:numId w:val="23"/>
        </w:numPr>
      </w:pPr>
      <w:r>
        <w:t>Low SES students.</w:t>
      </w:r>
    </w:p>
    <w:p w14:paraId="0CAC0278" w14:textId="17FC1F02" w:rsidR="000834E5" w:rsidRDefault="000834E5" w:rsidP="00581958">
      <w:pPr>
        <w:pStyle w:val="ListParagraph"/>
        <w:numPr>
          <w:ilvl w:val="0"/>
          <w:numId w:val="23"/>
        </w:numPr>
      </w:pPr>
      <w:r>
        <w:t>Regional/remote students.</w:t>
      </w:r>
    </w:p>
    <w:p w14:paraId="3DE76CE4" w14:textId="64E288F4" w:rsidR="000834E5" w:rsidRDefault="000834E5" w:rsidP="00581958">
      <w:pPr>
        <w:pStyle w:val="ListParagraph"/>
        <w:numPr>
          <w:ilvl w:val="0"/>
          <w:numId w:val="23"/>
        </w:numPr>
      </w:pPr>
      <w:r>
        <w:t>First Nations students.</w:t>
      </w:r>
    </w:p>
    <w:p w14:paraId="7249429D" w14:textId="6265B1D4" w:rsidR="000834E5" w:rsidRDefault="000834E5" w:rsidP="00581958">
      <w:pPr>
        <w:pStyle w:val="ListParagraph"/>
        <w:numPr>
          <w:ilvl w:val="0"/>
          <w:numId w:val="23"/>
        </w:numPr>
      </w:pPr>
      <w:r>
        <w:t xml:space="preserve">Students with disability. </w:t>
      </w:r>
    </w:p>
    <w:p w14:paraId="3FAB6D7E" w14:textId="3FE1D6D9" w:rsidR="009F482E" w:rsidRDefault="00E65E10" w:rsidP="00742CBC">
      <w:r>
        <w:t>For this reason, the analysis should be viewed as an instructive, rather than a restrictive exercise</w:t>
      </w:r>
      <w:r w:rsidR="006F13A4">
        <w:t xml:space="preserve"> in applying </w:t>
      </w:r>
      <w:r w:rsidR="00AA4C10">
        <w:t xml:space="preserve">parity targets to </w:t>
      </w:r>
      <w:r w:rsidR="006F13A4">
        <w:t>student groups, with potential</w:t>
      </w:r>
      <w:r w:rsidR="000F13AF">
        <w:t xml:space="preserve"> applications in the future being directed in favour of identified groups not explicitly included here. </w:t>
      </w:r>
      <w:r w:rsidR="009F482E">
        <w:t xml:space="preserve"> </w:t>
      </w:r>
    </w:p>
    <w:p w14:paraId="56E374E0" w14:textId="173DCB19" w:rsidR="00E43DDB" w:rsidRDefault="00E43DDB" w:rsidP="00742CBC">
      <w:r>
        <w:t>An</w:t>
      </w:r>
      <w:r w:rsidR="004A3853">
        <w:t>y</w:t>
      </w:r>
      <w:r>
        <w:t xml:space="preserve"> analysis of the </w:t>
      </w:r>
      <w:r w:rsidR="006B6AE9">
        <w:t>parity targets requires information and assumptions around a</w:t>
      </w:r>
      <w:r w:rsidR="00593CED">
        <w:t xml:space="preserve"> complex series of interacting variables</w:t>
      </w:r>
      <w:r w:rsidR="0065524E">
        <w:t>.</w:t>
      </w:r>
      <w:r w:rsidR="00E45308">
        <w:t xml:space="preserve"> These include</w:t>
      </w:r>
      <w:r w:rsidR="00593CED">
        <w:t xml:space="preserve">: </w:t>
      </w:r>
    </w:p>
    <w:p w14:paraId="46FA924E" w14:textId="4FDD3CA2" w:rsidR="00593CED" w:rsidRDefault="00593CED" w:rsidP="00581958">
      <w:pPr>
        <w:pStyle w:val="ListParagraph"/>
        <w:numPr>
          <w:ilvl w:val="0"/>
          <w:numId w:val="36"/>
        </w:numPr>
      </w:pPr>
      <w:r>
        <w:t xml:space="preserve">The </w:t>
      </w:r>
      <w:r w:rsidR="00BF0CBE">
        <w:t xml:space="preserve">projected </w:t>
      </w:r>
      <w:r>
        <w:t>demand for undergraduate degrees</w:t>
      </w:r>
      <w:r w:rsidR="00472EBC">
        <w:t xml:space="preserve">. </w:t>
      </w:r>
    </w:p>
    <w:p w14:paraId="406B67F9" w14:textId="41685C76" w:rsidR="00472EBC" w:rsidRDefault="00472EBC" w:rsidP="00581958">
      <w:pPr>
        <w:pStyle w:val="ListParagraph"/>
        <w:numPr>
          <w:ilvl w:val="0"/>
          <w:numId w:val="36"/>
        </w:numPr>
      </w:pPr>
      <w:r>
        <w:t xml:space="preserve">The timeframe for reaching parity. </w:t>
      </w:r>
    </w:p>
    <w:p w14:paraId="331BA1F9" w14:textId="5F777218" w:rsidR="00472EBC" w:rsidRDefault="00472EBC" w:rsidP="00581958">
      <w:pPr>
        <w:pStyle w:val="ListParagraph"/>
        <w:numPr>
          <w:ilvl w:val="0"/>
          <w:numId w:val="36"/>
        </w:numPr>
      </w:pPr>
      <w:r>
        <w:t xml:space="preserve">The choice of </w:t>
      </w:r>
      <w:r w:rsidR="00996330">
        <w:t xml:space="preserve">reference </w:t>
      </w:r>
      <w:r w:rsidR="00496970">
        <w:t xml:space="preserve">population for the </w:t>
      </w:r>
      <w:r>
        <w:t>parity targe</w:t>
      </w:r>
      <w:r w:rsidR="00496970">
        <w:t>t.</w:t>
      </w:r>
    </w:p>
    <w:p w14:paraId="347E46A0" w14:textId="7CA53006" w:rsidR="00496970" w:rsidRDefault="00A00DFD" w:rsidP="00581958">
      <w:pPr>
        <w:pStyle w:val="ListParagraph"/>
        <w:numPr>
          <w:ilvl w:val="0"/>
          <w:numId w:val="36"/>
        </w:numPr>
      </w:pPr>
      <w:r>
        <w:t xml:space="preserve">A range of policy options to reach a given parity target. </w:t>
      </w:r>
    </w:p>
    <w:p w14:paraId="57D710F9" w14:textId="5554A458" w:rsidR="00E45308" w:rsidRPr="00E45308" w:rsidRDefault="00E45308" w:rsidP="00E45308">
      <w:r>
        <w:t>The sections below outline the</w:t>
      </w:r>
      <w:r w:rsidR="009F482E">
        <w:t xml:space="preserve"> approach taken in relation to these considerations. </w:t>
      </w:r>
    </w:p>
    <w:p w14:paraId="3C4BE607" w14:textId="110F414B" w:rsidR="009C0001" w:rsidRDefault="009C0001" w:rsidP="00B0246A">
      <w:pPr>
        <w:pStyle w:val="Heading2"/>
      </w:pPr>
      <w:r>
        <w:t>The Demand Projection</w:t>
      </w:r>
      <w:r w:rsidR="00DE276C">
        <w:t>s</w:t>
      </w:r>
    </w:p>
    <w:p w14:paraId="1B29F516" w14:textId="2A148443" w:rsidR="009C0001" w:rsidRDefault="00DE276C" w:rsidP="009C0001">
      <w:r>
        <w:t xml:space="preserve">The modelling in this report uses demand projections from the Accord Panel and the </w:t>
      </w:r>
      <w:r w:rsidR="00F00D19">
        <w:t xml:space="preserve">Australian Government </w:t>
      </w:r>
      <w:r>
        <w:t>Department of Education</w:t>
      </w:r>
      <w:r w:rsidR="00560786">
        <w:t xml:space="preserve"> (“Department of Education”)</w:t>
      </w:r>
      <w:r>
        <w:t xml:space="preserve">. </w:t>
      </w:r>
      <w:r w:rsidR="009C0001">
        <w:t xml:space="preserve">In its Interim Report, the Accord Panel presents modelling work by BIS-OE which indicated that by 2050 </w:t>
      </w:r>
      <w:r w:rsidR="009C0001">
        <w:lastRenderedPageBreak/>
        <w:t xml:space="preserve">around 55% of all employed persons will require a higher education qualification, compared with 36% presently (Australian Universities Accord, 2023). </w:t>
      </w:r>
    </w:p>
    <w:p w14:paraId="33AC142D" w14:textId="3CD9387A" w:rsidR="009C0001" w:rsidRDefault="009C0001" w:rsidP="009C0001">
      <w:r>
        <w:t xml:space="preserve">Work by the Department of Education for the Accord Panel indicates that this would require an </w:t>
      </w:r>
      <w:r w:rsidRPr="00400109">
        <w:t xml:space="preserve">expansion in Australian undergraduate enrolments from a headcount of around </w:t>
      </w:r>
      <w:r w:rsidR="00C51522" w:rsidRPr="00400109">
        <w:t>7</w:t>
      </w:r>
      <w:r w:rsidR="00FA0EE1">
        <w:t>84</w:t>
      </w:r>
      <w:r w:rsidR="00C51522" w:rsidRPr="00400109">
        <w:t>,000</w:t>
      </w:r>
      <w:r w:rsidRPr="00400109">
        <w:t xml:space="preserve"> in 2021 to 1.</w:t>
      </w:r>
      <w:r w:rsidR="00497A8F">
        <w:t>07</w:t>
      </w:r>
      <w:r w:rsidRPr="00400109">
        <w:t xml:space="preserve"> million in 2035, an increase in enrolments of</w:t>
      </w:r>
      <w:r w:rsidR="00D14012">
        <w:t xml:space="preserve"> around</w:t>
      </w:r>
      <w:r w:rsidRPr="00400109">
        <w:t xml:space="preserve"> </w:t>
      </w:r>
      <w:r w:rsidR="00D53A4B" w:rsidRPr="00400109">
        <w:t>3</w:t>
      </w:r>
      <w:r w:rsidR="00D14012">
        <w:t>6.4</w:t>
      </w:r>
      <w:r w:rsidRPr="00400109">
        <w:t xml:space="preserve">% over a 14-year period, with </w:t>
      </w:r>
      <w:r w:rsidR="00846080" w:rsidRPr="00400109">
        <w:t xml:space="preserve">first-time </w:t>
      </w:r>
      <w:r w:rsidRPr="00400109">
        <w:t xml:space="preserve">completions needing to rise by 27% </w:t>
      </w:r>
      <w:r w:rsidR="00846080" w:rsidRPr="00400109">
        <w:t xml:space="preserve">from 118,000 </w:t>
      </w:r>
      <w:r w:rsidRPr="00400109">
        <w:t>to 15</w:t>
      </w:r>
      <w:r w:rsidR="002B59E8" w:rsidRPr="00400109">
        <w:t>1</w:t>
      </w:r>
      <w:r w:rsidRPr="00400109">
        <w:t>,000</w:t>
      </w:r>
      <w:r w:rsidR="002B59E8" w:rsidRPr="00400109">
        <w:t xml:space="preserve"> in 2035.</w:t>
      </w:r>
      <w:r w:rsidR="00420435">
        <w:t xml:space="preserve"> </w:t>
      </w:r>
      <w:r w:rsidR="00E61F20">
        <w:t xml:space="preserve">Enrolment counts for 2040 and 2050 would need to be 1.3 million and 1.8 million, respectively, with </w:t>
      </w:r>
      <w:r w:rsidR="00AE4134">
        <w:t xml:space="preserve">first-time </w:t>
      </w:r>
      <w:r w:rsidR="000D4460">
        <w:t xml:space="preserve">completion counts of 195,000 and 277,000 for 2040 and 2050. </w:t>
      </w:r>
    </w:p>
    <w:p w14:paraId="3DCFBF28" w14:textId="6144376D" w:rsidR="00B37753" w:rsidRDefault="00FE58AF" w:rsidP="00742CBC">
      <w:r>
        <w:t xml:space="preserve">In the absence of forecasts at the state and territory level, </w:t>
      </w:r>
      <w:r w:rsidR="00122CFC">
        <w:t xml:space="preserve">we assume </w:t>
      </w:r>
      <w:r w:rsidR="00122CFC" w:rsidRPr="006928B5">
        <w:rPr>
          <w:i/>
          <w:iCs/>
        </w:rPr>
        <w:t>uniform growth</w:t>
      </w:r>
      <w:r w:rsidR="00122CFC">
        <w:t xml:space="preserve"> in the Australian undergraduate system across all 38 Table A providers, </w:t>
      </w:r>
      <w:r w:rsidR="0058354F">
        <w:t>based on</w:t>
      </w:r>
      <w:r w:rsidR="006B30B4">
        <w:t xml:space="preserve"> the above projections.</w:t>
      </w:r>
      <w:r w:rsidR="00B8673C">
        <w:t xml:space="preserve"> </w:t>
      </w:r>
      <w:r w:rsidR="00213F42">
        <w:t xml:space="preserve">Future work that looks at </w:t>
      </w:r>
      <w:r w:rsidR="00CD1890">
        <w:t xml:space="preserve">inter- and intra-state and territory differences in population growth and university demand </w:t>
      </w:r>
      <w:r w:rsidR="00016E06">
        <w:t>will necessarily moderate some of the findings from this work</w:t>
      </w:r>
      <w:r w:rsidR="00F03266">
        <w:t>.</w:t>
      </w:r>
      <w:r w:rsidR="00CD1890">
        <w:t xml:space="preserve">   </w:t>
      </w:r>
    </w:p>
    <w:p w14:paraId="4C103025" w14:textId="42FB3E30" w:rsidR="00B37753" w:rsidRDefault="00B46B5B" w:rsidP="00B0246A">
      <w:pPr>
        <w:pStyle w:val="Heading2"/>
      </w:pPr>
      <w:r>
        <w:t>The</w:t>
      </w:r>
      <w:r w:rsidR="00B37753">
        <w:t xml:space="preserve"> Timeframe</w:t>
      </w:r>
      <w:r w:rsidR="0029623B">
        <w:t xml:space="preserve">: 2035, 2040 and 2050 </w:t>
      </w:r>
      <w:r>
        <w:t xml:space="preserve"> </w:t>
      </w:r>
    </w:p>
    <w:p w14:paraId="4145CFC1" w14:textId="53D8C880" w:rsidR="0029623B" w:rsidRDefault="00307E19" w:rsidP="0029623B">
      <w:r>
        <w:t xml:space="preserve">The </w:t>
      </w:r>
      <w:r w:rsidR="00447A32">
        <w:t>demand projections underpinning</w:t>
      </w:r>
      <w:r w:rsidR="008473CE">
        <w:t xml:space="preserve"> the discussion in the Interim Report are discussed in reference to two timeframes</w:t>
      </w:r>
      <w:r w:rsidR="005F7A61">
        <w:t xml:space="preserve"> – a shorter-term timeframe to 2035 and a longer-term </w:t>
      </w:r>
      <w:r w:rsidR="009C48A0">
        <w:t>period to 2050</w:t>
      </w:r>
      <w:r w:rsidR="00705F18">
        <w:t>. Other work for the Accord Panel indicates that</w:t>
      </w:r>
      <w:r w:rsidR="009C48A0">
        <w:t xml:space="preserve"> initial planning and activity </w:t>
      </w:r>
      <w:r w:rsidR="00705F18">
        <w:t xml:space="preserve">will </w:t>
      </w:r>
      <w:r w:rsidR="009C48A0">
        <w:t xml:space="preserve">occur </w:t>
      </w:r>
      <w:r w:rsidR="00705F18">
        <w:t>in the period to the end of</w:t>
      </w:r>
      <w:r w:rsidR="009C48A0">
        <w:t xml:space="preserve"> 2025</w:t>
      </w:r>
      <w:r w:rsidR="00705F18">
        <w:t xml:space="preserve"> or thereabouts for</w:t>
      </w:r>
      <w:r w:rsidR="009C48A0">
        <w:t xml:space="preserve"> both. </w:t>
      </w:r>
      <w:r w:rsidR="00447A32">
        <w:t xml:space="preserve"> </w:t>
      </w:r>
    </w:p>
    <w:p w14:paraId="5ACD6406" w14:textId="114894EB" w:rsidR="00B37753" w:rsidRDefault="00705F18" w:rsidP="006928B5">
      <w:r>
        <w:t xml:space="preserve">In this </w:t>
      </w:r>
      <w:r w:rsidR="0008651F">
        <w:t>work we undertake initial estimates for 2035</w:t>
      </w:r>
      <w:r w:rsidR="00F44588">
        <w:t xml:space="preserve"> as the </w:t>
      </w:r>
      <w:r w:rsidR="00CC536A">
        <w:t>“</w:t>
      </w:r>
      <w:r w:rsidR="00F44588" w:rsidRPr="006928B5">
        <w:t>target year</w:t>
      </w:r>
      <w:r w:rsidR="00B33CB3" w:rsidRPr="006928B5">
        <w:t>”</w:t>
      </w:r>
      <w:r w:rsidR="00B371A2">
        <w:t xml:space="preserve"> </w:t>
      </w:r>
      <w:r w:rsidR="0008651F">
        <w:t xml:space="preserve">but </w:t>
      </w:r>
      <w:r w:rsidR="00B371A2">
        <w:t>extend this to</w:t>
      </w:r>
      <w:r w:rsidR="0008651F">
        <w:t xml:space="preserve"> 2040 and 2050</w:t>
      </w:r>
      <w:r w:rsidR="0056062F">
        <w:t xml:space="preserve">. As outlined in the reporting on projections, the relative scale of adjustment required to meet parity targets tends </w:t>
      </w:r>
      <w:r w:rsidR="00D91C53">
        <w:t xml:space="preserve">to require longer term targets to 2050, but with targets to 2035 serving as </w:t>
      </w:r>
      <w:r w:rsidR="00D33C85">
        <w:t>“</w:t>
      </w:r>
      <w:r w:rsidR="00276E39">
        <w:t>interim</w:t>
      </w:r>
      <w:r w:rsidR="00D33C85">
        <w:t>”</w:t>
      </w:r>
      <w:r w:rsidR="00D91C53">
        <w:t xml:space="preserve"> targets on the path to </w:t>
      </w:r>
      <w:r w:rsidR="004A0505">
        <w:t xml:space="preserve">2050. </w:t>
      </w:r>
      <w:r w:rsidR="0056062F">
        <w:t xml:space="preserve"> </w:t>
      </w:r>
    </w:p>
    <w:p w14:paraId="256D2783" w14:textId="79BB79E3" w:rsidR="007D44A6" w:rsidRDefault="00996330" w:rsidP="00B0246A">
      <w:pPr>
        <w:pStyle w:val="Heading2"/>
      </w:pPr>
      <w:r>
        <w:t xml:space="preserve">Reference Population and the Parity Target </w:t>
      </w:r>
    </w:p>
    <w:p w14:paraId="1756606D" w14:textId="5F01658A" w:rsidR="00584CCF" w:rsidRDefault="003126F1" w:rsidP="00742CBC">
      <w:r>
        <w:t>We</w:t>
      </w:r>
      <w:r w:rsidR="00E0416B">
        <w:t xml:space="preserve"> examine</w:t>
      </w:r>
      <w:r w:rsidR="00532662">
        <w:t xml:space="preserve"> </w:t>
      </w:r>
      <w:r w:rsidR="00DC2698">
        <w:t>two</w:t>
      </w:r>
      <w:r w:rsidR="00532662">
        <w:t xml:space="preserve"> broad frames of reference</w:t>
      </w:r>
      <w:r w:rsidR="00F25848">
        <w:t xml:space="preserve"> in relation to </w:t>
      </w:r>
      <w:r w:rsidR="00996330">
        <w:t>reference population</w:t>
      </w:r>
      <w:r w:rsidR="00532662">
        <w:t xml:space="preserve">: </w:t>
      </w:r>
      <w:r w:rsidR="00532662" w:rsidRPr="00C60AE8">
        <w:rPr>
          <w:i/>
          <w:iCs/>
        </w:rPr>
        <w:t>National</w:t>
      </w:r>
      <w:r w:rsidR="00DC2698">
        <w:t xml:space="preserve"> and </w:t>
      </w:r>
      <w:r w:rsidR="00532662" w:rsidRPr="00C60AE8">
        <w:rPr>
          <w:i/>
          <w:iCs/>
        </w:rPr>
        <w:t>State/Territory</w:t>
      </w:r>
      <w:r w:rsidR="00DC2698">
        <w:t xml:space="preserve">. </w:t>
      </w:r>
      <w:r w:rsidR="005458F7">
        <w:t xml:space="preserve">We consider a further option in relation to </w:t>
      </w:r>
      <w:r w:rsidR="005458F7">
        <w:rPr>
          <w:i/>
          <w:iCs/>
        </w:rPr>
        <w:t>State/Territory</w:t>
      </w:r>
      <w:r w:rsidR="005458F7">
        <w:t xml:space="preserve"> which looks </w:t>
      </w:r>
      <w:r w:rsidR="00D438B4">
        <w:t xml:space="preserve">at </w:t>
      </w:r>
      <w:r w:rsidR="004E0B9B">
        <w:t xml:space="preserve">enrolments </w:t>
      </w:r>
      <w:r w:rsidR="00C47B97">
        <w:t>based</w:t>
      </w:r>
      <w:r w:rsidR="00D438B4">
        <w:t xml:space="preserve"> on</w:t>
      </w:r>
      <w:r w:rsidR="00FC3996">
        <w:t xml:space="preserve"> </w:t>
      </w:r>
      <w:r w:rsidR="00F27619">
        <w:t xml:space="preserve">the location of </w:t>
      </w:r>
      <w:r w:rsidR="00FC3996">
        <w:t>student</w:t>
      </w:r>
      <w:r w:rsidR="00F27619">
        <w:t>s</w:t>
      </w:r>
      <w:r w:rsidR="00FC3996">
        <w:t xml:space="preserve"> rather than institution</w:t>
      </w:r>
      <w:r w:rsidR="00F27619">
        <w:t xml:space="preserve">s. </w:t>
      </w:r>
    </w:p>
    <w:p w14:paraId="45E2A745" w14:textId="4BA5065D" w:rsidR="00F25848" w:rsidRPr="00F25848" w:rsidRDefault="00F25848" w:rsidP="007F6F36">
      <w:pPr>
        <w:pStyle w:val="Heading3"/>
      </w:pPr>
      <w:r>
        <w:t>National</w:t>
      </w:r>
      <w:r w:rsidR="00C47B97">
        <w:t xml:space="preserve"> Parity Targets  </w:t>
      </w:r>
    </w:p>
    <w:p w14:paraId="7B16ACFE" w14:textId="36C5B2F7" w:rsidR="006E5131" w:rsidRDefault="00584CCF">
      <w:r>
        <w:t xml:space="preserve">The simplest approach to developing parity targets is to project increases in equity student populations such that the participation and </w:t>
      </w:r>
      <w:r w:rsidR="00651828">
        <w:t xml:space="preserve">completion </w:t>
      </w:r>
      <w:r>
        <w:t xml:space="preserve">shares match the </w:t>
      </w:r>
      <w:r w:rsidR="008F7090">
        <w:t xml:space="preserve">equity group proportions of </w:t>
      </w:r>
      <w:r w:rsidR="000444AB">
        <w:t xml:space="preserve">the </w:t>
      </w:r>
      <w:r w:rsidR="008F7090">
        <w:t>national</w:t>
      </w:r>
      <w:r>
        <w:t xml:space="preserve"> population (aged 15 to 64), as reported in Table </w:t>
      </w:r>
      <w:r w:rsidR="0051331E">
        <w:t>3</w:t>
      </w:r>
      <w:r>
        <w:t>.</w:t>
      </w:r>
      <w:r w:rsidR="0051331E">
        <w:t xml:space="preserve"> This approach </w:t>
      </w:r>
      <w:r w:rsidR="00445242">
        <w:lastRenderedPageBreak/>
        <w:t xml:space="preserve">formed the basis for the Bradley Review </w:t>
      </w:r>
      <w:r w:rsidR="002115BA">
        <w:t xml:space="preserve">targets, which were based on the national attainment target. </w:t>
      </w:r>
      <w:r w:rsidR="005115F9">
        <w:t xml:space="preserve">The strength of using a </w:t>
      </w:r>
      <w:r w:rsidR="005115F9">
        <w:rPr>
          <w:i/>
          <w:iCs/>
        </w:rPr>
        <w:t xml:space="preserve">National </w:t>
      </w:r>
      <w:r w:rsidR="00F92E70">
        <w:rPr>
          <w:i/>
          <w:iCs/>
        </w:rPr>
        <w:t>P</w:t>
      </w:r>
      <w:r w:rsidR="005115F9" w:rsidRPr="006928B5">
        <w:rPr>
          <w:i/>
          <w:iCs/>
        </w:rPr>
        <w:t xml:space="preserve">arity </w:t>
      </w:r>
      <w:r w:rsidR="00F92E70">
        <w:rPr>
          <w:i/>
          <w:iCs/>
        </w:rPr>
        <w:t>T</w:t>
      </w:r>
      <w:r w:rsidR="005115F9" w:rsidRPr="006928B5">
        <w:rPr>
          <w:i/>
          <w:iCs/>
        </w:rPr>
        <w:t xml:space="preserve">arget </w:t>
      </w:r>
      <w:r w:rsidR="005115F9">
        <w:t>is its simplicit</w:t>
      </w:r>
      <w:r w:rsidR="00A34B97">
        <w:t>y, with one target for each group against which an institution will be judged regardless of its location</w:t>
      </w:r>
      <w:r w:rsidR="00B005D1">
        <w:t xml:space="preserve">. </w:t>
      </w:r>
      <w:r w:rsidR="0051331E">
        <w:t xml:space="preserve"> </w:t>
      </w:r>
      <w:r w:rsidR="008F7090">
        <w:t xml:space="preserve"> </w:t>
      </w:r>
    </w:p>
    <w:p w14:paraId="578891CC" w14:textId="683D07C0" w:rsidR="002115BA" w:rsidRPr="002115BA" w:rsidRDefault="002115BA" w:rsidP="007F6F36">
      <w:pPr>
        <w:pStyle w:val="Heading3"/>
      </w:pPr>
      <w:r w:rsidRPr="00C47B97">
        <w:t xml:space="preserve">State/Territory </w:t>
      </w:r>
      <w:r w:rsidR="00C47B97">
        <w:t xml:space="preserve">Parity Targets  </w:t>
      </w:r>
    </w:p>
    <w:p w14:paraId="72F5BA10" w14:textId="58D1BCD8" w:rsidR="00AC78F6" w:rsidRDefault="00DC2810" w:rsidP="00AC78F6">
      <w:r>
        <w:t xml:space="preserve">As proposed in Phillimore and Koshy (2010), the </w:t>
      </w:r>
      <w:r w:rsidR="00857199">
        <w:t>dispersion</w:t>
      </w:r>
      <w:r>
        <w:t xml:space="preserve"> </w:t>
      </w:r>
      <w:r w:rsidR="00DD2D37">
        <w:t>of equity group shares across Australia’s states and territories</w:t>
      </w:r>
      <w:r w:rsidR="00B31325">
        <w:t xml:space="preserve"> created a strong rationale for the policy frame of reference to shift towards area targets at the state</w:t>
      </w:r>
      <w:r w:rsidR="00A130AF">
        <w:t>/</w:t>
      </w:r>
      <w:r w:rsidR="00B31325">
        <w:t xml:space="preserve">territory level. This </w:t>
      </w:r>
      <w:r w:rsidR="008D7B69">
        <w:t xml:space="preserve">rationale still exists </w:t>
      </w:r>
      <w:r w:rsidR="0090213C">
        <w:t xml:space="preserve">today. </w:t>
      </w:r>
      <w:r w:rsidR="00AC78F6">
        <w:t xml:space="preserve">Table </w:t>
      </w:r>
      <w:r w:rsidR="00333BA5">
        <w:t>5</w:t>
      </w:r>
      <w:r w:rsidR="00AC78F6">
        <w:t xml:space="preserve"> identifies population shares (parity targets) for the four equity groups. With the exception of disability, which the Department of Education identifies as having a uniform national target for the population in focus (15- to 64-year-olds), there is a divergence in equity group populations across Australia, notable in the case of Tasmania, which is 42.3% low SES and 100% regional/remote and the Northern Territory, wh</w:t>
      </w:r>
      <w:r w:rsidR="00F142D1">
        <w:t>ere</w:t>
      </w:r>
      <w:r w:rsidR="00AC78F6">
        <w:t xml:space="preserve"> 31.3% </w:t>
      </w:r>
      <w:r w:rsidR="00F142D1">
        <w:t xml:space="preserve">of the population is </w:t>
      </w:r>
      <w:r w:rsidR="00AC78F6">
        <w:t xml:space="preserve">First Nations Australian and also wholly regional/remote. </w:t>
      </w:r>
      <w:r w:rsidR="00AC78F6">
        <w:br/>
      </w:r>
    </w:p>
    <w:p w14:paraId="57EFFCEC" w14:textId="7D75D13C" w:rsidR="00AC78F6" w:rsidRPr="003873F1" w:rsidRDefault="00AC78F6" w:rsidP="00693F82">
      <w:pPr>
        <w:pStyle w:val="Caption"/>
        <w:spacing w:line="240" w:lineRule="auto"/>
        <w:rPr>
          <w:b w:val="0"/>
          <w:bCs w:val="0"/>
          <w:color w:val="auto"/>
        </w:rPr>
      </w:pPr>
      <w:bookmarkStart w:id="19" w:name="_Hlk134780396"/>
      <w:r>
        <w:rPr>
          <w:color w:val="auto"/>
        </w:rPr>
        <w:t>Table</w:t>
      </w:r>
      <w:r w:rsidRPr="003873F1">
        <w:rPr>
          <w:color w:val="auto"/>
        </w:rPr>
        <w:t xml:space="preserve"> </w:t>
      </w:r>
      <w:r w:rsidR="00333BA5">
        <w:rPr>
          <w:color w:val="auto"/>
        </w:rPr>
        <w:t>5</w:t>
      </w:r>
      <w:r w:rsidRPr="003873F1">
        <w:rPr>
          <w:color w:val="auto"/>
        </w:rPr>
        <w:t>:</w:t>
      </w:r>
      <w:r w:rsidRPr="003873F1">
        <w:rPr>
          <w:b w:val="0"/>
          <w:bCs w:val="0"/>
          <w:color w:val="auto"/>
        </w:rPr>
        <w:t xml:space="preserve"> </w:t>
      </w:r>
      <w:r>
        <w:rPr>
          <w:b w:val="0"/>
          <w:bCs w:val="0"/>
          <w:color w:val="auto"/>
        </w:rPr>
        <w:t xml:space="preserve">Selected Equity Group Reference Values, 2021, Share of Population (15-64 years) (%) </w:t>
      </w:r>
      <w:bookmarkEnd w:id="19"/>
    </w:p>
    <w:tbl>
      <w:tblPr>
        <w:tblW w:w="81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379"/>
        <w:gridCol w:w="1462"/>
        <w:gridCol w:w="1284"/>
        <w:gridCol w:w="1486"/>
      </w:tblGrid>
      <w:tr w:rsidR="00186066" w:rsidRPr="005C5A70" w14:paraId="30420F1D" w14:textId="77777777" w:rsidTr="00160B8E">
        <w:trPr>
          <w:trHeight w:val="315"/>
        </w:trPr>
        <w:tc>
          <w:tcPr>
            <w:tcW w:w="2541" w:type="dxa"/>
            <w:shd w:val="clear" w:color="auto" w:fill="auto"/>
            <w:hideMark/>
          </w:tcPr>
          <w:p w14:paraId="2CC6CAC5" w14:textId="77777777" w:rsidR="00186066" w:rsidRPr="005C5A70" w:rsidRDefault="00186066" w:rsidP="00186066">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379" w:type="dxa"/>
            <w:shd w:val="clear" w:color="auto" w:fill="6B3B57"/>
            <w:hideMark/>
          </w:tcPr>
          <w:p w14:paraId="615DA3A8" w14:textId="77777777" w:rsidR="00186066" w:rsidRPr="005C5A70" w:rsidRDefault="00186066" w:rsidP="00186066">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462" w:type="dxa"/>
            <w:shd w:val="clear" w:color="auto" w:fill="6B3B57"/>
          </w:tcPr>
          <w:p w14:paraId="079A826D" w14:textId="61DDC602" w:rsidR="00186066" w:rsidRDefault="00186066" w:rsidP="00186066">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284" w:type="dxa"/>
            <w:shd w:val="clear" w:color="auto" w:fill="6B3B57"/>
            <w:hideMark/>
          </w:tcPr>
          <w:p w14:paraId="605C57CB" w14:textId="74595646" w:rsidR="00186066" w:rsidRPr="005C5A70" w:rsidRDefault="00186066" w:rsidP="00186066">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486" w:type="dxa"/>
            <w:shd w:val="clear" w:color="auto" w:fill="6B3B57"/>
          </w:tcPr>
          <w:p w14:paraId="277AE223" w14:textId="77777777" w:rsidR="00186066" w:rsidRDefault="00186066" w:rsidP="00186066">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186066" w:rsidRPr="005C5A70" w14:paraId="2DCC4F0E" w14:textId="77777777" w:rsidTr="00FB52B7">
        <w:trPr>
          <w:trHeight w:val="315"/>
        </w:trPr>
        <w:tc>
          <w:tcPr>
            <w:tcW w:w="2541" w:type="dxa"/>
            <w:shd w:val="clear" w:color="000000" w:fill="FFFFFF"/>
            <w:vAlign w:val="center"/>
            <w:hideMark/>
          </w:tcPr>
          <w:p w14:paraId="714AA06D"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New South Wales </w:t>
            </w:r>
          </w:p>
        </w:tc>
        <w:tc>
          <w:tcPr>
            <w:tcW w:w="1379" w:type="dxa"/>
            <w:shd w:val="clear" w:color="000000" w:fill="FFFFFF"/>
            <w:vAlign w:val="center"/>
            <w:hideMark/>
          </w:tcPr>
          <w:p w14:paraId="56F96E15" w14:textId="77777777" w:rsidR="00186066" w:rsidRPr="005C5A70" w:rsidRDefault="00186066" w:rsidP="00186066">
            <w:pPr>
              <w:spacing w:after="0" w:line="240" w:lineRule="auto"/>
              <w:jc w:val="center"/>
              <w:rPr>
                <w:rFonts w:cs="Arial"/>
                <w:color w:val="000000"/>
                <w:sz w:val="18"/>
                <w:szCs w:val="18"/>
                <w:lang w:eastAsia="en-AU"/>
              </w:rPr>
            </w:pPr>
            <w:r>
              <w:rPr>
                <w:rFonts w:cs="Arial"/>
                <w:color w:val="auto"/>
                <w:sz w:val="18"/>
                <w:szCs w:val="18"/>
                <w:lang w:eastAsia="en-AU"/>
              </w:rPr>
              <w:t>23.0</w:t>
            </w:r>
          </w:p>
        </w:tc>
        <w:tc>
          <w:tcPr>
            <w:tcW w:w="1462" w:type="dxa"/>
            <w:shd w:val="clear" w:color="000000" w:fill="FFFFFF"/>
            <w:vAlign w:val="center"/>
          </w:tcPr>
          <w:p w14:paraId="0FA85BA8" w14:textId="1402378F"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23.1</w:t>
            </w:r>
          </w:p>
        </w:tc>
        <w:tc>
          <w:tcPr>
            <w:tcW w:w="1284" w:type="dxa"/>
            <w:shd w:val="clear" w:color="000000" w:fill="FFFFFF"/>
            <w:vAlign w:val="center"/>
            <w:hideMark/>
          </w:tcPr>
          <w:p w14:paraId="3A00F877" w14:textId="274B427F"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3.0</w:t>
            </w:r>
          </w:p>
        </w:tc>
        <w:tc>
          <w:tcPr>
            <w:tcW w:w="1486" w:type="dxa"/>
            <w:shd w:val="clear" w:color="000000" w:fill="FFFFFF"/>
            <w:vAlign w:val="center"/>
          </w:tcPr>
          <w:p w14:paraId="4D576BB8" w14:textId="77777777" w:rsidR="00186066" w:rsidRDefault="00186066" w:rsidP="00186066">
            <w:pPr>
              <w:spacing w:after="0" w:line="240" w:lineRule="auto"/>
              <w:jc w:val="center"/>
              <w:rPr>
                <w:rFonts w:cs="Arial"/>
                <w:color w:val="000000"/>
                <w:sz w:val="18"/>
                <w:szCs w:val="18"/>
              </w:rPr>
            </w:pPr>
            <w:r>
              <w:rPr>
                <w:rFonts w:cs="Arial"/>
                <w:color w:val="000000"/>
                <w:sz w:val="18"/>
                <w:szCs w:val="18"/>
              </w:rPr>
              <w:t>8</w:t>
            </w:r>
            <w:r w:rsidRPr="004F7AA7">
              <w:rPr>
                <w:rFonts w:cs="Arial"/>
                <w:color w:val="000000"/>
                <w:sz w:val="18"/>
                <w:szCs w:val="18"/>
              </w:rPr>
              <w:t>.4</w:t>
            </w:r>
          </w:p>
        </w:tc>
      </w:tr>
      <w:tr w:rsidR="00186066" w:rsidRPr="005C5A70" w14:paraId="0AD5634A" w14:textId="77777777" w:rsidTr="00160B8E">
        <w:trPr>
          <w:trHeight w:val="315"/>
        </w:trPr>
        <w:tc>
          <w:tcPr>
            <w:tcW w:w="2541" w:type="dxa"/>
            <w:shd w:val="clear" w:color="auto" w:fill="auto"/>
            <w:vAlign w:val="center"/>
            <w:hideMark/>
          </w:tcPr>
          <w:p w14:paraId="1201A46E"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Victoria </w:t>
            </w:r>
          </w:p>
        </w:tc>
        <w:tc>
          <w:tcPr>
            <w:tcW w:w="1379" w:type="dxa"/>
            <w:shd w:val="clear" w:color="auto" w:fill="auto"/>
            <w:vAlign w:val="center"/>
            <w:hideMark/>
          </w:tcPr>
          <w:p w14:paraId="640DC95B" w14:textId="77777777" w:rsidR="00186066" w:rsidRPr="005C5A70" w:rsidRDefault="00186066" w:rsidP="00186066">
            <w:pPr>
              <w:spacing w:after="0" w:line="240" w:lineRule="auto"/>
              <w:jc w:val="center"/>
              <w:rPr>
                <w:rFonts w:cs="Arial"/>
                <w:color w:val="000000"/>
                <w:sz w:val="18"/>
                <w:szCs w:val="18"/>
                <w:lang w:eastAsia="en-AU"/>
              </w:rPr>
            </w:pPr>
            <w:r>
              <w:rPr>
                <w:rFonts w:cs="Arial"/>
                <w:color w:val="auto"/>
                <w:sz w:val="18"/>
                <w:szCs w:val="18"/>
                <w:lang w:eastAsia="en-AU"/>
              </w:rPr>
              <w:t>19.4</w:t>
            </w:r>
          </w:p>
        </w:tc>
        <w:tc>
          <w:tcPr>
            <w:tcW w:w="1462" w:type="dxa"/>
            <w:shd w:val="clear" w:color="auto" w:fill="auto"/>
            <w:vAlign w:val="center"/>
          </w:tcPr>
          <w:p w14:paraId="3D6FDCCF" w14:textId="341A33F4"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20.8</w:t>
            </w:r>
          </w:p>
        </w:tc>
        <w:tc>
          <w:tcPr>
            <w:tcW w:w="1284" w:type="dxa"/>
            <w:shd w:val="clear" w:color="auto" w:fill="auto"/>
            <w:vAlign w:val="center"/>
            <w:hideMark/>
          </w:tcPr>
          <w:p w14:paraId="7FF28724" w14:textId="1E51C4C6"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0.9</w:t>
            </w:r>
          </w:p>
        </w:tc>
        <w:tc>
          <w:tcPr>
            <w:tcW w:w="1486" w:type="dxa"/>
            <w:shd w:val="clear" w:color="auto" w:fill="auto"/>
            <w:vAlign w:val="center"/>
          </w:tcPr>
          <w:p w14:paraId="64FE4CCE" w14:textId="77777777" w:rsidR="00186066" w:rsidRDefault="00186066" w:rsidP="00186066">
            <w:pPr>
              <w:spacing w:after="0" w:line="240" w:lineRule="auto"/>
              <w:jc w:val="center"/>
              <w:rPr>
                <w:rFonts w:cs="Arial"/>
                <w:color w:val="000000"/>
                <w:sz w:val="18"/>
                <w:szCs w:val="18"/>
              </w:rPr>
            </w:pPr>
            <w:r w:rsidRPr="00670BAD">
              <w:rPr>
                <w:rFonts w:cs="Arial"/>
                <w:color w:val="000000"/>
                <w:sz w:val="18"/>
                <w:szCs w:val="18"/>
              </w:rPr>
              <w:t>8.4</w:t>
            </w:r>
          </w:p>
        </w:tc>
      </w:tr>
      <w:tr w:rsidR="00186066" w:rsidRPr="005C5A70" w14:paraId="2A243B56" w14:textId="77777777" w:rsidTr="00160B8E">
        <w:trPr>
          <w:trHeight w:val="315"/>
        </w:trPr>
        <w:tc>
          <w:tcPr>
            <w:tcW w:w="2541" w:type="dxa"/>
            <w:shd w:val="clear" w:color="auto" w:fill="auto"/>
            <w:vAlign w:val="center"/>
            <w:hideMark/>
          </w:tcPr>
          <w:p w14:paraId="374EC94D"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Queensland </w:t>
            </w:r>
          </w:p>
        </w:tc>
        <w:tc>
          <w:tcPr>
            <w:tcW w:w="1379" w:type="dxa"/>
            <w:shd w:val="clear" w:color="auto" w:fill="auto"/>
            <w:vAlign w:val="center"/>
            <w:hideMark/>
          </w:tcPr>
          <w:p w14:paraId="648D6A62" w14:textId="77777777" w:rsidR="00186066" w:rsidRPr="005C5A70" w:rsidRDefault="00186066" w:rsidP="00186066">
            <w:pPr>
              <w:spacing w:after="0" w:line="240" w:lineRule="auto"/>
              <w:jc w:val="center"/>
              <w:rPr>
                <w:rFonts w:cs="Arial"/>
                <w:color w:val="000000"/>
                <w:sz w:val="18"/>
                <w:szCs w:val="18"/>
                <w:lang w:eastAsia="en-AU"/>
              </w:rPr>
            </w:pPr>
            <w:r>
              <w:rPr>
                <w:rFonts w:cs="Arial"/>
                <w:color w:val="auto"/>
                <w:sz w:val="18"/>
                <w:szCs w:val="18"/>
                <w:lang w:eastAsia="en-AU"/>
              </w:rPr>
              <w:t>28.1</w:t>
            </w:r>
          </w:p>
        </w:tc>
        <w:tc>
          <w:tcPr>
            <w:tcW w:w="1462" w:type="dxa"/>
            <w:shd w:val="clear" w:color="auto" w:fill="auto"/>
            <w:vAlign w:val="center"/>
          </w:tcPr>
          <w:p w14:paraId="50ED76C3" w14:textId="6C47EAA9"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35.6</w:t>
            </w:r>
          </w:p>
        </w:tc>
        <w:tc>
          <w:tcPr>
            <w:tcW w:w="1284" w:type="dxa"/>
            <w:shd w:val="clear" w:color="auto" w:fill="auto"/>
            <w:vAlign w:val="center"/>
            <w:hideMark/>
          </w:tcPr>
          <w:p w14:paraId="20372285" w14:textId="22292337"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4.4</w:t>
            </w:r>
          </w:p>
        </w:tc>
        <w:tc>
          <w:tcPr>
            <w:tcW w:w="1486" w:type="dxa"/>
            <w:shd w:val="clear" w:color="auto" w:fill="auto"/>
            <w:vAlign w:val="center"/>
          </w:tcPr>
          <w:p w14:paraId="2F855BEC" w14:textId="77777777" w:rsidR="00186066" w:rsidRDefault="00186066" w:rsidP="00186066">
            <w:pPr>
              <w:spacing w:after="0" w:line="240" w:lineRule="auto"/>
              <w:jc w:val="center"/>
              <w:rPr>
                <w:rFonts w:cs="Arial"/>
                <w:color w:val="000000"/>
                <w:sz w:val="18"/>
                <w:szCs w:val="18"/>
              </w:rPr>
            </w:pPr>
            <w:r w:rsidRPr="00670BAD">
              <w:rPr>
                <w:rFonts w:cs="Arial"/>
                <w:color w:val="000000"/>
                <w:sz w:val="18"/>
                <w:szCs w:val="18"/>
              </w:rPr>
              <w:t>8.4</w:t>
            </w:r>
          </w:p>
        </w:tc>
      </w:tr>
      <w:tr w:rsidR="00186066" w:rsidRPr="005C5A70" w14:paraId="72EBC56E" w14:textId="77777777" w:rsidTr="00160B8E">
        <w:trPr>
          <w:trHeight w:val="315"/>
        </w:trPr>
        <w:tc>
          <w:tcPr>
            <w:tcW w:w="2541" w:type="dxa"/>
            <w:shd w:val="clear" w:color="auto" w:fill="auto"/>
            <w:vAlign w:val="center"/>
            <w:hideMark/>
          </w:tcPr>
          <w:p w14:paraId="4B051A79" w14:textId="77777777" w:rsidR="00186066" w:rsidRPr="000D6A20" w:rsidRDefault="00186066" w:rsidP="00186066">
            <w:pPr>
              <w:spacing w:after="0" w:line="240" w:lineRule="auto"/>
              <w:rPr>
                <w:rFonts w:cs="Arial"/>
                <w:color w:val="auto"/>
                <w:sz w:val="18"/>
                <w:szCs w:val="18"/>
                <w:lang w:eastAsia="en-AU"/>
              </w:rPr>
            </w:pPr>
            <w:r w:rsidRPr="000D6A20">
              <w:rPr>
                <w:rFonts w:cs="Arial"/>
                <w:color w:val="auto"/>
                <w:sz w:val="18"/>
                <w:szCs w:val="18"/>
                <w:lang w:eastAsia="en-AU"/>
              </w:rPr>
              <w:t xml:space="preserve">Western Australia </w:t>
            </w:r>
          </w:p>
        </w:tc>
        <w:tc>
          <w:tcPr>
            <w:tcW w:w="1379" w:type="dxa"/>
            <w:shd w:val="clear" w:color="auto" w:fill="auto"/>
            <w:vAlign w:val="center"/>
            <w:hideMark/>
          </w:tcPr>
          <w:p w14:paraId="1DD571B2" w14:textId="77777777" w:rsidR="00186066" w:rsidRPr="000D6A20" w:rsidRDefault="00186066" w:rsidP="00186066">
            <w:pPr>
              <w:spacing w:after="0" w:line="240" w:lineRule="auto"/>
              <w:jc w:val="center"/>
              <w:rPr>
                <w:rFonts w:cs="Arial"/>
                <w:color w:val="auto"/>
                <w:sz w:val="18"/>
                <w:szCs w:val="18"/>
                <w:lang w:eastAsia="en-AU"/>
              </w:rPr>
            </w:pPr>
            <w:r>
              <w:rPr>
                <w:rFonts w:cs="Arial"/>
                <w:color w:val="auto"/>
                <w:sz w:val="18"/>
                <w:szCs w:val="18"/>
                <w:lang w:eastAsia="en-AU"/>
              </w:rPr>
              <w:t>22.8</w:t>
            </w:r>
          </w:p>
        </w:tc>
        <w:tc>
          <w:tcPr>
            <w:tcW w:w="1462" w:type="dxa"/>
            <w:shd w:val="clear" w:color="auto" w:fill="auto"/>
            <w:vAlign w:val="center"/>
          </w:tcPr>
          <w:p w14:paraId="0A15B5A8" w14:textId="1E023920" w:rsidR="00186066" w:rsidRPr="000D6A20" w:rsidRDefault="00186066" w:rsidP="00186066">
            <w:pPr>
              <w:spacing w:after="0" w:line="240" w:lineRule="auto"/>
              <w:jc w:val="center"/>
              <w:rPr>
                <w:rFonts w:cs="Arial"/>
                <w:color w:val="auto"/>
                <w:sz w:val="18"/>
                <w:szCs w:val="18"/>
                <w:lang w:eastAsia="en-AU"/>
              </w:rPr>
            </w:pPr>
            <w:r w:rsidRPr="000D6A20">
              <w:rPr>
                <w:rFonts w:cs="Arial"/>
                <w:color w:val="auto"/>
                <w:sz w:val="18"/>
                <w:szCs w:val="18"/>
              </w:rPr>
              <w:t>21.7</w:t>
            </w:r>
          </w:p>
        </w:tc>
        <w:tc>
          <w:tcPr>
            <w:tcW w:w="1284" w:type="dxa"/>
            <w:shd w:val="clear" w:color="auto" w:fill="auto"/>
            <w:vAlign w:val="center"/>
            <w:hideMark/>
          </w:tcPr>
          <w:p w14:paraId="2077760F" w14:textId="69CCCB1A" w:rsidR="00186066" w:rsidRPr="000D6A20" w:rsidRDefault="00186066" w:rsidP="00186066">
            <w:pPr>
              <w:spacing w:after="0" w:line="240" w:lineRule="auto"/>
              <w:jc w:val="center"/>
              <w:rPr>
                <w:rFonts w:cs="Arial"/>
                <w:color w:val="auto"/>
                <w:sz w:val="18"/>
                <w:szCs w:val="18"/>
                <w:lang w:eastAsia="en-AU"/>
              </w:rPr>
            </w:pPr>
            <w:r w:rsidRPr="000D6A20">
              <w:rPr>
                <w:rFonts w:cs="Arial"/>
                <w:color w:val="auto"/>
                <w:sz w:val="18"/>
                <w:szCs w:val="18"/>
                <w:lang w:eastAsia="en-AU"/>
              </w:rPr>
              <w:t>4.0</w:t>
            </w:r>
          </w:p>
        </w:tc>
        <w:tc>
          <w:tcPr>
            <w:tcW w:w="1486" w:type="dxa"/>
            <w:shd w:val="clear" w:color="auto" w:fill="auto"/>
            <w:vAlign w:val="center"/>
          </w:tcPr>
          <w:p w14:paraId="63C40B20" w14:textId="77777777" w:rsidR="00186066" w:rsidRPr="000D6A20" w:rsidRDefault="00186066" w:rsidP="00186066">
            <w:pPr>
              <w:spacing w:after="0" w:line="240" w:lineRule="auto"/>
              <w:jc w:val="center"/>
              <w:rPr>
                <w:rFonts w:cs="Arial"/>
                <w:color w:val="auto"/>
                <w:sz w:val="18"/>
                <w:szCs w:val="18"/>
              </w:rPr>
            </w:pPr>
            <w:r w:rsidRPr="00670BAD">
              <w:rPr>
                <w:rFonts w:cs="Arial"/>
                <w:color w:val="000000"/>
                <w:sz w:val="18"/>
                <w:szCs w:val="18"/>
              </w:rPr>
              <w:t>8.4</w:t>
            </w:r>
          </w:p>
        </w:tc>
      </w:tr>
      <w:tr w:rsidR="00186066" w:rsidRPr="005C5A70" w14:paraId="39389A83" w14:textId="77777777" w:rsidTr="00160B8E">
        <w:trPr>
          <w:trHeight w:val="315"/>
        </w:trPr>
        <w:tc>
          <w:tcPr>
            <w:tcW w:w="2541" w:type="dxa"/>
            <w:shd w:val="clear" w:color="auto" w:fill="auto"/>
            <w:vAlign w:val="center"/>
            <w:hideMark/>
          </w:tcPr>
          <w:p w14:paraId="5A0201FF"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South Australia </w:t>
            </w:r>
          </w:p>
        </w:tc>
        <w:tc>
          <w:tcPr>
            <w:tcW w:w="1379" w:type="dxa"/>
            <w:shd w:val="clear" w:color="auto" w:fill="auto"/>
            <w:vAlign w:val="center"/>
            <w:hideMark/>
          </w:tcPr>
          <w:p w14:paraId="1A13895A" w14:textId="77777777" w:rsidR="00186066" w:rsidRPr="005C5A70" w:rsidRDefault="00186066" w:rsidP="00186066">
            <w:pPr>
              <w:spacing w:after="0" w:line="240" w:lineRule="auto"/>
              <w:jc w:val="center"/>
              <w:rPr>
                <w:rFonts w:cs="Arial"/>
                <w:color w:val="000000"/>
                <w:sz w:val="18"/>
                <w:szCs w:val="18"/>
                <w:lang w:eastAsia="en-AU"/>
              </w:rPr>
            </w:pPr>
            <w:r>
              <w:rPr>
                <w:rFonts w:cs="Arial"/>
                <w:color w:val="auto"/>
                <w:sz w:val="18"/>
                <w:szCs w:val="18"/>
                <w:lang w:eastAsia="en-AU"/>
              </w:rPr>
              <w:t>30</w:t>
            </w:r>
            <w:r w:rsidRPr="005C5A70">
              <w:rPr>
                <w:rFonts w:cs="Arial"/>
                <w:color w:val="auto"/>
                <w:sz w:val="18"/>
                <w:szCs w:val="18"/>
                <w:lang w:eastAsia="en-AU"/>
              </w:rPr>
              <w:t>.0</w:t>
            </w:r>
          </w:p>
        </w:tc>
        <w:tc>
          <w:tcPr>
            <w:tcW w:w="1462" w:type="dxa"/>
            <w:shd w:val="clear" w:color="auto" w:fill="auto"/>
            <w:vAlign w:val="center"/>
          </w:tcPr>
          <w:p w14:paraId="656A0E29" w14:textId="56565179"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25.3</w:t>
            </w:r>
          </w:p>
        </w:tc>
        <w:tc>
          <w:tcPr>
            <w:tcW w:w="1284" w:type="dxa"/>
            <w:shd w:val="clear" w:color="auto" w:fill="auto"/>
            <w:vAlign w:val="center"/>
            <w:hideMark/>
          </w:tcPr>
          <w:p w14:paraId="7A8902E1" w14:textId="3FBC9BBA"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2.6</w:t>
            </w:r>
          </w:p>
        </w:tc>
        <w:tc>
          <w:tcPr>
            <w:tcW w:w="1486" w:type="dxa"/>
            <w:shd w:val="clear" w:color="auto" w:fill="auto"/>
            <w:vAlign w:val="center"/>
          </w:tcPr>
          <w:p w14:paraId="44883A7D" w14:textId="77777777" w:rsidR="00186066" w:rsidRDefault="00186066" w:rsidP="00186066">
            <w:pPr>
              <w:spacing w:after="0" w:line="240" w:lineRule="auto"/>
              <w:jc w:val="center"/>
              <w:rPr>
                <w:rFonts w:cs="Arial"/>
                <w:color w:val="000000"/>
                <w:sz w:val="18"/>
                <w:szCs w:val="18"/>
              </w:rPr>
            </w:pPr>
            <w:r w:rsidRPr="00670BAD">
              <w:rPr>
                <w:rFonts w:cs="Arial"/>
                <w:color w:val="000000"/>
                <w:sz w:val="18"/>
                <w:szCs w:val="18"/>
              </w:rPr>
              <w:t>8.4</w:t>
            </w:r>
          </w:p>
        </w:tc>
      </w:tr>
      <w:tr w:rsidR="00186066" w:rsidRPr="005C5A70" w14:paraId="72B7C33C" w14:textId="77777777" w:rsidTr="00160B8E">
        <w:trPr>
          <w:trHeight w:val="315"/>
        </w:trPr>
        <w:tc>
          <w:tcPr>
            <w:tcW w:w="2541" w:type="dxa"/>
            <w:shd w:val="clear" w:color="auto" w:fill="auto"/>
            <w:vAlign w:val="center"/>
            <w:hideMark/>
          </w:tcPr>
          <w:p w14:paraId="4B8C69E8"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Tasmania </w:t>
            </w:r>
          </w:p>
        </w:tc>
        <w:tc>
          <w:tcPr>
            <w:tcW w:w="1379" w:type="dxa"/>
            <w:shd w:val="clear" w:color="auto" w:fill="auto"/>
            <w:vAlign w:val="center"/>
            <w:hideMark/>
          </w:tcPr>
          <w:p w14:paraId="64C7CCB6" w14:textId="77777777" w:rsidR="00186066" w:rsidRPr="005C5A70" w:rsidRDefault="00186066" w:rsidP="00186066">
            <w:pPr>
              <w:spacing w:after="0" w:line="240" w:lineRule="auto"/>
              <w:jc w:val="center"/>
              <w:rPr>
                <w:rFonts w:cs="Arial"/>
                <w:color w:val="000000"/>
                <w:sz w:val="18"/>
                <w:szCs w:val="18"/>
                <w:lang w:eastAsia="en-AU"/>
              </w:rPr>
            </w:pPr>
            <w:r w:rsidRPr="005C5A70">
              <w:rPr>
                <w:rFonts w:cs="Arial"/>
                <w:color w:val="auto"/>
                <w:sz w:val="18"/>
                <w:szCs w:val="18"/>
                <w:lang w:eastAsia="en-AU"/>
              </w:rPr>
              <w:t>4</w:t>
            </w:r>
            <w:r>
              <w:rPr>
                <w:rFonts w:cs="Arial"/>
                <w:color w:val="auto"/>
                <w:sz w:val="18"/>
                <w:szCs w:val="18"/>
                <w:lang w:eastAsia="en-AU"/>
              </w:rPr>
              <w:t>2</w:t>
            </w:r>
            <w:r w:rsidRPr="005C5A70">
              <w:rPr>
                <w:rFonts w:cs="Arial"/>
                <w:color w:val="auto"/>
                <w:sz w:val="18"/>
                <w:szCs w:val="18"/>
                <w:lang w:eastAsia="en-AU"/>
              </w:rPr>
              <w:t>.3</w:t>
            </w:r>
          </w:p>
        </w:tc>
        <w:tc>
          <w:tcPr>
            <w:tcW w:w="1462" w:type="dxa"/>
            <w:shd w:val="clear" w:color="auto" w:fill="auto"/>
            <w:vAlign w:val="center"/>
          </w:tcPr>
          <w:p w14:paraId="5576F4BF" w14:textId="4880686C"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100.0</w:t>
            </w:r>
          </w:p>
        </w:tc>
        <w:tc>
          <w:tcPr>
            <w:tcW w:w="1284" w:type="dxa"/>
            <w:shd w:val="clear" w:color="auto" w:fill="auto"/>
            <w:vAlign w:val="center"/>
            <w:hideMark/>
          </w:tcPr>
          <w:p w14:paraId="60053D61" w14:textId="196663FF"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5.5</w:t>
            </w:r>
          </w:p>
        </w:tc>
        <w:tc>
          <w:tcPr>
            <w:tcW w:w="1486" w:type="dxa"/>
            <w:shd w:val="clear" w:color="auto" w:fill="auto"/>
            <w:vAlign w:val="center"/>
          </w:tcPr>
          <w:p w14:paraId="4B395D29" w14:textId="77777777" w:rsidR="00186066" w:rsidRDefault="00186066" w:rsidP="00186066">
            <w:pPr>
              <w:spacing w:after="0" w:line="240" w:lineRule="auto"/>
              <w:jc w:val="center"/>
              <w:rPr>
                <w:rFonts w:cs="Arial"/>
                <w:color w:val="000000"/>
                <w:sz w:val="18"/>
                <w:szCs w:val="18"/>
              </w:rPr>
            </w:pPr>
            <w:r w:rsidRPr="00670BAD">
              <w:rPr>
                <w:rFonts w:cs="Arial"/>
                <w:color w:val="000000"/>
                <w:sz w:val="18"/>
                <w:szCs w:val="18"/>
              </w:rPr>
              <w:t>8.4</w:t>
            </w:r>
          </w:p>
        </w:tc>
      </w:tr>
      <w:tr w:rsidR="00186066" w:rsidRPr="005C5A70" w14:paraId="57ABC301" w14:textId="77777777" w:rsidTr="00160B8E">
        <w:trPr>
          <w:trHeight w:val="315"/>
        </w:trPr>
        <w:tc>
          <w:tcPr>
            <w:tcW w:w="2541" w:type="dxa"/>
            <w:shd w:val="clear" w:color="auto" w:fill="auto"/>
            <w:vAlign w:val="center"/>
            <w:hideMark/>
          </w:tcPr>
          <w:p w14:paraId="0EC9D0BB"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Northern Territory </w:t>
            </w:r>
          </w:p>
        </w:tc>
        <w:tc>
          <w:tcPr>
            <w:tcW w:w="1379" w:type="dxa"/>
            <w:shd w:val="clear" w:color="auto" w:fill="auto"/>
            <w:vAlign w:val="center"/>
            <w:hideMark/>
          </w:tcPr>
          <w:p w14:paraId="6F595A31" w14:textId="77777777" w:rsidR="00186066" w:rsidRPr="005C5A70" w:rsidRDefault="00186066" w:rsidP="00186066">
            <w:pPr>
              <w:spacing w:after="0" w:line="240" w:lineRule="auto"/>
              <w:jc w:val="center"/>
              <w:rPr>
                <w:rFonts w:cs="Arial"/>
                <w:color w:val="000000"/>
                <w:sz w:val="18"/>
                <w:szCs w:val="18"/>
                <w:lang w:eastAsia="en-AU"/>
              </w:rPr>
            </w:pPr>
            <w:r w:rsidRPr="005C5A70">
              <w:rPr>
                <w:rFonts w:cs="Arial"/>
                <w:color w:val="auto"/>
                <w:sz w:val="18"/>
                <w:szCs w:val="18"/>
                <w:lang w:eastAsia="en-AU"/>
              </w:rPr>
              <w:t>23.</w:t>
            </w:r>
            <w:r>
              <w:rPr>
                <w:rFonts w:cs="Arial"/>
                <w:color w:val="auto"/>
                <w:sz w:val="18"/>
                <w:szCs w:val="18"/>
                <w:lang w:eastAsia="en-AU"/>
              </w:rPr>
              <w:t>1</w:t>
            </w:r>
          </w:p>
        </w:tc>
        <w:tc>
          <w:tcPr>
            <w:tcW w:w="1462" w:type="dxa"/>
            <w:shd w:val="clear" w:color="auto" w:fill="auto"/>
            <w:vAlign w:val="center"/>
          </w:tcPr>
          <w:p w14:paraId="158EB611" w14:textId="0132CC6F"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100.0</w:t>
            </w:r>
          </w:p>
        </w:tc>
        <w:tc>
          <w:tcPr>
            <w:tcW w:w="1284" w:type="dxa"/>
            <w:shd w:val="clear" w:color="auto" w:fill="auto"/>
            <w:vAlign w:val="center"/>
            <w:hideMark/>
          </w:tcPr>
          <w:p w14:paraId="51E5F5D9" w14:textId="3A14B03B"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31.3</w:t>
            </w:r>
          </w:p>
        </w:tc>
        <w:tc>
          <w:tcPr>
            <w:tcW w:w="1486" w:type="dxa"/>
            <w:shd w:val="clear" w:color="auto" w:fill="auto"/>
            <w:vAlign w:val="center"/>
          </w:tcPr>
          <w:p w14:paraId="149C9FD1" w14:textId="77777777" w:rsidR="00186066" w:rsidRDefault="00186066" w:rsidP="00186066">
            <w:pPr>
              <w:spacing w:after="0" w:line="240" w:lineRule="auto"/>
              <w:jc w:val="center"/>
              <w:rPr>
                <w:rFonts w:cs="Arial"/>
                <w:color w:val="000000"/>
                <w:sz w:val="18"/>
                <w:szCs w:val="18"/>
              </w:rPr>
            </w:pPr>
            <w:r w:rsidRPr="00670BAD">
              <w:rPr>
                <w:rFonts w:cs="Arial"/>
                <w:color w:val="000000"/>
                <w:sz w:val="18"/>
                <w:szCs w:val="18"/>
              </w:rPr>
              <w:t>8.4</w:t>
            </w:r>
          </w:p>
        </w:tc>
      </w:tr>
      <w:tr w:rsidR="00186066" w:rsidRPr="005C5A70" w14:paraId="68D907AE" w14:textId="77777777" w:rsidTr="00160B8E">
        <w:trPr>
          <w:trHeight w:val="315"/>
        </w:trPr>
        <w:tc>
          <w:tcPr>
            <w:tcW w:w="2541" w:type="dxa"/>
            <w:shd w:val="clear" w:color="auto" w:fill="auto"/>
            <w:vAlign w:val="center"/>
            <w:hideMark/>
          </w:tcPr>
          <w:p w14:paraId="7364F266" w14:textId="77777777" w:rsidR="00186066" w:rsidRPr="005C5A70" w:rsidRDefault="00186066" w:rsidP="00186066">
            <w:pPr>
              <w:spacing w:after="0" w:line="240" w:lineRule="auto"/>
              <w:rPr>
                <w:rFonts w:cs="Arial"/>
                <w:color w:val="000000"/>
                <w:sz w:val="18"/>
                <w:szCs w:val="18"/>
                <w:lang w:eastAsia="en-AU"/>
              </w:rPr>
            </w:pPr>
            <w:r w:rsidRPr="005C5A70">
              <w:rPr>
                <w:rFonts w:cs="Arial"/>
                <w:color w:val="000000"/>
                <w:sz w:val="18"/>
                <w:szCs w:val="18"/>
                <w:lang w:eastAsia="en-AU"/>
              </w:rPr>
              <w:t xml:space="preserve">Australian Capital Territory </w:t>
            </w:r>
          </w:p>
        </w:tc>
        <w:tc>
          <w:tcPr>
            <w:tcW w:w="1379" w:type="dxa"/>
            <w:shd w:val="clear" w:color="auto" w:fill="auto"/>
            <w:vAlign w:val="center"/>
            <w:hideMark/>
          </w:tcPr>
          <w:p w14:paraId="02B4289F" w14:textId="77777777" w:rsidR="00186066" w:rsidRPr="005C5A70" w:rsidRDefault="00186066" w:rsidP="00186066">
            <w:pPr>
              <w:spacing w:after="0" w:line="240" w:lineRule="auto"/>
              <w:jc w:val="center"/>
              <w:rPr>
                <w:rFonts w:cs="Arial"/>
                <w:color w:val="000000"/>
                <w:sz w:val="18"/>
                <w:szCs w:val="18"/>
                <w:lang w:eastAsia="en-AU"/>
              </w:rPr>
            </w:pPr>
            <w:r w:rsidRPr="005C5A70">
              <w:rPr>
                <w:rFonts w:cs="Arial"/>
                <w:color w:val="auto"/>
                <w:sz w:val="18"/>
                <w:szCs w:val="18"/>
                <w:lang w:eastAsia="en-AU"/>
              </w:rPr>
              <w:t>0.2</w:t>
            </w:r>
          </w:p>
        </w:tc>
        <w:tc>
          <w:tcPr>
            <w:tcW w:w="1462" w:type="dxa"/>
            <w:shd w:val="clear" w:color="auto" w:fill="auto"/>
            <w:vAlign w:val="center"/>
          </w:tcPr>
          <w:p w14:paraId="68C887EF" w14:textId="14D95F98" w:rsidR="00186066" w:rsidRPr="005C5A70" w:rsidRDefault="00186066" w:rsidP="00186066">
            <w:pPr>
              <w:spacing w:after="0" w:line="240" w:lineRule="auto"/>
              <w:jc w:val="center"/>
              <w:rPr>
                <w:rFonts w:cs="Arial"/>
                <w:color w:val="000000"/>
                <w:sz w:val="18"/>
                <w:szCs w:val="18"/>
                <w:lang w:eastAsia="en-AU"/>
              </w:rPr>
            </w:pPr>
            <w:r>
              <w:rPr>
                <w:rFonts w:cs="Arial"/>
                <w:color w:val="000000"/>
                <w:sz w:val="18"/>
                <w:szCs w:val="18"/>
              </w:rPr>
              <w:t>0.1</w:t>
            </w:r>
          </w:p>
        </w:tc>
        <w:tc>
          <w:tcPr>
            <w:tcW w:w="1284" w:type="dxa"/>
            <w:shd w:val="clear" w:color="auto" w:fill="auto"/>
            <w:vAlign w:val="center"/>
            <w:hideMark/>
          </w:tcPr>
          <w:p w14:paraId="54870F16" w14:textId="75F59AD5" w:rsidR="00186066" w:rsidRPr="005C5A70" w:rsidRDefault="00186066" w:rsidP="00186066">
            <w:pPr>
              <w:spacing w:after="0" w:line="240" w:lineRule="auto"/>
              <w:jc w:val="center"/>
              <w:rPr>
                <w:rFonts w:cs="Arial"/>
                <w:color w:val="000000"/>
                <w:sz w:val="18"/>
                <w:szCs w:val="18"/>
                <w:lang w:eastAsia="en-AU"/>
              </w:rPr>
            </w:pPr>
            <w:r w:rsidRPr="005C5A70">
              <w:rPr>
                <w:rFonts w:cs="Arial"/>
                <w:color w:val="000000"/>
                <w:sz w:val="18"/>
                <w:szCs w:val="18"/>
                <w:lang w:eastAsia="en-AU"/>
              </w:rPr>
              <w:t>1.9</w:t>
            </w:r>
          </w:p>
        </w:tc>
        <w:tc>
          <w:tcPr>
            <w:tcW w:w="1486" w:type="dxa"/>
            <w:shd w:val="clear" w:color="auto" w:fill="auto"/>
            <w:vAlign w:val="center"/>
          </w:tcPr>
          <w:p w14:paraId="1D15CFFE" w14:textId="77777777" w:rsidR="00186066" w:rsidRDefault="00186066" w:rsidP="00186066">
            <w:pPr>
              <w:spacing w:after="0" w:line="240" w:lineRule="auto"/>
              <w:jc w:val="center"/>
              <w:rPr>
                <w:rFonts w:cs="Arial"/>
                <w:color w:val="000000"/>
                <w:sz w:val="18"/>
                <w:szCs w:val="18"/>
              </w:rPr>
            </w:pPr>
            <w:r w:rsidRPr="00670BAD">
              <w:rPr>
                <w:rFonts w:cs="Arial"/>
                <w:color w:val="000000"/>
                <w:sz w:val="18"/>
                <w:szCs w:val="18"/>
              </w:rPr>
              <w:t>8.4</w:t>
            </w:r>
          </w:p>
        </w:tc>
      </w:tr>
    </w:tbl>
    <w:p w14:paraId="04816469" w14:textId="7CCE48DC" w:rsidR="00AC78F6" w:rsidRDefault="00AC78F6" w:rsidP="00693F82">
      <w:pPr>
        <w:spacing w:line="240" w:lineRule="auto"/>
      </w:pPr>
      <w:r w:rsidRPr="009E5181">
        <w:rPr>
          <w:rFonts w:cs="Arial"/>
          <w:b/>
          <w:bCs/>
          <w:sz w:val="18"/>
          <w:szCs w:val="18"/>
        </w:rPr>
        <w:t xml:space="preserve">Note: </w:t>
      </w:r>
      <w:r w:rsidRPr="009E5181">
        <w:rPr>
          <w:rFonts w:cs="Arial"/>
          <w:sz w:val="18"/>
          <w:szCs w:val="18"/>
        </w:rPr>
        <w:t xml:space="preserve">Low SES equity reference value uses the 2016 </w:t>
      </w:r>
      <w:r>
        <w:rPr>
          <w:rFonts w:cs="Arial"/>
          <w:sz w:val="18"/>
          <w:szCs w:val="18"/>
        </w:rPr>
        <w:t>SEIFA IEO estimates (ABS)</w:t>
      </w:r>
      <w:r w:rsidRPr="009E5181">
        <w:rPr>
          <w:rFonts w:cs="Arial"/>
          <w:sz w:val="18"/>
          <w:szCs w:val="18"/>
        </w:rPr>
        <w:t>.</w:t>
      </w:r>
      <w:r>
        <w:rPr>
          <w:rFonts w:cs="Arial"/>
          <w:sz w:val="18"/>
          <w:szCs w:val="18"/>
        </w:rPr>
        <w:t xml:space="preserve"> </w:t>
      </w:r>
      <w:r w:rsidRPr="009E5181">
        <w:rPr>
          <w:rFonts w:cs="Arial"/>
          <w:sz w:val="18"/>
          <w:szCs w:val="18"/>
        </w:rPr>
        <w:t>All other equity reference values are sourced from Australian Government Department of Education (2023</w:t>
      </w:r>
      <w:r>
        <w:rPr>
          <w:rFonts w:cs="Arial"/>
          <w:sz w:val="18"/>
          <w:szCs w:val="18"/>
        </w:rPr>
        <w:t>b</w:t>
      </w:r>
      <w:r w:rsidRPr="009E5181">
        <w:rPr>
          <w:rFonts w:cs="Arial"/>
          <w:sz w:val="18"/>
          <w:szCs w:val="18"/>
        </w:rPr>
        <w:t xml:space="preserve">). The Australian Government Department of Education’s equity reference value for Disability </w:t>
      </w:r>
      <w:r>
        <w:rPr>
          <w:rFonts w:cs="Arial"/>
          <w:sz w:val="18"/>
          <w:szCs w:val="18"/>
        </w:rPr>
        <w:t>for each state and territory</w:t>
      </w:r>
      <w:r w:rsidRPr="009E5181">
        <w:rPr>
          <w:rFonts w:cs="Arial"/>
          <w:sz w:val="18"/>
          <w:szCs w:val="18"/>
        </w:rPr>
        <w:t xml:space="preserve"> is the national estimate of 8.4%.  </w:t>
      </w:r>
      <w:r w:rsidR="00006DA9">
        <w:rPr>
          <w:rFonts w:cs="Arial"/>
          <w:sz w:val="18"/>
          <w:szCs w:val="18"/>
        </w:rPr>
        <w:br/>
      </w:r>
      <w:r w:rsidR="00612DDE">
        <w:rPr>
          <w:b/>
          <w:bCs/>
          <w:sz w:val="18"/>
          <w:szCs w:val="18"/>
        </w:rPr>
        <w:t>Source:</w:t>
      </w:r>
      <w:r w:rsidR="00612DDE">
        <w:rPr>
          <w:sz w:val="18"/>
          <w:szCs w:val="18"/>
        </w:rPr>
        <w:t xml:space="preserve"> </w:t>
      </w:r>
      <w:r w:rsidR="00612DDE" w:rsidRPr="009E5181">
        <w:rPr>
          <w:rFonts w:cs="Arial"/>
          <w:sz w:val="18"/>
          <w:szCs w:val="18"/>
        </w:rPr>
        <w:t>Australian Government Department of Education (2023)</w:t>
      </w:r>
      <w:r w:rsidR="00612DDE">
        <w:rPr>
          <w:rFonts w:cs="Arial"/>
          <w:sz w:val="18"/>
          <w:szCs w:val="18"/>
        </w:rPr>
        <w:t xml:space="preserve"> and </w:t>
      </w:r>
      <w:r w:rsidR="002D13E9">
        <w:rPr>
          <w:rFonts w:cs="Arial"/>
          <w:sz w:val="18"/>
          <w:szCs w:val="18"/>
        </w:rPr>
        <w:t>ACSES</w:t>
      </w:r>
      <w:r w:rsidR="00612DDE">
        <w:rPr>
          <w:rFonts w:cs="Arial"/>
          <w:sz w:val="18"/>
          <w:szCs w:val="18"/>
        </w:rPr>
        <w:t xml:space="preserve"> calculations.</w:t>
      </w:r>
    </w:p>
    <w:p w14:paraId="55767964" w14:textId="450C2456" w:rsidR="00736D4C" w:rsidRDefault="00736D4C" w:rsidP="004E6425"/>
    <w:p w14:paraId="1C5DD6AD" w14:textId="71FDEF6E" w:rsidR="00736D4C" w:rsidRDefault="00F142D1" w:rsidP="00736D4C">
      <w:pPr>
        <w:spacing w:before="120" w:after="60"/>
      </w:pPr>
      <w:r>
        <w:t xml:space="preserve">The relevance of </w:t>
      </w:r>
      <w:r w:rsidR="00A042FC">
        <w:t>state/territory targets can be seen in the distribution of the domestic higher education population</w:t>
      </w:r>
      <w:r w:rsidR="009344B9">
        <w:t>,</w:t>
      </w:r>
      <w:r w:rsidR="00A042FC">
        <w:t xml:space="preserve"> </w:t>
      </w:r>
      <w:r w:rsidR="00CD20B0">
        <w:t xml:space="preserve">comparing the state or territory they resided in when applying to attend university and </w:t>
      </w:r>
      <w:r w:rsidR="00B56DFD">
        <w:t xml:space="preserve">the state or territory in which their enrolling institution has its main campus. </w:t>
      </w:r>
      <w:r w:rsidR="00EE63F5">
        <w:t xml:space="preserve">Historically, </w:t>
      </w:r>
      <w:r w:rsidR="00B17E18">
        <w:t>Australia</w:t>
      </w:r>
      <w:r w:rsidR="00EE63F5">
        <w:t>n higher education has been characterised by a</w:t>
      </w:r>
      <w:r w:rsidR="00B17E18">
        <w:t xml:space="preserve"> </w:t>
      </w:r>
      <w:r w:rsidR="00EE63F5">
        <w:t>“</w:t>
      </w:r>
      <w:r w:rsidR="00B17E18">
        <w:t>commuter culture</w:t>
      </w:r>
      <w:r w:rsidR="00EE63F5">
        <w:t>”</w:t>
      </w:r>
      <w:r w:rsidR="00B17E18">
        <w:t xml:space="preserve"> </w:t>
      </w:r>
      <w:r w:rsidR="00EE63F5">
        <w:t>whereby</w:t>
      </w:r>
      <w:r w:rsidR="0085647A">
        <w:t xml:space="preserve"> its undergraduate population attend universities in their home states and territories.</w:t>
      </w:r>
      <w:r w:rsidR="00B17E18">
        <w:t xml:space="preserve"> </w:t>
      </w:r>
      <w:r w:rsidR="004E6425">
        <w:t>The extent to which targets</w:t>
      </w:r>
      <w:r w:rsidR="00036272">
        <w:t xml:space="preserve"> continue to be differentiated by sub-national </w:t>
      </w:r>
      <w:r w:rsidR="00036272">
        <w:lastRenderedPageBreak/>
        <w:t>jurisdiction</w:t>
      </w:r>
      <w:r w:rsidR="004E6425">
        <w:t xml:space="preserve"> depends on the level of geographic segmentation within Australian higher education</w:t>
      </w:r>
      <w:r w:rsidR="00E31D3F">
        <w:t xml:space="preserve"> currently.</w:t>
      </w:r>
      <w:r w:rsidR="004E6425">
        <w:t xml:space="preserve"> </w:t>
      </w:r>
      <w:r w:rsidR="002D4FCA">
        <w:t>A</w:t>
      </w:r>
      <w:r w:rsidR="004E6425">
        <w:t>ssigning students to jurisdictions</w:t>
      </w:r>
      <w:r w:rsidR="000C5B92">
        <w:t xml:space="preserve"> based on</w:t>
      </w:r>
      <w:r w:rsidR="004E6425">
        <w:t xml:space="preserve"> their </w:t>
      </w:r>
      <w:r w:rsidR="002D4FCA">
        <w:t>permanent home</w:t>
      </w:r>
      <w:r w:rsidR="004E6425">
        <w:t xml:space="preserve"> address indicates a relatively strong degree of geographic segmentation persists in Australia. As Table </w:t>
      </w:r>
      <w:r w:rsidR="00333BA5">
        <w:t>6</w:t>
      </w:r>
      <w:r w:rsidR="004E6425">
        <w:t xml:space="preserve"> shows, around 14.9% of all domestic undergraduate students </w:t>
      </w:r>
      <w:r w:rsidR="00371F02">
        <w:t xml:space="preserve">undertake </w:t>
      </w:r>
      <w:r w:rsidR="004E6425">
        <w:t>stud</w:t>
      </w:r>
      <w:r w:rsidR="00371F02">
        <w:t>ies</w:t>
      </w:r>
      <w:r w:rsidR="004E6425">
        <w:t xml:space="preserve"> at an institution in another state or territory</w:t>
      </w:r>
      <w:r w:rsidR="005C4B52">
        <w:t xml:space="preserve"> – either </w:t>
      </w:r>
      <w:proofErr w:type="gramStart"/>
      <w:r w:rsidR="005C4B52">
        <w:t>as a result of</w:t>
      </w:r>
      <w:proofErr w:type="gramEnd"/>
      <w:r w:rsidR="005C4B52">
        <w:t xml:space="preserve"> moving interstate or through online enrolment.</w:t>
      </w:r>
      <w:r w:rsidR="004E6425">
        <w:t xml:space="preserve"> </w:t>
      </w:r>
      <w:r w:rsidR="0028768F">
        <w:t>There</w:t>
      </w:r>
      <w:r w:rsidR="004E6425">
        <w:t xml:space="preserve"> is considerable variation in interstate enrolments – both from student movements and online enrolments – ranging from 42.3% of students in the Northern Territory enrolled outside their home jurisdiction, compared with just 9.1% of undergraduates in Western Australia. At the national level, interstate enrolment rate</w:t>
      </w:r>
      <w:r w:rsidR="006F4A07">
        <w:t>s</w:t>
      </w:r>
      <w:r w:rsidR="00BE2763">
        <w:t xml:space="preserve"> for</w:t>
      </w:r>
      <w:r w:rsidR="004E6425">
        <w:t xml:space="preserve"> low SES students (14%) and students with disability (14%)</w:t>
      </w:r>
      <w:r w:rsidR="00BE2763">
        <w:t xml:space="preserve"> are </w:t>
      </w:r>
      <w:proofErr w:type="gramStart"/>
      <w:r w:rsidR="00BE2763">
        <w:t>similar to</w:t>
      </w:r>
      <w:proofErr w:type="gramEnd"/>
      <w:r w:rsidR="00BE2763">
        <w:t xml:space="preserve"> overall rates</w:t>
      </w:r>
      <w:r w:rsidR="004E6425">
        <w:t xml:space="preserve">, with regional/remote (20.9%) and First Nations (19.4%) </w:t>
      </w:r>
      <w:r w:rsidR="005C4B52">
        <w:t xml:space="preserve">students </w:t>
      </w:r>
      <w:r w:rsidR="004E6425">
        <w:t xml:space="preserve">more likely to be enrolled at </w:t>
      </w:r>
      <w:r w:rsidR="00424224">
        <w:t>inter</w:t>
      </w:r>
      <w:r w:rsidR="004E6425">
        <w:t>state institutions</w:t>
      </w:r>
      <w:r w:rsidR="00584D29">
        <w:t>.</w:t>
      </w:r>
      <w:r w:rsidR="004E6425">
        <w:t xml:space="preserve">   </w:t>
      </w:r>
      <w:r w:rsidR="007F6F36">
        <w:br/>
      </w:r>
    </w:p>
    <w:p w14:paraId="63EFFD90" w14:textId="5C1B3F72" w:rsidR="004E6425" w:rsidRDefault="004E6425" w:rsidP="00736D4C">
      <w:pPr>
        <w:spacing w:before="120" w:after="0"/>
        <w:rPr>
          <w:rFonts w:cstheme="minorHAnsi"/>
          <w:color w:val="000000"/>
          <w:sz w:val="18"/>
          <w:szCs w:val="18"/>
          <w:lang w:eastAsia="en-AU"/>
        </w:rPr>
      </w:pPr>
      <w:r w:rsidRPr="00185BAE">
        <w:rPr>
          <w:rFonts w:cstheme="minorHAnsi"/>
          <w:b/>
          <w:bCs/>
          <w:color w:val="000000"/>
          <w:sz w:val="18"/>
          <w:szCs w:val="18"/>
          <w:lang w:eastAsia="en-AU"/>
        </w:rPr>
        <w:t xml:space="preserve">Table </w:t>
      </w:r>
      <w:r w:rsidR="00333BA5">
        <w:rPr>
          <w:rFonts w:cstheme="minorHAnsi"/>
          <w:b/>
          <w:bCs/>
          <w:color w:val="000000"/>
          <w:sz w:val="18"/>
          <w:szCs w:val="18"/>
          <w:lang w:eastAsia="en-AU"/>
        </w:rPr>
        <w:t>6</w:t>
      </w:r>
      <w:r w:rsidRPr="00185BAE">
        <w:rPr>
          <w:rFonts w:cstheme="minorHAnsi"/>
          <w:b/>
          <w:bCs/>
          <w:color w:val="000000"/>
          <w:sz w:val="18"/>
          <w:szCs w:val="18"/>
          <w:lang w:eastAsia="en-AU"/>
        </w:rPr>
        <w:t xml:space="preserve">: </w:t>
      </w:r>
      <w:r>
        <w:rPr>
          <w:rFonts w:cstheme="minorHAnsi"/>
          <w:color w:val="000000"/>
          <w:sz w:val="18"/>
          <w:szCs w:val="18"/>
          <w:lang w:eastAsia="en-AU"/>
        </w:rPr>
        <w:t xml:space="preserve">Undergraduate enrolment headcount among Table A Providers, by institutional main campus location, 2021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621"/>
        <w:gridCol w:w="1728"/>
        <w:gridCol w:w="1727"/>
        <w:gridCol w:w="1728"/>
      </w:tblGrid>
      <w:tr w:rsidR="004E6425" w:rsidRPr="00CF10B7" w14:paraId="5C3086A7" w14:textId="77777777" w:rsidTr="00736D4C">
        <w:trPr>
          <w:trHeight w:val="950"/>
        </w:trPr>
        <w:tc>
          <w:tcPr>
            <w:tcW w:w="2547" w:type="dxa"/>
            <w:shd w:val="clear" w:color="auto" w:fill="auto"/>
            <w:noWrap/>
            <w:vAlign w:val="bottom"/>
            <w:hideMark/>
          </w:tcPr>
          <w:p w14:paraId="08DF77E6" w14:textId="77777777" w:rsidR="004E6425" w:rsidRPr="00EA27AB" w:rsidRDefault="004E6425">
            <w:pPr>
              <w:spacing w:after="0" w:line="240" w:lineRule="auto"/>
              <w:rPr>
                <w:rFonts w:cs="Arial"/>
                <w:color w:val="auto"/>
                <w:sz w:val="18"/>
                <w:szCs w:val="18"/>
                <w:lang w:eastAsia="en-AU"/>
              </w:rPr>
            </w:pPr>
          </w:p>
        </w:tc>
        <w:tc>
          <w:tcPr>
            <w:tcW w:w="1621" w:type="dxa"/>
            <w:shd w:val="clear" w:color="auto" w:fill="6B3B57"/>
            <w:noWrap/>
            <w:vAlign w:val="center"/>
            <w:hideMark/>
          </w:tcPr>
          <w:p w14:paraId="00076C54" w14:textId="77777777" w:rsidR="004E6425" w:rsidRPr="00EA27AB" w:rsidRDefault="004E6425">
            <w:pPr>
              <w:spacing w:after="0" w:line="240" w:lineRule="auto"/>
              <w:jc w:val="center"/>
              <w:rPr>
                <w:rFonts w:cs="Arial"/>
                <w:b/>
                <w:bCs/>
                <w:color w:val="EDE8E0" w:themeColor="background1"/>
                <w:sz w:val="18"/>
                <w:szCs w:val="18"/>
                <w:lang w:eastAsia="en-AU"/>
              </w:rPr>
            </w:pPr>
            <w:r w:rsidRPr="00EA27AB">
              <w:rPr>
                <w:rFonts w:cs="Arial"/>
                <w:b/>
                <w:bCs/>
                <w:color w:val="EDE8E0" w:themeColor="background1"/>
                <w:sz w:val="18"/>
                <w:szCs w:val="18"/>
                <w:lang w:eastAsia="en-AU"/>
              </w:rPr>
              <w:t xml:space="preserve">All </w:t>
            </w:r>
            <w:r>
              <w:rPr>
                <w:rFonts w:cs="Arial"/>
                <w:b/>
                <w:bCs/>
                <w:color w:val="EDE8E0" w:themeColor="background1"/>
                <w:sz w:val="18"/>
                <w:szCs w:val="18"/>
                <w:lang w:eastAsia="en-AU"/>
              </w:rPr>
              <w:t>Students</w:t>
            </w:r>
          </w:p>
        </w:tc>
        <w:tc>
          <w:tcPr>
            <w:tcW w:w="1728" w:type="dxa"/>
            <w:shd w:val="clear" w:color="auto" w:fill="6B3B57"/>
            <w:noWrap/>
            <w:vAlign w:val="center"/>
            <w:hideMark/>
          </w:tcPr>
          <w:p w14:paraId="37D387B7" w14:textId="3D24BD84" w:rsidR="004E6425" w:rsidRPr="00EA27AB" w:rsidRDefault="004E6425">
            <w:pPr>
              <w:spacing w:after="0" w:line="240" w:lineRule="auto"/>
              <w:jc w:val="center"/>
              <w:rPr>
                <w:rFonts w:cs="Arial"/>
                <w:b/>
                <w:bCs/>
                <w:color w:val="EDE8E0" w:themeColor="background1"/>
                <w:sz w:val="18"/>
                <w:szCs w:val="18"/>
                <w:lang w:eastAsia="en-AU"/>
              </w:rPr>
            </w:pPr>
            <w:r w:rsidRPr="00EA27AB">
              <w:rPr>
                <w:rFonts w:cs="Arial"/>
                <w:b/>
                <w:bCs/>
                <w:color w:val="EDE8E0" w:themeColor="background1"/>
                <w:sz w:val="18"/>
                <w:szCs w:val="18"/>
                <w:lang w:eastAsia="en-AU"/>
              </w:rPr>
              <w:t>Enrolled at Home Institution</w:t>
            </w:r>
          </w:p>
        </w:tc>
        <w:tc>
          <w:tcPr>
            <w:tcW w:w="1727" w:type="dxa"/>
            <w:shd w:val="clear" w:color="auto" w:fill="6B3B57"/>
            <w:noWrap/>
            <w:vAlign w:val="center"/>
            <w:hideMark/>
          </w:tcPr>
          <w:p w14:paraId="2BAAD86D" w14:textId="10C2A262" w:rsidR="004E6425" w:rsidRPr="00EA27AB" w:rsidRDefault="004E6425" w:rsidP="00C812BB">
            <w:pPr>
              <w:spacing w:after="0" w:line="240" w:lineRule="auto"/>
              <w:jc w:val="center"/>
              <w:rPr>
                <w:rFonts w:cs="Arial"/>
                <w:b/>
                <w:bCs/>
                <w:color w:val="EDE8E0" w:themeColor="background1"/>
                <w:sz w:val="18"/>
                <w:szCs w:val="18"/>
                <w:lang w:eastAsia="en-AU"/>
              </w:rPr>
            </w:pPr>
            <w:r w:rsidRPr="00EA27AB">
              <w:rPr>
                <w:rFonts w:cs="Arial"/>
                <w:b/>
                <w:bCs/>
                <w:color w:val="EDE8E0" w:themeColor="background1"/>
                <w:sz w:val="18"/>
                <w:szCs w:val="18"/>
                <w:lang w:eastAsia="en-AU"/>
              </w:rPr>
              <w:t xml:space="preserve">Enrolled at </w:t>
            </w:r>
            <w:r w:rsidR="00C812BB">
              <w:rPr>
                <w:rFonts w:cs="Arial"/>
                <w:b/>
                <w:bCs/>
                <w:color w:val="EDE8E0" w:themeColor="background1"/>
                <w:sz w:val="18"/>
                <w:szCs w:val="18"/>
                <w:lang w:eastAsia="en-AU"/>
              </w:rPr>
              <w:t>Interstate</w:t>
            </w:r>
            <w:r w:rsidRPr="00EA27AB">
              <w:rPr>
                <w:rFonts w:cs="Arial"/>
                <w:b/>
                <w:bCs/>
                <w:color w:val="EDE8E0" w:themeColor="background1"/>
                <w:sz w:val="18"/>
                <w:szCs w:val="18"/>
                <w:lang w:eastAsia="en-AU"/>
              </w:rPr>
              <w:t xml:space="preserve"> Institution</w:t>
            </w:r>
          </w:p>
        </w:tc>
        <w:tc>
          <w:tcPr>
            <w:tcW w:w="1728" w:type="dxa"/>
            <w:shd w:val="clear" w:color="auto" w:fill="6B3B57"/>
            <w:noWrap/>
            <w:vAlign w:val="center"/>
            <w:hideMark/>
          </w:tcPr>
          <w:p w14:paraId="543DA6B0" w14:textId="77777777" w:rsidR="004E6425" w:rsidRPr="00EA27AB" w:rsidRDefault="004E6425">
            <w:pPr>
              <w:spacing w:after="0" w:line="240" w:lineRule="auto"/>
              <w:jc w:val="center"/>
              <w:rPr>
                <w:rFonts w:cs="Arial"/>
                <w:b/>
                <w:bCs/>
                <w:color w:val="EDE8E0" w:themeColor="background1"/>
                <w:sz w:val="18"/>
                <w:szCs w:val="18"/>
                <w:lang w:eastAsia="en-AU"/>
              </w:rPr>
            </w:pPr>
            <w:r w:rsidRPr="00EA27AB">
              <w:rPr>
                <w:rFonts w:cs="Arial"/>
                <w:b/>
                <w:bCs/>
                <w:color w:val="EDE8E0" w:themeColor="background1"/>
                <w:sz w:val="18"/>
                <w:szCs w:val="18"/>
                <w:lang w:eastAsia="en-AU"/>
              </w:rPr>
              <w:t>External %</w:t>
            </w:r>
          </w:p>
        </w:tc>
      </w:tr>
      <w:tr w:rsidR="004E6425" w:rsidRPr="00EA27AB" w14:paraId="030DB85E" w14:textId="77777777">
        <w:trPr>
          <w:trHeight w:val="290"/>
        </w:trPr>
        <w:tc>
          <w:tcPr>
            <w:tcW w:w="2547" w:type="dxa"/>
            <w:shd w:val="clear" w:color="auto" w:fill="auto"/>
            <w:noWrap/>
            <w:vAlign w:val="center"/>
            <w:hideMark/>
          </w:tcPr>
          <w:p w14:paraId="4CAA90E7"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New South Wales</w:t>
            </w:r>
          </w:p>
        </w:tc>
        <w:tc>
          <w:tcPr>
            <w:tcW w:w="1621" w:type="dxa"/>
            <w:shd w:val="clear" w:color="auto" w:fill="auto"/>
            <w:noWrap/>
            <w:vAlign w:val="center"/>
            <w:hideMark/>
          </w:tcPr>
          <w:p w14:paraId="4685DEC3"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252,167</w:t>
            </w:r>
          </w:p>
        </w:tc>
        <w:tc>
          <w:tcPr>
            <w:tcW w:w="1728" w:type="dxa"/>
            <w:shd w:val="clear" w:color="auto" w:fill="auto"/>
            <w:noWrap/>
            <w:vAlign w:val="center"/>
            <w:hideMark/>
          </w:tcPr>
          <w:p w14:paraId="18BFA773"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208,971</w:t>
            </w:r>
          </w:p>
        </w:tc>
        <w:tc>
          <w:tcPr>
            <w:tcW w:w="1727" w:type="dxa"/>
            <w:shd w:val="clear" w:color="auto" w:fill="auto"/>
            <w:noWrap/>
            <w:vAlign w:val="center"/>
            <w:hideMark/>
          </w:tcPr>
          <w:p w14:paraId="0B879AA2"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43,196</w:t>
            </w:r>
          </w:p>
        </w:tc>
        <w:tc>
          <w:tcPr>
            <w:tcW w:w="1728" w:type="dxa"/>
            <w:shd w:val="clear" w:color="auto" w:fill="auto"/>
            <w:noWrap/>
            <w:vAlign w:val="center"/>
            <w:hideMark/>
          </w:tcPr>
          <w:p w14:paraId="6C43E0A3"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17.1</w:t>
            </w:r>
          </w:p>
        </w:tc>
      </w:tr>
      <w:tr w:rsidR="004E6425" w:rsidRPr="00EA27AB" w14:paraId="1733D05B" w14:textId="77777777">
        <w:trPr>
          <w:trHeight w:val="290"/>
        </w:trPr>
        <w:tc>
          <w:tcPr>
            <w:tcW w:w="2547" w:type="dxa"/>
            <w:shd w:val="clear" w:color="auto" w:fill="auto"/>
            <w:noWrap/>
            <w:vAlign w:val="center"/>
            <w:hideMark/>
          </w:tcPr>
          <w:p w14:paraId="40669809"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Victoria</w:t>
            </w:r>
          </w:p>
        </w:tc>
        <w:tc>
          <w:tcPr>
            <w:tcW w:w="1621" w:type="dxa"/>
            <w:shd w:val="clear" w:color="auto" w:fill="auto"/>
            <w:noWrap/>
            <w:vAlign w:val="center"/>
            <w:hideMark/>
          </w:tcPr>
          <w:p w14:paraId="3AE3595B"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198,331</w:t>
            </w:r>
          </w:p>
        </w:tc>
        <w:tc>
          <w:tcPr>
            <w:tcW w:w="1728" w:type="dxa"/>
            <w:shd w:val="clear" w:color="auto" w:fill="auto"/>
            <w:noWrap/>
            <w:vAlign w:val="center"/>
            <w:hideMark/>
          </w:tcPr>
          <w:p w14:paraId="3EE7B87F"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174,255</w:t>
            </w:r>
          </w:p>
        </w:tc>
        <w:tc>
          <w:tcPr>
            <w:tcW w:w="1727" w:type="dxa"/>
            <w:shd w:val="clear" w:color="auto" w:fill="auto"/>
            <w:noWrap/>
            <w:vAlign w:val="center"/>
            <w:hideMark/>
          </w:tcPr>
          <w:p w14:paraId="5A9DC211"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24,076</w:t>
            </w:r>
          </w:p>
        </w:tc>
        <w:tc>
          <w:tcPr>
            <w:tcW w:w="1728" w:type="dxa"/>
            <w:shd w:val="clear" w:color="auto" w:fill="auto"/>
            <w:noWrap/>
            <w:vAlign w:val="center"/>
            <w:hideMark/>
          </w:tcPr>
          <w:p w14:paraId="712AEF86"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12.1</w:t>
            </w:r>
          </w:p>
        </w:tc>
      </w:tr>
      <w:tr w:rsidR="004E6425" w:rsidRPr="00EA27AB" w14:paraId="7DAE9F89" w14:textId="77777777">
        <w:trPr>
          <w:trHeight w:val="290"/>
        </w:trPr>
        <w:tc>
          <w:tcPr>
            <w:tcW w:w="2547" w:type="dxa"/>
            <w:shd w:val="clear" w:color="auto" w:fill="auto"/>
            <w:noWrap/>
            <w:vAlign w:val="center"/>
            <w:hideMark/>
          </w:tcPr>
          <w:p w14:paraId="39CD0375"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Queensland</w:t>
            </w:r>
          </w:p>
        </w:tc>
        <w:tc>
          <w:tcPr>
            <w:tcW w:w="1621" w:type="dxa"/>
            <w:shd w:val="clear" w:color="auto" w:fill="auto"/>
            <w:noWrap/>
            <w:vAlign w:val="center"/>
            <w:hideMark/>
          </w:tcPr>
          <w:p w14:paraId="090A7586"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159,183</w:t>
            </w:r>
          </w:p>
        </w:tc>
        <w:tc>
          <w:tcPr>
            <w:tcW w:w="1728" w:type="dxa"/>
            <w:shd w:val="clear" w:color="auto" w:fill="auto"/>
            <w:noWrap/>
            <w:vAlign w:val="center"/>
            <w:hideMark/>
          </w:tcPr>
          <w:p w14:paraId="714B5D3C"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134,100</w:t>
            </w:r>
          </w:p>
        </w:tc>
        <w:tc>
          <w:tcPr>
            <w:tcW w:w="1727" w:type="dxa"/>
            <w:shd w:val="clear" w:color="auto" w:fill="auto"/>
            <w:noWrap/>
            <w:vAlign w:val="center"/>
            <w:hideMark/>
          </w:tcPr>
          <w:p w14:paraId="7344B28A"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25,083</w:t>
            </w:r>
          </w:p>
        </w:tc>
        <w:tc>
          <w:tcPr>
            <w:tcW w:w="1728" w:type="dxa"/>
            <w:shd w:val="clear" w:color="auto" w:fill="auto"/>
            <w:noWrap/>
            <w:vAlign w:val="center"/>
            <w:hideMark/>
          </w:tcPr>
          <w:p w14:paraId="2D826021"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15.8</w:t>
            </w:r>
          </w:p>
        </w:tc>
      </w:tr>
      <w:tr w:rsidR="004E6425" w:rsidRPr="00EA27AB" w14:paraId="4698A55B" w14:textId="77777777">
        <w:trPr>
          <w:trHeight w:val="290"/>
        </w:trPr>
        <w:tc>
          <w:tcPr>
            <w:tcW w:w="2547" w:type="dxa"/>
            <w:shd w:val="clear" w:color="auto" w:fill="auto"/>
            <w:noWrap/>
            <w:vAlign w:val="center"/>
            <w:hideMark/>
          </w:tcPr>
          <w:p w14:paraId="2F2B4AE6"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Western Australia</w:t>
            </w:r>
          </w:p>
        </w:tc>
        <w:tc>
          <w:tcPr>
            <w:tcW w:w="1621" w:type="dxa"/>
            <w:shd w:val="clear" w:color="auto" w:fill="auto"/>
            <w:noWrap/>
            <w:vAlign w:val="center"/>
            <w:hideMark/>
          </w:tcPr>
          <w:p w14:paraId="2AE52469"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77,994</w:t>
            </w:r>
          </w:p>
        </w:tc>
        <w:tc>
          <w:tcPr>
            <w:tcW w:w="1728" w:type="dxa"/>
            <w:shd w:val="clear" w:color="auto" w:fill="auto"/>
            <w:noWrap/>
            <w:vAlign w:val="center"/>
            <w:hideMark/>
          </w:tcPr>
          <w:p w14:paraId="33B2953B"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70,929</w:t>
            </w:r>
          </w:p>
        </w:tc>
        <w:tc>
          <w:tcPr>
            <w:tcW w:w="1727" w:type="dxa"/>
            <w:shd w:val="clear" w:color="auto" w:fill="auto"/>
            <w:noWrap/>
            <w:vAlign w:val="center"/>
            <w:hideMark/>
          </w:tcPr>
          <w:p w14:paraId="6513BE0A"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7,065</w:t>
            </w:r>
          </w:p>
        </w:tc>
        <w:tc>
          <w:tcPr>
            <w:tcW w:w="1728" w:type="dxa"/>
            <w:shd w:val="clear" w:color="auto" w:fill="auto"/>
            <w:noWrap/>
            <w:vAlign w:val="center"/>
            <w:hideMark/>
          </w:tcPr>
          <w:p w14:paraId="416E7C05"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9.1</w:t>
            </w:r>
          </w:p>
        </w:tc>
      </w:tr>
      <w:tr w:rsidR="004E6425" w:rsidRPr="00EA27AB" w14:paraId="1B48B509" w14:textId="77777777">
        <w:trPr>
          <w:trHeight w:val="290"/>
        </w:trPr>
        <w:tc>
          <w:tcPr>
            <w:tcW w:w="2547" w:type="dxa"/>
            <w:shd w:val="clear" w:color="auto" w:fill="auto"/>
            <w:noWrap/>
            <w:vAlign w:val="center"/>
            <w:hideMark/>
          </w:tcPr>
          <w:p w14:paraId="690C7038"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South Australia</w:t>
            </w:r>
          </w:p>
        </w:tc>
        <w:tc>
          <w:tcPr>
            <w:tcW w:w="1621" w:type="dxa"/>
            <w:shd w:val="clear" w:color="auto" w:fill="auto"/>
            <w:noWrap/>
            <w:vAlign w:val="center"/>
            <w:hideMark/>
          </w:tcPr>
          <w:p w14:paraId="1D39FE38"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55,516</w:t>
            </w:r>
          </w:p>
        </w:tc>
        <w:tc>
          <w:tcPr>
            <w:tcW w:w="1728" w:type="dxa"/>
            <w:shd w:val="clear" w:color="auto" w:fill="auto"/>
            <w:noWrap/>
            <w:vAlign w:val="center"/>
            <w:hideMark/>
          </w:tcPr>
          <w:p w14:paraId="54DA7712"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49,512</w:t>
            </w:r>
          </w:p>
        </w:tc>
        <w:tc>
          <w:tcPr>
            <w:tcW w:w="1727" w:type="dxa"/>
            <w:shd w:val="clear" w:color="auto" w:fill="auto"/>
            <w:noWrap/>
            <w:vAlign w:val="center"/>
            <w:hideMark/>
          </w:tcPr>
          <w:p w14:paraId="5C16C760"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6,004</w:t>
            </w:r>
          </w:p>
        </w:tc>
        <w:tc>
          <w:tcPr>
            <w:tcW w:w="1728" w:type="dxa"/>
            <w:shd w:val="clear" w:color="auto" w:fill="auto"/>
            <w:noWrap/>
            <w:vAlign w:val="center"/>
            <w:hideMark/>
          </w:tcPr>
          <w:p w14:paraId="70EBA5E8"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10.8</w:t>
            </w:r>
          </w:p>
        </w:tc>
      </w:tr>
      <w:tr w:rsidR="004E6425" w:rsidRPr="00EA27AB" w14:paraId="68BD0313" w14:textId="77777777">
        <w:trPr>
          <w:trHeight w:val="290"/>
        </w:trPr>
        <w:tc>
          <w:tcPr>
            <w:tcW w:w="2547" w:type="dxa"/>
            <w:shd w:val="clear" w:color="auto" w:fill="auto"/>
            <w:noWrap/>
            <w:vAlign w:val="center"/>
            <w:hideMark/>
          </w:tcPr>
          <w:p w14:paraId="4F55E892"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Tasmania</w:t>
            </w:r>
          </w:p>
        </w:tc>
        <w:tc>
          <w:tcPr>
            <w:tcW w:w="1621" w:type="dxa"/>
            <w:shd w:val="clear" w:color="auto" w:fill="auto"/>
            <w:noWrap/>
            <w:vAlign w:val="center"/>
            <w:hideMark/>
          </w:tcPr>
          <w:p w14:paraId="2DC7FBC3"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15,391</w:t>
            </w:r>
          </w:p>
        </w:tc>
        <w:tc>
          <w:tcPr>
            <w:tcW w:w="1728" w:type="dxa"/>
            <w:shd w:val="clear" w:color="auto" w:fill="auto"/>
            <w:noWrap/>
            <w:vAlign w:val="center"/>
            <w:hideMark/>
          </w:tcPr>
          <w:p w14:paraId="6C122FB2"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12,101</w:t>
            </w:r>
          </w:p>
        </w:tc>
        <w:tc>
          <w:tcPr>
            <w:tcW w:w="1727" w:type="dxa"/>
            <w:shd w:val="clear" w:color="auto" w:fill="auto"/>
            <w:noWrap/>
            <w:vAlign w:val="center"/>
            <w:hideMark/>
          </w:tcPr>
          <w:p w14:paraId="10BCA0ED"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3,290</w:t>
            </w:r>
          </w:p>
        </w:tc>
        <w:tc>
          <w:tcPr>
            <w:tcW w:w="1728" w:type="dxa"/>
            <w:shd w:val="clear" w:color="auto" w:fill="auto"/>
            <w:noWrap/>
            <w:vAlign w:val="center"/>
            <w:hideMark/>
          </w:tcPr>
          <w:p w14:paraId="2F764EE2"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21.4</w:t>
            </w:r>
          </w:p>
        </w:tc>
      </w:tr>
      <w:tr w:rsidR="004E6425" w:rsidRPr="00EA27AB" w14:paraId="15116CC6" w14:textId="77777777">
        <w:trPr>
          <w:trHeight w:val="290"/>
        </w:trPr>
        <w:tc>
          <w:tcPr>
            <w:tcW w:w="2547" w:type="dxa"/>
            <w:shd w:val="clear" w:color="auto" w:fill="auto"/>
            <w:noWrap/>
            <w:vAlign w:val="center"/>
            <w:hideMark/>
          </w:tcPr>
          <w:p w14:paraId="362BDAFA"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Northern Territory</w:t>
            </w:r>
          </w:p>
        </w:tc>
        <w:tc>
          <w:tcPr>
            <w:tcW w:w="1621" w:type="dxa"/>
            <w:shd w:val="clear" w:color="auto" w:fill="auto"/>
            <w:noWrap/>
            <w:vAlign w:val="center"/>
            <w:hideMark/>
          </w:tcPr>
          <w:p w14:paraId="4B7C71F3"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5,776</w:t>
            </w:r>
          </w:p>
        </w:tc>
        <w:tc>
          <w:tcPr>
            <w:tcW w:w="1728" w:type="dxa"/>
            <w:shd w:val="clear" w:color="auto" w:fill="auto"/>
            <w:noWrap/>
            <w:vAlign w:val="center"/>
            <w:hideMark/>
          </w:tcPr>
          <w:p w14:paraId="002C5BE9"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3,335</w:t>
            </w:r>
          </w:p>
        </w:tc>
        <w:tc>
          <w:tcPr>
            <w:tcW w:w="1727" w:type="dxa"/>
            <w:shd w:val="clear" w:color="auto" w:fill="auto"/>
            <w:noWrap/>
            <w:vAlign w:val="center"/>
            <w:hideMark/>
          </w:tcPr>
          <w:p w14:paraId="40CEAAF3"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2,441</w:t>
            </w:r>
          </w:p>
        </w:tc>
        <w:tc>
          <w:tcPr>
            <w:tcW w:w="1728" w:type="dxa"/>
            <w:shd w:val="clear" w:color="auto" w:fill="auto"/>
            <w:noWrap/>
            <w:vAlign w:val="center"/>
            <w:hideMark/>
          </w:tcPr>
          <w:p w14:paraId="5380F3AF"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42.3</w:t>
            </w:r>
          </w:p>
        </w:tc>
      </w:tr>
      <w:tr w:rsidR="004E6425" w:rsidRPr="00EA27AB" w14:paraId="0FE8E271" w14:textId="77777777">
        <w:trPr>
          <w:trHeight w:val="290"/>
        </w:trPr>
        <w:tc>
          <w:tcPr>
            <w:tcW w:w="2547" w:type="dxa"/>
            <w:shd w:val="clear" w:color="auto" w:fill="auto"/>
            <w:noWrap/>
            <w:vAlign w:val="center"/>
            <w:hideMark/>
          </w:tcPr>
          <w:p w14:paraId="5886A67E" w14:textId="77777777" w:rsidR="004E6425" w:rsidRPr="00EA27AB" w:rsidRDefault="004E6425">
            <w:pPr>
              <w:spacing w:after="0" w:line="240" w:lineRule="auto"/>
              <w:rPr>
                <w:rFonts w:cs="Arial"/>
                <w:color w:val="000000"/>
                <w:sz w:val="18"/>
                <w:szCs w:val="18"/>
                <w:lang w:eastAsia="en-AU"/>
              </w:rPr>
            </w:pPr>
            <w:r w:rsidRPr="00EA27AB">
              <w:rPr>
                <w:rFonts w:cs="Arial"/>
                <w:color w:val="000000"/>
                <w:sz w:val="18"/>
                <w:szCs w:val="18"/>
                <w:lang w:eastAsia="en-AU"/>
              </w:rPr>
              <w:t>Australian Capital Territory</w:t>
            </w:r>
          </w:p>
        </w:tc>
        <w:tc>
          <w:tcPr>
            <w:tcW w:w="1621" w:type="dxa"/>
            <w:shd w:val="clear" w:color="auto" w:fill="auto"/>
            <w:noWrap/>
            <w:vAlign w:val="center"/>
            <w:hideMark/>
          </w:tcPr>
          <w:p w14:paraId="40AE2350"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17,119</w:t>
            </w:r>
          </w:p>
        </w:tc>
        <w:tc>
          <w:tcPr>
            <w:tcW w:w="1728" w:type="dxa"/>
            <w:shd w:val="clear" w:color="auto" w:fill="auto"/>
            <w:noWrap/>
            <w:vAlign w:val="center"/>
            <w:hideMark/>
          </w:tcPr>
          <w:p w14:paraId="738D9158"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11,859</w:t>
            </w:r>
          </w:p>
        </w:tc>
        <w:tc>
          <w:tcPr>
            <w:tcW w:w="1727" w:type="dxa"/>
            <w:shd w:val="clear" w:color="auto" w:fill="auto"/>
            <w:noWrap/>
            <w:vAlign w:val="center"/>
            <w:hideMark/>
          </w:tcPr>
          <w:p w14:paraId="190DE2A5"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5,260</w:t>
            </w:r>
          </w:p>
        </w:tc>
        <w:tc>
          <w:tcPr>
            <w:tcW w:w="1728" w:type="dxa"/>
            <w:shd w:val="clear" w:color="auto" w:fill="auto"/>
            <w:noWrap/>
            <w:vAlign w:val="center"/>
            <w:hideMark/>
          </w:tcPr>
          <w:p w14:paraId="44BC8937" w14:textId="77777777" w:rsidR="004E6425" w:rsidRPr="00EA27AB" w:rsidRDefault="004E6425">
            <w:pPr>
              <w:spacing w:after="0" w:line="240" w:lineRule="auto"/>
              <w:ind w:right="379"/>
              <w:jc w:val="right"/>
              <w:rPr>
                <w:rFonts w:cs="Arial"/>
                <w:color w:val="000000"/>
                <w:sz w:val="18"/>
                <w:szCs w:val="18"/>
                <w:lang w:eastAsia="en-AU"/>
              </w:rPr>
            </w:pPr>
            <w:r w:rsidRPr="00EA27AB">
              <w:rPr>
                <w:rFonts w:cs="Arial"/>
                <w:color w:val="000000"/>
                <w:sz w:val="18"/>
                <w:szCs w:val="18"/>
                <w:lang w:eastAsia="en-AU"/>
              </w:rPr>
              <w:t>30.7</w:t>
            </w:r>
          </w:p>
        </w:tc>
      </w:tr>
      <w:tr w:rsidR="004E6425" w:rsidRPr="00EA27AB" w14:paraId="0D29846A" w14:textId="77777777" w:rsidTr="00736D4C">
        <w:trPr>
          <w:trHeight w:val="105"/>
        </w:trPr>
        <w:tc>
          <w:tcPr>
            <w:tcW w:w="2547" w:type="dxa"/>
            <w:shd w:val="clear" w:color="auto" w:fill="auto"/>
            <w:noWrap/>
            <w:vAlign w:val="center"/>
          </w:tcPr>
          <w:p w14:paraId="7443CC42" w14:textId="77777777" w:rsidR="004E6425" w:rsidRPr="00EA27AB" w:rsidRDefault="004E6425">
            <w:pPr>
              <w:spacing w:after="0" w:line="240" w:lineRule="auto"/>
              <w:rPr>
                <w:rFonts w:cs="Arial"/>
                <w:b/>
                <w:bCs/>
                <w:color w:val="000000"/>
                <w:sz w:val="18"/>
                <w:szCs w:val="18"/>
                <w:lang w:eastAsia="en-AU"/>
              </w:rPr>
            </w:pPr>
          </w:p>
        </w:tc>
        <w:tc>
          <w:tcPr>
            <w:tcW w:w="1621" w:type="dxa"/>
            <w:shd w:val="clear" w:color="auto" w:fill="auto"/>
            <w:noWrap/>
            <w:vAlign w:val="center"/>
          </w:tcPr>
          <w:p w14:paraId="67FFFD8E" w14:textId="77777777" w:rsidR="004E6425" w:rsidRPr="00EA27AB" w:rsidRDefault="004E6425">
            <w:pPr>
              <w:spacing w:after="0" w:line="240" w:lineRule="auto"/>
              <w:ind w:right="379"/>
              <w:jc w:val="right"/>
              <w:rPr>
                <w:rFonts w:cs="Arial"/>
                <w:b/>
                <w:bCs/>
                <w:color w:val="000000"/>
                <w:sz w:val="18"/>
                <w:szCs w:val="18"/>
                <w:lang w:eastAsia="en-AU"/>
              </w:rPr>
            </w:pPr>
          </w:p>
        </w:tc>
        <w:tc>
          <w:tcPr>
            <w:tcW w:w="1728" w:type="dxa"/>
            <w:shd w:val="clear" w:color="auto" w:fill="auto"/>
            <w:noWrap/>
            <w:vAlign w:val="center"/>
          </w:tcPr>
          <w:p w14:paraId="62AF1AE8" w14:textId="77777777" w:rsidR="004E6425" w:rsidRPr="00EA27AB" w:rsidRDefault="004E6425">
            <w:pPr>
              <w:spacing w:after="0" w:line="240" w:lineRule="auto"/>
              <w:ind w:right="379"/>
              <w:jc w:val="right"/>
              <w:rPr>
                <w:rFonts w:cs="Arial"/>
                <w:b/>
                <w:bCs/>
                <w:color w:val="000000"/>
                <w:sz w:val="18"/>
                <w:szCs w:val="18"/>
                <w:lang w:eastAsia="en-AU"/>
              </w:rPr>
            </w:pPr>
          </w:p>
        </w:tc>
        <w:tc>
          <w:tcPr>
            <w:tcW w:w="1727" w:type="dxa"/>
            <w:shd w:val="clear" w:color="auto" w:fill="auto"/>
            <w:noWrap/>
            <w:vAlign w:val="center"/>
          </w:tcPr>
          <w:p w14:paraId="72A82CD1" w14:textId="77777777" w:rsidR="004E6425" w:rsidRPr="00EA27AB" w:rsidRDefault="004E6425">
            <w:pPr>
              <w:spacing w:after="0" w:line="240" w:lineRule="auto"/>
              <w:ind w:right="379"/>
              <w:jc w:val="right"/>
              <w:rPr>
                <w:rFonts w:cs="Arial"/>
                <w:b/>
                <w:bCs/>
                <w:color w:val="000000"/>
                <w:sz w:val="18"/>
                <w:szCs w:val="18"/>
                <w:lang w:eastAsia="en-AU"/>
              </w:rPr>
            </w:pPr>
          </w:p>
        </w:tc>
        <w:tc>
          <w:tcPr>
            <w:tcW w:w="1728" w:type="dxa"/>
            <w:shd w:val="clear" w:color="auto" w:fill="auto"/>
            <w:noWrap/>
            <w:vAlign w:val="center"/>
          </w:tcPr>
          <w:p w14:paraId="38CC3567" w14:textId="77777777" w:rsidR="004E6425" w:rsidRPr="00EA27AB" w:rsidRDefault="004E6425">
            <w:pPr>
              <w:spacing w:after="0" w:line="240" w:lineRule="auto"/>
              <w:ind w:right="379"/>
              <w:jc w:val="right"/>
              <w:rPr>
                <w:rFonts w:cs="Arial"/>
                <w:b/>
                <w:bCs/>
                <w:color w:val="000000"/>
                <w:sz w:val="18"/>
                <w:szCs w:val="18"/>
                <w:lang w:eastAsia="en-AU"/>
              </w:rPr>
            </w:pPr>
          </w:p>
        </w:tc>
      </w:tr>
      <w:tr w:rsidR="004E6425" w:rsidRPr="00EA27AB" w14:paraId="212E9CA5" w14:textId="77777777">
        <w:trPr>
          <w:trHeight w:val="290"/>
        </w:trPr>
        <w:tc>
          <w:tcPr>
            <w:tcW w:w="2547" w:type="dxa"/>
            <w:shd w:val="clear" w:color="auto" w:fill="auto"/>
            <w:noWrap/>
            <w:vAlign w:val="center"/>
          </w:tcPr>
          <w:p w14:paraId="0CC9A1BD" w14:textId="77777777" w:rsidR="004E6425" w:rsidRPr="00EA27AB" w:rsidRDefault="004E6425">
            <w:pPr>
              <w:spacing w:after="0" w:line="240" w:lineRule="auto"/>
              <w:rPr>
                <w:rFonts w:cs="Arial"/>
                <w:b/>
                <w:bCs/>
                <w:color w:val="000000"/>
                <w:sz w:val="18"/>
                <w:szCs w:val="18"/>
                <w:lang w:eastAsia="en-AU"/>
              </w:rPr>
            </w:pPr>
            <w:r w:rsidRPr="00EA27AB">
              <w:rPr>
                <w:rFonts w:cs="Arial"/>
                <w:b/>
                <w:bCs/>
                <w:color w:val="000000"/>
                <w:sz w:val="18"/>
                <w:szCs w:val="18"/>
                <w:lang w:eastAsia="en-AU"/>
              </w:rPr>
              <w:t>Australia</w:t>
            </w:r>
            <w:r>
              <w:rPr>
                <w:rFonts w:cs="Arial"/>
                <w:b/>
                <w:bCs/>
                <w:color w:val="000000"/>
                <w:sz w:val="18"/>
                <w:szCs w:val="18"/>
                <w:lang w:eastAsia="en-AU"/>
              </w:rPr>
              <w:t>n Undergraduates</w:t>
            </w:r>
          </w:p>
        </w:tc>
        <w:tc>
          <w:tcPr>
            <w:tcW w:w="1621" w:type="dxa"/>
            <w:shd w:val="clear" w:color="auto" w:fill="auto"/>
            <w:noWrap/>
            <w:vAlign w:val="center"/>
          </w:tcPr>
          <w:p w14:paraId="2E4E9139" w14:textId="77777777" w:rsidR="004E6425" w:rsidRPr="00EA27AB" w:rsidRDefault="004E6425">
            <w:pPr>
              <w:spacing w:after="0" w:line="240" w:lineRule="auto"/>
              <w:ind w:right="379"/>
              <w:jc w:val="right"/>
              <w:rPr>
                <w:rFonts w:cs="Arial"/>
                <w:b/>
                <w:bCs/>
                <w:color w:val="000000"/>
                <w:sz w:val="18"/>
                <w:szCs w:val="18"/>
                <w:lang w:eastAsia="en-AU"/>
              </w:rPr>
            </w:pPr>
            <w:r w:rsidRPr="00EA27AB">
              <w:rPr>
                <w:rFonts w:cs="Arial"/>
                <w:b/>
                <w:bCs/>
                <w:color w:val="000000"/>
                <w:sz w:val="18"/>
                <w:szCs w:val="18"/>
                <w:lang w:eastAsia="en-AU"/>
              </w:rPr>
              <w:t>781,476</w:t>
            </w:r>
          </w:p>
        </w:tc>
        <w:tc>
          <w:tcPr>
            <w:tcW w:w="1728" w:type="dxa"/>
            <w:shd w:val="clear" w:color="auto" w:fill="auto"/>
            <w:noWrap/>
            <w:vAlign w:val="center"/>
          </w:tcPr>
          <w:p w14:paraId="17260F14" w14:textId="77777777" w:rsidR="004E6425" w:rsidRPr="00EA27AB" w:rsidRDefault="004E6425">
            <w:pPr>
              <w:spacing w:after="0" w:line="240" w:lineRule="auto"/>
              <w:ind w:right="379"/>
              <w:jc w:val="right"/>
              <w:rPr>
                <w:rFonts w:cs="Arial"/>
                <w:b/>
                <w:bCs/>
                <w:color w:val="000000"/>
                <w:sz w:val="18"/>
                <w:szCs w:val="18"/>
                <w:lang w:eastAsia="en-AU"/>
              </w:rPr>
            </w:pPr>
            <w:r w:rsidRPr="00EA27AB">
              <w:rPr>
                <w:rFonts w:cs="Arial"/>
                <w:b/>
                <w:bCs/>
                <w:color w:val="000000"/>
                <w:sz w:val="18"/>
                <w:szCs w:val="18"/>
                <w:lang w:eastAsia="en-AU"/>
              </w:rPr>
              <w:t>665,062</w:t>
            </w:r>
          </w:p>
        </w:tc>
        <w:tc>
          <w:tcPr>
            <w:tcW w:w="1727" w:type="dxa"/>
            <w:shd w:val="clear" w:color="auto" w:fill="auto"/>
            <w:noWrap/>
            <w:vAlign w:val="center"/>
          </w:tcPr>
          <w:p w14:paraId="2A1D1DCD" w14:textId="77777777" w:rsidR="004E6425" w:rsidRPr="00EA27AB" w:rsidRDefault="004E6425">
            <w:pPr>
              <w:spacing w:after="0" w:line="240" w:lineRule="auto"/>
              <w:ind w:right="379"/>
              <w:jc w:val="right"/>
              <w:rPr>
                <w:rFonts w:cs="Arial"/>
                <w:b/>
                <w:bCs/>
                <w:color w:val="000000"/>
                <w:sz w:val="18"/>
                <w:szCs w:val="18"/>
                <w:lang w:eastAsia="en-AU"/>
              </w:rPr>
            </w:pPr>
            <w:r w:rsidRPr="00EA27AB">
              <w:rPr>
                <w:rFonts w:cs="Arial"/>
                <w:b/>
                <w:bCs/>
                <w:color w:val="000000"/>
                <w:sz w:val="18"/>
                <w:szCs w:val="18"/>
                <w:lang w:eastAsia="en-AU"/>
              </w:rPr>
              <w:t>116,414</w:t>
            </w:r>
          </w:p>
        </w:tc>
        <w:tc>
          <w:tcPr>
            <w:tcW w:w="1728" w:type="dxa"/>
            <w:shd w:val="clear" w:color="auto" w:fill="auto"/>
            <w:noWrap/>
            <w:vAlign w:val="center"/>
          </w:tcPr>
          <w:p w14:paraId="3A0D0968" w14:textId="77777777" w:rsidR="004E6425" w:rsidRPr="00EA27AB" w:rsidRDefault="004E6425">
            <w:pPr>
              <w:spacing w:after="0" w:line="240" w:lineRule="auto"/>
              <w:ind w:right="379"/>
              <w:jc w:val="right"/>
              <w:rPr>
                <w:rFonts w:cs="Arial"/>
                <w:b/>
                <w:bCs/>
                <w:color w:val="000000"/>
                <w:sz w:val="18"/>
                <w:szCs w:val="18"/>
                <w:lang w:eastAsia="en-AU"/>
              </w:rPr>
            </w:pPr>
            <w:r w:rsidRPr="00EA27AB">
              <w:rPr>
                <w:rFonts w:cs="Arial"/>
                <w:b/>
                <w:bCs/>
                <w:color w:val="000000"/>
                <w:sz w:val="18"/>
                <w:szCs w:val="18"/>
                <w:lang w:eastAsia="en-AU"/>
              </w:rPr>
              <w:t>14.9</w:t>
            </w:r>
          </w:p>
        </w:tc>
      </w:tr>
      <w:tr w:rsidR="004E6425" w:rsidRPr="00EA27AB" w14:paraId="0CCEAA5A" w14:textId="77777777">
        <w:trPr>
          <w:trHeight w:val="290"/>
        </w:trPr>
        <w:tc>
          <w:tcPr>
            <w:tcW w:w="2547" w:type="dxa"/>
            <w:shd w:val="clear" w:color="auto" w:fill="auto"/>
            <w:noWrap/>
            <w:vAlign w:val="center"/>
          </w:tcPr>
          <w:p w14:paraId="143C32D2" w14:textId="77777777" w:rsidR="004E6425" w:rsidRPr="00C60300" w:rsidRDefault="004E6425">
            <w:pPr>
              <w:spacing w:after="0" w:line="240" w:lineRule="auto"/>
              <w:rPr>
                <w:rFonts w:cs="Arial"/>
                <w:color w:val="000000"/>
                <w:sz w:val="18"/>
                <w:szCs w:val="18"/>
                <w:lang w:eastAsia="en-AU"/>
              </w:rPr>
            </w:pPr>
            <w:r>
              <w:rPr>
                <w:rFonts w:cs="Arial"/>
                <w:color w:val="000000"/>
                <w:sz w:val="18"/>
                <w:szCs w:val="18"/>
                <w:lang w:eastAsia="en-AU"/>
              </w:rPr>
              <w:t>Low SES students</w:t>
            </w:r>
          </w:p>
        </w:tc>
        <w:tc>
          <w:tcPr>
            <w:tcW w:w="1621" w:type="dxa"/>
            <w:shd w:val="clear" w:color="auto" w:fill="auto"/>
            <w:noWrap/>
            <w:vAlign w:val="center"/>
          </w:tcPr>
          <w:p w14:paraId="647663B3"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133,782</w:t>
            </w:r>
          </w:p>
        </w:tc>
        <w:tc>
          <w:tcPr>
            <w:tcW w:w="1728" w:type="dxa"/>
            <w:shd w:val="clear" w:color="auto" w:fill="auto"/>
            <w:noWrap/>
            <w:vAlign w:val="center"/>
          </w:tcPr>
          <w:p w14:paraId="2CDBB9D2"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115,051</w:t>
            </w:r>
          </w:p>
        </w:tc>
        <w:tc>
          <w:tcPr>
            <w:tcW w:w="1727" w:type="dxa"/>
            <w:shd w:val="clear" w:color="auto" w:fill="auto"/>
            <w:noWrap/>
            <w:vAlign w:val="center"/>
          </w:tcPr>
          <w:p w14:paraId="0474876F"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18,732</w:t>
            </w:r>
          </w:p>
        </w:tc>
        <w:tc>
          <w:tcPr>
            <w:tcW w:w="1728" w:type="dxa"/>
            <w:shd w:val="clear" w:color="auto" w:fill="auto"/>
            <w:noWrap/>
            <w:vAlign w:val="center"/>
          </w:tcPr>
          <w:p w14:paraId="057C4E26"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14.0</w:t>
            </w:r>
          </w:p>
        </w:tc>
      </w:tr>
      <w:tr w:rsidR="004E6425" w:rsidRPr="00EA27AB" w14:paraId="6B963F50" w14:textId="77777777">
        <w:trPr>
          <w:trHeight w:val="290"/>
        </w:trPr>
        <w:tc>
          <w:tcPr>
            <w:tcW w:w="2547" w:type="dxa"/>
            <w:shd w:val="clear" w:color="auto" w:fill="auto"/>
            <w:noWrap/>
            <w:vAlign w:val="center"/>
          </w:tcPr>
          <w:p w14:paraId="6F69E80E" w14:textId="77777777" w:rsidR="004E6425" w:rsidRPr="00C60300" w:rsidRDefault="004E6425">
            <w:pPr>
              <w:spacing w:after="0" w:line="240" w:lineRule="auto"/>
              <w:rPr>
                <w:rFonts w:cs="Arial"/>
                <w:color w:val="000000"/>
                <w:sz w:val="18"/>
                <w:szCs w:val="18"/>
                <w:lang w:eastAsia="en-AU"/>
              </w:rPr>
            </w:pPr>
            <w:r>
              <w:rPr>
                <w:rFonts w:cs="Arial"/>
                <w:color w:val="000000"/>
                <w:sz w:val="18"/>
                <w:szCs w:val="18"/>
                <w:lang w:eastAsia="en-AU"/>
              </w:rPr>
              <w:t>Regional/Remote students</w:t>
            </w:r>
          </w:p>
        </w:tc>
        <w:tc>
          <w:tcPr>
            <w:tcW w:w="1621" w:type="dxa"/>
            <w:shd w:val="clear" w:color="auto" w:fill="auto"/>
            <w:noWrap/>
            <w:vAlign w:val="center"/>
          </w:tcPr>
          <w:p w14:paraId="4CF8451D"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160,827</w:t>
            </w:r>
          </w:p>
        </w:tc>
        <w:tc>
          <w:tcPr>
            <w:tcW w:w="1728" w:type="dxa"/>
            <w:shd w:val="clear" w:color="auto" w:fill="auto"/>
            <w:noWrap/>
            <w:vAlign w:val="center"/>
          </w:tcPr>
          <w:p w14:paraId="6B805641"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127,228</w:t>
            </w:r>
          </w:p>
        </w:tc>
        <w:tc>
          <w:tcPr>
            <w:tcW w:w="1727" w:type="dxa"/>
            <w:shd w:val="clear" w:color="auto" w:fill="auto"/>
            <w:noWrap/>
            <w:vAlign w:val="center"/>
          </w:tcPr>
          <w:p w14:paraId="3579EAF5"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33,599</w:t>
            </w:r>
          </w:p>
        </w:tc>
        <w:tc>
          <w:tcPr>
            <w:tcW w:w="1728" w:type="dxa"/>
            <w:shd w:val="clear" w:color="auto" w:fill="auto"/>
            <w:noWrap/>
            <w:vAlign w:val="center"/>
          </w:tcPr>
          <w:p w14:paraId="21378FD9"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20.9</w:t>
            </w:r>
          </w:p>
        </w:tc>
      </w:tr>
      <w:tr w:rsidR="004E6425" w:rsidRPr="00EA27AB" w14:paraId="0D4A03C7" w14:textId="77777777">
        <w:trPr>
          <w:trHeight w:val="290"/>
        </w:trPr>
        <w:tc>
          <w:tcPr>
            <w:tcW w:w="2547" w:type="dxa"/>
            <w:shd w:val="clear" w:color="auto" w:fill="auto"/>
            <w:noWrap/>
            <w:vAlign w:val="center"/>
          </w:tcPr>
          <w:p w14:paraId="7E07C4D6" w14:textId="77777777" w:rsidR="004E6425" w:rsidRPr="00C60300" w:rsidRDefault="004E6425">
            <w:pPr>
              <w:spacing w:after="0" w:line="240" w:lineRule="auto"/>
              <w:rPr>
                <w:rFonts w:cs="Arial"/>
                <w:color w:val="000000"/>
                <w:sz w:val="18"/>
                <w:szCs w:val="18"/>
                <w:lang w:eastAsia="en-AU"/>
              </w:rPr>
            </w:pPr>
            <w:r>
              <w:rPr>
                <w:rFonts w:cs="Arial"/>
                <w:color w:val="000000"/>
                <w:sz w:val="18"/>
                <w:szCs w:val="18"/>
                <w:lang w:eastAsia="en-AU"/>
              </w:rPr>
              <w:t>First Nations students</w:t>
            </w:r>
          </w:p>
        </w:tc>
        <w:tc>
          <w:tcPr>
            <w:tcW w:w="1621" w:type="dxa"/>
            <w:shd w:val="clear" w:color="auto" w:fill="auto"/>
            <w:noWrap/>
            <w:vAlign w:val="center"/>
          </w:tcPr>
          <w:p w14:paraId="0B1751C9"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16,436</w:t>
            </w:r>
          </w:p>
        </w:tc>
        <w:tc>
          <w:tcPr>
            <w:tcW w:w="1728" w:type="dxa"/>
            <w:shd w:val="clear" w:color="auto" w:fill="auto"/>
            <w:noWrap/>
            <w:vAlign w:val="center"/>
          </w:tcPr>
          <w:p w14:paraId="18A9523B"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13,241</w:t>
            </w:r>
          </w:p>
        </w:tc>
        <w:tc>
          <w:tcPr>
            <w:tcW w:w="1727" w:type="dxa"/>
            <w:shd w:val="clear" w:color="auto" w:fill="auto"/>
            <w:noWrap/>
            <w:vAlign w:val="center"/>
          </w:tcPr>
          <w:p w14:paraId="32C45C7A"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3,195</w:t>
            </w:r>
          </w:p>
        </w:tc>
        <w:tc>
          <w:tcPr>
            <w:tcW w:w="1728" w:type="dxa"/>
            <w:shd w:val="clear" w:color="auto" w:fill="auto"/>
            <w:noWrap/>
            <w:vAlign w:val="center"/>
          </w:tcPr>
          <w:p w14:paraId="321C9341"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19.4</w:t>
            </w:r>
          </w:p>
        </w:tc>
      </w:tr>
      <w:tr w:rsidR="004E6425" w:rsidRPr="00EA27AB" w14:paraId="5BD62C5B" w14:textId="77777777">
        <w:trPr>
          <w:trHeight w:val="290"/>
        </w:trPr>
        <w:tc>
          <w:tcPr>
            <w:tcW w:w="2547" w:type="dxa"/>
            <w:shd w:val="clear" w:color="auto" w:fill="auto"/>
            <w:noWrap/>
            <w:vAlign w:val="center"/>
          </w:tcPr>
          <w:p w14:paraId="6B7F90A1" w14:textId="77777777" w:rsidR="004E6425" w:rsidRPr="00C60300" w:rsidRDefault="004E6425">
            <w:pPr>
              <w:spacing w:after="0" w:line="240" w:lineRule="auto"/>
              <w:rPr>
                <w:rFonts w:cs="Arial"/>
                <w:color w:val="000000"/>
                <w:sz w:val="18"/>
                <w:szCs w:val="18"/>
                <w:lang w:eastAsia="en-AU"/>
              </w:rPr>
            </w:pPr>
            <w:r>
              <w:rPr>
                <w:rFonts w:cs="Arial"/>
                <w:color w:val="000000"/>
                <w:sz w:val="18"/>
                <w:szCs w:val="18"/>
                <w:lang w:eastAsia="en-AU"/>
              </w:rPr>
              <w:t xml:space="preserve">Students with Disability </w:t>
            </w:r>
          </w:p>
        </w:tc>
        <w:tc>
          <w:tcPr>
            <w:tcW w:w="1621" w:type="dxa"/>
            <w:shd w:val="clear" w:color="auto" w:fill="auto"/>
            <w:noWrap/>
            <w:vAlign w:val="center"/>
          </w:tcPr>
          <w:p w14:paraId="17DC5831"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80,649</w:t>
            </w:r>
          </w:p>
        </w:tc>
        <w:tc>
          <w:tcPr>
            <w:tcW w:w="1728" w:type="dxa"/>
            <w:shd w:val="clear" w:color="auto" w:fill="auto"/>
            <w:noWrap/>
            <w:vAlign w:val="center"/>
          </w:tcPr>
          <w:p w14:paraId="7B301242"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69,319</w:t>
            </w:r>
          </w:p>
        </w:tc>
        <w:tc>
          <w:tcPr>
            <w:tcW w:w="1727" w:type="dxa"/>
            <w:shd w:val="clear" w:color="auto" w:fill="auto"/>
            <w:noWrap/>
            <w:vAlign w:val="center"/>
          </w:tcPr>
          <w:p w14:paraId="7E397299"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11,330</w:t>
            </w:r>
          </w:p>
        </w:tc>
        <w:tc>
          <w:tcPr>
            <w:tcW w:w="1728" w:type="dxa"/>
            <w:shd w:val="clear" w:color="auto" w:fill="auto"/>
            <w:noWrap/>
            <w:vAlign w:val="center"/>
          </w:tcPr>
          <w:p w14:paraId="7CEE44E6" w14:textId="77777777" w:rsidR="004E6425" w:rsidRPr="00455DC7" w:rsidRDefault="004E6425">
            <w:pPr>
              <w:spacing w:after="0" w:line="240" w:lineRule="auto"/>
              <w:ind w:right="379"/>
              <w:jc w:val="right"/>
              <w:rPr>
                <w:rFonts w:cs="Arial"/>
                <w:b/>
                <w:bCs/>
                <w:color w:val="000000"/>
                <w:sz w:val="18"/>
                <w:szCs w:val="18"/>
                <w:lang w:eastAsia="en-AU"/>
              </w:rPr>
            </w:pPr>
            <w:r w:rsidRPr="00455DC7">
              <w:rPr>
                <w:rFonts w:cs="Arial"/>
                <w:color w:val="000000"/>
                <w:sz w:val="18"/>
                <w:szCs w:val="18"/>
              </w:rPr>
              <w:t>14.0</w:t>
            </w:r>
          </w:p>
        </w:tc>
      </w:tr>
    </w:tbl>
    <w:p w14:paraId="38401D0D" w14:textId="771D64BC" w:rsidR="00BD3B6D" w:rsidRDefault="00BD3B6D" w:rsidP="00BD3B6D">
      <w:pPr>
        <w:spacing w:after="0" w:line="240" w:lineRule="auto"/>
      </w:pPr>
      <w:r>
        <w:rPr>
          <w:b/>
          <w:bCs/>
          <w:sz w:val="18"/>
          <w:szCs w:val="18"/>
        </w:rPr>
        <w:t xml:space="preserve">Note: </w:t>
      </w:r>
      <w:bookmarkStart w:id="20" w:name="_Hlk149297800"/>
      <w:r>
        <w:rPr>
          <w:rFonts w:cs="Arial"/>
          <w:sz w:val="18"/>
          <w:szCs w:val="18"/>
        </w:rPr>
        <w:t xml:space="preserve">The aggregate measure of enrolments here differs partially from the standard measures in Table 2 due to the suppression of some data.   </w:t>
      </w:r>
      <w:bookmarkEnd w:id="20"/>
    </w:p>
    <w:p w14:paraId="713F5130" w14:textId="4C859676" w:rsidR="004E6425" w:rsidRDefault="004E6425" w:rsidP="006928B5">
      <w:pPr>
        <w:spacing w:after="0" w:line="240" w:lineRule="auto"/>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1D476F90" w14:textId="77777777" w:rsidR="007F6F36" w:rsidRDefault="007F6F36" w:rsidP="006928B5">
      <w:pPr>
        <w:spacing w:after="0" w:line="240" w:lineRule="auto"/>
        <w:rPr>
          <w:rFonts w:cs="Arial"/>
          <w:sz w:val="18"/>
          <w:szCs w:val="18"/>
        </w:rPr>
      </w:pPr>
    </w:p>
    <w:p w14:paraId="1A628FD7" w14:textId="77777777" w:rsidR="007F6F36" w:rsidRDefault="007F6F36" w:rsidP="006928B5">
      <w:pPr>
        <w:spacing w:after="0" w:line="240" w:lineRule="auto"/>
      </w:pPr>
    </w:p>
    <w:p w14:paraId="2116EDE8" w14:textId="5A977772" w:rsidR="006E5131" w:rsidRPr="00F9446A" w:rsidRDefault="004E6425">
      <w:r>
        <w:t xml:space="preserve">Generally, undergraduates in Australia reside in areas where between 80 and </w:t>
      </w:r>
      <w:r w:rsidR="001F59B5">
        <w:t>90</w:t>
      </w:r>
      <w:r>
        <w:t xml:space="preserve">% of domestic undergraduates (Table A Providers) are enrolled at an institution whose main campus </w:t>
      </w:r>
      <w:proofErr w:type="gramStart"/>
      <w:r>
        <w:t>is located in</w:t>
      </w:r>
      <w:proofErr w:type="gramEnd"/>
      <w:r>
        <w:t xml:space="preserve"> their </w:t>
      </w:r>
      <w:r w:rsidR="00F66406">
        <w:t xml:space="preserve">home </w:t>
      </w:r>
      <w:r>
        <w:t xml:space="preserve">jurisdiction. Given the strong preference among students for attending institutions in their home jurisdictions, these can be thought of as being the </w:t>
      </w:r>
      <w:r>
        <w:lastRenderedPageBreak/>
        <w:t>primary draw pool for institutions, and therefore, equity targets should be established based on group shares of population within the state or territory, rather than at the national level.</w:t>
      </w:r>
      <w:r w:rsidR="001F59B5">
        <w:t xml:space="preserve"> In addition</w:t>
      </w:r>
      <w:r w:rsidR="00735BFF">
        <w:t xml:space="preserve">, </w:t>
      </w:r>
      <w:r w:rsidR="002E73CD">
        <w:t>as</w:t>
      </w:r>
      <w:r w:rsidR="00735BFF">
        <w:t xml:space="preserve"> inter</w:t>
      </w:r>
      <w:r w:rsidR="00BD1EDD">
        <w:t>s</w:t>
      </w:r>
      <w:r w:rsidR="00735BFF">
        <w:t>tate</w:t>
      </w:r>
      <w:r w:rsidR="00831F9B">
        <w:t xml:space="preserve"> institutions </w:t>
      </w:r>
      <w:r w:rsidR="00BD7BF4">
        <w:t>contribute</w:t>
      </w:r>
      <w:r w:rsidR="00831F9B">
        <w:t xml:space="preserve"> to equity participation and completion within state and territory jurisdictions</w:t>
      </w:r>
      <w:r w:rsidR="00BD7BF4">
        <w:t>, a previously ignored aspect of equity targeting policy</w:t>
      </w:r>
      <w:r w:rsidR="001F59B5">
        <w:t>, that may require</w:t>
      </w:r>
      <w:r w:rsidR="00080E4A">
        <w:t xml:space="preserve"> recognition in the setting of state/territory targets. </w:t>
      </w:r>
    </w:p>
    <w:p w14:paraId="459B4A53" w14:textId="13872F8F" w:rsidR="005D1C6D" w:rsidRPr="002115BA" w:rsidRDefault="005D1C6D" w:rsidP="007F6F36">
      <w:pPr>
        <w:pStyle w:val="Heading3"/>
      </w:pPr>
      <w:r>
        <w:t xml:space="preserve">Defining </w:t>
      </w:r>
      <w:r w:rsidR="00080E4A">
        <w:t>Parity Targets</w:t>
      </w:r>
    </w:p>
    <w:p w14:paraId="6F8A8C17" w14:textId="6C56C848" w:rsidR="00B06CC8" w:rsidRDefault="004832B7" w:rsidP="00742CBC">
      <w:r>
        <w:t>Given this mix of considerations</w:t>
      </w:r>
      <w:r w:rsidR="00406799">
        <w:t>, t</w:t>
      </w:r>
      <w:r w:rsidR="00630C3D">
        <w:t>h</w:t>
      </w:r>
      <w:r>
        <w:t xml:space="preserve">is report reports a parity </w:t>
      </w:r>
      <w:r w:rsidR="008D1526">
        <w:t xml:space="preserve">target </w:t>
      </w:r>
      <w:r>
        <w:t>policy analysis</w:t>
      </w:r>
      <w:r w:rsidR="002354B0">
        <w:t xml:space="preserve"> across</w:t>
      </w:r>
      <w:r w:rsidR="008D1526">
        <w:t xml:space="preserve"> both national and state/territory targets</w:t>
      </w:r>
      <w:r w:rsidR="008E5C2E">
        <w:t xml:space="preserve"> that apply to both participation and completion targets</w:t>
      </w:r>
      <w:r w:rsidR="006B07C5">
        <w:t xml:space="preserve">: </w:t>
      </w:r>
      <w:r w:rsidR="00C94D30">
        <w:t xml:space="preserve"> </w:t>
      </w:r>
    </w:p>
    <w:p w14:paraId="742D2771" w14:textId="7E2CED3D" w:rsidR="006B07C5" w:rsidRDefault="00411DEA" w:rsidP="00736D4C">
      <w:pPr>
        <w:pStyle w:val="ListParagraph"/>
        <w:numPr>
          <w:ilvl w:val="0"/>
          <w:numId w:val="27"/>
        </w:numPr>
      </w:pPr>
      <w:r>
        <w:rPr>
          <w:b/>
          <w:bCs/>
        </w:rPr>
        <w:t xml:space="preserve">National </w:t>
      </w:r>
      <w:r w:rsidR="00C94D30">
        <w:rPr>
          <w:b/>
          <w:bCs/>
        </w:rPr>
        <w:t xml:space="preserve">Parity </w:t>
      </w:r>
      <w:r>
        <w:rPr>
          <w:b/>
          <w:bCs/>
        </w:rPr>
        <w:t xml:space="preserve">Targets: </w:t>
      </w:r>
      <w:r w:rsidR="00874165">
        <w:t xml:space="preserve">Table A </w:t>
      </w:r>
      <w:r w:rsidR="00DA1754">
        <w:t>Providers</w:t>
      </w:r>
      <w:r w:rsidR="00874165">
        <w:t xml:space="preserve"> are individually or </w:t>
      </w:r>
      <w:r w:rsidR="008E1C6B">
        <w:t>collectively set</w:t>
      </w:r>
      <w:r w:rsidR="002623AE">
        <w:t xml:space="preserve"> a target for each equity group whereby its enrolment share in the institution</w:t>
      </w:r>
      <w:r w:rsidR="007D44A6">
        <w:t>’s enrolment and completions</w:t>
      </w:r>
      <w:r w:rsidR="002623AE">
        <w:t xml:space="preserve"> </w:t>
      </w:r>
      <w:r w:rsidR="008E1C6B">
        <w:t xml:space="preserve">is equal to the </w:t>
      </w:r>
      <w:r w:rsidR="008E1C6B" w:rsidRPr="008E1C6B">
        <w:rPr>
          <w:i/>
          <w:iCs/>
        </w:rPr>
        <w:t>national</w:t>
      </w:r>
      <w:r w:rsidR="008E1C6B">
        <w:t xml:space="preserve"> population share</w:t>
      </w:r>
      <w:r w:rsidR="0062160E">
        <w:t>, based on those</w:t>
      </w:r>
      <w:r w:rsidR="008E1C6B">
        <w:t xml:space="preserve"> reported in Table </w:t>
      </w:r>
      <w:r w:rsidR="00DA1754">
        <w:t>3</w:t>
      </w:r>
      <w:r w:rsidR="008E1C6B">
        <w:t>.</w:t>
      </w:r>
      <w:r w:rsidR="0062160E">
        <w:t xml:space="preserve"> In the case of low SES students, regional/remote students</w:t>
      </w:r>
      <w:r w:rsidR="00CC6536">
        <w:t>,</w:t>
      </w:r>
      <w:r w:rsidR="0062160E">
        <w:t xml:space="preserve"> and students with disability,</w:t>
      </w:r>
      <w:r w:rsidR="0009136C">
        <w:t xml:space="preserve"> due to the relatively static population shares of the equity grou</w:t>
      </w:r>
      <w:r w:rsidR="00CA3FF4">
        <w:t xml:space="preserve">p (low SES and regional/remote students) or uncertainty about its growth in the 15- to </w:t>
      </w:r>
      <w:r w:rsidR="006F35F7">
        <w:t>64-year-old</w:t>
      </w:r>
      <w:r w:rsidR="00CA3FF4">
        <w:t xml:space="preserve"> cohort (disability),</w:t>
      </w:r>
      <w:r w:rsidR="0062160E">
        <w:t xml:space="preserve"> the targets for 2035 </w:t>
      </w:r>
      <w:r w:rsidR="0009136C">
        <w:t>are identical to the population shares for 2021</w:t>
      </w:r>
      <w:r w:rsidR="00CA3FF4">
        <w:t xml:space="preserve">. In the case of First Nations students, trend growth in the Department of </w:t>
      </w:r>
      <w:r w:rsidR="00EB42CB">
        <w:t>Education’s</w:t>
      </w:r>
      <w:r w:rsidR="00CA3FF4">
        <w:t xml:space="preserve"> state </w:t>
      </w:r>
      <w:r w:rsidR="00F628DF">
        <w:t>and territory First Nations populations shares was used to forecast the First Nations</w:t>
      </w:r>
      <w:r w:rsidR="00AF4FE2">
        <w:t>’</w:t>
      </w:r>
      <w:r w:rsidR="006F35F7">
        <w:t xml:space="preserve"> share of population</w:t>
      </w:r>
      <w:r w:rsidR="00AF4FE2">
        <w:t xml:space="preserve"> in 2035</w:t>
      </w:r>
      <w:r w:rsidR="006F35F7">
        <w:t xml:space="preserve">. </w:t>
      </w:r>
      <w:r w:rsidR="00F628DF">
        <w:t xml:space="preserve"> </w:t>
      </w:r>
      <w:r w:rsidR="00CA3FF4">
        <w:t xml:space="preserve">  </w:t>
      </w:r>
    </w:p>
    <w:p w14:paraId="0C86C32D" w14:textId="77777777" w:rsidR="006B07C5" w:rsidRDefault="006B07C5" w:rsidP="00736D4C">
      <w:pPr>
        <w:pStyle w:val="ListParagraph"/>
        <w:numPr>
          <w:ilvl w:val="0"/>
          <w:numId w:val="0"/>
        </w:numPr>
        <w:ind w:left="357"/>
      </w:pPr>
    </w:p>
    <w:p w14:paraId="4712100F" w14:textId="77777777" w:rsidR="006B07C5" w:rsidRDefault="007D44A6" w:rsidP="00581958">
      <w:pPr>
        <w:pStyle w:val="ListParagraph"/>
        <w:numPr>
          <w:ilvl w:val="0"/>
          <w:numId w:val="27"/>
        </w:numPr>
      </w:pPr>
      <w:r>
        <w:rPr>
          <w:b/>
          <w:bCs/>
        </w:rPr>
        <w:t>State</w:t>
      </w:r>
      <w:r w:rsidR="00331236">
        <w:rPr>
          <w:b/>
          <w:bCs/>
        </w:rPr>
        <w:t>/Territory</w:t>
      </w:r>
      <w:r>
        <w:rPr>
          <w:b/>
          <w:bCs/>
        </w:rPr>
        <w:t xml:space="preserve"> </w:t>
      </w:r>
      <w:r w:rsidR="00C94D30">
        <w:rPr>
          <w:b/>
          <w:bCs/>
        </w:rPr>
        <w:t xml:space="preserve">Parity </w:t>
      </w:r>
      <w:r>
        <w:rPr>
          <w:b/>
          <w:bCs/>
        </w:rPr>
        <w:t>Targets</w:t>
      </w:r>
      <w:r w:rsidR="006B07C5">
        <w:rPr>
          <w:b/>
          <w:bCs/>
        </w:rPr>
        <w:t xml:space="preserve">: </w:t>
      </w:r>
      <w:r w:rsidR="006B07C5">
        <w:t>In relation to state/territory targets we make a distinction between jurisdiction parity targets that only apply to institutions with main campuses in the state or territory (“home institutions”) versus parity targets that apply to all institutions with enrolments in the jurisdiction (“all institutions”).</w:t>
      </w:r>
    </w:p>
    <w:p w14:paraId="7B45F0BB" w14:textId="77777777" w:rsidR="006B07C5" w:rsidRPr="006B07C5" w:rsidRDefault="006B07C5" w:rsidP="00736D4C">
      <w:pPr>
        <w:pStyle w:val="ListParagraph"/>
        <w:numPr>
          <w:ilvl w:val="0"/>
          <w:numId w:val="0"/>
        </w:numPr>
        <w:ind w:left="357"/>
      </w:pPr>
    </w:p>
    <w:p w14:paraId="27A55077" w14:textId="75413B62" w:rsidR="00DA2328" w:rsidRDefault="00DA2328" w:rsidP="00581958">
      <w:pPr>
        <w:pStyle w:val="ListParagraph"/>
        <w:numPr>
          <w:ilvl w:val="1"/>
          <w:numId w:val="27"/>
        </w:numPr>
      </w:pPr>
      <w:r>
        <w:rPr>
          <w:b/>
          <w:bCs/>
        </w:rPr>
        <w:t>State</w:t>
      </w:r>
      <w:r w:rsidR="00E710ED">
        <w:rPr>
          <w:b/>
          <w:bCs/>
        </w:rPr>
        <w:t xml:space="preserve">/Territory </w:t>
      </w:r>
      <w:r w:rsidR="00AD71AE">
        <w:rPr>
          <w:b/>
          <w:bCs/>
        </w:rPr>
        <w:t>(</w:t>
      </w:r>
      <w:r w:rsidR="0089738A" w:rsidRPr="006B07C5">
        <w:rPr>
          <w:b/>
          <w:bCs/>
        </w:rPr>
        <w:t>Home Institution</w:t>
      </w:r>
      <w:r w:rsidR="009C69C4">
        <w:rPr>
          <w:b/>
          <w:bCs/>
        </w:rPr>
        <w:t>)</w:t>
      </w:r>
      <w:r w:rsidR="00E710ED">
        <w:rPr>
          <w:b/>
          <w:bCs/>
        </w:rPr>
        <w:t xml:space="preserve"> Parity Targets</w:t>
      </w:r>
      <w:r w:rsidR="007D44A6" w:rsidRPr="006B07C5">
        <w:rPr>
          <w:b/>
          <w:bCs/>
        </w:rPr>
        <w:t xml:space="preserve">: </w:t>
      </w:r>
      <w:r w:rsidR="007D44A6">
        <w:t xml:space="preserve">Table A </w:t>
      </w:r>
      <w:r w:rsidR="00DA1754">
        <w:t xml:space="preserve">Providers </w:t>
      </w:r>
      <w:r w:rsidR="007D44A6">
        <w:t>are</w:t>
      </w:r>
      <w:r w:rsidR="003404C3">
        <w:t xml:space="preserve"> individually or collectively set a </w:t>
      </w:r>
      <w:r w:rsidR="00E736BC">
        <w:t xml:space="preserve">parity </w:t>
      </w:r>
      <w:r w:rsidR="003404C3">
        <w:t xml:space="preserve">target for each equity group whereby its enrolment share in the institution’s enrolment and completions is equal to the population share reported in their </w:t>
      </w:r>
      <w:r w:rsidR="003404C3" w:rsidRPr="006B07C5">
        <w:rPr>
          <w:i/>
          <w:iCs/>
        </w:rPr>
        <w:t>home</w:t>
      </w:r>
      <w:r w:rsidR="003404C3">
        <w:t xml:space="preserve"> state or territory</w:t>
      </w:r>
      <w:r w:rsidR="002B10C6">
        <w:t xml:space="preserve">. </w:t>
      </w:r>
      <w:r w:rsidR="00587EE6">
        <w:t xml:space="preserve">This </w:t>
      </w:r>
      <w:r w:rsidR="00A77B52">
        <w:t xml:space="preserve">approach </w:t>
      </w:r>
      <w:r w:rsidR="00587EE6">
        <w:t>assigns a state</w:t>
      </w:r>
      <w:r w:rsidR="00E736BC">
        <w:t>/territory</w:t>
      </w:r>
      <w:r w:rsidR="00587EE6">
        <w:t xml:space="preserve">-specific target to institutions regardless of </w:t>
      </w:r>
      <w:r w:rsidR="00A77B52">
        <w:t>student</w:t>
      </w:r>
      <w:r w:rsidR="0078500F">
        <w:t>s’ original</w:t>
      </w:r>
      <w:r w:rsidR="00397A19">
        <w:t xml:space="preserve"> location.</w:t>
      </w:r>
      <w:r w:rsidR="00A77B52">
        <w:t xml:space="preserve"> </w:t>
      </w:r>
    </w:p>
    <w:p w14:paraId="33B1DFB6" w14:textId="77777777" w:rsidR="006E5131" w:rsidRPr="006928B5" w:rsidRDefault="006E5131" w:rsidP="00736D4C">
      <w:pPr>
        <w:pStyle w:val="ListParagraph"/>
        <w:numPr>
          <w:ilvl w:val="0"/>
          <w:numId w:val="0"/>
        </w:numPr>
        <w:ind w:left="357"/>
        <w:rPr>
          <w:rFonts w:eastAsiaTheme="majorEastAsia"/>
        </w:rPr>
      </w:pPr>
    </w:p>
    <w:p w14:paraId="29500B9D" w14:textId="597C1370" w:rsidR="00457447" w:rsidRPr="00457447" w:rsidRDefault="009C69C4" w:rsidP="00581958">
      <w:pPr>
        <w:pStyle w:val="ListParagraph"/>
        <w:numPr>
          <w:ilvl w:val="1"/>
          <w:numId w:val="27"/>
        </w:numPr>
        <w:rPr>
          <w:rFonts w:ascii="SansaSoft Pro Normal" w:eastAsiaTheme="majorEastAsia" w:hAnsi="SansaSoft Pro Normal" w:cstheme="majorBidi"/>
          <w:b/>
          <w:bCs/>
          <w:sz w:val="26"/>
          <w:szCs w:val="26"/>
        </w:rPr>
      </w:pPr>
      <w:r w:rsidRPr="00AD71AE">
        <w:rPr>
          <w:b/>
          <w:bCs/>
        </w:rPr>
        <w:lastRenderedPageBreak/>
        <w:t>State/Territory (</w:t>
      </w:r>
      <w:r w:rsidR="0089738A" w:rsidRPr="00AD71AE">
        <w:rPr>
          <w:b/>
          <w:bCs/>
        </w:rPr>
        <w:t>All Institutions</w:t>
      </w:r>
      <w:r w:rsidRPr="00AD71AE">
        <w:rPr>
          <w:b/>
          <w:bCs/>
        </w:rPr>
        <w:t xml:space="preserve">) </w:t>
      </w:r>
      <w:r w:rsidR="00E710ED" w:rsidRPr="00AD71AE">
        <w:rPr>
          <w:b/>
          <w:bCs/>
        </w:rPr>
        <w:t>Parity Targets</w:t>
      </w:r>
      <w:r w:rsidR="0089738A" w:rsidRPr="00AD71AE">
        <w:rPr>
          <w:b/>
          <w:bCs/>
        </w:rPr>
        <w:t xml:space="preserve">: </w:t>
      </w:r>
      <w:r w:rsidR="002B0ED7">
        <w:t xml:space="preserve">This </w:t>
      </w:r>
      <w:r w:rsidR="00AB4F6B">
        <w:t>approach uses</w:t>
      </w:r>
      <w:r w:rsidR="002B0ED7">
        <w:t xml:space="preserve"> </w:t>
      </w:r>
      <w:r w:rsidR="00A92C7E">
        <w:t>permanent home</w:t>
      </w:r>
      <w:r w:rsidR="002B0ED7" w:rsidRPr="00A92C7E">
        <w:t xml:space="preserve"> address </w:t>
      </w:r>
      <w:r w:rsidR="002B0ED7">
        <w:t xml:space="preserve">data to attribute students to their </w:t>
      </w:r>
      <w:r w:rsidR="002B0ED7" w:rsidRPr="00EC3FB1">
        <w:rPr>
          <w:i/>
          <w:iCs/>
        </w:rPr>
        <w:t>home</w:t>
      </w:r>
      <w:r w:rsidR="002B0ED7">
        <w:t xml:space="preserve"> state</w:t>
      </w:r>
      <w:r w:rsidR="00EC3FB1">
        <w:t xml:space="preserve"> or territory</w:t>
      </w:r>
      <w:r w:rsidR="002B0ED7">
        <w:t xml:space="preserve">, to consider interstate movements among students undertaking </w:t>
      </w:r>
      <w:r w:rsidR="00B63B49">
        <w:t>‘</w:t>
      </w:r>
      <w:r w:rsidR="002B0ED7">
        <w:t>in-person</w:t>
      </w:r>
      <w:r w:rsidR="00B63B49">
        <w:t>’</w:t>
      </w:r>
      <w:r w:rsidR="002B0ED7">
        <w:t xml:space="preserve"> </w:t>
      </w:r>
      <w:r w:rsidR="00AB4F6B">
        <w:t xml:space="preserve">or online interstate </w:t>
      </w:r>
      <w:r w:rsidR="002B0ED7">
        <w:t xml:space="preserve">studies. </w:t>
      </w:r>
      <w:r w:rsidR="0089738A">
        <w:t>Table A</w:t>
      </w:r>
      <w:r w:rsidR="00DE6F08">
        <w:t xml:space="preserve"> Providers</w:t>
      </w:r>
      <w:r w:rsidR="0089738A">
        <w:t xml:space="preserve"> are individually or collectively set a </w:t>
      </w:r>
      <w:r w:rsidR="00FE71D4">
        <w:t xml:space="preserve">parity </w:t>
      </w:r>
      <w:r w:rsidR="0089738A">
        <w:t xml:space="preserve">target for each equity group </w:t>
      </w:r>
      <w:r w:rsidR="00EA439B">
        <w:t>based on</w:t>
      </w:r>
      <w:r w:rsidR="0089738A">
        <w:t xml:space="preserve"> </w:t>
      </w:r>
      <w:r w:rsidR="0089738A" w:rsidRPr="00AD71AE">
        <w:rPr>
          <w:i/>
          <w:iCs/>
        </w:rPr>
        <w:t>home</w:t>
      </w:r>
      <w:r w:rsidR="0089738A">
        <w:t xml:space="preserve"> state</w:t>
      </w:r>
      <w:r w:rsidR="00EA439B">
        <w:t>/</w:t>
      </w:r>
      <w:r w:rsidR="0089738A">
        <w:t>territory</w:t>
      </w:r>
      <w:r w:rsidR="00EA439B">
        <w:t xml:space="preserve"> enrolment</w:t>
      </w:r>
      <w:r w:rsidR="0089738A">
        <w:t>,</w:t>
      </w:r>
      <w:r w:rsidR="00EA439B">
        <w:t xml:space="preserve"> but</w:t>
      </w:r>
      <w:r w:rsidR="0089738A">
        <w:t xml:space="preserve"> </w:t>
      </w:r>
      <w:r w:rsidR="008E5C2E">
        <w:t xml:space="preserve">also </w:t>
      </w:r>
      <w:r w:rsidR="00395A50">
        <w:t>consider</w:t>
      </w:r>
      <w:r w:rsidR="00571F65">
        <w:t xml:space="preserve"> </w:t>
      </w:r>
      <w:r w:rsidR="00EA439B">
        <w:t>participation</w:t>
      </w:r>
      <w:r w:rsidR="00571F65">
        <w:t xml:space="preserve"> and completions achieved by </w:t>
      </w:r>
      <w:r w:rsidR="00587EE6">
        <w:t xml:space="preserve">institutions from other states. </w:t>
      </w:r>
      <w:r w:rsidR="00A77B52">
        <w:t xml:space="preserve">This approach </w:t>
      </w:r>
      <w:r w:rsidR="00F27D62">
        <w:t>focuses on</w:t>
      </w:r>
      <w:r w:rsidR="0043094F">
        <w:t xml:space="preserve"> institutional performance in relation to the enrolment and completion activities of students in that state only. </w:t>
      </w:r>
    </w:p>
    <w:p w14:paraId="7EDA41C0" w14:textId="31CC35B1" w:rsidR="00457447" w:rsidRDefault="003E77D1" w:rsidP="00736D4C">
      <w:pPr>
        <w:pStyle w:val="ListParagraph"/>
        <w:numPr>
          <w:ilvl w:val="0"/>
          <w:numId w:val="0"/>
        </w:numPr>
        <w:ind w:left="357"/>
      </w:pPr>
      <w:r>
        <w:br/>
        <w:t>Figure 1 below highlights the differences between the</w:t>
      </w:r>
      <w:r w:rsidR="00371F70">
        <w:t xml:space="preserve"> three types of targets. </w:t>
      </w:r>
    </w:p>
    <w:p w14:paraId="793466B9" w14:textId="6E4F1609" w:rsidR="00A71923" w:rsidRDefault="00A92C7E" w:rsidP="00290AF5">
      <w:pPr>
        <w:rPr>
          <w:sz w:val="18"/>
          <w:szCs w:val="18"/>
        </w:rPr>
      </w:pPr>
      <w:r>
        <w:rPr>
          <w:b/>
          <w:bCs/>
          <w:sz w:val="18"/>
          <w:szCs w:val="18"/>
        </w:rPr>
        <w:br w:type="page"/>
      </w:r>
      <w:r w:rsidR="00A71923" w:rsidRPr="00A545B0">
        <w:rPr>
          <w:b/>
          <w:bCs/>
          <w:sz w:val="18"/>
          <w:szCs w:val="18"/>
        </w:rPr>
        <w:lastRenderedPageBreak/>
        <w:t>Figure 1</w:t>
      </w:r>
      <w:r w:rsidR="00A71923" w:rsidRPr="00A545B0">
        <w:rPr>
          <w:sz w:val="18"/>
          <w:szCs w:val="18"/>
        </w:rPr>
        <w:t>: Three types of Parity Targets</w:t>
      </w:r>
    </w:p>
    <w:tbl>
      <w:tblPr>
        <w:tblStyle w:val="TableGrid"/>
        <w:tblW w:w="9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655"/>
      </w:tblGrid>
      <w:tr w:rsidR="00160B8E" w14:paraId="658E227F" w14:textId="77777777" w:rsidTr="00581958">
        <w:trPr>
          <w:cnfStyle w:val="100000000000" w:firstRow="1" w:lastRow="0" w:firstColumn="0" w:lastColumn="0" w:oddVBand="0" w:evenVBand="0" w:oddHBand="0" w:evenHBand="0" w:firstRowFirstColumn="0" w:firstRowLastColumn="0" w:lastRowFirstColumn="0" w:lastRowLastColumn="0"/>
        </w:trPr>
        <w:tc>
          <w:tcPr>
            <w:tcW w:w="4939" w:type="dxa"/>
            <w:shd w:val="clear" w:color="auto" w:fill="EFE2E7" w:themeFill="text1" w:themeFillTint="1A"/>
          </w:tcPr>
          <w:p w14:paraId="4E6E75B5" w14:textId="77777777" w:rsidR="00160B8E" w:rsidRDefault="00160B8E" w:rsidP="00CF034B">
            <w:pPr>
              <w:rPr>
                <w:b/>
                <w:bCs/>
              </w:rPr>
            </w:pPr>
          </w:p>
          <w:p w14:paraId="7EA67F76" w14:textId="77777777" w:rsidR="00160B8E" w:rsidRDefault="00160B8E" w:rsidP="00CF034B">
            <w:r w:rsidRPr="00E1022E">
              <w:rPr>
                <w:b/>
                <w:bCs/>
              </w:rPr>
              <w:t xml:space="preserve">National Parity Targets: </w:t>
            </w:r>
            <w:r>
              <w:t xml:space="preserve">Table A Providers are individually or collectively set a target for each equity group whereby its share of the institution’s enrolment and completions is equal to the </w:t>
            </w:r>
            <w:r w:rsidRPr="00E1022E">
              <w:rPr>
                <w:i/>
                <w:iCs/>
              </w:rPr>
              <w:t>national</w:t>
            </w:r>
            <w:r>
              <w:t xml:space="preserve"> population share. </w:t>
            </w:r>
          </w:p>
          <w:p w14:paraId="5474C27C" w14:textId="77777777" w:rsidR="00160B8E" w:rsidRDefault="00160B8E" w:rsidP="00CF034B"/>
          <w:p w14:paraId="1E55E930" w14:textId="77777777" w:rsidR="00160B8E" w:rsidRDefault="00160B8E" w:rsidP="00CF034B"/>
        </w:tc>
        <w:tc>
          <w:tcPr>
            <w:tcW w:w="4655" w:type="dxa"/>
            <w:shd w:val="clear" w:color="auto" w:fill="EFE2E7" w:themeFill="text1" w:themeFillTint="1A"/>
            <w:vAlign w:val="center"/>
          </w:tcPr>
          <w:p w14:paraId="60DF9D9E" w14:textId="77777777" w:rsidR="00160B8E" w:rsidRDefault="00160B8E" w:rsidP="00CF034B"/>
          <w:p w14:paraId="7DAEA5AA" w14:textId="77777777" w:rsidR="00160B8E" w:rsidRDefault="00160B8E" w:rsidP="00CF034B">
            <w:r>
              <w:rPr>
                <w:noProof/>
              </w:rPr>
              <w:drawing>
                <wp:inline distT="0" distB="0" distL="0" distR="0" wp14:anchorId="12A7908A" wp14:editId="01549BF2">
                  <wp:extent cx="2746800" cy="1602000"/>
                  <wp:effectExtent l="0" t="0" r="15875" b="17780"/>
                  <wp:docPr id="292173212" name="Diagram 292173212" descr="A large light blue circle with white border on a light burgundy background with the word National written in it"/>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01660D9" w14:textId="77777777" w:rsidR="00160B8E" w:rsidRDefault="00160B8E" w:rsidP="00CF034B"/>
        </w:tc>
      </w:tr>
      <w:tr w:rsidR="00160B8E" w14:paraId="0284ACF8" w14:textId="77777777" w:rsidTr="00581958">
        <w:trPr>
          <w:cnfStyle w:val="000000100000" w:firstRow="0" w:lastRow="0" w:firstColumn="0" w:lastColumn="0" w:oddVBand="0" w:evenVBand="0" w:oddHBand="1" w:evenHBand="0" w:firstRowFirstColumn="0" w:firstRowLastColumn="0" w:lastRowFirstColumn="0" w:lastRowLastColumn="0"/>
        </w:trPr>
        <w:tc>
          <w:tcPr>
            <w:tcW w:w="4939" w:type="dxa"/>
            <w:shd w:val="clear" w:color="auto" w:fill="F7F7F7"/>
          </w:tcPr>
          <w:p w14:paraId="18CE4EC9" w14:textId="77777777" w:rsidR="00160B8E" w:rsidRDefault="00160B8E" w:rsidP="00CF034B">
            <w:pPr>
              <w:rPr>
                <w:b/>
                <w:bCs/>
              </w:rPr>
            </w:pPr>
          </w:p>
          <w:p w14:paraId="3DB13708" w14:textId="77777777" w:rsidR="00160B8E" w:rsidRDefault="00160B8E" w:rsidP="00CF034B">
            <w:r>
              <w:rPr>
                <w:b/>
                <w:bCs/>
              </w:rPr>
              <w:t>State/Territory (</w:t>
            </w:r>
            <w:r w:rsidRPr="006B07C5">
              <w:rPr>
                <w:b/>
                <w:bCs/>
              </w:rPr>
              <w:t>Home Institution</w:t>
            </w:r>
            <w:r>
              <w:rPr>
                <w:b/>
                <w:bCs/>
              </w:rPr>
              <w:t>) Parity Targets</w:t>
            </w:r>
            <w:r w:rsidRPr="006B07C5">
              <w:rPr>
                <w:b/>
                <w:bCs/>
              </w:rPr>
              <w:t xml:space="preserve">: </w:t>
            </w:r>
            <w:r>
              <w:rPr>
                <w:b/>
                <w:bCs/>
              </w:rPr>
              <w:t xml:space="preserve"> </w:t>
            </w:r>
            <w:r>
              <w:t xml:space="preserve">Table A Providers are individually or collectively set a parity target for each equity group whereby its enrolment share in the institution’s enrolment and completions is equal to the population share reported in their </w:t>
            </w:r>
            <w:r w:rsidRPr="006B07C5">
              <w:rPr>
                <w:i/>
                <w:iCs/>
              </w:rPr>
              <w:t>home</w:t>
            </w:r>
            <w:r>
              <w:t xml:space="preserve"> state or territory, as indicated by the location of their main campus. The Australian Catholic University (ACU) is classified as a multi-state university. </w:t>
            </w:r>
          </w:p>
        </w:tc>
        <w:tc>
          <w:tcPr>
            <w:tcW w:w="4655" w:type="dxa"/>
            <w:shd w:val="clear" w:color="auto" w:fill="F7F7F7"/>
            <w:vAlign w:val="center"/>
          </w:tcPr>
          <w:p w14:paraId="529908B8" w14:textId="77777777" w:rsidR="00160B8E" w:rsidRDefault="00160B8E" w:rsidP="00CF034B"/>
          <w:p w14:paraId="53F05A60" w14:textId="77777777" w:rsidR="00160B8E" w:rsidRDefault="00160B8E" w:rsidP="00CF034B">
            <w:r>
              <w:rPr>
                <w:noProof/>
              </w:rPr>
              <w:drawing>
                <wp:inline distT="0" distB="0" distL="0" distR="0" wp14:anchorId="398CB12D" wp14:editId="64DCD97C">
                  <wp:extent cx="2746800" cy="1602000"/>
                  <wp:effectExtent l="0" t="0" r="15875" b="17780"/>
                  <wp:docPr id="736567578" name="Diagram 736567578" descr="Three small light blue circles placed in a rectangle so they don't overlap. The three circles are individually labelled as: State A (top left), Territory (centre bottom), State B (top right)"/>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46C8056B" w14:textId="77777777" w:rsidR="00160B8E" w:rsidRDefault="00160B8E" w:rsidP="00CF034B"/>
        </w:tc>
      </w:tr>
      <w:tr w:rsidR="00160B8E" w14:paraId="5193155E" w14:textId="77777777" w:rsidTr="00581958">
        <w:trPr>
          <w:cnfStyle w:val="000000010000" w:firstRow="0" w:lastRow="0" w:firstColumn="0" w:lastColumn="0" w:oddVBand="0" w:evenVBand="0" w:oddHBand="0" w:evenHBand="1" w:firstRowFirstColumn="0" w:firstRowLastColumn="0" w:lastRowFirstColumn="0" w:lastRowLastColumn="0"/>
        </w:trPr>
        <w:tc>
          <w:tcPr>
            <w:tcW w:w="4939" w:type="dxa"/>
            <w:shd w:val="clear" w:color="auto" w:fill="EFE2E7" w:themeFill="text1" w:themeFillTint="1A"/>
          </w:tcPr>
          <w:p w14:paraId="36EC6A6E" w14:textId="77777777" w:rsidR="00160B8E" w:rsidRDefault="00160B8E" w:rsidP="00CF034B">
            <w:pPr>
              <w:rPr>
                <w:b/>
                <w:bCs/>
              </w:rPr>
            </w:pPr>
          </w:p>
          <w:p w14:paraId="26BBCA9E" w14:textId="77777777" w:rsidR="00160B8E" w:rsidRDefault="00160B8E" w:rsidP="00CF034B">
            <w:r w:rsidRPr="00AD71AE">
              <w:rPr>
                <w:b/>
                <w:bCs/>
              </w:rPr>
              <w:t xml:space="preserve">State/Territory (All Institutions) Parity Targets: </w:t>
            </w:r>
            <w:r>
              <w:t xml:space="preserve">This approach uses permanent home address data to attribute students to their </w:t>
            </w:r>
            <w:r w:rsidRPr="00775FFE">
              <w:rPr>
                <w:i/>
                <w:iCs/>
              </w:rPr>
              <w:t xml:space="preserve">home </w:t>
            </w:r>
            <w:r>
              <w:t xml:space="preserve">state/territory, to consider interstate movements among students undertaking ‘in-person’ or online interstate studies. Table A institutions are individually or collectively set a parity target for each equity group based on </w:t>
            </w:r>
            <w:r w:rsidRPr="00AD71AE">
              <w:rPr>
                <w:i/>
                <w:iCs/>
              </w:rPr>
              <w:t>home</w:t>
            </w:r>
            <w:r>
              <w:t xml:space="preserve"> state/territory enrolment, but also consider participation and completions achieved by institutions from other states and territories.</w:t>
            </w:r>
          </w:p>
        </w:tc>
        <w:tc>
          <w:tcPr>
            <w:tcW w:w="4655" w:type="dxa"/>
            <w:shd w:val="clear" w:color="auto" w:fill="EFE2E7" w:themeFill="text1" w:themeFillTint="1A"/>
            <w:vAlign w:val="center"/>
          </w:tcPr>
          <w:p w14:paraId="0D58D2EA" w14:textId="77777777" w:rsidR="00160B8E" w:rsidRDefault="00160B8E" w:rsidP="00CF034B"/>
          <w:p w14:paraId="23A00160" w14:textId="77777777" w:rsidR="00160B8E" w:rsidRDefault="00160B8E" w:rsidP="00CF034B">
            <w:r>
              <w:rPr>
                <w:noProof/>
              </w:rPr>
              <w:drawing>
                <wp:inline distT="0" distB="0" distL="0" distR="0" wp14:anchorId="74D26C08" wp14:editId="49058982">
                  <wp:extent cx="2746375" cy="1706245"/>
                  <wp:effectExtent l="0" t="0" r="15875" b="27305"/>
                  <wp:docPr id="356967984" name="Diagram 356967984" descr="Three light blue circles with white borders are placed within a rectangle. They all overlap slightly with one common overlap point in the centre. Three small light blue circles placed in a rectangle so they don't overlap. The three circles are individually labelled as: State A (top left), Territory (centre bottom), State B (top right)."/>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4C61735A" w14:textId="77777777" w:rsidR="00160B8E" w:rsidRDefault="00160B8E" w:rsidP="00CF034B"/>
        </w:tc>
      </w:tr>
    </w:tbl>
    <w:p w14:paraId="14F8A840" w14:textId="77777777" w:rsidR="00A71923" w:rsidRDefault="00A71923" w:rsidP="00736D4C"/>
    <w:p w14:paraId="01251FB7" w14:textId="47F67B94" w:rsidR="0043094F" w:rsidRDefault="00944C79" w:rsidP="00B0246A">
      <w:pPr>
        <w:pStyle w:val="Heading2"/>
      </w:pPr>
      <w:r>
        <w:t xml:space="preserve">The </w:t>
      </w:r>
      <w:r w:rsidR="0043094F">
        <w:t xml:space="preserve">Policy Options </w:t>
      </w:r>
    </w:p>
    <w:p w14:paraId="56805E4F" w14:textId="4DE1B8FF" w:rsidR="003509CF" w:rsidRPr="00BD465E" w:rsidRDefault="00466CAC" w:rsidP="003509CF">
      <w:r>
        <w:t>Policy options reflect the extent to which parity targets are intended to be met by all institutions</w:t>
      </w:r>
      <w:r w:rsidR="002F4139">
        <w:t xml:space="preserve"> or at a system level </w:t>
      </w:r>
      <w:proofErr w:type="gramStart"/>
      <w:r w:rsidR="002F4139">
        <w:t>on the basis of</w:t>
      </w:r>
      <w:proofErr w:type="gramEnd"/>
      <w:r w:rsidR="002F4139">
        <w:t xml:space="preserve"> a target for a geographical (national or state/territory) area. </w:t>
      </w:r>
      <w:r>
        <w:t xml:space="preserve"> </w:t>
      </w:r>
      <w:r w:rsidR="00DA1754">
        <w:t xml:space="preserve">In relation to </w:t>
      </w:r>
      <w:r w:rsidR="00BD465E">
        <w:t xml:space="preserve">the parity targets, </w:t>
      </w:r>
      <w:r w:rsidR="00A97870">
        <w:t>four broad policy options</w:t>
      </w:r>
      <w:r w:rsidR="00DA1754">
        <w:t xml:space="preserve"> are considered,</w:t>
      </w:r>
      <w:r w:rsidR="00A97870">
        <w:t xml:space="preserve"> includ</w:t>
      </w:r>
      <w:r w:rsidR="00DA1754">
        <w:t>ing</w:t>
      </w:r>
      <w:r w:rsidR="00A97870">
        <w:t xml:space="preserve"> a </w:t>
      </w:r>
      <w:r w:rsidR="00A85592">
        <w:rPr>
          <w:i/>
          <w:iCs/>
        </w:rPr>
        <w:t>Business</w:t>
      </w:r>
      <w:r w:rsidR="000E1F28">
        <w:rPr>
          <w:i/>
          <w:iCs/>
        </w:rPr>
        <w:t>-</w:t>
      </w:r>
      <w:r w:rsidR="00A85592">
        <w:rPr>
          <w:i/>
          <w:iCs/>
        </w:rPr>
        <w:t>as</w:t>
      </w:r>
      <w:r w:rsidR="000E1F28">
        <w:rPr>
          <w:i/>
          <w:iCs/>
        </w:rPr>
        <w:t>-</w:t>
      </w:r>
      <w:r w:rsidR="00A85592">
        <w:rPr>
          <w:i/>
          <w:iCs/>
        </w:rPr>
        <w:t xml:space="preserve">Usual </w:t>
      </w:r>
      <w:r w:rsidR="00A97870">
        <w:t>option</w:t>
      </w:r>
      <w:r w:rsidR="00DA1754">
        <w:t xml:space="preserve"> that tracks existing (2021) outcomes</w:t>
      </w:r>
      <w:r w:rsidR="00A97870">
        <w:t xml:space="preserve"> </w:t>
      </w:r>
      <w:r w:rsidR="00014FBE">
        <w:t xml:space="preserve">and </w:t>
      </w:r>
      <w:r w:rsidR="0071758C">
        <w:t xml:space="preserve">three </w:t>
      </w:r>
      <w:r w:rsidR="00944C79" w:rsidRPr="00BD465E">
        <w:rPr>
          <w:b/>
          <w:bCs/>
        </w:rPr>
        <w:t>active</w:t>
      </w:r>
      <w:r w:rsidR="00DA1754">
        <w:t xml:space="preserve"> parity</w:t>
      </w:r>
      <w:r w:rsidR="00BD465E">
        <w:t xml:space="preserve"> policy</w:t>
      </w:r>
      <w:r w:rsidR="00944C79">
        <w:t xml:space="preserve"> </w:t>
      </w:r>
      <w:r w:rsidR="0071758C">
        <w:t>options</w:t>
      </w:r>
      <w:r w:rsidR="00CB0CF4">
        <w:t xml:space="preserve"> </w:t>
      </w:r>
      <w:r w:rsidR="004C2565">
        <w:t>t</w:t>
      </w:r>
      <w:r w:rsidR="00BD465E">
        <w:t>h</w:t>
      </w:r>
      <w:r w:rsidR="004C2565">
        <w:t xml:space="preserve">at set </w:t>
      </w:r>
      <w:r w:rsidR="004E6D9B">
        <w:t xml:space="preserve">equity group participation and completion </w:t>
      </w:r>
      <w:r w:rsidR="004C2565">
        <w:t xml:space="preserve">targets </w:t>
      </w:r>
      <w:r w:rsidR="004E6D9B">
        <w:t>equal to</w:t>
      </w:r>
      <w:r w:rsidR="004C2565">
        <w:t xml:space="preserve"> </w:t>
      </w:r>
      <w:r w:rsidR="008C38CE">
        <w:t>parity at either the institutional (</w:t>
      </w:r>
      <w:r w:rsidR="008C38CE">
        <w:rPr>
          <w:i/>
          <w:iCs/>
        </w:rPr>
        <w:t>Convergence</w:t>
      </w:r>
      <w:r w:rsidR="008C38CE">
        <w:t xml:space="preserve">) or </w:t>
      </w:r>
      <w:r w:rsidR="00BD465E">
        <w:t>jurisdiction (</w:t>
      </w:r>
      <w:r w:rsidR="00BD465E">
        <w:rPr>
          <w:i/>
          <w:iCs/>
        </w:rPr>
        <w:t>Equal Effort; Divergence</w:t>
      </w:r>
      <w:r w:rsidR="00BD465E">
        <w:t xml:space="preserve">) levels. </w:t>
      </w:r>
    </w:p>
    <w:p w14:paraId="6A426207" w14:textId="1715A9D5" w:rsidR="00DC0138" w:rsidRDefault="004C2565" w:rsidP="00581958">
      <w:pPr>
        <w:pStyle w:val="ListParagraph"/>
        <w:numPr>
          <w:ilvl w:val="0"/>
          <w:numId w:val="28"/>
        </w:numPr>
      </w:pPr>
      <w:r w:rsidRPr="004C2565">
        <w:rPr>
          <w:b/>
          <w:bCs/>
          <w:i/>
          <w:iCs/>
        </w:rPr>
        <w:lastRenderedPageBreak/>
        <w:t>Business</w:t>
      </w:r>
      <w:r w:rsidR="002858F8">
        <w:rPr>
          <w:b/>
          <w:bCs/>
          <w:i/>
          <w:iCs/>
        </w:rPr>
        <w:t>-</w:t>
      </w:r>
      <w:r w:rsidRPr="004C2565">
        <w:rPr>
          <w:b/>
          <w:bCs/>
          <w:i/>
          <w:iCs/>
        </w:rPr>
        <w:t>as</w:t>
      </w:r>
      <w:r w:rsidR="002858F8">
        <w:rPr>
          <w:b/>
          <w:bCs/>
          <w:i/>
          <w:iCs/>
        </w:rPr>
        <w:t>-</w:t>
      </w:r>
      <w:r w:rsidRPr="004C2565">
        <w:rPr>
          <w:b/>
          <w:bCs/>
          <w:i/>
          <w:iCs/>
        </w:rPr>
        <w:t>Usual</w:t>
      </w:r>
      <w:r w:rsidR="003509CF" w:rsidRPr="00DC0138">
        <w:rPr>
          <w:b/>
          <w:bCs/>
        </w:rPr>
        <w:t xml:space="preserve">: </w:t>
      </w:r>
      <w:r w:rsidR="003509CF">
        <w:t xml:space="preserve">Equity </w:t>
      </w:r>
      <w:r w:rsidR="007C2CBB">
        <w:t xml:space="preserve">group participation and </w:t>
      </w:r>
      <w:r w:rsidR="006269E2">
        <w:t xml:space="preserve">completion </w:t>
      </w:r>
      <w:r w:rsidR="007C2CBB">
        <w:t xml:space="preserve">outcomes remain constant between 2021 and </w:t>
      </w:r>
      <w:r w:rsidR="00C80E6D">
        <w:t xml:space="preserve">target time frame (e.g., </w:t>
      </w:r>
      <w:r w:rsidR="007C2CBB">
        <w:t>2035</w:t>
      </w:r>
      <w:r w:rsidR="00C80E6D">
        <w:t>)</w:t>
      </w:r>
      <w:r w:rsidR="007C2CBB">
        <w:t xml:space="preserve">, such that </w:t>
      </w:r>
      <w:r w:rsidR="008D2111">
        <w:t xml:space="preserve">participation </w:t>
      </w:r>
      <w:r w:rsidR="007A3794">
        <w:t xml:space="preserve">and completion </w:t>
      </w:r>
      <w:proofErr w:type="gramStart"/>
      <w:r w:rsidR="007A3794">
        <w:t>shares</w:t>
      </w:r>
      <w:proofErr w:type="gramEnd"/>
      <w:r w:rsidR="007A3794">
        <w:t xml:space="preserve"> in</w:t>
      </w:r>
      <w:r w:rsidR="00B33CB3">
        <w:t xml:space="preserve"> the</w:t>
      </w:r>
      <w:r w:rsidR="00F44588">
        <w:t xml:space="preserve"> target year</w:t>
      </w:r>
      <w:r w:rsidR="007A3794">
        <w:t xml:space="preserve"> are identical to those of 2021</w:t>
      </w:r>
      <w:r w:rsidR="00B52151">
        <w:t>, with their share of growth being identical to the 2021</w:t>
      </w:r>
      <w:r w:rsidR="008D2111">
        <w:t xml:space="preserve"> share.</w:t>
      </w:r>
      <w:r w:rsidR="00DC0138">
        <w:t xml:space="preserve"> </w:t>
      </w:r>
      <w:r w:rsidR="004662CC">
        <w:t xml:space="preserve"> </w:t>
      </w:r>
    </w:p>
    <w:p w14:paraId="5BA38E6B" w14:textId="1D3E1C1E" w:rsidR="002A3D3E" w:rsidRDefault="0071758C" w:rsidP="00DC0138">
      <w:r>
        <w:t>The</w:t>
      </w:r>
      <w:r w:rsidR="00EF7D1F">
        <w:t xml:space="preserve"> </w:t>
      </w:r>
      <w:r>
        <w:t xml:space="preserve">three </w:t>
      </w:r>
      <w:r w:rsidR="00EF7D1F" w:rsidRPr="009B721B">
        <w:rPr>
          <w:b/>
          <w:bCs/>
        </w:rPr>
        <w:t>active</w:t>
      </w:r>
      <w:r w:rsidR="00EF7D1F">
        <w:t xml:space="preserve"> </w:t>
      </w:r>
      <w:r>
        <w:t>policy options</w:t>
      </w:r>
      <w:r w:rsidR="003A76FF">
        <w:t xml:space="preserve"> </w:t>
      </w:r>
      <w:r w:rsidR="00D01646">
        <w:t>are</w:t>
      </w:r>
      <w:r w:rsidR="002A3D3E">
        <w:t>:</w:t>
      </w:r>
    </w:p>
    <w:p w14:paraId="4B7E8825" w14:textId="4B00CABD" w:rsidR="009040EE" w:rsidRDefault="00F32C9D" w:rsidP="00736D4C">
      <w:pPr>
        <w:pStyle w:val="ListParagraph"/>
        <w:numPr>
          <w:ilvl w:val="0"/>
          <w:numId w:val="28"/>
        </w:numPr>
      </w:pPr>
      <w:r>
        <w:rPr>
          <w:b/>
          <w:bCs/>
          <w:i/>
          <w:iCs/>
        </w:rPr>
        <w:t>C</w:t>
      </w:r>
      <w:r w:rsidR="000A33A9">
        <w:rPr>
          <w:b/>
          <w:bCs/>
          <w:i/>
          <w:iCs/>
        </w:rPr>
        <w:t>on</w:t>
      </w:r>
      <w:r w:rsidR="00A85592">
        <w:rPr>
          <w:b/>
          <w:bCs/>
          <w:i/>
          <w:iCs/>
        </w:rPr>
        <w:t>ver</w:t>
      </w:r>
      <w:r>
        <w:rPr>
          <w:b/>
          <w:bCs/>
          <w:i/>
          <w:iCs/>
        </w:rPr>
        <w:t>gence</w:t>
      </w:r>
      <w:r w:rsidR="00FE563F">
        <w:rPr>
          <w:b/>
          <w:bCs/>
        </w:rPr>
        <w:t xml:space="preserve">: </w:t>
      </w:r>
      <w:r w:rsidR="00FE563F">
        <w:t xml:space="preserve">Each </w:t>
      </w:r>
      <w:r w:rsidR="00FE563F" w:rsidRPr="009C2D58">
        <w:t>institution</w:t>
      </w:r>
      <w:r w:rsidR="00FE563F">
        <w:t xml:space="preserve"> </w:t>
      </w:r>
      <w:r w:rsidR="00E043B4">
        <w:t>achieves</w:t>
      </w:r>
      <w:r w:rsidR="005A68EF">
        <w:t xml:space="preserve"> </w:t>
      </w:r>
      <w:r w:rsidR="005A68EF" w:rsidRPr="005A68EF">
        <w:rPr>
          <w:i/>
          <w:iCs/>
        </w:rPr>
        <w:t>at least</w:t>
      </w:r>
      <w:r w:rsidR="00E043B4">
        <w:t xml:space="preserve"> equity group parity by </w:t>
      </w:r>
      <w:r w:rsidR="00F44588">
        <w:t>the target year</w:t>
      </w:r>
      <w:r w:rsidR="005A786D">
        <w:t>, w</w:t>
      </w:r>
      <w:r w:rsidR="00152A67">
        <w:t>here</w:t>
      </w:r>
      <w:r w:rsidR="005A786D">
        <w:t xml:space="preserve"> overall outcomes exceed parity </w:t>
      </w:r>
      <w:r w:rsidR="001C7FAD">
        <w:t>if</w:t>
      </w:r>
      <w:r w:rsidR="00EB439A">
        <w:t xml:space="preserve"> one or more</w:t>
      </w:r>
      <w:r w:rsidR="005A786D">
        <w:t xml:space="preserve"> individual institutions</w:t>
      </w:r>
      <w:r w:rsidR="00A3599D">
        <w:t xml:space="preserve"> </w:t>
      </w:r>
      <w:r w:rsidR="008E69A4">
        <w:t xml:space="preserve">are at </w:t>
      </w:r>
      <w:r w:rsidR="0014551C">
        <w:t xml:space="preserve">parity </w:t>
      </w:r>
      <w:r w:rsidR="00A3599D">
        <w:t>in 2021</w:t>
      </w:r>
      <w:r w:rsidR="00EB439A">
        <w:t>.</w:t>
      </w:r>
      <w:r w:rsidR="00A3599D">
        <w:t xml:space="preserve"> Under this </w:t>
      </w:r>
      <w:r w:rsidR="00FC23F6">
        <w:t>option</w:t>
      </w:r>
      <w:r w:rsidR="00A3599D">
        <w:t>,</w:t>
      </w:r>
      <w:r w:rsidR="00077619">
        <w:t xml:space="preserve"> the </w:t>
      </w:r>
      <w:r w:rsidR="001C7FAD">
        <w:t>“</w:t>
      </w:r>
      <w:r w:rsidR="00077619">
        <w:t>floor target</w:t>
      </w:r>
      <w:r w:rsidR="001C7FAD">
        <w:t>”</w:t>
      </w:r>
      <w:r w:rsidR="00AD5BBB">
        <w:t xml:space="preserve"> for each institution</w:t>
      </w:r>
      <w:r w:rsidR="001C7FAD">
        <w:t xml:space="preserve"> is set at parity</w:t>
      </w:r>
      <w:r w:rsidR="00C6471C">
        <w:t xml:space="preserve"> or the 2021 </w:t>
      </w:r>
      <w:r w:rsidR="006A0D44">
        <w:t xml:space="preserve">level of </w:t>
      </w:r>
      <w:r w:rsidR="00C6471C">
        <w:t>participation (or</w:t>
      </w:r>
      <w:r w:rsidR="006A0D44">
        <w:t xml:space="preserve"> completion)</w:t>
      </w:r>
      <w:r w:rsidR="00C6471C">
        <w:t xml:space="preserve"> – whichever is greater. This</w:t>
      </w:r>
      <w:r w:rsidR="00077619">
        <w:t xml:space="preserve"> implies that </w:t>
      </w:r>
      <w:r w:rsidR="00C6471C">
        <w:t>all</w:t>
      </w:r>
      <w:r w:rsidR="00077619">
        <w:t xml:space="preserve"> institution</w:t>
      </w:r>
      <w:r w:rsidR="00C6471C">
        <w:t>s</w:t>
      </w:r>
      <w:r w:rsidR="00034535">
        <w:t xml:space="preserve"> below parity in 2021</w:t>
      </w:r>
      <w:r w:rsidR="00077619">
        <w:t xml:space="preserve"> must increase their equity share to meet the </w:t>
      </w:r>
      <w:r w:rsidR="0069683D">
        <w:t xml:space="preserve">parity </w:t>
      </w:r>
      <w:r w:rsidR="00077619">
        <w:t>target</w:t>
      </w:r>
      <w:r w:rsidR="00331236">
        <w:t xml:space="preserve">, while those above parity in 2021 must </w:t>
      </w:r>
      <w:r w:rsidR="00034535">
        <w:t xml:space="preserve">at least </w:t>
      </w:r>
      <w:r w:rsidR="00331236">
        <w:t xml:space="preserve">maintain that share. </w:t>
      </w:r>
      <w:r w:rsidR="00EB439A">
        <w:t xml:space="preserve"> </w:t>
      </w:r>
      <w:r w:rsidR="00E043B4">
        <w:t xml:space="preserve"> </w:t>
      </w:r>
      <w:r w:rsidR="00736D4C">
        <w:br/>
      </w:r>
    </w:p>
    <w:p w14:paraId="5329447A" w14:textId="4985A698" w:rsidR="009040EE" w:rsidRDefault="003F54D5" w:rsidP="00736D4C">
      <w:pPr>
        <w:pStyle w:val="ListParagraph"/>
        <w:numPr>
          <w:ilvl w:val="0"/>
          <w:numId w:val="28"/>
        </w:numPr>
      </w:pPr>
      <w:r>
        <w:rPr>
          <w:b/>
          <w:bCs/>
          <w:i/>
          <w:iCs/>
        </w:rPr>
        <w:t>Equal Effort</w:t>
      </w:r>
      <w:r w:rsidR="00776829">
        <w:rPr>
          <w:b/>
          <w:bCs/>
        </w:rPr>
        <w:t xml:space="preserve">: </w:t>
      </w:r>
      <w:r w:rsidR="001D1358">
        <w:t xml:space="preserve">In this </w:t>
      </w:r>
      <w:r w:rsidR="00FD7E4C">
        <w:t>option</w:t>
      </w:r>
      <w:r w:rsidR="001D1358">
        <w:t xml:space="preserve">, the parity target is </w:t>
      </w:r>
      <w:r w:rsidR="00776829">
        <w:t>for a jurisdiction</w:t>
      </w:r>
      <w:r w:rsidR="00A06941">
        <w:t>.</w:t>
      </w:r>
      <w:r w:rsidR="00776829">
        <w:t xml:space="preserve"> </w:t>
      </w:r>
      <w:r w:rsidR="002E54AB">
        <w:t xml:space="preserve">This </w:t>
      </w:r>
      <w:r w:rsidR="00776829">
        <w:t>is achieved</w:t>
      </w:r>
      <w:r w:rsidR="00E003AC">
        <w:t xml:space="preserve"> </w:t>
      </w:r>
      <w:r w:rsidR="001D1358">
        <w:t>through</w:t>
      </w:r>
      <w:r w:rsidR="00E003AC">
        <w:t xml:space="preserve"> </w:t>
      </w:r>
      <w:r w:rsidR="002E54AB">
        <w:t xml:space="preserve">a target of an </w:t>
      </w:r>
      <w:r w:rsidR="00E003AC">
        <w:t>identical</w:t>
      </w:r>
      <w:r w:rsidR="002E54AB">
        <w:t xml:space="preserve"> </w:t>
      </w:r>
      <w:r w:rsidR="002E54AB" w:rsidRPr="009C2D58">
        <w:rPr>
          <w:i/>
          <w:iCs/>
        </w:rPr>
        <w:t>percentage</w:t>
      </w:r>
      <w:r w:rsidR="00E003AC" w:rsidRPr="009C2D58">
        <w:rPr>
          <w:i/>
          <w:iCs/>
        </w:rPr>
        <w:t xml:space="preserve"> increase</w:t>
      </w:r>
      <w:r w:rsidR="00E003AC">
        <w:t xml:space="preserve"> in participation/completion </w:t>
      </w:r>
      <w:r w:rsidR="002E54AB">
        <w:t>outcomes</w:t>
      </w:r>
      <w:r w:rsidR="00B12F8A">
        <w:t xml:space="preserve"> from</w:t>
      </w:r>
      <w:r w:rsidR="00D24FBD">
        <w:t xml:space="preserve"> the</w:t>
      </w:r>
      <w:r w:rsidR="00B12F8A" w:rsidRPr="00A06941">
        <w:t xml:space="preserve"> </w:t>
      </w:r>
      <w:r w:rsidR="00A06941" w:rsidRPr="00A06941">
        <w:t xml:space="preserve">2021 starting point </w:t>
      </w:r>
      <w:r w:rsidR="00C7159E">
        <w:t>for</w:t>
      </w:r>
      <w:r w:rsidR="00E003AC">
        <w:t xml:space="preserve"> each institution</w:t>
      </w:r>
      <w:r w:rsidR="00B12F8A">
        <w:t>,</w:t>
      </w:r>
      <w:r w:rsidR="00071735">
        <w:t xml:space="preserve"> equal to the required</w:t>
      </w:r>
      <w:r w:rsidR="008F4B61">
        <w:t xml:space="preserve"> percentage</w:t>
      </w:r>
      <w:r w:rsidR="00071735">
        <w:t xml:space="preserve"> increase to achieve </w:t>
      </w:r>
      <w:r w:rsidR="00B12F8A">
        <w:t xml:space="preserve">a </w:t>
      </w:r>
      <w:r w:rsidR="00071735">
        <w:t>parity</w:t>
      </w:r>
      <w:r w:rsidR="00B12F8A">
        <w:t xml:space="preserve"> outcome for the </w:t>
      </w:r>
      <w:r w:rsidR="00C7159E">
        <w:t>jurisdiction</w:t>
      </w:r>
      <w:r w:rsidR="00B12F8A">
        <w:t xml:space="preserve">. </w:t>
      </w:r>
      <w:r w:rsidR="00E01E8C">
        <w:t xml:space="preserve">If the 2021 participation (or </w:t>
      </w:r>
      <w:r w:rsidR="006269E2">
        <w:t>completion</w:t>
      </w:r>
      <w:r w:rsidR="00E01E8C">
        <w:t xml:space="preserve">) rate is higher than parity </w:t>
      </w:r>
      <w:r w:rsidR="003C2714">
        <w:t>in the target year</w:t>
      </w:r>
      <w:r w:rsidR="00E01E8C">
        <w:t xml:space="preserve">, </w:t>
      </w:r>
      <w:r w:rsidR="003C2714">
        <w:t>then</w:t>
      </w:r>
      <w:r w:rsidR="00264B38">
        <w:t xml:space="preserve"> </w:t>
      </w:r>
      <w:r w:rsidR="00DE0D55">
        <w:t>institutions</w:t>
      </w:r>
      <w:r w:rsidR="003C2714">
        <w:t xml:space="preserve"> must</w:t>
      </w:r>
      <w:r w:rsidR="00DE0D55">
        <w:t xml:space="preserve"> at least match</w:t>
      </w:r>
      <w:r w:rsidR="00264B38">
        <w:t xml:space="preserve"> </w:t>
      </w:r>
      <w:r w:rsidR="00DE0D55">
        <w:t>the 2021 performance</w:t>
      </w:r>
      <w:r w:rsidR="00605668">
        <w:t xml:space="preserve"> – as per the </w:t>
      </w:r>
      <w:r w:rsidR="000F646B" w:rsidRPr="00605668">
        <w:rPr>
          <w:i/>
          <w:iCs/>
        </w:rPr>
        <w:t>Business</w:t>
      </w:r>
      <w:r w:rsidR="002858F8">
        <w:rPr>
          <w:i/>
          <w:iCs/>
        </w:rPr>
        <w:t>-</w:t>
      </w:r>
      <w:r w:rsidR="000F646B" w:rsidRPr="00605668">
        <w:rPr>
          <w:i/>
          <w:iCs/>
        </w:rPr>
        <w:t>as</w:t>
      </w:r>
      <w:r w:rsidR="002858F8">
        <w:rPr>
          <w:i/>
          <w:iCs/>
        </w:rPr>
        <w:t>-</w:t>
      </w:r>
      <w:r w:rsidR="000F646B" w:rsidRPr="00605668">
        <w:rPr>
          <w:i/>
          <w:iCs/>
        </w:rPr>
        <w:t>Usual</w:t>
      </w:r>
      <w:r w:rsidR="000F646B">
        <w:t xml:space="preserve"> </w:t>
      </w:r>
      <w:r w:rsidR="00FC23F6">
        <w:t>option</w:t>
      </w:r>
      <w:r w:rsidR="000F646B">
        <w:t>.</w:t>
      </w:r>
      <w:r w:rsidR="00CC66CE">
        <w:t xml:space="preserve"> </w:t>
      </w:r>
      <w:r w:rsidR="00736D4C">
        <w:br/>
      </w:r>
    </w:p>
    <w:p w14:paraId="03EB5A3C" w14:textId="20407675" w:rsidR="00E162B8" w:rsidRDefault="00CC1C62" w:rsidP="00E162B8">
      <w:pPr>
        <w:pStyle w:val="ListParagraph"/>
        <w:numPr>
          <w:ilvl w:val="0"/>
          <w:numId w:val="28"/>
        </w:numPr>
      </w:pPr>
      <w:r w:rsidRPr="00FA747B">
        <w:rPr>
          <w:b/>
          <w:bCs/>
          <w:i/>
          <w:iCs/>
        </w:rPr>
        <w:t>Divergence:</w:t>
      </w:r>
      <w:r w:rsidR="00DB1D14" w:rsidRPr="00FA747B">
        <w:rPr>
          <w:b/>
          <w:bCs/>
        </w:rPr>
        <w:t xml:space="preserve"> </w:t>
      </w:r>
      <w:r w:rsidR="00375B6A">
        <w:t>Th</w:t>
      </w:r>
      <w:r w:rsidR="00451BD0">
        <w:t>is</w:t>
      </w:r>
      <w:r w:rsidR="00FD7E4C" w:rsidRPr="00FA747B">
        <w:rPr>
          <w:i/>
          <w:iCs/>
        </w:rPr>
        <w:t xml:space="preserve"> </w:t>
      </w:r>
      <w:r w:rsidR="00FD7E4C" w:rsidRPr="00FD7E4C">
        <w:t>option</w:t>
      </w:r>
      <w:r w:rsidR="00616DAA">
        <w:t xml:space="preserve"> </w:t>
      </w:r>
      <w:r w:rsidR="008259DE">
        <w:t xml:space="preserve">is </w:t>
      </w:r>
      <w:proofErr w:type="gramStart"/>
      <w:r w:rsidR="008259DE">
        <w:t>similar to</w:t>
      </w:r>
      <w:proofErr w:type="gramEnd"/>
      <w:r w:rsidR="008259DE">
        <w:t xml:space="preserve"> </w:t>
      </w:r>
      <w:r w:rsidR="008259DE" w:rsidRPr="00FA747B">
        <w:rPr>
          <w:i/>
          <w:iCs/>
        </w:rPr>
        <w:t>Equal Effort</w:t>
      </w:r>
      <w:r w:rsidR="008259DE">
        <w:t>,</w:t>
      </w:r>
      <w:r w:rsidR="0018411C">
        <w:t xml:space="preserve"> but institutions already above </w:t>
      </w:r>
      <w:r w:rsidR="00A64952">
        <w:t>the parity target</w:t>
      </w:r>
      <w:r w:rsidR="00D24FBD">
        <w:t xml:space="preserve"> in </w:t>
      </w:r>
      <w:r w:rsidR="008259DE">
        <w:t>2021</w:t>
      </w:r>
      <w:r w:rsidR="00A64952">
        <w:t xml:space="preserve"> are no</w:t>
      </w:r>
      <w:r w:rsidR="00D24FBD">
        <w:t>t</w:t>
      </w:r>
      <w:r w:rsidR="00A64952">
        <w:t xml:space="preserve"> required</w:t>
      </w:r>
      <w:r w:rsidR="00D24FBD">
        <w:t xml:space="preserve"> to exceed</w:t>
      </w:r>
      <w:r w:rsidR="004F5BF8">
        <w:t xml:space="preserve"> this</w:t>
      </w:r>
      <w:r w:rsidR="00B2488B">
        <w:t xml:space="preserve"> “ceiling targ</w:t>
      </w:r>
      <w:r w:rsidR="00AD5BBB">
        <w:t>et”</w:t>
      </w:r>
      <w:r w:rsidR="00FA747B">
        <w:t>.</w:t>
      </w:r>
      <w:r w:rsidR="004F5BF8">
        <w:t xml:space="preserve"> Instead, the required increase in enrolments to achieve the </w:t>
      </w:r>
      <w:r w:rsidR="006D1D7A">
        <w:t xml:space="preserve">jurisdiction </w:t>
      </w:r>
      <w:r w:rsidR="004F5BF8">
        <w:t xml:space="preserve">target </w:t>
      </w:r>
      <w:r w:rsidR="00BC7C32">
        <w:t xml:space="preserve">is spread across those institutions </w:t>
      </w:r>
      <w:r w:rsidR="00270709">
        <w:t xml:space="preserve">operating below the </w:t>
      </w:r>
      <w:r w:rsidR="006D1D7A">
        <w:t xml:space="preserve">parity </w:t>
      </w:r>
      <w:r w:rsidR="00270709">
        <w:t>target</w:t>
      </w:r>
      <w:r w:rsidR="006D1D7A">
        <w:t xml:space="preserve"> in 2021</w:t>
      </w:r>
      <w:r w:rsidR="00270709">
        <w:t>.</w:t>
      </w:r>
      <w:r w:rsidR="006D1D7A">
        <w:t xml:space="preserve"> </w:t>
      </w:r>
      <w:r w:rsidR="00046916">
        <w:t xml:space="preserve">This is referred to as </w:t>
      </w:r>
      <w:r w:rsidR="00046916" w:rsidRPr="00FA747B">
        <w:rPr>
          <w:i/>
          <w:iCs/>
        </w:rPr>
        <w:t xml:space="preserve">Divergence </w:t>
      </w:r>
      <w:r w:rsidR="00046916">
        <w:t>as the growth paths on institutional participation (</w:t>
      </w:r>
      <w:r w:rsidR="00F40578">
        <w:t>completion</w:t>
      </w:r>
      <w:r w:rsidR="00046916">
        <w:t>) differ by jurisdiction.</w:t>
      </w:r>
      <w:r w:rsidR="007F6F36">
        <w:br/>
      </w:r>
      <w:r w:rsidR="007F6F36">
        <w:br/>
      </w:r>
      <w:r w:rsidR="00E162B8">
        <w:t xml:space="preserve">An indicative policy treatment of a small group of institutions in one jurisdiction under the </w:t>
      </w:r>
      <w:r w:rsidR="00E162B8" w:rsidRPr="007F6F36">
        <w:rPr>
          <w:i/>
          <w:iCs/>
        </w:rPr>
        <w:t xml:space="preserve">Business-As-Usual </w:t>
      </w:r>
      <w:r w:rsidR="001D437E">
        <w:t>options</w:t>
      </w:r>
      <w:r w:rsidR="00E162B8">
        <w:t xml:space="preserve"> and the three active </w:t>
      </w:r>
      <w:r w:rsidR="001D437E">
        <w:t>policy options</w:t>
      </w:r>
      <w:r w:rsidR="00E162B8">
        <w:t xml:space="preserve"> is provided in Figure </w:t>
      </w:r>
      <w:r w:rsidR="003777B4">
        <w:t>2</w:t>
      </w:r>
      <w:r w:rsidR="00E162B8">
        <w:t xml:space="preserve"> below. </w:t>
      </w:r>
    </w:p>
    <w:p w14:paraId="5ECF506E" w14:textId="640D2C1C" w:rsidR="007F6F36" w:rsidRDefault="007F6F36">
      <w:pPr>
        <w:rPr>
          <w:rFonts w:cstheme="minorHAnsi"/>
          <w:b/>
          <w:bCs/>
          <w:color w:val="000000"/>
          <w:szCs w:val="22"/>
          <w:lang w:eastAsia="en-AU"/>
        </w:rPr>
      </w:pPr>
      <w:r>
        <w:rPr>
          <w:rFonts w:cstheme="minorHAnsi"/>
          <w:b/>
          <w:bCs/>
          <w:color w:val="000000"/>
          <w:szCs w:val="22"/>
          <w:lang w:eastAsia="en-AU"/>
        </w:rPr>
        <w:br w:type="page"/>
      </w:r>
    </w:p>
    <w:p w14:paraId="0A0CBAC1" w14:textId="49D81FFF" w:rsidR="00EE3ED1" w:rsidRPr="00EB5C85" w:rsidRDefault="00EE3ED1" w:rsidP="00F9446A">
      <w:pPr>
        <w:spacing w:line="240" w:lineRule="auto"/>
        <w:rPr>
          <w:rFonts w:cstheme="minorHAnsi"/>
          <w:color w:val="000000"/>
          <w:sz w:val="18"/>
          <w:szCs w:val="18"/>
          <w:lang w:eastAsia="en-AU"/>
        </w:rPr>
      </w:pPr>
      <w:r w:rsidRPr="00EB5C85">
        <w:rPr>
          <w:rFonts w:cstheme="minorHAnsi"/>
          <w:b/>
          <w:bCs/>
          <w:color w:val="000000"/>
          <w:sz w:val="18"/>
          <w:szCs w:val="18"/>
          <w:lang w:eastAsia="en-AU"/>
        </w:rPr>
        <w:lastRenderedPageBreak/>
        <w:t xml:space="preserve">Figure </w:t>
      </w:r>
      <w:r w:rsidR="00A71923" w:rsidRPr="00EB5C85">
        <w:rPr>
          <w:rFonts w:cstheme="minorHAnsi"/>
          <w:b/>
          <w:bCs/>
          <w:color w:val="000000"/>
          <w:sz w:val="18"/>
          <w:szCs w:val="18"/>
          <w:lang w:eastAsia="en-AU"/>
        </w:rPr>
        <w:t>2</w:t>
      </w:r>
      <w:r w:rsidRPr="00EB5C85">
        <w:rPr>
          <w:rFonts w:cstheme="minorHAnsi"/>
          <w:b/>
          <w:bCs/>
          <w:color w:val="000000"/>
          <w:sz w:val="18"/>
          <w:szCs w:val="18"/>
          <w:lang w:eastAsia="en-AU"/>
        </w:rPr>
        <w:t xml:space="preserve">: </w:t>
      </w:r>
      <w:r w:rsidRPr="00EB5C85">
        <w:rPr>
          <w:rFonts w:cstheme="minorHAnsi"/>
          <w:color w:val="000000"/>
          <w:sz w:val="18"/>
          <w:szCs w:val="18"/>
          <w:lang w:eastAsia="en-AU"/>
        </w:rPr>
        <w:t xml:space="preserve">Indicative impact of each </w:t>
      </w:r>
      <w:r w:rsidR="00FD7E4C" w:rsidRPr="00EB5C85">
        <w:rPr>
          <w:rFonts w:cstheme="minorHAnsi"/>
          <w:color w:val="000000"/>
          <w:sz w:val="18"/>
          <w:szCs w:val="18"/>
          <w:lang w:eastAsia="en-AU"/>
        </w:rPr>
        <w:t>Parity Target Policy Option</w:t>
      </w:r>
      <w:r w:rsidR="00467B5F" w:rsidRPr="00EB5C85">
        <w:rPr>
          <w:rFonts w:cstheme="minorHAnsi"/>
          <w:color w:val="000000"/>
          <w:sz w:val="18"/>
          <w:szCs w:val="18"/>
          <w:lang w:eastAsia="en-AU"/>
        </w:rPr>
        <w:t xml:space="preserve">. </w:t>
      </w:r>
      <w:r w:rsidR="00FD7E4C" w:rsidRPr="00EB5C85">
        <w:rPr>
          <w:rFonts w:cstheme="minorHAnsi"/>
          <w:color w:val="000000"/>
          <w:sz w:val="18"/>
          <w:szCs w:val="18"/>
          <w:lang w:eastAsia="en-AU"/>
        </w:rPr>
        <w:t xml:space="preserve"> </w:t>
      </w:r>
      <w:r w:rsidR="000C074D" w:rsidRPr="00EB5C85">
        <w:rPr>
          <w:rFonts w:cstheme="minorHAnsi"/>
          <w:color w:val="000000"/>
          <w:sz w:val="18"/>
          <w:szCs w:val="18"/>
          <w:lang w:eastAsia="en-AU"/>
        </w:rPr>
        <w:br/>
      </w:r>
    </w:p>
    <w:p w14:paraId="0102CE9E" w14:textId="079981C5" w:rsidR="006871D3" w:rsidRDefault="006871D3" w:rsidP="00E53B8E">
      <w:pPr>
        <w:jc w:val="center"/>
        <w:rPr>
          <w:noProof/>
        </w:rPr>
      </w:pPr>
      <w:r>
        <w:rPr>
          <w:noProof/>
        </w:rPr>
        <w:drawing>
          <wp:inline distT="0" distB="0" distL="0" distR="0" wp14:anchorId="3B405CED" wp14:editId="2CC34EE5">
            <wp:extent cx="2970000" cy="1980000"/>
            <wp:effectExtent l="0" t="0" r="1905" b="1270"/>
            <wp:docPr id="2102197977" name="Picture 2102197977" descr="Line graph showing Equity Group Share of universities A, B, C, D, and E and the Parity Target from 2021 to 2035 under the Business-as-Usual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97977" name="Picture 2102197977" descr="Line graph showing Equity Group Share of universities A, B, C, D, and E and the Parity Target from 2021 to 2035 under the Business-as-Usual Policy Op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pic:spPr>
                </pic:pic>
              </a:graphicData>
            </a:graphic>
          </wp:inline>
        </w:drawing>
      </w:r>
      <w:r w:rsidR="00E53B8E">
        <w:rPr>
          <w:noProof/>
        </w:rPr>
        <w:t xml:space="preserve">    </w:t>
      </w:r>
      <w:r>
        <w:rPr>
          <w:noProof/>
        </w:rPr>
        <w:drawing>
          <wp:inline distT="0" distB="0" distL="0" distR="0" wp14:anchorId="3A3F7ABF" wp14:editId="51A40E3E">
            <wp:extent cx="2970000" cy="1980000"/>
            <wp:effectExtent l="0" t="0" r="1905" b="1270"/>
            <wp:docPr id="529138436" name="Picture 529138436" descr="Line graph showing Equity Group Share of universities A, B, C, D, and E and the Parity Target from 2021 to 2035 under the Convergence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38436" name="Picture 529138436" descr="Line graph showing Equity Group Share of universities A, B, C, D, and E and the Parity Target from 2021 to 2035 under the Convergence Policy Op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pic:spPr>
                </pic:pic>
              </a:graphicData>
            </a:graphic>
          </wp:inline>
        </w:drawing>
      </w:r>
    </w:p>
    <w:p w14:paraId="52BC017B" w14:textId="77777777" w:rsidR="00E53B8E" w:rsidRDefault="00E53B8E" w:rsidP="00E53B8E">
      <w:pPr>
        <w:jc w:val="center"/>
        <w:rPr>
          <w:noProof/>
        </w:rPr>
      </w:pPr>
    </w:p>
    <w:p w14:paraId="33B8A8F8" w14:textId="77777777" w:rsidR="00B85670" w:rsidRDefault="00E53B8E" w:rsidP="00EA3003">
      <w:pPr>
        <w:spacing w:line="240" w:lineRule="auto"/>
        <w:rPr>
          <w:noProof/>
        </w:rPr>
      </w:pPr>
      <w:r>
        <w:rPr>
          <w:noProof/>
        </w:rPr>
        <w:drawing>
          <wp:inline distT="0" distB="0" distL="0" distR="0" wp14:anchorId="3B35C12F" wp14:editId="114443BC">
            <wp:extent cx="2970000" cy="1980000"/>
            <wp:effectExtent l="0" t="0" r="1905" b="1270"/>
            <wp:docPr id="1377149630" name="Picture 1377149630" descr="Line graph showing Equity Group Share of universities A, B, C, D, and E and the Parity Target from 2021 to 2035 under the Equal Effort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49630" name="Picture 1377149630" descr="Line graph showing Equity Group Share of universities A, B, C, D, and E and the Parity Target from 2021 to 2035 under the Equal Effort Policy Op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pic:spPr>
                </pic:pic>
              </a:graphicData>
            </a:graphic>
          </wp:inline>
        </w:drawing>
      </w:r>
      <w:r w:rsidR="00C2403F" w:rsidRPr="00C2403F">
        <w:rPr>
          <w:noProof/>
        </w:rPr>
        <w:t xml:space="preserve"> </w:t>
      </w:r>
      <w:r w:rsidR="00C2403F">
        <w:rPr>
          <w:noProof/>
        </w:rPr>
        <w:t xml:space="preserve">   </w:t>
      </w:r>
      <w:r w:rsidR="00C2403F">
        <w:rPr>
          <w:noProof/>
        </w:rPr>
        <w:drawing>
          <wp:inline distT="0" distB="0" distL="0" distR="0" wp14:anchorId="2C150E75" wp14:editId="499C07C2">
            <wp:extent cx="2970000" cy="1980000"/>
            <wp:effectExtent l="0" t="0" r="1905" b="1270"/>
            <wp:docPr id="604813842" name="Picture 604813842" descr="Line graph showing Equity Group Share of universities A, B, C, D, and E and the Parity Target from 2021 to 2035 under the Divergence Polic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13842" name="Picture 604813842" descr="Line graph showing Equity Group Share of universities A, B, C, D, and E and the Parity Target from 2021 to 2035 under the Divergence Policy Op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pic:spPr>
                </pic:pic>
              </a:graphicData>
            </a:graphic>
          </wp:inline>
        </w:drawing>
      </w:r>
    </w:p>
    <w:p w14:paraId="59FA1525" w14:textId="65D4E741" w:rsidR="009B35A1" w:rsidRPr="00EA3003" w:rsidRDefault="00CB2F27" w:rsidP="00EA3003">
      <w:pPr>
        <w:spacing w:line="240" w:lineRule="auto"/>
      </w:pPr>
      <w:r w:rsidRPr="00CB2F27">
        <w:rPr>
          <w:b/>
          <w:bCs/>
          <w:sz w:val="18"/>
          <w:szCs w:val="18"/>
        </w:rPr>
        <w:t>Note:</w:t>
      </w:r>
      <w:r>
        <w:rPr>
          <w:sz w:val="18"/>
          <w:szCs w:val="18"/>
        </w:rPr>
        <w:t xml:space="preserve"> These estimates </w:t>
      </w:r>
      <w:r w:rsidR="004827BA">
        <w:rPr>
          <w:sz w:val="18"/>
          <w:szCs w:val="18"/>
        </w:rPr>
        <w:t xml:space="preserve">relate to equity group shares (%), with our reported outcomes being participation and completion headcounts. Hence, the </w:t>
      </w:r>
      <w:r w:rsidR="007A04BC">
        <w:rPr>
          <w:sz w:val="18"/>
          <w:szCs w:val="18"/>
        </w:rPr>
        <w:t xml:space="preserve">outcomes reported under the </w:t>
      </w:r>
      <w:r w:rsidR="007A04BC">
        <w:rPr>
          <w:i/>
          <w:iCs/>
          <w:sz w:val="18"/>
          <w:szCs w:val="18"/>
        </w:rPr>
        <w:t>Business-As-Usual</w:t>
      </w:r>
      <w:r w:rsidR="004827BA">
        <w:rPr>
          <w:sz w:val="18"/>
          <w:szCs w:val="18"/>
        </w:rPr>
        <w:t xml:space="preserve"> </w:t>
      </w:r>
      <w:r w:rsidR="007A04BC">
        <w:rPr>
          <w:sz w:val="18"/>
          <w:szCs w:val="18"/>
        </w:rPr>
        <w:t xml:space="preserve">option </w:t>
      </w:r>
      <w:r w:rsidR="00C92993">
        <w:rPr>
          <w:sz w:val="18"/>
          <w:szCs w:val="18"/>
        </w:rPr>
        <w:t xml:space="preserve">all indicate no variation in the rate, </w:t>
      </w:r>
      <w:r w:rsidR="006C3E32">
        <w:rPr>
          <w:sz w:val="18"/>
          <w:szCs w:val="18"/>
        </w:rPr>
        <w:t xml:space="preserve">although </w:t>
      </w:r>
      <w:r w:rsidR="00C92993">
        <w:rPr>
          <w:sz w:val="18"/>
          <w:szCs w:val="18"/>
        </w:rPr>
        <w:t xml:space="preserve">participation and </w:t>
      </w:r>
      <w:r w:rsidR="00FC1304">
        <w:rPr>
          <w:sz w:val="18"/>
          <w:szCs w:val="18"/>
        </w:rPr>
        <w:t>completion headcounts for equity groups will rise in line</w:t>
      </w:r>
      <w:r w:rsidR="00E20F00">
        <w:rPr>
          <w:sz w:val="18"/>
          <w:szCs w:val="18"/>
        </w:rPr>
        <w:t xml:space="preserve"> with overall enrolments and in accordance</w:t>
      </w:r>
      <w:r w:rsidR="00FC1304">
        <w:rPr>
          <w:sz w:val="18"/>
          <w:szCs w:val="18"/>
        </w:rPr>
        <w:t xml:space="preserve"> with these shares over time. </w:t>
      </w:r>
      <w:r w:rsidRPr="00CB2F27">
        <w:rPr>
          <w:b/>
          <w:bCs/>
          <w:sz w:val="18"/>
          <w:szCs w:val="18"/>
        </w:rPr>
        <w:t xml:space="preserve"> </w:t>
      </w:r>
      <w:r w:rsidR="009B35A1" w:rsidRPr="00CB2F27">
        <w:rPr>
          <w:rFonts w:ascii="SansaSoft Pro SemiBold" w:eastAsiaTheme="majorEastAsia" w:hAnsi="SansaSoft Pro SemiBold" w:cstheme="majorBidi"/>
          <w:bCs/>
          <w:color w:val="B58C0A"/>
          <w:sz w:val="40"/>
          <w:szCs w:val="28"/>
        </w:rPr>
        <w:br w:type="page"/>
      </w:r>
    </w:p>
    <w:p w14:paraId="71AB4F3C" w14:textId="739D0D23" w:rsidR="009B35A1" w:rsidRDefault="003441AF" w:rsidP="009B35A1">
      <w:pPr>
        <w:pStyle w:val="Heading1"/>
      </w:pPr>
      <w:bookmarkStart w:id="21" w:name="_Toc171511582"/>
      <w:r>
        <w:lastRenderedPageBreak/>
        <w:t xml:space="preserve">Modelling to 2035: </w:t>
      </w:r>
      <w:r w:rsidR="00352C15">
        <w:t>Participation</w:t>
      </w:r>
      <w:bookmarkEnd w:id="21"/>
    </w:p>
    <w:p w14:paraId="7FFF1198" w14:textId="18215B7E" w:rsidR="00186EC5" w:rsidRPr="004C7541" w:rsidRDefault="004C7541" w:rsidP="004C7541">
      <w:r>
        <w:br/>
        <w:t xml:space="preserve">We provide an initial focus on the outcomes from the modelling of undergraduate participation as this has been the </w:t>
      </w:r>
      <w:r w:rsidR="00C1560D">
        <w:t xml:space="preserve">core target indicator for equity policy since the Bradley Review and is the </w:t>
      </w:r>
      <w:r w:rsidR="00260440">
        <w:t>indicator identified by the Wellings Review in relation to performance-based funding.</w:t>
      </w:r>
      <w:r w:rsidR="00C1560D">
        <w:t xml:space="preserve"> </w:t>
      </w:r>
      <w:r>
        <w:t xml:space="preserve"> </w:t>
      </w:r>
    </w:p>
    <w:p w14:paraId="5F972E73" w14:textId="46F1BD6D" w:rsidR="004C7541" w:rsidRDefault="004C7541" w:rsidP="00B0246A">
      <w:pPr>
        <w:pStyle w:val="Heading2"/>
      </w:pPr>
      <w:r>
        <w:t xml:space="preserve">National </w:t>
      </w:r>
      <w:r w:rsidR="00A02FF2">
        <w:t xml:space="preserve">Parity </w:t>
      </w:r>
      <w:r>
        <w:t>Targets</w:t>
      </w:r>
    </w:p>
    <w:p w14:paraId="641CBE8A" w14:textId="2C290470" w:rsidR="00CE3147" w:rsidRDefault="00143998" w:rsidP="00D1300D">
      <w:r>
        <w:t xml:space="preserve">The estimates </w:t>
      </w:r>
      <w:r w:rsidR="00450EF6">
        <w:t xml:space="preserve">for this type of target-setting are reported in Table </w:t>
      </w:r>
      <w:r w:rsidR="00DB47F6">
        <w:t>7</w:t>
      </w:r>
      <w:r w:rsidR="00450EF6">
        <w:t>.</w:t>
      </w:r>
      <w:r w:rsidR="007C5AB0">
        <w:t xml:space="preserve"> </w:t>
      </w:r>
      <w:r w:rsidR="00D1300D">
        <w:t xml:space="preserve">In all four </w:t>
      </w:r>
      <w:bookmarkStart w:id="22" w:name="_Hlk152845009"/>
      <w:r w:rsidR="00C276CC">
        <w:t>options</w:t>
      </w:r>
      <w:bookmarkEnd w:id="22"/>
      <w:r w:rsidR="00D1300D">
        <w:t xml:space="preserve"> to 2035, total participation reaches 1.</w:t>
      </w:r>
      <w:r w:rsidR="00DB47F6" w:rsidDel="00EE59C8">
        <w:t>1</w:t>
      </w:r>
      <w:r w:rsidR="00D1300D">
        <w:t xml:space="preserve"> million, representing a 3</w:t>
      </w:r>
      <w:r w:rsidR="0074435F">
        <w:t>6</w:t>
      </w:r>
      <w:r w:rsidR="009242EA">
        <w:t>.4</w:t>
      </w:r>
      <w:r w:rsidR="00D1300D">
        <w:t>% expansion in headcount</w:t>
      </w:r>
      <w:r w:rsidR="000008C4">
        <w:t>,</w:t>
      </w:r>
      <w:r w:rsidR="00D1300D">
        <w:t xml:space="preserve"> or an additional</w:t>
      </w:r>
      <w:r w:rsidR="00F42153">
        <w:t xml:space="preserve"> 285,</w:t>
      </w:r>
      <w:r w:rsidR="00F20078">
        <w:t>954</w:t>
      </w:r>
      <w:r w:rsidR="00D1300D">
        <w:t xml:space="preserve"> students by 2035. </w:t>
      </w:r>
    </w:p>
    <w:p w14:paraId="5D3CDACB" w14:textId="284598DC" w:rsidR="003C3586" w:rsidRDefault="00D1300D" w:rsidP="00D1300D">
      <w:r>
        <w:t xml:space="preserve">As the 2035 </w:t>
      </w:r>
      <w:r w:rsidR="00633A2D">
        <w:rPr>
          <w:i/>
          <w:iCs/>
        </w:rPr>
        <w:t xml:space="preserve">Business-as-Usual </w:t>
      </w:r>
      <w:r w:rsidR="00907975">
        <w:t xml:space="preserve">option </w:t>
      </w:r>
      <w:r>
        <w:t>sees equity group participation rates remain static at their 2021 levels, the equity share of total growth in the system represents the 2021 share of total enrolment at 3</w:t>
      </w:r>
      <w:r w:rsidR="00FC64C3">
        <w:t>9</w:t>
      </w:r>
      <w:r>
        <w:t>.</w:t>
      </w:r>
      <w:r w:rsidR="00FC64C3">
        <w:t>4</w:t>
      </w:r>
      <w:r>
        <w:t xml:space="preserve">%. </w:t>
      </w:r>
    </w:p>
    <w:p w14:paraId="3F531D4A" w14:textId="77777777" w:rsidR="00301E78" w:rsidRDefault="00301E78" w:rsidP="00301E78">
      <w:pPr>
        <w:spacing w:line="240" w:lineRule="auto"/>
        <w:ind w:left="1440" w:hanging="1440"/>
        <w:rPr>
          <w:rFonts w:cstheme="minorHAnsi"/>
          <w:b/>
          <w:bCs/>
          <w:color w:val="000000"/>
          <w:lang w:eastAsia="en-AU"/>
        </w:rPr>
      </w:pPr>
    </w:p>
    <w:p w14:paraId="3AD0BB96" w14:textId="17826F93" w:rsidR="00185BAE" w:rsidRDefault="009B6407" w:rsidP="005C628A">
      <w:pPr>
        <w:spacing w:line="240" w:lineRule="auto"/>
        <w:ind w:left="1440" w:hanging="1440"/>
        <w:rPr>
          <w:rFonts w:cstheme="minorHAnsi"/>
          <w:color w:val="000000"/>
          <w:sz w:val="18"/>
          <w:szCs w:val="18"/>
          <w:lang w:eastAsia="en-AU"/>
        </w:rPr>
      </w:pPr>
      <w:r w:rsidRPr="00185BAE">
        <w:rPr>
          <w:rFonts w:cstheme="minorHAnsi"/>
          <w:b/>
          <w:bCs/>
          <w:color w:val="000000"/>
          <w:sz w:val="18"/>
          <w:szCs w:val="18"/>
          <w:lang w:eastAsia="en-AU"/>
        </w:rPr>
        <w:t xml:space="preserve">Table </w:t>
      </w:r>
      <w:r w:rsidR="00306F4E">
        <w:rPr>
          <w:rFonts w:cstheme="minorHAnsi"/>
          <w:b/>
          <w:bCs/>
          <w:color w:val="000000"/>
          <w:sz w:val="18"/>
          <w:szCs w:val="18"/>
          <w:lang w:eastAsia="en-AU"/>
        </w:rPr>
        <w:t>7</w:t>
      </w:r>
      <w:r w:rsidRPr="00185BAE">
        <w:rPr>
          <w:rFonts w:cstheme="minorHAnsi"/>
          <w:b/>
          <w:bCs/>
          <w:color w:val="000000"/>
          <w:sz w:val="18"/>
          <w:szCs w:val="18"/>
          <w:lang w:eastAsia="en-AU"/>
        </w:rPr>
        <w:t>:</w:t>
      </w:r>
      <w:r w:rsidR="00185BAE">
        <w:rPr>
          <w:rFonts w:cstheme="minorHAnsi"/>
          <w:b/>
          <w:bCs/>
          <w:color w:val="000000"/>
          <w:sz w:val="18"/>
          <w:szCs w:val="18"/>
          <w:lang w:eastAsia="en-AU"/>
        </w:rPr>
        <w:t xml:space="preserve"> </w:t>
      </w:r>
      <w:r w:rsidRPr="00185BAE">
        <w:rPr>
          <w:rFonts w:cstheme="minorHAnsi"/>
          <w:color w:val="000000"/>
          <w:sz w:val="18"/>
          <w:szCs w:val="18"/>
          <w:lang w:eastAsia="en-AU"/>
        </w:rPr>
        <w:t>Equity Group Enrolment Projections</w:t>
      </w:r>
      <w:r w:rsidR="00BB5B47" w:rsidRPr="00185BAE">
        <w:rPr>
          <w:rFonts w:cstheme="minorHAnsi"/>
          <w:color w:val="000000"/>
          <w:sz w:val="18"/>
          <w:szCs w:val="18"/>
          <w:lang w:eastAsia="en-AU"/>
        </w:rPr>
        <w:t xml:space="preserve">: National </w:t>
      </w:r>
      <w:r w:rsidR="00A02FF2">
        <w:rPr>
          <w:rFonts w:cstheme="minorHAnsi"/>
          <w:color w:val="000000"/>
          <w:sz w:val="18"/>
          <w:szCs w:val="18"/>
          <w:lang w:eastAsia="en-AU"/>
        </w:rPr>
        <w:t xml:space="preserve">Parity </w:t>
      </w:r>
      <w:r w:rsidR="00BB5B47" w:rsidRPr="00185BAE">
        <w:rPr>
          <w:rFonts w:cstheme="minorHAnsi"/>
          <w:color w:val="000000"/>
          <w:sz w:val="18"/>
          <w:szCs w:val="18"/>
          <w:lang w:eastAsia="en-AU"/>
        </w:rPr>
        <w:t>Targets</w:t>
      </w:r>
      <w:r w:rsidRPr="00185BAE">
        <w:rPr>
          <w:rFonts w:cstheme="minorHAnsi"/>
          <w:color w:val="000000"/>
          <w:sz w:val="18"/>
          <w:szCs w:val="18"/>
          <w:lang w:eastAsia="en-AU"/>
        </w:rPr>
        <w:t xml:space="preserve"> Under </w:t>
      </w:r>
      <w:r w:rsidR="006E6194" w:rsidRPr="00185BAE">
        <w:rPr>
          <w:rFonts w:cstheme="minorHAnsi"/>
          <w:color w:val="000000"/>
          <w:sz w:val="18"/>
          <w:szCs w:val="18"/>
          <w:lang w:eastAsia="en-AU"/>
        </w:rPr>
        <w:t xml:space="preserve">Four </w:t>
      </w:r>
      <w:r w:rsidR="00F3432E">
        <w:rPr>
          <w:rFonts w:cstheme="minorHAnsi"/>
          <w:color w:val="000000"/>
          <w:sz w:val="18"/>
          <w:szCs w:val="18"/>
          <w:lang w:eastAsia="en-AU"/>
        </w:rPr>
        <w:t>Options</w:t>
      </w:r>
      <w:r w:rsidR="00F3432E" w:rsidRPr="00185BAE">
        <w:rPr>
          <w:rFonts w:cstheme="minorHAnsi"/>
          <w:color w:val="000000"/>
          <w:sz w:val="18"/>
          <w:szCs w:val="18"/>
          <w:lang w:eastAsia="en-AU"/>
        </w:rPr>
        <w:t xml:space="preserve"> </w:t>
      </w:r>
      <w:r w:rsidR="006E6194" w:rsidRPr="00185BAE">
        <w:rPr>
          <w:rFonts w:cstheme="minorHAnsi"/>
          <w:color w:val="000000"/>
          <w:sz w:val="18"/>
          <w:szCs w:val="18"/>
          <w:lang w:eastAsia="en-AU"/>
        </w:rPr>
        <w:t>to 2035</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294"/>
        <w:gridCol w:w="1410"/>
        <w:gridCol w:w="1410"/>
        <w:gridCol w:w="1410"/>
        <w:gridCol w:w="1410"/>
      </w:tblGrid>
      <w:tr w:rsidR="009C68AD" w:rsidRPr="009B6407" w14:paraId="598D9AF6" w14:textId="77777777" w:rsidTr="00160B8E">
        <w:trPr>
          <w:trHeight w:val="534"/>
        </w:trPr>
        <w:tc>
          <w:tcPr>
            <w:tcW w:w="2684" w:type="dxa"/>
            <w:vMerge w:val="restart"/>
            <w:shd w:val="clear" w:color="auto" w:fill="auto"/>
            <w:noWrap/>
            <w:vAlign w:val="center"/>
            <w:hideMark/>
          </w:tcPr>
          <w:p w14:paraId="5C9969D4" w14:textId="77777777" w:rsidR="00FE4B8D" w:rsidRPr="009B6407" w:rsidRDefault="00FE4B8D" w:rsidP="00FE4B8D">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294" w:type="dxa"/>
            <w:vMerge w:val="restart"/>
            <w:shd w:val="clear" w:color="auto" w:fill="6B3B57"/>
            <w:vAlign w:val="center"/>
            <w:hideMark/>
          </w:tcPr>
          <w:p w14:paraId="047DDED5" w14:textId="77777777" w:rsidR="00FE4B8D" w:rsidRPr="009B6407" w:rsidRDefault="00FE4B8D" w:rsidP="00FE4B8D">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410" w:type="dxa"/>
            <w:vMerge w:val="restart"/>
            <w:shd w:val="clear" w:color="auto" w:fill="6B3B57"/>
            <w:vAlign w:val="center"/>
            <w:hideMark/>
          </w:tcPr>
          <w:p w14:paraId="6BDA4BAC" w14:textId="34A5F65D" w:rsidR="00FE4B8D" w:rsidRPr="009B6407" w:rsidRDefault="000E1F28" w:rsidP="00FE4B8D">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10" w:type="dxa"/>
            <w:vMerge w:val="restart"/>
            <w:shd w:val="clear" w:color="auto" w:fill="6B3B57"/>
            <w:vAlign w:val="center"/>
            <w:hideMark/>
          </w:tcPr>
          <w:p w14:paraId="3095EB77" w14:textId="6202089B" w:rsidR="00FE4B8D" w:rsidRPr="009B6407" w:rsidRDefault="001F3D31"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tc>
        <w:tc>
          <w:tcPr>
            <w:tcW w:w="1410" w:type="dxa"/>
            <w:vMerge w:val="restart"/>
            <w:shd w:val="clear" w:color="auto" w:fill="6B3B57"/>
            <w:vAlign w:val="center"/>
            <w:hideMark/>
          </w:tcPr>
          <w:p w14:paraId="0276EFF4" w14:textId="381E9B5D" w:rsidR="00D20426" w:rsidRPr="009B6407" w:rsidRDefault="001F3D31"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tc>
        <w:tc>
          <w:tcPr>
            <w:tcW w:w="1410" w:type="dxa"/>
            <w:vMerge w:val="restart"/>
            <w:shd w:val="clear" w:color="auto" w:fill="6B3B57"/>
            <w:vAlign w:val="center"/>
            <w:hideMark/>
          </w:tcPr>
          <w:p w14:paraId="27E00E34" w14:textId="2B419215" w:rsidR="00D20426" w:rsidRPr="009B6407" w:rsidRDefault="00262331"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tc>
      </w:tr>
      <w:tr w:rsidR="001F3D31" w:rsidRPr="009B6407" w14:paraId="7DF42B08" w14:textId="77777777" w:rsidTr="00160B8E">
        <w:trPr>
          <w:trHeight w:val="534"/>
        </w:trPr>
        <w:tc>
          <w:tcPr>
            <w:tcW w:w="2684" w:type="dxa"/>
            <w:vMerge/>
            <w:shd w:val="clear" w:color="auto" w:fill="auto"/>
            <w:vAlign w:val="center"/>
            <w:hideMark/>
          </w:tcPr>
          <w:p w14:paraId="287EB772" w14:textId="77777777" w:rsidR="001F3D31" w:rsidRPr="009B6407" w:rsidRDefault="001F3D31" w:rsidP="009B6407">
            <w:pPr>
              <w:spacing w:after="0" w:line="240" w:lineRule="auto"/>
              <w:rPr>
                <w:rFonts w:ascii="Calibri" w:hAnsi="Calibri" w:cs="Calibri"/>
                <w:color w:val="000000"/>
                <w:sz w:val="18"/>
                <w:szCs w:val="18"/>
                <w:lang w:eastAsia="en-AU"/>
              </w:rPr>
            </w:pPr>
          </w:p>
        </w:tc>
        <w:tc>
          <w:tcPr>
            <w:tcW w:w="1294" w:type="dxa"/>
            <w:vMerge/>
            <w:shd w:val="clear" w:color="auto" w:fill="6B3B57"/>
            <w:vAlign w:val="center"/>
            <w:hideMark/>
          </w:tcPr>
          <w:p w14:paraId="20504F5B" w14:textId="77777777" w:rsidR="001F3D31" w:rsidRPr="009B6407" w:rsidRDefault="001F3D31" w:rsidP="009B6407">
            <w:pPr>
              <w:spacing w:after="0" w:line="240" w:lineRule="auto"/>
              <w:rPr>
                <w:rFonts w:cs="Arial"/>
                <w:b/>
                <w:bCs/>
                <w:color w:val="FFFFFF"/>
                <w:sz w:val="18"/>
                <w:szCs w:val="18"/>
                <w:lang w:eastAsia="en-AU"/>
              </w:rPr>
            </w:pPr>
          </w:p>
        </w:tc>
        <w:tc>
          <w:tcPr>
            <w:tcW w:w="1410" w:type="dxa"/>
            <w:vMerge/>
            <w:shd w:val="clear" w:color="auto" w:fill="6B3B57"/>
            <w:vAlign w:val="center"/>
            <w:hideMark/>
          </w:tcPr>
          <w:p w14:paraId="44011FB7" w14:textId="77777777" w:rsidR="001F3D31" w:rsidRPr="009B6407" w:rsidRDefault="001F3D31" w:rsidP="009B6407">
            <w:pPr>
              <w:spacing w:after="0" w:line="240" w:lineRule="auto"/>
              <w:rPr>
                <w:rFonts w:cs="Arial"/>
                <w:b/>
                <w:bCs/>
                <w:color w:val="FFFFFF"/>
                <w:sz w:val="18"/>
                <w:szCs w:val="18"/>
                <w:lang w:eastAsia="en-AU"/>
              </w:rPr>
            </w:pPr>
          </w:p>
        </w:tc>
        <w:tc>
          <w:tcPr>
            <w:tcW w:w="1410" w:type="dxa"/>
            <w:vMerge/>
            <w:shd w:val="clear" w:color="auto" w:fill="6B3B57"/>
            <w:vAlign w:val="center"/>
            <w:hideMark/>
          </w:tcPr>
          <w:p w14:paraId="7A2A7828" w14:textId="77777777" w:rsidR="001F3D31" w:rsidRPr="009B6407" w:rsidRDefault="001F3D31" w:rsidP="009B6407">
            <w:pPr>
              <w:spacing w:after="0" w:line="240" w:lineRule="auto"/>
              <w:rPr>
                <w:rFonts w:cs="Arial"/>
                <w:b/>
                <w:bCs/>
                <w:color w:val="FFFFFF"/>
                <w:sz w:val="18"/>
                <w:szCs w:val="18"/>
                <w:lang w:eastAsia="en-AU"/>
              </w:rPr>
            </w:pPr>
          </w:p>
        </w:tc>
        <w:tc>
          <w:tcPr>
            <w:tcW w:w="1410" w:type="dxa"/>
            <w:vMerge/>
            <w:shd w:val="clear" w:color="auto" w:fill="6B3B57"/>
            <w:vAlign w:val="center"/>
            <w:hideMark/>
          </w:tcPr>
          <w:p w14:paraId="4A509E14" w14:textId="77777777" w:rsidR="001F3D31" w:rsidRPr="009B6407" w:rsidRDefault="001F3D31" w:rsidP="009B6407">
            <w:pPr>
              <w:spacing w:after="0" w:line="240" w:lineRule="auto"/>
              <w:rPr>
                <w:rFonts w:cs="Arial"/>
                <w:b/>
                <w:bCs/>
                <w:color w:val="FFFFFF"/>
                <w:sz w:val="18"/>
                <w:szCs w:val="18"/>
                <w:lang w:eastAsia="en-AU"/>
              </w:rPr>
            </w:pPr>
          </w:p>
        </w:tc>
        <w:tc>
          <w:tcPr>
            <w:tcW w:w="1410" w:type="dxa"/>
            <w:vMerge/>
            <w:shd w:val="clear" w:color="auto" w:fill="6B3B57"/>
            <w:vAlign w:val="center"/>
            <w:hideMark/>
          </w:tcPr>
          <w:p w14:paraId="11CD2F5F" w14:textId="77777777" w:rsidR="001F3D31" w:rsidRPr="009B6407" w:rsidRDefault="001F3D31" w:rsidP="009B6407">
            <w:pPr>
              <w:spacing w:after="0" w:line="240" w:lineRule="auto"/>
              <w:rPr>
                <w:rFonts w:cs="Arial"/>
                <w:b/>
                <w:bCs/>
                <w:color w:val="FFFFFF"/>
                <w:sz w:val="18"/>
                <w:szCs w:val="18"/>
                <w:lang w:eastAsia="en-AU"/>
              </w:rPr>
            </w:pPr>
          </w:p>
        </w:tc>
      </w:tr>
      <w:tr w:rsidR="00752C39" w:rsidRPr="009B6407" w14:paraId="13179B23" w14:textId="77777777" w:rsidTr="006253C8">
        <w:trPr>
          <w:trHeight w:val="315"/>
        </w:trPr>
        <w:tc>
          <w:tcPr>
            <w:tcW w:w="2684" w:type="dxa"/>
            <w:shd w:val="clear" w:color="auto" w:fill="auto"/>
            <w:noWrap/>
            <w:vAlign w:val="center"/>
            <w:hideMark/>
          </w:tcPr>
          <w:p w14:paraId="1B23C48D" w14:textId="77777777" w:rsidR="00752C39" w:rsidRPr="009B6407" w:rsidRDefault="00752C39" w:rsidP="00752C39">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294" w:type="dxa"/>
            <w:shd w:val="clear" w:color="auto" w:fill="auto"/>
            <w:noWrap/>
            <w:vAlign w:val="center"/>
            <w:hideMark/>
          </w:tcPr>
          <w:p w14:paraId="46380567" w14:textId="36CC609A" w:rsidR="00752C39" w:rsidRPr="00BB5958" w:rsidRDefault="00752C39" w:rsidP="00E7523F">
            <w:pPr>
              <w:spacing w:after="0" w:line="240" w:lineRule="auto"/>
              <w:ind w:right="206"/>
              <w:jc w:val="right"/>
              <w:rPr>
                <w:rFonts w:cs="Arial"/>
                <w:b/>
                <w:bCs/>
                <w:color w:val="000000"/>
                <w:sz w:val="18"/>
                <w:szCs w:val="18"/>
                <w:lang w:eastAsia="en-AU"/>
              </w:rPr>
            </w:pPr>
            <w:r w:rsidRPr="00BB5958">
              <w:rPr>
                <w:b/>
                <w:bCs/>
                <w:sz w:val="18"/>
                <w:szCs w:val="18"/>
              </w:rPr>
              <w:t>784,219</w:t>
            </w:r>
          </w:p>
        </w:tc>
        <w:tc>
          <w:tcPr>
            <w:tcW w:w="1410" w:type="dxa"/>
            <w:shd w:val="clear" w:color="auto" w:fill="auto"/>
            <w:noWrap/>
            <w:vAlign w:val="center"/>
            <w:hideMark/>
          </w:tcPr>
          <w:p w14:paraId="6E341263" w14:textId="54CBF48E" w:rsidR="00752C39" w:rsidRPr="00BB5958" w:rsidRDefault="00752C39" w:rsidP="00E7523F">
            <w:pPr>
              <w:spacing w:after="0" w:line="240" w:lineRule="auto"/>
              <w:ind w:right="206"/>
              <w:jc w:val="right"/>
              <w:rPr>
                <w:rFonts w:cs="Arial"/>
                <w:b/>
                <w:bCs/>
                <w:color w:val="000000"/>
                <w:sz w:val="18"/>
                <w:szCs w:val="18"/>
                <w:lang w:eastAsia="en-AU"/>
              </w:rPr>
            </w:pPr>
            <w:r w:rsidRPr="00BB5958">
              <w:rPr>
                <w:b/>
                <w:bCs/>
                <w:sz w:val="18"/>
                <w:szCs w:val="18"/>
              </w:rPr>
              <w:t>1,070,173</w:t>
            </w:r>
          </w:p>
        </w:tc>
        <w:tc>
          <w:tcPr>
            <w:tcW w:w="1410" w:type="dxa"/>
            <w:shd w:val="clear" w:color="auto" w:fill="auto"/>
            <w:noWrap/>
            <w:vAlign w:val="center"/>
            <w:hideMark/>
          </w:tcPr>
          <w:p w14:paraId="5EB2553A" w14:textId="3AC0F77F" w:rsidR="00752C39" w:rsidRPr="00BB5958" w:rsidRDefault="00752C39" w:rsidP="00E7523F">
            <w:pPr>
              <w:spacing w:after="0" w:line="240" w:lineRule="auto"/>
              <w:ind w:right="206"/>
              <w:jc w:val="right"/>
              <w:rPr>
                <w:rFonts w:cs="Arial"/>
                <w:b/>
                <w:bCs/>
                <w:color w:val="000000"/>
                <w:sz w:val="18"/>
                <w:szCs w:val="18"/>
                <w:lang w:eastAsia="en-AU"/>
              </w:rPr>
            </w:pPr>
            <w:r w:rsidRPr="00BB5958">
              <w:rPr>
                <w:b/>
                <w:bCs/>
                <w:sz w:val="18"/>
                <w:szCs w:val="18"/>
              </w:rPr>
              <w:t>1,070,173</w:t>
            </w:r>
          </w:p>
        </w:tc>
        <w:tc>
          <w:tcPr>
            <w:tcW w:w="1410" w:type="dxa"/>
            <w:shd w:val="clear" w:color="auto" w:fill="auto"/>
            <w:noWrap/>
            <w:vAlign w:val="center"/>
            <w:hideMark/>
          </w:tcPr>
          <w:p w14:paraId="7A7C763F" w14:textId="0E441FF3" w:rsidR="00752C39" w:rsidRPr="00BB5958" w:rsidRDefault="00752C39" w:rsidP="00E7523F">
            <w:pPr>
              <w:spacing w:after="0" w:line="240" w:lineRule="auto"/>
              <w:ind w:right="206"/>
              <w:jc w:val="right"/>
              <w:rPr>
                <w:rFonts w:cs="Arial"/>
                <w:b/>
                <w:bCs/>
                <w:color w:val="000000"/>
                <w:sz w:val="18"/>
                <w:szCs w:val="18"/>
                <w:lang w:eastAsia="en-AU"/>
              </w:rPr>
            </w:pPr>
            <w:r w:rsidRPr="00BB5958">
              <w:rPr>
                <w:b/>
                <w:bCs/>
                <w:sz w:val="18"/>
                <w:szCs w:val="18"/>
              </w:rPr>
              <w:t>1,070,173</w:t>
            </w:r>
          </w:p>
        </w:tc>
        <w:tc>
          <w:tcPr>
            <w:tcW w:w="1410" w:type="dxa"/>
            <w:shd w:val="clear" w:color="auto" w:fill="auto"/>
            <w:noWrap/>
            <w:vAlign w:val="center"/>
            <w:hideMark/>
          </w:tcPr>
          <w:p w14:paraId="13D14979" w14:textId="6627585A" w:rsidR="00752C39" w:rsidRPr="00BB5958" w:rsidRDefault="00752C39" w:rsidP="00E7523F">
            <w:pPr>
              <w:spacing w:after="0" w:line="240" w:lineRule="auto"/>
              <w:ind w:right="206"/>
              <w:jc w:val="right"/>
              <w:rPr>
                <w:rFonts w:cs="Arial"/>
                <w:b/>
                <w:bCs/>
                <w:color w:val="000000"/>
                <w:sz w:val="18"/>
                <w:szCs w:val="18"/>
                <w:lang w:eastAsia="en-AU"/>
              </w:rPr>
            </w:pPr>
            <w:r w:rsidRPr="00BB5958">
              <w:rPr>
                <w:b/>
                <w:bCs/>
                <w:sz w:val="18"/>
                <w:szCs w:val="18"/>
              </w:rPr>
              <w:t>1,070,173</w:t>
            </w:r>
          </w:p>
        </w:tc>
      </w:tr>
      <w:tr w:rsidR="00D52FBA" w:rsidRPr="009B6407" w14:paraId="162C7CD0" w14:textId="77777777" w:rsidTr="006253C8">
        <w:trPr>
          <w:trHeight w:val="315"/>
        </w:trPr>
        <w:tc>
          <w:tcPr>
            <w:tcW w:w="2684" w:type="dxa"/>
            <w:shd w:val="clear" w:color="auto" w:fill="auto"/>
            <w:noWrap/>
            <w:vAlign w:val="center"/>
            <w:hideMark/>
          </w:tcPr>
          <w:p w14:paraId="0BA73FD8" w14:textId="77777777" w:rsidR="00752C39" w:rsidRPr="009B6407" w:rsidRDefault="00752C39" w:rsidP="00752C39">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294" w:type="dxa"/>
            <w:shd w:val="clear" w:color="auto" w:fill="auto"/>
            <w:noWrap/>
            <w:vAlign w:val="center"/>
          </w:tcPr>
          <w:p w14:paraId="2A4908CD" w14:textId="322DAF48"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133,901</w:t>
            </w:r>
          </w:p>
        </w:tc>
        <w:tc>
          <w:tcPr>
            <w:tcW w:w="1410" w:type="dxa"/>
            <w:shd w:val="clear" w:color="auto" w:fill="auto"/>
            <w:noWrap/>
            <w:vAlign w:val="center"/>
          </w:tcPr>
          <w:p w14:paraId="4EE37750" w14:textId="1DAA35A6"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182,726</w:t>
            </w:r>
          </w:p>
        </w:tc>
        <w:tc>
          <w:tcPr>
            <w:tcW w:w="1410" w:type="dxa"/>
            <w:shd w:val="clear" w:color="auto" w:fill="auto"/>
            <w:noWrap/>
            <w:vAlign w:val="center"/>
          </w:tcPr>
          <w:p w14:paraId="076525E9" w14:textId="25D8E8A3"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274,372</w:t>
            </w:r>
          </w:p>
        </w:tc>
        <w:tc>
          <w:tcPr>
            <w:tcW w:w="1410" w:type="dxa"/>
            <w:shd w:val="clear" w:color="auto" w:fill="auto"/>
            <w:noWrap/>
            <w:vAlign w:val="center"/>
          </w:tcPr>
          <w:p w14:paraId="4E6C1A0F" w14:textId="0D618C0F"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267,543</w:t>
            </w:r>
          </w:p>
        </w:tc>
        <w:tc>
          <w:tcPr>
            <w:tcW w:w="1410" w:type="dxa"/>
            <w:shd w:val="clear" w:color="auto" w:fill="auto"/>
            <w:noWrap/>
            <w:vAlign w:val="center"/>
          </w:tcPr>
          <w:p w14:paraId="2430970E" w14:textId="7246E2EE"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267,543</w:t>
            </w:r>
          </w:p>
        </w:tc>
      </w:tr>
      <w:tr w:rsidR="00D52FBA" w:rsidRPr="009B6407" w14:paraId="719703E3" w14:textId="77777777" w:rsidTr="006253C8">
        <w:trPr>
          <w:trHeight w:val="315"/>
        </w:trPr>
        <w:tc>
          <w:tcPr>
            <w:tcW w:w="2684" w:type="dxa"/>
            <w:shd w:val="clear" w:color="auto" w:fill="auto"/>
            <w:noWrap/>
            <w:vAlign w:val="center"/>
            <w:hideMark/>
          </w:tcPr>
          <w:p w14:paraId="43BCF408" w14:textId="77777777" w:rsidR="00752C39" w:rsidRPr="009B6407" w:rsidRDefault="00752C39" w:rsidP="00752C39">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294" w:type="dxa"/>
            <w:shd w:val="clear" w:color="auto" w:fill="auto"/>
            <w:noWrap/>
            <w:vAlign w:val="center"/>
          </w:tcPr>
          <w:p w14:paraId="42EAA0C9" w14:textId="107E1543"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160,542</w:t>
            </w:r>
          </w:p>
        </w:tc>
        <w:tc>
          <w:tcPr>
            <w:tcW w:w="1410" w:type="dxa"/>
            <w:shd w:val="clear" w:color="auto" w:fill="auto"/>
            <w:noWrap/>
            <w:vAlign w:val="center"/>
          </w:tcPr>
          <w:p w14:paraId="3E271C9B" w14:textId="52CCC949"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219,081</w:t>
            </w:r>
          </w:p>
        </w:tc>
        <w:tc>
          <w:tcPr>
            <w:tcW w:w="1410" w:type="dxa"/>
            <w:shd w:val="clear" w:color="auto" w:fill="auto"/>
            <w:noWrap/>
            <w:vAlign w:val="center"/>
          </w:tcPr>
          <w:p w14:paraId="7D813B20" w14:textId="6DDA1197"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334,537</w:t>
            </w:r>
          </w:p>
        </w:tc>
        <w:tc>
          <w:tcPr>
            <w:tcW w:w="1410" w:type="dxa"/>
            <w:shd w:val="clear" w:color="auto" w:fill="auto"/>
            <w:noWrap/>
            <w:vAlign w:val="center"/>
          </w:tcPr>
          <w:p w14:paraId="61C62C24" w14:textId="789E7452"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279,315</w:t>
            </w:r>
          </w:p>
        </w:tc>
        <w:tc>
          <w:tcPr>
            <w:tcW w:w="1410" w:type="dxa"/>
            <w:shd w:val="clear" w:color="auto" w:fill="auto"/>
            <w:noWrap/>
            <w:vAlign w:val="center"/>
          </w:tcPr>
          <w:p w14:paraId="0A98421D" w14:textId="605CAEB5" w:rsidR="00752C39" w:rsidRPr="00752C39" w:rsidRDefault="0013643D" w:rsidP="00E7523F">
            <w:pPr>
              <w:spacing w:after="0" w:line="240" w:lineRule="auto"/>
              <w:ind w:right="206"/>
              <w:jc w:val="right"/>
              <w:rPr>
                <w:rFonts w:cs="Arial"/>
                <w:color w:val="000000"/>
                <w:sz w:val="18"/>
                <w:szCs w:val="18"/>
                <w:lang w:eastAsia="en-AU"/>
              </w:rPr>
            </w:pPr>
            <w:r w:rsidRPr="00E7523F">
              <w:rPr>
                <w:rFonts w:eastAsiaTheme="minorHAnsi" w:cs="Arial"/>
                <w:color w:val="000000"/>
                <w:sz w:val="18"/>
                <w:szCs w:val="18"/>
                <w:lang w:eastAsia="en-US"/>
              </w:rPr>
              <w:t>279,315</w:t>
            </w:r>
          </w:p>
        </w:tc>
      </w:tr>
      <w:tr w:rsidR="00752C39" w:rsidRPr="009B6407" w14:paraId="60CCC6AF" w14:textId="77777777" w:rsidTr="006253C8">
        <w:trPr>
          <w:trHeight w:val="315"/>
        </w:trPr>
        <w:tc>
          <w:tcPr>
            <w:tcW w:w="2684" w:type="dxa"/>
            <w:shd w:val="clear" w:color="auto" w:fill="auto"/>
            <w:noWrap/>
            <w:vAlign w:val="center"/>
            <w:hideMark/>
          </w:tcPr>
          <w:p w14:paraId="497D0DA8" w14:textId="77777777" w:rsidR="00752C39" w:rsidRPr="009B6407" w:rsidRDefault="00752C39" w:rsidP="00752C39">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294" w:type="dxa"/>
            <w:shd w:val="clear" w:color="auto" w:fill="auto"/>
            <w:noWrap/>
            <w:vAlign w:val="center"/>
            <w:hideMark/>
          </w:tcPr>
          <w:p w14:paraId="5D81B8FA" w14:textId="7E23EAA5"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16,383</w:t>
            </w:r>
          </w:p>
        </w:tc>
        <w:tc>
          <w:tcPr>
            <w:tcW w:w="1410" w:type="dxa"/>
            <w:shd w:val="clear" w:color="auto" w:fill="auto"/>
            <w:noWrap/>
            <w:vAlign w:val="center"/>
            <w:hideMark/>
          </w:tcPr>
          <w:p w14:paraId="54A22B95" w14:textId="36829BBD"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22,357</w:t>
            </w:r>
          </w:p>
        </w:tc>
        <w:tc>
          <w:tcPr>
            <w:tcW w:w="1410" w:type="dxa"/>
            <w:shd w:val="clear" w:color="auto" w:fill="auto"/>
            <w:noWrap/>
            <w:vAlign w:val="center"/>
            <w:hideMark/>
          </w:tcPr>
          <w:p w14:paraId="6C6EC805" w14:textId="7394CF4C"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43,566</w:t>
            </w:r>
          </w:p>
        </w:tc>
        <w:tc>
          <w:tcPr>
            <w:tcW w:w="1410" w:type="dxa"/>
            <w:shd w:val="clear" w:color="auto" w:fill="auto"/>
            <w:noWrap/>
            <w:vAlign w:val="center"/>
            <w:hideMark/>
          </w:tcPr>
          <w:p w14:paraId="70FC604C" w14:textId="1FF054E6"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42,124</w:t>
            </w:r>
          </w:p>
        </w:tc>
        <w:tc>
          <w:tcPr>
            <w:tcW w:w="1410" w:type="dxa"/>
            <w:shd w:val="clear" w:color="auto" w:fill="auto"/>
            <w:noWrap/>
            <w:vAlign w:val="center"/>
            <w:hideMark/>
          </w:tcPr>
          <w:p w14:paraId="1D0746D0" w14:textId="2D73079A"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42,124</w:t>
            </w:r>
          </w:p>
        </w:tc>
      </w:tr>
      <w:tr w:rsidR="00752C39" w:rsidRPr="009B6407" w14:paraId="615E3FDE" w14:textId="77777777" w:rsidTr="006253C8">
        <w:trPr>
          <w:trHeight w:val="315"/>
        </w:trPr>
        <w:tc>
          <w:tcPr>
            <w:tcW w:w="2684" w:type="dxa"/>
            <w:shd w:val="clear" w:color="auto" w:fill="auto"/>
            <w:noWrap/>
            <w:vAlign w:val="center"/>
            <w:hideMark/>
          </w:tcPr>
          <w:p w14:paraId="2AEF00AA" w14:textId="77777777" w:rsidR="00752C39" w:rsidRPr="009B6407" w:rsidRDefault="00752C39" w:rsidP="00752C39">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294" w:type="dxa"/>
            <w:shd w:val="clear" w:color="auto" w:fill="auto"/>
            <w:noWrap/>
            <w:vAlign w:val="center"/>
            <w:hideMark/>
          </w:tcPr>
          <w:p w14:paraId="2DF95279" w14:textId="1BE821FC"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80,769</w:t>
            </w:r>
          </w:p>
        </w:tc>
        <w:tc>
          <w:tcPr>
            <w:tcW w:w="1410" w:type="dxa"/>
            <w:shd w:val="clear" w:color="auto" w:fill="auto"/>
            <w:noWrap/>
            <w:vAlign w:val="center"/>
            <w:hideMark/>
          </w:tcPr>
          <w:p w14:paraId="50DDC831" w14:textId="65FBD5B3"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110,220</w:t>
            </w:r>
          </w:p>
        </w:tc>
        <w:tc>
          <w:tcPr>
            <w:tcW w:w="1410" w:type="dxa"/>
            <w:shd w:val="clear" w:color="auto" w:fill="auto"/>
            <w:noWrap/>
            <w:vAlign w:val="center"/>
            <w:hideMark/>
          </w:tcPr>
          <w:p w14:paraId="6755F0A4" w14:textId="47D29B89"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115,079</w:t>
            </w:r>
          </w:p>
        </w:tc>
        <w:tc>
          <w:tcPr>
            <w:tcW w:w="1410" w:type="dxa"/>
            <w:shd w:val="clear" w:color="auto" w:fill="auto"/>
            <w:noWrap/>
            <w:vAlign w:val="center"/>
            <w:hideMark/>
          </w:tcPr>
          <w:p w14:paraId="66FDB28B" w14:textId="6DE2DFF5"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110,220</w:t>
            </w:r>
          </w:p>
        </w:tc>
        <w:tc>
          <w:tcPr>
            <w:tcW w:w="1410" w:type="dxa"/>
            <w:shd w:val="clear" w:color="auto" w:fill="auto"/>
            <w:noWrap/>
            <w:vAlign w:val="center"/>
            <w:hideMark/>
          </w:tcPr>
          <w:p w14:paraId="2DB77F13" w14:textId="01B6B02A" w:rsidR="00752C39" w:rsidRPr="00752C39" w:rsidRDefault="00752C39" w:rsidP="00E7523F">
            <w:pPr>
              <w:spacing w:after="0" w:line="240" w:lineRule="auto"/>
              <w:ind w:right="206"/>
              <w:jc w:val="right"/>
              <w:rPr>
                <w:rFonts w:cs="Arial"/>
                <w:color w:val="000000"/>
                <w:sz w:val="18"/>
                <w:szCs w:val="18"/>
                <w:lang w:eastAsia="en-AU"/>
              </w:rPr>
            </w:pPr>
            <w:r w:rsidRPr="00752C39">
              <w:rPr>
                <w:sz w:val="18"/>
                <w:szCs w:val="18"/>
              </w:rPr>
              <w:t>110,220</w:t>
            </w:r>
          </w:p>
        </w:tc>
      </w:tr>
      <w:tr w:rsidR="009C29A2" w:rsidRPr="009B6407" w14:paraId="645EC7F1" w14:textId="77777777" w:rsidTr="00160B8E">
        <w:trPr>
          <w:trHeight w:val="315"/>
        </w:trPr>
        <w:tc>
          <w:tcPr>
            <w:tcW w:w="2684" w:type="dxa"/>
            <w:shd w:val="clear" w:color="auto" w:fill="EFE2E7" w:themeFill="text1" w:themeFillTint="1A"/>
            <w:noWrap/>
            <w:vAlign w:val="center"/>
            <w:hideMark/>
          </w:tcPr>
          <w:p w14:paraId="77C51E42" w14:textId="615788E3" w:rsidR="00752C39" w:rsidRPr="00990116" w:rsidRDefault="00752C39" w:rsidP="00752C39">
            <w:pPr>
              <w:spacing w:after="0" w:line="240" w:lineRule="auto"/>
              <w:rPr>
                <w:rFonts w:cs="Arial"/>
                <w:b/>
                <w:bCs/>
                <w:i/>
                <w:iCs/>
                <w:color w:val="000000"/>
                <w:sz w:val="18"/>
                <w:szCs w:val="18"/>
                <w:lang w:eastAsia="en-AU"/>
              </w:rPr>
            </w:pPr>
            <w:r w:rsidRPr="00990116">
              <w:rPr>
                <w:rFonts w:cs="Arial"/>
                <w:b/>
                <w:bCs/>
                <w:i/>
                <w:iCs/>
                <w:color w:val="000000"/>
                <w:sz w:val="18"/>
                <w:szCs w:val="18"/>
                <w:lang w:eastAsia="en-AU"/>
              </w:rPr>
              <w:t>Equity Group</w:t>
            </w:r>
          </w:p>
        </w:tc>
        <w:tc>
          <w:tcPr>
            <w:tcW w:w="1294" w:type="dxa"/>
            <w:shd w:val="clear" w:color="auto" w:fill="EFE2E7" w:themeFill="text1" w:themeFillTint="1A"/>
            <w:noWrap/>
            <w:vAlign w:val="center"/>
          </w:tcPr>
          <w:p w14:paraId="6026B86B" w14:textId="0A1C6303" w:rsidR="00752C39" w:rsidRPr="00990116" w:rsidRDefault="004D0E14" w:rsidP="00E7523F">
            <w:pPr>
              <w:spacing w:after="0" w:line="240" w:lineRule="auto"/>
              <w:ind w:right="206"/>
              <w:jc w:val="right"/>
              <w:rPr>
                <w:rFonts w:cs="Arial"/>
                <w:b/>
                <w:bCs/>
                <w:color w:val="000000"/>
                <w:sz w:val="18"/>
                <w:szCs w:val="18"/>
                <w:lang w:eastAsia="en-AU"/>
              </w:rPr>
            </w:pPr>
            <w:r w:rsidRPr="00990116">
              <w:rPr>
                <w:b/>
                <w:bCs/>
                <w:sz w:val="18"/>
                <w:szCs w:val="18"/>
              </w:rPr>
              <w:t>309,360</w:t>
            </w:r>
          </w:p>
        </w:tc>
        <w:tc>
          <w:tcPr>
            <w:tcW w:w="1410" w:type="dxa"/>
            <w:shd w:val="clear" w:color="auto" w:fill="EFE2E7" w:themeFill="text1" w:themeFillTint="1A"/>
            <w:noWrap/>
            <w:vAlign w:val="center"/>
          </w:tcPr>
          <w:p w14:paraId="487DD72F" w14:textId="34DDE2E7" w:rsidR="00752C39" w:rsidRPr="00990116" w:rsidRDefault="004D0E14" w:rsidP="00E7523F">
            <w:pPr>
              <w:spacing w:after="0" w:line="240" w:lineRule="auto"/>
              <w:ind w:right="206"/>
              <w:jc w:val="right"/>
              <w:rPr>
                <w:rFonts w:cs="Arial"/>
                <w:b/>
                <w:bCs/>
                <w:color w:val="000000"/>
                <w:sz w:val="18"/>
                <w:szCs w:val="18"/>
                <w:lang w:eastAsia="en-AU"/>
              </w:rPr>
            </w:pPr>
            <w:r w:rsidRPr="00990116">
              <w:rPr>
                <w:b/>
                <w:bCs/>
                <w:sz w:val="18"/>
                <w:szCs w:val="18"/>
              </w:rPr>
              <w:t>422,164</w:t>
            </w:r>
          </w:p>
        </w:tc>
        <w:tc>
          <w:tcPr>
            <w:tcW w:w="1410" w:type="dxa"/>
            <w:shd w:val="clear" w:color="auto" w:fill="EFE2E7" w:themeFill="text1" w:themeFillTint="1A"/>
            <w:noWrap/>
            <w:vAlign w:val="center"/>
          </w:tcPr>
          <w:p w14:paraId="1EB4F8A6" w14:textId="13F3E0EA" w:rsidR="00752C39" w:rsidRPr="00990116" w:rsidRDefault="004D0E14" w:rsidP="00E7523F">
            <w:pPr>
              <w:spacing w:after="0" w:line="240" w:lineRule="auto"/>
              <w:ind w:right="206"/>
              <w:jc w:val="right"/>
              <w:rPr>
                <w:rFonts w:cs="Arial"/>
                <w:b/>
                <w:bCs/>
                <w:color w:val="000000"/>
                <w:sz w:val="18"/>
                <w:szCs w:val="18"/>
                <w:lang w:eastAsia="en-AU"/>
              </w:rPr>
            </w:pPr>
            <w:r w:rsidRPr="00990116">
              <w:rPr>
                <w:b/>
                <w:bCs/>
                <w:sz w:val="18"/>
                <w:szCs w:val="18"/>
              </w:rPr>
              <w:t>606,367</w:t>
            </w:r>
          </w:p>
        </w:tc>
        <w:tc>
          <w:tcPr>
            <w:tcW w:w="1410" w:type="dxa"/>
            <w:shd w:val="clear" w:color="auto" w:fill="EFE2E7" w:themeFill="text1" w:themeFillTint="1A"/>
            <w:noWrap/>
            <w:vAlign w:val="center"/>
          </w:tcPr>
          <w:p w14:paraId="1FB3B23A" w14:textId="39D0ACEE" w:rsidR="00752C39" w:rsidRPr="00990116" w:rsidRDefault="004D0E14" w:rsidP="00E7523F">
            <w:pPr>
              <w:spacing w:after="0" w:line="240" w:lineRule="auto"/>
              <w:ind w:right="206"/>
              <w:jc w:val="right"/>
              <w:rPr>
                <w:rFonts w:cs="Arial"/>
                <w:b/>
                <w:bCs/>
                <w:color w:val="000000"/>
                <w:sz w:val="18"/>
                <w:szCs w:val="18"/>
                <w:lang w:eastAsia="en-AU"/>
              </w:rPr>
            </w:pPr>
            <w:r w:rsidRPr="00990116">
              <w:rPr>
                <w:b/>
                <w:bCs/>
                <w:sz w:val="18"/>
                <w:szCs w:val="18"/>
              </w:rPr>
              <w:t>552,370</w:t>
            </w:r>
          </w:p>
        </w:tc>
        <w:tc>
          <w:tcPr>
            <w:tcW w:w="1410" w:type="dxa"/>
            <w:shd w:val="clear" w:color="auto" w:fill="EFE2E7" w:themeFill="text1" w:themeFillTint="1A"/>
            <w:noWrap/>
            <w:vAlign w:val="center"/>
          </w:tcPr>
          <w:p w14:paraId="4BC91E35" w14:textId="2BAB0013" w:rsidR="00752C39" w:rsidRPr="00990116" w:rsidRDefault="004D0E14" w:rsidP="00E7523F">
            <w:pPr>
              <w:spacing w:after="0" w:line="240" w:lineRule="auto"/>
              <w:ind w:right="206"/>
              <w:jc w:val="right"/>
              <w:rPr>
                <w:rFonts w:cs="Arial"/>
                <w:b/>
                <w:bCs/>
                <w:color w:val="000000"/>
                <w:sz w:val="18"/>
                <w:szCs w:val="18"/>
                <w:lang w:eastAsia="en-AU"/>
              </w:rPr>
            </w:pPr>
            <w:r w:rsidRPr="00990116">
              <w:rPr>
                <w:b/>
                <w:bCs/>
                <w:sz w:val="18"/>
                <w:szCs w:val="18"/>
              </w:rPr>
              <w:t>552,370</w:t>
            </w:r>
          </w:p>
        </w:tc>
      </w:tr>
      <w:tr w:rsidR="009C68AD" w:rsidRPr="009B6407" w14:paraId="19142A64" w14:textId="77777777" w:rsidTr="006253C8">
        <w:trPr>
          <w:trHeight w:val="315"/>
        </w:trPr>
        <w:tc>
          <w:tcPr>
            <w:tcW w:w="2684" w:type="dxa"/>
            <w:shd w:val="clear" w:color="000000" w:fill="FFFFFF"/>
            <w:noWrap/>
            <w:vAlign w:val="center"/>
            <w:hideMark/>
          </w:tcPr>
          <w:p w14:paraId="23295EDD" w14:textId="77777777" w:rsidR="00752C39" w:rsidRPr="009B6407" w:rsidRDefault="00752C39" w:rsidP="00752C39">
            <w:pPr>
              <w:spacing w:after="0" w:line="240" w:lineRule="auto"/>
              <w:rPr>
                <w:rFonts w:cs="Arial"/>
                <w:i/>
                <w:iCs/>
                <w:color w:val="000000"/>
                <w:sz w:val="18"/>
                <w:szCs w:val="18"/>
                <w:lang w:eastAsia="en-AU"/>
              </w:rPr>
            </w:pPr>
            <w:r w:rsidRPr="009B6407">
              <w:rPr>
                <w:rFonts w:cs="Arial"/>
                <w:i/>
                <w:iCs/>
                <w:color w:val="000000"/>
                <w:sz w:val="18"/>
                <w:szCs w:val="18"/>
                <w:lang w:eastAsia="en-AU"/>
              </w:rPr>
              <w:t> </w:t>
            </w:r>
          </w:p>
        </w:tc>
        <w:tc>
          <w:tcPr>
            <w:tcW w:w="1294" w:type="dxa"/>
            <w:shd w:val="clear" w:color="000000" w:fill="FFFFFF"/>
            <w:noWrap/>
            <w:vAlign w:val="center"/>
            <w:hideMark/>
          </w:tcPr>
          <w:p w14:paraId="052916DC" w14:textId="195DF84A" w:rsidR="00752C39" w:rsidRPr="00752C39" w:rsidRDefault="00752C39" w:rsidP="00E7523F">
            <w:pPr>
              <w:spacing w:after="0" w:line="240" w:lineRule="auto"/>
              <w:ind w:right="206"/>
              <w:jc w:val="right"/>
              <w:rPr>
                <w:rFonts w:cs="Arial"/>
                <w:color w:val="000000"/>
                <w:sz w:val="18"/>
                <w:szCs w:val="18"/>
                <w:lang w:eastAsia="en-AU"/>
              </w:rPr>
            </w:pPr>
          </w:p>
        </w:tc>
        <w:tc>
          <w:tcPr>
            <w:tcW w:w="1410" w:type="dxa"/>
            <w:shd w:val="clear" w:color="000000" w:fill="FFFFFF"/>
            <w:noWrap/>
            <w:vAlign w:val="center"/>
            <w:hideMark/>
          </w:tcPr>
          <w:p w14:paraId="145EAFD8" w14:textId="450AEB33" w:rsidR="00752C39" w:rsidRPr="00752C39" w:rsidRDefault="00752C39" w:rsidP="00E7523F">
            <w:pPr>
              <w:spacing w:after="0" w:line="240" w:lineRule="auto"/>
              <w:ind w:right="206"/>
              <w:jc w:val="right"/>
              <w:rPr>
                <w:rFonts w:cs="Arial"/>
                <w:color w:val="000000"/>
                <w:sz w:val="18"/>
                <w:szCs w:val="18"/>
                <w:lang w:eastAsia="en-AU"/>
              </w:rPr>
            </w:pPr>
          </w:p>
        </w:tc>
        <w:tc>
          <w:tcPr>
            <w:tcW w:w="1410" w:type="dxa"/>
            <w:shd w:val="clear" w:color="000000" w:fill="FFFFFF"/>
            <w:noWrap/>
            <w:vAlign w:val="center"/>
            <w:hideMark/>
          </w:tcPr>
          <w:p w14:paraId="0F8CB49C" w14:textId="4EEDE5D5" w:rsidR="00752C39" w:rsidRPr="00752C39" w:rsidRDefault="00752C39" w:rsidP="00E7523F">
            <w:pPr>
              <w:spacing w:after="0" w:line="240" w:lineRule="auto"/>
              <w:ind w:right="206"/>
              <w:jc w:val="right"/>
              <w:rPr>
                <w:rFonts w:cs="Arial"/>
                <w:color w:val="000000"/>
                <w:sz w:val="18"/>
                <w:szCs w:val="18"/>
                <w:lang w:eastAsia="en-AU"/>
              </w:rPr>
            </w:pPr>
          </w:p>
        </w:tc>
        <w:tc>
          <w:tcPr>
            <w:tcW w:w="1410" w:type="dxa"/>
            <w:shd w:val="clear" w:color="000000" w:fill="FFFFFF"/>
            <w:noWrap/>
            <w:vAlign w:val="center"/>
            <w:hideMark/>
          </w:tcPr>
          <w:p w14:paraId="23F96E8F" w14:textId="17970236" w:rsidR="00752C39" w:rsidRPr="00752C39" w:rsidRDefault="00752C39" w:rsidP="00E7523F">
            <w:pPr>
              <w:spacing w:after="0" w:line="240" w:lineRule="auto"/>
              <w:ind w:right="206"/>
              <w:jc w:val="right"/>
              <w:rPr>
                <w:rFonts w:cs="Arial"/>
                <w:color w:val="000000"/>
                <w:sz w:val="18"/>
                <w:szCs w:val="18"/>
                <w:lang w:eastAsia="en-AU"/>
              </w:rPr>
            </w:pPr>
          </w:p>
        </w:tc>
        <w:tc>
          <w:tcPr>
            <w:tcW w:w="1410" w:type="dxa"/>
            <w:shd w:val="clear" w:color="000000" w:fill="FFFFFF"/>
            <w:noWrap/>
            <w:vAlign w:val="center"/>
            <w:hideMark/>
          </w:tcPr>
          <w:p w14:paraId="33132C08" w14:textId="173C7F54" w:rsidR="00752C39" w:rsidRPr="00752C39" w:rsidRDefault="00752C39" w:rsidP="00E7523F">
            <w:pPr>
              <w:spacing w:after="0" w:line="240" w:lineRule="auto"/>
              <w:ind w:right="206"/>
              <w:jc w:val="right"/>
              <w:rPr>
                <w:rFonts w:cs="Arial"/>
                <w:color w:val="000000"/>
                <w:sz w:val="18"/>
                <w:szCs w:val="18"/>
                <w:lang w:eastAsia="en-AU"/>
              </w:rPr>
            </w:pPr>
          </w:p>
        </w:tc>
      </w:tr>
      <w:tr w:rsidR="00D52FBA" w:rsidRPr="009B6407" w14:paraId="0753107E" w14:textId="77777777" w:rsidTr="006253C8">
        <w:trPr>
          <w:trHeight w:val="315"/>
        </w:trPr>
        <w:tc>
          <w:tcPr>
            <w:tcW w:w="2684" w:type="dxa"/>
            <w:shd w:val="clear" w:color="auto" w:fill="auto"/>
            <w:noWrap/>
            <w:vAlign w:val="center"/>
            <w:hideMark/>
          </w:tcPr>
          <w:p w14:paraId="35AB007E" w14:textId="6E667AA2" w:rsidR="00752C39" w:rsidRPr="009B6407" w:rsidRDefault="00752C39" w:rsidP="00752C39">
            <w:pPr>
              <w:spacing w:after="0" w:line="240" w:lineRule="auto"/>
              <w:rPr>
                <w:rFonts w:cs="Arial"/>
                <w:i/>
                <w:iCs/>
                <w:color w:val="000000"/>
                <w:sz w:val="18"/>
                <w:szCs w:val="18"/>
                <w:lang w:eastAsia="en-AU"/>
              </w:rPr>
            </w:pPr>
            <w:r w:rsidRPr="009B6407">
              <w:rPr>
                <w:rFonts w:cs="Arial"/>
                <w:i/>
                <w:iCs/>
                <w:color w:val="000000"/>
                <w:sz w:val="18"/>
                <w:szCs w:val="18"/>
                <w:lang w:eastAsia="en-AU"/>
              </w:rPr>
              <w:t>Equity Share</w:t>
            </w:r>
            <w:r w:rsidRPr="003E37A9">
              <w:rPr>
                <w:rFonts w:cs="Arial"/>
                <w:i/>
                <w:iCs/>
                <w:color w:val="000000"/>
                <w:sz w:val="18"/>
                <w:szCs w:val="18"/>
                <w:lang w:eastAsia="en-AU"/>
              </w:rPr>
              <w:t xml:space="preserve"> of Growth</w:t>
            </w:r>
            <w:r w:rsidRPr="009B6407">
              <w:rPr>
                <w:rFonts w:cs="Arial"/>
                <w:i/>
                <w:iCs/>
                <w:color w:val="000000"/>
                <w:sz w:val="18"/>
                <w:szCs w:val="18"/>
                <w:lang w:eastAsia="en-AU"/>
              </w:rPr>
              <w:t xml:space="preserve"> (%)</w:t>
            </w:r>
          </w:p>
        </w:tc>
        <w:tc>
          <w:tcPr>
            <w:tcW w:w="1294" w:type="dxa"/>
            <w:shd w:val="clear" w:color="auto" w:fill="auto"/>
            <w:noWrap/>
            <w:vAlign w:val="center"/>
            <w:hideMark/>
          </w:tcPr>
          <w:p w14:paraId="7C3EAFA8" w14:textId="06ED655A" w:rsidR="00752C39" w:rsidRPr="00752C39" w:rsidRDefault="00752C39" w:rsidP="00E7523F">
            <w:pPr>
              <w:spacing w:after="0" w:line="240" w:lineRule="auto"/>
              <w:ind w:right="206"/>
              <w:jc w:val="right"/>
              <w:rPr>
                <w:rFonts w:cs="Arial"/>
                <w:color w:val="000000"/>
                <w:sz w:val="18"/>
                <w:szCs w:val="18"/>
                <w:lang w:eastAsia="en-AU"/>
              </w:rPr>
            </w:pPr>
          </w:p>
        </w:tc>
        <w:tc>
          <w:tcPr>
            <w:tcW w:w="1410" w:type="dxa"/>
            <w:shd w:val="clear" w:color="auto" w:fill="auto"/>
            <w:noWrap/>
            <w:vAlign w:val="center"/>
          </w:tcPr>
          <w:p w14:paraId="0BE5CC4D" w14:textId="6328957F" w:rsidR="00752C39" w:rsidRPr="00752C39" w:rsidRDefault="00577C75" w:rsidP="00E7523F">
            <w:pPr>
              <w:spacing w:after="0" w:line="240" w:lineRule="auto"/>
              <w:ind w:right="206"/>
              <w:jc w:val="right"/>
              <w:rPr>
                <w:rFonts w:cs="Arial"/>
                <w:color w:val="000000"/>
                <w:sz w:val="18"/>
                <w:szCs w:val="18"/>
                <w:lang w:eastAsia="en-AU"/>
              </w:rPr>
            </w:pPr>
            <w:r w:rsidRPr="00E7523F">
              <w:rPr>
                <w:rFonts w:cs="Arial"/>
                <w:color w:val="000000"/>
                <w:sz w:val="18"/>
                <w:szCs w:val="18"/>
              </w:rPr>
              <w:t>39.4</w:t>
            </w:r>
          </w:p>
        </w:tc>
        <w:tc>
          <w:tcPr>
            <w:tcW w:w="1410" w:type="dxa"/>
            <w:shd w:val="clear" w:color="auto" w:fill="auto"/>
            <w:noWrap/>
            <w:vAlign w:val="center"/>
          </w:tcPr>
          <w:p w14:paraId="09DB5AA7" w14:textId="71CB7AF9" w:rsidR="00752C39" w:rsidRPr="00752C39" w:rsidRDefault="00577C75" w:rsidP="00E7523F">
            <w:pPr>
              <w:spacing w:after="0" w:line="240" w:lineRule="auto"/>
              <w:ind w:right="206"/>
              <w:jc w:val="right"/>
              <w:rPr>
                <w:rFonts w:cs="Arial"/>
                <w:color w:val="000000"/>
                <w:sz w:val="18"/>
                <w:szCs w:val="18"/>
                <w:lang w:eastAsia="en-AU"/>
              </w:rPr>
            </w:pPr>
            <w:r w:rsidRPr="00E7523F">
              <w:rPr>
                <w:rFonts w:cs="Arial"/>
                <w:color w:val="000000"/>
                <w:sz w:val="18"/>
                <w:szCs w:val="18"/>
              </w:rPr>
              <w:t>103.9</w:t>
            </w:r>
            <w:r w:rsidR="00933B4F">
              <w:rPr>
                <w:rFonts w:cs="Arial"/>
                <w:color w:val="000000"/>
                <w:sz w:val="18"/>
                <w:szCs w:val="18"/>
              </w:rPr>
              <w:t>*</w:t>
            </w:r>
          </w:p>
        </w:tc>
        <w:tc>
          <w:tcPr>
            <w:tcW w:w="1410" w:type="dxa"/>
            <w:shd w:val="clear" w:color="auto" w:fill="auto"/>
            <w:noWrap/>
            <w:vAlign w:val="center"/>
          </w:tcPr>
          <w:p w14:paraId="3F316061" w14:textId="6010B28D" w:rsidR="00752C39" w:rsidRPr="00752C39" w:rsidRDefault="00577C75" w:rsidP="00E7523F">
            <w:pPr>
              <w:spacing w:after="0" w:line="240" w:lineRule="auto"/>
              <w:ind w:right="206"/>
              <w:jc w:val="right"/>
              <w:rPr>
                <w:rFonts w:cs="Arial"/>
                <w:color w:val="000000"/>
                <w:sz w:val="18"/>
                <w:szCs w:val="18"/>
                <w:lang w:eastAsia="en-AU"/>
              </w:rPr>
            </w:pPr>
            <w:r w:rsidRPr="00E7523F">
              <w:rPr>
                <w:rFonts w:cs="Arial"/>
                <w:color w:val="000000"/>
                <w:sz w:val="18"/>
                <w:szCs w:val="18"/>
              </w:rPr>
              <w:t>85.0</w:t>
            </w:r>
          </w:p>
        </w:tc>
        <w:tc>
          <w:tcPr>
            <w:tcW w:w="1410" w:type="dxa"/>
            <w:shd w:val="clear" w:color="auto" w:fill="auto"/>
            <w:noWrap/>
            <w:vAlign w:val="center"/>
          </w:tcPr>
          <w:p w14:paraId="644B4D6A" w14:textId="306F3EEF" w:rsidR="00752C39" w:rsidRPr="00752C39" w:rsidRDefault="00577C75" w:rsidP="00E7523F">
            <w:pPr>
              <w:spacing w:after="0" w:line="240" w:lineRule="auto"/>
              <w:ind w:right="206"/>
              <w:jc w:val="right"/>
              <w:rPr>
                <w:rFonts w:cs="Arial"/>
                <w:color w:val="000000"/>
                <w:sz w:val="18"/>
                <w:szCs w:val="18"/>
                <w:lang w:eastAsia="en-AU"/>
              </w:rPr>
            </w:pPr>
            <w:r w:rsidRPr="00E7523F">
              <w:rPr>
                <w:rFonts w:cs="Arial"/>
                <w:color w:val="000000"/>
                <w:sz w:val="18"/>
                <w:szCs w:val="18"/>
              </w:rPr>
              <w:t>85.0</w:t>
            </w:r>
          </w:p>
        </w:tc>
      </w:tr>
    </w:tbl>
    <w:p w14:paraId="4FA37977" w14:textId="1C1E7EC8" w:rsidR="009B6407" w:rsidRDefault="00CF10B7" w:rsidP="009B35A1">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7626EBD9" w14:textId="77777777" w:rsidR="00736D4C" w:rsidRDefault="00030EA3" w:rsidP="00D1300D">
      <w:r>
        <w:br/>
      </w:r>
      <w:r w:rsidR="00A87304">
        <w:t xml:space="preserve">In contrast, in the </w:t>
      </w:r>
      <w:r w:rsidR="00A87304">
        <w:rPr>
          <w:i/>
          <w:iCs/>
        </w:rPr>
        <w:t>Convergence</w:t>
      </w:r>
      <w:r w:rsidR="00A87304">
        <w:t xml:space="preserve"> option, where each institution is required to achieve parity with national population shares in 2035 or retain their equity student shares if above that target in 2021, an additional </w:t>
      </w:r>
      <w:r w:rsidR="00150D2E">
        <w:t>297,007</w:t>
      </w:r>
      <w:r w:rsidR="00A87304">
        <w:t xml:space="preserve"> equity students are required. This is equal to 10</w:t>
      </w:r>
      <w:r w:rsidR="00603EB1">
        <w:t>3</w:t>
      </w:r>
      <w:r w:rsidR="00A87304">
        <w:t>.</w:t>
      </w:r>
      <w:r w:rsidR="00603EB1">
        <w:t>9</w:t>
      </w:r>
      <w:r w:rsidR="00A87304">
        <w:t xml:space="preserve">% of the projected increase in overall enrolment to 2035, rendering the </w:t>
      </w:r>
      <w:r w:rsidR="00A87304">
        <w:rPr>
          <w:i/>
          <w:iCs/>
        </w:rPr>
        <w:t>National P</w:t>
      </w:r>
      <w:r w:rsidR="00A87304" w:rsidRPr="00BA652D">
        <w:rPr>
          <w:i/>
          <w:iCs/>
        </w:rPr>
        <w:t xml:space="preserve">arity </w:t>
      </w:r>
      <w:r w:rsidR="00A87304">
        <w:rPr>
          <w:i/>
          <w:iCs/>
        </w:rPr>
        <w:t>T</w:t>
      </w:r>
      <w:r w:rsidR="00A87304" w:rsidRPr="00BA652D">
        <w:rPr>
          <w:i/>
          <w:iCs/>
        </w:rPr>
        <w:t>arget</w:t>
      </w:r>
      <w:r w:rsidR="00A87304">
        <w:rPr>
          <w:i/>
          <w:iCs/>
        </w:rPr>
        <w:t>s</w:t>
      </w:r>
      <w:r w:rsidR="00A87304">
        <w:t xml:space="preserve"> impossible to achieve unless undergraduate enrolments increase </w:t>
      </w:r>
      <w:r w:rsidR="00F34C1C">
        <w:t xml:space="preserve">even further </w:t>
      </w:r>
      <w:r w:rsidR="00A87304">
        <w:t>by 2035</w:t>
      </w:r>
      <w:r w:rsidR="00D62C52">
        <w:t>,</w:t>
      </w:r>
      <w:r w:rsidR="00A87304">
        <w:t xml:space="preserve"> or </w:t>
      </w:r>
      <w:r w:rsidR="00A87304">
        <w:lastRenderedPageBreak/>
        <w:t xml:space="preserve">the target is reached at some point in the future. This includes </w:t>
      </w:r>
      <w:r w:rsidR="00943848">
        <w:t>increases</w:t>
      </w:r>
      <w:r w:rsidR="003863CC">
        <w:t xml:space="preserve"> in student enrolments</w:t>
      </w:r>
      <w:r w:rsidR="00943848">
        <w:t xml:space="preserve"> compared with 2021</w:t>
      </w:r>
      <w:r w:rsidR="003863CC">
        <w:t>,</w:t>
      </w:r>
      <w:r w:rsidR="003D47A8">
        <w:t xml:space="preserve"> </w:t>
      </w:r>
      <w:r w:rsidR="006C394D">
        <w:t>resulting in</w:t>
      </w:r>
      <w:r w:rsidR="00CE01FA">
        <w:t xml:space="preserve"> </w:t>
      </w:r>
      <w:r w:rsidR="00A87304">
        <w:t>27</w:t>
      </w:r>
      <w:r w:rsidR="00207A1E">
        <w:t>4,</w:t>
      </w:r>
      <w:r w:rsidR="00780B00">
        <w:t xml:space="preserve">372 </w:t>
      </w:r>
      <w:r w:rsidR="00A87304">
        <w:t>low SES, 33</w:t>
      </w:r>
      <w:r w:rsidR="00780B00">
        <w:t>4</w:t>
      </w:r>
      <w:r w:rsidR="00A87304">
        <w:t>,</w:t>
      </w:r>
      <w:r w:rsidR="00780B00">
        <w:t xml:space="preserve">537 </w:t>
      </w:r>
      <w:r w:rsidR="00A87304">
        <w:t xml:space="preserve">regional/remote and 43,566 First Nations students, and </w:t>
      </w:r>
      <w:r w:rsidR="00EC1E0D">
        <w:t>115,079</w:t>
      </w:r>
      <w:r w:rsidR="00A87304">
        <w:t xml:space="preserve"> students with disability</w:t>
      </w:r>
      <w:r w:rsidR="00CE01FA">
        <w:t xml:space="preserve"> </w:t>
      </w:r>
      <w:r w:rsidR="00F14DBE">
        <w:t>in</w:t>
      </w:r>
      <w:r w:rsidR="00CE01FA">
        <w:t xml:space="preserve"> 2035.</w:t>
      </w:r>
      <w:r w:rsidR="00A87304">
        <w:t xml:space="preserve">    </w:t>
      </w:r>
    </w:p>
    <w:p w14:paraId="733B2722" w14:textId="77777777" w:rsidR="007F6F36" w:rsidRDefault="00D1300D" w:rsidP="00D1300D">
      <w:r>
        <w:t xml:space="preserve">The </w:t>
      </w:r>
      <w:r w:rsidR="006A3543">
        <w:rPr>
          <w:i/>
          <w:iCs/>
        </w:rPr>
        <w:t xml:space="preserve">Equal Effort and Divergence </w:t>
      </w:r>
      <w:r w:rsidR="006A3543" w:rsidRPr="001D0494">
        <w:t>options</w:t>
      </w:r>
      <w:r w:rsidR="0085773B" w:rsidRPr="00E05D18">
        <w:t xml:space="preserve"> </w:t>
      </w:r>
      <w:r>
        <w:t>yield identical estimates in aggregate, as their outcomes represent</w:t>
      </w:r>
      <w:r w:rsidR="002D7E8F">
        <w:t xml:space="preserve"> a parity target for the</w:t>
      </w:r>
      <w:r>
        <w:t xml:space="preserve"> Australian higher education</w:t>
      </w:r>
      <w:r w:rsidR="006F524E">
        <w:t xml:space="preserve"> system (</w:t>
      </w:r>
      <w:r>
        <w:t>Table A Provider</w:t>
      </w:r>
      <w:r w:rsidR="003C3586">
        <w:t>s</w:t>
      </w:r>
      <w:r w:rsidR="006F524E">
        <w:t>)</w:t>
      </w:r>
      <w:r>
        <w:t xml:space="preserve">, with institutions making variable contributions because of their </w:t>
      </w:r>
      <w:r w:rsidR="0005483B" w:rsidRPr="00797CAE">
        <w:t xml:space="preserve">2021 </w:t>
      </w:r>
      <w:r>
        <w:t>starting points (</w:t>
      </w:r>
      <w:r w:rsidR="0005483B">
        <w:rPr>
          <w:i/>
          <w:iCs/>
        </w:rPr>
        <w:t>Equal Effort</w:t>
      </w:r>
      <w:r>
        <w:t>), as well as an additional consideration where institutions already above parity are not obligated to increase their enrolments (</w:t>
      </w:r>
      <w:r w:rsidR="00F3432E">
        <w:rPr>
          <w:i/>
          <w:iCs/>
        </w:rPr>
        <w:t>Divergence</w:t>
      </w:r>
      <w:r>
        <w:t>). The</w:t>
      </w:r>
      <w:r w:rsidR="007D132D">
        <w:t xml:space="preserve"> two</w:t>
      </w:r>
      <w:r>
        <w:t xml:space="preserve"> </w:t>
      </w:r>
      <w:r w:rsidR="00C276CC">
        <w:t xml:space="preserve">options </w:t>
      </w:r>
      <w:r>
        <w:t xml:space="preserve">see reduced outcomes, </w:t>
      </w:r>
      <w:r w:rsidR="00FC0B16">
        <w:t xml:space="preserve">requiring </w:t>
      </w:r>
      <w:r w:rsidR="00561636">
        <w:t xml:space="preserve">552,370 </w:t>
      </w:r>
      <w:r w:rsidR="00FC0B16">
        <w:t>equity students (</w:t>
      </w:r>
      <w:r w:rsidR="001927A9">
        <w:t>5</w:t>
      </w:r>
      <w:r w:rsidR="00531511">
        <w:t>3</w:t>
      </w:r>
      <w:r w:rsidR="001927A9">
        <w:t>,9</w:t>
      </w:r>
      <w:r w:rsidR="00531511">
        <w:t>97</w:t>
      </w:r>
      <w:r>
        <w:t xml:space="preserve"> fewer</w:t>
      </w:r>
      <w:r w:rsidR="00FC0B16">
        <w:t xml:space="preserve"> than under </w:t>
      </w:r>
      <w:r w:rsidR="001927A9">
        <w:rPr>
          <w:i/>
          <w:iCs/>
        </w:rPr>
        <w:t>Convergence</w:t>
      </w:r>
      <w:r w:rsidR="00FC0B16">
        <w:t>)</w:t>
      </w:r>
      <w:r>
        <w:t xml:space="preserve"> and a reduced projected equity share of growth at </w:t>
      </w:r>
      <w:r w:rsidR="001927A9">
        <w:t>8</w:t>
      </w:r>
      <w:r w:rsidR="00531511">
        <w:t>5</w:t>
      </w:r>
      <w:r w:rsidR="001927A9">
        <w:t>.</w:t>
      </w:r>
      <w:r w:rsidR="00531511">
        <w:t>0</w:t>
      </w:r>
      <w:r>
        <w:t>%</w:t>
      </w:r>
      <w:r w:rsidR="000E4303">
        <w:t xml:space="preserve"> of</w:t>
      </w:r>
      <w:r w:rsidR="00F16E71">
        <w:t xml:space="preserve"> total enrolment growth</w:t>
      </w:r>
      <w:r w:rsidR="00F46D3D">
        <w:t>.</w:t>
      </w:r>
      <w:r w:rsidR="00F16E71">
        <w:t xml:space="preserve"> </w:t>
      </w:r>
      <w:r w:rsidR="00F46D3D">
        <w:t xml:space="preserve"> </w:t>
      </w:r>
    </w:p>
    <w:p w14:paraId="4B1E18F6" w14:textId="70D695BB" w:rsidR="0060514B" w:rsidRPr="007F6F36" w:rsidRDefault="0060514B" w:rsidP="007F6F36">
      <w:pPr>
        <w:pStyle w:val="Heading3"/>
      </w:pPr>
      <w:r w:rsidRPr="001D0494">
        <w:t xml:space="preserve">Differences </w:t>
      </w:r>
      <w:r w:rsidR="00AB05BF">
        <w:t>a</w:t>
      </w:r>
      <w:r w:rsidRPr="001D0494">
        <w:t>cross the States and Territories</w:t>
      </w:r>
      <w:r w:rsidR="002854A5" w:rsidRPr="001D0494">
        <w:t xml:space="preserve">: Regional/Remote as an </w:t>
      </w:r>
      <w:r w:rsidR="00AB05BF">
        <w:t>e</w:t>
      </w:r>
      <w:r w:rsidR="002854A5" w:rsidRPr="001D0494">
        <w:t xml:space="preserve">xample </w:t>
      </w:r>
      <w:r w:rsidRPr="001D0494">
        <w:t xml:space="preserve"> </w:t>
      </w:r>
    </w:p>
    <w:p w14:paraId="0372E4BF" w14:textId="1C59455E" w:rsidR="00D1300D" w:rsidRDefault="00F46D3D" w:rsidP="00D1300D">
      <w:r>
        <w:t xml:space="preserve">In the latter </w:t>
      </w:r>
      <w:r w:rsidR="00C276CC">
        <w:t>options</w:t>
      </w:r>
      <w:r>
        <w:t>, it is noticeable that</w:t>
      </w:r>
      <w:r w:rsidR="00AD2261">
        <w:t xml:space="preserve"> the</w:t>
      </w:r>
      <w:r>
        <w:t xml:space="preserve"> regional/remote </w:t>
      </w:r>
      <w:r w:rsidR="00AD2261">
        <w:t>enrolment target</w:t>
      </w:r>
      <w:r>
        <w:t xml:space="preserve"> is particularly </w:t>
      </w:r>
      <w:r w:rsidR="00DD425A">
        <w:t xml:space="preserve">affected by the shift from institutional to area targets. </w:t>
      </w:r>
      <w:r w:rsidR="00FA74F7">
        <w:t>This is</w:t>
      </w:r>
      <w:r w:rsidR="004261B1">
        <w:t xml:space="preserve"> largely because of the marked</w:t>
      </w:r>
      <w:r w:rsidR="00BC0EFA">
        <w:t xml:space="preserve"> differences </w:t>
      </w:r>
      <w:r w:rsidR="00E425DD">
        <w:t>in regional/remote population shares across the states and territorie</w:t>
      </w:r>
      <w:r w:rsidR="006E50B7">
        <w:t xml:space="preserve">s, as shown in Table </w:t>
      </w:r>
      <w:r w:rsidR="00847F82">
        <w:t>8</w:t>
      </w:r>
      <w:r w:rsidR="00E425DD">
        <w:t>.</w:t>
      </w:r>
      <w:r w:rsidR="00BD0657">
        <w:t xml:space="preserve"> </w:t>
      </w:r>
    </w:p>
    <w:p w14:paraId="22C7A563" w14:textId="3CB6EEE0" w:rsidR="00A47504" w:rsidRPr="00185BAE" w:rsidRDefault="00A47504" w:rsidP="00736D4C">
      <w:pPr>
        <w:spacing w:line="240" w:lineRule="auto"/>
        <w:rPr>
          <w:rFonts w:cstheme="minorHAnsi"/>
          <w:b/>
          <w:bCs/>
          <w:color w:val="000000"/>
          <w:sz w:val="18"/>
          <w:szCs w:val="18"/>
          <w:lang w:eastAsia="en-AU"/>
        </w:rPr>
      </w:pPr>
      <w:r w:rsidRPr="00185BAE">
        <w:rPr>
          <w:rFonts w:cstheme="minorHAnsi"/>
          <w:b/>
          <w:bCs/>
          <w:color w:val="000000"/>
          <w:sz w:val="18"/>
          <w:szCs w:val="18"/>
          <w:lang w:eastAsia="en-AU"/>
        </w:rPr>
        <w:t xml:space="preserve">Table </w:t>
      </w:r>
      <w:r w:rsidR="00506639">
        <w:rPr>
          <w:rFonts w:cstheme="minorHAnsi"/>
          <w:b/>
          <w:bCs/>
          <w:color w:val="000000"/>
          <w:sz w:val="18"/>
          <w:szCs w:val="18"/>
          <w:lang w:eastAsia="en-AU"/>
        </w:rPr>
        <w:t>8</w:t>
      </w:r>
      <w:r w:rsidRPr="00185BAE">
        <w:rPr>
          <w:rFonts w:cstheme="minorHAnsi"/>
          <w:b/>
          <w:bCs/>
          <w:color w:val="000000"/>
          <w:sz w:val="18"/>
          <w:szCs w:val="18"/>
          <w:lang w:eastAsia="en-AU"/>
        </w:rPr>
        <w:t xml:space="preserve">: </w:t>
      </w:r>
      <w:r w:rsidR="00BB5B47" w:rsidRPr="00185BAE">
        <w:rPr>
          <w:rFonts w:cstheme="minorHAnsi"/>
          <w:color w:val="000000"/>
          <w:sz w:val="18"/>
          <w:szCs w:val="18"/>
          <w:lang w:eastAsia="en-AU"/>
        </w:rPr>
        <w:t>Regional/Remote</w:t>
      </w:r>
      <w:r w:rsidRPr="00185BAE">
        <w:rPr>
          <w:rFonts w:cstheme="minorHAnsi"/>
          <w:color w:val="000000"/>
          <w:sz w:val="18"/>
          <w:szCs w:val="18"/>
          <w:lang w:eastAsia="en-AU"/>
        </w:rPr>
        <w:t xml:space="preserve"> Enrolment Projections</w:t>
      </w:r>
      <w:r w:rsidR="00BB5B47" w:rsidRPr="00185BAE">
        <w:rPr>
          <w:rFonts w:cstheme="minorHAnsi"/>
          <w:color w:val="000000"/>
          <w:sz w:val="18"/>
          <w:szCs w:val="18"/>
          <w:lang w:eastAsia="en-AU"/>
        </w:rPr>
        <w:t xml:space="preserve">: National </w:t>
      </w:r>
      <w:r w:rsidR="00A02FF2">
        <w:rPr>
          <w:rFonts w:cstheme="minorHAnsi"/>
          <w:color w:val="000000"/>
          <w:sz w:val="18"/>
          <w:szCs w:val="18"/>
          <w:lang w:eastAsia="en-AU"/>
        </w:rPr>
        <w:t xml:space="preserve">Parity </w:t>
      </w:r>
      <w:r w:rsidR="00BB5B47" w:rsidRPr="00185BAE">
        <w:rPr>
          <w:rFonts w:cstheme="minorHAnsi"/>
          <w:color w:val="000000"/>
          <w:sz w:val="18"/>
          <w:szCs w:val="18"/>
          <w:lang w:eastAsia="en-AU"/>
        </w:rPr>
        <w:t>Targets</w:t>
      </w:r>
      <w:r w:rsidRPr="00185BAE">
        <w:rPr>
          <w:rFonts w:cstheme="minorHAnsi"/>
          <w:color w:val="000000"/>
          <w:sz w:val="18"/>
          <w:szCs w:val="18"/>
          <w:lang w:eastAsia="en-AU"/>
        </w:rPr>
        <w:t xml:space="preserve"> Under Four </w:t>
      </w:r>
      <w:r w:rsidR="00847F82">
        <w:rPr>
          <w:rFonts w:cstheme="minorHAnsi"/>
          <w:color w:val="000000"/>
          <w:sz w:val="18"/>
          <w:szCs w:val="18"/>
          <w:lang w:eastAsia="en-AU"/>
        </w:rPr>
        <w:t>Policy Options</w:t>
      </w:r>
      <w:r w:rsidR="00847F82" w:rsidRPr="00185BAE">
        <w:rPr>
          <w:rFonts w:cstheme="minorHAnsi"/>
          <w:color w:val="000000"/>
          <w:sz w:val="18"/>
          <w:szCs w:val="18"/>
          <w:lang w:eastAsia="en-AU"/>
        </w:rPr>
        <w:t xml:space="preserve"> </w:t>
      </w:r>
      <w:r w:rsidRPr="00185BAE">
        <w:rPr>
          <w:rFonts w:cstheme="minorHAnsi"/>
          <w:color w:val="000000"/>
          <w:sz w:val="18"/>
          <w:szCs w:val="18"/>
          <w:lang w:eastAsia="en-AU"/>
        </w:rPr>
        <w:t>to 2035</w:t>
      </w:r>
      <w:r w:rsidR="00BB5B47" w:rsidRPr="00185BAE">
        <w:rPr>
          <w:rFonts w:cstheme="minorHAnsi"/>
          <w:color w:val="000000"/>
          <w:sz w:val="18"/>
          <w:szCs w:val="18"/>
          <w:lang w:eastAsia="en-AU"/>
        </w:rPr>
        <w:t>, States and</w:t>
      </w:r>
      <w:r w:rsidR="00CF10B7">
        <w:rPr>
          <w:rFonts w:cstheme="minorHAnsi"/>
          <w:color w:val="000000"/>
          <w:sz w:val="18"/>
          <w:szCs w:val="18"/>
          <w:lang w:eastAsia="en-AU"/>
        </w:rPr>
        <w:t xml:space="preserve"> </w:t>
      </w:r>
      <w:r w:rsidR="00BB5B47" w:rsidRPr="00185BAE">
        <w:rPr>
          <w:rFonts w:cstheme="minorHAnsi"/>
          <w:color w:val="000000"/>
          <w:sz w:val="18"/>
          <w:szCs w:val="18"/>
          <w:lang w:eastAsia="en-AU"/>
        </w:rPr>
        <w:t xml:space="preserve">Territories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7"/>
        <w:gridCol w:w="1598"/>
        <w:gridCol w:w="1599"/>
        <w:gridCol w:w="1598"/>
        <w:gridCol w:w="1599"/>
      </w:tblGrid>
      <w:tr w:rsidR="00847F82" w:rsidRPr="009B6407" w14:paraId="785F785A" w14:textId="77777777" w:rsidTr="00160B8E">
        <w:trPr>
          <w:trHeight w:val="519"/>
        </w:trPr>
        <w:tc>
          <w:tcPr>
            <w:tcW w:w="2967" w:type="dxa"/>
            <w:vMerge w:val="restart"/>
            <w:shd w:val="clear" w:color="auto" w:fill="auto"/>
            <w:noWrap/>
            <w:vAlign w:val="center"/>
            <w:hideMark/>
          </w:tcPr>
          <w:p w14:paraId="45899070" w14:textId="77777777" w:rsidR="00847F82" w:rsidRPr="009B6407" w:rsidRDefault="00847F82" w:rsidP="00847F82">
            <w:pPr>
              <w:spacing w:after="0" w:line="240" w:lineRule="auto"/>
              <w:rPr>
                <w:rFonts w:cs="Arial"/>
                <w:color w:val="000000"/>
                <w:sz w:val="18"/>
                <w:szCs w:val="18"/>
                <w:lang w:eastAsia="en-AU"/>
              </w:rPr>
            </w:pPr>
            <w:r w:rsidRPr="009B6407">
              <w:rPr>
                <w:rFonts w:cs="Arial"/>
                <w:color w:val="000000"/>
                <w:sz w:val="18"/>
                <w:szCs w:val="18"/>
                <w:lang w:eastAsia="en-AU"/>
              </w:rPr>
              <w:t> </w:t>
            </w:r>
          </w:p>
        </w:tc>
        <w:tc>
          <w:tcPr>
            <w:tcW w:w="1598" w:type="dxa"/>
            <w:vMerge w:val="restart"/>
            <w:shd w:val="clear" w:color="auto" w:fill="6B3B57"/>
            <w:vAlign w:val="center"/>
            <w:hideMark/>
          </w:tcPr>
          <w:p w14:paraId="742EAC1B" w14:textId="6EC0A21B" w:rsidR="00847F82" w:rsidRPr="009B6407" w:rsidRDefault="00847F82"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599" w:type="dxa"/>
            <w:vMerge w:val="restart"/>
            <w:shd w:val="clear" w:color="auto" w:fill="6B3B57"/>
            <w:vAlign w:val="center"/>
            <w:hideMark/>
          </w:tcPr>
          <w:p w14:paraId="6090906F" w14:textId="77777777" w:rsidR="00847F82" w:rsidRDefault="00847F82"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3D8D8EE8" w14:textId="1EC4F994" w:rsidR="00847F82" w:rsidRPr="009B6407" w:rsidRDefault="00847F82" w:rsidP="00847F82">
            <w:pPr>
              <w:spacing w:after="0" w:line="240" w:lineRule="auto"/>
              <w:jc w:val="center"/>
              <w:rPr>
                <w:rFonts w:cs="Arial"/>
                <w:b/>
                <w:bCs/>
                <w:color w:val="FFFFFF"/>
                <w:sz w:val="18"/>
                <w:szCs w:val="18"/>
                <w:lang w:eastAsia="en-AU"/>
              </w:rPr>
            </w:pPr>
          </w:p>
        </w:tc>
        <w:tc>
          <w:tcPr>
            <w:tcW w:w="1598" w:type="dxa"/>
            <w:vMerge w:val="restart"/>
            <w:shd w:val="clear" w:color="auto" w:fill="6B3B57"/>
            <w:vAlign w:val="center"/>
            <w:hideMark/>
          </w:tcPr>
          <w:p w14:paraId="025249ED" w14:textId="77777777" w:rsidR="00847F82" w:rsidRDefault="00847F82"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7AB020EF" w14:textId="0D10FCA3" w:rsidR="00847F82" w:rsidRPr="009B6407" w:rsidRDefault="00847F82" w:rsidP="00847F82">
            <w:pPr>
              <w:spacing w:after="0" w:line="240" w:lineRule="auto"/>
              <w:jc w:val="center"/>
              <w:rPr>
                <w:rFonts w:cs="Arial"/>
                <w:b/>
                <w:bCs/>
                <w:color w:val="FFFFFF"/>
                <w:sz w:val="18"/>
                <w:szCs w:val="18"/>
                <w:lang w:eastAsia="en-AU"/>
              </w:rPr>
            </w:pPr>
          </w:p>
        </w:tc>
        <w:tc>
          <w:tcPr>
            <w:tcW w:w="1599" w:type="dxa"/>
            <w:vMerge w:val="restart"/>
            <w:shd w:val="clear" w:color="auto" w:fill="6B3B57"/>
            <w:vAlign w:val="center"/>
            <w:hideMark/>
          </w:tcPr>
          <w:p w14:paraId="7E51B528" w14:textId="77777777" w:rsidR="00847F82" w:rsidRDefault="00847F82" w:rsidP="00847F82">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51EC7C0A" w14:textId="0853E53D" w:rsidR="00847F82" w:rsidRPr="009B6407" w:rsidRDefault="00847F82" w:rsidP="00847F82">
            <w:pPr>
              <w:spacing w:after="0" w:line="240" w:lineRule="auto"/>
              <w:jc w:val="center"/>
              <w:rPr>
                <w:rFonts w:cs="Arial"/>
                <w:b/>
                <w:bCs/>
                <w:color w:val="FFFFFF"/>
                <w:sz w:val="18"/>
                <w:szCs w:val="18"/>
                <w:lang w:eastAsia="en-AU"/>
              </w:rPr>
            </w:pPr>
          </w:p>
        </w:tc>
      </w:tr>
      <w:tr w:rsidR="00F1062A" w:rsidRPr="009B6407" w14:paraId="346D64A9" w14:textId="77777777" w:rsidTr="00160B8E">
        <w:trPr>
          <w:trHeight w:val="519"/>
        </w:trPr>
        <w:tc>
          <w:tcPr>
            <w:tcW w:w="2967" w:type="dxa"/>
            <w:vMerge/>
            <w:shd w:val="clear" w:color="auto" w:fill="auto"/>
            <w:vAlign w:val="center"/>
            <w:hideMark/>
          </w:tcPr>
          <w:p w14:paraId="0199040B" w14:textId="77777777" w:rsidR="00F1062A" w:rsidRPr="009B6407" w:rsidRDefault="00F1062A">
            <w:pPr>
              <w:spacing w:after="0" w:line="240" w:lineRule="auto"/>
              <w:rPr>
                <w:rFonts w:cs="Arial"/>
                <w:color w:val="000000"/>
                <w:sz w:val="18"/>
                <w:szCs w:val="18"/>
                <w:lang w:eastAsia="en-AU"/>
              </w:rPr>
            </w:pPr>
          </w:p>
        </w:tc>
        <w:tc>
          <w:tcPr>
            <w:tcW w:w="1598" w:type="dxa"/>
            <w:vMerge/>
            <w:shd w:val="clear" w:color="auto" w:fill="6B3B57"/>
            <w:vAlign w:val="center"/>
            <w:hideMark/>
          </w:tcPr>
          <w:p w14:paraId="453071CE" w14:textId="77777777" w:rsidR="00F1062A" w:rsidRPr="009B6407" w:rsidRDefault="00F1062A">
            <w:pPr>
              <w:spacing w:after="0" w:line="240" w:lineRule="auto"/>
              <w:rPr>
                <w:rFonts w:cs="Arial"/>
                <w:b/>
                <w:bCs/>
                <w:color w:val="FFFFFF"/>
                <w:sz w:val="18"/>
                <w:szCs w:val="18"/>
                <w:lang w:eastAsia="en-AU"/>
              </w:rPr>
            </w:pPr>
          </w:p>
        </w:tc>
        <w:tc>
          <w:tcPr>
            <w:tcW w:w="1599" w:type="dxa"/>
            <w:vMerge/>
            <w:shd w:val="clear" w:color="auto" w:fill="6B3B57"/>
            <w:vAlign w:val="center"/>
            <w:hideMark/>
          </w:tcPr>
          <w:p w14:paraId="6E8AB5B6" w14:textId="77777777" w:rsidR="00F1062A" w:rsidRPr="009B6407" w:rsidRDefault="00F1062A">
            <w:pPr>
              <w:spacing w:after="0" w:line="240" w:lineRule="auto"/>
              <w:rPr>
                <w:rFonts w:cs="Arial"/>
                <w:b/>
                <w:bCs/>
                <w:color w:val="FFFFFF"/>
                <w:sz w:val="18"/>
                <w:szCs w:val="18"/>
                <w:lang w:eastAsia="en-AU"/>
              </w:rPr>
            </w:pPr>
          </w:p>
        </w:tc>
        <w:tc>
          <w:tcPr>
            <w:tcW w:w="1598" w:type="dxa"/>
            <w:vMerge/>
            <w:shd w:val="clear" w:color="auto" w:fill="6B3B57"/>
            <w:vAlign w:val="center"/>
            <w:hideMark/>
          </w:tcPr>
          <w:p w14:paraId="5A6A0B11" w14:textId="77777777" w:rsidR="00F1062A" w:rsidRPr="009B6407" w:rsidRDefault="00F1062A">
            <w:pPr>
              <w:spacing w:after="0" w:line="240" w:lineRule="auto"/>
              <w:rPr>
                <w:rFonts w:cs="Arial"/>
                <w:b/>
                <w:bCs/>
                <w:color w:val="FFFFFF"/>
                <w:sz w:val="18"/>
                <w:szCs w:val="18"/>
                <w:lang w:eastAsia="en-AU"/>
              </w:rPr>
            </w:pPr>
          </w:p>
        </w:tc>
        <w:tc>
          <w:tcPr>
            <w:tcW w:w="1599" w:type="dxa"/>
            <w:vMerge/>
            <w:shd w:val="clear" w:color="auto" w:fill="6B3B57"/>
            <w:vAlign w:val="center"/>
            <w:hideMark/>
          </w:tcPr>
          <w:p w14:paraId="31376012" w14:textId="77777777" w:rsidR="00F1062A" w:rsidRPr="009B6407" w:rsidRDefault="00F1062A">
            <w:pPr>
              <w:spacing w:after="0" w:line="240" w:lineRule="auto"/>
              <w:rPr>
                <w:rFonts w:cs="Arial"/>
                <w:b/>
                <w:bCs/>
                <w:color w:val="FFFFFF"/>
                <w:sz w:val="18"/>
                <w:szCs w:val="18"/>
                <w:lang w:eastAsia="en-AU"/>
              </w:rPr>
            </w:pPr>
          </w:p>
        </w:tc>
      </w:tr>
      <w:tr w:rsidR="008B5148" w:rsidRPr="009B6407" w14:paraId="718D6D6E" w14:textId="77777777" w:rsidTr="006253C8">
        <w:trPr>
          <w:trHeight w:val="315"/>
        </w:trPr>
        <w:tc>
          <w:tcPr>
            <w:tcW w:w="2967" w:type="dxa"/>
            <w:shd w:val="clear" w:color="auto" w:fill="auto"/>
            <w:noWrap/>
            <w:vAlign w:val="center"/>
          </w:tcPr>
          <w:p w14:paraId="63BB843B" w14:textId="6864D972" w:rsidR="008B5148" w:rsidRPr="009B6407" w:rsidRDefault="008B5148" w:rsidP="008B5148">
            <w:pPr>
              <w:spacing w:after="0" w:line="240" w:lineRule="auto"/>
              <w:rPr>
                <w:rFonts w:cs="Arial"/>
                <w:b/>
                <w:bCs/>
                <w:color w:val="000000"/>
                <w:sz w:val="18"/>
                <w:szCs w:val="18"/>
                <w:lang w:eastAsia="en-AU"/>
              </w:rPr>
            </w:pPr>
            <w:r>
              <w:rPr>
                <w:rFonts w:cs="Arial"/>
                <w:b/>
                <w:bCs/>
                <w:color w:val="000000"/>
                <w:sz w:val="18"/>
                <w:szCs w:val="18"/>
                <w:lang w:eastAsia="en-AU"/>
              </w:rPr>
              <w:t>Australia</w:t>
            </w:r>
          </w:p>
        </w:tc>
        <w:tc>
          <w:tcPr>
            <w:tcW w:w="1598" w:type="dxa"/>
            <w:shd w:val="clear" w:color="auto" w:fill="auto"/>
            <w:noWrap/>
            <w:vAlign w:val="center"/>
          </w:tcPr>
          <w:p w14:paraId="653ADC9C" w14:textId="546A8595" w:rsidR="008B5148" w:rsidRPr="008B5148" w:rsidRDefault="008B5148" w:rsidP="008B5148">
            <w:pPr>
              <w:spacing w:after="0" w:line="240" w:lineRule="auto"/>
              <w:ind w:right="277"/>
              <w:jc w:val="right"/>
              <w:rPr>
                <w:rFonts w:cs="Arial"/>
                <w:b/>
                <w:bCs/>
                <w:color w:val="000000"/>
                <w:sz w:val="18"/>
                <w:szCs w:val="18"/>
                <w:lang w:eastAsia="en-AU"/>
              </w:rPr>
            </w:pPr>
            <w:r w:rsidRPr="008B1DE2">
              <w:rPr>
                <w:b/>
                <w:sz w:val="18"/>
                <w:szCs w:val="18"/>
              </w:rPr>
              <w:t xml:space="preserve"> </w:t>
            </w:r>
            <w:r w:rsidRPr="008B1DE2">
              <w:rPr>
                <w:b/>
                <w:bCs/>
                <w:sz w:val="18"/>
                <w:szCs w:val="18"/>
              </w:rPr>
              <w:t>2</w:t>
            </w:r>
            <w:r w:rsidR="007A256B">
              <w:rPr>
                <w:b/>
                <w:bCs/>
                <w:sz w:val="18"/>
                <w:szCs w:val="18"/>
              </w:rPr>
              <w:t>19</w:t>
            </w:r>
            <w:r w:rsidRPr="008B1DE2">
              <w:rPr>
                <w:b/>
                <w:bCs/>
                <w:sz w:val="18"/>
                <w:szCs w:val="18"/>
              </w:rPr>
              <w:t>,</w:t>
            </w:r>
            <w:r w:rsidR="007A256B">
              <w:rPr>
                <w:b/>
                <w:bCs/>
                <w:sz w:val="18"/>
                <w:szCs w:val="18"/>
              </w:rPr>
              <w:t>081</w:t>
            </w:r>
            <w:r w:rsidRPr="008B1DE2">
              <w:rPr>
                <w:b/>
                <w:sz w:val="18"/>
                <w:szCs w:val="18"/>
              </w:rPr>
              <w:t xml:space="preserve"> </w:t>
            </w:r>
          </w:p>
        </w:tc>
        <w:tc>
          <w:tcPr>
            <w:tcW w:w="1599" w:type="dxa"/>
            <w:shd w:val="clear" w:color="auto" w:fill="auto"/>
            <w:noWrap/>
            <w:vAlign w:val="center"/>
          </w:tcPr>
          <w:p w14:paraId="1E2E29E3" w14:textId="1278141F" w:rsidR="008B5148" w:rsidRPr="008B5148" w:rsidRDefault="008B5148" w:rsidP="008B5148">
            <w:pPr>
              <w:spacing w:after="0" w:line="240" w:lineRule="auto"/>
              <w:ind w:right="277"/>
              <w:jc w:val="right"/>
              <w:rPr>
                <w:rFonts w:cs="Arial"/>
                <w:b/>
                <w:bCs/>
                <w:color w:val="000000"/>
                <w:sz w:val="18"/>
                <w:szCs w:val="18"/>
                <w:lang w:eastAsia="en-AU"/>
              </w:rPr>
            </w:pPr>
            <w:r w:rsidRPr="008B1DE2">
              <w:rPr>
                <w:b/>
                <w:sz w:val="18"/>
                <w:szCs w:val="18"/>
              </w:rPr>
              <w:t xml:space="preserve"> </w:t>
            </w:r>
            <w:r w:rsidRPr="008B1DE2">
              <w:rPr>
                <w:b/>
                <w:bCs/>
                <w:sz w:val="18"/>
                <w:szCs w:val="18"/>
              </w:rPr>
              <w:t>33</w:t>
            </w:r>
            <w:r w:rsidR="007A256B">
              <w:rPr>
                <w:b/>
                <w:bCs/>
                <w:sz w:val="18"/>
                <w:szCs w:val="18"/>
              </w:rPr>
              <w:t>4</w:t>
            </w:r>
            <w:r w:rsidRPr="008B1DE2">
              <w:rPr>
                <w:b/>
                <w:bCs/>
                <w:sz w:val="18"/>
                <w:szCs w:val="18"/>
              </w:rPr>
              <w:t>,</w:t>
            </w:r>
            <w:r w:rsidR="007A256B">
              <w:rPr>
                <w:b/>
                <w:bCs/>
                <w:sz w:val="18"/>
                <w:szCs w:val="18"/>
              </w:rPr>
              <w:t>537</w:t>
            </w:r>
            <w:r w:rsidRPr="008B1DE2">
              <w:rPr>
                <w:b/>
                <w:sz w:val="18"/>
                <w:szCs w:val="18"/>
              </w:rPr>
              <w:t xml:space="preserve"> </w:t>
            </w:r>
          </w:p>
        </w:tc>
        <w:tc>
          <w:tcPr>
            <w:tcW w:w="1598" w:type="dxa"/>
            <w:shd w:val="clear" w:color="auto" w:fill="auto"/>
            <w:noWrap/>
            <w:vAlign w:val="center"/>
          </w:tcPr>
          <w:p w14:paraId="6C099B71" w14:textId="58C22265" w:rsidR="008B5148" w:rsidRPr="008B5148" w:rsidRDefault="008B5148" w:rsidP="008B5148">
            <w:pPr>
              <w:spacing w:after="0" w:line="240" w:lineRule="auto"/>
              <w:ind w:right="277"/>
              <w:jc w:val="right"/>
              <w:rPr>
                <w:rFonts w:cs="Arial"/>
                <w:b/>
                <w:bCs/>
                <w:color w:val="000000"/>
                <w:sz w:val="18"/>
                <w:szCs w:val="18"/>
                <w:lang w:eastAsia="en-AU"/>
              </w:rPr>
            </w:pPr>
            <w:r w:rsidRPr="008B1DE2">
              <w:rPr>
                <w:b/>
                <w:sz w:val="18"/>
                <w:szCs w:val="18"/>
              </w:rPr>
              <w:t xml:space="preserve"> 279,315 </w:t>
            </w:r>
          </w:p>
        </w:tc>
        <w:tc>
          <w:tcPr>
            <w:tcW w:w="1599" w:type="dxa"/>
            <w:shd w:val="clear" w:color="auto" w:fill="auto"/>
            <w:noWrap/>
            <w:vAlign w:val="center"/>
          </w:tcPr>
          <w:p w14:paraId="479D1DCF" w14:textId="7D34B155" w:rsidR="008B5148" w:rsidRPr="008B5148" w:rsidRDefault="008B5148" w:rsidP="008B5148">
            <w:pPr>
              <w:spacing w:after="0" w:line="240" w:lineRule="auto"/>
              <w:ind w:right="277"/>
              <w:jc w:val="right"/>
              <w:rPr>
                <w:rFonts w:cs="Arial"/>
                <w:b/>
                <w:bCs/>
                <w:color w:val="000000"/>
                <w:sz w:val="18"/>
                <w:szCs w:val="18"/>
                <w:lang w:eastAsia="en-AU"/>
              </w:rPr>
            </w:pPr>
            <w:r w:rsidRPr="008B1DE2">
              <w:rPr>
                <w:b/>
                <w:sz w:val="18"/>
                <w:szCs w:val="18"/>
              </w:rPr>
              <w:t xml:space="preserve"> 279,315 </w:t>
            </w:r>
          </w:p>
        </w:tc>
      </w:tr>
      <w:tr w:rsidR="00F1062A" w:rsidRPr="009B6407" w14:paraId="19D9F494" w14:textId="77777777" w:rsidTr="006253C8">
        <w:trPr>
          <w:trHeight w:val="315"/>
        </w:trPr>
        <w:tc>
          <w:tcPr>
            <w:tcW w:w="2967" w:type="dxa"/>
            <w:shd w:val="clear" w:color="auto" w:fill="auto"/>
            <w:noWrap/>
            <w:vAlign w:val="center"/>
          </w:tcPr>
          <w:p w14:paraId="59AC0FFE" w14:textId="727A158C" w:rsidR="00F1062A" w:rsidRPr="009B6407" w:rsidRDefault="00F1062A">
            <w:pPr>
              <w:spacing w:after="0" w:line="240" w:lineRule="auto"/>
              <w:rPr>
                <w:rFonts w:cs="Arial"/>
                <w:color w:val="000000"/>
                <w:sz w:val="18"/>
                <w:szCs w:val="18"/>
                <w:lang w:eastAsia="en-AU"/>
              </w:rPr>
            </w:pPr>
          </w:p>
        </w:tc>
        <w:tc>
          <w:tcPr>
            <w:tcW w:w="1598" w:type="dxa"/>
            <w:shd w:val="clear" w:color="auto" w:fill="auto"/>
            <w:noWrap/>
            <w:vAlign w:val="center"/>
          </w:tcPr>
          <w:p w14:paraId="2CF26223" w14:textId="3140FB4C" w:rsidR="00F1062A" w:rsidRPr="008B5148" w:rsidRDefault="00F1062A" w:rsidP="00301E78">
            <w:pPr>
              <w:spacing w:after="0" w:line="240" w:lineRule="auto"/>
              <w:ind w:right="277"/>
              <w:jc w:val="right"/>
              <w:rPr>
                <w:rFonts w:cs="Arial"/>
                <w:color w:val="000000"/>
                <w:sz w:val="18"/>
                <w:szCs w:val="18"/>
                <w:lang w:eastAsia="en-AU"/>
              </w:rPr>
            </w:pPr>
          </w:p>
        </w:tc>
        <w:tc>
          <w:tcPr>
            <w:tcW w:w="1599" w:type="dxa"/>
            <w:shd w:val="clear" w:color="auto" w:fill="auto"/>
            <w:noWrap/>
            <w:vAlign w:val="center"/>
          </w:tcPr>
          <w:p w14:paraId="69ABAB35" w14:textId="3998AD66" w:rsidR="00F1062A" w:rsidRPr="008B5148" w:rsidRDefault="00F1062A" w:rsidP="00301E78">
            <w:pPr>
              <w:spacing w:after="0" w:line="240" w:lineRule="auto"/>
              <w:ind w:right="277"/>
              <w:jc w:val="right"/>
              <w:rPr>
                <w:rFonts w:cs="Arial"/>
                <w:color w:val="000000"/>
                <w:sz w:val="18"/>
                <w:szCs w:val="18"/>
                <w:lang w:eastAsia="en-AU"/>
              </w:rPr>
            </w:pPr>
          </w:p>
        </w:tc>
        <w:tc>
          <w:tcPr>
            <w:tcW w:w="1598" w:type="dxa"/>
            <w:shd w:val="clear" w:color="auto" w:fill="auto"/>
            <w:noWrap/>
            <w:vAlign w:val="center"/>
          </w:tcPr>
          <w:p w14:paraId="79D40FEE" w14:textId="7B850834" w:rsidR="00F1062A" w:rsidRPr="008B5148" w:rsidRDefault="00F1062A" w:rsidP="00301E78">
            <w:pPr>
              <w:spacing w:after="0" w:line="240" w:lineRule="auto"/>
              <w:ind w:right="277"/>
              <w:jc w:val="right"/>
              <w:rPr>
                <w:rFonts w:cs="Arial"/>
                <w:color w:val="000000"/>
                <w:sz w:val="18"/>
                <w:szCs w:val="18"/>
                <w:lang w:eastAsia="en-AU"/>
              </w:rPr>
            </w:pPr>
          </w:p>
        </w:tc>
        <w:tc>
          <w:tcPr>
            <w:tcW w:w="1599" w:type="dxa"/>
            <w:shd w:val="clear" w:color="auto" w:fill="auto"/>
            <w:noWrap/>
            <w:vAlign w:val="center"/>
          </w:tcPr>
          <w:p w14:paraId="57740B14" w14:textId="561194C4" w:rsidR="00F1062A" w:rsidRPr="008B5148" w:rsidRDefault="00F1062A" w:rsidP="00301E78">
            <w:pPr>
              <w:spacing w:after="0" w:line="240" w:lineRule="auto"/>
              <w:ind w:right="277"/>
              <w:jc w:val="right"/>
              <w:rPr>
                <w:rFonts w:cs="Arial"/>
                <w:color w:val="000000"/>
                <w:sz w:val="18"/>
                <w:szCs w:val="18"/>
                <w:lang w:eastAsia="en-AU"/>
              </w:rPr>
            </w:pPr>
          </w:p>
        </w:tc>
      </w:tr>
      <w:tr w:rsidR="008B5148" w:rsidRPr="009B6407" w14:paraId="7E43EB79" w14:textId="77777777" w:rsidTr="006253C8">
        <w:trPr>
          <w:trHeight w:val="315"/>
        </w:trPr>
        <w:tc>
          <w:tcPr>
            <w:tcW w:w="2967" w:type="dxa"/>
            <w:shd w:val="clear" w:color="auto" w:fill="auto"/>
            <w:noWrap/>
            <w:vAlign w:val="center"/>
          </w:tcPr>
          <w:p w14:paraId="5988A456" w14:textId="79CD7CD3" w:rsidR="008B5148" w:rsidRPr="009B6407" w:rsidRDefault="008B5148" w:rsidP="008B5148">
            <w:pPr>
              <w:spacing w:after="0" w:line="240" w:lineRule="auto"/>
              <w:rPr>
                <w:rFonts w:cs="Arial"/>
                <w:color w:val="000000"/>
                <w:sz w:val="18"/>
                <w:szCs w:val="18"/>
                <w:lang w:eastAsia="en-AU"/>
              </w:rPr>
            </w:pPr>
            <w:r w:rsidRPr="00301E78">
              <w:rPr>
                <w:rFonts w:cs="Arial"/>
                <w:color w:val="000000"/>
                <w:sz w:val="18"/>
                <w:szCs w:val="18"/>
              </w:rPr>
              <w:t>New South Wales</w:t>
            </w:r>
          </w:p>
        </w:tc>
        <w:tc>
          <w:tcPr>
            <w:tcW w:w="1598" w:type="dxa"/>
            <w:shd w:val="clear" w:color="auto" w:fill="auto"/>
            <w:noWrap/>
            <w:vAlign w:val="center"/>
          </w:tcPr>
          <w:p w14:paraId="4FCB992E" w14:textId="69DFEBE2"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54,015 </w:t>
            </w:r>
          </w:p>
        </w:tc>
        <w:tc>
          <w:tcPr>
            <w:tcW w:w="1599" w:type="dxa"/>
            <w:shd w:val="clear" w:color="auto" w:fill="auto"/>
            <w:noWrap/>
            <w:vAlign w:val="center"/>
          </w:tcPr>
          <w:p w14:paraId="50C049F5" w14:textId="6817FD4F"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96,731 </w:t>
            </w:r>
          </w:p>
        </w:tc>
        <w:tc>
          <w:tcPr>
            <w:tcW w:w="1598" w:type="dxa"/>
            <w:shd w:val="clear" w:color="auto" w:fill="auto"/>
            <w:noWrap/>
            <w:vAlign w:val="center"/>
          </w:tcPr>
          <w:p w14:paraId="7BE22A72" w14:textId="4FFDE1D9"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68,866 </w:t>
            </w:r>
          </w:p>
        </w:tc>
        <w:tc>
          <w:tcPr>
            <w:tcW w:w="1599" w:type="dxa"/>
            <w:shd w:val="clear" w:color="auto" w:fill="auto"/>
            <w:noWrap/>
            <w:vAlign w:val="center"/>
          </w:tcPr>
          <w:p w14:paraId="2E834D94" w14:textId="12410DDE"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63,279 </w:t>
            </w:r>
          </w:p>
        </w:tc>
      </w:tr>
      <w:tr w:rsidR="008B5148" w:rsidRPr="009B6407" w14:paraId="22EF92CF" w14:textId="77777777" w:rsidTr="006253C8">
        <w:trPr>
          <w:trHeight w:val="315"/>
        </w:trPr>
        <w:tc>
          <w:tcPr>
            <w:tcW w:w="2967" w:type="dxa"/>
            <w:shd w:val="clear" w:color="auto" w:fill="auto"/>
            <w:noWrap/>
            <w:vAlign w:val="center"/>
          </w:tcPr>
          <w:p w14:paraId="0EAD7074" w14:textId="5B3AA156" w:rsidR="008B5148" w:rsidRPr="009B6407" w:rsidRDefault="008B5148" w:rsidP="008B5148">
            <w:pPr>
              <w:spacing w:after="0" w:line="240" w:lineRule="auto"/>
              <w:rPr>
                <w:rFonts w:cs="Arial"/>
                <w:color w:val="000000"/>
                <w:sz w:val="18"/>
                <w:szCs w:val="18"/>
                <w:lang w:eastAsia="en-AU"/>
              </w:rPr>
            </w:pPr>
            <w:r w:rsidRPr="00301E78">
              <w:rPr>
                <w:rFonts w:cs="Arial"/>
                <w:color w:val="000000"/>
                <w:sz w:val="18"/>
                <w:szCs w:val="18"/>
              </w:rPr>
              <w:t>Victoria</w:t>
            </w:r>
          </w:p>
        </w:tc>
        <w:tc>
          <w:tcPr>
            <w:tcW w:w="1598" w:type="dxa"/>
            <w:shd w:val="clear" w:color="auto" w:fill="auto"/>
            <w:noWrap/>
            <w:vAlign w:val="center"/>
          </w:tcPr>
          <w:p w14:paraId="0FAAFD73" w14:textId="5754FA47"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45,569 </w:t>
            </w:r>
          </w:p>
        </w:tc>
        <w:tc>
          <w:tcPr>
            <w:tcW w:w="1599" w:type="dxa"/>
            <w:shd w:val="clear" w:color="auto" w:fill="auto"/>
            <w:noWrap/>
            <w:vAlign w:val="center"/>
          </w:tcPr>
          <w:p w14:paraId="2DC9EC2F" w14:textId="3214547A"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72,341 </w:t>
            </w:r>
          </w:p>
        </w:tc>
        <w:tc>
          <w:tcPr>
            <w:tcW w:w="1598" w:type="dxa"/>
            <w:shd w:val="clear" w:color="auto" w:fill="auto"/>
            <w:noWrap/>
            <w:vAlign w:val="center"/>
          </w:tcPr>
          <w:p w14:paraId="3676A4E3" w14:textId="1E278C36"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58,098 </w:t>
            </w:r>
          </w:p>
        </w:tc>
        <w:tc>
          <w:tcPr>
            <w:tcW w:w="1599" w:type="dxa"/>
            <w:shd w:val="clear" w:color="auto" w:fill="auto"/>
            <w:noWrap/>
            <w:vAlign w:val="center"/>
          </w:tcPr>
          <w:p w14:paraId="00A05BD4" w14:textId="0E383AE4"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63,969 </w:t>
            </w:r>
          </w:p>
        </w:tc>
      </w:tr>
      <w:tr w:rsidR="008B5148" w:rsidRPr="009B6407" w14:paraId="3BA5DE96" w14:textId="77777777" w:rsidTr="006253C8">
        <w:trPr>
          <w:trHeight w:val="315"/>
        </w:trPr>
        <w:tc>
          <w:tcPr>
            <w:tcW w:w="2967" w:type="dxa"/>
            <w:shd w:val="clear" w:color="auto" w:fill="auto"/>
            <w:noWrap/>
            <w:vAlign w:val="center"/>
          </w:tcPr>
          <w:p w14:paraId="5BDFCAEB" w14:textId="734C55A7" w:rsidR="008B5148" w:rsidRPr="009B6407" w:rsidRDefault="008B5148" w:rsidP="008B5148">
            <w:pPr>
              <w:spacing w:after="0" w:line="240" w:lineRule="auto"/>
              <w:rPr>
                <w:rFonts w:cs="Arial"/>
                <w:color w:val="000000"/>
                <w:sz w:val="18"/>
                <w:szCs w:val="18"/>
                <w:lang w:eastAsia="en-AU"/>
              </w:rPr>
            </w:pPr>
            <w:r w:rsidRPr="00301E78">
              <w:rPr>
                <w:rFonts w:cs="Arial"/>
                <w:color w:val="000000"/>
                <w:sz w:val="18"/>
                <w:szCs w:val="18"/>
              </w:rPr>
              <w:t>Queensland</w:t>
            </w:r>
          </w:p>
        </w:tc>
        <w:tc>
          <w:tcPr>
            <w:tcW w:w="1598" w:type="dxa"/>
            <w:shd w:val="clear" w:color="auto" w:fill="auto"/>
            <w:noWrap/>
            <w:vAlign w:val="center"/>
          </w:tcPr>
          <w:p w14:paraId="2F4BDBCB" w14:textId="7E8075BC"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56,576 </w:t>
            </w:r>
          </w:p>
        </w:tc>
        <w:tc>
          <w:tcPr>
            <w:tcW w:w="1599" w:type="dxa"/>
            <w:shd w:val="clear" w:color="auto" w:fill="auto"/>
            <w:noWrap/>
            <w:vAlign w:val="center"/>
          </w:tcPr>
          <w:p w14:paraId="0C3BB591" w14:textId="3A63F1F6"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72,858 </w:t>
            </w:r>
          </w:p>
        </w:tc>
        <w:tc>
          <w:tcPr>
            <w:tcW w:w="1598" w:type="dxa"/>
            <w:shd w:val="clear" w:color="auto" w:fill="auto"/>
            <w:noWrap/>
            <w:vAlign w:val="center"/>
          </w:tcPr>
          <w:p w14:paraId="69B145B4" w14:textId="73B95771"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72,131 </w:t>
            </w:r>
          </w:p>
        </w:tc>
        <w:tc>
          <w:tcPr>
            <w:tcW w:w="1599" w:type="dxa"/>
            <w:shd w:val="clear" w:color="auto" w:fill="auto"/>
            <w:noWrap/>
            <w:vAlign w:val="center"/>
          </w:tcPr>
          <w:p w14:paraId="50CBF5E9" w14:textId="492BA1A1"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69,135 </w:t>
            </w:r>
          </w:p>
        </w:tc>
      </w:tr>
      <w:tr w:rsidR="008B5148" w:rsidRPr="009B6407" w14:paraId="39FDEDD1" w14:textId="77777777" w:rsidTr="00160B8E">
        <w:trPr>
          <w:trHeight w:val="315"/>
        </w:trPr>
        <w:tc>
          <w:tcPr>
            <w:tcW w:w="2967" w:type="dxa"/>
            <w:shd w:val="clear" w:color="auto" w:fill="EFE2E7" w:themeFill="text1" w:themeFillTint="1A"/>
            <w:noWrap/>
            <w:vAlign w:val="center"/>
          </w:tcPr>
          <w:p w14:paraId="6558EC65" w14:textId="527ED9B5" w:rsidR="008B5148" w:rsidRPr="009B6407" w:rsidRDefault="008B5148" w:rsidP="008B5148">
            <w:pPr>
              <w:spacing w:after="0" w:line="240" w:lineRule="auto"/>
              <w:rPr>
                <w:rFonts w:cs="Arial"/>
                <w:color w:val="000000"/>
                <w:sz w:val="18"/>
                <w:szCs w:val="18"/>
                <w:lang w:eastAsia="en-AU"/>
              </w:rPr>
            </w:pPr>
            <w:r w:rsidRPr="00301E78">
              <w:rPr>
                <w:rFonts w:cs="Arial"/>
                <w:color w:val="000000"/>
                <w:sz w:val="18"/>
                <w:szCs w:val="18"/>
              </w:rPr>
              <w:t xml:space="preserve">Western Australia </w:t>
            </w:r>
          </w:p>
        </w:tc>
        <w:tc>
          <w:tcPr>
            <w:tcW w:w="1598" w:type="dxa"/>
            <w:shd w:val="clear" w:color="auto" w:fill="EFE2E7" w:themeFill="text1" w:themeFillTint="1A"/>
            <w:noWrap/>
            <w:vAlign w:val="center"/>
          </w:tcPr>
          <w:p w14:paraId="68C3EAF2" w14:textId="31B6F037"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13,117 </w:t>
            </w:r>
          </w:p>
        </w:tc>
        <w:tc>
          <w:tcPr>
            <w:tcW w:w="1599" w:type="dxa"/>
            <w:shd w:val="clear" w:color="auto" w:fill="EFE2E7" w:themeFill="text1" w:themeFillTint="1A"/>
            <w:noWrap/>
            <w:vAlign w:val="center"/>
          </w:tcPr>
          <w:p w14:paraId="3F19418C" w14:textId="1E3FD16C"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28,666 </w:t>
            </w:r>
          </w:p>
        </w:tc>
        <w:tc>
          <w:tcPr>
            <w:tcW w:w="1598" w:type="dxa"/>
            <w:shd w:val="clear" w:color="auto" w:fill="EFE2E7" w:themeFill="text1" w:themeFillTint="1A"/>
            <w:noWrap/>
            <w:vAlign w:val="center"/>
          </w:tcPr>
          <w:p w14:paraId="46F46676" w14:textId="0883A23E"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16,723 </w:t>
            </w:r>
          </w:p>
        </w:tc>
        <w:tc>
          <w:tcPr>
            <w:tcW w:w="1599" w:type="dxa"/>
            <w:shd w:val="clear" w:color="auto" w:fill="EFE2E7" w:themeFill="text1" w:themeFillTint="1A"/>
            <w:noWrap/>
            <w:vAlign w:val="center"/>
          </w:tcPr>
          <w:p w14:paraId="290B851A" w14:textId="4DF0A958"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20,660 </w:t>
            </w:r>
          </w:p>
        </w:tc>
      </w:tr>
      <w:tr w:rsidR="008B5148" w:rsidRPr="009B6407" w14:paraId="782351C3" w14:textId="77777777" w:rsidTr="006253C8">
        <w:trPr>
          <w:trHeight w:val="315"/>
        </w:trPr>
        <w:tc>
          <w:tcPr>
            <w:tcW w:w="2967" w:type="dxa"/>
            <w:shd w:val="clear" w:color="000000" w:fill="FFFFFF"/>
            <w:noWrap/>
            <w:vAlign w:val="center"/>
          </w:tcPr>
          <w:p w14:paraId="5D994DAE" w14:textId="6772E046" w:rsidR="008B5148" w:rsidRPr="009B6407" w:rsidRDefault="008B5148" w:rsidP="008B5148">
            <w:pPr>
              <w:spacing w:after="0" w:line="240" w:lineRule="auto"/>
              <w:rPr>
                <w:rFonts w:cs="Arial"/>
                <w:i/>
                <w:iCs/>
                <w:color w:val="000000"/>
                <w:sz w:val="18"/>
                <w:szCs w:val="18"/>
                <w:lang w:eastAsia="en-AU"/>
              </w:rPr>
            </w:pPr>
            <w:r w:rsidRPr="00301E78">
              <w:rPr>
                <w:rFonts w:cs="Arial"/>
                <w:color w:val="000000"/>
                <w:sz w:val="18"/>
                <w:szCs w:val="18"/>
              </w:rPr>
              <w:t>South Australia</w:t>
            </w:r>
          </w:p>
        </w:tc>
        <w:tc>
          <w:tcPr>
            <w:tcW w:w="1598" w:type="dxa"/>
            <w:shd w:val="clear" w:color="000000" w:fill="FFFFFF"/>
            <w:noWrap/>
            <w:vAlign w:val="center"/>
          </w:tcPr>
          <w:p w14:paraId="5FE777C0" w14:textId="19A7C5FE"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13,889 </w:t>
            </w:r>
          </w:p>
        </w:tc>
        <w:tc>
          <w:tcPr>
            <w:tcW w:w="1599" w:type="dxa"/>
            <w:shd w:val="clear" w:color="000000" w:fill="FFFFFF"/>
            <w:noWrap/>
            <w:vAlign w:val="center"/>
          </w:tcPr>
          <w:p w14:paraId="4DE9FB8F" w14:textId="4BD7865A"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20,135 </w:t>
            </w:r>
          </w:p>
        </w:tc>
        <w:tc>
          <w:tcPr>
            <w:tcW w:w="1598" w:type="dxa"/>
            <w:shd w:val="clear" w:color="000000" w:fill="FFFFFF"/>
            <w:noWrap/>
            <w:vAlign w:val="center"/>
          </w:tcPr>
          <w:p w14:paraId="24646BA0" w14:textId="32293C02"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17,708 </w:t>
            </w:r>
          </w:p>
        </w:tc>
        <w:tc>
          <w:tcPr>
            <w:tcW w:w="1599" w:type="dxa"/>
            <w:shd w:val="clear" w:color="000000" w:fill="FFFFFF"/>
            <w:noWrap/>
            <w:vAlign w:val="center"/>
          </w:tcPr>
          <w:p w14:paraId="3B81A853" w14:textId="5BDB241E"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21,877 </w:t>
            </w:r>
          </w:p>
        </w:tc>
      </w:tr>
      <w:tr w:rsidR="008B5148" w:rsidRPr="009B6407" w14:paraId="5549C164" w14:textId="77777777" w:rsidTr="00160B8E">
        <w:trPr>
          <w:trHeight w:val="315"/>
        </w:trPr>
        <w:tc>
          <w:tcPr>
            <w:tcW w:w="2967" w:type="dxa"/>
            <w:shd w:val="clear" w:color="auto" w:fill="EFE2E7" w:themeFill="text1" w:themeFillTint="1A"/>
            <w:noWrap/>
            <w:vAlign w:val="center"/>
          </w:tcPr>
          <w:p w14:paraId="293CF53E" w14:textId="3D12D05F" w:rsidR="008B5148" w:rsidRPr="00301E78" w:rsidRDefault="008B5148" w:rsidP="008B5148">
            <w:pPr>
              <w:spacing w:after="0" w:line="240" w:lineRule="auto"/>
              <w:rPr>
                <w:rFonts w:cs="Arial"/>
                <w:i/>
                <w:iCs/>
                <w:color w:val="000000"/>
                <w:sz w:val="18"/>
                <w:szCs w:val="18"/>
                <w:lang w:eastAsia="en-AU"/>
              </w:rPr>
            </w:pPr>
            <w:r w:rsidRPr="00301E78">
              <w:rPr>
                <w:rFonts w:cs="Arial"/>
                <w:color w:val="000000"/>
                <w:sz w:val="18"/>
                <w:szCs w:val="18"/>
              </w:rPr>
              <w:t>Tasmania</w:t>
            </w:r>
          </w:p>
        </w:tc>
        <w:tc>
          <w:tcPr>
            <w:tcW w:w="1598" w:type="dxa"/>
            <w:shd w:val="clear" w:color="auto" w:fill="EFE2E7" w:themeFill="text1" w:themeFillTint="1A"/>
            <w:noWrap/>
            <w:vAlign w:val="center"/>
          </w:tcPr>
          <w:p w14:paraId="662A4A40" w14:textId="16F31DA8"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20,602 </w:t>
            </w:r>
          </w:p>
        </w:tc>
        <w:tc>
          <w:tcPr>
            <w:tcW w:w="1599" w:type="dxa"/>
            <w:shd w:val="clear" w:color="auto" w:fill="EFE2E7" w:themeFill="text1" w:themeFillTint="1A"/>
            <w:noWrap/>
            <w:vAlign w:val="center"/>
          </w:tcPr>
          <w:p w14:paraId="7F6F7002" w14:textId="5D7201C6"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20,602 </w:t>
            </w:r>
          </w:p>
        </w:tc>
        <w:tc>
          <w:tcPr>
            <w:tcW w:w="1598" w:type="dxa"/>
            <w:shd w:val="clear" w:color="auto" w:fill="EFE2E7" w:themeFill="text1" w:themeFillTint="1A"/>
            <w:noWrap/>
            <w:vAlign w:val="center"/>
          </w:tcPr>
          <w:p w14:paraId="7128F91B" w14:textId="71DACED5"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26,266 </w:t>
            </w:r>
          </w:p>
        </w:tc>
        <w:tc>
          <w:tcPr>
            <w:tcW w:w="1599" w:type="dxa"/>
            <w:shd w:val="clear" w:color="auto" w:fill="EFE2E7" w:themeFill="text1" w:themeFillTint="1A"/>
            <w:noWrap/>
            <w:vAlign w:val="center"/>
          </w:tcPr>
          <w:p w14:paraId="4BE96EBA" w14:textId="195DCE78"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20,602 </w:t>
            </w:r>
          </w:p>
        </w:tc>
      </w:tr>
      <w:tr w:rsidR="008B5148" w:rsidRPr="009B6407" w14:paraId="214A72C4" w14:textId="77777777" w:rsidTr="006253C8">
        <w:trPr>
          <w:trHeight w:val="315"/>
        </w:trPr>
        <w:tc>
          <w:tcPr>
            <w:tcW w:w="2967" w:type="dxa"/>
            <w:shd w:val="clear" w:color="000000" w:fill="FFFFFF"/>
            <w:noWrap/>
            <w:vAlign w:val="center"/>
          </w:tcPr>
          <w:p w14:paraId="0C6DD118" w14:textId="15D0986B" w:rsidR="008B5148" w:rsidRPr="00301E78" w:rsidRDefault="008B5148" w:rsidP="008B5148">
            <w:pPr>
              <w:spacing w:after="0" w:line="240" w:lineRule="auto"/>
              <w:rPr>
                <w:rFonts w:cs="Arial"/>
                <w:i/>
                <w:iCs/>
                <w:color w:val="000000"/>
                <w:sz w:val="18"/>
                <w:szCs w:val="18"/>
                <w:lang w:eastAsia="en-AU"/>
              </w:rPr>
            </w:pPr>
            <w:r w:rsidRPr="00301E78">
              <w:rPr>
                <w:rFonts w:cs="Arial"/>
                <w:color w:val="000000"/>
                <w:sz w:val="18"/>
                <w:szCs w:val="18"/>
              </w:rPr>
              <w:t xml:space="preserve">Northern Territory </w:t>
            </w:r>
          </w:p>
        </w:tc>
        <w:tc>
          <w:tcPr>
            <w:tcW w:w="1598" w:type="dxa"/>
            <w:shd w:val="clear" w:color="000000" w:fill="FFFFFF"/>
            <w:noWrap/>
            <w:vAlign w:val="center"/>
          </w:tcPr>
          <w:p w14:paraId="22888569" w14:textId="310BB798"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7,521 </w:t>
            </w:r>
          </w:p>
        </w:tc>
        <w:tc>
          <w:tcPr>
            <w:tcW w:w="1599" w:type="dxa"/>
            <w:shd w:val="clear" w:color="000000" w:fill="FFFFFF"/>
            <w:noWrap/>
            <w:vAlign w:val="center"/>
          </w:tcPr>
          <w:p w14:paraId="6A72E2A3" w14:textId="6FC23E25"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7,521 </w:t>
            </w:r>
          </w:p>
        </w:tc>
        <w:tc>
          <w:tcPr>
            <w:tcW w:w="1598" w:type="dxa"/>
            <w:shd w:val="clear" w:color="000000" w:fill="FFFFFF"/>
            <w:noWrap/>
            <w:vAlign w:val="center"/>
          </w:tcPr>
          <w:p w14:paraId="546D6AB8" w14:textId="28F82822"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9,588 </w:t>
            </w:r>
          </w:p>
        </w:tc>
        <w:tc>
          <w:tcPr>
            <w:tcW w:w="1599" w:type="dxa"/>
            <w:shd w:val="clear" w:color="000000" w:fill="FFFFFF"/>
            <w:noWrap/>
            <w:vAlign w:val="center"/>
          </w:tcPr>
          <w:p w14:paraId="04A3F714" w14:textId="249107FC"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7,521 </w:t>
            </w:r>
          </w:p>
        </w:tc>
      </w:tr>
      <w:tr w:rsidR="008B5148" w:rsidRPr="009B6407" w14:paraId="7F0311D6" w14:textId="77777777" w:rsidTr="006253C8">
        <w:trPr>
          <w:trHeight w:val="315"/>
        </w:trPr>
        <w:tc>
          <w:tcPr>
            <w:tcW w:w="2967" w:type="dxa"/>
            <w:shd w:val="clear" w:color="000000" w:fill="FFFFFF"/>
            <w:noWrap/>
            <w:vAlign w:val="center"/>
          </w:tcPr>
          <w:p w14:paraId="40217B08" w14:textId="7E73F46B" w:rsidR="008B5148" w:rsidRPr="00301E78" w:rsidRDefault="008B5148" w:rsidP="008B5148">
            <w:pPr>
              <w:spacing w:after="0" w:line="240" w:lineRule="auto"/>
              <w:rPr>
                <w:rFonts w:cs="Arial"/>
                <w:i/>
                <w:iCs/>
                <w:color w:val="000000"/>
                <w:sz w:val="18"/>
                <w:szCs w:val="18"/>
                <w:lang w:eastAsia="en-AU"/>
              </w:rPr>
            </w:pPr>
            <w:r w:rsidRPr="00301E78">
              <w:rPr>
                <w:rFonts w:cs="Arial"/>
                <w:color w:val="000000"/>
                <w:sz w:val="18"/>
                <w:szCs w:val="18"/>
              </w:rPr>
              <w:t>Australian Capital Territory</w:t>
            </w:r>
          </w:p>
        </w:tc>
        <w:tc>
          <w:tcPr>
            <w:tcW w:w="1598" w:type="dxa"/>
            <w:shd w:val="clear" w:color="000000" w:fill="FFFFFF"/>
            <w:noWrap/>
            <w:vAlign w:val="center"/>
          </w:tcPr>
          <w:p w14:paraId="5AF0CDE5" w14:textId="298C606A"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4,688 </w:t>
            </w:r>
          </w:p>
        </w:tc>
        <w:tc>
          <w:tcPr>
            <w:tcW w:w="1599" w:type="dxa"/>
            <w:shd w:val="clear" w:color="000000" w:fill="FFFFFF"/>
            <w:noWrap/>
            <w:vAlign w:val="center"/>
          </w:tcPr>
          <w:p w14:paraId="6317B689" w14:textId="0D59A7DF"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7,459 </w:t>
            </w:r>
          </w:p>
        </w:tc>
        <w:tc>
          <w:tcPr>
            <w:tcW w:w="1598" w:type="dxa"/>
            <w:shd w:val="clear" w:color="000000" w:fill="FFFFFF"/>
            <w:noWrap/>
            <w:vAlign w:val="center"/>
          </w:tcPr>
          <w:p w14:paraId="1FC298A3" w14:textId="24C42A0F"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5,976 </w:t>
            </w:r>
          </w:p>
        </w:tc>
        <w:tc>
          <w:tcPr>
            <w:tcW w:w="1599" w:type="dxa"/>
            <w:shd w:val="clear" w:color="000000" w:fill="FFFFFF"/>
            <w:noWrap/>
            <w:vAlign w:val="center"/>
          </w:tcPr>
          <w:p w14:paraId="07666A27" w14:textId="7B8914D1" w:rsidR="008B5148" w:rsidRPr="008B5148" w:rsidRDefault="00D34D1C" w:rsidP="008B5148">
            <w:pPr>
              <w:spacing w:after="0" w:line="240" w:lineRule="auto"/>
              <w:ind w:right="277"/>
              <w:jc w:val="right"/>
              <w:rPr>
                <w:rFonts w:cs="Arial"/>
                <w:color w:val="000000"/>
                <w:sz w:val="18"/>
                <w:szCs w:val="18"/>
                <w:lang w:eastAsia="en-AU"/>
              </w:rPr>
            </w:pPr>
            <w:r w:rsidRPr="00183978">
              <w:rPr>
                <w:sz w:val="18"/>
                <w:szCs w:val="18"/>
              </w:rPr>
              <w:t xml:space="preserve"> 7,383 </w:t>
            </w:r>
          </w:p>
        </w:tc>
      </w:tr>
    </w:tbl>
    <w:p w14:paraId="26C097BA" w14:textId="6AA95626" w:rsidR="00A47504" w:rsidRDefault="00CF10B7" w:rsidP="00D1300D">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384ECF8F" w14:textId="0944BA7B" w:rsidR="00736D4C" w:rsidRDefault="006B57B5" w:rsidP="00D1300D">
      <w:r>
        <w:br/>
      </w:r>
      <w:r w:rsidR="00986FBA">
        <w:t xml:space="preserve">A comparison between Western Australia and Tasmania is instructive. Western Australia has the second lowest regional/remote population share among the states and territories after Victoria, while Tasmania’s entire population is classified as regional/remote (see Table </w:t>
      </w:r>
      <w:r w:rsidR="00652519">
        <w:t>5</w:t>
      </w:r>
      <w:r w:rsidR="00986FBA">
        <w:t xml:space="preserve">). In </w:t>
      </w:r>
      <w:r w:rsidR="00986FBA">
        <w:lastRenderedPageBreak/>
        <w:t xml:space="preserve">addition, Western Australia’s relative concentration of higher education infrastructure in Perth results in it having a relatively low share of regional/remote students. </w:t>
      </w:r>
    </w:p>
    <w:p w14:paraId="3872AF9D" w14:textId="564BE2F6" w:rsidR="00371F70" w:rsidRDefault="00986FBA" w:rsidP="00D1300D">
      <w:r>
        <w:t>Th</w:t>
      </w:r>
      <w:r w:rsidR="00D76C28">
        <w:t>e effect of these factors</w:t>
      </w:r>
      <w:r>
        <w:t xml:space="preserve"> is apparent in comparing the two states in relation to the </w:t>
      </w:r>
      <w:r w:rsidR="00633A2D" w:rsidRPr="00633A2D">
        <w:rPr>
          <w:i/>
          <w:iCs/>
        </w:rPr>
        <w:t>Business-as-Usual</w:t>
      </w:r>
      <w:r w:rsidR="00633A2D">
        <w:t xml:space="preserve"> </w:t>
      </w:r>
      <w:r w:rsidR="00652519">
        <w:t>option</w:t>
      </w:r>
      <w:r>
        <w:t>, with Tasmania (</w:t>
      </w:r>
      <w:r w:rsidR="00652519">
        <w:t xml:space="preserve">essentially, </w:t>
      </w:r>
      <w:r>
        <w:t>The University of Tasmania</w:t>
      </w:r>
      <w:r w:rsidR="00652519">
        <w:t>)</w:t>
      </w:r>
      <w:r w:rsidR="000641B1">
        <w:t xml:space="preserve"> </w:t>
      </w:r>
      <w:r>
        <w:t>projected to enrol 2</w:t>
      </w:r>
      <w:r w:rsidR="005838CE">
        <w:t>0</w:t>
      </w:r>
      <w:r>
        <w:t>,</w:t>
      </w:r>
      <w:r w:rsidR="000370DE">
        <w:t xml:space="preserve">602 </w:t>
      </w:r>
      <w:r>
        <w:t>regional/remote students compared to 1</w:t>
      </w:r>
      <w:r w:rsidR="002935BD">
        <w:t>3</w:t>
      </w:r>
      <w:r>
        <w:t>,</w:t>
      </w:r>
      <w:r w:rsidR="002935BD">
        <w:t>117</w:t>
      </w:r>
      <w:r w:rsidR="00BB3922">
        <w:t xml:space="preserve"> </w:t>
      </w:r>
      <w:r>
        <w:t>in Western Australia, assuming both states’ institutions see similar levels of undergraduate growth and their regional/remote</w:t>
      </w:r>
      <w:r w:rsidR="002D2CF8">
        <w:t xml:space="preserve"> student group</w:t>
      </w:r>
      <w:r>
        <w:t xml:space="preserve"> participation </w:t>
      </w:r>
      <w:r w:rsidR="002D2CF8">
        <w:t xml:space="preserve">rates </w:t>
      </w:r>
      <w:r>
        <w:t xml:space="preserve">remain constant at 2021 levels. However, </w:t>
      </w:r>
      <w:r w:rsidR="00C631FC">
        <w:t xml:space="preserve">under </w:t>
      </w:r>
      <w:r w:rsidR="004B314C">
        <w:t>the</w:t>
      </w:r>
      <w:r>
        <w:t xml:space="preserve"> </w:t>
      </w:r>
      <w:r w:rsidR="002D2CF8">
        <w:rPr>
          <w:i/>
          <w:iCs/>
        </w:rPr>
        <w:t xml:space="preserve">Convergence </w:t>
      </w:r>
      <w:r w:rsidR="00C631FC">
        <w:t>option,</w:t>
      </w:r>
      <w:r w:rsidR="00336AD5">
        <w:t xml:space="preserve"> where institutions</w:t>
      </w:r>
      <w:r w:rsidR="005A750C">
        <w:t xml:space="preserve"> must either</w:t>
      </w:r>
      <w:r w:rsidR="00336AD5">
        <w:t xml:space="preserve"> reach the </w:t>
      </w:r>
      <w:r w:rsidR="00A74978">
        <w:t>national target</w:t>
      </w:r>
      <w:r w:rsidR="00336AD5">
        <w:t xml:space="preserve"> of 26.1% </w:t>
      </w:r>
      <w:r w:rsidR="007344DF">
        <w:t xml:space="preserve">(as per Table </w:t>
      </w:r>
      <w:r w:rsidR="0005238F">
        <w:t>3</w:t>
      </w:r>
      <w:r w:rsidR="007344DF">
        <w:t xml:space="preserve">) or maintain their </w:t>
      </w:r>
      <w:r w:rsidR="00633A2D">
        <w:rPr>
          <w:i/>
          <w:iCs/>
        </w:rPr>
        <w:t>Business-as-Usual</w:t>
      </w:r>
      <w:r w:rsidR="004A6D28">
        <w:t xml:space="preserve"> participation share </w:t>
      </w:r>
      <w:r w:rsidR="00A95A86">
        <w:t xml:space="preserve">in 2021 where they are already </w:t>
      </w:r>
      <w:r w:rsidR="004A6D28">
        <w:t>above parity, the University of Tasmania</w:t>
      </w:r>
      <w:r w:rsidR="00695A46">
        <w:t xml:space="preserve"> maintains its enrolment at 2</w:t>
      </w:r>
      <w:r w:rsidR="006C1AD9">
        <w:t>0</w:t>
      </w:r>
      <w:r w:rsidR="00695A46">
        <w:t>,</w:t>
      </w:r>
      <w:r w:rsidR="007D2D9A">
        <w:t>602</w:t>
      </w:r>
      <w:r w:rsidR="00695A46">
        <w:t>, while Western Australia’s institutions are required</w:t>
      </w:r>
      <w:r w:rsidR="00211A45">
        <w:t xml:space="preserve"> to increase their regional/remote enrolment to </w:t>
      </w:r>
      <w:r w:rsidR="00CD4BA0">
        <w:t>28</w:t>
      </w:r>
      <w:r w:rsidR="00211A45">
        <w:t>,</w:t>
      </w:r>
      <w:r w:rsidR="00CD4BA0">
        <w:t xml:space="preserve">666 </w:t>
      </w:r>
      <w:r w:rsidR="003C4526">
        <w:t>– with each institution having a regional/remote share of 26.1%.</w:t>
      </w:r>
      <w:r w:rsidR="00E96CB0">
        <w:t xml:space="preserve"> </w:t>
      </w:r>
    </w:p>
    <w:p w14:paraId="6025E6A6" w14:textId="51762D90" w:rsidR="00986FBA" w:rsidRDefault="00E96CB0" w:rsidP="00D1300D">
      <w:r>
        <w:t>Looking at</w:t>
      </w:r>
      <w:r w:rsidR="003C4526">
        <w:t xml:space="preserve"> the </w:t>
      </w:r>
      <w:r w:rsidR="00CD4BA0">
        <w:rPr>
          <w:i/>
          <w:iCs/>
        </w:rPr>
        <w:t>Equal Effort</w:t>
      </w:r>
      <w:r w:rsidR="00C267FC" w:rsidRPr="00C267FC">
        <w:rPr>
          <w:i/>
          <w:iCs/>
        </w:rPr>
        <w:t xml:space="preserve"> </w:t>
      </w:r>
      <w:r w:rsidR="00FD5DE4">
        <w:t>and</w:t>
      </w:r>
      <w:r w:rsidR="0005233C">
        <w:t xml:space="preserve"> </w:t>
      </w:r>
      <w:r w:rsidR="00CD4BA0">
        <w:rPr>
          <w:i/>
          <w:iCs/>
        </w:rPr>
        <w:t xml:space="preserve">Divergence </w:t>
      </w:r>
      <w:r w:rsidR="00CD4BA0">
        <w:t>options</w:t>
      </w:r>
      <w:r w:rsidR="0005233C">
        <w:t>,</w:t>
      </w:r>
      <w:r>
        <w:t xml:space="preserve"> Tasmania</w:t>
      </w:r>
      <w:r w:rsidR="00F16268">
        <w:t xml:space="preserve"> increas</w:t>
      </w:r>
      <w:r w:rsidR="00BA2248">
        <w:t>es</w:t>
      </w:r>
      <w:r w:rsidR="00F16268">
        <w:t xml:space="preserve"> its </w:t>
      </w:r>
      <w:r w:rsidR="00B426AC">
        <w:t xml:space="preserve">regional/remote </w:t>
      </w:r>
      <w:r w:rsidR="00F16268">
        <w:t>enrolment</w:t>
      </w:r>
      <w:r w:rsidR="00F57FA2">
        <w:t xml:space="preserve"> to </w:t>
      </w:r>
      <w:r w:rsidR="006A33B7">
        <w:t>2</w:t>
      </w:r>
      <w:r w:rsidR="000C1645">
        <w:t>6,266</w:t>
      </w:r>
      <w:r w:rsidR="00F16268">
        <w:t xml:space="preserve"> in proportion </w:t>
      </w:r>
      <w:r w:rsidR="00E10BC7">
        <w:t xml:space="preserve">to </w:t>
      </w:r>
      <w:r w:rsidR="006A33B7">
        <w:t xml:space="preserve">the </w:t>
      </w:r>
      <w:r w:rsidR="00E10BC7">
        <w:t xml:space="preserve">overall increase needed to meet </w:t>
      </w:r>
      <w:r w:rsidR="00C85B99">
        <w:t xml:space="preserve">the </w:t>
      </w:r>
      <w:r w:rsidR="00E10BC7">
        <w:t>parity target</w:t>
      </w:r>
      <w:r w:rsidR="007907F6">
        <w:t xml:space="preserve"> (</w:t>
      </w:r>
      <w:r w:rsidR="007907F6">
        <w:rPr>
          <w:i/>
          <w:iCs/>
        </w:rPr>
        <w:t>Equal Effort</w:t>
      </w:r>
      <w:r w:rsidR="007907F6" w:rsidRPr="00FA4618">
        <w:t>)</w:t>
      </w:r>
      <w:r w:rsidR="006A33B7">
        <w:t>,</w:t>
      </w:r>
      <w:r w:rsidR="00C85B99">
        <w:t xml:space="preserve"> </w:t>
      </w:r>
      <w:r w:rsidR="006D2820">
        <w:t>but</w:t>
      </w:r>
      <w:r w:rsidR="006A33B7">
        <w:t xml:space="preserve"> </w:t>
      </w:r>
      <w:r w:rsidR="004E76D3">
        <w:t xml:space="preserve">under </w:t>
      </w:r>
      <w:r w:rsidR="004E76D3">
        <w:rPr>
          <w:i/>
          <w:iCs/>
        </w:rPr>
        <w:t>Divergence</w:t>
      </w:r>
      <w:r w:rsidR="00884953">
        <w:rPr>
          <w:i/>
          <w:iCs/>
        </w:rPr>
        <w:t xml:space="preserve"> </w:t>
      </w:r>
      <w:r w:rsidR="00884953">
        <w:t xml:space="preserve">it </w:t>
      </w:r>
      <w:r w:rsidR="006A33B7">
        <w:t xml:space="preserve">sees </w:t>
      </w:r>
      <w:r w:rsidR="007907F6">
        <w:t xml:space="preserve">a target for </w:t>
      </w:r>
      <w:r w:rsidR="00F57FA2">
        <w:t xml:space="preserve">enrolment </w:t>
      </w:r>
      <w:r w:rsidR="007907F6">
        <w:t>of 20,</w:t>
      </w:r>
      <w:r w:rsidR="000C1645">
        <w:t xml:space="preserve">602 </w:t>
      </w:r>
      <w:r w:rsidR="00D61684">
        <w:t>– equal to</w:t>
      </w:r>
      <w:r w:rsidR="005F4519">
        <w:t xml:space="preserve"> </w:t>
      </w:r>
      <w:r w:rsidR="00D61684">
        <w:t xml:space="preserve">its </w:t>
      </w:r>
      <w:r w:rsidR="00633A2D">
        <w:rPr>
          <w:i/>
          <w:iCs/>
        </w:rPr>
        <w:t xml:space="preserve">Business-as-Usual </w:t>
      </w:r>
      <w:r w:rsidR="00E16AD6">
        <w:t>enrolment</w:t>
      </w:r>
      <w:r w:rsidR="00F422EA">
        <w:t xml:space="preserve"> </w:t>
      </w:r>
      <w:r w:rsidR="00884953">
        <w:t>as</w:t>
      </w:r>
      <w:r w:rsidR="004923E7">
        <w:t xml:space="preserve"> its participation rate</w:t>
      </w:r>
      <w:r w:rsidR="001B230C">
        <w:t xml:space="preserve"> already</w:t>
      </w:r>
      <w:r w:rsidR="00E16AD6">
        <w:t xml:space="preserve"> ex</w:t>
      </w:r>
      <w:r w:rsidR="00C71734">
        <w:t>ceed</w:t>
      </w:r>
      <w:r w:rsidR="001B230C">
        <w:t>ed</w:t>
      </w:r>
      <w:r w:rsidR="00C71734">
        <w:t xml:space="preserve"> the national target. </w:t>
      </w:r>
      <w:r w:rsidR="00082443">
        <w:t xml:space="preserve">In contrast, the Western Australian institutions see lower regional/remote enrolments </w:t>
      </w:r>
      <w:r w:rsidR="00B87ABB">
        <w:t xml:space="preserve">under the </w:t>
      </w:r>
      <w:r w:rsidR="00B87ABB">
        <w:rPr>
          <w:i/>
          <w:iCs/>
        </w:rPr>
        <w:t xml:space="preserve">Equal Effort </w:t>
      </w:r>
      <w:r w:rsidR="00B87ABB">
        <w:t>option</w:t>
      </w:r>
      <w:r w:rsidR="0055487B">
        <w:t xml:space="preserve">, when </w:t>
      </w:r>
      <w:r w:rsidR="00BA457A">
        <w:t xml:space="preserve">compared with </w:t>
      </w:r>
      <w:r w:rsidR="0055487B">
        <w:rPr>
          <w:i/>
          <w:iCs/>
        </w:rPr>
        <w:t>Convergence</w:t>
      </w:r>
      <w:r w:rsidR="00BA457A">
        <w:t xml:space="preserve">, but </w:t>
      </w:r>
      <w:r w:rsidR="007B4E0F">
        <w:t>an increase under</w:t>
      </w:r>
      <w:r w:rsidR="00016A61">
        <w:t xml:space="preserve"> </w:t>
      </w:r>
      <w:r w:rsidR="00893AFB">
        <w:t>the</w:t>
      </w:r>
      <w:r w:rsidR="00ED0DA8">
        <w:t xml:space="preserve"> </w:t>
      </w:r>
      <w:r w:rsidR="004004DF" w:rsidRPr="008B1DE2">
        <w:rPr>
          <w:i/>
          <w:iCs/>
        </w:rPr>
        <w:t>Divergence</w:t>
      </w:r>
      <w:r w:rsidR="004B20AD">
        <w:t xml:space="preserve"> </w:t>
      </w:r>
      <w:r w:rsidR="00FC23F6">
        <w:t xml:space="preserve">option </w:t>
      </w:r>
      <w:r w:rsidR="007B4E0F">
        <w:t>where</w:t>
      </w:r>
      <w:r w:rsidR="00893AFB">
        <w:t xml:space="preserve"> institutions already above national parity,</w:t>
      </w:r>
      <w:r w:rsidR="00374310">
        <w:t xml:space="preserve"> such as the University of Tasmania, </w:t>
      </w:r>
      <w:r w:rsidR="002E5B39">
        <w:t>see no increase in</w:t>
      </w:r>
      <w:r w:rsidR="00893AFB">
        <w:t xml:space="preserve"> their</w:t>
      </w:r>
      <w:r w:rsidR="002E5B39">
        <w:t xml:space="preserve"> regional/remote participation rate</w:t>
      </w:r>
      <w:r w:rsidR="00893AFB">
        <w:t>, with</w:t>
      </w:r>
      <w:r w:rsidR="00ED0DA8">
        <w:t xml:space="preserve"> the required adjustment instead distributed to institutions operating under parity</w:t>
      </w:r>
      <w:r w:rsidR="00506E6A">
        <w:t xml:space="preserve"> in 2021.</w:t>
      </w:r>
      <w:r w:rsidR="00ED0DA8">
        <w:t xml:space="preserve"> </w:t>
      </w:r>
      <w:r w:rsidR="007E2EC5">
        <w:t xml:space="preserve"> </w:t>
      </w:r>
      <w:r w:rsidR="00082443">
        <w:t xml:space="preserve"> </w:t>
      </w:r>
    </w:p>
    <w:p w14:paraId="4E27F9B2" w14:textId="4DC55185" w:rsidR="006D26EC" w:rsidRDefault="006D26EC" w:rsidP="00B0246A">
      <w:pPr>
        <w:pStyle w:val="Heading2"/>
      </w:pPr>
      <w:r>
        <w:t xml:space="preserve">State/Territory </w:t>
      </w:r>
      <w:r w:rsidR="00A02FF2">
        <w:t>Parity</w:t>
      </w:r>
      <w:r w:rsidR="00006996">
        <w:t xml:space="preserve"> Targets</w:t>
      </w:r>
      <w:r>
        <w:t xml:space="preserve"> </w:t>
      </w:r>
    </w:p>
    <w:p w14:paraId="020C7A66" w14:textId="25D531A3" w:rsidR="00460F11" w:rsidRDefault="00CE130B" w:rsidP="000F281C">
      <w:r>
        <w:t xml:space="preserve">The State/Territory Parity Targets </w:t>
      </w:r>
      <w:r w:rsidR="00460F11">
        <w:t xml:space="preserve">assign targets to institutions </w:t>
      </w:r>
      <w:proofErr w:type="gramStart"/>
      <w:r w:rsidR="00460F11">
        <w:t>on the basis of</w:t>
      </w:r>
      <w:proofErr w:type="gramEnd"/>
      <w:r w:rsidR="00460F11">
        <w:t xml:space="preserve"> the location of their main campus.</w:t>
      </w:r>
    </w:p>
    <w:p w14:paraId="70B83188" w14:textId="1D2A4870" w:rsidR="00A02FF2" w:rsidRPr="00FA4618" w:rsidRDefault="00A02FF2" w:rsidP="007F6F36">
      <w:pPr>
        <w:pStyle w:val="Heading3"/>
      </w:pPr>
      <w:r w:rsidRPr="00FA4618">
        <w:t>State/Territory (Home institutions)</w:t>
      </w:r>
      <w:r w:rsidR="00E5525F">
        <w:t xml:space="preserve"> Parity</w:t>
      </w:r>
      <w:r w:rsidRPr="00FA4618">
        <w:t xml:space="preserve"> Targets</w:t>
      </w:r>
    </w:p>
    <w:p w14:paraId="2104D49D" w14:textId="2EFDB40C" w:rsidR="00A87304" w:rsidRDefault="00036E34" w:rsidP="000F281C">
      <w:r>
        <w:t xml:space="preserve">In the first instance, we re-analyse </w:t>
      </w:r>
      <w:r w:rsidR="00B05011">
        <w:t xml:space="preserve">the four policy </w:t>
      </w:r>
      <w:r w:rsidR="00C276CC">
        <w:t xml:space="preserve">options </w:t>
      </w:r>
      <w:r w:rsidR="00B05011">
        <w:t>u</w:t>
      </w:r>
      <w:r w:rsidR="00DB789D">
        <w:t>nder the</w:t>
      </w:r>
      <w:r w:rsidR="00B05011">
        <w:t xml:space="preserve"> </w:t>
      </w:r>
      <w:r w:rsidR="00DB789D" w:rsidRPr="00FA4618">
        <w:rPr>
          <w:i/>
          <w:iCs/>
        </w:rPr>
        <w:t>S</w:t>
      </w:r>
      <w:r w:rsidR="00B05011" w:rsidRPr="00FA4618">
        <w:rPr>
          <w:i/>
          <w:iCs/>
        </w:rPr>
        <w:t>tate</w:t>
      </w:r>
      <w:r w:rsidR="00D5572C" w:rsidRPr="00FA4618">
        <w:rPr>
          <w:i/>
          <w:iCs/>
        </w:rPr>
        <w:t>/</w:t>
      </w:r>
      <w:r w:rsidR="00DB789D" w:rsidRPr="00FA4618">
        <w:rPr>
          <w:i/>
          <w:iCs/>
        </w:rPr>
        <w:t>T</w:t>
      </w:r>
      <w:r w:rsidR="00B05011" w:rsidRPr="00FA4618">
        <w:rPr>
          <w:i/>
          <w:iCs/>
        </w:rPr>
        <w:t>erritory</w:t>
      </w:r>
      <w:r w:rsidR="00DB789D" w:rsidRPr="00FA4618">
        <w:rPr>
          <w:i/>
          <w:iCs/>
        </w:rPr>
        <w:t xml:space="preserve"> (Home Institutions)</w:t>
      </w:r>
      <w:r w:rsidR="00B05011" w:rsidRPr="00FA4618">
        <w:rPr>
          <w:i/>
          <w:iCs/>
        </w:rPr>
        <w:t xml:space="preserve"> </w:t>
      </w:r>
      <w:r w:rsidR="00B130AD">
        <w:t>targets</w:t>
      </w:r>
      <w:r w:rsidR="00DB789D">
        <w:t>, with</w:t>
      </w:r>
      <w:r w:rsidR="00B05011">
        <w:t xml:space="preserve"> total enrolment of</w:t>
      </w:r>
      <w:r w:rsidR="00D5572C">
        <w:t xml:space="preserve"> home</w:t>
      </w:r>
      <w:r w:rsidR="00B05011">
        <w:t xml:space="preserve"> </w:t>
      </w:r>
      <w:r w:rsidR="000E29F0">
        <w:t>institutions (both in their jurisdiction and in other states and territories)</w:t>
      </w:r>
      <w:r w:rsidR="005C20D1">
        <w:t xml:space="preserve">. The results of this modelling are reported in Table </w:t>
      </w:r>
      <w:r w:rsidR="00D5572C">
        <w:t>9</w:t>
      </w:r>
      <w:r w:rsidR="005C20D1">
        <w:t xml:space="preserve"> below.</w:t>
      </w:r>
      <w:r w:rsidR="00360796">
        <w:t xml:space="preserve"> </w:t>
      </w:r>
    </w:p>
    <w:p w14:paraId="18E2DFCD" w14:textId="5D24DFAB" w:rsidR="00460F11" w:rsidRDefault="00A87304" w:rsidP="000F281C">
      <w:r>
        <w:t xml:space="preserve">The initial observation about outcomes under state/territory targets is that outcomes across </w:t>
      </w:r>
      <w:r w:rsidR="00B130AD">
        <w:t xml:space="preserve">options </w:t>
      </w:r>
      <w:r>
        <w:t xml:space="preserve">do not alter dramatically in terms of the requirement to enrol equity group students. For instance, under the </w:t>
      </w:r>
      <w:r w:rsidRPr="008C52BE">
        <w:rPr>
          <w:i/>
          <w:iCs/>
        </w:rPr>
        <w:t>Convergence</w:t>
      </w:r>
      <w:r>
        <w:t xml:space="preserve"> option, the equity share of the required increase in </w:t>
      </w:r>
      <w:r>
        <w:lastRenderedPageBreak/>
        <w:t>enrolment load is around 10</w:t>
      </w:r>
      <w:r w:rsidR="00565331">
        <w:t>1</w:t>
      </w:r>
      <w:r>
        <w:t>.</w:t>
      </w:r>
      <w:r w:rsidR="00565331">
        <w:t>1</w:t>
      </w:r>
      <w:r>
        <w:t>%</w:t>
      </w:r>
      <w:r w:rsidR="00565331">
        <w:t>,</w:t>
      </w:r>
      <w:r>
        <w:t xml:space="preserve"> marginally lower than that seen at the under the </w:t>
      </w:r>
      <w:r w:rsidRPr="008C52BE">
        <w:rPr>
          <w:i/>
          <w:iCs/>
        </w:rPr>
        <w:t>National Parity Target</w:t>
      </w:r>
      <w:r>
        <w:t xml:space="preserve"> (10</w:t>
      </w:r>
      <w:r w:rsidR="005E23CD">
        <w:t>3</w:t>
      </w:r>
      <w:r>
        <w:t>.</w:t>
      </w:r>
      <w:r w:rsidR="005E23CD">
        <w:t>9</w:t>
      </w:r>
      <w:r>
        <w:t xml:space="preserve">%), with commensurately lower levels of share for the </w:t>
      </w:r>
      <w:r>
        <w:rPr>
          <w:i/>
          <w:iCs/>
        </w:rPr>
        <w:t xml:space="preserve">Equal Effort </w:t>
      </w:r>
      <w:r>
        <w:t xml:space="preserve">and </w:t>
      </w:r>
      <w:r>
        <w:rPr>
          <w:i/>
          <w:iCs/>
        </w:rPr>
        <w:t>Divergence</w:t>
      </w:r>
      <w:r>
        <w:t xml:space="preserve"> options still applying – both requiring equity students to account for </w:t>
      </w:r>
      <w:r w:rsidR="005E23CD">
        <w:t>86.0</w:t>
      </w:r>
      <w:r>
        <w:t xml:space="preserve">% of additional students. Again, these high proportions of enrolment reflect the relatively small increase in overall enrolments relative to the projected growth in equity student numbers under parity.  </w:t>
      </w:r>
      <w:r w:rsidR="007F6F36">
        <w:br/>
      </w:r>
    </w:p>
    <w:p w14:paraId="14FD020E" w14:textId="108EC740" w:rsidR="002858E9" w:rsidRDefault="002858E9" w:rsidP="006B57B5">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sidR="006C0382">
        <w:rPr>
          <w:rFonts w:cstheme="minorHAnsi"/>
          <w:b/>
          <w:bCs/>
          <w:color w:val="000000"/>
          <w:sz w:val="18"/>
          <w:szCs w:val="18"/>
          <w:lang w:eastAsia="en-AU"/>
        </w:rPr>
        <w:t>9</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Pr="00185BAE">
        <w:rPr>
          <w:rFonts w:cstheme="minorHAnsi"/>
          <w:color w:val="000000"/>
          <w:sz w:val="18"/>
          <w:szCs w:val="18"/>
          <w:lang w:eastAsia="en-AU"/>
        </w:rPr>
        <w:t xml:space="preserve">Equity Group Enrolment Projections: </w:t>
      </w:r>
      <w:r>
        <w:rPr>
          <w:rFonts w:cstheme="minorHAnsi"/>
          <w:color w:val="000000"/>
          <w:sz w:val="18"/>
          <w:szCs w:val="18"/>
          <w:lang w:eastAsia="en-AU"/>
        </w:rPr>
        <w:t xml:space="preserve">State/Territory (Home Institution) </w:t>
      </w:r>
      <w:r w:rsidRPr="00185BAE">
        <w:rPr>
          <w:rFonts w:cstheme="minorHAnsi"/>
          <w:color w:val="000000"/>
          <w:sz w:val="18"/>
          <w:szCs w:val="18"/>
          <w:lang w:eastAsia="en-AU"/>
        </w:rPr>
        <w:t xml:space="preserve">Targets Under Four </w:t>
      </w:r>
      <w:r w:rsidR="00B130AD">
        <w:rPr>
          <w:rFonts w:cstheme="minorHAnsi"/>
          <w:color w:val="000000"/>
          <w:sz w:val="18"/>
          <w:szCs w:val="18"/>
          <w:lang w:eastAsia="en-AU"/>
        </w:rPr>
        <w:t>O</w:t>
      </w:r>
      <w:r w:rsidR="00B130AD" w:rsidRPr="00B130AD">
        <w:rPr>
          <w:rFonts w:cstheme="minorHAnsi"/>
          <w:color w:val="000000"/>
          <w:sz w:val="18"/>
          <w:szCs w:val="18"/>
          <w:lang w:eastAsia="en-AU"/>
        </w:rPr>
        <w:t xml:space="preserve">ptions </w:t>
      </w:r>
      <w:r w:rsidRPr="00185BAE">
        <w:rPr>
          <w:rFonts w:cstheme="minorHAnsi"/>
          <w:color w:val="000000"/>
          <w:sz w:val="18"/>
          <w:szCs w:val="18"/>
          <w:lang w:eastAsia="en-AU"/>
        </w:rPr>
        <w:t>to 2035</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232"/>
        <w:gridCol w:w="1461"/>
        <w:gridCol w:w="1461"/>
        <w:gridCol w:w="1461"/>
        <w:gridCol w:w="1461"/>
      </w:tblGrid>
      <w:tr w:rsidR="00D20426" w:rsidRPr="009B6407" w14:paraId="7B19A966" w14:textId="77777777" w:rsidTr="00160B8E">
        <w:trPr>
          <w:trHeight w:val="534"/>
        </w:trPr>
        <w:tc>
          <w:tcPr>
            <w:tcW w:w="2542" w:type="dxa"/>
            <w:vMerge w:val="restart"/>
            <w:shd w:val="clear" w:color="auto" w:fill="auto"/>
            <w:noWrap/>
            <w:vAlign w:val="center"/>
            <w:hideMark/>
          </w:tcPr>
          <w:p w14:paraId="4FA32F70" w14:textId="77777777" w:rsidR="00D20426" w:rsidRPr="009B6407" w:rsidRDefault="00D20426" w:rsidP="00D20426">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232" w:type="dxa"/>
            <w:vMerge w:val="restart"/>
            <w:shd w:val="clear" w:color="auto" w:fill="6B3B57"/>
            <w:vAlign w:val="center"/>
            <w:hideMark/>
          </w:tcPr>
          <w:p w14:paraId="425FC7BC" w14:textId="77777777" w:rsidR="00D20426" w:rsidRPr="009B6407" w:rsidRDefault="00D20426" w:rsidP="00D20426">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461" w:type="dxa"/>
            <w:vMerge w:val="restart"/>
            <w:shd w:val="clear" w:color="auto" w:fill="6B3B57"/>
            <w:vAlign w:val="center"/>
            <w:hideMark/>
          </w:tcPr>
          <w:p w14:paraId="6F7E4E49" w14:textId="1418822A" w:rsidR="00D20426" w:rsidRPr="009B6407" w:rsidRDefault="00FF6B34"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61" w:type="dxa"/>
            <w:vMerge w:val="restart"/>
            <w:shd w:val="clear" w:color="auto" w:fill="6B3B57"/>
            <w:vAlign w:val="center"/>
            <w:hideMark/>
          </w:tcPr>
          <w:p w14:paraId="62A11B13"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5B8E424D" w14:textId="0B464147" w:rsidR="00D20426" w:rsidRPr="009B6407" w:rsidRDefault="00D20426" w:rsidP="00D20426">
            <w:pPr>
              <w:spacing w:after="0" w:line="240" w:lineRule="auto"/>
              <w:jc w:val="center"/>
              <w:rPr>
                <w:rFonts w:cs="Arial"/>
                <w:b/>
                <w:bCs/>
                <w:color w:val="FFFFFF"/>
                <w:sz w:val="18"/>
                <w:szCs w:val="18"/>
                <w:lang w:eastAsia="en-AU"/>
              </w:rPr>
            </w:pPr>
          </w:p>
        </w:tc>
        <w:tc>
          <w:tcPr>
            <w:tcW w:w="1461" w:type="dxa"/>
            <w:vMerge w:val="restart"/>
            <w:shd w:val="clear" w:color="auto" w:fill="6B3B57"/>
            <w:vAlign w:val="center"/>
            <w:hideMark/>
          </w:tcPr>
          <w:p w14:paraId="17040837"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7B926081" w14:textId="2143073A" w:rsidR="00D20426" w:rsidRPr="009B6407" w:rsidRDefault="00D20426" w:rsidP="00D20426">
            <w:pPr>
              <w:spacing w:after="0" w:line="240" w:lineRule="auto"/>
              <w:jc w:val="center"/>
              <w:rPr>
                <w:rFonts w:cs="Arial"/>
                <w:b/>
                <w:bCs/>
                <w:color w:val="FFFFFF"/>
                <w:sz w:val="18"/>
                <w:szCs w:val="18"/>
                <w:lang w:eastAsia="en-AU"/>
              </w:rPr>
            </w:pPr>
          </w:p>
        </w:tc>
        <w:tc>
          <w:tcPr>
            <w:tcW w:w="1461" w:type="dxa"/>
            <w:vMerge w:val="restart"/>
            <w:shd w:val="clear" w:color="auto" w:fill="6B3B57"/>
            <w:vAlign w:val="center"/>
            <w:hideMark/>
          </w:tcPr>
          <w:p w14:paraId="3DB72166"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398D4194" w14:textId="23790C05" w:rsidR="00D20426" w:rsidRPr="009B6407" w:rsidRDefault="00D20426" w:rsidP="00D20426">
            <w:pPr>
              <w:spacing w:after="0" w:line="240" w:lineRule="auto"/>
              <w:jc w:val="center"/>
              <w:rPr>
                <w:rFonts w:cs="Arial"/>
                <w:b/>
                <w:bCs/>
                <w:color w:val="FFFFFF"/>
                <w:sz w:val="18"/>
                <w:szCs w:val="18"/>
                <w:lang w:eastAsia="en-AU"/>
              </w:rPr>
            </w:pPr>
          </w:p>
        </w:tc>
      </w:tr>
      <w:tr w:rsidR="002F1851" w:rsidRPr="009B6407" w14:paraId="08540547" w14:textId="77777777" w:rsidTr="00160B8E">
        <w:trPr>
          <w:trHeight w:val="534"/>
        </w:trPr>
        <w:tc>
          <w:tcPr>
            <w:tcW w:w="2542" w:type="dxa"/>
            <w:vMerge/>
            <w:shd w:val="clear" w:color="auto" w:fill="auto"/>
            <w:vAlign w:val="center"/>
            <w:hideMark/>
          </w:tcPr>
          <w:p w14:paraId="228497B5" w14:textId="77777777" w:rsidR="002F1851" w:rsidRPr="009B6407" w:rsidRDefault="002F1851">
            <w:pPr>
              <w:spacing w:after="0" w:line="240" w:lineRule="auto"/>
              <w:rPr>
                <w:rFonts w:ascii="Calibri" w:hAnsi="Calibri" w:cs="Calibri"/>
                <w:color w:val="000000"/>
                <w:sz w:val="18"/>
                <w:szCs w:val="18"/>
                <w:lang w:eastAsia="en-AU"/>
              </w:rPr>
            </w:pPr>
          </w:p>
        </w:tc>
        <w:tc>
          <w:tcPr>
            <w:tcW w:w="1232" w:type="dxa"/>
            <w:vMerge/>
            <w:shd w:val="clear" w:color="auto" w:fill="6B3B57"/>
            <w:vAlign w:val="center"/>
            <w:hideMark/>
          </w:tcPr>
          <w:p w14:paraId="53BCB2B9" w14:textId="77777777" w:rsidR="002F1851" w:rsidRPr="009B6407" w:rsidRDefault="002F1851">
            <w:pPr>
              <w:spacing w:after="0" w:line="240" w:lineRule="auto"/>
              <w:rPr>
                <w:rFonts w:cs="Arial"/>
                <w:b/>
                <w:bCs/>
                <w:color w:val="FFFFFF"/>
                <w:sz w:val="18"/>
                <w:szCs w:val="18"/>
                <w:lang w:eastAsia="en-AU"/>
              </w:rPr>
            </w:pPr>
          </w:p>
        </w:tc>
        <w:tc>
          <w:tcPr>
            <w:tcW w:w="1461" w:type="dxa"/>
            <w:vMerge/>
            <w:shd w:val="clear" w:color="auto" w:fill="6B3B57"/>
            <w:vAlign w:val="center"/>
            <w:hideMark/>
          </w:tcPr>
          <w:p w14:paraId="09215759" w14:textId="77777777" w:rsidR="002F1851" w:rsidRPr="009B6407" w:rsidRDefault="002F1851">
            <w:pPr>
              <w:spacing w:after="0" w:line="240" w:lineRule="auto"/>
              <w:rPr>
                <w:rFonts w:cs="Arial"/>
                <w:b/>
                <w:bCs/>
                <w:color w:val="FFFFFF"/>
                <w:sz w:val="18"/>
                <w:szCs w:val="18"/>
                <w:lang w:eastAsia="en-AU"/>
              </w:rPr>
            </w:pPr>
          </w:p>
        </w:tc>
        <w:tc>
          <w:tcPr>
            <w:tcW w:w="1461" w:type="dxa"/>
            <w:vMerge/>
            <w:shd w:val="clear" w:color="auto" w:fill="6B3B57"/>
            <w:vAlign w:val="center"/>
            <w:hideMark/>
          </w:tcPr>
          <w:p w14:paraId="5F20B9A3" w14:textId="77777777" w:rsidR="002F1851" w:rsidRPr="009B6407" w:rsidRDefault="002F1851">
            <w:pPr>
              <w:spacing w:after="0" w:line="240" w:lineRule="auto"/>
              <w:rPr>
                <w:rFonts w:cs="Arial"/>
                <w:b/>
                <w:bCs/>
                <w:color w:val="FFFFFF"/>
                <w:sz w:val="18"/>
                <w:szCs w:val="18"/>
                <w:lang w:eastAsia="en-AU"/>
              </w:rPr>
            </w:pPr>
          </w:p>
        </w:tc>
        <w:tc>
          <w:tcPr>
            <w:tcW w:w="1461" w:type="dxa"/>
            <w:vMerge/>
            <w:shd w:val="clear" w:color="auto" w:fill="6B3B57"/>
            <w:vAlign w:val="center"/>
            <w:hideMark/>
          </w:tcPr>
          <w:p w14:paraId="057E86EC" w14:textId="77777777" w:rsidR="002F1851" w:rsidRPr="009B6407" w:rsidRDefault="002F1851">
            <w:pPr>
              <w:spacing w:after="0" w:line="240" w:lineRule="auto"/>
              <w:rPr>
                <w:rFonts w:cs="Arial"/>
                <w:b/>
                <w:bCs/>
                <w:color w:val="FFFFFF"/>
                <w:sz w:val="18"/>
                <w:szCs w:val="18"/>
                <w:lang w:eastAsia="en-AU"/>
              </w:rPr>
            </w:pPr>
          </w:p>
        </w:tc>
        <w:tc>
          <w:tcPr>
            <w:tcW w:w="1461" w:type="dxa"/>
            <w:vMerge/>
            <w:shd w:val="clear" w:color="auto" w:fill="6B3B57"/>
            <w:vAlign w:val="center"/>
            <w:hideMark/>
          </w:tcPr>
          <w:p w14:paraId="620AC401" w14:textId="77777777" w:rsidR="002F1851" w:rsidRPr="009B6407" w:rsidRDefault="002F1851">
            <w:pPr>
              <w:spacing w:after="0" w:line="240" w:lineRule="auto"/>
              <w:rPr>
                <w:rFonts w:cs="Arial"/>
                <w:b/>
                <w:bCs/>
                <w:color w:val="FFFFFF"/>
                <w:sz w:val="18"/>
                <w:szCs w:val="18"/>
                <w:lang w:eastAsia="en-AU"/>
              </w:rPr>
            </w:pPr>
          </w:p>
        </w:tc>
      </w:tr>
      <w:tr w:rsidR="00E630EA" w:rsidRPr="009B6407" w14:paraId="35723A61" w14:textId="77777777" w:rsidTr="006253C8">
        <w:trPr>
          <w:trHeight w:val="315"/>
        </w:trPr>
        <w:tc>
          <w:tcPr>
            <w:tcW w:w="2542" w:type="dxa"/>
            <w:shd w:val="clear" w:color="auto" w:fill="auto"/>
            <w:noWrap/>
            <w:vAlign w:val="center"/>
            <w:hideMark/>
          </w:tcPr>
          <w:p w14:paraId="1A5B34A2" w14:textId="77777777" w:rsidR="00E630EA" w:rsidRPr="009B6407" w:rsidRDefault="00E630EA" w:rsidP="00E630EA">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232" w:type="dxa"/>
            <w:shd w:val="clear" w:color="auto" w:fill="auto"/>
            <w:noWrap/>
            <w:vAlign w:val="center"/>
            <w:hideMark/>
          </w:tcPr>
          <w:p w14:paraId="37FEFB66" w14:textId="357D7449" w:rsidR="00E630EA" w:rsidRPr="00E630EA" w:rsidRDefault="00E630EA" w:rsidP="00E630EA">
            <w:pPr>
              <w:spacing w:after="0" w:line="240" w:lineRule="auto"/>
              <w:jc w:val="right"/>
              <w:rPr>
                <w:rFonts w:cs="Arial"/>
                <w:b/>
                <w:bCs/>
                <w:color w:val="000000"/>
                <w:sz w:val="18"/>
                <w:szCs w:val="18"/>
                <w:lang w:eastAsia="en-AU"/>
              </w:rPr>
            </w:pPr>
            <w:r w:rsidRPr="00A53346">
              <w:rPr>
                <w:rFonts w:cs="Arial"/>
                <w:b/>
                <w:color w:val="000000"/>
                <w:sz w:val="18"/>
                <w:szCs w:val="18"/>
              </w:rPr>
              <w:t>784,219</w:t>
            </w:r>
          </w:p>
        </w:tc>
        <w:tc>
          <w:tcPr>
            <w:tcW w:w="1461" w:type="dxa"/>
            <w:shd w:val="clear" w:color="auto" w:fill="auto"/>
            <w:noWrap/>
            <w:vAlign w:val="center"/>
            <w:hideMark/>
          </w:tcPr>
          <w:p w14:paraId="4BFF5C02" w14:textId="5A55B8C3" w:rsidR="00E630EA" w:rsidRPr="00E630EA" w:rsidRDefault="00A53346" w:rsidP="00E630EA">
            <w:pPr>
              <w:spacing w:after="0" w:line="240" w:lineRule="auto"/>
              <w:jc w:val="right"/>
              <w:rPr>
                <w:rFonts w:cs="Arial"/>
                <w:b/>
                <w:bCs/>
                <w:color w:val="000000"/>
                <w:sz w:val="18"/>
                <w:szCs w:val="18"/>
                <w:lang w:eastAsia="en-AU"/>
              </w:rPr>
            </w:pPr>
            <w:r w:rsidRPr="00A53346">
              <w:rPr>
                <w:rFonts w:cs="Arial"/>
                <w:b/>
                <w:bCs/>
                <w:color w:val="000000"/>
                <w:sz w:val="18"/>
                <w:szCs w:val="18"/>
              </w:rPr>
              <w:t>1,070,173</w:t>
            </w:r>
          </w:p>
        </w:tc>
        <w:tc>
          <w:tcPr>
            <w:tcW w:w="1461" w:type="dxa"/>
            <w:shd w:val="clear" w:color="auto" w:fill="auto"/>
            <w:noWrap/>
            <w:vAlign w:val="center"/>
            <w:hideMark/>
          </w:tcPr>
          <w:p w14:paraId="1E799E68" w14:textId="37BF35AF" w:rsidR="00E630EA" w:rsidRPr="00E630EA" w:rsidRDefault="00A53346" w:rsidP="00E630EA">
            <w:pPr>
              <w:spacing w:after="0" w:line="240" w:lineRule="auto"/>
              <w:jc w:val="right"/>
              <w:rPr>
                <w:rFonts w:cs="Arial"/>
                <w:b/>
                <w:bCs/>
                <w:color w:val="000000"/>
                <w:sz w:val="18"/>
                <w:szCs w:val="18"/>
                <w:lang w:eastAsia="en-AU"/>
              </w:rPr>
            </w:pPr>
            <w:r w:rsidRPr="00A53346">
              <w:rPr>
                <w:rFonts w:cs="Arial"/>
                <w:b/>
                <w:bCs/>
                <w:color w:val="000000"/>
                <w:sz w:val="18"/>
                <w:szCs w:val="18"/>
              </w:rPr>
              <w:t>1,070,173</w:t>
            </w:r>
          </w:p>
        </w:tc>
        <w:tc>
          <w:tcPr>
            <w:tcW w:w="1461" w:type="dxa"/>
            <w:shd w:val="clear" w:color="auto" w:fill="auto"/>
            <w:noWrap/>
            <w:vAlign w:val="center"/>
            <w:hideMark/>
          </w:tcPr>
          <w:p w14:paraId="3ABEC1EA" w14:textId="3DAA6BF8" w:rsidR="00E630EA" w:rsidRPr="00E630EA" w:rsidRDefault="00A53346" w:rsidP="00E630EA">
            <w:pPr>
              <w:spacing w:after="0" w:line="240" w:lineRule="auto"/>
              <w:jc w:val="right"/>
              <w:rPr>
                <w:rFonts w:cs="Arial"/>
                <w:b/>
                <w:bCs/>
                <w:color w:val="000000"/>
                <w:sz w:val="18"/>
                <w:szCs w:val="18"/>
                <w:lang w:eastAsia="en-AU"/>
              </w:rPr>
            </w:pPr>
            <w:r w:rsidRPr="00A53346">
              <w:rPr>
                <w:rFonts w:cs="Arial"/>
                <w:b/>
                <w:bCs/>
                <w:color w:val="000000"/>
                <w:sz w:val="18"/>
                <w:szCs w:val="18"/>
              </w:rPr>
              <w:t>1,070,173</w:t>
            </w:r>
          </w:p>
        </w:tc>
        <w:tc>
          <w:tcPr>
            <w:tcW w:w="1461" w:type="dxa"/>
            <w:shd w:val="clear" w:color="auto" w:fill="auto"/>
            <w:noWrap/>
            <w:vAlign w:val="center"/>
            <w:hideMark/>
          </w:tcPr>
          <w:p w14:paraId="43220872" w14:textId="764AC2A5" w:rsidR="00E630EA" w:rsidRPr="00E630EA" w:rsidRDefault="00A53346" w:rsidP="00E630EA">
            <w:pPr>
              <w:spacing w:after="0" w:line="240" w:lineRule="auto"/>
              <w:jc w:val="right"/>
              <w:rPr>
                <w:rFonts w:cs="Arial"/>
                <w:b/>
                <w:bCs/>
                <w:color w:val="000000"/>
                <w:sz w:val="18"/>
                <w:szCs w:val="18"/>
                <w:lang w:eastAsia="en-AU"/>
              </w:rPr>
            </w:pPr>
            <w:r w:rsidRPr="00A53346">
              <w:rPr>
                <w:rFonts w:cs="Arial"/>
                <w:b/>
                <w:bCs/>
                <w:color w:val="000000"/>
                <w:sz w:val="18"/>
                <w:szCs w:val="18"/>
              </w:rPr>
              <w:t>1,070,173</w:t>
            </w:r>
          </w:p>
        </w:tc>
      </w:tr>
      <w:tr w:rsidR="00E630EA" w:rsidRPr="009B6407" w14:paraId="7CE488CB" w14:textId="77777777" w:rsidTr="006253C8">
        <w:trPr>
          <w:trHeight w:val="315"/>
        </w:trPr>
        <w:tc>
          <w:tcPr>
            <w:tcW w:w="2542" w:type="dxa"/>
            <w:shd w:val="clear" w:color="auto" w:fill="auto"/>
            <w:noWrap/>
            <w:vAlign w:val="center"/>
            <w:hideMark/>
          </w:tcPr>
          <w:p w14:paraId="7A366C75" w14:textId="77777777" w:rsidR="00E630EA" w:rsidRPr="009B6407" w:rsidRDefault="00E630EA" w:rsidP="00E630EA">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232" w:type="dxa"/>
            <w:shd w:val="clear" w:color="auto" w:fill="auto"/>
            <w:noWrap/>
            <w:vAlign w:val="center"/>
            <w:hideMark/>
          </w:tcPr>
          <w:p w14:paraId="14EBC0D0" w14:textId="4BEFD0E0"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133,901</w:t>
            </w:r>
          </w:p>
        </w:tc>
        <w:tc>
          <w:tcPr>
            <w:tcW w:w="1461" w:type="dxa"/>
            <w:shd w:val="clear" w:color="auto" w:fill="auto"/>
            <w:noWrap/>
            <w:vAlign w:val="center"/>
            <w:hideMark/>
          </w:tcPr>
          <w:p w14:paraId="3350AC3A" w14:textId="0C916C4D"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182,726</w:t>
            </w:r>
          </w:p>
        </w:tc>
        <w:tc>
          <w:tcPr>
            <w:tcW w:w="1461" w:type="dxa"/>
            <w:shd w:val="clear" w:color="auto" w:fill="auto"/>
            <w:noWrap/>
            <w:vAlign w:val="center"/>
            <w:hideMark/>
          </w:tcPr>
          <w:p w14:paraId="38EBFD8B" w14:textId="2DE6D078"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261,507</w:t>
            </w:r>
          </w:p>
        </w:tc>
        <w:tc>
          <w:tcPr>
            <w:tcW w:w="1461" w:type="dxa"/>
            <w:shd w:val="clear" w:color="auto" w:fill="auto"/>
            <w:noWrap/>
            <w:vAlign w:val="center"/>
            <w:hideMark/>
          </w:tcPr>
          <w:p w14:paraId="506A9A7B" w14:textId="026AC3B2"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252,955</w:t>
            </w:r>
          </w:p>
        </w:tc>
        <w:tc>
          <w:tcPr>
            <w:tcW w:w="1461" w:type="dxa"/>
            <w:shd w:val="clear" w:color="auto" w:fill="auto"/>
            <w:noWrap/>
            <w:vAlign w:val="center"/>
            <w:hideMark/>
          </w:tcPr>
          <w:p w14:paraId="24B54A7C" w14:textId="58D72617"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252,955</w:t>
            </w:r>
          </w:p>
        </w:tc>
      </w:tr>
      <w:tr w:rsidR="00E630EA" w:rsidRPr="009B6407" w14:paraId="17355C35" w14:textId="77777777" w:rsidTr="006253C8">
        <w:trPr>
          <w:trHeight w:val="315"/>
        </w:trPr>
        <w:tc>
          <w:tcPr>
            <w:tcW w:w="2542" w:type="dxa"/>
            <w:shd w:val="clear" w:color="auto" w:fill="auto"/>
            <w:noWrap/>
            <w:vAlign w:val="center"/>
            <w:hideMark/>
          </w:tcPr>
          <w:p w14:paraId="6660CB68" w14:textId="77777777" w:rsidR="00E630EA" w:rsidRPr="009B6407" w:rsidRDefault="00E630EA" w:rsidP="00E630EA">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232" w:type="dxa"/>
            <w:shd w:val="clear" w:color="auto" w:fill="auto"/>
            <w:noWrap/>
            <w:vAlign w:val="center"/>
            <w:hideMark/>
          </w:tcPr>
          <w:p w14:paraId="2A6831C5" w14:textId="19B8499A"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160,542</w:t>
            </w:r>
          </w:p>
        </w:tc>
        <w:tc>
          <w:tcPr>
            <w:tcW w:w="1461" w:type="dxa"/>
            <w:shd w:val="clear" w:color="auto" w:fill="auto"/>
            <w:noWrap/>
            <w:vAlign w:val="center"/>
            <w:hideMark/>
          </w:tcPr>
          <w:p w14:paraId="7A4A1600" w14:textId="1B2830DA"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219,081</w:t>
            </w:r>
          </w:p>
        </w:tc>
        <w:tc>
          <w:tcPr>
            <w:tcW w:w="1461" w:type="dxa"/>
            <w:shd w:val="clear" w:color="auto" w:fill="auto"/>
            <w:noWrap/>
            <w:vAlign w:val="center"/>
            <w:hideMark/>
          </w:tcPr>
          <w:p w14:paraId="073AEA20" w14:textId="7A451814"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338,812</w:t>
            </w:r>
          </w:p>
        </w:tc>
        <w:tc>
          <w:tcPr>
            <w:tcW w:w="1461" w:type="dxa"/>
            <w:shd w:val="clear" w:color="auto" w:fill="auto"/>
            <w:noWrap/>
            <w:vAlign w:val="center"/>
            <w:hideMark/>
          </w:tcPr>
          <w:p w14:paraId="7A34854B" w14:textId="6715D7EB"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298,929</w:t>
            </w:r>
          </w:p>
        </w:tc>
        <w:tc>
          <w:tcPr>
            <w:tcW w:w="1461" w:type="dxa"/>
            <w:shd w:val="clear" w:color="auto" w:fill="auto"/>
            <w:noWrap/>
            <w:vAlign w:val="center"/>
            <w:hideMark/>
          </w:tcPr>
          <w:p w14:paraId="4BEA8CE0" w14:textId="422772FE" w:rsidR="00E630EA" w:rsidRPr="00E630EA" w:rsidRDefault="00753968" w:rsidP="00E630EA">
            <w:pPr>
              <w:spacing w:after="0" w:line="240" w:lineRule="auto"/>
              <w:jc w:val="right"/>
              <w:rPr>
                <w:rFonts w:cs="Arial"/>
                <w:color w:val="000000"/>
                <w:sz w:val="18"/>
                <w:szCs w:val="18"/>
                <w:lang w:eastAsia="en-AU"/>
              </w:rPr>
            </w:pPr>
            <w:r w:rsidRPr="008B1DE2">
              <w:rPr>
                <w:rFonts w:cs="Arial"/>
                <w:color w:val="000000"/>
                <w:sz w:val="18"/>
                <w:szCs w:val="18"/>
              </w:rPr>
              <w:t>298,929</w:t>
            </w:r>
          </w:p>
        </w:tc>
      </w:tr>
      <w:tr w:rsidR="00E630EA" w:rsidRPr="009B6407" w14:paraId="4A22EE27" w14:textId="77777777" w:rsidTr="006253C8">
        <w:trPr>
          <w:trHeight w:val="315"/>
        </w:trPr>
        <w:tc>
          <w:tcPr>
            <w:tcW w:w="2542" w:type="dxa"/>
            <w:shd w:val="clear" w:color="auto" w:fill="auto"/>
            <w:noWrap/>
            <w:vAlign w:val="center"/>
            <w:hideMark/>
          </w:tcPr>
          <w:p w14:paraId="751F1B5E" w14:textId="77777777" w:rsidR="00E630EA" w:rsidRPr="009B6407" w:rsidRDefault="00E630EA" w:rsidP="00E630EA">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232" w:type="dxa"/>
            <w:shd w:val="clear" w:color="auto" w:fill="auto"/>
            <w:noWrap/>
            <w:vAlign w:val="center"/>
            <w:hideMark/>
          </w:tcPr>
          <w:p w14:paraId="4569E39C" w14:textId="37F06B63" w:rsidR="00E630EA" w:rsidRPr="00E630EA" w:rsidRDefault="00E630EA" w:rsidP="00E630EA">
            <w:pPr>
              <w:spacing w:after="0" w:line="240" w:lineRule="auto"/>
              <w:jc w:val="right"/>
              <w:rPr>
                <w:rFonts w:cs="Arial"/>
                <w:color w:val="000000"/>
                <w:sz w:val="18"/>
                <w:szCs w:val="18"/>
                <w:lang w:eastAsia="en-AU"/>
              </w:rPr>
            </w:pPr>
            <w:r w:rsidRPr="00A53346">
              <w:rPr>
                <w:rFonts w:cs="Arial"/>
                <w:color w:val="000000"/>
                <w:sz w:val="18"/>
                <w:szCs w:val="18"/>
              </w:rPr>
              <w:t>16,383</w:t>
            </w:r>
          </w:p>
        </w:tc>
        <w:tc>
          <w:tcPr>
            <w:tcW w:w="1461" w:type="dxa"/>
            <w:shd w:val="clear" w:color="auto" w:fill="auto"/>
            <w:noWrap/>
            <w:vAlign w:val="center"/>
            <w:hideMark/>
          </w:tcPr>
          <w:p w14:paraId="0A4DAA79" w14:textId="75BED4E4"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22,357</w:t>
            </w:r>
          </w:p>
        </w:tc>
        <w:tc>
          <w:tcPr>
            <w:tcW w:w="1461" w:type="dxa"/>
            <w:shd w:val="clear" w:color="auto" w:fill="auto"/>
            <w:noWrap/>
            <w:vAlign w:val="center"/>
            <w:hideMark/>
          </w:tcPr>
          <w:p w14:paraId="60918C6B" w14:textId="7B80E7F2"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42,017</w:t>
            </w:r>
          </w:p>
        </w:tc>
        <w:tc>
          <w:tcPr>
            <w:tcW w:w="1461" w:type="dxa"/>
            <w:shd w:val="clear" w:color="auto" w:fill="auto"/>
            <w:noWrap/>
            <w:vAlign w:val="center"/>
            <w:hideMark/>
          </w:tcPr>
          <w:p w14:paraId="4AC4C202" w14:textId="461D5719"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40,423</w:t>
            </w:r>
          </w:p>
        </w:tc>
        <w:tc>
          <w:tcPr>
            <w:tcW w:w="1461" w:type="dxa"/>
            <w:shd w:val="clear" w:color="auto" w:fill="auto"/>
            <w:noWrap/>
            <w:vAlign w:val="center"/>
            <w:hideMark/>
          </w:tcPr>
          <w:p w14:paraId="79539818" w14:textId="073F4892"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40,423</w:t>
            </w:r>
          </w:p>
        </w:tc>
      </w:tr>
      <w:tr w:rsidR="00E630EA" w:rsidRPr="009B6407" w14:paraId="4924656A" w14:textId="77777777" w:rsidTr="006253C8">
        <w:trPr>
          <w:trHeight w:val="315"/>
        </w:trPr>
        <w:tc>
          <w:tcPr>
            <w:tcW w:w="2542" w:type="dxa"/>
            <w:shd w:val="clear" w:color="auto" w:fill="auto"/>
            <w:noWrap/>
            <w:vAlign w:val="center"/>
            <w:hideMark/>
          </w:tcPr>
          <w:p w14:paraId="39171F64" w14:textId="77777777" w:rsidR="00E630EA" w:rsidRPr="009B6407" w:rsidRDefault="00E630EA" w:rsidP="00E630EA">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232" w:type="dxa"/>
            <w:shd w:val="clear" w:color="auto" w:fill="auto"/>
            <w:noWrap/>
            <w:vAlign w:val="center"/>
            <w:hideMark/>
          </w:tcPr>
          <w:p w14:paraId="471C1545" w14:textId="74682BBC" w:rsidR="00E630EA" w:rsidRPr="00E630EA" w:rsidRDefault="00E630EA" w:rsidP="00E630EA">
            <w:pPr>
              <w:spacing w:after="0" w:line="240" w:lineRule="auto"/>
              <w:jc w:val="right"/>
              <w:rPr>
                <w:rFonts w:cs="Arial"/>
                <w:color w:val="000000"/>
                <w:sz w:val="18"/>
                <w:szCs w:val="18"/>
                <w:lang w:eastAsia="en-AU"/>
              </w:rPr>
            </w:pPr>
            <w:r w:rsidRPr="00A53346">
              <w:rPr>
                <w:rFonts w:cs="Arial"/>
                <w:color w:val="000000"/>
                <w:sz w:val="18"/>
                <w:szCs w:val="18"/>
              </w:rPr>
              <w:t>80,769</w:t>
            </w:r>
          </w:p>
        </w:tc>
        <w:tc>
          <w:tcPr>
            <w:tcW w:w="1461" w:type="dxa"/>
            <w:shd w:val="clear" w:color="auto" w:fill="auto"/>
            <w:noWrap/>
            <w:vAlign w:val="center"/>
            <w:hideMark/>
          </w:tcPr>
          <w:p w14:paraId="1B68DF05" w14:textId="21069DAF"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110,220</w:t>
            </w:r>
          </w:p>
        </w:tc>
        <w:tc>
          <w:tcPr>
            <w:tcW w:w="1461" w:type="dxa"/>
            <w:shd w:val="clear" w:color="auto" w:fill="auto"/>
            <w:noWrap/>
            <w:vAlign w:val="center"/>
            <w:hideMark/>
          </w:tcPr>
          <w:p w14:paraId="21408C53" w14:textId="344CCD72"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115,079</w:t>
            </w:r>
          </w:p>
        </w:tc>
        <w:tc>
          <w:tcPr>
            <w:tcW w:w="1461" w:type="dxa"/>
            <w:shd w:val="clear" w:color="auto" w:fill="auto"/>
            <w:noWrap/>
            <w:vAlign w:val="center"/>
            <w:hideMark/>
          </w:tcPr>
          <w:p w14:paraId="445406E5" w14:textId="1AB4F2B4"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110,482</w:t>
            </w:r>
          </w:p>
        </w:tc>
        <w:tc>
          <w:tcPr>
            <w:tcW w:w="1461" w:type="dxa"/>
            <w:shd w:val="clear" w:color="auto" w:fill="auto"/>
            <w:noWrap/>
            <w:vAlign w:val="center"/>
            <w:hideMark/>
          </w:tcPr>
          <w:p w14:paraId="6699689D" w14:textId="7D3CAD62"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110,482</w:t>
            </w:r>
          </w:p>
        </w:tc>
      </w:tr>
      <w:tr w:rsidR="00E630EA" w:rsidRPr="009B6407" w14:paraId="6F83B865" w14:textId="77777777" w:rsidTr="00160B8E">
        <w:trPr>
          <w:trHeight w:val="315"/>
        </w:trPr>
        <w:tc>
          <w:tcPr>
            <w:tcW w:w="2542" w:type="dxa"/>
            <w:shd w:val="clear" w:color="auto" w:fill="EFE2E7" w:themeFill="text1" w:themeFillTint="1A"/>
            <w:noWrap/>
            <w:vAlign w:val="center"/>
            <w:hideMark/>
          </w:tcPr>
          <w:p w14:paraId="145362EF" w14:textId="0E77E409" w:rsidR="00E630EA" w:rsidRPr="00990116" w:rsidRDefault="00E630EA" w:rsidP="00E630EA">
            <w:pPr>
              <w:spacing w:after="0" w:line="240" w:lineRule="auto"/>
              <w:rPr>
                <w:rFonts w:cs="Arial"/>
                <w:b/>
                <w:bCs/>
                <w:i/>
                <w:iCs/>
                <w:color w:val="000000"/>
                <w:sz w:val="18"/>
                <w:szCs w:val="18"/>
                <w:lang w:eastAsia="en-AU"/>
              </w:rPr>
            </w:pPr>
            <w:r w:rsidRPr="00990116">
              <w:rPr>
                <w:rFonts w:cs="Arial"/>
                <w:b/>
                <w:bCs/>
                <w:i/>
                <w:iCs/>
                <w:color w:val="000000"/>
                <w:sz w:val="18"/>
                <w:szCs w:val="18"/>
                <w:lang w:eastAsia="en-AU"/>
              </w:rPr>
              <w:t>Equity Group</w:t>
            </w:r>
          </w:p>
        </w:tc>
        <w:tc>
          <w:tcPr>
            <w:tcW w:w="1232" w:type="dxa"/>
            <w:shd w:val="clear" w:color="auto" w:fill="EFE2E7" w:themeFill="text1" w:themeFillTint="1A"/>
            <w:noWrap/>
            <w:vAlign w:val="center"/>
            <w:hideMark/>
          </w:tcPr>
          <w:p w14:paraId="5E0732FB" w14:textId="5FD2848F" w:rsidR="00E630EA" w:rsidRPr="00990116" w:rsidRDefault="00644374" w:rsidP="00E630EA">
            <w:pPr>
              <w:spacing w:after="0" w:line="240" w:lineRule="auto"/>
              <w:jc w:val="right"/>
              <w:rPr>
                <w:rFonts w:cs="Arial"/>
                <w:b/>
                <w:bCs/>
                <w:color w:val="000000"/>
                <w:sz w:val="18"/>
                <w:szCs w:val="18"/>
                <w:lang w:eastAsia="en-AU"/>
              </w:rPr>
            </w:pPr>
            <w:r w:rsidRPr="00990116">
              <w:rPr>
                <w:b/>
                <w:bCs/>
                <w:sz w:val="18"/>
                <w:szCs w:val="18"/>
              </w:rPr>
              <w:t>309,360</w:t>
            </w:r>
          </w:p>
        </w:tc>
        <w:tc>
          <w:tcPr>
            <w:tcW w:w="1461" w:type="dxa"/>
            <w:shd w:val="clear" w:color="auto" w:fill="EFE2E7" w:themeFill="text1" w:themeFillTint="1A"/>
            <w:noWrap/>
            <w:vAlign w:val="center"/>
            <w:hideMark/>
          </w:tcPr>
          <w:p w14:paraId="553B9DF3" w14:textId="7F79FBAC" w:rsidR="00E630EA" w:rsidRPr="00990116" w:rsidRDefault="00644374" w:rsidP="00E630EA">
            <w:pPr>
              <w:spacing w:after="0" w:line="240" w:lineRule="auto"/>
              <w:jc w:val="right"/>
              <w:rPr>
                <w:rFonts w:cs="Arial"/>
                <w:b/>
                <w:bCs/>
                <w:color w:val="000000"/>
                <w:sz w:val="18"/>
                <w:szCs w:val="18"/>
                <w:lang w:eastAsia="en-AU"/>
              </w:rPr>
            </w:pPr>
            <w:r w:rsidRPr="00990116">
              <w:rPr>
                <w:b/>
                <w:bCs/>
                <w:sz w:val="18"/>
                <w:szCs w:val="18"/>
              </w:rPr>
              <w:t>422,164</w:t>
            </w:r>
          </w:p>
        </w:tc>
        <w:tc>
          <w:tcPr>
            <w:tcW w:w="1461" w:type="dxa"/>
            <w:shd w:val="clear" w:color="auto" w:fill="EFE2E7" w:themeFill="text1" w:themeFillTint="1A"/>
            <w:noWrap/>
            <w:vAlign w:val="center"/>
            <w:hideMark/>
          </w:tcPr>
          <w:p w14:paraId="6B275A27" w14:textId="7FADE588" w:rsidR="00E630EA" w:rsidRPr="00990116" w:rsidRDefault="00644374" w:rsidP="00E630EA">
            <w:pPr>
              <w:spacing w:after="0" w:line="240" w:lineRule="auto"/>
              <w:jc w:val="right"/>
              <w:rPr>
                <w:rFonts w:cs="Arial"/>
                <w:b/>
                <w:bCs/>
                <w:color w:val="000000"/>
                <w:sz w:val="18"/>
                <w:szCs w:val="18"/>
                <w:lang w:eastAsia="en-AU"/>
              </w:rPr>
            </w:pPr>
            <w:r w:rsidRPr="00990116">
              <w:rPr>
                <w:b/>
                <w:bCs/>
                <w:sz w:val="18"/>
                <w:szCs w:val="18"/>
              </w:rPr>
              <w:t>598,358</w:t>
            </w:r>
          </w:p>
        </w:tc>
        <w:tc>
          <w:tcPr>
            <w:tcW w:w="1461" w:type="dxa"/>
            <w:shd w:val="clear" w:color="auto" w:fill="EFE2E7" w:themeFill="text1" w:themeFillTint="1A"/>
            <w:noWrap/>
            <w:vAlign w:val="center"/>
            <w:hideMark/>
          </w:tcPr>
          <w:p w14:paraId="5FBA7311" w14:textId="4A35BBC9" w:rsidR="00E630EA" w:rsidRPr="00990116" w:rsidRDefault="00644374" w:rsidP="00E630EA">
            <w:pPr>
              <w:spacing w:after="0" w:line="240" w:lineRule="auto"/>
              <w:jc w:val="right"/>
              <w:rPr>
                <w:rFonts w:cs="Arial"/>
                <w:b/>
                <w:bCs/>
                <w:color w:val="000000"/>
                <w:sz w:val="18"/>
                <w:szCs w:val="18"/>
                <w:lang w:eastAsia="en-AU"/>
              </w:rPr>
            </w:pPr>
            <w:r w:rsidRPr="00990116">
              <w:rPr>
                <w:b/>
                <w:bCs/>
                <w:sz w:val="18"/>
                <w:szCs w:val="18"/>
              </w:rPr>
              <w:t>555,203</w:t>
            </w:r>
          </w:p>
        </w:tc>
        <w:tc>
          <w:tcPr>
            <w:tcW w:w="1461" w:type="dxa"/>
            <w:shd w:val="clear" w:color="auto" w:fill="EFE2E7" w:themeFill="text1" w:themeFillTint="1A"/>
            <w:noWrap/>
            <w:vAlign w:val="center"/>
            <w:hideMark/>
          </w:tcPr>
          <w:p w14:paraId="0EDD3868" w14:textId="3A43F587" w:rsidR="00E630EA" w:rsidRPr="00990116" w:rsidRDefault="00644374" w:rsidP="00E630EA">
            <w:pPr>
              <w:spacing w:after="0" w:line="240" w:lineRule="auto"/>
              <w:jc w:val="right"/>
              <w:rPr>
                <w:rFonts w:cs="Arial"/>
                <w:b/>
                <w:bCs/>
                <w:color w:val="000000"/>
                <w:sz w:val="18"/>
                <w:szCs w:val="18"/>
                <w:lang w:eastAsia="en-AU"/>
              </w:rPr>
            </w:pPr>
            <w:r w:rsidRPr="00990116">
              <w:rPr>
                <w:b/>
                <w:bCs/>
                <w:sz w:val="18"/>
                <w:szCs w:val="18"/>
              </w:rPr>
              <w:t>555,203</w:t>
            </w:r>
          </w:p>
        </w:tc>
      </w:tr>
      <w:tr w:rsidR="00E630EA" w:rsidRPr="009B6407" w14:paraId="43F26690" w14:textId="77777777" w:rsidTr="006253C8">
        <w:trPr>
          <w:trHeight w:val="315"/>
        </w:trPr>
        <w:tc>
          <w:tcPr>
            <w:tcW w:w="2542" w:type="dxa"/>
            <w:shd w:val="clear" w:color="000000" w:fill="FFFFFF"/>
            <w:noWrap/>
            <w:vAlign w:val="center"/>
            <w:hideMark/>
          </w:tcPr>
          <w:p w14:paraId="2B45DB80" w14:textId="77777777" w:rsidR="00E630EA" w:rsidRPr="009B6407" w:rsidRDefault="00E630EA" w:rsidP="00E630EA">
            <w:pPr>
              <w:spacing w:after="0" w:line="240" w:lineRule="auto"/>
              <w:rPr>
                <w:rFonts w:cs="Arial"/>
                <w:i/>
                <w:iCs/>
                <w:color w:val="000000"/>
                <w:sz w:val="18"/>
                <w:szCs w:val="18"/>
                <w:lang w:eastAsia="en-AU"/>
              </w:rPr>
            </w:pPr>
            <w:r w:rsidRPr="009B6407">
              <w:rPr>
                <w:rFonts w:cs="Arial"/>
                <w:i/>
                <w:iCs/>
                <w:color w:val="000000"/>
                <w:sz w:val="18"/>
                <w:szCs w:val="18"/>
                <w:lang w:eastAsia="en-AU"/>
              </w:rPr>
              <w:t> </w:t>
            </w:r>
          </w:p>
        </w:tc>
        <w:tc>
          <w:tcPr>
            <w:tcW w:w="1232" w:type="dxa"/>
            <w:shd w:val="clear" w:color="000000" w:fill="FFFFFF"/>
            <w:noWrap/>
            <w:vAlign w:val="center"/>
            <w:hideMark/>
          </w:tcPr>
          <w:p w14:paraId="32028B0D" w14:textId="600AA143"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 </w:t>
            </w:r>
          </w:p>
        </w:tc>
        <w:tc>
          <w:tcPr>
            <w:tcW w:w="1461" w:type="dxa"/>
            <w:shd w:val="clear" w:color="000000" w:fill="FFFFFF"/>
            <w:noWrap/>
            <w:vAlign w:val="center"/>
            <w:hideMark/>
          </w:tcPr>
          <w:p w14:paraId="269D4B7D" w14:textId="12D961DB"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 </w:t>
            </w:r>
          </w:p>
        </w:tc>
        <w:tc>
          <w:tcPr>
            <w:tcW w:w="1461" w:type="dxa"/>
            <w:shd w:val="clear" w:color="000000" w:fill="FFFFFF"/>
            <w:noWrap/>
            <w:vAlign w:val="center"/>
            <w:hideMark/>
          </w:tcPr>
          <w:p w14:paraId="7B65C51C" w14:textId="388BD238"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 </w:t>
            </w:r>
          </w:p>
        </w:tc>
        <w:tc>
          <w:tcPr>
            <w:tcW w:w="1461" w:type="dxa"/>
            <w:shd w:val="clear" w:color="000000" w:fill="FFFFFF"/>
            <w:noWrap/>
            <w:vAlign w:val="center"/>
            <w:hideMark/>
          </w:tcPr>
          <w:p w14:paraId="0A47C70D" w14:textId="670C8901"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 </w:t>
            </w:r>
          </w:p>
        </w:tc>
        <w:tc>
          <w:tcPr>
            <w:tcW w:w="1461" w:type="dxa"/>
            <w:shd w:val="clear" w:color="000000" w:fill="FFFFFF"/>
            <w:noWrap/>
            <w:vAlign w:val="center"/>
            <w:hideMark/>
          </w:tcPr>
          <w:p w14:paraId="7EABE535" w14:textId="66F0E352"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 </w:t>
            </w:r>
          </w:p>
        </w:tc>
      </w:tr>
      <w:tr w:rsidR="00E630EA" w:rsidRPr="009B6407" w14:paraId="6306CC5E" w14:textId="77777777" w:rsidTr="006253C8">
        <w:trPr>
          <w:trHeight w:val="315"/>
        </w:trPr>
        <w:tc>
          <w:tcPr>
            <w:tcW w:w="2542" w:type="dxa"/>
            <w:shd w:val="clear" w:color="auto" w:fill="auto"/>
            <w:noWrap/>
            <w:vAlign w:val="center"/>
            <w:hideMark/>
          </w:tcPr>
          <w:p w14:paraId="455568E5" w14:textId="77777777" w:rsidR="00E630EA" w:rsidRPr="009B6407" w:rsidRDefault="00E630EA" w:rsidP="00E630EA">
            <w:pPr>
              <w:spacing w:after="0" w:line="240" w:lineRule="auto"/>
              <w:rPr>
                <w:rFonts w:cs="Arial"/>
                <w:i/>
                <w:iCs/>
                <w:color w:val="000000"/>
                <w:sz w:val="18"/>
                <w:szCs w:val="18"/>
                <w:lang w:eastAsia="en-AU"/>
              </w:rPr>
            </w:pPr>
            <w:r w:rsidRPr="009B6407">
              <w:rPr>
                <w:rFonts w:cs="Arial"/>
                <w:i/>
                <w:iCs/>
                <w:color w:val="000000"/>
                <w:sz w:val="18"/>
                <w:szCs w:val="18"/>
                <w:lang w:eastAsia="en-AU"/>
              </w:rPr>
              <w:t>Equity Share</w:t>
            </w:r>
            <w:r w:rsidRPr="003E37A9">
              <w:rPr>
                <w:rFonts w:cs="Arial"/>
                <w:i/>
                <w:iCs/>
                <w:color w:val="000000"/>
                <w:sz w:val="18"/>
                <w:szCs w:val="18"/>
                <w:lang w:eastAsia="en-AU"/>
              </w:rPr>
              <w:t xml:space="preserve"> of Growth</w:t>
            </w:r>
            <w:r w:rsidRPr="009B6407">
              <w:rPr>
                <w:rFonts w:cs="Arial"/>
                <w:i/>
                <w:iCs/>
                <w:color w:val="000000"/>
                <w:sz w:val="18"/>
                <w:szCs w:val="18"/>
                <w:lang w:eastAsia="en-AU"/>
              </w:rPr>
              <w:t xml:space="preserve"> (%)</w:t>
            </w:r>
          </w:p>
        </w:tc>
        <w:tc>
          <w:tcPr>
            <w:tcW w:w="1232" w:type="dxa"/>
            <w:shd w:val="clear" w:color="auto" w:fill="auto"/>
            <w:noWrap/>
            <w:vAlign w:val="center"/>
            <w:hideMark/>
          </w:tcPr>
          <w:p w14:paraId="78A5F713" w14:textId="424DB993" w:rsidR="00E630EA" w:rsidRPr="00E630EA" w:rsidRDefault="00A53346" w:rsidP="00E630EA">
            <w:pPr>
              <w:spacing w:after="0" w:line="240" w:lineRule="auto"/>
              <w:jc w:val="right"/>
              <w:rPr>
                <w:rFonts w:cs="Arial"/>
                <w:color w:val="000000"/>
                <w:sz w:val="18"/>
                <w:szCs w:val="18"/>
                <w:lang w:eastAsia="en-AU"/>
              </w:rPr>
            </w:pPr>
            <w:r w:rsidRPr="00A53346">
              <w:rPr>
                <w:rFonts w:cs="Arial"/>
                <w:color w:val="000000"/>
                <w:sz w:val="18"/>
                <w:szCs w:val="18"/>
              </w:rPr>
              <w:t> </w:t>
            </w:r>
          </w:p>
        </w:tc>
        <w:tc>
          <w:tcPr>
            <w:tcW w:w="1461" w:type="dxa"/>
            <w:shd w:val="clear" w:color="auto" w:fill="auto"/>
            <w:noWrap/>
            <w:vAlign w:val="center"/>
            <w:hideMark/>
          </w:tcPr>
          <w:p w14:paraId="12048499" w14:textId="1E17C8E7" w:rsidR="00E630EA" w:rsidRPr="00E630EA" w:rsidRDefault="00E90D8E" w:rsidP="00E630EA">
            <w:pPr>
              <w:spacing w:after="0" w:line="240" w:lineRule="auto"/>
              <w:jc w:val="right"/>
              <w:rPr>
                <w:rFonts w:cs="Arial"/>
                <w:color w:val="000000"/>
                <w:sz w:val="18"/>
                <w:szCs w:val="18"/>
                <w:lang w:eastAsia="en-AU"/>
              </w:rPr>
            </w:pPr>
            <w:r w:rsidRPr="008B1DE2">
              <w:rPr>
                <w:sz w:val="18"/>
                <w:szCs w:val="18"/>
              </w:rPr>
              <w:t>39.4</w:t>
            </w:r>
          </w:p>
        </w:tc>
        <w:tc>
          <w:tcPr>
            <w:tcW w:w="1461" w:type="dxa"/>
            <w:shd w:val="clear" w:color="auto" w:fill="auto"/>
            <w:noWrap/>
            <w:vAlign w:val="center"/>
            <w:hideMark/>
          </w:tcPr>
          <w:p w14:paraId="525F9C40" w14:textId="4BF29349" w:rsidR="00E630EA" w:rsidRPr="00E630EA" w:rsidRDefault="00E90D8E" w:rsidP="00E630EA">
            <w:pPr>
              <w:spacing w:after="0" w:line="240" w:lineRule="auto"/>
              <w:jc w:val="right"/>
              <w:rPr>
                <w:rFonts w:cs="Arial"/>
                <w:color w:val="000000"/>
                <w:sz w:val="18"/>
                <w:szCs w:val="18"/>
                <w:lang w:eastAsia="en-AU"/>
              </w:rPr>
            </w:pPr>
            <w:r w:rsidRPr="008B1DE2">
              <w:rPr>
                <w:sz w:val="18"/>
                <w:szCs w:val="18"/>
              </w:rPr>
              <w:t>101.1</w:t>
            </w:r>
            <w:r w:rsidR="00933B4F">
              <w:rPr>
                <w:sz w:val="18"/>
                <w:szCs w:val="18"/>
              </w:rPr>
              <w:t>*</w:t>
            </w:r>
          </w:p>
        </w:tc>
        <w:tc>
          <w:tcPr>
            <w:tcW w:w="1461" w:type="dxa"/>
            <w:shd w:val="clear" w:color="auto" w:fill="auto"/>
            <w:noWrap/>
            <w:vAlign w:val="center"/>
            <w:hideMark/>
          </w:tcPr>
          <w:p w14:paraId="38FA25B5" w14:textId="5958A5AE" w:rsidR="00E630EA" w:rsidRPr="00E630EA" w:rsidRDefault="00E90D8E" w:rsidP="00E630EA">
            <w:pPr>
              <w:spacing w:after="0" w:line="240" w:lineRule="auto"/>
              <w:jc w:val="right"/>
              <w:rPr>
                <w:rFonts w:cs="Arial"/>
                <w:color w:val="000000"/>
                <w:sz w:val="18"/>
                <w:szCs w:val="18"/>
                <w:lang w:eastAsia="en-AU"/>
              </w:rPr>
            </w:pPr>
            <w:r w:rsidRPr="008B1DE2">
              <w:rPr>
                <w:sz w:val="18"/>
                <w:szCs w:val="18"/>
              </w:rPr>
              <w:t>86.0</w:t>
            </w:r>
          </w:p>
        </w:tc>
        <w:tc>
          <w:tcPr>
            <w:tcW w:w="1461" w:type="dxa"/>
            <w:shd w:val="clear" w:color="auto" w:fill="auto"/>
            <w:noWrap/>
            <w:vAlign w:val="center"/>
            <w:hideMark/>
          </w:tcPr>
          <w:p w14:paraId="6F855E27" w14:textId="72DF3CDC" w:rsidR="00E630EA" w:rsidRPr="00E630EA" w:rsidRDefault="00E90D8E" w:rsidP="00E630EA">
            <w:pPr>
              <w:spacing w:after="0" w:line="240" w:lineRule="auto"/>
              <w:jc w:val="right"/>
              <w:rPr>
                <w:rFonts w:cs="Arial"/>
                <w:color w:val="000000"/>
                <w:sz w:val="18"/>
                <w:szCs w:val="18"/>
                <w:lang w:eastAsia="en-AU"/>
              </w:rPr>
            </w:pPr>
            <w:r w:rsidRPr="008B1DE2">
              <w:rPr>
                <w:sz w:val="18"/>
                <w:szCs w:val="18"/>
              </w:rPr>
              <w:t>86.0</w:t>
            </w:r>
          </w:p>
        </w:tc>
      </w:tr>
    </w:tbl>
    <w:p w14:paraId="16DB0EEA" w14:textId="1FF6651B" w:rsidR="002858E9" w:rsidRDefault="006153E1" w:rsidP="006928B5">
      <w:pPr>
        <w:spacing w:line="240" w:lineRule="auto"/>
      </w:pPr>
      <w:r>
        <w:rPr>
          <w:b/>
          <w:bCs/>
          <w:sz w:val="18"/>
          <w:szCs w:val="18"/>
        </w:rPr>
        <w:t xml:space="preserve">Note: </w:t>
      </w:r>
      <w:r>
        <w:rPr>
          <w:sz w:val="18"/>
          <w:szCs w:val="18"/>
        </w:rPr>
        <w:t xml:space="preserve">*The equity group share of growth exceeds 100% where the increase in equity group completions required exceeds total undergraduate growth. </w:t>
      </w:r>
      <w:r>
        <w:rPr>
          <w:sz w:val="18"/>
          <w:szCs w:val="18"/>
        </w:rPr>
        <w:br/>
      </w:r>
      <w:r w:rsidR="002858E9">
        <w:rPr>
          <w:b/>
          <w:bCs/>
          <w:sz w:val="18"/>
          <w:szCs w:val="18"/>
        </w:rPr>
        <w:t>Source:</w:t>
      </w:r>
      <w:r w:rsidR="002858E9">
        <w:rPr>
          <w:sz w:val="18"/>
          <w:szCs w:val="18"/>
        </w:rPr>
        <w:t xml:space="preserve"> </w:t>
      </w:r>
      <w:r w:rsidR="002858E9" w:rsidRPr="009E5181">
        <w:rPr>
          <w:rFonts w:cs="Arial"/>
          <w:sz w:val="18"/>
          <w:szCs w:val="18"/>
        </w:rPr>
        <w:t>Australian Government Department of Education (2023)</w:t>
      </w:r>
      <w:r w:rsidR="002858E9">
        <w:rPr>
          <w:rFonts w:cs="Arial"/>
          <w:sz w:val="18"/>
          <w:szCs w:val="18"/>
        </w:rPr>
        <w:t xml:space="preserve"> and </w:t>
      </w:r>
      <w:r w:rsidR="002D13E9">
        <w:rPr>
          <w:rFonts w:cs="Arial"/>
          <w:sz w:val="18"/>
          <w:szCs w:val="18"/>
        </w:rPr>
        <w:t>ACSES</w:t>
      </w:r>
      <w:r w:rsidR="002858E9">
        <w:rPr>
          <w:rFonts w:cs="Arial"/>
          <w:sz w:val="18"/>
          <w:szCs w:val="18"/>
        </w:rPr>
        <w:t xml:space="preserve"> calculations. </w:t>
      </w:r>
    </w:p>
    <w:p w14:paraId="4249BABD" w14:textId="106B60E3" w:rsidR="00A87304" w:rsidRDefault="00B05011" w:rsidP="00D01B7E">
      <w:r>
        <w:t xml:space="preserve"> </w:t>
      </w:r>
    </w:p>
    <w:p w14:paraId="0F27A804" w14:textId="7E9EE6C8" w:rsidR="00036E34" w:rsidRDefault="00A87304" w:rsidP="00036E34">
      <w:r>
        <w:t>T</w:t>
      </w:r>
      <w:r w:rsidR="00186EC5">
        <w:t xml:space="preserve">he nature of these targets is substantially more refined compared with the national frame of reference. In the </w:t>
      </w:r>
      <w:r w:rsidR="00133E4E">
        <w:rPr>
          <w:i/>
          <w:iCs/>
        </w:rPr>
        <w:t>Divergence</w:t>
      </w:r>
      <w:r w:rsidR="00186EC5">
        <w:t xml:space="preserve"> </w:t>
      </w:r>
      <w:r w:rsidR="00133E4E">
        <w:t>option</w:t>
      </w:r>
      <w:r w:rsidR="00186EC5">
        <w:t xml:space="preserve">, the </w:t>
      </w:r>
      <w:r w:rsidR="00186EC5" w:rsidRPr="00341959">
        <w:rPr>
          <w:i/>
          <w:iCs/>
        </w:rPr>
        <w:t>Equity Group</w:t>
      </w:r>
      <w:r w:rsidR="00186EC5">
        <w:t xml:space="preserve"> requirement </w:t>
      </w:r>
      <w:r w:rsidR="00075DE1">
        <w:t>is</w:t>
      </w:r>
      <w:r w:rsidR="00186EC5">
        <w:t xml:space="preserve"> compar</w:t>
      </w:r>
      <w:r w:rsidR="00075DE1">
        <w:t>able</w:t>
      </w:r>
      <w:r w:rsidR="00186EC5">
        <w:t xml:space="preserve"> to th</w:t>
      </w:r>
      <w:r w:rsidR="00075DE1">
        <w:t xml:space="preserve">at under the </w:t>
      </w:r>
      <w:r w:rsidR="00075DE1" w:rsidRPr="00FA4618">
        <w:rPr>
          <w:i/>
          <w:iCs/>
        </w:rPr>
        <w:t>National Parity Target</w:t>
      </w:r>
      <w:r w:rsidR="00186EC5">
        <w:t xml:space="preserve"> </w:t>
      </w:r>
      <w:r w:rsidR="00075DE1">
        <w:t>(</w:t>
      </w:r>
      <w:r w:rsidR="00A50A11">
        <w:t>55</w:t>
      </w:r>
      <w:r w:rsidR="00BD0528">
        <w:t>5</w:t>
      </w:r>
      <w:r w:rsidR="00A50A11">
        <w:t>,</w:t>
      </w:r>
      <w:r w:rsidR="00BD0528">
        <w:t>203</w:t>
      </w:r>
      <w:r w:rsidR="00A50A11">
        <w:t xml:space="preserve"> compared to </w:t>
      </w:r>
      <w:r w:rsidR="00943F88">
        <w:t>552,370</w:t>
      </w:r>
      <w:r w:rsidR="00C9352A">
        <w:t xml:space="preserve"> in Table 7</w:t>
      </w:r>
      <w:r w:rsidR="00943F88">
        <w:t>)</w:t>
      </w:r>
      <w:r w:rsidR="00186EC5">
        <w:t xml:space="preserve">, however, the enrolment target for </w:t>
      </w:r>
      <w:r w:rsidR="005C6A8F">
        <w:t>regional/</w:t>
      </w:r>
      <w:r w:rsidR="005C6A8F" w:rsidRPr="008B1DE2">
        <w:t xml:space="preserve">remote is higher, but lower for </w:t>
      </w:r>
      <w:r w:rsidR="00186EC5" w:rsidRPr="008B1DE2">
        <w:t xml:space="preserve">low SES </w:t>
      </w:r>
      <w:r w:rsidR="005C6A8F" w:rsidRPr="008B1DE2">
        <w:t>and</w:t>
      </w:r>
      <w:r w:rsidR="00186EC5" w:rsidRPr="008B1DE2">
        <w:t xml:space="preserve"> First Nations</w:t>
      </w:r>
      <w:r w:rsidR="005C6A8F" w:rsidRPr="008B1DE2">
        <w:t xml:space="preserve"> students, </w:t>
      </w:r>
      <w:r w:rsidR="00186EC5" w:rsidRPr="008B1DE2">
        <w:t>as</w:t>
      </w:r>
      <w:r w:rsidR="00186EC5">
        <w:t xml:space="preserve"> institutions are required to contribute to a state</w:t>
      </w:r>
      <w:r w:rsidR="005C6A8F">
        <w:t>/</w:t>
      </w:r>
      <w:r w:rsidR="00186EC5">
        <w:t xml:space="preserve">territory target </w:t>
      </w:r>
      <w:r w:rsidR="005C6A8F">
        <w:t xml:space="preserve">which </w:t>
      </w:r>
      <w:r w:rsidR="00186EC5">
        <w:t xml:space="preserve">is lower than the national target. </w:t>
      </w:r>
    </w:p>
    <w:p w14:paraId="081354DA" w14:textId="77777777" w:rsidR="000D6A20" w:rsidRDefault="000D6A20" w:rsidP="000F281C"/>
    <w:p w14:paraId="7BEA1D2E" w14:textId="77777777" w:rsidR="00A87304" w:rsidRDefault="00A87304">
      <w:pPr>
        <w:rPr>
          <w:rFonts w:ascii="SansaSoft Pro Normal" w:eastAsiaTheme="majorEastAsia" w:hAnsi="SansaSoft Pro Normal" w:cstheme="majorBidi"/>
          <w:b/>
          <w:bCs/>
          <w:sz w:val="26"/>
          <w:szCs w:val="26"/>
        </w:rPr>
      </w:pPr>
      <w:r>
        <w:br w:type="page"/>
      </w:r>
    </w:p>
    <w:p w14:paraId="1501D92F" w14:textId="02CA1F02" w:rsidR="00460F11" w:rsidRPr="008C52BE" w:rsidRDefault="00460F11" w:rsidP="007F6F36">
      <w:pPr>
        <w:pStyle w:val="Heading3"/>
      </w:pPr>
      <w:r w:rsidRPr="008C52BE">
        <w:lastRenderedPageBreak/>
        <w:t>State/Territory (</w:t>
      </w:r>
      <w:r>
        <w:t xml:space="preserve">All </w:t>
      </w:r>
      <w:r w:rsidRPr="008C52BE">
        <w:t xml:space="preserve">institutions) </w:t>
      </w:r>
      <w:r w:rsidR="00E5525F">
        <w:t>Parity</w:t>
      </w:r>
      <w:r w:rsidR="00E5525F" w:rsidRPr="008C52BE">
        <w:t xml:space="preserve"> </w:t>
      </w:r>
      <w:r w:rsidRPr="008C52BE">
        <w:t>Targets</w:t>
      </w:r>
    </w:p>
    <w:p w14:paraId="65A3613B" w14:textId="614924E0" w:rsidR="001F06BF" w:rsidRDefault="00B06360" w:rsidP="00CF6529">
      <w:pPr>
        <w:rPr>
          <w:rFonts w:cstheme="minorHAnsi"/>
          <w:color w:val="000000"/>
          <w:szCs w:val="22"/>
          <w:lang w:eastAsia="en-AU"/>
        </w:rPr>
      </w:pPr>
      <w:r>
        <w:rPr>
          <w:rFonts w:cstheme="minorHAnsi"/>
          <w:color w:val="000000"/>
          <w:szCs w:val="22"/>
          <w:lang w:eastAsia="en-AU"/>
        </w:rPr>
        <w:t xml:space="preserve">The </w:t>
      </w:r>
      <w:r w:rsidR="008B0832">
        <w:rPr>
          <w:rFonts w:cstheme="minorHAnsi"/>
          <w:color w:val="000000"/>
          <w:szCs w:val="22"/>
          <w:lang w:eastAsia="en-AU"/>
        </w:rPr>
        <w:t>second state/territory</w:t>
      </w:r>
      <w:r w:rsidR="00D60CE8">
        <w:rPr>
          <w:rFonts w:cstheme="minorHAnsi"/>
          <w:color w:val="000000"/>
          <w:szCs w:val="22"/>
          <w:lang w:eastAsia="en-AU"/>
        </w:rPr>
        <w:t xml:space="preserve"> target</w:t>
      </w:r>
      <w:r w:rsidR="00E67693">
        <w:rPr>
          <w:rFonts w:cstheme="minorHAnsi"/>
          <w:color w:val="000000"/>
          <w:szCs w:val="22"/>
          <w:lang w:eastAsia="en-AU"/>
        </w:rPr>
        <w:t xml:space="preserve"> option</w:t>
      </w:r>
      <w:r w:rsidR="005149F2">
        <w:rPr>
          <w:rFonts w:cstheme="minorHAnsi"/>
          <w:color w:val="000000"/>
          <w:szCs w:val="22"/>
          <w:lang w:eastAsia="en-AU"/>
        </w:rPr>
        <w:t xml:space="preserve"> </w:t>
      </w:r>
      <w:r w:rsidR="003C232F">
        <w:rPr>
          <w:rFonts w:cstheme="minorHAnsi"/>
          <w:color w:val="000000"/>
          <w:szCs w:val="22"/>
          <w:lang w:eastAsia="en-AU"/>
        </w:rPr>
        <w:t>only relate</w:t>
      </w:r>
      <w:r w:rsidR="00E67693">
        <w:rPr>
          <w:rFonts w:cstheme="minorHAnsi"/>
          <w:color w:val="000000"/>
          <w:szCs w:val="22"/>
          <w:lang w:eastAsia="en-AU"/>
        </w:rPr>
        <w:t>s</w:t>
      </w:r>
      <w:r w:rsidR="003C232F">
        <w:rPr>
          <w:rFonts w:cstheme="minorHAnsi"/>
          <w:color w:val="000000"/>
          <w:szCs w:val="22"/>
          <w:lang w:eastAsia="en-AU"/>
        </w:rPr>
        <w:t xml:space="preserve"> to students with a </w:t>
      </w:r>
      <w:r w:rsidR="00341959">
        <w:rPr>
          <w:rFonts w:cstheme="minorHAnsi"/>
          <w:color w:val="000000"/>
          <w:szCs w:val="22"/>
          <w:lang w:eastAsia="en-AU"/>
        </w:rPr>
        <w:t>permanent home</w:t>
      </w:r>
      <w:r w:rsidR="003C232F">
        <w:rPr>
          <w:rFonts w:cstheme="minorHAnsi"/>
          <w:color w:val="000000"/>
          <w:szCs w:val="22"/>
          <w:lang w:eastAsia="en-AU"/>
        </w:rPr>
        <w:t xml:space="preserve"> address in</w:t>
      </w:r>
      <w:r w:rsidR="00CD0D08">
        <w:rPr>
          <w:rFonts w:cstheme="minorHAnsi"/>
          <w:color w:val="000000"/>
          <w:szCs w:val="22"/>
          <w:lang w:eastAsia="en-AU"/>
        </w:rPr>
        <w:t xml:space="preserve"> the jurisdictio</w:t>
      </w:r>
      <w:r w:rsidR="003337D9">
        <w:rPr>
          <w:rFonts w:cstheme="minorHAnsi"/>
          <w:color w:val="000000"/>
          <w:szCs w:val="22"/>
          <w:lang w:eastAsia="en-AU"/>
        </w:rPr>
        <w:t xml:space="preserve">n, including those </w:t>
      </w:r>
      <w:r w:rsidR="008B60EA">
        <w:rPr>
          <w:rFonts w:cstheme="minorHAnsi"/>
          <w:color w:val="000000"/>
          <w:szCs w:val="22"/>
          <w:lang w:eastAsia="en-AU"/>
        </w:rPr>
        <w:t>enrolled by interstate institutions.</w:t>
      </w:r>
      <w:r w:rsidR="003E03C3">
        <w:rPr>
          <w:rFonts w:cstheme="minorHAnsi"/>
          <w:color w:val="000000"/>
          <w:szCs w:val="22"/>
          <w:lang w:eastAsia="en-AU"/>
        </w:rPr>
        <w:t xml:space="preserve"> </w:t>
      </w:r>
      <w:r w:rsidR="002D61A0">
        <w:rPr>
          <w:rFonts w:cstheme="minorHAnsi"/>
          <w:color w:val="000000"/>
          <w:szCs w:val="22"/>
          <w:lang w:eastAsia="en-AU"/>
        </w:rPr>
        <w:t xml:space="preserve">Adjusting for </w:t>
      </w:r>
      <w:r w:rsidR="00341959">
        <w:rPr>
          <w:rFonts w:cstheme="minorHAnsi"/>
          <w:color w:val="000000"/>
          <w:szCs w:val="22"/>
          <w:lang w:eastAsia="en-AU"/>
        </w:rPr>
        <w:t>student location</w:t>
      </w:r>
      <w:r w:rsidR="002D61A0">
        <w:rPr>
          <w:rFonts w:cstheme="minorHAnsi"/>
          <w:color w:val="000000"/>
          <w:szCs w:val="22"/>
          <w:lang w:eastAsia="en-AU"/>
        </w:rPr>
        <w:t xml:space="preserve"> </w:t>
      </w:r>
      <w:r w:rsidR="001F5C1D">
        <w:rPr>
          <w:rFonts w:cstheme="minorHAnsi"/>
          <w:color w:val="000000"/>
          <w:szCs w:val="22"/>
          <w:lang w:eastAsia="en-AU"/>
        </w:rPr>
        <w:t xml:space="preserve">sees the proportion of </w:t>
      </w:r>
      <w:r w:rsidR="00341959">
        <w:rPr>
          <w:rFonts w:cstheme="minorHAnsi"/>
          <w:i/>
          <w:iCs/>
          <w:color w:val="000000"/>
          <w:szCs w:val="22"/>
          <w:lang w:eastAsia="en-AU"/>
        </w:rPr>
        <w:t>Equity Group</w:t>
      </w:r>
      <w:r w:rsidR="001F5C1D">
        <w:rPr>
          <w:rFonts w:cstheme="minorHAnsi"/>
          <w:color w:val="000000"/>
          <w:szCs w:val="22"/>
          <w:lang w:eastAsia="en-AU"/>
        </w:rPr>
        <w:t xml:space="preserve"> students increa</w:t>
      </w:r>
      <w:r w:rsidR="00A76B65">
        <w:rPr>
          <w:rFonts w:cstheme="minorHAnsi"/>
          <w:color w:val="000000"/>
          <w:szCs w:val="22"/>
          <w:lang w:eastAsia="en-AU"/>
        </w:rPr>
        <w:t>se to 39.6% in 2021.</w:t>
      </w:r>
      <w:r w:rsidR="001477AF">
        <w:rPr>
          <w:rFonts w:cstheme="minorHAnsi"/>
          <w:color w:val="000000"/>
          <w:szCs w:val="22"/>
          <w:lang w:eastAsia="en-AU"/>
        </w:rPr>
        <w:t xml:space="preserve"> Noticeably, the inclusion of enrolments</w:t>
      </w:r>
      <w:r w:rsidR="00A0569D">
        <w:rPr>
          <w:rFonts w:cstheme="minorHAnsi"/>
          <w:color w:val="000000"/>
          <w:szCs w:val="22"/>
          <w:lang w:eastAsia="en-AU"/>
        </w:rPr>
        <w:t xml:space="preserve"> within a jurisdiction by interstate institutions</w:t>
      </w:r>
      <w:r w:rsidR="001477AF">
        <w:rPr>
          <w:rFonts w:cstheme="minorHAnsi"/>
          <w:color w:val="000000"/>
          <w:szCs w:val="22"/>
          <w:lang w:eastAsia="en-AU"/>
        </w:rPr>
        <w:t xml:space="preserve"> reduces the required task for achieving </w:t>
      </w:r>
      <w:r w:rsidR="00A670A5">
        <w:rPr>
          <w:rFonts w:cstheme="minorHAnsi"/>
          <w:color w:val="000000"/>
          <w:szCs w:val="22"/>
          <w:lang w:eastAsia="en-AU"/>
        </w:rPr>
        <w:t xml:space="preserve">targets under all policy options, such that in each case the required expansion in equity participation to </w:t>
      </w:r>
      <w:r w:rsidR="004D3DBE">
        <w:rPr>
          <w:rFonts w:cstheme="minorHAnsi"/>
          <w:color w:val="000000"/>
          <w:szCs w:val="22"/>
          <w:lang w:eastAsia="en-AU"/>
        </w:rPr>
        <w:t xml:space="preserve">2035 is below that of the projected overall growth in numbers in the system. </w:t>
      </w:r>
      <w:r w:rsidR="00A670A5">
        <w:rPr>
          <w:rFonts w:cstheme="minorHAnsi"/>
          <w:color w:val="000000"/>
          <w:szCs w:val="22"/>
          <w:lang w:eastAsia="en-AU"/>
        </w:rPr>
        <w:t xml:space="preserve"> </w:t>
      </w:r>
    </w:p>
    <w:p w14:paraId="39B57FD0" w14:textId="77777777" w:rsidR="004E2462" w:rsidRPr="001F06BF" w:rsidRDefault="004E2462" w:rsidP="0069657B">
      <w:pPr>
        <w:spacing w:line="240" w:lineRule="auto"/>
        <w:ind w:left="1440" w:hanging="1440"/>
        <w:rPr>
          <w:rFonts w:cstheme="minorHAnsi"/>
          <w:color w:val="000000"/>
          <w:szCs w:val="22"/>
          <w:lang w:eastAsia="en-AU"/>
        </w:rPr>
      </w:pPr>
    </w:p>
    <w:p w14:paraId="35BA4F78" w14:textId="3790F6E0" w:rsidR="0069657B" w:rsidRDefault="0069657B" w:rsidP="006B57B5">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sidR="00F1609A">
        <w:rPr>
          <w:rFonts w:cstheme="minorHAnsi"/>
          <w:b/>
          <w:bCs/>
          <w:color w:val="000000"/>
          <w:sz w:val="18"/>
          <w:szCs w:val="18"/>
          <w:lang w:eastAsia="en-AU"/>
        </w:rPr>
        <w:t>10</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Pr="00185BAE">
        <w:rPr>
          <w:rFonts w:cstheme="minorHAnsi"/>
          <w:color w:val="000000"/>
          <w:sz w:val="18"/>
          <w:szCs w:val="18"/>
          <w:lang w:eastAsia="en-AU"/>
        </w:rPr>
        <w:t xml:space="preserve">Equity Group Enrolment Projections: </w:t>
      </w:r>
      <w:r>
        <w:rPr>
          <w:rFonts w:cstheme="minorHAnsi"/>
          <w:color w:val="000000"/>
          <w:sz w:val="18"/>
          <w:szCs w:val="18"/>
          <w:lang w:eastAsia="en-AU"/>
        </w:rPr>
        <w:t xml:space="preserve">State/Territory (All Institution) </w:t>
      </w:r>
      <w:r w:rsidRPr="00185BAE">
        <w:rPr>
          <w:rFonts w:cstheme="minorHAnsi"/>
          <w:color w:val="000000"/>
          <w:sz w:val="18"/>
          <w:szCs w:val="18"/>
          <w:lang w:eastAsia="en-AU"/>
        </w:rPr>
        <w:t xml:space="preserve">Targets Under Four </w:t>
      </w:r>
      <w:r w:rsidR="00B130AD">
        <w:rPr>
          <w:rFonts w:cstheme="minorHAnsi"/>
          <w:color w:val="000000"/>
          <w:sz w:val="18"/>
          <w:szCs w:val="18"/>
          <w:lang w:eastAsia="en-AU"/>
        </w:rPr>
        <w:t>O</w:t>
      </w:r>
      <w:r w:rsidR="00B130AD" w:rsidRPr="00B130AD">
        <w:rPr>
          <w:rFonts w:cstheme="minorHAnsi"/>
          <w:color w:val="000000"/>
          <w:sz w:val="18"/>
          <w:szCs w:val="18"/>
          <w:lang w:eastAsia="en-AU"/>
        </w:rPr>
        <w:t xml:space="preserve">ptions </w:t>
      </w:r>
      <w:r w:rsidRPr="00185BAE">
        <w:rPr>
          <w:rFonts w:cstheme="minorHAnsi"/>
          <w:color w:val="000000"/>
          <w:sz w:val="18"/>
          <w:szCs w:val="18"/>
          <w:lang w:eastAsia="en-AU"/>
        </w:rPr>
        <w:t>to 2035</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185"/>
        <w:gridCol w:w="1366"/>
        <w:gridCol w:w="1408"/>
        <w:gridCol w:w="1460"/>
        <w:gridCol w:w="1384"/>
      </w:tblGrid>
      <w:tr w:rsidR="00D20426" w:rsidRPr="009B6407" w14:paraId="3BBA33BA" w14:textId="77777777" w:rsidTr="00160B8E">
        <w:trPr>
          <w:trHeight w:val="534"/>
        </w:trPr>
        <w:tc>
          <w:tcPr>
            <w:tcW w:w="2542" w:type="dxa"/>
            <w:vMerge w:val="restart"/>
            <w:shd w:val="clear" w:color="auto" w:fill="auto"/>
            <w:noWrap/>
            <w:vAlign w:val="center"/>
            <w:hideMark/>
          </w:tcPr>
          <w:p w14:paraId="4752463F" w14:textId="77777777" w:rsidR="00D20426" w:rsidRPr="009B6407" w:rsidRDefault="00D20426" w:rsidP="00D20426">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185" w:type="dxa"/>
            <w:vMerge w:val="restart"/>
            <w:shd w:val="clear" w:color="auto" w:fill="6B3B57"/>
            <w:vAlign w:val="center"/>
            <w:hideMark/>
          </w:tcPr>
          <w:p w14:paraId="3A5DC384" w14:textId="77777777" w:rsidR="00D20426" w:rsidRPr="009B6407" w:rsidRDefault="00D20426" w:rsidP="00D20426">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366" w:type="dxa"/>
            <w:vMerge w:val="restart"/>
            <w:shd w:val="clear" w:color="auto" w:fill="6B3B57"/>
            <w:vAlign w:val="center"/>
            <w:hideMark/>
          </w:tcPr>
          <w:p w14:paraId="3A22769F" w14:textId="2BFF746F" w:rsidR="00D20426" w:rsidRPr="009B6407" w:rsidRDefault="00FF6B34"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04" w:type="dxa"/>
            <w:vMerge w:val="restart"/>
            <w:shd w:val="clear" w:color="auto" w:fill="6B3B57"/>
            <w:vAlign w:val="center"/>
            <w:hideMark/>
          </w:tcPr>
          <w:p w14:paraId="254BA747"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572D792B" w14:textId="7E122611" w:rsidR="00D20426" w:rsidRPr="009B6407" w:rsidRDefault="00D20426" w:rsidP="00D20426">
            <w:pPr>
              <w:spacing w:after="0" w:line="240" w:lineRule="auto"/>
              <w:jc w:val="center"/>
              <w:rPr>
                <w:rFonts w:cs="Arial"/>
                <w:b/>
                <w:bCs/>
                <w:color w:val="FFFFFF"/>
                <w:sz w:val="18"/>
                <w:szCs w:val="18"/>
                <w:lang w:eastAsia="en-AU"/>
              </w:rPr>
            </w:pPr>
          </w:p>
        </w:tc>
        <w:tc>
          <w:tcPr>
            <w:tcW w:w="1460" w:type="dxa"/>
            <w:vMerge w:val="restart"/>
            <w:shd w:val="clear" w:color="auto" w:fill="6B3B57"/>
            <w:vAlign w:val="center"/>
            <w:hideMark/>
          </w:tcPr>
          <w:p w14:paraId="098F64A2"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068E446F" w14:textId="5E1A64E6" w:rsidR="00D20426" w:rsidRPr="009B6407" w:rsidRDefault="00D20426" w:rsidP="00D20426">
            <w:pPr>
              <w:spacing w:after="0" w:line="240" w:lineRule="auto"/>
              <w:jc w:val="center"/>
              <w:rPr>
                <w:rFonts w:cs="Arial"/>
                <w:b/>
                <w:bCs/>
                <w:color w:val="FFFFFF"/>
                <w:sz w:val="18"/>
                <w:szCs w:val="18"/>
                <w:lang w:eastAsia="en-AU"/>
              </w:rPr>
            </w:pPr>
          </w:p>
        </w:tc>
        <w:tc>
          <w:tcPr>
            <w:tcW w:w="1384" w:type="dxa"/>
            <w:vMerge w:val="restart"/>
            <w:shd w:val="clear" w:color="auto" w:fill="6B3B57"/>
            <w:vAlign w:val="center"/>
            <w:hideMark/>
          </w:tcPr>
          <w:p w14:paraId="02DB9FEA"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1AE419B0" w14:textId="4944CCFE" w:rsidR="00D20426" w:rsidRPr="009B6407" w:rsidRDefault="00D20426" w:rsidP="00D20426">
            <w:pPr>
              <w:spacing w:after="0" w:line="240" w:lineRule="auto"/>
              <w:jc w:val="center"/>
              <w:rPr>
                <w:rFonts w:cs="Arial"/>
                <w:b/>
                <w:bCs/>
                <w:color w:val="FFFFFF"/>
                <w:sz w:val="18"/>
                <w:szCs w:val="18"/>
                <w:lang w:eastAsia="en-AU"/>
              </w:rPr>
            </w:pPr>
          </w:p>
        </w:tc>
      </w:tr>
      <w:tr w:rsidR="0069657B" w:rsidRPr="009B6407" w14:paraId="2B3983C5" w14:textId="77777777" w:rsidTr="00160B8E">
        <w:trPr>
          <w:trHeight w:val="534"/>
        </w:trPr>
        <w:tc>
          <w:tcPr>
            <w:tcW w:w="2542" w:type="dxa"/>
            <w:vMerge/>
            <w:shd w:val="clear" w:color="auto" w:fill="auto"/>
            <w:vAlign w:val="center"/>
            <w:hideMark/>
          </w:tcPr>
          <w:p w14:paraId="715F48A6" w14:textId="77777777" w:rsidR="0069657B" w:rsidRPr="009B6407" w:rsidRDefault="0069657B">
            <w:pPr>
              <w:spacing w:after="0" w:line="240" w:lineRule="auto"/>
              <w:rPr>
                <w:rFonts w:ascii="Calibri" w:hAnsi="Calibri" w:cs="Calibri"/>
                <w:color w:val="000000"/>
                <w:sz w:val="18"/>
                <w:szCs w:val="18"/>
                <w:lang w:eastAsia="en-AU"/>
              </w:rPr>
            </w:pPr>
          </w:p>
        </w:tc>
        <w:tc>
          <w:tcPr>
            <w:tcW w:w="1185" w:type="dxa"/>
            <w:vMerge/>
            <w:shd w:val="clear" w:color="auto" w:fill="6B3B57"/>
            <w:vAlign w:val="center"/>
            <w:hideMark/>
          </w:tcPr>
          <w:p w14:paraId="6F72FF97" w14:textId="77777777" w:rsidR="0069657B" w:rsidRPr="009B6407" w:rsidRDefault="0069657B">
            <w:pPr>
              <w:spacing w:after="0" w:line="240" w:lineRule="auto"/>
              <w:rPr>
                <w:rFonts w:cs="Arial"/>
                <w:b/>
                <w:bCs/>
                <w:color w:val="FFFFFF"/>
                <w:sz w:val="18"/>
                <w:szCs w:val="18"/>
                <w:lang w:eastAsia="en-AU"/>
              </w:rPr>
            </w:pPr>
          </w:p>
        </w:tc>
        <w:tc>
          <w:tcPr>
            <w:tcW w:w="1366" w:type="dxa"/>
            <w:vMerge/>
            <w:shd w:val="clear" w:color="auto" w:fill="6B3B57"/>
            <w:vAlign w:val="center"/>
            <w:hideMark/>
          </w:tcPr>
          <w:p w14:paraId="29C4244A" w14:textId="77777777" w:rsidR="0069657B" w:rsidRPr="009B6407" w:rsidRDefault="0069657B">
            <w:pPr>
              <w:spacing w:after="0" w:line="240" w:lineRule="auto"/>
              <w:rPr>
                <w:rFonts w:cs="Arial"/>
                <w:b/>
                <w:bCs/>
                <w:color w:val="FFFFFF"/>
                <w:sz w:val="18"/>
                <w:szCs w:val="18"/>
                <w:lang w:eastAsia="en-AU"/>
              </w:rPr>
            </w:pPr>
          </w:p>
        </w:tc>
        <w:tc>
          <w:tcPr>
            <w:tcW w:w="1404" w:type="dxa"/>
            <w:vMerge/>
            <w:shd w:val="clear" w:color="auto" w:fill="6B3B57"/>
            <w:vAlign w:val="center"/>
            <w:hideMark/>
          </w:tcPr>
          <w:p w14:paraId="64B0FC07" w14:textId="77777777" w:rsidR="0069657B" w:rsidRPr="009B6407" w:rsidRDefault="0069657B">
            <w:pPr>
              <w:spacing w:after="0" w:line="240" w:lineRule="auto"/>
              <w:rPr>
                <w:rFonts w:cs="Arial"/>
                <w:b/>
                <w:bCs/>
                <w:color w:val="FFFFFF"/>
                <w:sz w:val="18"/>
                <w:szCs w:val="18"/>
                <w:lang w:eastAsia="en-AU"/>
              </w:rPr>
            </w:pPr>
          </w:p>
        </w:tc>
        <w:tc>
          <w:tcPr>
            <w:tcW w:w="1460" w:type="dxa"/>
            <w:vMerge/>
            <w:shd w:val="clear" w:color="auto" w:fill="6B3B57"/>
            <w:vAlign w:val="center"/>
            <w:hideMark/>
          </w:tcPr>
          <w:p w14:paraId="74C18DE1" w14:textId="77777777" w:rsidR="0069657B" w:rsidRPr="009B6407" w:rsidRDefault="0069657B">
            <w:pPr>
              <w:spacing w:after="0" w:line="240" w:lineRule="auto"/>
              <w:rPr>
                <w:rFonts w:cs="Arial"/>
                <w:b/>
                <w:bCs/>
                <w:color w:val="FFFFFF"/>
                <w:sz w:val="18"/>
                <w:szCs w:val="18"/>
                <w:lang w:eastAsia="en-AU"/>
              </w:rPr>
            </w:pPr>
          </w:p>
        </w:tc>
        <w:tc>
          <w:tcPr>
            <w:tcW w:w="1384" w:type="dxa"/>
            <w:vMerge/>
            <w:shd w:val="clear" w:color="auto" w:fill="6B3B57"/>
            <w:vAlign w:val="center"/>
            <w:hideMark/>
          </w:tcPr>
          <w:p w14:paraId="406CDBD0" w14:textId="77777777" w:rsidR="0069657B" w:rsidRPr="009B6407" w:rsidRDefault="0069657B">
            <w:pPr>
              <w:spacing w:after="0" w:line="240" w:lineRule="auto"/>
              <w:rPr>
                <w:rFonts w:cs="Arial"/>
                <w:b/>
                <w:bCs/>
                <w:color w:val="FFFFFF"/>
                <w:sz w:val="18"/>
                <w:szCs w:val="18"/>
                <w:lang w:eastAsia="en-AU"/>
              </w:rPr>
            </w:pPr>
          </w:p>
        </w:tc>
      </w:tr>
      <w:tr w:rsidR="009560DE" w:rsidRPr="009B6407" w14:paraId="33A397D1" w14:textId="77777777" w:rsidTr="006253C8">
        <w:trPr>
          <w:trHeight w:val="315"/>
        </w:trPr>
        <w:tc>
          <w:tcPr>
            <w:tcW w:w="2542" w:type="dxa"/>
            <w:shd w:val="clear" w:color="auto" w:fill="auto"/>
            <w:noWrap/>
            <w:vAlign w:val="center"/>
            <w:hideMark/>
          </w:tcPr>
          <w:p w14:paraId="5880E1CD" w14:textId="77777777" w:rsidR="009560DE" w:rsidRPr="009B6407" w:rsidRDefault="009560DE" w:rsidP="009560DE">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185" w:type="dxa"/>
            <w:shd w:val="clear" w:color="auto" w:fill="auto"/>
            <w:noWrap/>
            <w:vAlign w:val="center"/>
            <w:hideMark/>
          </w:tcPr>
          <w:p w14:paraId="63634904" w14:textId="744FA207" w:rsidR="009560DE" w:rsidRPr="009560DE" w:rsidRDefault="00F51049" w:rsidP="009560DE">
            <w:pPr>
              <w:spacing w:after="0" w:line="240" w:lineRule="auto"/>
              <w:jc w:val="right"/>
              <w:rPr>
                <w:rFonts w:cs="Arial"/>
                <w:b/>
                <w:bCs/>
                <w:color w:val="000000"/>
                <w:sz w:val="18"/>
                <w:szCs w:val="18"/>
                <w:lang w:eastAsia="en-AU"/>
              </w:rPr>
            </w:pPr>
            <w:r w:rsidRPr="00F51049">
              <w:rPr>
                <w:b/>
                <w:bCs/>
                <w:sz w:val="18"/>
                <w:szCs w:val="18"/>
              </w:rPr>
              <w:t>781,476</w:t>
            </w:r>
          </w:p>
        </w:tc>
        <w:tc>
          <w:tcPr>
            <w:tcW w:w="1366" w:type="dxa"/>
            <w:shd w:val="clear" w:color="auto" w:fill="auto"/>
            <w:noWrap/>
            <w:vAlign w:val="center"/>
            <w:hideMark/>
          </w:tcPr>
          <w:p w14:paraId="72F50C98" w14:textId="7DCD7A58" w:rsidR="009560DE" w:rsidRPr="009560DE" w:rsidRDefault="00F51049" w:rsidP="009560DE">
            <w:pPr>
              <w:spacing w:after="0" w:line="240" w:lineRule="auto"/>
              <w:jc w:val="right"/>
              <w:rPr>
                <w:rFonts w:cs="Arial"/>
                <w:b/>
                <w:bCs/>
                <w:color w:val="000000"/>
                <w:sz w:val="18"/>
                <w:szCs w:val="18"/>
                <w:lang w:eastAsia="en-AU"/>
              </w:rPr>
            </w:pPr>
            <w:r w:rsidRPr="00F51049">
              <w:rPr>
                <w:b/>
                <w:bCs/>
                <w:sz w:val="18"/>
                <w:szCs w:val="18"/>
              </w:rPr>
              <w:t>1,069,480</w:t>
            </w:r>
          </w:p>
        </w:tc>
        <w:tc>
          <w:tcPr>
            <w:tcW w:w="1404" w:type="dxa"/>
            <w:shd w:val="clear" w:color="auto" w:fill="auto"/>
            <w:noWrap/>
            <w:vAlign w:val="center"/>
            <w:hideMark/>
          </w:tcPr>
          <w:p w14:paraId="3DF123DF" w14:textId="5420DAB2" w:rsidR="009560DE" w:rsidRPr="009560DE" w:rsidRDefault="00F51049" w:rsidP="009560DE">
            <w:pPr>
              <w:spacing w:after="0" w:line="240" w:lineRule="auto"/>
              <w:jc w:val="right"/>
              <w:rPr>
                <w:rFonts w:cs="Arial"/>
                <w:b/>
                <w:bCs/>
                <w:color w:val="000000"/>
                <w:sz w:val="18"/>
                <w:szCs w:val="18"/>
                <w:lang w:eastAsia="en-AU"/>
              </w:rPr>
            </w:pPr>
            <w:r w:rsidRPr="00F51049">
              <w:rPr>
                <w:b/>
                <w:bCs/>
                <w:sz w:val="18"/>
                <w:szCs w:val="18"/>
              </w:rPr>
              <w:t>1,069,480</w:t>
            </w:r>
          </w:p>
        </w:tc>
        <w:tc>
          <w:tcPr>
            <w:tcW w:w="1460" w:type="dxa"/>
            <w:shd w:val="clear" w:color="auto" w:fill="auto"/>
            <w:noWrap/>
            <w:vAlign w:val="center"/>
            <w:hideMark/>
          </w:tcPr>
          <w:p w14:paraId="66F9F734" w14:textId="4D36865A" w:rsidR="009560DE" w:rsidRPr="009560DE" w:rsidRDefault="00F51049" w:rsidP="009560DE">
            <w:pPr>
              <w:spacing w:after="0" w:line="240" w:lineRule="auto"/>
              <w:jc w:val="right"/>
              <w:rPr>
                <w:rFonts w:cs="Arial"/>
                <w:b/>
                <w:bCs/>
                <w:color w:val="000000"/>
                <w:sz w:val="18"/>
                <w:szCs w:val="18"/>
                <w:lang w:eastAsia="en-AU"/>
              </w:rPr>
            </w:pPr>
            <w:r w:rsidRPr="00F51049">
              <w:rPr>
                <w:b/>
                <w:bCs/>
                <w:sz w:val="18"/>
                <w:szCs w:val="18"/>
              </w:rPr>
              <w:t>1,069,480</w:t>
            </w:r>
          </w:p>
        </w:tc>
        <w:tc>
          <w:tcPr>
            <w:tcW w:w="1384" w:type="dxa"/>
            <w:shd w:val="clear" w:color="auto" w:fill="auto"/>
            <w:noWrap/>
            <w:vAlign w:val="center"/>
            <w:hideMark/>
          </w:tcPr>
          <w:p w14:paraId="1E8D73E3" w14:textId="36A1340A" w:rsidR="009560DE" w:rsidRPr="009560DE" w:rsidRDefault="00F51049" w:rsidP="009560DE">
            <w:pPr>
              <w:spacing w:after="0" w:line="240" w:lineRule="auto"/>
              <w:jc w:val="right"/>
              <w:rPr>
                <w:rFonts w:cs="Arial"/>
                <w:b/>
                <w:bCs/>
                <w:color w:val="000000"/>
                <w:sz w:val="18"/>
                <w:szCs w:val="18"/>
                <w:lang w:eastAsia="en-AU"/>
              </w:rPr>
            </w:pPr>
            <w:r w:rsidRPr="00F51049">
              <w:rPr>
                <w:b/>
                <w:bCs/>
                <w:sz w:val="18"/>
                <w:szCs w:val="18"/>
              </w:rPr>
              <w:t>1,069,480</w:t>
            </w:r>
          </w:p>
        </w:tc>
      </w:tr>
      <w:tr w:rsidR="009560DE" w:rsidRPr="009B6407" w14:paraId="745A38A5" w14:textId="77777777" w:rsidTr="006253C8">
        <w:trPr>
          <w:trHeight w:val="315"/>
        </w:trPr>
        <w:tc>
          <w:tcPr>
            <w:tcW w:w="2542" w:type="dxa"/>
            <w:shd w:val="clear" w:color="auto" w:fill="auto"/>
            <w:noWrap/>
            <w:vAlign w:val="center"/>
            <w:hideMark/>
          </w:tcPr>
          <w:p w14:paraId="26040A4A" w14:textId="77777777" w:rsidR="009560DE" w:rsidRPr="009B6407" w:rsidRDefault="009560DE" w:rsidP="009560DE">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185" w:type="dxa"/>
            <w:shd w:val="clear" w:color="auto" w:fill="auto"/>
            <w:noWrap/>
            <w:vAlign w:val="center"/>
            <w:hideMark/>
          </w:tcPr>
          <w:p w14:paraId="040B78CD" w14:textId="41705FEF" w:rsidR="009560DE" w:rsidRPr="009560DE" w:rsidRDefault="00F51049" w:rsidP="009560DE">
            <w:pPr>
              <w:spacing w:after="0" w:line="240" w:lineRule="auto"/>
              <w:jc w:val="right"/>
              <w:rPr>
                <w:rFonts w:cs="Arial"/>
                <w:color w:val="000000"/>
                <w:sz w:val="18"/>
                <w:szCs w:val="18"/>
                <w:lang w:eastAsia="en-AU"/>
              </w:rPr>
            </w:pPr>
            <w:r w:rsidRPr="00F51049">
              <w:rPr>
                <w:sz w:val="18"/>
                <w:szCs w:val="18"/>
              </w:rPr>
              <w:t>133,782</w:t>
            </w:r>
          </w:p>
        </w:tc>
        <w:tc>
          <w:tcPr>
            <w:tcW w:w="1366" w:type="dxa"/>
            <w:shd w:val="clear" w:color="auto" w:fill="auto"/>
            <w:noWrap/>
            <w:vAlign w:val="center"/>
            <w:hideMark/>
          </w:tcPr>
          <w:p w14:paraId="472601A0" w14:textId="6F3C6F9B" w:rsidR="009560DE" w:rsidRPr="009560DE" w:rsidRDefault="00F51049" w:rsidP="009560DE">
            <w:pPr>
              <w:spacing w:after="0" w:line="240" w:lineRule="auto"/>
              <w:jc w:val="right"/>
              <w:rPr>
                <w:rFonts w:cs="Arial"/>
                <w:color w:val="000000"/>
                <w:sz w:val="18"/>
                <w:szCs w:val="18"/>
                <w:lang w:eastAsia="en-AU"/>
              </w:rPr>
            </w:pPr>
            <w:r w:rsidRPr="00F51049">
              <w:rPr>
                <w:sz w:val="18"/>
                <w:szCs w:val="18"/>
              </w:rPr>
              <w:t>183,086</w:t>
            </w:r>
          </w:p>
        </w:tc>
        <w:tc>
          <w:tcPr>
            <w:tcW w:w="1404" w:type="dxa"/>
            <w:shd w:val="clear" w:color="auto" w:fill="auto"/>
            <w:noWrap/>
            <w:vAlign w:val="center"/>
            <w:hideMark/>
          </w:tcPr>
          <w:p w14:paraId="181936F6" w14:textId="1B8860B8" w:rsidR="009560DE" w:rsidRPr="009560DE" w:rsidRDefault="00F51049" w:rsidP="009560DE">
            <w:pPr>
              <w:spacing w:after="0" w:line="240" w:lineRule="auto"/>
              <w:jc w:val="right"/>
              <w:rPr>
                <w:rFonts w:cs="Arial"/>
                <w:color w:val="000000"/>
                <w:sz w:val="18"/>
                <w:szCs w:val="18"/>
                <w:lang w:eastAsia="en-AU"/>
              </w:rPr>
            </w:pPr>
            <w:r w:rsidRPr="00F51049">
              <w:rPr>
                <w:sz w:val="18"/>
                <w:szCs w:val="18"/>
              </w:rPr>
              <w:t>261,085</w:t>
            </w:r>
          </w:p>
        </w:tc>
        <w:tc>
          <w:tcPr>
            <w:tcW w:w="1460" w:type="dxa"/>
            <w:shd w:val="clear" w:color="auto" w:fill="auto"/>
            <w:noWrap/>
            <w:vAlign w:val="center"/>
            <w:hideMark/>
          </w:tcPr>
          <w:p w14:paraId="1A5E3B0F" w14:textId="6153DAFA" w:rsidR="009560DE" w:rsidRPr="009560DE" w:rsidRDefault="00F51049" w:rsidP="009560DE">
            <w:pPr>
              <w:spacing w:after="0" w:line="240" w:lineRule="auto"/>
              <w:jc w:val="right"/>
              <w:rPr>
                <w:rFonts w:cs="Arial"/>
                <w:color w:val="000000"/>
                <w:sz w:val="18"/>
                <w:szCs w:val="18"/>
                <w:lang w:eastAsia="en-AU"/>
              </w:rPr>
            </w:pPr>
            <w:r w:rsidRPr="00F51049">
              <w:rPr>
                <w:sz w:val="18"/>
                <w:szCs w:val="18"/>
              </w:rPr>
              <w:t>251,186</w:t>
            </w:r>
          </w:p>
        </w:tc>
        <w:tc>
          <w:tcPr>
            <w:tcW w:w="1384" w:type="dxa"/>
            <w:shd w:val="clear" w:color="auto" w:fill="auto"/>
            <w:noWrap/>
            <w:vAlign w:val="center"/>
            <w:hideMark/>
          </w:tcPr>
          <w:p w14:paraId="2C0C7110" w14:textId="6CD621E9" w:rsidR="009560DE" w:rsidRPr="009560DE" w:rsidRDefault="00F51049" w:rsidP="009560DE">
            <w:pPr>
              <w:spacing w:after="0" w:line="240" w:lineRule="auto"/>
              <w:jc w:val="right"/>
              <w:rPr>
                <w:rFonts w:cs="Arial"/>
                <w:color w:val="000000"/>
                <w:sz w:val="18"/>
                <w:szCs w:val="18"/>
                <w:lang w:eastAsia="en-AU"/>
              </w:rPr>
            </w:pPr>
            <w:r w:rsidRPr="00F51049">
              <w:rPr>
                <w:sz w:val="18"/>
                <w:szCs w:val="18"/>
              </w:rPr>
              <w:t>251,186</w:t>
            </w:r>
          </w:p>
        </w:tc>
      </w:tr>
      <w:tr w:rsidR="009560DE" w:rsidRPr="009B6407" w14:paraId="548CE88B" w14:textId="77777777" w:rsidTr="006253C8">
        <w:trPr>
          <w:trHeight w:val="315"/>
        </w:trPr>
        <w:tc>
          <w:tcPr>
            <w:tcW w:w="2542" w:type="dxa"/>
            <w:shd w:val="clear" w:color="auto" w:fill="auto"/>
            <w:noWrap/>
            <w:vAlign w:val="center"/>
            <w:hideMark/>
          </w:tcPr>
          <w:p w14:paraId="443BF6DF" w14:textId="77777777" w:rsidR="009560DE" w:rsidRPr="009B6407" w:rsidRDefault="009560DE" w:rsidP="009560DE">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185" w:type="dxa"/>
            <w:shd w:val="clear" w:color="auto" w:fill="auto"/>
            <w:noWrap/>
            <w:vAlign w:val="center"/>
            <w:hideMark/>
          </w:tcPr>
          <w:p w14:paraId="4B7A9643" w14:textId="3E13EC84" w:rsidR="009560DE" w:rsidRPr="009560DE" w:rsidRDefault="00F51049" w:rsidP="009560DE">
            <w:pPr>
              <w:spacing w:after="0" w:line="240" w:lineRule="auto"/>
              <w:jc w:val="right"/>
              <w:rPr>
                <w:rFonts w:cs="Arial"/>
                <w:color w:val="000000"/>
                <w:sz w:val="18"/>
                <w:szCs w:val="18"/>
                <w:lang w:eastAsia="en-AU"/>
              </w:rPr>
            </w:pPr>
            <w:r w:rsidRPr="00F51049">
              <w:rPr>
                <w:sz w:val="18"/>
                <w:szCs w:val="18"/>
              </w:rPr>
              <w:t>160,827</w:t>
            </w:r>
          </w:p>
        </w:tc>
        <w:tc>
          <w:tcPr>
            <w:tcW w:w="1366" w:type="dxa"/>
            <w:shd w:val="clear" w:color="auto" w:fill="auto"/>
            <w:noWrap/>
            <w:vAlign w:val="center"/>
            <w:hideMark/>
          </w:tcPr>
          <w:p w14:paraId="38E36C98" w14:textId="53DA9148" w:rsidR="009560DE" w:rsidRPr="009560DE" w:rsidRDefault="00F51049" w:rsidP="009560DE">
            <w:pPr>
              <w:spacing w:after="0" w:line="240" w:lineRule="auto"/>
              <w:jc w:val="right"/>
              <w:rPr>
                <w:rFonts w:cs="Arial"/>
                <w:color w:val="000000"/>
                <w:sz w:val="18"/>
                <w:szCs w:val="18"/>
                <w:lang w:eastAsia="en-AU"/>
              </w:rPr>
            </w:pPr>
            <w:r w:rsidRPr="00F51049">
              <w:rPr>
                <w:sz w:val="18"/>
                <w:szCs w:val="18"/>
              </w:rPr>
              <w:t>220,097</w:t>
            </w:r>
          </w:p>
        </w:tc>
        <w:tc>
          <w:tcPr>
            <w:tcW w:w="1404" w:type="dxa"/>
            <w:shd w:val="clear" w:color="auto" w:fill="auto"/>
            <w:noWrap/>
            <w:vAlign w:val="center"/>
            <w:hideMark/>
          </w:tcPr>
          <w:p w14:paraId="07C9DE69" w14:textId="57B55788" w:rsidR="009560DE" w:rsidRPr="009560DE" w:rsidRDefault="00F51049" w:rsidP="009560DE">
            <w:pPr>
              <w:spacing w:after="0" w:line="240" w:lineRule="auto"/>
              <w:jc w:val="right"/>
              <w:rPr>
                <w:rFonts w:cs="Arial"/>
                <w:color w:val="000000"/>
                <w:sz w:val="18"/>
                <w:szCs w:val="18"/>
                <w:lang w:eastAsia="en-AU"/>
              </w:rPr>
            </w:pPr>
            <w:r w:rsidRPr="00F51049">
              <w:rPr>
                <w:sz w:val="18"/>
                <w:szCs w:val="18"/>
              </w:rPr>
              <w:t>326,295</w:t>
            </w:r>
          </w:p>
        </w:tc>
        <w:tc>
          <w:tcPr>
            <w:tcW w:w="1460" w:type="dxa"/>
            <w:shd w:val="clear" w:color="auto" w:fill="auto"/>
            <w:noWrap/>
            <w:vAlign w:val="center"/>
            <w:hideMark/>
          </w:tcPr>
          <w:p w14:paraId="666617CB" w14:textId="0E8100CE" w:rsidR="009560DE" w:rsidRPr="009560DE" w:rsidRDefault="00F51049" w:rsidP="009560DE">
            <w:pPr>
              <w:spacing w:after="0" w:line="240" w:lineRule="auto"/>
              <w:jc w:val="right"/>
              <w:rPr>
                <w:rFonts w:cs="Arial"/>
                <w:color w:val="000000"/>
                <w:sz w:val="18"/>
                <w:szCs w:val="18"/>
                <w:lang w:eastAsia="en-AU"/>
              </w:rPr>
            </w:pPr>
            <w:r w:rsidRPr="00F51049">
              <w:rPr>
                <w:sz w:val="18"/>
                <w:szCs w:val="18"/>
              </w:rPr>
              <w:t>285,155</w:t>
            </w:r>
          </w:p>
        </w:tc>
        <w:tc>
          <w:tcPr>
            <w:tcW w:w="1384" w:type="dxa"/>
            <w:shd w:val="clear" w:color="auto" w:fill="auto"/>
            <w:noWrap/>
            <w:vAlign w:val="center"/>
            <w:hideMark/>
          </w:tcPr>
          <w:p w14:paraId="75ABA2AE" w14:textId="10FEC2F4" w:rsidR="009560DE" w:rsidRPr="009560DE" w:rsidRDefault="00F51049" w:rsidP="009560DE">
            <w:pPr>
              <w:spacing w:after="0" w:line="240" w:lineRule="auto"/>
              <w:jc w:val="right"/>
              <w:rPr>
                <w:rFonts w:cs="Arial"/>
                <w:color w:val="000000"/>
                <w:sz w:val="18"/>
                <w:szCs w:val="18"/>
                <w:lang w:eastAsia="en-AU"/>
              </w:rPr>
            </w:pPr>
            <w:r w:rsidRPr="00F51049">
              <w:rPr>
                <w:sz w:val="18"/>
                <w:szCs w:val="18"/>
              </w:rPr>
              <w:t>285,155</w:t>
            </w:r>
          </w:p>
        </w:tc>
      </w:tr>
      <w:tr w:rsidR="009560DE" w:rsidRPr="009B6407" w14:paraId="603E459C" w14:textId="77777777" w:rsidTr="006253C8">
        <w:trPr>
          <w:trHeight w:val="315"/>
        </w:trPr>
        <w:tc>
          <w:tcPr>
            <w:tcW w:w="2542" w:type="dxa"/>
            <w:shd w:val="clear" w:color="auto" w:fill="auto"/>
            <w:noWrap/>
            <w:vAlign w:val="center"/>
            <w:hideMark/>
          </w:tcPr>
          <w:p w14:paraId="3CC1F5BC" w14:textId="77777777" w:rsidR="009560DE" w:rsidRPr="009B6407" w:rsidRDefault="009560DE" w:rsidP="009560DE">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185" w:type="dxa"/>
            <w:shd w:val="clear" w:color="auto" w:fill="auto"/>
            <w:noWrap/>
            <w:vAlign w:val="center"/>
            <w:hideMark/>
          </w:tcPr>
          <w:p w14:paraId="77FD13F2" w14:textId="7A09D724" w:rsidR="009560DE" w:rsidRPr="009560DE" w:rsidRDefault="009560DE" w:rsidP="009560DE">
            <w:pPr>
              <w:spacing w:after="0" w:line="240" w:lineRule="auto"/>
              <w:jc w:val="right"/>
              <w:rPr>
                <w:rFonts w:cs="Arial"/>
                <w:color w:val="000000"/>
                <w:sz w:val="18"/>
                <w:szCs w:val="18"/>
                <w:lang w:eastAsia="en-AU"/>
              </w:rPr>
            </w:pPr>
            <w:r w:rsidRPr="00F51049">
              <w:rPr>
                <w:sz w:val="18"/>
                <w:szCs w:val="18"/>
              </w:rPr>
              <w:t>16,</w:t>
            </w:r>
            <w:r w:rsidR="00F51049" w:rsidRPr="00F51049">
              <w:rPr>
                <w:sz w:val="18"/>
                <w:szCs w:val="18"/>
              </w:rPr>
              <w:t>436</w:t>
            </w:r>
          </w:p>
        </w:tc>
        <w:tc>
          <w:tcPr>
            <w:tcW w:w="1366" w:type="dxa"/>
            <w:shd w:val="clear" w:color="auto" w:fill="auto"/>
            <w:noWrap/>
            <w:vAlign w:val="center"/>
            <w:hideMark/>
          </w:tcPr>
          <w:p w14:paraId="42F32546" w14:textId="298F8376" w:rsidR="009560DE" w:rsidRPr="009560DE" w:rsidRDefault="00A768CB" w:rsidP="009560DE">
            <w:pPr>
              <w:spacing w:after="0" w:line="240" w:lineRule="auto"/>
              <w:jc w:val="right"/>
              <w:rPr>
                <w:rFonts w:cs="Arial"/>
                <w:color w:val="000000"/>
                <w:sz w:val="18"/>
                <w:szCs w:val="18"/>
                <w:lang w:eastAsia="en-AU"/>
              </w:rPr>
            </w:pPr>
            <w:r w:rsidRPr="00F51049">
              <w:rPr>
                <w:sz w:val="18"/>
                <w:szCs w:val="18"/>
              </w:rPr>
              <w:t>22,</w:t>
            </w:r>
            <w:r w:rsidR="00F51049" w:rsidRPr="00F51049">
              <w:rPr>
                <w:sz w:val="18"/>
                <w:szCs w:val="18"/>
              </w:rPr>
              <w:t>493</w:t>
            </w:r>
          </w:p>
        </w:tc>
        <w:tc>
          <w:tcPr>
            <w:tcW w:w="1404" w:type="dxa"/>
            <w:shd w:val="clear" w:color="auto" w:fill="auto"/>
            <w:noWrap/>
            <w:vAlign w:val="center"/>
            <w:hideMark/>
          </w:tcPr>
          <w:p w14:paraId="04E9B9BD" w14:textId="4BF4810B" w:rsidR="009560DE" w:rsidRPr="009560DE" w:rsidRDefault="00F51049" w:rsidP="009560DE">
            <w:pPr>
              <w:spacing w:after="0" w:line="240" w:lineRule="auto"/>
              <w:jc w:val="right"/>
              <w:rPr>
                <w:rFonts w:cs="Arial"/>
                <w:color w:val="000000"/>
                <w:sz w:val="18"/>
                <w:szCs w:val="18"/>
                <w:lang w:eastAsia="en-AU"/>
              </w:rPr>
            </w:pPr>
            <w:r w:rsidRPr="00F51049">
              <w:rPr>
                <w:sz w:val="18"/>
                <w:szCs w:val="18"/>
              </w:rPr>
              <w:t>39,821</w:t>
            </w:r>
          </w:p>
        </w:tc>
        <w:tc>
          <w:tcPr>
            <w:tcW w:w="1460" w:type="dxa"/>
            <w:shd w:val="clear" w:color="auto" w:fill="auto"/>
            <w:noWrap/>
            <w:vAlign w:val="center"/>
            <w:hideMark/>
          </w:tcPr>
          <w:p w14:paraId="158729D5" w14:textId="7BC9432E" w:rsidR="009560DE" w:rsidRPr="009560DE" w:rsidRDefault="00F51049" w:rsidP="009560DE">
            <w:pPr>
              <w:spacing w:after="0" w:line="240" w:lineRule="auto"/>
              <w:jc w:val="right"/>
              <w:rPr>
                <w:rFonts w:cs="Arial"/>
                <w:color w:val="000000"/>
                <w:sz w:val="18"/>
                <w:szCs w:val="18"/>
                <w:lang w:eastAsia="en-AU"/>
              </w:rPr>
            </w:pPr>
            <w:r w:rsidRPr="00F51049">
              <w:rPr>
                <w:sz w:val="18"/>
                <w:szCs w:val="18"/>
              </w:rPr>
              <w:t>38,308</w:t>
            </w:r>
          </w:p>
        </w:tc>
        <w:tc>
          <w:tcPr>
            <w:tcW w:w="1384" w:type="dxa"/>
            <w:shd w:val="clear" w:color="auto" w:fill="auto"/>
            <w:noWrap/>
            <w:vAlign w:val="center"/>
            <w:hideMark/>
          </w:tcPr>
          <w:p w14:paraId="7D5C7D42" w14:textId="2A25CD1A" w:rsidR="009560DE" w:rsidRPr="009560DE" w:rsidRDefault="00F51049" w:rsidP="009560DE">
            <w:pPr>
              <w:spacing w:after="0" w:line="240" w:lineRule="auto"/>
              <w:jc w:val="right"/>
              <w:rPr>
                <w:rFonts w:cs="Arial"/>
                <w:color w:val="000000"/>
                <w:sz w:val="18"/>
                <w:szCs w:val="18"/>
                <w:lang w:eastAsia="en-AU"/>
              </w:rPr>
            </w:pPr>
            <w:r w:rsidRPr="00F51049">
              <w:rPr>
                <w:sz w:val="18"/>
                <w:szCs w:val="18"/>
              </w:rPr>
              <w:t>38,308</w:t>
            </w:r>
          </w:p>
        </w:tc>
      </w:tr>
      <w:tr w:rsidR="009560DE" w:rsidRPr="009B6407" w14:paraId="46D7FB41" w14:textId="77777777" w:rsidTr="006253C8">
        <w:trPr>
          <w:trHeight w:val="315"/>
        </w:trPr>
        <w:tc>
          <w:tcPr>
            <w:tcW w:w="2542" w:type="dxa"/>
            <w:shd w:val="clear" w:color="auto" w:fill="auto"/>
            <w:noWrap/>
            <w:vAlign w:val="center"/>
            <w:hideMark/>
          </w:tcPr>
          <w:p w14:paraId="50015C98" w14:textId="77777777" w:rsidR="009560DE" w:rsidRPr="009B6407" w:rsidRDefault="009560DE" w:rsidP="009560DE">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185" w:type="dxa"/>
            <w:shd w:val="clear" w:color="auto" w:fill="auto"/>
            <w:noWrap/>
            <w:vAlign w:val="center"/>
            <w:hideMark/>
          </w:tcPr>
          <w:p w14:paraId="5F4A14C6" w14:textId="5B8EC83B" w:rsidR="009560DE" w:rsidRPr="009560DE" w:rsidRDefault="009560DE" w:rsidP="009560DE">
            <w:pPr>
              <w:spacing w:after="0" w:line="240" w:lineRule="auto"/>
              <w:jc w:val="right"/>
              <w:rPr>
                <w:rFonts w:cs="Arial"/>
                <w:color w:val="000000"/>
                <w:sz w:val="18"/>
                <w:szCs w:val="18"/>
                <w:lang w:eastAsia="en-AU"/>
              </w:rPr>
            </w:pPr>
            <w:r w:rsidRPr="00F51049">
              <w:rPr>
                <w:sz w:val="18"/>
                <w:szCs w:val="18"/>
              </w:rPr>
              <w:t>80,</w:t>
            </w:r>
            <w:r w:rsidR="00F51049" w:rsidRPr="00F51049">
              <w:rPr>
                <w:sz w:val="18"/>
                <w:szCs w:val="18"/>
              </w:rPr>
              <w:t>649</w:t>
            </w:r>
          </w:p>
        </w:tc>
        <w:tc>
          <w:tcPr>
            <w:tcW w:w="1366" w:type="dxa"/>
            <w:shd w:val="clear" w:color="auto" w:fill="auto"/>
            <w:noWrap/>
            <w:vAlign w:val="center"/>
            <w:hideMark/>
          </w:tcPr>
          <w:p w14:paraId="380BDCCD" w14:textId="3054D4D8" w:rsidR="009560DE" w:rsidRPr="009560DE" w:rsidRDefault="00A768CB" w:rsidP="009560DE">
            <w:pPr>
              <w:spacing w:after="0" w:line="240" w:lineRule="auto"/>
              <w:jc w:val="right"/>
              <w:rPr>
                <w:rFonts w:cs="Arial"/>
                <w:color w:val="000000"/>
                <w:sz w:val="18"/>
                <w:szCs w:val="18"/>
                <w:lang w:eastAsia="en-AU"/>
              </w:rPr>
            </w:pPr>
            <w:r w:rsidRPr="00F51049">
              <w:rPr>
                <w:sz w:val="18"/>
                <w:szCs w:val="18"/>
              </w:rPr>
              <w:t>110,</w:t>
            </w:r>
            <w:r w:rsidR="00F51049" w:rsidRPr="00F51049">
              <w:rPr>
                <w:sz w:val="18"/>
                <w:szCs w:val="18"/>
              </w:rPr>
              <w:t>371</w:t>
            </w:r>
          </w:p>
        </w:tc>
        <w:tc>
          <w:tcPr>
            <w:tcW w:w="1404" w:type="dxa"/>
            <w:shd w:val="clear" w:color="auto" w:fill="auto"/>
            <w:noWrap/>
            <w:vAlign w:val="center"/>
            <w:hideMark/>
          </w:tcPr>
          <w:p w14:paraId="3A227B64" w14:textId="6C00A1E4" w:rsidR="009560DE" w:rsidRPr="009560DE" w:rsidRDefault="00F51049" w:rsidP="009560DE">
            <w:pPr>
              <w:spacing w:after="0" w:line="240" w:lineRule="auto"/>
              <w:jc w:val="right"/>
              <w:rPr>
                <w:rFonts w:cs="Arial"/>
                <w:color w:val="000000"/>
                <w:sz w:val="18"/>
                <w:szCs w:val="18"/>
                <w:lang w:eastAsia="en-AU"/>
              </w:rPr>
            </w:pPr>
            <w:r w:rsidRPr="00F51049">
              <w:rPr>
                <w:sz w:val="18"/>
                <w:szCs w:val="18"/>
              </w:rPr>
              <w:t>114,320</w:t>
            </w:r>
          </w:p>
        </w:tc>
        <w:tc>
          <w:tcPr>
            <w:tcW w:w="1460" w:type="dxa"/>
            <w:shd w:val="clear" w:color="auto" w:fill="auto"/>
            <w:noWrap/>
            <w:vAlign w:val="center"/>
            <w:hideMark/>
          </w:tcPr>
          <w:p w14:paraId="57E479C7" w14:textId="5CC8D9D8" w:rsidR="009560DE" w:rsidRPr="009560DE" w:rsidRDefault="00A768CB" w:rsidP="009560DE">
            <w:pPr>
              <w:spacing w:after="0" w:line="240" w:lineRule="auto"/>
              <w:jc w:val="right"/>
              <w:rPr>
                <w:rFonts w:cs="Arial"/>
                <w:color w:val="000000"/>
                <w:sz w:val="18"/>
                <w:szCs w:val="18"/>
                <w:lang w:eastAsia="en-AU"/>
              </w:rPr>
            </w:pPr>
            <w:r w:rsidRPr="00F51049">
              <w:rPr>
                <w:sz w:val="18"/>
                <w:szCs w:val="18"/>
              </w:rPr>
              <w:t>110,</w:t>
            </w:r>
            <w:r w:rsidR="00F51049" w:rsidRPr="00F51049">
              <w:rPr>
                <w:sz w:val="18"/>
                <w:szCs w:val="18"/>
              </w:rPr>
              <w:t>371</w:t>
            </w:r>
          </w:p>
        </w:tc>
        <w:tc>
          <w:tcPr>
            <w:tcW w:w="1384" w:type="dxa"/>
            <w:shd w:val="clear" w:color="auto" w:fill="auto"/>
            <w:noWrap/>
            <w:vAlign w:val="center"/>
            <w:hideMark/>
          </w:tcPr>
          <w:p w14:paraId="7320A7F3" w14:textId="3A7B18D6" w:rsidR="009560DE" w:rsidRPr="009560DE" w:rsidRDefault="00A768CB" w:rsidP="009560DE">
            <w:pPr>
              <w:spacing w:after="0" w:line="240" w:lineRule="auto"/>
              <w:jc w:val="right"/>
              <w:rPr>
                <w:rFonts w:cs="Arial"/>
                <w:color w:val="000000"/>
                <w:sz w:val="18"/>
                <w:szCs w:val="18"/>
                <w:lang w:eastAsia="en-AU"/>
              </w:rPr>
            </w:pPr>
            <w:r w:rsidRPr="00F51049">
              <w:rPr>
                <w:sz w:val="18"/>
                <w:szCs w:val="18"/>
              </w:rPr>
              <w:t>110,</w:t>
            </w:r>
            <w:r w:rsidR="00F51049" w:rsidRPr="00F51049">
              <w:rPr>
                <w:sz w:val="18"/>
                <w:szCs w:val="18"/>
              </w:rPr>
              <w:t>371</w:t>
            </w:r>
          </w:p>
        </w:tc>
      </w:tr>
      <w:tr w:rsidR="009560DE" w:rsidRPr="009B6407" w14:paraId="00FE0E5A" w14:textId="77777777" w:rsidTr="00160B8E">
        <w:trPr>
          <w:trHeight w:val="315"/>
        </w:trPr>
        <w:tc>
          <w:tcPr>
            <w:tcW w:w="2542" w:type="dxa"/>
            <w:shd w:val="clear" w:color="auto" w:fill="EFE2E7" w:themeFill="text1" w:themeFillTint="1A"/>
            <w:noWrap/>
            <w:vAlign w:val="center"/>
            <w:hideMark/>
          </w:tcPr>
          <w:p w14:paraId="66CECEB1" w14:textId="55E552B0" w:rsidR="009560DE" w:rsidRPr="00990116" w:rsidRDefault="009560DE" w:rsidP="009560DE">
            <w:pPr>
              <w:spacing w:after="0" w:line="240" w:lineRule="auto"/>
              <w:rPr>
                <w:rFonts w:cs="Arial"/>
                <w:b/>
                <w:bCs/>
                <w:i/>
                <w:iCs/>
                <w:color w:val="000000"/>
                <w:sz w:val="18"/>
                <w:szCs w:val="18"/>
                <w:lang w:eastAsia="en-AU"/>
              </w:rPr>
            </w:pPr>
            <w:r w:rsidRPr="00990116">
              <w:rPr>
                <w:rFonts w:cs="Arial"/>
                <w:b/>
                <w:bCs/>
                <w:i/>
                <w:iCs/>
                <w:color w:val="000000"/>
                <w:sz w:val="18"/>
                <w:szCs w:val="18"/>
                <w:lang w:eastAsia="en-AU"/>
              </w:rPr>
              <w:t>Equity Group</w:t>
            </w:r>
          </w:p>
        </w:tc>
        <w:tc>
          <w:tcPr>
            <w:tcW w:w="1185" w:type="dxa"/>
            <w:shd w:val="clear" w:color="auto" w:fill="EFE2E7" w:themeFill="text1" w:themeFillTint="1A"/>
            <w:noWrap/>
            <w:vAlign w:val="center"/>
            <w:hideMark/>
          </w:tcPr>
          <w:p w14:paraId="26DC5397" w14:textId="581EE386" w:rsidR="009560DE" w:rsidRPr="00990116" w:rsidRDefault="00F51049" w:rsidP="009560DE">
            <w:pPr>
              <w:spacing w:after="0" w:line="240" w:lineRule="auto"/>
              <w:jc w:val="right"/>
              <w:rPr>
                <w:rFonts w:cs="Arial"/>
                <w:b/>
                <w:bCs/>
                <w:color w:val="000000"/>
                <w:sz w:val="18"/>
                <w:szCs w:val="18"/>
                <w:lang w:eastAsia="en-AU"/>
              </w:rPr>
            </w:pPr>
            <w:r w:rsidRPr="00990116">
              <w:rPr>
                <w:b/>
                <w:bCs/>
                <w:sz w:val="18"/>
                <w:szCs w:val="18"/>
              </w:rPr>
              <w:t>309,437</w:t>
            </w:r>
          </w:p>
        </w:tc>
        <w:tc>
          <w:tcPr>
            <w:tcW w:w="1366" w:type="dxa"/>
            <w:shd w:val="clear" w:color="auto" w:fill="EFE2E7" w:themeFill="text1" w:themeFillTint="1A"/>
            <w:noWrap/>
            <w:vAlign w:val="center"/>
            <w:hideMark/>
          </w:tcPr>
          <w:p w14:paraId="6D7F81EC" w14:textId="378F8AF8" w:rsidR="009560DE" w:rsidRPr="00990116" w:rsidRDefault="00F51049" w:rsidP="009560DE">
            <w:pPr>
              <w:spacing w:after="0" w:line="240" w:lineRule="auto"/>
              <w:jc w:val="right"/>
              <w:rPr>
                <w:rFonts w:cs="Arial"/>
                <w:b/>
                <w:bCs/>
                <w:color w:val="000000"/>
                <w:sz w:val="18"/>
                <w:szCs w:val="18"/>
                <w:lang w:eastAsia="en-AU"/>
              </w:rPr>
            </w:pPr>
            <w:r w:rsidRPr="00990116">
              <w:rPr>
                <w:b/>
                <w:bCs/>
                <w:sz w:val="18"/>
                <w:szCs w:val="18"/>
              </w:rPr>
              <w:t>423,477</w:t>
            </w:r>
          </w:p>
        </w:tc>
        <w:tc>
          <w:tcPr>
            <w:tcW w:w="1404" w:type="dxa"/>
            <w:shd w:val="clear" w:color="auto" w:fill="EFE2E7" w:themeFill="text1" w:themeFillTint="1A"/>
            <w:noWrap/>
            <w:vAlign w:val="center"/>
            <w:hideMark/>
          </w:tcPr>
          <w:p w14:paraId="4FA8322B" w14:textId="73F93ACF" w:rsidR="009560DE" w:rsidRPr="00990116" w:rsidRDefault="00F51049" w:rsidP="009560DE">
            <w:pPr>
              <w:spacing w:after="0" w:line="240" w:lineRule="auto"/>
              <w:jc w:val="right"/>
              <w:rPr>
                <w:rFonts w:cs="Arial"/>
                <w:b/>
                <w:bCs/>
                <w:color w:val="000000"/>
                <w:sz w:val="18"/>
                <w:szCs w:val="18"/>
                <w:lang w:eastAsia="en-AU"/>
              </w:rPr>
            </w:pPr>
            <w:r w:rsidRPr="00990116">
              <w:rPr>
                <w:b/>
                <w:bCs/>
                <w:sz w:val="18"/>
                <w:szCs w:val="18"/>
              </w:rPr>
              <w:t>585,801</w:t>
            </w:r>
          </w:p>
        </w:tc>
        <w:tc>
          <w:tcPr>
            <w:tcW w:w="1460" w:type="dxa"/>
            <w:shd w:val="clear" w:color="auto" w:fill="EFE2E7" w:themeFill="text1" w:themeFillTint="1A"/>
            <w:noWrap/>
            <w:vAlign w:val="center"/>
            <w:hideMark/>
          </w:tcPr>
          <w:p w14:paraId="02998A25" w14:textId="554D73B3" w:rsidR="009560DE" w:rsidRPr="00990116" w:rsidRDefault="00F51049" w:rsidP="009560DE">
            <w:pPr>
              <w:spacing w:after="0" w:line="240" w:lineRule="auto"/>
              <w:jc w:val="right"/>
              <w:rPr>
                <w:rFonts w:cs="Arial"/>
                <w:b/>
                <w:bCs/>
                <w:color w:val="000000"/>
                <w:sz w:val="18"/>
                <w:szCs w:val="18"/>
                <w:lang w:eastAsia="en-AU"/>
              </w:rPr>
            </w:pPr>
            <w:r w:rsidRPr="00990116">
              <w:rPr>
                <w:b/>
                <w:bCs/>
                <w:sz w:val="18"/>
                <w:szCs w:val="18"/>
              </w:rPr>
              <w:t>541,166</w:t>
            </w:r>
          </w:p>
        </w:tc>
        <w:tc>
          <w:tcPr>
            <w:tcW w:w="1384" w:type="dxa"/>
            <w:shd w:val="clear" w:color="auto" w:fill="EFE2E7" w:themeFill="text1" w:themeFillTint="1A"/>
            <w:noWrap/>
            <w:vAlign w:val="center"/>
            <w:hideMark/>
          </w:tcPr>
          <w:p w14:paraId="57555DD8" w14:textId="54FA8D99" w:rsidR="009560DE" w:rsidRPr="00990116" w:rsidRDefault="00F51049" w:rsidP="009560DE">
            <w:pPr>
              <w:spacing w:after="0" w:line="240" w:lineRule="auto"/>
              <w:jc w:val="right"/>
              <w:rPr>
                <w:rFonts w:cs="Arial"/>
                <w:b/>
                <w:bCs/>
                <w:color w:val="000000"/>
                <w:sz w:val="18"/>
                <w:szCs w:val="18"/>
                <w:lang w:eastAsia="en-AU"/>
              </w:rPr>
            </w:pPr>
            <w:r w:rsidRPr="00990116">
              <w:rPr>
                <w:b/>
                <w:bCs/>
                <w:sz w:val="18"/>
                <w:szCs w:val="18"/>
              </w:rPr>
              <w:t>541,166</w:t>
            </w:r>
          </w:p>
        </w:tc>
      </w:tr>
      <w:tr w:rsidR="009560DE" w:rsidRPr="009B6407" w14:paraId="37AA3500" w14:textId="77777777" w:rsidTr="006253C8">
        <w:trPr>
          <w:trHeight w:val="315"/>
        </w:trPr>
        <w:tc>
          <w:tcPr>
            <w:tcW w:w="2542" w:type="dxa"/>
            <w:shd w:val="clear" w:color="000000" w:fill="FFFFFF"/>
            <w:noWrap/>
            <w:vAlign w:val="center"/>
            <w:hideMark/>
          </w:tcPr>
          <w:p w14:paraId="2D7945DF" w14:textId="77777777" w:rsidR="009560DE" w:rsidRPr="009B6407" w:rsidRDefault="009560DE" w:rsidP="009560DE">
            <w:pPr>
              <w:spacing w:after="0" w:line="240" w:lineRule="auto"/>
              <w:rPr>
                <w:rFonts w:cs="Arial"/>
                <w:i/>
                <w:iCs/>
                <w:color w:val="000000"/>
                <w:sz w:val="18"/>
                <w:szCs w:val="18"/>
                <w:lang w:eastAsia="en-AU"/>
              </w:rPr>
            </w:pPr>
            <w:r w:rsidRPr="009B6407">
              <w:rPr>
                <w:rFonts w:cs="Arial"/>
                <w:i/>
                <w:iCs/>
                <w:color w:val="000000"/>
                <w:sz w:val="18"/>
                <w:szCs w:val="18"/>
                <w:lang w:eastAsia="en-AU"/>
              </w:rPr>
              <w:t> </w:t>
            </w:r>
          </w:p>
        </w:tc>
        <w:tc>
          <w:tcPr>
            <w:tcW w:w="1185" w:type="dxa"/>
            <w:shd w:val="clear" w:color="000000" w:fill="FFFFFF"/>
            <w:noWrap/>
            <w:vAlign w:val="center"/>
            <w:hideMark/>
          </w:tcPr>
          <w:p w14:paraId="207A582D" w14:textId="2B170DD6" w:rsidR="009560DE" w:rsidRPr="009560DE" w:rsidRDefault="009560DE" w:rsidP="009560DE">
            <w:pPr>
              <w:spacing w:after="0" w:line="240" w:lineRule="auto"/>
              <w:jc w:val="right"/>
              <w:rPr>
                <w:rFonts w:cs="Arial"/>
                <w:color w:val="000000"/>
                <w:sz w:val="18"/>
                <w:szCs w:val="18"/>
                <w:lang w:eastAsia="en-AU"/>
              </w:rPr>
            </w:pPr>
          </w:p>
        </w:tc>
        <w:tc>
          <w:tcPr>
            <w:tcW w:w="1366" w:type="dxa"/>
            <w:shd w:val="clear" w:color="000000" w:fill="FFFFFF"/>
            <w:noWrap/>
            <w:vAlign w:val="center"/>
            <w:hideMark/>
          </w:tcPr>
          <w:p w14:paraId="1095855D" w14:textId="2E7A89C2" w:rsidR="009560DE" w:rsidRPr="009560DE" w:rsidRDefault="009560DE" w:rsidP="009560DE">
            <w:pPr>
              <w:spacing w:after="0" w:line="240" w:lineRule="auto"/>
              <w:jc w:val="right"/>
              <w:rPr>
                <w:rFonts w:cs="Arial"/>
                <w:color w:val="000000"/>
                <w:sz w:val="18"/>
                <w:szCs w:val="18"/>
                <w:lang w:eastAsia="en-AU"/>
              </w:rPr>
            </w:pPr>
          </w:p>
        </w:tc>
        <w:tc>
          <w:tcPr>
            <w:tcW w:w="1404" w:type="dxa"/>
            <w:shd w:val="clear" w:color="000000" w:fill="FFFFFF"/>
            <w:noWrap/>
            <w:vAlign w:val="center"/>
            <w:hideMark/>
          </w:tcPr>
          <w:p w14:paraId="5329F5CC" w14:textId="2E03A81A" w:rsidR="009560DE" w:rsidRPr="009560DE" w:rsidRDefault="009560DE" w:rsidP="009560DE">
            <w:pPr>
              <w:spacing w:after="0" w:line="240" w:lineRule="auto"/>
              <w:jc w:val="right"/>
              <w:rPr>
                <w:rFonts w:cs="Arial"/>
                <w:color w:val="000000"/>
                <w:sz w:val="18"/>
                <w:szCs w:val="18"/>
                <w:lang w:eastAsia="en-AU"/>
              </w:rPr>
            </w:pPr>
          </w:p>
        </w:tc>
        <w:tc>
          <w:tcPr>
            <w:tcW w:w="1460" w:type="dxa"/>
            <w:shd w:val="clear" w:color="000000" w:fill="FFFFFF"/>
            <w:noWrap/>
            <w:vAlign w:val="center"/>
            <w:hideMark/>
          </w:tcPr>
          <w:p w14:paraId="0BC76D5D" w14:textId="5D54B201" w:rsidR="009560DE" w:rsidRPr="009560DE" w:rsidRDefault="009560DE" w:rsidP="009560DE">
            <w:pPr>
              <w:spacing w:after="0" w:line="240" w:lineRule="auto"/>
              <w:jc w:val="right"/>
              <w:rPr>
                <w:rFonts w:cs="Arial"/>
                <w:color w:val="000000"/>
                <w:sz w:val="18"/>
                <w:szCs w:val="18"/>
                <w:lang w:eastAsia="en-AU"/>
              </w:rPr>
            </w:pPr>
          </w:p>
        </w:tc>
        <w:tc>
          <w:tcPr>
            <w:tcW w:w="1384" w:type="dxa"/>
            <w:shd w:val="clear" w:color="000000" w:fill="FFFFFF"/>
            <w:noWrap/>
            <w:vAlign w:val="center"/>
            <w:hideMark/>
          </w:tcPr>
          <w:p w14:paraId="7CBB4746" w14:textId="153DB1EC" w:rsidR="009560DE" w:rsidRPr="009560DE" w:rsidRDefault="009560DE" w:rsidP="009560DE">
            <w:pPr>
              <w:spacing w:after="0" w:line="240" w:lineRule="auto"/>
              <w:jc w:val="right"/>
              <w:rPr>
                <w:rFonts w:cs="Arial"/>
                <w:color w:val="000000"/>
                <w:sz w:val="18"/>
                <w:szCs w:val="18"/>
                <w:lang w:eastAsia="en-AU"/>
              </w:rPr>
            </w:pPr>
          </w:p>
        </w:tc>
      </w:tr>
      <w:tr w:rsidR="009560DE" w:rsidRPr="009B6407" w14:paraId="3FE8BAC7" w14:textId="77777777" w:rsidTr="006253C8">
        <w:trPr>
          <w:trHeight w:val="315"/>
        </w:trPr>
        <w:tc>
          <w:tcPr>
            <w:tcW w:w="2542" w:type="dxa"/>
            <w:shd w:val="clear" w:color="auto" w:fill="auto"/>
            <w:noWrap/>
            <w:vAlign w:val="center"/>
            <w:hideMark/>
          </w:tcPr>
          <w:p w14:paraId="17C0227C" w14:textId="77777777" w:rsidR="009560DE" w:rsidRPr="009B6407" w:rsidRDefault="009560DE" w:rsidP="009560DE">
            <w:pPr>
              <w:spacing w:after="0" w:line="240" w:lineRule="auto"/>
              <w:rPr>
                <w:rFonts w:cs="Arial"/>
                <w:i/>
                <w:iCs/>
                <w:color w:val="000000"/>
                <w:sz w:val="18"/>
                <w:szCs w:val="18"/>
                <w:lang w:eastAsia="en-AU"/>
              </w:rPr>
            </w:pPr>
            <w:r w:rsidRPr="009B6407">
              <w:rPr>
                <w:rFonts w:cs="Arial"/>
                <w:i/>
                <w:iCs/>
                <w:color w:val="000000"/>
                <w:sz w:val="18"/>
                <w:szCs w:val="18"/>
                <w:lang w:eastAsia="en-AU"/>
              </w:rPr>
              <w:t>Equity Share</w:t>
            </w:r>
            <w:r w:rsidRPr="003E37A9">
              <w:rPr>
                <w:rFonts w:cs="Arial"/>
                <w:i/>
                <w:iCs/>
                <w:color w:val="000000"/>
                <w:sz w:val="18"/>
                <w:szCs w:val="18"/>
                <w:lang w:eastAsia="en-AU"/>
              </w:rPr>
              <w:t xml:space="preserve"> of Growth</w:t>
            </w:r>
            <w:r w:rsidRPr="009B6407">
              <w:rPr>
                <w:rFonts w:cs="Arial"/>
                <w:i/>
                <w:iCs/>
                <w:color w:val="000000"/>
                <w:sz w:val="18"/>
                <w:szCs w:val="18"/>
                <w:lang w:eastAsia="en-AU"/>
              </w:rPr>
              <w:t xml:space="preserve"> (%)</w:t>
            </w:r>
          </w:p>
        </w:tc>
        <w:tc>
          <w:tcPr>
            <w:tcW w:w="1185" w:type="dxa"/>
            <w:shd w:val="clear" w:color="auto" w:fill="auto"/>
            <w:noWrap/>
            <w:vAlign w:val="center"/>
            <w:hideMark/>
          </w:tcPr>
          <w:p w14:paraId="40F7AE96" w14:textId="7ADF713D" w:rsidR="009560DE" w:rsidRPr="009560DE" w:rsidRDefault="009560DE" w:rsidP="009560DE">
            <w:pPr>
              <w:spacing w:after="0" w:line="240" w:lineRule="auto"/>
              <w:jc w:val="right"/>
              <w:rPr>
                <w:rFonts w:cs="Arial"/>
                <w:color w:val="000000"/>
                <w:sz w:val="18"/>
                <w:szCs w:val="18"/>
                <w:lang w:eastAsia="en-AU"/>
              </w:rPr>
            </w:pPr>
          </w:p>
        </w:tc>
        <w:tc>
          <w:tcPr>
            <w:tcW w:w="1366" w:type="dxa"/>
            <w:shd w:val="clear" w:color="auto" w:fill="auto"/>
            <w:noWrap/>
            <w:vAlign w:val="center"/>
            <w:hideMark/>
          </w:tcPr>
          <w:p w14:paraId="78F18B87" w14:textId="79EA737F" w:rsidR="009560DE" w:rsidRPr="009560DE" w:rsidRDefault="00F51049" w:rsidP="009560DE">
            <w:pPr>
              <w:spacing w:after="0" w:line="240" w:lineRule="auto"/>
              <w:jc w:val="right"/>
              <w:rPr>
                <w:rFonts w:cs="Arial"/>
                <w:color w:val="000000"/>
                <w:sz w:val="18"/>
                <w:szCs w:val="18"/>
                <w:lang w:eastAsia="en-AU"/>
              </w:rPr>
            </w:pPr>
            <w:r w:rsidRPr="00F51049">
              <w:rPr>
                <w:sz w:val="18"/>
                <w:szCs w:val="18"/>
              </w:rPr>
              <w:t>39.6</w:t>
            </w:r>
          </w:p>
        </w:tc>
        <w:tc>
          <w:tcPr>
            <w:tcW w:w="1404" w:type="dxa"/>
            <w:shd w:val="clear" w:color="auto" w:fill="auto"/>
            <w:noWrap/>
            <w:vAlign w:val="center"/>
            <w:hideMark/>
          </w:tcPr>
          <w:p w14:paraId="6582AE7B" w14:textId="54EDA2A8" w:rsidR="009560DE" w:rsidRPr="009560DE" w:rsidRDefault="00F51049" w:rsidP="009560DE">
            <w:pPr>
              <w:spacing w:after="0" w:line="240" w:lineRule="auto"/>
              <w:jc w:val="right"/>
              <w:rPr>
                <w:rFonts w:cs="Arial"/>
                <w:color w:val="000000"/>
                <w:sz w:val="18"/>
                <w:szCs w:val="18"/>
                <w:lang w:eastAsia="en-AU"/>
              </w:rPr>
            </w:pPr>
            <w:r w:rsidRPr="00F51049">
              <w:rPr>
                <w:sz w:val="18"/>
                <w:szCs w:val="18"/>
              </w:rPr>
              <w:t>96.0</w:t>
            </w:r>
          </w:p>
        </w:tc>
        <w:tc>
          <w:tcPr>
            <w:tcW w:w="1460" w:type="dxa"/>
            <w:shd w:val="clear" w:color="auto" w:fill="auto"/>
            <w:noWrap/>
            <w:vAlign w:val="center"/>
            <w:hideMark/>
          </w:tcPr>
          <w:p w14:paraId="616C8903" w14:textId="1D609689" w:rsidR="009560DE" w:rsidRPr="009560DE" w:rsidRDefault="00F51049" w:rsidP="009560DE">
            <w:pPr>
              <w:spacing w:after="0" w:line="240" w:lineRule="auto"/>
              <w:jc w:val="right"/>
              <w:rPr>
                <w:rFonts w:cs="Arial"/>
                <w:color w:val="000000"/>
                <w:sz w:val="18"/>
                <w:szCs w:val="18"/>
                <w:lang w:eastAsia="en-AU"/>
              </w:rPr>
            </w:pPr>
            <w:r w:rsidRPr="00F51049">
              <w:rPr>
                <w:sz w:val="18"/>
                <w:szCs w:val="18"/>
              </w:rPr>
              <w:t>80.5</w:t>
            </w:r>
          </w:p>
        </w:tc>
        <w:tc>
          <w:tcPr>
            <w:tcW w:w="1384" w:type="dxa"/>
            <w:shd w:val="clear" w:color="auto" w:fill="auto"/>
            <w:noWrap/>
            <w:vAlign w:val="center"/>
            <w:hideMark/>
          </w:tcPr>
          <w:p w14:paraId="1BD11A40" w14:textId="303643C6" w:rsidR="009560DE" w:rsidRPr="009560DE" w:rsidRDefault="00F51049" w:rsidP="009560DE">
            <w:pPr>
              <w:spacing w:after="0" w:line="240" w:lineRule="auto"/>
              <w:jc w:val="right"/>
              <w:rPr>
                <w:rFonts w:cs="Arial"/>
                <w:color w:val="000000"/>
                <w:sz w:val="18"/>
                <w:szCs w:val="18"/>
                <w:lang w:eastAsia="en-AU"/>
              </w:rPr>
            </w:pPr>
            <w:r w:rsidRPr="00F51049">
              <w:rPr>
                <w:sz w:val="18"/>
                <w:szCs w:val="18"/>
              </w:rPr>
              <w:t>80.5</w:t>
            </w:r>
          </w:p>
        </w:tc>
      </w:tr>
    </w:tbl>
    <w:p w14:paraId="5E52409A" w14:textId="4B05D5BD" w:rsidR="0069657B" w:rsidRDefault="00923303" w:rsidP="0055011D">
      <w:pPr>
        <w:spacing w:after="0" w:line="240" w:lineRule="auto"/>
        <w:rPr>
          <w:rFonts w:cs="Arial"/>
          <w:sz w:val="18"/>
          <w:szCs w:val="18"/>
        </w:rPr>
      </w:pPr>
      <w:r>
        <w:rPr>
          <w:b/>
          <w:bCs/>
          <w:sz w:val="18"/>
          <w:szCs w:val="18"/>
        </w:rPr>
        <w:t xml:space="preserve">Note: </w:t>
      </w:r>
      <w:r>
        <w:rPr>
          <w:rFonts w:cs="Arial"/>
          <w:sz w:val="18"/>
          <w:szCs w:val="18"/>
        </w:rPr>
        <w:t xml:space="preserve">The aggregate measure of enrolments here differs partially from the standard measures in Table 2 due to the suppression of some data.   </w:t>
      </w:r>
      <w:r>
        <w:rPr>
          <w:rFonts w:cs="Arial"/>
          <w:sz w:val="18"/>
          <w:szCs w:val="18"/>
        </w:rPr>
        <w:br/>
      </w:r>
      <w:r w:rsidR="0069657B">
        <w:rPr>
          <w:b/>
          <w:bCs/>
          <w:sz w:val="18"/>
          <w:szCs w:val="18"/>
        </w:rPr>
        <w:t>Source:</w:t>
      </w:r>
      <w:r w:rsidR="0069657B">
        <w:rPr>
          <w:sz w:val="18"/>
          <w:szCs w:val="18"/>
        </w:rPr>
        <w:t xml:space="preserve"> </w:t>
      </w:r>
      <w:r w:rsidR="0069657B" w:rsidRPr="009E5181">
        <w:rPr>
          <w:rFonts w:cs="Arial"/>
          <w:sz w:val="18"/>
          <w:szCs w:val="18"/>
        </w:rPr>
        <w:t>Australian Government Department of Education (2023)</w:t>
      </w:r>
      <w:r w:rsidR="0069657B">
        <w:rPr>
          <w:rFonts w:cs="Arial"/>
          <w:sz w:val="18"/>
          <w:szCs w:val="18"/>
        </w:rPr>
        <w:t xml:space="preserve"> and </w:t>
      </w:r>
      <w:r w:rsidR="002D13E9">
        <w:rPr>
          <w:rFonts w:cs="Arial"/>
          <w:sz w:val="18"/>
          <w:szCs w:val="18"/>
        </w:rPr>
        <w:t>ACSES</w:t>
      </w:r>
      <w:r w:rsidR="0069657B">
        <w:rPr>
          <w:rFonts w:cs="Arial"/>
          <w:sz w:val="18"/>
          <w:szCs w:val="18"/>
        </w:rPr>
        <w:t xml:space="preserve"> calculations.</w:t>
      </w:r>
    </w:p>
    <w:p w14:paraId="11AE0969" w14:textId="77777777" w:rsidR="0055011D" w:rsidRPr="0055011D" w:rsidRDefault="0055011D" w:rsidP="0055011D">
      <w:pPr>
        <w:spacing w:after="0" w:line="240" w:lineRule="auto"/>
        <w:rPr>
          <w:b/>
          <w:bCs/>
          <w:sz w:val="18"/>
          <w:szCs w:val="18"/>
        </w:rPr>
      </w:pPr>
    </w:p>
    <w:p w14:paraId="6D312185" w14:textId="67E6729A" w:rsidR="00EA5478" w:rsidRDefault="006B57B5">
      <w:pPr>
        <w:rPr>
          <w:rFonts w:cstheme="minorHAnsi"/>
          <w:color w:val="000000"/>
          <w:szCs w:val="22"/>
          <w:lang w:eastAsia="en-AU"/>
        </w:rPr>
      </w:pPr>
      <w:r>
        <w:rPr>
          <w:rFonts w:cstheme="minorHAnsi"/>
          <w:color w:val="000000"/>
          <w:szCs w:val="22"/>
          <w:lang w:eastAsia="en-AU"/>
        </w:rPr>
        <w:br/>
      </w:r>
      <w:r w:rsidR="006A3E74">
        <w:rPr>
          <w:rFonts w:cstheme="minorHAnsi"/>
          <w:color w:val="000000"/>
          <w:szCs w:val="22"/>
          <w:lang w:eastAsia="en-AU"/>
        </w:rPr>
        <w:t xml:space="preserve">The inclusion of </w:t>
      </w:r>
      <w:r w:rsidR="001B5BC5">
        <w:rPr>
          <w:rFonts w:cstheme="minorHAnsi"/>
          <w:color w:val="000000"/>
          <w:szCs w:val="22"/>
          <w:lang w:eastAsia="en-AU"/>
        </w:rPr>
        <w:t xml:space="preserve">interstate institutions </w:t>
      </w:r>
      <w:r w:rsidR="009367D0">
        <w:rPr>
          <w:rFonts w:cstheme="minorHAnsi"/>
          <w:color w:val="000000"/>
          <w:szCs w:val="22"/>
          <w:lang w:eastAsia="en-AU"/>
        </w:rPr>
        <w:t xml:space="preserve">reduces overall targets marginally across the three active strategies </w:t>
      </w:r>
      <w:r w:rsidR="0036469F">
        <w:rPr>
          <w:rFonts w:cstheme="minorHAnsi"/>
          <w:color w:val="000000"/>
          <w:szCs w:val="22"/>
          <w:lang w:eastAsia="en-AU"/>
        </w:rPr>
        <w:t xml:space="preserve">compared with the </w:t>
      </w:r>
      <w:r w:rsidR="0036469F" w:rsidRPr="005A7F7C">
        <w:rPr>
          <w:rFonts w:cstheme="minorHAnsi"/>
          <w:i/>
          <w:iCs/>
          <w:color w:val="000000"/>
          <w:szCs w:val="22"/>
          <w:lang w:eastAsia="en-AU"/>
        </w:rPr>
        <w:t>State/Territory (Home institutions)</w:t>
      </w:r>
      <w:r w:rsidR="0036469F">
        <w:rPr>
          <w:rFonts w:cstheme="minorHAnsi"/>
          <w:color w:val="000000"/>
          <w:szCs w:val="22"/>
          <w:lang w:eastAsia="en-AU"/>
        </w:rPr>
        <w:t xml:space="preserve"> </w:t>
      </w:r>
      <w:r w:rsidR="00E67693">
        <w:rPr>
          <w:rFonts w:cstheme="minorHAnsi"/>
          <w:color w:val="000000"/>
          <w:szCs w:val="22"/>
          <w:lang w:eastAsia="en-AU"/>
        </w:rPr>
        <w:t>option</w:t>
      </w:r>
      <w:r w:rsidR="00566EA4">
        <w:rPr>
          <w:rFonts w:cstheme="minorHAnsi"/>
          <w:color w:val="000000"/>
          <w:szCs w:val="22"/>
          <w:lang w:eastAsia="en-AU"/>
        </w:rPr>
        <w:t xml:space="preserve"> (Table 9)</w:t>
      </w:r>
      <w:r w:rsidR="006178AD">
        <w:rPr>
          <w:rFonts w:cstheme="minorHAnsi"/>
          <w:color w:val="000000"/>
          <w:szCs w:val="22"/>
          <w:lang w:eastAsia="en-AU"/>
        </w:rPr>
        <w:t xml:space="preserve">, </w:t>
      </w:r>
      <w:r w:rsidR="005A7F7C">
        <w:rPr>
          <w:rFonts w:cstheme="minorHAnsi"/>
          <w:color w:val="000000"/>
          <w:szCs w:val="22"/>
          <w:lang w:eastAsia="en-AU"/>
        </w:rPr>
        <w:t xml:space="preserve">with required equity student growth </w:t>
      </w:r>
      <w:r w:rsidR="006178AD">
        <w:rPr>
          <w:rFonts w:cstheme="minorHAnsi"/>
          <w:color w:val="000000"/>
          <w:szCs w:val="22"/>
          <w:lang w:eastAsia="en-AU"/>
        </w:rPr>
        <w:t>lower</w:t>
      </w:r>
      <w:r w:rsidR="005A7F7C">
        <w:rPr>
          <w:rFonts w:cstheme="minorHAnsi"/>
          <w:color w:val="000000"/>
          <w:szCs w:val="22"/>
          <w:lang w:eastAsia="en-AU"/>
        </w:rPr>
        <w:t xml:space="preserve">, </w:t>
      </w:r>
      <w:r w:rsidR="006178AD">
        <w:rPr>
          <w:rFonts w:cstheme="minorHAnsi"/>
          <w:color w:val="000000"/>
          <w:szCs w:val="22"/>
          <w:lang w:eastAsia="en-AU"/>
        </w:rPr>
        <w:t xml:space="preserve">and </w:t>
      </w:r>
      <w:r w:rsidR="00734DF9">
        <w:rPr>
          <w:rFonts w:cstheme="minorHAnsi"/>
          <w:color w:val="000000"/>
          <w:szCs w:val="22"/>
          <w:lang w:eastAsia="en-AU"/>
        </w:rPr>
        <w:t xml:space="preserve">with </w:t>
      </w:r>
      <w:r w:rsidR="004265B9">
        <w:rPr>
          <w:rFonts w:cstheme="minorHAnsi"/>
          <w:color w:val="000000"/>
          <w:szCs w:val="22"/>
          <w:lang w:eastAsia="en-AU"/>
        </w:rPr>
        <w:t xml:space="preserve">larger reductions in the requirement for </w:t>
      </w:r>
      <w:r w:rsidR="006178AD">
        <w:rPr>
          <w:rFonts w:cstheme="minorHAnsi"/>
          <w:color w:val="000000"/>
          <w:szCs w:val="22"/>
          <w:lang w:eastAsia="en-AU"/>
        </w:rPr>
        <w:t xml:space="preserve">the </w:t>
      </w:r>
      <w:r w:rsidR="00CB7B64">
        <w:rPr>
          <w:rFonts w:cstheme="minorHAnsi"/>
          <w:color w:val="000000"/>
          <w:szCs w:val="22"/>
          <w:lang w:eastAsia="en-AU"/>
        </w:rPr>
        <w:t>regional/remote</w:t>
      </w:r>
      <w:r w:rsidR="006178AD">
        <w:rPr>
          <w:rFonts w:cstheme="minorHAnsi"/>
          <w:color w:val="000000"/>
          <w:szCs w:val="22"/>
          <w:lang w:eastAsia="en-AU"/>
        </w:rPr>
        <w:t xml:space="preserve"> </w:t>
      </w:r>
      <w:r w:rsidR="00EA5478">
        <w:rPr>
          <w:rFonts w:cstheme="minorHAnsi"/>
          <w:color w:val="000000"/>
          <w:szCs w:val="22"/>
          <w:lang w:eastAsia="en-AU"/>
        </w:rPr>
        <w:t>and First Nations</w:t>
      </w:r>
      <w:r w:rsidR="00566EA4">
        <w:rPr>
          <w:rFonts w:cstheme="minorHAnsi"/>
          <w:color w:val="000000"/>
          <w:szCs w:val="22"/>
          <w:lang w:eastAsia="en-AU"/>
        </w:rPr>
        <w:t xml:space="preserve"> </w:t>
      </w:r>
      <w:r w:rsidR="006178AD">
        <w:rPr>
          <w:rFonts w:cstheme="minorHAnsi"/>
          <w:color w:val="000000"/>
          <w:szCs w:val="22"/>
          <w:lang w:eastAsia="en-AU"/>
        </w:rPr>
        <w:t>groups</w:t>
      </w:r>
      <w:r w:rsidR="00EA5478">
        <w:rPr>
          <w:rFonts w:cstheme="minorHAnsi"/>
          <w:color w:val="000000"/>
          <w:szCs w:val="22"/>
          <w:lang w:eastAsia="en-AU"/>
        </w:rPr>
        <w:t>.</w:t>
      </w:r>
      <w:r w:rsidR="00A803F7">
        <w:rPr>
          <w:rFonts w:cstheme="minorHAnsi"/>
          <w:color w:val="000000"/>
          <w:szCs w:val="22"/>
          <w:lang w:eastAsia="en-AU"/>
        </w:rPr>
        <w:t xml:space="preserve"> </w:t>
      </w:r>
      <w:r w:rsidR="00EA5478">
        <w:rPr>
          <w:rFonts w:cstheme="minorHAnsi"/>
          <w:color w:val="000000"/>
          <w:szCs w:val="22"/>
          <w:lang w:eastAsia="en-AU"/>
        </w:rPr>
        <w:t xml:space="preserve"> </w:t>
      </w:r>
      <w:r w:rsidR="00CB7B64">
        <w:rPr>
          <w:rFonts w:cstheme="minorHAnsi"/>
          <w:color w:val="000000"/>
          <w:szCs w:val="22"/>
          <w:lang w:eastAsia="en-AU"/>
        </w:rPr>
        <w:t xml:space="preserve"> </w:t>
      </w:r>
    </w:p>
    <w:p w14:paraId="4EE56F6C" w14:textId="77777777" w:rsidR="000E1F28" w:rsidRDefault="000E1F28" w:rsidP="007F6F36">
      <w:pPr>
        <w:rPr>
          <w:rFonts w:eastAsiaTheme="majorEastAsia"/>
        </w:rPr>
      </w:pPr>
    </w:p>
    <w:p w14:paraId="37E3A874" w14:textId="3C62B2AE" w:rsidR="00D01B7E" w:rsidRDefault="00A87304" w:rsidP="007F6F36">
      <w:pPr>
        <w:pStyle w:val="Heading1"/>
      </w:pPr>
      <w:r>
        <w:br w:type="page"/>
      </w:r>
      <w:bookmarkStart w:id="23" w:name="_Toc171511583"/>
      <w:r w:rsidR="003441AF">
        <w:lastRenderedPageBreak/>
        <w:t xml:space="preserve">Modelling to 2035: </w:t>
      </w:r>
      <w:r w:rsidR="00D01B7E">
        <w:t>Completion</w:t>
      </w:r>
      <w:bookmarkEnd w:id="23"/>
      <w:r w:rsidR="00D01B7E">
        <w:t xml:space="preserve"> </w:t>
      </w:r>
    </w:p>
    <w:p w14:paraId="234DF6AB" w14:textId="5747A6E7" w:rsidR="0082494E" w:rsidRDefault="00B530A8">
      <w:r>
        <w:br/>
      </w:r>
      <w:r w:rsidR="0082494E">
        <w:t>The modelling of parity targets for</w:t>
      </w:r>
      <w:r w:rsidR="004A7B27">
        <w:t xml:space="preserve"> first-time undergraduate</w:t>
      </w:r>
      <w:r w:rsidR="0082494E">
        <w:t xml:space="preserve"> completion</w:t>
      </w:r>
      <w:r w:rsidR="00F1381C">
        <w:t xml:space="preserve"> headcount</w:t>
      </w:r>
      <w:r w:rsidR="0082494E">
        <w:t xml:space="preserve"> follows that of participation</w:t>
      </w:r>
      <w:r w:rsidR="000722DA">
        <w:t>, with</w:t>
      </w:r>
      <w:r w:rsidR="00EC261A">
        <w:t xml:space="preserve"> the</w:t>
      </w:r>
      <w:r w:rsidR="000722DA">
        <w:t xml:space="preserve"> </w:t>
      </w:r>
      <w:r w:rsidR="009916F1">
        <w:t>th</w:t>
      </w:r>
      <w:r w:rsidR="00EC261A">
        <w:t xml:space="preserve">ree parity targets and </w:t>
      </w:r>
      <w:r w:rsidR="009916F1">
        <w:t>four policy options being assessed</w:t>
      </w:r>
      <w:r w:rsidR="00EC261A">
        <w:t>.</w:t>
      </w:r>
      <w:r w:rsidR="009916F1">
        <w:t xml:space="preserve"> </w:t>
      </w:r>
      <w:r w:rsidR="0026119E">
        <w:t>The parity targets</w:t>
      </w:r>
      <w:r w:rsidR="00B17F9C">
        <w:t xml:space="preserve"> </w:t>
      </w:r>
      <w:r w:rsidR="001F714D">
        <w:t>are</w:t>
      </w:r>
      <w:r w:rsidR="00E501C6">
        <w:t xml:space="preserve"> identical to th</w:t>
      </w:r>
      <w:r w:rsidR="008C5E96">
        <w:t>e projected population shares</w:t>
      </w:r>
      <w:r w:rsidR="00E501C6">
        <w:t xml:space="preserve"> </w:t>
      </w:r>
      <w:r w:rsidR="00C3205C">
        <w:t>used</w:t>
      </w:r>
      <w:r w:rsidR="00F213F2">
        <w:t xml:space="preserve"> for</w:t>
      </w:r>
      <w:r w:rsidR="00E501C6">
        <w:t xml:space="preserve"> participation</w:t>
      </w:r>
      <w:r w:rsidR="00F1599A">
        <w:t xml:space="preserve">, with parity occurring where the </w:t>
      </w:r>
      <w:r w:rsidR="00A129CF">
        <w:t xml:space="preserve">completion </w:t>
      </w:r>
      <w:r w:rsidR="00F1599A">
        <w:t xml:space="preserve">rate (share of completions) for an equity group is equal to </w:t>
      </w:r>
      <w:r w:rsidR="00D7231E">
        <w:t xml:space="preserve">its share of population (the parity target). </w:t>
      </w:r>
      <w:r w:rsidR="00BA594B">
        <w:t xml:space="preserve"> </w:t>
      </w:r>
    </w:p>
    <w:p w14:paraId="49405D4A" w14:textId="116C32F7" w:rsidR="00EB5D55" w:rsidRDefault="00EB5D55" w:rsidP="00B0246A">
      <w:pPr>
        <w:pStyle w:val="Heading2"/>
      </w:pPr>
      <w:r>
        <w:t xml:space="preserve">National </w:t>
      </w:r>
      <w:r w:rsidR="00460F11">
        <w:t xml:space="preserve">Parity </w:t>
      </w:r>
      <w:r>
        <w:t>Targets</w:t>
      </w:r>
    </w:p>
    <w:p w14:paraId="60904517" w14:textId="591F0988" w:rsidR="00BA594B" w:rsidRPr="00314266" w:rsidRDefault="00314266" w:rsidP="00AD291C">
      <w:r>
        <w:t xml:space="preserve">Total undergraduate </w:t>
      </w:r>
      <w:r w:rsidR="008A1607">
        <w:t xml:space="preserve">first-time undergraduate </w:t>
      </w:r>
      <w:r>
        <w:t xml:space="preserve">completions totalled </w:t>
      </w:r>
      <w:r w:rsidR="008A1607">
        <w:t>118,000</w:t>
      </w:r>
      <w:r>
        <w:t xml:space="preserve"> in 2021</w:t>
      </w:r>
      <w:r w:rsidR="00AD291C">
        <w:t>, rising to 15</w:t>
      </w:r>
      <w:r w:rsidR="008A1607">
        <w:t>1,110</w:t>
      </w:r>
      <w:r w:rsidR="00AD291C">
        <w:t xml:space="preserve"> in 2035.</w:t>
      </w:r>
      <w:r>
        <w:t xml:space="preserve"> In the</w:t>
      </w:r>
      <w:r w:rsidR="00AD291C">
        <w:t xml:space="preserve"> case</w:t>
      </w:r>
      <w:r>
        <w:t xml:space="preserve"> </w:t>
      </w:r>
      <w:r w:rsidR="008712B2">
        <w:t xml:space="preserve">of the </w:t>
      </w:r>
      <w:r w:rsidR="00280BE0">
        <w:rPr>
          <w:i/>
          <w:iCs/>
        </w:rPr>
        <w:t xml:space="preserve">Business-as-Usual </w:t>
      </w:r>
      <w:r w:rsidR="00FC23F6">
        <w:t>option</w:t>
      </w:r>
      <w:r w:rsidR="00F94AD9">
        <w:t>,</w:t>
      </w:r>
      <w:r w:rsidR="006F292A">
        <w:t xml:space="preserve"> </w:t>
      </w:r>
      <w:r w:rsidR="00291369">
        <w:t>equity group completions</w:t>
      </w:r>
      <w:r w:rsidR="00F94AD9">
        <w:t xml:space="preserve"> track total completions</w:t>
      </w:r>
      <w:r w:rsidR="00291369">
        <w:t>,</w:t>
      </w:r>
      <w:r w:rsidR="00F94AD9">
        <w:t xml:space="preserve"> so the equity group share of</w:t>
      </w:r>
      <w:r w:rsidR="00F4592B">
        <w:t xml:space="preserve"> growth in completions is</w:t>
      </w:r>
      <w:r w:rsidR="00291369">
        <w:t xml:space="preserve"> equal to</w:t>
      </w:r>
      <w:r w:rsidR="00F4592B">
        <w:t xml:space="preserve"> the 2021 equity share of completions</w:t>
      </w:r>
      <w:r w:rsidR="00F778BA">
        <w:t>, equal to</w:t>
      </w:r>
      <w:r w:rsidR="00291369">
        <w:t xml:space="preserve"> </w:t>
      </w:r>
      <w:r w:rsidR="007F1B72">
        <w:t>3</w:t>
      </w:r>
      <w:r w:rsidR="002113D4">
        <w:t>3</w:t>
      </w:r>
      <w:r w:rsidR="007F1B72">
        <w:t>.</w:t>
      </w:r>
      <w:r w:rsidR="002113D4">
        <w:t>6</w:t>
      </w:r>
      <w:r w:rsidR="007F1B72">
        <w:t xml:space="preserve"> per cent in the case of all </w:t>
      </w:r>
      <w:r w:rsidR="007F1B72">
        <w:rPr>
          <w:i/>
          <w:iCs/>
        </w:rPr>
        <w:t>Equity Group</w:t>
      </w:r>
      <w:r w:rsidR="007F1B72">
        <w:t xml:space="preserve"> students</w:t>
      </w:r>
      <w:r w:rsidR="00F94AD9">
        <w:t xml:space="preserve">. </w:t>
      </w:r>
      <w:r w:rsidR="009F31B4">
        <w:t xml:space="preserve"> </w:t>
      </w:r>
    </w:p>
    <w:p w14:paraId="2E282EAD" w14:textId="77777777" w:rsidR="00BA594B" w:rsidRDefault="00BA594B" w:rsidP="00EB5D55">
      <w:pPr>
        <w:spacing w:line="240" w:lineRule="auto"/>
        <w:ind w:left="1440" w:hanging="1440"/>
        <w:rPr>
          <w:rFonts w:cstheme="minorHAnsi"/>
          <w:b/>
          <w:bCs/>
          <w:color w:val="000000"/>
          <w:sz w:val="18"/>
          <w:szCs w:val="18"/>
          <w:lang w:eastAsia="en-AU"/>
        </w:rPr>
      </w:pPr>
    </w:p>
    <w:p w14:paraId="56978D7C" w14:textId="01057CA8" w:rsidR="00EB5D55" w:rsidRDefault="00EB5D55" w:rsidP="00EB5D55">
      <w:pPr>
        <w:spacing w:line="240" w:lineRule="auto"/>
        <w:ind w:left="1440" w:hanging="1440"/>
        <w:rPr>
          <w:rFonts w:cstheme="minorHAnsi"/>
          <w:color w:val="000000"/>
          <w:sz w:val="18"/>
          <w:szCs w:val="18"/>
          <w:lang w:eastAsia="en-AU"/>
        </w:rPr>
      </w:pPr>
      <w:r w:rsidRPr="00185BAE">
        <w:rPr>
          <w:rFonts w:cstheme="minorHAnsi"/>
          <w:b/>
          <w:bCs/>
          <w:color w:val="000000"/>
          <w:sz w:val="18"/>
          <w:szCs w:val="18"/>
          <w:lang w:eastAsia="en-AU"/>
        </w:rPr>
        <w:t xml:space="preserve">Table </w:t>
      </w:r>
      <w:r w:rsidR="001851B2">
        <w:rPr>
          <w:rFonts w:cstheme="minorHAnsi"/>
          <w:b/>
          <w:bCs/>
          <w:color w:val="000000"/>
          <w:sz w:val="18"/>
          <w:szCs w:val="18"/>
          <w:lang w:eastAsia="en-AU"/>
        </w:rPr>
        <w:t>1</w:t>
      </w:r>
      <w:r w:rsidR="00033958">
        <w:rPr>
          <w:rFonts w:cstheme="minorHAnsi"/>
          <w:b/>
          <w:bCs/>
          <w:color w:val="000000"/>
          <w:sz w:val="18"/>
          <w:szCs w:val="18"/>
          <w:lang w:eastAsia="en-AU"/>
        </w:rPr>
        <w:t>1</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Pr="00185BAE">
        <w:rPr>
          <w:rFonts w:cstheme="minorHAnsi"/>
          <w:color w:val="000000"/>
          <w:sz w:val="18"/>
          <w:szCs w:val="18"/>
          <w:lang w:eastAsia="en-AU"/>
        </w:rPr>
        <w:t xml:space="preserve">Equity Group </w:t>
      </w:r>
      <w:r w:rsidR="00964579">
        <w:rPr>
          <w:rFonts w:cstheme="minorHAnsi"/>
          <w:color w:val="000000"/>
          <w:sz w:val="18"/>
          <w:szCs w:val="18"/>
          <w:lang w:eastAsia="en-AU"/>
        </w:rPr>
        <w:t xml:space="preserve">Completion </w:t>
      </w:r>
      <w:r w:rsidRPr="00185BAE">
        <w:rPr>
          <w:rFonts w:cstheme="minorHAnsi"/>
          <w:color w:val="000000"/>
          <w:sz w:val="18"/>
          <w:szCs w:val="18"/>
          <w:lang w:eastAsia="en-AU"/>
        </w:rPr>
        <w:t xml:space="preserve">Projections: </w:t>
      </w:r>
      <w:r w:rsidR="00964579">
        <w:rPr>
          <w:rFonts w:cstheme="minorHAnsi"/>
          <w:color w:val="000000"/>
          <w:sz w:val="18"/>
          <w:szCs w:val="18"/>
          <w:lang w:eastAsia="en-AU"/>
        </w:rPr>
        <w:t>National</w:t>
      </w:r>
      <w:r>
        <w:rPr>
          <w:rFonts w:cstheme="minorHAnsi"/>
          <w:color w:val="000000"/>
          <w:sz w:val="18"/>
          <w:szCs w:val="18"/>
          <w:lang w:eastAsia="en-AU"/>
        </w:rPr>
        <w:t xml:space="preserve"> </w:t>
      </w:r>
      <w:r w:rsidRPr="00185BAE">
        <w:rPr>
          <w:rFonts w:cstheme="minorHAnsi"/>
          <w:color w:val="000000"/>
          <w:sz w:val="18"/>
          <w:szCs w:val="18"/>
          <w:lang w:eastAsia="en-AU"/>
        </w:rPr>
        <w:t xml:space="preserve">Targets Under Four </w:t>
      </w:r>
      <w:r w:rsidR="00676CE3">
        <w:rPr>
          <w:rFonts w:cstheme="minorHAnsi"/>
          <w:color w:val="000000"/>
          <w:sz w:val="18"/>
          <w:szCs w:val="18"/>
          <w:lang w:eastAsia="en-AU"/>
        </w:rPr>
        <w:t>O</w:t>
      </w:r>
      <w:r w:rsidR="00676CE3" w:rsidRPr="00676CE3">
        <w:rPr>
          <w:rFonts w:cstheme="minorHAnsi"/>
          <w:color w:val="000000"/>
          <w:sz w:val="18"/>
          <w:szCs w:val="18"/>
          <w:lang w:eastAsia="en-AU"/>
        </w:rPr>
        <w:t xml:space="preserve">ptions </w:t>
      </w:r>
      <w:r w:rsidRPr="00185BAE">
        <w:rPr>
          <w:rFonts w:cstheme="minorHAnsi"/>
          <w:color w:val="000000"/>
          <w:sz w:val="18"/>
          <w:szCs w:val="18"/>
          <w:lang w:eastAsia="en-AU"/>
        </w:rPr>
        <w:t>to 2035</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318"/>
        <w:gridCol w:w="1366"/>
        <w:gridCol w:w="1408"/>
        <w:gridCol w:w="1460"/>
        <w:gridCol w:w="1384"/>
      </w:tblGrid>
      <w:tr w:rsidR="00D20426" w:rsidRPr="009B6407" w14:paraId="44074638" w14:textId="77777777" w:rsidTr="00160B8E">
        <w:trPr>
          <w:trHeight w:val="534"/>
        </w:trPr>
        <w:tc>
          <w:tcPr>
            <w:tcW w:w="2542" w:type="dxa"/>
            <w:vMerge w:val="restart"/>
            <w:shd w:val="clear" w:color="auto" w:fill="auto"/>
            <w:noWrap/>
            <w:vAlign w:val="center"/>
            <w:hideMark/>
          </w:tcPr>
          <w:p w14:paraId="499E5BD3" w14:textId="77777777" w:rsidR="00D20426" w:rsidRPr="009B6407" w:rsidRDefault="00D20426" w:rsidP="00D20426">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318" w:type="dxa"/>
            <w:vMerge w:val="restart"/>
            <w:shd w:val="clear" w:color="auto" w:fill="6B3B57"/>
            <w:vAlign w:val="center"/>
            <w:hideMark/>
          </w:tcPr>
          <w:p w14:paraId="5B359B59" w14:textId="77777777" w:rsidR="00D20426" w:rsidRPr="009B6407" w:rsidRDefault="00D20426" w:rsidP="00D20426">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366" w:type="dxa"/>
            <w:vMerge w:val="restart"/>
            <w:shd w:val="clear" w:color="auto" w:fill="6B3B57"/>
            <w:vAlign w:val="center"/>
            <w:hideMark/>
          </w:tcPr>
          <w:p w14:paraId="32958A90" w14:textId="3E6FBCC3" w:rsidR="00D20426" w:rsidRPr="009B6407" w:rsidRDefault="00D136CB"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04" w:type="dxa"/>
            <w:vMerge w:val="restart"/>
            <w:shd w:val="clear" w:color="auto" w:fill="6B3B57"/>
            <w:vAlign w:val="center"/>
            <w:hideMark/>
          </w:tcPr>
          <w:p w14:paraId="7E51AEEB"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23BBC1CE" w14:textId="1DED8AB3" w:rsidR="00D20426" w:rsidRPr="009B6407" w:rsidRDefault="00D20426" w:rsidP="00D20426">
            <w:pPr>
              <w:spacing w:after="0" w:line="240" w:lineRule="auto"/>
              <w:jc w:val="center"/>
              <w:rPr>
                <w:rFonts w:cs="Arial"/>
                <w:b/>
                <w:bCs/>
                <w:color w:val="FFFFFF"/>
                <w:sz w:val="18"/>
                <w:szCs w:val="18"/>
                <w:lang w:eastAsia="en-AU"/>
              </w:rPr>
            </w:pPr>
          </w:p>
        </w:tc>
        <w:tc>
          <w:tcPr>
            <w:tcW w:w="1460" w:type="dxa"/>
            <w:vMerge w:val="restart"/>
            <w:shd w:val="clear" w:color="auto" w:fill="6B3B57"/>
            <w:vAlign w:val="center"/>
            <w:hideMark/>
          </w:tcPr>
          <w:p w14:paraId="1C077539"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1D8BB5B6" w14:textId="7B8C9C8D" w:rsidR="00D20426" w:rsidRPr="009B6407" w:rsidRDefault="00D20426" w:rsidP="00D20426">
            <w:pPr>
              <w:spacing w:after="0" w:line="240" w:lineRule="auto"/>
              <w:jc w:val="center"/>
              <w:rPr>
                <w:rFonts w:cs="Arial"/>
                <w:b/>
                <w:bCs/>
                <w:color w:val="FFFFFF"/>
                <w:sz w:val="18"/>
                <w:szCs w:val="18"/>
                <w:lang w:eastAsia="en-AU"/>
              </w:rPr>
            </w:pPr>
          </w:p>
        </w:tc>
        <w:tc>
          <w:tcPr>
            <w:tcW w:w="1384" w:type="dxa"/>
            <w:vMerge w:val="restart"/>
            <w:shd w:val="clear" w:color="auto" w:fill="6B3B57"/>
            <w:vAlign w:val="center"/>
            <w:hideMark/>
          </w:tcPr>
          <w:p w14:paraId="68F03FD6"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49F12AE4" w14:textId="6949371D" w:rsidR="00D20426" w:rsidRPr="009B6407" w:rsidRDefault="00D20426" w:rsidP="00D20426">
            <w:pPr>
              <w:spacing w:after="0" w:line="240" w:lineRule="auto"/>
              <w:jc w:val="center"/>
              <w:rPr>
                <w:rFonts w:cs="Arial"/>
                <w:b/>
                <w:bCs/>
                <w:color w:val="FFFFFF"/>
                <w:sz w:val="18"/>
                <w:szCs w:val="18"/>
                <w:lang w:eastAsia="en-AU"/>
              </w:rPr>
            </w:pPr>
          </w:p>
        </w:tc>
      </w:tr>
      <w:tr w:rsidR="00EB5D55" w:rsidRPr="009B6407" w14:paraId="2379B0F9" w14:textId="77777777" w:rsidTr="00160B8E">
        <w:trPr>
          <w:trHeight w:val="534"/>
        </w:trPr>
        <w:tc>
          <w:tcPr>
            <w:tcW w:w="2542" w:type="dxa"/>
            <w:vMerge/>
            <w:shd w:val="clear" w:color="auto" w:fill="auto"/>
            <w:vAlign w:val="center"/>
            <w:hideMark/>
          </w:tcPr>
          <w:p w14:paraId="661DA091" w14:textId="77777777" w:rsidR="00EB5D55" w:rsidRPr="009B6407" w:rsidRDefault="00EB5D55">
            <w:pPr>
              <w:spacing w:after="0" w:line="240" w:lineRule="auto"/>
              <w:rPr>
                <w:rFonts w:ascii="Calibri" w:hAnsi="Calibri" w:cs="Calibri"/>
                <w:color w:val="000000"/>
                <w:sz w:val="18"/>
                <w:szCs w:val="18"/>
                <w:lang w:eastAsia="en-AU"/>
              </w:rPr>
            </w:pPr>
          </w:p>
        </w:tc>
        <w:tc>
          <w:tcPr>
            <w:tcW w:w="1318" w:type="dxa"/>
            <w:vMerge/>
            <w:shd w:val="clear" w:color="auto" w:fill="6B3B57"/>
            <w:vAlign w:val="center"/>
            <w:hideMark/>
          </w:tcPr>
          <w:p w14:paraId="19A5CCCB" w14:textId="77777777" w:rsidR="00EB5D55" w:rsidRPr="009B6407" w:rsidRDefault="00EB5D55">
            <w:pPr>
              <w:spacing w:after="0" w:line="240" w:lineRule="auto"/>
              <w:rPr>
                <w:rFonts w:cs="Arial"/>
                <w:b/>
                <w:bCs/>
                <w:color w:val="FFFFFF"/>
                <w:sz w:val="18"/>
                <w:szCs w:val="18"/>
                <w:lang w:eastAsia="en-AU"/>
              </w:rPr>
            </w:pPr>
          </w:p>
        </w:tc>
        <w:tc>
          <w:tcPr>
            <w:tcW w:w="1366" w:type="dxa"/>
            <w:vMerge/>
            <w:shd w:val="clear" w:color="auto" w:fill="6B3B57"/>
            <w:vAlign w:val="center"/>
            <w:hideMark/>
          </w:tcPr>
          <w:p w14:paraId="08AE53BA" w14:textId="77777777" w:rsidR="00EB5D55" w:rsidRPr="009B6407" w:rsidRDefault="00EB5D55">
            <w:pPr>
              <w:spacing w:after="0" w:line="240" w:lineRule="auto"/>
              <w:rPr>
                <w:rFonts w:cs="Arial"/>
                <w:b/>
                <w:bCs/>
                <w:color w:val="FFFFFF"/>
                <w:sz w:val="18"/>
                <w:szCs w:val="18"/>
                <w:lang w:eastAsia="en-AU"/>
              </w:rPr>
            </w:pPr>
          </w:p>
        </w:tc>
        <w:tc>
          <w:tcPr>
            <w:tcW w:w="1404" w:type="dxa"/>
            <w:vMerge/>
            <w:shd w:val="clear" w:color="auto" w:fill="6B3B57"/>
            <w:vAlign w:val="center"/>
            <w:hideMark/>
          </w:tcPr>
          <w:p w14:paraId="22CEC117" w14:textId="77777777" w:rsidR="00EB5D55" w:rsidRPr="009B6407" w:rsidRDefault="00EB5D55">
            <w:pPr>
              <w:spacing w:after="0" w:line="240" w:lineRule="auto"/>
              <w:rPr>
                <w:rFonts w:cs="Arial"/>
                <w:b/>
                <w:bCs/>
                <w:color w:val="FFFFFF"/>
                <w:sz w:val="18"/>
                <w:szCs w:val="18"/>
                <w:lang w:eastAsia="en-AU"/>
              </w:rPr>
            </w:pPr>
          </w:p>
        </w:tc>
        <w:tc>
          <w:tcPr>
            <w:tcW w:w="1460" w:type="dxa"/>
            <w:vMerge/>
            <w:shd w:val="clear" w:color="auto" w:fill="6B3B57"/>
            <w:vAlign w:val="center"/>
            <w:hideMark/>
          </w:tcPr>
          <w:p w14:paraId="70D263DF" w14:textId="77777777" w:rsidR="00EB5D55" w:rsidRPr="009B6407" w:rsidRDefault="00EB5D55">
            <w:pPr>
              <w:spacing w:after="0" w:line="240" w:lineRule="auto"/>
              <w:rPr>
                <w:rFonts w:cs="Arial"/>
                <w:b/>
                <w:bCs/>
                <w:color w:val="FFFFFF"/>
                <w:sz w:val="18"/>
                <w:szCs w:val="18"/>
                <w:lang w:eastAsia="en-AU"/>
              </w:rPr>
            </w:pPr>
          </w:p>
        </w:tc>
        <w:tc>
          <w:tcPr>
            <w:tcW w:w="1384" w:type="dxa"/>
            <w:vMerge/>
            <w:shd w:val="clear" w:color="auto" w:fill="6B3B57"/>
            <w:vAlign w:val="center"/>
            <w:hideMark/>
          </w:tcPr>
          <w:p w14:paraId="524E5E04" w14:textId="77777777" w:rsidR="00EB5D55" w:rsidRPr="009B6407" w:rsidRDefault="00EB5D55">
            <w:pPr>
              <w:spacing w:after="0" w:line="240" w:lineRule="auto"/>
              <w:rPr>
                <w:rFonts w:cs="Arial"/>
                <w:b/>
                <w:bCs/>
                <w:color w:val="FFFFFF"/>
                <w:sz w:val="18"/>
                <w:szCs w:val="18"/>
                <w:lang w:eastAsia="en-AU"/>
              </w:rPr>
            </w:pPr>
          </w:p>
        </w:tc>
      </w:tr>
      <w:tr w:rsidR="00932478" w:rsidRPr="009B6407" w14:paraId="0757C327" w14:textId="77777777" w:rsidTr="006253C8">
        <w:trPr>
          <w:trHeight w:val="315"/>
        </w:trPr>
        <w:tc>
          <w:tcPr>
            <w:tcW w:w="2542" w:type="dxa"/>
            <w:shd w:val="clear" w:color="auto" w:fill="auto"/>
            <w:noWrap/>
            <w:vAlign w:val="center"/>
            <w:hideMark/>
          </w:tcPr>
          <w:p w14:paraId="0E86FB0E" w14:textId="77777777" w:rsidR="00932478" w:rsidRPr="009B6407" w:rsidRDefault="00932478" w:rsidP="00932478">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318" w:type="dxa"/>
            <w:shd w:val="clear" w:color="auto" w:fill="auto"/>
            <w:noWrap/>
            <w:vAlign w:val="center"/>
          </w:tcPr>
          <w:p w14:paraId="6B59FD35" w14:textId="48A11664" w:rsidR="00932478" w:rsidRPr="00932478" w:rsidRDefault="00932478" w:rsidP="00932478">
            <w:pPr>
              <w:spacing w:after="0" w:line="240" w:lineRule="auto"/>
              <w:jc w:val="right"/>
              <w:rPr>
                <w:rFonts w:cs="Arial"/>
                <w:b/>
                <w:bCs/>
                <w:color w:val="000000"/>
                <w:sz w:val="18"/>
                <w:szCs w:val="18"/>
                <w:lang w:eastAsia="en-AU"/>
              </w:rPr>
            </w:pPr>
            <w:r w:rsidRPr="00932478">
              <w:rPr>
                <w:sz w:val="18"/>
                <w:szCs w:val="18"/>
              </w:rPr>
              <w:t>118,000</w:t>
            </w:r>
          </w:p>
        </w:tc>
        <w:tc>
          <w:tcPr>
            <w:tcW w:w="1366" w:type="dxa"/>
            <w:shd w:val="clear" w:color="auto" w:fill="auto"/>
            <w:noWrap/>
            <w:vAlign w:val="center"/>
          </w:tcPr>
          <w:p w14:paraId="7653D223" w14:textId="765B4862" w:rsidR="00932478" w:rsidRPr="00932478" w:rsidRDefault="00932478" w:rsidP="00932478">
            <w:pPr>
              <w:spacing w:after="0" w:line="240" w:lineRule="auto"/>
              <w:jc w:val="right"/>
              <w:rPr>
                <w:rFonts w:cs="Arial"/>
                <w:b/>
                <w:bCs/>
                <w:color w:val="000000"/>
                <w:sz w:val="18"/>
                <w:szCs w:val="18"/>
                <w:lang w:eastAsia="en-AU"/>
              </w:rPr>
            </w:pPr>
            <w:r w:rsidRPr="00932478">
              <w:rPr>
                <w:sz w:val="18"/>
                <w:szCs w:val="18"/>
              </w:rPr>
              <w:t>151,110</w:t>
            </w:r>
          </w:p>
        </w:tc>
        <w:tc>
          <w:tcPr>
            <w:tcW w:w="1404" w:type="dxa"/>
            <w:shd w:val="clear" w:color="auto" w:fill="auto"/>
            <w:noWrap/>
            <w:vAlign w:val="center"/>
          </w:tcPr>
          <w:p w14:paraId="08B17A89" w14:textId="1616D8E7" w:rsidR="00932478" w:rsidRPr="00932478" w:rsidRDefault="00932478" w:rsidP="00932478">
            <w:pPr>
              <w:spacing w:after="0" w:line="240" w:lineRule="auto"/>
              <w:jc w:val="right"/>
              <w:rPr>
                <w:rFonts w:cs="Arial"/>
                <w:b/>
                <w:bCs/>
                <w:color w:val="000000"/>
                <w:sz w:val="18"/>
                <w:szCs w:val="18"/>
                <w:lang w:eastAsia="en-AU"/>
              </w:rPr>
            </w:pPr>
            <w:r w:rsidRPr="00932478">
              <w:rPr>
                <w:sz w:val="18"/>
                <w:szCs w:val="18"/>
              </w:rPr>
              <w:t>151,110</w:t>
            </w:r>
          </w:p>
        </w:tc>
        <w:tc>
          <w:tcPr>
            <w:tcW w:w="1460" w:type="dxa"/>
            <w:shd w:val="clear" w:color="auto" w:fill="auto"/>
            <w:noWrap/>
            <w:vAlign w:val="center"/>
          </w:tcPr>
          <w:p w14:paraId="1BB689F3" w14:textId="62B66B73" w:rsidR="00932478" w:rsidRPr="00932478" w:rsidRDefault="00932478" w:rsidP="00932478">
            <w:pPr>
              <w:spacing w:after="0" w:line="240" w:lineRule="auto"/>
              <w:jc w:val="right"/>
              <w:rPr>
                <w:rFonts w:cs="Arial"/>
                <w:b/>
                <w:bCs/>
                <w:color w:val="000000"/>
                <w:sz w:val="18"/>
                <w:szCs w:val="18"/>
                <w:lang w:eastAsia="en-AU"/>
              </w:rPr>
            </w:pPr>
            <w:r w:rsidRPr="00932478">
              <w:rPr>
                <w:sz w:val="18"/>
                <w:szCs w:val="18"/>
              </w:rPr>
              <w:t>151,110</w:t>
            </w:r>
          </w:p>
        </w:tc>
        <w:tc>
          <w:tcPr>
            <w:tcW w:w="1384" w:type="dxa"/>
            <w:shd w:val="clear" w:color="auto" w:fill="auto"/>
            <w:noWrap/>
            <w:vAlign w:val="center"/>
          </w:tcPr>
          <w:p w14:paraId="44D70140" w14:textId="74514A8D" w:rsidR="00932478" w:rsidRPr="00932478" w:rsidRDefault="00932478" w:rsidP="00932478">
            <w:pPr>
              <w:spacing w:after="0" w:line="240" w:lineRule="auto"/>
              <w:jc w:val="right"/>
              <w:rPr>
                <w:rFonts w:cs="Arial"/>
                <w:b/>
                <w:bCs/>
                <w:color w:val="000000"/>
                <w:sz w:val="18"/>
                <w:szCs w:val="18"/>
                <w:lang w:eastAsia="en-AU"/>
              </w:rPr>
            </w:pPr>
            <w:r w:rsidRPr="00932478">
              <w:rPr>
                <w:sz w:val="18"/>
                <w:szCs w:val="18"/>
              </w:rPr>
              <w:t>151,110</w:t>
            </w:r>
          </w:p>
        </w:tc>
      </w:tr>
      <w:tr w:rsidR="00932478" w:rsidRPr="009B6407" w14:paraId="784C8F84" w14:textId="77777777" w:rsidTr="006253C8">
        <w:trPr>
          <w:trHeight w:val="315"/>
        </w:trPr>
        <w:tc>
          <w:tcPr>
            <w:tcW w:w="2542" w:type="dxa"/>
            <w:shd w:val="clear" w:color="auto" w:fill="auto"/>
            <w:noWrap/>
            <w:vAlign w:val="center"/>
            <w:hideMark/>
          </w:tcPr>
          <w:p w14:paraId="4CE66CE9" w14:textId="77777777" w:rsidR="00932478" w:rsidRPr="009B6407" w:rsidRDefault="00932478" w:rsidP="00932478">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318" w:type="dxa"/>
            <w:shd w:val="clear" w:color="auto" w:fill="auto"/>
            <w:noWrap/>
            <w:vAlign w:val="center"/>
          </w:tcPr>
          <w:p w14:paraId="3EECF3E5" w14:textId="6B2625D6" w:rsidR="00932478" w:rsidRPr="00932478" w:rsidRDefault="00967634" w:rsidP="00932478">
            <w:pPr>
              <w:spacing w:after="0" w:line="240" w:lineRule="auto"/>
              <w:jc w:val="right"/>
              <w:rPr>
                <w:rFonts w:cs="Arial"/>
                <w:color w:val="000000"/>
                <w:sz w:val="18"/>
                <w:szCs w:val="18"/>
                <w:lang w:eastAsia="en-AU"/>
              </w:rPr>
            </w:pPr>
            <w:r w:rsidRPr="00183978">
              <w:rPr>
                <w:sz w:val="18"/>
                <w:szCs w:val="18"/>
              </w:rPr>
              <w:t>17,179</w:t>
            </w:r>
          </w:p>
        </w:tc>
        <w:tc>
          <w:tcPr>
            <w:tcW w:w="1366" w:type="dxa"/>
            <w:shd w:val="clear" w:color="auto" w:fill="auto"/>
            <w:noWrap/>
            <w:vAlign w:val="center"/>
          </w:tcPr>
          <w:p w14:paraId="23557C73" w14:textId="1406153C" w:rsidR="00932478" w:rsidRPr="00932478" w:rsidRDefault="00967634" w:rsidP="00932478">
            <w:pPr>
              <w:spacing w:after="0" w:line="240" w:lineRule="auto"/>
              <w:jc w:val="right"/>
              <w:rPr>
                <w:rFonts w:cs="Arial"/>
                <w:color w:val="000000"/>
                <w:sz w:val="18"/>
                <w:szCs w:val="18"/>
                <w:lang w:eastAsia="en-AU"/>
              </w:rPr>
            </w:pPr>
            <w:r w:rsidRPr="00183978">
              <w:rPr>
                <w:sz w:val="18"/>
                <w:szCs w:val="18"/>
              </w:rPr>
              <w:t>21,999</w:t>
            </w:r>
          </w:p>
        </w:tc>
        <w:tc>
          <w:tcPr>
            <w:tcW w:w="1404" w:type="dxa"/>
            <w:shd w:val="clear" w:color="auto" w:fill="auto"/>
            <w:noWrap/>
            <w:vAlign w:val="center"/>
          </w:tcPr>
          <w:p w14:paraId="2193FC9B" w14:textId="1F1166D9" w:rsidR="00932478" w:rsidRPr="00932478" w:rsidRDefault="00967634" w:rsidP="00932478">
            <w:pPr>
              <w:spacing w:after="0" w:line="240" w:lineRule="auto"/>
              <w:jc w:val="right"/>
              <w:rPr>
                <w:rFonts w:cs="Arial"/>
                <w:color w:val="000000"/>
                <w:sz w:val="18"/>
                <w:szCs w:val="18"/>
                <w:lang w:eastAsia="en-AU"/>
              </w:rPr>
            </w:pPr>
            <w:r w:rsidRPr="00183978">
              <w:rPr>
                <w:sz w:val="18"/>
                <w:szCs w:val="18"/>
              </w:rPr>
              <w:t>38,316</w:t>
            </w:r>
          </w:p>
        </w:tc>
        <w:tc>
          <w:tcPr>
            <w:tcW w:w="1460" w:type="dxa"/>
            <w:shd w:val="clear" w:color="auto" w:fill="auto"/>
            <w:noWrap/>
            <w:vAlign w:val="center"/>
          </w:tcPr>
          <w:p w14:paraId="454E7BF5" w14:textId="5CF996E2" w:rsidR="00932478" w:rsidRPr="00932478" w:rsidRDefault="00967634" w:rsidP="00932478">
            <w:pPr>
              <w:spacing w:after="0" w:line="240" w:lineRule="auto"/>
              <w:jc w:val="right"/>
              <w:rPr>
                <w:rFonts w:cs="Arial"/>
                <w:color w:val="000000"/>
                <w:sz w:val="18"/>
                <w:szCs w:val="18"/>
                <w:lang w:eastAsia="en-AU"/>
              </w:rPr>
            </w:pPr>
            <w:r w:rsidRPr="00183978">
              <w:rPr>
                <w:sz w:val="18"/>
                <w:szCs w:val="18"/>
              </w:rPr>
              <w:t>37,778</w:t>
            </w:r>
          </w:p>
        </w:tc>
        <w:tc>
          <w:tcPr>
            <w:tcW w:w="1384" w:type="dxa"/>
            <w:shd w:val="clear" w:color="auto" w:fill="auto"/>
            <w:noWrap/>
            <w:vAlign w:val="center"/>
          </w:tcPr>
          <w:p w14:paraId="6EF641F0" w14:textId="0C122EF2" w:rsidR="00932478" w:rsidRPr="00932478" w:rsidRDefault="00967634" w:rsidP="00932478">
            <w:pPr>
              <w:spacing w:after="0" w:line="240" w:lineRule="auto"/>
              <w:jc w:val="right"/>
              <w:rPr>
                <w:rFonts w:cs="Arial"/>
                <w:color w:val="000000"/>
                <w:sz w:val="18"/>
                <w:szCs w:val="18"/>
                <w:lang w:eastAsia="en-AU"/>
              </w:rPr>
            </w:pPr>
            <w:r w:rsidRPr="00183978">
              <w:rPr>
                <w:sz w:val="18"/>
                <w:szCs w:val="18"/>
              </w:rPr>
              <w:t>37,778</w:t>
            </w:r>
          </w:p>
        </w:tc>
      </w:tr>
      <w:tr w:rsidR="00932478" w:rsidRPr="009B6407" w14:paraId="4630B13A" w14:textId="77777777" w:rsidTr="006253C8">
        <w:trPr>
          <w:trHeight w:val="315"/>
        </w:trPr>
        <w:tc>
          <w:tcPr>
            <w:tcW w:w="2542" w:type="dxa"/>
            <w:shd w:val="clear" w:color="auto" w:fill="auto"/>
            <w:noWrap/>
            <w:vAlign w:val="center"/>
            <w:hideMark/>
          </w:tcPr>
          <w:p w14:paraId="2C2ABA8F" w14:textId="77777777" w:rsidR="00932478" w:rsidRPr="009B6407" w:rsidRDefault="00932478" w:rsidP="00932478">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318" w:type="dxa"/>
            <w:shd w:val="clear" w:color="auto" w:fill="auto"/>
            <w:noWrap/>
            <w:vAlign w:val="center"/>
          </w:tcPr>
          <w:p w14:paraId="7E43C04F" w14:textId="6A835586" w:rsidR="00932478" w:rsidRPr="00932478" w:rsidRDefault="00967634" w:rsidP="00932478">
            <w:pPr>
              <w:spacing w:after="0" w:line="240" w:lineRule="auto"/>
              <w:jc w:val="right"/>
              <w:rPr>
                <w:rFonts w:cs="Arial"/>
                <w:color w:val="000000"/>
                <w:sz w:val="18"/>
                <w:szCs w:val="18"/>
                <w:lang w:eastAsia="en-AU"/>
              </w:rPr>
            </w:pPr>
            <w:r w:rsidRPr="00183978">
              <w:rPr>
                <w:sz w:val="18"/>
                <w:szCs w:val="18"/>
              </w:rPr>
              <w:t>22,154</w:t>
            </w:r>
          </w:p>
        </w:tc>
        <w:tc>
          <w:tcPr>
            <w:tcW w:w="1366" w:type="dxa"/>
            <w:shd w:val="clear" w:color="auto" w:fill="auto"/>
            <w:noWrap/>
            <w:vAlign w:val="center"/>
          </w:tcPr>
          <w:p w14:paraId="08359807" w14:textId="4B458885" w:rsidR="00932478" w:rsidRPr="00932478" w:rsidRDefault="00967634" w:rsidP="00932478">
            <w:pPr>
              <w:spacing w:after="0" w:line="240" w:lineRule="auto"/>
              <w:jc w:val="right"/>
              <w:rPr>
                <w:rFonts w:cs="Arial"/>
                <w:color w:val="000000"/>
                <w:sz w:val="18"/>
                <w:szCs w:val="18"/>
                <w:lang w:eastAsia="en-AU"/>
              </w:rPr>
            </w:pPr>
            <w:r w:rsidRPr="00183978">
              <w:rPr>
                <w:sz w:val="18"/>
                <w:szCs w:val="18"/>
              </w:rPr>
              <w:t>28,371</w:t>
            </w:r>
          </w:p>
        </w:tc>
        <w:tc>
          <w:tcPr>
            <w:tcW w:w="1404" w:type="dxa"/>
            <w:shd w:val="clear" w:color="auto" w:fill="auto"/>
            <w:noWrap/>
            <w:vAlign w:val="center"/>
          </w:tcPr>
          <w:p w14:paraId="0B160BCE" w14:textId="50F84E03" w:rsidR="00932478" w:rsidRPr="00932478" w:rsidRDefault="00967634" w:rsidP="00932478">
            <w:pPr>
              <w:spacing w:after="0" w:line="240" w:lineRule="auto"/>
              <w:jc w:val="right"/>
              <w:rPr>
                <w:rFonts w:cs="Arial"/>
                <w:color w:val="000000"/>
                <w:sz w:val="18"/>
                <w:szCs w:val="18"/>
                <w:lang w:eastAsia="en-AU"/>
              </w:rPr>
            </w:pPr>
            <w:r w:rsidRPr="00183978">
              <w:rPr>
                <w:sz w:val="18"/>
                <w:szCs w:val="18"/>
              </w:rPr>
              <w:t>44,565</w:t>
            </w:r>
          </w:p>
        </w:tc>
        <w:tc>
          <w:tcPr>
            <w:tcW w:w="1460" w:type="dxa"/>
            <w:shd w:val="clear" w:color="auto" w:fill="auto"/>
            <w:noWrap/>
            <w:vAlign w:val="center"/>
          </w:tcPr>
          <w:p w14:paraId="67CF8758" w14:textId="7A3B64DC" w:rsidR="00932478" w:rsidRPr="00932478" w:rsidRDefault="00967634" w:rsidP="00932478">
            <w:pPr>
              <w:spacing w:after="0" w:line="240" w:lineRule="auto"/>
              <w:jc w:val="right"/>
              <w:rPr>
                <w:rFonts w:cs="Arial"/>
                <w:color w:val="000000"/>
                <w:sz w:val="18"/>
                <w:szCs w:val="18"/>
                <w:lang w:eastAsia="en-AU"/>
              </w:rPr>
            </w:pPr>
            <w:r w:rsidRPr="00183978">
              <w:rPr>
                <w:sz w:val="18"/>
                <w:szCs w:val="18"/>
              </w:rPr>
              <w:t>39,440</w:t>
            </w:r>
          </w:p>
        </w:tc>
        <w:tc>
          <w:tcPr>
            <w:tcW w:w="1384" w:type="dxa"/>
            <w:shd w:val="clear" w:color="auto" w:fill="auto"/>
            <w:noWrap/>
            <w:vAlign w:val="center"/>
          </w:tcPr>
          <w:p w14:paraId="1F882CF0" w14:textId="70C456E1" w:rsidR="00932478" w:rsidRPr="00932478" w:rsidRDefault="00967634" w:rsidP="00932478">
            <w:pPr>
              <w:spacing w:after="0" w:line="240" w:lineRule="auto"/>
              <w:jc w:val="right"/>
              <w:rPr>
                <w:rFonts w:cs="Arial"/>
                <w:color w:val="000000"/>
                <w:sz w:val="18"/>
                <w:szCs w:val="18"/>
                <w:lang w:eastAsia="en-AU"/>
              </w:rPr>
            </w:pPr>
            <w:r w:rsidRPr="00183978">
              <w:rPr>
                <w:sz w:val="18"/>
                <w:szCs w:val="18"/>
              </w:rPr>
              <w:t>39,440</w:t>
            </w:r>
          </w:p>
        </w:tc>
      </w:tr>
      <w:tr w:rsidR="00932478" w:rsidRPr="009B6407" w14:paraId="05FE8D83" w14:textId="77777777" w:rsidTr="006253C8">
        <w:trPr>
          <w:trHeight w:val="315"/>
        </w:trPr>
        <w:tc>
          <w:tcPr>
            <w:tcW w:w="2542" w:type="dxa"/>
            <w:shd w:val="clear" w:color="auto" w:fill="auto"/>
            <w:noWrap/>
            <w:vAlign w:val="center"/>
            <w:hideMark/>
          </w:tcPr>
          <w:p w14:paraId="550BE732" w14:textId="77777777" w:rsidR="00932478" w:rsidRPr="009B6407" w:rsidRDefault="00932478" w:rsidP="00932478">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318" w:type="dxa"/>
            <w:shd w:val="clear" w:color="auto" w:fill="auto"/>
            <w:noWrap/>
            <w:vAlign w:val="center"/>
          </w:tcPr>
          <w:p w14:paraId="44B13CEF" w14:textId="44832D42" w:rsidR="00932478" w:rsidRPr="00932478" w:rsidRDefault="00932478" w:rsidP="00932478">
            <w:pPr>
              <w:spacing w:after="0" w:line="240" w:lineRule="auto"/>
              <w:jc w:val="right"/>
              <w:rPr>
                <w:rFonts w:cs="Arial"/>
                <w:color w:val="000000"/>
                <w:sz w:val="18"/>
                <w:szCs w:val="18"/>
                <w:lang w:eastAsia="en-AU"/>
              </w:rPr>
            </w:pPr>
            <w:r w:rsidRPr="00932478">
              <w:rPr>
                <w:sz w:val="18"/>
                <w:szCs w:val="18"/>
              </w:rPr>
              <w:t>1,637</w:t>
            </w:r>
          </w:p>
        </w:tc>
        <w:tc>
          <w:tcPr>
            <w:tcW w:w="1366" w:type="dxa"/>
            <w:shd w:val="clear" w:color="auto" w:fill="auto"/>
            <w:noWrap/>
            <w:vAlign w:val="center"/>
          </w:tcPr>
          <w:p w14:paraId="5E7B7982" w14:textId="0763D0BC" w:rsidR="00932478" w:rsidRPr="00932478" w:rsidRDefault="00932478" w:rsidP="00932478">
            <w:pPr>
              <w:spacing w:after="0" w:line="240" w:lineRule="auto"/>
              <w:jc w:val="right"/>
              <w:rPr>
                <w:rFonts w:cs="Arial"/>
                <w:color w:val="000000"/>
                <w:sz w:val="18"/>
                <w:szCs w:val="18"/>
                <w:lang w:eastAsia="en-AU"/>
              </w:rPr>
            </w:pPr>
            <w:r w:rsidRPr="00932478">
              <w:rPr>
                <w:sz w:val="18"/>
                <w:szCs w:val="18"/>
              </w:rPr>
              <w:t>2,096</w:t>
            </w:r>
          </w:p>
        </w:tc>
        <w:tc>
          <w:tcPr>
            <w:tcW w:w="1404" w:type="dxa"/>
            <w:shd w:val="clear" w:color="auto" w:fill="auto"/>
            <w:noWrap/>
            <w:vAlign w:val="center"/>
          </w:tcPr>
          <w:p w14:paraId="41F16484" w14:textId="35822DD5" w:rsidR="00932478" w:rsidRPr="00932478" w:rsidRDefault="00932478" w:rsidP="00932478">
            <w:pPr>
              <w:spacing w:after="0" w:line="240" w:lineRule="auto"/>
              <w:jc w:val="right"/>
              <w:rPr>
                <w:rFonts w:cs="Arial"/>
                <w:color w:val="000000"/>
                <w:sz w:val="18"/>
                <w:szCs w:val="18"/>
                <w:lang w:eastAsia="en-AU"/>
              </w:rPr>
            </w:pPr>
            <w:r w:rsidRPr="00932478">
              <w:rPr>
                <w:sz w:val="18"/>
                <w:szCs w:val="18"/>
              </w:rPr>
              <w:t>5,958</w:t>
            </w:r>
          </w:p>
        </w:tc>
        <w:tc>
          <w:tcPr>
            <w:tcW w:w="1460" w:type="dxa"/>
            <w:shd w:val="clear" w:color="auto" w:fill="auto"/>
            <w:noWrap/>
            <w:vAlign w:val="center"/>
          </w:tcPr>
          <w:p w14:paraId="64A9F232" w14:textId="4CCC4CA4" w:rsidR="00932478" w:rsidRPr="00932478" w:rsidRDefault="00932478" w:rsidP="00932478">
            <w:pPr>
              <w:spacing w:after="0" w:line="240" w:lineRule="auto"/>
              <w:jc w:val="right"/>
              <w:rPr>
                <w:rFonts w:cs="Arial"/>
                <w:color w:val="000000"/>
                <w:sz w:val="18"/>
                <w:szCs w:val="18"/>
                <w:lang w:eastAsia="en-AU"/>
              </w:rPr>
            </w:pPr>
            <w:r w:rsidRPr="00932478">
              <w:rPr>
                <w:sz w:val="18"/>
                <w:szCs w:val="18"/>
              </w:rPr>
              <w:t>5,948</w:t>
            </w:r>
          </w:p>
        </w:tc>
        <w:tc>
          <w:tcPr>
            <w:tcW w:w="1384" w:type="dxa"/>
            <w:shd w:val="clear" w:color="auto" w:fill="auto"/>
            <w:noWrap/>
            <w:vAlign w:val="center"/>
          </w:tcPr>
          <w:p w14:paraId="66BD44A0" w14:textId="5C94C674" w:rsidR="00932478" w:rsidRPr="00932478" w:rsidRDefault="00932478" w:rsidP="00932478">
            <w:pPr>
              <w:spacing w:after="0" w:line="240" w:lineRule="auto"/>
              <w:jc w:val="right"/>
              <w:rPr>
                <w:rFonts w:cs="Arial"/>
                <w:color w:val="000000"/>
                <w:sz w:val="18"/>
                <w:szCs w:val="18"/>
                <w:lang w:eastAsia="en-AU"/>
              </w:rPr>
            </w:pPr>
            <w:r w:rsidRPr="00932478">
              <w:rPr>
                <w:sz w:val="18"/>
                <w:szCs w:val="18"/>
              </w:rPr>
              <w:t>5,948</w:t>
            </w:r>
          </w:p>
        </w:tc>
      </w:tr>
      <w:tr w:rsidR="00932478" w:rsidRPr="009B6407" w14:paraId="20CE89FB" w14:textId="77777777" w:rsidTr="006253C8">
        <w:trPr>
          <w:trHeight w:val="315"/>
        </w:trPr>
        <w:tc>
          <w:tcPr>
            <w:tcW w:w="2542" w:type="dxa"/>
            <w:shd w:val="clear" w:color="auto" w:fill="auto"/>
            <w:noWrap/>
            <w:vAlign w:val="center"/>
            <w:hideMark/>
          </w:tcPr>
          <w:p w14:paraId="118796D6" w14:textId="77777777" w:rsidR="00932478" w:rsidRPr="009B6407" w:rsidRDefault="00932478" w:rsidP="00932478">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318" w:type="dxa"/>
            <w:shd w:val="clear" w:color="auto" w:fill="auto"/>
            <w:noWrap/>
            <w:vAlign w:val="center"/>
          </w:tcPr>
          <w:p w14:paraId="19B244B8" w14:textId="33C7CA07" w:rsidR="00932478" w:rsidRPr="00932478" w:rsidRDefault="00932478" w:rsidP="00932478">
            <w:pPr>
              <w:spacing w:after="0" w:line="240" w:lineRule="auto"/>
              <w:jc w:val="right"/>
              <w:rPr>
                <w:rFonts w:cs="Arial"/>
                <w:color w:val="000000"/>
                <w:sz w:val="18"/>
                <w:szCs w:val="18"/>
                <w:lang w:eastAsia="en-AU"/>
              </w:rPr>
            </w:pPr>
            <w:r w:rsidRPr="00932478">
              <w:rPr>
                <w:sz w:val="18"/>
                <w:szCs w:val="18"/>
              </w:rPr>
              <w:t>9,215</w:t>
            </w:r>
          </w:p>
        </w:tc>
        <w:tc>
          <w:tcPr>
            <w:tcW w:w="1366" w:type="dxa"/>
            <w:shd w:val="clear" w:color="auto" w:fill="auto"/>
            <w:noWrap/>
            <w:vAlign w:val="center"/>
          </w:tcPr>
          <w:p w14:paraId="67030A6D" w14:textId="5C48F4E9" w:rsidR="00932478" w:rsidRPr="00932478" w:rsidRDefault="00932478" w:rsidP="00932478">
            <w:pPr>
              <w:spacing w:after="0" w:line="240" w:lineRule="auto"/>
              <w:jc w:val="right"/>
              <w:rPr>
                <w:rFonts w:cs="Arial"/>
                <w:color w:val="000000"/>
                <w:sz w:val="18"/>
                <w:szCs w:val="18"/>
                <w:lang w:eastAsia="en-AU"/>
              </w:rPr>
            </w:pPr>
            <w:r w:rsidRPr="00932478">
              <w:rPr>
                <w:sz w:val="18"/>
                <w:szCs w:val="18"/>
              </w:rPr>
              <w:t>11,801</w:t>
            </w:r>
          </w:p>
        </w:tc>
        <w:tc>
          <w:tcPr>
            <w:tcW w:w="1404" w:type="dxa"/>
            <w:shd w:val="clear" w:color="auto" w:fill="auto"/>
            <w:noWrap/>
            <w:vAlign w:val="center"/>
          </w:tcPr>
          <w:p w14:paraId="7AB3F1A7" w14:textId="73C30343" w:rsidR="00932478" w:rsidRPr="00932478" w:rsidRDefault="00932478" w:rsidP="00932478">
            <w:pPr>
              <w:spacing w:after="0" w:line="240" w:lineRule="auto"/>
              <w:jc w:val="right"/>
              <w:rPr>
                <w:rFonts w:cs="Arial"/>
                <w:color w:val="000000"/>
                <w:sz w:val="18"/>
                <w:szCs w:val="18"/>
                <w:lang w:eastAsia="en-AU"/>
              </w:rPr>
            </w:pPr>
            <w:r w:rsidRPr="00932478">
              <w:rPr>
                <w:sz w:val="18"/>
                <w:szCs w:val="18"/>
              </w:rPr>
              <w:t>13,959</w:t>
            </w:r>
          </w:p>
        </w:tc>
        <w:tc>
          <w:tcPr>
            <w:tcW w:w="1460" w:type="dxa"/>
            <w:shd w:val="clear" w:color="auto" w:fill="auto"/>
            <w:noWrap/>
            <w:vAlign w:val="center"/>
          </w:tcPr>
          <w:p w14:paraId="644A8FBF" w14:textId="77BB29F7" w:rsidR="00932478" w:rsidRPr="00932478" w:rsidRDefault="00932478" w:rsidP="00932478">
            <w:pPr>
              <w:spacing w:after="0" w:line="240" w:lineRule="auto"/>
              <w:jc w:val="right"/>
              <w:rPr>
                <w:rFonts w:cs="Arial"/>
                <w:color w:val="000000"/>
                <w:sz w:val="18"/>
                <w:szCs w:val="18"/>
                <w:lang w:eastAsia="en-AU"/>
              </w:rPr>
            </w:pPr>
            <w:r w:rsidRPr="00932478">
              <w:rPr>
                <w:sz w:val="18"/>
                <w:szCs w:val="18"/>
              </w:rPr>
              <w:t>12,723</w:t>
            </w:r>
          </w:p>
        </w:tc>
        <w:tc>
          <w:tcPr>
            <w:tcW w:w="1384" w:type="dxa"/>
            <w:shd w:val="clear" w:color="auto" w:fill="auto"/>
            <w:noWrap/>
            <w:vAlign w:val="center"/>
          </w:tcPr>
          <w:p w14:paraId="1B798ACD" w14:textId="2D9E9AD0" w:rsidR="00932478" w:rsidRPr="00932478" w:rsidRDefault="00932478" w:rsidP="00932478">
            <w:pPr>
              <w:spacing w:after="0" w:line="240" w:lineRule="auto"/>
              <w:jc w:val="right"/>
              <w:rPr>
                <w:rFonts w:cs="Arial"/>
                <w:color w:val="000000"/>
                <w:sz w:val="18"/>
                <w:szCs w:val="18"/>
                <w:lang w:eastAsia="en-AU"/>
              </w:rPr>
            </w:pPr>
            <w:r w:rsidRPr="00932478">
              <w:rPr>
                <w:sz w:val="18"/>
                <w:szCs w:val="18"/>
              </w:rPr>
              <w:t>12,723</w:t>
            </w:r>
          </w:p>
        </w:tc>
      </w:tr>
      <w:tr w:rsidR="00932478" w:rsidRPr="009B6407" w14:paraId="22F1026B" w14:textId="77777777" w:rsidTr="00160B8E">
        <w:trPr>
          <w:trHeight w:val="315"/>
        </w:trPr>
        <w:tc>
          <w:tcPr>
            <w:tcW w:w="2542" w:type="dxa"/>
            <w:shd w:val="clear" w:color="auto" w:fill="EFE2E7" w:themeFill="text1" w:themeFillTint="1A"/>
            <w:noWrap/>
            <w:vAlign w:val="center"/>
            <w:hideMark/>
          </w:tcPr>
          <w:p w14:paraId="2E901BCE" w14:textId="0F2E4B9F" w:rsidR="00932478" w:rsidRPr="00506FD4" w:rsidRDefault="00932478" w:rsidP="00932478">
            <w:pPr>
              <w:spacing w:after="0" w:line="240" w:lineRule="auto"/>
              <w:rPr>
                <w:rFonts w:cs="Arial"/>
                <w:b/>
                <w:bCs/>
                <w:i/>
                <w:iCs/>
                <w:color w:val="000000"/>
                <w:sz w:val="18"/>
                <w:szCs w:val="18"/>
                <w:lang w:eastAsia="en-AU"/>
              </w:rPr>
            </w:pPr>
            <w:r w:rsidRPr="00506FD4">
              <w:rPr>
                <w:rFonts w:cs="Arial"/>
                <w:b/>
                <w:bCs/>
                <w:i/>
                <w:iCs/>
                <w:color w:val="000000"/>
                <w:sz w:val="18"/>
                <w:szCs w:val="18"/>
                <w:lang w:eastAsia="en-AU"/>
              </w:rPr>
              <w:t>Equity Group</w:t>
            </w:r>
          </w:p>
        </w:tc>
        <w:tc>
          <w:tcPr>
            <w:tcW w:w="1318" w:type="dxa"/>
            <w:shd w:val="clear" w:color="auto" w:fill="EFE2E7" w:themeFill="text1" w:themeFillTint="1A"/>
            <w:noWrap/>
            <w:vAlign w:val="center"/>
          </w:tcPr>
          <w:p w14:paraId="69877B76" w14:textId="1B5D40B5" w:rsidR="00932478" w:rsidRPr="00506FD4" w:rsidRDefault="00EC3189" w:rsidP="00932478">
            <w:pPr>
              <w:spacing w:after="0" w:line="240" w:lineRule="auto"/>
              <w:jc w:val="right"/>
              <w:rPr>
                <w:rFonts w:cs="Arial"/>
                <w:b/>
                <w:bCs/>
                <w:color w:val="000000"/>
                <w:sz w:val="18"/>
                <w:szCs w:val="18"/>
                <w:lang w:eastAsia="en-AU"/>
              </w:rPr>
            </w:pPr>
            <w:r w:rsidRPr="00506FD4">
              <w:rPr>
                <w:b/>
                <w:bCs/>
                <w:sz w:val="18"/>
                <w:szCs w:val="18"/>
              </w:rPr>
              <w:t>39,646</w:t>
            </w:r>
          </w:p>
        </w:tc>
        <w:tc>
          <w:tcPr>
            <w:tcW w:w="1366" w:type="dxa"/>
            <w:shd w:val="clear" w:color="auto" w:fill="EFE2E7" w:themeFill="text1" w:themeFillTint="1A"/>
            <w:noWrap/>
            <w:vAlign w:val="center"/>
          </w:tcPr>
          <w:p w14:paraId="0D983E9A" w14:textId="0CE6FA63" w:rsidR="00932478" w:rsidRPr="00506FD4" w:rsidRDefault="00EC3189" w:rsidP="00932478">
            <w:pPr>
              <w:spacing w:after="0" w:line="240" w:lineRule="auto"/>
              <w:jc w:val="right"/>
              <w:rPr>
                <w:rFonts w:cs="Arial"/>
                <w:b/>
                <w:bCs/>
                <w:color w:val="000000"/>
                <w:sz w:val="18"/>
                <w:szCs w:val="18"/>
                <w:lang w:eastAsia="en-AU"/>
              </w:rPr>
            </w:pPr>
            <w:r w:rsidRPr="00506FD4">
              <w:rPr>
                <w:b/>
                <w:bCs/>
                <w:sz w:val="18"/>
                <w:szCs w:val="18"/>
              </w:rPr>
              <w:t>50,771</w:t>
            </w:r>
          </w:p>
        </w:tc>
        <w:tc>
          <w:tcPr>
            <w:tcW w:w="1404" w:type="dxa"/>
            <w:shd w:val="clear" w:color="auto" w:fill="EFE2E7" w:themeFill="text1" w:themeFillTint="1A"/>
            <w:noWrap/>
            <w:vAlign w:val="center"/>
          </w:tcPr>
          <w:p w14:paraId="24A66088" w14:textId="0CBB2703" w:rsidR="00932478" w:rsidRPr="00506FD4" w:rsidRDefault="00EC3189" w:rsidP="00932478">
            <w:pPr>
              <w:spacing w:after="0" w:line="240" w:lineRule="auto"/>
              <w:jc w:val="right"/>
              <w:rPr>
                <w:rFonts w:cs="Arial"/>
                <w:b/>
                <w:bCs/>
                <w:color w:val="000000"/>
                <w:sz w:val="18"/>
                <w:szCs w:val="18"/>
                <w:lang w:eastAsia="en-AU"/>
              </w:rPr>
            </w:pPr>
            <w:r w:rsidRPr="00506FD4">
              <w:rPr>
                <w:b/>
                <w:bCs/>
                <w:sz w:val="18"/>
                <w:szCs w:val="18"/>
              </w:rPr>
              <w:t>81,211</w:t>
            </w:r>
          </w:p>
        </w:tc>
        <w:tc>
          <w:tcPr>
            <w:tcW w:w="1460" w:type="dxa"/>
            <w:shd w:val="clear" w:color="auto" w:fill="EFE2E7" w:themeFill="text1" w:themeFillTint="1A"/>
            <w:noWrap/>
            <w:vAlign w:val="center"/>
          </w:tcPr>
          <w:p w14:paraId="1DD1F8EE" w14:textId="2536C9DB" w:rsidR="00932478" w:rsidRPr="00506FD4" w:rsidRDefault="00EC3189" w:rsidP="00932478">
            <w:pPr>
              <w:spacing w:after="0" w:line="240" w:lineRule="auto"/>
              <w:jc w:val="right"/>
              <w:rPr>
                <w:rFonts w:cs="Arial"/>
                <w:b/>
                <w:bCs/>
                <w:color w:val="000000"/>
                <w:sz w:val="18"/>
                <w:szCs w:val="18"/>
                <w:lang w:eastAsia="en-AU"/>
              </w:rPr>
            </w:pPr>
            <w:r w:rsidRPr="00506FD4">
              <w:rPr>
                <w:b/>
                <w:bCs/>
                <w:sz w:val="18"/>
                <w:szCs w:val="18"/>
              </w:rPr>
              <w:t>75,752</w:t>
            </w:r>
          </w:p>
        </w:tc>
        <w:tc>
          <w:tcPr>
            <w:tcW w:w="1384" w:type="dxa"/>
            <w:shd w:val="clear" w:color="auto" w:fill="EFE2E7" w:themeFill="text1" w:themeFillTint="1A"/>
            <w:noWrap/>
            <w:vAlign w:val="center"/>
          </w:tcPr>
          <w:p w14:paraId="1B478CCB" w14:textId="700018DB" w:rsidR="00932478" w:rsidRPr="00506FD4" w:rsidRDefault="00EC3189" w:rsidP="00932478">
            <w:pPr>
              <w:spacing w:after="0" w:line="240" w:lineRule="auto"/>
              <w:jc w:val="right"/>
              <w:rPr>
                <w:rFonts w:cs="Arial"/>
                <w:b/>
                <w:bCs/>
                <w:color w:val="000000"/>
                <w:sz w:val="18"/>
                <w:szCs w:val="18"/>
                <w:lang w:eastAsia="en-AU"/>
              </w:rPr>
            </w:pPr>
            <w:r w:rsidRPr="00506FD4">
              <w:rPr>
                <w:b/>
                <w:bCs/>
                <w:sz w:val="18"/>
                <w:szCs w:val="18"/>
              </w:rPr>
              <w:t>75,752</w:t>
            </w:r>
          </w:p>
        </w:tc>
      </w:tr>
      <w:tr w:rsidR="00932478" w:rsidRPr="009B6407" w14:paraId="78A1F870" w14:textId="77777777" w:rsidTr="006253C8">
        <w:trPr>
          <w:trHeight w:val="315"/>
        </w:trPr>
        <w:tc>
          <w:tcPr>
            <w:tcW w:w="2542" w:type="dxa"/>
            <w:shd w:val="clear" w:color="000000" w:fill="FFFFFF"/>
            <w:noWrap/>
            <w:vAlign w:val="center"/>
            <w:hideMark/>
          </w:tcPr>
          <w:p w14:paraId="12F67EF7" w14:textId="77777777" w:rsidR="00932478" w:rsidRPr="009B6407" w:rsidRDefault="00932478" w:rsidP="00932478">
            <w:pPr>
              <w:spacing w:after="0" w:line="240" w:lineRule="auto"/>
              <w:rPr>
                <w:rFonts w:cs="Arial"/>
                <w:i/>
                <w:iCs/>
                <w:color w:val="000000"/>
                <w:sz w:val="18"/>
                <w:szCs w:val="18"/>
                <w:lang w:eastAsia="en-AU"/>
              </w:rPr>
            </w:pPr>
            <w:r w:rsidRPr="009B6407">
              <w:rPr>
                <w:rFonts w:cs="Arial"/>
                <w:i/>
                <w:iCs/>
                <w:color w:val="000000"/>
                <w:sz w:val="18"/>
                <w:szCs w:val="18"/>
                <w:lang w:eastAsia="en-AU"/>
              </w:rPr>
              <w:t> </w:t>
            </w:r>
          </w:p>
        </w:tc>
        <w:tc>
          <w:tcPr>
            <w:tcW w:w="1318" w:type="dxa"/>
            <w:shd w:val="clear" w:color="000000" w:fill="FFFFFF"/>
            <w:noWrap/>
            <w:vAlign w:val="center"/>
          </w:tcPr>
          <w:p w14:paraId="15719722" w14:textId="77777777" w:rsidR="00932478" w:rsidRPr="00932478" w:rsidRDefault="00932478" w:rsidP="00932478">
            <w:pPr>
              <w:spacing w:after="0" w:line="240" w:lineRule="auto"/>
              <w:jc w:val="right"/>
              <w:rPr>
                <w:rFonts w:cs="Arial"/>
                <w:color w:val="000000"/>
                <w:sz w:val="18"/>
                <w:szCs w:val="18"/>
                <w:lang w:eastAsia="en-AU"/>
              </w:rPr>
            </w:pPr>
          </w:p>
        </w:tc>
        <w:tc>
          <w:tcPr>
            <w:tcW w:w="1366" w:type="dxa"/>
            <w:shd w:val="clear" w:color="000000" w:fill="FFFFFF"/>
            <w:noWrap/>
            <w:vAlign w:val="center"/>
          </w:tcPr>
          <w:p w14:paraId="41BFBF2E" w14:textId="77777777" w:rsidR="00932478" w:rsidRPr="00932478" w:rsidRDefault="00932478" w:rsidP="00932478">
            <w:pPr>
              <w:spacing w:after="0" w:line="240" w:lineRule="auto"/>
              <w:jc w:val="right"/>
              <w:rPr>
                <w:rFonts w:cs="Arial"/>
                <w:color w:val="000000"/>
                <w:sz w:val="18"/>
                <w:szCs w:val="18"/>
                <w:lang w:eastAsia="en-AU"/>
              </w:rPr>
            </w:pPr>
          </w:p>
        </w:tc>
        <w:tc>
          <w:tcPr>
            <w:tcW w:w="1404" w:type="dxa"/>
            <w:shd w:val="clear" w:color="000000" w:fill="FFFFFF"/>
            <w:noWrap/>
            <w:vAlign w:val="center"/>
          </w:tcPr>
          <w:p w14:paraId="74161AA7" w14:textId="77777777" w:rsidR="00932478" w:rsidRPr="00932478" w:rsidRDefault="00932478" w:rsidP="00932478">
            <w:pPr>
              <w:spacing w:after="0" w:line="240" w:lineRule="auto"/>
              <w:jc w:val="right"/>
              <w:rPr>
                <w:rFonts w:cs="Arial"/>
                <w:color w:val="000000"/>
                <w:sz w:val="18"/>
                <w:szCs w:val="18"/>
                <w:lang w:eastAsia="en-AU"/>
              </w:rPr>
            </w:pPr>
          </w:p>
        </w:tc>
        <w:tc>
          <w:tcPr>
            <w:tcW w:w="1460" w:type="dxa"/>
            <w:shd w:val="clear" w:color="000000" w:fill="FFFFFF"/>
            <w:noWrap/>
            <w:vAlign w:val="center"/>
          </w:tcPr>
          <w:p w14:paraId="0F097BCC" w14:textId="77777777" w:rsidR="00932478" w:rsidRPr="00932478" w:rsidRDefault="00932478" w:rsidP="00932478">
            <w:pPr>
              <w:spacing w:after="0" w:line="240" w:lineRule="auto"/>
              <w:jc w:val="right"/>
              <w:rPr>
                <w:rFonts w:cs="Arial"/>
                <w:color w:val="000000"/>
                <w:sz w:val="18"/>
                <w:szCs w:val="18"/>
                <w:lang w:eastAsia="en-AU"/>
              </w:rPr>
            </w:pPr>
          </w:p>
        </w:tc>
        <w:tc>
          <w:tcPr>
            <w:tcW w:w="1384" w:type="dxa"/>
            <w:shd w:val="clear" w:color="000000" w:fill="FFFFFF"/>
            <w:noWrap/>
            <w:vAlign w:val="center"/>
          </w:tcPr>
          <w:p w14:paraId="79DEEFC9" w14:textId="77777777" w:rsidR="00932478" w:rsidRPr="00932478" w:rsidRDefault="00932478" w:rsidP="00932478">
            <w:pPr>
              <w:spacing w:after="0" w:line="240" w:lineRule="auto"/>
              <w:jc w:val="right"/>
              <w:rPr>
                <w:rFonts w:cs="Arial"/>
                <w:color w:val="000000"/>
                <w:sz w:val="18"/>
                <w:szCs w:val="18"/>
                <w:lang w:eastAsia="en-AU"/>
              </w:rPr>
            </w:pPr>
          </w:p>
        </w:tc>
      </w:tr>
      <w:tr w:rsidR="00932478" w:rsidRPr="009B6407" w14:paraId="6E4B2210" w14:textId="77777777" w:rsidTr="006253C8">
        <w:trPr>
          <w:trHeight w:val="315"/>
        </w:trPr>
        <w:tc>
          <w:tcPr>
            <w:tcW w:w="2542" w:type="dxa"/>
            <w:shd w:val="clear" w:color="auto" w:fill="auto"/>
            <w:noWrap/>
            <w:vAlign w:val="center"/>
            <w:hideMark/>
          </w:tcPr>
          <w:p w14:paraId="78C4DBCB" w14:textId="77777777" w:rsidR="00932478" w:rsidRPr="009B6407" w:rsidRDefault="00932478" w:rsidP="00932478">
            <w:pPr>
              <w:spacing w:after="0" w:line="240" w:lineRule="auto"/>
              <w:rPr>
                <w:rFonts w:cs="Arial"/>
                <w:i/>
                <w:iCs/>
                <w:color w:val="000000"/>
                <w:sz w:val="18"/>
                <w:szCs w:val="18"/>
                <w:lang w:eastAsia="en-AU"/>
              </w:rPr>
            </w:pPr>
            <w:r w:rsidRPr="009B6407">
              <w:rPr>
                <w:rFonts w:cs="Arial"/>
                <w:i/>
                <w:iCs/>
                <w:color w:val="000000"/>
                <w:sz w:val="18"/>
                <w:szCs w:val="18"/>
                <w:lang w:eastAsia="en-AU"/>
              </w:rPr>
              <w:t>Equity Share</w:t>
            </w:r>
            <w:r w:rsidRPr="003E37A9">
              <w:rPr>
                <w:rFonts w:cs="Arial"/>
                <w:i/>
                <w:iCs/>
                <w:color w:val="000000"/>
                <w:sz w:val="18"/>
                <w:szCs w:val="18"/>
                <w:lang w:eastAsia="en-AU"/>
              </w:rPr>
              <w:t xml:space="preserve"> of Growth</w:t>
            </w:r>
            <w:r w:rsidRPr="009B6407">
              <w:rPr>
                <w:rFonts w:cs="Arial"/>
                <w:i/>
                <w:iCs/>
                <w:color w:val="000000"/>
                <w:sz w:val="18"/>
                <w:szCs w:val="18"/>
                <w:lang w:eastAsia="en-AU"/>
              </w:rPr>
              <w:t xml:space="preserve"> (%)</w:t>
            </w:r>
          </w:p>
        </w:tc>
        <w:tc>
          <w:tcPr>
            <w:tcW w:w="1318" w:type="dxa"/>
            <w:shd w:val="clear" w:color="auto" w:fill="auto"/>
            <w:noWrap/>
            <w:vAlign w:val="center"/>
          </w:tcPr>
          <w:p w14:paraId="3330E55F" w14:textId="77777777" w:rsidR="00932478" w:rsidRPr="00932478" w:rsidRDefault="00932478" w:rsidP="00932478">
            <w:pPr>
              <w:spacing w:after="0" w:line="240" w:lineRule="auto"/>
              <w:jc w:val="right"/>
              <w:rPr>
                <w:rFonts w:cs="Arial"/>
                <w:color w:val="000000"/>
                <w:sz w:val="18"/>
                <w:szCs w:val="18"/>
                <w:lang w:eastAsia="en-AU"/>
              </w:rPr>
            </w:pPr>
          </w:p>
        </w:tc>
        <w:tc>
          <w:tcPr>
            <w:tcW w:w="1366" w:type="dxa"/>
            <w:shd w:val="clear" w:color="auto" w:fill="auto"/>
            <w:noWrap/>
            <w:vAlign w:val="center"/>
          </w:tcPr>
          <w:p w14:paraId="75DC3344" w14:textId="7EF3D84A" w:rsidR="00932478" w:rsidRPr="00932478" w:rsidRDefault="003E46FE" w:rsidP="00932478">
            <w:pPr>
              <w:spacing w:after="0" w:line="240" w:lineRule="auto"/>
              <w:jc w:val="right"/>
              <w:rPr>
                <w:rFonts w:cs="Arial"/>
                <w:color w:val="000000"/>
                <w:sz w:val="18"/>
                <w:szCs w:val="18"/>
                <w:lang w:eastAsia="en-AU"/>
              </w:rPr>
            </w:pPr>
            <w:r w:rsidRPr="00183978">
              <w:rPr>
                <w:sz w:val="18"/>
                <w:szCs w:val="18"/>
              </w:rPr>
              <w:t>33.6</w:t>
            </w:r>
          </w:p>
        </w:tc>
        <w:tc>
          <w:tcPr>
            <w:tcW w:w="1404" w:type="dxa"/>
            <w:shd w:val="clear" w:color="auto" w:fill="auto"/>
            <w:noWrap/>
            <w:vAlign w:val="center"/>
          </w:tcPr>
          <w:p w14:paraId="1BA7BC07" w14:textId="54A60156" w:rsidR="00932478" w:rsidRPr="00932478" w:rsidRDefault="003E46FE" w:rsidP="00932478">
            <w:pPr>
              <w:spacing w:after="0" w:line="240" w:lineRule="auto"/>
              <w:jc w:val="right"/>
              <w:rPr>
                <w:rFonts w:cs="Arial"/>
                <w:color w:val="000000"/>
                <w:sz w:val="18"/>
                <w:szCs w:val="18"/>
                <w:lang w:eastAsia="en-AU"/>
              </w:rPr>
            </w:pPr>
            <w:r w:rsidRPr="008B1DE2">
              <w:rPr>
                <w:sz w:val="18"/>
                <w:szCs w:val="18"/>
              </w:rPr>
              <w:t>125.5</w:t>
            </w:r>
            <w:r w:rsidR="00933B4F">
              <w:rPr>
                <w:sz w:val="18"/>
                <w:szCs w:val="18"/>
              </w:rPr>
              <w:t>*</w:t>
            </w:r>
          </w:p>
        </w:tc>
        <w:tc>
          <w:tcPr>
            <w:tcW w:w="1460" w:type="dxa"/>
            <w:shd w:val="clear" w:color="auto" w:fill="auto"/>
            <w:noWrap/>
            <w:vAlign w:val="center"/>
          </w:tcPr>
          <w:p w14:paraId="0CE529FE" w14:textId="3B6200D0" w:rsidR="00932478" w:rsidRPr="00932478" w:rsidRDefault="003E46FE" w:rsidP="00932478">
            <w:pPr>
              <w:spacing w:after="0" w:line="240" w:lineRule="auto"/>
              <w:jc w:val="right"/>
              <w:rPr>
                <w:rFonts w:cs="Arial"/>
                <w:color w:val="000000"/>
                <w:sz w:val="18"/>
                <w:szCs w:val="18"/>
                <w:lang w:eastAsia="en-AU"/>
              </w:rPr>
            </w:pPr>
            <w:r w:rsidRPr="008B1DE2">
              <w:rPr>
                <w:sz w:val="18"/>
                <w:szCs w:val="18"/>
              </w:rPr>
              <w:t>109.0</w:t>
            </w:r>
            <w:r w:rsidR="00933B4F">
              <w:rPr>
                <w:sz w:val="18"/>
                <w:szCs w:val="18"/>
              </w:rPr>
              <w:t>*</w:t>
            </w:r>
          </w:p>
        </w:tc>
        <w:tc>
          <w:tcPr>
            <w:tcW w:w="1384" w:type="dxa"/>
            <w:shd w:val="clear" w:color="auto" w:fill="auto"/>
            <w:noWrap/>
            <w:vAlign w:val="center"/>
          </w:tcPr>
          <w:p w14:paraId="4E88B9C2" w14:textId="12EDC8E6" w:rsidR="00932478" w:rsidRPr="00932478" w:rsidRDefault="003E46FE" w:rsidP="00932478">
            <w:pPr>
              <w:spacing w:after="0" w:line="240" w:lineRule="auto"/>
              <w:jc w:val="right"/>
              <w:rPr>
                <w:rFonts w:cs="Arial"/>
                <w:color w:val="000000"/>
                <w:sz w:val="18"/>
                <w:szCs w:val="18"/>
                <w:lang w:eastAsia="en-AU"/>
              </w:rPr>
            </w:pPr>
            <w:r w:rsidRPr="008B1DE2">
              <w:rPr>
                <w:sz w:val="18"/>
                <w:szCs w:val="18"/>
              </w:rPr>
              <w:t>109.0</w:t>
            </w:r>
            <w:r w:rsidR="00933B4F">
              <w:rPr>
                <w:sz w:val="18"/>
                <w:szCs w:val="18"/>
              </w:rPr>
              <w:t>*</w:t>
            </w:r>
          </w:p>
        </w:tc>
      </w:tr>
    </w:tbl>
    <w:p w14:paraId="5366B0CE" w14:textId="387D61A3" w:rsidR="00EB5D55" w:rsidRDefault="00B965FE" w:rsidP="00FC1913">
      <w:pPr>
        <w:spacing w:line="240" w:lineRule="auto"/>
        <w:rPr>
          <w:rFonts w:cs="Arial"/>
          <w:sz w:val="18"/>
          <w:szCs w:val="18"/>
        </w:rPr>
      </w:pPr>
      <w:r>
        <w:rPr>
          <w:b/>
          <w:bCs/>
          <w:sz w:val="18"/>
          <w:szCs w:val="18"/>
        </w:rPr>
        <w:t xml:space="preserve">Note: </w:t>
      </w:r>
      <w:r>
        <w:rPr>
          <w:sz w:val="18"/>
          <w:szCs w:val="18"/>
        </w:rPr>
        <w:t xml:space="preserve">*The equity group share of growth exceeds 100% where </w:t>
      </w:r>
      <w:r w:rsidR="00F06F0D">
        <w:rPr>
          <w:sz w:val="18"/>
          <w:szCs w:val="18"/>
        </w:rPr>
        <w:t xml:space="preserve">the increase in </w:t>
      </w:r>
      <w:r w:rsidR="00D52EB3">
        <w:rPr>
          <w:sz w:val="18"/>
          <w:szCs w:val="18"/>
        </w:rPr>
        <w:t xml:space="preserve">equity group </w:t>
      </w:r>
      <w:r w:rsidR="00F06F0D">
        <w:rPr>
          <w:sz w:val="18"/>
          <w:szCs w:val="18"/>
        </w:rPr>
        <w:t xml:space="preserve">completions </w:t>
      </w:r>
      <w:r w:rsidR="00551EDD">
        <w:rPr>
          <w:sz w:val="18"/>
          <w:szCs w:val="18"/>
        </w:rPr>
        <w:t xml:space="preserve">required exceeds </w:t>
      </w:r>
      <w:r w:rsidR="009B41FE">
        <w:rPr>
          <w:sz w:val="18"/>
          <w:szCs w:val="18"/>
        </w:rPr>
        <w:t xml:space="preserve">total </w:t>
      </w:r>
      <w:r w:rsidR="00551EDD">
        <w:rPr>
          <w:sz w:val="18"/>
          <w:szCs w:val="18"/>
        </w:rPr>
        <w:t xml:space="preserve">undergraduate </w:t>
      </w:r>
      <w:r w:rsidR="00E21468">
        <w:rPr>
          <w:sz w:val="18"/>
          <w:szCs w:val="18"/>
        </w:rPr>
        <w:t xml:space="preserve">growth. </w:t>
      </w:r>
      <w:r>
        <w:rPr>
          <w:b/>
          <w:bCs/>
          <w:sz w:val="18"/>
          <w:szCs w:val="18"/>
        </w:rPr>
        <w:br/>
      </w:r>
      <w:r w:rsidR="00EB5D55">
        <w:rPr>
          <w:b/>
          <w:bCs/>
          <w:sz w:val="18"/>
          <w:szCs w:val="18"/>
        </w:rPr>
        <w:t>Source:</w:t>
      </w:r>
      <w:r w:rsidR="00EB5D55">
        <w:rPr>
          <w:sz w:val="18"/>
          <w:szCs w:val="18"/>
        </w:rPr>
        <w:t xml:space="preserve"> </w:t>
      </w:r>
      <w:r w:rsidR="00EB5D55" w:rsidRPr="009E5181">
        <w:rPr>
          <w:rFonts w:cs="Arial"/>
          <w:sz w:val="18"/>
          <w:szCs w:val="18"/>
        </w:rPr>
        <w:t>Australian Government Department of Education (2023)</w:t>
      </w:r>
      <w:r w:rsidR="00EB5D55">
        <w:rPr>
          <w:rFonts w:cs="Arial"/>
          <w:sz w:val="18"/>
          <w:szCs w:val="18"/>
        </w:rPr>
        <w:t xml:space="preserve"> and </w:t>
      </w:r>
      <w:r w:rsidR="002D13E9">
        <w:rPr>
          <w:rFonts w:cs="Arial"/>
          <w:sz w:val="18"/>
          <w:szCs w:val="18"/>
        </w:rPr>
        <w:t>ACSES</w:t>
      </w:r>
      <w:r w:rsidR="00EB5D55">
        <w:rPr>
          <w:rFonts w:cs="Arial"/>
          <w:sz w:val="18"/>
          <w:szCs w:val="18"/>
        </w:rPr>
        <w:t xml:space="preserve"> calculations. </w:t>
      </w:r>
    </w:p>
    <w:p w14:paraId="4C288141" w14:textId="77777777" w:rsidR="00EB5D55" w:rsidRDefault="00EB5D55" w:rsidP="00EB5D55"/>
    <w:p w14:paraId="3D040C1E" w14:textId="1F922DED" w:rsidR="00EB5D55" w:rsidRPr="00EB5D55" w:rsidRDefault="001F6B31" w:rsidP="00EB5D55">
      <w:r>
        <w:t xml:space="preserve">Again, </w:t>
      </w:r>
      <w:r w:rsidR="00E44D05">
        <w:t xml:space="preserve">the </w:t>
      </w:r>
      <w:r w:rsidR="00E44D05" w:rsidRPr="00FA4618">
        <w:rPr>
          <w:i/>
          <w:iCs/>
        </w:rPr>
        <w:t>National Parity Targets</w:t>
      </w:r>
      <w:r w:rsidR="00E44D05">
        <w:t xml:space="preserve"> require </w:t>
      </w:r>
      <w:r w:rsidR="00937A5E">
        <w:t xml:space="preserve">stronger growth in equity student </w:t>
      </w:r>
      <w:r w:rsidR="0025124E">
        <w:t xml:space="preserve">completions </w:t>
      </w:r>
      <w:r w:rsidR="00937A5E">
        <w:t xml:space="preserve">than forecast overall, such that </w:t>
      </w:r>
      <w:r w:rsidR="0025124E">
        <w:t xml:space="preserve">the growth in </w:t>
      </w:r>
      <w:r w:rsidR="0025124E" w:rsidRPr="0090147A">
        <w:rPr>
          <w:i/>
          <w:iCs/>
        </w:rPr>
        <w:t>Equity Group</w:t>
      </w:r>
      <w:r w:rsidR="0025124E">
        <w:t xml:space="preserve"> student completions is equal</w:t>
      </w:r>
      <w:r w:rsidR="008761E5">
        <w:t xml:space="preserve"> to 1</w:t>
      </w:r>
      <w:r w:rsidR="00136C89">
        <w:t>25</w:t>
      </w:r>
      <w:r w:rsidR="008761E5">
        <w:t>.</w:t>
      </w:r>
      <w:r w:rsidR="003E74C6">
        <w:t>5</w:t>
      </w:r>
      <w:r w:rsidR="008761E5">
        <w:t xml:space="preserve">% under the </w:t>
      </w:r>
      <w:r w:rsidR="008761E5">
        <w:rPr>
          <w:i/>
          <w:iCs/>
        </w:rPr>
        <w:t>Convergence</w:t>
      </w:r>
      <w:r w:rsidR="008761E5">
        <w:t xml:space="preserve"> option, where each institution is required to </w:t>
      </w:r>
      <w:r w:rsidR="00F1599A">
        <w:t xml:space="preserve">meet the national parity target. </w:t>
      </w:r>
      <w:r w:rsidR="0025124E">
        <w:t xml:space="preserve"> </w:t>
      </w:r>
    </w:p>
    <w:p w14:paraId="0A1680A4" w14:textId="5CFD1D4E" w:rsidR="001F6B31" w:rsidRDefault="001F6B31">
      <w:pPr>
        <w:rPr>
          <w:rFonts w:ascii="SansaSoft Pro Normal" w:eastAsiaTheme="majorEastAsia" w:hAnsi="SansaSoft Pro Normal" w:cstheme="majorBidi"/>
          <w:b/>
          <w:bCs/>
          <w:sz w:val="26"/>
          <w:szCs w:val="26"/>
        </w:rPr>
      </w:pPr>
    </w:p>
    <w:p w14:paraId="560C7131" w14:textId="26156406" w:rsidR="00033958" w:rsidRDefault="00033958" w:rsidP="00B0246A">
      <w:pPr>
        <w:pStyle w:val="Heading2"/>
      </w:pPr>
      <w:r w:rsidRPr="00033958">
        <w:lastRenderedPageBreak/>
        <w:t xml:space="preserve">State/Territory </w:t>
      </w:r>
      <w:r w:rsidR="00460F11">
        <w:t>Parity</w:t>
      </w:r>
      <w:r w:rsidRPr="00033958">
        <w:t xml:space="preserve"> Targets </w:t>
      </w:r>
    </w:p>
    <w:p w14:paraId="0A51BC8E" w14:textId="77777777" w:rsidR="002001CE" w:rsidRDefault="002001CE" w:rsidP="00FA4618">
      <w:pPr>
        <w:rPr>
          <w:rFonts w:eastAsiaTheme="majorEastAsia"/>
        </w:rPr>
      </w:pPr>
      <w:r>
        <w:rPr>
          <w:rFonts w:eastAsiaTheme="majorEastAsia"/>
        </w:rPr>
        <w:t xml:space="preserve">Given </w:t>
      </w:r>
      <w:r w:rsidR="00764ACE">
        <w:rPr>
          <w:rFonts w:eastAsiaTheme="majorEastAsia"/>
        </w:rPr>
        <w:t>identical</w:t>
      </w:r>
      <w:r>
        <w:rPr>
          <w:rFonts w:eastAsiaTheme="majorEastAsia"/>
        </w:rPr>
        <w:t xml:space="preserve"> </w:t>
      </w:r>
      <w:r w:rsidR="00764ACE" w:rsidRPr="00FA4618">
        <w:rPr>
          <w:rFonts w:eastAsiaTheme="majorEastAsia"/>
          <w:i/>
          <w:iCs/>
        </w:rPr>
        <w:t>S</w:t>
      </w:r>
      <w:r w:rsidRPr="00FA4618">
        <w:rPr>
          <w:rFonts w:eastAsiaTheme="majorEastAsia"/>
          <w:i/>
          <w:iCs/>
        </w:rPr>
        <w:t>tate/</w:t>
      </w:r>
      <w:r w:rsidR="00764ACE" w:rsidRPr="00FA4618">
        <w:rPr>
          <w:rFonts w:eastAsiaTheme="majorEastAsia"/>
          <w:i/>
          <w:iCs/>
        </w:rPr>
        <w:t>T</w:t>
      </w:r>
      <w:r w:rsidRPr="00FA4618">
        <w:rPr>
          <w:rFonts w:eastAsiaTheme="majorEastAsia"/>
          <w:i/>
          <w:iCs/>
        </w:rPr>
        <w:t>erritory</w:t>
      </w:r>
      <w:r w:rsidR="00764ACE" w:rsidRPr="00FA4618">
        <w:rPr>
          <w:rFonts w:eastAsiaTheme="majorEastAsia"/>
          <w:i/>
          <w:iCs/>
        </w:rPr>
        <w:t xml:space="preserve"> Parity</w:t>
      </w:r>
      <w:r w:rsidRPr="00FA4618">
        <w:rPr>
          <w:rFonts w:eastAsiaTheme="majorEastAsia"/>
          <w:i/>
          <w:iCs/>
        </w:rPr>
        <w:t xml:space="preserve"> </w:t>
      </w:r>
      <w:r w:rsidR="00764ACE" w:rsidRPr="00FA4618">
        <w:rPr>
          <w:rFonts w:eastAsiaTheme="majorEastAsia"/>
          <w:i/>
          <w:iCs/>
        </w:rPr>
        <w:t>T</w:t>
      </w:r>
      <w:r w:rsidRPr="00FA4618">
        <w:rPr>
          <w:rFonts w:eastAsiaTheme="majorEastAsia"/>
          <w:i/>
          <w:iCs/>
        </w:rPr>
        <w:t>argets</w:t>
      </w:r>
      <w:r>
        <w:rPr>
          <w:rFonts w:eastAsiaTheme="majorEastAsia"/>
        </w:rPr>
        <w:t xml:space="preserve">, the changing distribution of required changes to equity student completions reflect </w:t>
      </w:r>
      <w:r w:rsidR="00764ACE">
        <w:rPr>
          <w:rFonts w:eastAsiaTheme="majorEastAsia"/>
        </w:rPr>
        <w:t xml:space="preserve">the changes in participation. </w:t>
      </w:r>
    </w:p>
    <w:p w14:paraId="76CE63AD" w14:textId="7DC56092" w:rsidR="00460F11" w:rsidRPr="008C52BE" w:rsidRDefault="00460F11" w:rsidP="006B57B5">
      <w:pPr>
        <w:pStyle w:val="Heading3"/>
        <w:rPr>
          <w:i w:val="0"/>
        </w:rPr>
      </w:pPr>
      <w:r w:rsidRPr="008C52BE">
        <w:t>State/Territory (Home institutions)</w:t>
      </w:r>
      <w:r w:rsidR="00E5525F">
        <w:t xml:space="preserve"> Parity</w:t>
      </w:r>
      <w:r w:rsidRPr="008C52BE">
        <w:t xml:space="preserve"> Targets</w:t>
      </w:r>
    </w:p>
    <w:p w14:paraId="075E6CFB" w14:textId="0933119E" w:rsidR="00460F11" w:rsidRDefault="0043274E" w:rsidP="00FA4618">
      <w:pPr>
        <w:rPr>
          <w:rFonts w:eastAsiaTheme="majorEastAsia"/>
        </w:rPr>
      </w:pPr>
      <w:r>
        <w:rPr>
          <w:rFonts w:eastAsiaTheme="majorEastAsia"/>
        </w:rPr>
        <w:t xml:space="preserve">Local targets </w:t>
      </w:r>
      <w:r w:rsidR="00A803F7">
        <w:rPr>
          <w:rFonts w:eastAsiaTheme="majorEastAsia"/>
        </w:rPr>
        <w:t>reduce the overall requirement for an expansion in equity student numbers</w:t>
      </w:r>
      <w:r w:rsidR="00340298">
        <w:rPr>
          <w:rFonts w:eastAsiaTheme="majorEastAsia"/>
        </w:rPr>
        <w:t xml:space="preserve"> and marginally shift requirements across equity groups. </w:t>
      </w:r>
      <w:r w:rsidR="00A803F7">
        <w:rPr>
          <w:rFonts w:eastAsiaTheme="majorEastAsia"/>
        </w:rPr>
        <w:t xml:space="preserve">  </w:t>
      </w:r>
    </w:p>
    <w:p w14:paraId="22CD08D2" w14:textId="77777777" w:rsidR="0043274E" w:rsidRDefault="0043274E" w:rsidP="00A160A2">
      <w:pPr>
        <w:rPr>
          <w:rFonts w:eastAsiaTheme="majorEastAsia"/>
        </w:rPr>
      </w:pPr>
    </w:p>
    <w:p w14:paraId="628359D6" w14:textId="7C069347" w:rsidR="00F60D79" w:rsidRDefault="00F60D79" w:rsidP="00F60D79">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1</w:t>
      </w:r>
      <w:r w:rsidR="00033958">
        <w:rPr>
          <w:rFonts w:cstheme="minorHAnsi"/>
          <w:b/>
          <w:bCs/>
          <w:color w:val="000000"/>
          <w:sz w:val="18"/>
          <w:szCs w:val="18"/>
          <w:lang w:eastAsia="en-AU"/>
        </w:rPr>
        <w:t>2</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Pr="00185BAE">
        <w:rPr>
          <w:rFonts w:cstheme="minorHAnsi"/>
          <w:color w:val="000000"/>
          <w:sz w:val="18"/>
          <w:szCs w:val="18"/>
          <w:lang w:eastAsia="en-AU"/>
        </w:rPr>
        <w:t xml:space="preserve">Equity Group </w:t>
      </w:r>
      <w:r>
        <w:rPr>
          <w:rFonts w:cstheme="minorHAnsi"/>
          <w:color w:val="000000"/>
          <w:sz w:val="18"/>
          <w:szCs w:val="18"/>
          <w:lang w:eastAsia="en-AU"/>
        </w:rPr>
        <w:t xml:space="preserve">Completion </w:t>
      </w:r>
      <w:r w:rsidRPr="00185BAE">
        <w:rPr>
          <w:rFonts w:cstheme="minorHAnsi"/>
          <w:color w:val="000000"/>
          <w:sz w:val="18"/>
          <w:szCs w:val="18"/>
          <w:lang w:eastAsia="en-AU"/>
        </w:rPr>
        <w:t xml:space="preserve">Projections: </w:t>
      </w:r>
      <w:r>
        <w:rPr>
          <w:rFonts w:cstheme="minorHAnsi"/>
          <w:color w:val="000000"/>
          <w:sz w:val="18"/>
          <w:szCs w:val="18"/>
          <w:lang w:eastAsia="en-AU"/>
        </w:rPr>
        <w:t xml:space="preserve">State/Territory (Home institutions) </w:t>
      </w:r>
      <w:r w:rsidRPr="00185BAE">
        <w:rPr>
          <w:rFonts w:cstheme="minorHAnsi"/>
          <w:color w:val="000000"/>
          <w:sz w:val="18"/>
          <w:szCs w:val="18"/>
          <w:lang w:eastAsia="en-AU"/>
        </w:rPr>
        <w:t xml:space="preserve">Targets Under Four </w:t>
      </w:r>
      <w:r w:rsidR="00F726C1">
        <w:rPr>
          <w:rFonts w:cstheme="minorHAnsi"/>
          <w:color w:val="000000"/>
          <w:sz w:val="18"/>
          <w:szCs w:val="18"/>
          <w:lang w:eastAsia="en-AU"/>
        </w:rPr>
        <w:t>O</w:t>
      </w:r>
      <w:r w:rsidR="00F726C1" w:rsidRPr="00F726C1">
        <w:rPr>
          <w:rFonts w:cstheme="minorHAnsi"/>
          <w:color w:val="000000"/>
          <w:sz w:val="18"/>
          <w:szCs w:val="18"/>
          <w:lang w:eastAsia="en-AU"/>
        </w:rPr>
        <w:t xml:space="preserve">ptions </w:t>
      </w:r>
      <w:r w:rsidRPr="00185BAE">
        <w:rPr>
          <w:rFonts w:cstheme="minorHAnsi"/>
          <w:color w:val="000000"/>
          <w:sz w:val="18"/>
          <w:szCs w:val="18"/>
          <w:lang w:eastAsia="en-AU"/>
        </w:rPr>
        <w:t>to 2035</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318"/>
        <w:gridCol w:w="1366"/>
        <w:gridCol w:w="1408"/>
        <w:gridCol w:w="1460"/>
        <w:gridCol w:w="1384"/>
      </w:tblGrid>
      <w:tr w:rsidR="00D20426" w:rsidRPr="009B6407" w14:paraId="4F5B4E8D" w14:textId="77777777" w:rsidTr="00160B8E">
        <w:trPr>
          <w:trHeight w:val="534"/>
        </w:trPr>
        <w:tc>
          <w:tcPr>
            <w:tcW w:w="2542" w:type="dxa"/>
            <w:vMerge w:val="restart"/>
            <w:shd w:val="clear" w:color="auto" w:fill="auto"/>
            <w:noWrap/>
            <w:vAlign w:val="center"/>
            <w:hideMark/>
          </w:tcPr>
          <w:p w14:paraId="5B94B381" w14:textId="77777777" w:rsidR="00D20426" w:rsidRPr="009B6407" w:rsidRDefault="00D20426" w:rsidP="00D20426">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318" w:type="dxa"/>
            <w:vMerge w:val="restart"/>
            <w:shd w:val="clear" w:color="auto" w:fill="6B3B57"/>
            <w:vAlign w:val="center"/>
            <w:hideMark/>
          </w:tcPr>
          <w:p w14:paraId="72B7491B" w14:textId="77777777" w:rsidR="00D20426" w:rsidRPr="009B6407" w:rsidRDefault="00D20426" w:rsidP="00D20426">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366" w:type="dxa"/>
            <w:vMerge w:val="restart"/>
            <w:shd w:val="clear" w:color="auto" w:fill="6B3B57"/>
            <w:vAlign w:val="center"/>
            <w:hideMark/>
          </w:tcPr>
          <w:p w14:paraId="7C7C9607" w14:textId="45497AA5" w:rsidR="00D20426" w:rsidRPr="009B6407" w:rsidRDefault="00D136CB"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04" w:type="dxa"/>
            <w:vMerge w:val="restart"/>
            <w:shd w:val="clear" w:color="auto" w:fill="6B3B57"/>
            <w:vAlign w:val="center"/>
            <w:hideMark/>
          </w:tcPr>
          <w:p w14:paraId="393317A1"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276215B9" w14:textId="4D8E3C9D" w:rsidR="00D20426" w:rsidRPr="009B6407" w:rsidRDefault="00D20426" w:rsidP="00D20426">
            <w:pPr>
              <w:spacing w:after="0" w:line="240" w:lineRule="auto"/>
              <w:jc w:val="center"/>
              <w:rPr>
                <w:rFonts w:cs="Arial"/>
                <w:b/>
                <w:bCs/>
                <w:color w:val="FFFFFF"/>
                <w:sz w:val="18"/>
                <w:szCs w:val="18"/>
                <w:lang w:eastAsia="en-AU"/>
              </w:rPr>
            </w:pPr>
          </w:p>
        </w:tc>
        <w:tc>
          <w:tcPr>
            <w:tcW w:w="1460" w:type="dxa"/>
            <w:vMerge w:val="restart"/>
            <w:shd w:val="clear" w:color="auto" w:fill="6B3B57"/>
            <w:vAlign w:val="center"/>
            <w:hideMark/>
          </w:tcPr>
          <w:p w14:paraId="5C9ACC88"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7B364F2A" w14:textId="2430A9C6" w:rsidR="00D20426" w:rsidRPr="009B6407" w:rsidRDefault="00D20426" w:rsidP="00D20426">
            <w:pPr>
              <w:spacing w:after="0" w:line="240" w:lineRule="auto"/>
              <w:jc w:val="center"/>
              <w:rPr>
                <w:rFonts w:cs="Arial"/>
                <w:b/>
                <w:bCs/>
                <w:color w:val="FFFFFF"/>
                <w:sz w:val="18"/>
                <w:szCs w:val="18"/>
                <w:lang w:eastAsia="en-AU"/>
              </w:rPr>
            </w:pPr>
          </w:p>
        </w:tc>
        <w:tc>
          <w:tcPr>
            <w:tcW w:w="1384" w:type="dxa"/>
            <w:vMerge w:val="restart"/>
            <w:shd w:val="clear" w:color="auto" w:fill="6B3B57"/>
            <w:vAlign w:val="center"/>
            <w:hideMark/>
          </w:tcPr>
          <w:p w14:paraId="06B221C5"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123D2905" w14:textId="7FAD81F1" w:rsidR="00D20426" w:rsidRPr="009B6407" w:rsidRDefault="00D20426" w:rsidP="00D20426">
            <w:pPr>
              <w:spacing w:after="0" w:line="240" w:lineRule="auto"/>
              <w:jc w:val="center"/>
              <w:rPr>
                <w:rFonts w:cs="Arial"/>
                <w:b/>
                <w:bCs/>
                <w:color w:val="FFFFFF"/>
                <w:sz w:val="18"/>
                <w:szCs w:val="18"/>
                <w:lang w:eastAsia="en-AU"/>
              </w:rPr>
            </w:pPr>
          </w:p>
        </w:tc>
      </w:tr>
      <w:tr w:rsidR="00F60D79" w:rsidRPr="009B6407" w14:paraId="2124E821" w14:textId="77777777" w:rsidTr="00160B8E">
        <w:trPr>
          <w:trHeight w:val="534"/>
        </w:trPr>
        <w:tc>
          <w:tcPr>
            <w:tcW w:w="2542" w:type="dxa"/>
            <w:vMerge/>
            <w:shd w:val="clear" w:color="auto" w:fill="auto"/>
            <w:vAlign w:val="center"/>
            <w:hideMark/>
          </w:tcPr>
          <w:p w14:paraId="7CE157BA" w14:textId="77777777" w:rsidR="00F60D79" w:rsidRPr="009B6407" w:rsidRDefault="00F60D79">
            <w:pPr>
              <w:spacing w:after="0" w:line="240" w:lineRule="auto"/>
              <w:rPr>
                <w:rFonts w:ascii="Calibri" w:hAnsi="Calibri" w:cs="Calibri"/>
                <w:color w:val="000000"/>
                <w:sz w:val="18"/>
                <w:szCs w:val="18"/>
                <w:lang w:eastAsia="en-AU"/>
              </w:rPr>
            </w:pPr>
          </w:p>
        </w:tc>
        <w:tc>
          <w:tcPr>
            <w:tcW w:w="1318" w:type="dxa"/>
            <w:vMerge/>
            <w:shd w:val="clear" w:color="auto" w:fill="6B3B57"/>
            <w:vAlign w:val="center"/>
            <w:hideMark/>
          </w:tcPr>
          <w:p w14:paraId="6BEF78F9" w14:textId="77777777" w:rsidR="00F60D79" w:rsidRPr="009B6407" w:rsidRDefault="00F60D79">
            <w:pPr>
              <w:spacing w:after="0" w:line="240" w:lineRule="auto"/>
              <w:rPr>
                <w:rFonts w:cs="Arial"/>
                <w:b/>
                <w:bCs/>
                <w:color w:val="FFFFFF"/>
                <w:sz w:val="18"/>
                <w:szCs w:val="18"/>
                <w:lang w:eastAsia="en-AU"/>
              </w:rPr>
            </w:pPr>
          </w:p>
        </w:tc>
        <w:tc>
          <w:tcPr>
            <w:tcW w:w="1366" w:type="dxa"/>
            <w:vMerge/>
            <w:shd w:val="clear" w:color="auto" w:fill="6B3B57"/>
            <w:vAlign w:val="center"/>
            <w:hideMark/>
          </w:tcPr>
          <w:p w14:paraId="5D00D2C7" w14:textId="77777777" w:rsidR="00F60D79" w:rsidRPr="009B6407" w:rsidRDefault="00F60D79">
            <w:pPr>
              <w:spacing w:after="0" w:line="240" w:lineRule="auto"/>
              <w:rPr>
                <w:rFonts w:cs="Arial"/>
                <w:b/>
                <w:bCs/>
                <w:color w:val="FFFFFF"/>
                <w:sz w:val="18"/>
                <w:szCs w:val="18"/>
                <w:lang w:eastAsia="en-AU"/>
              </w:rPr>
            </w:pPr>
          </w:p>
        </w:tc>
        <w:tc>
          <w:tcPr>
            <w:tcW w:w="1404" w:type="dxa"/>
            <w:vMerge/>
            <w:shd w:val="clear" w:color="auto" w:fill="6B3B57"/>
            <w:vAlign w:val="center"/>
            <w:hideMark/>
          </w:tcPr>
          <w:p w14:paraId="03A312E9" w14:textId="77777777" w:rsidR="00F60D79" w:rsidRPr="009B6407" w:rsidRDefault="00F60D79">
            <w:pPr>
              <w:spacing w:after="0" w:line="240" w:lineRule="auto"/>
              <w:rPr>
                <w:rFonts w:cs="Arial"/>
                <w:b/>
                <w:bCs/>
                <w:color w:val="FFFFFF"/>
                <w:sz w:val="18"/>
                <w:szCs w:val="18"/>
                <w:lang w:eastAsia="en-AU"/>
              </w:rPr>
            </w:pPr>
          </w:p>
        </w:tc>
        <w:tc>
          <w:tcPr>
            <w:tcW w:w="1460" w:type="dxa"/>
            <w:vMerge/>
            <w:shd w:val="clear" w:color="auto" w:fill="6B3B57"/>
            <w:vAlign w:val="center"/>
            <w:hideMark/>
          </w:tcPr>
          <w:p w14:paraId="2219165D" w14:textId="77777777" w:rsidR="00F60D79" w:rsidRPr="009B6407" w:rsidRDefault="00F60D79">
            <w:pPr>
              <w:spacing w:after="0" w:line="240" w:lineRule="auto"/>
              <w:rPr>
                <w:rFonts w:cs="Arial"/>
                <w:b/>
                <w:bCs/>
                <w:color w:val="FFFFFF"/>
                <w:sz w:val="18"/>
                <w:szCs w:val="18"/>
                <w:lang w:eastAsia="en-AU"/>
              </w:rPr>
            </w:pPr>
          </w:p>
        </w:tc>
        <w:tc>
          <w:tcPr>
            <w:tcW w:w="1384" w:type="dxa"/>
            <w:vMerge/>
            <w:shd w:val="clear" w:color="auto" w:fill="6B3B57"/>
            <w:vAlign w:val="center"/>
            <w:hideMark/>
          </w:tcPr>
          <w:p w14:paraId="377BBD96" w14:textId="77777777" w:rsidR="00F60D79" w:rsidRPr="009B6407" w:rsidRDefault="00F60D79">
            <w:pPr>
              <w:spacing w:after="0" w:line="240" w:lineRule="auto"/>
              <w:rPr>
                <w:rFonts w:cs="Arial"/>
                <w:b/>
                <w:bCs/>
                <w:color w:val="FFFFFF"/>
                <w:sz w:val="18"/>
                <w:szCs w:val="18"/>
                <w:lang w:eastAsia="en-AU"/>
              </w:rPr>
            </w:pPr>
          </w:p>
        </w:tc>
      </w:tr>
      <w:tr w:rsidR="005E76E9" w:rsidRPr="009B6407" w14:paraId="4C9E576B" w14:textId="77777777" w:rsidTr="006253C8">
        <w:trPr>
          <w:trHeight w:val="315"/>
        </w:trPr>
        <w:tc>
          <w:tcPr>
            <w:tcW w:w="2542" w:type="dxa"/>
            <w:shd w:val="clear" w:color="auto" w:fill="auto"/>
            <w:noWrap/>
            <w:vAlign w:val="center"/>
            <w:hideMark/>
          </w:tcPr>
          <w:p w14:paraId="1FE9FC27" w14:textId="77777777" w:rsidR="005E76E9" w:rsidRPr="009B6407" w:rsidRDefault="005E76E9" w:rsidP="005E76E9">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318" w:type="dxa"/>
            <w:shd w:val="clear" w:color="auto" w:fill="auto"/>
            <w:noWrap/>
            <w:vAlign w:val="center"/>
          </w:tcPr>
          <w:p w14:paraId="6E7B268D" w14:textId="5576AC33" w:rsidR="005E76E9" w:rsidRPr="005E76E9" w:rsidRDefault="005E76E9" w:rsidP="005E76E9">
            <w:pPr>
              <w:spacing w:after="0" w:line="240" w:lineRule="auto"/>
              <w:jc w:val="right"/>
              <w:rPr>
                <w:rFonts w:cs="Arial"/>
                <w:b/>
                <w:bCs/>
                <w:color w:val="000000"/>
                <w:sz w:val="18"/>
                <w:szCs w:val="18"/>
                <w:lang w:eastAsia="en-AU"/>
              </w:rPr>
            </w:pPr>
            <w:r w:rsidRPr="005E76E9">
              <w:rPr>
                <w:sz w:val="18"/>
                <w:szCs w:val="18"/>
              </w:rPr>
              <w:t>118,000</w:t>
            </w:r>
          </w:p>
        </w:tc>
        <w:tc>
          <w:tcPr>
            <w:tcW w:w="1366" w:type="dxa"/>
            <w:shd w:val="clear" w:color="auto" w:fill="auto"/>
            <w:noWrap/>
            <w:vAlign w:val="center"/>
          </w:tcPr>
          <w:p w14:paraId="0582ECE2" w14:textId="07587A9A" w:rsidR="005E76E9" w:rsidRPr="005E76E9" w:rsidRDefault="005E76E9" w:rsidP="005E76E9">
            <w:pPr>
              <w:spacing w:after="0" w:line="240" w:lineRule="auto"/>
              <w:jc w:val="right"/>
              <w:rPr>
                <w:rFonts w:cs="Arial"/>
                <w:b/>
                <w:bCs/>
                <w:color w:val="000000"/>
                <w:sz w:val="18"/>
                <w:szCs w:val="18"/>
                <w:lang w:eastAsia="en-AU"/>
              </w:rPr>
            </w:pPr>
            <w:r w:rsidRPr="005E76E9">
              <w:rPr>
                <w:sz w:val="18"/>
                <w:szCs w:val="18"/>
              </w:rPr>
              <w:t>151,110</w:t>
            </w:r>
          </w:p>
        </w:tc>
        <w:tc>
          <w:tcPr>
            <w:tcW w:w="1404" w:type="dxa"/>
            <w:shd w:val="clear" w:color="auto" w:fill="auto"/>
            <w:noWrap/>
            <w:vAlign w:val="center"/>
          </w:tcPr>
          <w:p w14:paraId="0AC63EBF" w14:textId="6113AE38" w:rsidR="005E76E9" w:rsidRPr="005E76E9" w:rsidRDefault="005E76E9" w:rsidP="005E76E9">
            <w:pPr>
              <w:spacing w:after="0" w:line="240" w:lineRule="auto"/>
              <w:jc w:val="right"/>
              <w:rPr>
                <w:rFonts w:cs="Arial"/>
                <w:b/>
                <w:bCs/>
                <w:color w:val="000000"/>
                <w:sz w:val="18"/>
                <w:szCs w:val="18"/>
                <w:lang w:eastAsia="en-AU"/>
              </w:rPr>
            </w:pPr>
            <w:r w:rsidRPr="005E76E9">
              <w:rPr>
                <w:sz w:val="18"/>
                <w:szCs w:val="18"/>
              </w:rPr>
              <w:t>151,110</w:t>
            </w:r>
          </w:p>
        </w:tc>
        <w:tc>
          <w:tcPr>
            <w:tcW w:w="1460" w:type="dxa"/>
            <w:shd w:val="clear" w:color="auto" w:fill="auto"/>
            <w:noWrap/>
            <w:vAlign w:val="center"/>
          </w:tcPr>
          <w:p w14:paraId="7261D20B" w14:textId="2BF73497" w:rsidR="005E76E9" w:rsidRPr="005E76E9" w:rsidRDefault="005E76E9" w:rsidP="005E76E9">
            <w:pPr>
              <w:spacing w:after="0" w:line="240" w:lineRule="auto"/>
              <w:jc w:val="right"/>
              <w:rPr>
                <w:rFonts w:cs="Arial"/>
                <w:b/>
                <w:bCs/>
                <w:color w:val="000000"/>
                <w:sz w:val="18"/>
                <w:szCs w:val="18"/>
                <w:lang w:eastAsia="en-AU"/>
              </w:rPr>
            </w:pPr>
            <w:r w:rsidRPr="005E76E9">
              <w:rPr>
                <w:sz w:val="18"/>
                <w:szCs w:val="18"/>
              </w:rPr>
              <w:t>151,110</w:t>
            </w:r>
          </w:p>
        </w:tc>
        <w:tc>
          <w:tcPr>
            <w:tcW w:w="1384" w:type="dxa"/>
            <w:shd w:val="clear" w:color="auto" w:fill="auto"/>
            <w:noWrap/>
            <w:vAlign w:val="center"/>
          </w:tcPr>
          <w:p w14:paraId="2DC3D3BA" w14:textId="0D01AB95" w:rsidR="005E76E9" w:rsidRPr="005E76E9" w:rsidRDefault="005E76E9" w:rsidP="005E76E9">
            <w:pPr>
              <w:spacing w:after="0" w:line="240" w:lineRule="auto"/>
              <w:jc w:val="right"/>
              <w:rPr>
                <w:rFonts w:cs="Arial"/>
                <w:b/>
                <w:bCs/>
                <w:color w:val="000000"/>
                <w:sz w:val="18"/>
                <w:szCs w:val="18"/>
                <w:lang w:eastAsia="en-AU"/>
              </w:rPr>
            </w:pPr>
            <w:r w:rsidRPr="005E76E9">
              <w:rPr>
                <w:sz w:val="18"/>
                <w:szCs w:val="18"/>
              </w:rPr>
              <w:t>151,110</w:t>
            </w:r>
          </w:p>
        </w:tc>
      </w:tr>
      <w:tr w:rsidR="005E76E9" w:rsidRPr="009B6407" w14:paraId="5F76459D" w14:textId="77777777" w:rsidTr="006253C8">
        <w:trPr>
          <w:trHeight w:val="315"/>
        </w:trPr>
        <w:tc>
          <w:tcPr>
            <w:tcW w:w="2542" w:type="dxa"/>
            <w:shd w:val="clear" w:color="auto" w:fill="auto"/>
            <w:noWrap/>
            <w:vAlign w:val="center"/>
            <w:hideMark/>
          </w:tcPr>
          <w:p w14:paraId="718C7D55" w14:textId="77777777" w:rsidR="005E76E9" w:rsidRPr="009B6407" w:rsidRDefault="005E76E9" w:rsidP="005E76E9">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318" w:type="dxa"/>
            <w:shd w:val="clear" w:color="auto" w:fill="auto"/>
            <w:noWrap/>
            <w:vAlign w:val="center"/>
          </w:tcPr>
          <w:p w14:paraId="35B12170" w14:textId="5171519C" w:rsidR="005E76E9" w:rsidRPr="005E76E9" w:rsidRDefault="00310165" w:rsidP="005E76E9">
            <w:pPr>
              <w:spacing w:after="0" w:line="240" w:lineRule="auto"/>
              <w:jc w:val="right"/>
              <w:rPr>
                <w:rFonts w:cs="Arial"/>
                <w:color w:val="000000"/>
                <w:sz w:val="18"/>
                <w:szCs w:val="18"/>
                <w:lang w:eastAsia="en-AU"/>
              </w:rPr>
            </w:pPr>
            <w:r w:rsidRPr="00183978">
              <w:rPr>
                <w:sz w:val="18"/>
                <w:szCs w:val="18"/>
              </w:rPr>
              <w:t>17,179</w:t>
            </w:r>
          </w:p>
        </w:tc>
        <w:tc>
          <w:tcPr>
            <w:tcW w:w="1366" w:type="dxa"/>
            <w:shd w:val="clear" w:color="auto" w:fill="auto"/>
            <w:noWrap/>
            <w:vAlign w:val="center"/>
          </w:tcPr>
          <w:p w14:paraId="675C8D64" w14:textId="5272A054" w:rsidR="005E76E9" w:rsidRPr="005E76E9" w:rsidRDefault="00310165" w:rsidP="005E76E9">
            <w:pPr>
              <w:spacing w:after="0" w:line="240" w:lineRule="auto"/>
              <w:jc w:val="right"/>
              <w:rPr>
                <w:rFonts w:cs="Arial"/>
                <w:color w:val="000000"/>
                <w:sz w:val="18"/>
                <w:szCs w:val="18"/>
                <w:lang w:eastAsia="en-AU"/>
              </w:rPr>
            </w:pPr>
            <w:r w:rsidRPr="00183978">
              <w:rPr>
                <w:sz w:val="18"/>
                <w:szCs w:val="18"/>
              </w:rPr>
              <w:t>21,999</w:t>
            </w:r>
          </w:p>
        </w:tc>
        <w:tc>
          <w:tcPr>
            <w:tcW w:w="1404" w:type="dxa"/>
            <w:shd w:val="clear" w:color="auto" w:fill="auto"/>
            <w:noWrap/>
            <w:vAlign w:val="center"/>
          </w:tcPr>
          <w:p w14:paraId="64A92F02" w14:textId="08794F50" w:rsidR="005E76E9" w:rsidRPr="005E76E9" w:rsidRDefault="00310165" w:rsidP="005E76E9">
            <w:pPr>
              <w:spacing w:after="0" w:line="240" w:lineRule="auto"/>
              <w:jc w:val="right"/>
              <w:rPr>
                <w:rFonts w:cs="Arial"/>
                <w:color w:val="000000"/>
                <w:sz w:val="18"/>
                <w:szCs w:val="18"/>
                <w:lang w:eastAsia="en-AU"/>
              </w:rPr>
            </w:pPr>
            <w:r w:rsidRPr="00183978">
              <w:rPr>
                <w:sz w:val="18"/>
                <w:szCs w:val="18"/>
              </w:rPr>
              <w:t>35,783</w:t>
            </w:r>
          </w:p>
        </w:tc>
        <w:tc>
          <w:tcPr>
            <w:tcW w:w="1460" w:type="dxa"/>
            <w:shd w:val="clear" w:color="auto" w:fill="auto"/>
            <w:noWrap/>
            <w:vAlign w:val="center"/>
          </w:tcPr>
          <w:p w14:paraId="497D5F54" w14:textId="6A719B75" w:rsidR="005E76E9" w:rsidRPr="005E76E9" w:rsidRDefault="00310165" w:rsidP="005E76E9">
            <w:pPr>
              <w:spacing w:after="0" w:line="240" w:lineRule="auto"/>
              <w:jc w:val="right"/>
              <w:rPr>
                <w:rFonts w:cs="Arial"/>
                <w:color w:val="000000"/>
                <w:sz w:val="18"/>
                <w:szCs w:val="18"/>
                <w:lang w:eastAsia="en-AU"/>
              </w:rPr>
            </w:pPr>
            <w:r w:rsidRPr="00183978">
              <w:rPr>
                <w:sz w:val="18"/>
                <w:szCs w:val="18"/>
              </w:rPr>
              <w:t>35,154</w:t>
            </w:r>
          </w:p>
        </w:tc>
        <w:tc>
          <w:tcPr>
            <w:tcW w:w="1384" w:type="dxa"/>
            <w:shd w:val="clear" w:color="auto" w:fill="auto"/>
            <w:noWrap/>
            <w:vAlign w:val="center"/>
          </w:tcPr>
          <w:p w14:paraId="69BF002A" w14:textId="1D288509" w:rsidR="005E76E9" w:rsidRPr="005E76E9" w:rsidRDefault="00310165" w:rsidP="005E76E9">
            <w:pPr>
              <w:spacing w:after="0" w:line="240" w:lineRule="auto"/>
              <w:jc w:val="right"/>
              <w:rPr>
                <w:rFonts w:cs="Arial"/>
                <w:color w:val="000000"/>
                <w:sz w:val="18"/>
                <w:szCs w:val="18"/>
                <w:lang w:eastAsia="en-AU"/>
              </w:rPr>
            </w:pPr>
            <w:r w:rsidRPr="00183978">
              <w:rPr>
                <w:sz w:val="18"/>
                <w:szCs w:val="18"/>
              </w:rPr>
              <w:t>35,154</w:t>
            </w:r>
          </w:p>
        </w:tc>
      </w:tr>
      <w:tr w:rsidR="005E76E9" w:rsidRPr="009B6407" w14:paraId="72271815" w14:textId="77777777" w:rsidTr="006253C8">
        <w:trPr>
          <w:trHeight w:val="315"/>
        </w:trPr>
        <w:tc>
          <w:tcPr>
            <w:tcW w:w="2542" w:type="dxa"/>
            <w:shd w:val="clear" w:color="auto" w:fill="auto"/>
            <w:noWrap/>
            <w:vAlign w:val="center"/>
            <w:hideMark/>
          </w:tcPr>
          <w:p w14:paraId="575989A0" w14:textId="77777777" w:rsidR="005E76E9" w:rsidRPr="009B6407" w:rsidRDefault="005E76E9" w:rsidP="005E76E9">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318" w:type="dxa"/>
            <w:shd w:val="clear" w:color="auto" w:fill="auto"/>
            <w:noWrap/>
            <w:vAlign w:val="center"/>
          </w:tcPr>
          <w:p w14:paraId="2101A70E" w14:textId="17FB92FB" w:rsidR="005E76E9" w:rsidRPr="005E76E9" w:rsidRDefault="00310165" w:rsidP="005E76E9">
            <w:pPr>
              <w:spacing w:after="0" w:line="240" w:lineRule="auto"/>
              <w:jc w:val="right"/>
              <w:rPr>
                <w:rFonts w:cs="Arial"/>
                <w:color w:val="000000"/>
                <w:sz w:val="18"/>
                <w:szCs w:val="18"/>
                <w:lang w:eastAsia="en-AU"/>
              </w:rPr>
            </w:pPr>
            <w:r w:rsidRPr="00183978">
              <w:rPr>
                <w:sz w:val="18"/>
                <w:szCs w:val="18"/>
              </w:rPr>
              <w:t>22,154</w:t>
            </w:r>
          </w:p>
        </w:tc>
        <w:tc>
          <w:tcPr>
            <w:tcW w:w="1366" w:type="dxa"/>
            <w:shd w:val="clear" w:color="auto" w:fill="auto"/>
            <w:noWrap/>
            <w:vAlign w:val="center"/>
          </w:tcPr>
          <w:p w14:paraId="57727517" w14:textId="3461A228" w:rsidR="005E76E9" w:rsidRPr="005E76E9" w:rsidRDefault="00310165" w:rsidP="005E76E9">
            <w:pPr>
              <w:spacing w:after="0" w:line="240" w:lineRule="auto"/>
              <w:jc w:val="right"/>
              <w:rPr>
                <w:rFonts w:cs="Arial"/>
                <w:color w:val="000000"/>
                <w:sz w:val="18"/>
                <w:szCs w:val="18"/>
                <w:lang w:eastAsia="en-AU"/>
              </w:rPr>
            </w:pPr>
            <w:r w:rsidRPr="00183978">
              <w:rPr>
                <w:sz w:val="18"/>
                <w:szCs w:val="18"/>
              </w:rPr>
              <w:t>28,371</w:t>
            </w:r>
          </w:p>
        </w:tc>
        <w:tc>
          <w:tcPr>
            <w:tcW w:w="1404" w:type="dxa"/>
            <w:shd w:val="clear" w:color="auto" w:fill="auto"/>
            <w:noWrap/>
            <w:vAlign w:val="center"/>
          </w:tcPr>
          <w:p w14:paraId="5D02C540" w14:textId="141C3726" w:rsidR="005E76E9" w:rsidRPr="005E76E9" w:rsidRDefault="00310165" w:rsidP="005E76E9">
            <w:pPr>
              <w:spacing w:after="0" w:line="240" w:lineRule="auto"/>
              <w:jc w:val="right"/>
              <w:rPr>
                <w:rFonts w:cs="Arial"/>
                <w:color w:val="000000"/>
                <w:sz w:val="18"/>
                <w:szCs w:val="18"/>
                <w:lang w:eastAsia="en-AU"/>
              </w:rPr>
            </w:pPr>
            <w:r w:rsidRPr="00183978">
              <w:rPr>
                <w:sz w:val="18"/>
                <w:szCs w:val="18"/>
              </w:rPr>
              <w:t>44,232</w:t>
            </w:r>
          </w:p>
        </w:tc>
        <w:tc>
          <w:tcPr>
            <w:tcW w:w="1460" w:type="dxa"/>
            <w:shd w:val="clear" w:color="auto" w:fill="auto"/>
            <w:noWrap/>
            <w:vAlign w:val="center"/>
          </w:tcPr>
          <w:p w14:paraId="4E56168B" w14:textId="772F2DC1" w:rsidR="005E76E9" w:rsidRPr="005E76E9" w:rsidRDefault="00310165" w:rsidP="005E76E9">
            <w:pPr>
              <w:spacing w:after="0" w:line="240" w:lineRule="auto"/>
              <w:jc w:val="right"/>
              <w:rPr>
                <w:rFonts w:cs="Arial"/>
                <w:color w:val="000000"/>
                <w:sz w:val="18"/>
                <w:szCs w:val="18"/>
                <w:lang w:eastAsia="en-AU"/>
              </w:rPr>
            </w:pPr>
            <w:r w:rsidRPr="00183978">
              <w:rPr>
                <w:sz w:val="18"/>
                <w:szCs w:val="18"/>
              </w:rPr>
              <w:t>40,168</w:t>
            </w:r>
          </w:p>
        </w:tc>
        <w:tc>
          <w:tcPr>
            <w:tcW w:w="1384" w:type="dxa"/>
            <w:shd w:val="clear" w:color="auto" w:fill="auto"/>
            <w:noWrap/>
            <w:vAlign w:val="center"/>
          </w:tcPr>
          <w:p w14:paraId="57ABBAB8" w14:textId="60F411AD" w:rsidR="005E76E9" w:rsidRPr="005E76E9" w:rsidRDefault="00310165" w:rsidP="005E76E9">
            <w:pPr>
              <w:spacing w:after="0" w:line="240" w:lineRule="auto"/>
              <w:jc w:val="right"/>
              <w:rPr>
                <w:rFonts w:cs="Arial"/>
                <w:color w:val="000000"/>
                <w:sz w:val="18"/>
                <w:szCs w:val="18"/>
                <w:lang w:eastAsia="en-AU"/>
              </w:rPr>
            </w:pPr>
            <w:r w:rsidRPr="00183978">
              <w:rPr>
                <w:sz w:val="18"/>
                <w:szCs w:val="18"/>
              </w:rPr>
              <w:t>40,168</w:t>
            </w:r>
          </w:p>
        </w:tc>
      </w:tr>
      <w:tr w:rsidR="005E76E9" w:rsidRPr="009B6407" w14:paraId="4C635299" w14:textId="77777777" w:rsidTr="006253C8">
        <w:trPr>
          <w:trHeight w:val="315"/>
        </w:trPr>
        <w:tc>
          <w:tcPr>
            <w:tcW w:w="2542" w:type="dxa"/>
            <w:shd w:val="clear" w:color="auto" w:fill="auto"/>
            <w:noWrap/>
            <w:vAlign w:val="center"/>
            <w:hideMark/>
          </w:tcPr>
          <w:p w14:paraId="60D3C567" w14:textId="77777777" w:rsidR="005E76E9" w:rsidRPr="009B6407" w:rsidRDefault="005E76E9" w:rsidP="005E76E9">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318" w:type="dxa"/>
            <w:shd w:val="clear" w:color="auto" w:fill="auto"/>
            <w:noWrap/>
            <w:vAlign w:val="center"/>
          </w:tcPr>
          <w:p w14:paraId="3748F049" w14:textId="60FAF69B" w:rsidR="005E76E9" w:rsidRPr="005E76E9" w:rsidRDefault="005E76E9" w:rsidP="005E76E9">
            <w:pPr>
              <w:spacing w:after="0" w:line="240" w:lineRule="auto"/>
              <w:jc w:val="right"/>
              <w:rPr>
                <w:rFonts w:cs="Arial"/>
                <w:color w:val="000000"/>
                <w:sz w:val="18"/>
                <w:szCs w:val="18"/>
                <w:lang w:eastAsia="en-AU"/>
              </w:rPr>
            </w:pPr>
            <w:r w:rsidRPr="005E76E9">
              <w:rPr>
                <w:sz w:val="18"/>
                <w:szCs w:val="18"/>
              </w:rPr>
              <w:t>1,637</w:t>
            </w:r>
          </w:p>
        </w:tc>
        <w:tc>
          <w:tcPr>
            <w:tcW w:w="1366" w:type="dxa"/>
            <w:shd w:val="clear" w:color="auto" w:fill="auto"/>
            <w:noWrap/>
            <w:vAlign w:val="center"/>
          </w:tcPr>
          <w:p w14:paraId="043701A1" w14:textId="4C2A66CF" w:rsidR="005E76E9" w:rsidRPr="005E76E9" w:rsidRDefault="005E76E9" w:rsidP="005E76E9">
            <w:pPr>
              <w:spacing w:after="0" w:line="240" w:lineRule="auto"/>
              <w:jc w:val="right"/>
              <w:rPr>
                <w:rFonts w:cs="Arial"/>
                <w:color w:val="000000"/>
                <w:sz w:val="18"/>
                <w:szCs w:val="18"/>
                <w:lang w:eastAsia="en-AU"/>
              </w:rPr>
            </w:pPr>
            <w:r w:rsidRPr="005E76E9">
              <w:rPr>
                <w:sz w:val="18"/>
                <w:szCs w:val="18"/>
              </w:rPr>
              <w:t>2,096</w:t>
            </w:r>
          </w:p>
        </w:tc>
        <w:tc>
          <w:tcPr>
            <w:tcW w:w="1404" w:type="dxa"/>
            <w:shd w:val="clear" w:color="auto" w:fill="auto"/>
            <w:noWrap/>
            <w:vAlign w:val="center"/>
          </w:tcPr>
          <w:p w14:paraId="4D46408C" w14:textId="30EFD2F9" w:rsidR="005E76E9" w:rsidRPr="005E76E9" w:rsidRDefault="005E76E9" w:rsidP="005E76E9">
            <w:pPr>
              <w:spacing w:after="0" w:line="240" w:lineRule="auto"/>
              <w:jc w:val="right"/>
              <w:rPr>
                <w:rFonts w:cs="Arial"/>
                <w:color w:val="000000"/>
                <w:sz w:val="18"/>
                <w:szCs w:val="18"/>
                <w:lang w:eastAsia="en-AU"/>
              </w:rPr>
            </w:pPr>
            <w:r w:rsidRPr="005E76E9">
              <w:rPr>
                <w:sz w:val="18"/>
                <w:szCs w:val="18"/>
              </w:rPr>
              <w:t>5,201</w:t>
            </w:r>
          </w:p>
        </w:tc>
        <w:tc>
          <w:tcPr>
            <w:tcW w:w="1460" w:type="dxa"/>
            <w:shd w:val="clear" w:color="auto" w:fill="auto"/>
            <w:noWrap/>
            <w:vAlign w:val="center"/>
          </w:tcPr>
          <w:p w14:paraId="1B272A81" w14:textId="1234AF37" w:rsidR="005E76E9" w:rsidRPr="005E76E9" w:rsidRDefault="005E76E9" w:rsidP="005E76E9">
            <w:pPr>
              <w:spacing w:after="0" w:line="240" w:lineRule="auto"/>
              <w:jc w:val="right"/>
              <w:rPr>
                <w:rFonts w:cs="Arial"/>
                <w:color w:val="000000"/>
                <w:sz w:val="18"/>
                <w:szCs w:val="18"/>
                <w:lang w:eastAsia="en-AU"/>
              </w:rPr>
            </w:pPr>
            <w:r w:rsidRPr="005E76E9">
              <w:rPr>
                <w:sz w:val="18"/>
                <w:szCs w:val="18"/>
              </w:rPr>
              <w:t>5,198</w:t>
            </w:r>
          </w:p>
        </w:tc>
        <w:tc>
          <w:tcPr>
            <w:tcW w:w="1384" w:type="dxa"/>
            <w:shd w:val="clear" w:color="auto" w:fill="auto"/>
            <w:noWrap/>
            <w:vAlign w:val="center"/>
          </w:tcPr>
          <w:p w14:paraId="48966311" w14:textId="4DD41C67" w:rsidR="005E76E9" w:rsidRPr="005E76E9" w:rsidRDefault="005E76E9" w:rsidP="005E76E9">
            <w:pPr>
              <w:spacing w:after="0" w:line="240" w:lineRule="auto"/>
              <w:jc w:val="right"/>
              <w:rPr>
                <w:rFonts w:cs="Arial"/>
                <w:color w:val="000000"/>
                <w:sz w:val="18"/>
                <w:szCs w:val="18"/>
                <w:lang w:eastAsia="en-AU"/>
              </w:rPr>
            </w:pPr>
            <w:r w:rsidRPr="005E76E9">
              <w:rPr>
                <w:sz w:val="18"/>
                <w:szCs w:val="18"/>
              </w:rPr>
              <w:t>5,198</w:t>
            </w:r>
          </w:p>
        </w:tc>
      </w:tr>
      <w:tr w:rsidR="005E76E9" w:rsidRPr="009B6407" w14:paraId="2C482693" w14:textId="77777777" w:rsidTr="006253C8">
        <w:trPr>
          <w:trHeight w:val="315"/>
        </w:trPr>
        <w:tc>
          <w:tcPr>
            <w:tcW w:w="2542" w:type="dxa"/>
            <w:shd w:val="clear" w:color="auto" w:fill="auto"/>
            <w:noWrap/>
            <w:vAlign w:val="center"/>
            <w:hideMark/>
          </w:tcPr>
          <w:p w14:paraId="1964A61B" w14:textId="77777777" w:rsidR="005E76E9" w:rsidRPr="009B6407" w:rsidRDefault="005E76E9" w:rsidP="005E76E9">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318" w:type="dxa"/>
            <w:shd w:val="clear" w:color="auto" w:fill="auto"/>
            <w:noWrap/>
            <w:vAlign w:val="center"/>
          </w:tcPr>
          <w:p w14:paraId="45450A36" w14:textId="3E49C395" w:rsidR="005E76E9" w:rsidRPr="005E76E9" w:rsidRDefault="005E76E9" w:rsidP="005E76E9">
            <w:pPr>
              <w:spacing w:after="0" w:line="240" w:lineRule="auto"/>
              <w:jc w:val="right"/>
              <w:rPr>
                <w:rFonts w:cs="Arial"/>
                <w:color w:val="000000"/>
                <w:sz w:val="18"/>
                <w:szCs w:val="18"/>
                <w:lang w:eastAsia="en-AU"/>
              </w:rPr>
            </w:pPr>
            <w:r w:rsidRPr="005E76E9">
              <w:rPr>
                <w:sz w:val="18"/>
                <w:szCs w:val="18"/>
              </w:rPr>
              <w:t>9,215</w:t>
            </w:r>
          </w:p>
        </w:tc>
        <w:tc>
          <w:tcPr>
            <w:tcW w:w="1366" w:type="dxa"/>
            <w:shd w:val="clear" w:color="auto" w:fill="auto"/>
            <w:noWrap/>
            <w:vAlign w:val="center"/>
          </w:tcPr>
          <w:p w14:paraId="04A5A07F" w14:textId="07FBC19E" w:rsidR="005E76E9" w:rsidRPr="005E76E9" w:rsidRDefault="005E76E9" w:rsidP="005E76E9">
            <w:pPr>
              <w:spacing w:after="0" w:line="240" w:lineRule="auto"/>
              <w:jc w:val="right"/>
              <w:rPr>
                <w:rFonts w:cs="Arial"/>
                <w:color w:val="000000"/>
                <w:sz w:val="18"/>
                <w:szCs w:val="18"/>
                <w:lang w:eastAsia="en-AU"/>
              </w:rPr>
            </w:pPr>
            <w:r w:rsidRPr="005E76E9">
              <w:rPr>
                <w:sz w:val="18"/>
                <w:szCs w:val="18"/>
              </w:rPr>
              <w:t>11,801</w:t>
            </w:r>
          </w:p>
        </w:tc>
        <w:tc>
          <w:tcPr>
            <w:tcW w:w="1404" w:type="dxa"/>
            <w:shd w:val="clear" w:color="auto" w:fill="auto"/>
            <w:noWrap/>
            <w:vAlign w:val="center"/>
          </w:tcPr>
          <w:p w14:paraId="610AEAAC" w14:textId="7DB8D875" w:rsidR="005E76E9" w:rsidRPr="005E76E9" w:rsidRDefault="005E76E9" w:rsidP="005E76E9">
            <w:pPr>
              <w:spacing w:after="0" w:line="240" w:lineRule="auto"/>
              <w:jc w:val="right"/>
              <w:rPr>
                <w:rFonts w:cs="Arial"/>
                <w:color w:val="000000"/>
                <w:sz w:val="18"/>
                <w:szCs w:val="18"/>
                <w:lang w:eastAsia="en-AU"/>
              </w:rPr>
            </w:pPr>
            <w:r w:rsidRPr="005E76E9">
              <w:rPr>
                <w:sz w:val="18"/>
                <w:szCs w:val="18"/>
              </w:rPr>
              <w:t>13,959</w:t>
            </w:r>
          </w:p>
        </w:tc>
        <w:tc>
          <w:tcPr>
            <w:tcW w:w="1460" w:type="dxa"/>
            <w:shd w:val="clear" w:color="auto" w:fill="auto"/>
            <w:noWrap/>
            <w:vAlign w:val="center"/>
          </w:tcPr>
          <w:p w14:paraId="7AD9ADB6" w14:textId="54C39D95" w:rsidR="005E76E9" w:rsidRPr="005E76E9" w:rsidRDefault="005E76E9" w:rsidP="005E76E9">
            <w:pPr>
              <w:spacing w:after="0" w:line="240" w:lineRule="auto"/>
              <w:jc w:val="right"/>
              <w:rPr>
                <w:rFonts w:cs="Arial"/>
                <w:color w:val="000000"/>
                <w:sz w:val="18"/>
                <w:szCs w:val="18"/>
                <w:lang w:eastAsia="en-AU"/>
              </w:rPr>
            </w:pPr>
            <w:r w:rsidRPr="005E76E9">
              <w:rPr>
                <w:sz w:val="18"/>
                <w:szCs w:val="18"/>
              </w:rPr>
              <w:t>13,046</w:t>
            </w:r>
          </w:p>
        </w:tc>
        <w:tc>
          <w:tcPr>
            <w:tcW w:w="1384" w:type="dxa"/>
            <w:shd w:val="clear" w:color="auto" w:fill="auto"/>
            <w:noWrap/>
            <w:vAlign w:val="center"/>
          </w:tcPr>
          <w:p w14:paraId="0BEA082C" w14:textId="4EC15040" w:rsidR="005E76E9" w:rsidRPr="005E76E9" w:rsidRDefault="005E76E9" w:rsidP="005E76E9">
            <w:pPr>
              <w:spacing w:after="0" w:line="240" w:lineRule="auto"/>
              <w:jc w:val="right"/>
              <w:rPr>
                <w:rFonts w:cs="Arial"/>
                <w:color w:val="000000"/>
                <w:sz w:val="18"/>
                <w:szCs w:val="18"/>
                <w:lang w:eastAsia="en-AU"/>
              </w:rPr>
            </w:pPr>
            <w:r w:rsidRPr="005E76E9">
              <w:rPr>
                <w:sz w:val="18"/>
                <w:szCs w:val="18"/>
              </w:rPr>
              <w:t>13,046</w:t>
            </w:r>
          </w:p>
        </w:tc>
      </w:tr>
      <w:tr w:rsidR="005E76E9" w:rsidRPr="009B6407" w14:paraId="7635A14F" w14:textId="77777777" w:rsidTr="00160B8E">
        <w:trPr>
          <w:trHeight w:val="315"/>
        </w:trPr>
        <w:tc>
          <w:tcPr>
            <w:tcW w:w="2542" w:type="dxa"/>
            <w:shd w:val="clear" w:color="auto" w:fill="EFE2E7" w:themeFill="text1" w:themeFillTint="1A"/>
            <w:noWrap/>
            <w:vAlign w:val="center"/>
            <w:hideMark/>
          </w:tcPr>
          <w:p w14:paraId="66FC9DC8" w14:textId="7169C5CC" w:rsidR="005E76E9" w:rsidRPr="00506FD4" w:rsidRDefault="005E76E9" w:rsidP="005E76E9">
            <w:pPr>
              <w:spacing w:after="0" w:line="240" w:lineRule="auto"/>
              <w:rPr>
                <w:rFonts w:cs="Arial"/>
                <w:b/>
                <w:bCs/>
                <w:i/>
                <w:iCs/>
                <w:color w:val="000000"/>
                <w:sz w:val="18"/>
                <w:szCs w:val="18"/>
                <w:lang w:eastAsia="en-AU"/>
              </w:rPr>
            </w:pPr>
            <w:r w:rsidRPr="00506FD4">
              <w:rPr>
                <w:rFonts w:cs="Arial"/>
                <w:b/>
                <w:bCs/>
                <w:i/>
                <w:iCs/>
                <w:color w:val="000000"/>
                <w:sz w:val="18"/>
                <w:szCs w:val="18"/>
                <w:lang w:eastAsia="en-AU"/>
              </w:rPr>
              <w:t>Equity Group</w:t>
            </w:r>
          </w:p>
        </w:tc>
        <w:tc>
          <w:tcPr>
            <w:tcW w:w="1318" w:type="dxa"/>
            <w:shd w:val="clear" w:color="auto" w:fill="EFE2E7" w:themeFill="text1" w:themeFillTint="1A"/>
            <w:noWrap/>
            <w:vAlign w:val="center"/>
          </w:tcPr>
          <w:p w14:paraId="043DED55" w14:textId="5FFA5F64" w:rsidR="005E76E9" w:rsidRPr="00506FD4" w:rsidRDefault="00E2419B" w:rsidP="005E76E9">
            <w:pPr>
              <w:spacing w:after="0" w:line="240" w:lineRule="auto"/>
              <w:jc w:val="right"/>
              <w:rPr>
                <w:rFonts w:cs="Arial"/>
                <w:b/>
                <w:bCs/>
                <w:color w:val="000000"/>
                <w:sz w:val="18"/>
                <w:szCs w:val="18"/>
                <w:lang w:eastAsia="en-AU"/>
              </w:rPr>
            </w:pPr>
            <w:r w:rsidRPr="00506FD4">
              <w:rPr>
                <w:b/>
                <w:bCs/>
                <w:sz w:val="18"/>
                <w:szCs w:val="18"/>
              </w:rPr>
              <w:t>39,646</w:t>
            </w:r>
          </w:p>
        </w:tc>
        <w:tc>
          <w:tcPr>
            <w:tcW w:w="1366" w:type="dxa"/>
            <w:shd w:val="clear" w:color="auto" w:fill="EFE2E7" w:themeFill="text1" w:themeFillTint="1A"/>
            <w:noWrap/>
            <w:vAlign w:val="center"/>
          </w:tcPr>
          <w:p w14:paraId="56C68A07" w14:textId="1F5CE8C0" w:rsidR="005E76E9" w:rsidRPr="00506FD4" w:rsidRDefault="00E2419B" w:rsidP="005E76E9">
            <w:pPr>
              <w:spacing w:after="0" w:line="240" w:lineRule="auto"/>
              <w:jc w:val="right"/>
              <w:rPr>
                <w:rFonts w:cs="Arial"/>
                <w:b/>
                <w:bCs/>
                <w:color w:val="000000"/>
                <w:sz w:val="18"/>
                <w:szCs w:val="18"/>
                <w:lang w:eastAsia="en-AU"/>
              </w:rPr>
            </w:pPr>
            <w:r w:rsidRPr="00506FD4">
              <w:rPr>
                <w:b/>
                <w:bCs/>
                <w:sz w:val="18"/>
                <w:szCs w:val="18"/>
              </w:rPr>
              <w:t>50,771</w:t>
            </w:r>
          </w:p>
        </w:tc>
        <w:tc>
          <w:tcPr>
            <w:tcW w:w="1404" w:type="dxa"/>
            <w:shd w:val="clear" w:color="auto" w:fill="EFE2E7" w:themeFill="text1" w:themeFillTint="1A"/>
            <w:noWrap/>
            <w:vAlign w:val="center"/>
          </w:tcPr>
          <w:p w14:paraId="19AA1892" w14:textId="5DFC97B7" w:rsidR="005E76E9" w:rsidRPr="00506FD4" w:rsidRDefault="00E2419B" w:rsidP="005E76E9">
            <w:pPr>
              <w:spacing w:after="0" w:line="240" w:lineRule="auto"/>
              <w:jc w:val="right"/>
              <w:rPr>
                <w:rFonts w:cs="Arial"/>
                <w:b/>
                <w:bCs/>
                <w:color w:val="000000"/>
                <w:sz w:val="18"/>
                <w:szCs w:val="18"/>
                <w:lang w:eastAsia="en-AU"/>
              </w:rPr>
            </w:pPr>
            <w:r w:rsidRPr="00506FD4">
              <w:rPr>
                <w:b/>
                <w:bCs/>
                <w:sz w:val="18"/>
                <w:szCs w:val="18"/>
              </w:rPr>
              <w:t>78,349</w:t>
            </w:r>
          </w:p>
        </w:tc>
        <w:tc>
          <w:tcPr>
            <w:tcW w:w="1460" w:type="dxa"/>
            <w:shd w:val="clear" w:color="auto" w:fill="EFE2E7" w:themeFill="text1" w:themeFillTint="1A"/>
            <w:noWrap/>
            <w:vAlign w:val="center"/>
          </w:tcPr>
          <w:p w14:paraId="2D7D4D57" w14:textId="59BBF59A" w:rsidR="005E76E9" w:rsidRPr="00506FD4" w:rsidRDefault="00E2419B" w:rsidP="005E76E9">
            <w:pPr>
              <w:spacing w:after="0" w:line="240" w:lineRule="auto"/>
              <w:jc w:val="right"/>
              <w:rPr>
                <w:rFonts w:cs="Arial"/>
                <w:b/>
                <w:bCs/>
                <w:color w:val="000000"/>
                <w:sz w:val="18"/>
                <w:szCs w:val="18"/>
                <w:lang w:eastAsia="en-AU"/>
              </w:rPr>
            </w:pPr>
            <w:r w:rsidRPr="00506FD4">
              <w:rPr>
                <w:b/>
                <w:bCs/>
                <w:sz w:val="18"/>
                <w:szCs w:val="18"/>
              </w:rPr>
              <w:t>73,917</w:t>
            </w:r>
          </w:p>
        </w:tc>
        <w:tc>
          <w:tcPr>
            <w:tcW w:w="1384" w:type="dxa"/>
            <w:shd w:val="clear" w:color="auto" w:fill="EFE2E7" w:themeFill="text1" w:themeFillTint="1A"/>
            <w:noWrap/>
            <w:vAlign w:val="center"/>
          </w:tcPr>
          <w:p w14:paraId="3B0CD434" w14:textId="0D78F4DF" w:rsidR="005E76E9" w:rsidRPr="00506FD4" w:rsidRDefault="00E2419B" w:rsidP="005E76E9">
            <w:pPr>
              <w:spacing w:after="0" w:line="240" w:lineRule="auto"/>
              <w:jc w:val="right"/>
              <w:rPr>
                <w:rFonts w:cs="Arial"/>
                <w:b/>
                <w:bCs/>
                <w:color w:val="000000"/>
                <w:sz w:val="18"/>
                <w:szCs w:val="18"/>
                <w:lang w:eastAsia="en-AU"/>
              </w:rPr>
            </w:pPr>
            <w:r w:rsidRPr="00506FD4">
              <w:rPr>
                <w:b/>
                <w:bCs/>
                <w:sz w:val="18"/>
                <w:szCs w:val="18"/>
              </w:rPr>
              <w:t>73,917</w:t>
            </w:r>
          </w:p>
        </w:tc>
      </w:tr>
      <w:tr w:rsidR="005E76E9" w:rsidRPr="009B6407" w14:paraId="21C34B84" w14:textId="77777777" w:rsidTr="006253C8">
        <w:trPr>
          <w:trHeight w:val="315"/>
        </w:trPr>
        <w:tc>
          <w:tcPr>
            <w:tcW w:w="2542" w:type="dxa"/>
            <w:shd w:val="clear" w:color="000000" w:fill="FFFFFF"/>
            <w:noWrap/>
            <w:vAlign w:val="center"/>
            <w:hideMark/>
          </w:tcPr>
          <w:p w14:paraId="027A4C6A" w14:textId="77777777" w:rsidR="005E76E9" w:rsidRPr="009B6407" w:rsidRDefault="005E76E9" w:rsidP="005E76E9">
            <w:pPr>
              <w:spacing w:after="0" w:line="240" w:lineRule="auto"/>
              <w:rPr>
                <w:rFonts w:cs="Arial"/>
                <w:i/>
                <w:iCs/>
                <w:color w:val="000000"/>
                <w:sz w:val="18"/>
                <w:szCs w:val="18"/>
                <w:lang w:eastAsia="en-AU"/>
              </w:rPr>
            </w:pPr>
            <w:r w:rsidRPr="009B6407">
              <w:rPr>
                <w:rFonts w:cs="Arial"/>
                <w:i/>
                <w:iCs/>
                <w:color w:val="000000"/>
                <w:sz w:val="18"/>
                <w:szCs w:val="18"/>
                <w:lang w:eastAsia="en-AU"/>
              </w:rPr>
              <w:t> </w:t>
            </w:r>
          </w:p>
        </w:tc>
        <w:tc>
          <w:tcPr>
            <w:tcW w:w="1318" w:type="dxa"/>
            <w:shd w:val="clear" w:color="000000" w:fill="FFFFFF"/>
            <w:noWrap/>
            <w:vAlign w:val="center"/>
          </w:tcPr>
          <w:p w14:paraId="28D22399" w14:textId="77777777" w:rsidR="005E76E9" w:rsidRPr="005E76E9" w:rsidRDefault="005E76E9" w:rsidP="005E76E9">
            <w:pPr>
              <w:spacing w:after="0" w:line="240" w:lineRule="auto"/>
              <w:jc w:val="right"/>
              <w:rPr>
                <w:rFonts w:cs="Arial"/>
                <w:color w:val="000000"/>
                <w:sz w:val="18"/>
                <w:szCs w:val="18"/>
                <w:lang w:eastAsia="en-AU"/>
              </w:rPr>
            </w:pPr>
          </w:p>
        </w:tc>
        <w:tc>
          <w:tcPr>
            <w:tcW w:w="1366" w:type="dxa"/>
            <w:shd w:val="clear" w:color="000000" w:fill="FFFFFF"/>
            <w:noWrap/>
            <w:vAlign w:val="center"/>
          </w:tcPr>
          <w:p w14:paraId="20AC7B0E" w14:textId="77777777" w:rsidR="005E76E9" w:rsidRPr="005E76E9" w:rsidRDefault="005E76E9" w:rsidP="005E76E9">
            <w:pPr>
              <w:spacing w:after="0" w:line="240" w:lineRule="auto"/>
              <w:jc w:val="right"/>
              <w:rPr>
                <w:rFonts w:cs="Arial"/>
                <w:color w:val="000000"/>
                <w:sz w:val="18"/>
                <w:szCs w:val="18"/>
                <w:lang w:eastAsia="en-AU"/>
              </w:rPr>
            </w:pPr>
          </w:p>
        </w:tc>
        <w:tc>
          <w:tcPr>
            <w:tcW w:w="1404" w:type="dxa"/>
            <w:shd w:val="clear" w:color="000000" w:fill="FFFFFF"/>
            <w:noWrap/>
            <w:vAlign w:val="center"/>
          </w:tcPr>
          <w:p w14:paraId="13F983BB" w14:textId="77777777" w:rsidR="005E76E9" w:rsidRPr="005E76E9" w:rsidRDefault="005E76E9" w:rsidP="005E76E9">
            <w:pPr>
              <w:spacing w:after="0" w:line="240" w:lineRule="auto"/>
              <w:jc w:val="right"/>
              <w:rPr>
                <w:rFonts w:cs="Arial"/>
                <w:color w:val="000000"/>
                <w:sz w:val="18"/>
                <w:szCs w:val="18"/>
                <w:lang w:eastAsia="en-AU"/>
              </w:rPr>
            </w:pPr>
          </w:p>
        </w:tc>
        <w:tc>
          <w:tcPr>
            <w:tcW w:w="1460" w:type="dxa"/>
            <w:shd w:val="clear" w:color="000000" w:fill="FFFFFF"/>
            <w:noWrap/>
            <w:vAlign w:val="center"/>
          </w:tcPr>
          <w:p w14:paraId="663F66E3" w14:textId="77777777" w:rsidR="005E76E9" w:rsidRPr="005E76E9" w:rsidRDefault="005E76E9" w:rsidP="005E76E9">
            <w:pPr>
              <w:spacing w:after="0" w:line="240" w:lineRule="auto"/>
              <w:jc w:val="right"/>
              <w:rPr>
                <w:rFonts w:cs="Arial"/>
                <w:color w:val="000000"/>
                <w:sz w:val="18"/>
                <w:szCs w:val="18"/>
                <w:lang w:eastAsia="en-AU"/>
              </w:rPr>
            </w:pPr>
          </w:p>
        </w:tc>
        <w:tc>
          <w:tcPr>
            <w:tcW w:w="1384" w:type="dxa"/>
            <w:shd w:val="clear" w:color="000000" w:fill="FFFFFF"/>
            <w:noWrap/>
            <w:vAlign w:val="center"/>
          </w:tcPr>
          <w:p w14:paraId="295AF705" w14:textId="77777777" w:rsidR="005E76E9" w:rsidRPr="005E76E9" w:rsidRDefault="005E76E9" w:rsidP="005E76E9">
            <w:pPr>
              <w:spacing w:after="0" w:line="240" w:lineRule="auto"/>
              <w:jc w:val="right"/>
              <w:rPr>
                <w:rFonts w:cs="Arial"/>
                <w:color w:val="000000"/>
                <w:sz w:val="18"/>
                <w:szCs w:val="18"/>
                <w:lang w:eastAsia="en-AU"/>
              </w:rPr>
            </w:pPr>
          </w:p>
        </w:tc>
      </w:tr>
      <w:tr w:rsidR="005E76E9" w:rsidRPr="009B6407" w14:paraId="63362EF9" w14:textId="77777777" w:rsidTr="006253C8">
        <w:trPr>
          <w:trHeight w:val="315"/>
        </w:trPr>
        <w:tc>
          <w:tcPr>
            <w:tcW w:w="2542" w:type="dxa"/>
            <w:shd w:val="clear" w:color="auto" w:fill="auto"/>
            <w:noWrap/>
            <w:vAlign w:val="center"/>
            <w:hideMark/>
          </w:tcPr>
          <w:p w14:paraId="5C34D27B" w14:textId="77777777" w:rsidR="005E76E9" w:rsidRPr="009B6407" w:rsidRDefault="005E76E9" w:rsidP="005E76E9">
            <w:pPr>
              <w:spacing w:after="0" w:line="240" w:lineRule="auto"/>
              <w:rPr>
                <w:rFonts w:cs="Arial"/>
                <w:i/>
                <w:iCs/>
                <w:color w:val="000000"/>
                <w:sz w:val="18"/>
                <w:szCs w:val="18"/>
                <w:lang w:eastAsia="en-AU"/>
              </w:rPr>
            </w:pPr>
            <w:r w:rsidRPr="009B6407">
              <w:rPr>
                <w:rFonts w:cs="Arial"/>
                <w:i/>
                <w:iCs/>
                <w:color w:val="000000"/>
                <w:sz w:val="18"/>
                <w:szCs w:val="18"/>
                <w:lang w:eastAsia="en-AU"/>
              </w:rPr>
              <w:t>Equity Share</w:t>
            </w:r>
            <w:r w:rsidRPr="003E37A9">
              <w:rPr>
                <w:rFonts w:cs="Arial"/>
                <w:i/>
                <w:iCs/>
                <w:color w:val="000000"/>
                <w:sz w:val="18"/>
                <w:szCs w:val="18"/>
                <w:lang w:eastAsia="en-AU"/>
              </w:rPr>
              <w:t xml:space="preserve"> of Growth</w:t>
            </w:r>
            <w:r w:rsidRPr="009B6407">
              <w:rPr>
                <w:rFonts w:cs="Arial"/>
                <w:i/>
                <w:iCs/>
                <w:color w:val="000000"/>
                <w:sz w:val="18"/>
                <w:szCs w:val="18"/>
                <w:lang w:eastAsia="en-AU"/>
              </w:rPr>
              <w:t xml:space="preserve"> (%)</w:t>
            </w:r>
          </w:p>
        </w:tc>
        <w:tc>
          <w:tcPr>
            <w:tcW w:w="1318" w:type="dxa"/>
            <w:shd w:val="clear" w:color="auto" w:fill="auto"/>
            <w:noWrap/>
            <w:vAlign w:val="center"/>
          </w:tcPr>
          <w:p w14:paraId="717B961E" w14:textId="77777777" w:rsidR="005E76E9" w:rsidRPr="005E76E9" w:rsidRDefault="005E76E9" w:rsidP="005E76E9">
            <w:pPr>
              <w:spacing w:after="0" w:line="240" w:lineRule="auto"/>
              <w:jc w:val="right"/>
              <w:rPr>
                <w:rFonts w:cs="Arial"/>
                <w:color w:val="000000"/>
                <w:sz w:val="18"/>
                <w:szCs w:val="18"/>
                <w:lang w:eastAsia="en-AU"/>
              </w:rPr>
            </w:pPr>
          </w:p>
        </w:tc>
        <w:tc>
          <w:tcPr>
            <w:tcW w:w="1366" w:type="dxa"/>
            <w:shd w:val="clear" w:color="auto" w:fill="auto"/>
            <w:noWrap/>
            <w:vAlign w:val="center"/>
          </w:tcPr>
          <w:p w14:paraId="2D3AEA25" w14:textId="6E6FC3B9" w:rsidR="005E76E9" w:rsidRPr="005E76E9" w:rsidRDefault="00933B4F" w:rsidP="005E76E9">
            <w:pPr>
              <w:spacing w:after="0" w:line="240" w:lineRule="auto"/>
              <w:jc w:val="right"/>
              <w:rPr>
                <w:rFonts w:cs="Arial"/>
                <w:color w:val="000000"/>
                <w:sz w:val="18"/>
                <w:szCs w:val="18"/>
                <w:lang w:eastAsia="en-AU"/>
              </w:rPr>
            </w:pPr>
            <w:r w:rsidRPr="00183978">
              <w:rPr>
                <w:sz w:val="18"/>
                <w:szCs w:val="18"/>
              </w:rPr>
              <w:t>33.6</w:t>
            </w:r>
          </w:p>
        </w:tc>
        <w:tc>
          <w:tcPr>
            <w:tcW w:w="1404" w:type="dxa"/>
            <w:shd w:val="clear" w:color="auto" w:fill="auto"/>
            <w:noWrap/>
            <w:vAlign w:val="center"/>
          </w:tcPr>
          <w:p w14:paraId="483560FC" w14:textId="5BC294C3" w:rsidR="005E76E9" w:rsidRPr="005E76E9" w:rsidRDefault="00933B4F" w:rsidP="005E76E9">
            <w:pPr>
              <w:spacing w:after="0" w:line="240" w:lineRule="auto"/>
              <w:jc w:val="right"/>
              <w:rPr>
                <w:rFonts w:cs="Arial"/>
                <w:color w:val="000000"/>
                <w:sz w:val="18"/>
                <w:szCs w:val="18"/>
                <w:lang w:eastAsia="en-AU"/>
              </w:rPr>
            </w:pPr>
            <w:r w:rsidRPr="008B1DE2">
              <w:rPr>
                <w:sz w:val="18"/>
                <w:szCs w:val="18"/>
              </w:rPr>
              <w:t>116.9</w:t>
            </w:r>
            <w:r>
              <w:rPr>
                <w:sz w:val="18"/>
                <w:szCs w:val="18"/>
              </w:rPr>
              <w:t>*</w:t>
            </w:r>
          </w:p>
        </w:tc>
        <w:tc>
          <w:tcPr>
            <w:tcW w:w="1460" w:type="dxa"/>
            <w:shd w:val="clear" w:color="auto" w:fill="auto"/>
            <w:noWrap/>
            <w:vAlign w:val="center"/>
          </w:tcPr>
          <w:p w14:paraId="42D691B1" w14:textId="1FB4019B" w:rsidR="005E76E9" w:rsidRPr="005E76E9" w:rsidRDefault="00933B4F" w:rsidP="005E76E9">
            <w:pPr>
              <w:spacing w:after="0" w:line="240" w:lineRule="auto"/>
              <w:jc w:val="right"/>
              <w:rPr>
                <w:rFonts w:cs="Arial"/>
                <w:color w:val="000000"/>
                <w:sz w:val="18"/>
                <w:szCs w:val="18"/>
                <w:lang w:eastAsia="en-AU"/>
              </w:rPr>
            </w:pPr>
            <w:r w:rsidRPr="008B1DE2">
              <w:rPr>
                <w:sz w:val="18"/>
                <w:szCs w:val="18"/>
              </w:rPr>
              <w:t>103.5</w:t>
            </w:r>
            <w:r>
              <w:rPr>
                <w:sz w:val="18"/>
                <w:szCs w:val="18"/>
              </w:rPr>
              <w:t>*</w:t>
            </w:r>
          </w:p>
        </w:tc>
        <w:tc>
          <w:tcPr>
            <w:tcW w:w="1384" w:type="dxa"/>
            <w:shd w:val="clear" w:color="auto" w:fill="auto"/>
            <w:noWrap/>
            <w:vAlign w:val="center"/>
          </w:tcPr>
          <w:p w14:paraId="3CA00D97" w14:textId="26E25EA5" w:rsidR="005E76E9" w:rsidRPr="005E76E9" w:rsidRDefault="00933B4F" w:rsidP="005E76E9">
            <w:pPr>
              <w:spacing w:after="0" w:line="240" w:lineRule="auto"/>
              <w:jc w:val="right"/>
              <w:rPr>
                <w:rFonts w:cs="Arial"/>
                <w:color w:val="000000"/>
                <w:sz w:val="18"/>
                <w:szCs w:val="18"/>
                <w:lang w:eastAsia="en-AU"/>
              </w:rPr>
            </w:pPr>
            <w:r w:rsidRPr="008B1DE2">
              <w:rPr>
                <w:sz w:val="18"/>
                <w:szCs w:val="18"/>
              </w:rPr>
              <w:t>103.5</w:t>
            </w:r>
            <w:r>
              <w:rPr>
                <w:sz w:val="18"/>
                <w:szCs w:val="18"/>
              </w:rPr>
              <w:t>*</w:t>
            </w:r>
          </w:p>
        </w:tc>
      </w:tr>
    </w:tbl>
    <w:p w14:paraId="531518AB" w14:textId="46F60401" w:rsidR="008D10ED" w:rsidRDefault="008D10ED" w:rsidP="009E3971">
      <w:pPr>
        <w:spacing w:line="240" w:lineRule="auto"/>
        <w:rPr>
          <w:rFonts w:cs="Arial"/>
          <w:sz w:val="18"/>
          <w:szCs w:val="18"/>
        </w:rPr>
      </w:pPr>
      <w:r>
        <w:rPr>
          <w:b/>
          <w:bCs/>
          <w:sz w:val="18"/>
          <w:szCs w:val="18"/>
        </w:rPr>
        <w:t xml:space="preserve">Note: </w:t>
      </w:r>
      <w:r>
        <w:rPr>
          <w:sz w:val="18"/>
          <w:szCs w:val="18"/>
        </w:rPr>
        <w:t xml:space="preserve">*The equity group share of growth exceeds 100% where the increase in equity group completions required exceeds total undergraduate growth. </w:t>
      </w:r>
      <w:r w:rsidR="00006DA9">
        <w:rPr>
          <w:sz w:val="18"/>
          <w:szCs w:val="18"/>
        </w:rPr>
        <w:br/>
      </w: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68BAD4D2" w14:textId="77777777" w:rsidR="00F60D79" w:rsidRPr="00F60D79" w:rsidRDefault="00F60D79" w:rsidP="00F60D79"/>
    <w:p w14:paraId="6496B603" w14:textId="77777777" w:rsidR="00B530A8" w:rsidRDefault="00B530A8">
      <w:pPr>
        <w:rPr>
          <w:b/>
          <w:bCs/>
          <w:i/>
          <w:iCs/>
        </w:rPr>
      </w:pPr>
      <w:r>
        <w:rPr>
          <w:b/>
          <w:bCs/>
          <w:i/>
          <w:iCs/>
        </w:rPr>
        <w:br w:type="page"/>
      </w:r>
    </w:p>
    <w:p w14:paraId="01B1F401" w14:textId="0030A0D5" w:rsidR="00460F11" w:rsidRPr="008C52BE" w:rsidRDefault="00460F11" w:rsidP="006B57B5">
      <w:pPr>
        <w:pStyle w:val="Heading3"/>
        <w:rPr>
          <w:b w:val="0"/>
          <w:i w:val="0"/>
        </w:rPr>
      </w:pPr>
      <w:r w:rsidRPr="008C52BE">
        <w:lastRenderedPageBreak/>
        <w:t>State/Territory (</w:t>
      </w:r>
      <w:r>
        <w:t>All</w:t>
      </w:r>
      <w:r w:rsidRPr="008C52BE">
        <w:t xml:space="preserve"> institutions)</w:t>
      </w:r>
      <w:r w:rsidR="00E5525F">
        <w:t xml:space="preserve"> Parity</w:t>
      </w:r>
      <w:r w:rsidRPr="008C52BE">
        <w:t xml:space="preserve"> Targets</w:t>
      </w:r>
    </w:p>
    <w:p w14:paraId="26106150" w14:textId="4D3D56E3" w:rsidR="00460F11" w:rsidRPr="00774762" w:rsidRDefault="00E5525F" w:rsidP="00FA4618">
      <w:pPr>
        <w:rPr>
          <w:rFonts w:eastAsiaTheme="majorEastAsia"/>
        </w:rPr>
      </w:pPr>
      <w:r>
        <w:rPr>
          <w:rFonts w:eastAsiaTheme="majorEastAsia"/>
        </w:rPr>
        <w:t xml:space="preserve">The inclusion of all institutions to meet </w:t>
      </w:r>
      <w:r>
        <w:rPr>
          <w:rFonts w:eastAsiaTheme="majorEastAsia"/>
          <w:i/>
          <w:iCs/>
        </w:rPr>
        <w:t>State/Territory Parity Targets</w:t>
      </w:r>
      <w:r>
        <w:rPr>
          <w:rFonts w:eastAsiaTheme="majorEastAsia"/>
        </w:rPr>
        <w:t xml:space="preserve"> for completions </w:t>
      </w:r>
      <w:r w:rsidR="00774762">
        <w:rPr>
          <w:rFonts w:eastAsiaTheme="majorEastAsia"/>
        </w:rPr>
        <w:t xml:space="preserve">reduces the overall requirement for an increase in equity student completions, particularly under the </w:t>
      </w:r>
      <w:r w:rsidR="00774762">
        <w:rPr>
          <w:rFonts w:eastAsiaTheme="majorEastAsia"/>
          <w:i/>
          <w:iCs/>
        </w:rPr>
        <w:t>Equal Effort</w:t>
      </w:r>
      <w:r w:rsidR="00774762">
        <w:rPr>
          <w:rFonts w:eastAsiaTheme="majorEastAsia"/>
        </w:rPr>
        <w:t xml:space="preserve"> and </w:t>
      </w:r>
      <w:r w:rsidR="00774762">
        <w:rPr>
          <w:rFonts w:eastAsiaTheme="majorEastAsia"/>
          <w:i/>
          <w:iCs/>
        </w:rPr>
        <w:t xml:space="preserve">Divergence </w:t>
      </w:r>
      <w:r w:rsidR="00774762">
        <w:rPr>
          <w:rFonts w:eastAsiaTheme="majorEastAsia"/>
        </w:rPr>
        <w:t xml:space="preserve">options. </w:t>
      </w:r>
    </w:p>
    <w:p w14:paraId="007B1C79" w14:textId="77777777" w:rsidR="00774762" w:rsidRDefault="00774762" w:rsidP="00AC7924">
      <w:pPr>
        <w:spacing w:line="240" w:lineRule="auto"/>
        <w:rPr>
          <w:rFonts w:cstheme="minorHAnsi"/>
          <w:b/>
          <w:bCs/>
          <w:color w:val="000000"/>
          <w:sz w:val="18"/>
          <w:szCs w:val="18"/>
          <w:lang w:eastAsia="en-AU"/>
        </w:rPr>
      </w:pPr>
    </w:p>
    <w:p w14:paraId="156C9C0F" w14:textId="7E326730" w:rsidR="00AC7924" w:rsidRDefault="00AC7924" w:rsidP="006E6AE4">
      <w:pPr>
        <w:spacing w:line="240" w:lineRule="auto"/>
        <w:ind w:left="1440" w:hanging="1440"/>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1</w:t>
      </w:r>
      <w:r w:rsidR="00033958">
        <w:rPr>
          <w:rFonts w:cstheme="minorHAnsi"/>
          <w:b/>
          <w:bCs/>
          <w:color w:val="000000"/>
          <w:sz w:val="18"/>
          <w:szCs w:val="18"/>
          <w:lang w:eastAsia="en-AU"/>
        </w:rPr>
        <w:t>3</w:t>
      </w:r>
      <w:r w:rsidR="006E6AE4">
        <w:rPr>
          <w:rFonts w:cstheme="minorHAnsi"/>
          <w:b/>
          <w:bCs/>
          <w:color w:val="000000"/>
          <w:sz w:val="18"/>
          <w:szCs w:val="18"/>
          <w:lang w:eastAsia="en-AU"/>
        </w:rPr>
        <w:t xml:space="preserve">: </w:t>
      </w:r>
      <w:r w:rsidRPr="00185BAE">
        <w:rPr>
          <w:rFonts w:cstheme="minorHAnsi"/>
          <w:color w:val="000000"/>
          <w:sz w:val="18"/>
          <w:szCs w:val="18"/>
          <w:lang w:eastAsia="en-AU"/>
        </w:rPr>
        <w:t xml:space="preserve">Equity Group </w:t>
      </w:r>
      <w:r>
        <w:rPr>
          <w:rFonts w:cstheme="minorHAnsi"/>
          <w:color w:val="000000"/>
          <w:sz w:val="18"/>
          <w:szCs w:val="18"/>
          <w:lang w:eastAsia="en-AU"/>
        </w:rPr>
        <w:t xml:space="preserve">Completion </w:t>
      </w:r>
      <w:r w:rsidRPr="00185BAE">
        <w:rPr>
          <w:rFonts w:cstheme="minorHAnsi"/>
          <w:color w:val="000000"/>
          <w:sz w:val="18"/>
          <w:szCs w:val="18"/>
          <w:lang w:eastAsia="en-AU"/>
        </w:rPr>
        <w:t xml:space="preserve">Projections: </w:t>
      </w:r>
      <w:r>
        <w:rPr>
          <w:rFonts w:cstheme="minorHAnsi"/>
          <w:color w:val="000000"/>
          <w:sz w:val="18"/>
          <w:szCs w:val="18"/>
          <w:lang w:eastAsia="en-AU"/>
        </w:rPr>
        <w:t xml:space="preserve">State/Territory (All institutions) </w:t>
      </w:r>
      <w:r w:rsidRPr="00185BAE">
        <w:rPr>
          <w:rFonts w:cstheme="minorHAnsi"/>
          <w:color w:val="000000"/>
          <w:sz w:val="18"/>
          <w:szCs w:val="18"/>
          <w:lang w:eastAsia="en-AU"/>
        </w:rPr>
        <w:t xml:space="preserve">Targets Under Four </w:t>
      </w:r>
      <w:r w:rsidR="00366278">
        <w:rPr>
          <w:rFonts w:cstheme="minorHAnsi"/>
          <w:color w:val="000000"/>
          <w:sz w:val="18"/>
          <w:szCs w:val="18"/>
          <w:lang w:eastAsia="en-AU"/>
        </w:rPr>
        <w:t>O</w:t>
      </w:r>
      <w:r w:rsidR="00366278" w:rsidRPr="00366278">
        <w:rPr>
          <w:rFonts w:cstheme="minorHAnsi"/>
          <w:color w:val="000000"/>
          <w:sz w:val="18"/>
          <w:szCs w:val="18"/>
          <w:lang w:eastAsia="en-AU"/>
        </w:rPr>
        <w:t xml:space="preserve">ptions </w:t>
      </w:r>
      <w:r w:rsidRPr="00185BAE">
        <w:rPr>
          <w:rFonts w:cstheme="minorHAnsi"/>
          <w:color w:val="000000"/>
          <w:sz w:val="18"/>
          <w:szCs w:val="18"/>
          <w:lang w:eastAsia="en-AU"/>
        </w:rPr>
        <w:t>to 2035</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185"/>
        <w:gridCol w:w="1366"/>
        <w:gridCol w:w="1408"/>
        <w:gridCol w:w="1460"/>
        <w:gridCol w:w="1384"/>
      </w:tblGrid>
      <w:tr w:rsidR="00D20426" w:rsidRPr="009B6407" w14:paraId="4977C04C" w14:textId="77777777" w:rsidTr="00160B8E">
        <w:trPr>
          <w:trHeight w:val="534"/>
        </w:trPr>
        <w:tc>
          <w:tcPr>
            <w:tcW w:w="2542" w:type="dxa"/>
            <w:vMerge w:val="restart"/>
            <w:shd w:val="clear" w:color="auto" w:fill="auto"/>
            <w:noWrap/>
            <w:vAlign w:val="center"/>
            <w:hideMark/>
          </w:tcPr>
          <w:p w14:paraId="70ACAB1A" w14:textId="77777777" w:rsidR="00D20426" w:rsidRPr="009B6407" w:rsidRDefault="00D20426" w:rsidP="00D20426">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185" w:type="dxa"/>
            <w:vMerge w:val="restart"/>
            <w:shd w:val="clear" w:color="auto" w:fill="6B3B57"/>
            <w:vAlign w:val="center"/>
            <w:hideMark/>
          </w:tcPr>
          <w:p w14:paraId="2B2CEB2C" w14:textId="77777777" w:rsidR="00D20426" w:rsidRPr="009B6407" w:rsidRDefault="00D20426" w:rsidP="00D20426">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366" w:type="dxa"/>
            <w:vMerge w:val="restart"/>
            <w:shd w:val="clear" w:color="auto" w:fill="6B3B57"/>
            <w:vAlign w:val="center"/>
            <w:hideMark/>
          </w:tcPr>
          <w:p w14:paraId="7546D205" w14:textId="27783FA5" w:rsidR="00D20426" w:rsidRPr="009B6407" w:rsidRDefault="00D136CB"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04" w:type="dxa"/>
            <w:vMerge w:val="restart"/>
            <w:shd w:val="clear" w:color="auto" w:fill="6B3B57"/>
            <w:vAlign w:val="center"/>
            <w:hideMark/>
          </w:tcPr>
          <w:p w14:paraId="693A0B33"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036DE7F2" w14:textId="3472E579" w:rsidR="00D20426" w:rsidRPr="009B6407" w:rsidRDefault="00D20426" w:rsidP="00D20426">
            <w:pPr>
              <w:spacing w:after="0" w:line="240" w:lineRule="auto"/>
              <w:jc w:val="center"/>
              <w:rPr>
                <w:rFonts w:cs="Arial"/>
                <w:b/>
                <w:bCs/>
                <w:color w:val="FFFFFF"/>
                <w:sz w:val="18"/>
                <w:szCs w:val="18"/>
                <w:lang w:eastAsia="en-AU"/>
              </w:rPr>
            </w:pPr>
          </w:p>
        </w:tc>
        <w:tc>
          <w:tcPr>
            <w:tcW w:w="1460" w:type="dxa"/>
            <w:vMerge w:val="restart"/>
            <w:shd w:val="clear" w:color="auto" w:fill="6B3B57"/>
            <w:vAlign w:val="center"/>
            <w:hideMark/>
          </w:tcPr>
          <w:p w14:paraId="0E845E31"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6FA3F9A4" w14:textId="0BC24A3E" w:rsidR="00D20426" w:rsidRPr="009B6407" w:rsidRDefault="00D20426" w:rsidP="00D20426">
            <w:pPr>
              <w:spacing w:after="0" w:line="240" w:lineRule="auto"/>
              <w:jc w:val="center"/>
              <w:rPr>
                <w:rFonts w:cs="Arial"/>
                <w:b/>
                <w:bCs/>
                <w:color w:val="FFFFFF"/>
                <w:sz w:val="18"/>
                <w:szCs w:val="18"/>
                <w:lang w:eastAsia="en-AU"/>
              </w:rPr>
            </w:pPr>
          </w:p>
        </w:tc>
        <w:tc>
          <w:tcPr>
            <w:tcW w:w="1384" w:type="dxa"/>
            <w:vMerge w:val="restart"/>
            <w:shd w:val="clear" w:color="auto" w:fill="6B3B57"/>
            <w:vAlign w:val="center"/>
            <w:hideMark/>
          </w:tcPr>
          <w:p w14:paraId="3A8F9982" w14:textId="77777777" w:rsidR="00D20426" w:rsidRDefault="00D20426" w:rsidP="00D20426">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09958E10" w14:textId="72685F30" w:rsidR="00D20426" w:rsidRPr="009B6407" w:rsidRDefault="00D20426" w:rsidP="00D20426">
            <w:pPr>
              <w:spacing w:after="0" w:line="240" w:lineRule="auto"/>
              <w:jc w:val="center"/>
              <w:rPr>
                <w:rFonts w:cs="Arial"/>
                <w:b/>
                <w:bCs/>
                <w:color w:val="FFFFFF"/>
                <w:sz w:val="18"/>
                <w:szCs w:val="18"/>
                <w:lang w:eastAsia="en-AU"/>
              </w:rPr>
            </w:pPr>
          </w:p>
        </w:tc>
      </w:tr>
      <w:tr w:rsidR="00AC7924" w:rsidRPr="009B6407" w14:paraId="4EE4132F" w14:textId="77777777" w:rsidTr="00160B8E">
        <w:trPr>
          <w:trHeight w:val="534"/>
        </w:trPr>
        <w:tc>
          <w:tcPr>
            <w:tcW w:w="2542" w:type="dxa"/>
            <w:vMerge/>
            <w:shd w:val="clear" w:color="auto" w:fill="auto"/>
            <w:vAlign w:val="center"/>
            <w:hideMark/>
          </w:tcPr>
          <w:p w14:paraId="121909B4" w14:textId="77777777" w:rsidR="00AC7924" w:rsidRPr="009B6407" w:rsidRDefault="00AC7924">
            <w:pPr>
              <w:spacing w:after="0" w:line="240" w:lineRule="auto"/>
              <w:rPr>
                <w:rFonts w:ascii="Calibri" w:hAnsi="Calibri" w:cs="Calibri"/>
                <w:color w:val="000000"/>
                <w:sz w:val="18"/>
                <w:szCs w:val="18"/>
                <w:lang w:eastAsia="en-AU"/>
              </w:rPr>
            </w:pPr>
          </w:p>
        </w:tc>
        <w:tc>
          <w:tcPr>
            <w:tcW w:w="1185" w:type="dxa"/>
            <w:vMerge/>
            <w:shd w:val="clear" w:color="auto" w:fill="6B3B57"/>
            <w:vAlign w:val="center"/>
            <w:hideMark/>
          </w:tcPr>
          <w:p w14:paraId="6595F157" w14:textId="77777777" w:rsidR="00AC7924" w:rsidRPr="009B6407" w:rsidRDefault="00AC7924">
            <w:pPr>
              <w:spacing w:after="0" w:line="240" w:lineRule="auto"/>
              <w:rPr>
                <w:rFonts w:cs="Arial"/>
                <w:b/>
                <w:bCs/>
                <w:color w:val="FFFFFF"/>
                <w:sz w:val="18"/>
                <w:szCs w:val="18"/>
                <w:lang w:eastAsia="en-AU"/>
              </w:rPr>
            </w:pPr>
          </w:p>
        </w:tc>
        <w:tc>
          <w:tcPr>
            <w:tcW w:w="1366" w:type="dxa"/>
            <w:vMerge/>
            <w:shd w:val="clear" w:color="auto" w:fill="6B3B57"/>
            <w:vAlign w:val="center"/>
            <w:hideMark/>
          </w:tcPr>
          <w:p w14:paraId="4458843A" w14:textId="77777777" w:rsidR="00AC7924" w:rsidRPr="009B6407" w:rsidRDefault="00AC7924">
            <w:pPr>
              <w:spacing w:after="0" w:line="240" w:lineRule="auto"/>
              <w:rPr>
                <w:rFonts w:cs="Arial"/>
                <w:b/>
                <w:bCs/>
                <w:color w:val="FFFFFF"/>
                <w:sz w:val="18"/>
                <w:szCs w:val="18"/>
                <w:lang w:eastAsia="en-AU"/>
              </w:rPr>
            </w:pPr>
          </w:p>
        </w:tc>
        <w:tc>
          <w:tcPr>
            <w:tcW w:w="1404" w:type="dxa"/>
            <w:vMerge/>
            <w:shd w:val="clear" w:color="auto" w:fill="6B3B57"/>
            <w:vAlign w:val="center"/>
            <w:hideMark/>
          </w:tcPr>
          <w:p w14:paraId="12D574F2" w14:textId="77777777" w:rsidR="00AC7924" w:rsidRPr="009B6407" w:rsidRDefault="00AC7924">
            <w:pPr>
              <w:spacing w:after="0" w:line="240" w:lineRule="auto"/>
              <w:rPr>
                <w:rFonts w:cs="Arial"/>
                <w:b/>
                <w:bCs/>
                <w:color w:val="FFFFFF"/>
                <w:sz w:val="18"/>
                <w:szCs w:val="18"/>
                <w:lang w:eastAsia="en-AU"/>
              </w:rPr>
            </w:pPr>
          </w:p>
        </w:tc>
        <w:tc>
          <w:tcPr>
            <w:tcW w:w="1460" w:type="dxa"/>
            <w:vMerge/>
            <w:shd w:val="clear" w:color="auto" w:fill="6B3B57"/>
            <w:vAlign w:val="center"/>
            <w:hideMark/>
          </w:tcPr>
          <w:p w14:paraId="21F43385" w14:textId="77777777" w:rsidR="00AC7924" w:rsidRPr="009B6407" w:rsidRDefault="00AC7924">
            <w:pPr>
              <w:spacing w:after="0" w:line="240" w:lineRule="auto"/>
              <w:rPr>
                <w:rFonts w:cs="Arial"/>
                <w:b/>
                <w:bCs/>
                <w:color w:val="FFFFFF"/>
                <w:sz w:val="18"/>
                <w:szCs w:val="18"/>
                <w:lang w:eastAsia="en-AU"/>
              </w:rPr>
            </w:pPr>
          </w:p>
        </w:tc>
        <w:tc>
          <w:tcPr>
            <w:tcW w:w="1384" w:type="dxa"/>
            <w:vMerge/>
            <w:shd w:val="clear" w:color="auto" w:fill="6B3B57"/>
            <w:vAlign w:val="center"/>
            <w:hideMark/>
          </w:tcPr>
          <w:p w14:paraId="3069335C" w14:textId="77777777" w:rsidR="00AC7924" w:rsidRPr="009B6407" w:rsidRDefault="00AC7924">
            <w:pPr>
              <w:spacing w:after="0" w:line="240" w:lineRule="auto"/>
              <w:rPr>
                <w:rFonts w:cs="Arial"/>
                <w:b/>
                <w:bCs/>
                <w:color w:val="FFFFFF"/>
                <w:sz w:val="18"/>
                <w:szCs w:val="18"/>
                <w:lang w:eastAsia="en-AU"/>
              </w:rPr>
            </w:pPr>
          </w:p>
        </w:tc>
      </w:tr>
      <w:tr w:rsidR="006153E1" w:rsidRPr="009B6407" w14:paraId="49564596" w14:textId="77777777" w:rsidTr="006253C8">
        <w:trPr>
          <w:trHeight w:val="315"/>
        </w:trPr>
        <w:tc>
          <w:tcPr>
            <w:tcW w:w="2542" w:type="dxa"/>
            <w:shd w:val="clear" w:color="auto" w:fill="auto"/>
            <w:noWrap/>
            <w:vAlign w:val="center"/>
            <w:hideMark/>
          </w:tcPr>
          <w:p w14:paraId="1EC0C5D9" w14:textId="77777777" w:rsidR="006153E1" w:rsidRPr="009B6407" w:rsidRDefault="006153E1" w:rsidP="006153E1">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185" w:type="dxa"/>
            <w:shd w:val="clear" w:color="auto" w:fill="auto"/>
            <w:noWrap/>
            <w:vAlign w:val="center"/>
          </w:tcPr>
          <w:p w14:paraId="6472CC27" w14:textId="401B2017" w:rsidR="006153E1" w:rsidRPr="006153E1" w:rsidRDefault="006153E1" w:rsidP="006153E1">
            <w:pPr>
              <w:spacing w:after="0" w:line="240" w:lineRule="auto"/>
              <w:jc w:val="right"/>
              <w:rPr>
                <w:rFonts w:cs="Arial"/>
                <w:b/>
                <w:bCs/>
                <w:color w:val="000000"/>
                <w:sz w:val="18"/>
                <w:szCs w:val="18"/>
                <w:lang w:eastAsia="en-AU"/>
              </w:rPr>
            </w:pPr>
            <w:r w:rsidRPr="006153E1">
              <w:rPr>
                <w:sz w:val="18"/>
                <w:szCs w:val="18"/>
              </w:rPr>
              <w:t>117,869</w:t>
            </w:r>
          </w:p>
        </w:tc>
        <w:tc>
          <w:tcPr>
            <w:tcW w:w="1366" w:type="dxa"/>
            <w:shd w:val="clear" w:color="auto" w:fill="auto"/>
            <w:noWrap/>
            <w:vAlign w:val="center"/>
          </w:tcPr>
          <w:p w14:paraId="230EE875" w14:textId="13E9DD32" w:rsidR="006153E1" w:rsidRPr="006153E1" w:rsidRDefault="006153E1" w:rsidP="006153E1">
            <w:pPr>
              <w:spacing w:after="0" w:line="240" w:lineRule="auto"/>
              <w:jc w:val="right"/>
              <w:rPr>
                <w:rFonts w:cs="Arial"/>
                <w:b/>
                <w:bCs/>
                <w:color w:val="000000"/>
                <w:sz w:val="18"/>
                <w:szCs w:val="18"/>
                <w:lang w:eastAsia="en-AU"/>
              </w:rPr>
            </w:pPr>
            <w:r w:rsidRPr="006153E1">
              <w:rPr>
                <w:sz w:val="18"/>
                <w:szCs w:val="18"/>
              </w:rPr>
              <w:t>150,942</w:t>
            </w:r>
          </w:p>
        </w:tc>
        <w:tc>
          <w:tcPr>
            <w:tcW w:w="1404" w:type="dxa"/>
            <w:shd w:val="clear" w:color="auto" w:fill="auto"/>
            <w:noWrap/>
            <w:vAlign w:val="center"/>
          </w:tcPr>
          <w:p w14:paraId="0DF8A6C0" w14:textId="2004262E" w:rsidR="006153E1" w:rsidRPr="006153E1" w:rsidRDefault="006153E1" w:rsidP="006153E1">
            <w:pPr>
              <w:spacing w:after="0" w:line="240" w:lineRule="auto"/>
              <w:jc w:val="right"/>
              <w:rPr>
                <w:rFonts w:cs="Arial"/>
                <w:b/>
                <w:bCs/>
                <w:color w:val="000000"/>
                <w:sz w:val="18"/>
                <w:szCs w:val="18"/>
                <w:lang w:eastAsia="en-AU"/>
              </w:rPr>
            </w:pPr>
            <w:r w:rsidRPr="006153E1">
              <w:rPr>
                <w:sz w:val="18"/>
                <w:szCs w:val="18"/>
              </w:rPr>
              <w:t>150,942</w:t>
            </w:r>
          </w:p>
        </w:tc>
        <w:tc>
          <w:tcPr>
            <w:tcW w:w="1460" w:type="dxa"/>
            <w:shd w:val="clear" w:color="auto" w:fill="auto"/>
            <w:noWrap/>
            <w:vAlign w:val="center"/>
          </w:tcPr>
          <w:p w14:paraId="1721C9DA" w14:textId="6BB81B91" w:rsidR="006153E1" w:rsidRPr="006153E1" w:rsidRDefault="006153E1" w:rsidP="006153E1">
            <w:pPr>
              <w:spacing w:after="0" w:line="240" w:lineRule="auto"/>
              <w:jc w:val="right"/>
              <w:rPr>
                <w:rFonts w:cs="Arial"/>
                <w:b/>
                <w:bCs/>
                <w:color w:val="000000"/>
                <w:sz w:val="18"/>
                <w:szCs w:val="18"/>
                <w:lang w:eastAsia="en-AU"/>
              </w:rPr>
            </w:pPr>
            <w:r w:rsidRPr="006153E1">
              <w:rPr>
                <w:sz w:val="18"/>
                <w:szCs w:val="18"/>
              </w:rPr>
              <w:t>150,942</w:t>
            </w:r>
          </w:p>
        </w:tc>
        <w:tc>
          <w:tcPr>
            <w:tcW w:w="1384" w:type="dxa"/>
            <w:shd w:val="clear" w:color="auto" w:fill="auto"/>
            <w:noWrap/>
            <w:vAlign w:val="center"/>
          </w:tcPr>
          <w:p w14:paraId="06496938" w14:textId="401B6E8F" w:rsidR="006153E1" w:rsidRPr="006153E1" w:rsidRDefault="006153E1" w:rsidP="006153E1">
            <w:pPr>
              <w:spacing w:after="0" w:line="240" w:lineRule="auto"/>
              <w:jc w:val="right"/>
              <w:rPr>
                <w:rFonts w:cs="Arial"/>
                <w:b/>
                <w:bCs/>
                <w:color w:val="000000"/>
                <w:sz w:val="18"/>
                <w:szCs w:val="18"/>
                <w:lang w:eastAsia="en-AU"/>
              </w:rPr>
            </w:pPr>
            <w:r w:rsidRPr="006153E1">
              <w:rPr>
                <w:sz w:val="18"/>
                <w:szCs w:val="18"/>
              </w:rPr>
              <w:t>150,942</w:t>
            </w:r>
          </w:p>
        </w:tc>
      </w:tr>
      <w:tr w:rsidR="006153E1" w:rsidRPr="009B6407" w14:paraId="573E50D6" w14:textId="77777777" w:rsidTr="006253C8">
        <w:trPr>
          <w:trHeight w:val="315"/>
        </w:trPr>
        <w:tc>
          <w:tcPr>
            <w:tcW w:w="2542" w:type="dxa"/>
            <w:shd w:val="clear" w:color="auto" w:fill="auto"/>
            <w:noWrap/>
            <w:vAlign w:val="center"/>
            <w:hideMark/>
          </w:tcPr>
          <w:p w14:paraId="0DB866D5" w14:textId="77777777" w:rsidR="006153E1" w:rsidRPr="009B6407" w:rsidRDefault="006153E1" w:rsidP="006153E1">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185" w:type="dxa"/>
            <w:shd w:val="clear" w:color="auto" w:fill="auto"/>
            <w:noWrap/>
            <w:vAlign w:val="center"/>
          </w:tcPr>
          <w:p w14:paraId="764DBCF6" w14:textId="33D16C9A"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18,649</w:t>
            </w:r>
          </w:p>
        </w:tc>
        <w:tc>
          <w:tcPr>
            <w:tcW w:w="1366" w:type="dxa"/>
            <w:shd w:val="clear" w:color="auto" w:fill="auto"/>
            <w:noWrap/>
            <w:vAlign w:val="center"/>
          </w:tcPr>
          <w:p w14:paraId="1F57236D" w14:textId="292BBCC0" w:rsidR="006153E1" w:rsidRPr="006153E1" w:rsidRDefault="006153E1" w:rsidP="006153E1">
            <w:pPr>
              <w:spacing w:after="0" w:line="240" w:lineRule="auto"/>
              <w:jc w:val="right"/>
              <w:rPr>
                <w:rFonts w:cs="Arial"/>
                <w:color w:val="000000"/>
                <w:sz w:val="18"/>
                <w:szCs w:val="18"/>
                <w:lang w:eastAsia="en-AU"/>
              </w:rPr>
            </w:pPr>
            <w:r w:rsidRPr="006153E1">
              <w:rPr>
                <w:sz w:val="18"/>
                <w:szCs w:val="18"/>
              </w:rPr>
              <w:t>23,881</w:t>
            </w:r>
          </w:p>
        </w:tc>
        <w:tc>
          <w:tcPr>
            <w:tcW w:w="1404" w:type="dxa"/>
            <w:shd w:val="clear" w:color="auto" w:fill="auto"/>
            <w:noWrap/>
            <w:vAlign w:val="center"/>
          </w:tcPr>
          <w:p w14:paraId="6CF6E263" w14:textId="04B7774B" w:rsidR="006153E1" w:rsidRPr="006153E1" w:rsidRDefault="006153E1" w:rsidP="006153E1">
            <w:pPr>
              <w:spacing w:after="0" w:line="240" w:lineRule="auto"/>
              <w:jc w:val="right"/>
              <w:rPr>
                <w:rFonts w:cs="Arial"/>
                <w:color w:val="000000"/>
                <w:sz w:val="18"/>
                <w:szCs w:val="18"/>
                <w:lang w:eastAsia="en-AU"/>
              </w:rPr>
            </w:pPr>
            <w:r w:rsidRPr="006153E1">
              <w:rPr>
                <w:sz w:val="18"/>
                <w:szCs w:val="18"/>
              </w:rPr>
              <w:t>36,261</w:t>
            </w:r>
          </w:p>
        </w:tc>
        <w:tc>
          <w:tcPr>
            <w:tcW w:w="1460" w:type="dxa"/>
            <w:shd w:val="clear" w:color="auto" w:fill="auto"/>
            <w:noWrap/>
            <w:vAlign w:val="center"/>
          </w:tcPr>
          <w:p w14:paraId="5657EF58" w14:textId="726D5257" w:rsidR="006153E1" w:rsidRPr="006153E1" w:rsidRDefault="006153E1" w:rsidP="006153E1">
            <w:pPr>
              <w:spacing w:after="0" w:line="240" w:lineRule="auto"/>
              <w:jc w:val="right"/>
              <w:rPr>
                <w:rFonts w:cs="Arial"/>
                <w:color w:val="000000"/>
                <w:sz w:val="18"/>
                <w:szCs w:val="18"/>
                <w:lang w:eastAsia="en-AU"/>
              </w:rPr>
            </w:pPr>
            <w:r w:rsidRPr="006153E1">
              <w:rPr>
                <w:sz w:val="18"/>
                <w:szCs w:val="18"/>
              </w:rPr>
              <w:t>35,320</w:t>
            </w:r>
          </w:p>
        </w:tc>
        <w:tc>
          <w:tcPr>
            <w:tcW w:w="1384" w:type="dxa"/>
            <w:shd w:val="clear" w:color="auto" w:fill="auto"/>
            <w:noWrap/>
            <w:vAlign w:val="center"/>
          </w:tcPr>
          <w:p w14:paraId="0685D4B8" w14:textId="091AA332" w:rsidR="006153E1" w:rsidRPr="006153E1" w:rsidRDefault="006153E1" w:rsidP="006153E1">
            <w:pPr>
              <w:spacing w:after="0" w:line="240" w:lineRule="auto"/>
              <w:jc w:val="right"/>
              <w:rPr>
                <w:rFonts w:cs="Arial"/>
                <w:color w:val="000000"/>
                <w:sz w:val="18"/>
                <w:szCs w:val="18"/>
                <w:lang w:eastAsia="en-AU"/>
              </w:rPr>
            </w:pPr>
            <w:r w:rsidRPr="006153E1">
              <w:rPr>
                <w:sz w:val="18"/>
                <w:szCs w:val="18"/>
              </w:rPr>
              <w:t>35,320</w:t>
            </w:r>
          </w:p>
        </w:tc>
      </w:tr>
      <w:tr w:rsidR="006153E1" w:rsidRPr="009B6407" w14:paraId="64DC2C39" w14:textId="77777777" w:rsidTr="006253C8">
        <w:trPr>
          <w:trHeight w:val="315"/>
        </w:trPr>
        <w:tc>
          <w:tcPr>
            <w:tcW w:w="2542" w:type="dxa"/>
            <w:shd w:val="clear" w:color="auto" w:fill="auto"/>
            <w:noWrap/>
            <w:vAlign w:val="center"/>
            <w:hideMark/>
          </w:tcPr>
          <w:p w14:paraId="0CB01237" w14:textId="77777777" w:rsidR="006153E1" w:rsidRPr="009B6407" w:rsidRDefault="006153E1" w:rsidP="006153E1">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185" w:type="dxa"/>
            <w:shd w:val="clear" w:color="auto" w:fill="auto"/>
            <w:noWrap/>
            <w:vAlign w:val="center"/>
          </w:tcPr>
          <w:p w14:paraId="59B76DBE" w14:textId="5EA04623" w:rsidR="006153E1" w:rsidRPr="006153E1" w:rsidRDefault="006153E1" w:rsidP="006153E1">
            <w:pPr>
              <w:spacing w:after="0" w:line="240" w:lineRule="auto"/>
              <w:jc w:val="right"/>
              <w:rPr>
                <w:rFonts w:cs="Arial"/>
                <w:color w:val="000000"/>
                <w:sz w:val="18"/>
                <w:szCs w:val="18"/>
                <w:lang w:eastAsia="en-AU"/>
              </w:rPr>
            </w:pPr>
            <w:r w:rsidRPr="006153E1">
              <w:rPr>
                <w:sz w:val="18"/>
                <w:szCs w:val="18"/>
              </w:rPr>
              <w:t>24,568</w:t>
            </w:r>
          </w:p>
        </w:tc>
        <w:tc>
          <w:tcPr>
            <w:tcW w:w="1366" w:type="dxa"/>
            <w:shd w:val="clear" w:color="auto" w:fill="auto"/>
            <w:noWrap/>
            <w:vAlign w:val="center"/>
          </w:tcPr>
          <w:p w14:paraId="6CFA00D7" w14:textId="7A3FA1F4" w:rsidR="006153E1" w:rsidRPr="006153E1" w:rsidRDefault="006153E1" w:rsidP="006153E1">
            <w:pPr>
              <w:spacing w:after="0" w:line="240" w:lineRule="auto"/>
              <w:jc w:val="right"/>
              <w:rPr>
                <w:rFonts w:cs="Arial"/>
                <w:color w:val="000000"/>
                <w:sz w:val="18"/>
                <w:szCs w:val="18"/>
                <w:lang w:eastAsia="en-AU"/>
              </w:rPr>
            </w:pPr>
            <w:r w:rsidRPr="006153E1">
              <w:rPr>
                <w:sz w:val="18"/>
                <w:szCs w:val="18"/>
              </w:rPr>
              <w:t>31,461</w:t>
            </w:r>
          </w:p>
        </w:tc>
        <w:tc>
          <w:tcPr>
            <w:tcW w:w="1404" w:type="dxa"/>
            <w:shd w:val="clear" w:color="auto" w:fill="auto"/>
            <w:noWrap/>
            <w:vAlign w:val="center"/>
          </w:tcPr>
          <w:p w14:paraId="4DFF2ABF" w14:textId="69FCA4D6" w:rsidR="006153E1" w:rsidRPr="006153E1" w:rsidRDefault="006153E1" w:rsidP="006153E1">
            <w:pPr>
              <w:spacing w:after="0" w:line="240" w:lineRule="auto"/>
              <w:jc w:val="right"/>
              <w:rPr>
                <w:rFonts w:cs="Arial"/>
                <w:color w:val="000000"/>
                <w:sz w:val="18"/>
                <w:szCs w:val="18"/>
                <w:lang w:eastAsia="en-AU"/>
              </w:rPr>
            </w:pPr>
            <w:r w:rsidRPr="006153E1">
              <w:rPr>
                <w:sz w:val="18"/>
                <w:szCs w:val="18"/>
              </w:rPr>
              <w:t>45,852</w:t>
            </w:r>
          </w:p>
        </w:tc>
        <w:tc>
          <w:tcPr>
            <w:tcW w:w="1460" w:type="dxa"/>
            <w:shd w:val="clear" w:color="auto" w:fill="auto"/>
            <w:noWrap/>
            <w:vAlign w:val="center"/>
          </w:tcPr>
          <w:p w14:paraId="5117B7EE" w14:textId="3F203948" w:rsidR="006153E1" w:rsidRPr="006153E1" w:rsidRDefault="006153E1" w:rsidP="006153E1">
            <w:pPr>
              <w:spacing w:after="0" w:line="240" w:lineRule="auto"/>
              <w:jc w:val="right"/>
              <w:rPr>
                <w:rFonts w:cs="Arial"/>
                <w:color w:val="000000"/>
                <w:sz w:val="18"/>
                <w:szCs w:val="18"/>
                <w:lang w:eastAsia="en-AU"/>
              </w:rPr>
            </w:pPr>
            <w:r w:rsidRPr="006153E1">
              <w:rPr>
                <w:sz w:val="18"/>
                <w:szCs w:val="18"/>
              </w:rPr>
              <w:t>40,037</w:t>
            </w:r>
          </w:p>
        </w:tc>
        <w:tc>
          <w:tcPr>
            <w:tcW w:w="1384" w:type="dxa"/>
            <w:shd w:val="clear" w:color="auto" w:fill="auto"/>
            <w:noWrap/>
            <w:vAlign w:val="center"/>
          </w:tcPr>
          <w:p w14:paraId="15F7F76F" w14:textId="56ECB9D7" w:rsidR="006153E1" w:rsidRPr="006153E1" w:rsidRDefault="006153E1" w:rsidP="006153E1">
            <w:pPr>
              <w:spacing w:after="0" w:line="240" w:lineRule="auto"/>
              <w:jc w:val="right"/>
              <w:rPr>
                <w:rFonts w:cs="Arial"/>
                <w:color w:val="000000"/>
                <w:sz w:val="18"/>
                <w:szCs w:val="18"/>
                <w:lang w:eastAsia="en-AU"/>
              </w:rPr>
            </w:pPr>
            <w:r w:rsidRPr="006153E1">
              <w:rPr>
                <w:sz w:val="18"/>
                <w:szCs w:val="18"/>
              </w:rPr>
              <w:t>40,037</w:t>
            </w:r>
          </w:p>
        </w:tc>
      </w:tr>
      <w:tr w:rsidR="006153E1" w:rsidRPr="009B6407" w14:paraId="1BB6E273" w14:textId="77777777" w:rsidTr="006253C8">
        <w:trPr>
          <w:trHeight w:val="315"/>
        </w:trPr>
        <w:tc>
          <w:tcPr>
            <w:tcW w:w="2542" w:type="dxa"/>
            <w:shd w:val="clear" w:color="auto" w:fill="auto"/>
            <w:noWrap/>
            <w:vAlign w:val="center"/>
            <w:hideMark/>
          </w:tcPr>
          <w:p w14:paraId="6D996ACF" w14:textId="77777777" w:rsidR="006153E1" w:rsidRPr="009B6407" w:rsidRDefault="006153E1" w:rsidP="006153E1">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185" w:type="dxa"/>
            <w:shd w:val="clear" w:color="auto" w:fill="auto"/>
            <w:noWrap/>
            <w:vAlign w:val="center"/>
          </w:tcPr>
          <w:p w14:paraId="31A37AD1" w14:textId="3A14DAB8"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1,821</w:t>
            </w:r>
          </w:p>
        </w:tc>
        <w:tc>
          <w:tcPr>
            <w:tcW w:w="1366" w:type="dxa"/>
            <w:shd w:val="clear" w:color="auto" w:fill="auto"/>
            <w:noWrap/>
            <w:vAlign w:val="center"/>
          </w:tcPr>
          <w:p w14:paraId="67AB61E4" w14:textId="1E6EAE67" w:rsidR="006153E1" w:rsidRPr="006153E1" w:rsidRDefault="006153E1" w:rsidP="006153E1">
            <w:pPr>
              <w:spacing w:after="0" w:line="240" w:lineRule="auto"/>
              <w:jc w:val="right"/>
              <w:rPr>
                <w:rFonts w:cs="Arial"/>
                <w:color w:val="000000"/>
                <w:sz w:val="18"/>
                <w:szCs w:val="18"/>
                <w:lang w:eastAsia="en-AU"/>
              </w:rPr>
            </w:pPr>
            <w:r w:rsidRPr="006153E1">
              <w:rPr>
                <w:sz w:val="18"/>
                <w:szCs w:val="18"/>
              </w:rPr>
              <w:t>2,331</w:t>
            </w:r>
          </w:p>
        </w:tc>
        <w:tc>
          <w:tcPr>
            <w:tcW w:w="1404" w:type="dxa"/>
            <w:shd w:val="clear" w:color="auto" w:fill="auto"/>
            <w:noWrap/>
            <w:vAlign w:val="center"/>
          </w:tcPr>
          <w:p w14:paraId="34D749FC" w14:textId="1267F17B" w:rsidR="006153E1" w:rsidRPr="006153E1" w:rsidRDefault="006153E1" w:rsidP="006153E1">
            <w:pPr>
              <w:spacing w:after="0" w:line="240" w:lineRule="auto"/>
              <w:jc w:val="right"/>
              <w:rPr>
                <w:rFonts w:cs="Arial"/>
                <w:color w:val="000000"/>
                <w:sz w:val="18"/>
                <w:szCs w:val="18"/>
                <w:lang w:eastAsia="en-AU"/>
              </w:rPr>
            </w:pPr>
            <w:r w:rsidRPr="006153E1">
              <w:rPr>
                <w:sz w:val="18"/>
                <w:szCs w:val="18"/>
              </w:rPr>
              <w:t>5,322</w:t>
            </w:r>
          </w:p>
        </w:tc>
        <w:tc>
          <w:tcPr>
            <w:tcW w:w="1460" w:type="dxa"/>
            <w:shd w:val="clear" w:color="auto" w:fill="auto"/>
            <w:noWrap/>
            <w:vAlign w:val="center"/>
          </w:tcPr>
          <w:p w14:paraId="423E2070" w14:textId="177E20F6" w:rsidR="006153E1" w:rsidRPr="006153E1" w:rsidRDefault="006153E1" w:rsidP="006153E1">
            <w:pPr>
              <w:spacing w:after="0" w:line="240" w:lineRule="auto"/>
              <w:jc w:val="right"/>
              <w:rPr>
                <w:rFonts w:cs="Arial"/>
                <w:color w:val="000000"/>
                <w:sz w:val="18"/>
                <w:szCs w:val="18"/>
                <w:lang w:eastAsia="en-AU"/>
              </w:rPr>
            </w:pPr>
            <w:r w:rsidRPr="006153E1">
              <w:rPr>
                <w:sz w:val="18"/>
                <w:szCs w:val="18"/>
              </w:rPr>
              <w:t>5,203</w:t>
            </w:r>
          </w:p>
        </w:tc>
        <w:tc>
          <w:tcPr>
            <w:tcW w:w="1384" w:type="dxa"/>
            <w:shd w:val="clear" w:color="auto" w:fill="auto"/>
            <w:noWrap/>
            <w:vAlign w:val="center"/>
          </w:tcPr>
          <w:p w14:paraId="646F44FF" w14:textId="48B10F12" w:rsidR="006153E1" w:rsidRPr="006153E1" w:rsidRDefault="006153E1" w:rsidP="006153E1">
            <w:pPr>
              <w:spacing w:after="0" w:line="240" w:lineRule="auto"/>
              <w:jc w:val="right"/>
              <w:rPr>
                <w:rFonts w:cs="Arial"/>
                <w:color w:val="000000"/>
                <w:sz w:val="18"/>
                <w:szCs w:val="18"/>
                <w:lang w:eastAsia="en-AU"/>
              </w:rPr>
            </w:pPr>
            <w:r w:rsidRPr="006153E1">
              <w:rPr>
                <w:sz w:val="18"/>
                <w:szCs w:val="18"/>
              </w:rPr>
              <w:t>5,203</w:t>
            </w:r>
          </w:p>
        </w:tc>
      </w:tr>
      <w:tr w:rsidR="006153E1" w:rsidRPr="009B6407" w14:paraId="04548C8D" w14:textId="77777777" w:rsidTr="006253C8">
        <w:trPr>
          <w:trHeight w:val="315"/>
        </w:trPr>
        <w:tc>
          <w:tcPr>
            <w:tcW w:w="2542" w:type="dxa"/>
            <w:shd w:val="clear" w:color="auto" w:fill="auto"/>
            <w:noWrap/>
            <w:vAlign w:val="center"/>
            <w:hideMark/>
          </w:tcPr>
          <w:p w14:paraId="521A1A43" w14:textId="77777777" w:rsidR="006153E1" w:rsidRPr="009B6407" w:rsidRDefault="006153E1" w:rsidP="006153E1">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185" w:type="dxa"/>
            <w:shd w:val="clear" w:color="auto" w:fill="auto"/>
            <w:noWrap/>
            <w:vAlign w:val="center"/>
          </w:tcPr>
          <w:p w14:paraId="4E6E56ED" w14:textId="39874A96"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10,344</w:t>
            </w:r>
          </w:p>
        </w:tc>
        <w:tc>
          <w:tcPr>
            <w:tcW w:w="1366" w:type="dxa"/>
            <w:shd w:val="clear" w:color="auto" w:fill="auto"/>
            <w:noWrap/>
            <w:vAlign w:val="center"/>
          </w:tcPr>
          <w:p w14:paraId="7A09B316" w14:textId="75794C9F"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13,246</w:t>
            </w:r>
          </w:p>
        </w:tc>
        <w:tc>
          <w:tcPr>
            <w:tcW w:w="1404" w:type="dxa"/>
            <w:shd w:val="clear" w:color="auto" w:fill="auto"/>
            <w:noWrap/>
            <w:vAlign w:val="center"/>
          </w:tcPr>
          <w:p w14:paraId="61284FE5" w14:textId="6A1B010C"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14,604</w:t>
            </w:r>
          </w:p>
        </w:tc>
        <w:tc>
          <w:tcPr>
            <w:tcW w:w="1460" w:type="dxa"/>
            <w:shd w:val="clear" w:color="auto" w:fill="auto"/>
            <w:noWrap/>
            <w:vAlign w:val="center"/>
          </w:tcPr>
          <w:p w14:paraId="628DFC99" w14:textId="1D5146CB"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13,508</w:t>
            </w:r>
          </w:p>
        </w:tc>
        <w:tc>
          <w:tcPr>
            <w:tcW w:w="1384" w:type="dxa"/>
            <w:shd w:val="clear" w:color="auto" w:fill="auto"/>
            <w:noWrap/>
            <w:vAlign w:val="center"/>
          </w:tcPr>
          <w:p w14:paraId="7C2075CF" w14:textId="20532FD2" w:rsidR="006153E1" w:rsidRPr="006153E1" w:rsidRDefault="006153E1" w:rsidP="006153E1">
            <w:pPr>
              <w:spacing w:after="0" w:line="240" w:lineRule="auto"/>
              <w:jc w:val="right"/>
              <w:rPr>
                <w:rFonts w:cs="Arial"/>
                <w:color w:val="000000"/>
                <w:sz w:val="18"/>
                <w:szCs w:val="18"/>
                <w:lang w:eastAsia="en-AU"/>
              </w:rPr>
            </w:pPr>
            <w:r w:rsidRPr="006153E1">
              <w:rPr>
                <w:sz w:val="18"/>
                <w:szCs w:val="18"/>
              </w:rPr>
              <w:t>13,508</w:t>
            </w:r>
          </w:p>
        </w:tc>
      </w:tr>
      <w:tr w:rsidR="006153E1" w:rsidRPr="00A13F08" w14:paraId="39CEC1F4" w14:textId="77777777" w:rsidTr="00160B8E">
        <w:trPr>
          <w:trHeight w:val="315"/>
        </w:trPr>
        <w:tc>
          <w:tcPr>
            <w:tcW w:w="2542" w:type="dxa"/>
            <w:shd w:val="clear" w:color="auto" w:fill="EFE2E7" w:themeFill="text1" w:themeFillTint="1A"/>
            <w:noWrap/>
            <w:vAlign w:val="center"/>
            <w:hideMark/>
          </w:tcPr>
          <w:p w14:paraId="224920D3" w14:textId="73C2DBE3" w:rsidR="006153E1" w:rsidRPr="00EE404A" w:rsidRDefault="006153E1" w:rsidP="006153E1">
            <w:pPr>
              <w:spacing w:after="0" w:line="240" w:lineRule="auto"/>
              <w:rPr>
                <w:rFonts w:cs="Arial"/>
                <w:b/>
                <w:bCs/>
                <w:i/>
                <w:iCs/>
                <w:color w:val="000000"/>
                <w:sz w:val="18"/>
                <w:szCs w:val="18"/>
                <w:lang w:eastAsia="en-AU"/>
              </w:rPr>
            </w:pPr>
            <w:r w:rsidRPr="00EE404A">
              <w:rPr>
                <w:rFonts w:cs="Arial"/>
                <w:b/>
                <w:bCs/>
                <w:i/>
                <w:iCs/>
                <w:color w:val="000000"/>
                <w:sz w:val="18"/>
                <w:szCs w:val="18"/>
                <w:lang w:eastAsia="en-AU"/>
              </w:rPr>
              <w:t>Equity Group</w:t>
            </w:r>
          </w:p>
        </w:tc>
        <w:tc>
          <w:tcPr>
            <w:tcW w:w="1185" w:type="dxa"/>
            <w:shd w:val="clear" w:color="auto" w:fill="EFE2E7" w:themeFill="text1" w:themeFillTint="1A"/>
            <w:noWrap/>
            <w:vAlign w:val="center"/>
          </w:tcPr>
          <w:p w14:paraId="6A7CFB6B" w14:textId="66B9FE6E" w:rsidR="006153E1" w:rsidRPr="00EE404A" w:rsidRDefault="006153E1" w:rsidP="006153E1">
            <w:pPr>
              <w:spacing w:after="0" w:line="240" w:lineRule="auto"/>
              <w:jc w:val="right"/>
              <w:rPr>
                <w:rFonts w:cs="Arial"/>
                <w:b/>
                <w:bCs/>
                <w:color w:val="000000"/>
                <w:sz w:val="18"/>
                <w:szCs w:val="18"/>
              </w:rPr>
            </w:pPr>
            <w:r w:rsidRPr="00EE404A">
              <w:rPr>
                <w:b/>
                <w:bCs/>
                <w:sz w:val="18"/>
                <w:szCs w:val="18"/>
              </w:rPr>
              <w:t>43,751</w:t>
            </w:r>
          </w:p>
        </w:tc>
        <w:tc>
          <w:tcPr>
            <w:tcW w:w="1366" w:type="dxa"/>
            <w:shd w:val="clear" w:color="auto" w:fill="EFE2E7" w:themeFill="text1" w:themeFillTint="1A"/>
            <w:noWrap/>
            <w:vAlign w:val="center"/>
          </w:tcPr>
          <w:p w14:paraId="57C61D9F" w14:textId="4DF0CBC0" w:rsidR="006153E1" w:rsidRPr="00EE404A" w:rsidRDefault="006153E1" w:rsidP="006153E1">
            <w:pPr>
              <w:spacing w:after="0" w:line="240" w:lineRule="auto"/>
              <w:jc w:val="right"/>
              <w:rPr>
                <w:rFonts w:cs="Arial"/>
                <w:b/>
                <w:bCs/>
                <w:color w:val="000000"/>
                <w:sz w:val="18"/>
                <w:szCs w:val="18"/>
              </w:rPr>
            </w:pPr>
            <w:r w:rsidRPr="00EE404A">
              <w:rPr>
                <w:b/>
                <w:bCs/>
                <w:sz w:val="18"/>
                <w:szCs w:val="18"/>
              </w:rPr>
              <w:t>56,027</w:t>
            </w:r>
          </w:p>
        </w:tc>
        <w:tc>
          <w:tcPr>
            <w:tcW w:w="1404" w:type="dxa"/>
            <w:shd w:val="clear" w:color="auto" w:fill="EFE2E7" w:themeFill="text1" w:themeFillTint="1A"/>
            <w:noWrap/>
            <w:vAlign w:val="center"/>
          </w:tcPr>
          <w:p w14:paraId="666B5039" w14:textId="156B65C7" w:rsidR="006153E1" w:rsidRPr="00EE404A" w:rsidRDefault="006153E1" w:rsidP="006153E1">
            <w:pPr>
              <w:spacing w:after="0" w:line="240" w:lineRule="auto"/>
              <w:jc w:val="right"/>
              <w:rPr>
                <w:rFonts w:cs="Arial"/>
                <w:b/>
                <w:bCs/>
                <w:color w:val="000000"/>
                <w:sz w:val="18"/>
                <w:szCs w:val="18"/>
              </w:rPr>
            </w:pPr>
            <w:r w:rsidRPr="00EE404A">
              <w:rPr>
                <w:b/>
                <w:bCs/>
                <w:sz w:val="18"/>
                <w:szCs w:val="18"/>
              </w:rPr>
              <w:t>80,612</w:t>
            </w:r>
          </w:p>
        </w:tc>
        <w:tc>
          <w:tcPr>
            <w:tcW w:w="1460" w:type="dxa"/>
            <w:shd w:val="clear" w:color="auto" w:fill="EFE2E7" w:themeFill="text1" w:themeFillTint="1A"/>
            <w:noWrap/>
            <w:vAlign w:val="center"/>
          </w:tcPr>
          <w:p w14:paraId="3DF19763" w14:textId="419C79F3" w:rsidR="006153E1" w:rsidRPr="00EE404A" w:rsidRDefault="006153E1" w:rsidP="006153E1">
            <w:pPr>
              <w:spacing w:after="0" w:line="240" w:lineRule="auto"/>
              <w:jc w:val="right"/>
              <w:rPr>
                <w:rFonts w:cs="Arial"/>
                <w:b/>
                <w:bCs/>
                <w:color w:val="000000"/>
                <w:sz w:val="18"/>
                <w:szCs w:val="18"/>
              </w:rPr>
            </w:pPr>
            <w:r w:rsidRPr="00EE404A">
              <w:rPr>
                <w:b/>
                <w:bCs/>
                <w:sz w:val="18"/>
                <w:szCs w:val="18"/>
              </w:rPr>
              <w:t>74,313</w:t>
            </w:r>
          </w:p>
        </w:tc>
        <w:tc>
          <w:tcPr>
            <w:tcW w:w="1384" w:type="dxa"/>
            <w:shd w:val="clear" w:color="auto" w:fill="EFE2E7" w:themeFill="text1" w:themeFillTint="1A"/>
            <w:noWrap/>
            <w:vAlign w:val="center"/>
          </w:tcPr>
          <w:p w14:paraId="78499464" w14:textId="1E19503C" w:rsidR="006153E1" w:rsidRPr="00EE404A" w:rsidRDefault="006153E1" w:rsidP="006153E1">
            <w:pPr>
              <w:spacing w:after="0" w:line="240" w:lineRule="auto"/>
              <w:jc w:val="right"/>
              <w:rPr>
                <w:rFonts w:cs="Arial"/>
                <w:b/>
                <w:bCs/>
                <w:color w:val="000000"/>
                <w:sz w:val="18"/>
                <w:szCs w:val="18"/>
              </w:rPr>
            </w:pPr>
            <w:r w:rsidRPr="00EE404A">
              <w:rPr>
                <w:b/>
                <w:bCs/>
                <w:sz w:val="18"/>
                <w:szCs w:val="18"/>
              </w:rPr>
              <w:t>74,313</w:t>
            </w:r>
          </w:p>
        </w:tc>
      </w:tr>
      <w:tr w:rsidR="006153E1" w:rsidRPr="00A13F08" w14:paraId="79A34668" w14:textId="77777777" w:rsidTr="006253C8">
        <w:trPr>
          <w:trHeight w:val="315"/>
        </w:trPr>
        <w:tc>
          <w:tcPr>
            <w:tcW w:w="2542" w:type="dxa"/>
            <w:shd w:val="clear" w:color="auto" w:fill="auto"/>
            <w:noWrap/>
            <w:vAlign w:val="center"/>
            <w:hideMark/>
          </w:tcPr>
          <w:p w14:paraId="4BF390C5" w14:textId="77777777" w:rsidR="006153E1" w:rsidRPr="002A19F3" w:rsidRDefault="006153E1" w:rsidP="006153E1">
            <w:pPr>
              <w:spacing w:after="0" w:line="240" w:lineRule="auto"/>
              <w:rPr>
                <w:rFonts w:cs="Arial"/>
                <w:color w:val="000000"/>
                <w:sz w:val="18"/>
                <w:szCs w:val="18"/>
                <w:lang w:eastAsia="en-AU"/>
              </w:rPr>
            </w:pPr>
            <w:r w:rsidRPr="002A19F3">
              <w:rPr>
                <w:rFonts w:cs="Arial"/>
                <w:color w:val="000000"/>
                <w:sz w:val="18"/>
                <w:szCs w:val="18"/>
                <w:lang w:eastAsia="en-AU"/>
              </w:rPr>
              <w:t> </w:t>
            </w:r>
          </w:p>
        </w:tc>
        <w:tc>
          <w:tcPr>
            <w:tcW w:w="1185" w:type="dxa"/>
            <w:shd w:val="clear" w:color="auto" w:fill="auto"/>
            <w:noWrap/>
            <w:vAlign w:val="center"/>
          </w:tcPr>
          <w:p w14:paraId="5A05BB51" w14:textId="4C27CB63" w:rsidR="006153E1" w:rsidRPr="006153E1" w:rsidRDefault="006153E1" w:rsidP="006153E1">
            <w:pPr>
              <w:spacing w:after="0" w:line="240" w:lineRule="auto"/>
              <w:jc w:val="right"/>
              <w:rPr>
                <w:rFonts w:cs="Arial"/>
                <w:color w:val="000000"/>
                <w:sz w:val="18"/>
                <w:szCs w:val="18"/>
              </w:rPr>
            </w:pPr>
          </w:p>
        </w:tc>
        <w:tc>
          <w:tcPr>
            <w:tcW w:w="1366" w:type="dxa"/>
            <w:shd w:val="clear" w:color="auto" w:fill="auto"/>
            <w:noWrap/>
            <w:vAlign w:val="center"/>
          </w:tcPr>
          <w:p w14:paraId="28F005E4" w14:textId="2DB27AA5" w:rsidR="006153E1" w:rsidRPr="006153E1" w:rsidRDefault="006153E1" w:rsidP="006153E1">
            <w:pPr>
              <w:spacing w:after="0" w:line="240" w:lineRule="auto"/>
              <w:jc w:val="right"/>
              <w:rPr>
                <w:rFonts w:cs="Arial"/>
                <w:color w:val="000000"/>
                <w:sz w:val="18"/>
                <w:szCs w:val="18"/>
              </w:rPr>
            </w:pPr>
          </w:p>
        </w:tc>
        <w:tc>
          <w:tcPr>
            <w:tcW w:w="1404" w:type="dxa"/>
            <w:shd w:val="clear" w:color="auto" w:fill="auto"/>
            <w:noWrap/>
            <w:vAlign w:val="center"/>
          </w:tcPr>
          <w:p w14:paraId="1B1ED226" w14:textId="3317D213" w:rsidR="006153E1" w:rsidRPr="006153E1" w:rsidRDefault="006153E1" w:rsidP="006153E1">
            <w:pPr>
              <w:spacing w:after="0" w:line="240" w:lineRule="auto"/>
              <w:jc w:val="right"/>
              <w:rPr>
                <w:rFonts w:cs="Arial"/>
                <w:color w:val="000000"/>
                <w:sz w:val="18"/>
                <w:szCs w:val="18"/>
              </w:rPr>
            </w:pPr>
          </w:p>
        </w:tc>
        <w:tc>
          <w:tcPr>
            <w:tcW w:w="1460" w:type="dxa"/>
            <w:shd w:val="clear" w:color="auto" w:fill="auto"/>
            <w:noWrap/>
            <w:vAlign w:val="center"/>
          </w:tcPr>
          <w:p w14:paraId="0870B8E0" w14:textId="33E2FD58" w:rsidR="006153E1" w:rsidRPr="006153E1" w:rsidRDefault="006153E1" w:rsidP="006153E1">
            <w:pPr>
              <w:spacing w:after="0" w:line="240" w:lineRule="auto"/>
              <w:jc w:val="right"/>
              <w:rPr>
                <w:rFonts w:cs="Arial"/>
                <w:color w:val="000000"/>
                <w:sz w:val="18"/>
                <w:szCs w:val="18"/>
              </w:rPr>
            </w:pPr>
          </w:p>
        </w:tc>
        <w:tc>
          <w:tcPr>
            <w:tcW w:w="1384" w:type="dxa"/>
            <w:shd w:val="clear" w:color="auto" w:fill="auto"/>
            <w:noWrap/>
            <w:vAlign w:val="center"/>
          </w:tcPr>
          <w:p w14:paraId="67711E46" w14:textId="261DD5AA" w:rsidR="006153E1" w:rsidRPr="006153E1" w:rsidRDefault="006153E1" w:rsidP="006153E1">
            <w:pPr>
              <w:spacing w:after="0" w:line="240" w:lineRule="auto"/>
              <w:jc w:val="right"/>
              <w:rPr>
                <w:rFonts w:cs="Arial"/>
                <w:color w:val="000000"/>
                <w:sz w:val="18"/>
                <w:szCs w:val="18"/>
              </w:rPr>
            </w:pPr>
          </w:p>
        </w:tc>
      </w:tr>
      <w:tr w:rsidR="006153E1" w:rsidRPr="00A13F08" w14:paraId="2FCD8817" w14:textId="77777777" w:rsidTr="006253C8">
        <w:trPr>
          <w:trHeight w:val="315"/>
        </w:trPr>
        <w:tc>
          <w:tcPr>
            <w:tcW w:w="2542" w:type="dxa"/>
            <w:shd w:val="clear" w:color="auto" w:fill="auto"/>
            <w:noWrap/>
            <w:vAlign w:val="center"/>
            <w:hideMark/>
          </w:tcPr>
          <w:p w14:paraId="07D101F7" w14:textId="77777777" w:rsidR="006153E1" w:rsidRPr="002A19F3" w:rsidRDefault="006153E1" w:rsidP="006153E1">
            <w:pPr>
              <w:spacing w:after="0" w:line="240" w:lineRule="auto"/>
              <w:rPr>
                <w:rFonts w:cs="Arial"/>
                <w:color w:val="000000"/>
                <w:sz w:val="18"/>
                <w:szCs w:val="18"/>
                <w:lang w:eastAsia="en-AU"/>
              </w:rPr>
            </w:pPr>
            <w:r w:rsidRPr="002A19F3">
              <w:rPr>
                <w:rFonts w:cs="Arial"/>
                <w:color w:val="000000"/>
                <w:sz w:val="18"/>
                <w:szCs w:val="18"/>
                <w:lang w:eastAsia="en-AU"/>
              </w:rPr>
              <w:t>Equity Share of Growth (%)</w:t>
            </w:r>
          </w:p>
        </w:tc>
        <w:tc>
          <w:tcPr>
            <w:tcW w:w="1185" w:type="dxa"/>
            <w:shd w:val="clear" w:color="auto" w:fill="auto"/>
            <w:noWrap/>
            <w:vAlign w:val="center"/>
          </w:tcPr>
          <w:p w14:paraId="78450FB5" w14:textId="619A932D" w:rsidR="006153E1" w:rsidRPr="006153E1" w:rsidRDefault="006153E1" w:rsidP="006153E1">
            <w:pPr>
              <w:spacing w:after="0" w:line="240" w:lineRule="auto"/>
              <w:jc w:val="right"/>
              <w:rPr>
                <w:rFonts w:cs="Arial"/>
                <w:color w:val="000000"/>
                <w:sz w:val="18"/>
                <w:szCs w:val="18"/>
              </w:rPr>
            </w:pPr>
          </w:p>
        </w:tc>
        <w:tc>
          <w:tcPr>
            <w:tcW w:w="1366" w:type="dxa"/>
            <w:shd w:val="clear" w:color="auto" w:fill="auto"/>
            <w:noWrap/>
            <w:vAlign w:val="center"/>
          </w:tcPr>
          <w:p w14:paraId="0C788EB0" w14:textId="4C1BD2C4" w:rsidR="006153E1" w:rsidRPr="006153E1" w:rsidRDefault="006153E1" w:rsidP="006153E1">
            <w:pPr>
              <w:spacing w:after="0" w:line="240" w:lineRule="auto"/>
              <w:jc w:val="right"/>
              <w:rPr>
                <w:rFonts w:cs="Arial"/>
                <w:color w:val="000000"/>
                <w:sz w:val="18"/>
                <w:szCs w:val="18"/>
              </w:rPr>
            </w:pPr>
            <w:r w:rsidRPr="006153E1">
              <w:rPr>
                <w:sz w:val="18"/>
                <w:szCs w:val="18"/>
              </w:rPr>
              <w:t>37.1</w:t>
            </w:r>
          </w:p>
        </w:tc>
        <w:tc>
          <w:tcPr>
            <w:tcW w:w="1404" w:type="dxa"/>
            <w:shd w:val="clear" w:color="auto" w:fill="auto"/>
            <w:noWrap/>
            <w:vAlign w:val="center"/>
          </w:tcPr>
          <w:p w14:paraId="0806BA33" w14:textId="24824BB6" w:rsidR="006153E1" w:rsidRPr="006153E1" w:rsidRDefault="006153E1" w:rsidP="006153E1">
            <w:pPr>
              <w:spacing w:after="0" w:line="240" w:lineRule="auto"/>
              <w:jc w:val="right"/>
              <w:rPr>
                <w:rFonts w:cs="Arial"/>
                <w:color w:val="000000"/>
                <w:sz w:val="18"/>
                <w:szCs w:val="18"/>
              </w:rPr>
            </w:pPr>
            <w:r w:rsidRPr="006153E1">
              <w:rPr>
                <w:sz w:val="18"/>
                <w:szCs w:val="18"/>
              </w:rPr>
              <w:t>111.5</w:t>
            </w:r>
            <w:r>
              <w:rPr>
                <w:sz w:val="18"/>
                <w:szCs w:val="18"/>
              </w:rPr>
              <w:t>*</w:t>
            </w:r>
          </w:p>
        </w:tc>
        <w:tc>
          <w:tcPr>
            <w:tcW w:w="1460" w:type="dxa"/>
            <w:shd w:val="clear" w:color="auto" w:fill="auto"/>
            <w:noWrap/>
            <w:vAlign w:val="center"/>
          </w:tcPr>
          <w:p w14:paraId="0521FC37" w14:textId="767232BB" w:rsidR="006153E1" w:rsidRPr="006153E1" w:rsidRDefault="006153E1" w:rsidP="006153E1">
            <w:pPr>
              <w:spacing w:after="0" w:line="240" w:lineRule="auto"/>
              <w:jc w:val="right"/>
              <w:rPr>
                <w:rFonts w:cs="Arial"/>
                <w:color w:val="000000"/>
                <w:sz w:val="18"/>
                <w:szCs w:val="18"/>
              </w:rPr>
            </w:pPr>
            <w:r w:rsidRPr="006153E1">
              <w:rPr>
                <w:sz w:val="18"/>
                <w:szCs w:val="18"/>
              </w:rPr>
              <w:t>92.4</w:t>
            </w:r>
          </w:p>
        </w:tc>
        <w:tc>
          <w:tcPr>
            <w:tcW w:w="1384" w:type="dxa"/>
            <w:shd w:val="clear" w:color="auto" w:fill="auto"/>
            <w:noWrap/>
            <w:vAlign w:val="center"/>
          </w:tcPr>
          <w:p w14:paraId="03D57A9D" w14:textId="29F25D2C" w:rsidR="006153E1" w:rsidRPr="006153E1" w:rsidRDefault="006153E1" w:rsidP="006153E1">
            <w:pPr>
              <w:spacing w:after="0" w:line="240" w:lineRule="auto"/>
              <w:jc w:val="right"/>
              <w:rPr>
                <w:rFonts w:cs="Arial"/>
                <w:color w:val="000000"/>
                <w:sz w:val="18"/>
                <w:szCs w:val="18"/>
              </w:rPr>
            </w:pPr>
            <w:r w:rsidRPr="006153E1">
              <w:rPr>
                <w:sz w:val="18"/>
                <w:szCs w:val="18"/>
              </w:rPr>
              <w:t>92.4</w:t>
            </w:r>
          </w:p>
        </w:tc>
      </w:tr>
    </w:tbl>
    <w:p w14:paraId="6B602E23" w14:textId="307D857A" w:rsidR="008D10ED" w:rsidRDefault="008D10ED" w:rsidP="00E87251">
      <w:pPr>
        <w:spacing w:after="0" w:line="240" w:lineRule="auto"/>
        <w:rPr>
          <w:rFonts w:cs="Arial"/>
          <w:sz w:val="18"/>
          <w:szCs w:val="18"/>
        </w:rPr>
      </w:pPr>
      <w:r>
        <w:rPr>
          <w:b/>
          <w:bCs/>
          <w:sz w:val="18"/>
          <w:szCs w:val="18"/>
        </w:rPr>
        <w:t xml:space="preserve">Note: </w:t>
      </w:r>
      <w:r>
        <w:rPr>
          <w:sz w:val="18"/>
          <w:szCs w:val="18"/>
        </w:rPr>
        <w:t>*The equity group share of growth exceeds 100% where the increase in equity group completions required exceeds total undergraduate growth.</w:t>
      </w:r>
      <w:r w:rsidR="00AC6466">
        <w:rPr>
          <w:sz w:val="18"/>
          <w:szCs w:val="18"/>
        </w:rPr>
        <w:t xml:space="preserve"> </w:t>
      </w:r>
      <w:r w:rsidR="00E87251" w:rsidRPr="00C30CEF">
        <w:rPr>
          <w:rFonts w:cs="Arial"/>
          <w:sz w:val="18"/>
          <w:szCs w:val="18"/>
        </w:rPr>
        <w:t>The aggregate measure of enrolments here differs partially from the standard measures in Table 2</w:t>
      </w:r>
      <w:r w:rsidR="00E87251">
        <w:rPr>
          <w:rFonts w:cs="Arial"/>
          <w:sz w:val="18"/>
          <w:szCs w:val="18"/>
        </w:rPr>
        <w:t>, and in Table 12 above,</w:t>
      </w:r>
      <w:r w:rsidR="00E87251" w:rsidRPr="00C30CEF">
        <w:rPr>
          <w:rFonts w:cs="Arial"/>
          <w:sz w:val="18"/>
          <w:szCs w:val="18"/>
        </w:rPr>
        <w:t xml:space="preserve"> due to the suppression of some data.   </w:t>
      </w:r>
      <w:r>
        <w:rPr>
          <w:b/>
          <w:bCs/>
          <w:sz w:val="18"/>
          <w:szCs w:val="18"/>
        </w:rPr>
        <w:b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36E095A9" w14:textId="77777777" w:rsidR="00EB5D55" w:rsidRDefault="00EB5D55" w:rsidP="00A160A2">
      <w:pPr>
        <w:rPr>
          <w:rFonts w:eastAsiaTheme="majorEastAsia"/>
        </w:rPr>
      </w:pPr>
    </w:p>
    <w:p w14:paraId="07A24CD4" w14:textId="0613874A" w:rsidR="00361EC0" w:rsidRPr="008C52BE" w:rsidRDefault="00361EC0" w:rsidP="006B57B5">
      <w:pPr>
        <w:pStyle w:val="Heading3"/>
        <w:rPr>
          <w:i w:val="0"/>
        </w:rPr>
      </w:pPr>
      <w:r>
        <w:t>Completion</w:t>
      </w:r>
      <w:r w:rsidR="00E3419A">
        <w:t xml:space="preserve"> Headcount versus Completion Rates</w:t>
      </w:r>
      <w:r>
        <w:t xml:space="preserve"> </w:t>
      </w:r>
    </w:p>
    <w:p w14:paraId="4104E820" w14:textId="77777777" w:rsidR="001B1915" w:rsidRDefault="00361EC0">
      <w:r>
        <w:t>In this analysis w</w:t>
      </w:r>
      <w:r w:rsidRPr="00A40732">
        <w:t xml:space="preserve">e </w:t>
      </w:r>
      <w:r>
        <w:t xml:space="preserve">report </w:t>
      </w:r>
      <w:r w:rsidRPr="00A40732">
        <w:t xml:space="preserve">completion outcomes </w:t>
      </w:r>
      <w:r>
        <w:t xml:space="preserve">by </w:t>
      </w:r>
      <w:r w:rsidRPr="00A40732">
        <w:t>headcount</w:t>
      </w:r>
      <w:r>
        <w:t>.</w:t>
      </w:r>
      <w:r w:rsidRPr="00A40732">
        <w:t xml:space="preserve"> The implicit target is th</w:t>
      </w:r>
      <w:r>
        <w:t>at the</w:t>
      </w:r>
      <w:r w:rsidRPr="00A40732">
        <w:t xml:space="preserve"> level of completions is such that the completion rate equals the parity rate for each equity group. </w:t>
      </w:r>
      <w:r>
        <w:t>In practice, the completion rate could also be targeted directly.</w:t>
      </w:r>
      <w:r w:rsidR="00114941">
        <w:t xml:space="preserve"> </w:t>
      </w:r>
    </w:p>
    <w:p w14:paraId="7F8EDAAF" w14:textId="1ECB1CA3" w:rsidR="00EB5AE9" w:rsidRDefault="00114941">
      <w:r>
        <w:t>The rationale for this is that completion headcount targets</w:t>
      </w:r>
      <w:r w:rsidR="00021C5B">
        <w:t xml:space="preserve"> will in part by met by an expansion in participation headcount, with the attendant challenge for institutions residing in their capacity to </w:t>
      </w:r>
      <w:r w:rsidR="00325ACA">
        <w:t>retain</w:t>
      </w:r>
      <w:r w:rsidR="00A21E2B">
        <w:t xml:space="preserve"> and ensure successful outcomes for students </w:t>
      </w:r>
      <w:r w:rsidR="0074138F">
        <w:t xml:space="preserve">that translates </w:t>
      </w:r>
      <w:r w:rsidR="00A21E2B">
        <w:t xml:space="preserve">to </w:t>
      </w:r>
      <w:r w:rsidR="0074138F">
        <w:t>increased</w:t>
      </w:r>
      <w:r w:rsidR="00A21E2B">
        <w:t xml:space="preserve"> completion headcount.</w:t>
      </w:r>
    </w:p>
    <w:p w14:paraId="1494CEFD" w14:textId="5090799C" w:rsidR="00361EC0" w:rsidRDefault="001B1915">
      <w:r>
        <w:t xml:space="preserve">Completion rates </w:t>
      </w:r>
      <w:r w:rsidR="0080784F">
        <w:t>are an important related consideration in</w:t>
      </w:r>
      <w:r w:rsidR="008C7DD9">
        <w:t xml:space="preserve"> assessing institutional performance. </w:t>
      </w:r>
      <w:r w:rsidR="00D03504">
        <w:t xml:space="preserve">The critical issue in their use is the lag between increases in participation </w:t>
      </w:r>
      <w:r w:rsidR="004B2348">
        <w:t xml:space="preserve">by first-year students and their eventual completion, and in the case of equity students, the likelihood that they will take longer to complete their degrees </w:t>
      </w:r>
      <w:r w:rsidR="008121F2">
        <w:t>for a variety of reasons, including their greater participation in enabling programs, reduced levels of retention in first year and</w:t>
      </w:r>
      <w:r w:rsidR="004B2348">
        <w:t xml:space="preserve"> </w:t>
      </w:r>
      <w:r w:rsidR="00E03CA2">
        <w:t>higher rates of work commitments</w:t>
      </w:r>
      <w:r w:rsidR="00DE3020">
        <w:t xml:space="preserve"> (</w:t>
      </w:r>
      <w:r w:rsidR="00A57F98" w:rsidRPr="00DC1314">
        <w:t>Tomaszewski</w:t>
      </w:r>
      <w:r w:rsidR="00A57F98">
        <w:t xml:space="preserve"> et al., 2020)</w:t>
      </w:r>
      <w:r w:rsidR="00E03CA2">
        <w:t xml:space="preserve">. </w:t>
      </w:r>
    </w:p>
    <w:p w14:paraId="2112DEA7" w14:textId="5BA8D1B9" w:rsidR="00A23B51" w:rsidRDefault="00C31140">
      <w:r>
        <w:lastRenderedPageBreak/>
        <w:t>Table 14 demonstrates the nature of this challenge</w:t>
      </w:r>
      <w:r w:rsidR="00C608EE">
        <w:t xml:space="preserve"> through a comparison of cohort completion rates for the 2013 commencing cohort. This shows that </w:t>
      </w:r>
      <w:r w:rsidR="0083125A">
        <w:t>56.9% of all undergraduates completed their degrees within six years (b</w:t>
      </w:r>
      <w:r w:rsidR="006C3100">
        <w:t>y</w:t>
      </w:r>
      <w:r w:rsidR="008B6707">
        <w:t xml:space="preserve"> or during</w:t>
      </w:r>
      <w:r w:rsidR="0083125A">
        <w:t xml:space="preserve"> 2018)</w:t>
      </w:r>
      <w:r w:rsidR="008B6707">
        <w:t xml:space="preserve"> and 61.6% did so in nine years (</w:t>
      </w:r>
      <w:r w:rsidR="0030234D">
        <w:t>by or during</w:t>
      </w:r>
      <w:r w:rsidR="006C3100">
        <w:t xml:space="preserve"> 2021)</w:t>
      </w:r>
      <w:r w:rsidR="003739F4">
        <w:t>, with equity groups trailing this outcome</w:t>
      </w:r>
      <w:r w:rsidR="008051B4">
        <w:t xml:space="preserve"> in both instances, but with the gap closing over the nine</w:t>
      </w:r>
      <w:r w:rsidR="00A23B51">
        <w:t>-</w:t>
      </w:r>
      <w:r w:rsidR="008051B4">
        <w:t xml:space="preserve">year time horizon. </w:t>
      </w:r>
      <w:r w:rsidR="008E66D6">
        <w:br/>
      </w:r>
    </w:p>
    <w:p w14:paraId="06820667" w14:textId="55C0AB84" w:rsidR="006912FC" w:rsidRDefault="006912FC" w:rsidP="006912FC">
      <w:pPr>
        <w:spacing w:line="240" w:lineRule="auto"/>
        <w:ind w:left="1440" w:hanging="1440"/>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14: </w:t>
      </w:r>
      <w:r w:rsidR="00D83158">
        <w:rPr>
          <w:rFonts w:cstheme="minorHAnsi"/>
          <w:color w:val="000000"/>
          <w:sz w:val="18"/>
          <w:szCs w:val="18"/>
          <w:lang w:eastAsia="en-AU"/>
        </w:rPr>
        <w:t>Cohort Completion Rates</w:t>
      </w:r>
      <w:r w:rsidR="00E90DBC">
        <w:rPr>
          <w:rFonts w:cstheme="minorHAnsi"/>
          <w:color w:val="000000"/>
          <w:sz w:val="18"/>
          <w:szCs w:val="18"/>
          <w:lang w:eastAsia="en-AU"/>
        </w:rPr>
        <w:t>, Domestic Undergraduates and Equity Group Students</w:t>
      </w:r>
      <w:r w:rsidR="00EB0A1F">
        <w:rPr>
          <w:rFonts w:cstheme="minorHAnsi"/>
          <w:color w:val="000000"/>
          <w:sz w:val="18"/>
          <w:szCs w:val="18"/>
          <w:lang w:eastAsia="en-AU"/>
        </w:rPr>
        <w:t xml:space="preserve">, </w:t>
      </w:r>
      <w:r w:rsidR="00146377">
        <w:rPr>
          <w:rFonts w:cstheme="minorHAnsi"/>
          <w:color w:val="000000"/>
          <w:sz w:val="18"/>
          <w:szCs w:val="18"/>
          <w:lang w:eastAsia="en-AU"/>
        </w:rPr>
        <w:t>6-Year and 9-Year Rates</w:t>
      </w:r>
      <w:r w:rsidR="00D83158">
        <w:rPr>
          <w:rFonts w:cstheme="minorHAnsi"/>
          <w:color w:val="000000"/>
          <w:sz w:val="18"/>
          <w:szCs w:val="18"/>
          <w:lang w:eastAsia="en-AU"/>
        </w:rPr>
        <w:t xml:space="preserve">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610"/>
        <w:gridCol w:w="1792"/>
        <w:gridCol w:w="1559"/>
        <w:gridCol w:w="2126"/>
      </w:tblGrid>
      <w:tr w:rsidR="006912FC" w:rsidRPr="009B6407" w14:paraId="7A714793" w14:textId="77777777" w:rsidTr="00160B8E">
        <w:trPr>
          <w:trHeight w:val="534"/>
        </w:trPr>
        <w:tc>
          <w:tcPr>
            <w:tcW w:w="2117" w:type="dxa"/>
            <w:vMerge w:val="restart"/>
            <w:shd w:val="clear" w:color="auto" w:fill="auto"/>
            <w:noWrap/>
            <w:vAlign w:val="center"/>
            <w:hideMark/>
          </w:tcPr>
          <w:p w14:paraId="453C4056" w14:textId="77777777" w:rsidR="006912FC" w:rsidRPr="009B6407" w:rsidRDefault="006912FC">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610" w:type="dxa"/>
            <w:vMerge w:val="restart"/>
            <w:shd w:val="clear" w:color="auto" w:fill="6B3B57"/>
            <w:vAlign w:val="center"/>
          </w:tcPr>
          <w:p w14:paraId="337CEF72" w14:textId="423A8BCC" w:rsidR="006912FC" w:rsidRPr="009B6407" w:rsidRDefault="00146377">
            <w:pPr>
              <w:spacing w:after="0" w:line="240" w:lineRule="auto"/>
              <w:jc w:val="center"/>
              <w:rPr>
                <w:rFonts w:cs="Arial"/>
                <w:b/>
                <w:bCs/>
                <w:color w:val="FFFFFF"/>
                <w:sz w:val="18"/>
                <w:szCs w:val="18"/>
                <w:lang w:eastAsia="en-AU"/>
              </w:rPr>
            </w:pPr>
            <w:r>
              <w:rPr>
                <w:rFonts w:cs="Arial"/>
                <w:b/>
                <w:bCs/>
                <w:color w:val="FFFFFF"/>
                <w:sz w:val="18"/>
                <w:szCs w:val="18"/>
                <w:lang w:eastAsia="en-AU"/>
              </w:rPr>
              <w:t>6-Year</w:t>
            </w:r>
          </w:p>
        </w:tc>
        <w:tc>
          <w:tcPr>
            <w:tcW w:w="1792" w:type="dxa"/>
            <w:vMerge w:val="restart"/>
            <w:shd w:val="clear" w:color="auto" w:fill="6B3B57"/>
            <w:vAlign w:val="center"/>
          </w:tcPr>
          <w:p w14:paraId="5AFAB7D6" w14:textId="33E40D83" w:rsidR="006912FC" w:rsidRPr="009B6407" w:rsidRDefault="00146377">
            <w:pPr>
              <w:spacing w:after="0" w:line="240" w:lineRule="auto"/>
              <w:jc w:val="center"/>
              <w:rPr>
                <w:rFonts w:cs="Arial"/>
                <w:b/>
                <w:bCs/>
                <w:color w:val="FFFFFF"/>
                <w:sz w:val="18"/>
                <w:szCs w:val="18"/>
                <w:lang w:eastAsia="en-AU"/>
              </w:rPr>
            </w:pPr>
            <w:r>
              <w:rPr>
                <w:rFonts w:cs="Arial"/>
                <w:b/>
                <w:bCs/>
                <w:color w:val="FFFFFF"/>
                <w:sz w:val="18"/>
                <w:szCs w:val="18"/>
                <w:lang w:eastAsia="en-AU"/>
              </w:rPr>
              <w:t>Ratio to All Undergraduates</w:t>
            </w:r>
          </w:p>
        </w:tc>
        <w:tc>
          <w:tcPr>
            <w:tcW w:w="1559" w:type="dxa"/>
            <w:vMerge w:val="restart"/>
            <w:shd w:val="clear" w:color="auto" w:fill="6B3B57"/>
            <w:vAlign w:val="center"/>
          </w:tcPr>
          <w:p w14:paraId="3964901C" w14:textId="6C937F65" w:rsidR="006912FC" w:rsidRPr="009B6407" w:rsidRDefault="00146377">
            <w:pPr>
              <w:spacing w:after="0" w:line="240" w:lineRule="auto"/>
              <w:jc w:val="center"/>
              <w:rPr>
                <w:rFonts w:cs="Arial"/>
                <w:b/>
                <w:bCs/>
                <w:color w:val="FFFFFF"/>
                <w:sz w:val="18"/>
                <w:szCs w:val="18"/>
                <w:lang w:eastAsia="en-AU"/>
              </w:rPr>
            </w:pPr>
            <w:r>
              <w:rPr>
                <w:rFonts w:cs="Arial"/>
                <w:b/>
                <w:bCs/>
                <w:color w:val="FFFFFF"/>
                <w:sz w:val="18"/>
                <w:szCs w:val="18"/>
                <w:lang w:eastAsia="en-AU"/>
              </w:rPr>
              <w:t>9-Year</w:t>
            </w:r>
          </w:p>
        </w:tc>
        <w:tc>
          <w:tcPr>
            <w:tcW w:w="2126" w:type="dxa"/>
            <w:vMerge w:val="restart"/>
            <w:shd w:val="clear" w:color="auto" w:fill="6B3B57"/>
            <w:vAlign w:val="center"/>
          </w:tcPr>
          <w:p w14:paraId="32801C7A" w14:textId="0F9AF5A8" w:rsidR="006912FC" w:rsidRPr="009B6407" w:rsidRDefault="00146377">
            <w:pPr>
              <w:spacing w:after="0" w:line="240" w:lineRule="auto"/>
              <w:jc w:val="center"/>
              <w:rPr>
                <w:rFonts w:cs="Arial"/>
                <w:b/>
                <w:bCs/>
                <w:color w:val="FFFFFF"/>
                <w:sz w:val="18"/>
                <w:szCs w:val="18"/>
                <w:lang w:eastAsia="en-AU"/>
              </w:rPr>
            </w:pPr>
            <w:r>
              <w:rPr>
                <w:rFonts w:cs="Arial"/>
                <w:b/>
                <w:bCs/>
                <w:color w:val="FFFFFF"/>
                <w:sz w:val="18"/>
                <w:szCs w:val="18"/>
                <w:lang w:eastAsia="en-AU"/>
              </w:rPr>
              <w:t>Ratio to All Undergraduates</w:t>
            </w:r>
          </w:p>
        </w:tc>
      </w:tr>
      <w:tr w:rsidR="006912FC" w:rsidRPr="009B6407" w14:paraId="4B112B48" w14:textId="77777777" w:rsidTr="00160B8E">
        <w:trPr>
          <w:trHeight w:val="534"/>
        </w:trPr>
        <w:tc>
          <w:tcPr>
            <w:tcW w:w="2117" w:type="dxa"/>
            <w:vMerge/>
            <w:shd w:val="clear" w:color="auto" w:fill="auto"/>
            <w:vAlign w:val="center"/>
            <w:hideMark/>
          </w:tcPr>
          <w:p w14:paraId="66D3C125" w14:textId="77777777" w:rsidR="006912FC" w:rsidRPr="009B6407" w:rsidRDefault="006912FC">
            <w:pPr>
              <w:spacing w:after="0" w:line="240" w:lineRule="auto"/>
              <w:rPr>
                <w:rFonts w:ascii="Calibri" w:hAnsi="Calibri" w:cs="Calibri"/>
                <w:color w:val="000000"/>
                <w:sz w:val="18"/>
                <w:szCs w:val="18"/>
                <w:lang w:eastAsia="en-AU"/>
              </w:rPr>
            </w:pPr>
          </w:p>
        </w:tc>
        <w:tc>
          <w:tcPr>
            <w:tcW w:w="1610" w:type="dxa"/>
            <w:vMerge/>
            <w:shd w:val="clear" w:color="auto" w:fill="6B3B57"/>
            <w:vAlign w:val="center"/>
          </w:tcPr>
          <w:p w14:paraId="64A59443" w14:textId="77777777" w:rsidR="006912FC" w:rsidRPr="009B6407" w:rsidRDefault="006912FC">
            <w:pPr>
              <w:spacing w:after="0" w:line="240" w:lineRule="auto"/>
              <w:rPr>
                <w:rFonts w:cs="Arial"/>
                <w:b/>
                <w:bCs/>
                <w:color w:val="FFFFFF"/>
                <w:sz w:val="18"/>
                <w:szCs w:val="18"/>
                <w:lang w:eastAsia="en-AU"/>
              </w:rPr>
            </w:pPr>
          </w:p>
        </w:tc>
        <w:tc>
          <w:tcPr>
            <w:tcW w:w="1792" w:type="dxa"/>
            <w:vMerge/>
            <w:shd w:val="clear" w:color="auto" w:fill="6B3B57"/>
            <w:vAlign w:val="center"/>
          </w:tcPr>
          <w:p w14:paraId="3F35B6CA" w14:textId="77777777" w:rsidR="006912FC" w:rsidRPr="009B6407" w:rsidRDefault="006912FC">
            <w:pPr>
              <w:spacing w:after="0" w:line="240" w:lineRule="auto"/>
              <w:rPr>
                <w:rFonts w:cs="Arial"/>
                <w:b/>
                <w:bCs/>
                <w:color w:val="FFFFFF"/>
                <w:sz w:val="18"/>
                <w:szCs w:val="18"/>
                <w:lang w:eastAsia="en-AU"/>
              </w:rPr>
            </w:pPr>
          </w:p>
        </w:tc>
        <w:tc>
          <w:tcPr>
            <w:tcW w:w="1559" w:type="dxa"/>
            <w:vMerge/>
            <w:shd w:val="clear" w:color="auto" w:fill="6B3B57"/>
            <w:vAlign w:val="center"/>
          </w:tcPr>
          <w:p w14:paraId="0AB2452B" w14:textId="77777777" w:rsidR="006912FC" w:rsidRPr="009B6407" w:rsidRDefault="006912FC">
            <w:pPr>
              <w:spacing w:after="0" w:line="240" w:lineRule="auto"/>
              <w:rPr>
                <w:rFonts w:cs="Arial"/>
                <w:b/>
                <w:bCs/>
                <w:color w:val="FFFFFF"/>
                <w:sz w:val="18"/>
                <w:szCs w:val="18"/>
                <w:lang w:eastAsia="en-AU"/>
              </w:rPr>
            </w:pPr>
          </w:p>
        </w:tc>
        <w:tc>
          <w:tcPr>
            <w:tcW w:w="2126" w:type="dxa"/>
            <w:vMerge/>
            <w:shd w:val="clear" w:color="auto" w:fill="6B3B57"/>
            <w:vAlign w:val="center"/>
          </w:tcPr>
          <w:p w14:paraId="741437AB" w14:textId="77777777" w:rsidR="006912FC" w:rsidRPr="009B6407" w:rsidRDefault="006912FC">
            <w:pPr>
              <w:spacing w:after="0" w:line="240" w:lineRule="auto"/>
              <w:rPr>
                <w:rFonts w:cs="Arial"/>
                <w:b/>
                <w:bCs/>
                <w:color w:val="FFFFFF"/>
                <w:sz w:val="18"/>
                <w:szCs w:val="18"/>
                <w:lang w:eastAsia="en-AU"/>
              </w:rPr>
            </w:pPr>
          </w:p>
        </w:tc>
      </w:tr>
      <w:tr w:rsidR="006912FC" w:rsidRPr="009B6407" w14:paraId="15A6E129" w14:textId="77777777" w:rsidTr="006253C8">
        <w:trPr>
          <w:trHeight w:val="315"/>
        </w:trPr>
        <w:tc>
          <w:tcPr>
            <w:tcW w:w="2117" w:type="dxa"/>
            <w:shd w:val="clear" w:color="auto" w:fill="auto"/>
            <w:noWrap/>
            <w:vAlign w:val="center"/>
            <w:hideMark/>
          </w:tcPr>
          <w:p w14:paraId="6CB64637" w14:textId="77777777" w:rsidR="006912FC" w:rsidRPr="009B6407" w:rsidRDefault="006912FC">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610" w:type="dxa"/>
            <w:shd w:val="clear" w:color="auto" w:fill="auto"/>
            <w:noWrap/>
            <w:vAlign w:val="center"/>
          </w:tcPr>
          <w:p w14:paraId="27B09CC0" w14:textId="7A9B8283" w:rsidR="006912FC" w:rsidRPr="006153E1" w:rsidRDefault="00C41096" w:rsidP="00811324">
            <w:pPr>
              <w:spacing w:after="0" w:line="240" w:lineRule="auto"/>
              <w:jc w:val="center"/>
              <w:rPr>
                <w:rFonts w:cs="Arial"/>
                <w:b/>
                <w:bCs/>
                <w:color w:val="000000"/>
                <w:sz w:val="18"/>
                <w:szCs w:val="18"/>
                <w:lang w:eastAsia="en-AU"/>
              </w:rPr>
            </w:pPr>
            <w:r w:rsidRPr="00811324">
              <w:rPr>
                <w:rFonts w:ascii="Calibri" w:hAnsi="Calibri" w:cs="Calibri"/>
                <w:b/>
                <w:bCs/>
                <w:color w:val="000000"/>
                <w:sz w:val="18"/>
                <w:szCs w:val="18"/>
              </w:rPr>
              <w:t>56.9</w:t>
            </w:r>
          </w:p>
        </w:tc>
        <w:tc>
          <w:tcPr>
            <w:tcW w:w="1792" w:type="dxa"/>
            <w:shd w:val="clear" w:color="auto" w:fill="auto"/>
            <w:noWrap/>
            <w:vAlign w:val="center"/>
          </w:tcPr>
          <w:p w14:paraId="3D7A3376" w14:textId="3AEACE9B" w:rsidR="006912FC" w:rsidRPr="006153E1" w:rsidRDefault="00C41096" w:rsidP="00811324">
            <w:pPr>
              <w:spacing w:after="0" w:line="240" w:lineRule="auto"/>
              <w:jc w:val="center"/>
              <w:rPr>
                <w:rFonts w:cs="Arial"/>
                <w:b/>
                <w:bCs/>
                <w:color w:val="000000"/>
                <w:sz w:val="18"/>
                <w:szCs w:val="18"/>
                <w:lang w:eastAsia="en-AU"/>
              </w:rPr>
            </w:pPr>
            <w:r w:rsidRPr="00811324">
              <w:rPr>
                <w:rFonts w:ascii="Calibri" w:hAnsi="Calibri" w:cs="Calibri"/>
                <w:b/>
                <w:bCs/>
                <w:color w:val="000000"/>
                <w:sz w:val="18"/>
                <w:szCs w:val="18"/>
              </w:rPr>
              <w:t>1.00</w:t>
            </w:r>
          </w:p>
        </w:tc>
        <w:tc>
          <w:tcPr>
            <w:tcW w:w="1559" w:type="dxa"/>
            <w:shd w:val="clear" w:color="auto" w:fill="auto"/>
            <w:noWrap/>
            <w:vAlign w:val="center"/>
          </w:tcPr>
          <w:p w14:paraId="14151B2C" w14:textId="5D04E341" w:rsidR="006912FC" w:rsidRPr="006153E1" w:rsidRDefault="00C41096" w:rsidP="00811324">
            <w:pPr>
              <w:spacing w:after="0" w:line="240" w:lineRule="auto"/>
              <w:jc w:val="center"/>
              <w:rPr>
                <w:rFonts w:cs="Arial"/>
                <w:b/>
                <w:bCs/>
                <w:color w:val="000000"/>
                <w:sz w:val="18"/>
                <w:szCs w:val="18"/>
                <w:lang w:eastAsia="en-AU"/>
              </w:rPr>
            </w:pPr>
            <w:r w:rsidRPr="00811324">
              <w:rPr>
                <w:rFonts w:ascii="Calibri" w:hAnsi="Calibri" w:cs="Calibri"/>
                <w:b/>
                <w:bCs/>
                <w:color w:val="000000"/>
                <w:sz w:val="18"/>
                <w:szCs w:val="18"/>
              </w:rPr>
              <w:t>61.6</w:t>
            </w:r>
          </w:p>
        </w:tc>
        <w:tc>
          <w:tcPr>
            <w:tcW w:w="2126" w:type="dxa"/>
            <w:shd w:val="clear" w:color="auto" w:fill="auto"/>
            <w:noWrap/>
            <w:vAlign w:val="center"/>
          </w:tcPr>
          <w:p w14:paraId="08C030A5" w14:textId="1F8F1160" w:rsidR="006912FC" w:rsidRPr="006153E1" w:rsidRDefault="00C41096" w:rsidP="00811324">
            <w:pPr>
              <w:spacing w:after="0" w:line="240" w:lineRule="auto"/>
              <w:jc w:val="center"/>
              <w:rPr>
                <w:rFonts w:cs="Arial"/>
                <w:b/>
                <w:bCs/>
                <w:color w:val="000000"/>
                <w:sz w:val="18"/>
                <w:szCs w:val="18"/>
                <w:lang w:eastAsia="en-AU"/>
              </w:rPr>
            </w:pPr>
            <w:r w:rsidRPr="00811324">
              <w:rPr>
                <w:rFonts w:ascii="Calibri" w:hAnsi="Calibri" w:cs="Calibri"/>
                <w:b/>
                <w:bCs/>
                <w:color w:val="000000"/>
                <w:sz w:val="18"/>
                <w:szCs w:val="18"/>
              </w:rPr>
              <w:t>1.00</w:t>
            </w:r>
          </w:p>
        </w:tc>
      </w:tr>
      <w:tr w:rsidR="006912FC" w:rsidRPr="009B6407" w14:paraId="3B57BD04" w14:textId="77777777" w:rsidTr="006253C8">
        <w:trPr>
          <w:trHeight w:val="315"/>
        </w:trPr>
        <w:tc>
          <w:tcPr>
            <w:tcW w:w="2117" w:type="dxa"/>
            <w:shd w:val="clear" w:color="auto" w:fill="auto"/>
            <w:noWrap/>
            <w:vAlign w:val="center"/>
            <w:hideMark/>
          </w:tcPr>
          <w:p w14:paraId="3E18ABED" w14:textId="77777777" w:rsidR="006912FC" w:rsidRPr="009B6407" w:rsidRDefault="006912FC">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610" w:type="dxa"/>
            <w:shd w:val="clear" w:color="auto" w:fill="auto"/>
            <w:noWrap/>
            <w:vAlign w:val="center"/>
          </w:tcPr>
          <w:p w14:paraId="53886841" w14:textId="4E9A64C5"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50.5</w:t>
            </w:r>
          </w:p>
        </w:tc>
        <w:tc>
          <w:tcPr>
            <w:tcW w:w="1792" w:type="dxa"/>
            <w:shd w:val="clear" w:color="auto" w:fill="auto"/>
            <w:noWrap/>
            <w:vAlign w:val="center"/>
          </w:tcPr>
          <w:p w14:paraId="3314788E" w14:textId="1418ABB1"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0.89</w:t>
            </w:r>
          </w:p>
        </w:tc>
        <w:tc>
          <w:tcPr>
            <w:tcW w:w="1559" w:type="dxa"/>
            <w:shd w:val="clear" w:color="auto" w:fill="auto"/>
            <w:noWrap/>
            <w:vAlign w:val="center"/>
          </w:tcPr>
          <w:p w14:paraId="3361AB7D" w14:textId="117F5BC7"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55.2</w:t>
            </w:r>
          </w:p>
        </w:tc>
        <w:tc>
          <w:tcPr>
            <w:tcW w:w="2126" w:type="dxa"/>
            <w:shd w:val="clear" w:color="auto" w:fill="auto"/>
            <w:noWrap/>
            <w:vAlign w:val="center"/>
          </w:tcPr>
          <w:p w14:paraId="44FCB453" w14:textId="5DF096CA"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0.90</w:t>
            </w:r>
          </w:p>
        </w:tc>
      </w:tr>
      <w:tr w:rsidR="008C3C30" w:rsidRPr="009B6407" w14:paraId="188B1B91" w14:textId="77777777" w:rsidTr="006253C8">
        <w:trPr>
          <w:trHeight w:val="315"/>
        </w:trPr>
        <w:tc>
          <w:tcPr>
            <w:tcW w:w="2117" w:type="dxa"/>
            <w:shd w:val="clear" w:color="auto" w:fill="auto"/>
            <w:noWrap/>
            <w:vAlign w:val="center"/>
          </w:tcPr>
          <w:p w14:paraId="31CDE197" w14:textId="2744BAD0" w:rsidR="008C3C30" w:rsidRPr="009B6407" w:rsidRDefault="008C3C30">
            <w:pPr>
              <w:spacing w:after="0" w:line="240" w:lineRule="auto"/>
              <w:rPr>
                <w:rFonts w:cs="Arial"/>
                <w:color w:val="000000"/>
                <w:sz w:val="18"/>
                <w:szCs w:val="18"/>
                <w:lang w:eastAsia="en-AU"/>
              </w:rPr>
            </w:pPr>
            <w:r>
              <w:rPr>
                <w:rFonts w:cs="Arial"/>
                <w:color w:val="000000"/>
                <w:sz w:val="18"/>
                <w:szCs w:val="18"/>
                <w:lang w:eastAsia="en-AU"/>
              </w:rPr>
              <w:t>Regional</w:t>
            </w:r>
          </w:p>
        </w:tc>
        <w:tc>
          <w:tcPr>
            <w:tcW w:w="1610" w:type="dxa"/>
            <w:shd w:val="clear" w:color="auto" w:fill="auto"/>
            <w:noWrap/>
            <w:vAlign w:val="center"/>
          </w:tcPr>
          <w:p w14:paraId="42543047" w14:textId="71D5B7BE" w:rsidR="008C3C30"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52.9</w:t>
            </w:r>
          </w:p>
        </w:tc>
        <w:tc>
          <w:tcPr>
            <w:tcW w:w="1792" w:type="dxa"/>
            <w:shd w:val="clear" w:color="auto" w:fill="auto"/>
            <w:noWrap/>
            <w:vAlign w:val="center"/>
          </w:tcPr>
          <w:p w14:paraId="32CCE624" w14:textId="2EF6F799" w:rsidR="008C3C30"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0.93</w:t>
            </w:r>
          </w:p>
        </w:tc>
        <w:tc>
          <w:tcPr>
            <w:tcW w:w="1559" w:type="dxa"/>
            <w:shd w:val="clear" w:color="auto" w:fill="auto"/>
            <w:noWrap/>
            <w:vAlign w:val="center"/>
          </w:tcPr>
          <w:p w14:paraId="79A5BE74" w14:textId="538580EC" w:rsidR="008C3C30"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57.6</w:t>
            </w:r>
          </w:p>
        </w:tc>
        <w:tc>
          <w:tcPr>
            <w:tcW w:w="2126" w:type="dxa"/>
            <w:shd w:val="clear" w:color="auto" w:fill="auto"/>
            <w:noWrap/>
            <w:vAlign w:val="center"/>
          </w:tcPr>
          <w:p w14:paraId="66885E00" w14:textId="43AFBD7E" w:rsidR="008C3C30"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0.94</w:t>
            </w:r>
          </w:p>
        </w:tc>
      </w:tr>
      <w:tr w:rsidR="006912FC" w:rsidRPr="009B6407" w14:paraId="3B242467" w14:textId="77777777" w:rsidTr="006253C8">
        <w:trPr>
          <w:trHeight w:val="315"/>
        </w:trPr>
        <w:tc>
          <w:tcPr>
            <w:tcW w:w="2117" w:type="dxa"/>
            <w:shd w:val="clear" w:color="auto" w:fill="auto"/>
            <w:noWrap/>
            <w:vAlign w:val="center"/>
            <w:hideMark/>
          </w:tcPr>
          <w:p w14:paraId="2FFB110E" w14:textId="6663E5EB" w:rsidR="006912FC" w:rsidRPr="009B6407" w:rsidRDefault="006912FC">
            <w:pPr>
              <w:spacing w:after="0" w:line="240" w:lineRule="auto"/>
              <w:rPr>
                <w:rFonts w:cs="Arial"/>
                <w:color w:val="000000"/>
                <w:sz w:val="18"/>
                <w:szCs w:val="18"/>
                <w:lang w:eastAsia="en-AU"/>
              </w:rPr>
            </w:pPr>
            <w:r w:rsidRPr="009B6407">
              <w:rPr>
                <w:rFonts w:cs="Arial"/>
                <w:color w:val="000000"/>
                <w:sz w:val="18"/>
                <w:szCs w:val="18"/>
                <w:lang w:eastAsia="en-AU"/>
              </w:rPr>
              <w:t>Remote</w:t>
            </w:r>
          </w:p>
        </w:tc>
        <w:tc>
          <w:tcPr>
            <w:tcW w:w="1610" w:type="dxa"/>
            <w:shd w:val="clear" w:color="auto" w:fill="auto"/>
            <w:noWrap/>
            <w:vAlign w:val="center"/>
          </w:tcPr>
          <w:p w14:paraId="4DCA0E51" w14:textId="480569DB"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47.6</w:t>
            </w:r>
          </w:p>
        </w:tc>
        <w:tc>
          <w:tcPr>
            <w:tcW w:w="1792" w:type="dxa"/>
            <w:shd w:val="clear" w:color="auto" w:fill="auto"/>
            <w:noWrap/>
            <w:vAlign w:val="center"/>
          </w:tcPr>
          <w:p w14:paraId="5B941729" w14:textId="12BAE3A8"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0.84</w:t>
            </w:r>
          </w:p>
        </w:tc>
        <w:tc>
          <w:tcPr>
            <w:tcW w:w="1559" w:type="dxa"/>
            <w:shd w:val="clear" w:color="auto" w:fill="auto"/>
            <w:noWrap/>
            <w:vAlign w:val="center"/>
          </w:tcPr>
          <w:p w14:paraId="5B4962A6" w14:textId="26BC697E"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53.1</w:t>
            </w:r>
          </w:p>
        </w:tc>
        <w:tc>
          <w:tcPr>
            <w:tcW w:w="2126" w:type="dxa"/>
            <w:shd w:val="clear" w:color="auto" w:fill="auto"/>
            <w:noWrap/>
            <w:vAlign w:val="center"/>
          </w:tcPr>
          <w:p w14:paraId="295A6395" w14:textId="2527C8DD"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0.86</w:t>
            </w:r>
          </w:p>
        </w:tc>
      </w:tr>
      <w:tr w:rsidR="006912FC" w:rsidRPr="009B6407" w14:paraId="5905C432" w14:textId="77777777" w:rsidTr="006253C8">
        <w:trPr>
          <w:trHeight w:val="315"/>
        </w:trPr>
        <w:tc>
          <w:tcPr>
            <w:tcW w:w="2117" w:type="dxa"/>
            <w:shd w:val="clear" w:color="auto" w:fill="auto"/>
            <w:noWrap/>
            <w:vAlign w:val="center"/>
            <w:hideMark/>
          </w:tcPr>
          <w:p w14:paraId="74955217" w14:textId="77777777" w:rsidR="006912FC" w:rsidRPr="009B6407" w:rsidRDefault="006912FC">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610" w:type="dxa"/>
            <w:shd w:val="clear" w:color="auto" w:fill="auto"/>
            <w:noWrap/>
            <w:vAlign w:val="center"/>
          </w:tcPr>
          <w:p w14:paraId="1F7B31EC" w14:textId="025181B5"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37.7</w:t>
            </w:r>
          </w:p>
        </w:tc>
        <w:tc>
          <w:tcPr>
            <w:tcW w:w="1792" w:type="dxa"/>
            <w:shd w:val="clear" w:color="auto" w:fill="auto"/>
            <w:noWrap/>
            <w:vAlign w:val="center"/>
          </w:tcPr>
          <w:p w14:paraId="5436DE0F" w14:textId="0BE9B1CF"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0.66</w:t>
            </w:r>
          </w:p>
        </w:tc>
        <w:tc>
          <w:tcPr>
            <w:tcW w:w="1559" w:type="dxa"/>
            <w:shd w:val="clear" w:color="auto" w:fill="auto"/>
            <w:noWrap/>
            <w:vAlign w:val="center"/>
          </w:tcPr>
          <w:p w14:paraId="57F1CF8C" w14:textId="1F56F665"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44.0</w:t>
            </w:r>
          </w:p>
        </w:tc>
        <w:tc>
          <w:tcPr>
            <w:tcW w:w="2126" w:type="dxa"/>
            <w:shd w:val="clear" w:color="auto" w:fill="auto"/>
            <w:noWrap/>
            <w:vAlign w:val="center"/>
          </w:tcPr>
          <w:p w14:paraId="72B40F7D" w14:textId="663740E5"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0.71</w:t>
            </w:r>
          </w:p>
        </w:tc>
      </w:tr>
      <w:tr w:rsidR="006912FC" w:rsidRPr="009B6407" w14:paraId="7711C70D" w14:textId="77777777" w:rsidTr="006253C8">
        <w:trPr>
          <w:trHeight w:val="315"/>
        </w:trPr>
        <w:tc>
          <w:tcPr>
            <w:tcW w:w="2117" w:type="dxa"/>
            <w:shd w:val="clear" w:color="auto" w:fill="auto"/>
            <w:noWrap/>
            <w:vAlign w:val="center"/>
            <w:hideMark/>
          </w:tcPr>
          <w:p w14:paraId="4D448EED" w14:textId="77777777" w:rsidR="006912FC" w:rsidRPr="009B6407" w:rsidRDefault="006912FC">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610" w:type="dxa"/>
            <w:shd w:val="clear" w:color="auto" w:fill="auto"/>
            <w:noWrap/>
            <w:vAlign w:val="center"/>
          </w:tcPr>
          <w:p w14:paraId="5A2BFA74" w14:textId="70C17555"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47.8</w:t>
            </w:r>
          </w:p>
        </w:tc>
        <w:tc>
          <w:tcPr>
            <w:tcW w:w="1792" w:type="dxa"/>
            <w:shd w:val="clear" w:color="auto" w:fill="auto"/>
            <w:noWrap/>
            <w:vAlign w:val="center"/>
          </w:tcPr>
          <w:p w14:paraId="6434249B" w14:textId="48BF21D5"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0.84</w:t>
            </w:r>
          </w:p>
        </w:tc>
        <w:tc>
          <w:tcPr>
            <w:tcW w:w="1559" w:type="dxa"/>
            <w:shd w:val="clear" w:color="auto" w:fill="auto"/>
            <w:noWrap/>
            <w:vAlign w:val="center"/>
          </w:tcPr>
          <w:p w14:paraId="3F6D40CD" w14:textId="6781CE34"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53.2</w:t>
            </w:r>
          </w:p>
        </w:tc>
        <w:tc>
          <w:tcPr>
            <w:tcW w:w="2126" w:type="dxa"/>
            <w:shd w:val="clear" w:color="auto" w:fill="auto"/>
            <w:noWrap/>
            <w:vAlign w:val="center"/>
          </w:tcPr>
          <w:p w14:paraId="5D5BC0ED" w14:textId="79D09B52" w:rsidR="006912FC" w:rsidRPr="006153E1" w:rsidRDefault="00C41096" w:rsidP="00811324">
            <w:pPr>
              <w:spacing w:after="0" w:line="240" w:lineRule="auto"/>
              <w:jc w:val="center"/>
              <w:rPr>
                <w:rFonts w:cs="Arial"/>
                <w:color w:val="000000"/>
                <w:sz w:val="18"/>
                <w:szCs w:val="18"/>
                <w:lang w:eastAsia="en-AU"/>
              </w:rPr>
            </w:pPr>
            <w:r w:rsidRPr="00811324">
              <w:rPr>
                <w:rFonts w:ascii="Calibri" w:hAnsi="Calibri" w:cs="Calibri"/>
                <w:color w:val="000000"/>
                <w:sz w:val="18"/>
                <w:szCs w:val="18"/>
              </w:rPr>
              <w:t>0.86</w:t>
            </w:r>
          </w:p>
        </w:tc>
      </w:tr>
    </w:tbl>
    <w:p w14:paraId="757973A5" w14:textId="52AF079C" w:rsidR="006912FC" w:rsidRPr="00AC6466" w:rsidRDefault="006912FC" w:rsidP="006912FC">
      <w:pPr>
        <w:spacing w:after="0" w:line="240" w:lineRule="auto"/>
        <w:rPr>
          <w:sz w:val="18"/>
          <w:szCs w:val="18"/>
        </w:rPr>
      </w:pPr>
      <w:r>
        <w:rPr>
          <w:b/>
          <w:bCs/>
          <w:sz w:val="18"/>
          <w:szCs w:val="18"/>
        </w:rPr>
        <w:t xml:space="preserve">Note: </w:t>
      </w:r>
      <w:r w:rsidR="000615F3">
        <w:rPr>
          <w:sz w:val="18"/>
          <w:szCs w:val="18"/>
        </w:rPr>
        <w:t>Estimates are for the</w:t>
      </w:r>
      <w:r w:rsidR="000615F3" w:rsidRPr="000615F3">
        <w:rPr>
          <w:sz w:val="18"/>
          <w:szCs w:val="18"/>
        </w:rPr>
        <w:t xml:space="preserve"> domestic undergraduate commencing cohort</w:t>
      </w:r>
      <w:r w:rsidR="000615F3">
        <w:rPr>
          <w:sz w:val="18"/>
          <w:szCs w:val="18"/>
        </w:rPr>
        <w:t xml:space="preserve"> in 2013, with</w:t>
      </w:r>
      <w:r w:rsidR="000615F3" w:rsidRPr="000615F3">
        <w:rPr>
          <w:sz w:val="18"/>
          <w:szCs w:val="18"/>
        </w:rPr>
        <w:t xml:space="preserve"> </w:t>
      </w:r>
      <w:r w:rsidR="000615F3">
        <w:rPr>
          <w:sz w:val="18"/>
          <w:szCs w:val="18"/>
        </w:rPr>
        <w:t xml:space="preserve">the </w:t>
      </w:r>
      <w:r w:rsidR="000615F3" w:rsidRPr="000615F3">
        <w:rPr>
          <w:sz w:val="18"/>
          <w:szCs w:val="18"/>
        </w:rPr>
        <w:t>6-</w:t>
      </w:r>
      <w:r w:rsidR="000615F3">
        <w:rPr>
          <w:sz w:val="18"/>
          <w:szCs w:val="18"/>
        </w:rPr>
        <w:t xml:space="preserve">year rate reported in </w:t>
      </w:r>
      <w:r w:rsidR="00305226">
        <w:rPr>
          <w:sz w:val="18"/>
          <w:szCs w:val="18"/>
        </w:rPr>
        <w:t>2018</w:t>
      </w:r>
      <w:r w:rsidR="000615F3" w:rsidRPr="000615F3">
        <w:rPr>
          <w:sz w:val="18"/>
          <w:szCs w:val="18"/>
        </w:rPr>
        <w:t xml:space="preserve"> and </w:t>
      </w:r>
      <w:r w:rsidR="00305226">
        <w:rPr>
          <w:sz w:val="18"/>
          <w:szCs w:val="18"/>
        </w:rPr>
        <w:t>the</w:t>
      </w:r>
      <w:r w:rsidR="000615F3" w:rsidRPr="000615F3">
        <w:rPr>
          <w:sz w:val="18"/>
          <w:szCs w:val="18"/>
        </w:rPr>
        <w:t xml:space="preserve"> 9-year completion rates </w:t>
      </w:r>
      <w:r w:rsidR="00305226">
        <w:rPr>
          <w:sz w:val="18"/>
          <w:szCs w:val="18"/>
        </w:rPr>
        <w:t>in</w:t>
      </w:r>
      <w:r w:rsidR="000615F3" w:rsidRPr="000615F3">
        <w:rPr>
          <w:sz w:val="18"/>
          <w:szCs w:val="18"/>
        </w:rPr>
        <w:t xml:space="preserve"> 2021. </w:t>
      </w:r>
      <w:r w:rsidR="00756EF6">
        <w:rPr>
          <w:sz w:val="18"/>
          <w:szCs w:val="18"/>
        </w:rPr>
        <w:t xml:space="preserve">Estimates for regional, remote and low SES students are </w:t>
      </w:r>
      <w:proofErr w:type="gramStart"/>
      <w:r w:rsidR="00756EF6">
        <w:rPr>
          <w:sz w:val="18"/>
          <w:szCs w:val="18"/>
        </w:rPr>
        <w:t>on the basis of</w:t>
      </w:r>
      <w:proofErr w:type="gramEnd"/>
      <w:r w:rsidR="00756EF6">
        <w:rPr>
          <w:sz w:val="18"/>
          <w:szCs w:val="18"/>
        </w:rPr>
        <w:t xml:space="preserve"> </w:t>
      </w:r>
      <w:r w:rsidR="009E7582">
        <w:rPr>
          <w:sz w:val="18"/>
          <w:szCs w:val="18"/>
        </w:rPr>
        <w:t xml:space="preserve">the </w:t>
      </w:r>
      <w:r w:rsidR="00707718">
        <w:rPr>
          <w:sz w:val="18"/>
          <w:szCs w:val="18"/>
        </w:rPr>
        <w:t>‘</w:t>
      </w:r>
      <w:r w:rsidR="009E7582">
        <w:rPr>
          <w:sz w:val="18"/>
          <w:szCs w:val="18"/>
        </w:rPr>
        <w:t>current</w:t>
      </w:r>
      <w:r w:rsidR="00707718">
        <w:rPr>
          <w:sz w:val="18"/>
          <w:szCs w:val="18"/>
        </w:rPr>
        <w:t>’</w:t>
      </w:r>
      <w:r w:rsidR="009E7582">
        <w:rPr>
          <w:sz w:val="18"/>
          <w:szCs w:val="18"/>
        </w:rPr>
        <w:t xml:space="preserve"> home address definition for this group, as the first address definition did not exist in 2013. </w:t>
      </w:r>
      <w:r w:rsidR="000615F3" w:rsidRPr="000615F3">
        <w:rPr>
          <w:sz w:val="18"/>
          <w:szCs w:val="18"/>
        </w:rPr>
        <w:t xml:space="preserve"> </w:t>
      </w:r>
    </w:p>
    <w:p w14:paraId="46A8DC64" w14:textId="0D9438EA" w:rsidR="006912FC" w:rsidRDefault="006912FC" w:rsidP="006912FC">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w:t>
      </w:r>
    </w:p>
    <w:p w14:paraId="0E41557D" w14:textId="7682867D" w:rsidR="006E6AE4" w:rsidRDefault="008E66D6" w:rsidP="00A160A2">
      <w:pPr>
        <w:rPr>
          <w:rFonts w:ascii="SansaSoft Pro SemiBold" w:eastAsiaTheme="majorEastAsia" w:hAnsi="SansaSoft Pro SemiBold" w:cstheme="majorBidi"/>
          <w:bCs/>
          <w:color w:val="B58C0A"/>
          <w:sz w:val="40"/>
          <w:szCs w:val="28"/>
        </w:rPr>
      </w:pPr>
      <w:r>
        <w:br/>
      </w:r>
      <w:r w:rsidR="00611F55">
        <w:t>A target-setting regime that focuses on completion headcount could also utilise cohort completion data</w:t>
      </w:r>
      <w:r w:rsidR="001A7A0F">
        <w:t xml:space="preserve"> to set targets for institutions </w:t>
      </w:r>
      <w:r w:rsidR="005E6441">
        <w:t>as</w:t>
      </w:r>
      <w:r w:rsidR="001A7A0F">
        <w:t xml:space="preserve"> a </w:t>
      </w:r>
      <w:r w:rsidR="005E6441">
        <w:t xml:space="preserve">linking target between with participation and completion headcounts.  </w:t>
      </w:r>
      <w:r w:rsidR="006E6AE4">
        <w:br w:type="page"/>
      </w:r>
    </w:p>
    <w:p w14:paraId="68A90438" w14:textId="491E2029" w:rsidR="006E6AE4" w:rsidRDefault="00A21594" w:rsidP="006E6AE4">
      <w:pPr>
        <w:pStyle w:val="Heading1"/>
      </w:pPr>
      <w:bookmarkStart w:id="24" w:name="_Toc171511584"/>
      <w:r>
        <w:lastRenderedPageBreak/>
        <w:t xml:space="preserve">Extending </w:t>
      </w:r>
      <w:r w:rsidR="006E6AE4">
        <w:t>Parity Targets to</w:t>
      </w:r>
      <w:r>
        <w:t xml:space="preserve"> 2040 and </w:t>
      </w:r>
      <w:r w:rsidR="006E6AE4">
        <w:t>2050</w:t>
      </w:r>
      <w:bookmarkEnd w:id="24"/>
    </w:p>
    <w:p w14:paraId="295FF2F4" w14:textId="77777777" w:rsidR="006E6AE4" w:rsidRDefault="006E6AE4" w:rsidP="006E6AE4">
      <w:pPr>
        <w:rPr>
          <w:rFonts w:eastAsiaTheme="majorEastAsia"/>
        </w:rPr>
      </w:pPr>
    </w:p>
    <w:p w14:paraId="22F2E626" w14:textId="6DCDA841" w:rsidR="009B5F0F" w:rsidRPr="006E6AE4" w:rsidRDefault="006E6AE4" w:rsidP="006E6AE4">
      <w:pPr>
        <w:rPr>
          <w:rFonts w:eastAsiaTheme="majorEastAsia"/>
          <w:b/>
          <w:bCs/>
        </w:rPr>
      </w:pPr>
      <w:r w:rsidRPr="006E6AE4">
        <w:rPr>
          <w:rFonts w:eastAsiaTheme="majorEastAsia"/>
        </w:rPr>
        <w:t xml:space="preserve">To test the extent to which extending the horizon for parity targets makes them more achievable, we also modelled parity targets to </w:t>
      </w:r>
      <w:r w:rsidR="009D3AFA">
        <w:rPr>
          <w:rFonts w:eastAsiaTheme="majorEastAsia"/>
        </w:rPr>
        <w:t xml:space="preserve">2040 and </w:t>
      </w:r>
      <w:r w:rsidRPr="006E6AE4">
        <w:rPr>
          <w:rFonts w:eastAsiaTheme="majorEastAsia"/>
        </w:rPr>
        <w:t>2050 under the Department’s projections for system growth to th</w:t>
      </w:r>
      <w:r w:rsidR="009D3AFA">
        <w:rPr>
          <w:rFonts w:eastAsiaTheme="majorEastAsia"/>
        </w:rPr>
        <w:t>ose</w:t>
      </w:r>
      <w:r w:rsidR="00F13718">
        <w:rPr>
          <w:rFonts w:eastAsiaTheme="majorEastAsia"/>
        </w:rPr>
        <w:t xml:space="preserve"> </w:t>
      </w:r>
      <w:r w:rsidRPr="006E6AE4">
        <w:rPr>
          <w:rFonts w:eastAsiaTheme="majorEastAsia"/>
        </w:rPr>
        <w:t>year</w:t>
      </w:r>
      <w:r w:rsidR="009D3AFA">
        <w:rPr>
          <w:rFonts w:eastAsiaTheme="majorEastAsia"/>
        </w:rPr>
        <w:t>s</w:t>
      </w:r>
      <w:r w:rsidRPr="006E6AE4">
        <w:rPr>
          <w:rFonts w:eastAsiaTheme="majorEastAsia"/>
        </w:rPr>
        <w:t xml:space="preserve">. </w:t>
      </w:r>
    </w:p>
    <w:p w14:paraId="7D17514E" w14:textId="21CBF5E3" w:rsidR="000A5902" w:rsidRDefault="00602210" w:rsidP="004C2CA9">
      <w:pPr>
        <w:rPr>
          <w:rFonts w:eastAsiaTheme="majorEastAsia"/>
        </w:rPr>
      </w:pPr>
      <w:r>
        <w:rPr>
          <w:rFonts w:eastAsiaTheme="majorEastAsia"/>
        </w:rPr>
        <w:t xml:space="preserve">The required </w:t>
      </w:r>
      <w:r w:rsidR="00F62BFD">
        <w:rPr>
          <w:rFonts w:eastAsiaTheme="majorEastAsia"/>
        </w:rPr>
        <w:t>e</w:t>
      </w:r>
      <w:r>
        <w:rPr>
          <w:rFonts w:eastAsiaTheme="majorEastAsia"/>
        </w:rPr>
        <w:t>quity</w:t>
      </w:r>
      <w:r w:rsidR="00F62BFD">
        <w:rPr>
          <w:rFonts w:eastAsiaTheme="majorEastAsia"/>
        </w:rPr>
        <w:t xml:space="preserve"> share</w:t>
      </w:r>
      <w:r>
        <w:rPr>
          <w:rFonts w:eastAsiaTheme="majorEastAsia"/>
        </w:rPr>
        <w:t xml:space="preserve"> (the </w:t>
      </w:r>
      <w:r w:rsidR="00F62BFD">
        <w:rPr>
          <w:rFonts w:eastAsiaTheme="majorEastAsia"/>
        </w:rPr>
        <w:t>four</w:t>
      </w:r>
      <w:r>
        <w:rPr>
          <w:rFonts w:eastAsiaTheme="majorEastAsia"/>
        </w:rPr>
        <w:t xml:space="preserve"> </w:t>
      </w:r>
      <w:r w:rsidR="00F62BFD">
        <w:rPr>
          <w:rFonts w:eastAsiaTheme="majorEastAsia"/>
        </w:rPr>
        <w:t>g</w:t>
      </w:r>
      <w:r>
        <w:rPr>
          <w:rFonts w:eastAsiaTheme="majorEastAsia"/>
        </w:rPr>
        <w:t xml:space="preserve">roups combined) </w:t>
      </w:r>
      <w:r w:rsidR="00DC7988">
        <w:rPr>
          <w:rFonts w:eastAsiaTheme="majorEastAsia"/>
        </w:rPr>
        <w:t xml:space="preserve">of </w:t>
      </w:r>
      <w:r w:rsidR="009F6316">
        <w:rPr>
          <w:rFonts w:eastAsiaTheme="majorEastAsia"/>
        </w:rPr>
        <w:t>growth</w:t>
      </w:r>
      <w:r w:rsidR="009718DB">
        <w:rPr>
          <w:rFonts w:eastAsiaTheme="majorEastAsia"/>
        </w:rPr>
        <w:t xml:space="preserve"> in participation and </w:t>
      </w:r>
      <w:r w:rsidR="005F0BCC">
        <w:rPr>
          <w:rFonts w:eastAsiaTheme="majorEastAsia"/>
        </w:rPr>
        <w:t>completion</w:t>
      </w:r>
      <w:r w:rsidR="006E6360">
        <w:rPr>
          <w:rFonts w:eastAsiaTheme="majorEastAsia"/>
        </w:rPr>
        <w:t xml:space="preserve"> headcount to 2040 and 2050</w:t>
      </w:r>
      <w:r w:rsidR="00C82EBC">
        <w:rPr>
          <w:rFonts w:eastAsiaTheme="majorEastAsia"/>
        </w:rPr>
        <w:t xml:space="preserve"> under the</w:t>
      </w:r>
      <w:r w:rsidR="006E6AE4" w:rsidRPr="006E6AE4">
        <w:rPr>
          <w:rFonts w:eastAsiaTheme="majorEastAsia"/>
        </w:rPr>
        <w:t xml:space="preserve"> nine active target-options combinations</w:t>
      </w:r>
      <w:r w:rsidR="000A5902">
        <w:rPr>
          <w:rFonts w:eastAsiaTheme="majorEastAsia"/>
        </w:rPr>
        <w:t xml:space="preserve"> are summarised in Tables 1</w:t>
      </w:r>
      <w:r w:rsidR="00D00C65">
        <w:rPr>
          <w:rFonts w:eastAsiaTheme="majorEastAsia"/>
        </w:rPr>
        <w:t>5</w:t>
      </w:r>
      <w:r w:rsidR="000A5902">
        <w:rPr>
          <w:rFonts w:eastAsiaTheme="majorEastAsia"/>
        </w:rPr>
        <w:t xml:space="preserve"> and 1</w:t>
      </w:r>
      <w:r w:rsidR="00D00C65">
        <w:rPr>
          <w:rFonts w:eastAsiaTheme="majorEastAsia"/>
        </w:rPr>
        <w:t>6</w:t>
      </w:r>
      <w:r w:rsidR="000A5902">
        <w:rPr>
          <w:rFonts w:eastAsiaTheme="majorEastAsia"/>
        </w:rPr>
        <w:t xml:space="preserve">. </w:t>
      </w:r>
      <w:r w:rsidR="004C2CA9">
        <w:rPr>
          <w:rFonts w:eastAsiaTheme="majorEastAsia"/>
        </w:rPr>
        <w:t xml:space="preserve">These estimates show a declining share of growth over time, however, in each case </w:t>
      </w:r>
      <w:r w:rsidR="008B4E47">
        <w:rPr>
          <w:rFonts w:eastAsiaTheme="majorEastAsia"/>
        </w:rPr>
        <w:t xml:space="preserve">the </w:t>
      </w:r>
      <w:r w:rsidR="0039381E">
        <w:rPr>
          <w:rFonts w:eastAsiaTheme="majorEastAsia"/>
          <w:i/>
          <w:iCs/>
        </w:rPr>
        <w:t>Equity Group</w:t>
      </w:r>
      <w:r w:rsidR="0039381E">
        <w:rPr>
          <w:rFonts w:eastAsiaTheme="majorEastAsia"/>
        </w:rPr>
        <w:t xml:space="preserve"> </w:t>
      </w:r>
      <w:r w:rsidR="004C2CA9">
        <w:rPr>
          <w:rFonts w:eastAsiaTheme="majorEastAsia"/>
        </w:rPr>
        <w:t xml:space="preserve">share of the increase in headcount exceeds </w:t>
      </w:r>
      <w:r w:rsidR="0039381E">
        <w:rPr>
          <w:rFonts w:eastAsiaTheme="majorEastAsia"/>
        </w:rPr>
        <w:t xml:space="preserve">half </w:t>
      </w:r>
      <w:r w:rsidR="004C2CA9">
        <w:rPr>
          <w:rFonts w:eastAsiaTheme="majorEastAsia"/>
        </w:rPr>
        <w:t xml:space="preserve">of the total increase. </w:t>
      </w:r>
    </w:p>
    <w:p w14:paraId="2C999613" w14:textId="0D4DCF53" w:rsidR="004C2CA9" w:rsidRDefault="004C2CA9" w:rsidP="004C2CA9">
      <w:pPr>
        <w:rPr>
          <w:rFonts w:eastAsiaTheme="majorEastAsia"/>
        </w:rPr>
      </w:pPr>
      <w:r>
        <w:rPr>
          <w:rFonts w:eastAsiaTheme="majorEastAsia"/>
        </w:rPr>
        <w:t>The explanation for this is simple. The task of achieving equity group parity, particularly in relation to completion, is sufficiently great that it requires a longer timeframe or particularly pronounced growth in equity enrolments to achieve by 2035, on any measure. The overall growth in enrolments projected to take place by 2050 is sufficiently large to encompass the robust growth rates in participation and completions among equity students to approach parity.</w:t>
      </w:r>
    </w:p>
    <w:p w14:paraId="7D6038AD" w14:textId="79569862" w:rsidR="004C2CA9" w:rsidRPr="006B57B5" w:rsidRDefault="004C2CA9" w:rsidP="00A160A2">
      <w:pPr>
        <w:rPr>
          <w:rFonts w:ascii="SansaSoft Pro SemiBold" w:eastAsiaTheme="majorEastAsia" w:hAnsi="SansaSoft Pro SemiBold" w:cstheme="majorBidi"/>
          <w:bCs/>
          <w:color w:val="B58C0A"/>
          <w:sz w:val="40"/>
          <w:szCs w:val="28"/>
        </w:rPr>
      </w:pPr>
      <w:r>
        <w:rPr>
          <w:rFonts w:eastAsiaTheme="majorEastAsia"/>
        </w:rPr>
        <w:t xml:space="preserve">This suggests that parity targets are most realistic for 2050, with </w:t>
      </w:r>
      <w:r w:rsidR="008F6AF8">
        <w:rPr>
          <w:rFonts w:eastAsiaTheme="majorEastAsia"/>
        </w:rPr>
        <w:t>interim</w:t>
      </w:r>
      <w:r>
        <w:rPr>
          <w:rFonts w:eastAsiaTheme="majorEastAsia"/>
        </w:rPr>
        <w:t xml:space="preserve"> targets set for 2035</w:t>
      </w:r>
      <w:r w:rsidR="008F6AF8">
        <w:rPr>
          <w:rFonts w:eastAsiaTheme="majorEastAsia"/>
        </w:rPr>
        <w:t>.</w:t>
      </w:r>
      <w:r>
        <w:rPr>
          <w:rFonts w:eastAsiaTheme="majorEastAsia"/>
        </w:rPr>
        <w:t xml:space="preserve"> </w:t>
      </w:r>
    </w:p>
    <w:p w14:paraId="28C30D23" w14:textId="5AC05BF4" w:rsidR="006E6AE4" w:rsidRDefault="006E6AE4" w:rsidP="00A160A2">
      <w:pPr>
        <w:pStyle w:val="Caption"/>
        <w:spacing w:line="240" w:lineRule="auto"/>
        <w:rPr>
          <w:b w:val="0"/>
          <w:bCs w:val="0"/>
          <w:color w:val="auto"/>
        </w:rPr>
      </w:pPr>
      <w:r>
        <w:rPr>
          <w:color w:val="auto"/>
        </w:rPr>
        <w:t>Table</w:t>
      </w:r>
      <w:r w:rsidRPr="003873F1">
        <w:rPr>
          <w:color w:val="auto"/>
        </w:rPr>
        <w:t xml:space="preserve"> </w:t>
      </w:r>
      <w:r>
        <w:rPr>
          <w:color w:val="auto"/>
        </w:rPr>
        <w:t>1</w:t>
      </w:r>
      <w:r w:rsidR="00D00C65">
        <w:rPr>
          <w:color w:val="auto"/>
        </w:rPr>
        <w:t>5</w:t>
      </w:r>
      <w:r w:rsidRPr="003873F1">
        <w:rPr>
          <w:color w:val="auto"/>
        </w:rPr>
        <w:t>:</w:t>
      </w:r>
      <w:r w:rsidRPr="003873F1">
        <w:rPr>
          <w:b w:val="0"/>
          <w:bCs w:val="0"/>
          <w:color w:val="auto"/>
        </w:rPr>
        <w:t xml:space="preserve"> </w:t>
      </w:r>
      <w:r w:rsidRPr="006928B5">
        <w:rPr>
          <w:b w:val="0"/>
          <w:bCs w:val="0"/>
          <w:i/>
          <w:iCs/>
          <w:color w:val="auto"/>
        </w:rPr>
        <w:t>Equity Group</w:t>
      </w:r>
      <w:r>
        <w:rPr>
          <w:b w:val="0"/>
          <w:bCs w:val="0"/>
          <w:color w:val="auto"/>
        </w:rPr>
        <w:t xml:space="preserve"> Share of </w:t>
      </w:r>
      <w:r w:rsidR="009F6316">
        <w:rPr>
          <w:b w:val="0"/>
          <w:bCs w:val="0"/>
          <w:color w:val="auto"/>
        </w:rPr>
        <w:t>Participation and Completion Headcount</w:t>
      </w:r>
      <w:r>
        <w:rPr>
          <w:b w:val="0"/>
          <w:bCs w:val="0"/>
          <w:color w:val="auto"/>
        </w:rPr>
        <w:t xml:space="preserve"> Growth to </w:t>
      </w:r>
      <w:r w:rsidR="009F6316">
        <w:rPr>
          <w:b w:val="0"/>
          <w:bCs w:val="0"/>
          <w:color w:val="auto"/>
        </w:rPr>
        <w:t xml:space="preserve">2040 </w:t>
      </w:r>
      <w:r>
        <w:rPr>
          <w:b w:val="0"/>
          <w:bCs w:val="0"/>
          <w:color w:val="auto"/>
        </w:rPr>
        <w:t>under Three Parity</w:t>
      </w:r>
      <w:r w:rsidR="00CF671D">
        <w:rPr>
          <w:b w:val="0"/>
          <w:bCs w:val="0"/>
          <w:color w:val="auto"/>
        </w:rPr>
        <w:t xml:space="preserve"> </w:t>
      </w:r>
      <w:r>
        <w:rPr>
          <w:b w:val="0"/>
          <w:bCs w:val="0"/>
          <w:color w:val="auto"/>
        </w:rPr>
        <w:t>Targets and Four Policy Options</w:t>
      </w:r>
      <w:r w:rsidR="007C502E">
        <w:rPr>
          <w:b w:val="0"/>
          <w:bCs w:val="0"/>
          <w:color w:val="auto"/>
        </w:rPr>
        <w:t>.</w:t>
      </w:r>
      <w:r>
        <w:rPr>
          <w:b w:val="0"/>
          <w:bCs w:val="0"/>
          <w:color w:val="auto"/>
        </w:rPr>
        <w:t xml:space="preserve">  </w:t>
      </w:r>
    </w:p>
    <w:tbl>
      <w:tblPr>
        <w:tblpPr w:leftFromText="180" w:rightFromText="180" w:vertAnchor="text" w:tblpX="-30" w:tblpY="1"/>
        <w:tblOverlap w:val="never"/>
        <w:tblW w:w="9356" w:type="dxa"/>
        <w:tblLayout w:type="fixed"/>
        <w:tblLook w:val="04A0" w:firstRow="1" w:lastRow="0" w:firstColumn="1" w:lastColumn="0" w:noHBand="0" w:noVBand="1"/>
      </w:tblPr>
      <w:tblGrid>
        <w:gridCol w:w="3534"/>
        <w:gridCol w:w="1455"/>
        <w:gridCol w:w="1456"/>
        <w:gridCol w:w="1455"/>
        <w:gridCol w:w="1456"/>
      </w:tblGrid>
      <w:tr w:rsidR="006E6AE4" w:rsidRPr="009B6407" w14:paraId="2713F1AF" w14:textId="77777777" w:rsidTr="00160B8E">
        <w:trPr>
          <w:trHeight w:val="519"/>
        </w:trPr>
        <w:tc>
          <w:tcPr>
            <w:tcW w:w="35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BD214" w14:textId="3DEBA818" w:rsidR="006E6AE4" w:rsidRPr="00E62334" w:rsidRDefault="009D2D91" w:rsidP="006E6AE4">
            <w:pPr>
              <w:spacing w:after="0" w:line="240" w:lineRule="auto"/>
              <w:rPr>
                <w:rFonts w:cs="Arial"/>
                <w:b/>
                <w:bCs/>
                <w:color w:val="000000"/>
                <w:sz w:val="18"/>
                <w:szCs w:val="18"/>
                <w:lang w:eastAsia="en-AU"/>
              </w:rPr>
            </w:pPr>
            <w:r w:rsidRPr="00BD2876">
              <w:rPr>
                <w:rFonts w:cs="Arial"/>
                <w:b/>
                <w:bCs/>
                <w:color w:val="auto"/>
                <w:sz w:val="18"/>
                <w:szCs w:val="18"/>
                <w:lang w:eastAsia="en-AU"/>
              </w:rPr>
              <w:t xml:space="preserve">2040 </w:t>
            </w:r>
            <w:r w:rsidR="006E6AE4" w:rsidRPr="00BD2876">
              <w:rPr>
                <w:rFonts w:cs="Arial"/>
                <w:b/>
                <w:bCs/>
                <w:color w:val="auto"/>
                <w:sz w:val="18"/>
                <w:szCs w:val="18"/>
                <w:lang w:eastAsia="en-AU"/>
              </w:rPr>
              <w:t>Parity Target </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5517255A" w14:textId="77777777" w:rsidR="006E6AE4" w:rsidRPr="009B6407" w:rsidRDefault="006E6AE4" w:rsidP="006E6AE4">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56"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65643D71" w14:textId="77777777" w:rsidR="006E6AE4" w:rsidRDefault="006E6AE4" w:rsidP="006E6AE4">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7400D099" w14:textId="77777777" w:rsidR="006E6AE4" w:rsidRPr="009B6407" w:rsidRDefault="006E6AE4" w:rsidP="006E6AE4">
            <w:pPr>
              <w:spacing w:after="0" w:line="240" w:lineRule="auto"/>
              <w:jc w:val="center"/>
              <w:rPr>
                <w:rFonts w:cs="Arial"/>
                <w:b/>
                <w:bCs/>
                <w:color w:val="FFFFFF"/>
                <w:sz w:val="18"/>
                <w:szCs w:val="18"/>
                <w:lang w:eastAsia="en-AU"/>
              </w:rPr>
            </w:pPr>
          </w:p>
        </w:tc>
        <w:tc>
          <w:tcPr>
            <w:tcW w:w="1455"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00DAC497" w14:textId="77777777" w:rsidR="006E6AE4" w:rsidRDefault="006E6AE4" w:rsidP="006E6AE4">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5E4F74CB" w14:textId="77777777" w:rsidR="006E6AE4" w:rsidRPr="009B6407" w:rsidRDefault="006E6AE4" w:rsidP="006E6AE4">
            <w:pPr>
              <w:spacing w:after="0" w:line="240" w:lineRule="auto"/>
              <w:jc w:val="center"/>
              <w:rPr>
                <w:rFonts w:cs="Arial"/>
                <w:b/>
                <w:bCs/>
                <w:color w:val="FFFFFF"/>
                <w:sz w:val="18"/>
                <w:szCs w:val="18"/>
                <w:lang w:eastAsia="en-AU"/>
              </w:rPr>
            </w:pPr>
          </w:p>
        </w:tc>
        <w:tc>
          <w:tcPr>
            <w:tcW w:w="1456"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1F54FCC3" w14:textId="77777777" w:rsidR="006E6AE4" w:rsidRDefault="006E6AE4" w:rsidP="006E6AE4">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2940694A" w14:textId="77777777" w:rsidR="006E6AE4" w:rsidRPr="009B6407" w:rsidRDefault="006E6AE4" w:rsidP="006E6AE4">
            <w:pPr>
              <w:spacing w:after="0" w:line="240" w:lineRule="auto"/>
              <w:jc w:val="center"/>
              <w:rPr>
                <w:rFonts w:cs="Arial"/>
                <w:b/>
                <w:bCs/>
                <w:color w:val="FFFFFF"/>
                <w:sz w:val="18"/>
                <w:szCs w:val="18"/>
                <w:lang w:eastAsia="en-AU"/>
              </w:rPr>
            </w:pPr>
          </w:p>
        </w:tc>
      </w:tr>
      <w:tr w:rsidR="006E6AE4" w:rsidRPr="009B6407" w14:paraId="2FD5D6E9" w14:textId="77777777" w:rsidTr="00160B8E">
        <w:trPr>
          <w:trHeight w:val="519"/>
        </w:trPr>
        <w:tc>
          <w:tcPr>
            <w:tcW w:w="3534" w:type="dxa"/>
            <w:vMerge/>
            <w:tcBorders>
              <w:left w:val="single" w:sz="4" w:space="0" w:color="auto"/>
              <w:bottom w:val="single" w:sz="4" w:space="0" w:color="auto"/>
              <w:right w:val="single" w:sz="4" w:space="0" w:color="auto"/>
            </w:tcBorders>
            <w:shd w:val="clear" w:color="auto" w:fill="auto"/>
            <w:vAlign w:val="center"/>
            <w:hideMark/>
          </w:tcPr>
          <w:p w14:paraId="432B8A16" w14:textId="77777777" w:rsidR="006E6AE4" w:rsidRPr="009B6407" w:rsidRDefault="006E6AE4" w:rsidP="006E6AE4">
            <w:pPr>
              <w:spacing w:after="0" w:line="240" w:lineRule="auto"/>
              <w:rPr>
                <w:rFonts w:ascii="Calibri" w:hAnsi="Calibri" w:cs="Calibri"/>
                <w:color w:val="000000"/>
                <w:sz w:val="18"/>
                <w:szCs w:val="18"/>
                <w:lang w:eastAsia="en-AU"/>
              </w:rPr>
            </w:pPr>
          </w:p>
        </w:tc>
        <w:tc>
          <w:tcPr>
            <w:tcW w:w="1455" w:type="dxa"/>
            <w:vMerge/>
            <w:tcBorders>
              <w:left w:val="single" w:sz="4" w:space="0" w:color="auto"/>
              <w:bottom w:val="single" w:sz="4" w:space="0" w:color="auto"/>
              <w:right w:val="single" w:sz="4" w:space="0" w:color="auto"/>
            </w:tcBorders>
            <w:shd w:val="clear" w:color="auto" w:fill="6B3B57"/>
            <w:vAlign w:val="center"/>
            <w:hideMark/>
          </w:tcPr>
          <w:p w14:paraId="785D3AB7" w14:textId="77777777" w:rsidR="006E6AE4" w:rsidRPr="009B6407" w:rsidRDefault="006E6AE4" w:rsidP="006E6AE4">
            <w:pPr>
              <w:spacing w:after="0" w:line="240" w:lineRule="auto"/>
              <w:rPr>
                <w:rFonts w:cs="Arial"/>
                <w:b/>
                <w:bCs/>
                <w:color w:val="FFFFFF"/>
                <w:sz w:val="18"/>
                <w:szCs w:val="18"/>
                <w:lang w:eastAsia="en-AU"/>
              </w:rPr>
            </w:pPr>
          </w:p>
        </w:tc>
        <w:tc>
          <w:tcPr>
            <w:tcW w:w="1456" w:type="dxa"/>
            <w:vMerge/>
            <w:tcBorders>
              <w:left w:val="single" w:sz="4" w:space="0" w:color="auto"/>
              <w:bottom w:val="single" w:sz="4" w:space="0" w:color="auto"/>
              <w:right w:val="single" w:sz="4" w:space="0" w:color="auto"/>
            </w:tcBorders>
            <w:shd w:val="clear" w:color="auto" w:fill="6B3B57"/>
            <w:vAlign w:val="center"/>
            <w:hideMark/>
          </w:tcPr>
          <w:p w14:paraId="2BA27EAF" w14:textId="77777777" w:rsidR="006E6AE4" w:rsidRPr="009B6407" w:rsidRDefault="006E6AE4" w:rsidP="006E6AE4">
            <w:pPr>
              <w:spacing w:after="0" w:line="240" w:lineRule="auto"/>
              <w:rPr>
                <w:rFonts w:cs="Arial"/>
                <w:b/>
                <w:bCs/>
                <w:color w:val="FFFFFF"/>
                <w:sz w:val="18"/>
                <w:szCs w:val="18"/>
                <w:lang w:eastAsia="en-AU"/>
              </w:rPr>
            </w:pPr>
          </w:p>
        </w:tc>
        <w:tc>
          <w:tcPr>
            <w:tcW w:w="1455" w:type="dxa"/>
            <w:vMerge/>
            <w:tcBorders>
              <w:left w:val="single" w:sz="4" w:space="0" w:color="auto"/>
              <w:bottom w:val="single" w:sz="4" w:space="0" w:color="auto"/>
              <w:right w:val="single" w:sz="4" w:space="0" w:color="auto"/>
            </w:tcBorders>
            <w:shd w:val="clear" w:color="auto" w:fill="6B3B57"/>
            <w:vAlign w:val="center"/>
            <w:hideMark/>
          </w:tcPr>
          <w:p w14:paraId="13E2D153" w14:textId="77777777" w:rsidR="006E6AE4" w:rsidRPr="009B6407" w:rsidRDefault="006E6AE4" w:rsidP="006E6AE4">
            <w:pPr>
              <w:spacing w:after="0" w:line="240" w:lineRule="auto"/>
              <w:rPr>
                <w:rFonts w:cs="Arial"/>
                <w:b/>
                <w:bCs/>
                <w:color w:val="FFFFFF"/>
                <w:sz w:val="18"/>
                <w:szCs w:val="18"/>
                <w:lang w:eastAsia="en-AU"/>
              </w:rPr>
            </w:pPr>
          </w:p>
        </w:tc>
        <w:tc>
          <w:tcPr>
            <w:tcW w:w="1456" w:type="dxa"/>
            <w:vMerge/>
            <w:tcBorders>
              <w:left w:val="single" w:sz="4" w:space="0" w:color="auto"/>
              <w:bottom w:val="single" w:sz="4" w:space="0" w:color="auto"/>
              <w:right w:val="single" w:sz="4" w:space="0" w:color="auto"/>
            </w:tcBorders>
            <w:shd w:val="clear" w:color="auto" w:fill="6B3B57"/>
            <w:vAlign w:val="center"/>
            <w:hideMark/>
          </w:tcPr>
          <w:p w14:paraId="7F851725" w14:textId="77777777" w:rsidR="006E6AE4" w:rsidRPr="009B6407" w:rsidRDefault="006E6AE4" w:rsidP="006E6AE4">
            <w:pPr>
              <w:spacing w:after="0" w:line="240" w:lineRule="auto"/>
              <w:rPr>
                <w:rFonts w:cs="Arial"/>
                <w:b/>
                <w:bCs/>
                <w:color w:val="FFFFFF"/>
                <w:sz w:val="18"/>
                <w:szCs w:val="18"/>
                <w:lang w:eastAsia="en-AU"/>
              </w:rPr>
            </w:pPr>
          </w:p>
        </w:tc>
      </w:tr>
      <w:tr w:rsidR="006E6AE4" w:rsidRPr="009B6407" w14:paraId="443C00A5" w14:textId="77777777" w:rsidTr="00166EF5">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274D9" w14:textId="77777777" w:rsidR="006E6AE4" w:rsidRPr="009B6407" w:rsidRDefault="006E6AE4" w:rsidP="006E6AE4">
            <w:pPr>
              <w:spacing w:after="0" w:line="240" w:lineRule="auto"/>
              <w:rPr>
                <w:rFonts w:cs="Arial"/>
                <w:b/>
                <w:bCs/>
                <w:color w:val="000000"/>
                <w:sz w:val="18"/>
                <w:szCs w:val="18"/>
                <w:lang w:eastAsia="en-AU"/>
              </w:rPr>
            </w:pPr>
            <w:r>
              <w:rPr>
                <w:rFonts w:cs="Arial"/>
                <w:b/>
                <w:bCs/>
                <w:color w:val="000000"/>
                <w:sz w:val="18"/>
                <w:szCs w:val="18"/>
                <w:lang w:eastAsia="en-AU"/>
              </w:rPr>
              <w:t xml:space="preserve">Participation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97842" w14:textId="77777777" w:rsidR="006E6AE4" w:rsidRPr="00BB5958" w:rsidRDefault="006E6AE4" w:rsidP="006E6AE4">
            <w:pPr>
              <w:spacing w:after="0" w:line="240" w:lineRule="auto"/>
              <w:jc w:val="right"/>
              <w:rPr>
                <w:rFonts w:cs="Arial"/>
                <w:b/>
                <w:bCs/>
                <w:color w:val="000000"/>
                <w:sz w:val="18"/>
                <w:szCs w:val="18"/>
                <w:lang w:eastAsia="en-AU"/>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74421" w14:textId="77777777" w:rsidR="006E6AE4" w:rsidRPr="00BB5958" w:rsidRDefault="006E6AE4" w:rsidP="006E6AE4">
            <w:pPr>
              <w:spacing w:after="0" w:line="240" w:lineRule="auto"/>
              <w:jc w:val="right"/>
              <w:rPr>
                <w:rFonts w:cs="Arial"/>
                <w:b/>
                <w:bCs/>
                <w:color w:val="000000"/>
                <w:sz w:val="18"/>
                <w:szCs w:val="18"/>
                <w:lang w:eastAsia="en-AU"/>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DA31E" w14:textId="77777777" w:rsidR="006E6AE4" w:rsidRPr="00BB5958" w:rsidRDefault="006E6AE4" w:rsidP="006E6AE4">
            <w:pPr>
              <w:spacing w:after="0" w:line="240" w:lineRule="auto"/>
              <w:jc w:val="right"/>
              <w:rPr>
                <w:rFonts w:cs="Arial"/>
                <w:b/>
                <w:bCs/>
                <w:color w:val="000000"/>
                <w:sz w:val="18"/>
                <w:szCs w:val="18"/>
                <w:lang w:eastAsia="en-AU"/>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79CEE" w14:textId="77777777" w:rsidR="006E6AE4" w:rsidRPr="00BB5958" w:rsidRDefault="006E6AE4" w:rsidP="006E6AE4">
            <w:pPr>
              <w:spacing w:after="0" w:line="240" w:lineRule="auto"/>
              <w:jc w:val="right"/>
              <w:rPr>
                <w:rFonts w:cs="Arial"/>
                <w:b/>
                <w:bCs/>
                <w:color w:val="000000"/>
                <w:sz w:val="18"/>
                <w:szCs w:val="18"/>
                <w:lang w:eastAsia="en-AU"/>
              </w:rPr>
            </w:pPr>
          </w:p>
        </w:tc>
      </w:tr>
      <w:tr w:rsidR="00CB5221" w:rsidRPr="009B6407" w14:paraId="611A45B6" w14:textId="77777777" w:rsidTr="004B60C5">
        <w:trPr>
          <w:trHeight w:val="315"/>
        </w:trPr>
        <w:tc>
          <w:tcPr>
            <w:tcW w:w="35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7538CB" w14:textId="31D9AECB" w:rsidR="00CB5221" w:rsidRPr="00CC4EDB" w:rsidRDefault="00CB5221" w:rsidP="00CB5221">
            <w:pPr>
              <w:spacing w:after="0" w:line="240" w:lineRule="auto"/>
              <w:rPr>
                <w:rFonts w:cs="Arial"/>
                <w:b/>
                <w:bCs/>
                <w:color w:val="000000"/>
                <w:sz w:val="18"/>
                <w:szCs w:val="18"/>
                <w:lang w:eastAsia="en-AU"/>
              </w:rPr>
            </w:pPr>
            <w:r>
              <w:rPr>
                <w:rFonts w:cs="Arial"/>
                <w:i/>
                <w:iCs/>
                <w:color w:val="000000"/>
                <w:sz w:val="18"/>
                <w:szCs w:val="18"/>
                <w:lang w:eastAsia="en-AU"/>
              </w:rPr>
              <w:t xml:space="preserve">National </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10713B" w14:textId="61658DE2" w:rsidR="00CB5221" w:rsidRPr="003107DE" w:rsidRDefault="00AD7D04" w:rsidP="006726CA">
            <w:pPr>
              <w:spacing w:after="0" w:line="240" w:lineRule="auto"/>
              <w:ind w:right="349"/>
              <w:jc w:val="right"/>
              <w:rPr>
                <w:sz w:val="18"/>
                <w:szCs w:val="18"/>
              </w:rPr>
            </w:pPr>
            <w:r w:rsidRPr="00183978">
              <w:rPr>
                <w:rFonts w:cs="Arial"/>
                <w:color w:val="000000"/>
                <w:sz w:val="18"/>
                <w:szCs w:val="18"/>
              </w:rPr>
              <w:t>39.4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4A1B9" w14:textId="05E656C8" w:rsidR="00CB5221" w:rsidRPr="003107DE" w:rsidRDefault="00AD7D04" w:rsidP="006726CA">
            <w:pPr>
              <w:spacing w:after="0" w:line="240" w:lineRule="auto"/>
              <w:ind w:right="349"/>
              <w:jc w:val="right"/>
              <w:rPr>
                <w:sz w:val="18"/>
                <w:szCs w:val="18"/>
              </w:rPr>
            </w:pPr>
            <w:r w:rsidRPr="00183978">
              <w:rPr>
                <w:rFonts w:cs="Arial"/>
                <w:color w:val="000000"/>
                <w:sz w:val="18"/>
                <w:szCs w:val="18"/>
              </w:rPr>
              <w:t>81.6</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4D2661" w14:textId="270ED3E7" w:rsidR="00CB5221" w:rsidRPr="003107DE" w:rsidRDefault="00AD7D04" w:rsidP="006726CA">
            <w:pPr>
              <w:spacing w:after="0" w:line="240" w:lineRule="auto"/>
              <w:ind w:right="349"/>
              <w:jc w:val="right"/>
              <w:rPr>
                <w:sz w:val="18"/>
                <w:szCs w:val="18"/>
              </w:rPr>
            </w:pPr>
            <w:r w:rsidRPr="00183978">
              <w:rPr>
                <w:rFonts w:cs="Arial"/>
                <w:color w:val="000000"/>
                <w:sz w:val="18"/>
                <w:szCs w:val="18"/>
              </w:rPr>
              <w:t>69.4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C6077D" w14:textId="6C55944F" w:rsidR="00CB5221" w:rsidRPr="003107DE" w:rsidRDefault="00AD7D04" w:rsidP="006726CA">
            <w:pPr>
              <w:spacing w:after="0" w:line="240" w:lineRule="auto"/>
              <w:ind w:right="349"/>
              <w:jc w:val="right"/>
              <w:rPr>
                <w:sz w:val="18"/>
                <w:szCs w:val="18"/>
              </w:rPr>
            </w:pPr>
            <w:r w:rsidRPr="00183978">
              <w:rPr>
                <w:rFonts w:cs="Arial"/>
                <w:color w:val="000000"/>
                <w:sz w:val="18"/>
                <w:szCs w:val="18"/>
              </w:rPr>
              <w:t>69.4</w:t>
            </w:r>
          </w:p>
        </w:tc>
      </w:tr>
      <w:tr w:rsidR="00CB5221" w:rsidRPr="009B6407" w14:paraId="4FC1BEA1" w14:textId="77777777" w:rsidTr="004B60C5">
        <w:trPr>
          <w:trHeight w:val="315"/>
        </w:trPr>
        <w:tc>
          <w:tcPr>
            <w:tcW w:w="35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F14855" w14:textId="7FEF22FC" w:rsidR="00CB5221" w:rsidRPr="00CC4EDB" w:rsidRDefault="00CB5221" w:rsidP="00CB5221">
            <w:pPr>
              <w:spacing w:after="0" w:line="240" w:lineRule="auto"/>
              <w:rPr>
                <w:rFonts w:cs="Arial"/>
                <w:b/>
                <w:bCs/>
                <w:color w:val="000000"/>
                <w:sz w:val="18"/>
                <w:szCs w:val="18"/>
                <w:lang w:eastAsia="en-AU"/>
              </w:rPr>
            </w:pPr>
            <w:r w:rsidRPr="00EF06AB">
              <w:rPr>
                <w:rFonts w:cstheme="minorHAnsi"/>
                <w:i/>
                <w:iCs/>
                <w:color w:val="000000"/>
                <w:sz w:val="18"/>
                <w:szCs w:val="18"/>
                <w:lang w:eastAsia="en-AU"/>
              </w:rPr>
              <w:t>State/Territory (Home Institution)</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70D054" w14:textId="3EA23CE0" w:rsidR="00CB5221" w:rsidRPr="003107DE" w:rsidRDefault="007B446D" w:rsidP="006726CA">
            <w:pPr>
              <w:spacing w:after="0" w:line="240" w:lineRule="auto"/>
              <w:ind w:right="349"/>
              <w:jc w:val="right"/>
              <w:rPr>
                <w:sz w:val="18"/>
                <w:szCs w:val="18"/>
              </w:rPr>
            </w:pPr>
            <w:r w:rsidRPr="00183978">
              <w:rPr>
                <w:sz w:val="18"/>
                <w:szCs w:val="18"/>
              </w:rPr>
              <w:t>39.4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F4EC20" w14:textId="5C55A871" w:rsidR="00CB5221" w:rsidRPr="003107DE" w:rsidRDefault="007B446D" w:rsidP="006726CA">
            <w:pPr>
              <w:spacing w:after="0" w:line="240" w:lineRule="auto"/>
              <w:ind w:right="349"/>
              <w:jc w:val="right"/>
              <w:rPr>
                <w:sz w:val="18"/>
                <w:szCs w:val="18"/>
              </w:rPr>
            </w:pPr>
            <w:r w:rsidRPr="00183978">
              <w:rPr>
                <w:sz w:val="18"/>
                <w:szCs w:val="18"/>
              </w:rPr>
              <w:t>79.7</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1357A7" w14:textId="4FE7791C" w:rsidR="00CB5221" w:rsidRPr="003107DE" w:rsidRDefault="007B446D" w:rsidP="006726CA">
            <w:pPr>
              <w:spacing w:after="0" w:line="240" w:lineRule="auto"/>
              <w:ind w:right="349"/>
              <w:jc w:val="right"/>
              <w:rPr>
                <w:sz w:val="18"/>
                <w:szCs w:val="18"/>
              </w:rPr>
            </w:pPr>
            <w:r w:rsidRPr="00183978">
              <w:rPr>
                <w:sz w:val="18"/>
                <w:szCs w:val="18"/>
              </w:rPr>
              <w:t>70.0</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1654D9" w14:textId="34BF5A54" w:rsidR="00CB5221" w:rsidRPr="003107DE" w:rsidRDefault="007B446D" w:rsidP="006726CA">
            <w:pPr>
              <w:spacing w:after="0" w:line="240" w:lineRule="auto"/>
              <w:ind w:right="349"/>
              <w:jc w:val="right"/>
              <w:rPr>
                <w:sz w:val="18"/>
                <w:szCs w:val="18"/>
              </w:rPr>
            </w:pPr>
            <w:r w:rsidRPr="00183978">
              <w:rPr>
                <w:sz w:val="18"/>
                <w:szCs w:val="18"/>
              </w:rPr>
              <w:t>70.0</w:t>
            </w:r>
          </w:p>
        </w:tc>
      </w:tr>
      <w:tr w:rsidR="00CB5221" w:rsidRPr="009B6407" w14:paraId="1FA8C981" w14:textId="77777777" w:rsidTr="006E6AE4">
        <w:trPr>
          <w:trHeight w:val="315"/>
        </w:trPr>
        <w:tc>
          <w:tcPr>
            <w:tcW w:w="35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4FEC44" w14:textId="476B74F0" w:rsidR="00CB5221" w:rsidRPr="00CC4EDB" w:rsidRDefault="00CB5221" w:rsidP="00CB5221">
            <w:pPr>
              <w:spacing w:after="0" w:line="240" w:lineRule="auto"/>
              <w:rPr>
                <w:rFonts w:cs="Arial"/>
                <w:b/>
                <w:b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27E438" w14:textId="59404A2A" w:rsidR="00CB5221" w:rsidRPr="003107DE" w:rsidRDefault="00A76E90" w:rsidP="006726CA">
            <w:pPr>
              <w:spacing w:after="0" w:line="240" w:lineRule="auto"/>
              <w:ind w:right="349"/>
              <w:jc w:val="right"/>
              <w:rPr>
                <w:sz w:val="18"/>
                <w:szCs w:val="18"/>
              </w:rPr>
            </w:pPr>
            <w:r>
              <w:rPr>
                <w:sz w:val="18"/>
                <w:szCs w:val="18"/>
              </w:rPr>
              <w:t>39.6</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6AE108" w14:textId="7DFEA22B" w:rsidR="00CB5221" w:rsidRPr="003107DE" w:rsidRDefault="00A76E90" w:rsidP="006726CA">
            <w:pPr>
              <w:spacing w:after="0" w:line="240" w:lineRule="auto"/>
              <w:ind w:right="349"/>
              <w:jc w:val="right"/>
              <w:rPr>
                <w:sz w:val="18"/>
                <w:szCs w:val="18"/>
              </w:rPr>
            </w:pPr>
            <w:r>
              <w:rPr>
                <w:sz w:val="18"/>
                <w:szCs w:val="18"/>
              </w:rPr>
              <w:t>76.6</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47BB95" w14:textId="226AB8EA" w:rsidR="00CB5221" w:rsidRPr="003107DE" w:rsidRDefault="00A76E90" w:rsidP="006726CA">
            <w:pPr>
              <w:spacing w:after="0" w:line="240" w:lineRule="auto"/>
              <w:ind w:right="349"/>
              <w:jc w:val="right"/>
              <w:rPr>
                <w:sz w:val="18"/>
                <w:szCs w:val="18"/>
              </w:rPr>
            </w:pPr>
            <w:r>
              <w:rPr>
                <w:sz w:val="18"/>
                <w:szCs w:val="18"/>
              </w:rPr>
              <w:t>66.6</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F42E80" w14:textId="10E46A99" w:rsidR="00CB5221" w:rsidRPr="003107DE" w:rsidRDefault="00A76E90" w:rsidP="006726CA">
            <w:pPr>
              <w:spacing w:after="0" w:line="240" w:lineRule="auto"/>
              <w:ind w:right="349"/>
              <w:jc w:val="right"/>
              <w:rPr>
                <w:sz w:val="18"/>
                <w:szCs w:val="18"/>
              </w:rPr>
            </w:pPr>
            <w:r>
              <w:rPr>
                <w:sz w:val="18"/>
                <w:szCs w:val="18"/>
              </w:rPr>
              <w:t>66.6</w:t>
            </w:r>
          </w:p>
        </w:tc>
      </w:tr>
      <w:tr w:rsidR="006E6AE4" w:rsidRPr="009B6407" w14:paraId="0C49D905" w14:textId="77777777" w:rsidTr="006E6AE4">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8BC66" w14:textId="77777777" w:rsidR="006E6AE4" w:rsidRPr="00EF06AB" w:rsidRDefault="006E6AE4" w:rsidP="006E6AE4">
            <w:pPr>
              <w:spacing w:after="0" w:line="240" w:lineRule="auto"/>
              <w:rPr>
                <w:rFonts w:cstheme="minorHAnsi"/>
                <w:i/>
                <w:iCs/>
                <w:color w:val="000000"/>
                <w:sz w:val="18"/>
                <w:szCs w:val="18"/>
                <w:lang w:eastAsia="en-AU"/>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0593E" w14:textId="77777777" w:rsidR="006E6AE4" w:rsidRPr="003107DE" w:rsidRDefault="006E6AE4" w:rsidP="006E6AE4">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C5E3D" w14:textId="77777777" w:rsidR="006E6AE4" w:rsidRPr="003107DE" w:rsidRDefault="006E6AE4" w:rsidP="006E6AE4">
            <w:pPr>
              <w:spacing w:after="0" w:line="240" w:lineRule="auto"/>
              <w:ind w:right="349"/>
              <w:jc w:val="right"/>
              <w:rPr>
                <w:sz w:val="18"/>
                <w:szCs w:val="18"/>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82546" w14:textId="77777777" w:rsidR="006E6AE4" w:rsidRPr="003107DE" w:rsidRDefault="006E6AE4" w:rsidP="006E6AE4">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AC379" w14:textId="77777777" w:rsidR="006E6AE4" w:rsidRPr="003107DE" w:rsidRDefault="006E6AE4" w:rsidP="006E6AE4">
            <w:pPr>
              <w:spacing w:after="0" w:line="240" w:lineRule="auto"/>
              <w:ind w:right="349"/>
              <w:jc w:val="right"/>
              <w:rPr>
                <w:sz w:val="18"/>
                <w:szCs w:val="18"/>
              </w:rPr>
            </w:pPr>
          </w:p>
        </w:tc>
      </w:tr>
      <w:tr w:rsidR="006E6AE4" w:rsidRPr="009B6407" w14:paraId="444B14E1" w14:textId="77777777" w:rsidTr="006E6AE4">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7430D" w14:textId="77777777" w:rsidR="006E6AE4" w:rsidRPr="00EF06AB" w:rsidRDefault="006E6AE4" w:rsidP="006E6AE4">
            <w:pPr>
              <w:spacing w:after="0" w:line="240" w:lineRule="auto"/>
              <w:rPr>
                <w:rFonts w:cstheme="minorHAnsi"/>
                <w:i/>
                <w:iCs/>
                <w:color w:val="000000"/>
                <w:sz w:val="18"/>
                <w:szCs w:val="18"/>
                <w:lang w:eastAsia="en-AU"/>
              </w:rPr>
            </w:pPr>
            <w:r>
              <w:rPr>
                <w:rFonts w:cs="Arial"/>
                <w:b/>
                <w:bCs/>
                <w:color w:val="000000"/>
                <w:sz w:val="18"/>
                <w:szCs w:val="18"/>
                <w:lang w:eastAsia="en-AU"/>
              </w:rPr>
              <w:t xml:space="preserve">Completion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3FFF8" w14:textId="77777777" w:rsidR="006E6AE4" w:rsidRPr="003107DE" w:rsidRDefault="006E6AE4" w:rsidP="006E6AE4">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FBA6B" w14:textId="77777777" w:rsidR="006E6AE4" w:rsidRPr="003107DE" w:rsidRDefault="006E6AE4" w:rsidP="006E6AE4">
            <w:pPr>
              <w:spacing w:after="0" w:line="240" w:lineRule="auto"/>
              <w:ind w:right="349"/>
              <w:jc w:val="right"/>
              <w:rPr>
                <w:sz w:val="18"/>
                <w:szCs w:val="18"/>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F4EF2" w14:textId="77777777" w:rsidR="006E6AE4" w:rsidRPr="003107DE" w:rsidRDefault="006E6AE4" w:rsidP="006E6AE4">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47CF9" w14:textId="77777777" w:rsidR="006E6AE4" w:rsidRPr="003107DE" w:rsidRDefault="006E6AE4" w:rsidP="006E6AE4">
            <w:pPr>
              <w:spacing w:after="0" w:line="240" w:lineRule="auto"/>
              <w:ind w:right="349"/>
              <w:jc w:val="right"/>
              <w:rPr>
                <w:sz w:val="18"/>
                <w:szCs w:val="18"/>
              </w:rPr>
            </w:pPr>
          </w:p>
        </w:tc>
      </w:tr>
      <w:tr w:rsidR="006E6AE4" w:rsidRPr="009B6407" w14:paraId="433FEEA1" w14:textId="77777777" w:rsidTr="006E6AE4">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CCCF7" w14:textId="77777777" w:rsidR="006E6AE4" w:rsidRPr="00EF06AB" w:rsidRDefault="006E6AE4" w:rsidP="006E6AE4">
            <w:pPr>
              <w:spacing w:after="0" w:line="240" w:lineRule="auto"/>
              <w:rPr>
                <w:rFonts w:cstheme="minorHAnsi"/>
                <w:i/>
                <w:iCs/>
                <w:color w:val="000000"/>
                <w:sz w:val="18"/>
                <w:szCs w:val="18"/>
                <w:lang w:eastAsia="en-AU"/>
              </w:rPr>
            </w:pPr>
            <w:r>
              <w:rPr>
                <w:rFonts w:cs="Arial"/>
                <w:i/>
                <w:iCs/>
                <w:color w:val="000000"/>
                <w:sz w:val="18"/>
                <w:szCs w:val="18"/>
                <w:lang w:eastAsia="en-AU"/>
              </w:rPr>
              <w:t xml:space="preserve">National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FDDB2" w14:textId="1C3A42A2" w:rsidR="006E6AE4" w:rsidRPr="00B369E7" w:rsidRDefault="000B7EB4" w:rsidP="006E6AE4">
            <w:pPr>
              <w:spacing w:after="0" w:line="240" w:lineRule="auto"/>
              <w:ind w:right="349"/>
              <w:jc w:val="right"/>
              <w:rPr>
                <w:sz w:val="18"/>
                <w:szCs w:val="18"/>
              </w:rPr>
            </w:pPr>
            <w:r w:rsidRPr="00183978">
              <w:rPr>
                <w:rFonts w:cs="Arial"/>
                <w:color w:val="000000"/>
                <w:sz w:val="18"/>
                <w:szCs w:val="18"/>
              </w:rPr>
              <w:t>33.6</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8D7D3" w14:textId="73B305B9" w:rsidR="006E6AE4" w:rsidRPr="00B369E7" w:rsidRDefault="000B7EB4" w:rsidP="006E6AE4">
            <w:pPr>
              <w:spacing w:after="0" w:line="240" w:lineRule="auto"/>
              <w:ind w:right="349"/>
              <w:jc w:val="right"/>
              <w:rPr>
                <w:sz w:val="18"/>
                <w:szCs w:val="18"/>
              </w:rPr>
            </w:pPr>
            <w:r w:rsidRPr="00183978">
              <w:rPr>
                <w:rFonts w:cs="Arial"/>
                <w:color w:val="000000"/>
                <w:sz w:val="18"/>
                <w:szCs w:val="18"/>
              </w:rPr>
              <w:t>85.3</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C6B2E" w14:textId="3DFC12D0" w:rsidR="006E6AE4" w:rsidRPr="00B369E7" w:rsidRDefault="000B7EB4" w:rsidP="006E6AE4">
            <w:pPr>
              <w:spacing w:after="0" w:line="240" w:lineRule="auto"/>
              <w:ind w:right="349"/>
              <w:jc w:val="right"/>
              <w:rPr>
                <w:sz w:val="18"/>
                <w:szCs w:val="18"/>
              </w:rPr>
            </w:pPr>
            <w:r w:rsidRPr="00183978">
              <w:rPr>
                <w:rFonts w:cs="Arial"/>
                <w:color w:val="000000"/>
                <w:sz w:val="18"/>
                <w:szCs w:val="18"/>
              </w:rPr>
              <w:t>76.2</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8A006" w14:textId="4FA2F189" w:rsidR="006E6AE4" w:rsidRPr="00B369E7" w:rsidRDefault="000B7EB4" w:rsidP="006E6AE4">
            <w:pPr>
              <w:spacing w:after="0" w:line="240" w:lineRule="auto"/>
              <w:ind w:right="349"/>
              <w:jc w:val="right"/>
              <w:rPr>
                <w:sz w:val="18"/>
                <w:szCs w:val="18"/>
              </w:rPr>
            </w:pPr>
            <w:r w:rsidRPr="00183978">
              <w:rPr>
                <w:rFonts w:cs="Arial"/>
                <w:color w:val="000000"/>
                <w:sz w:val="18"/>
                <w:szCs w:val="18"/>
              </w:rPr>
              <w:t>76.2</w:t>
            </w:r>
          </w:p>
        </w:tc>
      </w:tr>
      <w:tr w:rsidR="006E6AE4" w:rsidRPr="009B6407" w14:paraId="42811698" w14:textId="77777777" w:rsidTr="004B60C5">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27846" w14:textId="77777777" w:rsidR="006E6AE4" w:rsidRPr="00EF06AB" w:rsidRDefault="006E6AE4" w:rsidP="006E6AE4">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(Home Institution)</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CCA7C" w14:textId="7EFD8189" w:rsidR="006E6AE4" w:rsidRPr="00B369E7" w:rsidRDefault="00D53C7C" w:rsidP="006E6AE4">
            <w:pPr>
              <w:spacing w:after="0" w:line="240" w:lineRule="auto"/>
              <w:ind w:right="349"/>
              <w:jc w:val="right"/>
              <w:rPr>
                <w:sz w:val="18"/>
                <w:szCs w:val="18"/>
              </w:rPr>
            </w:pPr>
            <w:r w:rsidRPr="00183978">
              <w:rPr>
                <w:sz w:val="18"/>
                <w:szCs w:val="18"/>
              </w:rPr>
              <w:t>33.6</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09B3C" w14:textId="701352B8" w:rsidR="006E6AE4" w:rsidRPr="00B369E7" w:rsidRDefault="00D53C7C" w:rsidP="006E6AE4">
            <w:pPr>
              <w:spacing w:after="0" w:line="240" w:lineRule="auto"/>
              <w:ind w:right="349"/>
              <w:jc w:val="right"/>
              <w:rPr>
                <w:sz w:val="18"/>
                <w:szCs w:val="18"/>
              </w:rPr>
            </w:pPr>
            <w:r w:rsidRPr="00183978">
              <w:rPr>
                <w:sz w:val="18"/>
                <w:szCs w:val="18"/>
              </w:rPr>
              <w:t>93.5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042BC" w14:textId="05BACF59" w:rsidR="006E6AE4" w:rsidRPr="00B369E7" w:rsidRDefault="00D53C7C" w:rsidP="006E6AE4">
            <w:pPr>
              <w:spacing w:after="0" w:line="240" w:lineRule="auto"/>
              <w:ind w:right="349"/>
              <w:jc w:val="right"/>
              <w:rPr>
                <w:sz w:val="18"/>
                <w:szCs w:val="18"/>
              </w:rPr>
            </w:pPr>
            <w:r w:rsidRPr="00183978">
              <w:rPr>
                <w:sz w:val="18"/>
                <w:szCs w:val="18"/>
              </w:rPr>
              <w:t>84.0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CFC8A" w14:textId="020BBBD7" w:rsidR="006E6AE4" w:rsidRPr="00B369E7" w:rsidRDefault="00D53C7C" w:rsidP="006E6AE4">
            <w:pPr>
              <w:spacing w:after="0" w:line="240" w:lineRule="auto"/>
              <w:ind w:right="349"/>
              <w:jc w:val="right"/>
              <w:rPr>
                <w:sz w:val="18"/>
                <w:szCs w:val="18"/>
              </w:rPr>
            </w:pPr>
            <w:r w:rsidRPr="00183978">
              <w:rPr>
                <w:sz w:val="18"/>
                <w:szCs w:val="18"/>
              </w:rPr>
              <w:t>84.0</w:t>
            </w:r>
          </w:p>
        </w:tc>
      </w:tr>
      <w:tr w:rsidR="006E6AE4" w:rsidRPr="009B6407" w14:paraId="2ADB90F8" w14:textId="77777777" w:rsidTr="006E6AE4">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CA49A" w14:textId="77777777" w:rsidR="006E6AE4" w:rsidRPr="00EF06AB" w:rsidRDefault="006E6AE4" w:rsidP="006E6AE4">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38A8D" w14:textId="77777777" w:rsidR="006E6AE4" w:rsidRPr="00B369E7" w:rsidRDefault="006E6AE4" w:rsidP="006E6AE4">
            <w:pPr>
              <w:spacing w:after="0" w:line="240" w:lineRule="auto"/>
              <w:ind w:right="349"/>
              <w:jc w:val="right"/>
              <w:rPr>
                <w:sz w:val="18"/>
                <w:szCs w:val="18"/>
              </w:rPr>
            </w:pPr>
            <w:r w:rsidRPr="00B369E7">
              <w:rPr>
                <w:rFonts w:cs="Arial"/>
                <w:color w:val="000000"/>
                <w:sz w:val="18"/>
                <w:szCs w:val="18"/>
              </w:rPr>
              <w:t>37.1</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71E90" w14:textId="393F416D" w:rsidR="006E6AE4" w:rsidRPr="00B369E7" w:rsidRDefault="00DF5D83" w:rsidP="006E6AE4">
            <w:pPr>
              <w:spacing w:after="0" w:line="240" w:lineRule="auto"/>
              <w:ind w:right="349"/>
              <w:jc w:val="right"/>
              <w:rPr>
                <w:sz w:val="18"/>
                <w:szCs w:val="18"/>
              </w:rPr>
            </w:pPr>
            <w:r>
              <w:rPr>
                <w:rFonts w:cs="Arial"/>
                <w:color w:val="000000"/>
                <w:sz w:val="18"/>
                <w:szCs w:val="18"/>
              </w:rPr>
              <w:t>78.9</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C3DE7" w14:textId="4ABDD61A" w:rsidR="006E6AE4" w:rsidRPr="00B369E7" w:rsidRDefault="00DF5D83" w:rsidP="006E6AE4">
            <w:pPr>
              <w:spacing w:after="0" w:line="240" w:lineRule="auto"/>
              <w:ind w:right="349"/>
              <w:jc w:val="right"/>
              <w:rPr>
                <w:sz w:val="18"/>
                <w:szCs w:val="18"/>
              </w:rPr>
            </w:pPr>
            <w:r>
              <w:rPr>
                <w:rFonts w:cs="Arial"/>
                <w:color w:val="000000"/>
                <w:sz w:val="18"/>
                <w:szCs w:val="18"/>
              </w:rPr>
              <w:t>68.4</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F743F" w14:textId="6FCB85AC" w:rsidR="006E6AE4" w:rsidRPr="00B369E7" w:rsidRDefault="005D4251" w:rsidP="006E6AE4">
            <w:pPr>
              <w:spacing w:after="0" w:line="240" w:lineRule="auto"/>
              <w:ind w:right="349"/>
              <w:jc w:val="right"/>
              <w:rPr>
                <w:sz w:val="18"/>
                <w:szCs w:val="18"/>
              </w:rPr>
            </w:pPr>
            <w:r>
              <w:rPr>
                <w:rFonts w:cs="Arial"/>
                <w:color w:val="000000"/>
                <w:sz w:val="18"/>
                <w:szCs w:val="18"/>
              </w:rPr>
              <w:t>68.4</w:t>
            </w:r>
          </w:p>
        </w:tc>
      </w:tr>
    </w:tbl>
    <w:p w14:paraId="6ACB7F71" w14:textId="71FBCAB3" w:rsidR="006E6AE4" w:rsidRDefault="006E6AE4" w:rsidP="00AD5A0B">
      <w:pPr>
        <w:spacing w:line="240" w:lineRule="auto"/>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w:t>
      </w:r>
    </w:p>
    <w:p w14:paraId="2F5DD50B" w14:textId="77777777" w:rsidR="0038774E" w:rsidRDefault="0038774E">
      <w:pPr>
        <w:rPr>
          <w:rFonts w:eastAsiaTheme="minorEastAsia"/>
          <w:b/>
          <w:bCs/>
          <w:color w:val="auto"/>
          <w:sz w:val="18"/>
          <w:szCs w:val="18"/>
        </w:rPr>
      </w:pPr>
      <w:r>
        <w:rPr>
          <w:color w:val="auto"/>
        </w:rPr>
        <w:br w:type="page"/>
      </w:r>
    </w:p>
    <w:p w14:paraId="11FE4EBA" w14:textId="7D527AD7" w:rsidR="00453365" w:rsidRDefault="00453365" w:rsidP="00A160A2">
      <w:pPr>
        <w:pStyle w:val="Caption"/>
        <w:spacing w:line="240" w:lineRule="auto"/>
        <w:rPr>
          <w:b w:val="0"/>
          <w:bCs w:val="0"/>
          <w:color w:val="auto"/>
        </w:rPr>
      </w:pPr>
      <w:r>
        <w:rPr>
          <w:color w:val="auto"/>
        </w:rPr>
        <w:lastRenderedPageBreak/>
        <w:t>Table</w:t>
      </w:r>
      <w:r w:rsidRPr="003873F1">
        <w:rPr>
          <w:color w:val="auto"/>
        </w:rPr>
        <w:t xml:space="preserve"> </w:t>
      </w:r>
      <w:r>
        <w:rPr>
          <w:color w:val="auto"/>
        </w:rPr>
        <w:t>1</w:t>
      </w:r>
      <w:r w:rsidR="00D00C65">
        <w:rPr>
          <w:color w:val="auto"/>
        </w:rPr>
        <w:t>6</w:t>
      </w:r>
      <w:r w:rsidRPr="003873F1">
        <w:rPr>
          <w:color w:val="auto"/>
        </w:rPr>
        <w:t>:</w:t>
      </w:r>
      <w:r w:rsidRPr="003873F1">
        <w:rPr>
          <w:b w:val="0"/>
          <w:bCs w:val="0"/>
          <w:color w:val="auto"/>
        </w:rPr>
        <w:t xml:space="preserve"> </w:t>
      </w:r>
      <w:r w:rsidRPr="006928B5">
        <w:rPr>
          <w:b w:val="0"/>
          <w:bCs w:val="0"/>
          <w:i/>
          <w:iCs/>
          <w:color w:val="auto"/>
        </w:rPr>
        <w:t>Equity Group</w:t>
      </w:r>
      <w:r>
        <w:rPr>
          <w:b w:val="0"/>
          <w:bCs w:val="0"/>
          <w:color w:val="auto"/>
        </w:rPr>
        <w:t xml:space="preserve"> Share of Participation and Completion Headcount Growth to 20</w:t>
      </w:r>
      <w:r w:rsidR="003441AF">
        <w:rPr>
          <w:b w:val="0"/>
          <w:bCs w:val="0"/>
          <w:color w:val="auto"/>
        </w:rPr>
        <w:t>5</w:t>
      </w:r>
      <w:r>
        <w:rPr>
          <w:b w:val="0"/>
          <w:bCs w:val="0"/>
          <w:color w:val="auto"/>
        </w:rPr>
        <w:t xml:space="preserve">0 under Three Parity Targets and Four Policy Options.  </w:t>
      </w:r>
    </w:p>
    <w:tbl>
      <w:tblPr>
        <w:tblpPr w:leftFromText="180" w:rightFromText="180" w:vertAnchor="text" w:tblpX="-30" w:tblpY="1"/>
        <w:tblOverlap w:val="never"/>
        <w:tblW w:w="9356" w:type="dxa"/>
        <w:tblLayout w:type="fixed"/>
        <w:tblLook w:val="04A0" w:firstRow="1" w:lastRow="0" w:firstColumn="1" w:lastColumn="0" w:noHBand="0" w:noVBand="1"/>
      </w:tblPr>
      <w:tblGrid>
        <w:gridCol w:w="3534"/>
        <w:gridCol w:w="1455"/>
        <w:gridCol w:w="1456"/>
        <w:gridCol w:w="1455"/>
        <w:gridCol w:w="1456"/>
      </w:tblGrid>
      <w:tr w:rsidR="00453365" w:rsidRPr="009B6407" w14:paraId="18E4CC5E" w14:textId="77777777" w:rsidTr="00160B8E">
        <w:trPr>
          <w:trHeight w:val="519"/>
        </w:trPr>
        <w:tc>
          <w:tcPr>
            <w:tcW w:w="35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EFE06" w14:textId="786B2713" w:rsidR="00453365" w:rsidRPr="00E62334" w:rsidRDefault="009D2D91">
            <w:pPr>
              <w:spacing w:after="0" w:line="240" w:lineRule="auto"/>
              <w:rPr>
                <w:rFonts w:cs="Arial"/>
                <w:b/>
                <w:bCs/>
                <w:color w:val="000000"/>
                <w:sz w:val="18"/>
                <w:szCs w:val="18"/>
                <w:lang w:eastAsia="en-AU"/>
              </w:rPr>
            </w:pPr>
            <w:r w:rsidRPr="00BD2876">
              <w:rPr>
                <w:rFonts w:cs="Arial"/>
                <w:b/>
                <w:bCs/>
                <w:color w:val="auto"/>
                <w:sz w:val="18"/>
                <w:szCs w:val="18"/>
                <w:lang w:eastAsia="en-AU"/>
              </w:rPr>
              <w:t xml:space="preserve">2050 </w:t>
            </w:r>
            <w:r w:rsidR="00453365" w:rsidRPr="00BD2876">
              <w:rPr>
                <w:rFonts w:cs="Arial"/>
                <w:b/>
                <w:bCs/>
                <w:color w:val="auto"/>
                <w:sz w:val="18"/>
                <w:szCs w:val="18"/>
                <w:lang w:eastAsia="en-AU"/>
              </w:rPr>
              <w:t>Parity Target </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14041ED3" w14:textId="77777777" w:rsidR="00453365" w:rsidRPr="009B6407" w:rsidRDefault="00453365">
            <w:pPr>
              <w:spacing w:after="0" w:line="240" w:lineRule="auto"/>
              <w:jc w:val="center"/>
              <w:rPr>
                <w:rFonts w:cs="Arial"/>
                <w:b/>
                <w:bCs/>
                <w:color w:val="FFFFFF"/>
                <w:sz w:val="18"/>
                <w:szCs w:val="18"/>
                <w:lang w:eastAsia="en-AU"/>
              </w:rPr>
            </w:pPr>
            <w:r>
              <w:rPr>
                <w:rFonts w:cs="Arial"/>
                <w:b/>
                <w:bCs/>
                <w:color w:val="FFFFFF"/>
                <w:sz w:val="18"/>
                <w:szCs w:val="18"/>
                <w:lang w:eastAsia="en-AU"/>
              </w:rPr>
              <w:t>Business-As-Usual</w:t>
            </w:r>
          </w:p>
        </w:tc>
        <w:tc>
          <w:tcPr>
            <w:tcW w:w="1456"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7D1F34AE" w14:textId="77777777" w:rsidR="00453365" w:rsidRDefault="00453365">
            <w:pPr>
              <w:spacing w:after="0" w:line="240" w:lineRule="auto"/>
              <w:jc w:val="center"/>
              <w:rPr>
                <w:rFonts w:cs="Arial"/>
                <w:b/>
                <w:bCs/>
                <w:color w:val="FFFFFF"/>
                <w:sz w:val="18"/>
                <w:szCs w:val="18"/>
                <w:lang w:eastAsia="en-AU"/>
              </w:rPr>
            </w:pPr>
            <w:r>
              <w:rPr>
                <w:rFonts w:cs="Arial"/>
                <w:b/>
                <w:bCs/>
                <w:color w:val="FFFFFF"/>
                <w:sz w:val="18"/>
                <w:szCs w:val="18"/>
                <w:lang w:eastAsia="en-AU"/>
              </w:rPr>
              <w:t>Convergence</w:t>
            </w:r>
          </w:p>
          <w:p w14:paraId="3134E19C" w14:textId="77777777" w:rsidR="00453365" w:rsidRPr="009B6407" w:rsidRDefault="00453365">
            <w:pPr>
              <w:spacing w:after="0" w:line="240" w:lineRule="auto"/>
              <w:jc w:val="center"/>
              <w:rPr>
                <w:rFonts w:cs="Arial"/>
                <w:b/>
                <w:bCs/>
                <w:color w:val="FFFFFF"/>
                <w:sz w:val="18"/>
                <w:szCs w:val="18"/>
                <w:lang w:eastAsia="en-AU"/>
              </w:rPr>
            </w:pPr>
          </w:p>
        </w:tc>
        <w:tc>
          <w:tcPr>
            <w:tcW w:w="1455"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54BFF4D0" w14:textId="77777777" w:rsidR="00453365" w:rsidRDefault="00453365">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631FB2EA" w14:textId="77777777" w:rsidR="00453365" w:rsidRPr="009B6407" w:rsidRDefault="00453365">
            <w:pPr>
              <w:spacing w:after="0" w:line="240" w:lineRule="auto"/>
              <w:jc w:val="center"/>
              <w:rPr>
                <w:rFonts w:cs="Arial"/>
                <w:b/>
                <w:bCs/>
                <w:color w:val="FFFFFF"/>
                <w:sz w:val="18"/>
                <w:szCs w:val="18"/>
                <w:lang w:eastAsia="en-AU"/>
              </w:rPr>
            </w:pPr>
          </w:p>
        </w:tc>
        <w:tc>
          <w:tcPr>
            <w:tcW w:w="1456" w:type="dxa"/>
            <w:vMerge w:val="restart"/>
            <w:tcBorders>
              <w:top w:val="single" w:sz="4" w:space="0" w:color="auto"/>
              <w:left w:val="single" w:sz="4" w:space="0" w:color="auto"/>
              <w:bottom w:val="single" w:sz="4" w:space="0" w:color="auto"/>
              <w:right w:val="single" w:sz="4" w:space="0" w:color="auto"/>
            </w:tcBorders>
            <w:shd w:val="clear" w:color="auto" w:fill="6B3B57"/>
            <w:vAlign w:val="center"/>
            <w:hideMark/>
          </w:tcPr>
          <w:p w14:paraId="521FB5AA" w14:textId="77777777" w:rsidR="00453365" w:rsidRDefault="00453365">
            <w:pPr>
              <w:spacing w:after="0" w:line="240" w:lineRule="auto"/>
              <w:jc w:val="center"/>
              <w:rPr>
                <w:rFonts w:cs="Arial"/>
                <w:b/>
                <w:bCs/>
                <w:color w:val="FFFFFF"/>
                <w:sz w:val="18"/>
                <w:szCs w:val="18"/>
                <w:lang w:eastAsia="en-AU"/>
              </w:rPr>
            </w:pPr>
            <w:r>
              <w:rPr>
                <w:rFonts w:cs="Arial"/>
                <w:b/>
                <w:bCs/>
                <w:color w:val="FFFFFF"/>
                <w:sz w:val="18"/>
                <w:szCs w:val="18"/>
                <w:lang w:eastAsia="en-AU"/>
              </w:rPr>
              <w:t>Divergence</w:t>
            </w:r>
          </w:p>
          <w:p w14:paraId="258921DC" w14:textId="77777777" w:rsidR="00453365" w:rsidRPr="009B6407" w:rsidRDefault="00453365">
            <w:pPr>
              <w:spacing w:after="0" w:line="240" w:lineRule="auto"/>
              <w:jc w:val="center"/>
              <w:rPr>
                <w:rFonts w:cs="Arial"/>
                <w:b/>
                <w:bCs/>
                <w:color w:val="FFFFFF"/>
                <w:sz w:val="18"/>
                <w:szCs w:val="18"/>
                <w:lang w:eastAsia="en-AU"/>
              </w:rPr>
            </w:pPr>
          </w:p>
        </w:tc>
      </w:tr>
      <w:tr w:rsidR="00453365" w:rsidRPr="009B6407" w14:paraId="6EE0A458" w14:textId="77777777" w:rsidTr="00160B8E">
        <w:trPr>
          <w:trHeight w:val="519"/>
        </w:trPr>
        <w:tc>
          <w:tcPr>
            <w:tcW w:w="3534" w:type="dxa"/>
            <w:vMerge/>
            <w:tcBorders>
              <w:left w:val="single" w:sz="4" w:space="0" w:color="auto"/>
              <w:bottom w:val="single" w:sz="4" w:space="0" w:color="auto"/>
              <w:right w:val="single" w:sz="4" w:space="0" w:color="auto"/>
            </w:tcBorders>
            <w:shd w:val="clear" w:color="auto" w:fill="auto"/>
            <w:vAlign w:val="center"/>
            <w:hideMark/>
          </w:tcPr>
          <w:p w14:paraId="1C80E4A7" w14:textId="77777777" w:rsidR="00453365" w:rsidRPr="009B6407" w:rsidRDefault="00453365">
            <w:pPr>
              <w:spacing w:after="0" w:line="240" w:lineRule="auto"/>
              <w:rPr>
                <w:rFonts w:ascii="Calibri" w:hAnsi="Calibri" w:cs="Calibri"/>
                <w:color w:val="000000"/>
                <w:sz w:val="18"/>
                <w:szCs w:val="18"/>
                <w:lang w:eastAsia="en-AU"/>
              </w:rPr>
            </w:pPr>
          </w:p>
        </w:tc>
        <w:tc>
          <w:tcPr>
            <w:tcW w:w="1455" w:type="dxa"/>
            <w:vMerge/>
            <w:tcBorders>
              <w:left w:val="single" w:sz="4" w:space="0" w:color="auto"/>
              <w:bottom w:val="single" w:sz="4" w:space="0" w:color="auto"/>
              <w:right w:val="single" w:sz="4" w:space="0" w:color="auto"/>
            </w:tcBorders>
            <w:shd w:val="clear" w:color="auto" w:fill="6B3B57"/>
            <w:vAlign w:val="center"/>
            <w:hideMark/>
          </w:tcPr>
          <w:p w14:paraId="17D09E7B" w14:textId="77777777" w:rsidR="00453365" w:rsidRPr="009B6407" w:rsidRDefault="00453365">
            <w:pPr>
              <w:spacing w:after="0" w:line="240" w:lineRule="auto"/>
              <w:rPr>
                <w:rFonts w:cs="Arial"/>
                <w:b/>
                <w:bCs/>
                <w:color w:val="FFFFFF"/>
                <w:sz w:val="18"/>
                <w:szCs w:val="18"/>
                <w:lang w:eastAsia="en-AU"/>
              </w:rPr>
            </w:pPr>
          </w:p>
        </w:tc>
        <w:tc>
          <w:tcPr>
            <w:tcW w:w="1456" w:type="dxa"/>
            <w:vMerge/>
            <w:tcBorders>
              <w:left w:val="single" w:sz="4" w:space="0" w:color="auto"/>
              <w:bottom w:val="single" w:sz="4" w:space="0" w:color="auto"/>
              <w:right w:val="single" w:sz="4" w:space="0" w:color="auto"/>
            </w:tcBorders>
            <w:shd w:val="clear" w:color="auto" w:fill="6B3B57"/>
            <w:vAlign w:val="center"/>
            <w:hideMark/>
          </w:tcPr>
          <w:p w14:paraId="395C96EC" w14:textId="77777777" w:rsidR="00453365" w:rsidRPr="009B6407" w:rsidRDefault="00453365">
            <w:pPr>
              <w:spacing w:after="0" w:line="240" w:lineRule="auto"/>
              <w:rPr>
                <w:rFonts w:cs="Arial"/>
                <w:b/>
                <w:bCs/>
                <w:color w:val="FFFFFF"/>
                <w:sz w:val="18"/>
                <w:szCs w:val="18"/>
                <w:lang w:eastAsia="en-AU"/>
              </w:rPr>
            </w:pPr>
          </w:p>
        </w:tc>
        <w:tc>
          <w:tcPr>
            <w:tcW w:w="1455" w:type="dxa"/>
            <w:vMerge/>
            <w:tcBorders>
              <w:left w:val="single" w:sz="4" w:space="0" w:color="auto"/>
              <w:bottom w:val="single" w:sz="4" w:space="0" w:color="auto"/>
              <w:right w:val="single" w:sz="4" w:space="0" w:color="auto"/>
            </w:tcBorders>
            <w:shd w:val="clear" w:color="auto" w:fill="6B3B57"/>
            <w:vAlign w:val="center"/>
            <w:hideMark/>
          </w:tcPr>
          <w:p w14:paraId="3016A517" w14:textId="77777777" w:rsidR="00453365" w:rsidRPr="009B6407" w:rsidRDefault="00453365">
            <w:pPr>
              <w:spacing w:after="0" w:line="240" w:lineRule="auto"/>
              <w:rPr>
                <w:rFonts w:cs="Arial"/>
                <w:b/>
                <w:bCs/>
                <w:color w:val="FFFFFF"/>
                <w:sz w:val="18"/>
                <w:szCs w:val="18"/>
                <w:lang w:eastAsia="en-AU"/>
              </w:rPr>
            </w:pPr>
          </w:p>
        </w:tc>
        <w:tc>
          <w:tcPr>
            <w:tcW w:w="1456" w:type="dxa"/>
            <w:vMerge/>
            <w:tcBorders>
              <w:left w:val="single" w:sz="4" w:space="0" w:color="auto"/>
              <w:bottom w:val="single" w:sz="4" w:space="0" w:color="auto"/>
              <w:right w:val="single" w:sz="4" w:space="0" w:color="auto"/>
            </w:tcBorders>
            <w:shd w:val="clear" w:color="auto" w:fill="6B3B57"/>
            <w:vAlign w:val="center"/>
            <w:hideMark/>
          </w:tcPr>
          <w:p w14:paraId="6FC83686" w14:textId="77777777" w:rsidR="00453365" w:rsidRPr="009B6407" w:rsidRDefault="00453365">
            <w:pPr>
              <w:spacing w:after="0" w:line="240" w:lineRule="auto"/>
              <w:rPr>
                <w:rFonts w:cs="Arial"/>
                <w:b/>
                <w:bCs/>
                <w:color w:val="FFFFFF"/>
                <w:sz w:val="18"/>
                <w:szCs w:val="18"/>
                <w:lang w:eastAsia="en-AU"/>
              </w:rPr>
            </w:pPr>
          </w:p>
        </w:tc>
      </w:tr>
      <w:tr w:rsidR="00453365" w:rsidRPr="009B6407" w14:paraId="21D3B3B5" w14:textId="77777777" w:rsidTr="00166EF5">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DB2F0" w14:textId="77777777" w:rsidR="00453365" w:rsidRPr="009B6407" w:rsidRDefault="00453365">
            <w:pPr>
              <w:spacing w:after="0" w:line="240" w:lineRule="auto"/>
              <w:rPr>
                <w:rFonts w:cs="Arial"/>
                <w:b/>
                <w:bCs/>
                <w:color w:val="000000"/>
                <w:sz w:val="18"/>
                <w:szCs w:val="18"/>
                <w:lang w:eastAsia="en-AU"/>
              </w:rPr>
            </w:pPr>
            <w:r>
              <w:rPr>
                <w:rFonts w:cs="Arial"/>
                <w:b/>
                <w:bCs/>
                <w:color w:val="000000"/>
                <w:sz w:val="18"/>
                <w:szCs w:val="18"/>
                <w:lang w:eastAsia="en-AU"/>
              </w:rPr>
              <w:t xml:space="preserve">Participation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67B7B" w14:textId="77777777" w:rsidR="00453365" w:rsidRPr="00BB5958" w:rsidRDefault="00453365">
            <w:pPr>
              <w:spacing w:after="0" w:line="240" w:lineRule="auto"/>
              <w:jc w:val="right"/>
              <w:rPr>
                <w:rFonts w:cs="Arial"/>
                <w:b/>
                <w:bCs/>
                <w:color w:val="000000"/>
                <w:sz w:val="18"/>
                <w:szCs w:val="18"/>
                <w:lang w:eastAsia="en-AU"/>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BCC71" w14:textId="77777777" w:rsidR="00453365" w:rsidRPr="00BB5958" w:rsidRDefault="00453365">
            <w:pPr>
              <w:spacing w:after="0" w:line="240" w:lineRule="auto"/>
              <w:jc w:val="right"/>
              <w:rPr>
                <w:rFonts w:cs="Arial"/>
                <w:b/>
                <w:bCs/>
                <w:color w:val="000000"/>
                <w:sz w:val="18"/>
                <w:szCs w:val="18"/>
                <w:lang w:eastAsia="en-AU"/>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ECBB6" w14:textId="77777777" w:rsidR="00453365" w:rsidRPr="00BB5958" w:rsidRDefault="00453365">
            <w:pPr>
              <w:spacing w:after="0" w:line="240" w:lineRule="auto"/>
              <w:jc w:val="right"/>
              <w:rPr>
                <w:rFonts w:cs="Arial"/>
                <w:b/>
                <w:bCs/>
                <w:color w:val="000000"/>
                <w:sz w:val="18"/>
                <w:szCs w:val="18"/>
                <w:lang w:eastAsia="en-AU"/>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9FBF5" w14:textId="77777777" w:rsidR="00453365" w:rsidRPr="00BB5958" w:rsidRDefault="00453365">
            <w:pPr>
              <w:spacing w:after="0" w:line="240" w:lineRule="auto"/>
              <w:jc w:val="right"/>
              <w:rPr>
                <w:rFonts w:cs="Arial"/>
                <w:b/>
                <w:bCs/>
                <w:color w:val="000000"/>
                <w:sz w:val="18"/>
                <w:szCs w:val="18"/>
                <w:lang w:eastAsia="en-AU"/>
              </w:rPr>
            </w:pPr>
          </w:p>
        </w:tc>
      </w:tr>
      <w:tr w:rsidR="00453365" w:rsidRPr="009B6407" w14:paraId="2ADCFBEF"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8ABB94" w14:textId="77777777" w:rsidR="00453365" w:rsidRPr="009B6407" w:rsidRDefault="00453365">
            <w:pPr>
              <w:spacing w:after="0" w:line="240" w:lineRule="auto"/>
              <w:rPr>
                <w:rFonts w:cs="Arial"/>
                <w:i/>
                <w:iCs/>
                <w:color w:val="000000"/>
                <w:sz w:val="18"/>
                <w:szCs w:val="18"/>
                <w:lang w:eastAsia="en-AU"/>
              </w:rPr>
            </w:pPr>
            <w:r>
              <w:rPr>
                <w:rFonts w:cs="Arial"/>
                <w:i/>
                <w:iCs/>
                <w:color w:val="000000"/>
                <w:sz w:val="18"/>
                <w:szCs w:val="18"/>
                <w:lang w:eastAsia="en-AU"/>
              </w:rPr>
              <w:t xml:space="preserve">National </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B0658" w14:textId="0FC5A590" w:rsidR="00453365" w:rsidRPr="003107DE" w:rsidRDefault="00B901CE">
            <w:pPr>
              <w:spacing w:after="0" w:line="240" w:lineRule="auto"/>
              <w:ind w:right="349"/>
              <w:jc w:val="right"/>
              <w:rPr>
                <w:rFonts w:cs="Arial"/>
                <w:color w:val="000000"/>
                <w:sz w:val="18"/>
                <w:szCs w:val="18"/>
                <w:lang w:eastAsia="en-AU"/>
              </w:rPr>
            </w:pPr>
            <w:r w:rsidRPr="00183978">
              <w:rPr>
                <w:rFonts w:cs="Arial"/>
                <w:color w:val="000000"/>
                <w:sz w:val="18"/>
                <w:szCs w:val="18"/>
              </w:rPr>
              <w:t>39.4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F0EE6" w14:textId="2DF07538" w:rsidR="00453365" w:rsidRPr="003107DE" w:rsidRDefault="00B901CE">
            <w:pPr>
              <w:spacing w:after="0" w:line="240" w:lineRule="auto"/>
              <w:ind w:right="349"/>
              <w:jc w:val="right"/>
              <w:rPr>
                <w:rFonts w:cs="Arial"/>
                <w:color w:val="000000"/>
                <w:sz w:val="18"/>
                <w:szCs w:val="18"/>
                <w:lang w:eastAsia="en-AU"/>
              </w:rPr>
            </w:pPr>
            <w:r w:rsidRPr="00183978">
              <w:rPr>
                <w:rFonts w:cs="Arial"/>
                <w:color w:val="000000"/>
                <w:sz w:val="18"/>
                <w:szCs w:val="18"/>
              </w:rPr>
              <w:t>71.5</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B587C" w14:textId="63F3510F" w:rsidR="00453365" w:rsidRPr="003107DE" w:rsidRDefault="00B901CE">
            <w:pPr>
              <w:spacing w:after="0" w:line="240" w:lineRule="auto"/>
              <w:ind w:right="349"/>
              <w:jc w:val="right"/>
              <w:rPr>
                <w:rFonts w:cs="Arial"/>
                <w:color w:val="000000"/>
                <w:sz w:val="18"/>
                <w:szCs w:val="18"/>
                <w:lang w:eastAsia="en-AU"/>
              </w:rPr>
            </w:pPr>
            <w:r w:rsidRPr="00183978">
              <w:rPr>
                <w:rFonts w:cs="Arial"/>
                <w:color w:val="000000"/>
                <w:sz w:val="18"/>
                <w:szCs w:val="18"/>
              </w:rPr>
              <w:t>62.6</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E591A" w14:textId="1F5FB8C2" w:rsidR="00453365" w:rsidRPr="003107DE" w:rsidRDefault="00B901CE">
            <w:pPr>
              <w:spacing w:after="0" w:line="240" w:lineRule="auto"/>
              <w:ind w:right="349"/>
              <w:jc w:val="right"/>
              <w:rPr>
                <w:rFonts w:cs="Arial"/>
                <w:color w:val="000000"/>
                <w:sz w:val="18"/>
                <w:szCs w:val="18"/>
                <w:lang w:eastAsia="en-AU"/>
              </w:rPr>
            </w:pPr>
            <w:r w:rsidRPr="00183978">
              <w:rPr>
                <w:rFonts w:cs="Arial"/>
                <w:color w:val="000000"/>
                <w:sz w:val="18"/>
                <w:szCs w:val="18"/>
              </w:rPr>
              <w:t>62.6</w:t>
            </w:r>
          </w:p>
        </w:tc>
      </w:tr>
      <w:tr w:rsidR="00453365" w:rsidRPr="009B6407" w14:paraId="707A612C"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B9D038" w14:textId="77777777" w:rsidR="00453365" w:rsidRDefault="00453365">
            <w:pPr>
              <w:spacing w:after="0" w:line="240" w:lineRule="auto"/>
              <w:rPr>
                <w:rFonts w:cs="Arial"/>
                <w:i/>
                <w:iCs/>
                <w:color w:val="000000"/>
                <w:sz w:val="18"/>
                <w:szCs w:val="18"/>
                <w:lang w:eastAsia="en-AU"/>
              </w:rPr>
            </w:pPr>
            <w:r w:rsidRPr="00EF06AB">
              <w:rPr>
                <w:rFonts w:cstheme="minorHAnsi"/>
                <w:i/>
                <w:iCs/>
                <w:color w:val="000000"/>
                <w:sz w:val="18"/>
                <w:szCs w:val="18"/>
                <w:lang w:eastAsia="en-AU"/>
              </w:rPr>
              <w:t>State/Territory (Home Institution)</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75F0BA" w14:textId="208E32BC" w:rsidR="00453365" w:rsidRPr="00534384" w:rsidRDefault="00802C14">
            <w:pPr>
              <w:spacing w:after="0" w:line="240" w:lineRule="auto"/>
              <w:ind w:right="349"/>
              <w:jc w:val="right"/>
              <w:rPr>
                <w:sz w:val="18"/>
                <w:szCs w:val="18"/>
              </w:rPr>
            </w:pPr>
            <w:r w:rsidRPr="00183978">
              <w:rPr>
                <w:rFonts w:cs="Arial"/>
                <w:color w:val="000000"/>
                <w:sz w:val="18"/>
                <w:szCs w:val="18"/>
              </w:rPr>
              <w:t>39.4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A0D720" w14:textId="5125E0AA" w:rsidR="00453365" w:rsidRPr="00534384" w:rsidRDefault="00802C14">
            <w:pPr>
              <w:spacing w:after="0" w:line="240" w:lineRule="auto"/>
              <w:ind w:right="349"/>
              <w:jc w:val="right"/>
              <w:rPr>
                <w:sz w:val="18"/>
                <w:szCs w:val="18"/>
              </w:rPr>
            </w:pPr>
            <w:r w:rsidRPr="00183978">
              <w:rPr>
                <w:rFonts w:cs="Arial"/>
                <w:color w:val="000000"/>
                <w:sz w:val="18"/>
                <w:szCs w:val="18"/>
              </w:rPr>
              <w:t>70.1</w:t>
            </w:r>
          </w:p>
        </w:tc>
        <w:tc>
          <w:tcPr>
            <w:tcW w:w="145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69D260" w14:textId="11687E38" w:rsidR="00453365" w:rsidRPr="00534384" w:rsidRDefault="00802C14">
            <w:pPr>
              <w:spacing w:after="0" w:line="240" w:lineRule="auto"/>
              <w:ind w:right="349"/>
              <w:jc w:val="right"/>
              <w:rPr>
                <w:sz w:val="18"/>
                <w:szCs w:val="18"/>
              </w:rPr>
            </w:pPr>
            <w:r w:rsidRPr="00183978">
              <w:rPr>
                <w:rFonts w:cs="Arial"/>
                <w:color w:val="000000"/>
                <w:sz w:val="18"/>
                <w:szCs w:val="18"/>
              </w:rPr>
              <w:t>62.9</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B867FE" w14:textId="20CDACD4" w:rsidR="00453365" w:rsidRPr="00534384" w:rsidRDefault="00802C14">
            <w:pPr>
              <w:spacing w:after="0" w:line="240" w:lineRule="auto"/>
              <w:ind w:right="349"/>
              <w:jc w:val="right"/>
              <w:rPr>
                <w:sz w:val="18"/>
                <w:szCs w:val="18"/>
              </w:rPr>
            </w:pPr>
            <w:r w:rsidRPr="00183978">
              <w:rPr>
                <w:rFonts w:cs="Arial"/>
                <w:color w:val="000000"/>
                <w:sz w:val="18"/>
                <w:szCs w:val="18"/>
              </w:rPr>
              <w:t>62.9</w:t>
            </w:r>
          </w:p>
        </w:tc>
      </w:tr>
      <w:tr w:rsidR="00453365" w:rsidRPr="009B6407" w14:paraId="4FAB9850"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ED663" w14:textId="77777777" w:rsidR="00453365" w:rsidRPr="00EF06AB" w:rsidRDefault="00453365">
            <w:pPr>
              <w:spacing w:after="0" w:line="240" w:lineRule="auto"/>
              <w:rPr>
                <w:rFonts w:cs="Arial"/>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3621D" w14:textId="77777777" w:rsidR="00453365" w:rsidRPr="00CE29B2" w:rsidRDefault="00453365">
            <w:pPr>
              <w:spacing w:after="0" w:line="240" w:lineRule="auto"/>
              <w:ind w:right="349"/>
              <w:jc w:val="right"/>
              <w:rPr>
                <w:rFonts w:cs="Arial"/>
                <w:color w:val="000000"/>
                <w:sz w:val="18"/>
                <w:szCs w:val="18"/>
                <w:lang w:eastAsia="en-AU"/>
              </w:rPr>
            </w:pPr>
            <w:r w:rsidRPr="00CE29B2">
              <w:rPr>
                <w:rFonts w:cs="Arial"/>
                <w:color w:val="000000"/>
                <w:sz w:val="18"/>
                <w:szCs w:val="18"/>
              </w:rPr>
              <w:t>39.6</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7DDAF" w14:textId="77777777" w:rsidR="00453365" w:rsidRPr="00CE29B2" w:rsidRDefault="00453365">
            <w:pPr>
              <w:spacing w:after="0" w:line="240" w:lineRule="auto"/>
              <w:ind w:right="349"/>
              <w:jc w:val="right"/>
              <w:rPr>
                <w:rFonts w:cs="Arial"/>
                <w:color w:val="000000"/>
                <w:sz w:val="18"/>
                <w:szCs w:val="18"/>
                <w:lang w:eastAsia="en-AU"/>
              </w:rPr>
            </w:pPr>
            <w:r w:rsidRPr="00CE29B2">
              <w:rPr>
                <w:rFonts w:cs="Arial"/>
                <w:color w:val="000000"/>
                <w:sz w:val="18"/>
                <w:szCs w:val="18"/>
              </w:rPr>
              <w:t>61.7</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052AD" w14:textId="77777777" w:rsidR="00453365" w:rsidRPr="00CE29B2" w:rsidRDefault="00453365">
            <w:pPr>
              <w:spacing w:after="0" w:line="240" w:lineRule="auto"/>
              <w:ind w:right="349"/>
              <w:jc w:val="right"/>
              <w:rPr>
                <w:rFonts w:cs="Arial"/>
                <w:color w:val="000000"/>
                <w:sz w:val="18"/>
                <w:szCs w:val="18"/>
                <w:lang w:eastAsia="en-AU"/>
              </w:rPr>
            </w:pPr>
            <w:r w:rsidRPr="00CE29B2">
              <w:rPr>
                <w:rFonts w:cs="Arial"/>
                <w:color w:val="000000"/>
                <w:sz w:val="18"/>
                <w:szCs w:val="18"/>
              </w:rPr>
              <w:t>55.9</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070FF" w14:textId="77777777" w:rsidR="00453365" w:rsidRPr="00CE29B2" w:rsidRDefault="00453365">
            <w:pPr>
              <w:spacing w:after="0" w:line="240" w:lineRule="auto"/>
              <w:ind w:right="349"/>
              <w:jc w:val="right"/>
              <w:rPr>
                <w:rFonts w:cs="Arial"/>
                <w:color w:val="000000"/>
                <w:sz w:val="18"/>
                <w:szCs w:val="18"/>
                <w:lang w:eastAsia="en-AU"/>
              </w:rPr>
            </w:pPr>
            <w:r w:rsidRPr="00CE29B2">
              <w:rPr>
                <w:rFonts w:cs="Arial"/>
                <w:color w:val="000000"/>
                <w:sz w:val="18"/>
                <w:szCs w:val="18"/>
              </w:rPr>
              <w:t>55.9</w:t>
            </w:r>
          </w:p>
        </w:tc>
      </w:tr>
      <w:tr w:rsidR="00453365" w:rsidRPr="009B6407" w14:paraId="03EBA160"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F1F51" w14:textId="77777777" w:rsidR="00453365" w:rsidRPr="00EF06AB" w:rsidRDefault="00453365">
            <w:pPr>
              <w:spacing w:after="0" w:line="240" w:lineRule="auto"/>
              <w:rPr>
                <w:rFonts w:cstheme="minorHAnsi"/>
                <w:i/>
                <w:iCs/>
                <w:color w:val="000000"/>
                <w:sz w:val="18"/>
                <w:szCs w:val="18"/>
                <w:lang w:eastAsia="en-AU"/>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10944" w14:textId="77777777" w:rsidR="00453365" w:rsidRPr="003107DE" w:rsidRDefault="00453365">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D614E" w14:textId="77777777" w:rsidR="00453365" w:rsidRPr="003107DE" w:rsidRDefault="00453365">
            <w:pPr>
              <w:spacing w:after="0" w:line="240" w:lineRule="auto"/>
              <w:ind w:right="349"/>
              <w:jc w:val="right"/>
              <w:rPr>
                <w:sz w:val="18"/>
                <w:szCs w:val="18"/>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A9A85" w14:textId="77777777" w:rsidR="00453365" w:rsidRPr="003107DE" w:rsidRDefault="00453365">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6A818" w14:textId="77777777" w:rsidR="00453365" w:rsidRPr="003107DE" w:rsidRDefault="00453365">
            <w:pPr>
              <w:spacing w:after="0" w:line="240" w:lineRule="auto"/>
              <w:ind w:right="349"/>
              <w:jc w:val="right"/>
              <w:rPr>
                <w:sz w:val="18"/>
                <w:szCs w:val="18"/>
              </w:rPr>
            </w:pPr>
          </w:p>
        </w:tc>
      </w:tr>
      <w:tr w:rsidR="00453365" w:rsidRPr="009B6407" w14:paraId="754CC157"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A8EB6" w14:textId="77777777" w:rsidR="00453365" w:rsidRPr="00EF06AB" w:rsidRDefault="00453365">
            <w:pPr>
              <w:spacing w:after="0" w:line="240" w:lineRule="auto"/>
              <w:rPr>
                <w:rFonts w:cstheme="minorHAnsi"/>
                <w:i/>
                <w:iCs/>
                <w:color w:val="000000"/>
                <w:sz w:val="18"/>
                <w:szCs w:val="18"/>
                <w:lang w:eastAsia="en-AU"/>
              </w:rPr>
            </w:pPr>
            <w:r>
              <w:rPr>
                <w:rFonts w:cs="Arial"/>
                <w:b/>
                <w:bCs/>
                <w:color w:val="000000"/>
                <w:sz w:val="18"/>
                <w:szCs w:val="18"/>
                <w:lang w:eastAsia="en-AU"/>
              </w:rPr>
              <w:t xml:space="preserve">Completion </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17D63" w14:textId="77777777" w:rsidR="00453365" w:rsidRPr="003107DE" w:rsidRDefault="00453365">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40B52" w14:textId="77777777" w:rsidR="00453365" w:rsidRPr="003107DE" w:rsidRDefault="00453365">
            <w:pPr>
              <w:spacing w:after="0" w:line="240" w:lineRule="auto"/>
              <w:ind w:right="349"/>
              <w:jc w:val="right"/>
              <w:rPr>
                <w:sz w:val="18"/>
                <w:szCs w:val="18"/>
              </w:rPr>
            </w:pP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30B4B" w14:textId="77777777" w:rsidR="00453365" w:rsidRPr="003107DE" w:rsidRDefault="00453365">
            <w:pPr>
              <w:spacing w:after="0" w:line="240" w:lineRule="auto"/>
              <w:ind w:right="349"/>
              <w:jc w:val="right"/>
              <w:rPr>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4E473" w14:textId="77777777" w:rsidR="00453365" w:rsidRPr="003107DE" w:rsidRDefault="00453365">
            <w:pPr>
              <w:spacing w:after="0" w:line="240" w:lineRule="auto"/>
              <w:ind w:right="349"/>
              <w:jc w:val="right"/>
              <w:rPr>
                <w:sz w:val="18"/>
                <w:szCs w:val="18"/>
              </w:rPr>
            </w:pPr>
          </w:p>
        </w:tc>
      </w:tr>
      <w:tr w:rsidR="00453365" w:rsidRPr="009B6407" w14:paraId="0F5BE518" w14:textId="77777777" w:rsidTr="004B60C5">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3AFE4" w14:textId="77777777" w:rsidR="00453365" w:rsidRPr="00EF06AB" w:rsidRDefault="00453365">
            <w:pPr>
              <w:spacing w:after="0" w:line="240" w:lineRule="auto"/>
              <w:rPr>
                <w:rFonts w:cstheme="minorHAnsi"/>
                <w:i/>
                <w:iCs/>
                <w:color w:val="000000"/>
                <w:sz w:val="18"/>
                <w:szCs w:val="18"/>
                <w:lang w:eastAsia="en-AU"/>
              </w:rPr>
            </w:pPr>
            <w:r>
              <w:rPr>
                <w:rFonts w:cs="Arial"/>
                <w:i/>
                <w:iCs/>
                <w:color w:val="000000"/>
                <w:sz w:val="18"/>
                <w:szCs w:val="18"/>
                <w:lang w:eastAsia="en-AU"/>
              </w:rPr>
              <w:t xml:space="preserve">National </w:t>
            </w:r>
          </w:p>
        </w:tc>
        <w:tc>
          <w:tcPr>
            <w:tcW w:w="1455" w:type="dxa"/>
            <w:tcBorders>
              <w:top w:val="single" w:sz="4" w:space="0" w:color="auto"/>
              <w:left w:val="single" w:sz="4" w:space="0" w:color="auto"/>
              <w:bottom w:val="single" w:sz="4" w:space="0" w:color="auto"/>
              <w:right w:val="single" w:sz="4" w:space="0" w:color="auto"/>
            </w:tcBorders>
            <w:shd w:val="clear" w:color="auto" w:fill="auto"/>
            <w:noWrap/>
          </w:tcPr>
          <w:p w14:paraId="6A7F82E9" w14:textId="0E1D83DB" w:rsidR="00453365" w:rsidRPr="00B369E7" w:rsidRDefault="004E5307">
            <w:pPr>
              <w:spacing w:after="0" w:line="240" w:lineRule="auto"/>
              <w:ind w:right="349"/>
              <w:jc w:val="right"/>
              <w:rPr>
                <w:sz w:val="18"/>
                <w:szCs w:val="18"/>
              </w:rPr>
            </w:pPr>
            <w:r w:rsidRPr="00183978">
              <w:rPr>
                <w:sz w:val="18"/>
                <w:szCs w:val="18"/>
              </w:rPr>
              <w:t>33.6</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38CE109E" w14:textId="77EBCE36" w:rsidR="00453365" w:rsidRPr="00B369E7" w:rsidRDefault="004E5307">
            <w:pPr>
              <w:spacing w:after="0" w:line="240" w:lineRule="auto"/>
              <w:ind w:right="349"/>
              <w:jc w:val="right"/>
              <w:rPr>
                <w:sz w:val="18"/>
                <w:szCs w:val="18"/>
              </w:rPr>
            </w:pPr>
            <w:r w:rsidRPr="00183978">
              <w:rPr>
                <w:sz w:val="18"/>
                <w:szCs w:val="18"/>
              </w:rPr>
              <w:t>69.8</w:t>
            </w:r>
          </w:p>
        </w:tc>
        <w:tc>
          <w:tcPr>
            <w:tcW w:w="1455" w:type="dxa"/>
            <w:tcBorders>
              <w:top w:val="single" w:sz="4" w:space="0" w:color="auto"/>
              <w:left w:val="single" w:sz="4" w:space="0" w:color="auto"/>
              <w:bottom w:val="single" w:sz="4" w:space="0" w:color="auto"/>
              <w:right w:val="single" w:sz="4" w:space="0" w:color="auto"/>
            </w:tcBorders>
            <w:shd w:val="clear" w:color="auto" w:fill="auto"/>
            <w:noWrap/>
          </w:tcPr>
          <w:p w14:paraId="54604D6C" w14:textId="7D727142" w:rsidR="00453365" w:rsidRPr="00B369E7" w:rsidRDefault="004E5307">
            <w:pPr>
              <w:spacing w:after="0" w:line="240" w:lineRule="auto"/>
              <w:ind w:right="349"/>
              <w:jc w:val="right"/>
              <w:rPr>
                <w:sz w:val="18"/>
                <w:szCs w:val="18"/>
              </w:rPr>
            </w:pPr>
            <w:r w:rsidRPr="00183978">
              <w:rPr>
                <w:sz w:val="18"/>
                <w:szCs w:val="18"/>
              </w:rPr>
              <w:t>63.5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0D8701C7" w14:textId="5EE4199E" w:rsidR="00453365" w:rsidRPr="00B369E7" w:rsidRDefault="004E5307">
            <w:pPr>
              <w:spacing w:after="0" w:line="240" w:lineRule="auto"/>
              <w:ind w:right="349"/>
              <w:jc w:val="right"/>
              <w:rPr>
                <w:sz w:val="18"/>
                <w:szCs w:val="18"/>
              </w:rPr>
            </w:pPr>
            <w:r w:rsidRPr="00183978">
              <w:rPr>
                <w:sz w:val="18"/>
                <w:szCs w:val="18"/>
              </w:rPr>
              <w:t>63.5</w:t>
            </w:r>
          </w:p>
        </w:tc>
      </w:tr>
      <w:tr w:rsidR="00453365" w:rsidRPr="009B6407" w14:paraId="07EE4204"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08D3A" w14:textId="77777777" w:rsidR="00453365" w:rsidRPr="00EF06AB" w:rsidRDefault="00453365">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(Home Institution)</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6DD2A" w14:textId="4BD6AF8D" w:rsidR="00453365" w:rsidRPr="00B369E7" w:rsidRDefault="00A64101">
            <w:pPr>
              <w:spacing w:after="0" w:line="240" w:lineRule="auto"/>
              <w:ind w:right="349"/>
              <w:jc w:val="right"/>
              <w:rPr>
                <w:sz w:val="18"/>
                <w:szCs w:val="18"/>
              </w:rPr>
            </w:pPr>
            <w:r w:rsidRPr="00183978">
              <w:rPr>
                <w:rFonts w:cs="Arial"/>
                <w:color w:val="000000"/>
                <w:sz w:val="18"/>
                <w:szCs w:val="18"/>
              </w:rPr>
              <w:t>33.6</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F47BB" w14:textId="593E284B" w:rsidR="00453365" w:rsidRPr="00B369E7" w:rsidRDefault="00A64101">
            <w:pPr>
              <w:spacing w:after="0" w:line="240" w:lineRule="auto"/>
              <w:ind w:right="349"/>
              <w:jc w:val="right"/>
              <w:rPr>
                <w:sz w:val="18"/>
                <w:szCs w:val="18"/>
              </w:rPr>
            </w:pPr>
            <w:r w:rsidRPr="00183978">
              <w:rPr>
                <w:rFonts w:cs="Arial"/>
                <w:color w:val="000000"/>
                <w:sz w:val="18"/>
                <w:szCs w:val="18"/>
              </w:rPr>
              <w:t>66.4</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FC8F9" w14:textId="036794A6" w:rsidR="00453365" w:rsidRPr="00B369E7" w:rsidRDefault="00A64101">
            <w:pPr>
              <w:spacing w:after="0" w:line="240" w:lineRule="auto"/>
              <w:ind w:right="349"/>
              <w:jc w:val="right"/>
              <w:rPr>
                <w:sz w:val="18"/>
                <w:szCs w:val="18"/>
              </w:rPr>
            </w:pPr>
            <w:r w:rsidRPr="00183978">
              <w:rPr>
                <w:rFonts w:cs="Arial"/>
                <w:color w:val="000000"/>
                <w:sz w:val="18"/>
                <w:szCs w:val="18"/>
              </w:rPr>
              <w:t>61.2</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DABA1" w14:textId="701FD50A" w:rsidR="00453365" w:rsidRPr="00B369E7" w:rsidRDefault="00A64101">
            <w:pPr>
              <w:spacing w:after="0" w:line="240" w:lineRule="auto"/>
              <w:ind w:right="349"/>
              <w:jc w:val="right"/>
              <w:rPr>
                <w:sz w:val="18"/>
                <w:szCs w:val="18"/>
              </w:rPr>
            </w:pPr>
            <w:r w:rsidRPr="00183978">
              <w:rPr>
                <w:rFonts w:cs="Arial"/>
                <w:color w:val="000000"/>
                <w:sz w:val="18"/>
                <w:szCs w:val="18"/>
              </w:rPr>
              <w:t>61.2</w:t>
            </w:r>
          </w:p>
        </w:tc>
      </w:tr>
      <w:tr w:rsidR="00453365" w:rsidRPr="009B6407" w14:paraId="211BDB22" w14:textId="77777777">
        <w:trPr>
          <w:trHeight w:val="315"/>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7571D" w14:textId="77777777" w:rsidR="00453365" w:rsidRPr="00EF06AB" w:rsidRDefault="00453365">
            <w:pPr>
              <w:spacing w:after="0" w:line="240" w:lineRule="auto"/>
              <w:rPr>
                <w:rFonts w:cstheme="minorHAnsi"/>
                <w:i/>
                <w:iCs/>
                <w:color w:val="000000"/>
                <w:sz w:val="18"/>
                <w:szCs w:val="18"/>
                <w:lang w:eastAsia="en-AU"/>
              </w:rPr>
            </w:pPr>
            <w:r w:rsidRPr="00EF06AB">
              <w:rPr>
                <w:rFonts w:cstheme="minorHAnsi"/>
                <w:i/>
                <w:iCs/>
                <w:color w:val="000000"/>
                <w:sz w:val="18"/>
                <w:szCs w:val="18"/>
                <w:lang w:eastAsia="en-AU"/>
              </w:rPr>
              <w:t>State/Territory (</w:t>
            </w:r>
            <w:r>
              <w:rPr>
                <w:rFonts w:cstheme="minorHAnsi"/>
                <w:i/>
                <w:iCs/>
                <w:color w:val="000000"/>
                <w:sz w:val="18"/>
                <w:szCs w:val="18"/>
                <w:lang w:eastAsia="en-AU"/>
              </w:rPr>
              <w:t>All</w:t>
            </w:r>
            <w:r w:rsidRPr="00EF06AB">
              <w:rPr>
                <w:rFonts w:cstheme="minorHAnsi"/>
                <w:i/>
                <w:iCs/>
                <w:color w:val="000000"/>
                <w:sz w:val="18"/>
                <w:szCs w:val="18"/>
                <w:lang w:eastAsia="en-AU"/>
              </w:rPr>
              <w:t xml:space="preserve"> Institution</w:t>
            </w:r>
            <w:r>
              <w:rPr>
                <w:rFonts w:cstheme="minorHAnsi"/>
                <w:i/>
                <w:iCs/>
                <w:color w:val="000000"/>
                <w:sz w:val="18"/>
                <w:szCs w:val="18"/>
                <w:lang w:eastAsia="en-AU"/>
              </w:rPr>
              <w:t>s</w:t>
            </w:r>
            <w:r w:rsidRPr="00EF06AB">
              <w:rPr>
                <w:rFonts w:cstheme="minorHAnsi"/>
                <w:i/>
                <w:iCs/>
                <w:color w:val="000000"/>
                <w:sz w:val="18"/>
                <w:szCs w:val="18"/>
                <w:lang w:eastAsia="en-AU"/>
              </w:rPr>
              <w:t>)</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5CE33" w14:textId="77777777" w:rsidR="00453365" w:rsidRPr="00B369E7" w:rsidRDefault="00453365">
            <w:pPr>
              <w:spacing w:after="0" w:line="240" w:lineRule="auto"/>
              <w:ind w:right="349"/>
              <w:jc w:val="right"/>
              <w:rPr>
                <w:sz w:val="18"/>
                <w:szCs w:val="18"/>
              </w:rPr>
            </w:pPr>
            <w:r w:rsidRPr="00B369E7">
              <w:rPr>
                <w:rFonts w:cs="Arial"/>
                <w:color w:val="000000"/>
                <w:sz w:val="18"/>
                <w:szCs w:val="18"/>
              </w:rPr>
              <w:t>37.1</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44C20" w14:textId="77777777" w:rsidR="00453365" w:rsidRPr="00B369E7" w:rsidRDefault="00453365">
            <w:pPr>
              <w:spacing w:after="0" w:line="240" w:lineRule="auto"/>
              <w:ind w:right="349"/>
              <w:jc w:val="right"/>
              <w:rPr>
                <w:sz w:val="18"/>
                <w:szCs w:val="18"/>
              </w:rPr>
            </w:pPr>
            <w:r w:rsidRPr="00B369E7">
              <w:rPr>
                <w:rFonts w:cs="Arial"/>
                <w:color w:val="000000"/>
                <w:sz w:val="18"/>
                <w:szCs w:val="18"/>
              </w:rPr>
              <w:t>66.4</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93A0C" w14:textId="77777777" w:rsidR="00453365" w:rsidRPr="00B369E7" w:rsidRDefault="00453365">
            <w:pPr>
              <w:spacing w:after="0" w:line="240" w:lineRule="auto"/>
              <w:ind w:right="349"/>
              <w:jc w:val="right"/>
              <w:rPr>
                <w:sz w:val="18"/>
                <w:szCs w:val="18"/>
              </w:rPr>
            </w:pPr>
            <w:r w:rsidRPr="00B369E7">
              <w:rPr>
                <w:rFonts w:cs="Arial"/>
                <w:color w:val="000000"/>
                <w:sz w:val="18"/>
                <w:szCs w:val="18"/>
              </w:rPr>
              <w:t>59.2</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4B0B5" w14:textId="77777777" w:rsidR="00453365" w:rsidRPr="00B369E7" w:rsidRDefault="00453365">
            <w:pPr>
              <w:spacing w:after="0" w:line="240" w:lineRule="auto"/>
              <w:ind w:right="349"/>
              <w:jc w:val="right"/>
              <w:rPr>
                <w:sz w:val="18"/>
                <w:szCs w:val="18"/>
              </w:rPr>
            </w:pPr>
            <w:r w:rsidRPr="00B369E7">
              <w:rPr>
                <w:rFonts w:cs="Arial"/>
                <w:color w:val="000000"/>
                <w:sz w:val="18"/>
                <w:szCs w:val="18"/>
              </w:rPr>
              <w:t>59.2</w:t>
            </w:r>
          </w:p>
        </w:tc>
      </w:tr>
    </w:tbl>
    <w:p w14:paraId="44B276DA" w14:textId="76D616AA" w:rsidR="00453365" w:rsidRDefault="00453365" w:rsidP="00453365">
      <w:pPr>
        <w:spacing w:line="240" w:lineRule="auto"/>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5877EB20" w14:textId="77777777" w:rsidR="00453365" w:rsidRDefault="00453365" w:rsidP="00AD5A0B">
      <w:pPr>
        <w:spacing w:line="240" w:lineRule="auto"/>
        <w:rPr>
          <w:rFonts w:cs="Arial"/>
          <w:sz w:val="18"/>
          <w:szCs w:val="18"/>
        </w:rPr>
      </w:pPr>
    </w:p>
    <w:p w14:paraId="0CB5EADE" w14:textId="4F158A02" w:rsidR="00F37823" w:rsidRDefault="0026150D">
      <w:pPr>
        <w:rPr>
          <w:rFonts w:eastAsiaTheme="majorEastAsia"/>
        </w:rPr>
      </w:pPr>
      <w:r>
        <w:rPr>
          <w:rFonts w:eastAsiaTheme="majorEastAsia"/>
        </w:rPr>
        <w:t>By way of example</w:t>
      </w:r>
      <w:r w:rsidR="00AE1074">
        <w:rPr>
          <w:rFonts w:eastAsiaTheme="majorEastAsia"/>
        </w:rPr>
        <w:t>,</w:t>
      </w:r>
      <w:r w:rsidR="00504372">
        <w:rPr>
          <w:rFonts w:eastAsiaTheme="majorEastAsia"/>
        </w:rPr>
        <w:t xml:space="preserve"> Figure </w:t>
      </w:r>
      <w:r w:rsidR="00EB5C85">
        <w:rPr>
          <w:rFonts w:eastAsiaTheme="majorEastAsia"/>
        </w:rPr>
        <w:t>3</w:t>
      </w:r>
      <w:r w:rsidR="00504372">
        <w:rPr>
          <w:rFonts w:eastAsiaTheme="majorEastAsia"/>
        </w:rPr>
        <w:t xml:space="preserve"> reports </w:t>
      </w:r>
      <w:r w:rsidR="00DF0E26">
        <w:rPr>
          <w:rFonts w:eastAsiaTheme="majorEastAsia"/>
        </w:rPr>
        <w:t>the growth path</w:t>
      </w:r>
      <w:r w:rsidR="00B30168">
        <w:rPr>
          <w:rFonts w:eastAsiaTheme="majorEastAsia"/>
        </w:rPr>
        <w:t>s</w:t>
      </w:r>
      <w:r w:rsidR="00344E37">
        <w:rPr>
          <w:rFonts w:eastAsiaTheme="majorEastAsia"/>
        </w:rPr>
        <w:t xml:space="preserve"> in </w:t>
      </w:r>
      <w:r w:rsidR="000967DB">
        <w:rPr>
          <w:rFonts w:eastAsiaTheme="majorEastAsia"/>
        </w:rPr>
        <w:t>the</w:t>
      </w:r>
      <w:r w:rsidR="00344E37">
        <w:rPr>
          <w:rFonts w:eastAsiaTheme="majorEastAsia"/>
        </w:rPr>
        <w:t xml:space="preserve"> </w:t>
      </w:r>
      <w:r w:rsidR="000967DB">
        <w:rPr>
          <w:rFonts w:eastAsiaTheme="majorEastAsia"/>
          <w:i/>
          <w:iCs/>
        </w:rPr>
        <w:t xml:space="preserve">Equity Group </w:t>
      </w:r>
      <w:r w:rsidR="00A23793">
        <w:rPr>
          <w:rFonts w:eastAsiaTheme="majorEastAsia"/>
        </w:rPr>
        <w:t>student</w:t>
      </w:r>
      <w:r w:rsidR="000E2A4A">
        <w:rPr>
          <w:rFonts w:eastAsiaTheme="majorEastAsia"/>
        </w:rPr>
        <w:t xml:space="preserve"> </w:t>
      </w:r>
      <w:r w:rsidR="00E47CCB">
        <w:rPr>
          <w:rFonts w:eastAsiaTheme="majorEastAsia"/>
        </w:rPr>
        <w:t>participation rate</w:t>
      </w:r>
      <w:r w:rsidR="00DF0E26">
        <w:rPr>
          <w:rFonts w:eastAsiaTheme="majorEastAsia"/>
        </w:rPr>
        <w:t xml:space="preserve"> </w:t>
      </w:r>
      <w:r w:rsidR="00A23793">
        <w:rPr>
          <w:rFonts w:eastAsiaTheme="majorEastAsia"/>
        </w:rPr>
        <w:t>and enrolments</w:t>
      </w:r>
      <w:r w:rsidR="00DF0E26">
        <w:rPr>
          <w:rFonts w:eastAsiaTheme="majorEastAsia"/>
        </w:rPr>
        <w:t xml:space="preserve"> required</w:t>
      </w:r>
      <w:r w:rsidR="00D469FE">
        <w:rPr>
          <w:rFonts w:eastAsiaTheme="majorEastAsia"/>
        </w:rPr>
        <w:t xml:space="preserve"> </w:t>
      </w:r>
      <w:r w:rsidR="00E4398E">
        <w:rPr>
          <w:rFonts w:eastAsiaTheme="majorEastAsia"/>
        </w:rPr>
        <w:t xml:space="preserve">under the </w:t>
      </w:r>
      <w:r w:rsidR="00E4398E">
        <w:rPr>
          <w:rFonts w:eastAsiaTheme="majorEastAsia"/>
          <w:i/>
          <w:iCs/>
        </w:rPr>
        <w:t xml:space="preserve">Equal Effort </w:t>
      </w:r>
      <w:r w:rsidR="00E4398E">
        <w:rPr>
          <w:rFonts w:eastAsiaTheme="majorEastAsia"/>
        </w:rPr>
        <w:t xml:space="preserve">policy option </w:t>
      </w:r>
      <w:r w:rsidR="00EB104B">
        <w:rPr>
          <w:rFonts w:eastAsiaTheme="majorEastAsia"/>
        </w:rPr>
        <w:t>with</w:t>
      </w:r>
      <w:r w:rsidR="00E4398E">
        <w:rPr>
          <w:rFonts w:eastAsiaTheme="majorEastAsia"/>
        </w:rPr>
        <w:t xml:space="preserve"> a </w:t>
      </w:r>
      <w:r w:rsidR="00E4398E">
        <w:rPr>
          <w:rFonts w:eastAsiaTheme="majorEastAsia"/>
          <w:i/>
          <w:iCs/>
        </w:rPr>
        <w:t xml:space="preserve">State/Territory (Home Institution) </w:t>
      </w:r>
      <w:r w:rsidR="00E4398E">
        <w:rPr>
          <w:rFonts w:eastAsiaTheme="majorEastAsia"/>
        </w:rPr>
        <w:t xml:space="preserve">parity target, </w:t>
      </w:r>
      <w:r w:rsidR="00EB104B">
        <w:rPr>
          <w:rFonts w:eastAsiaTheme="majorEastAsia"/>
        </w:rPr>
        <w:t xml:space="preserve">for </w:t>
      </w:r>
      <w:r w:rsidR="00636DBF">
        <w:rPr>
          <w:rFonts w:eastAsiaTheme="majorEastAsia"/>
        </w:rPr>
        <w:t>timeframes to</w:t>
      </w:r>
      <w:r w:rsidR="00EB104B">
        <w:rPr>
          <w:rFonts w:eastAsiaTheme="majorEastAsia"/>
        </w:rPr>
        <w:t xml:space="preserve"> 2035 and 20</w:t>
      </w:r>
      <w:r w:rsidR="009063C5">
        <w:rPr>
          <w:rFonts w:eastAsiaTheme="majorEastAsia"/>
        </w:rPr>
        <w:t>50.</w:t>
      </w:r>
      <w:r w:rsidR="009B6218">
        <w:rPr>
          <w:rFonts w:eastAsiaTheme="majorEastAsia"/>
        </w:rPr>
        <w:t xml:space="preserve"> </w:t>
      </w:r>
      <w:r w:rsidR="00C72AD3">
        <w:rPr>
          <w:rFonts w:eastAsiaTheme="majorEastAsia"/>
        </w:rPr>
        <w:t>T</w:t>
      </w:r>
      <w:r w:rsidR="00BD1B90">
        <w:rPr>
          <w:rFonts w:eastAsiaTheme="majorEastAsia"/>
        </w:rPr>
        <w:t xml:space="preserve">he </w:t>
      </w:r>
      <w:r w:rsidR="00C72AD3">
        <w:rPr>
          <w:rFonts w:eastAsiaTheme="majorEastAsia"/>
        </w:rPr>
        <w:t xml:space="preserve">participation rate plot </w:t>
      </w:r>
      <w:proofErr w:type="gramStart"/>
      <w:r w:rsidR="00C72AD3">
        <w:rPr>
          <w:rFonts w:eastAsiaTheme="majorEastAsia"/>
        </w:rPr>
        <w:t xml:space="preserve">in particular </w:t>
      </w:r>
      <w:r w:rsidR="00176512">
        <w:rPr>
          <w:rFonts w:eastAsiaTheme="majorEastAsia"/>
        </w:rPr>
        <w:t>demonstrates</w:t>
      </w:r>
      <w:proofErr w:type="gramEnd"/>
      <w:r w:rsidR="00176512">
        <w:rPr>
          <w:rFonts w:eastAsiaTheme="majorEastAsia"/>
        </w:rPr>
        <w:t xml:space="preserve"> the </w:t>
      </w:r>
      <w:r w:rsidR="00DC738F">
        <w:rPr>
          <w:rFonts w:eastAsiaTheme="majorEastAsia"/>
        </w:rPr>
        <w:t>difference in the</w:t>
      </w:r>
      <w:r w:rsidR="00176512">
        <w:rPr>
          <w:rFonts w:eastAsiaTheme="majorEastAsia"/>
        </w:rPr>
        <w:t xml:space="preserve"> </w:t>
      </w:r>
      <w:r w:rsidR="00D64D61">
        <w:rPr>
          <w:rFonts w:eastAsiaTheme="majorEastAsia"/>
        </w:rPr>
        <w:t xml:space="preserve">gradient </w:t>
      </w:r>
      <w:r w:rsidR="00DC738F">
        <w:rPr>
          <w:rFonts w:eastAsiaTheme="majorEastAsia"/>
        </w:rPr>
        <w:t>of expansion between 20</w:t>
      </w:r>
      <w:r w:rsidR="001A5BE7">
        <w:rPr>
          <w:rFonts w:eastAsiaTheme="majorEastAsia"/>
        </w:rPr>
        <w:t>3</w:t>
      </w:r>
      <w:r w:rsidR="00DC738F">
        <w:rPr>
          <w:rFonts w:eastAsiaTheme="majorEastAsia"/>
        </w:rPr>
        <w:t>5 and the longer timeframe</w:t>
      </w:r>
      <w:r w:rsidR="00346FA2">
        <w:rPr>
          <w:rFonts w:eastAsiaTheme="majorEastAsia"/>
        </w:rPr>
        <w:t xml:space="preserve">, with the enrolment time paths demonstrating the implication this has for </w:t>
      </w:r>
      <w:r w:rsidR="00742E3A">
        <w:rPr>
          <w:rFonts w:eastAsiaTheme="majorEastAsia"/>
        </w:rPr>
        <w:t xml:space="preserve">equity student numbers to 2035 under both </w:t>
      </w:r>
      <w:r w:rsidR="009D586D">
        <w:rPr>
          <w:rFonts w:eastAsiaTheme="majorEastAsia"/>
        </w:rPr>
        <w:t xml:space="preserve">timeframes. </w:t>
      </w:r>
    </w:p>
    <w:p w14:paraId="7C2B9D15" w14:textId="77777777" w:rsidR="009063C5" w:rsidRDefault="009063C5" w:rsidP="009063C5">
      <w:pPr>
        <w:pStyle w:val="Caption"/>
        <w:ind w:left="851" w:hanging="851"/>
        <w:rPr>
          <w:color w:val="auto"/>
        </w:rPr>
      </w:pPr>
    </w:p>
    <w:p w14:paraId="1A8DCAAF" w14:textId="77777777" w:rsidR="00636DBF" w:rsidRDefault="00636DBF">
      <w:pPr>
        <w:rPr>
          <w:rFonts w:eastAsiaTheme="minorEastAsia"/>
          <w:b/>
          <w:bCs/>
          <w:color w:val="auto"/>
          <w:sz w:val="18"/>
          <w:szCs w:val="18"/>
        </w:rPr>
      </w:pPr>
      <w:r>
        <w:rPr>
          <w:color w:val="auto"/>
        </w:rPr>
        <w:br w:type="page"/>
      </w:r>
    </w:p>
    <w:p w14:paraId="2AA23B63" w14:textId="0078ECB9" w:rsidR="009063C5" w:rsidRDefault="009063C5" w:rsidP="00A160A2">
      <w:pPr>
        <w:pStyle w:val="Caption"/>
        <w:rPr>
          <w:b w:val="0"/>
          <w:bCs w:val="0"/>
          <w:color w:val="auto"/>
        </w:rPr>
      </w:pPr>
      <w:r>
        <w:rPr>
          <w:color w:val="auto"/>
        </w:rPr>
        <w:lastRenderedPageBreak/>
        <w:t xml:space="preserve">Figure </w:t>
      </w:r>
      <w:r w:rsidR="00EB5C85">
        <w:rPr>
          <w:color w:val="auto"/>
        </w:rPr>
        <w:t>3</w:t>
      </w:r>
      <w:r w:rsidRPr="003873F1">
        <w:rPr>
          <w:color w:val="auto"/>
        </w:rPr>
        <w:t>:</w:t>
      </w:r>
      <w:r w:rsidRPr="003873F1">
        <w:rPr>
          <w:b w:val="0"/>
          <w:bCs w:val="0"/>
          <w:color w:val="auto"/>
        </w:rPr>
        <w:t xml:space="preserve"> </w:t>
      </w:r>
      <w:r w:rsidR="008904BA">
        <w:rPr>
          <w:b w:val="0"/>
          <w:bCs w:val="0"/>
          <w:i/>
          <w:iCs/>
          <w:color w:val="auto"/>
        </w:rPr>
        <w:t xml:space="preserve"> </w:t>
      </w:r>
      <w:r w:rsidR="000967DB" w:rsidRPr="000967DB">
        <w:rPr>
          <w:b w:val="0"/>
          <w:bCs w:val="0"/>
          <w:i/>
          <w:iCs/>
          <w:color w:val="auto"/>
        </w:rPr>
        <w:t>Equity Group</w:t>
      </w:r>
      <w:r w:rsidR="00A23793" w:rsidRPr="000967DB">
        <w:rPr>
          <w:b w:val="0"/>
          <w:i/>
          <w:color w:val="auto"/>
        </w:rPr>
        <w:t xml:space="preserve"> </w:t>
      </w:r>
      <w:r w:rsidR="00A23793">
        <w:rPr>
          <w:b w:val="0"/>
          <w:bCs w:val="0"/>
          <w:color w:val="auto"/>
        </w:rPr>
        <w:t>Student</w:t>
      </w:r>
      <w:r>
        <w:rPr>
          <w:b w:val="0"/>
          <w:bCs w:val="0"/>
          <w:color w:val="auto"/>
        </w:rPr>
        <w:t xml:space="preserve"> </w:t>
      </w:r>
      <w:r w:rsidR="00C0042F">
        <w:rPr>
          <w:b w:val="0"/>
          <w:bCs w:val="0"/>
          <w:color w:val="auto"/>
        </w:rPr>
        <w:t xml:space="preserve">Outcomes under </w:t>
      </w:r>
      <w:r w:rsidR="008904BA">
        <w:rPr>
          <w:b w:val="0"/>
          <w:bCs w:val="0"/>
          <w:color w:val="auto"/>
        </w:rPr>
        <w:t xml:space="preserve">a </w:t>
      </w:r>
      <w:r w:rsidR="008904BA">
        <w:rPr>
          <w:b w:val="0"/>
          <w:bCs w:val="0"/>
          <w:i/>
          <w:iCs/>
          <w:color w:val="auto"/>
        </w:rPr>
        <w:t xml:space="preserve">State/Territory (Home Institution) Target </w:t>
      </w:r>
      <w:r w:rsidR="008904BA">
        <w:rPr>
          <w:b w:val="0"/>
          <w:bCs w:val="0"/>
          <w:color w:val="auto"/>
        </w:rPr>
        <w:t xml:space="preserve">under the </w:t>
      </w:r>
      <w:r w:rsidR="008904BA">
        <w:rPr>
          <w:b w:val="0"/>
          <w:bCs w:val="0"/>
          <w:i/>
          <w:iCs/>
          <w:color w:val="auto"/>
        </w:rPr>
        <w:t>Equal Effort</w:t>
      </w:r>
      <w:r>
        <w:rPr>
          <w:b w:val="0"/>
          <w:bCs w:val="0"/>
          <w:color w:val="auto"/>
        </w:rPr>
        <w:t xml:space="preserve"> Policy Option</w:t>
      </w:r>
      <w:r w:rsidR="00636DBF">
        <w:rPr>
          <w:b w:val="0"/>
          <w:bCs w:val="0"/>
          <w:color w:val="auto"/>
        </w:rPr>
        <w:t xml:space="preserve">: </w:t>
      </w:r>
      <w:r w:rsidR="00C0042F">
        <w:rPr>
          <w:b w:val="0"/>
          <w:bCs w:val="0"/>
          <w:color w:val="auto"/>
        </w:rPr>
        <w:t>(a) Participation Rate</w:t>
      </w:r>
      <w:r w:rsidR="00636DBF">
        <w:rPr>
          <w:b w:val="0"/>
          <w:bCs w:val="0"/>
          <w:color w:val="auto"/>
        </w:rPr>
        <w:t xml:space="preserve"> </w:t>
      </w:r>
      <w:r w:rsidR="00044698">
        <w:rPr>
          <w:b w:val="0"/>
          <w:bCs w:val="0"/>
          <w:color w:val="auto"/>
        </w:rPr>
        <w:t>and (b) Enrolments,</w:t>
      </w:r>
      <w:r w:rsidR="00636DBF">
        <w:rPr>
          <w:b w:val="0"/>
          <w:bCs w:val="0"/>
          <w:color w:val="auto"/>
        </w:rPr>
        <w:t xml:space="preserve"> 2035 and 2050 timeframes. </w:t>
      </w:r>
    </w:p>
    <w:p w14:paraId="666A42B8" w14:textId="15A6D1FD" w:rsidR="0038018C" w:rsidRPr="0038018C" w:rsidRDefault="0038018C" w:rsidP="0038018C">
      <w:r>
        <w:rPr>
          <w:color w:val="auto"/>
        </w:rPr>
        <w:t>(</w:t>
      </w:r>
      <w:r w:rsidRPr="0038018C">
        <w:rPr>
          <w:rFonts w:eastAsiaTheme="minorEastAsia"/>
          <w:color w:val="auto"/>
          <w:sz w:val="18"/>
          <w:szCs w:val="18"/>
        </w:rPr>
        <w:t>a) Participation Rate</w:t>
      </w:r>
    </w:p>
    <w:p w14:paraId="7C0880EF" w14:textId="767DACA0" w:rsidR="00634321" w:rsidRPr="00634321" w:rsidRDefault="00CE0456" w:rsidP="001A5BE7">
      <w:pPr>
        <w:jc w:val="center"/>
      </w:pPr>
      <w:r>
        <w:rPr>
          <w:noProof/>
        </w:rPr>
        <w:drawing>
          <wp:inline distT="0" distB="0" distL="0" distR="0" wp14:anchorId="4E547AE6" wp14:editId="1B217503">
            <wp:extent cx="6153150" cy="2905125"/>
            <wp:effectExtent l="0" t="0" r="0" b="9525"/>
            <wp:docPr id="176952" name="Chart 1" descr="Line graph for Participation Rate, Equity Group Student Outcomes under a State/Territory (Home Institution) Target under the Equal Effort Policy Option. One line shows 2035 target and a second line shows 2050 target. ">
              <a:extLst xmlns:a="http://schemas.openxmlformats.org/drawingml/2006/main">
                <a:ext uri="{FF2B5EF4-FFF2-40B4-BE49-F238E27FC236}">
                  <a16:creationId xmlns:a16="http://schemas.microsoft.com/office/drawing/2014/main" id="{3F87126E-51DB-472D-84F4-B5D9D63C9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000FAE1" w14:textId="4C489DAF" w:rsidR="00904195" w:rsidRPr="0038018C" w:rsidRDefault="0038018C" w:rsidP="0038018C">
      <w:pPr>
        <w:rPr>
          <w:rFonts w:eastAsiaTheme="minorEastAsia"/>
          <w:color w:val="auto"/>
          <w:sz w:val="18"/>
          <w:szCs w:val="18"/>
        </w:rPr>
      </w:pPr>
      <w:r>
        <w:rPr>
          <w:rFonts w:eastAsiaTheme="minorEastAsia"/>
          <w:color w:val="auto"/>
          <w:sz w:val="18"/>
          <w:szCs w:val="18"/>
        </w:rPr>
        <w:br/>
      </w:r>
      <w:r w:rsidRPr="0038018C">
        <w:rPr>
          <w:rFonts w:eastAsiaTheme="minorEastAsia"/>
          <w:color w:val="auto"/>
          <w:sz w:val="18"/>
          <w:szCs w:val="18"/>
        </w:rPr>
        <w:t>(b) Enrolments</w:t>
      </w:r>
    </w:p>
    <w:p w14:paraId="7F5D6BC0" w14:textId="57952C42" w:rsidR="009063C5" w:rsidRDefault="00904195">
      <w:pPr>
        <w:rPr>
          <w:rFonts w:eastAsiaTheme="majorEastAsia"/>
        </w:rPr>
      </w:pPr>
      <w:r>
        <w:rPr>
          <w:noProof/>
        </w:rPr>
        <w:drawing>
          <wp:inline distT="0" distB="0" distL="0" distR="0" wp14:anchorId="10CFD6AB" wp14:editId="30555EC7">
            <wp:extent cx="6143625" cy="3162300"/>
            <wp:effectExtent l="0" t="0" r="9525" b="0"/>
            <wp:docPr id="1868747978" name="Chart 1" descr="Line graph for Enrolments, Equity Group Student Outcomes under a State/Territory (Home Institution) Target under the Equal Effort Policy Option. One line shows 2035 target and a second line shows 2050 target. ">
              <a:extLst xmlns:a="http://schemas.openxmlformats.org/drawingml/2006/main">
                <a:ext uri="{FF2B5EF4-FFF2-40B4-BE49-F238E27FC236}">
                  <a16:creationId xmlns:a16="http://schemas.microsoft.com/office/drawing/2014/main" id="{46C35AB9-6B1F-4B94-8901-DE626B1BA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D01D88B" w14:textId="575258C2" w:rsidR="004F3701" w:rsidRDefault="004F3701" w:rsidP="007E723E">
      <w:pPr>
        <w:jc w:val="center"/>
        <w:rPr>
          <w:rFonts w:eastAsiaTheme="majorEastAsia"/>
        </w:rPr>
      </w:pPr>
    </w:p>
    <w:p w14:paraId="11B15114" w14:textId="4C12C4E1" w:rsidR="003441AF" w:rsidRDefault="0026150D">
      <w:pPr>
        <w:rPr>
          <w:rFonts w:eastAsiaTheme="majorEastAsia"/>
        </w:rPr>
      </w:pPr>
      <w:r>
        <w:rPr>
          <w:rFonts w:eastAsiaTheme="majorEastAsia"/>
        </w:rPr>
        <w:t xml:space="preserve"> </w:t>
      </w:r>
    </w:p>
    <w:p w14:paraId="4CC6E404" w14:textId="77777777" w:rsidR="00F13718" w:rsidRDefault="00F13718">
      <w:pPr>
        <w:rPr>
          <w:rFonts w:eastAsiaTheme="majorEastAsia"/>
        </w:rPr>
      </w:pPr>
    </w:p>
    <w:p w14:paraId="4124B859" w14:textId="3243BA71" w:rsidR="0070233C" w:rsidRDefault="00F13718" w:rsidP="00E023C1">
      <w:pPr>
        <w:pStyle w:val="Heading1"/>
      </w:pPr>
      <w:r>
        <w:br w:type="page"/>
      </w:r>
      <w:bookmarkStart w:id="25" w:name="_Toc171511585"/>
      <w:r w:rsidR="0070233C">
        <w:lastRenderedPageBreak/>
        <w:t>The Recommended Parity Target Option</w:t>
      </w:r>
      <w:bookmarkEnd w:id="25"/>
    </w:p>
    <w:p w14:paraId="2AE16F0B" w14:textId="77777777" w:rsidR="00CC283B" w:rsidRDefault="00CC283B" w:rsidP="00370334"/>
    <w:p w14:paraId="0152A10C" w14:textId="6E033FDD" w:rsidR="0045563F" w:rsidRDefault="00C35504" w:rsidP="00370334">
      <w:r>
        <w:t>The dominant consideration in setting a parity target is the extent to which it can be realistically met in view of overall changes in the system (in relation to both participation and completion)</w:t>
      </w:r>
      <w:r w:rsidR="00785C1E">
        <w:t xml:space="preserve"> and for individual institutions. </w:t>
      </w:r>
      <w:r w:rsidR="006B57B5">
        <w:br/>
      </w:r>
    </w:p>
    <w:p w14:paraId="25C50F48" w14:textId="33669ADE" w:rsidR="00D87ECA" w:rsidRDefault="00D87ECA" w:rsidP="00B0246A">
      <w:pPr>
        <w:pStyle w:val="Heading2"/>
      </w:pPr>
      <w:r>
        <w:t xml:space="preserve">Considerations </w:t>
      </w:r>
    </w:p>
    <w:p w14:paraId="66EEBA9F" w14:textId="31102ED0" w:rsidR="00DA69BD" w:rsidRDefault="00DA69BD" w:rsidP="00370334">
      <w:r>
        <w:t xml:space="preserve">The findings from the projection work reported here indicate the following: </w:t>
      </w:r>
    </w:p>
    <w:p w14:paraId="7A150343" w14:textId="32D979C8" w:rsidR="007B271F" w:rsidRDefault="00DA69BD" w:rsidP="006B57B5">
      <w:pPr>
        <w:pStyle w:val="ListParagraph"/>
        <w:numPr>
          <w:ilvl w:val="0"/>
          <w:numId w:val="37"/>
        </w:numPr>
      </w:pPr>
      <w:r w:rsidRPr="006928B5">
        <w:rPr>
          <w:b/>
          <w:bCs/>
        </w:rPr>
        <w:t>Timeframes:</w:t>
      </w:r>
      <w:r>
        <w:t xml:space="preserve"> </w:t>
      </w:r>
      <w:r w:rsidR="005075CB">
        <w:t>As shown in Table 4, t</w:t>
      </w:r>
      <w:r w:rsidR="008572F1">
        <w:t xml:space="preserve">he </w:t>
      </w:r>
      <w:r w:rsidR="00B2192B">
        <w:t xml:space="preserve">observed </w:t>
      </w:r>
      <w:r w:rsidR="008572F1">
        <w:t xml:space="preserve">participation </w:t>
      </w:r>
      <w:r w:rsidR="00563CCE" w:rsidRPr="00F51256">
        <w:t>(</w:t>
      </w:r>
      <w:r w:rsidR="008572F1" w:rsidRPr="00F51256">
        <w:t>3</w:t>
      </w:r>
      <w:r w:rsidR="00A5272A" w:rsidRPr="00F51256">
        <w:t>9</w:t>
      </w:r>
      <w:r w:rsidR="008572F1" w:rsidRPr="00F51256">
        <w:t>.</w:t>
      </w:r>
      <w:r w:rsidR="00A5272A" w:rsidRPr="00F51256">
        <w:t>4</w:t>
      </w:r>
      <w:r w:rsidR="008572F1" w:rsidRPr="00F51256">
        <w:t>%</w:t>
      </w:r>
      <w:r w:rsidR="00563CCE" w:rsidRPr="00F51256">
        <w:t>)</w:t>
      </w:r>
      <w:r w:rsidR="00563CCE">
        <w:t xml:space="preserve"> </w:t>
      </w:r>
      <w:r w:rsidR="008572F1">
        <w:t xml:space="preserve">and </w:t>
      </w:r>
      <w:r w:rsidR="003A0C44">
        <w:t xml:space="preserve">completion </w:t>
      </w:r>
      <w:r w:rsidR="00563CCE">
        <w:t>(</w:t>
      </w:r>
      <w:r w:rsidR="003A0C44" w:rsidRPr="00CF1217">
        <w:t>3</w:t>
      </w:r>
      <w:r w:rsidR="00A5272A" w:rsidRPr="00F51256">
        <w:t>3</w:t>
      </w:r>
      <w:r w:rsidR="003A0C44" w:rsidRPr="00CF1217">
        <w:t>.</w:t>
      </w:r>
      <w:r w:rsidR="00A5272A" w:rsidRPr="00F51256">
        <w:t>6</w:t>
      </w:r>
      <w:r w:rsidR="003A0C44" w:rsidRPr="00CF1217">
        <w:t>%</w:t>
      </w:r>
      <w:r w:rsidR="00563CCE">
        <w:t>) share</w:t>
      </w:r>
      <w:r w:rsidR="00B2192B">
        <w:t xml:space="preserve">s </w:t>
      </w:r>
      <w:r w:rsidR="002D54D7">
        <w:t xml:space="preserve">for </w:t>
      </w:r>
      <w:r w:rsidR="002D54D7" w:rsidRPr="00AC4EA6">
        <w:rPr>
          <w:i/>
          <w:iCs/>
        </w:rPr>
        <w:t>Equity Group</w:t>
      </w:r>
      <w:r w:rsidR="002D54D7">
        <w:t xml:space="preserve"> in 2021 </w:t>
      </w:r>
      <w:r w:rsidR="00923EA3" w:rsidRPr="00CF1217">
        <w:t>contrast sharply with the</w:t>
      </w:r>
      <w:r w:rsidR="00563CCE">
        <w:t xml:space="preserve"> national </w:t>
      </w:r>
      <w:r w:rsidR="00DE21F0">
        <w:t xml:space="preserve">reference value for </w:t>
      </w:r>
      <w:r w:rsidR="00DE21F0" w:rsidRPr="00AC4EA6">
        <w:rPr>
          <w:i/>
          <w:iCs/>
        </w:rPr>
        <w:t>Equity Group</w:t>
      </w:r>
      <w:r w:rsidR="00DE21F0">
        <w:t xml:space="preserve"> of </w:t>
      </w:r>
      <w:r w:rsidR="00611DD7" w:rsidRPr="00CF1217">
        <w:t>49.1%</w:t>
      </w:r>
      <w:r w:rsidR="00CE08CF">
        <w:t>,</w:t>
      </w:r>
      <w:r w:rsidR="00DE21F0">
        <w:t xml:space="preserve"> which serves as the </w:t>
      </w:r>
      <w:r w:rsidR="002D54D7">
        <w:t xml:space="preserve">national </w:t>
      </w:r>
      <w:r w:rsidR="00DE21F0">
        <w:t>parity target</w:t>
      </w:r>
      <w:r w:rsidR="00B2192B">
        <w:t>. This</w:t>
      </w:r>
      <w:r w:rsidR="00423B04">
        <w:t xml:space="preserve"> necessarily implies a high share of additional enrolments</w:t>
      </w:r>
      <w:r w:rsidR="00D33CC7">
        <w:t xml:space="preserve"> to a given target year, be it 2035 or 2050, must be </w:t>
      </w:r>
      <w:r w:rsidR="00396192">
        <w:t>taken up by equity students in a system that is projected to</w:t>
      </w:r>
      <w:r w:rsidR="0005525E">
        <w:t xml:space="preserve"> see participation</w:t>
      </w:r>
      <w:r w:rsidR="00396192">
        <w:t xml:space="preserve"> expand by </w:t>
      </w:r>
      <w:r w:rsidR="00396192" w:rsidRPr="002A5CAB">
        <w:t>36.4%</w:t>
      </w:r>
      <w:r w:rsidR="00765B0D">
        <w:t xml:space="preserve"> and completion by 27%</w:t>
      </w:r>
      <w:r w:rsidR="0005525E" w:rsidRPr="002A5CAB">
        <w:t xml:space="preserve"> to 2035.</w:t>
      </w:r>
      <w:r w:rsidR="0005525E">
        <w:t xml:space="preserve"> </w:t>
      </w:r>
      <w:r w:rsidR="006B57B5">
        <w:br/>
      </w:r>
      <w:r w:rsidR="006B57B5">
        <w:br/>
      </w:r>
      <w:r w:rsidR="007031E5">
        <w:t xml:space="preserve">Thus, </w:t>
      </w:r>
      <w:r w:rsidR="002A7DF9">
        <w:t xml:space="preserve">the projections show a mismatch between the </w:t>
      </w:r>
      <w:r w:rsidR="006F6284">
        <w:t>level of growth required in equity enrolments to achieve population parity</w:t>
      </w:r>
      <w:r w:rsidR="001B41A9">
        <w:t xml:space="preserve"> and projected growth in the system overall </w:t>
      </w:r>
      <w:r w:rsidR="004C15DA">
        <w:t xml:space="preserve">for </w:t>
      </w:r>
      <w:r w:rsidR="001B41A9">
        <w:t>all timeframes</w:t>
      </w:r>
      <w:r w:rsidR="00987B8A">
        <w:t>. E</w:t>
      </w:r>
      <w:r w:rsidR="00AC4EA6">
        <w:t>ven projections to 205</w:t>
      </w:r>
      <w:r w:rsidR="00F67E59">
        <w:t>0</w:t>
      </w:r>
      <w:r w:rsidR="00AC4EA6">
        <w:t xml:space="preserve"> requir</w:t>
      </w:r>
      <w:r w:rsidR="00B06401">
        <w:t>e</w:t>
      </w:r>
      <w:r w:rsidR="00AC4EA6">
        <w:t xml:space="preserve"> a</w:t>
      </w:r>
      <w:r w:rsidR="00F67E59">
        <w:t xml:space="preserve">n </w:t>
      </w:r>
      <w:r w:rsidR="00F67E59" w:rsidRPr="006B57B5">
        <w:rPr>
          <w:i/>
          <w:iCs/>
        </w:rPr>
        <w:t xml:space="preserve">Equity </w:t>
      </w:r>
      <w:r w:rsidR="0090147A" w:rsidRPr="006B57B5">
        <w:rPr>
          <w:i/>
          <w:iCs/>
        </w:rPr>
        <w:t>G</w:t>
      </w:r>
      <w:r w:rsidR="00F67E59" w:rsidRPr="006B57B5">
        <w:rPr>
          <w:i/>
          <w:iCs/>
        </w:rPr>
        <w:t xml:space="preserve">roup </w:t>
      </w:r>
      <w:r w:rsidR="00F67E59">
        <w:t xml:space="preserve">share of </w:t>
      </w:r>
      <w:r w:rsidR="00F67E59" w:rsidRPr="00E0648F">
        <w:t>additional enrolments</w:t>
      </w:r>
      <w:r w:rsidR="00C10998" w:rsidRPr="00E0648F">
        <w:t xml:space="preserve"> (participation)</w:t>
      </w:r>
      <w:r w:rsidR="00F67E59" w:rsidRPr="00E0648F">
        <w:t xml:space="preserve"> ranging across the nine active policy options from</w:t>
      </w:r>
      <w:r w:rsidR="00C10998" w:rsidRPr="00E0648F">
        <w:t xml:space="preserve"> </w:t>
      </w:r>
      <w:r w:rsidR="00EA3DBB" w:rsidRPr="00E0648F">
        <w:t>55.9% to 7</w:t>
      </w:r>
      <w:r w:rsidR="00E0648F" w:rsidRPr="00F51256">
        <w:t>1</w:t>
      </w:r>
      <w:r w:rsidR="00EA3DBB" w:rsidRPr="00E0648F">
        <w:t>.</w:t>
      </w:r>
      <w:r w:rsidR="00E0648F" w:rsidRPr="00F51256">
        <w:t>5</w:t>
      </w:r>
      <w:r w:rsidR="00EA3DBB" w:rsidRPr="00E0648F">
        <w:t>%, with uniformly higher shares for completion, given the lower starting point</w:t>
      </w:r>
      <w:r w:rsidR="00D02BDE" w:rsidRPr="00E0648F">
        <w:t xml:space="preserve"> of 3</w:t>
      </w:r>
      <w:r w:rsidR="00307B0F" w:rsidRPr="00F51256">
        <w:t>3</w:t>
      </w:r>
      <w:r w:rsidR="00D02BDE" w:rsidRPr="00E0648F">
        <w:t>.</w:t>
      </w:r>
      <w:r w:rsidR="00307B0F" w:rsidRPr="00F51256">
        <w:t>6</w:t>
      </w:r>
      <w:r w:rsidR="00D02BDE" w:rsidRPr="00E0648F">
        <w:t>%.</w:t>
      </w:r>
      <w:r w:rsidR="00D02BDE">
        <w:t xml:space="preserve"> </w:t>
      </w:r>
      <w:r w:rsidR="006B57B5">
        <w:br/>
      </w:r>
      <w:r w:rsidR="008A4420" w:rsidRPr="00DE4A7B">
        <w:t>This necessitates the use of 2050 as the target year</w:t>
      </w:r>
      <w:r w:rsidR="0021415B" w:rsidRPr="00DE4A7B">
        <w:t>, but with the potential to include a</w:t>
      </w:r>
      <w:r w:rsidR="00DE4A7B" w:rsidRPr="00DE4A7B">
        <w:t>n</w:t>
      </w:r>
      <w:r w:rsidR="0021415B" w:rsidRPr="00DE4A7B">
        <w:t xml:space="preserve"> </w:t>
      </w:r>
      <w:r w:rsidR="008F6AF8" w:rsidRPr="00DE4A7B">
        <w:t xml:space="preserve">interim </w:t>
      </w:r>
      <w:r w:rsidR="0021415B" w:rsidRPr="00DE4A7B">
        <w:t>target for 2035</w:t>
      </w:r>
      <w:r w:rsidR="00331DEF" w:rsidRPr="00DE4A7B">
        <w:t xml:space="preserve"> based on the share of growth taking place to that </w:t>
      </w:r>
      <w:r w:rsidR="00331DEF" w:rsidRPr="00F51256">
        <w:t>year</w:t>
      </w:r>
      <w:r w:rsidR="00235403" w:rsidRPr="00F51256">
        <w:t>:</w:t>
      </w:r>
      <w:r w:rsidR="00331DEF" w:rsidRPr="00F51256">
        <w:t xml:space="preserve"> 2</w:t>
      </w:r>
      <w:r w:rsidR="00751150" w:rsidRPr="00F51256">
        <w:t>9</w:t>
      </w:r>
      <w:r w:rsidR="00331DEF" w:rsidRPr="00F51256">
        <w:t>.</w:t>
      </w:r>
      <w:r w:rsidR="00751150" w:rsidRPr="00F51256">
        <w:t>3</w:t>
      </w:r>
      <w:r w:rsidR="00331DEF" w:rsidRPr="00F51256">
        <w:t>%</w:t>
      </w:r>
      <w:r w:rsidR="00331DEF" w:rsidRPr="00DE4A7B">
        <w:t xml:space="preserve"> </w:t>
      </w:r>
      <w:r w:rsidR="00BD6871" w:rsidRPr="00DE4A7B">
        <w:t xml:space="preserve">in the case of participation and 20.8% for completions. </w:t>
      </w:r>
      <w:r w:rsidR="0021415B" w:rsidRPr="00DE4A7B">
        <w:t xml:space="preserve"> </w:t>
      </w:r>
      <w:r w:rsidR="006B57B5">
        <w:br/>
      </w:r>
      <w:r w:rsidR="006B57B5">
        <w:br/>
      </w:r>
      <w:r w:rsidR="00F564C9" w:rsidRPr="006B57B5">
        <w:rPr>
          <w:b/>
          <w:bCs/>
          <w:i/>
          <w:iCs/>
        </w:rPr>
        <w:t xml:space="preserve">Recommendation on </w:t>
      </w:r>
      <w:r w:rsidR="00EC1ADC" w:rsidRPr="006B57B5">
        <w:rPr>
          <w:b/>
          <w:bCs/>
          <w:i/>
          <w:iCs/>
        </w:rPr>
        <w:t>t</w:t>
      </w:r>
      <w:r w:rsidR="00F564C9" w:rsidRPr="006B57B5">
        <w:rPr>
          <w:b/>
          <w:bCs/>
          <w:i/>
          <w:iCs/>
        </w:rPr>
        <w:t>imeframe:</w:t>
      </w:r>
      <w:r w:rsidR="00F564C9">
        <w:t xml:space="preserve"> </w:t>
      </w:r>
      <w:r w:rsidR="0021415B">
        <w:t xml:space="preserve">We </w:t>
      </w:r>
      <w:r w:rsidR="00F564C9">
        <w:t xml:space="preserve">recommend the use of 2050 as the target year, with </w:t>
      </w:r>
      <w:r w:rsidR="003C5F1E">
        <w:t xml:space="preserve">2035 serving as </w:t>
      </w:r>
      <w:r w:rsidR="00F564C9">
        <w:t>an interim target</w:t>
      </w:r>
      <w:r w:rsidR="003C5F1E">
        <w:t xml:space="preserve"> year</w:t>
      </w:r>
      <w:r w:rsidR="00483E98">
        <w:t xml:space="preserve">, where the participation and completion headcount </w:t>
      </w:r>
      <w:r w:rsidR="00483E98" w:rsidRPr="00F51256">
        <w:t xml:space="preserve">targets are calculated </w:t>
      </w:r>
      <w:r w:rsidR="005F4847" w:rsidRPr="00F51256">
        <w:t>in 2035</w:t>
      </w:r>
      <w:r w:rsidR="00331DEF" w:rsidRPr="00F51256">
        <w:t>,</w:t>
      </w:r>
      <w:r w:rsidR="005F4847" w:rsidRPr="00F51256">
        <w:t xml:space="preserve"> </w:t>
      </w:r>
      <w:r w:rsidR="00331DEF" w:rsidRPr="00F51256">
        <w:t>based</w:t>
      </w:r>
      <w:r w:rsidR="005F4847" w:rsidRPr="00F51256">
        <w:t xml:space="preserve"> o</w:t>
      </w:r>
      <w:r w:rsidR="00331DEF" w:rsidRPr="00F51256">
        <w:t>n</w:t>
      </w:r>
      <w:r w:rsidR="005F4847" w:rsidRPr="00F51256">
        <w:t xml:space="preserve"> the percentage of growth in overall enrolments to 2050 that is projected to take place by 20</w:t>
      </w:r>
      <w:r w:rsidR="00A104F0" w:rsidRPr="00F51256">
        <w:t>35</w:t>
      </w:r>
      <w:r w:rsidR="00751150" w:rsidRPr="00F51256">
        <w:t>:</w:t>
      </w:r>
      <w:r w:rsidR="00BD6871" w:rsidRPr="00F51256">
        <w:t xml:space="preserve"> 2</w:t>
      </w:r>
      <w:r w:rsidR="00914671" w:rsidRPr="00F51256">
        <w:t>9</w:t>
      </w:r>
      <w:r w:rsidR="00BD6871" w:rsidRPr="00F51256">
        <w:t>.</w:t>
      </w:r>
      <w:r w:rsidR="00914671" w:rsidRPr="00F51256">
        <w:t>3</w:t>
      </w:r>
      <w:r w:rsidR="00BD6871" w:rsidRPr="00F51256">
        <w:t>% in the case of participation and 20.8% for completions.</w:t>
      </w:r>
      <w:r w:rsidR="00BD6871">
        <w:t xml:space="preserve">  </w:t>
      </w:r>
      <w:r w:rsidR="00A104F0">
        <w:t xml:space="preserve"> </w:t>
      </w:r>
      <w:r w:rsidR="00F564C9">
        <w:t xml:space="preserve"> </w:t>
      </w:r>
      <w:r w:rsidR="0021415B">
        <w:t xml:space="preserve"> </w:t>
      </w:r>
    </w:p>
    <w:p w14:paraId="257A57CB" w14:textId="77777777" w:rsidR="007B271F" w:rsidRDefault="007B271F" w:rsidP="006B57B5"/>
    <w:p w14:paraId="3E3D8768" w14:textId="229CE031" w:rsidR="00F82BBA" w:rsidRPr="006B57B5" w:rsidRDefault="00500AD9" w:rsidP="006B57B5">
      <w:pPr>
        <w:pStyle w:val="ListParagraph"/>
        <w:numPr>
          <w:ilvl w:val="0"/>
          <w:numId w:val="37"/>
        </w:numPr>
        <w:rPr>
          <w:i/>
          <w:iCs/>
        </w:rPr>
      </w:pPr>
      <w:r>
        <w:rPr>
          <w:b/>
          <w:bCs/>
        </w:rPr>
        <w:lastRenderedPageBreak/>
        <w:t xml:space="preserve">Reference </w:t>
      </w:r>
      <w:r w:rsidR="00EC1ADC">
        <w:rPr>
          <w:b/>
          <w:bCs/>
        </w:rPr>
        <w:t>p</w:t>
      </w:r>
      <w:r>
        <w:rPr>
          <w:b/>
          <w:bCs/>
        </w:rPr>
        <w:t>opulation</w:t>
      </w:r>
      <w:r w:rsidR="007B271F" w:rsidRPr="001F0FF9">
        <w:rPr>
          <w:b/>
          <w:bCs/>
        </w:rPr>
        <w:t>:</w:t>
      </w:r>
      <w:r w:rsidR="007B271F">
        <w:t xml:space="preserve"> </w:t>
      </w:r>
      <w:r>
        <w:t>We considered three options in relation to reference population</w:t>
      </w:r>
      <w:r w:rsidR="00923CC2">
        <w:t xml:space="preserve">, resulting in three parity targets. </w:t>
      </w:r>
      <w:r>
        <w:t xml:space="preserve">The </w:t>
      </w:r>
      <w:r w:rsidR="003A3434" w:rsidRPr="006928B5">
        <w:rPr>
          <w:i/>
          <w:iCs/>
        </w:rPr>
        <w:t xml:space="preserve">National </w:t>
      </w:r>
      <w:r w:rsidR="00923CC2" w:rsidRPr="006928B5">
        <w:rPr>
          <w:i/>
          <w:iCs/>
        </w:rPr>
        <w:t xml:space="preserve">Parity Target </w:t>
      </w:r>
      <w:r w:rsidR="00AC2F41">
        <w:t>results in the greatest requirement in terms of equity share of increased undergraduate enrolment, largely b</w:t>
      </w:r>
      <w:r w:rsidR="00FD5329">
        <w:t>ecause of differences across states and territories in relation to low SES and regional/remote population shares</w:t>
      </w:r>
      <w:r w:rsidR="00994AC0">
        <w:t xml:space="preserve">. </w:t>
      </w:r>
      <w:r w:rsidR="006B57B5">
        <w:br/>
      </w:r>
      <w:r w:rsidR="006B57B5">
        <w:br/>
      </w:r>
      <w:r w:rsidR="00994AC0">
        <w:t xml:space="preserve">We show that the introduction of </w:t>
      </w:r>
      <w:r w:rsidR="00994AC0" w:rsidRPr="006B57B5">
        <w:rPr>
          <w:i/>
          <w:iCs/>
        </w:rPr>
        <w:t xml:space="preserve">State/Territory </w:t>
      </w:r>
      <w:r w:rsidR="00994AC0">
        <w:t xml:space="preserve">targets can be justified </w:t>
      </w:r>
      <w:r w:rsidR="0045563F">
        <w:t>based on</w:t>
      </w:r>
      <w:r w:rsidR="00B03BB8">
        <w:t xml:space="preserve"> the continued geographic segmentation of Australian higher education, with 80 to 90% of undergraduates in each state</w:t>
      </w:r>
      <w:r w:rsidR="00581DA0">
        <w:t xml:space="preserve"> and </w:t>
      </w:r>
      <w:r w:rsidR="00B03BB8">
        <w:t xml:space="preserve">territory engaging in studies at an institution whose main campus </w:t>
      </w:r>
      <w:proofErr w:type="gramStart"/>
      <w:r w:rsidR="00B03BB8">
        <w:t>is located in</w:t>
      </w:r>
      <w:proofErr w:type="gramEnd"/>
      <w:r w:rsidR="00B03BB8">
        <w:t xml:space="preserve"> thei</w:t>
      </w:r>
      <w:r w:rsidR="00305193">
        <w:t xml:space="preserve">r jurisdiction. The utilisation of </w:t>
      </w:r>
      <w:r w:rsidR="00EE471B" w:rsidRPr="006B57B5">
        <w:rPr>
          <w:i/>
          <w:iCs/>
        </w:rPr>
        <w:t>State/Territory</w:t>
      </w:r>
      <w:r w:rsidR="00F82BBA" w:rsidRPr="006B57B5">
        <w:rPr>
          <w:i/>
          <w:iCs/>
        </w:rPr>
        <w:t xml:space="preserve"> (Home Institution)</w:t>
      </w:r>
      <w:r w:rsidR="00EE471B" w:rsidRPr="006B57B5">
        <w:rPr>
          <w:i/>
          <w:iCs/>
        </w:rPr>
        <w:t xml:space="preserve"> Parity Targets </w:t>
      </w:r>
      <w:r w:rsidR="00041F88">
        <w:t xml:space="preserve">lowers overall parity targets and the </w:t>
      </w:r>
      <w:r w:rsidR="001D434F">
        <w:t>resulting equity share of additional participation and completion headcounts</w:t>
      </w:r>
      <w:r w:rsidR="002D15A2">
        <w:t xml:space="preserve">. </w:t>
      </w:r>
      <w:r w:rsidR="006B57B5">
        <w:br/>
      </w:r>
      <w:r w:rsidR="006B57B5">
        <w:br/>
      </w:r>
      <w:r w:rsidR="002D15A2">
        <w:t xml:space="preserve">We find that a further adjustment to the </w:t>
      </w:r>
      <w:r w:rsidR="002D15A2" w:rsidRPr="006B57B5">
        <w:rPr>
          <w:i/>
          <w:iCs/>
        </w:rPr>
        <w:t>State/Territory</w:t>
      </w:r>
      <w:r w:rsidR="002D15A2">
        <w:t xml:space="preserve"> target </w:t>
      </w:r>
      <w:r w:rsidR="00022E64">
        <w:t xml:space="preserve">– </w:t>
      </w:r>
      <w:r w:rsidR="00022E64" w:rsidRPr="006B57B5">
        <w:rPr>
          <w:i/>
          <w:iCs/>
        </w:rPr>
        <w:t xml:space="preserve">State/Territory (All Institutions) – </w:t>
      </w:r>
      <w:r w:rsidR="002D15A2">
        <w:t xml:space="preserve">is useful in further refining it, </w:t>
      </w:r>
      <w:r w:rsidR="00022E64">
        <w:t xml:space="preserve">through </w:t>
      </w:r>
      <w:r w:rsidR="002D15A2">
        <w:t xml:space="preserve">the </w:t>
      </w:r>
      <w:r w:rsidR="00253972">
        <w:t xml:space="preserve">setting of targets for state and territory jurisdictions </w:t>
      </w:r>
      <w:r w:rsidR="00061C0B">
        <w:t>based on</w:t>
      </w:r>
      <w:r w:rsidR="00567D5E">
        <w:t xml:space="preserve"> student rather than institutional location. However, this requires constructing targets for out-of-state institutions</w:t>
      </w:r>
      <w:r w:rsidR="003518FC">
        <w:t>, which introduce</w:t>
      </w:r>
      <w:r w:rsidR="00E9266E">
        <w:t>s</w:t>
      </w:r>
      <w:r w:rsidR="003518FC">
        <w:t xml:space="preserve"> a level of complexity</w:t>
      </w:r>
      <w:r w:rsidR="0098086E">
        <w:t xml:space="preserve"> </w:t>
      </w:r>
      <w:r w:rsidR="00E9266E">
        <w:t>that compromises the universal application of targets</w:t>
      </w:r>
      <w:r w:rsidR="00061C0B">
        <w:t>, when adjustments can be negotiated in special cases instead.</w:t>
      </w:r>
      <w:r w:rsidR="006B57B5">
        <w:br/>
      </w:r>
      <w:r w:rsidR="006B57B5">
        <w:br/>
      </w:r>
      <w:r w:rsidR="00061C0B" w:rsidRPr="006B57B5">
        <w:rPr>
          <w:b/>
          <w:bCs/>
          <w:i/>
          <w:iCs/>
        </w:rPr>
        <w:t xml:space="preserve">Recommendation on </w:t>
      </w:r>
      <w:r w:rsidR="00EC1ADC" w:rsidRPr="006B57B5">
        <w:rPr>
          <w:b/>
          <w:bCs/>
          <w:i/>
          <w:iCs/>
        </w:rPr>
        <w:t>r</w:t>
      </w:r>
      <w:r w:rsidR="00061C0B" w:rsidRPr="006B57B5">
        <w:rPr>
          <w:b/>
          <w:bCs/>
          <w:i/>
          <w:iCs/>
        </w:rPr>
        <w:t xml:space="preserve">eference </w:t>
      </w:r>
      <w:r w:rsidR="00EC1ADC" w:rsidRPr="006B57B5">
        <w:rPr>
          <w:b/>
          <w:bCs/>
          <w:i/>
          <w:iCs/>
        </w:rPr>
        <w:t>p</w:t>
      </w:r>
      <w:r w:rsidR="00061C0B" w:rsidRPr="006B57B5">
        <w:rPr>
          <w:b/>
          <w:bCs/>
          <w:i/>
          <w:iCs/>
        </w:rPr>
        <w:t>opulation:</w:t>
      </w:r>
      <w:r w:rsidR="00061C0B">
        <w:t xml:space="preserve"> We recommend the </w:t>
      </w:r>
      <w:r w:rsidR="00DA6CF6">
        <w:t xml:space="preserve">use of </w:t>
      </w:r>
      <w:r w:rsidR="00022E64" w:rsidRPr="006B57B5">
        <w:rPr>
          <w:i/>
          <w:iCs/>
        </w:rPr>
        <w:t>State/Territory (Home Institution</w:t>
      </w:r>
      <w:r w:rsidR="00561B4C" w:rsidRPr="006B57B5">
        <w:rPr>
          <w:i/>
          <w:iCs/>
        </w:rPr>
        <w:t>)</w:t>
      </w:r>
      <w:r w:rsidR="00F82BBA" w:rsidRPr="006B57B5">
        <w:rPr>
          <w:i/>
          <w:iCs/>
        </w:rPr>
        <w:t xml:space="preserve"> </w:t>
      </w:r>
      <w:r w:rsidR="00F25EA7">
        <w:t xml:space="preserve">to ensure that </w:t>
      </w:r>
      <w:r w:rsidR="00CB0730">
        <w:t xml:space="preserve">universities </w:t>
      </w:r>
      <w:r w:rsidR="00D31922">
        <w:t xml:space="preserve">face parity targets that reflect their reference populations. </w:t>
      </w:r>
    </w:p>
    <w:p w14:paraId="4746FFC3" w14:textId="4D12F957" w:rsidR="00061C0B" w:rsidRDefault="00061C0B" w:rsidP="006B57B5">
      <w:r>
        <w:t xml:space="preserve">    </w:t>
      </w:r>
    </w:p>
    <w:p w14:paraId="2BB0C6BB" w14:textId="46E331AF" w:rsidR="006B57B5" w:rsidRPr="00A160A2" w:rsidRDefault="00D31922" w:rsidP="006B57B5">
      <w:pPr>
        <w:pStyle w:val="ListParagraph"/>
        <w:numPr>
          <w:ilvl w:val="0"/>
          <w:numId w:val="37"/>
        </w:numPr>
        <w:rPr>
          <w:i/>
          <w:iCs/>
        </w:rPr>
      </w:pPr>
      <w:r>
        <w:rPr>
          <w:b/>
          <w:bCs/>
        </w:rPr>
        <w:t xml:space="preserve">Policy </w:t>
      </w:r>
      <w:r w:rsidR="00EC1ADC">
        <w:rPr>
          <w:b/>
          <w:bCs/>
        </w:rPr>
        <w:t>o</w:t>
      </w:r>
      <w:r>
        <w:rPr>
          <w:b/>
          <w:bCs/>
        </w:rPr>
        <w:t>ptions</w:t>
      </w:r>
      <w:r w:rsidRPr="001F0FF9">
        <w:rPr>
          <w:b/>
          <w:bCs/>
        </w:rPr>
        <w:t>:</w:t>
      </w:r>
      <w:r>
        <w:t xml:space="preserve"> We considered three</w:t>
      </w:r>
      <w:r w:rsidR="00DE61DB">
        <w:t xml:space="preserve"> active</w:t>
      </w:r>
      <w:r>
        <w:t xml:space="preserve"> policy options</w:t>
      </w:r>
      <w:r w:rsidR="00DE61DB">
        <w:t xml:space="preserve">: </w:t>
      </w:r>
      <w:r w:rsidR="00DE61DB">
        <w:rPr>
          <w:i/>
          <w:iCs/>
        </w:rPr>
        <w:t>Convergence</w:t>
      </w:r>
      <w:r w:rsidR="00DE61DB">
        <w:t xml:space="preserve">, </w:t>
      </w:r>
      <w:r w:rsidR="00DE61DB">
        <w:rPr>
          <w:i/>
          <w:iCs/>
        </w:rPr>
        <w:t>Equal Effort</w:t>
      </w:r>
      <w:r w:rsidR="00DE61DB">
        <w:t xml:space="preserve"> and </w:t>
      </w:r>
      <w:r w:rsidR="00DE61DB">
        <w:rPr>
          <w:i/>
          <w:iCs/>
        </w:rPr>
        <w:t>Divergence</w:t>
      </w:r>
      <w:r w:rsidR="00DE61DB">
        <w:t xml:space="preserve">. </w:t>
      </w:r>
      <w:r w:rsidR="00FC6E8A">
        <w:t>As per previous work</w:t>
      </w:r>
      <w:r w:rsidR="00A379C6">
        <w:t xml:space="preserve">, </w:t>
      </w:r>
      <w:proofErr w:type="gramStart"/>
      <w:r w:rsidR="00FC6E8A">
        <w:t xml:space="preserve">it is clear that </w:t>
      </w:r>
      <w:r w:rsidR="00FC6E8A">
        <w:rPr>
          <w:i/>
          <w:iCs/>
        </w:rPr>
        <w:t>Convergence</w:t>
      </w:r>
      <w:proofErr w:type="gramEnd"/>
      <w:r w:rsidR="00920FB2">
        <w:rPr>
          <w:i/>
          <w:iCs/>
        </w:rPr>
        <w:t>,</w:t>
      </w:r>
      <w:r w:rsidR="00FC6E8A">
        <w:t xml:space="preserve"> where</w:t>
      </w:r>
      <w:r w:rsidR="00761F21">
        <w:t xml:space="preserve"> all institutions are required to meet the parity target, is not viable</w:t>
      </w:r>
      <w:r w:rsidR="00961DE7">
        <w:t xml:space="preserve"> at a system level given the share of the growth in participation and completion headcount it would require, and also on the basis of individual institutional outcomes. </w:t>
      </w:r>
      <w:r w:rsidR="00A379C6">
        <w:t xml:space="preserve">The </w:t>
      </w:r>
      <w:r w:rsidR="00A379C6">
        <w:rPr>
          <w:i/>
          <w:iCs/>
        </w:rPr>
        <w:t>Equal Effort</w:t>
      </w:r>
      <w:r w:rsidR="00A379C6">
        <w:t xml:space="preserve"> policy option sees institutions increase equity shares of participation and completions from their current starting point, with all institutions increasing shares </w:t>
      </w:r>
      <w:r w:rsidR="00BA7C8D">
        <w:t>at the same rate. Th</w:t>
      </w:r>
      <w:r w:rsidR="00920FB2">
        <w:t>e variation on this option,</w:t>
      </w:r>
      <w:r w:rsidR="00621593">
        <w:t xml:space="preserve"> </w:t>
      </w:r>
      <w:r w:rsidR="00621593">
        <w:rPr>
          <w:i/>
          <w:iCs/>
        </w:rPr>
        <w:t>Divergence</w:t>
      </w:r>
      <w:r w:rsidR="00621593">
        <w:t>,</w:t>
      </w:r>
      <w:r w:rsidR="00920FB2">
        <w:t xml:space="preserve"> where institutions above parity in 2021 can remain at </w:t>
      </w:r>
      <w:r w:rsidR="00AB1F74">
        <w:t>their current participation level</w:t>
      </w:r>
      <w:r w:rsidR="00920FB2">
        <w:t xml:space="preserve"> </w:t>
      </w:r>
      <w:r w:rsidR="00AB1F74">
        <w:t>while other institutions increase participation and completion outcomes to meet</w:t>
      </w:r>
      <w:r w:rsidR="00621593">
        <w:t xml:space="preserve"> the parity target, could be viable in </w:t>
      </w:r>
      <w:r w:rsidR="00621593">
        <w:lastRenderedPageBreak/>
        <w:t xml:space="preserve">certain instances, but </w:t>
      </w:r>
      <w:r w:rsidR="00882463">
        <w:t xml:space="preserve">should not constitute a default position in institutional negotiations. </w:t>
      </w:r>
      <w:r w:rsidR="00920FB2">
        <w:t xml:space="preserve"> </w:t>
      </w:r>
      <w:r>
        <w:t xml:space="preserve"> </w:t>
      </w:r>
      <w:r w:rsidR="006B57B5">
        <w:br/>
      </w:r>
      <w:r w:rsidR="006B57B5">
        <w:br/>
      </w:r>
      <w:r w:rsidR="00882463" w:rsidRPr="006B57B5">
        <w:rPr>
          <w:b/>
          <w:bCs/>
          <w:i/>
          <w:iCs/>
        </w:rPr>
        <w:t xml:space="preserve">Recommendation on </w:t>
      </w:r>
      <w:r w:rsidR="00EC1ADC" w:rsidRPr="006B57B5">
        <w:rPr>
          <w:b/>
          <w:bCs/>
          <w:i/>
          <w:iCs/>
        </w:rPr>
        <w:t>p</w:t>
      </w:r>
      <w:r w:rsidR="00882463" w:rsidRPr="006B57B5">
        <w:rPr>
          <w:b/>
          <w:bCs/>
          <w:i/>
          <w:iCs/>
        </w:rPr>
        <w:t xml:space="preserve">olicy </w:t>
      </w:r>
      <w:r w:rsidR="00EC1ADC" w:rsidRPr="006B57B5">
        <w:rPr>
          <w:b/>
          <w:bCs/>
          <w:i/>
          <w:iCs/>
        </w:rPr>
        <w:t>o</w:t>
      </w:r>
      <w:r w:rsidR="00882463" w:rsidRPr="006B57B5">
        <w:rPr>
          <w:b/>
          <w:bCs/>
          <w:i/>
          <w:iCs/>
        </w:rPr>
        <w:t xml:space="preserve">ption: </w:t>
      </w:r>
      <w:r w:rsidR="00882463">
        <w:t xml:space="preserve">We recommend the introduction of the </w:t>
      </w:r>
      <w:r w:rsidR="00882463" w:rsidRPr="006B57B5">
        <w:rPr>
          <w:i/>
          <w:iCs/>
        </w:rPr>
        <w:t>Equal Effort</w:t>
      </w:r>
      <w:r w:rsidR="00882463">
        <w:t xml:space="preserve"> policy option, with </w:t>
      </w:r>
      <w:r w:rsidR="00F964FC">
        <w:t xml:space="preserve">modified targets possible subject to negotiations between regulators (such as the </w:t>
      </w:r>
      <w:r w:rsidR="00BD26E9">
        <w:t xml:space="preserve">proposed </w:t>
      </w:r>
      <w:r w:rsidR="00F964FC">
        <w:t>TEC) and institutions</w:t>
      </w:r>
      <w:r w:rsidR="006B57B5">
        <w:t>.</w:t>
      </w:r>
    </w:p>
    <w:p w14:paraId="101C22F0" w14:textId="7CFA5C38" w:rsidR="00D87ECA" w:rsidRPr="006B57B5" w:rsidRDefault="00D87ECA" w:rsidP="00B0246A">
      <w:pPr>
        <w:pStyle w:val="Heading2"/>
        <w:rPr>
          <w:rFonts w:eastAsia="Times New Roman" w:cs="Times New Roman"/>
          <w:i/>
          <w:iCs/>
          <w:sz w:val="22"/>
          <w:szCs w:val="24"/>
        </w:rPr>
      </w:pPr>
      <w:r w:rsidRPr="006B57B5">
        <w:t xml:space="preserve">The Recommended Option </w:t>
      </w:r>
    </w:p>
    <w:p w14:paraId="1B794540" w14:textId="2FAB9C02" w:rsidR="007427BD" w:rsidRDefault="007427BD" w:rsidP="007427BD">
      <w:r>
        <w:t xml:space="preserve">The </w:t>
      </w:r>
      <w:r w:rsidR="00486EB8">
        <w:t>recommended policy option in relation to both participation and completion headcount</w:t>
      </w:r>
      <w:r w:rsidR="002E362E">
        <w:t xml:space="preserve"> is reported in Tables 1</w:t>
      </w:r>
      <w:r w:rsidR="003B7C16">
        <w:t>7</w:t>
      </w:r>
      <w:r w:rsidR="002E362E">
        <w:t xml:space="preserve"> and 1</w:t>
      </w:r>
      <w:r w:rsidR="003B7C16">
        <w:t>8</w:t>
      </w:r>
      <w:r w:rsidR="002E362E">
        <w:t xml:space="preserve"> below. </w:t>
      </w:r>
      <w:r w:rsidR="00073D2E">
        <w:t xml:space="preserve">These report the </w:t>
      </w:r>
      <w:r w:rsidR="00B706A6">
        <w:t xml:space="preserve">projected headcounts in 2050, the growth in headcount between 2021 and 2050, and </w:t>
      </w:r>
      <w:r w:rsidR="002B2799">
        <w:t>each equity group’s</w:t>
      </w:r>
      <w:r w:rsidR="00B706A6">
        <w:t xml:space="preserve"> share of total</w:t>
      </w:r>
      <w:r w:rsidR="002B2799">
        <w:t xml:space="preserve"> </w:t>
      </w:r>
      <w:r w:rsidR="002F1505">
        <w:t xml:space="preserve">growth in </w:t>
      </w:r>
      <w:r w:rsidR="00990116">
        <w:t>headcount</w:t>
      </w:r>
      <w:r w:rsidR="002F1505">
        <w:t xml:space="preserve">. </w:t>
      </w:r>
      <w:r w:rsidR="002B2799">
        <w:t xml:space="preserve"> </w:t>
      </w:r>
      <w:r w:rsidR="00486EB8">
        <w:t xml:space="preserve">  </w:t>
      </w:r>
      <w:r>
        <w:t xml:space="preserve"> </w:t>
      </w:r>
    </w:p>
    <w:p w14:paraId="7B8E9D6C" w14:textId="3B4899C5" w:rsidR="00E124F2" w:rsidRPr="00D87ECA" w:rsidRDefault="00E124F2" w:rsidP="00292973">
      <w:pPr>
        <w:spacing w:before="240"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1</w:t>
      </w:r>
      <w:r w:rsidR="003B7C16">
        <w:rPr>
          <w:rFonts w:cstheme="minorHAnsi"/>
          <w:b/>
          <w:bCs/>
          <w:color w:val="000000"/>
          <w:sz w:val="18"/>
          <w:szCs w:val="18"/>
          <w:lang w:eastAsia="en-AU"/>
        </w:rPr>
        <w:t>7</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sidR="00D168A9">
        <w:rPr>
          <w:rFonts w:cstheme="minorHAnsi"/>
          <w:color w:val="000000"/>
          <w:sz w:val="18"/>
          <w:szCs w:val="18"/>
          <w:lang w:eastAsia="en-AU"/>
        </w:rPr>
        <w:t>Participation</w:t>
      </w:r>
      <w:r w:rsidR="00D87ECA">
        <w:rPr>
          <w:rFonts w:cstheme="minorHAnsi"/>
          <w:color w:val="000000"/>
          <w:sz w:val="18"/>
          <w:szCs w:val="18"/>
          <w:lang w:eastAsia="en-AU"/>
        </w:rPr>
        <w:t xml:space="preserve"> –</w:t>
      </w:r>
      <w:r>
        <w:rPr>
          <w:rFonts w:cstheme="minorHAnsi"/>
          <w:color w:val="000000"/>
          <w:sz w:val="18"/>
          <w:szCs w:val="18"/>
          <w:lang w:eastAsia="en-AU"/>
        </w:rPr>
        <w:t xml:space="preserve"> </w:t>
      </w:r>
      <w:r w:rsidR="00D87ECA">
        <w:rPr>
          <w:rFonts w:cstheme="minorHAnsi"/>
          <w:color w:val="000000"/>
          <w:sz w:val="18"/>
          <w:szCs w:val="18"/>
          <w:lang w:eastAsia="en-AU"/>
        </w:rPr>
        <w:t xml:space="preserve">the Equal Effort Option to meet a </w:t>
      </w:r>
      <w:r>
        <w:rPr>
          <w:rFonts w:cstheme="minorHAnsi"/>
          <w:i/>
          <w:iCs/>
          <w:color w:val="000000"/>
          <w:sz w:val="18"/>
          <w:szCs w:val="18"/>
          <w:lang w:eastAsia="en-AU"/>
        </w:rPr>
        <w:t>State/Territory (Home Institutions</w:t>
      </w:r>
      <w:r w:rsidR="00D87ECA">
        <w:rPr>
          <w:rFonts w:cstheme="minorHAnsi"/>
          <w:color w:val="000000"/>
          <w:sz w:val="18"/>
          <w:szCs w:val="18"/>
          <w:lang w:eastAsia="en-AU"/>
        </w:rPr>
        <w:t xml:space="preserve">) Parity Target </w:t>
      </w:r>
      <w:r w:rsidR="005C1248">
        <w:rPr>
          <w:rFonts w:cstheme="minorHAnsi"/>
          <w:color w:val="000000"/>
          <w:sz w:val="18"/>
          <w:szCs w:val="18"/>
          <w:lang w:eastAsia="en-AU"/>
        </w:rPr>
        <w:br/>
      </w:r>
      <w:r w:rsidR="00D87ECA">
        <w:rPr>
          <w:rFonts w:cstheme="minorHAnsi"/>
          <w:color w:val="000000"/>
          <w:sz w:val="18"/>
          <w:szCs w:val="18"/>
          <w:lang w:eastAsia="en-AU"/>
        </w:rPr>
        <w:t>in 2050.</w:t>
      </w:r>
    </w:p>
    <w:tbl>
      <w:tblPr>
        <w:tblW w:w="9618" w:type="dxa"/>
        <w:tblLayout w:type="fixed"/>
        <w:tblLook w:val="04A0" w:firstRow="1" w:lastRow="0" w:firstColumn="1" w:lastColumn="0" w:noHBand="0" w:noVBand="1"/>
      </w:tblPr>
      <w:tblGrid>
        <w:gridCol w:w="2268"/>
        <w:gridCol w:w="1837"/>
        <w:gridCol w:w="1838"/>
        <w:gridCol w:w="1837"/>
        <w:gridCol w:w="1838"/>
      </w:tblGrid>
      <w:tr w:rsidR="00BF2FDF" w:rsidRPr="009B6407" w14:paraId="3E90CCDA" w14:textId="328F1203" w:rsidTr="00160B8E">
        <w:trPr>
          <w:trHeight w:val="101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A79CF" w14:textId="77777777" w:rsidR="007B51E8" w:rsidRPr="009B6407" w:rsidRDefault="007B51E8" w:rsidP="00784A84">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837"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200FD64A" w14:textId="77777777" w:rsidR="007B51E8" w:rsidRPr="009B6407" w:rsidRDefault="007B51E8" w:rsidP="00784A84">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838" w:type="dxa"/>
            <w:tcBorders>
              <w:top w:val="single" w:sz="4" w:space="0" w:color="auto"/>
              <w:left w:val="single" w:sz="4" w:space="0" w:color="auto"/>
              <w:bottom w:val="single" w:sz="4" w:space="0" w:color="auto"/>
              <w:right w:val="single" w:sz="4" w:space="0" w:color="auto"/>
            </w:tcBorders>
            <w:shd w:val="clear" w:color="auto" w:fill="6B3B57"/>
            <w:vAlign w:val="center"/>
            <w:hideMark/>
          </w:tcPr>
          <w:p w14:paraId="647B329E" w14:textId="77777777" w:rsidR="007B51E8" w:rsidRDefault="007B51E8"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 xml:space="preserve">2050 </w:t>
            </w:r>
          </w:p>
          <w:p w14:paraId="68A9ADEE" w14:textId="1A4BAEBC" w:rsidR="007B51E8" w:rsidRDefault="007B51E8"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50827188" w14:textId="77777777" w:rsidR="007B51E8" w:rsidRPr="009B6407" w:rsidRDefault="007B51E8" w:rsidP="00784A84">
            <w:pPr>
              <w:spacing w:after="0" w:line="240" w:lineRule="auto"/>
              <w:jc w:val="center"/>
              <w:rPr>
                <w:rFonts w:cs="Arial"/>
                <w:b/>
                <w:bCs/>
                <w:color w:val="FFFFFF"/>
                <w:sz w:val="18"/>
                <w:szCs w:val="18"/>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6B3B57"/>
            <w:vAlign w:val="center"/>
          </w:tcPr>
          <w:p w14:paraId="36C855D0" w14:textId="2CE8DECC" w:rsidR="007B51E8" w:rsidRPr="009B6407" w:rsidRDefault="007B51E8"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Growth (headcount)</w:t>
            </w:r>
          </w:p>
        </w:tc>
        <w:tc>
          <w:tcPr>
            <w:tcW w:w="1838" w:type="dxa"/>
            <w:tcBorders>
              <w:top w:val="single" w:sz="4" w:space="0" w:color="auto"/>
              <w:left w:val="single" w:sz="4" w:space="0" w:color="auto"/>
              <w:bottom w:val="single" w:sz="4" w:space="0" w:color="auto"/>
              <w:right w:val="single" w:sz="4" w:space="0" w:color="auto"/>
            </w:tcBorders>
            <w:shd w:val="clear" w:color="auto" w:fill="6B3B57"/>
            <w:vAlign w:val="center"/>
          </w:tcPr>
          <w:p w14:paraId="35B2D761" w14:textId="01688801" w:rsidR="007B51E8" w:rsidRDefault="00BF2FDF"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 xml:space="preserve">Share of </w:t>
            </w:r>
            <w:r w:rsidR="007B51E8">
              <w:rPr>
                <w:rFonts w:cs="Arial"/>
                <w:b/>
                <w:bCs/>
                <w:color w:val="FFFFFF"/>
                <w:sz w:val="18"/>
                <w:szCs w:val="18"/>
                <w:lang w:eastAsia="en-AU"/>
              </w:rPr>
              <w:t xml:space="preserve">Growth </w:t>
            </w:r>
            <w:r w:rsidR="00225D06">
              <w:rPr>
                <w:rFonts w:cs="Arial"/>
                <w:b/>
                <w:bCs/>
                <w:color w:val="FFFFFF"/>
                <w:sz w:val="18"/>
                <w:szCs w:val="18"/>
                <w:lang w:eastAsia="en-AU"/>
              </w:rPr>
              <w:t>(%)</w:t>
            </w:r>
          </w:p>
        </w:tc>
      </w:tr>
      <w:tr w:rsidR="00BF2FDF" w:rsidRPr="009B6407" w14:paraId="7FC496FA" w14:textId="3793B85C" w:rsidTr="00160B8E">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45183" w14:textId="77777777" w:rsidR="00BF2FDF" w:rsidRPr="009B6407" w:rsidRDefault="00BF2FDF" w:rsidP="00BF2FDF">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7E1D5" w14:textId="4C65BC55" w:rsidR="00BF2FDF" w:rsidRPr="009C2545" w:rsidRDefault="00BF2FDF" w:rsidP="006928B5">
            <w:pPr>
              <w:spacing w:after="0" w:line="240" w:lineRule="auto"/>
              <w:ind w:right="572"/>
              <w:jc w:val="right"/>
              <w:rPr>
                <w:rFonts w:cs="Arial"/>
                <w:b/>
                <w:bCs/>
                <w:color w:val="000000"/>
                <w:sz w:val="18"/>
                <w:szCs w:val="18"/>
                <w:lang w:eastAsia="en-AU"/>
              </w:rPr>
            </w:pPr>
            <w:r w:rsidRPr="006928B5">
              <w:rPr>
                <w:b/>
                <w:bCs/>
                <w:sz w:val="18"/>
                <w:szCs w:val="18"/>
              </w:rPr>
              <w:t>784,219</w:t>
            </w:r>
          </w:p>
        </w:tc>
        <w:tc>
          <w:tcPr>
            <w:tcW w:w="1838" w:type="dxa"/>
            <w:tcBorders>
              <w:top w:val="single" w:sz="4" w:space="0" w:color="auto"/>
              <w:left w:val="single" w:sz="4" w:space="0" w:color="auto"/>
              <w:bottom w:val="single" w:sz="4" w:space="0" w:color="auto"/>
              <w:right w:val="single" w:sz="4" w:space="0" w:color="auto"/>
            </w:tcBorders>
            <w:shd w:val="clear" w:color="auto" w:fill="EFE2E7" w:themeFill="text1" w:themeFillTint="1A"/>
            <w:noWrap/>
            <w:vAlign w:val="center"/>
          </w:tcPr>
          <w:p w14:paraId="330EE3A6" w14:textId="75F6D574" w:rsidR="00BF2FDF" w:rsidRPr="009C2545" w:rsidRDefault="00BF2FDF" w:rsidP="006928B5">
            <w:pPr>
              <w:spacing w:after="0" w:line="240" w:lineRule="auto"/>
              <w:ind w:right="436"/>
              <w:jc w:val="right"/>
              <w:rPr>
                <w:rFonts w:cs="Arial"/>
                <w:b/>
                <w:bCs/>
                <w:color w:val="000000"/>
                <w:sz w:val="18"/>
                <w:szCs w:val="18"/>
                <w:lang w:eastAsia="en-AU"/>
              </w:rPr>
            </w:pPr>
            <w:r w:rsidRPr="006928B5">
              <w:rPr>
                <w:b/>
                <w:bCs/>
                <w:sz w:val="18"/>
                <w:szCs w:val="18"/>
              </w:rPr>
              <w:t>1,761,463</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401DD0" w14:textId="14DEB674" w:rsidR="00BF2FDF" w:rsidRPr="009C2545" w:rsidRDefault="00BF2FDF" w:rsidP="006928B5">
            <w:pPr>
              <w:spacing w:after="0" w:line="240" w:lineRule="auto"/>
              <w:ind w:right="319"/>
              <w:jc w:val="right"/>
              <w:rPr>
                <w:rFonts w:cs="Arial"/>
                <w:b/>
                <w:bCs/>
                <w:color w:val="000000"/>
                <w:sz w:val="18"/>
                <w:szCs w:val="18"/>
                <w:lang w:eastAsia="en-AU"/>
              </w:rPr>
            </w:pPr>
            <w:r w:rsidRPr="009C2545">
              <w:rPr>
                <w:rFonts w:cs="Arial"/>
                <w:b/>
                <w:bCs/>
                <w:color w:val="000000"/>
                <w:sz w:val="18"/>
                <w:szCs w:val="18"/>
              </w:rPr>
              <w:t>977,244</w:t>
            </w:r>
          </w:p>
        </w:tc>
        <w:tc>
          <w:tcPr>
            <w:tcW w:w="1838" w:type="dxa"/>
            <w:tcBorders>
              <w:top w:val="single" w:sz="4" w:space="0" w:color="auto"/>
              <w:left w:val="single" w:sz="4" w:space="0" w:color="auto"/>
              <w:bottom w:val="single" w:sz="4" w:space="0" w:color="auto"/>
              <w:right w:val="single" w:sz="4" w:space="0" w:color="auto"/>
            </w:tcBorders>
            <w:vAlign w:val="center"/>
          </w:tcPr>
          <w:p w14:paraId="3914732B" w14:textId="37FC7BA4" w:rsidR="00BF2FDF" w:rsidRPr="006928B5" w:rsidDel="00961A47" w:rsidRDefault="00BF2FDF" w:rsidP="006928B5">
            <w:pPr>
              <w:spacing w:after="0" w:line="240" w:lineRule="auto"/>
              <w:ind w:right="586"/>
              <w:jc w:val="right"/>
              <w:rPr>
                <w:b/>
                <w:bCs/>
                <w:sz w:val="18"/>
                <w:szCs w:val="18"/>
              </w:rPr>
            </w:pPr>
            <w:r w:rsidRPr="006928B5">
              <w:rPr>
                <w:rFonts w:cs="Arial"/>
                <w:b/>
                <w:bCs/>
                <w:color w:val="000000"/>
                <w:sz w:val="18"/>
                <w:szCs w:val="18"/>
              </w:rPr>
              <w:t>- </w:t>
            </w:r>
          </w:p>
        </w:tc>
      </w:tr>
      <w:tr w:rsidR="00BF2FDF" w:rsidRPr="009B6407" w14:paraId="5546A249" w14:textId="4BE72602" w:rsidTr="00160B8E">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0F83F" w14:textId="77777777" w:rsidR="00BF2FDF" w:rsidRPr="009B6407" w:rsidRDefault="00BF2FDF" w:rsidP="00BF2FDF">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05370" w14:textId="48F6273F" w:rsidR="00BF2FDF" w:rsidRPr="001E2EFA" w:rsidRDefault="00BF2FDF" w:rsidP="006928B5">
            <w:pPr>
              <w:spacing w:after="0" w:line="240" w:lineRule="auto"/>
              <w:ind w:right="572"/>
              <w:jc w:val="right"/>
              <w:rPr>
                <w:rFonts w:cs="Arial"/>
                <w:color w:val="000000"/>
                <w:sz w:val="18"/>
                <w:szCs w:val="18"/>
                <w:lang w:eastAsia="en-AU"/>
              </w:rPr>
            </w:pPr>
            <w:r w:rsidRPr="006928B5">
              <w:rPr>
                <w:sz w:val="18"/>
                <w:szCs w:val="18"/>
              </w:rPr>
              <w:t>13</w:t>
            </w:r>
            <w:r w:rsidR="006D0752">
              <w:rPr>
                <w:sz w:val="18"/>
                <w:szCs w:val="18"/>
              </w:rPr>
              <w:t>3</w:t>
            </w:r>
            <w:r w:rsidRPr="006928B5">
              <w:rPr>
                <w:sz w:val="18"/>
                <w:szCs w:val="18"/>
              </w:rPr>
              <w:t>,</w:t>
            </w:r>
            <w:r w:rsidR="006D0752">
              <w:rPr>
                <w:sz w:val="18"/>
                <w:szCs w:val="18"/>
              </w:rPr>
              <w:t>901</w:t>
            </w:r>
          </w:p>
        </w:tc>
        <w:tc>
          <w:tcPr>
            <w:tcW w:w="1838" w:type="dxa"/>
            <w:tcBorders>
              <w:top w:val="single" w:sz="4" w:space="0" w:color="auto"/>
              <w:left w:val="single" w:sz="4" w:space="0" w:color="auto"/>
              <w:bottom w:val="single" w:sz="4" w:space="0" w:color="auto"/>
              <w:right w:val="single" w:sz="4" w:space="0" w:color="auto"/>
            </w:tcBorders>
            <w:shd w:val="clear" w:color="auto" w:fill="EFE2E7" w:themeFill="text1" w:themeFillTint="1A"/>
            <w:noWrap/>
            <w:vAlign w:val="center"/>
          </w:tcPr>
          <w:p w14:paraId="54EE8FDE" w14:textId="222B7C29" w:rsidR="00BF2FDF" w:rsidRPr="001E2EFA" w:rsidRDefault="00BF2FDF" w:rsidP="006928B5">
            <w:pPr>
              <w:spacing w:after="0" w:line="240" w:lineRule="auto"/>
              <w:ind w:right="436"/>
              <w:jc w:val="right"/>
              <w:rPr>
                <w:rFonts w:cs="Arial"/>
                <w:color w:val="000000"/>
                <w:sz w:val="18"/>
                <w:szCs w:val="18"/>
                <w:lang w:eastAsia="en-AU"/>
              </w:rPr>
            </w:pPr>
            <w:r w:rsidRPr="006928B5">
              <w:rPr>
                <w:sz w:val="18"/>
                <w:szCs w:val="18"/>
              </w:rPr>
              <w:t>41</w:t>
            </w:r>
            <w:r w:rsidR="00A468DD">
              <w:rPr>
                <w:sz w:val="18"/>
                <w:szCs w:val="18"/>
              </w:rPr>
              <w:t>6</w:t>
            </w:r>
            <w:r w:rsidRPr="006928B5">
              <w:rPr>
                <w:sz w:val="18"/>
                <w:szCs w:val="18"/>
              </w:rPr>
              <w:t>,</w:t>
            </w:r>
            <w:r w:rsidR="00A468DD">
              <w:rPr>
                <w:sz w:val="18"/>
                <w:szCs w:val="18"/>
              </w:rPr>
              <w:t>354</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21F46" w14:textId="2FB0EEFE" w:rsidR="00BF2FDF" w:rsidRPr="00BF2FDF" w:rsidRDefault="00BF2FDF" w:rsidP="006928B5">
            <w:pPr>
              <w:spacing w:after="0" w:line="240" w:lineRule="auto"/>
              <w:ind w:right="319"/>
              <w:jc w:val="right"/>
              <w:rPr>
                <w:rFonts w:cs="Arial"/>
                <w:color w:val="000000"/>
                <w:sz w:val="18"/>
                <w:szCs w:val="18"/>
                <w:lang w:eastAsia="en-AU"/>
              </w:rPr>
            </w:pPr>
            <w:r w:rsidRPr="006928B5">
              <w:rPr>
                <w:rFonts w:cs="Arial"/>
                <w:color w:val="000000"/>
                <w:sz w:val="18"/>
                <w:szCs w:val="18"/>
              </w:rPr>
              <w:t>28</w:t>
            </w:r>
            <w:r w:rsidR="0027167A">
              <w:rPr>
                <w:rFonts w:cs="Arial"/>
                <w:color w:val="000000"/>
                <w:sz w:val="18"/>
                <w:szCs w:val="18"/>
              </w:rPr>
              <w:t>2</w:t>
            </w:r>
            <w:r w:rsidRPr="006928B5">
              <w:rPr>
                <w:rFonts w:cs="Arial"/>
                <w:color w:val="000000"/>
                <w:sz w:val="18"/>
                <w:szCs w:val="18"/>
              </w:rPr>
              <w:t>,</w:t>
            </w:r>
            <w:r w:rsidR="0027167A">
              <w:rPr>
                <w:rFonts w:cs="Arial"/>
                <w:color w:val="000000"/>
                <w:sz w:val="18"/>
                <w:szCs w:val="18"/>
              </w:rPr>
              <w:t>453</w:t>
            </w:r>
          </w:p>
        </w:tc>
        <w:tc>
          <w:tcPr>
            <w:tcW w:w="1838" w:type="dxa"/>
            <w:tcBorders>
              <w:top w:val="single" w:sz="4" w:space="0" w:color="auto"/>
              <w:left w:val="single" w:sz="4" w:space="0" w:color="auto"/>
              <w:bottom w:val="single" w:sz="4" w:space="0" w:color="auto"/>
              <w:right w:val="single" w:sz="4" w:space="0" w:color="auto"/>
            </w:tcBorders>
            <w:vAlign w:val="center"/>
          </w:tcPr>
          <w:p w14:paraId="7DAA098B" w14:textId="0B70072E" w:rsidR="00BF2FDF" w:rsidRPr="007B51E8" w:rsidDel="00961A47" w:rsidRDefault="00BF2FDF" w:rsidP="006928B5">
            <w:pPr>
              <w:spacing w:after="0" w:line="240" w:lineRule="auto"/>
              <w:ind w:right="586"/>
              <w:jc w:val="right"/>
              <w:rPr>
                <w:sz w:val="18"/>
                <w:szCs w:val="18"/>
              </w:rPr>
            </w:pPr>
            <w:r>
              <w:rPr>
                <w:rFonts w:cs="Arial"/>
                <w:color w:val="000000"/>
                <w:sz w:val="18"/>
                <w:szCs w:val="18"/>
              </w:rPr>
              <w:t>2</w:t>
            </w:r>
            <w:r w:rsidR="00F70D9B">
              <w:rPr>
                <w:rFonts w:cs="Arial"/>
                <w:color w:val="000000"/>
                <w:sz w:val="18"/>
                <w:szCs w:val="18"/>
              </w:rPr>
              <w:t>8</w:t>
            </w:r>
            <w:r>
              <w:rPr>
                <w:rFonts w:cs="Arial"/>
                <w:color w:val="000000"/>
                <w:sz w:val="18"/>
                <w:szCs w:val="18"/>
              </w:rPr>
              <w:t>.</w:t>
            </w:r>
            <w:r w:rsidR="00F70D9B">
              <w:rPr>
                <w:rFonts w:cs="Arial"/>
                <w:color w:val="000000"/>
                <w:sz w:val="18"/>
                <w:szCs w:val="18"/>
              </w:rPr>
              <w:t>9</w:t>
            </w:r>
          </w:p>
        </w:tc>
      </w:tr>
      <w:tr w:rsidR="00BF2FDF" w:rsidRPr="009B6407" w14:paraId="22F620EF" w14:textId="0C90C307" w:rsidTr="00160B8E">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CACE7" w14:textId="77777777" w:rsidR="00BF2FDF" w:rsidRPr="009B6407" w:rsidRDefault="00BF2FDF" w:rsidP="00BF2FDF">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1E059" w14:textId="7245D985" w:rsidR="00BF2FDF" w:rsidRPr="001E2EFA" w:rsidRDefault="00BF2FDF" w:rsidP="006928B5">
            <w:pPr>
              <w:spacing w:after="0" w:line="240" w:lineRule="auto"/>
              <w:ind w:right="572"/>
              <w:jc w:val="right"/>
              <w:rPr>
                <w:rFonts w:cs="Arial"/>
                <w:color w:val="000000"/>
                <w:sz w:val="18"/>
                <w:szCs w:val="18"/>
                <w:lang w:eastAsia="en-AU"/>
              </w:rPr>
            </w:pPr>
            <w:r w:rsidRPr="006928B5">
              <w:rPr>
                <w:sz w:val="18"/>
                <w:szCs w:val="18"/>
              </w:rPr>
              <w:t>1</w:t>
            </w:r>
            <w:r w:rsidR="006D0752">
              <w:rPr>
                <w:sz w:val="18"/>
                <w:szCs w:val="18"/>
              </w:rPr>
              <w:t>60</w:t>
            </w:r>
            <w:r w:rsidRPr="006928B5">
              <w:rPr>
                <w:sz w:val="18"/>
                <w:szCs w:val="18"/>
              </w:rPr>
              <w:t>,5</w:t>
            </w:r>
            <w:r w:rsidR="006D0752">
              <w:rPr>
                <w:sz w:val="18"/>
                <w:szCs w:val="18"/>
              </w:rPr>
              <w:t>42</w:t>
            </w:r>
          </w:p>
        </w:tc>
        <w:tc>
          <w:tcPr>
            <w:tcW w:w="1838" w:type="dxa"/>
            <w:tcBorders>
              <w:top w:val="single" w:sz="4" w:space="0" w:color="auto"/>
              <w:left w:val="single" w:sz="4" w:space="0" w:color="auto"/>
              <w:bottom w:val="single" w:sz="4" w:space="0" w:color="auto"/>
              <w:right w:val="single" w:sz="4" w:space="0" w:color="auto"/>
            </w:tcBorders>
            <w:shd w:val="clear" w:color="auto" w:fill="EFE2E7" w:themeFill="text1" w:themeFillTint="1A"/>
            <w:noWrap/>
            <w:vAlign w:val="center"/>
          </w:tcPr>
          <w:p w14:paraId="4BAA49D1" w14:textId="174A9F34" w:rsidR="00BF2FDF" w:rsidRPr="001E2EFA" w:rsidRDefault="00BF2FDF" w:rsidP="006928B5">
            <w:pPr>
              <w:spacing w:after="0" w:line="240" w:lineRule="auto"/>
              <w:ind w:right="436"/>
              <w:jc w:val="right"/>
              <w:rPr>
                <w:rFonts w:cs="Arial"/>
                <w:color w:val="000000"/>
                <w:sz w:val="18"/>
                <w:szCs w:val="18"/>
                <w:lang w:eastAsia="en-AU"/>
              </w:rPr>
            </w:pPr>
            <w:r w:rsidRPr="006928B5">
              <w:rPr>
                <w:sz w:val="18"/>
                <w:szCs w:val="18"/>
              </w:rPr>
              <w:t>49</w:t>
            </w:r>
            <w:r w:rsidR="000214A3">
              <w:rPr>
                <w:sz w:val="18"/>
                <w:szCs w:val="18"/>
              </w:rPr>
              <w:t>2</w:t>
            </w:r>
            <w:r w:rsidRPr="006928B5">
              <w:rPr>
                <w:sz w:val="18"/>
                <w:szCs w:val="18"/>
              </w:rPr>
              <w:t>,</w:t>
            </w:r>
            <w:r w:rsidR="000214A3">
              <w:rPr>
                <w:sz w:val="18"/>
                <w:szCs w:val="18"/>
              </w:rPr>
              <w:t>025</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EC345" w14:textId="78453D17" w:rsidR="00BF2FDF" w:rsidRPr="00BF2FDF" w:rsidRDefault="00BF2FDF" w:rsidP="006928B5">
            <w:pPr>
              <w:spacing w:after="0" w:line="240" w:lineRule="auto"/>
              <w:ind w:right="319"/>
              <w:jc w:val="right"/>
              <w:rPr>
                <w:rFonts w:cs="Arial"/>
                <w:color w:val="000000"/>
                <w:sz w:val="18"/>
                <w:szCs w:val="18"/>
                <w:lang w:eastAsia="en-AU"/>
              </w:rPr>
            </w:pPr>
            <w:r w:rsidRPr="006928B5">
              <w:rPr>
                <w:rFonts w:cs="Arial"/>
                <w:color w:val="000000"/>
                <w:sz w:val="18"/>
                <w:szCs w:val="18"/>
              </w:rPr>
              <w:t>3</w:t>
            </w:r>
            <w:r w:rsidR="00BF4B3A">
              <w:rPr>
                <w:rFonts w:cs="Arial"/>
                <w:color w:val="000000"/>
                <w:sz w:val="18"/>
                <w:szCs w:val="18"/>
              </w:rPr>
              <w:t>31</w:t>
            </w:r>
            <w:r w:rsidRPr="006928B5">
              <w:rPr>
                <w:rFonts w:cs="Arial"/>
                <w:color w:val="000000"/>
                <w:sz w:val="18"/>
                <w:szCs w:val="18"/>
              </w:rPr>
              <w:t>,4</w:t>
            </w:r>
            <w:r w:rsidR="0025152E">
              <w:rPr>
                <w:rFonts w:cs="Arial"/>
                <w:color w:val="000000"/>
                <w:sz w:val="18"/>
                <w:szCs w:val="18"/>
              </w:rPr>
              <w:t>83</w:t>
            </w:r>
          </w:p>
        </w:tc>
        <w:tc>
          <w:tcPr>
            <w:tcW w:w="1838" w:type="dxa"/>
            <w:tcBorders>
              <w:top w:val="single" w:sz="4" w:space="0" w:color="auto"/>
              <w:left w:val="single" w:sz="4" w:space="0" w:color="auto"/>
              <w:bottom w:val="single" w:sz="4" w:space="0" w:color="auto"/>
              <w:right w:val="single" w:sz="4" w:space="0" w:color="auto"/>
            </w:tcBorders>
            <w:vAlign w:val="center"/>
          </w:tcPr>
          <w:p w14:paraId="2896930D" w14:textId="7BD38B5E" w:rsidR="00BF2FDF" w:rsidRPr="007B51E8" w:rsidDel="00961A47" w:rsidRDefault="00BF2FDF" w:rsidP="006928B5">
            <w:pPr>
              <w:spacing w:after="0" w:line="240" w:lineRule="auto"/>
              <w:ind w:right="586"/>
              <w:jc w:val="right"/>
              <w:rPr>
                <w:sz w:val="18"/>
                <w:szCs w:val="18"/>
              </w:rPr>
            </w:pPr>
            <w:r>
              <w:rPr>
                <w:rFonts w:cs="Arial"/>
                <w:color w:val="000000"/>
                <w:sz w:val="18"/>
                <w:szCs w:val="18"/>
              </w:rPr>
              <w:t>3</w:t>
            </w:r>
            <w:r w:rsidR="00F70D9B">
              <w:rPr>
                <w:rFonts w:cs="Arial"/>
                <w:color w:val="000000"/>
                <w:sz w:val="18"/>
                <w:szCs w:val="18"/>
              </w:rPr>
              <w:t>3</w:t>
            </w:r>
            <w:r>
              <w:rPr>
                <w:rFonts w:cs="Arial"/>
                <w:color w:val="000000"/>
                <w:sz w:val="18"/>
                <w:szCs w:val="18"/>
              </w:rPr>
              <w:t>.</w:t>
            </w:r>
            <w:r w:rsidR="00F70D9B">
              <w:rPr>
                <w:rFonts w:cs="Arial"/>
                <w:color w:val="000000"/>
                <w:sz w:val="18"/>
                <w:szCs w:val="18"/>
              </w:rPr>
              <w:t>9</w:t>
            </w:r>
          </w:p>
        </w:tc>
      </w:tr>
      <w:tr w:rsidR="00BF2FDF" w:rsidRPr="009B6407" w14:paraId="1D4C5184" w14:textId="4D6C7BF3" w:rsidTr="00160B8E">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A35C2" w14:textId="77777777" w:rsidR="00BF2FDF" w:rsidRPr="009B6407" w:rsidRDefault="00BF2FDF" w:rsidP="00BF2FDF">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D3183" w14:textId="6DB74204" w:rsidR="00BF2FDF" w:rsidRPr="001E2EFA" w:rsidRDefault="00BF2FDF" w:rsidP="006928B5">
            <w:pPr>
              <w:spacing w:after="0" w:line="240" w:lineRule="auto"/>
              <w:ind w:right="572"/>
              <w:jc w:val="right"/>
              <w:rPr>
                <w:rFonts w:cs="Arial"/>
                <w:color w:val="000000"/>
                <w:sz w:val="18"/>
                <w:szCs w:val="18"/>
                <w:lang w:eastAsia="en-AU"/>
              </w:rPr>
            </w:pPr>
            <w:r w:rsidRPr="006928B5">
              <w:rPr>
                <w:sz w:val="18"/>
                <w:szCs w:val="18"/>
              </w:rPr>
              <w:t>16,383</w:t>
            </w:r>
          </w:p>
        </w:tc>
        <w:tc>
          <w:tcPr>
            <w:tcW w:w="1838" w:type="dxa"/>
            <w:tcBorders>
              <w:top w:val="single" w:sz="4" w:space="0" w:color="auto"/>
              <w:left w:val="single" w:sz="4" w:space="0" w:color="auto"/>
              <w:bottom w:val="single" w:sz="4" w:space="0" w:color="auto"/>
              <w:right w:val="single" w:sz="4" w:space="0" w:color="auto"/>
            </w:tcBorders>
            <w:shd w:val="clear" w:color="auto" w:fill="EFE2E7" w:themeFill="text1" w:themeFillTint="1A"/>
            <w:noWrap/>
            <w:vAlign w:val="center"/>
          </w:tcPr>
          <w:p w14:paraId="260AF19D" w14:textId="2A6C7815" w:rsidR="00BF2FDF" w:rsidRPr="001E2EFA" w:rsidRDefault="00BF2FDF" w:rsidP="006928B5">
            <w:pPr>
              <w:spacing w:after="0" w:line="240" w:lineRule="auto"/>
              <w:ind w:right="436"/>
              <w:jc w:val="right"/>
              <w:rPr>
                <w:rFonts w:cs="Arial"/>
                <w:color w:val="000000"/>
                <w:sz w:val="18"/>
                <w:szCs w:val="18"/>
                <w:lang w:eastAsia="en-AU"/>
              </w:rPr>
            </w:pPr>
            <w:r w:rsidRPr="006928B5">
              <w:rPr>
                <w:sz w:val="18"/>
                <w:szCs w:val="18"/>
              </w:rPr>
              <w:t>80,002</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3E171" w14:textId="531CB131" w:rsidR="00BF2FDF" w:rsidRPr="00BF2FDF" w:rsidRDefault="00BF2FDF" w:rsidP="006928B5">
            <w:pPr>
              <w:spacing w:after="0" w:line="240" w:lineRule="auto"/>
              <w:ind w:right="319"/>
              <w:jc w:val="right"/>
              <w:rPr>
                <w:rFonts w:cs="Arial"/>
                <w:color w:val="000000"/>
                <w:sz w:val="18"/>
                <w:szCs w:val="18"/>
                <w:lang w:eastAsia="en-AU"/>
              </w:rPr>
            </w:pPr>
            <w:r w:rsidRPr="006928B5">
              <w:rPr>
                <w:rFonts w:cs="Arial"/>
                <w:color w:val="000000"/>
                <w:sz w:val="18"/>
                <w:szCs w:val="18"/>
              </w:rPr>
              <w:t>63,619</w:t>
            </w:r>
          </w:p>
        </w:tc>
        <w:tc>
          <w:tcPr>
            <w:tcW w:w="1838" w:type="dxa"/>
            <w:tcBorders>
              <w:top w:val="single" w:sz="4" w:space="0" w:color="auto"/>
              <w:left w:val="single" w:sz="4" w:space="0" w:color="auto"/>
              <w:bottom w:val="single" w:sz="4" w:space="0" w:color="auto"/>
              <w:right w:val="single" w:sz="4" w:space="0" w:color="auto"/>
            </w:tcBorders>
            <w:vAlign w:val="center"/>
          </w:tcPr>
          <w:p w14:paraId="55DC0639" w14:textId="1E47955F" w:rsidR="00BF2FDF" w:rsidRPr="007B51E8" w:rsidDel="00961A47" w:rsidRDefault="00BF2FDF" w:rsidP="006928B5">
            <w:pPr>
              <w:spacing w:after="0" w:line="240" w:lineRule="auto"/>
              <w:ind w:right="586"/>
              <w:jc w:val="right"/>
              <w:rPr>
                <w:sz w:val="18"/>
                <w:szCs w:val="18"/>
              </w:rPr>
            </w:pPr>
            <w:r>
              <w:rPr>
                <w:rFonts w:cs="Arial"/>
                <w:color w:val="000000"/>
                <w:sz w:val="18"/>
                <w:szCs w:val="18"/>
              </w:rPr>
              <w:t>6.5</w:t>
            </w:r>
          </w:p>
        </w:tc>
      </w:tr>
      <w:tr w:rsidR="00BF2FDF" w:rsidRPr="009B6407" w14:paraId="60BB5BDC" w14:textId="6C264EE4" w:rsidTr="00160B8E">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007E7" w14:textId="77777777" w:rsidR="00BF2FDF" w:rsidRPr="009B6407" w:rsidRDefault="00BF2FDF" w:rsidP="00BF2FDF">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BDF52" w14:textId="3B3A2BE3" w:rsidR="00BF2FDF" w:rsidRPr="001E2EFA" w:rsidRDefault="00BF2FDF" w:rsidP="006928B5">
            <w:pPr>
              <w:spacing w:after="0" w:line="240" w:lineRule="auto"/>
              <w:ind w:right="572"/>
              <w:jc w:val="right"/>
              <w:rPr>
                <w:rFonts w:cs="Arial"/>
                <w:color w:val="000000"/>
                <w:sz w:val="18"/>
                <w:szCs w:val="18"/>
                <w:lang w:eastAsia="en-AU"/>
              </w:rPr>
            </w:pPr>
            <w:r w:rsidRPr="006928B5">
              <w:rPr>
                <w:sz w:val="18"/>
                <w:szCs w:val="18"/>
              </w:rPr>
              <w:t>80,769</w:t>
            </w:r>
          </w:p>
        </w:tc>
        <w:tc>
          <w:tcPr>
            <w:tcW w:w="1838" w:type="dxa"/>
            <w:tcBorders>
              <w:top w:val="single" w:sz="4" w:space="0" w:color="auto"/>
              <w:left w:val="single" w:sz="4" w:space="0" w:color="auto"/>
              <w:bottom w:val="single" w:sz="4" w:space="0" w:color="auto"/>
              <w:right w:val="single" w:sz="4" w:space="0" w:color="auto"/>
            </w:tcBorders>
            <w:shd w:val="clear" w:color="auto" w:fill="EFE2E7" w:themeFill="text1" w:themeFillTint="1A"/>
            <w:noWrap/>
            <w:vAlign w:val="center"/>
          </w:tcPr>
          <w:p w14:paraId="6546A97B" w14:textId="41B27D27" w:rsidR="00BF2FDF" w:rsidRPr="001E2EFA" w:rsidRDefault="00BF2FDF" w:rsidP="006928B5">
            <w:pPr>
              <w:spacing w:after="0" w:line="240" w:lineRule="auto"/>
              <w:ind w:right="436"/>
              <w:jc w:val="right"/>
              <w:rPr>
                <w:rFonts w:cs="Arial"/>
                <w:color w:val="000000"/>
                <w:sz w:val="18"/>
                <w:szCs w:val="18"/>
                <w:lang w:eastAsia="en-AU"/>
              </w:rPr>
            </w:pPr>
            <w:r w:rsidRPr="006928B5">
              <w:rPr>
                <w:sz w:val="18"/>
                <w:szCs w:val="18"/>
              </w:rPr>
              <w:t>181,849</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0AF8B" w14:textId="0F541C5C" w:rsidR="00BF2FDF" w:rsidRPr="00BF2FDF" w:rsidRDefault="00BF2FDF" w:rsidP="006928B5">
            <w:pPr>
              <w:spacing w:after="0" w:line="240" w:lineRule="auto"/>
              <w:ind w:right="319"/>
              <w:jc w:val="right"/>
              <w:rPr>
                <w:rFonts w:cs="Arial"/>
                <w:color w:val="000000"/>
                <w:sz w:val="18"/>
                <w:szCs w:val="18"/>
                <w:lang w:eastAsia="en-AU"/>
              </w:rPr>
            </w:pPr>
            <w:r w:rsidRPr="006928B5">
              <w:rPr>
                <w:rFonts w:cs="Arial"/>
                <w:color w:val="000000"/>
                <w:sz w:val="18"/>
                <w:szCs w:val="18"/>
              </w:rPr>
              <w:t>101,080</w:t>
            </w:r>
          </w:p>
        </w:tc>
        <w:tc>
          <w:tcPr>
            <w:tcW w:w="1838" w:type="dxa"/>
            <w:tcBorders>
              <w:top w:val="single" w:sz="4" w:space="0" w:color="auto"/>
              <w:left w:val="single" w:sz="4" w:space="0" w:color="auto"/>
              <w:bottom w:val="single" w:sz="4" w:space="0" w:color="auto"/>
              <w:right w:val="single" w:sz="4" w:space="0" w:color="auto"/>
            </w:tcBorders>
            <w:vAlign w:val="center"/>
          </w:tcPr>
          <w:p w14:paraId="14AD635D" w14:textId="77782B43" w:rsidR="00BF2FDF" w:rsidRPr="007B51E8" w:rsidDel="00961A47" w:rsidRDefault="00BF2FDF" w:rsidP="006928B5">
            <w:pPr>
              <w:spacing w:after="0" w:line="240" w:lineRule="auto"/>
              <w:ind w:right="586"/>
              <w:jc w:val="right"/>
              <w:rPr>
                <w:sz w:val="18"/>
                <w:szCs w:val="18"/>
              </w:rPr>
            </w:pPr>
            <w:r>
              <w:rPr>
                <w:rFonts w:cs="Arial"/>
                <w:color w:val="000000"/>
                <w:sz w:val="18"/>
                <w:szCs w:val="18"/>
              </w:rPr>
              <w:t>10.3</w:t>
            </w:r>
          </w:p>
        </w:tc>
      </w:tr>
      <w:tr w:rsidR="00BF2FDF" w:rsidRPr="009B6407" w14:paraId="44024800" w14:textId="58315A5A" w:rsidTr="00160B8E">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FE423" w14:textId="30363E48" w:rsidR="00BF2FDF" w:rsidRPr="00F51256" w:rsidRDefault="00BF2FDF" w:rsidP="00BF2FDF">
            <w:pPr>
              <w:spacing w:after="0" w:line="240" w:lineRule="auto"/>
              <w:rPr>
                <w:rFonts w:cs="Arial"/>
                <w:b/>
                <w:bCs/>
                <w:i/>
                <w:iCs/>
                <w:color w:val="000000"/>
                <w:sz w:val="18"/>
                <w:szCs w:val="18"/>
                <w:lang w:eastAsia="en-AU"/>
              </w:rPr>
            </w:pPr>
            <w:r w:rsidRPr="00F51256">
              <w:rPr>
                <w:rFonts w:cs="Arial"/>
                <w:b/>
                <w:bCs/>
                <w:i/>
                <w:iCs/>
                <w:color w:val="000000"/>
                <w:sz w:val="18"/>
                <w:szCs w:val="18"/>
                <w:lang w:eastAsia="en-AU"/>
              </w:rPr>
              <w:t>Equity Group</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FC4B0" w14:textId="7921C690" w:rsidR="00BF2FDF" w:rsidRPr="00F51256" w:rsidRDefault="007C7B4B" w:rsidP="006928B5">
            <w:pPr>
              <w:spacing w:after="0" w:line="240" w:lineRule="auto"/>
              <w:ind w:right="572"/>
              <w:jc w:val="right"/>
              <w:rPr>
                <w:rFonts w:cs="Arial"/>
                <w:b/>
                <w:bCs/>
                <w:color w:val="000000"/>
                <w:sz w:val="18"/>
                <w:szCs w:val="18"/>
                <w:lang w:eastAsia="en-AU"/>
              </w:rPr>
            </w:pPr>
            <w:r w:rsidRPr="00F51256">
              <w:rPr>
                <w:b/>
                <w:bCs/>
                <w:sz w:val="18"/>
                <w:szCs w:val="18"/>
              </w:rPr>
              <w:t>309,360</w:t>
            </w:r>
          </w:p>
        </w:tc>
        <w:tc>
          <w:tcPr>
            <w:tcW w:w="1838" w:type="dxa"/>
            <w:tcBorders>
              <w:top w:val="single" w:sz="4" w:space="0" w:color="auto"/>
              <w:left w:val="single" w:sz="4" w:space="0" w:color="auto"/>
              <w:bottom w:val="single" w:sz="4" w:space="0" w:color="auto"/>
              <w:right w:val="single" w:sz="4" w:space="0" w:color="auto"/>
            </w:tcBorders>
            <w:shd w:val="clear" w:color="auto" w:fill="EFE2E7" w:themeFill="text1" w:themeFillTint="1A"/>
            <w:noWrap/>
            <w:vAlign w:val="center"/>
          </w:tcPr>
          <w:p w14:paraId="4A94DE51" w14:textId="2930107B" w:rsidR="00BF2FDF" w:rsidRPr="00F51256" w:rsidRDefault="00BF2FDF" w:rsidP="006928B5">
            <w:pPr>
              <w:spacing w:after="0" w:line="240" w:lineRule="auto"/>
              <w:ind w:right="436"/>
              <w:jc w:val="right"/>
              <w:rPr>
                <w:rFonts w:cs="Arial"/>
                <w:b/>
                <w:bCs/>
                <w:color w:val="000000"/>
                <w:sz w:val="18"/>
                <w:szCs w:val="18"/>
                <w:lang w:eastAsia="en-AU"/>
              </w:rPr>
            </w:pPr>
            <w:r w:rsidRPr="00F51256">
              <w:rPr>
                <w:b/>
                <w:bCs/>
                <w:sz w:val="18"/>
                <w:szCs w:val="18"/>
              </w:rPr>
              <w:t>92</w:t>
            </w:r>
            <w:r w:rsidR="00BA3052" w:rsidRPr="00F51256">
              <w:rPr>
                <w:b/>
                <w:bCs/>
                <w:sz w:val="18"/>
                <w:szCs w:val="18"/>
              </w:rPr>
              <w:t>4</w:t>
            </w:r>
            <w:r w:rsidRPr="00F51256">
              <w:rPr>
                <w:b/>
                <w:bCs/>
                <w:sz w:val="18"/>
                <w:szCs w:val="18"/>
              </w:rPr>
              <w:t>,</w:t>
            </w:r>
            <w:r w:rsidR="00607183" w:rsidRPr="00F51256">
              <w:rPr>
                <w:b/>
                <w:bCs/>
                <w:sz w:val="18"/>
                <w:szCs w:val="18"/>
              </w:rPr>
              <w:t>481</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1B3F9" w14:textId="6A89579F" w:rsidR="00BF2FDF" w:rsidRPr="00F51256" w:rsidRDefault="00BF2FDF" w:rsidP="006928B5">
            <w:pPr>
              <w:spacing w:after="0" w:line="240" w:lineRule="auto"/>
              <w:ind w:right="319"/>
              <w:jc w:val="right"/>
              <w:rPr>
                <w:rFonts w:cs="Arial"/>
                <w:b/>
                <w:bCs/>
                <w:color w:val="000000"/>
                <w:sz w:val="18"/>
                <w:szCs w:val="18"/>
                <w:lang w:eastAsia="en-AU"/>
              </w:rPr>
            </w:pPr>
            <w:r w:rsidRPr="00F51256">
              <w:rPr>
                <w:rFonts w:cs="Arial"/>
                <w:b/>
                <w:bCs/>
                <w:color w:val="000000"/>
                <w:sz w:val="18"/>
                <w:szCs w:val="18"/>
              </w:rPr>
              <w:t>6</w:t>
            </w:r>
            <w:r w:rsidR="007C7B4B" w:rsidRPr="00F51256">
              <w:rPr>
                <w:rFonts w:cs="Arial"/>
                <w:b/>
                <w:bCs/>
                <w:color w:val="000000"/>
                <w:sz w:val="18"/>
                <w:szCs w:val="18"/>
              </w:rPr>
              <w:t>15</w:t>
            </w:r>
            <w:r w:rsidRPr="00F51256">
              <w:rPr>
                <w:rFonts w:cs="Arial"/>
                <w:b/>
                <w:bCs/>
                <w:color w:val="000000"/>
                <w:sz w:val="18"/>
                <w:szCs w:val="18"/>
              </w:rPr>
              <w:t>,</w:t>
            </w:r>
            <w:r w:rsidR="00F20899" w:rsidRPr="00F51256">
              <w:rPr>
                <w:rFonts w:cs="Arial"/>
                <w:b/>
                <w:bCs/>
                <w:color w:val="000000"/>
                <w:sz w:val="18"/>
                <w:szCs w:val="18"/>
              </w:rPr>
              <w:t>121</w:t>
            </w:r>
          </w:p>
        </w:tc>
        <w:tc>
          <w:tcPr>
            <w:tcW w:w="1838" w:type="dxa"/>
            <w:tcBorders>
              <w:top w:val="single" w:sz="4" w:space="0" w:color="auto"/>
              <w:left w:val="single" w:sz="4" w:space="0" w:color="auto"/>
              <w:bottom w:val="single" w:sz="4" w:space="0" w:color="auto"/>
              <w:right w:val="single" w:sz="4" w:space="0" w:color="auto"/>
            </w:tcBorders>
            <w:vAlign w:val="center"/>
          </w:tcPr>
          <w:p w14:paraId="7864084F" w14:textId="57C5F51B" w:rsidR="00BF2FDF" w:rsidRPr="00F51256" w:rsidDel="00961A47" w:rsidRDefault="00BF2FDF" w:rsidP="006928B5">
            <w:pPr>
              <w:spacing w:after="0" w:line="240" w:lineRule="auto"/>
              <w:ind w:right="586"/>
              <w:jc w:val="right"/>
              <w:rPr>
                <w:b/>
                <w:bCs/>
                <w:sz w:val="18"/>
                <w:szCs w:val="18"/>
              </w:rPr>
            </w:pPr>
            <w:r w:rsidRPr="00F51256">
              <w:rPr>
                <w:rFonts w:cs="Arial"/>
                <w:b/>
                <w:bCs/>
                <w:color w:val="000000"/>
                <w:sz w:val="18"/>
                <w:szCs w:val="18"/>
              </w:rPr>
              <w:t>6</w:t>
            </w:r>
            <w:r w:rsidR="00F20899" w:rsidRPr="00F51256">
              <w:rPr>
                <w:rFonts w:cs="Arial"/>
                <w:b/>
                <w:bCs/>
                <w:color w:val="000000"/>
                <w:sz w:val="18"/>
                <w:szCs w:val="18"/>
              </w:rPr>
              <w:t>2</w:t>
            </w:r>
            <w:r w:rsidRPr="00F51256">
              <w:rPr>
                <w:rFonts w:cs="Arial"/>
                <w:b/>
                <w:bCs/>
                <w:color w:val="000000"/>
                <w:sz w:val="18"/>
                <w:szCs w:val="18"/>
              </w:rPr>
              <w:t>.</w:t>
            </w:r>
            <w:r w:rsidR="00F20899" w:rsidRPr="00F51256">
              <w:rPr>
                <w:rFonts w:cs="Arial"/>
                <w:b/>
                <w:bCs/>
                <w:color w:val="000000"/>
                <w:sz w:val="18"/>
                <w:szCs w:val="18"/>
              </w:rPr>
              <w:t>9</w:t>
            </w:r>
          </w:p>
        </w:tc>
      </w:tr>
    </w:tbl>
    <w:p w14:paraId="3C5D4A99" w14:textId="752C020A" w:rsidR="00E124F2" w:rsidRDefault="00E124F2" w:rsidP="00E124F2">
      <w:pPr>
        <w:spacing w:line="240" w:lineRule="auto"/>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0C11E0A3" w14:textId="77777777" w:rsidR="00B840A1" w:rsidRDefault="00B840A1" w:rsidP="00D168A9">
      <w:pPr>
        <w:spacing w:before="240" w:line="240" w:lineRule="auto"/>
        <w:rPr>
          <w:rFonts w:cstheme="minorHAnsi"/>
          <w:b/>
          <w:bCs/>
          <w:color w:val="000000"/>
          <w:sz w:val="18"/>
          <w:szCs w:val="18"/>
          <w:lang w:eastAsia="en-AU"/>
        </w:rPr>
      </w:pPr>
    </w:p>
    <w:p w14:paraId="5DC34ABB" w14:textId="582AE754" w:rsidR="00D168A9" w:rsidRDefault="00D168A9" w:rsidP="00D168A9">
      <w:pPr>
        <w:spacing w:before="240"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1</w:t>
      </w:r>
      <w:r w:rsidR="003B7C16">
        <w:rPr>
          <w:rFonts w:cstheme="minorHAnsi"/>
          <w:b/>
          <w:bCs/>
          <w:color w:val="000000"/>
          <w:sz w:val="18"/>
          <w:szCs w:val="18"/>
          <w:lang w:eastAsia="en-AU"/>
        </w:rPr>
        <w:t>8</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Pr>
          <w:rFonts w:cstheme="minorHAnsi"/>
          <w:color w:val="000000"/>
          <w:sz w:val="18"/>
          <w:szCs w:val="18"/>
          <w:lang w:eastAsia="en-AU"/>
        </w:rPr>
        <w:t xml:space="preserve">Completion – the Equal Effort Option to meet a </w:t>
      </w:r>
      <w:r>
        <w:rPr>
          <w:rFonts w:cstheme="minorHAnsi"/>
          <w:i/>
          <w:iCs/>
          <w:color w:val="000000"/>
          <w:sz w:val="18"/>
          <w:szCs w:val="18"/>
          <w:lang w:eastAsia="en-AU"/>
        </w:rPr>
        <w:t>State/Territory (Home Institutions</w:t>
      </w:r>
      <w:r>
        <w:rPr>
          <w:rFonts w:cstheme="minorHAnsi"/>
          <w:color w:val="000000"/>
          <w:sz w:val="18"/>
          <w:szCs w:val="18"/>
          <w:lang w:eastAsia="en-AU"/>
        </w:rPr>
        <w:t xml:space="preserve">) Parity Target </w:t>
      </w:r>
      <w:r>
        <w:rPr>
          <w:rFonts w:cstheme="minorHAnsi"/>
          <w:color w:val="000000"/>
          <w:sz w:val="18"/>
          <w:szCs w:val="18"/>
          <w:lang w:eastAsia="en-AU"/>
        </w:rPr>
        <w:br/>
        <w:t>in 2050.</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9"/>
        <w:gridCol w:w="1852"/>
        <w:gridCol w:w="1852"/>
        <w:gridCol w:w="1852"/>
        <w:gridCol w:w="1853"/>
      </w:tblGrid>
      <w:tr w:rsidR="00BD6871" w:rsidRPr="009B6407" w14:paraId="3618E314" w14:textId="77777777" w:rsidTr="00160B8E">
        <w:trPr>
          <w:trHeight w:val="1018"/>
        </w:trPr>
        <w:tc>
          <w:tcPr>
            <w:tcW w:w="2209" w:type="dxa"/>
            <w:shd w:val="clear" w:color="auto" w:fill="auto"/>
            <w:noWrap/>
            <w:vAlign w:val="center"/>
            <w:hideMark/>
          </w:tcPr>
          <w:p w14:paraId="19B832FB" w14:textId="77777777" w:rsidR="009C2545" w:rsidRPr="009B6407" w:rsidRDefault="009C2545" w:rsidP="00784A84">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852" w:type="dxa"/>
            <w:shd w:val="clear" w:color="auto" w:fill="6B3B57"/>
            <w:vAlign w:val="center"/>
            <w:hideMark/>
          </w:tcPr>
          <w:p w14:paraId="4A887ACF" w14:textId="77777777" w:rsidR="009C2545" w:rsidRPr="009B6407" w:rsidRDefault="009C2545" w:rsidP="00784A84">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852" w:type="dxa"/>
            <w:shd w:val="clear" w:color="auto" w:fill="6B3B57"/>
            <w:vAlign w:val="center"/>
            <w:hideMark/>
          </w:tcPr>
          <w:p w14:paraId="70DC36CE" w14:textId="77777777" w:rsidR="009C2545" w:rsidRDefault="009C2545"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 xml:space="preserve">2050 </w:t>
            </w:r>
          </w:p>
          <w:p w14:paraId="4B2F7459" w14:textId="77777777" w:rsidR="009C2545" w:rsidRDefault="009C2545"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p>
          <w:p w14:paraId="768F4961" w14:textId="77777777" w:rsidR="009C2545" w:rsidRPr="009B6407" w:rsidRDefault="009C2545" w:rsidP="00784A84">
            <w:pPr>
              <w:spacing w:after="0" w:line="240" w:lineRule="auto"/>
              <w:jc w:val="center"/>
              <w:rPr>
                <w:rFonts w:cs="Arial"/>
                <w:b/>
                <w:bCs/>
                <w:color w:val="FFFFFF"/>
                <w:sz w:val="18"/>
                <w:szCs w:val="18"/>
                <w:lang w:eastAsia="en-AU"/>
              </w:rPr>
            </w:pPr>
          </w:p>
        </w:tc>
        <w:tc>
          <w:tcPr>
            <w:tcW w:w="1852" w:type="dxa"/>
            <w:shd w:val="clear" w:color="auto" w:fill="6B3B57"/>
            <w:vAlign w:val="center"/>
          </w:tcPr>
          <w:p w14:paraId="71FF0047" w14:textId="77777777" w:rsidR="009C2545" w:rsidRPr="009B6407" w:rsidRDefault="009C2545"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Growth (headcount)</w:t>
            </w:r>
          </w:p>
        </w:tc>
        <w:tc>
          <w:tcPr>
            <w:tcW w:w="1853" w:type="dxa"/>
            <w:shd w:val="clear" w:color="auto" w:fill="6B3B57"/>
            <w:vAlign w:val="center"/>
          </w:tcPr>
          <w:p w14:paraId="5EBA8F50" w14:textId="77777777" w:rsidR="009C2545" w:rsidRDefault="009C2545"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Share of Growth (%)</w:t>
            </w:r>
          </w:p>
        </w:tc>
      </w:tr>
      <w:tr w:rsidR="00BD6871" w:rsidRPr="009B6407" w14:paraId="0E1C5DCC" w14:textId="77777777" w:rsidTr="00160B8E">
        <w:trPr>
          <w:trHeight w:val="315"/>
        </w:trPr>
        <w:tc>
          <w:tcPr>
            <w:tcW w:w="2209" w:type="dxa"/>
            <w:shd w:val="clear" w:color="auto" w:fill="auto"/>
            <w:noWrap/>
            <w:vAlign w:val="center"/>
            <w:hideMark/>
          </w:tcPr>
          <w:p w14:paraId="73CC4922" w14:textId="77777777" w:rsidR="002F259A" w:rsidRPr="009B6407" w:rsidRDefault="002F259A" w:rsidP="002F259A">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852" w:type="dxa"/>
            <w:shd w:val="clear" w:color="auto" w:fill="auto"/>
            <w:noWrap/>
            <w:vAlign w:val="center"/>
          </w:tcPr>
          <w:p w14:paraId="7F1E9981" w14:textId="444DD81C" w:rsidR="002F259A" w:rsidRPr="001E2EFA" w:rsidRDefault="002F259A" w:rsidP="002F259A">
            <w:pPr>
              <w:spacing w:after="0" w:line="240" w:lineRule="auto"/>
              <w:ind w:right="572"/>
              <w:jc w:val="right"/>
              <w:rPr>
                <w:rFonts w:cs="Arial"/>
                <w:b/>
                <w:bCs/>
                <w:color w:val="000000"/>
                <w:sz w:val="18"/>
                <w:szCs w:val="18"/>
                <w:lang w:eastAsia="en-AU"/>
              </w:rPr>
            </w:pPr>
            <w:r w:rsidRPr="001F0FF9">
              <w:rPr>
                <w:rFonts w:cs="Arial"/>
                <w:b/>
                <w:bCs/>
                <w:color w:val="000000"/>
                <w:sz w:val="18"/>
                <w:szCs w:val="18"/>
              </w:rPr>
              <w:t>118,000</w:t>
            </w:r>
          </w:p>
        </w:tc>
        <w:tc>
          <w:tcPr>
            <w:tcW w:w="1852" w:type="dxa"/>
            <w:shd w:val="clear" w:color="auto" w:fill="EFE2E7" w:themeFill="text1" w:themeFillTint="1A"/>
            <w:noWrap/>
            <w:vAlign w:val="center"/>
          </w:tcPr>
          <w:p w14:paraId="53F3E951" w14:textId="79687A31" w:rsidR="002F259A" w:rsidRPr="001E2EFA" w:rsidRDefault="002F259A" w:rsidP="002F259A">
            <w:pPr>
              <w:spacing w:after="0" w:line="240" w:lineRule="auto"/>
              <w:ind w:right="436"/>
              <w:jc w:val="right"/>
              <w:rPr>
                <w:rFonts w:cs="Arial"/>
                <w:b/>
                <w:bCs/>
                <w:color w:val="000000"/>
                <w:sz w:val="18"/>
                <w:szCs w:val="18"/>
                <w:lang w:eastAsia="en-AU"/>
              </w:rPr>
            </w:pPr>
            <w:r w:rsidRPr="001F0FF9">
              <w:rPr>
                <w:rFonts w:cs="Arial"/>
                <w:b/>
                <w:bCs/>
                <w:color w:val="000000"/>
                <w:sz w:val="18"/>
                <w:szCs w:val="18"/>
              </w:rPr>
              <w:t>276,871</w:t>
            </w:r>
          </w:p>
        </w:tc>
        <w:tc>
          <w:tcPr>
            <w:tcW w:w="1852" w:type="dxa"/>
            <w:shd w:val="clear" w:color="auto" w:fill="auto"/>
            <w:noWrap/>
            <w:vAlign w:val="center"/>
          </w:tcPr>
          <w:p w14:paraId="4F4AA137" w14:textId="3824A9B4" w:rsidR="002F259A" w:rsidRPr="001F0FF9" w:rsidRDefault="002F259A" w:rsidP="002F259A">
            <w:pPr>
              <w:spacing w:after="0" w:line="240" w:lineRule="auto"/>
              <w:ind w:right="319"/>
              <w:jc w:val="right"/>
              <w:rPr>
                <w:rFonts w:cs="Arial"/>
                <w:color w:val="000000"/>
                <w:sz w:val="18"/>
                <w:szCs w:val="18"/>
                <w:lang w:eastAsia="en-AU"/>
              </w:rPr>
            </w:pPr>
            <w:r>
              <w:rPr>
                <w:rFonts w:cs="Arial"/>
                <w:b/>
                <w:bCs/>
                <w:color w:val="000000"/>
                <w:sz w:val="18"/>
                <w:szCs w:val="18"/>
              </w:rPr>
              <w:t>158,871</w:t>
            </w:r>
          </w:p>
        </w:tc>
        <w:tc>
          <w:tcPr>
            <w:tcW w:w="1853" w:type="dxa"/>
            <w:vAlign w:val="center"/>
          </w:tcPr>
          <w:p w14:paraId="7D179E2F" w14:textId="718F3AA0" w:rsidR="002F259A" w:rsidRPr="006928B5" w:rsidDel="00961A47" w:rsidRDefault="002F259A" w:rsidP="006928B5">
            <w:pPr>
              <w:spacing w:after="0" w:line="240" w:lineRule="auto"/>
              <w:ind w:right="586"/>
              <w:jc w:val="right"/>
              <w:rPr>
                <w:b/>
                <w:bCs/>
                <w:sz w:val="18"/>
                <w:szCs w:val="18"/>
              </w:rPr>
            </w:pPr>
            <w:r w:rsidRPr="006928B5">
              <w:rPr>
                <w:rFonts w:cs="Arial"/>
                <w:b/>
                <w:bCs/>
                <w:color w:val="000000"/>
                <w:sz w:val="18"/>
                <w:szCs w:val="18"/>
              </w:rPr>
              <w:t>- </w:t>
            </w:r>
          </w:p>
        </w:tc>
      </w:tr>
      <w:tr w:rsidR="00BD6871" w:rsidRPr="009B6407" w14:paraId="64728355" w14:textId="77777777" w:rsidTr="00160B8E">
        <w:trPr>
          <w:trHeight w:val="315"/>
        </w:trPr>
        <w:tc>
          <w:tcPr>
            <w:tcW w:w="2209" w:type="dxa"/>
            <w:shd w:val="clear" w:color="auto" w:fill="auto"/>
            <w:noWrap/>
            <w:vAlign w:val="center"/>
            <w:hideMark/>
          </w:tcPr>
          <w:p w14:paraId="71472429" w14:textId="77777777" w:rsidR="002F259A" w:rsidRPr="009B6407" w:rsidRDefault="002F259A" w:rsidP="002F259A">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852" w:type="dxa"/>
            <w:shd w:val="clear" w:color="auto" w:fill="auto"/>
            <w:noWrap/>
            <w:vAlign w:val="center"/>
          </w:tcPr>
          <w:p w14:paraId="51433CEB" w14:textId="23BB86F4" w:rsidR="002F259A" w:rsidRPr="001E2EFA" w:rsidRDefault="008253C2" w:rsidP="002F259A">
            <w:pPr>
              <w:spacing w:after="0" w:line="240" w:lineRule="auto"/>
              <w:ind w:right="572"/>
              <w:jc w:val="right"/>
              <w:rPr>
                <w:rFonts w:cs="Arial"/>
                <w:color w:val="000000"/>
                <w:sz w:val="18"/>
                <w:szCs w:val="18"/>
                <w:lang w:eastAsia="en-AU"/>
              </w:rPr>
            </w:pPr>
            <w:r w:rsidRPr="00F51256">
              <w:rPr>
                <w:sz w:val="18"/>
                <w:szCs w:val="18"/>
              </w:rPr>
              <w:t>17,179</w:t>
            </w:r>
          </w:p>
        </w:tc>
        <w:tc>
          <w:tcPr>
            <w:tcW w:w="1852" w:type="dxa"/>
            <w:shd w:val="clear" w:color="auto" w:fill="EFE2E7" w:themeFill="text1" w:themeFillTint="1A"/>
            <w:noWrap/>
            <w:vAlign w:val="center"/>
          </w:tcPr>
          <w:p w14:paraId="1B84DF50" w14:textId="4C3BFE82" w:rsidR="002F259A" w:rsidRPr="001E2EFA" w:rsidRDefault="0068102B" w:rsidP="002F259A">
            <w:pPr>
              <w:spacing w:after="0" w:line="240" w:lineRule="auto"/>
              <w:ind w:right="436"/>
              <w:jc w:val="right"/>
              <w:rPr>
                <w:rFonts w:cs="Arial"/>
                <w:color w:val="000000"/>
                <w:sz w:val="18"/>
                <w:szCs w:val="18"/>
                <w:lang w:eastAsia="en-AU"/>
              </w:rPr>
            </w:pPr>
            <w:r w:rsidRPr="00F51256">
              <w:rPr>
                <w:sz w:val="18"/>
                <w:szCs w:val="18"/>
              </w:rPr>
              <w:t>64,412</w:t>
            </w:r>
          </w:p>
        </w:tc>
        <w:tc>
          <w:tcPr>
            <w:tcW w:w="1852" w:type="dxa"/>
            <w:shd w:val="clear" w:color="auto" w:fill="auto"/>
            <w:noWrap/>
            <w:vAlign w:val="center"/>
          </w:tcPr>
          <w:p w14:paraId="5377AEAB" w14:textId="38536250" w:rsidR="002F259A" w:rsidRPr="002F259A" w:rsidRDefault="004D42F4" w:rsidP="002F259A">
            <w:pPr>
              <w:spacing w:after="0" w:line="240" w:lineRule="auto"/>
              <w:ind w:right="319"/>
              <w:jc w:val="right"/>
              <w:rPr>
                <w:rFonts w:cs="Arial"/>
                <w:color w:val="000000"/>
                <w:sz w:val="18"/>
                <w:szCs w:val="18"/>
                <w:lang w:eastAsia="en-AU"/>
              </w:rPr>
            </w:pPr>
            <w:r>
              <w:rPr>
                <w:rFonts w:cs="Arial"/>
                <w:color w:val="000000"/>
                <w:sz w:val="18"/>
                <w:szCs w:val="18"/>
              </w:rPr>
              <w:t>47</w:t>
            </w:r>
            <w:r w:rsidR="002F259A" w:rsidRPr="006928B5">
              <w:rPr>
                <w:rFonts w:cs="Arial"/>
                <w:color w:val="000000"/>
                <w:sz w:val="18"/>
                <w:szCs w:val="18"/>
              </w:rPr>
              <w:t>,</w:t>
            </w:r>
            <w:r w:rsidR="00AD0F65">
              <w:rPr>
                <w:rFonts w:cs="Arial"/>
                <w:color w:val="000000"/>
                <w:sz w:val="18"/>
                <w:szCs w:val="18"/>
              </w:rPr>
              <w:t>233</w:t>
            </w:r>
          </w:p>
        </w:tc>
        <w:tc>
          <w:tcPr>
            <w:tcW w:w="1853" w:type="dxa"/>
            <w:vAlign w:val="center"/>
          </w:tcPr>
          <w:p w14:paraId="3174AF36" w14:textId="5B3186C9" w:rsidR="002F259A" w:rsidRPr="007B51E8" w:rsidDel="00961A47" w:rsidRDefault="00604FAF" w:rsidP="006928B5">
            <w:pPr>
              <w:spacing w:after="0" w:line="240" w:lineRule="auto"/>
              <w:ind w:right="586"/>
              <w:jc w:val="right"/>
              <w:rPr>
                <w:sz w:val="18"/>
                <w:szCs w:val="18"/>
              </w:rPr>
            </w:pPr>
            <w:r>
              <w:rPr>
                <w:rFonts w:cs="Arial"/>
                <w:color w:val="000000"/>
                <w:sz w:val="18"/>
                <w:szCs w:val="18"/>
              </w:rPr>
              <w:t>29</w:t>
            </w:r>
            <w:r w:rsidR="0068102B">
              <w:rPr>
                <w:rFonts w:cs="Arial"/>
                <w:color w:val="000000"/>
                <w:sz w:val="18"/>
                <w:szCs w:val="18"/>
              </w:rPr>
              <w:t>.</w:t>
            </w:r>
            <w:r>
              <w:rPr>
                <w:rFonts w:cs="Arial"/>
                <w:color w:val="000000"/>
                <w:sz w:val="18"/>
                <w:szCs w:val="18"/>
              </w:rPr>
              <w:t>7</w:t>
            </w:r>
          </w:p>
        </w:tc>
      </w:tr>
      <w:tr w:rsidR="00BD6871" w:rsidRPr="009B6407" w14:paraId="5D32C55A" w14:textId="77777777" w:rsidTr="00160B8E">
        <w:trPr>
          <w:trHeight w:val="315"/>
        </w:trPr>
        <w:tc>
          <w:tcPr>
            <w:tcW w:w="2209" w:type="dxa"/>
            <w:shd w:val="clear" w:color="auto" w:fill="auto"/>
            <w:noWrap/>
            <w:vAlign w:val="center"/>
            <w:hideMark/>
          </w:tcPr>
          <w:p w14:paraId="1825301E" w14:textId="77777777" w:rsidR="002F259A" w:rsidRPr="009B6407" w:rsidRDefault="002F259A" w:rsidP="002F259A">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852" w:type="dxa"/>
            <w:shd w:val="clear" w:color="auto" w:fill="auto"/>
            <w:noWrap/>
            <w:vAlign w:val="center"/>
          </w:tcPr>
          <w:p w14:paraId="65B3B960" w14:textId="0446109B" w:rsidR="002F259A" w:rsidRPr="001E2EFA" w:rsidRDefault="008253C2" w:rsidP="002F259A">
            <w:pPr>
              <w:spacing w:after="0" w:line="240" w:lineRule="auto"/>
              <w:ind w:right="572"/>
              <w:jc w:val="right"/>
              <w:rPr>
                <w:rFonts w:cs="Arial"/>
                <w:color w:val="000000"/>
                <w:sz w:val="18"/>
                <w:szCs w:val="18"/>
                <w:lang w:eastAsia="en-AU"/>
              </w:rPr>
            </w:pPr>
            <w:r w:rsidRPr="00F51256">
              <w:rPr>
                <w:sz w:val="18"/>
                <w:szCs w:val="18"/>
              </w:rPr>
              <w:t>22,154</w:t>
            </w:r>
          </w:p>
        </w:tc>
        <w:tc>
          <w:tcPr>
            <w:tcW w:w="1852" w:type="dxa"/>
            <w:shd w:val="clear" w:color="auto" w:fill="EFE2E7" w:themeFill="text1" w:themeFillTint="1A"/>
            <w:noWrap/>
            <w:vAlign w:val="center"/>
          </w:tcPr>
          <w:p w14:paraId="3ADB86D8" w14:textId="44C85A64" w:rsidR="002F259A" w:rsidRPr="001E2EFA" w:rsidRDefault="0068102B" w:rsidP="002F259A">
            <w:pPr>
              <w:spacing w:after="0" w:line="240" w:lineRule="auto"/>
              <w:ind w:right="436"/>
              <w:jc w:val="right"/>
              <w:rPr>
                <w:rFonts w:cs="Arial"/>
                <w:color w:val="000000"/>
                <w:sz w:val="18"/>
                <w:szCs w:val="18"/>
                <w:lang w:eastAsia="en-AU"/>
              </w:rPr>
            </w:pPr>
            <w:r w:rsidRPr="00F51256">
              <w:rPr>
                <w:sz w:val="18"/>
                <w:szCs w:val="18"/>
              </w:rPr>
              <w:t>73,597</w:t>
            </w:r>
          </w:p>
        </w:tc>
        <w:tc>
          <w:tcPr>
            <w:tcW w:w="1852" w:type="dxa"/>
            <w:shd w:val="clear" w:color="auto" w:fill="auto"/>
            <w:noWrap/>
            <w:vAlign w:val="center"/>
          </w:tcPr>
          <w:p w14:paraId="12D0E6AF" w14:textId="040A9049" w:rsidR="002F259A" w:rsidRPr="002F259A" w:rsidRDefault="0068102B" w:rsidP="002F259A">
            <w:pPr>
              <w:spacing w:after="0" w:line="240" w:lineRule="auto"/>
              <w:ind w:right="319"/>
              <w:jc w:val="right"/>
              <w:rPr>
                <w:rFonts w:cs="Arial"/>
                <w:color w:val="000000"/>
                <w:sz w:val="18"/>
                <w:szCs w:val="18"/>
                <w:lang w:eastAsia="en-AU"/>
              </w:rPr>
            </w:pPr>
            <w:r w:rsidRPr="006928B5">
              <w:rPr>
                <w:rFonts w:cs="Arial"/>
                <w:color w:val="000000"/>
                <w:sz w:val="18"/>
                <w:szCs w:val="18"/>
              </w:rPr>
              <w:t>5</w:t>
            </w:r>
            <w:r w:rsidR="00AD0F65">
              <w:rPr>
                <w:rFonts w:cs="Arial"/>
                <w:color w:val="000000"/>
                <w:sz w:val="18"/>
                <w:szCs w:val="18"/>
              </w:rPr>
              <w:t>1</w:t>
            </w:r>
            <w:r w:rsidR="008253C2" w:rsidRPr="006928B5">
              <w:rPr>
                <w:rFonts w:cs="Arial"/>
                <w:color w:val="000000"/>
                <w:sz w:val="18"/>
                <w:szCs w:val="18"/>
              </w:rPr>
              <w:t>,</w:t>
            </w:r>
            <w:r w:rsidR="00604FAF">
              <w:rPr>
                <w:rFonts w:cs="Arial"/>
                <w:color w:val="000000"/>
                <w:sz w:val="18"/>
                <w:szCs w:val="18"/>
              </w:rPr>
              <w:t>443</w:t>
            </w:r>
          </w:p>
        </w:tc>
        <w:tc>
          <w:tcPr>
            <w:tcW w:w="1853" w:type="dxa"/>
            <w:vAlign w:val="center"/>
          </w:tcPr>
          <w:p w14:paraId="732E95B9" w14:textId="6C153646" w:rsidR="002F259A" w:rsidRPr="007B51E8" w:rsidDel="00961A47" w:rsidRDefault="0068102B" w:rsidP="006928B5">
            <w:pPr>
              <w:spacing w:after="0" w:line="240" w:lineRule="auto"/>
              <w:ind w:right="586"/>
              <w:jc w:val="right"/>
              <w:rPr>
                <w:sz w:val="18"/>
                <w:szCs w:val="18"/>
              </w:rPr>
            </w:pPr>
            <w:r>
              <w:rPr>
                <w:rFonts w:cs="Arial"/>
                <w:color w:val="000000"/>
                <w:sz w:val="18"/>
                <w:szCs w:val="18"/>
              </w:rPr>
              <w:t>3</w:t>
            </w:r>
            <w:r w:rsidR="00604FAF">
              <w:rPr>
                <w:rFonts w:cs="Arial"/>
                <w:color w:val="000000"/>
                <w:sz w:val="18"/>
                <w:szCs w:val="18"/>
              </w:rPr>
              <w:t>2</w:t>
            </w:r>
            <w:r>
              <w:rPr>
                <w:rFonts w:cs="Arial"/>
                <w:color w:val="000000"/>
                <w:sz w:val="18"/>
                <w:szCs w:val="18"/>
              </w:rPr>
              <w:t>.</w:t>
            </w:r>
            <w:r w:rsidR="00604FAF">
              <w:rPr>
                <w:rFonts w:cs="Arial"/>
                <w:color w:val="000000"/>
                <w:sz w:val="18"/>
                <w:szCs w:val="18"/>
              </w:rPr>
              <w:t>4</w:t>
            </w:r>
          </w:p>
        </w:tc>
      </w:tr>
      <w:tr w:rsidR="00BD6871" w:rsidRPr="009B6407" w14:paraId="396AE751" w14:textId="77777777" w:rsidTr="00160B8E">
        <w:trPr>
          <w:trHeight w:val="315"/>
        </w:trPr>
        <w:tc>
          <w:tcPr>
            <w:tcW w:w="2209" w:type="dxa"/>
            <w:shd w:val="clear" w:color="auto" w:fill="auto"/>
            <w:noWrap/>
            <w:vAlign w:val="center"/>
            <w:hideMark/>
          </w:tcPr>
          <w:p w14:paraId="7FCA044E" w14:textId="77777777" w:rsidR="002F259A" w:rsidRPr="009B6407" w:rsidRDefault="002F259A" w:rsidP="002F259A">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852" w:type="dxa"/>
            <w:shd w:val="clear" w:color="auto" w:fill="auto"/>
            <w:noWrap/>
            <w:vAlign w:val="center"/>
          </w:tcPr>
          <w:p w14:paraId="041412C9" w14:textId="105B2824" w:rsidR="002F259A" w:rsidRPr="001E2EFA" w:rsidRDefault="002F259A" w:rsidP="002F259A">
            <w:pPr>
              <w:spacing w:after="0" w:line="240" w:lineRule="auto"/>
              <w:ind w:right="572"/>
              <w:jc w:val="right"/>
              <w:rPr>
                <w:rFonts w:cs="Arial"/>
                <w:color w:val="000000"/>
                <w:sz w:val="18"/>
                <w:szCs w:val="18"/>
                <w:lang w:eastAsia="en-AU"/>
              </w:rPr>
            </w:pPr>
            <w:r w:rsidRPr="001F0FF9">
              <w:rPr>
                <w:rFonts w:cs="Arial"/>
                <w:color w:val="000000"/>
                <w:sz w:val="18"/>
                <w:szCs w:val="18"/>
              </w:rPr>
              <w:t>1,637</w:t>
            </w:r>
          </w:p>
        </w:tc>
        <w:tc>
          <w:tcPr>
            <w:tcW w:w="1852" w:type="dxa"/>
            <w:shd w:val="clear" w:color="auto" w:fill="EFE2E7" w:themeFill="text1" w:themeFillTint="1A"/>
            <w:noWrap/>
            <w:vAlign w:val="center"/>
          </w:tcPr>
          <w:p w14:paraId="1121529C" w14:textId="141F9864" w:rsidR="002F259A" w:rsidRPr="001E2EFA" w:rsidRDefault="002F259A" w:rsidP="002F259A">
            <w:pPr>
              <w:spacing w:after="0" w:line="240" w:lineRule="auto"/>
              <w:ind w:right="436"/>
              <w:jc w:val="right"/>
              <w:rPr>
                <w:rFonts w:cs="Arial"/>
                <w:color w:val="000000"/>
                <w:sz w:val="18"/>
                <w:szCs w:val="18"/>
                <w:lang w:eastAsia="en-AU"/>
              </w:rPr>
            </w:pPr>
            <w:r w:rsidRPr="001F0FF9">
              <w:rPr>
                <w:rFonts w:cs="Arial"/>
                <w:color w:val="000000"/>
                <w:sz w:val="18"/>
                <w:szCs w:val="18"/>
              </w:rPr>
              <w:t>11,439</w:t>
            </w:r>
          </w:p>
        </w:tc>
        <w:tc>
          <w:tcPr>
            <w:tcW w:w="1852" w:type="dxa"/>
            <w:shd w:val="clear" w:color="auto" w:fill="auto"/>
            <w:noWrap/>
            <w:vAlign w:val="center"/>
          </w:tcPr>
          <w:p w14:paraId="466AD6E1" w14:textId="1B25E75B" w:rsidR="002F259A" w:rsidRPr="002F259A" w:rsidRDefault="002F259A" w:rsidP="002F259A">
            <w:pPr>
              <w:spacing w:after="0" w:line="240" w:lineRule="auto"/>
              <w:ind w:right="319"/>
              <w:jc w:val="right"/>
              <w:rPr>
                <w:rFonts w:cs="Arial"/>
                <w:color w:val="000000"/>
                <w:sz w:val="18"/>
                <w:szCs w:val="18"/>
                <w:lang w:eastAsia="en-AU"/>
              </w:rPr>
            </w:pPr>
            <w:r w:rsidRPr="006928B5">
              <w:rPr>
                <w:rFonts w:cs="Arial"/>
                <w:color w:val="000000"/>
                <w:sz w:val="18"/>
                <w:szCs w:val="18"/>
              </w:rPr>
              <w:t>9,802</w:t>
            </w:r>
          </w:p>
        </w:tc>
        <w:tc>
          <w:tcPr>
            <w:tcW w:w="1853" w:type="dxa"/>
            <w:vAlign w:val="center"/>
          </w:tcPr>
          <w:p w14:paraId="0BC25606" w14:textId="05C62847" w:rsidR="002F259A" w:rsidRPr="007B51E8" w:rsidDel="00961A47" w:rsidRDefault="002F259A" w:rsidP="006928B5">
            <w:pPr>
              <w:spacing w:after="0" w:line="240" w:lineRule="auto"/>
              <w:ind w:right="586"/>
              <w:jc w:val="right"/>
              <w:rPr>
                <w:sz w:val="18"/>
                <w:szCs w:val="18"/>
              </w:rPr>
            </w:pPr>
            <w:r>
              <w:rPr>
                <w:rFonts w:cs="Arial"/>
                <w:color w:val="000000"/>
                <w:sz w:val="18"/>
                <w:szCs w:val="18"/>
              </w:rPr>
              <w:t>6.2</w:t>
            </w:r>
          </w:p>
        </w:tc>
      </w:tr>
      <w:tr w:rsidR="00BD6871" w:rsidRPr="009B6407" w14:paraId="0025F062" w14:textId="77777777" w:rsidTr="00160B8E">
        <w:trPr>
          <w:trHeight w:val="315"/>
        </w:trPr>
        <w:tc>
          <w:tcPr>
            <w:tcW w:w="2209" w:type="dxa"/>
            <w:shd w:val="clear" w:color="auto" w:fill="auto"/>
            <w:noWrap/>
            <w:vAlign w:val="center"/>
            <w:hideMark/>
          </w:tcPr>
          <w:p w14:paraId="5538DEAC" w14:textId="77777777" w:rsidR="002F259A" w:rsidRPr="009B6407" w:rsidRDefault="002F259A" w:rsidP="002F259A">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852" w:type="dxa"/>
            <w:shd w:val="clear" w:color="auto" w:fill="auto"/>
            <w:noWrap/>
            <w:vAlign w:val="center"/>
          </w:tcPr>
          <w:p w14:paraId="01C35AEF" w14:textId="1E03D169" w:rsidR="002F259A" w:rsidRPr="001E2EFA" w:rsidRDefault="002F259A" w:rsidP="002F259A">
            <w:pPr>
              <w:spacing w:after="0" w:line="240" w:lineRule="auto"/>
              <w:ind w:right="572"/>
              <w:jc w:val="right"/>
              <w:rPr>
                <w:rFonts w:cs="Arial"/>
                <w:color w:val="000000"/>
                <w:sz w:val="18"/>
                <w:szCs w:val="18"/>
                <w:lang w:eastAsia="en-AU"/>
              </w:rPr>
            </w:pPr>
            <w:r w:rsidRPr="001F0FF9">
              <w:rPr>
                <w:rFonts w:cs="Arial"/>
                <w:color w:val="000000"/>
                <w:sz w:val="18"/>
                <w:szCs w:val="18"/>
              </w:rPr>
              <w:t>9,215</w:t>
            </w:r>
          </w:p>
        </w:tc>
        <w:tc>
          <w:tcPr>
            <w:tcW w:w="1852" w:type="dxa"/>
            <w:shd w:val="clear" w:color="auto" w:fill="EFE2E7" w:themeFill="text1" w:themeFillTint="1A"/>
            <w:noWrap/>
            <w:vAlign w:val="center"/>
          </w:tcPr>
          <w:p w14:paraId="3E842C43" w14:textId="138563AB" w:rsidR="002F259A" w:rsidRPr="001E2EFA" w:rsidRDefault="002F259A" w:rsidP="002F259A">
            <w:pPr>
              <w:spacing w:after="0" w:line="240" w:lineRule="auto"/>
              <w:ind w:right="436"/>
              <w:jc w:val="right"/>
              <w:rPr>
                <w:rFonts w:cs="Arial"/>
                <w:color w:val="000000"/>
                <w:sz w:val="18"/>
                <w:szCs w:val="18"/>
                <w:lang w:eastAsia="en-AU"/>
              </w:rPr>
            </w:pPr>
            <w:r w:rsidRPr="001F0FF9">
              <w:rPr>
                <w:rFonts w:cs="Arial"/>
                <w:color w:val="000000"/>
                <w:sz w:val="18"/>
                <w:szCs w:val="18"/>
              </w:rPr>
              <w:t>23,904</w:t>
            </w:r>
          </w:p>
        </w:tc>
        <w:tc>
          <w:tcPr>
            <w:tcW w:w="1852" w:type="dxa"/>
            <w:shd w:val="clear" w:color="auto" w:fill="auto"/>
            <w:noWrap/>
            <w:vAlign w:val="center"/>
          </w:tcPr>
          <w:p w14:paraId="6FA2CAF9" w14:textId="7F4D4546" w:rsidR="002F259A" w:rsidRPr="002F259A" w:rsidRDefault="002F259A" w:rsidP="002F259A">
            <w:pPr>
              <w:spacing w:after="0" w:line="240" w:lineRule="auto"/>
              <w:ind w:right="319"/>
              <w:jc w:val="right"/>
              <w:rPr>
                <w:rFonts w:cs="Arial"/>
                <w:color w:val="000000"/>
                <w:sz w:val="18"/>
                <w:szCs w:val="18"/>
                <w:lang w:eastAsia="en-AU"/>
              </w:rPr>
            </w:pPr>
            <w:r w:rsidRPr="006928B5">
              <w:rPr>
                <w:rFonts w:cs="Arial"/>
                <w:color w:val="000000"/>
                <w:sz w:val="18"/>
                <w:szCs w:val="18"/>
              </w:rPr>
              <w:t>14,689</w:t>
            </w:r>
          </w:p>
        </w:tc>
        <w:tc>
          <w:tcPr>
            <w:tcW w:w="1853" w:type="dxa"/>
            <w:vAlign w:val="center"/>
          </w:tcPr>
          <w:p w14:paraId="5351B1FC" w14:textId="6936B5D7" w:rsidR="002F259A" w:rsidRPr="007B51E8" w:rsidDel="00961A47" w:rsidRDefault="002F259A" w:rsidP="006928B5">
            <w:pPr>
              <w:spacing w:after="0" w:line="240" w:lineRule="auto"/>
              <w:ind w:right="586"/>
              <w:jc w:val="right"/>
              <w:rPr>
                <w:sz w:val="18"/>
                <w:szCs w:val="18"/>
              </w:rPr>
            </w:pPr>
            <w:r>
              <w:rPr>
                <w:rFonts w:cs="Arial"/>
                <w:color w:val="000000"/>
                <w:sz w:val="18"/>
                <w:szCs w:val="18"/>
              </w:rPr>
              <w:t>9.2</w:t>
            </w:r>
          </w:p>
        </w:tc>
      </w:tr>
      <w:tr w:rsidR="00BD6871" w:rsidRPr="009B6407" w14:paraId="171E8F34" w14:textId="77777777" w:rsidTr="00160B8E">
        <w:trPr>
          <w:trHeight w:val="315"/>
        </w:trPr>
        <w:tc>
          <w:tcPr>
            <w:tcW w:w="2209" w:type="dxa"/>
            <w:shd w:val="clear" w:color="auto" w:fill="auto"/>
            <w:noWrap/>
            <w:vAlign w:val="center"/>
            <w:hideMark/>
          </w:tcPr>
          <w:p w14:paraId="4A839F4A" w14:textId="500B93AA" w:rsidR="002F259A" w:rsidRPr="00F51256" w:rsidRDefault="002F259A" w:rsidP="002F259A">
            <w:pPr>
              <w:spacing w:after="0" w:line="240" w:lineRule="auto"/>
              <w:rPr>
                <w:rFonts w:cs="Arial"/>
                <w:b/>
                <w:bCs/>
                <w:i/>
                <w:iCs/>
                <w:color w:val="000000"/>
                <w:sz w:val="18"/>
                <w:szCs w:val="18"/>
                <w:lang w:eastAsia="en-AU"/>
              </w:rPr>
            </w:pPr>
            <w:r w:rsidRPr="00F51256">
              <w:rPr>
                <w:rFonts w:cs="Arial"/>
                <w:b/>
                <w:bCs/>
                <w:i/>
                <w:iCs/>
                <w:color w:val="000000"/>
                <w:sz w:val="18"/>
                <w:szCs w:val="18"/>
                <w:lang w:eastAsia="en-AU"/>
              </w:rPr>
              <w:t>Equity Group</w:t>
            </w:r>
          </w:p>
        </w:tc>
        <w:tc>
          <w:tcPr>
            <w:tcW w:w="1852" w:type="dxa"/>
            <w:shd w:val="clear" w:color="auto" w:fill="auto"/>
            <w:noWrap/>
            <w:vAlign w:val="center"/>
          </w:tcPr>
          <w:p w14:paraId="3682C2DC" w14:textId="1CE9D50A" w:rsidR="002F259A" w:rsidRPr="00F51256" w:rsidRDefault="00C70DCF" w:rsidP="002F259A">
            <w:pPr>
              <w:spacing w:after="0" w:line="240" w:lineRule="auto"/>
              <w:ind w:right="572"/>
              <w:jc w:val="right"/>
              <w:rPr>
                <w:rFonts w:cs="Arial"/>
                <w:b/>
                <w:bCs/>
                <w:color w:val="000000"/>
                <w:sz w:val="18"/>
                <w:szCs w:val="18"/>
                <w:lang w:eastAsia="en-AU"/>
              </w:rPr>
            </w:pPr>
            <w:r w:rsidRPr="00F51256">
              <w:rPr>
                <w:b/>
                <w:bCs/>
                <w:sz w:val="18"/>
                <w:szCs w:val="18"/>
              </w:rPr>
              <w:t>39,646</w:t>
            </w:r>
          </w:p>
        </w:tc>
        <w:tc>
          <w:tcPr>
            <w:tcW w:w="1852" w:type="dxa"/>
            <w:shd w:val="clear" w:color="auto" w:fill="EFE2E7" w:themeFill="text1" w:themeFillTint="1A"/>
            <w:noWrap/>
            <w:vAlign w:val="center"/>
          </w:tcPr>
          <w:p w14:paraId="517A4624" w14:textId="46040791" w:rsidR="002F259A" w:rsidRPr="00F51256" w:rsidRDefault="00C70DCF" w:rsidP="002F259A">
            <w:pPr>
              <w:spacing w:after="0" w:line="240" w:lineRule="auto"/>
              <w:ind w:right="436"/>
              <w:jc w:val="right"/>
              <w:rPr>
                <w:rFonts w:cs="Arial"/>
                <w:b/>
                <w:bCs/>
                <w:color w:val="000000"/>
                <w:sz w:val="18"/>
                <w:szCs w:val="18"/>
                <w:lang w:eastAsia="en-AU"/>
              </w:rPr>
            </w:pPr>
            <w:r w:rsidRPr="00F51256">
              <w:rPr>
                <w:b/>
                <w:bCs/>
                <w:sz w:val="18"/>
                <w:szCs w:val="18"/>
              </w:rPr>
              <w:t>13</w:t>
            </w:r>
            <w:r w:rsidR="00704F2D" w:rsidRPr="00F51256">
              <w:rPr>
                <w:b/>
                <w:bCs/>
                <w:sz w:val="18"/>
                <w:szCs w:val="18"/>
              </w:rPr>
              <w:t>6</w:t>
            </w:r>
            <w:r w:rsidRPr="00F51256">
              <w:rPr>
                <w:b/>
                <w:bCs/>
                <w:sz w:val="18"/>
                <w:szCs w:val="18"/>
              </w:rPr>
              <w:t>,</w:t>
            </w:r>
            <w:r w:rsidR="00042584" w:rsidRPr="00F51256">
              <w:rPr>
                <w:b/>
                <w:bCs/>
                <w:sz w:val="18"/>
                <w:szCs w:val="18"/>
              </w:rPr>
              <w:t>948</w:t>
            </w:r>
          </w:p>
        </w:tc>
        <w:tc>
          <w:tcPr>
            <w:tcW w:w="1852" w:type="dxa"/>
            <w:shd w:val="clear" w:color="auto" w:fill="auto"/>
            <w:noWrap/>
            <w:vAlign w:val="center"/>
          </w:tcPr>
          <w:p w14:paraId="5AE1B336" w14:textId="0009E2BB" w:rsidR="002F259A" w:rsidRPr="00F51256" w:rsidRDefault="00C70DCF" w:rsidP="002F259A">
            <w:pPr>
              <w:spacing w:after="0" w:line="240" w:lineRule="auto"/>
              <w:ind w:right="319"/>
              <w:jc w:val="right"/>
              <w:rPr>
                <w:rFonts w:cs="Arial"/>
                <w:b/>
                <w:bCs/>
                <w:color w:val="000000"/>
                <w:sz w:val="18"/>
                <w:szCs w:val="18"/>
                <w:lang w:eastAsia="en-AU"/>
              </w:rPr>
            </w:pPr>
            <w:r w:rsidRPr="00F51256">
              <w:rPr>
                <w:rFonts w:cs="Arial"/>
                <w:b/>
                <w:bCs/>
                <w:color w:val="000000"/>
                <w:sz w:val="18"/>
                <w:szCs w:val="18"/>
              </w:rPr>
              <w:t>9</w:t>
            </w:r>
            <w:r w:rsidR="006879D1" w:rsidRPr="00F51256">
              <w:rPr>
                <w:rFonts w:cs="Arial"/>
                <w:b/>
                <w:bCs/>
                <w:color w:val="000000"/>
                <w:sz w:val="18"/>
                <w:szCs w:val="18"/>
              </w:rPr>
              <w:t>7</w:t>
            </w:r>
            <w:r w:rsidRPr="00F51256">
              <w:rPr>
                <w:rFonts w:cs="Arial"/>
                <w:b/>
                <w:bCs/>
                <w:color w:val="000000"/>
                <w:sz w:val="18"/>
                <w:szCs w:val="18"/>
              </w:rPr>
              <w:t>,</w:t>
            </w:r>
            <w:r w:rsidR="006879D1" w:rsidRPr="00F51256">
              <w:rPr>
                <w:rFonts w:cs="Arial"/>
                <w:b/>
                <w:bCs/>
                <w:color w:val="000000"/>
                <w:sz w:val="18"/>
                <w:szCs w:val="18"/>
              </w:rPr>
              <w:t>302</w:t>
            </w:r>
          </w:p>
        </w:tc>
        <w:tc>
          <w:tcPr>
            <w:tcW w:w="1853" w:type="dxa"/>
            <w:vAlign w:val="center"/>
          </w:tcPr>
          <w:p w14:paraId="1FA4FA2F" w14:textId="73B81A09" w:rsidR="002F259A" w:rsidRPr="00F51256" w:rsidDel="00961A47" w:rsidRDefault="00C70DCF" w:rsidP="006928B5">
            <w:pPr>
              <w:spacing w:after="0" w:line="240" w:lineRule="auto"/>
              <w:ind w:right="586"/>
              <w:jc w:val="right"/>
              <w:rPr>
                <w:b/>
                <w:bCs/>
                <w:sz w:val="18"/>
                <w:szCs w:val="18"/>
              </w:rPr>
            </w:pPr>
            <w:r w:rsidRPr="00F51256">
              <w:rPr>
                <w:rFonts w:cs="Arial"/>
                <w:b/>
                <w:bCs/>
                <w:color w:val="000000"/>
                <w:sz w:val="18"/>
                <w:szCs w:val="18"/>
              </w:rPr>
              <w:t>6</w:t>
            </w:r>
            <w:r w:rsidR="00604FAF" w:rsidRPr="00F51256">
              <w:rPr>
                <w:rFonts w:cs="Arial"/>
                <w:b/>
                <w:bCs/>
                <w:color w:val="000000"/>
                <w:sz w:val="18"/>
                <w:szCs w:val="18"/>
              </w:rPr>
              <w:t>1</w:t>
            </w:r>
            <w:r w:rsidRPr="00F51256">
              <w:rPr>
                <w:rFonts w:cs="Arial"/>
                <w:b/>
                <w:bCs/>
                <w:color w:val="000000"/>
                <w:sz w:val="18"/>
                <w:szCs w:val="18"/>
              </w:rPr>
              <w:t>.</w:t>
            </w:r>
            <w:r w:rsidR="00604FAF" w:rsidRPr="00F51256">
              <w:rPr>
                <w:rFonts w:cs="Arial"/>
                <w:b/>
                <w:bCs/>
                <w:color w:val="000000"/>
                <w:sz w:val="18"/>
                <w:szCs w:val="18"/>
              </w:rPr>
              <w:t>2</w:t>
            </w:r>
          </w:p>
        </w:tc>
      </w:tr>
    </w:tbl>
    <w:p w14:paraId="29D64461" w14:textId="0EEE541D" w:rsidR="003B7C16" w:rsidRDefault="00FD241E" w:rsidP="006B57B5">
      <w:pPr>
        <w:spacing w:line="240" w:lineRule="auto"/>
        <w:rPr>
          <w:b/>
          <w:bCs/>
          <w:i/>
          <w:iCs/>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r w:rsidR="003B7C16">
        <w:rPr>
          <w:b/>
          <w:bCs/>
          <w:i/>
          <w:iCs/>
        </w:rPr>
        <w:br w:type="page"/>
      </w:r>
    </w:p>
    <w:p w14:paraId="1FA36E00" w14:textId="246DCB8F" w:rsidR="00D168A9" w:rsidRPr="00292973" w:rsidRDefault="00BD6871" w:rsidP="006B57B5">
      <w:pPr>
        <w:pStyle w:val="Heading3"/>
        <w:rPr>
          <w:rFonts w:cstheme="minorHAnsi"/>
          <w:color w:val="000000"/>
          <w:sz w:val="18"/>
          <w:szCs w:val="18"/>
          <w:lang w:eastAsia="en-AU"/>
        </w:rPr>
      </w:pPr>
      <w:r>
        <w:lastRenderedPageBreak/>
        <w:t xml:space="preserve">Interim </w:t>
      </w:r>
      <w:r w:rsidR="00EC1ADC">
        <w:t>t</w:t>
      </w:r>
      <w:r>
        <w:t>argets in 2035</w:t>
      </w:r>
    </w:p>
    <w:p w14:paraId="0750CD3C" w14:textId="09569621" w:rsidR="00BF4A9F" w:rsidRDefault="00144EA5">
      <w:pPr>
        <w:rPr>
          <w:rFonts w:cs="Arial"/>
          <w:b/>
          <w:bCs/>
          <w:color w:val="000000"/>
          <w:sz w:val="18"/>
          <w:szCs w:val="18"/>
        </w:rPr>
      </w:pPr>
      <w:r>
        <w:t xml:space="preserve">The interim </w:t>
      </w:r>
      <w:r w:rsidR="007133EA">
        <w:t xml:space="preserve">targets for 2035 represent </w:t>
      </w:r>
      <w:r w:rsidR="00E84559">
        <w:t>growth in</w:t>
      </w:r>
      <w:r w:rsidR="007133EA">
        <w:t xml:space="preserve"> equity group </w:t>
      </w:r>
      <w:r w:rsidR="00B250EB">
        <w:t>participation and completion headcount</w:t>
      </w:r>
      <w:r w:rsidR="00E84559">
        <w:t xml:space="preserve"> that is</w:t>
      </w:r>
      <w:r w:rsidR="00AB4A26">
        <w:t xml:space="preserve"> equivalent to the share of overall growth in undergraduate enrolments that is projected to take place to 2035</w:t>
      </w:r>
      <w:r w:rsidR="00201117">
        <w:t xml:space="preserve"> under the </w:t>
      </w:r>
      <w:r w:rsidR="00201117">
        <w:rPr>
          <w:i/>
          <w:iCs/>
        </w:rPr>
        <w:t>Equal Effort</w:t>
      </w:r>
      <w:r w:rsidR="00201117">
        <w:t xml:space="preserve"> option that meets the </w:t>
      </w:r>
      <w:r w:rsidR="00CC6378">
        <w:t xml:space="preserve">parity target goal in 2050. </w:t>
      </w:r>
      <w:r w:rsidR="00AB4A26">
        <w:t xml:space="preserve"> </w:t>
      </w:r>
      <w:r w:rsidR="00E84559">
        <w:t xml:space="preserve"> </w:t>
      </w:r>
      <w:r w:rsidR="007133EA">
        <w:t xml:space="preserve"> </w:t>
      </w:r>
      <w:r>
        <w:t xml:space="preserve">     </w:t>
      </w:r>
    </w:p>
    <w:p w14:paraId="15F5A64B" w14:textId="460B6BDA" w:rsidR="00680BD3" w:rsidRPr="00D87ECA" w:rsidRDefault="00C541B3" w:rsidP="00292973">
      <w:pPr>
        <w:spacing w:before="240"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1</w:t>
      </w:r>
      <w:r w:rsidR="003B7C16">
        <w:rPr>
          <w:rFonts w:cstheme="minorHAnsi"/>
          <w:b/>
          <w:bCs/>
          <w:color w:val="000000"/>
          <w:sz w:val="18"/>
          <w:szCs w:val="18"/>
          <w:lang w:eastAsia="en-AU"/>
        </w:rPr>
        <w:t>9</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Pr>
          <w:rFonts w:cstheme="minorHAnsi"/>
          <w:color w:val="000000"/>
          <w:sz w:val="18"/>
          <w:szCs w:val="18"/>
          <w:lang w:eastAsia="en-AU"/>
        </w:rPr>
        <w:t xml:space="preserve">Participation – </w:t>
      </w:r>
      <w:r w:rsidR="00A33AEF">
        <w:rPr>
          <w:rFonts w:cstheme="minorHAnsi"/>
          <w:color w:val="000000"/>
          <w:sz w:val="18"/>
          <w:szCs w:val="18"/>
          <w:lang w:eastAsia="en-AU"/>
        </w:rPr>
        <w:t>T</w:t>
      </w:r>
      <w:r>
        <w:rPr>
          <w:rFonts w:cstheme="minorHAnsi"/>
          <w:color w:val="000000"/>
          <w:sz w:val="18"/>
          <w:szCs w:val="18"/>
          <w:lang w:eastAsia="en-AU"/>
        </w:rPr>
        <w:t xml:space="preserve">he Equal Effort Option to meet a </w:t>
      </w:r>
      <w:r>
        <w:rPr>
          <w:rFonts w:cstheme="minorHAnsi"/>
          <w:i/>
          <w:iCs/>
          <w:color w:val="000000"/>
          <w:sz w:val="18"/>
          <w:szCs w:val="18"/>
          <w:lang w:eastAsia="en-AU"/>
        </w:rPr>
        <w:t>State/Territory (Home Institutions</w:t>
      </w:r>
      <w:r>
        <w:rPr>
          <w:rFonts w:cstheme="minorHAnsi"/>
          <w:color w:val="000000"/>
          <w:sz w:val="18"/>
          <w:szCs w:val="18"/>
          <w:lang w:eastAsia="en-AU"/>
        </w:rPr>
        <w:t xml:space="preserve">) Parity Target </w:t>
      </w:r>
      <w:r>
        <w:rPr>
          <w:rFonts w:cstheme="minorHAnsi"/>
          <w:color w:val="000000"/>
          <w:sz w:val="18"/>
          <w:szCs w:val="18"/>
          <w:lang w:eastAsia="en-AU"/>
        </w:rPr>
        <w:br/>
        <w:t>in 20</w:t>
      </w:r>
      <w:r w:rsidR="00A33AEF">
        <w:rPr>
          <w:rFonts w:cstheme="minorHAnsi"/>
          <w:color w:val="000000"/>
          <w:sz w:val="18"/>
          <w:szCs w:val="18"/>
          <w:lang w:eastAsia="en-AU"/>
        </w:rPr>
        <w:t>35</w:t>
      </w:r>
      <w:r>
        <w:rPr>
          <w:rFonts w:cstheme="minorHAnsi"/>
          <w:color w:val="000000"/>
          <w:sz w:val="18"/>
          <w:szCs w:val="18"/>
          <w:lang w:eastAsia="en-AU"/>
        </w:rPr>
        <w:t>.</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6"/>
        <w:gridCol w:w="1843"/>
        <w:gridCol w:w="1843"/>
        <w:gridCol w:w="1843"/>
        <w:gridCol w:w="1843"/>
      </w:tblGrid>
      <w:tr w:rsidR="00FD241E" w:rsidRPr="009B6407" w14:paraId="47C97CEE" w14:textId="77777777" w:rsidTr="00160B8E">
        <w:trPr>
          <w:trHeight w:val="1018"/>
        </w:trPr>
        <w:tc>
          <w:tcPr>
            <w:tcW w:w="2246" w:type="dxa"/>
            <w:shd w:val="clear" w:color="auto" w:fill="auto"/>
            <w:noWrap/>
            <w:vAlign w:val="center"/>
            <w:hideMark/>
          </w:tcPr>
          <w:p w14:paraId="7F333A79" w14:textId="77777777" w:rsidR="00C541B3" w:rsidRPr="009B6407" w:rsidRDefault="00C541B3" w:rsidP="00784A84">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843" w:type="dxa"/>
            <w:shd w:val="clear" w:color="auto" w:fill="6B3B57"/>
            <w:vAlign w:val="center"/>
            <w:hideMark/>
          </w:tcPr>
          <w:p w14:paraId="6B573D26" w14:textId="77777777" w:rsidR="00C541B3" w:rsidRPr="009B6407" w:rsidRDefault="00C541B3" w:rsidP="00784A84">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843" w:type="dxa"/>
            <w:shd w:val="clear" w:color="auto" w:fill="6B3B57"/>
            <w:vAlign w:val="center"/>
            <w:hideMark/>
          </w:tcPr>
          <w:p w14:paraId="0CD1CB20" w14:textId="5741589A" w:rsidR="00C541B3" w:rsidRDefault="00F203F1"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2035</w:t>
            </w:r>
          </w:p>
          <w:p w14:paraId="676A48E3" w14:textId="69E200F2" w:rsidR="00C541B3"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r w:rsidR="00F203F1">
              <w:rPr>
                <w:rFonts w:cs="Arial"/>
                <w:b/>
                <w:bCs/>
                <w:color w:val="FFFFFF"/>
                <w:sz w:val="18"/>
                <w:szCs w:val="18"/>
                <w:lang w:eastAsia="en-AU"/>
              </w:rPr>
              <w:t>*</w:t>
            </w:r>
          </w:p>
          <w:p w14:paraId="737B2A7E" w14:textId="77777777" w:rsidR="00C541B3" w:rsidRPr="009B6407" w:rsidRDefault="00C541B3" w:rsidP="00784A84">
            <w:pPr>
              <w:spacing w:after="0" w:line="240" w:lineRule="auto"/>
              <w:jc w:val="center"/>
              <w:rPr>
                <w:rFonts w:cs="Arial"/>
                <w:b/>
                <w:bCs/>
                <w:color w:val="FFFFFF"/>
                <w:sz w:val="18"/>
                <w:szCs w:val="18"/>
                <w:lang w:eastAsia="en-AU"/>
              </w:rPr>
            </w:pPr>
          </w:p>
        </w:tc>
        <w:tc>
          <w:tcPr>
            <w:tcW w:w="1843" w:type="dxa"/>
            <w:shd w:val="clear" w:color="auto" w:fill="6B3B57"/>
            <w:vAlign w:val="center"/>
          </w:tcPr>
          <w:p w14:paraId="14BC36F2" w14:textId="77777777" w:rsidR="00FD241E"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 xml:space="preserve">Growth </w:t>
            </w:r>
          </w:p>
          <w:p w14:paraId="571A118B" w14:textId="6E1E1FF0" w:rsidR="00C541B3" w:rsidRPr="009B6407"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(headcount)</w:t>
            </w:r>
          </w:p>
        </w:tc>
        <w:tc>
          <w:tcPr>
            <w:tcW w:w="1843" w:type="dxa"/>
            <w:shd w:val="clear" w:color="auto" w:fill="6B3B57"/>
            <w:vAlign w:val="center"/>
          </w:tcPr>
          <w:p w14:paraId="1E1FDF62" w14:textId="77777777" w:rsidR="00C541B3"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Share of Growth (%)</w:t>
            </w:r>
          </w:p>
        </w:tc>
      </w:tr>
      <w:tr w:rsidR="00FD241E" w:rsidRPr="009B6407" w14:paraId="6D8B2F4E" w14:textId="77777777" w:rsidTr="00160B8E">
        <w:trPr>
          <w:trHeight w:val="315"/>
        </w:trPr>
        <w:tc>
          <w:tcPr>
            <w:tcW w:w="2246" w:type="dxa"/>
            <w:shd w:val="clear" w:color="auto" w:fill="auto"/>
            <w:noWrap/>
            <w:vAlign w:val="center"/>
            <w:hideMark/>
          </w:tcPr>
          <w:p w14:paraId="17CA977F" w14:textId="77777777" w:rsidR="00FD241E" w:rsidRPr="009B6407" w:rsidRDefault="00FD241E" w:rsidP="00FD241E">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843" w:type="dxa"/>
            <w:shd w:val="clear" w:color="auto" w:fill="auto"/>
            <w:noWrap/>
            <w:vAlign w:val="center"/>
          </w:tcPr>
          <w:p w14:paraId="52229F3A" w14:textId="77777777" w:rsidR="00FD241E" w:rsidRPr="009C2545" w:rsidRDefault="00FD241E" w:rsidP="00FD241E">
            <w:pPr>
              <w:spacing w:after="0" w:line="240" w:lineRule="auto"/>
              <w:ind w:right="572"/>
              <w:jc w:val="right"/>
              <w:rPr>
                <w:rFonts w:cs="Arial"/>
                <w:b/>
                <w:bCs/>
                <w:color w:val="000000"/>
                <w:sz w:val="18"/>
                <w:szCs w:val="18"/>
                <w:lang w:eastAsia="en-AU"/>
              </w:rPr>
            </w:pPr>
            <w:r w:rsidRPr="001F0FF9">
              <w:rPr>
                <w:b/>
                <w:bCs/>
                <w:sz w:val="18"/>
                <w:szCs w:val="18"/>
              </w:rPr>
              <w:t>784,219</w:t>
            </w:r>
          </w:p>
        </w:tc>
        <w:tc>
          <w:tcPr>
            <w:tcW w:w="1843" w:type="dxa"/>
            <w:shd w:val="clear" w:color="auto" w:fill="EFE2E7" w:themeFill="text1" w:themeFillTint="1A"/>
            <w:noWrap/>
            <w:vAlign w:val="center"/>
          </w:tcPr>
          <w:p w14:paraId="154367D6" w14:textId="0ACA01C1" w:rsidR="00FD241E" w:rsidRPr="008D6C50" w:rsidRDefault="00FD241E" w:rsidP="006928B5">
            <w:pPr>
              <w:spacing w:after="0" w:line="240" w:lineRule="auto"/>
              <w:ind w:right="485"/>
              <w:jc w:val="right"/>
              <w:rPr>
                <w:rFonts w:cs="Arial"/>
                <w:b/>
                <w:bCs/>
                <w:color w:val="000000"/>
                <w:sz w:val="18"/>
                <w:szCs w:val="18"/>
                <w:lang w:eastAsia="en-AU"/>
              </w:rPr>
            </w:pPr>
            <w:r w:rsidRPr="008D6C50">
              <w:rPr>
                <w:b/>
                <w:bCs/>
                <w:sz w:val="18"/>
                <w:szCs w:val="18"/>
              </w:rPr>
              <w:t>1,070,173</w:t>
            </w:r>
          </w:p>
        </w:tc>
        <w:tc>
          <w:tcPr>
            <w:tcW w:w="1843" w:type="dxa"/>
            <w:shd w:val="clear" w:color="auto" w:fill="auto"/>
            <w:noWrap/>
            <w:vAlign w:val="center"/>
          </w:tcPr>
          <w:p w14:paraId="55F34892" w14:textId="02B1F5C6" w:rsidR="00FD241E" w:rsidRPr="008D6C50" w:rsidRDefault="00FD241E" w:rsidP="006928B5">
            <w:pPr>
              <w:spacing w:after="0" w:line="240" w:lineRule="auto"/>
              <w:ind w:right="485"/>
              <w:jc w:val="right"/>
              <w:rPr>
                <w:rFonts w:cs="Arial"/>
                <w:b/>
                <w:bCs/>
                <w:color w:val="000000"/>
                <w:sz w:val="18"/>
                <w:szCs w:val="18"/>
                <w:lang w:eastAsia="en-AU"/>
              </w:rPr>
            </w:pPr>
            <w:r w:rsidRPr="008D6C50">
              <w:rPr>
                <w:b/>
                <w:bCs/>
                <w:sz w:val="18"/>
                <w:szCs w:val="18"/>
              </w:rPr>
              <w:t>285,954</w:t>
            </w:r>
          </w:p>
        </w:tc>
        <w:tc>
          <w:tcPr>
            <w:tcW w:w="1843" w:type="dxa"/>
            <w:vAlign w:val="center"/>
          </w:tcPr>
          <w:p w14:paraId="7133DBFB" w14:textId="77777777" w:rsidR="00FD241E" w:rsidRPr="008D6C50" w:rsidDel="00961A47" w:rsidRDefault="00FD241E" w:rsidP="006928B5">
            <w:pPr>
              <w:spacing w:after="0" w:line="240" w:lineRule="auto"/>
              <w:ind w:right="586"/>
              <w:jc w:val="right"/>
              <w:rPr>
                <w:b/>
                <w:bCs/>
                <w:sz w:val="18"/>
                <w:szCs w:val="18"/>
              </w:rPr>
            </w:pPr>
            <w:r w:rsidRPr="008D6C50">
              <w:rPr>
                <w:rFonts w:cs="Arial"/>
                <w:b/>
                <w:bCs/>
                <w:color w:val="000000"/>
                <w:sz w:val="18"/>
                <w:szCs w:val="18"/>
              </w:rPr>
              <w:t>- </w:t>
            </w:r>
          </w:p>
        </w:tc>
      </w:tr>
      <w:tr w:rsidR="00FD241E" w:rsidRPr="009B6407" w14:paraId="1A0D44E7" w14:textId="77777777" w:rsidTr="00160B8E">
        <w:trPr>
          <w:trHeight w:val="315"/>
        </w:trPr>
        <w:tc>
          <w:tcPr>
            <w:tcW w:w="2246" w:type="dxa"/>
            <w:shd w:val="clear" w:color="auto" w:fill="auto"/>
            <w:noWrap/>
            <w:vAlign w:val="center"/>
            <w:hideMark/>
          </w:tcPr>
          <w:p w14:paraId="0FA2BEBF" w14:textId="77777777" w:rsidR="00FD241E" w:rsidRPr="009B6407" w:rsidRDefault="00FD241E" w:rsidP="00FD241E">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843" w:type="dxa"/>
            <w:shd w:val="clear" w:color="auto" w:fill="auto"/>
            <w:noWrap/>
            <w:vAlign w:val="center"/>
          </w:tcPr>
          <w:p w14:paraId="717C5F27" w14:textId="2FFFB6DA" w:rsidR="00FD241E" w:rsidRPr="001E2EFA" w:rsidRDefault="0040797E" w:rsidP="00FD241E">
            <w:pPr>
              <w:spacing w:after="0" w:line="240" w:lineRule="auto"/>
              <w:ind w:right="572"/>
              <w:jc w:val="right"/>
              <w:rPr>
                <w:rFonts w:cs="Arial"/>
                <w:color w:val="000000"/>
                <w:sz w:val="18"/>
                <w:szCs w:val="18"/>
                <w:lang w:eastAsia="en-AU"/>
              </w:rPr>
            </w:pPr>
            <w:r w:rsidRPr="00F51256">
              <w:rPr>
                <w:sz w:val="18"/>
                <w:szCs w:val="18"/>
              </w:rPr>
              <w:t>133,901</w:t>
            </w:r>
          </w:p>
        </w:tc>
        <w:tc>
          <w:tcPr>
            <w:tcW w:w="1843" w:type="dxa"/>
            <w:shd w:val="clear" w:color="auto" w:fill="EFE2E7" w:themeFill="text1" w:themeFillTint="1A"/>
            <w:noWrap/>
            <w:vAlign w:val="center"/>
          </w:tcPr>
          <w:p w14:paraId="4B5B5D18" w14:textId="5FA72CB3" w:rsidR="00FD241E" w:rsidRPr="00FD241E" w:rsidRDefault="0040797E" w:rsidP="006928B5">
            <w:pPr>
              <w:spacing w:after="0" w:line="240" w:lineRule="auto"/>
              <w:ind w:right="485"/>
              <w:jc w:val="right"/>
              <w:rPr>
                <w:rFonts w:cs="Arial"/>
                <w:color w:val="000000"/>
                <w:sz w:val="18"/>
                <w:szCs w:val="18"/>
                <w:lang w:eastAsia="en-AU"/>
              </w:rPr>
            </w:pPr>
            <w:r w:rsidRPr="00F51256">
              <w:rPr>
                <w:sz w:val="18"/>
                <w:szCs w:val="18"/>
              </w:rPr>
              <w:t>216,550</w:t>
            </w:r>
          </w:p>
        </w:tc>
        <w:tc>
          <w:tcPr>
            <w:tcW w:w="1843" w:type="dxa"/>
            <w:shd w:val="clear" w:color="auto" w:fill="auto"/>
            <w:noWrap/>
            <w:vAlign w:val="center"/>
          </w:tcPr>
          <w:p w14:paraId="0B0F3A5D" w14:textId="59ABCD9D" w:rsidR="00FD241E" w:rsidRPr="00FD241E" w:rsidRDefault="0040797E" w:rsidP="006928B5">
            <w:pPr>
              <w:spacing w:after="0" w:line="240" w:lineRule="auto"/>
              <w:ind w:right="485"/>
              <w:jc w:val="right"/>
              <w:rPr>
                <w:rFonts w:cs="Arial"/>
                <w:color w:val="000000"/>
                <w:sz w:val="18"/>
                <w:szCs w:val="18"/>
                <w:lang w:eastAsia="en-AU"/>
              </w:rPr>
            </w:pPr>
            <w:r w:rsidRPr="00F51256">
              <w:rPr>
                <w:sz w:val="18"/>
                <w:szCs w:val="18"/>
              </w:rPr>
              <w:t>82,649</w:t>
            </w:r>
          </w:p>
        </w:tc>
        <w:tc>
          <w:tcPr>
            <w:tcW w:w="1843" w:type="dxa"/>
            <w:vAlign w:val="center"/>
          </w:tcPr>
          <w:p w14:paraId="623EB0B0" w14:textId="157790BE" w:rsidR="00FD241E" w:rsidRPr="007B51E8" w:rsidDel="00961A47" w:rsidRDefault="0040797E" w:rsidP="006928B5">
            <w:pPr>
              <w:spacing w:after="0" w:line="240" w:lineRule="auto"/>
              <w:ind w:right="586"/>
              <w:jc w:val="right"/>
              <w:rPr>
                <w:sz w:val="18"/>
                <w:szCs w:val="18"/>
              </w:rPr>
            </w:pPr>
            <w:r>
              <w:rPr>
                <w:rFonts w:cs="Arial"/>
                <w:color w:val="000000"/>
                <w:sz w:val="18"/>
                <w:szCs w:val="18"/>
              </w:rPr>
              <w:t>28.9</w:t>
            </w:r>
          </w:p>
        </w:tc>
      </w:tr>
      <w:tr w:rsidR="00FD241E" w:rsidRPr="009B6407" w14:paraId="3ED46501" w14:textId="77777777" w:rsidTr="00160B8E">
        <w:trPr>
          <w:trHeight w:val="315"/>
        </w:trPr>
        <w:tc>
          <w:tcPr>
            <w:tcW w:w="2246" w:type="dxa"/>
            <w:shd w:val="clear" w:color="auto" w:fill="auto"/>
            <w:noWrap/>
            <w:vAlign w:val="center"/>
            <w:hideMark/>
          </w:tcPr>
          <w:p w14:paraId="0A191A27" w14:textId="77777777" w:rsidR="00FD241E" w:rsidRPr="009B6407" w:rsidRDefault="00FD241E" w:rsidP="00FD241E">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843" w:type="dxa"/>
            <w:shd w:val="clear" w:color="auto" w:fill="auto"/>
            <w:noWrap/>
            <w:vAlign w:val="center"/>
          </w:tcPr>
          <w:p w14:paraId="000D018B" w14:textId="122C3216" w:rsidR="00FD241E" w:rsidRPr="001E2EFA" w:rsidRDefault="0040797E" w:rsidP="00FD241E">
            <w:pPr>
              <w:spacing w:after="0" w:line="240" w:lineRule="auto"/>
              <w:ind w:right="572"/>
              <w:jc w:val="right"/>
              <w:rPr>
                <w:rFonts w:cs="Arial"/>
                <w:color w:val="000000"/>
                <w:sz w:val="18"/>
                <w:szCs w:val="18"/>
                <w:lang w:eastAsia="en-AU"/>
              </w:rPr>
            </w:pPr>
            <w:r w:rsidRPr="00F51256">
              <w:rPr>
                <w:sz w:val="18"/>
                <w:szCs w:val="18"/>
              </w:rPr>
              <w:t>160,542</w:t>
            </w:r>
          </w:p>
        </w:tc>
        <w:tc>
          <w:tcPr>
            <w:tcW w:w="1843" w:type="dxa"/>
            <w:shd w:val="clear" w:color="auto" w:fill="EFE2E7" w:themeFill="text1" w:themeFillTint="1A"/>
            <w:noWrap/>
            <w:vAlign w:val="center"/>
          </w:tcPr>
          <w:p w14:paraId="0E00EDE4" w14:textId="0E79D3F8" w:rsidR="00FD241E" w:rsidRPr="00FD241E" w:rsidRDefault="0040797E" w:rsidP="006928B5">
            <w:pPr>
              <w:spacing w:after="0" w:line="240" w:lineRule="auto"/>
              <w:ind w:right="485"/>
              <w:jc w:val="right"/>
              <w:rPr>
                <w:rFonts w:cs="Arial"/>
                <w:color w:val="000000"/>
                <w:sz w:val="18"/>
                <w:szCs w:val="18"/>
                <w:lang w:eastAsia="en-AU"/>
              </w:rPr>
            </w:pPr>
            <w:r w:rsidRPr="00F51256">
              <w:rPr>
                <w:sz w:val="18"/>
                <w:szCs w:val="18"/>
              </w:rPr>
              <w:t>257,538</w:t>
            </w:r>
          </w:p>
        </w:tc>
        <w:tc>
          <w:tcPr>
            <w:tcW w:w="1843" w:type="dxa"/>
            <w:shd w:val="clear" w:color="auto" w:fill="auto"/>
            <w:noWrap/>
            <w:vAlign w:val="center"/>
          </w:tcPr>
          <w:p w14:paraId="54B306BD" w14:textId="58980C17" w:rsidR="00FD241E" w:rsidRPr="00FD241E" w:rsidRDefault="0040797E" w:rsidP="006928B5">
            <w:pPr>
              <w:spacing w:after="0" w:line="240" w:lineRule="auto"/>
              <w:ind w:right="485"/>
              <w:jc w:val="right"/>
              <w:rPr>
                <w:rFonts w:cs="Arial"/>
                <w:color w:val="000000"/>
                <w:sz w:val="18"/>
                <w:szCs w:val="18"/>
                <w:lang w:eastAsia="en-AU"/>
              </w:rPr>
            </w:pPr>
            <w:r w:rsidRPr="00F51256">
              <w:rPr>
                <w:sz w:val="18"/>
                <w:szCs w:val="18"/>
              </w:rPr>
              <w:t>96,996</w:t>
            </w:r>
          </w:p>
        </w:tc>
        <w:tc>
          <w:tcPr>
            <w:tcW w:w="1843" w:type="dxa"/>
            <w:vAlign w:val="center"/>
          </w:tcPr>
          <w:p w14:paraId="73167005" w14:textId="6EEC9CA9" w:rsidR="00FD241E" w:rsidRPr="007B51E8" w:rsidDel="00961A47" w:rsidRDefault="0040797E" w:rsidP="006928B5">
            <w:pPr>
              <w:spacing w:after="0" w:line="240" w:lineRule="auto"/>
              <w:ind w:right="586"/>
              <w:jc w:val="right"/>
              <w:rPr>
                <w:sz w:val="18"/>
                <w:szCs w:val="18"/>
              </w:rPr>
            </w:pPr>
            <w:r>
              <w:rPr>
                <w:rFonts w:cs="Arial"/>
                <w:color w:val="000000"/>
                <w:sz w:val="18"/>
                <w:szCs w:val="18"/>
              </w:rPr>
              <w:t>33.9</w:t>
            </w:r>
          </w:p>
        </w:tc>
      </w:tr>
      <w:tr w:rsidR="00FD241E" w:rsidRPr="009B6407" w14:paraId="71DD526E" w14:textId="77777777" w:rsidTr="00160B8E">
        <w:trPr>
          <w:trHeight w:val="315"/>
        </w:trPr>
        <w:tc>
          <w:tcPr>
            <w:tcW w:w="2246" w:type="dxa"/>
            <w:shd w:val="clear" w:color="auto" w:fill="auto"/>
            <w:noWrap/>
            <w:vAlign w:val="center"/>
            <w:hideMark/>
          </w:tcPr>
          <w:p w14:paraId="7533B47F" w14:textId="77777777" w:rsidR="00FD241E" w:rsidRPr="009B6407" w:rsidRDefault="00FD241E" w:rsidP="00FD241E">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843" w:type="dxa"/>
            <w:shd w:val="clear" w:color="auto" w:fill="auto"/>
            <w:noWrap/>
            <w:vAlign w:val="center"/>
          </w:tcPr>
          <w:p w14:paraId="5BA063DF" w14:textId="77777777" w:rsidR="00FD241E" w:rsidRPr="001E2EFA" w:rsidRDefault="00FD241E" w:rsidP="00FD241E">
            <w:pPr>
              <w:spacing w:after="0" w:line="240" w:lineRule="auto"/>
              <w:ind w:right="572"/>
              <w:jc w:val="right"/>
              <w:rPr>
                <w:rFonts w:cs="Arial"/>
                <w:color w:val="000000"/>
                <w:sz w:val="18"/>
                <w:szCs w:val="18"/>
                <w:lang w:eastAsia="en-AU"/>
              </w:rPr>
            </w:pPr>
            <w:r w:rsidRPr="001F0FF9">
              <w:rPr>
                <w:sz w:val="18"/>
                <w:szCs w:val="18"/>
              </w:rPr>
              <w:t>16,383</w:t>
            </w:r>
          </w:p>
        </w:tc>
        <w:tc>
          <w:tcPr>
            <w:tcW w:w="1843" w:type="dxa"/>
            <w:shd w:val="clear" w:color="auto" w:fill="EFE2E7" w:themeFill="text1" w:themeFillTint="1A"/>
            <w:noWrap/>
            <w:vAlign w:val="center"/>
          </w:tcPr>
          <w:p w14:paraId="3324460B" w14:textId="112B6307" w:rsidR="00FD241E" w:rsidRPr="00FD241E" w:rsidRDefault="00FD241E" w:rsidP="006928B5">
            <w:pPr>
              <w:spacing w:after="0" w:line="240" w:lineRule="auto"/>
              <w:ind w:right="485"/>
              <w:jc w:val="right"/>
              <w:rPr>
                <w:rFonts w:cs="Arial"/>
                <w:color w:val="000000"/>
                <w:sz w:val="18"/>
                <w:szCs w:val="18"/>
                <w:lang w:eastAsia="en-AU"/>
              </w:rPr>
            </w:pPr>
            <w:r w:rsidRPr="006928B5">
              <w:rPr>
                <w:sz w:val="18"/>
                <w:szCs w:val="18"/>
              </w:rPr>
              <w:t>34,999</w:t>
            </w:r>
          </w:p>
        </w:tc>
        <w:tc>
          <w:tcPr>
            <w:tcW w:w="1843" w:type="dxa"/>
            <w:shd w:val="clear" w:color="auto" w:fill="auto"/>
            <w:noWrap/>
            <w:vAlign w:val="center"/>
          </w:tcPr>
          <w:p w14:paraId="119FDA48" w14:textId="4882B8E4" w:rsidR="00FD241E" w:rsidRPr="00FD241E" w:rsidRDefault="00FD241E" w:rsidP="006928B5">
            <w:pPr>
              <w:spacing w:after="0" w:line="240" w:lineRule="auto"/>
              <w:ind w:right="485"/>
              <w:jc w:val="right"/>
              <w:rPr>
                <w:rFonts w:cs="Arial"/>
                <w:color w:val="000000"/>
                <w:sz w:val="18"/>
                <w:szCs w:val="18"/>
                <w:lang w:eastAsia="en-AU"/>
              </w:rPr>
            </w:pPr>
            <w:r w:rsidRPr="006928B5">
              <w:rPr>
                <w:sz w:val="18"/>
                <w:szCs w:val="18"/>
              </w:rPr>
              <w:t>18,616</w:t>
            </w:r>
          </w:p>
        </w:tc>
        <w:tc>
          <w:tcPr>
            <w:tcW w:w="1843" w:type="dxa"/>
            <w:vAlign w:val="center"/>
          </w:tcPr>
          <w:p w14:paraId="3C85BE2B" w14:textId="77777777" w:rsidR="00FD241E" w:rsidRPr="007B51E8" w:rsidDel="00961A47" w:rsidRDefault="00FD241E" w:rsidP="006928B5">
            <w:pPr>
              <w:spacing w:after="0" w:line="240" w:lineRule="auto"/>
              <w:ind w:right="586"/>
              <w:jc w:val="right"/>
              <w:rPr>
                <w:sz w:val="18"/>
                <w:szCs w:val="18"/>
              </w:rPr>
            </w:pPr>
            <w:r>
              <w:rPr>
                <w:rFonts w:cs="Arial"/>
                <w:color w:val="000000"/>
                <w:sz w:val="18"/>
                <w:szCs w:val="18"/>
              </w:rPr>
              <w:t>6.5</w:t>
            </w:r>
          </w:p>
        </w:tc>
      </w:tr>
      <w:tr w:rsidR="00FD241E" w:rsidRPr="009B6407" w14:paraId="3D9C7625" w14:textId="77777777" w:rsidTr="00160B8E">
        <w:trPr>
          <w:trHeight w:val="315"/>
        </w:trPr>
        <w:tc>
          <w:tcPr>
            <w:tcW w:w="2246" w:type="dxa"/>
            <w:shd w:val="clear" w:color="auto" w:fill="auto"/>
            <w:noWrap/>
            <w:vAlign w:val="center"/>
            <w:hideMark/>
          </w:tcPr>
          <w:p w14:paraId="52B04BDB" w14:textId="77777777" w:rsidR="00FD241E" w:rsidRPr="009B6407" w:rsidRDefault="00FD241E" w:rsidP="00FD241E">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843" w:type="dxa"/>
            <w:shd w:val="clear" w:color="auto" w:fill="auto"/>
            <w:noWrap/>
            <w:vAlign w:val="center"/>
          </w:tcPr>
          <w:p w14:paraId="505B012D" w14:textId="77777777" w:rsidR="00FD241E" w:rsidRPr="001E2EFA" w:rsidRDefault="00FD241E" w:rsidP="00FD241E">
            <w:pPr>
              <w:spacing w:after="0" w:line="240" w:lineRule="auto"/>
              <w:ind w:right="572"/>
              <w:jc w:val="right"/>
              <w:rPr>
                <w:rFonts w:cs="Arial"/>
                <w:color w:val="000000"/>
                <w:sz w:val="18"/>
                <w:szCs w:val="18"/>
                <w:lang w:eastAsia="en-AU"/>
              </w:rPr>
            </w:pPr>
            <w:r w:rsidRPr="001F0FF9">
              <w:rPr>
                <w:sz w:val="18"/>
                <w:szCs w:val="18"/>
              </w:rPr>
              <w:t>80,769</w:t>
            </w:r>
          </w:p>
        </w:tc>
        <w:tc>
          <w:tcPr>
            <w:tcW w:w="1843" w:type="dxa"/>
            <w:shd w:val="clear" w:color="auto" w:fill="EFE2E7" w:themeFill="text1" w:themeFillTint="1A"/>
            <w:noWrap/>
            <w:vAlign w:val="center"/>
          </w:tcPr>
          <w:p w14:paraId="4E48F569" w14:textId="59FBE941" w:rsidR="00FD241E" w:rsidRPr="00FD241E" w:rsidRDefault="00FD241E" w:rsidP="006928B5">
            <w:pPr>
              <w:spacing w:after="0" w:line="240" w:lineRule="auto"/>
              <w:ind w:right="485"/>
              <w:jc w:val="right"/>
              <w:rPr>
                <w:rFonts w:cs="Arial"/>
                <w:color w:val="000000"/>
                <w:sz w:val="18"/>
                <w:szCs w:val="18"/>
                <w:lang w:eastAsia="en-AU"/>
              </w:rPr>
            </w:pPr>
            <w:r w:rsidRPr="006928B5">
              <w:rPr>
                <w:sz w:val="18"/>
                <w:szCs w:val="18"/>
              </w:rPr>
              <w:t>110,346</w:t>
            </w:r>
          </w:p>
        </w:tc>
        <w:tc>
          <w:tcPr>
            <w:tcW w:w="1843" w:type="dxa"/>
            <w:shd w:val="clear" w:color="auto" w:fill="auto"/>
            <w:noWrap/>
            <w:vAlign w:val="center"/>
          </w:tcPr>
          <w:p w14:paraId="5FFBA3B8" w14:textId="30304811" w:rsidR="00FD241E" w:rsidRPr="00FD241E" w:rsidRDefault="00FD241E" w:rsidP="006928B5">
            <w:pPr>
              <w:spacing w:after="0" w:line="240" w:lineRule="auto"/>
              <w:ind w:right="485"/>
              <w:jc w:val="right"/>
              <w:rPr>
                <w:rFonts w:cs="Arial"/>
                <w:color w:val="000000"/>
                <w:sz w:val="18"/>
                <w:szCs w:val="18"/>
                <w:lang w:eastAsia="en-AU"/>
              </w:rPr>
            </w:pPr>
            <w:r w:rsidRPr="006928B5">
              <w:rPr>
                <w:sz w:val="18"/>
                <w:szCs w:val="18"/>
              </w:rPr>
              <w:t>29,577</w:t>
            </w:r>
          </w:p>
        </w:tc>
        <w:tc>
          <w:tcPr>
            <w:tcW w:w="1843" w:type="dxa"/>
            <w:vAlign w:val="center"/>
          </w:tcPr>
          <w:p w14:paraId="53C4BD3C" w14:textId="77777777" w:rsidR="00FD241E" w:rsidRPr="007B51E8" w:rsidDel="00961A47" w:rsidRDefault="00FD241E" w:rsidP="006928B5">
            <w:pPr>
              <w:spacing w:after="0" w:line="240" w:lineRule="auto"/>
              <w:ind w:right="586"/>
              <w:jc w:val="right"/>
              <w:rPr>
                <w:sz w:val="18"/>
                <w:szCs w:val="18"/>
              </w:rPr>
            </w:pPr>
            <w:r>
              <w:rPr>
                <w:rFonts w:cs="Arial"/>
                <w:color w:val="000000"/>
                <w:sz w:val="18"/>
                <w:szCs w:val="18"/>
              </w:rPr>
              <w:t>10.3</w:t>
            </w:r>
          </w:p>
        </w:tc>
      </w:tr>
      <w:tr w:rsidR="00FD241E" w:rsidRPr="009B6407" w14:paraId="41F5F2B1" w14:textId="77777777" w:rsidTr="00160B8E">
        <w:trPr>
          <w:trHeight w:val="315"/>
        </w:trPr>
        <w:tc>
          <w:tcPr>
            <w:tcW w:w="2246" w:type="dxa"/>
            <w:shd w:val="clear" w:color="auto" w:fill="auto"/>
            <w:noWrap/>
            <w:vAlign w:val="center"/>
            <w:hideMark/>
          </w:tcPr>
          <w:p w14:paraId="366D50FE" w14:textId="3D15CDB1" w:rsidR="00FD241E" w:rsidRPr="00506FD4" w:rsidRDefault="00FD241E" w:rsidP="00FD241E">
            <w:pPr>
              <w:spacing w:after="0" w:line="240" w:lineRule="auto"/>
              <w:rPr>
                <w:rFonts w:cs="Arial"/>
                <w:b/>
                <w:bCs/>
                <w:i/>
                <w:iCs/>
                <w:color w:val="000000"/>
                <w:sz w:val="18"/>
                <w:szCs w:val="18"/>
                <w:lang w:eastAsia="en-AU"/>
              </w:rPr>
            </w:pPr>
            <w:r w:rsidRPr="00506FD4">
              <w:rPr>
                <w:rFonts w:cs="Arial"/>
                <w:b/>
                <w:bCs/>
                <w:i/>
                <w:iCs/>
                <w:color w:val="000000"/>
                <w:sz w:val="18"/>
                <w:szCs w:val="18"/>
                <w:lang w:eastAsia="en-AU"/>
              </w:rPr>
              <w:t>Equity Group</w:t>
            </w:r>
          </w:p>
        </w:tc>
        <w:tc>
          <w:tcPr>
            <w:tcW w:w="1843" w:type="dxa"/>
            <w:shd w:val="clear" w:color="auto" w:fill="auto"/>
            <w:noWrap/>
            <w:vAlign w:val="center"/>
          </w:tcPr>
          <w:p w14:paraId="1AC8FB2A" w14:textId="6A244869" w:rsidR="00FD241E" w:rsidRPr="00506FD4" w:rsidRDefault="009C1DDD" w:rsidP="00FD241E">
            <w:pPr>
              <w:spacing w:after="0" w:line="240" w:lineRule="auto"/>
              <w:ind w:right="572"/>
              <w:jc w:val="right"/>
              <w:rPr>
                <w:rFonts w:cs="Arial"/>
                <w:b/>
                <w:bCs/>
                <w:color w:val="000000"/>
                <w:sz w:val="18"/>
                <w:szCs w:val="18"/>
                <w:lang w:eastAsia="en-AU"/>
              </w:rPr>
            </w:pPr>
            <w:r>
              <w:rPr>
                <w:b/>
                <w:bCs/>
                <w:sz w:val="18"/>
                <w:szCs w:val="18"/>
              </w:rPr>
              <w:t>309</w:t>
            </w:r>
            <w:r w:rsidRPr="00731C99">
              <w:rPr>
                <w:b/>
                <w:bCs/>
                <w:sz w:val="18"/>
                <w:szCs w:val="18"/>
              </w:rPr>
              <w:t>,</w:t>
            </w:r>
            <w:r>
              <w:rPr>
                <w:b/>
                <w:bCs/>
                <w:sz w:val="18"/>
                <w:szCs w:val="18"/>
              </w:rPr>
              <w:t>360</w:t>
            </w:r>
          </w:p>
        </w:tc>
        <w:tc>
          <w:tcPr>
            <w:tcW w:w="1843" w:type="dxa"/>
            <w:shd w:val="clear" w:color="auto" w:fill="EFE2E7" w:themeFill="text1" w:themeFillTint="1A"/>
            <w:noWrap/>
            <w:vAlign w:val="center"/>
          </w:tcPr>
          <w:p w14:paraId="2B583A66" w14:textId="4316C36F" w:rsidR="00FD241E" w:rsidRPr="00506FD4" w:rsidRDefault="00FD241E" w:rsidP="006928B5">
            <w:pPr>
              <w:spacing w:after="0" w:line="240" w:lineRule="auto"/>
              <w:ind w:right="485"/>
              <w:jc w:val="right"/>
              <w:rPr>
                <w:rFonts w:cs="Arial"/>
                <w:b/>
                <w:bCs/>
                <w:color w:val="000000"/>
                <w:sz w:val="18"/>
                <w:szCs w:val="18"/>
                <w:lang w:eastAsia="en-AU"/>
              </w:rPr>
            </w:pPr>
            <w:r w:rsidRPr="00506FD4">
              <w:rPr>
                <w:b/>
                <w:bCs/>
                <w:sz w:val="18"/>
                <w:szCs w:val="18"/>
              </w:rPr>
              <w:t>48</w:t>
            </w:r>
            <w:r w:rsidR="00300900" w:rsidRPr="00506FD4">
              <w:rPr>
                <w:b/>
                <w:bCs/>
                <w:sz w:val="18"/>
                <w:szCs w:val="18"/>
              </w:rPr>
              <w:t>9</w:t>
            </w:r>
            <w:r w:rsidRPr="00506FD4">
              <w:rPr>
                <w:b/>
                <w:bCs/>
                <w:sz w:val="18"/>
                <w:szCs w:val="18"/>
              </w:rPr>
              <w:t>,</w:t>
            </w:r>
            <w:r w:rsidR="00300900" w:rsidRPr="00506FD4">
              <w:rPr>
                <w:b/>
                <w:bCs/>
                <w:sz w:val="18"/>
                <w:szCs w:val="18"/>
              </w:rPr>
              <w:t>352</w:t>
            </w:r>
          </w:p>
        </w:tc>
        <w:tc>
          <w:tcPr>
            <w:tcW w:w="1843" w:type="dxa"/>
            <w:shd w:val="clear" w:color="auto" w:fill="auto"/>
            <w:noWrap/>
            <w:vAlign w:val="center"/>
          </w:tcPr>
          <w:p w14:paraId="72C5211C" w14:textId="4B9487F7" w:rsidR="00FD241E" w:rsidRPr="00506FD4" w:rsidRDefault="00300900" w:rsidP="006928B5">
            <w:pPr>
              <w:spacing w:after="0" w:line="240" w:lineRule="auto"/>
              <w:ind w:right="485"/>
              <w:jc w:val="right"/>
              <w:rPr>
                <w:rFonts w:cs="Arial"/>
                <w:b/>
                <w:bCs/>
                <w:color w:val="000000"/>
                <w:sz w:val="18"/>
                <w:szCs w:val="18"/>
                <w:lang w:eastAsia="en-AU"/>
              </w:rPr>
            </w:pPr>
            <w:r w:rsidRPr="00506FD4">
              <w:rPr>
                <w:b/>
                <w:bCs/>
                <w:sz w:val="18"/>
                <w:szCs w:val="18"/>
              </w:rPr>
              <w:t>179,992</w:t>
            </w:r>
          </w:p>
        </w:tc>
        <w:tc>
          <w:tcPr>
            <w:tcW w:w="1843" w:type="dxa"/>
            <w:vAlign w:val="center"/>
          </w:tcPr>
          <w:p w14:paraId="0F942902" w14:textId="7F1A4703" w:rsidR="00FD241E" w:rsidRPr="00506FD4" w:rsidDel="00961A47" w:rsidRDefault="00FD241E" w:rsidP="006928B5">
            <w:pPr>
              <w:spacing w:after="0" w:line="240" w:lineRule="auto"/>
              <w:ind w:right="586"/>
              <w:jc w:val="right"/>
              <w:rPr>
                <w:b/>
                <w:bCs/>
                <w:sz w:val="18"/>
                <w:szCs w:val="18"/>
              </w:rPr>
            </w:pPr>
            <w:r w:rsidRPr="00506FD4">
              <w:rPr>
                <w:rFonts w:cs="Arial"/>
                <w:b/>
                <w:bCs/>
                <w:color w:val="000000"/>
                <w:sz w:val="18"/>
                <w:szCs w:val="18"/>
              </w:rPr>
              <w:t>6</w:t>
            </w:r>
            <w:r w:rsidR="00300900" w:rsidRPr="00506FD4">
              <w:rPr>
                <w:rFonts w:cs="Arial"/>
                <w:b/>
                <w:bCs/>
                <w:color w:val="000000"/>
                <w:sz w:val="18"/>
                <w:szCs w:val="18"/>
              </w:rPr>
              <w:t>2</w:t>
            </w:r>
            <w:r w:rsidRPr="00506FD4">
              <w:rPr>
                <w:rFonts w:cs="Arial"/>
                <w:b/>
                <w:bCs/>
                <w:color w:val="000000"/>
                <w:sz w:val="18"/>
                <w:szCs w:val="18"/>
              </w:rPr>
              <w:t>.</w:t>
            </w:r>
            <w:r w:rsidR="00300900" w:rsidRPr="00506FD4">
              <w:rPr>
                <w:rFonts w:cs="Arial"/>
                <w:b/>
                <w:bCs/>
                <w:color w:val="000000"/>
                <w:sz w:val="18"/>
                <w:szCs w:val="18"/>
              </w:rPr>
              <w:t>9</w:t>
            </w:r>
          </w:p>
        </w:tc>
      </w:tr>
    </w:tbl>
    <w:p w14:paraId="396B5B06" w14:textId="5280A55F" w:rsidR="00C541B3" w:rsidRPr="008E66D6" w:rsidRDefault="00F203F1" w:rsidP="00292973">
      <w:pPr>
        <w:spacing w:line="240" w:lineRule="auto"/>
        <w:rPr>
          <w:sz w:val="18"/>
          <w:szCs w:val="18"/>
        </w:rPr>
      </w:pPr>
      <w:r>
        <w:rPr>
          <w:b/>
          <w:bCs/>
          <w:sz w:val="18"/>
          <w:szCs w:val="18"/>
        </w:rPr>
        <w:t xml:space="preserve">Note: </w:t>
      </w:r>
      <w:r>
        <w:rPr>
          <w:sz w:val="18"/>
          <w:szCs w:val="18"/>
        </w:rPr>
        <w:t>This repr</w:t>
      </w:r>
      <w:r w:rsidR="000D5C1C">
        <w:rPr>
          <w:sz w:val="18"/>
          <w:szCs w:val="18"/>
        </w:rPr>
        <w:t xml:space="preserve">esents a target in 2035 under the 2050 </w:t>
      </w:r>
      <w:r w:rsidR="00AF7FF1">
        <w:rPr>
          <w:sz w:val="18"/>
          <w:szCs w:val="18"/>
        </w:rPr>
        <w:t xml:space="preserve">timeframe, when </w:t>
      </w:r>
      <w:r w:rsidR="00AF7FF1" w:rsidRPr="00F51256">
        <w:rPr>
          <w:sz w:val="18"/>
          <w:szCs w:val="18"/>
        </w:rPr>
        <w:t>29.3</w:t>
      </w:r>
      <w:r w:rsidR="00AF7FF1">
        <w:rPr>
          <w:sz w:val="18"/>
          <w:szCs w:val="18"/>
        </w:rPr>
        <w:t xml:space="preserve">% of the growth in participation headcount to 2050 takes place. </w:t>
      </w:r>
      <w:r w:rsidR="008E66D6">
        <w:rPr>
          <w:sz w:val="18"/>
          <w:szCs w:val="18"/>
        </w:rPr>
        <w:br/>
      </w:r>
      <w:r w:rsidR="00C541B3">
        <w:rPr>
          <w:b/>
          <w:bCs/>
          <w:sz w:val="18"/>
          <w:szCs w:val="18"/>
        </w:rPr>
        <w:t>Source:</w:t>
      </w:r>
      <w:r w:rsidR="00C541B3">
        <w:rPr>
          <w:sz w:val="18"/>
          <w:szCs w:val="18"/>
        </w:rPr>
        <w:t xml:space="preserve"> </w:t>
      </w:r>
      <w:r w:rsidR="00C541B3" w:rsidRPr="009E5181">
        <w:rPr>
          <w:rFonts w:cs="Arial"/>
          <w:sz w:val="18"/>
          <w:szCs w:val="18"/>
        </w:rPr>
        <w:t>Australian Government Department of Education (2023)</w:t>
      </w:r>
      <w:r w:rsidR="00C541B3">
        <w:rPr>
          <w:rFonts w:cs="Arial"/>
          <w:sz w:val="18"/>
          <w:szCs w:val="18"/>
        </w:rPr>
        <w:t xml:space="preserve"> and </w:t>
      </w:r>
      <w:r w:rsidR="002D13E9">
        <w:rPr>
          <w:rFonts w:cs="Arial"/>
          <w:sz w:val="18"/>
          <w:szCs w:val="18"/>
        </w:rPr>
        <w:t>ACSES</w:t>
      </w:r>
      <w:r w:rsidR="00C541B3">
        <w:rPr>
          <w:rFonts w:cs="Arial"/>
          <w:sz w:val="18"/>
          <w:szCs w:val="18"/>
        </w:rPr>
        <w:t xml:space="preserve"> calculations. </w:t>
      </w:r>
    </w:p>
    <w:p w14:paraId="3C078E48" w14:textId="77777777" w:rsidR="00292973" w:rsidRPr="00292973" w:rsidRDefault="00292973" w:rsidP="00292973">
      <w:pPr>
        <w:spacing w:line="240" w:lineRule="auto"/>
        <w:rPr>
          <w:rFonts w:cs="Arial"/>
          <w:sz w:val="18"/>
          <w:szCs w:val="18"/>
        </w:rPr>
      </w:pPr>
    </w:p>
    <w:p w14:paraId="668FBA1D" w14:textId="24630148" w:rsidR="00C541B3" w:rsidRDefault="00C541B3" w:rsidP="00292973">
      <w:pPr>
        <w:spacing w:before="240"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sidR="003B7C16">
        <w:rPr>
          <w:rFonts w:cstheme="minorHAnsi"/>
          <w:b/>
          <w:bCs/>
          <w:color w:val="000000"/>
          <w:sz w:val="18"/>
          <w:szCs w:val="18"/>
          <w:lang w:eastAsia="en-AU"/>
        </w:rPr>
        <w:t>20</w:t>
      </w:r>
      <w:r w:rsidRPr="00185BAE">
        <w:rPr>
          <w:rFonts w:cstheme="minorHAnsi"/>
          <w:b/>
          <w:bCs/>
          <w:color w:val="000000"/>
          <w:sz w:val="18"/>
          <w:szCs w:val="18"/>
          <w:lang w:eastAsia="en-AU"/>
        </w:rPr>
        <w:t>:</w:t>
      </w:r>
      <w:r>
        <w:rPr>
          <w:rFonts w:cstheme="minorHAnsi"/>
          <w:b/>
          <w:bCs/>
          <w:color w:val="000000"/>
          <w:sz w:val="18"/>
          <w:szCs w:val="18"/>
          <w:lang w:eastAsia="en-AU"/>
        </w:rPr>
        <w:t xml:space="preserve"> </w:t>
      </w:r>
      <w:r>
        <w:rPr>
          <w:rFonts w:cstheme="minorHAnsi"/>
          <w:color w:val="000000"/>
          <w:sz w:val="18"/>
          <w:szCs w:val="18"/>
          <w:lang w:eastAsia="en-AU"/>
        </w:rPr>
        <w:t xml:space="preserve">Completion – the Equal Effort Option to meet a </w:t>
      </w:r>
      <w:r>
        <w:rPr>
          <w:rFonts w:cstheme="minorHAnsi"/>
          <w:i/>
          <w:iCs/>
          <w:color w:val="000000"/>
          <w:sz w:val="18"/>
          <w:szCs w:val="18"/>
          <w:lang w:eastAsia="en-AU"/>
        </w:rPr>
        <w:t>State/Territory (Home Institutions</w:t>
      </w:r>
      <w:r>
        <w:rPr>
          <w:rFonts w:cstheme="minorHAnsi"/>
          <w:color w:val="000000"/>
          <w:sz w:val="18"/>
          <w:szCs w:val="18"/>
          <w:lang w:eastAsia="en-AU"/>
        </w:rPr>
        <w:t xml:space="preserve">) Parity Target </w:t>
      </w:r>
      <w:r>
        <w:rPr>
          <w:rFonts w:cstheme="minorHAnsi"/>
          <w:color w:val="000000"/>
          <w:sz w:val="18"/>
          <w:szCs w:val="18"/>
          <w:lang w:eastAsia="en-AU"/>
        </w:rPr>
        <w:br/>
        <w:t>in 20</w:t>
      </w:r>
      <w:r w:rsidR="00A33AEF">
        <w:rPr>
          <w:rFonts w:cstheme="minorHAnsi"/>
          <w:color w:val="000000"/>
          <w:sz w:val="18"/>
          <w:szCs w:val="18"/>
          <w:lang w:eastAsia="en-AU"/>
        </w:rPr>
        <w:t>35</w:t>
      </w:r>
      <w:r>
        <w:rPr>
          <w:rFonts w:cstheme="minorHAnsi"/>
          <w:color w:val="000000"/>
          <w:sz w:val="18"/>
          <w:szCs w:val="18"/>
          <w:lang w:eastAsia="en-AU"/>
        </w:rPr>
        <w:t>.</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1849"/>
        <w:gridCol w:w="1850"/>
        <w:gridCol w:w="1850"/>
        <w:gridCol w:w="1850"/>
      </w:tblGrid>
      <w:tr w:rsidR="00C541B3" w:rsidRPr="009B6407" w14:paraId="4BAC7CCA" w14:textId="77777777" w:rsidTr="00160B8E">
        <w:trPr>
          <w:trHeight w:val="1018"/>
        </w:trPr>
        <w:tc>
          <w:tcPr>
            <w:tcW w:w="2219" w:type="dxa"/>
            <w:shd w:val="clear" w:color="auto" w:fill="auto"/>
            <w:noWrap/>
            <w:vAlign w:val="center"/>
            <w:hideMark/>
          </w:tcPr>
          <w:p w14:paraId="32E3C892" w14:textId="77777777" w:rsidR="00C541B3" w:rsidRPr="009B6407" w:rsidRDefault="00C541B3" w:rsidP="00784A84">
            <w:pPr>
              <w:spacing w:after="0" w:line="240" w:lineRule="auto"/>
              <w:rPr>
                <w:rFonts w:ascii="Calibri" w:hAnsi="Calibri" w:cs="Calibri"/>
                <w:color w:val="000000"/>
                <w:sz w:val="18"/>
                <w:szCs w:val="18"/>
                <w:lang w:eastAsia="en-AU"/>
              </w:rPr>
            </w:pPr>
            <w:r w:rsidRPr="009B6407">
              <w:rPr>
                <w:rFonts w:ascii="Calibri" w:hAnsi="Calibri" w:cs="Calibri"/>
                <w:color w:val="000000"/>
                <w:sz w:val="18"/>
                <w:szCs w:val="18"/>
                <w:lang w:eastAsia="en-AU"/>
              </w:rPr>
              <w:t> </w:t>
            </w:r>
          </w:p>
        </w:tc>
        <w:tc>
          <w:tcPr>
            <w:tcW w:w="1849" w:type="dxa"/>
            <w:shd w:val="clear" w:color="auto" w:fill="6B3B57"/>
            <w:vAlign w:val="center"/>
            <w:hideMark/>
          </w:tcPr>
          <w:p w14:paraId="6792614D" w14:textId="77777777" w:rsidR="00C541B3" w:rsidRPr="009B6407" w:rsidRDefault="00C541B3" w:rsidP="00784A84">
            <w:pPr>
              <w:spacing w:after="0" w:line="240" w:lineRule="auto"/>
              <w:jc w:val="center"/>
              <w:rPr>
                <w:rFonts w:cs="Arial"/>
                <w:b/>
                <w:bCs/>
                <w:color w:val="FFFFFF"/>
                <w:sz w:val="18"/>
                <w:szCs w:val="18"/>
                <w:lang w:eastAsia="en-AU"/>
              </w:rPr>
            </w:pPr>
            <w:r w:rsidRPr="009B6407">
              <w:rPr>
                <w:rFonts w:cs="Arial"/>
                <w:b/>
                <w:bCs/>
                <w:color w:val="FFFFFF"/>
                <w:sz w:val="18"/>
                <w:szCs w:val="18"/>
                <w:lang w:eastAsia="en-AU"/>
              </w:rPr>
              <w:t>2021</w:t>
            </w:r>
          </w:p>
        </w:tc>
        <w:tc>
          <w:tcPr>
            <w:tcW w:w="1850" w:type="dxa"/>
            <w:shd w:val="clear" w:color="auto" w:fill="6B3B57"/>
            <w:vAlign w:val="center"/>
            <w:hideMark/>
          </w:tcPr>
          <w:p w14:paraId="75ABC61F" w14:textId="28A824C6" w:rsidR="00C541B3"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20</w:t>
            </w:r>
            <w:r w:rsidR="00F203F1">
              <w:rPr>
                <w:rFonts w:cs="Arial"/>
                <w:b/>
                <w:bCs/>
                <w:color w:val="FFFFFF"/>
                <w:sz w:val="18"/>
                <w:szCs w:val="18"/>
                <w:lang w:eastAsia="en-AU"/>
              </w:rPr>
              <w:t>35</w:t>
            </w:r>
            <w:r>
              <w:rPr>
                <w:rFonts w:cs="Arial"/>
                <w:b/>
                <w:bCs/>
                <w:color w:val="FFFFFF"/>
                <w:sz w:val="18"/>
                <w:szCs w:val="18"/>
                <w:lang w:eastAsia="en-AU"/>
              </w:rPr>
              <w:t xml:space="preserve"> </w:t>
            </w:r>
          </w:p>
          <w:p w14:paraId="59DC9CD4" w14:textId="545AD92F" w:rsidR="00C541B3"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Equal Effort</w:t>
            </w:r>
            <w:r w:rsidR="003A34AB">
              <w:rPr>
                <w:rFonts w:cs="Arial"/>
                <w:b/>
                <w:bCs/>
                <w:color w:val="FFFFFF"/>
                <w:sz w:val="18"/>
                <w:szCs w:val="18"/>
                <w:lang w:eastAsia="en-AU"/>
              </w:rPr>
              <w:t>*</w:t>
            </w:r>
          </w:p>
          <w:p w14:paraId="7F795DBC" w14:textId="77777777" w:rsidR="00C541B3" w:rsidRPr="009B6407" w:rsidRDefault="00C541B3" w:rsidP="00784A84">
            <w:pPr>
              <w:spacing w:after="0" w:line="240" w:lineRule="auto"/>
              <w:jc w:val="center"/>
              <w:rPr>
                <w:rFonts w:cs="Arial"/>
                <w:b/>
                <w:bCs/>
                <w:color w:val="FFFFFF"/>
                <w:sz w:val="18"/>
                <w:szCs w:val="18"/>
                <w:lang w:eastAsia="en-AU"/>
              </w:rPr>
            </w:pPr>
          </w:p>
        </w:tc>
        <w:tc>
          <w:tcPr>
            <w:tcW w:w="1850" w:type="dxa"/>
            <w:shd w:val="clear" w:color="auto" w:fill="6B3B57"/>
            <w:vAlign w:val="center"/>
          </w:tcPr>
          <w:p w14:paraId="6E0DE4A3" w14:textId="77777777" w:rsidR="00C541B3" w:rsidRPr="009B6407"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Growth (headcount)</w:t>
            </w:r>
          </w:p>
        </w:tc>
        <w:tc>
          <w:tcPr>
            <w:tcW w:w="1850" w:type="dxa"/>
            <w:shd w:val="clear" w:color="auto" w:fill="6B3B57"/>
            <w:vAlign w:val="center"/>
          </w:tcPr>
          <w:p w14:paraId="26093E6C" w14:textId="77777777" w:rsidR="00C541B3" w:rsidRDefault="00C541B3" w:rsidP="00784A84">
            <w:pPr>
              <w:spacing w:after="0" w:line="240" w:lineRule="auto"/>
              <w:jc w:val="center"/>
              <w:rPr>
                <w:rFonts w:cs="Arial"/>
                <w:b/>
                <w:bCs/>
                <w:color w:val="FFFFFF"/>
                <w:sz w:val="18"/>
                <w:szCs w:val="18"/>
                <w:lang w:eastAsia="en-AU"/>
              </w:rPr>
            </w:pPr>
            <w:r>
              <w:rPr>
                <w:rFonts w:cs="Arial"/>
                <w:b/>
                <w:bCs/>
                <w:color w:val="FFFFFF"/>
                <w:sz w:val="18"/>
                <w:szCs w:val="18"/>
                <w:lang w:eastAsia="en-AU"/>
              </w:rPr>
              <w:t>Share of Growth (%)</w:t>
            </w:r>
          </w:p>
        </w:tc>
      </w:tr>
      <w:tr w:rsidR="00AA2E8B" w:rsidRPr="009B6407" w14:paraId="6D044B69" w14:textId="77777777" w:rsidTr="00160B8E">
        <w:trPr>
          <w:trHeight w:val="315"/>
        </w:trPr>
        <w:tc>
          <w:tcPr>
            <w:tcW w:w="2219" w:type="dxa"/>
            <w:shd w:val="clear" w:color="auto" w:fill="auto"/>
            <w:noWrap/>
            <w:vAlign w:val="center"/>
            <w:hideMark/>
          </w:tcPr>
          <w:p w14:paraId="333C3D21" w14:textId="77777777" w:rsidR="00AA2E8B" w:rsidRPr="009B6407" w:rsidRDefault="00AA2E8B" w:rsidP="00AA2E8B">
            <w:pPr>
              <w:spacing w:after="0" w:line="240" w:lineRule="auto"/>
              <w:rPr>
                <w:rFonts w:cs="Arial"/>
                <w:b/>
                <w:bCs/>
                <w:color w:val="000000"/>
                <w:sz w:val="18"/>
                <w:szCs w:val="18"/>
                <w:lang w:eastAsia="en-AU"/>
              </w:rPr>
            </w:pPr>
            <w:r w:rsidRPr="009B6407">
              <w:rPr>
                <w:rFonts w:cs="Arial"/>
                <w:b/>
                <w:bCs/>
                <w:color w:val="000000"/>
                <w:sz w:val="18"/>
                <w:szCs w:val="18"/>
                <w:lang w:eastAsia="en-AU"/>
              </w:rPr>
              <w:t>Undergraduates</w:t>
            </w:r>
          </w:p>
        </w:tc>
        <w:tc>
          <w:tcPr>
            <w:tcW w:w="1849" w:type="dxa"/>
            <w:shd w:val="clear" w:color="auto" w:fill="auto"/>
            <w:noWrap/>
            <w:vAlign w:val="center"/>
          </w:tcPr>
          <w:p w14:paraId="2901FC79" w14:textId="77777777" w:rsidR="00AA2E8B" w:rsidRPr="001E2EFA" w:rsidRDefault="00AA2E8B" w:rsidP="00AA2E8B">
            <w:pPr>
              <w:spacing w:after="0" w:line="240" w:lineRule="auto"/>
              <w:ind w:right="572"/>
              <w:jc w:val="right"/>
              <w:rPr>
                <w:rFonts w:cs="Arial"/>
                <w:b/>
                <w:bCs/>
                <w:color w:val="000000"/>
                <w:sz w:val="18"/>
                <w:szCs w:val="18"/>
                <w:lang w:eastAsia="en-AU"/>
              </w:rPr>
            </w:pPr>
            <w:r w:rsidRPr="001F0FF9">
              <w:rPr>
                <w:rFonts w:cs="Arial"/>
                <w:b/>
                <w:bCs/>
                <w:color w:val="000000"/>
                <w:sz w:val="18"/>
                <w:szCs w:val="18"/>
              </w:rPr>
              <w:t>118,000</w:t>
            </w:r>
          </w:p>
        </w:tc>
        <w:tc>
          <w:tcPr>
            <w:tcW w:w="1850" w:type="dxa"/>
            <w:shd w:val="clear" w:color="auto" w:fill="EFE2E7" w:themeFill="text1" w:themeFillTint="1A"/>
            <w:noWrap/>
            <w:vAlign w:val="center"/>
          </w:tcPr>
          <w:p w14:paraId="4C3F6D7F" w14:textId="382C8EEE" w:rsidR="00AA2E8B" w:rsidRPr="00AA2E8B" w:rsidRDefault="00AA2E8B" w:rsidP="00AA2E8B">
            <w:pPr>
              <w:spacing w:after="0" w:line="240" w:lineRule="auto"/>
              <w:ind w:right="436"/>
              <w:jc w:val="right"/>
              <w:rPr>
                <w:rFonts w:cs="Arial"/>
                <w:b/>
                <w:bCs/>
                <w:color w:val="000000"/>
                <w:sz w:val="18"/>
                <w:szCs w:val="18"/>
                <w:lang w:eastAsia="en-AU"/>
              </w:rPr>
            </w:pPr>
            <w:r w:rsidRPr="00AA2E8B">
              <w:rPr>
                <w:b/>
                <w:bCs/>
                <w:sz w:val="18"/>
                <w:szCs w:val="18"/>
              </w:rPr>
              <w:t>150,973</w:t>
            </w:r>
          </w:p>
        </w:tc>
        <w:tc>
          <w:tcPr>
            <w:tcW w:w="1850" w:type="dxa"/>
            <w:shd w:val="clear" w:color="auto" w:fill="auto"/>
            <w:noWrap/>
            <w:vAlign w:val="center"/>
          </w:tcPr>
          <w:p w14:paraId="38587C2D" w14:textId="22AE7BCD" w:rsidR="00AA2E8B" w:rsidRPr="00AA2E8B" w:rsidRDefault="00AA2E8B" w:rsidP="00AA2E8B">
            <w:pPr>
              <w:spacing w:after="0" w:line="240" w:lineRule="auto"/>
              <w:ind w:right="319"/>
              <w:jc w:val="right"/>
              <w:rPr>
                <w:rFonts w:cs="Arial"/>
                <w:b/>
                <w:bCs/>
                <w:color w:val="000000"/>
                <w:sz w:val="18"/>
                <w:szCs w:val="18"/>
                <w:lang w:eastAsia="en-AU"/>
              </w:rPr>
            </w:pPr>
            <w:r w:rsidRPr="00AA2E8B">
              <w:rPr>
                <w:b/>
                <w:bCs/>
                <w:sz w:val="18"/>
                <w:szCs w:val="18"/>
              </w:rPr>
              <w:t>32,973</w:t>
            </w:r>
          </w:p>
        </w:tc>
        <w:tc>
          <w:tcPr>
            <w:tcW w:w="1850" w:type="dxa"/>
            <w:vAlign w:val="center"/>
          </w:tcPr>
          <w:p w14:paraId="35A0986D" w14:textId="77777777" w:rsidR="00AA2E8B" w:rsidRPr="00AA2E8B" w:rsidDel="00961A47" w:rsidRDefault="00AA2E8B" w:rsidP="00AA2E8B">
            <w:pPr>
              <w:spacing w:after="0" w:line="240" w:lineRule="auto"/>
              <w:ind w:right="586"/>
              <w:jc w:val="right"/>
              <w:rPr>
                <w:b/>
                <w:bCs/>
                <w:sz w:val="18"/>
                <w:szCs w:val="18"/>
              </w:rPr>
            </w:pPr>
            <w:r w:rsidRPr="00AA2E8B">
              <w:rPr>
                <w:rFonts w:cs="Arial"/>
                <w:b/>
                <w:bCs/>
                <w:color w:val="000000"/>
                <w:sz w:val="18"/>
                <w:szCs w:val="18"/>
              </w:rPr>
              <w:t>- </w:t>
            </w:r>
          </w:p>
        </w:tc>
      </w:tr>
      <w:tr w:rsidR="00AA2E8B" w:rsidRPr="009B6407" w14:paraId="6EB83C32" w14:textId="77777777" w:rsidTr="00160B8E">
        <w:trPr>
          <w:trHeight w:val="315"/>
        </w:trPr>
        <w:tc>
          <w:tcPr>
            <w:tcW w:w="2219" w:type="dxa"/>
            <w:shd w:val="clear" w:color="auto" w:fill="auto"/>
            <w:noWrap/>
            <w:vAlign w:val="center"/>
            <w:hideMark/>
          </w:tcPr>
          <w:p w14:paraId="58CDF5BA" w14:textId="77777777" w:rsidR="00AA2E8B" w:rsidRPr="009B6407" w:rsidRDefault="00AA2E8B" w:rsidP="00AA2E8B">
            <w:pPr>
              <w:spacing w:after="0" w:line="240" w:lineRule="auto"/>
              <w:rPr>
                <w:rFonts w:cs="Arial"/>
                <w:color w:val="000000"/>
                <w:sz w:val="18"/>
                <w:szCs w:val="18"/>
                <w:lang w:eastAsia="en-AU"/>
              </w:rPr>
            </w:pPr>
            <w:r w:rsidRPr="009B6407">
              <w:rPr>
                <w:rFonts w:cs="Arial"/>
                <w:color w:val="000000"/>
                <w:sz w:val="18"/>
                <w:szCs w:val="18"/>
                <w:lang w:eastAsia="en-AU"/>
              </w:rPr>
              <w:t xml:space="preserve">Low SES </w:t>
            </w:r>
          </w:p>
        </w:tc>
        <w:tc>
          <w:tcPr>
            <w:tcW w:w="1849" w:type="dxa"/>
            <w:shd w:val="clear" w:color="auto" w:fill="auto"/>
            <w:noWrap/>
            <w:vAlign w:val="center"/>
          </w:tcPr>
          <w:p w14:paraId="7058C0B3" w14:textId="15407B14" w:rsidR="00AA2E8B" w:rsidRPr="001E2EFA" w:rsidRDefault="003E69B6" w:rsidP="00AA2E8B">
            <w:pPr>
              <w:spacing w:after="0" w:line="240" w:lineRule="auto"/>
              <w:ind w:right="572"/>
              <w:jc w:val="right"/>
              <w:rPr>
                <w:rFonts w:cs="Arial"/>
                <w:color w:val="000000"/>
                <w:sz w:val="18"/>
                <w:szCs w:val="18"/>
                <w:lang w:eastAsia="en-AU"/>
              </w:rPr>
            </w:pPr>
            <w:r w:rsidRPr="00F51256">
              <w:rPr>
                <w:sz w:val="18"/>
                <w:szCs w:val="18"/>
              </w:rPr>
              <w:t>17,179</w:t>
            </w:r>
          </w:p>
        </w:tc>
        <w:tc>
          <w:tcPr>
            <w:tcW w:w="1850" w:type="dxa"/>
            <w:shd w:val="clear" w:color="auto" w:fill="EFE2E7" w:themeFill="text1" w:themeFillTint="1A"/>
            <w:noWrap/>
            <w:vAlign w:val="center"/>
          </w:tcPr>
          <w:p w14:paraId="17E594F5" w14:textId="3071A131" w:rsidR="00AA2E8B" w:rsidRPr="00AA2E8B" w:rsidRDefault="003E69B6" w:rsidP="00AA2E8B">
            <w:pPr>
              <w:spacing w:after="0" w:line="240" w:lineRule="auto"/>
              <w:ind w:right="436"/>
              <w:jc w:val="right"/>
              <w:rPr>
                <w:rFonts w:cs="Arial"/>
                <w:color w:val="000000"/>
                <w:sz w:val="18"/>
                <w:szCs w:val="18"/>
                <w:lang w:eastAsia="en-AU"/>
              </w:rPr>
            </w:pPr>
            <w:r w:rsidRPr="00F51256">
              <w:rPr>
                <w:sz w:val="18"/>
                <w:szCs w:val="18"/>
              </w:rPr>
              <w:t>26,982</w:t>
            </w:r>
          </w:p>
        </w:tc>
        <w:tc>
          <w:tcPr>
            <w:tcW w:w="1850" w:type="dxa"/>
            <w:shd w:val="clear" w:color="auto" w:fill="auto"/>
            <w:noWrap/>
            <w:vAlign w:val="center"/>
          </w:tcPr>
          <w:p w14:paraId="5D902D48" w14:textId="7AC48D76" w:rsidR="00AA2E8B" w:rsidRPr="00AA2E8B" w:rsidRDefault="003E69B6" w:rsidP="00AA2E8B">
            <w:pPr>
              <w:spacing w:after="0" w:line="240" w:lineRule="auto"/>
              <w:ind w:right="319"/>
              <w:jc w:val="right"/>
              <w:rPr>
                <w:rFonts w:cs="Arial"/>
                <w:color w:val="000000"/>
                <w:sz w:val="18"/>
                <w:szCs w:val="18"/>
                <w:lang w:eastAsia="en-AU"/>
              </w:rPr>
            </w:pPr>
            <w:r w:rsidRPr="00F51256">
              <w:rPr>
                <w:sz w:val="18"/>
                <w:szCs w:val="18"/>
              </w:rPr>
              <w:t>9,803</w:t>
            </w:r>
          </w:p>
        </w:tc>
        <w:tc>
          <w:tcPr>
            <w:tcW w:w="1850" w:type="dxa"/>
            <w:vAlign w:val="center"/>
          </w:tcPr>
          <w:p w14:paraId="7F25F86C" w14:textId="76635D9D" w:rsidR="00AA2E8B" w:rsidRPr="007B51E8" w:rsidDel="00961A47" w:rsidRDefault="003E69B6" w:rsidP="00AA2E8B">
            <w:pPr>
              <w:spacing w:after="0" w:line="240" w:lineRule="auto"/>
              <w:ind w:right="586"/>
              <w:jc w:val="right"/>
              <w:rPr>
                <w:sz w:val="18"/>
                <w:szCs w:val="18"/>
              </w:rPr>
            </w:pPr>
            <w:r>
              <w:rPr>
                <w:rFonts w:cs="Arial"/>
                <w:color w:val="000000"/>
                <w:sz w:val="18"/>
                <w:szCs w:val="18"/>
              </w:rPr>
              <w:t>29.7</w:t>
            </w:r>
          </w:p>
        </w:tc>
      </w:tr>
      <w:tr w:rsidR="00AA2E8B" w:rsidRPr="009B6407" w14:paraId="43EB854A" w14:textId="77777777" w:rsidTr="00160B8E">
        <w:trPr>
          <w:trHeight w:val="315"/>
        </w:trPr>
        <w:tc>
          <w:tcPr>
            <w:tcW w:w="2219" w:type="dxa"/>
            <w:shd w:val="clear" w:color="auto" w:fill="auto"/>
            <w:noWrap/>
            <w:vAlign w:val="center"/>
            <w:hideMark/>
          </w:tcPr>
          <w:p w14:paraId="2CEA38D6" w14:textId="77777777" w:rsidR="00AA2E8B" w:rsidRPr="009B6407" w:rsidRDefault="00AA2E8B" w:rsidP="00AA2E8B">
            <w:pPr>
              <w:spacing w:after="0" w:line="240" w:lineRule="auto"/>
              <w:rPr>
                <w:rFonts w:cs="Arial"/>
                <w:color w:val="000000"/>
                <w:sz w:val="18"/>
                <w:szCs w:val="18"/>
                <w:lang w:eastAsia="en-AU"/>
              </w:rPr>
            </w:pPr>
            <w:r w:rsidRPr="009B6407">
              <w:rPr>
                <w:rFonts w:cs="Arial"/>
                <w:color w:val="000000"/>
                <w:sz w:val="18"/>
                <w:szCs w:val="18"/>
                <w:lang w:eastAsia="en-AU"/>
              </w:rPr>
              <w:t>Regional/Remote</w:t>
            </w:r>
          </w:p>
        </w:tc>
        <w:tc>
          <w:tcPr>
            <w:tcW w:w="1849" w:type="dxa"/>
            <w:shd w:val="clear" w:color="auto" w:fill="auto"/>
            <w:noWrap/>
            <w:vAlign w:val="center"/>
          </w:tcPr>
          <w:p w14:paraId="30932829" w14:textId="1C5E1A4A" w:rsidR="00AA2E8B" w:rsidRPr="001E2EFA" w:rsidRDefault="003E69B6" w:rsidP="00AA2E8B">
            <w:pPr>
              <w:spacing w:after="0" w:line="240" w:lineRule="auto"/>
              <w:ind w:right="572"/>
              <w:jc w:val="right"/>
              <w:rPr>
                <w:rFonts w:cs="Arial"/>
                <w:color w:val="000000"/>
                <w:sz w:val="18"/>
                <w:szCs w:val="18"/>
                <w:lang w:eastAsia="en-AU"/>
              </w:rPr>
            </w:pPr>
            <w:r w:rsidRPr="00F51256">
              <w:rPr>
                <w:sz w:val="18"/>
                <w:szCs w:val="18"/>
              </w:rPr>
              <w:t>22,154</w:t>
            </w:r>
          </w:p>
        </w:tc>
        <w:tc>
          <w:tcPr>
            <w:tcW w:w="1850" w:type="dxa"/>
            <w:shd w:val="clear" w:color="auto" w:fill="EFE2E7" w:themeFill="text1" w:themeFillTint="1A"/>
            <w:noWrap/>
            <w:vAlign w:val="center"/>
          </w:tcPr>
          <w:p w14:paraId="18786C23" w14:textId="2BD94D2E" w:rsidR="00AA2E8B" w:rsidRPr="00AA2E8B" w:rsidRDefault="003E69B6" w:rsidP="00AA2E8B">
            <w:pPr>
              <w:spacing w:after="0" w:line="240" w:lineRule="auto"/>
              <w:ind w:right="436"/>
              <w:jc w:val="right"/>
              <w:rPr>
                <w:rFonts w:cs="Arial"/>
                <w:color w:val="000000"/>
                <w:sz w:val="18"/>
                <w:szCs w:val="18"/>
                <w:lang w:eastAsia="en-AU"/>
              </w:rPr>
            </w:pPr>
            <w:r w:rsidRPr="00F51256">
              <w:rPr>
                <w:sz w:val="18"/>
                <w:szCs w:val="18"/>
              </w:rPr>
              <w:t>32,831</w:t>
            </w:r>
          </w:p>
        </w:tc>
        <w:tc>
          <w:tcPr>
            <w:tcW w:w="1850" w:type="dxa"/>
            <w:shd w:val="clear" w:color="auto" w:fill="auto"/>
            <w:noWrap/>
            <w:vAlign w:val="center"/>
          </w:tcPr>
          <w:p w14:paraId="5ED939E1" w14:textId="58162930" w:rsidR="00AA2E8B" w:rsidRPr="00AA2E8B" w:rsidRDefault="003E69B6" w:rsidP="00AA2E8B">
            <w:pPr>
              <w:spacing w:after="0" w:line="240" w:lineRule="auto"/>
              <w:ind w:right="319"/>
              <w:jc w:val="right"/>
              <w:rPr>
                <w:rFonts w:cs="Arial"/>
                <w:color w:val="000000"/>
                <w:sz w:val="18"/>
                <w:szCs w:val="18"/>
                <w:lang w:eastAsia="en-AU"/>
              </w:rPr>
            </w:pPr>
            <w:r w:rsidRPr="00F51256">
              <w:rPr>
                <w:sz w:val="18"/>
                <w:szCs w:val="18"/>
              </w:rPr>
              <w:t>10,677</w:t>
            </w:r>
          </w:p>
        </w:tc>
        <w:tc>
          <w:tcPr>
            <w:tcW w:w="1850" w:type="dxa"/>
            <w:vAlign w:val="center"/>
          </w:tcPr>
          <w:p w14:paraId="4E8E4B4C" w14:textId="11D40424" w:rsidR="00AA2E8B" w:rsidRPr="007B51E8" w:rsidDel="00961A47" w:rsidRDefault="003E69B6" w:rsidP="00AA2E8B">
            <w:pPr>
              <w:spacing w:after="0" w:line="240" w:lineRule="auto"/>
              <w:ind w:right="586"/>
              <w:jc w:val="right"/>
              <w:rPr>
                <w:sz w:val="18"/>
                <w:szCs w:val="18"/>
              </w:rPr>
            </w:pPr>
            <w:r>
              <w:rPr>
                <w:rFonts w:cs="Arial"/>
                <w:color w:val="000000"/>
                <w:sz w:val="18"/>
                <w:szCs w:val="18"/>
              </w:rPr>
              <w:t>32.4</w:t>
            </w:r>
          </w:p>
        </w:tc>
      </w:tr>
      <w:tr w:rsidR="00AA2E8B" w:rsidRPr="009B6407" w14:paraId="06CC05A3" w14:textId="77777777" w:rsidTr="00160B8E">
        <w:trPr>
          <w:trHeight w:val="315"/>
        </w:trPr>
        <w:tc>
          <w:tcPr>
            <w:tcW w:w="2219" w:type="dxa"/>
            <w:shd w:val="clear" w:color="auto" w:fill="auto"/>
            <w:noWrap/>
            <w:vAlign w:val="center"/>
            <w:hideMark/>
          </w:tcPr>
          <w:p w14:paraId="3D654A30" w14:textId="77777777" w:rsidR="00AA2E8B" w:rsidRPr="009B6407" w:rsidRDefault="00AA2E8B" w:rsidP="00AA2E8B">
            <w:pPr>
              <w:spacing w:after="0" w:line="240" w:lineRule="auto"/>
              <w:rPr>
                <w:rFonts w:cs="Arial"/>
                <w:color w:val="000000"/>
                <w:sz w:val="18"/>
                <w:szCs w:val="18"/>
                <w:lang w:eastAsia="en-AU"/>
              </w:rPr>
            </w:pPr>
            <w:r w:rsidRPr="009B6407">
              <w:rPr>
                <w:rFonts w:cs="Arial"/>
                <w:color w:val="000000"/>
                <w:sz w:val="18"/>
                <w:szCs w:val="18"/>
                <w:lang w:eastAsia="en-AU"/>
              </w:rPr>
              <w:t xml:space="preserve">First Nations </w:t>
            </w:r>
          </w:p>
        </w:tc>
        <w:tc>
          <w:tcPr>
            <w:tcW w:w="1849" w:type="dxa"/>
            <w:shd w:val="clear" w:color="auto" w:fill="auto"/>
            <w:noWrap/>
            <w:vAlign w:val="center"/>
          </w:tcPr>
          <w:p w14:paraId="71DBF943" w14:textId="77777777" w:rsidR="00AA2E8B" w:rsidRPr="001E2EFA" w:rsidRDefault="00AA2E8B" w:rsidP="00AA2E8B">
            <w:pPr>
              <w:spacing w:after="0" w:line="240" w:lineRule="auto"/>
              <w:ind w:right="572"/>
              <w:jc w:val="right"/>
              <w:rPr>
                <w:rFonts w:cs="Arial"/>
                <w:color w:val="000000"/>
                <w:sz w:val="18"/>
                <w:szCs w:val="18"/>
                <w:lang w:eastAsia="en-AU"/>
              </w:rPr>
            </w:pPr>
            <w:r w:rsidRPr="001F0FF9">
              <w:rPr>
                <w:rFonts w:cs="Arial"/>
                <w:color w:val="000000"/>
                <w:sz w:val="18"/>
                <w:szCs w:val="18"/>
              </w:rPr>
              <w:t>1,637</w:t>
            </w:r>
          </w:p>
        </w:tc>
        <w:tc>
          <w:tcPr>
            <w:tcW w:w="1850" w:type="dxa"/>
            <w:shd w:val="clear" w:color="auto" w:fill="EFE2E7" w:themeFill="text1" w:themeFillTint="1A"/>
            <w:noWrap/>
            <w:vAlign w:val="center"/>
          </w:tcPr>
          <w:p w14:paraId="1EF679C6" w14:textId="138BDD44" w:rsidR="00AA2E8B" w:rsidRPr="00AA2E8B" w:rsidRDefault="00AA2E8B" w:rsidP="00AA2E8B">
            <w:pPr>
              <w:spacing w:after="0" w:line="240" w:lineRule="auto"/>
              <w:ind w:right="436"/>
              <w:jc w:val="right"/>
              <w:rPr>
                <w:rFonts w:cs="Arial"/>
                <w:color w:val="000000"/>
                <w:sz w:val="18"/>
                <w:szCs w:val="18"/>
                <w:lang w:eastAsia="en-AU"/>
              </w:rPr>
            </w:pPr>
            <w:r w:rsidRPr="00AA2E8B">
              <w:rPr>
                <w:sz w:val="18"/>
                <w:szCs w:val="18"/>
              </w:rPr>
              <w:t>3,671</w:t>
            </w:r>
          </w:p>
        </w:tc>
        <w:tc>
          <w:tcPr>
            <w:tcW w:w="1850" w:type="dxa"/>
            <w:shd w:val="clear" w:color="auto" w:fill="auto"/>
            <w:noWrap/>
            <w:vAlign w:val="center"/>
          </w:tcPr>
          <w:p w14:paraId="70AA7346" w14:textId="5789401F" w:rsidR="00AA2E8B" w:rsidRPr="00AA2E8B" w:rsidRDefault="00AA2E8B" w:rsidP="00AA2E8B">
            <w:pPr>
              <w:spacing w:after="0" w:line="240" w:lineRule="auto"/>
              <w:ind w:right="319"/>
              <w:jc w:val="right"/>
              <w:rPr>
                <w:rFonts w:cs="Arial"/>
                <w:color w:val="000000"/>
                <w:sz w:val="18"/>
                <w:szCs w:val="18"/>
                <w:lang w:eastAsia="en-AU"/>
              </w:rPr>
            </w:pPr>
            <w:r w:rsidRPr="00AA2E8B">
              <w:rPr>
                <w:sz w:val="18"/>
                <w:szCs w:val="18"/>
              </w:rPr>
              <w:t>2,034</w:t>
            </w:r>
          </w:p>
        </w:tc>
        <w:tc>
          <w:tcPr>
            <w:tcW w:w="1850" w:type="dxa"/>
            <w:vAlign w:val="center"/>
          </w:tcPr>
          <w:p w14:paraId="5615362B" w14:textId="77777777" w:rsidR="00AA2E8B" w:rsidRPr="007B51E8" w:rsidDel="00961A47" w:rsidRDefault="00AA2E8B" w:rsidP="00AA2E8B">
            <w:pPr>
              <w:spacing w:after="0" w:line="240" w:lineRule="auto"/>
              <w:ind w:right="586"/>
              <w:jc w:val="right"/>
              <w:rPr>
                <w:sz w:val="18"/>
                <w:szCs w:val="18"/>
              </w:rPr>
            </w:pPr>
            <w:r>
              <w:rPr>
                <w:rFonts w:cs="Arial"/>
                <w:color w:val="000000"/>
                <w:sz w:val="18"/>
                <w:szCs w:val="18"/>
              </w:rPr>
              <w:t>6.2</w:t>
            </w:r>
          </w:p>
        </w:tc>
      </w:tr>
      <w:tr w:rsidR="00AA2E8B" w:rsidRPr="009B6407" w14:paraId="1C34EEFF" w14:textId="77777777" w:rsidTr="00160B8E">
        <w:trPr>
          <w:trHeight w:val="315"/>
        </w:trPr>
        <w:tc>
          <w:tcPr>
            <w:tcW w:w="2219" w:type="dxa"/>
            <w:shd w:val="clear" w:color="auto" w:fill="auto"/>
            <w:noWrap/>
            <w:vAlign w:val="center"/>
            <w:hideMark/>
          </w:tcPr>
          <w:p w14:paraId="5C00F4E9" w14:textId="77777777" w:rsidR="00AA2E8B" w:rsidRPr="009B6407" w:rsidRDefault="00AA2E8B" w:rsidP="00AA2E8B">
            <w:pPr>
              <w:spacing w:after="0" w:line="240" w:lineRule="auto"/>
              <w:rPr>
                <w:rFonts w:cs="Arial"/>
                <w:color w:val="000000"/>
                <w:sz w:val="18"/>
                <w:szCs w:val="18"/>
                <w:lang w:eastAsia="en-AU"/>
              </w:rPr>
            </w:pPr>
            <w:r w:rsidRPr="009B6407">
              <w:rPr>
                <w:rFonts w:cs="Arial"/>
                <w:color w:val="000000"/>
                <w:sz w:val="18"/>
                <w:szCs w:val="18"/>
                <w:lang w:eastAsia="en-AU"/>
              </w:rPr>
              <w:t>Disability</w:t>
            </w:r>
          </w:p>
        </w:tc>
        <w:tc>
          <w:tcPr>
            <w:tcW w:w="1849" w:type="dxa"/>
            <w:shd w:val="clear" w:color="auto" w:fill="auto"/>
            <w:noWrap/>
            <w:vAlign w:val="center"/>
          </w:tcPr>
          <w:p w14:paraId="2BC07F6A" w14:textId="77777777" w:rsidR="00AA2E8B" w:rsidRPr="001E2EFA" w:rsidRDefault="00AA2E8B" w:rsidP="00AA2E8B">
            <w:pPr>
              <w:spacing w:after="0" w:line="240" w:lineRule="auto"/>
              <w:ind w:right="572"/>
              <w:jc w:val="right"/>
              <w:rPr>
                <w:rFonts w:cs="Arial"/>
                <w:color w:val="000000"/>
                <w:sz w:val="18"/>
                <w:szCs w:val="18"/>
                <w:lang w:eastAsia="en-AU"/>
              </w:rPr>
            </w:pPr>
            <w:r w:rsidRPr="001F0FF9">
              <w:rPr>
                <w:rFonts w:cs="Arial"/>
                <w:color w:val="000000"/>
                <w:sz w:val="18"/>
                <w:szCs w:val="18"/>
              </w:rPr>
              <w:t>9,215</w:t>
            </w:r>
          </w:p>
        </w:tc>
        <w:tc>
          <w:tcPr>
            <w:tcW w:w="1850" w:type="dxa"/>
            <w:shd w:val="clear" w:color="auto" w:fill="EFE2E7" w:themeFill="text1" w:themeFillTint="1A"/>
            <w:noWrap/>
            <w:vAlign w:val="center"/>
          </w:tcPr>
          <w:p w14:paraId="12E4C726" w14:textId="5A15056C" w:rsidR="00AA2E8B" w:rsidRPr="00AA2E8B" w:rsidRDefault="00AA2E8B" w:rsidP="00AA2E8B">
            <w:pPr>
              <w:spacing w:after="0" w:line="240" w:lineRule="auto"/>
              <w:ind w:right="436"/>
              <w:jc w:val="right"/>
              <w:rPr>
                <w:rFonts w:cs="Arial"/>
                <w:color w:val="000000"/>
                <w:sz w:val="18"/>
                <w:szCs w:val="18"/>
                <w:lang w:eastAsia="en-AU"/>
              </w:rPr>
            </w:pPr>
            <w:r w:rsidRPr="00AA2E8B">
              <w:rPr>
                <w:sz w:val="18"/>
                <w:szCs w:val="18"/>
              </w:rPr>
              <w:t>12,264</w:t>
            </w:r>
          </w:p>
        </w:tc>
        <w:tc>
          <w:tcPr>
            <w:tcW w:w="1850" w:type="dxa"/>
            <w:shd w:val="clear" w:color="auto" w:fill="auto"/>
            <w:noWrap/>
            <w:vAlign w:val="center"/>
          </w:tcPr>
          <w:p w14:paraId="6DB8B4C6" w14:textId="42BE678D" w:rsidR="00AA2E8B" w:rsidRPr="00AA2E8B" w:rsidRDefault="00AA2E8B" w:rsidP="00AA2E8B">
            <w:pPr>
              <w:spacing w:after="0" w:line="240" w:lineRule="auto"/>
              <w:ind w:right="319"/>
              <w:jc w:val="right"/>
              <w:rPr>
                <w:rFonts w:cs="Arial"/>
                <w:color w:val="000000"/>
                <w:sz w:val="18"/>
                <w:szCs w:val="18"/>
                <w:lang w:eastAsia="en-AU"/>
              </w:rPr>
            </w:pPr>
            <w:r w:rsidRPr="00AA2E8B">
              <w:rPr>
                <w:sz w:val="18"/>
                <w:szCs w:val="18"/>
              </w:rPr>
              <w:t>3,049</w:t>
            </w:r>
          </w:p>
        </w:tc>
        <w:tc>
          <w:tcPr>
            <w:tcW w:w="1850" w:type="dxa"/>
            <w:vAlign w:val="center"/>
          </w:tcPr>
          <w:p w14:paraId="61FC0411" w14:textId="77777777" w:rsidR="00AA2E8B" w:rsidRPr="007B51E8" w:rsidDel="00961A47" w:rsidRDefault="00AA2E8B" w:rsidP="00AA2E8B">
            <w:pPr>
              <w:spacing w:after="0" w:line="240" w:lineRule="auto"/>
              <w:ind w:right="586"/>
              <w:jc w:val="right"/>
              <w:rPr>
                <w:sz w:val="18"/>
                <w:szCs w:val="18"/>
              </w:rPr>
            </w:pPr>
            <w:r>
              <w:rPr>
                <w:rFonts w:cs="Arial"/>
                <w:color w:val="000000"/>
                <w:sz w:val="18"/>
                <w:szCs w:val="18"/>
              </w:rPr>
              <w:t>9.2</w:t>
            </w:r>
          </w:p>
        </w:tc>
      </w:tr>
      <w:tr w:rsidR="00AA2E8B" w:rsidRPr="009B6407" w14:paraId="70E5BDE2" w14:textId="77777777" w:rsidTr="00160B8E">
        <w:trPr>
          <w:trHeight w:val="315"/>
        </w:trPr>
        <w:tc>
          <w:tcPr>
            <w:tcW w:w="2219" w:type="dxa"/>
            <w:shd w:val="clear" w:color="auto" w:fill="auto"/>
            <w:noWrap/>
            <w:vAlign w:val="center"/>
            <w:hideMark/>
          </w:tcPr>
          <w:p w14:paraId="35C178EA" w14:textId="4EE99059" w:rsidR="00AA2E8B" w:rsidRPr="00F51256" w:rsidRDefault="00AA2E8B" w:rsidP="00AA2E8B">
            <w:pPr>
              <w:spacing w:after="0" w:line="240" w:lineRule="auto"/>
              <w:rPr>
                <w:rFonts w:cs="Arial"/>
                <w:b/>
                <w:bCs/>
                <w:i/>
                <w:iCs/>
                <w:color w:val="000000"/>
                <w:sz w:val="18"/>
                <w:szCs w:val="18"/>
                <w:lang w:eastAsia="en-AU"/>
              </w:rPr>
            </w:pPr>
            <w:r w:rsidRPr="00F51256">
              <w:rPr>
                <w:rFonts w:cs="Arial"/>
                <w:b/>
                <w:bCs/>
                <w:i/>
                <w:iCs/>
                <w:color w:val="000000"/>
                <w:sz w:val="18"/>
                <w:szCs w:val="18"/>
                <w:lang w:eastAsia="en-AU"/>
              </w:rPr>
              <w:t>Equity Group</w:t>
            </w:r>
          </w:p>
        </w:tc>
        <w:tc>
          <w:tcPr>
            <w:tcW w:w="1849" w:type="dxa"/>
            <w:shd w:val="clear" w:color="auto" w:fill="auto"/>
            <w:noWrap/>
            <w:vAlign w:val="center"/>
          </w:tcPr>
          <w:p w14:paraId="5A487F66" w14:textId="6CF7CB1E" w:rsidR="00AA2E8B" w:rsidRPr="00F51256" w:rsidRDefault="00F95AF5" w:rsidP="00AA2E8B">
            <w:pPr>
              <w:spacing w:after="0" w:line="240" w:lineRule="auto"/>
              <w:ind w:right="572"/>
              <w:jc w:val="right"/>
              <w:rPr>
                <w:rFonts w:cs="Arial"/>
                <w:b/>
                <w:bCs/>
                <w:color w:val="000000"/>
                <w:sz w:val="18"/>
                <w:szCs w:val="18"/>
                <w:lang w:eastAsia="en-AU"/>
              </w:rPr>
            </w:pPr>
            <w:r>
              <w:rPr>
                <w:rFonts w:cs="Arial"/>
                <w:b/>
                <w:bCs/>
                <w:color w:val="000000"/>
                <w:sz w:val="18"/>
                <w:szCs w:val="18"/>
              </w:rPr>
              <w:t>39,646</w:t>
            </w:r>
          </w:p>
        </w:tc>
        <w:tc>
          <w:tcPr>
            <w:tcW w:w="1850" w:type="dxa"/>
            <w:shd w:val="clear" w:color="auto" w:fill="EFE2E7" w:themeFill="text1" w:themeFillTint="1A"/>
            <w:noWrap/>
            <w:vAlign w:val="center"/>
          </w:tcPr>
          <w:p w14:paraId="2A4C5674" w14:textId="73A3383E" w:rsidR="00AA2E8B" w:rsidRPr="00F51256" w:rsidRDefault="00AA2E8B" w:rsidP="00AA2E8B">
            <w:pPr>
              <w:spacing w:after="0" w:line="240" w:lineRule="auto"/>
              <w:ind w:right="436"/>
              <w:jc w:val="right"/>
              <w:rPr>
                <w:rFonts w:cs="Arial"/>
                <w:b/>
                <w:bCs/>
                <w:color w:val="000000"/>
                <w:sz w:val="18"/>
                <w:szCs w:val="18"/>
                <w:lang w:eastAsia="en-AU"/>
              </w:rPr>
            </w:pPr>
            <w:r w:rsidRPr="00F51256">
              <w:rPr>
                <w:b/>
                <w:bCs/>
                <w:sz w:val="18"/>
                <w:szCs w:val="18"/>
              </w:rPr>
              <w:t>5</w:t>
            </w:r>
            <w:r w:rsidR="00A83F5E">
              <w:rPr>
                <w:b/>
                <w:bCs/>
                <w:sz w:val="18"/>
                <w:szCs w:val="18"/>
              </w:rPr>
              <w:t>9</w:t>
            </w:r>
            <w:r w:rsidRPr="00F51256">
              <w:rPr>
                <w:b/>
                <w:bCs/>
                <w:sz w:val="18"/>
                <w:szCs w:val="18"/>
              </w:rPr>
              <w:t>,</w:t>
            </w:r>
            <w:r w:rsidR="008D03F0" w:rsidRPr="00F51256">
              <w:rPr>
                <w:b/>
                <w:bCs/>
                <w:sz w:val="18"/>
                <w:szCs w:val="18"/>
              </w:rPr>
              <w:t>841</w:t>
            </w:r>
          </w:p>
        </w:tc>
        <w:tc>
          <w:tcPr>
            <w:tcW w:w="1850" w:type="dxa"/>
            <w:shd w:val="clear" w:color="auto" w:fill="auto"/>
            <w:noWrap/>
            <w:vAlign w:val="center"/>
          </w:tcPr>
          <w:p w14:paraId="4D9D7748" w14:textId="18ED6177" w:rsidR="00AA2E8B" w:rsidRPr="00F51256" w:rsidRDefault="00AA2E8B" w:rsidP="00AA2E8B">
            <w:pPr>
              <w:spacing w:after="0" w:line="240" w:lineRule="auto"/>
              <w:ind w:right="319"/>
              <w:jc w:val="right"/>
              <w:rPr>
                <w:rFonts w:cs="Arial"/>
                <w:b/>
                <w:bCs/>
                <w:color w:val="000000"/>
                <w:sz w:val="18"/>
                <w:szCs w:val="18"/>
                <w:lang w:eastAsia="en-AU"/>
              </w:rPr>
            </w:pPr>
            <w:r w:rsidRPr="00F51256">
              <w:rPr>
                <w:b/>
                <w:bCs/>
                <w:sz w:val="18"/>
                <w:szCs w:val="18"/>
              </w:rPr>
              <w:t>20,</w:t>
            </w:r>
            <w:r w:rsidR="008D03F0" w:rsidRPr="00F51256">
              <w:rPr>
                <w:b/>
                <w:bCs/>
                <w:sz w:val="18"/>
                <w:szCs w:val="18"/>
              </w:rPr>
              <w:t>195</w:t>
            </w:r>
          </w:p>
        </w:tc>
        <w:tc>
          <w:tcPr>
            <w:tcW w:w="1850" w:type="dxa"/>
            <w:vAlign w:val="center"/>
          </w:tcPr>
          <w:p w14:paraId="2CF5E883" w14:textId="5B0606AB" w:rsidR="00AA2E8B" w:rsidRPr="00F51256" w:rsidDel="00961A47" w:rsidRDefault="00AA2E8B" w:rsidP="00AA2E8B">
            <w:pPr>
              <w:spacing w:after="0" w:line="240" w:lineRule="auto"/>
              <w:ind w:right="586"/>
              <w:jc w:val="right"/>
              <w:rPr>
                <w:b/>
                <w:bCs/>
                <w:sz w:val="18"/>
                <w:szCs w:val="18"/>
              </w:rPr>
            </w:pPr>
            <w:r w:rsidRPr="00F51256">
              <w:rPr>
                <w:rFonts w:cs="Arial"/>
                <w:b/>
                <w:bCs/>
                <w:color w:val="000000"/>
                <w:sz w:val="18"/>
                <w:szCs w:val="18"/>
              </w:rPr>
              <w:t>6</w:t>
            </w:r>
            <w:r w:rsidR="008D03F0" w:rsidRPr="00F51256">
              <w:rPr>
                <w:rFonts w:cs="Arial"/>
                <w:b/>
                <w:bCs/>
                <w:color w:val="000000"/>
                <w:sz w:val="18"/>
                <w:szCs w:val="18"/>
              </w:rPr>
              <w:t>1</w:t>
            </w:r>
            <w:r w:rsidRPr="00F51256">
              <w:rPr>
                <w:rFonts w:cs="Arial"/>
                <w:b/>
                <w:bCs/>
                <w:color w:val="000000"/>
                <w:sz w:val="18"/>
                <w:szCs w:val="18"/>
              </w:rPr>
              <w:t>.</w:t>
            </w:r>
            <w:r w:rsidR="008D03F0" w:rsidRPr="00F51256">
              <w:rPr>
                <w:rFonts w:cs="Arial"/>
                <w:b/>
                <w:bCs/>
                <w:color w:val="000000"/>
                <w:sz w:val="18"/>
                <w:szCs w:val="18"/>
              </w:rPr>
              <w:t>2</w:t>
            </w:r>
          </w:p>
        </w:tc>
      </w:tr>
    </w:tbl>
    <w:p w14:paraId="22C97311" w14:textId="5635ABC9" w:rsidR="003A34AB" w:rsidRDefault="003A34AB" w:rsidP="00292973">
      <w:pPr>
        <w:spacing w:line="240" w:lineRule="auto"/>
        <w:rPr>
          <w:rFonts w:cs="Arial"/>
          <w:sz w:val="18"/>
          <w:szCs w:val="18"/>
        </w:rPr>
      </w:pPr>
      <w:r>
        <w:rPr>
          <w:b/>
          <w:bCs/>
          <w:sz w:val="18"/>
          <w:szCs w:val="18"/>
        </w:rPr>
        <w:t xml:space="preserve">Note: </w:t>
      </w:r>
      <w:r>
        <w:rPr>
          <w:sz w:val="18"/>
          <w:szCs w:val="18"/>
        </w:rPr>
        <w:t xml:space="preserve">This represents a target in 2035 under the 2050 </w:t>
      </w:r>
      <w:r w:rsidRPr="00F51256">
        <w:rPr>
          <w:sz w:val="18"/>
          <w:szCs w:val="18"/>
        </w:rPr>
        <w:t>timeframe, when 20.8%</w:t>
      </w:r>
      <w:r>
        <w:rPr>
          <w:sz w:val="18"/>
          <w:szCs w:val="18"/>
        </w:rPr>
        <w:t xml:space="preserve"> of the growth in participation headcount to 2050 takes place. </w:t>
      </w:r>
      <w:r w:rsidR="008E66D6">
        <w:rPr>
          <w:sz w:val="18"/>
          <w:szCs w:val="18"/>
        </w:rPr>
        <w:br/>
      </w: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and </w:t>
      </w:r>
      <w:r w:rsidR="002D13E9">
        <w:rPr>
          <w:rFonts w:cs="Arial"/>
          <w:sz w:val="18"/>
          <w:szCs w:val="18"/>
        </w:rPr>
        <w:t>ACSES</w:t>
      </w:r>
      <w:r>
        <w:rPr>
          <w:rFonts w:cs="Arial"/>
          <w:sz w:val="18"/>
          <w:szCs w:val="18"/>
        </w:rPr>
        <w:t xml:space="preserve"> calculations. </w:t>
      </w:r>
    </w:p>
    <w:p w14:paraId="3E47FBF8" w14:textId="0B93C351" w:rsidR="00990116" w:rsidRDefault="00990116">
      <w:pPr>
        <w:rPr>
          <w:rFonts w:cs="Arial"/>
          <w:sz w:val="18"/>
          <w:szCs w:val="18"/>
        </w:rPr>
      </w:pPr>
      <w:r>
        <w:rPr>
          <w:rFonts w:cs="Arial"/>
          <w:sz w:val="18"/>
          <w:szCs w:val="18"/>
        </w:rPr>
        <w:br w:type="page"/>
      </w:r>
    </w:p>
    <w:p w14:paraId="7062491A" w14:textId="3929994C" w:rsidR="00680EAA" w:rsidRDefault="0070233C" w:rsidP="003B5B48">
      <w:pPr>
        <w:pStyle w:val="Heading1"/>
      </w:pPr>
      <w:bookmarkStart w:id="26" w:name="_Toc171511586"/>
      <w:r>
        <w:lastRenderedPageBreak/>
        <w:t xml:space="preserve">Future Policy </w:t>
      </w:r>
      <w:r w:rsidR="00680EAA">
        <w:t>Considerations</w:t>
      </w:r>
      <w:bookmarkEnd w:id="26"/>
    </w:p>
    <w:p w14:paraId="61F97E17" w14:textId="3B6715A4" w:rsidR="00DF3294" w:rsidRDefault="00DF3294" w:rsidP="00DF3294">
      <w:pPr>
        <w:jc w:val="both"/>
      </w:pPr>
    </w:p>
    <w:p w14:paraId="31DAFD87" w14:textId="14F5D10E" w:rsidR="00ED7646" w:rsidRDefault="00DF3294" w:rsidP="00DF3294">
      <w:pPr>
        <w:jc w:val="both"/>
      </w:pPr>
      <w:r>
        <w:t>This analysis raises a series of considerations around the use and collection of appropriate data on equity group status</w:t>
      </w:r>
      <w:r w:rsidR="0056121D">
        <w:t xml:space="preserve"> and in relation to population parity estimates</w:t>
      </w:r>
      <w:r w:rsidR="00ED7646">
        <w:t>.</w:t>
      </w:r>
    </w:p>
    <w:p w14:paraId="1656479B" w14:textId="3F4365B4" w:rsidR="00ED7646" w:rsidRPr="00ED7646" w:rsidRDefault="00ED7646" w:rsidP="00B0246A">
      <w:pPr>
        <w:pStyle w:val="Heading2"/>
      </w:pPr>
      <w:r w:rsidRPr="00ED7646">
        <w:t xml:space="preserve">Equity Group Definitions </w:t>
      </w:r>
    </w:p>
    <w:p w14:paraId="0C8CA9A4" w14:textId="125CA5BF" w:rsidR="00276102" w:rsidRDefault="00276102" w:rsidP="00E53924">
      <w:r>
        <w:t>Equity group membership data need to be collected consistently f</w:t>
      </w:r>
      <w:r w:rsidR="0056121D">
        <w:t>or</w:t>
      </w:r>
      <w:r w:rsidR="00DF3294">
        <w:t xml:space="preserve"> </w:t>
      </w:r>
      <w:r w:rsidR="0056121D">
        <w:t xml:space="preserve">parity </w:t>
      </w:r>
      <w:r w:rsidR="00DF3294">
        <w:t xml:space="preserve">targets </w:t>
      </w:r>
      <w:r>
        <w:t>to be effective</w:t>
      </w:r>
      <w:r w:rsidR="00206835">
        <w:t>ly used</w:t>
      </w:r>
      <w:r>
        <w:t xml:space="preserve"> as </w:t>
      </w:r>
      <w:r w:rsidR="00DF3294">
        <w:t xml:space="preserve">benchmark reference </w:t>
      </w:r>
      <w:r w:rsidR="00A04F8C">
        <w:t xml:space="preserve">values </w:t>
      </w:r>
      <w:r w:rsidR="00DF3294">
        <w:t xml:space="preserve">or </w:t>
      </w:r>
      <w:r w:rsidR="008754EF">
        <w:t xml:space="preserve">to </w:t>
      </w:r>
      <w:r w:rsidR="00DF3294">
        <w:t>compare across higher education institutions</w:t>
      </w:r>
      <w:r>
        <w:t>. In particular, the collection of data on First Nations and disability status relies on self-reporting by students</w:t>
      </w:r>
      <w:r w:rsidR="00F5065C">
        <w:t xml:space="preserve"> and there is enough in</w:t>
      </w:r>
      <w:r>
        <w:t>consistency between</w:t>
      </w:r>
      <w:r w:rsidR="00ED7646">
        <w:t xml:space="preserve"> institutions in the collection of these data</w:t>
      </w:r>
      <w:r>
        <w:t xml:space="preserve"> </w:t>
      </w:r>
      <w:r w:rsidR="00ED7646">
        <w:t>to</w:t>
      </w:r>
      <w:r>
        <w:t xml:space="preserve"> result in</w:t>
      </w:r>
      <w:r w:rsidR="00ED7646">
        <w:t xml:space="preserve"> </w:t>
      </w:r>
      <w:r>
        <w:t>over- or under-reporting across institutions.</w:t>
      </w:r>
    </w:p>
    <w:p w14:paraId="19626944" w14:textId="3561CEB1" w:rsidR="00ED7646" w:rsidRDefault="00911C09" w:rsidP="006B57B5">
      <w:r>
        <w:t xml:space="preserve">Multiple group membership, which captures </w:t>
      </w:r>
      <w:r w:rsidR="00775356">
        <w:t>the effect of cumulative or compounding disadvantage should be explicitly measured and reported on</w:t>
      </w:r>
      <w:r w:rsidR="00C40B88">
        <w:t>.</w:t>
      </w:r>
      <w:r w:rsidR="00775356">
        <w:t xml:space="preserve"> </w:t>
      </w:r>
    </w:p>
    <w:p w14:paraId="69C6350D" w14:textId="5F4173E7" w:rsidR="00ED7646" w:rsidRPr="00ED7646" w:rsidRDefault="004B7FAE" w:rsidP="00B0246A">
      <w:pPr>
        <w:pStyle w:val="Heading2"/>
      </w:pPr>
      <w:r>
        <w:t>Parity Population</w:t>
      </w:r>
      <w:r w:rsidR="00ED7646" w:rsidRPr="00ED7646">
        <w:t xml:space="preserve"> </w:t>
      </w:r>
      <w:r w:rsidR="00775356">
        <w:t xml:space="preserve">Data and </w:t>
      </w:r>
      <w:r w:rsidR="00ED7646" w:rsidRPr="00ED7646">
        <w:t xml:space="preserve">Definitions </w:t>
      </w:r>
    </w:p>
    <w:p w14:paraId="726A727B" w14:textId="60B4E286" w:rsidR="00775356" w:rsidRPr="00E53924" w:rsidRDefault="00775356" w:rsidP="00E53924">
      <w:pPr>
        <w:rPr>
          <w:b/>
          <w:bCs/>
        </w:rPr>
      </w:pPr>
      <w:r>
        <w:t>Effective target-setting will require</w:t>
      </w:r>
      <w:r w:rsidR="00080B78">
        <w:t xml:space="preserve"> an evaluation of</w:t>
      </w:r>
      <w:r>
        <w:t xml:space="preserve"> the collection and reporting of population-level data</w:t>
      </w:r>
      <w:r w:rsidR="00080B78">
        <w:t xml:space="preserve"> on equity groups</w:t>
      </w:r>
      <w:r w:rsidR="00805A32">
        <w:t xml:space="preserve"> that is used to establish parity targets</w:t>
      </w:r>
      <w:r w:rsidR="000A364C">
        <w:t xml:space="preserve">, with </w:t>
      </w:r>
      <w:proofErr w:type="gramStart"/>
      <w:r w:rsidR="000A364C">
        <w:t>particular reference</w:t>
      </w:r>
      <w:proofErr w:type="gramEnd"/>
      <w:r w:rsidR="000A364C">
        <w:t xml:space="preserve"> to disability and low SES status. </w:t>
      </w:r>
      <w:r w:rsidR="00805A32">
        <w:t xml:space="preserve"> </w:t>
      </w:r>
    </w:p>
    <w:p w14:paraId="57F5DA70" w14:textId="4AB521B6" w:rsidR="00DF3294" w:rsidRDefault="00ED7646" w:rsidP="000A364C">
      <w:r>
        <w:t>The ABS data on d</w:t>
      </w:r>
      <w:r w:rsidR="00DF3294">
        <w:t xml:space="preserve">isability </w:t>
      </w:r>
      <w:r w:rsidR="00A111B3">
        <w:t xml:space="preserve">that is </w:t>
      </w:r>
      <w:r w:rsidR="00DF3294">
        <w:t xml:space="preserve">used as a national population reference </w:t>
      </w:r>
      <w:r w:rsidR="00A04F8C">
        <w:t xml:space="preserve">value </w:t>
      </w:r>
      <w:r w:rsidR="00DF3294">
        <w:t xml:space="preserve">is not comparable to disability data collected by higher education institutions. This contributes to the disability reference </w:t>
      </w:r>
      <w:r w:rsidR="00A04F8C">
        <w:t xml:space="preserve">value </w:t>
      </w:r>
      <w:r w:rsidR="00DF3294">
        <w:t xml:space="preserve">of 8.4% </w:t>
      </w:r>
      <w:r w:rsidR="00A111B3">
        <w:t xml:space="preserve">being </w:t>
      </w:r>
      <w:r w:rsidR="00A111B3" w:rsidRPr="000A364C">
        <w:rPr>
          <w:i/>
          <w:iCs/>
        </w:rPr>
        <w:t>lower</w:t>
      </w:r>
      <w:r w:rsidR="00DF3294">
        <w:t xml:space="preserve"> than the 2021 national participation share of students with disability (10.3%)</w:t>
      </w:r>
      <w:r w:rsidR="00A111B3">
        <w:t xml:space="preserve"> – effectively implying that participation parity has already been achieved in the system. </w:t>
      </w:r>
      <w:r w:rsidR="00DF3294">
        <w:t xml:space="preserve">Consideration should be given to identifying a population reference </w:t>
      </w:r>
      <w:r w:rsidR="00A04F8C">
        <w:t xml:space="preserve">value </w:t>
      </w:r>
      <w:r w:rsidR="00DF3294">
        <w:t xml:space="preserve">that is comparable to the disability definition used by institutions. </w:t>
      </w:r>
    </w:p>
    <w:p w14:paraId="12F69033" w14:textId="544F23A1" w:rsidR="00DF3294" w:rsidRDefault="000A364C" w:rsidP="000A364C">
      <w:r>
        <w:t>The m</w:t>
      </w:r>
      <w:r w:rsidR="00DF3294">
        <w:t xml:space="preserve">easure of </w:t>
      </w:r>
      <w:r w:rsidR="00DD19B2">
        <w:t>l</w:t>
      </w:r>
      <w:r w:rsidR="00DF3294">
        <w:t xml:space="preserve">ow SES may need to be refined to better reflect a student’s family background. Noting that not all people living in low SES areas face disadvantage, and that people living in non-low SES areas may also face disadvantage. </w:t>
      </w:r>
    </w:p>
    <w:p w14:paraId="5538E73E" w14:textId="77777777" w:rsidR="00F706C5" w:rsidRDefault="00F706C5" w:rsidP="00F706C5"/>
    <w:p w14:paraId="37600014" w14:textId="668FBD1F" w:rsidR="003A185C" w:rsidRDefault="003A185C" w:rsidP="00B0246A">
      <w:pPr>
        <w:pStyle w:val="Heading2"/>
      </w:pPr>
      <w:r w:rsidRPr="003A185C">
        <w:lastRenderedPageBreak/>
        <w:t>Parity Targets</w:t>
      </w:r>
      <w:r>
        <w:t xml:space="preserve"> </w:t>
      </w:r>
    </w:p>
    <w:p w14:paraId="788F9102" w14:textId="04433685" w:rsidR="00C40B88" w:rsidRDefault="003A185C" w:rsidP="00C40B88">
      <w:pPr>
        <w:rPr>
          <w:rFonts w:eastAsiaTheme="majorEastAsia"/>
        </w:rPr>
      </w:pPr>
      <w:r w:rsidRPr="003A185C">
        <w:rPr>
          <w:rFonts w:eastAsiaTheme="majorEastAsia"/>
        </w:rPr>
        <w:t xml:space="preserve">A key issue is the tension between national and state/territory targets. </w:t>
      </w:r>
      <w:r w:rsidR="00BD26E9">
        <w:rPr>
          <w:rFonts w:eastAsiaTheme="majorEastAsia"/>
        </w:rPr>
        <w:t>M</w:t>
      </w:r>
      <w:r w:rsidRPr="003A185C">
        <w:rPr>
          <w:rFonts w:eastAsiaTheme="majorEastAsia"/>
        </w:rPr>
        <w:t xml:space="preserve">odelling in </w:t>
      </w:r>
      <w:r w:rsidR="00BD26E9">
        <w:rPr>
          <w:rFonts w:eastAsiaTheme="majorEastAsia"/>
        </w:rPr>
        <w:t>this report</w:t>
      </w:r>
      <w:r w:rsidRPr="003A185C">
        <w:rPr>
          <w:rFonts w:eastAsiaTheme="majorEastAsia"/>
        </w:rPr>
        <w:t xml:space="preserve"> demonstrates that Australian higher education is still very much comprised of </w:t>
      </w:r>
      <w:r w:rsidR="00BD26E9">
        <w:rPr>
          <w:rFonts w:eastAsiaTheme="majorEastAsia"/>
        </w:rPr>
        <w:t>‘</w:t>
      </w:r>
      <w:r w:rsidRPr="003A185C">
        <w:rPr>
          <w:rFonts w:eastAsiaTheme="majorEastAsia"/>
        </w:rPr>
        <w:t>state/territory markets</w:t>
      </w:r>
      <w:r w:rsidR="00BD26E9">
        <w:rPr>
          <w:rFonts w:eastAsiaTheme="majorEastAsia"/>
        </w:rPr>
        <w:t>’</w:t>
      </w:r>
      <w:r w:rsidRPr="003A185C">
        <w:rPr>
          <w:rFonts w:eastAsiaTheme="majorEastAsia"/>
        </w:rPr>
        <w:t xml:space="preserve"> although the position of the territories and Tasmania is less certain, as is the case of two equity groups, First Nations and regional/remote, who appear to have considerably higher interstate enrolment levels than the overall system. This issue requires further examination. </w:t>
      </w:r>
    </w:p>
    <w:p w14:paraId="474C5BF4" w14:textId="77777777" w:rsidR="003A185C" w:rsidRPr="003A185C" w:rsidRDefault="003A185C" w:rsidP="00B0246A">
      <w:pPr>
        <w:pStyle w:val="Heading2"/>
      </w:pPr>
      <w:r w:rsidRPr="003A185C">
        <w:t xml:space="preserve">Policy Options </w:t>
      </w:r>
    </w:p>
    <w:p w14:paraId="562FCB52" w14:textId="218F341B" w:rsidR="00FF013F" w:rsidRDefault="003A185C" w:rsidP="003A185C">
      <w:pPr>
        <w:rPr>
          <w:rFonts w:eastAsiaTheme="majorEastAsia"/>
        </w:rPr>
      </w:pPr>
      <w:r w:rsidRPr="003A185C">
        <w:rPr>
          <w:rFonts w:eastAsiaTheme="majorEastAsia"/>
        </w:rPr>
        <w:t xml:space="preserve">The evidence on policy options is a little clearer. Targets that mandate each institution achieve each equity group target are fraught given the existing differences in equity group participation and completion outcomes across institutions. </w:t>
      </w:r>
      <w:r w:rsidR="006C4897">
        <w:rPr>
          <w:rFonts w:eastAsiaTheme="majorEastAsia"/>
        </w:rPr>
        <w:t>T</w:t>
      </w:r>
      <w:r w:rsidRPr="003A185C">
        <w:rPr>
          <w:rFonts w:eastAsiaTheme="majorEastAsia"/>
        </w:rPr>
        <w:t xml:space="preserve">he </w:t>
      </w:r>
      <w:r w:rsidRPr="003A185C">
        <w:rPr>
          <w:rFonts w:eastAsiaTheme="majorEastAsia"/>
          <w:i/>
          <w:iCs/>
        </w:rPr>
        <w:t>Equal Effort</w:t>
      </w:r>
      <w:r w:rsidRPr="003A185C">
        <w:rPr>
          <w:rFonts w:eastAsiaTheme="majorEastAsia"/>
        </w:rPr>
        <w:t xml:space="preserve"> policy option addresses this issue</w:t>
      </w:r>
      <w:r w:rsidR="000D78B2">
        <w:rPr>
          <w:rFonts w:eastAsiaTheme="majorEastAsia"/>
        </w:rPr>
        <w:t xml:space="preserve"> </w:t>
      </w:r>
      <w:r w:rsidR="004A7D3B">
        <w:rPr>
          <w:rFonts w:eastAsiaTheme="majorEastAsia"/>
        </w:rPr>
        <w:t xml:space="preserve">- </w:t>
      </w:r>
      <w:r w:rsidR="004A7D3B" w:rsidRPr="003A185C">
        <w:rPr>
          <w:rFonts w:eastAsiaTheme="majorEastAsia"/>
        </w:rPr>
        <w:t>providing</w:t>
      </w:r>
      <w:r w:rsidRPr="003A185C">
        <w:rPr>
          <w:rFonts w:eastAsiaTheme="majorEastAsia"/>
        </w:rPr>
        <w:t xml:space="preserve"> institutions with targets that are proportional to their outcomes in 2021 representing changes flowing from both the increase in undergraduate participation and completion over the previous decade but also changes in policy.</w:t>
      </w:r>
    </w:p>
    <w:p w14:paraId="34BEE56B" w14:textId="4ABD9A7E" w:rsidR="00FF013F" w:rsidRPr="003A185C" w:rsidRDefault="00FF013F" w:rsidP="00B0246A">
      <w:pPr>
        <w:pStyle w:val="Heading2"/>
      </w:pPr>
      <w:r>
        <w:t xml:space="preserve">Targeting Participation and Completion </w:t>
      </w:r>
    </w:p>
    <w:p w14:paraId="4D71F13D" w14:textId="0DCEB499" w:rsidR="003A185C" w:rsidRPr="003A185C" w:rsidRDefault="00FF013F" w:rsidP="003A185C">
      <w:pPr>
        <w:rPr>
          <w:rFonts w:eastAsiaTheme="majorEastAsia"/>
        </w:rPr>
      </w:pPr>
      <w:r>
        <w:rPr>
          <w:rFonts w:eastAsiaTheme="majorEastAsia"/>
        </w:rPr>
        <w:t xml:space="preserve">While separate </w:t>
      </w:r>
      <w:r w:rsidR="006C4ADC">
        <w:rPr>
          <w:rFonts w:eastAsiaTheme="majorEastAsia"/>
        </w:rPr>
        <w:t xml:space="preserve">participation and completion </w:t>
      </w:r>
      <w:r>
        <w:rPr>
          <w:rFonts w:eastAsiaTheme="majorEastAsia"/>
        </w:rPr>
        <w:t xml:space="preserve">targets can be established </w:t>
      </w:r>
      <w:r w:rsidR="006C4ADC">
        <w:rPr>
          <w:rFonts w:eastAsiaTheme="majorEastAsia"/>
        </w:rPr>
        <w:t>at the institutional level,</w:t>
      </w:r>
      <w:r w:rsidR="006C4897" w:rsidDel="00FF013F">
        <w:rPr>
          <w:rFonts w:eastAsiaTheme="majorEastAsia"/>
        </w:rPr>
        <w:t xml:space="preserve"> </w:t>
      </w:r>
      <w:r w:rsidR="006E2CBA">
        <w:rPr>
          <w:rFonts w:eastAsiaTheme="majorEastAsia"/>
        </w:rPr>
        <w:t>the two are linked by completion performance, that is the ability of institutions to raise the retention and success of equity students</w:t>
      </w:r>
      <w:r w:rsidR="006C4897" w:rsidDel="00FF013F">
        <w:rPr>
          <w:rFonts w:eastAsiaTheme="majorEastAsia"/>
        </w:rPr>
        <w:t xml:space="preserve"> </w:t>
      </w:r>
      <w:r w:rsidR="00781600">
        <w:rPr>
          <w:rFonts w:eastAsiaTheme="majorEastAsia"/>
        </w:rPr>
        <w:t xml:space="preserve">in combination with a greater number of such students undertaking courses in their institutions. </w:t>
      </w:r>
      <w:r w:rsidR="00686260">
        <w:rPr>
          <w:rFonts w:eastAsiaTheme="majorEastAsia"/>
        </w:rPr>
        <w:t>The two targets are necessarily linked as completion requires retention of students before first year and therefore necessarily bolsters participation outcomes.</w:t>
      </w:r>
      <w:r w:rsidR="00781600">
        <w:rPr>
          <w:rFonts w:eastAsiaTheme="majorEastAsia"/>
        </w:rPr>
        <w:t xml:space="preserve"> </w:t>
      </w:r>
      <w:r w:rsidR="005F6A4B">
        <w:rPr>
          <w:rFonts w:eastAsiaTheme="majorEastAsia"/>
        </w:rPr>
        <w:t>The setting of targets</w:t>
      </w:r>
      <w:r w:rsidR="00922193">
        <w:rPr>
          <w:rFonts w:eastAsiaTheme="majorEastAsia"/>
        </w:rPr>
        <w:t xml:space="preserve"> needs to recognise this</w:t>
      </w:r>
      <w:r w:rsidR="00BE1413">
        <w:rPr>
          <w:rFonts w:eastAsiaTheme="majorEastAsia"/>
        </w:rPr>
        <w:t xml:space="preserve"> and</w:t>
      </w:r>
      <w:r w:rsidR="005F6A4B">
        <w:rPr>
          <w:rFonts w:eastAsiaTheme="majorEastAsia"/>
        </w:rPr>
        <w:t xml:space="preserve"> </w:t>
      </w:r>
      <w:r w:rsidR="00BE1413">
        <w:rPr>
          <w:rFonts w:eastAsiaTheme="majorEastAsia"/>
        </w:rPr>
        <w:t>incorporate</w:t>
      </w:r>
      <w:r w:rsidR="005F6A4B">
        <w:rPr>
          <w:rFonts w:eastAsiaTheme="majorEastAsia"/>
        </w:rPr>
        <w:t xml:space="preserve"> </w:t>
      </w:r>
      <w:r w:rsidR="00476572">
        <w:rPr>
          <w:rFonts w:eastAsiaTheme="majorEastAsia"/>
        </w:rPr>
        <w:t xml:space="preserve">associated targets that link outcomes in both domains. </w:t>
      </w:r>
    </w:p>
    <w:p w14:paraId="6783114B" w14:textId="0E1D97C9" w:rsidR="003A185C" w:rsidRPr="003A185C" w:rsidRDefault="006C1908" w:rsidP="00B0246A">
      <w:pPr>
        <w:pStyle w:val="Heading2"/>
      </w:pPr>
      <w:r>
        <w:t xml:space="preserve">Broader </w:t>
      </w:r>
      <w:r w:rsidR="0009045C">
        <w:t>Policy Responses</w:t>
      </w:r>
    </w:p>
    <w:p w14:paraId="53175AF1" w14:textId="4DF2FB51" w:rsidR="006B57B5" w:rsidRDefault="003A185C">
      <w:pPr>
        <w:rPr>
          <w:rFonts w:eastAsiaTheme="majorEastAsia"/>
        </w:rPr>
      </w:pPr>
      <w:r w:rsidRPr="003A185C">
        <w:rPr>
          <w:rFonts w:eastAsiaTheme="majorEastAsia"/>
        </w:rPr>
        <w:t>Although the modelling does not include the impact of changes in other policies on outcomes under parity targeting, it not difficult to appreciate that overall context of higher education policy can affect institutions’ capacity to meet parity targets. This includes</w:t>
      </w:r>
      <w:r w:rsidRPr="003A185C">
        <w:rPr>
          <w:rFonts w:eastAsiaTheme="majorEastAsia"/>
          <w:i/>
          <w:iCs/>
        </w:rPr>
        <w:t xml:space="preserve"> general</w:t>
      </w:r>
      <w:r w:rsidRPr="003A185C">
        <w:rPr>
          <w:rFonts w:eastAsiaTheme="majorEastAsia"/>
        </w:rPr>
        <w:t xml:space="preserve"> policy responses, such as: better secondary education outcomes for equity students; changes to student income support; improved careers advice; and more transparent admissions systems. In addition, </w:t>
      </w:r>
      <w:r w:rsidRPr="003A185C">
        <w:rPr>
          <w:rFonts w:eastAsiaTheme="majorEastAsia"/>
          <w:i/>
          <w:iCs/>
        </w:rPr>
        <w:t>specific</w:t>
      </w:r>
      <w:r w:rsidRPr="003A185C">
        <w:rPr>
          <w:rFonts w:eastAsiaTheme="majorEastAsia"/>
        </w:rPr>
        <w:t xml:space="preserve"> policy responses for each of the four equity groups will be critical. </w:t>
      </w:r>
      <w:bookmarkEnd w:id="15"/>
      <w:r w:rsidR="006B57B5">
        <w:rPr>
          <w:rFonts w:eastAsiaTheme="majorEastAsia"/>
        </w:rPr>
        <w:br w:type="page"/>
      </w:r>
    </w:p>
    <w:p w14:paraId="0F1344E5" w14:textId="7EF367D1" w:rsidR="00442A73" w:rsidRDefault="00442A73" w:rsidP="006B57B5">
      <w:pPr>
        <w:pStyle w:val="Heading1"/>
      </w:pPr>
      <w:bookmarkStart w:id="27" w:name="_Toc171511587"/>
      <w:r w:rsidRPr="00D03BF8">
        <w:lastRenderedPageBreak/>
        <w:t>References</w:t>
      </w:r>
      <w:bookmarkEnd w:id="27"/>
    </w:p>
    <w:p w14:paraId="2399CDDE" w14:textId="77777777" w:rsidR="00FD10CB" w:rsidRDefault="00FD10CB" w:rsidP="00907091">
      <w:pPr>
        <w:spacing w:line="288" w:lineRule="auto"/>
        <w:ind w:left="567" w:right="142" w:hanging="567"/>
        <w:rPr>
          <w:rFonts w:cs="Arial"/>
          <w:szCs w:val="22"/>
        </w:rPr>
      </w:pPr>
    </w:p>
    <w:p w14:paraId="56CD3DC2" w14:textId="77777777" w:rsidR="00A57092" w:rsidRDefault="005C5EBC" w:rsidP="00A57092">
      <w:pPr>
        <w:ind w:left="284" w:hanging="284"/>
      </w:pPr>
      <w:r>
        <w:t>ABS –</w:t>
      </w:r>
      <w:r w:rsidR="00C817D6">
        <w:t xml:space="preserve"> </w:t>
      </w:r>
      <w:r>
        <w:t xml:space="preserve">Australian Bureau of Statistics. (2012). </w:t>
      </w:r>
      <w:r>
        <w:rPr>
          <w:i/>
          <w:iCs/>
        </w:rPr>
        <w:t>Socio-Economic Indexes for Areas: Robustness, Diversity Within Larger Areas and the New Geography Standard</w:t>
      </w:r>
      <w:r>
        <w:t xml:space="preserve">. Research Paper, (March). Canberra: ABS.  available at: </w:t>
      </w:r>
      <w:hyperlink r:id="rId54" w:history="1">
        <w:r>
          <w:rPr>
            <w:rStyle w:val="Hyperlink"/>
            <w:rFonts w:eastAsiaTheme="majorEastAsia"/>
          </w:rPr>
          <w:t>http://www.abs.gov.au/AUSSTATS/abs@.nsf/Lookup/1351.0.55.038Main+Features1Mar%202012?OpenDocument</w:t>
        </w:r>
      </w:hyperlink>
      <w:r>
        <w:t xml:space="preserve"> </w:t>
      </w:r>
    </w:p>
    <w:p w14:paraId="2CFEC3E8" w14:textId="77777777" w:rsidR="00A57092" w:rsidRDefault="005C5EBC" w:rsidP="00A57092">
      <w:pPr>
        <w:ind w:left="284" w:hanging="284"/>
      </w:pPr>
      <w:r>
        <w:t xml:space="preserve">ABS. (2015). </w:t>
      </w:r>
      <w:r>
        <w:rPr>
          <w:i/>
          <w:iCs/>
        </w:rPr>
        <w:t>Socioeconomic Indexes for Areas</w:t>
      </w:r>
      <w:r>
        <w:t xml:space="preserve">. Canberra: ABS. available at: </w:t>
      </w:r>
      <w:hyperlink r:id="rId55" w:history="1">
        <w:r>
          <w:rPr>
            <w:rStyle w:val="Hyperlink"/>
            <w:rFonts w:eastAsiaTheme="majorEastAsia"/>
          </w:rPr>
          <w:t>http://www.abs.gov.au/websitedbs/censushome.nsf/home/seifa?opendocument&amp;navpos=260</w:t>
        </w:r>
      </w:hyperlink>
      <w:r>
        <w:t xml:space="preserve"> </w:t>
      </w:r>
    </w:p>
    <w:p w14:paraId="59CD960E" w14:textId="77777777" w:rsidR="00A57092" w:rsidRDefault="005C5EBC" w:rsidP="00A57092">
      <w:pPr>
        <w:ind w:left="284" w:hanging="284"/>
      </w:pPr>
      <w:r w:rsidRPr="0078052C">
        <w:t xml:space="preserve">ACIL Allen Consulting. (2017). </w:t>
      </w:r>
      <w:r w:rsidRPr="0078052C">
        <w:rPr>
          <w:i/>
          <w:iCs/>
        </w:rPr>
        <w:t>Evaluation of The Higher Education Participation and Partnerships Program</w:t>
      </w:r>
      <w:r w:rsidRPr="0078052C">
        <w:t>. Melbourne</w:t>
      </w:r>
      <w:r>
        <w:t>: ACIL Allen Consulting</w:t>
      </w:r>
      <w:r w:rsidRPr="0078052C">
        <w:t>.</w:t>
      </w:r>
      <w:r>
        <w:t xml:space="preserve"> </w:t>
      </w:r>
      <w:hyperlink r:id="rId56" w:history="1">
        <w:r w:rsidRPr="0031126D">
          <w:rPr>
            <w:rStyle w:val="Hyperlink"/>
            <w:rFonts w:eastAsiaTheme="majorEastAsia"/>
          </w:rPr>
          <w:t>https://acilallen.com.au/projects/government-funded-services/evaluation-of-the-heppp-higher-education-participation-and-partnership-program</w:t>
        </w:r>
      </w:hyperlink>
      <w:r>
        <w:t xml:space="preserve"> </w:t>
      </w:r>
    </w:p>
    <w:p w14:paraId="2F30400B" w14:textId="77777777" w:rsidR="00A57092" w:rsidRDefault="00B45390" w:rsidP="00A57092">
      <w:pPr>
        <w:ind w:left="284" w:hanging="284"/>
      </w:pPr>
      <w:r w:rsidRPr="00C44F7A">
        <w:t xml:space="preserve">Australian Government Department of Education (2023). </w:t>
      </w:r>
      <w:r w:rsidRPr="00C44F7A">
        <w:rPr>
          <w:i/>
          <w:iCs/>
        </w:rPr>
        <w:t xml:space="preserve">Selected Higher Education Statistics – 2021 Student data. </w:t>
      </w:r>
      <w:hyperlink r:id="rId57" w:history="1">
        <w:r w:rsidRPr="00C44F7A">
          <w:rPr>
            <w:rStyle w:val="Hyperlink"/>
          </w:rPr>
          <w:t>https://www.education.gov.au/higher-education-statistics/student-data/selected-higher-education-statistics-2021-student-data</w:t>
        </w:r>
      </w:hyperlink>
      <w:r w:rsidRPr="00C44F7A">
        <w:rPr>
          <w:i/>
          <w:iCs/>
        </w:rPr>
        <w:t xml:space="preserve"> </w:t>
      </w:r>
      <w:r w:rsidRPr="00C44F7A">
        <w:t xml:space="preserve">  </w:t>
      </w:r>
    </w:p>
    <w:p w14:paraId="5F08B1A6" w14:textId="77777777" w:rsidR="00A57092" w:rsidRDefault="00B45390" w:rsidP="00A57092">
      <w:pPr>
        <w:ind w:left="284" w:hanging="284"/>
      </w:pPr>
      <w:r w:rsidRPr="00C44F7A">
        <w:t xml:space="preserve">Australian Universities Accord. (2023). </w:t>
      </w:r>
      <w:r w:rsidRPr="00C44F7A">
        <w:rPr>
          <w:i/>
          <w:iCs/>
        </w:rPr>
        <w:t>Interim Report</w:t>
      </w:r>
      <w:r w:rsidRPr="00C44F7A">
        <w:t xml:space="preserve">. Canberra: Australian Universities Accord. </w:t>
      </w:r>
      <w:hyperlink r:id="rId58" w:history="1">
        <w:r w:rsidRPr="00C44F7A">
          <w:rPr>
            <w:rStyle w:val="Hyperlink"/>
          </w:rPr>
          <w:t>https://www.education.gov.au/australian-universities-accord/resources/accord-interim-report</w:t>
        </w:r>
      </w:hyperlink>
      <w:r>
        <w:t xml:space="preserve"> </w:t>
      </w:r>
    </w:p>
    <w:p w14:paraId="253B82F3" w14:textId="77777777" w:rsidR="00A57092" w:rsidRDefault="005C5EBC" w:rsidP="00A57092">
      <w:pPr>
        <w:ind w:left="284" w:hanging="284"/>
      </w:pPr>
      <w:r>
        <w:t xml:space="preserve">Bradley, D. (2008). </w:t>
      </w:r>
      <w:r>
        <w:rPr>
          <w:i/>
          <w:iCs/>
        </w:rPr>
        <w:t xml:space="preserve">Review of Higher Education: Final Report (The Bradley Review). </w:t>
      </w:r>
      <w:r>
        <w:t>Department of Education, Employment and Workplace Relations, Canberra: Australian Government Publishing Service.</w:t>
      </w:r>
    </w:p>
    <w:p w14:paraId="11EF78AF" w14:textId="77777777" w:rsidR="00A57092" w:rsidRDefault="005C5EBC" w:rsidP="00A57092">
      <w:pPr>
        <w:ind w:left="284" w:hanging="284"/>
      </w:pPr>
      <w:r>
        <w:t xml:space="preserve">DEET – Department of Employment, Education and Training.  (1990). </w:t>
      </w:r>
      <w:r>
        <w:rPr>
          <w:i/>
        </w:rPr>
        <w:t xml:space="preserve">A Fair Chance </w:t>
      </w:r>
      <w:proofErr w:type="gramStart"/>
      <w:r>
        <w:rPr>
          <w:i/>
        </w:rPr>
        <w:t>For</w:t>
      </w:r>
      <w:proofErr w:type="gramEnd"/>
      <w:r>
        <w:rPr>
          <w:i/>
        </w:rPr>
        <w:t xml:space="preserve"> All: National and Institutional Planning for Equity in Higher Education</w:t>
      </w:r>
      <w:r>
        <w:t xml:space="preserve">. Discussion Paper, Canberra: Australian Government Publishing Service. </w:t>
      </w:r>
    </w:p>
    <w:p w14:paraId="422EB40E" w14:textId="77777777" w:rsidR="00A57092" w:rsidRDefault="005C5EBC" w:rsidP="00A57092">
      <w:pPr>
        <w:ind w:left="284" w:hanging="284"/>
      </w:pPr>
      <w:r>
        <w:t xml:space="preserve">DEEWR – Department of Education, Employment and Workplace Relations). (2009). </w:t>
      </w:r>
      <w:r>
        <w:rPr>
          <w:i/>
          <w:iCs/>
        </w:rPr>
        <w:t>Transforming Australia’s Higher Education System</w:t>
      </w:r>
      <w:r>
        <w:t xml:space="preserve">. Canberra: Commonwealth of Australia. </w:t>
      </w:r>
    </w:p>
    <w:p w14:paraId="6C6379C4" w14:textId="77777777" w:rsidR="00A57092" w:rsidRDefault="005C5EBC" w:rsidP="00A57092">
      <w:pPr>
        <w:ind w:left="284" w:hanging="284"/>
      </w:pPr>
      <w:r>
        <w:t xml:space="preserve">DESE – Department of Education, Skills and Employment. (2020). </w:t>
      </w:r>
      <w:r>
        <w:rPr>
          <w:i/>
          <w:iCs/>
        </w:rPr>
        <w:t>Job-ready Graduates: Higher Education Reform Package 2020.</w:t>
      </w:r>
      <w:r>
        <w:t xml:space="preserve"> Canberra: DESE. </w:t>
      </w:r>
      <w:hyperlink r:id="rId59" w:history="1">
        <w:r w:rsidRPr="0031126D">
          <w:rPr>
            <w:rStyle w:val="Hyperlink"/>
            <w:rFonts w:eastAsiaTheme="majorEastAsia"/>
          </w:rPr>
          <w:t>https://www.education.gov.au/job-ready/resources/job-ready-graduated-discussion-paper</w:t>
        </w:r>
      </w:hyperlink>
      <w:r>
        <w:t xml:space="preserve"> </w:t>
      </w:r>
    </w:p>
    <w:p w14:paraId="684F0F69" w14:textId="77777777" w:rsidR="00A57092" w:rsidRDefault="005C5EBC" w:rsidP="00A57092">
      <w:pPr>
        <w:ind w:left="284" w:hanging="284"/>
      </w:pPr>
      <w:r>
        <w:t xml:space="preserve">Harvey, A., </w:t>
      </w:r>
      <w:proofErr w:type="spellStart"/>
      <w:r>
        <w:t>Burnheim</w:t>
      </w:r>
      <w:proofErr w:type="spellEnd"/>
      <w:r>
        <w:t xml:space="preserve">, C. and Brett, M. (2016). Towards a fairer chance for all: Revising the Australian student equity framework. In A. Harvey, C. </w:t>
      </w:r>
      <w:proofErr w:type="spellStart"/>
      <w:r>
        <w:t>Burnheim</w:t>
      </w:r>
      <w:proofErr w:type="spellEnd"/>
      <w:r>
        <w:t xml:space="preserve"> and M. Brett (eds.). </w:t>
      </w:r>
      <w:r>
        <w:rPr>
          <w:i/>
          <w:iCs/>
        </w:rPr>
        <w:t>Student Equity in Australian Higher Education: Twenty-five years of A Fair Chance for All</w:t>
      </w:r>
      <w:r>
        <w:t>. Singapore: Springer. pp. 3–20.</w:t>
      </w:r>
    </w:p>
    <w:p w14:paraId="52B8AF0E" w14:textId="77777777" w:rsidR="00A57092" w:rsidRDefault="005C5EBC" w:rsidP="00A57092">
      <w:pPr>
        <w:ind w:left="284" w:hanging="284"/>
      </w:pPr>
      <w:r>
        <w:t xml:space="preserve">Koshy, P. (2016). Equity policy in Australian higher education: Past, present and prospective. In M. Hill, A. Hudson, S. </w:t>
      </w:r>
      <w:proofErr w:type="spellStart"/>
      <w:r>
        <w:t>Mckendry</w:t>
      </w:r>
      <w:proofErr w:type="spellEnd"/>
      <w:r>
        <w:t xml:space="preserve">, N. Raven, D. Saunders, J. </w:t>
      </w:r>
      <w:proofErr w:type="spellStart"/>
      <w:r>
        <w:t>Storan</w:t>
      </w:r>
      <w:proofErr w:type="spellEnd"/>
      <w:r>
        <w:t xml:space="preserve">, and T. Ward (eds.), </w:t>
      </w:r>
      <w:r>
        <w:rPr>
          <w:i/>
          <w:iCs/>
        </w:rPr>
        <w:t>Closing the Gap: Bridges for Access and Lifelong Learning</w:t>
      </w:r>
      <w:r>
        <w:t xml:space="preserve">. London: Forum for Access and Continuing Education. pp. 277–302. </w:t>
      </w:r>
    </w:p>
    <w:p w14:paraId="01D47A93" w14:textId="77777777" w:rsidR="00A57092" w:rsidRDefault="005C5EBC" w:rsidP="00A57092">
      <w:pPr>
        <w:ind w:left="284" w:hanging="284"/>
      </w:pPr>
      <w:r>
        <w:t xml:space="preserve">Koshy, P. (2018). </w:t>
      </w:r>
      <w:r>
        <w:rPr>
          <w:i/>
          <w:iCs/>
        </w:rPr>
        <w:t>Equity Student Participation in Australian Higher Education: 2012 – 2017</w:t>
      </w:r>
      <w:r>
        <w:t>. National Centre for Student Equity in Higher Education (NCSEHE), Perth: Curtin University.</w:t>
      </w:r>
    </w:p>
    <w:p w14:paraId="0D8A5EB2" w14:textId="77777777" w:rsidR="00A57092" w:rsidRDefault="005C5EBC" w:rsidP="00A57092">
      <w:pPr>
        <w:ind w:left="284" w:hanging="284"/>
      </w:pPr>
      <w:r>
        <w:t xml:space="preserve">Koshy, P. (2020). </w:t>
      </w:r>
      <w:r>
        <w:rPr>
          <w:i/>
          <w:iCs/>
        </w:rPr>
        <w:t>Equity Student Participation in Australian Higher Education: 2014 – 2019</w:t>
      </w:r>
      <w:r>
        <w:t xml:space="preserve">. National Centre for Student Equity in Higher Education (NCSEHE), Perth: Curtin University.   </w:t>
      </w:r>
    </w:p>
    <w:p w14:paraId="41C70CF9" w14:textId="77777777" w:rsidR="00A57092" w:rsidRDefault="005C5EBC" w:rsidP="00A57092">
      <w:pPr>
        <w:ind w:left="284" w:hanging="284"/>
      </w:pPr>
      <w:r>
        <w:t xml:space="preserve">Martin, L. M. (1994). </w:t>
      </w:r>
      <w:r>
        <w:rPr>
          <w:i/>
        </w:rPr>
        <w:t>Equity and General Performance Indicators in Higher Education</w:t>
      </w:r>
      <w:r>
        <w:t xml:space="preserve">. Volumes 1-2. Canberra: Australian Government Publishing Service. </w:t>
      </w:r>
    </w:p>
    <w:p w14:paraId="66FE0E0E" w14:textId="069C56A0" w:rsidR="00A57092" w:rsidRDefault="005C5EBC" w:rsidP="00A57092">
      <w:pPr>
        <w:ind w:left="284" w:hanging="284"/>
      </w:pPr>
      <w:r>
        <w:t xml:space="preserve">NCSEHE – National Centre for Student Equity in Higher Education. (2013). </w:t>
      </w:r>
      <w:r>
        <w:rPr>
          <w:i/>
        </w:rPr>
        <w:t>Access and Participation in Higher Education: Outreach, Access and Support</w:t>
      </w:r>
      <w:r>
        <w:t xml:space="preserve">. </w:t>
      </w:r>
      <w:r>
        <w:rPr>
          <w:rFonts w:cs="Arial"/>
        </w:rPr>
        <w:t xml:space="preserve">National Centre for Student Equity in Higher Education (NCSEHE), Curtin University: Perth, available at: </w:t>
      </w:r>
      <w:hyperlink r:id="rId60" w:history="1">
        <w:r w:rsidR="00E458F0" w:rsidRPr="008C1B35">
          <w:rPr>
            <w:rStyle w:val="Hyperlink"/>
          </w:rPr>
          <w:t>https://www.acses.edu.au/app/uploads/2013/11/NCSEHE-Access-and-Participation-in-Higher-Education-2013.pdf</w:t>
        </w:r>
      </w:hyperlink>
      <w:r w:rsidR="00E458F0">
        <w:t xml:space="preserve"> </w:t>
      </w:r>
    </w:p>
    <w:p w14:paraId="4FF83D86" w14:textId="0DB94668" w:rsidR="00A57092" w:rsidRPr="00E458F0" w:rsidRDefault="005C5EBC" w:rsidP="00A57092">
      <w:pPr>
        <w:ind w:left="284" w:hanging="284"/>
        <w:rPr>
          <w:rStyle w:val="Hyperlink"/>
        </w:rPr>
      </w:pPr>
      <w:r>
        <w:t xml:space="preserve">NCSEHE. (2014). </w:t>
      </w:r>
      <w:r>
        <w:rPr>
          <w:i/>
        </w:rPr>
        <w:t xml:space="preserve">Partnerships in Higher Education. </w:t>
      </w:r>
      <w:r>
        <w:rPr>
          <w:rFonts w:cs="Arial"/>
        </w:rPr>
        <w:t xml:space="preserve">National Centre for Student Equity in Higher Education (NCSEHE), Curtin University: Perth, available at: </w:t>
      </w:r>
      <w:hyperlink r:id="rId61" w:history="1">
        <w:r w:rsidR="00E458F0" w:rsidRPr="00E458F0">
          <w:rPr>
            <w:rStyle w:val="Hyperlink"/>
          </w:rPr>
          <w:t>https://www.acses.edu.au/app/uploads/2014/12/NCSEHE-Partnership-Publication-Web.pdf</w:t>
        </w:r>
      </w:hyperlink>
    </w:p>
    <w:p w14:paraId="496B85F8" w14:textId="61DFBF5A" w:rsidR="00D22F07" w:rsidRDefault="005C5EBC" w:rsidP="00D22F07">
      <w:pPr>
        <w:ind w:left="284" w:hanging="284"/>
      </w:pPr>
      <w:r>
        <w:t>NCSEHE (2023). Equity Data Website</w:t>
      </w:r>
      <w:r w:rsidR="002D13E9">
        <w:t xml:space="preserve"> (now ACSES Interactive Tool). </w:t>
      </w:r>
      <w:hyperlink r:id="rId62" w:history="1">
        <w:r w:rsidR="002D13E9" w:rsidRPr="008C1B35">
          <w:rPr>
            <w:rStyle w:val="Hyperlink"/>
          </w:rPr>
          <w:t>https://www.acses.edu.au/data/interactive-tool/</w:t>
        </w:r>
      </w:hyperlink>
      <w:r w:rsidR="002D13E9">
        <w:t xml:space="preserve"> </w:t>
      </w:r>
      <w:r w:rsidR="00D22F07" w:rsidRPr="00D22F07">
        <w:t xml:space="preserve"> </w:t>
      </w:r>
    </w:p>
    <w:p w14:paraId="41D5452C" w14:textId="77777777" w:rsidR="00D22F07" w:rsidRDefault="005C5EBC" w:rsidP="00D22F07">
      <w:pPr>
        <w:ind w:left="284" w:hanging="284"/>
      </w:pPr>
      <w:r>
        <w:rPr>
          <w:iCs/>
        </w:rPr>
        <w:t>Phillimore, J. &amp;</w:t>
      </w:r>
      <w:r w:rsidR="00D136CB">
        <w:rPr>
          <w:iCs/>
        </w:rPr>
        <w:t xml:space="preserve"> </w:t>
      </w:r>
      <w:r>
        <w:rPr>
          <w:iCs/>
        </w:rPr>
        <w:t xml:space="preserve">Koshy, P. (2010) </w:t>
      </w:r>
      <w:r>
        <w:rPr>
          <w:i/>
          <w:iCs/>
        </w:rPr>
        <w:t>Implications of the Proposed Low SES Participation Target for Australian University Enrolments</w:t>
      </w:r>
      <w:r>
        <w:rPr>
          <w:iCs/>
        </w:rPr>
        <w:t>, Research Report prepared for the Australian Technology Network of Universities, available at:</w:t>
      </w:r>
      <w:r w:rsidR="00D22F07">
        <w:t xml:space="preserve"> </w:t>
      </w:r>
      <w:hyperlink r:id="rId63" w:history="1">
        <w:r w:rsidR="00D22F07" w:rsidRPr="00D04B07">
          <w:rPr>
            <w:rStyle w:val="Hyperlink"/>
            <w:iCs/>
          </w:rPr>
          <w:t>https://www.researchgate.net/publication/312595725_Implications_of_the_Proposed_Low_SES_Participation_Target_for_Australian_University_Enrolments</w:t>
        </w:r>
      </w:hyperlink>
      <w:r>
        <w:rPr>
          <w:iCs/>
        </w:rPr>
        <w:t xml:space="preserve"> </w:t>
      </w:r>
    </w:p>
    <w:p w14:paraId="7BCF61FF" w14:textId="77777777" w:rsidR="00D22F07" w:rsidRDefault="005C5EBC" w:rsidP="00D22F07">
      <w:pPr>
        <w:ind w:left="284" w:hanging="284"/>
      </w:pPr>
      <w:r>
        <w:t xml:space="preserve">Productivity Commission. (2019). </w:t>
      </w:r>
      <w:r>
        <w:rPr>
          <w:i/>
          <w:iCs/>
        </w:rPr>
        <w:t xml:space="preserve">The Demand Driven University System: A mixed report card. </w:t>
      </w:r>
      <w:r>
        <w:t xml:space="preserve">Commission Research Paper. Canberra: Productivity Commission. </w:t>
      </w:r>
      <w:hyperlink r:id="rId64" w:history="1">
        <w:r w:rsidRPr="0031126D">
          <w:rPr>
            <w:rStyle w:val="Hyperlink"/>
            <w:rFonts w:eastAsiaTheme="majorEastAsia"/>
          </w:rPr>
          <w:t>https://www.pc.gov.au/research/completed/university-report-card</w:t>
        </w:r>
      </w:hyperlink>
      <w:r>
        <w:t xml:space="preserve"> </w:t>
      </w:r>
    </w:p>
    <w:p w14:paraId="17DC0A59" w14:textId="77777777" w:rsidR="00D22F07" w:rsidRDefault="005C5EBC" w:rsidP="00D22F07">
      <w:pPr>
        <w:ind w:left="284" w:hanging="284"/>
      </w:pPr>
      <w:r w:rsidRPr="00DC1314">
        <w:t xml:space="preserve">Robinson, M., Tomaszewski, W., Kubler, M., Johnstone, M., Clague, D., Zajac, T., Povey, J., </w:t>
      </w:r>
      <w:r>
        <w:t>&amp;</w:t>
      </w:r>
      <w:r w:rsidRPr="00DC1314">
        <w:t xml:space="preserve"> Salom, C. (2021).</w:t>
      </w:r>
      <w:r w:rsidRPr="00DC1314">
        <w:rPr>
          <w:i/>
          <w:iCs/>
        </w:rPr>
        <w:t xml:space="preserve"> The Student Equity in Higher Education Evaluation Framework</w:t>
      </w:r>
      <w:r>
        <w:t>.</w:t>
      </w:r>
      <w:r w:rsidRPr="00DC1314">
        <w:t xml:space="preserve"> Final Report. </w:t>
      </w:r>
      <w:r>
        <w:t xml:space="preserve">Brisbane: </w:t>
      </w:r>
      <w:r w:rsidRPr="00DC1314">
        <w:t xml:space="preserve">Institute for Social Science Research (ISSR), The University of Queensland. </w:t>
      </w:r>
      <w:hyperlink r:id="rId65" w:history="1">
        <w:r w:rsidRPr="0031126D">
          <w:rPr>
            <w:rStyle w:val="Hyperlink"/>
            <w:rFonts w:eastAsiaTheme="majorEastAsia"/>
          </w:rPr>
          <w:t>https://www.education.gov.au/heppp/resources/student-equity-higher-education-evaluation-framework-seheef-final-report</w:t>
        </w:r>
      </w:hyperlink>
      <w:r>
        <w:t xml:space="preserve"> </w:t>
      </w:r>
    </w:p>
    <w:p w14:paraId="188EE234" w14:textId="0DE74EE9" w:rsidR="00D22F07" w:rsidRDefault="00C02E23" w:rsidP="00D22F07">
      <w:pPr>
        <w:ind w:left="284" w:hanging="284"/>
      </w:pPr>
      <w:r>
        <w:t>Tomaszewski, W., Kubler, M., Perales, F., Clague, D., Xiang, N., Johnstone, M</w:t>
      </w:r>
      <w:r w:rsidR="00F65928">
        <w:t xml:space="preserve">. (2020). </w:t>
      </w:r>
      <w:r w:rsidR="00F65928" w:rsidRPr="0094035C">
        <w:rPr>
          <w:i/>
          <w:iCs/>
        </w:rPr>
        <w:t xml:space="preserve">Investigating </w:t>
      </w:r>
      <w:r w:rsidR="001E1539" w:rsidRPr="0094035C">
        <w:rPr>
          <w:i/>
          <w:iCs/>
        </w:rPr>
        <w:t>the effects of cumulative factors of disadvantage</w:t>
      </w:r>
      <w:r w:rsidR="002F2870" w:rsidRPr="0094035C">
        <w:rPr>
          <w:i/>
          <w:iCs/>
        </w:rPr>
        <w:t>.</w:t>
      </w:r>
      <w:r w:rsidR="002F2870">
        <w:t xml:space="preserve"> </w:t>
      </w:r>
      <w:r w:rsidR="002F2870" w:rsidRPr="00DC1314">
        <w:t xml:space="preserve">Final Report. </w:t>
      </w:r>
      <w:r w:rsidR="002F2870">
        <w:t xml:space="preserve">Brisbane: </w:t>
      </w:r>
      <w:r w:rsidR="002F2870" w:rsidRPr="00DC1314">
        <w:t>Institute for Social Science Research (ISSR), The University of Queensland.</w:t>
      </w:r>
    </w:p>
    <w:p w14:paraId="523A3C98" w14:textId="3843B54B" w:rsidR="005C5EBC" w:rsidRPr="00B92293" w:rsidRDefault="005C5EBC" w:rsidP="00D22F07">
      <w:pPr>
        <w:ind w:left="284" w:hanging="284"/>
      </w:pPr>
      <w:r>
        <w:t xml:space="preserve">Wellings, P., Black, R., Craven, G., Freshwater, D., &amp; Harding, S. (2019)) </w:t>
      </w:r>
      <w:r>
        <w:rPr>
          <w:i/>
          <w:iCs/>
        </w:rPr>
        <w:t>Performance-Based Funding for the Commonwealth Grant Scheme</w:t>
      </w:r>
      <w:r>
        <w:t xml:space="preserve">. Canberra: Commonwealth of Australia. </w:t>
      </w:r>
      <w:hyperlink r:id="rId66" w:history="1">
        <w:r w:rsidRPr="0031126D">
          <w:rPr>
            <w:rStyle w:val="Hyperlink"/>
            <w:rFonts w:eastAsiaTheme="majorEastAsia"/>
          </w:rPr>
          <w:t>https://www.education.gov.au/higher-education-reviews-and-consultations/resources/final-report-performance-based-funding-commonwealth-grant-scheme</w:t>
        </w:r>
      </w:hyperlink>
      <w:r>
        <w:t xml:space="preserve"> </w:t>
      </w:r>
    </w:p>
    <w:p w14:paraId="75DBA581" w14:textId="0A1CCFA7" w:rsidR="00654C5C" w:rsidRDefault="00654C5C">
      <w:r>
        <w:br w:type="page"/>
      </w:r>
    </w:p>
    <w:p w14:paraId="1EDA7734" w14:textId="7DA032EE" w:rsidR="00FF59D2" w:rsidRDefault="00FF59D2" w:rsidP="00A160A2">
      <w:pPr>
        <w:pStyle w:val="Heading1"/>
      </w:pPr>
      <w:bookmarkStart w:id="28" w:name="_Toc171511588"/>
      <w:r>
        <w:lastRenderedPageBreak/>
        <w:t>Appendix A: Equity Group Participation Rates, Table A Providers by State and Territory</w:t>
      </w:r>
      <w:bookmarkEnd w:id="28"/>
    </w:p>
    <w:p w14:paraId="3E1BB7CB" w14:textId="77777777" w:rsidR="00FF59D2" w:rsidRPr="00ED7646" w:rsidRDefault="00FF59D2" w:rsidP="00B0246A">
      <w:pPr>
        <w:pStyle w:val="Heading2"/>
      </w:pPr>
      <w:r>
        <w:t xml:space="preserve">Participation </w:t>
      </w:r>
    </w:p>
    <w:p w14:paraId="4866BF89" w14:textId="77777777" w:rsidR="00FF59D2" w:rsidRDefault="00FF59D2" w:rsidP="00FF59D2">
      <w:pPr>
        <w:spacing w:line="240" w:lineRule="auto"/>
        <w:rPr>
          <w:rFonts w:cstheme="minorHAnsi"/>
          <w:color w:val="000000"/>
          <w:sz w:val="18"/>
          <w:szCs w:val="18"/>
          <w:lang w:eastAsia="en-AU"/>
        </w:rPr>
      </w:pPr>
      <w:r>
        <w:rPr>
          <w:rFonts w:cstheme="minorHAnsi"/>
          <w:b/>
          <w:bCs/>
          <w:color w:val="000000"/>
          <w:sz w:val="18"/>
          <w:szCs w:val="18"/>
          <w:lang w:eastAsia="en-AU"/>
        </w:rPr>
        <w:br/>
      </w: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A1:  </w:t>
      </w:r>
      <w:r>
        <w:rPr>
          <w:rFonts w:cstheme="minorHAnsi"/>
          <w:color w:val="000000"/>
          <w:sz w:val="18"/>
          <w:szCs w:val="18"/>
          <w:lang w:eastAsia="en-AU"/>
        </w:rPr>
        <w:t xml:space="preserve">New South Wales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152134BC" w14:textId="77777777" w:rsidTr="00160B8E">
        <w:trPr>
          <w:trHeight w:val="315"/>
        </w:trPr>
        <w:tc>
          <w:tcPr>
            <w:tcW w:w="2972" w:type="dxa"/>
            <w:shd w:val="clear" w:color="auto" w:fill="auto"/>
            <w:hideMark/>
          </w:tcPr>
          <w:p w14:paraId="28CECDFA"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20C0B62E"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1C19CBB2"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24A81BFF"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6046BF2E"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0653068F" w14:textId="77777777" w:rsidTr="00160B8E">
        <w:trPr>
          <w:trHeight w:val="315"/>
        </w:trPr>
        <w:tc>
          <w:tcPr>
            <w:tcW w:w="2972" w:type="dxa"/>
            <w:shd w:val="clear" w:color="auto" w:fill="EFE2E7" w:themeFill="text1" w:themeFillTint="1A"/>
            <w:vAlign w:val="center"/>
          </w:tcPr>
          <w:p w14:paraId="35F0CECA" w14:textId="77777777" w:rsidR="00FF59D2" w:rsidRPr="00B918F4" w:rsidRDefault="00FF59D2" w:rsidP="00164085">
            <w:pPr>
              <w:spacing w:after="0" w:line="240" w:lineRule="auto"/>
              <w:rPr>
                <w:b/>
                <w:bCs/>
                <w:sz w:val="18"/>
                <w:szCs w:val="18"/>
              </w:rPr>
            </w:pPr>
            <w:r w:rsidRPr="00B918F4">
              <w:rPr>
                <w:b/>
                <w:bCs/>
                <w:sz w:val="18"/>
                <w:szCs w:val="18"/>
              </w:rPr>
              <w:t xml:space="preserve">NSW </w:t>
            </w:r>
            <w:r>
              <w:rPr>
                <w:b/>
                <w:bCs/>
                <w:sz w:val="18"/>
                <w:szCs w:val="18"/>
              </w:rPr>
              <w:t xml:space="preserve">Equity </w:t>
            </w:r>
            <w:r w:rsidRPr="00B918F4">
              <w:rPr>
                <w:b/>
                <w:bCs/>
                <w:sz w:val="18"/>
                <w:szCs w:val="18"/>
              </w:rPr>
              <w:t>Reference Value</w:t>
            </w:r>
          </w:p>
        </w:tc>
        <w:tc>
          <w:tcPr>
            <w:tcW w:w="1513" w:type="dxa"/>
            <w:shd w:val="clear" w:color="auto" w:fill="EFE2E7" w:themeFill="text1" w:themeFillTint="1A"/>
            <w:vAlign w:val="center"/>
          </w:tcPr>
          <w:p w14:paraId="7239E196" w14:textId="77777777" w:rsidR="00FF59D2" w:rsidRPr="00B918F4" w:rsidRDefault="00FF59D2" w:rsidP="00164085">
            <w:pPr>
              <w:spacing w:after="0" w:line="240" w:lineRule="auto"/>
              <w:ind w:right="411"/>
              <w:jc w:val="right"/>
              <w:rPr>
                <w:b/>
                <w:bCs/>
                <w:sz w:val="18"/>
                <w:szCs w:val="18"/>
              </w:rPr>
            </w:pPr>
            <w:r w:rsidRPr="00B918F4">
              <w:rPr>
                <w:rFonts w:cs="Arial"/>
                <w:b/>
                <w:bCs/>
                <w:color w:val="auto"/>
                <w:sz w:val="18"/>
                <w:szCs w:val="18"/>
                <w:lang w:eastAsia="en-AU"/>
              </w:rPr>
              <w:t>23.0</w:t>
            </w:r>
          </w:p>
        </w:tc>
        <w:tc>
          <w:tcPr>
            <w:tcW w:w="1513" w:type="dxa"/>
            <w:shd w:val="clear" w:color="auto" w:fill="EFE2E7" w:themeFill="text1" w:themeFillTint="1A"/>
            <w:vAlign w:val="center"/>
          </w:tcPr>
          <w:p w14:paraId="31903F43" w14:textId="77777777" w:rsidR="00FF59D2" w:rsidRPr="00B918F4" w:rsidRDefault="00FF59D2" w:rsidP="00164085">
            <w:pPr>
              <w:spacing w:after="0" w:line="240" w:lineRule="auto"/>
              <w:ind w:right="411"/>
              <w:jc w:val="right"/>
              <w:rPr>
                <w:b/>
                <w:bCs/>
                <w:sz w:val="18"/>
                <w:szCs w:val="18"/>
              </w:rPr>
            </w:pPr>
            <w:r w:rsidRPr="00B918F4">
              <w:rPr>
                <w:b/>
                <w:bCs/>
                <w:sz w:val="18"/>
                <w:szCs w:val="18"/>
              </w:rPr>
              <w:t>23.1</w:t>
            </w:r>
          </w:p>
        </w:tc>
        <w:tc>
          <w:tcPr>
            <w:tcW w:w="1513" w:type="dxa"/>
            <w:shd w:val="clear" w:color="auto" w:fill="EFE2E7" w:themeFill="text1" w:themeFillTint="1A"/>
            <w:vAlign w:val="center"/>
          </w:tcPr>
          <w:p w14:paraId="05D7CC47" w14:textId="77777777" w:rsidR="00FF59D2" w:rsidRPr="00B918F4" w:rsidRDefault="00FF59D2" w:rsidP="00164085">
            <w:pPr>
              <w:spacing w:after="0" w:line="240" w:lineRule="auto"/>
              <w:ind w:right="411"/>
              <w:jc w:val="right"/>
              <w:rPr>
                <w:b/>
                <w:bCs/>
                <w:sz w:val="18"/>
                <w:szCs w:val="18"/>
              </w:rPr>
            </w:pPr>
            <w:r w:rsidRPr="00B918F4">
              <w:rPr>
                <w:b/>
                <w:bCs/>
                <w:sz w:val="18"/>
                <w:szCs w:val="18"/>
              </w:rPr>
              <w:t>3.0</w:t>
            </w:r>
          </w:p>
        </w:tc>
        <w:tc>
          <w:tcPr>
            <w:tcW w:w="1513" w:type="dxa"/>
            <w:shd w:val="clear" w:color="auto" w:fill="EFE2E7" w:themeFill="text1" w:themeFillTint="1A"/>
            <w:vAlign w:val="center"/>
          </w:tcPr>
          <w:p w14:paraId="42C47897" w14:textId="77777777" w:rsidR="00FF59D2" w:rsidRPr="00B918F4" w:rsidRDefault="00FF59D2" w:rsidP="00164085">
            <w:pPr>
              <w:spacing w:after="0" w:line="240" w:lineRule="auto"/>
              <w:ind w:right="411"/>
              <w:jc w:val="right"/>
              <w:rPr>
                <w:b/>
                <w:bCs/>
                <w:sz w:val="18"/>
                <w:szCs w:val="18"/>
              </w:rPr>
            </w:pPr>
            <w:r w:rsidRPr="00B918F4">
              <w:rPr>
                <w:b/>
                <w:bCs/>
                <w:sz w:val="18"/>
                <w:szCs w:val="18"/>
              </w:rPr>
              <w:t>8.4</w:t>
            </w:r>
          </w:p>
        </w:tc>
      </w:tr>
      <w:tr w:rsidR="00FF59D2" w:rsidRPr="005C5A70" w14:paraId="7478E29A" w14:textId="77777777" w:rsidTr="00164085">
        <w:trPr>
          <w:trHeight w:val="315"/>
        </w:trPr>
        <w:tc>
          <w:tcPr>
            <w:tcW w:w="2972" w:type="dxa"/>
            <w:shd w:val="clear" w:color="000000" w:fill="FFFFFF"/>
            <w:vAlign w:val="center"/>
          </w:tcPr>
          <w:p w14:paraId="3A2F5D4A"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Charles Sturt University</w:t>
            </w:r>
          </w:p>
        </w:tc>
        <w:tc>
          <w:tcPr>
            <w:tcW w:w="1513" w:type="dxa"/>
            <w:shd w:val="clear" w:color="000000" w:fill="FFFFFF"/>
            <w:vAlign w:val="center"/>
          </w:tcPr>
          <w:p w14:paraId="461AA258" w14:textId="2B187A4E" w:rsidR="00FF59D2" w:rsidRPr="003F1994" w:rsidRDefault="00FF59D2" w:rsidP="00164085">
            <w:pPr>
              <w:spacing w:after="0" w:line="240" w:lineRule="auto"/>
              <w:ind w:right="411"/>
              <w:jc w:val="right"/>
              <w:rPr>
                <w:rFonts w:cs="Arial"/>
                <w:color w:val="000000"/>
                <w:sz w:val="18"/>
                <w:szCs w:val="18"/>
                <w:lang w:eastAsia="en-AU"/>
              </w:rPr>
            </w:pPr>
            <w:r>
              <w:rPr>
                <w:sz w:val="18"/>
                <w:szCs w:val="18"/>
              </w:rPr>
              <w:t xml:space="preserve">24.1 </w:t>
            </w:r>
          </w:p>
        </w:tc>
        <w:tc>
          <w:tcPr>
            <w:tcW w:w="1513" w:type="dxa"/>
            <w:shd w:val="clear" w:color="000000" w:fill="FFFFFF"/>
            <w:vAlign w:val="center"/>
          </w:tcPr>
          <w:p w14:paraId="06D2E83B"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52.3</w:t>
            </w:r>
          </w:p>
        </w:tc>
        <w:tc>
          <w:tcPr>
            <w:tcW w:w="1513" w:type="dxa"/>
            <w:shd w:val="clear" w:color="000000" w:fill="FFFFFF"/>
            <w:vAlign w:val="center"/>
          </w:tcPr>
          <w:p w14:paraId="6423E63D"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4.2</w:t>
            </w:r>
          </w:p>
        </w:tc>
        <w:tc>
          <w:tcPr>
            <w:tcW w:w="1513" w:type="dxa"/>
            <w:shd w:val="clear" w:color="000000" w:fill="FFFFFF"/>
            <w:vAlign w:val="center"/>
          </w:tcPr>
          <w:p w14:paraId="5044A4F3"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8.1</w:t>
            </w:r>
          </w:p>
        </w:tc>
      </w:tr>
      <w:tr w:rsidR="00FF59D2" w:rsidRPr="005C5A70" w14:paraId="47694789" w14:textId="77777777" w:rsidTr="00160B8E">
        <w:trPr>
          <w:trHeight w:val="315"/>
        </w:trPr>
        <w:tc>
          <w:tcPr>
            <w:tcW w:w="2972" w:type="dxa"/>
            <w:shd w:val="clear" w:color="auto" w:fill="auto"/>
            <w:vAlign w:val="center"/>
          </w:tcPr>
          <w:p w14:paraId="5C9A3677"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Macquarie University</w:t>
            </w:r>
          </w:p>
        </w:tc>
        <w:tc>
          <w:tcPr>
            <w:tcW w:w="1513" w:type="dxa"/>
            <w:shd w:val="clear" w:color="auto" w:fill="auto"/>
            <w:vAlign w:val="center"/>
          </w:tcPr>
          <w:p w14:paraId="23284B46" w14:textId="77777777" w:rsidR="00FF59D2" w:rsidRPr="003F1994" w:rsidRDefault="00FF59D2" w:rsidP="00164085">
            <w:pPr>
              <w:spacing w:after="0" w:line="240" w:lineRule="auto"/>
              <w:ind w:right="411"/>
              <w:jc w:val="right"/>
              <w:rPr>
                <w:rFonts w:cs="Arial"/>
                <w:color w:val="000000"/>
                <w:sz w:val="18"/>
                <w:szCs w:val="18"/>
                <w:lang w:eastAsia="en-AU"/>
              </w:rPr>
            </w:pPr>
            <w:r>
              <w:rPr>
                <w:sz w:val="18"/>
                <w:szCs w:val="18"/>
              </w:rPr>
              <w:t xml:space="preserve">9.7 </w:t>
            </w:r>
          </w:p>
        </w:tc>
        <w:tc>
          <w:tcPr>
            <w:tcW w:w="1513" w:type="dxa"/>
            <w:shd w:val="clear" w:color="auto" w:fill="auto"/>
            <w:vAlign w:val="center"/>
          </w:tcPr>
          <w:p w14:paraId="5BDC8050"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4.3</w:t>
            </w:r>
          </w:p>
        </w:tc>
        <w:tc>
          <w:tcPr>
            <w:tcW w:w="1513" w:type="dxa"/>
            <w:shd w:val="clear" w:color="auto" w:fill="auto"/>
            <w:vAlign w:val="center"/>
          </w:tcPr>
          <w:p w14:paraId="35336CA2"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1.2</w:t>
            </w:r>
          </w:p>
        </w:tc>
        <w:tc>
          <w:tcPr>
            <w:tcW w:w="1513" w:type="dxa"/>
            <w:shd w:val="clear" w:color="auto" w:fill="auto"/>
            <w:vAlign w:val="center"/>
          </w:tcPr>
          <w:p w14:paraId="10DB4817"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9.6</w:t>
            </w:r>
          </w:p>
        </w:tc>
      </w:tr>
      <w:tr w:rsidR="00FF59D2" w:rsidRPr="005C5A70" w14:paraId="7D32A512" w14:textId="77777777" w:rsidTr="00160B8E">
        <w:trPr>
          <w:trHeight w:val="315"/>
        </w:trPr>
        <w:tc>
          <w:tcPr>
            <w:tcW w:w="2972" w:type="dxa"/>
            <w:shd w:val="clear" w:color="auto" w:fill="auto"/>
            <w:vAlign w:val="center"/>
          </w:tcPr>
          <w:p w14:paraId="2CEA40EA"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Southern Cross University</w:t>
            </w:r>
          </w:p>
        </w:tc>
        <w:tc>
          <w:tcPr>
            <w:tcW w:w="1513" w:type="dxa"/>
            <w:shd w:val="clear" w:color="auto" w:fill="auto"/>
            <w:vAlign w:val="center"/>
          </w:tcPr>
          <w:p w14:paraId="31C92B4C" w14:textId="77777777" w:rsidR="00FF59D2" w:rsidRPr="003F1994" w:rsidRDefault="00FF59D2" w:rsidP="00164085">
            <w:pPr>
              <w:spacing w:after="0" w:line="240" w:lineRule="auto"/>
              <w:ind w:right="411"/>
              <w:jc w:val="right"/>
              <w:rPr>
                <w:rFonts w:cs="Arial"/>
                <w:color w:val="000000"/>
                <w:sz w:val="18"/>
                <w:szCs w:val="18"/>
                <w:lang w:eastAsia="en-AU"/>
              </w:rPr>
            </w:pPr>
            <w:r>
              <w:rPr>
                <w:sz w:val="18"/>
                <w:szCs w:val="18"/>
              </w:rPr>
              <w:t xml:space="preserve">22.1 </w:t>
            </w:r>
          </w:p>
        </w:tc>
        <w:tc>
          <w:tcPr>
            <w:tcW w:w="1513" w:type="dxa"/>
            <w:shd w:val="clear" w:color="auto" w:fill="auto"/>
            <w:vAlign w:val="center"/>
          </w:tcPr>
          <w:p w14:paraId="0D8ED7BB"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43.8</w:t>
            </w:r>
          </w:p>
        </w:tc>
        <w:tc>
          <w:tcPr>
            <w:tcW w:w="1513" w:type="dxa"/>
            <w:shd w:val="clear" w:color="auto" w:fill="auto"/>
            <w:vAlign w:val="center"/>
          </w:tcPr>
          <w:p w14:paraId="3BF6E199"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4.6</w:t>
            </w:r>
          </w:p>
        </w:tc>
        <w:tc>
          <w:tcPr>
            <w:tcW w:w="1513" w:type="dxa"/>
            <w:shd w:val="clear" w:color="auto" w:fill="auto"/>
            <w:vAlign w:val="center"/>
          </w:tcPr>
          <w:p w14:paraId="09397B0F"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9.1</w:t>
            </w:r>
          </w:p>
        </w:tc>
      </w:tr>
      <w:tr w:rsidR="00FF59D2" w:rsidRPr="005C5A70" w14:paraId="36E0CEC0" w14:textId="77777777" w:rsidTr="00160B8E">
        <w:trPr>
          <w:trHeight w:val="315"/>
        </w:trPr>
        <w:tc>
          <w:tcPr>
            <w:tcW w:w="2972" w:type="dxa"/>
            <w:shd w:val="clear" w:color="auto" w:fill="auto"/>
            <w:vAlign w:val="center"/>
          </w:tcPr>
          <w:p w14:paraId="1AF38D57" w14:textId="77777777" w:rsidR="00FF59D2" w:rsidRPr="000438FE" w:rsidRDefault="00FF59D2" w:rsidP="00164085">
            <w:pPr>
              <w:spacing w:after="0" w:line="240" w:lineRule="auto"/>
              <w:rPr>
                <w:rFonts w:cs="Arial"/>
                <w:color w:val="auto"/>
                <w:sz w:val="18"/>
                <w:szCs w:val="18"/>
                <w:lang w:eastAsia="en-AU"/>
              </w:rPr>
            </w:pPr>
            <w:r w:rsidRPr="000438FE">
              <w:rPr>
                <w:sz w:val="18"/>
                <w:szCs w:val="18"/>
              </w:rPr>
              <w:t>The University of New England</w:t>
            </w:r>
          </w:p>
        </w:tc>
        <w:tc>
          <w:tcPr>
            <w:tcW w:w="1513" w:type="dxa"/>
            <w:shd w:val="clear" w:color="auto" w:fill="auto"/>
            <w:vAlign w:val="center"/>
          </w:tcPr>
          <w:p w14:paraId="0C82085E" w14:textId="77777777" w:rsidR="00FF59D2" w:rsidRPr="003F1994" w:rsidRDefault="00FF59D2" w:rsidP="00164085">
            <w:pPr>
              <w:spacing w:after="0" w:line="240" w:lineRule="auto"/>
              <w:ind w:right="411"/>
              <w:jc w:val="right"/>
              <w:rPr>
                <w:rFonts w:cs="Arial"/>
                <w:color w:val="auto"/>
                <w:sz w:val="18"/>
                <w:szCs w:val="18"/>
                <w:lang w:eastAsia="en-AU"/>
              </w:rPr>
            </w:pPr>
            <w:r>
              <w:rPr>
                <w:sz w:val="18"/>
                <w:szCs w:val="18"/>
              </w:rPr>
              <w:t xml:space="preserve">23.2 </w:t>
            </w:r>
          </w:p>
        </w:tc>
        <w:tc>
          <w:tcPr>
            <w:tcW w:w="1513" w:type="dxa"/>
            <w:shd w:val="clear" w:color="auto" w:fill="auto"/>
            <w:vAlign w:val="center"/>
          </w:tcPr>
          <w:p w14:paraId="7387B5BE" w14:textId="77777777" w:rsidR="00FF59D2" w:rsidRPr="003F1994" w:rsidRDefault="00FF59D2" w:rsidP="00164085">
            <w:pPr>
              <w:spacing w:after="0" w:line="240" w:lineRule="auto"/>
              <w:ind w:right="411"/>
              <w:jc w:val="right"/>
              <w:rPr>
                <w:rFonts w:cs="Arial"/>
                <w:color w:val="auto"/>
                <w:sz w:val="18"/>
                <w:szCs w:val="18"/>
                <w:lang w:eastAsia="en-AU"/>
              </w:rPr>
            </w:pPr>
            <w:r w:rsidRPr="003F1994">
              <w:rPr>
                <w:sz w:val="18"/>
                <w:szCs w:val="18"/>
              </w:rPr>
              <w:t>43.9</w:t>
            </w:r>
          </w:p>
        </w:tc>
        <w:tc>
          <w:tcPr>
            <w:tcW w:w="1513" w:type="dxa"/>
            <w:shd w:val="clear" w:color="auto" w:fill="auto"/>
            <w:vAlign w:val="center"/>
          </w:tcPr>
          <w:p w14:paraId="385431AF" w14:textId="77777777" w:rsidR="00FF59D2" w:rsidRPr="003F1994" w:rsidRDefault="00FF59D2" w:rsidP="00164085">
            <w:pPr>
              <w:spacing w:after="0" w:line="240" w:lineRule="auto"/>
              <w:ind w:right="411"/>
              <w:jc w:val="right"/>
              <w:rPr>
                <w:rFonts w:cs="Arial"/>
                <w:color w:val="auto"/>
                <w:sz w:val="18"/>
                <w:szCs w:val="18"/>
                <w:lang w:eastAsia="en-AU"/>
              </w:rPr>
            </w:pPr>
            <w:r w:rsidRPr="003F1994">
              <w:rPr>
                <w:sz w:val="18"/>
                <w:szCs w:val="18"/>
              </w:rPr>
              <w:t>4.6</w:t>
            </w:r>
          </w:p>
        </w:tc>
        <w:tc>
          <w:tcPr>
            <w:tcW w:w="1513" w:type="dxa"/>
            <w:shd w:val="clear" w:color="auto" w:fill="auto"/>
            <w:vAlign w:val="center"/>
          </w:tcPr>
          <w:p w14:paraId="1102E390" w14:textId="77777777" w:rsidR="00FF59D2" w:rsidRPr="003F1994" w:rsidRDefault="00FF59D2" w:rsidP="00164085">
            <w:pPr>
              <w:spacing w:after="0" w:line="240" w:lineRule="auto"/>
              <w:ind w:right="411"/>
              <w:jc w:val="right"/>
              <w:rPr>
                <w:rFonts w:cs="Arial"/>
                <w:color w:val="auto"/>
                <w:sz w:val="18"/>
                <w:szCs w:val="18"/>
              </w:rPr>
            </w:pPr>
            <w:r w:rsidRPr="003F1994">
              <w:rPr>
                <w:sz w:val="18"/>
                <w:szCs w:val="18"/>
              </w:rPr>
              <w:t>19.0</w:t>
            </w:r>
          </w:p>
        </w:tc>
      </w:tr>
      <w:tr w:rsidR="00FF59D2" w:rsidRPr="005C5A70" w14:paraId="21FFAAE0" w14:textId="77777777" w:rsidTr="00160B8E">
        <w:trPr>
          <w:trHeight w:val="315"/>
        </w:trPr>
        <w:tc>
          <w:tcPr>
            <w:tcW w:w="2972" w:type="dxa"/>
            <w:shd w:val="clear" w:color="auto" w:fill="auto"/>
            <w:vAlign w:val="center"/>
          </w:tcPr>
          <w:p w14:paraId="69686182"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The University of Newcastle</w:t>
            </w:r>
          </w:p>
        </w:tc>
        <w:tc>
          <w:tcPr>
            <w:tcW w:w="1513" w:type="dxa"/>
            <w:shd w:val="clear" w:color="auto" w:fill="auto"/>
            <w:vAlign w:val="center"/>
          </w:tcPr>
          <w:p w14:paraId="6471962F" w14:textId="77777777" w:rsidR="00FF59D2" w:rsidRPr="003F1994" w:rsidRDefault="00FF59D2" w:rsidP="00164085">
            <w:pPr>
              <w:spacing w:after="0" w:line="240" w:lineRule="auto"/>
              <w:ind w:right="411"/>
              <w:jc w:val="right"/>
              <w:rPr>
                <w:rFonts w:cs="Arial"/>
                <w:color w:val="auto"/>
                <w:sz w:val="18"/>
                <w:szCs w:val="18"/>
                <w:lang w:eastAsia="en-AU"/>
              </w:rPr>
            </w:pPr>
            <w:r>
              <w:rPr>
                <w:sz w:val="18"/>
                <w:szCs w:val="18"/>
              </w:rPr>
              <w:t xml:space="preserve">23.3 </w:t>
            </w:r>
          </w:p>
        </w:tc>
        <w:tc>
          <w:tcPr>
            <w:tcW w:w="1513" w:type="dxa"/>
            <w:shd w:val="clear" w:color="auto" w:fill="auto"/>
            <w:vAlign w:val="center"/>
          </w:tcPr>
          <w:p w14:paraId="749B80BB"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17.1</w:t>
            </w:r>
          </w:p>
        </w:tc>
        <w:tc>
          <w:tcPr>
            <w:tcW w:w="1513" w:type="dxa"/>
            <w:shd w:val="clear" w:color="auto" w:fill="auto"/>
            <w:vAlign w:val="center"/>
          </w:tcPr>
          <w:p w14:paraId="0CA68936"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4.4</w:t>
            </w:r>
          </w:p>
        </w:tc>
        <w:tc>
          <w:tcPr>
            <w:tcW w:w="1513" w:type="dxa"/>
            <w:shd w:val="clear" w:color="auto" w:fill="auto"/>
            <w:vAlign w:val="center"/>
          </w:tcPr>
          <w:p w14:paraId="6BEA9915"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16.6</w:t>
            </w:r>
          </w:p>
        </w:tc>
      </w:tr>
      <w:tr w:rsidR="00FF59D2" w:rsidRPr="005C5A70" w14:paraId="3ACAFBF6" w14:textId="77777777" w:rsidTr="00160B8E">
        <w:trPr>
          <w:trHeight w:val="315"/>
        </w:trPr>
        <w:tc>
          <w:tcPr>
            <w:tcW w:w="2972" w:type="dxa"/>
            <w:shd w:val="clear" w:color="auto" w:fill="auto"/>
            <w:vAlign w:val="center"/>
          </w:tcPr>
          <w:p w14:paraId="684B0ABF"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The University of Sydney</w:t>
            </w:r>
          </w:p>
        </w:tc>
        <w:tc>
          <w:tcPr>
            <w:tcW w:w="1513" w:type="dxa"/>
            <w:shd w:val="clear" w:color="auto" w:fill="auto"/>
            <w:vAlign w:val="center"/>
          </w:tcPr>
          <w:p w14:paraId="21E82425" w14:textId="77777777" w:rsidR="00FF59D2" w:rsidRPr="003F1994" w:rsidRDefault="00FF59D2" w:rsidP="00164085">
            <w:pPr>
              <w:spacing w:after="0" w:line="240" w:lineRule="auto"/>
              <w:ind w:right="411"/>
              <w:jc w:val="right"/>
              <w:rPr>
                <w:rFonts w:cs="Arial"/>
                <w:color w:val="auto"/>
                <w:sz w:val="18"/>
                <w:szCs w:val="18"/>
                <w:lang w:eastAsia="en-AU"/>
              </w:rPr>
            </w:pPr>
            <w:r>
              <w:rPr>
                <w:sz w:val="18"/>
                <w:szCs w:val="18"/>
              </w:rPr>
              <w:t xml:space="preserve">9.0 </w:t>
            </w:r>
          </w:p>
        </w:tc>
        <w:tc>
          <w:tcPr>
            <w:tcW w:w="1513" w:type="dxa"/>
            <w:shd w:val="clear" w:color="auto" w:fill="auto"/>
            <w:vAlign w:val="center"/>
          </w:tcPr>
          <w:p w14:paraId="61BF625A"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4.9</w:t>
            </w:r>
          </w:p>
        </w:tc>
        <w:tc>
          <w:tcPr>
            <w:tcW w:w="1513" w:type="dxa"/>
            <w:shd w:val="clear" w:color="auto" w:fill="auto"/>
            <w:vAlign w:val="center"/>
          </w:tcPr>
          <w:p w14:paraId="062CF868"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0.9</w:t>
            </w:r>
          </w:p>
        </w:tc>
        <w:tc>
          <w:tcPr>
            <w:tcW w:w="1513" w:type="dxa"/>
            <w:shd w:val="clear" w:color="auto" w:fill="auto"/>
            <w:vAlign w:val="center"/>
          </w:tcPr>
          <w:p w14:paraId="06425BDE"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10.5</w:t>
            </w:r>
          </w:p>
        </w:tc>
      </w:tr>
      <w:tr w:rsidR="00FF59D2" w:rsidRPr="005C5A70" w14:paraId="6FFCE35B" w14:textId="77777777" w:rsidTr="00160B8E">
        <w:trPr>
          <w:trHeight w:val="315"/>
        </w:trPr>
        <w:tc>
          <w:tcPr>
            <w:tcW w:w="2972" w:type="dxa"/>
            <w:shd w:val="clear" w:color="auto" w:fill="auto"/>
            <w:vAlign w:val="center"/>
          </w:tcPr>
          <w:p w14:paraId="1830DB92"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University of New South Wales</w:t>
            </w:r>
          </w:p>
        </w:tc>
        <w:tc>
          <w:tcPr>
            <w:tcW w:w="1513" w:type="dxa"/>
            <w:shd w:val="clear" w:color="auto" w:fill="auto"/>
            <w:vAlign w:val="center"/>
          </w:tcPr>
          <w:p w14:paraId="2564234B" w14:textId="77777777" w:rsidR="00FF59D2" w:rsidRPr="003F1994" w:rsidRDefault="00FF59D2" w:rsidP="00164085">
            <w:pPr>
              <w:spacing w:after="0" w:line="240" w:lineRule="auto"/>
              <w:ind w:right="411"/>
              <w:jc w:val="right"/>
              <w:rPr>
                <w:rFonts w:cs="Arial"/>
                <w:color w:val="auto"/>
                <w:sz w:val="18"/>
                <w:szCs w:val="18"/>
                <w:lang w:eastAsia="en-AU"/>
              </w:rPr>
            </w:pPr>
            <w:r>
              <w:rPr>
                <w:sz w:val="18"/>
                <w:szCs w:val="18"/>
              </w:rPr>
              <w:t xml:space="preserve">10.8 </w:t>
            </w:r>
          </w:p>
        </w:tc>
        <w:tc>
          <w:tcPr>
            <w:tcW w:w="1513" w:type="dxa"/>
            <w:shd w:val="clear" w:color="auto" w:fill="auto"/>
            <w:vAlign w:val="center"/>
          </w:tcPr>
          <w:p w14:paraId="0DAAB104"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5.2</w:t>
            </w:r>
          </w:p>
        </w:tc>
        <w:tc>
          <w:tcPr>
            <w:tcW w:w="1513" w:type="dxa"/>
            <w:shd w:val="clear" w:color="auto" w:fill="auto"/>
            <w:vAlign w:val="center"/>
          </w:tcPr>
          <w:p w14:paraId="6855A5D7"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1.2</w:t>
            </w:r>
          </w:p>
        </w:tc>
        <w:tc>
          <w:tcPr>
            <w:tcW w:w="1513" w:type="dxa"/>
            <w:shd w:val="clear" w:color="auto" w:fill="auto"/>
            <w:vAlign w:val="center"/>
          </w:tcPr>
          <w:p w14:paraId="38C81C92"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7.9</w:t>
            </w:r>
          </w:p>
        </w:tc>
      </w:tr>
      <w:tr w:rsidR="00FF59D2" w:rsidRPr="005C5A70" w14:paraId="43D2F454" w14:textId="77777777" w:rsidTr="00160B8E">
        <w:trPr>
          <w:trHeight w:val="315"/>
        </w:trPr>
        <w:tc>
          <w:tcPr>
            <w:tcW w:w="2972" w:type="dxa"/>
            <w:shd w:val="clear" w:color="auto" w:fill="auto"/>
            <w:vAlign w:val="center"/>
          </w:tcPr>
          <w:p w14:paraId="53AAFD7D"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University of Technology Sydney</w:t>
            </w:r>
          </w:p>
        </w:tc>
        <w:tc>
          <w:tcPr>
            <w:tcW w:w="1513" w:type="dxa"/>
            <w:shd w:val="clear" w:color="auto" w:fill="auto"/>
            <w:vAlign w:val="center"/>
          </w:tcPr>
          <w:p w14:paraId="61CB7FBF" w14:textId="77777777" w:rsidR="00FF59D2" w:rsidRPr="003F1994" w:rsidRDefault="00FF59D2" w:rsidP="00164085">
            <w:pPr>
              <w:spacing w:after="0" w:line="240" w:lineRule="auto"/>
              <w:ind w:right="411"/>
              <w:jc w:val="right"/>
              <w:rPr>
                <w:rFonts w:cs="Arial"/>
                <w:color w:val="auto"/>
                <w:sz w:val="18"/>
                <w:szCs w:val="18"/>
                <w:lang w:eastAsia="en-AU"/>
              </w:rPr>
            </w:pPr>
            <w:r w:rsidRPr="003F1994">
              <w:rPr>
                <w:sz w:val="18"/>
                <w:szCs w:val="18"/>
              </w:rPr>
              <w:t>12.7</w:t>
            </w:r>
          </w:p>
        </w:tc>
        <w:tc>
          <w:tcPr>
            <w:tcW w:w="1513" w:type="dxa"/>
            <w:shd w:val="clear" w:color="auto" w:fill="auto"/>
            <w:vAlign w:val="center"/>
          </w:tcPr>
          <w:p w14:paraId="56F0AC56"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2.9</w:t>
            </w:r>
          </w:p>
        </w:tc>
        <w:tc>
          <w:tcPr>
            <w:tcW w:w="1513" w:type="dxa"/>
            <w:shd w:val="clear" w:color="auto" w:fill="auto"/>
            <w:vAlign w:val="center"/>
          </w:tcPr>
          <w:p w14:paraId="6A1032EF"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0.9</w:t>
            </w:r>
          </w:p>
        </w:tc>
        <w:tc>
          <w:tcPr>
            <w:tcW w:w="1513" w:type="dxa"/>
            <w:shd w:val="clear" w:color="auto" w:fill="auto"/>
            <w:vAlign w:val="center"/>
          </w:tcPr>
          <w:p w14:paraId="0A7EF6E9"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7.8</w:t>
            </w:r>
          </w:p>
        </w:tc>
      </w:tr>
      <w:tr w:rsidR="00FF59D2" w:rsidRPr="005C5A70" w14:paraId="67F3C735" w14:textId="77777777" w:rsidTr="00160B8E">
        <w:trPr>
          <w:trHeight w:val="315"/>
        </w:trPr>
        <w:tc>
          <w:tcPr>
            <w:tcW w:w="2972" w:type="dxa"/>
            <w:shd w:val="clear" w:color="auto" w:fill="auto"/>
            <w:vAlign w:val="center"/>
          </w:tcPr>
          <w:p w14:paraId="0EF41063"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University of Wollongong</w:t>
            </w:r>
          </w:p>
        </w:tc>
        <w:tc>
          <w:tcPr>
            <w:tcW w:w="1513" w:type="dxa"/>
            <w:shd w:val="clear" w:color="auto" w:fill="auto"/>
            <w:vAlign w:val="center"/>
          </w:tcPr>
          <w:p w14:paraId="44255F96" w14:textId="77777777" w:rsidR="00FF59D2" w:rsidRPr="003F1994" w:rsidRDefault="00FF59D2" w:rsidP="00164085">
            <w:pPr>
              <w:spacing w:after="0" w:line="240" w:lineRule="auto"/>
              <w:ind w:right="411"/>
              <w:jc w:val="right"/>
              <w:rPr>
                <w:rFonts w:cs="Arial"/>
                <w:color w:val="000000"/>
                <w:sz w:val="18"/>
                <w:szCs w:val="18"/>
                <w:lang w:eastAsia="en-AU"/>
              </w:rPr>
            </w:pPr>
            <w:r>
              <w:rPr>
                <w:sz w:val="18"/>
                <w:szCs w:val="18"/>
              </w:rPr>
              <w:t xml:space="preserve">17.4 </w:t>
            </w:r>
          </w:p>
        </w:tc>
        <w:tc>
          <w:tcPr>
            <w:tcW w:w="1513" w:type="dxa"/>
            <w:shd w:val="clear" w:color="auto" w:fill="auto"/>
            <w:vAlign w:val="center"/>
          </w:tcPr>
          <w:p w14:paraId="68D0CB1E"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29.0</w:t>
            </w:r>
          </w:p>
        </w:tc>
        <w:tc>
          <w:tcPr>
            <w:tcW w:w="1513" w:type="dxa"/>
            <w:shd w:val="clear" w:color="auto" w:fill="auto"/>
            <w:vAlign w:val="center"/>
          </w:tcPr>
          <w:p w14:paraId="2D0D1EA2"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3.1</w:t>
            </w:r>
          </w:p>
        </w:tc>
        <w:tc>
          <w:tcPr>
            <w:tcW w:w="1513" w:type="dxa"/>
            <w:shd w:val="clear" w:color="auto" w:fill="auto"/>
            <w:vAlign w:val="center"/>
          </w:tcPr>
          <w:p w14:paraId="6B5CF36F"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11.1</w:t>
            </w:r>
          </w:p>
        </w:tc>
      </w:tr>
      <w:tr w:rsidR="00FF59D2" w:rsidRPr="005C5A70" w14:paraId="7CCC0297" w14:textId="77777777" w:rsidTr="00160B8E">
        <w:trPr>
          <w:trHeight w:val="315"/>
        </w:trPr>
        <w:tc>
          <w:tcPr>
            <w:tcW w:w="2972" w:type="dxa"/>
            <w:shd w:val="clear" w:color="auto" w:fill="auto"/>
            <w:vAlign w:val="center"/>
          </w:tcPr>
          <w:p w14:paraId="0E2E2D06"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Western Sydney University</w:t>
            </w:r>
          </w:p>
        </w:tc>
        <w:tc>
          <w:tcPr>
            <w:tcW w:w="1513" w:type="dxa"/>
            <w:shd w:val="clear" w:color="auto" w:fill="auto"/>
            <w:vAlign w:val="center"/>
          </w:tcPr>
          <w:p w14:paraId="1C8200D2" w14:textId="77777777" w:rsidR="00FF59D2" w:rsidRPr="003F1994" w:rsidRDefault="00FF59D2" w:rsidP="00164085">
            <w:pPr>
              <w:spacing w:after="0" w:line="240" w:lineRule="auto"/>
              <w:ind w:right="411"/>
              <w:jc w:val="right"/>
              <w:rPr>
                <w:rFonts w:cs="Arial"/>
                <w:color w:val="000000"/>
                <w:sz w:val="18"/>
                <w:szCs w:val="18"/>
                <w:lang w:eastAsia="en-AU"/>
              </w:rPr>
            </w:pPr>
            <w:r>
              <w:rPr>
                <w:sz w:val="18"/>
                <w:szCs w:val="18"/>
              </w:rPr>
              <w:t xml:space="preserve">30.5 </w:t>
            </w:r>
          </w:p>
        </w:tc>
        <w:tc>
          <w:tcPr>
            <w:tcW w:w="1513" w:type="dxa"/>
            <w:shd w:val="clear" w:color="auto" w:fill="auto"/>
            <w:vAlign w:val="center"/>
          </w:tcPr>
          <w:p w14:paraId="42663043"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3.9</w:t>
            </w:r>
          </w:p>
        </w:tc>
        <w:tc>
          <w:tcPr>
            <w:tcW w:w="1513" w:type="dxa"/>
            <w:shd w:val="clear" w:color="auto" w:fill="auto"/>
            <w:vAlign w:val="center"/>
          </w:tcPr>
          <w:p w14:paraId="6556481D" w14:textId="77777777" w:rsidR="00FF59D2" w:rsidRPr="003F1994" w:rsidRDefault="00FF59D2" w:rsidP="00164085">
            <w:pPr>
              <w:spacing w:after="0" w:line="240" w:lineRule="auto"/>
              <w:ind w:right="411"/>
              <w:jc w:val="right"/>
              <w:rPr>
                <w:rFonts w:cs="Arial"/>
                <w:color w:val="000000"/>
                <w:sz w:val="18"/>
                <w:szCs w:val="18"/>
                <w:lang w:eastAsia="en-AU"/>
              </w:rPr>
            </w:pPr>
            <w:r w:rsidRPr="003F1994">
              <w:rPr>
                <w:sz w:val="18"/>
                <w:szCs w:val="18"/>
              </w:rPr>
              <w:t>2.1</w:t>
            </w:r>
          </w:p>
        </w:tc>
        <w:tc>
          <w:tcPr>
            <w:tcW w:w="1513" w:type="dxa"/>
            <w:shd w:val="clear" w:color="auto" w:fill="auto"/>
            <w:vAlign w:val="center"/>
          </w:tcPr>
          <w:p w14:paraId="3A196F34" w14:textId="77777777" w:rsidR="00FF59D2" w:rsidRPr="003F1994" w:rsidRDefault="00FF59D2" w:rsidP="00164085">
            <w:pPr>
              <w:spacing w:after="0" w:line="240" w:lineRule="auto"/>
              <w:ind w:right="411"/>
              <w:jc w:val="right"/>
              <w:rPr>
                <w:rFonts w:cs="Arial"/>
                <w:color w:val="000000"/>
                <w:sz w:val="18"/>
                <w:szCs w:val="18"/>
              </w:rPr>
            </w:pPr>
            <w:r w:rsidRPr="003F1994">
              <w:rPr>
                <w:sz w:val="18"/>
                <w:szCs w:val="18"/>
              </w:rPr>
              <w:t>5.1</w:t>
            </w:r>
          </w:p>
        </w:tc>
      </w:tr>
    </w:tbl>
    <w:p w14:paraId="398C5FDB" w14:textId="77777777" w:rsidR="00FF59D2" w:rsidRPr="00B918F4" w:rsidRDefault="00FF59D2" w:rsidP="00FF59D2">
      <w:pPr>
        <w:spacing w:after="0" w:line="240" w:lineRule="auto"/>
        <w:rPr>
          <w:sz w:val="18"/>
          <w:szCs w:val="18"/>
        </w:rPr>
      </w:pPr>
      <w:r>
        <w:rPr>
          <w:b/>
          <w:bCs/>
          <w:sz w:val="18"/>
          <w:szCs w:val="18"/>
        </w:rPr>
        <w:t xml:space="preserve">Note: </w:t>
      </w:r>
      <w:r>
        <w:rPr>
          <w:sz w:val="18"/>
          <w:szCs w:val="18"/>
        </w:rPr>
        <w:t>The Equity Reference Value refers to the equity share of state/territory population.</w:t>
      </w:r>
    </w:p>
    <w:p w14:paraId="594617EB"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71107786" w14:textId="77777777" w:rsidR="00FF59D2" w:rsidRDefault="00FF59D2" w:rsidP="00FF59D2"/>
    <w:p w14:paraId="1FC631C3"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A2:  </w:t>
      </w:r>
      <w:r>
        <w:rPr>
          <w:rFonts w:cstheme="minorHAnsi"/>
          <w:color w:val="000000"/>
          <w:sz w:val="18"/>
          <w:szCs w:val="18"/>
          <w:lang w:eastAsia="en-AU"/>
        </w:rPr>
        <w:t xml:space="preserve">Victoria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0152FA22" w14:textId="77777777" w:rsidTr="00160B8E">
        <w:trPr>
          <w:trHeight w:val="315"/>
        </w:trPr>
        <w:tc>
          <w:tcPr>
            <w:tcW w:w="2972" w:type="dxa"/>
            <w:shd w:val="clear" w:color="auto" w:fill="auto"/>
            <w:hideMark/>
          </w:tcPr>
          <w:p w14:paraId="116FD6D7"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0A91B726"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132BD365"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13599213"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6E45A835"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59BC2515" w14:textId="77777777" w:rsidTr="00160B8E">
        <w:trPr>
          <w:trHeight w:val="315"/>
        </w:trPr>
        <w:tc>
          <w:tcPr>
            <w:tcW w:w="2972" w:type="dxa"/>
            <w:shd w:val="clear" w:color="auto" w:fill="EFE2E7" w:themeFill="text1" w:themeFillTint="1A"/>
            <w:vAlign w:val="center"/>
          </w:tcPr>
          <w:p w14:paraId="6752AE02" w14:textId="77777777" w:rsidR="00FF59D2" w:rsidRPr="00B918F4" w:rsidRDefault="00FF59D2" w:rsidP="00164085">
            <w:pPr>
              <w:spacing w:after="0" w:line="240" w:lineRule="auto"/>
              <w:rPr>
                <w:rFonts w:cs="Arial"/>
                <w:b/>
                <w:bCs/>
                <w:color w:val="000000"/>
                <w:sz w:val="18"/>
                <w:szCs w:val="18"/>
              </w:rPr>
            </w:pPr>
            <w:r w:rsidRPr="00B918F4">
              <w:rPr>
                <w:b/>
                <w:bCs/>
                <w:sz w:val="18"/>
                <w:szCs w:val="18"/>
              </w:rPr>
              <w:t xml:space="preserve">VIC </w:t>
            </w:r>
            <w:r>
              <w:rPr>
                <w:b/>
                <w:bCs/>
                <w:sz w:val="18"/>
                <w:szCs w:val="18"/>
              </w:rPr>
              <w:t xml:space="preserve">Equity </w:t>
            </w:r>
            <w:r w:rsidRPr="00B918F4">
              <w:rPr>
                <w:b/>
                <w:bCs/>
                <w:sz w:val="18"/>
                <w:szCs w:val="18"/>
              </w:rPr>
              <w:t>Reference Value</w:t>
            </w:r>
          </w:p>
        </w:tc>
        <w:tc>
          <w:tcPr>
            <w:tcW w:w="1513" w:type="dxa"/>
            <w:shd w:val="clear" w:color="auto" w:fill="EFE2E7" w:themeFill="text1" w:themeFillTint="1A"/>
            <w:vAlign w:val="center"/>
          </w:tcPr>
          <w:p w14:paraId="69EA83C1" w14:textId="77777777" w:rsidR="00FF59D2" w:rsidRPr="00B918F4" w:rsidRDefault="00FF59D2" w:rsidP="00164085">
            <w:pPr>
              <w:spacing w:after="0" w:line="240" w:lineRule="auto"/>
              <w:ind w:right="411"/>
              <w:jc w:val="right"/>
              <w:rPr>
                <w:rFonts w:cs="Arial"/>
                <w:b/>
                <w:bCs/>
                <w:color w:val="000000"/>
                <w:sz w:val="18"/>
                <w:szCs w:val="18"/>
              </w:rPr>
            </w:pPr>
            <w:r w:rsidRPr="00B918F4">
              <w:rPr>
                <w:rFonts w:cs="Arial"/>
                <w:b/>
                <w:bCs/>
                <w:color w:val="000000"/>
                <w:sz w:val="18"/>
                <w:szCs w:val="18"/>
              </w:rPr>
              <w:t>19.4</w:t>
            </w:r>
          </w:p>
        </w:tc>
        <w:tc>
          <w:tcPr>
            <w:tcW w:w="1513" w:type="dxa"/>
            <w:shd w:val="clear" w:color="auto" w:fill="EFE2E7" w:themeFill="text1" w:themeFillTint="1A"/>
            <w:vAlign w:val="center"/>
          </w:tcPr>
          <w:p w14:paraId="64CD602C" w14:textId="77777777" w:rsidR="00FF59D2" w:rsidRPr="00B918F4" w:rsidRDefault="00FF59D2" w:rsidP="00164085">
            <w:pPr>
              <w:spacing w:after="0" w:line="240" w:lineRule="auto"/>
              <w:ind w:right="411"/>
              <w:jc w:val="right"/>
              <w:rPr>
                <w:rFonts w:cs="Arial"/>
                <w:b/>
                <w:bCs/>
                <w:color w:val="000000"/>
                <w:sz w:val="18"/>
                <w:szCs w:val="18"/>
              </w:rPr>
            </w:pPr>
            <w:r w:rsidRPr="00B918F4">
              <w:rPr>
                <w:rFonts w:cs="Arial"/>
                <w:b/>
                <w:bCs/>
                <w:color w:val="000000"/>
                <w:sz w:val="18"/>
                <w:szCs w:val="18"/>
              </w:rPr>
              <w:t>20.8</w:t>
            </w:r>
          </w:p>
        </w:tc>
        <w:tc>
          <w:tcPr>
            <w:tcW w:w="1513" w:type="dxa"/>
            <w:shd w:val="clear" w:color="auto" w:fill="EFE2E7" w:themeFill="text1" w:themeFillTint="1A"/>
            <w:vAlign w:val="center"/>
          </w:tcPr>
          <w:p w14:paraId="35EF68C1" w14:textId="77777777" w:rsidR="00FF59D2" w:rsidRPr="00B918F4" w:rsidRDefault="00FF59D2" w:rsidP="00164085">
            <w:pPr>
              <w:spacing w:after="0" w:line="240" w:lineRule="auto"/>
              <w:ind w:right="411"/>
              <w:jc w:val="right"/>
              <w:rPr>
                <w:rFonts w:cs="Arial"/>
                <w:b/>
                <w:bCs/>
                <w:color w:val="000000"/>
                <w:sz w:val="18"/>
                <w:szCs w:val="18"/>
              </w:rPr>
            </w:pPr>
            <w:r w:rsidRPr="00B918F4">
              <w:rPr>
                <w:rFonts w:cs="Arial"/>
                <w:b/>
                <w:bCs/>
                <w:color w:val="000000"/>
                <w:sz w:val="18"/>
                <w:szCs w:val="18"/>
              </w:rPr>
              <w:t>0.9</w:t>
            </w:r>
          </w:p>
        </w:tc>
        <w:tc>
          <w:tcPr>
            <w:tcW w:w="1513" w:type="dxa"/>
            <w:shd w:val="clear" w:color="auto" w:fill="EFE2E7" w:themeFill="text1" w:themeFillTint="1A"/>
            <w:vAlign w:val="center"/>
          </w:tcPr>
          <w:p w14:paraId="3C9275C0" w14:textId="77777777" w:rsidR="00FF59D2" w:rsidRPr="00B918F4" w:rsidRDefault="00FF59D2" w:rsidP="00164085">
            <w:pPr>
              <w:spacing w:after="0" w:line="240" w:lineRule="auto"/>
              <w:ind w:right="411"/>
              <w:jc w:val="right"/>
              <w:rPr>
                <w:rFonts w:cs="Arial"/>
                <w:b/>
                <w:bCs/>
                <w:color w:val="000000"/>
                <w:sz w:val="18"/>
                <w:szCs w:val="18"/>
              </w:rPr>
            </w:pPr>
            <w:r w:rsidRPr="00B918F4">
              <w:rPr>
                <w:b/>
                <w:bCs/>
                <w:sz w:val="18"/>
                <w:szCs w:val="18"/>
              </w:rPr>
              <w:t>8.4</w:t>
            </w:r>
          </w:p>
        </w:tc>
      </w:tr>
      <w:tr w:rsidR="00FF59D2" w:rsidRPr="005C5A70" w14:paraId="64FCF042" w14:textId="77777777" w:rsidTr="00164085">
        <w:trPr>
          <w:trHeight w:val="315"/>
        </w:trPr>
        <w:tc>
          <w:tcPr>
            <w:tcW w:w="2972" w:type="dxa"/>
            <w:shd w:val="clear" w:color="000000" w:fill="FFFFFF"/>
            <w:vAlign w:val="center"/>
          </w:tcPr>
          <w:p w14:paraId="21E78AC5"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Deakin University</w:t>
            </w:r>
          </w:p>
        </w:tc>
        <w:tc>
          <w:tcPr>
            <w:tcW w:w="1513" w:type="dxa"/>
            <w:shd w:val="clear" w:color="000000" w:fill="FFFFFF"/>
            <w:vAlign w:val="center"/>
          </w:tcPr>
          <w:p w14:paraId="4AC36FDF" w14:textId="77777777" w:rsidR="00FF59D2" w:rsidRPr="004B34F2"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13.2 </w:t>
            </w:r>
          </w:p>
        </w:tc>
        <w:tc>
          <w:tcPr>
            <w:tcW w:w="1513" w:type="dxa"/>
            <w:shd w:val="clear" w:color="000000" w:fill="FFFFFF"/>
            <w:vAlign w:val="center"/>
          </w:tcPr>
          <w:p w14:paraId="46A7A2B7"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19.1</w:t>
            </w:r>
          </w:p>
        </w:tc>
        <w:tc>
          <w:tcPr>
            <w:tcW w:w="1513" w:type="dxa"/>
            <w:shd w:val="clear" w:color="000000" w:fill="FFFFFF"/>
            <w:vAlign w:val="center"/>
          </w:tcPr>
          <w:p w14:paraId="281A251E"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1.3</w:t>
            </w:r>
          </w:p>
        </w:tc>
        <w:tc>
          <w:tcPr>
            <w:tcW w:w="1513" w:type="dxa"/>
            <w:shd w:val="clear" w:color="000000" w:fill="FFFFFF"/>
            <w:vAlign w:val="center"/>
          </w:tcPr>
          <w:p w14:paraId="0E0EB330"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14.8</w:t>
            </w:r>
          </w:p>
        </w:tc>
      </w:tr>
      <w:tr w:rsidR="00FF59D2" w:rsidRPr="005C5A70" w14:paraId="50068ED6" w14:textId="77777777" w:rsidTr="00160B8E">
        <w:trPr>
          <w:trHeight w:val="315"/>
        </w:trPr>
        <w:tc>
          <w:tcPr>
            <w:tcW w:w="2972" w:type="dxa"/>
            <w:shd w:val="clear" w:color="auto" w:fill="auto"/>
            <w:vAlign w:val="center"/>
          </w:tcPr>
          <w:p w14:paraId="5699FA2D"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Federation University Australia</w:t>
            </w:r>
          </w:p>
        </w:tc>
        <w:tc>
          <w:tcPr>
            <w:tcW w:w="1513" w:type="dxa"/>
            <w:shd w:val="clear" w:color="auto" w:fill="auto"/>
            <w:vAlign w:val="center"/>
          </w:tcPr>
          <w:p w14:paraId="6C1F8742" w14:textId="77777777" w:rsidR="00FF59D2" w:rsidRPr="004B34F2"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27.3 </w:t>
            </w:r>
          </w:p>
        </w:tc>
        <w:tc>
          <w:tcPr>
            <w:tcW w:w="1513" w:type="dxa"/>
            <w:shd w:val="clear" w:color="auto" w:fill="auto"/>
            <w:vAlign w:val="center"/>
          </w:tcPr>
          <w:p w14:paraId="1094D2EF"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55.9</w:t>
            </w:r>
          </w:p>
        </w:tc>
        <w:tc>
          <w:tcPr>
            <w:tcW w:w="1513" w:type="dxa"/>
            <w:shd w:val="clear" w:color="auto" w:fill="auto"/>
            <w:vAlign w:val="center"/>
          </w:tcPr>
          <w:p w14:paraId="386CDA4A"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1.2</w:t>
            </w:r>
          </w:p>
        </w:tc>
        <w:tc>
          <w:tcPr>
            <w:tcW w:w="1513" w:type="dxa"/>
            <w:shd w:val="clear" w:color="auto" w:fill="auto"/>
            <w:vAlign w:val="center"/>
          </w:tcPr>
          <w:p w14:paraId="42FF1CF4"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13.8</w:t>
            </w:r>
          </w:p>
        </w:tc>
      </w:tr>
      <w:tr w:rsidR="00FF59D2" w:rsidRPr="005C5A70" w14:paraId="7E5E1A80" w14:textId="77777777" w:rsidTr="00160B8E">
        <w:trPr>
          <w:trHeight w:val="315"/>
        </w:trPr>
        <w:tc>
          <w:tcPr>
            <w:tcW w:w="2972" w:type="dxa"/>
            <w:shd w:val="clear" w:color="auto" w:fill="auto"/>
            <w:vAlign w:val="center"/>
          </w:tcPr>
          <w:p w14:paraId="26A28B8C"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La Trobe University</w:t>
            </w:r>
          </w:p>
        </w:tc>
        <w:tc>
          <w:tcPr>
            <w:tcW w:w="1513" w:type="dxa"/>
            <w:shd w:val="clear" w:color="auto" w:fill="auto"/>
            <w:vAlign w:val="center"/>
          </w:tcPr>
          <w:p w14:paraId="44D0519A" w14:textId="77777777" w:rsidR="00FF59D2" w:rsidRPr="004B34F2"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18.4 </w:t>
            </w:r>
          </w:p>
        </w:tc>
        <w:tc>
          <w:tcPr>
            <w:tcW w:w="1513" w:type="dxa"/>
            <w:shd w:val="clear" w:color="auto" w:fill="auto"/>
            <w:vAlign w:val="center"/>
          </w:tcPr>
          <w:p w14:paraId="06D74F53"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26.8</w:t>
            </w:r>
          </w:p>
        </w:tc>
        <w:tc>
          <w:tcPr>
            <w:tcW w:w="1513" w:type="dxa"/>
            <w:shd w:val="clear" w:color="auto" w:fill="auto"/>
            <w:vAlign w:val="center"/>
          </w:tcPr>
          <w:p w14:paraId="0D0AD67B" w14:textId="77777777" w:rsidR="00FF59D2" w:rsidRPr="004B34F2"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0.9 </w:t>
            </w:r>
          </w:p>
        </w:tc>
        <w:tc>
          <w:tcPr>
            <w:tcW w:w="1513" w:type="dxa"/>
            <w:shd w:val="clear" w:color="auto" w:fill="auto"/>
            <w:vAlign w:val="center"/>
          </w:tcPr>
          <w:p w14:paraId="73D2F06A"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13.4</w:t>
            </w:r>
          </w:p>
        </w:tc>
      </w:tr>
      <w:tr w:rsidR="00FF59D2" w:rsidRPr="005C5A70" w14:paraId="05863691" w14:textId="77777777" w:rsidTr="00160B8E">
        <w:trPr>
          <w:trHeight w:val="315"/>
        </w:trPr>
        <w:tc>
          <w:tcPr>
            <w:tcW w:w="2972" w:type="dxa"/>
            <w:shd w:val="clear" w:color="auto" w:fill="auto"/>
            <w:vAlign w:val="center"/>
          </w:tcPr>
          <w:p w14:paraId="7B2B9469" w14:textId="77777777" w:rsidR="00FF59D2" w:rsidRPr="008B745D" w:rsidRDefault="00FF59D2" w:rsidP="00164085">
            <w:pPr>
              <w:spacing w:after="0" w:line="240" w:lineRule="auto"/>
              <w:rPr>
                <w:rFonts w:cs="Arial"/>
                <w:color w:val="auto"/>
                <w:sz w:val="18"/>
                <w:szCs w:val="18"/>
                <w:lang w:eastAsia="en-AU"/>
              </w:rPr>
            </w:pPr>
            <w:r w:rsidRPr="008B745D">
              <w:rPr>
                <w:rFonts w:cs="Arial"/>
                <w:color w:val="000000"/>
                <w:sz w:val="18"/>
                <w:szCs w:val="18"/>
              </w:rPr>
              <w:t>Monash University</w:t>
            </w:r>
          </w:p>
        </w:tc>
        <w:tc>
          <w:tcPr>
            <w:tcW w:w="1513" w:type="dxa"/>
            <w:shd w:val="clear" w:color="auto" w:fill="auto"/>
            <w:vAlign w:val="center"/>
          </w:tcPr>
          <w:p w14:paraId="51E98059" w14:textId="77777777" w:rsidR="00FF59D2" w:rsidRPr="004B34F2"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11.0 </w:t>
            </w:r>
          </w:p>
        </w:tc>
        <w:tc>
          <w:tcPr>
            <w:tcW w:w="1513" w:type="dxa"/>
            <w:shd w:val="clear" w:color="auto" w:fill="auto"/>
            <w:vAlign w:val="center"/>
          </w:tcPr>
          <w:p w14:paraId="05EDA815" w14:textId="77777777" w:rsidR="00FF59D2" w:rsidRPr="004B34F2" w:rsidRDefault="00FF59D2" w:rsidP="00164085">
            <w:pPr>
              <w:spacing w:after="0" w:line="240" w:lineRule="auto"/>
              <w:ind w:right="411"/>
              <w:jc w:val="right"/>
              <w:rPr>
                <w:rFonts w:cs="Arial"/>
                <w:color w:val="auto"/>
                <w:sz w:val="18"/>
                <w:szCs w:val="18"/>
                <w:lang w:eastAsia="en-AU"/>
              </w:rPr>
            </w:pPr>
            <w:r w:rsidRPr="004B34F2">
              <w:rPr>
                <w:rFonts w:cs="Arial"/>
                <w:color w:val="000000"/>
                <w:sz w:val="18"/>
                <w:szCs w:val="18"/>
              </w:rPr>
              <w:t>8.0</w:t>
            </w:r>
          </w:p>
        </w:tc>
        <w:tc>
          <w:tcPr>
            <w:tcW w:w="1513" w:type="dxa"/>
            <w:shd w:val="clear" w:color="auto" w:fill="auto"/>
            <w:vAlign w:val="center"/>
          </w:tcPr>
          <w:p w14:paraId="0955E7A1" w14:textId="77777777" w:rsidR="00FF59D2" w:rsidRPr="004B34F2" w:rsidRDefault="00FF59D2" w:rsidP="00164085">
            <w:pPr>
              <w:spacing w:after="0" w:line="240" w:lineRule="auto"/>
              <w:ind w:right="411"/>
              <w:jc w:val="right"/>
              <w:rPr>
                <w:rFonts w:cs="Arial"/>
                <w:color w:val="auto"/>
                <w:sz w:val="18"/>
                <w:szCs w:val="18"/>
                <w:lang w:eastAsia="en-AU"/>
              </w:rPr>
            </w:pPr>
            <w:r w:rsidRPr="004B34F2">
              <w:rPr>
                <w:rFonts w:cs="Arial"/>
                <w:color w:val="000000"/>
                <w:sz w:val="18"/>
                <w:szCs w:val="18"/>
              </w:rPr>
              <w:t>0.7</w:t>
            </w:r>
          </w:p>
        </w:tc>
        <w:tc>
          <w:tcPr>
            <w:tcW w:w="1513" w:type="dxa"/>
            <w:shd w:val="clear" w:color="auto" w:fill="auto"/>
            <w:vAlign w:val="center"/>
          </w:tcPr>
          <w:p w14:paraId="3FA3AF3B" w14:textId="77777777" w:rsidR="00FF59D2" w:rsidRPr="004B34F2" w:rsidRDefault="00FF59D2" w:rsidP="00164085">
            <w:pPr>
              <w:spacing w:after="0" w:line="240" w:lineRule="auto"/>
              <w:ind w:right="411"/>
              <w:jc w:val="right"/>
              <w:rPr>
                <w:rFonts w:cs="Arial"/>
                <w:color w:val="auto"/>
                <w:sz w:val="18"/>
                <w:szCs w:val="18"/>
              </w:rPr>
            </w:pPr>
            <w:r w:rsidRPr="004B34F2">
              <w:rPr>
                <w:rFonts w:cs="Arial"/>
                <w:color w:val="000000"/>
                <w:sz w:val="18"/>
                <w:szCs w:val="18"/>
              </w:rPr>
              <w:t>8.6</w:t>
            </w:r>
          </w:p>
        </w:tc>
      </w:tr>
      <w:tr w:rsidR="00FF59D2" w:rsidRPr="005C5A70" w14:paraId="11F136D2" w14:textId="77777777" w:rsidTr="00160B8E">
        <w:trPr>
          <w:trHeight w:val="315"/>
        </w:trPr>
        <w:tc>
          <w:tcPr>
            <w:tcW w:w="2972" w:type="dxa"/>
            <w:shd w:val="clear" w:color="auto" w:fill="auto"/>
            <w:vAlign w:val="center"/>
          </w:tcPr>
          <w:p w14:paraId="08E7FAC6"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RMIT University</w:t>
            </w:r>
          </w:p>
        </w:tc>
        <w:tc>
          <w:tcPr>
            <w:tcW w:w="1513" w:type="dxa"/>
            <w:shd w:val="clear" w:color="auto" w:fill="auto"/>
            <w:vAlign w:val="center"/>
          </w:tcPr>
          <w:p w14:paraId="468C23D8" w14:textId="77777777" w:rsidR="00FF59D2" w:rsidRPr="004B34F2"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15.2 </w:t>
            </w:r>
          </w:p>
        </w:tc>
        <w:tc>
          <w:tcPr>
            <w:tcW w:w="1513" w:type="dxa"/>
            <w:shd w:val="clear" w:color="auto" w:fill="auto"/>
            <w:vAlign w:val="center"/>
          </w:tcPr>
          <w:p w14:paraId="0947EBDD"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7.6</w:t>
            </w:r>
          </w:p>
        </w:tc>
        <w:tc>
          <w:tcPr>
            <w:tcW w:w="1513" w:type="dxa"/>
            <w:shd w:val="clear" w:color="auto" w:fill="auto"/>
            <w:vAlign w:val="center"/>
          </w:tcPr>
          <w:p w14:paraId="27304152"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0.5</w:t>
            </w:r>
          </w:p>
        </w:tc>
        <w:tc>
          <w:tcPr>
            <w:tcW w:w="1513" w:type="dxa"/>
            <w:shd w:val="clear" w:color="auto" w:fill="auto"/>
            <w:vAlign w:val="center"/>
          </w:tcPr>
          <w:p w14:paraId="0146BDEF"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11.5</w:t>
            </w:r>
          </w:p>
        </w:tc>
      </w:tr>
      <w:tr w:rsidR="00FF59D2" w:rsidRPr="005C5A70" w14:paraId="7ED90D83" w14:textId="77777777" w:rsidTr="00160B8E">
        <w:trPr>
          <w:trHeight w:val="315"/>
        </w:trPr>
        <w:tc>
          <w:tcPr>
            <w:tcW w:w="2972" w:type="dxa"/>
            <w:shd w:val="clear" w:color="auto" w:fill="auto"/>
            <w:vAlign w:val="center"/>
          </w:tcPr>
          <w:p w14:paraId="6DD0C438"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Swinburne University of Technology</w:t>
            </w:r>
          </w:p>
        </w:tc>
        <w:tc>
          <w:tcPr>
            <w:tcW w:w="1513" w:type="dxa"/>
            <w:shd w:val="clear" w:color="auto" w:fill="auto"/>
            <w:vAlign w:val="center"/>
          </w:tcPr>
          <w:p w14:paraId="7D048AF1" w14:textId="77777777" w:rsidR="00FF59D2" w:rsidRPr="004B34F2" w:rsidRDefault="00FF59D2" w:rsidP="00164085">
            <w:pPr>
              <w:spacing w:after="0" w:line="240" w:lineRule="auto"/>
              <w:ind w:right="411"/>
              <w:jc w:val="right"/>
              <w:rPr>
                <w:rFonts w:cs="Arial"/>
                <w:color w:val="auto"/>
                <w:sz w:val="18"/>
                <w:szCs w:val="18"/>
                <w:lang w:eastAsia="en-AU"/>
              </w:rPr>
            </w:pPr>
            <w:r w:rsidRPr="004B34F2">
              <w:rPr>
                <w:rFonts w:cs="Arial"/>
                <w:color w:val="000000"/>
                <w:sz w:val="18"/>
                <w:szCs w:val="18"/>
              </w:rPr>
              <w:t>16.7</w:t>
            </w:r>
          </w:p>
        </w:tc>
        <w:tc>
          <w:tcPr>
            <w:tcW w:w="1513" w:type="dxa"/>
            <w:shd w:val="clear" w:color="auto" w:fill="auto"/>
            <w:vAlign w:val="center"/>
          </w:tcPr>
          <w:p w14:paraId="32534C0B"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18.8</w:t>
            </w:r>
          </w:p>
        </w:tc>
        <w:tc>
          <w:tcPr>
            <w:tcW w:w="1513" w:type="dxa"/>
            <w:shd w:val="clear" w:color="auto" w:fill="auto"/>
            <w:vAlign w:val="center"/>
          </w:tcPr>
          <w:p w14:paraId="40990BA7"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1.5</w:t>
            </w:r>
          </w:p>
        </w:tc>
        <w:tc>
          <w:tcPr>
            <w:tcW w:w="1513" w:type="dxa"/>
            <w:shd w:val="clear" w:color="auto" w:fill="auto"/>
            <w:vAlign w:val="center"/>
          </w:tcPr>
          <w:p w14:paraId="4A60CE59"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7.2</w:t>
            </w:r>
          </w:p>
        </w:tc>
      </w:tr>
      <w:tr w:rsidR="00FF59D2" w:rsidRPr="005C5A70" w14:paraId="46D5F1AE" w14:textId="77777777" w:rsidTr="00160B8E">
        <w:trPr>
          <w:trHeight w:val="315"/>
        </w:trPr>
        <w:tc>
          <w:tcPr>
            <w:tcW w:w="2972" w:type="dxa"/>
            <w:shd w:val="clear" w:color="auto" w:fill="auto"/>
            <w:vAlign w:val="center"/>
          </w:tcPr>
          <w:p w14:paraId="67E84AFB"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The University of Melbourne</w:t>
            </w:r>
          </w:p>
        </w:tc>
        <w:tc>
          <w:tcPr>
            <w:tcW w:w="1513" w:type="dxa"/>
            <w:shd w:val="clear" w:color="auto" w:fill="auto"/>
            <w:vAlign w:val="center"/>
          </w:tcPr>
          <w:p w14:paraId="55916AB4" w14:textId="77777777" w:rsidR="00FF59D2" w:rsidRPr="004B34F2" w:rsidRDefault="00FF59D2" w:rsidP="00164085">
            <w:pPr>
              <w:spacing w:after="0" w:line="240" w:lineRule="auto"/>
              <w:ind w:right="411"/>
              <w:jc w:val="right"/>
              <w:rPr>
                <w:rFonts w:cs="Arial"/>
                <w:color w:val="auto"/>
                <w:sz w:val="18"/>
                <w:szCs w:val="18"/>
                <w:lang w:eastAsia="en-AU"/>
              </w:rPr>
            </w:pPr>
            <w:r w:rsidRPr="004B34F2">
              <w:rPr>
                <w:rFonts w:cs="Arial"/>
                <w:color w:val="000000"/>
                <w:sz w:val="18"/>
                <w:szCs w:val="18"/>
              </w:rPr>
              <w:t>6.7</w:t>
            </w:r>
          </w:p>
        </w:tc>
        <w:tc>
          <w:tcPr>
            <w:tcW w:w="1513" w:type="dxa"/>
            <w:shd w:val="clear" w:color="auto" w:fill="auto"/>
            <w:vAlign w:val="center"/>
          </w:tcPr>
          <w:p w14:paraId="46B76E55"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10.4</w:t>
            </w:r>
          </w:p>
        </w:tc>
        <w:tc>
          <w:tcPr>
            <w:tcW w:w="1513" w:type="dxa"/>
            <w:shd w:val="clear" w:color="auto" w:fill="auto"/>
            <w:vAlign w:val="center"/>
          </w:tcPr>
          <w:p w14:paraId="06107EC9"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1.2</w:t>
            </w:r>
          </w:p>
        </w:tc>
        <w:tc>
          <w:tcPr>
            <w:tcW w:w="1513" w:type="dxa"/>
            <w:shd w:val="clear" w:color="auto" w:fill="auto"/>
            <w:vAlign w:val="center"/>
          </w:tcPr>
          <w:p w14:paraId="41DC9892"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9.5</w:t>
            </w:r>
          </w:p>
        </w:tc>
      </w:tr>
      <w:tr w:rsidR="00FF59D2" w:rsidRPr="005C5A70" w14:paraId="35A78DBF" w14:textId="77777777" w:rsidTr="00160B8E">
        <w:trPr>
          <w:trHeight w:val="315"/>
        </w:trPr>
        <w:tc>
          <w:tcPr>
            <w:tcW w:w="2972" w:type="dxa"/>
            <w:shd w:val="clear" w:color="auto" w:fill="auto"/>
            <w:vAlign w:val="center"/>
          </w:tcPr>
          <w:p w14:paraId="18A5757B"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Victoria University</w:t>
            </w:r>
          </w:p>
        </w:tc>
        <w:tc>
          <w:tcPr>
            <w:tcW w:w="1513" w:type="dxa"/>
            <w:shd w:val="clear" w:color="auto" w:fill="auto"/>
            <w:vAlign w:val="center"/>
          </w:tcPr>
          <w:p w14:paraId="1E98BE49" w14:textId="77777777" w:rsidR="00FF59D2" w:rsidRPr="004B34F2"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24.8 </w:t>
            </w:r>
          </w:p>
        </w:tc>
        <w:tc>
          <w:tcPr>
            <w:tcW w:w="1513" w:type="dxa"/>
            <w:shd w:val="clear" w:color="auto" w:fill="auto"/>
            <w:vAlign w:val="center"/>
          </w:tcPr>
          <w:p w14:paraId="64C8BEC0"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8.7</w:t>
            </w:r>
          </w:p>
        </w:tc>
        <w:tc>
          <w:tcPr>
            <w:tcW w:w="1513" w:type="dxa"/>
            <w:shd w:val="clear" w:color="auto" w:fill="auto"/>
            <w:vAlign w:val="center"/>
          </w:tcPr>
          <w:p w14:paraId="044AA97D" w14:textId="77777777" w:rsidR="00FF59D2" w:rsidRPr="004B34F2" w:rsidRDefault="00FF59D2" w:rsidP="00164085">
            <w:pPr>
              <w:spacing w:after="0" w:line="240" w:lineRule="auto"/>
              <w:ind w:right="411"/>
              <w:jc w:val="right"/>
              <w:rPr>
                <w:rFonts w:cs="Arial"/>
                <w:color w:val="000000"/>
                <w:sz w:val="18"/>
                <w:szCs w:val="18"/>
                <w:lang w:eastAsia="en-AU"/>
              </w:rPr>
            </w:pPr>
            <w:r w:rsidRPr="004B34F2">
              <w:rPr>
                <w:rFonts w:cs="Arial"/>
                <w:color w:val="000000"/>
                <w:sz w:val="18"/>
                <w:szCs w:val="18"/>
              </w:rPr>
              <w:t>1.1</w:t>
            </w:r>
          </w:p>
        </w:tc>
        <w:tc>
          <w:tcPr>
            <w:tcW w:w="1513" w:type="dxa"/>
            <w:shd w:val="clear" w:color="auto" w:fill="auto"/>
            <w:vAlign w:val="center"/>
          </w:tcPr>
          <w:p w14:paraId="3F54DCCD" w14:textId="77777777" w:rsidR="00FF59D2" w:rsidRPr="004B34F2" w:rsidRDefault="00FF59D2" w:rsidP="00164085">
            <w:pPr>
              <w:spacing w:after="0" w:line="240" w:lineRule="auto"/>
              <w:ind w:right="411"/>
              <w:jc w:val="right"/>
              <w:rPr>
                <w:rFonts w:cs="Arial"/>
                <w:color w:val="000000"/>
                <w:sz w:val="18"/>
                <w:szCs w:val="18"/>
              </w:rPr>
            </w:pPr>
            <w:r w:rsidRPr="004B34F2">
              <w:rPr>
                <w:rFonts w:cs="Arial"/>
                <w:color w:val="000000"/>
                <w:sz w:val="18"/>
                <w:szCs w:val="18"/>
              </w:rPr>
              <w:t>6.9</w:t>
            </w:r>
          </w:p>
        </w:tc>
      </w:tr>
    </w:tbl>
    <w:p w14:paraId="77F5BA17"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28F0FF2A" w14:textId="77777777" w:rsidR="00FF59D2" w:rsidRDefault="00FF59D2" w:rsidP="00FF59D2"/>
    <w:p w14:paraId="4079BD02" w14:textId="77777777" w:rsidR="00FF59D2" w:rsidRDefault="00FF59D2" w:rsidP="00FF59D2">
      <w:pPr>
        <w:rPr>
          <w:rFonts w:cstheme="minorHAnsi"/>
          <w:b/>
          <w:bCs/>
          <w:color w:val="000000"/>
          <w:sz w:val="18"/>
          <w:szCs w:val="18"/>
          <w:lang w:eastAsia="en-AU"/>
        </w:rPr>
      </w:pPr>
      <w:r>
        <w:rPr>
          <w:rFonts w:cstheme="minorHAnsi"/>
          <w:b/>
          <w:bCs/>
          <w:color w:val="000000"/>
          <w:sz w:val="18"/>
          <w:szCs w:val="18"/>
          <w:lang w:eastAsia="en-AU"/>
        </w:rPr>
        <w:br w:type="page"/>
      </w:r>
    </w:p>
    <w:p w14:paraId="1954CBE6"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lastRenderedPageBreak/>
        <w:t xml:space="preserve">Table </w:t>
      </w:r>
      <w:r>
        <w:rPr>
          <w:rFonts w:cstheme="minorHAnsi"/>
          <w:b/>
          <w:bCs/>
          <w:color w:val="000000"/>
          <w:sz w:val="18"/>
          <w:szCs w:val="18"/>
          <w:lang w:eastAsia="en-AU"/>
        </w:rPr>
        <w:t xml:space="preserve">A3:  </w:t>
      </w:r>
      <w:r>
        <w:rPr>
          <w:rFonts w:cstheme="minorHAnsi"/>
          <w:color w:val="000000"/>
          <w:sz w:val="18"/>
          <w:szCs w:val="18"/>
          <w:lang w:eastAsia="en-AU"/>
        </w:rPr>
        <w:t xml:space="preserve">Queensland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4F63BFE1" w14:textId="77777777" w:rsidTr="00160B8E">
        <w:trPr>
          <w:trHeight w:val="315"/>
        </w:trPr>
        <w:tc>
          <w:tcPr>
            <w:tcW w:w="2972" w:type="dxa"/>
            <w:shd w:val="clear" w:color="auto" w:fill="auto"/>
            <w:hideMark/>
          </w:tcPr>
          <w:p w14:paraId="651EE5AF"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6D5E4E14"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55E6377F"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7BEBE211"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234CABB3"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67943836" w14:textId="77777777" w:rsidTr="00160B8E">
        <w:trPr>
          <w:trHeight w:val="315"/>
        </w:trPr>
        <w:tc>
          <w:tcPr>
            <w:tcW w:w="2972" w:type="dxa"/>
            <w:shd w:val="clear" w:color="auto" w:fill="EFE2E7" w:themeFill="text1" w:themeFillTint="1A"/>
            <w:vAlign w:val="center"/>
          </w:tcPr>
          <w:p w14:paraId="40C4EA03" w14:textId="77777777" w:rsidR="00FF59D2" w:rsidRPr="00127B3A" w:rsidRDefault="00FF59D2" w:rsidP="00164085">
            <w:pPr>
              <w:spacing w:after="0" w:line="240" w:lineRule="auto"/>
              <w:rPr>
                <w:b/>
                <w:bCs/>
                <w:sz w:val="18"/>
                <w:szCs w:val="18"/>
              </w:rPr>
            </w:pPr>
            <w:r w:rsidRPr="00127B3A">
              <w:rPr>
                <w:b/>
                <w:bCs/>
                <w:sz w:val="18"/>
                <w:szCs w:val="18"/>
              </w:rPr>
              <w:t>QLD Equity Reference Value</w:t>
            </w:r>
          </w:p>
        </w:tc>
        <w:tc>
          <w:tcPr>
            <w:tcW w:w="1513" w:type="dxa"/>
            <w:shd w:val="clear" w:color="auto" w:fill="EFE2E7" w:themeFill="text1" w:themeFillTint="1A"/>
            <w:vAlign w:val="center"/>
          </w:tcPr>
          <w:p w14:paraId="5D5255AC"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auto"/>
                <w:sz w:val="18"/>
                <w:szCs w:val="18"/>
                <w:lang w:eastAsia="en-AU"/>
              </w:rPr>
              <w:t>28.1</w:t>
            </w:r>
          </w:p>
        </w:tc>
        <w:tc>
          <w:tcPr>
            <w:tcW w:w="1513" w:type="dxa"/>
            <w:shd w:val="clear" w:color="auto" w:fill="EFE2E7" w:themeFill="text1" w:themeFillTint="1A"/>
            <w:vAlign w:val="center"/>
          </w:tcPr>
          <w:p w14:paraId="3AAD867E"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35.6</w:t>
            </w:r>
          </w:p>
        </w:tc>
        <w:tc>
          <w:tcPr>
            <w:tcW w:w="1513" w:type="dxa"/>
            <w:shd w:val="clear" w:color="auto" w:fill="EFE2E7" w:themeFill="text1" w:themeFillTint="1A"/>
            <w:vAlign w:val="center"/>
          </w:tcPr>
          <w:p w14:paraId="2E0D75E7"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4.4</w:t>
            </w:r>
          </w:p>
        </w:tc>
        <w:tc>
          <w:tcPr>
            <w:tcW w:w="1513" w:type="dxa"/>
            <w:shd w:val="clear" w:color="auto" w:fill="EFE2E7" w:themeFill="text1" w:themeFillTint="1A"/>
            <w:vAlign w:val="center"/>
          </w:tcPr>
          <w:p w14:paraId="5570E87F" w14:textId="77777777" w:rsidR="00FF59D2" w:rsidRPr="00127B3A" w:rsidRDefault="00FF59D2" w:rsidP="00164085">
            <w:pPr>
              <w:spacing w:after="0" w:line="240" w:lineRule="auto"/>
              <w:ind w:right="411"/>
              <w:jc w:val="right"/>
              <w:rPr>
                <w:rFonts w:cs="Arial"/>
                <w:b/>
                <w:bCs/>
                <w:color w:val="000000"/>
                <w:sz w:val="18"/>
                <w:szCs w:val="18"/>
              </w:rPr>
            </w:pPr>
            <w:r w:rsidRPr="00127B3A">
              <w:rPr>
                <w:b/>
                <w:bCs/>
                <w:sz w:val="18"/>
                <w:szCs w:val="18"/>
              </w:rPr>
              <w:t>8.4</w:t>
            </w:r>
          </w:p>
        </w:tc>
      </w:tr>
      <w:tr w:rsidR="00FF59D2" w:rsidRPr="005C5A70" w14:paraId="0BAEDF03" w14:textId="77777777" w:rsidTr="00164085">
        <w:trPr>
          <w:trHeight w:val="315"/>
        </w:trPr>
        <w:tc>
          <w:tcPr>
            <w:tcW w:w="2972" w:type="dxa"/>
            <w:shd w:val="clear" w:color="000000" w:fill="FFFFFF"/>
            <w:vAlign w:val="center"/>
          </w:tcPr>
          <w:p w14:paraId="3C3D54EC"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CQUniversity</w:t>
            </w:r>
          </w:p>
        </w:tc>
        <w:tc>
          <w:tcPr>
            <w:tcW w:w="1513" w:type="dxa"/>
            <w:shd w:val="clear" w:color="000000" w:fill="FFFFFF"/>
            <w:vAlign w:val="center"/>
          </w:tcPr>
          <w:p w14:paraId="17EFAB64" w14:textId="77777777" w:rsidR="00FF59D2" w:rsidRPr="00B4310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38.7 </w:t>
            </w:r>
          </w:p>
        </w:tc>
        <w:tc>
          <w:tcPr>
            <w:tcW w:w="1513" w:type="dxa"/>
            <w:shd w:val="clear" w:color="000000" w:fill="FFFFFF"/>
            <w:vAlign w:val="center"/>
          </w:tcPr>
          <w:p w14:paraId="608EE402"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69.6</w:t>
            </w:r>
          </w:p>
        </w:tc>
        <w:tc>
          <w:tcPr>
            <w:tcW w:w="1513" w:type="dxa"/>
            <w:shd w:val="clear" w:color="000000" w:fill="FFFFFF"/>
            <w:vAlign w:val="center"/>
          </w:tcPr>
          <w:p w14:paraId="64CE01E8"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4.7</w:t>
            </w:r>
          </w:p>
        </w:tc>
        <w:tc>
          <w:tcPr>
            <w:tcW w:w="1513" w:type="dxa"/>
            <w:shd w:val="clear" w:color="000000" w:fill="FFFFFF"/>
            <w:vAlign w:val="center"/>
          </w:tcPr>
          <w:p w14:paraId="4E2C11AC"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7.4</w:t>
            </w:r>
          </w:p>
        </w:tc>
      </w:tr>
      <w:tr w:rsidR="00FF59D2" w:rsidRPr="005C5A70" w14:paraId="1DF8A9CE" w14:textId="77777777" w:rsidTr="00160B8E">
        <w:trPr>
          <w:trHeight w:val="315"/>
        </w:trPr>
        <w:tc>
          <w:tcPr>
            <w:tcW w:w="2972" w:type="dxa"/>
            <w:shd w:val="clear" w:color="auto" w:fill="auto"/>
            <w:vAlign w:val="center"/>
          </w:tcPr>
          <w:p w14:paraId="4EAE1C4D"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Griffith University</w:t>
            </w:r>
          </w:p>
        </w:tc>
        <w:tc>
          <w:tcPr>
            <w:tcW w:w="1513" w:type="dxa"/>
            <w:shd w:val="clear" w:color="auto" w:fill="auto"/>
            <w:vAlign w:val="center"/>
          </w:tcPr>
          <w:p w14:paraId="0880A83E" w14:textId="77777777" w:rsidR="00FF59D2" w:rsidRPr="00B4310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15.8 </w:t>
            </w:r>
          </w:p>
        </w:tc>
        <w:tc>
          <w:tcPr>
            <w:tcW w:w="1513" w:type="dxa"/>
            <w:shd w:val="clear" w:color="auto" w:fill="auto"/>
            <w:vAlign w:val="center"/>
          </w:tcPr>
          <w:p w14:paraId="4AC30613"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9.2</w:t>
            </w:r>
          </w:p>
        </w:tc>
        <w:tc>
          <w:tcPr>
            <w:tcW w:w="1513" w:type="dxa"/>
            <w:shd w:val="clear" w:color="auto" w:fill="auto"/>
            <w:vAlign w:val="center"/>
          </w:tcPr>
          <w:p w14:paraId="36CCDF8B"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2.9</w:t>
            </w:r>
          </w:p>
        </w:tc>
        <w:tc>
          <w:tcPr>
            <w:tcW w:w="1513" w:type="dxa"/>
            <w:shd w:val="clear" w:color="auto" w:fill="auto"/>
            <w:vAlign w:val="center"/>
          </w:tcPr>
          <w:p w14:paraId="6CA8ACC3"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10.1</w:t>
            </w:r>
          </w:p>
        </w:tc>
      </w:tr>
      <w:tr w:rsidR="00FF59D2" w:rsidRPr="005C5A70" w14:paraId="293011E0" w14:textId="77777777" w:rsidTr="00160B8E">
        <w:trPr>
          <w:trHeight w:val="315"/>
        </w:trPr>
        <w:tc>
          <w:tcPr>
            <w:tcW w:w="2972" w:type="dxa"/>
            <w:shd w:val="clear" w:color="auto" w:fill="auto"/>
            <w:vAlign w:val="center"/>
          </w:tcPr>
          <w:p w14:paraId="67970C24"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James Cook University</w:t>
            </w:r>
          </w:p>
        </w:tc>
        <w:tc>
          <w:tcPr>
            <w:tcW w:w="1513" w:type="dxa"/>
            <w:shd w:val="clear" w:color="auto" w:fill="auto"/>
            <w:vAlign w:val="center"/>
          </w:tcPr>
          <w:p w14:paraId="28B9A5C9" w14:textId="77777777" w:rsidR="00FF59D2" w:rsidRPr="00B4310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25.4 </w:t>
            </w:r>
          </w:p>
        </w:tc>
        <w:tc>
          <w:tcPr>
            <w:tcW w:w="1513" w:type="dxa"/>
            <w:shd w:val="clear" w:color="auto" w:fill="auto"/>
            <w:vAlign w:val="center"/>
          </w:tcPr>
          <w:p w14:paraId="7519C84A"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88.6</w:t>
            </w:r>
          </w:p>
        </w:tc>
        <w:tc>
          <w:tcPr>
            <w:tcW w:w="1513" w:type="dxa"/>
            <w:shd w:val="clear" w:color="auto" w:fill="auto"/>
            <w:vAlign w:val="center"/>
          </w:tcPr>
          <w:p w14:paraId="7925A887"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6.7</w:t>
            </w:r>
          </w:p>
        </w:tc>
        <w:tc>
          <w:tcPr>
            <w:tcW w:w="1513" w:type="dxa"/>
            <w:shd w:val="clear" w:color="auto" w:fill="auto"/>
            <w:vAlign w:val="center"/>
          </w:tcPr>
          <w:p w14:paraId="34BF47BE"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7.3</w:t>
            </w:r>
          </w:p>
        </w:tc>
      </w:tr>
      <w:tr w:rsidR="00FF59D2" w:rsidRPr="005C5A70" w14:paraId="7CA26A1C" w14:textId="77777777" w:rsidTr="00160B8E">
        <w:trPr>
          <w:trHeight w:val="315"/>
        </w:trPr>
        <w:tc>
          <w:tcPr>
            <w:tcW w:w="2972" w:type="dxa"/>
            <w:shd w:val="clear" w:color="auto" w:fill="auto"/>
            <w:vAlign w:val="center"/>
          </w:tcPr>
          <w:p w14:paraId="342A8DA6" w14:textId="77777777" w:rsidR="00FF59D2" w:rsidRPr="00130AD8" w:rsidRDefault="00FF59D2" w:rsidP="00164085">
            <w:pPr>
              <w:spacing w:after="0" w:line="240" w:lineRule="auto"/>
              <w:rPr>
                <w:rFonts w:cs="Arial"/>
                <w:color w:val="auto"/>
                <w:sz w:val="18"/>
                <w:szCs w:val="18"/>
                <w:lang w:eastAsia="en-AU"/>
              </w:rPr>
            </w:pPr>
            <w:r w:rsidRPr="00130AD8">
              <w:rPr>
                <w:sz w:val="18"/>
                <w:szCs w:val="18"/>
              </w:rPr>
              <w:t>Queensland University of Technology</w:t>
            </w:r>
          </w:p>
        </w:tc>
        <w:tc>
          <w:tcPr>
            <w:tcW w:w="1513" w:type="dxa"/>
            <w:shd w:val="clear" w:color="auto" w:fill="auto"/>
            <w:vAlign w:val="center"/>
          </w:tcPr>
          <w:p w14:paraId="5F88F9E3" w14:textId="77777777" w:rsidR="00FF59D2" w:rsidRPr="00B43100"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11.4 </w:t>
            </w:r>
          </w:p>
        </w:tc>
        <w:tc>
          <w:tcPr>
            <w:tcW w:w="1513" w:type="dxa"/>
            <w:shd w:val="clear" w:color="auto" w:fill="auto"/>
            <w:vAlign w:val="center"/>
          </w:tcPr>
          <w:p w14:paraId="24E7587A" w14:textId="77777777" w:rsidR="00FF59D2" w:rsidRPr="00B43100" w:rsidRDefault="00FF59D2" w:rsidP="00164085">
            <w:pPr>
              <w:spacing w:after="0" w:line="240" w:lineRule="auto"/>
              <w:ind w:right="411"/>
              <w:jc w:val="right"/>
              <w:rPr>
                <w:rFonts w:cs="Arial"/>
                <w:color w:val="auto"/>
                <w:sz w:val="18"/>
                <w:szCs w:val="18"/>
                <w:lang w:eastAsia="en-AU"/>
              </w:rPr>
            </w:pPr>
            <w:r w:rsidRPr="00B43100">
              <w:rPr>
                <w:rFonts w:cs="Arial"/>
                <w:color w:val="000000"/>
                <w:sz w:val="18"/>
                <w:szCs w:val="18"/>
              </w:rPr>
              <w:t>7.9</w:t>
            </w:r>
          </w:p>
        </w:tc>
        <w:tc>
          <w:tcPr>
            <w:tcW w:w="1513" w:type="dxa"/>
            <w:shd w:val="clear" w:color="auto" w:fill="auto"/>
            <w:vAlign w:val="center"/>
          </w:tcPr>
          <w:p w14:paraId="5A3A0015" w14:textId="77777777" w:rsidR="00FF59D2" w:rsidRPr="00B43100" w:rsidRDefault="00FF59D2" w:rsidP="00164085">
            <w:pPr>
              <w:spacing w:after="0" w:line="240" w:lineRule="auto"/>
              <w:ind w:right="411"/>
              <w:jc w:val="right"/>
              <w:rPr>
                <w:rFonts w:cs="Arial"/>
                <w:color w:val="auto"/>
                <w:sz w:val="18"/>
                <w:szCs w:val="18"/>
                <w:lang w:eastAsia="en-AU"/>
              </w:rPr>
            </w:pPr>
            <w:r w:rsidRPr="00B43100">
              <w:rPr>
                <w:rFonts w:cs="Arial"/>
                <w:color w:val="000000"/>
                <w:sz w:val="18"/>
                <w:szCs w:val="18"/>
              </w:rPr>
              <w:t>2.2</w:t>
            </w:r>
          </w:p>
        </w:tc>
        <w:tc>
          <w:tcPr>
            <w:tcW w:w="1513" w:type="dxa"/>
            <w:shd w:val="clear" w:color="auto" w:fill="auto"/>
            <w:vAlign w:val="center"/>
          </w:tcPr>
          <w:p w14:paraId="7E221591" w14:textId="77777777" w:rsidR="00FF59D2" w:rsidRPr="00B43100" w:rsidRDefault="00FF59D2" w:rsidP="00164085">
            <w:pPr>
              <w:spacing w:after="0" w:line="240" w:lineRule="auto"/>
              <w:ind w:right="411"/>
              <w:jc w:val="right"/>
              <w:rPr>
                <w:rFonts w:cs="Arial"/>
                <w:color w:val="auto"/>
                <w:sz w:val="18"/>
                <w:szCs w:val="18"/>
              </w:rPr>
            </w:pPr>
            <w:r w:rsidRPr="00B43100">
              <w:rPr>
                <w:rFonts w:cs="Arial"/>
                <w:color w:val="000000"/>
                <w:sz w:val="18"/>
                <w:szCs w:val="18"/>
              </w:rPr>
              <w:t>6.9</w:t>
            </w:r>
          </w:p>
        </w:tc>
      </w:tr>
      <w:tr w:rsidR="00FF59D2" w:rsidRPr="005C5A70" w14:paraId="75F3D90A" w14:textId="77777777" w:rsidTr="00160B8E">
        <w:trPr>
          <w:trHeight w:val="315"/>
        </w:trPr>
        <w:tc>
          <w:tcPr>
            <w:tcW w:w="2972" w:type="dxa"/>
            <w:shd w:val="clear" w:color="auto" w:fill="auto"/>
            <w:vAlign w:val="center"/>
          </w:tcPr>
          <w:p w14:paraId="7DCDBFE9"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The University of Queensland</w:t>
            </w:r>
          </w:p>
        </w:tc>
        <w:tc>
          <w:tcPr>
            <w:tcW w:w="1513" w:type="dxa"/>
            <w:shd w:val="clear" w:color="auto" w:fill="auto"/>
            <w:vAlign w:val="center"/>
          </w:tcPr>
          <w:p w14:paraId="594844B4" w14:textId="77777777" w:rsidR="00FF59D2" w:rsidRPr="00B43100"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10.5 </w:t>
            </w:r>
          </w:p>
        </w:tc>
        <w:tc>
          <w:tcPr>
            <w:tcW w:w="1513" w:type="dxa"/>
            <w:shd w:val="clear" w:color="auto" w:fill="auto"/>
            <w:vAlign w:val="center"/>
          </w:tcPr>
          <w:p w14:paraId="44809F5B"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13.9</w:t>
            </w:r>
          </w:p>
        </w:tc>
        <w:tc>
          <w:tcPr>
            <w:tcW w:w="1513" w:type="dxa"/>
            <w:shd w:val="clear" w:color="auto" w:fill="auto"/>
            <w:vAlign w:val="center"/>
          </w:tcPr>
          <w:p w14:paraId="156E4A77"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1.4</w:t>
            </w:r>
          </w:p>
        </w:tc>
        <w:tc>
          <w:tcPr>
            <w:tcW w:w="1513" w:type="dxa"/>
            <w:shd w:val="clear" w:color="auto" w:fill="auto"/>
            <w:vAlign w:val="center"/>
          </w:tcPr>
          <w:p w14:paraId="432B79FE"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14.5</w:t>
            </w:r>
          </w:p>
        </w:tc>
      </w:tr>
      <w:tr w:rsidR="00FF59D2" w:rsidRPr="005C5A70" w14:paraId="710C6CEF" w14:textId="77777777" w:rsidTr="00160B8E">
        <w:trPr>
          <w:trHeight w:val="315"/>
        </w:trPr>
        <w:tc>
          <w:tcPr>
            <w:tcW w:w="2972" w:type="dxa"/>
            <w:shd w:val="clear" w:color="auto" w:fill="auto"/>
            <w:vAlign w:val="center"/>
          </w:tcPr>
          <w:p w14:paraId="26DA57AF"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University of Southern Queensland</w:t>
            </w:r>
          </w:p>
        </w:tc>
        <w:tc>
          <w:tcPr>
            <w:tcW w:w="1513" w:type="dxa"/>
            <w:shd w:val="clear" w:color="auto" w:fill="auto"/>
            <w:vAlign w:val="center"/>
          </w:tcPr>
          <w:p w14:paraId="2162A294" w14:textId="77777777" w:rsidR="00FF59D2" w:rsidRPr="00B43100"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31.2 </w:t>
            </w:r>
          </w:p>
        </w:tc>
        <w:tc>
          <w:tcPr>
            <w:tcW w:w="1513" w:type="dxa"/>
            <w:shd w:val="clear" w:color="auto" w:fill="auto"/>
            <w:vAlign w:val="center"/>
          </w:tcPr>
          <w:p w14:paraId="6003BE9D"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45.2</w:t>
            </w:r>
          </w:p>
        </w:tc>
        <w:tc>
          <w:tcPr>
            <w:tcW w:w="1513" w:type="dxa"/>
            <w:shd w:val="clear" w:color="auto" w:fill="auto"/>
            <w:vAlign w:val="center"/>
          </w:tcPr>
          <w:p w14:paraId="0AB46561"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4.0</w:t>
            </w:r>
          </w:p>
        </w:tc>
        <w:tc>
          <w:tcPr>
            <w:tcW w:w="1513" w:type="dxa"/>
            <w:shd w:val="clear" w:color="auto" w:fill="auto"/>
            <w:vAlign w:val="center"/>
          </w:tcPr>
          <w:p w14:paraId="45A1F3A2"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10.6</w:t>
            </w:r>
          </w:p>
        </w:tc>
      </w:tr>
      <w:tr w:rsidR="00FF59D2" w:rsidRPr="005C5A70" w14:paraId="5CEA8357" w14:textId="77777777" w:rsidTr="00160B8E">
        <w:trPr>
          <w:trHeight w:val="315"/>
        </w:trPr>
        <w:tc>
          <w:tcPr>
            <w:tcW w:w="2972" w:type="dxa"/>
            <w:shd w:val="clear" w:color="auto" w:fill="auto"/>
            <w:vAlign w:val="center"/>
          </w:tcPr>
          <w:p w14:paraId="04BBF9EC"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University of the Sunshine Coast</w:t>
            </w:r>
          </w:p>
        </w:tc>
        <w:tc>
          <w:tcPr>
            <w:tcW w:w="1513" w:type="dxa"/>
            <w:shd w:val="clear" w:color="auto" w:fill="auto"/>
            <w:vAlign w:val="center"/>
          </w:tcPr>
          <w:p w14:paraId="3A6F9832" w14:textId="77777777" w:rsidR="00FF59D2" w:rsidRPr="00B43100"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22.8 </w:t>
            </w:r>
          </w:p>
        </w:tc>
        <w:tc>
          <w:tcPr>
            <w:tcW w:w="1513" w:type="dxa"/>
            <w:shd w:val="clear" w:color="auto" w:fill="auto"/>
            <w:vAlign w:val="center"/>
          </w:tcPr>
          <w:p w14:paraId="662E7840"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23.1</w:t>
            </w:r>
          </w:p>
        </w:tc>
        <w:tc>
          <w:tcPr>
            <w:tcW w:w="1513" w:type="dxa"/>
            <w:shd w:val="clear" w:color="auto" w:fill="auto"/>
            <w:vAlign w:val="center"/>
          </w:tcPr>
          <w:p w14:paraId="1FC81109"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3.6</w:t>
            </w:r>
          </w:p>
        </w:tc>
        <w:tc>
          <w:tcPr>
            <w:tcW w:w="1513" w:type="dxa"/>
            <w:shd w:val="clear" w:color="auto" w:fill="auto"/>
            <w:vAlign w:val="center"/>
          </w:tcPr>
          <w:p w14:paraId="59423B51"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12.4</w:t>
            </w:r>
          </w:p>
        </w:tc>
      </w:tr>
    </w:tbl>
    <w:p w14:paraId="2BBD968B"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23452897" w14:textId="77777777" w:rsidR="00FF59D2" w:rsidRDefault="00FF59D2" w:rsidP="00FF59D2"/>
    <w:p w14:paraId="2F32F762" w14:textId="77777777" w:rsidR="00FF59D2" w:rsidRDefault="00FF59D2" w:rsidP="00FF59D2">
      <w:pPr>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A4:  </w:t>
      </w:r>
      <w:r>
        <w:rPr>
          <w:rFonts w:cstheme="minorHAnsi"/>
          <w:color w:val="000000"/>
          <w:sz w:val="18"/>
          <w:szCs w:val="18"/>
          <w:lang w:eastAsia="en-AU"/>
        </w:rPr>
        <w:t xml:space="preserve">Western Australia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4D81FE32" w14:textId="77777777" w:rsidTr="00160B8E">
        <w:trPr>
          <w:trHeight w:val="315"/>
        </w:trPr>
        <w:tc>
          <w:tcPr>
            <w:tcW w:w="2972" w:type="dxa"/>
            <w:shd w:val="clear" w:color="auto" w:fill="auto"/>
            <w:hideMark/>
          </w:tcPr>
          <w:p w14:paraId="51492BDD"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7F249F23"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3AFA0A76"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25701760"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583D94CA"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53EBC06A" w14:textId="77777777" w:rsidTr="00160B8E">
        <w:trPr>
          <w:trHeight w:val="315"/>
        </w:trPr>
        <w:tc>
          <w:tcPr>
            <w:tcW w:w="2972" w:type="dxa"/>
            <w:shd w:val="clear" w:color="auto" w:fill="EFE2E7" w:themeFill="text1" w:themeFillTint="1A"/>
            <w:vAlign w:val="center"/>
          </w:tcPr>
          <w:p w14:paraId="0F01A4D3" w14:textId="77777777" w:rsidR="00FF59D2" w:rsidRPr="00127B3A" w:rsidRDefault="00FF59D2" w:rsidP="00164085">
            <w:pPr>
              <w:spacing w:after="0" w:line="240" w:lineRule="auto"/>
              <w:rPr>
                <w:rFonts w:cs="Arial"/>
                <w:b/>
                <w:bCs/>
                <w:sz w:val="18"/>
                <w:szCs w:val="18"/>
              </w:rPr>
            </w:pPr>
            <w:r w:rsidRPr="00127B3A">
              <w:rPr>
                <w:b/>
                <w:bCs/>
                <w:sz w:val="18"/>
                <w:szCs w:val="18"/>
              </w:rPr>
              <w:t>WA Equity Reference Value</w:t>
            </w:r>
          </w:p>
        </w:tc>
        <w:tc>
          <w:tcPr>
            <w:tcW w:w="1513" w:type="dxa"/>
            <w:shd w:val="clear" w:color="auto" w:fill="EFE2E7" w:themeFill="text1" w:themeFillTint="1A"/>
            <w:vAlign w:val="center"/>
          </w:tcPr>
          <w:p w14:paraId="4D1CF244"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22.8</w:t>
            </w:r>
          </w:p>
        </w:tc>
        <w:tc>
          <w:tcPr>
            <w:tcW w:w="1513" w:type="dxa"/>
            <w:shd w:val="clear" w:color="auto" w:fill="EFE2E7" w:themeFill="text1" w:themeFillTint="1A"/>
            <w:vAlign w:val="center"/>
          </w:tcPr>
          <w:p w14:paraId="6A86FCB5"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21.7</w:t>
            </w:r>
          </w:p>
        </w:tc>
        <w:tc>
          <w:tcPr>
            <w:tcW w:w="1513" w:type="dxa"/>
            <w:shd w:val="clear" w:color="auto" w:fill="EFE2E7" w:themeFill="text1" w:themeFillTint="1A"/>
            <w:vAlign w:val="center"/>
          </w:tcPr>
          <w:p w14:paraId="57999C12"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4.0</w:t>
            </w:r>
          </w:p>
        </w:tc>
        <w:tc>
          <w:tcPr>
            <w:tcW w:w="1513" w:type="dxa"/>
            <w:shd w:val="clear" w:color="auto" w:fill="EFE2E7" w:themeFill="text1" w:themeFillTint="1A"/>
            <w:vAlign w:val="center"/>
          </w:tcPr>
          <w:p w14:paraId="3B054318" w14:textId="77777777" w:rsidR="00FF59D2" w:rsidRPr="00127B3A" w:rsidRDefault="00FF59D2" w:rsidP="00164085">
            <w:pPr>
              <w:spacing w:after="0" w:line="240" w:lineRule="auto"/>
              <w:ind w:right="411"/>
              <w:jc w:val="right"/>
              <w:rPr>
                <w:rFonts w:cs="Arial"/>
                <w:b/>
                <w:bCs/>
                <w:color w:val="000000"/>
                <w:sz w:val="18"/>
                <w:szCs w:val="18"/>
              </w:rPr>
            </w:pPr>
            <w:r w:rsidRPr="00127B3A">
              <w:rPr>
                <w:b/>
                <w:bCs/>
                <w:sz w:val="18"/>
                <w:szCs w:val="18"/>
              </w:rPr>
              <w:t>8.4</w:t>
            </w:r>
          </w:p>
        </w:tc>
      </w:tr>
      <w:tr w:rsidR="00FF59D2" w:rsidRPr="005C5A70" w14:paraId="51950805" w14:textId="77777777" w:rsidTr="00164085">
        <w:trPr>
          <w:trHeight w:val="315"/>
        </w:trPr>
        <w:tc>
          <w:tcPr>
            <w:tcW w:w="2972" w:type="dxa"/>
            <w:shd w:val="clear" w:color="000000" w:fill="FFFFFF"/>
            <w:vAlign w:val="center"/>
          </w:tcPr>
          <w:p w14:paraId="16419467"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Curtin University</w:t>
            </w:r>
          </w:p>
        </w:tc>
        <w:tc>
          <w:tcPr>
            <w:tcW w:w="1513" w:type="dxa"/>
            <w:shd w:val="clear" w:color="000000" w:fill="FFFFFF"/>
            <w:vAlign w:val="center"/>
          </w:tcPr>
          <w:p w14:paraId="6CE6EA7D" w14:textId="77777777" w:rsidR="00FF59D2" w:rsidRPr="00B4310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16.5 </w:t>
            </w:r>
          </w:p>
        </w:tc>
        <w:tc>
          <w:tcPr>
            <w:tcW w:w="1513" w:type="dxa"/>
            <w:shd w:val="clear" w:color="000000" w:fill="FFFFFF"/>
            <w:vAlign w:val="center"/>
          </w:tcPr>
          <w:p w14:paraId="71BEAAA7"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12.1</w:t>
            </w:r>
          </w:p>
        </w:tc>
        <w:tc>
          <w:tcPr>
            <w:tcW w:w="1513" w:type="dxa"/>
            <w:shd w:val="clear" w:color="000000" w:fill="FFFFFF"/>
            <w:vAlign w:val="center"/>
          </w:tcPr>
          <w:p w14:paraId="3AA5C294"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1.5</w:t>
            </w:r>
          </w:p>
        </w:tc>
        <w:tc>
          <w:tcPr>
            <w:tcW w:w="1513" w:type="dxa"/>
            <w:shd w:val="clear" w:color="000000" w:fill="FFFFFF"/>
            <w:vAlign w:val="center"/>
          </w:tcPr>
          <w:p w14:paraId="04266FA0"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7.6</w:t>
            </w:r>
          </w:p>
        </w:tc>
      </w:tr>
      <w:tr w:rsidR="00FF59D2" w:rsidRPr="005C5A70" w14:paraId="432BF077" w14:textId="77777777" w:rsidTr="00160B8E">
        <w:trPr>
          <w:trHeight w:val="315"/>
        </w:trPr>
        <w:tc>
          <w:tcPr>
            <w:tcW w:w="2972" w:type="dxa"/>
            <w:shd w:val="clear" w:color="auto" w:fill="auto"/>
            <w:vAlign w:val="center"/>
          </w:tcPr>
          <w:p w14:paraId="5D6178D0"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Edith Cowan University</w:t>
            </w:r>
          </w:p>
        </w:tc>
        <w:tc>
          <w:tcPr>
            <w:tcW w:w="1513" w:type="dxa"/>
            <w:shd w:val="clear" w:color="auto" w:fill="auto"/>
            <w:vAlign w:val="center"/>
          </w:tcPr>
          <w:p w14:paraId="7F64AAF6" w14:textId="77777777" w:rsidR="00FF59D2" w:rsidRPr="00B4310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18.0 </w:t>
            </w:r>
          </w:p>
        </w:tc>
        <w:tc>
          <w:tcPr>
            <w:tcW w:w="1513" w:type="dxa"/>
            <w:shd w:val="clear" w:color="auto" w:fill="auto"/>
            <w:vAlign w:val="center"/>
          </w:tcPr>
          <w:p w14:paraId="53FF92AE"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13.0</w:t>
            </w:r>
          </w:p>
        </w:tc>
        <w:tc>
          <w:tcPr>
            <w:tcW w:w="1513" w:type="dxa"/>
            <w:shd w:val="clear" w:color="auto" w:fill="auto"/>
            <w:vAlign w:val="center"/>
          </w:tcPr>
          <w:p w14:paraId="0EAB0C09"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1.7</w:t>
            </w:r>
          </w:p>
        </w:tc>
        <w:tc>
          <w:tcPr>
            <w:tcW w:w="1513" w:type="dxa"/>
            <w:shd w:val="clear" w:color="auto" w:fill="auto"/>
            <w:vAlign w:val="center"/>
          </w:tcPr>
          <w:p w14:paraId="52F95B2F"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7.5</w:t>
            </w:r>
          </w:p>
        </w:tc>
      </w:tr>
      <w:tr w:rsidR="00FF59D2" w:rsidRPr="005C5A70" w14:paraId="042372FF" w14:textId="77777777" w:rsidTr="00160B8E">
        <w:trPr>
          <w:trHeight w:val="315"/>
        </w:trPr>
        <w:tc>
          <w:tcPr>
            <w:tcW w:w="2972" w:type="dxa"/>
            <w:shd w:val="clear" w:color="auto" w:fill="auto"/>
            <w:vAlign w:val="center"/>
          </w:tcPr>
          <w:p w14:paraId="07B4EFA2"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Murdoch University</w:t>
            </w:r>
          </w:p>
        </w:tc>
        <w:tc>
          <w:tcPr>
            <w:tcW w:w="1513" w:type="dxa"/>
            <w:shd w:val="clear" w:color="auto" w:fill="auto"/>
            <w:vAlign w:val="center"/>
          </w:tcPr>
          <w:p w14:paraId="4359CAA1" w14:textId="77777777" w:rsidR="00FF59D2" w:rsidRPr="00B4310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21.4 </w:t>
            </w:r>
          </w:p>
        </w:tc>
        <w:tc>
          <w:tcPr>
            <w:tcW w:w="1513" w:type="dxa"/>
            <w:shd w:val="clear" w:color="auto" w:fill="auto"/>
            <w:vAlign w:val="center"/>
          </w:tcPr>
          <w:p w14:paraId="66BF65D7"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8.1</w:t>
            </w:r>
          </w:p>
        </w:tc>
        <w:tc>
          <w:tcPr>
            <w:tcW w:w="1513" w:type="dxa"/>
            <w:shd w:val="clear" w:color="auto" w:fill="auto"/>
            <w:vAlign w:val="center"/>
          </w:tcPr>
          <w:p w14:paraId="57B2E3C3"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2.2</w:t>
            </w:r>
          </w:p>
        </w:tc>
        <w:tc>
          <w:tcPr>
            <w:tcW w:w="1513" w:type="dxa"/>
            <w:shd w:val="clear" w:color="auto" w:fill="auto"/>
            <w:vAlign w:val="center"/>
          </w:tcPr>
          <w:p w14:paraId="04D896F2"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9.8</w:t>
            </w:r>
          </w:p>
        </w:tc>
      </w:tr>
      <w:tr w:rsidR="00FF59D2" w:rsidRPr="005C5A70" w14:paraId="2D06BA12" w14:textId="77777777" w:rsidTr="00160B8E">
        <w:trPr>
          <w:trHeight w:val="315"/>
        </w:trPr>
        <w:tc>
          <w:tcPr>
            <w:tcW w:w="2972" w:type="dxa"/>
            <w:shd w:val="clear" w:color="auto" w:fill="auto"/>
            <w:vAlign w:val="center"/>
          </w:tcPr>
          <w:p w14:paraId="5EFF5323" w14:textId="77777777" w:rsidR="00FF59D2" w:rsidRPr="00B43100" w:rsidRDefault="00FF59D2" w:rsidP="00164085">
            <w:pPr>
              <w:spacing w:after="0" w:line="240" w:lineRule="auto"/>
              <w:rPr>
                <w:rFonts w:cs="Arial"/>
                <w:color w:val="auto"/>
                <w:sz w:val="18"/>
                <w:szCs w:val="18"/>
                <w:lang w:eastAsia="en-AU"/>
              </w:rPr>
            </w:pPr>
            <w:r w:rsidRPr="00B43100">
              <w:rPr>
                <w:rFonts w:cs="Arial"/>
                <w:sz w:val="18"/>
                <w:szCs w:val="18"/>
              </w:rPr>
              <w:t>The University of Notre Dame Australia</w:t>
            </w:r>
          </w:p>
        </w:tc>
        <w:tc>
          <w:tcPr>
            <w:tcW w:w="1513" w:type="dxa"/>
            <w:shd w:val="clear" w:color="auto" w:fill="auto"/>
            <w:vAlign w:val="center"/>
          </w:tcPr>
          <w:p w14:paraId="04254FE4" w14:textId="77777777" w:rsidR="00FF59D2" w:rsidRPr="00B43100"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9.0 </w:t>
            </w:r>
          </w:p>
        </w:tc>
        <w:tc>
          <w:tcPr>
            <w:tcW w:w="1513" w:type="dxa"/>
            <w:shd w:val="clear" w:color="auto" w:fill="auto"/>
            <w:vAlign w:val="center"/>
          </w:tcPr>
          <w:p w14:paraId="2676A011" w14:textId="77777777" w:rsidR="00FF59D2" w:rsidRPr="00B43100" w:rsidRDefault="00FF59D2" w:rsidP="00164085">
            <w:pPr>
              <w:spacing w:after="0" w:line="240" w:lineRule="auto"/>
              <w:ind w:right="411"/>
              <w:jc w:val="right"/>
              <w:rPr>
                <w:rFonts w:cs="Arial"/>
                <w:color w:val="auto"/>
                <w:sz w:val="18"/>
                <w:szCs w:val="18"/>
                <w:lang w:eastAsia="en-AU"/>
              </w:rPr>
            </w:pPr>
            <w:r w:rsidRPr="00B43100">
              <w:rPr>
                <w:rFonts w:cs="Arial"/>
                <w:color w:val="000000"/>
                <w:sz w:val="18"/>
                <w:szCs w:val="18"/>
              </w:rPr>
              <w:t>3.9</w:t>
            </w:r>
          </w:p>
        </w:tc>
        <w:tc>
          <w:tcPr>
            <w:tcW w:w="1513" w:type="dxa"/>
            <w:shd w:val="clear" w:color="auto" w:fill="auto"/>
            <w:vAlign w:val="center"/>
          </w:tcPr>
          <w:p w14:paraId="2FE77588" w14:textId="77777777" w:rsidR="00FF59D2" w:rsidRPr="00B43100" w:rsidRDefault="00FF59D2" w:rsidP="00164085">
            <w:pPr>
              <w:spacing w:after="0" w:line="240" w:lineRule="auto"/>
              <w:ind w:right="411"/>
              <w:jc w:val="right"/>
              <w:rPr>
                <w:rFonts w:cs="Arial"/>
                <w:color w:val="auto"/>
                <w:sz w:val="18"/>
                <w:szCs w:val="18"/>
                <w:lang w:eastAsia="en-AU"/>
              </w:rPr>
            </w:pPr>
            <w:r w:rsidRPr="00B43100">
              <w:rPr>
                <w:rFonts w:cs="Arial"/>
                <w:color w:val="000000"/>
                <w:sz w:val="18"/>
                <w:szCs w:val="18"/>
              </w:rPr>
              <w:t>1.2</w:t>
            </w:r>
          </w:p>
        </w:tc>
        <w:tc>
          <w:tcPr>
            <w:tcW w:w="1513" w:type="dxa"/>
            <w:shd w:val="clear" w:color="auto" w:fill="auto"/>
            <w:vAlign w:val="center"/>
          </w:tcPr>
          <w:p w14:paraId="5D94B593" w14:textId="77777777" w:rsidR="00FF59D2" w:rsidRPr="00B43100" w:rsidRDefault="00FF59D2" w:rsidP="00164085">
            <w:pPr>
              <w:spacing w:after="0" w:line="240" w:lineRule="auto"/>
              <w:ind w:right="411"/>
              <w:jc w:val="right"/>
              <w:rPr>
                <w:rFonts w:cs="Arial"/>
                <w:color w:val="auto"/>
                <w:sz w:val="18"/>
                <w:szCs w:val="18"/>
              </w:rPr>
            </w:pPr>
            <w:r w:rsidRPr="00B43100">
              <w:rPr>
                <w:rFonts w:cs="Arial"/>
                <w:color w:val="000000"/>
                <w:sz w:val="18"/>
                <w:szCs w:val="18"/>
              </w:rPr>
              <w:t>9.5</w:t>
            </w:r>
          </w:p>
        </w:tc>
      </w:tr>
      <w:tr w:rsidR="00FF59D2" w:rsidRPr="005C5A70" w14:paraId="0E9441A0" w14:textId="77777777" w:rsidTr="00160B8E">
        <w:trPr>
          <w:trHeight w:val="315"/>
        </w:trPr>
        <w:tc>
          <w:tcPr>
            <w:tcW w:w="2972" w:type="dxa"/>
            <w:shd w:val="clear" w:color="auto" w:fill="auto"/>
            <w:vAlign w:val="center"/>
          </w:tcPr>
          <w:p w14:paraId="761D0D11"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The University of Western Australia</w:t>
            </w:r>
          </w:p>
        </w:tc>
        <w:tc>
          <w:tcPr>
            <w:tcW w:w="1513" w:type="dxa"/>
            <w:shd w:val="clear" w:color="auto" w:fill="auto"/>
            <w:vAlign w:val="center"/>
          </w:tcPr>
          <w:p w14:paraId="538B3EC9" w14:textId="77777777" w:rsidR="00FF59D2" w:rsidRPr="00B43100"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10.3 </w:t>
            </w:r>
          </w:p>
        </w:tc>
        <w:tc>
          <w:tcPr>
            <w:tcW w:w="1513" w:type="dxa"/>
            <w:shd w:val="clear" w:color="auto" w:fill="auto"/>
            <w:vAlign w:val="center"/>
          </w:tcPr>
          <w:p w14:paraId="1FF4775E"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9.0</w:t>
            </w:r>
          </w:p>
        </w:tc>
        <w:tc>
          <w:tcPr>
            <w:tcW w:w="1513" w:type="dxa"/>
            <w:shd w:val="clear" w:color="auto" w:fill="auto"/>
            <w:vAlign w:val="center"/>
          </w:tcPr>
          <w:p w14:paraId="00941C88" w14:textId="77777777" w:rsidR="00FF59D2" w:rsidRPr="00B43100" w:rsidRDefault="00FF59D2" w:rsidP="00164085">
            <w:pPr>
              <w:spacing w:after="0" w:line="240" w:lineRule="auto"/>
              <w:ind w:right="411"/>
              <w:jc w:val="right"/>
              <w:rPr>
                <w:rFonts w:cs="Arial"/>
                <w:color w:val="000000"/>
                <w:sz w:val="18"/>
                <w:szCs w:val="18"/>
                <w:lang w:eastAsia="en-AU"/>
              </w:rPr>
            </w:pPr>
            <w:r w:rsidRPr="00B43100">
              <w:rPr>
                <w:rFonts w:cs="Arial"/>
                <w:color w:val="000000"/>
                <w:sz w:val="18"/>
                <w:szCs w:val="18"/>
              </w:rPr>
              <w:t>1.4</w:t>
            </w:r>
          </w:p>
        </w:tc>
        <w:tc>
          <w:tcPr>
            <w:tcW w:w="1513" w:type="dxa"/>
            <w:shd w:val="clear" w:color="auto" w:fill="auto"/>
            <w:vAlign w:val="center"/>
          </w:tcPr>
          <w:p w14:paraId="4D17368B" w14:textId="77777777" w:rsidR="00FF59D2" w:rsidRPr="00B43100" w:rsidRDefault="00FF59D2" w:rsidP="00164085">
            <w:pPr>
              <w:spacing w:after="0" w:line="240" w:lineRule="auto"/>
              <w:ind w:right="411"/>
              <w:jc w:val="right"/>
              <w:rPr>
                <w:rFonts w:cs="Arial"/>
                <w:color w:val="000000"/>
                <w:sz w:val="18"/>
                <w:szCs w:val="18"/>
              </w:rPr>
            </w:pPr>
            <w:r w:rsidRPr="00B43100">
              <w:rPr>
                <w:rFonts w:cs="Arial"/>
                <w:color w:val="000000"/>
                <w:sz w:val="18"/>
                <w:szCs w:val="18"/>
              </w:rPr>
              <w:t>13.8</w:t>
            </w:r>
          </w:p>
        </w:tc>
      </w:tr>
    </w:tbl>
    <w:p w14:paraId="68A64EDF"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4F2CA03F" w14:textId="77777777" w:rsidR="00FF59D2" w:rsidRDefault="00FF59D2" w:rsidP="00FF59D2"/>
    <w:p w14:paraId="7E0C658D"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A5:  </w:t>
      </w:r>
      <w:r>
        <w:rPr>
          <w:rFonts w:cstheme="minorHAnsi"/>
          <w:color w:val="000000"/>
          <w:sz w:val="18"/>
          <w:szCs w:val="18"/>
          <w:lang w:eastAsia="en-AU"/>
        </w:rPr>
        <w:t xml:space="preserve">South Australia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19DE196C" w14:textId="77777777" w:rsidTr="00160B8E">
        <w:trPr>
          <w:trHeight w:val="315"/>
        </w:trPr>
        <w:tc>
          <w:tcPr>
            <w:tcW w:w="2972" w:type="dxa"/>
            <w:shd w:val="clear" w:color="auto" w:fill="auto"/>
            <w:hideMark/>
          </w:tcPr>
          <w:p w14:paraId="3CA0DC2B"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022B2089"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4B8BE31D"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5094A3FB"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7163B9DC"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3D16A828" w14:textId="77777777" w:rsidTr="00160B8E">
        <w:trPr>
          <w:trHeight w:val="315"/>
        </w:trPr>
        <w:tc>
          <w:tcPr>
            <w:tcW w:w="2972" w:type="dxa"/>
            <w:shd w:val="clear" w:color="auto" w:fill="EFE2E7" w:themeFill="text1" w:themeFillTint="1A"/>
            <w:vAlign w:val="center"/>
          </w:tcPr>
          <w:p w14:paraId="7881F84E" w14:textId="77777777" w:rsidR="00FF59D2" w:rsidRPr="00127B3A" w:rsidRDefault="00FF59D2" w:rsidP="00164085">
            <w:pPr>
              <w:spacing w:after="0" w:line="240" w:lineRule="auto"/>
              <w:rPr>
                <w:rFonts w:cs="Arial"/>
                <w:b/>
                <w:bCs/>
                <w:color w:val="000000"/>
                <w:sz w:val="18"/>
                <w:szCs w:val="18"/>
              </w:rPr>
            </w:pPr>
            <w:r w:rsidRPr="00127B3A">
              <w:rPr>
                <w:b/>
                <w:bCs/>
                <w:sz w:val="18"/>
                <w:szCs w:val="18"/>
              </w:rPr>
              <w:t>SA Equity Reference Value</w:t>
            </w:r>
          </w:p>
        </w:tc>
        <w:tc>
          <w:tcPr>
            <w:tcW w:w="1513" w:type="dxa"/>
            <w:shd w:val="clear" w:color="auto" w:fill="EFE2E7" w:themeFill="text1" w:themeFillTint="1A"/>
            <w:vAlign w:val="center"/>
          </w:tcPr>
          <w:p w14:paraId="2D1FD1C2"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30.0</w:t>
            </w:r>
          </w:p>
        </w:tc>
        <w:tc>
          <w:tcPr>
            <w:tcW w:w="1513" w:type="dxa"/>
            <w:shd w:val="clear" w:color="auto" w:fill="EFE2E7" w:themeFill="text1" w:themeFillTint="1A"/>
            <w:vAlign w:val="center"/>
          </w:tcPr>
          <w:p w14:paraId="38BEB80C"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25.3</w:t>
            </w:r>
          </w:p>
        </w:tc>
        <w:tc>
          <w:tcPr>
            <w:tcW w:w="1513" w:type="dxa"/>
            <w:shd w:val="clear" w:color="auto" w:fill="EFE2E7" w:themeFill="text1" w:themeFillTint="1A"/>
            <w:vAlign w:val="center"/>
          </w:tcPr>
          <w:p w14:paraId="07A78386"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2.6</w:t>
            </w:r>
          </w:p>
        </w:tc>
        <w:tc>
          <w:tcPr>
            <w:tcW w:w="1513" w:type="dxa"/>
            <w:shd w:val="clear" w:color="auto" w:fill="EFE2E7" w:themeFill="text1" w:themeFillTint="1A"/>
            <w:vAlign w:val="center"/>
          </w:tcPr>
          <w:p w14:paraId="406D5304" w14:textId="77777777" w:rsidR="00FF59D2" w:rsidRPr="00127B3A" w:rsidRDefault="00FF59D2" w:rsidP="00164085">
            <w:pPr>
              <w:spacing w:after="0" w:line="240" w:lineRule="auto"/>
              <w:ind w:right="411"/>
              <w:jc w:val="right"/>
              <w:rPr>
                <w:rFonts w:cs="Arial"/>
                <w:b/>
                <w:bCs/>
                <w:color w:val="000000"/>
                <w:sz w:val="18"/>
                <w:szCs w:val="18"/>
              </w:rPr>
            </w:pPr>
            <w:r w:rsidRPr="00127B3A">
              <w:rPr>
                <w:b/>
                <w:bCs/>
                <w:sz w:val="18"/>
                <w:szCs w:val="18"/>
              </w:rPr>
              <w:t>8.4</w:t>
            </w:r>
          </w:p>
        </w:tc>
      </w:tr>
      <w:tr w:rsidR="00FF59D2" w:rsidRPr="005C5A70" w14:paraId="5F5AE625" w14:textId="77777777" w:rsidTr="00164085">
        <w:trPr>
          <w:trHeight w:val="315"/>
        </w:trPr>
        <w:tc>
          <w:tcPr>
            <w:tcW w:w="2972" w:type="dxa"/>
            <w:shd w:val="clear" w:color="000000" w:fill="FFFFFF"/>
            <w:vAlign w:val="center"/>
          </w:tcPr>
          <w:p w14:paraId="293DC8FF"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Flinders University</w:t>
            </w:r>
          </w:p>
        </w:tc>
        <w:tc>
          <w:tcPr>
            <w:tcW w:w="1513" w:type="dxa"/>
            <w:shd w:val="clear" w:color="000000" w:fill="FFFFFF"/>
            <w:vAlign w:val="center"/>
          </w:tcPr>
          <w:p w14:paraId="42549689" w14:textId="77777777" w:rsidR="00FF59D2" w:rsidRPr="007D4717"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20.1 </w:t>
            </w:r>
          </w:p>
        </w:tc>
        <w:tc>
          <w:tcPr>
            <w:tcW w:w="1513" w:type="dxa"/>
            <w:shd w:val="clear" w:color="000000" w:fill="FFFFFF"/>
            <w:vAlign w:val="center"/>
          </w:tcPr>
          <w:p w14:paraId="421FCC94" w14:textId="77777777" w:rsidR="00FF59D2" w:rsidRPr="007D4717" w:rsidRDefault="00FF59D2" w:rsidP="00164085">
            <w:pPr>
              <w:spacing w:after="0" w:line="240" w:lineRule="auto"/>
              <w:ind w:right="411"/>
              <w:jc w:val="right"/>
              <w:rPr>
                <w:rFonts w:cs="Arial"/>
                <w:color w:val="000000"/>
                <w:sz w:val="18"/>
                <w:szCs w:val="18"/>
                <w:lang w:eastAsia="en-AU"/>
              </w:rPr>
            </w:pPr>
            <w:r w:rsidRPr="007D4717">
              <w:rPr>
                <w:rFonts w:cs="Arial"/>
                <w:color w:val="000000"/>
                <w:sz w:val="18"/>
                <w:szCs w:val="18"/>
              </w:rPr>
              <w:t>17.5</w:t>
            </w:r>
          </w:p>
        </w:tc>
        <w:tc>
          <w:tcPr>
            <w:tcW w:w="1513" w:type="dxa"/>
            <w:shd w:val="clear" w:color="000000" w:fill="FFFFFF"/>
            <w:vAlign w:val="center"/>
          </w:tcPr>
          <w:p w14:paraId="58F81631" w14:textId="77777777" w:rsidR="00FF59D2" w:rsidRPr="007D4717" w:rsidRDefault="00FF59D2" w:rsidP="00164085">
            <w:pPr>
              <w:spacing w:after="0" w:line="240" w:lineRule="auto"/>
              <w:ind w:right="411"/>
              <w:jc w:val="right"/>
              <w:rPr>
                <w:rFonts w:cs="Arial"/>
                <w:color w:val="000000"/>
                <w:sz w:val="18"/>
                <w:szCs w:val="18"/>
                <w:lang w:eastAsia="en-AU"/>
              </w:rPr>
            </w:pPr>
            <w:r w:rsidRPr="007D4717">
              <w:rPr>
                <w:rFonts w:cs="Arial"/>
                <w:color w:val="000000"/>
                <w:sz w:val="18"/>
                <w:szCs w:val="18"/>
              </w:rPr>
              <w:t>1.7</w:t>
            </w:r>
          </w:p>
        </w:tc>
        <w:tc>
          <w:tcPr>
            <w:tcW w:w="1513" w:type="dxa"/>
            <w:shd w:val="clear" w:color="000000" w:fill="FFFFFF"/>
            <w:vAlign w:val="center"/>
          </w:tcPr>
          <w:p w14:paraId="40783A21" w14:textId="77777777" w:rsidR="00FF59D2" w:rsidRPr="007D4717" w:rsidRDefault="00FF59D2" w:rsidP="00164085">
            <w:pPr>
              <w:spacing w:after="0" w:line="240" w:lineRule="auto"/>
              <w:ind w:right="411"/>
              <w:jc w:val="right"/>
              <w:rPr>
                <w:rFonts w:cs="Arial"/>
                <w:color w:val="000000"/>
                <w:sz w:val="18"/>
                <w:szCs w:val="18"/>
              </w:rPr>
            </w:pPr>
            <w:r w:rsidRPr="007D4717">
              <w:rPr>
                <w:rFonts w:cs="Arial"/>
                <w:color w:val="000000"/>
                <w:sz w:val="18"/>
                <w:szCs w:val="18"/>
              </w:rPr>
              <w:t>8.5</w:t>
            </w:r>
          </w:p>
        </w:tc>
      </w:tr>
      <w:tr w:rsidR="00FF59D2" w:rsidRPr="005C5A70" w14:paraId="5D12432B" w14:textId="77777777" w:rsidTr="00160B8E">
        <w:trPr>
          <w:trHeight w:val="315"/>
        </w:trPr>
        <w:tc>
          <w:tcPr>
            <w:tcW w:w="2972" w:type="dxa"/>
            <w:shd w:val="clear" w:color="auto" w:fill="auto"/>
            <w:vAlign w:val="center"/>
          </w:tcPr>
          <w:p w14:paraId="3D3BF155"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The University of Adelaide</w:t>
            </w:r>
          </w:p>
        </w:tc>
        <w:tc>
          <w:tcPr>
            <w:tcW w:w="1513" w:type="dxa"/>
            <w:shd w:val="clear" w:color="auto" w:fill="auto"/>
            <w:vAlign w:val="center"/>
          </w:tcPr>
          <w:p w14:paraId="3FA62631" w14:textId="77777777" w:rsidR="00FF59D2" w:rsidRPr="007D4717"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15.7 </w:t>
            </w:r>
          </w:p>
        </w:tc>
        <w:tc>
          <w:tcPr>
            <w:tcW w:w="1513" w:type="dxa"/>
            <w:shd w:val="clear" w:color="auto" w:fill="auto"/>
            <w:vAlign w:val="center"/>
          </w:tcPr>
          <w:p w14:paraId="6413F73F" w14:textId="77777777" w:rsidR="00FF59D2" w:rsidRPr="007D4717" w:rsidRDefault="00FF59D2" w:rsidP="00164085">
            <w:pPr>
              <w:spacing w:after="0" w:line="240" w:lineRule="auto"/>
              <w:ind w:right="411"/>
              <w:jc w:val="right"/>
              <w:rPr>
                <w:rFonts w:cs="Arial"/>
                <w:color w:val="000000"/>
                <w:sz w:val="18"/>
                <w:szCs w:val="18"/>
                <w:lang w:eastAsia="en-AU"/>
              </w:rPr>
            </w:pPr>
            <w:r w:rsidRPr="007D4717">
              <w:rPr>
                <w:rFonts w:cs="Arial"/>
                <w:color w:val="000000"/>
                <w:sz w:val="18"/>
                <w:szCs w:val="18"/>
              </w:rPr>
              <w:t>11.0</w:t>
            </w:r>
          </w:p>
        </w:tc>
        <w:tc>
          <w:tcPr>
            <w:tcW w:w="1513" w:type="dxa"/>
            <w:shd w:val="clear" w:color="auto" w:fill="auto"/>
            <w:vAlign w:val="center"/>
          </w:tcPr>
          <w:p w14:paraId="6D0116BB" w14:textId="77777777" w:rsidR="00FF59D2" w:rsidRPr="007D4717" w:rsidRDefault="00FF59D2" w:rsidP="00164085">
            <w:pPr>
              <w:spacing w:after="0" w:line="240" w:lineRule="auto"/>
              <w:ind w:right="411"/>
              <w:jc w:val="right"/>
              <w:rPr>
                <w:rFonts w:cs="Arial"/>
                <w:color w:val="000000"/>
                <w:sz w:val="18"/>
                <w:szCs w:val="18"/>
                <w:lang w:eastAsia="en-AU"/>
              </w:rPr>
            </w:pPr>
            <w:r w:rsidRPr="007D4717">
              <w:rPr>
                <w:rFonts w:cs="Arial"/>
                <w:color w:val="000000"/>
                <w:sz w:val="18"/>
                <w:szCs w:val="18"/>
              </w:rPr>
              <w:t>1.4</w:t>
            </w:r>
          </w:p>
        </w:tc>
        <w:tc>
          <w:tcPr>
            <w:tcW w:w="1513" w:type="dxa"/>
            <w:shd w:val="clear" w:color="auto" w:fill="auto"/>
            <w:vAlign w:val="center"/>
          </w:tcPr>
          <w:p w14:paraId="5DD204E2" w14:textId="77777777" w:rsidR="00FF59D2" w:rsidRPr="007D4717" w:rsidRDefault="00FF59D2" w:rsidP="00164085">
            <w:pPr>
              <w:spacing w:after="0" w:line="240" w:lineRule="auto"/>
              <w:ind w:right="411"/>
              <w:jc w:val="right"/>
              <w:rPr>
                <w:rFonts w:cs="Arial"/>
                <w:color w:val="000000"/>
                <w:sz w:val="18"/>
                <w:szCs w:val="18"/>
              </w:rPr>
            </w:pPr>
            <w:r w:rsidRPr="007D4717">
              <w:rPr>
                <w:rFonts w:cs="Arial"/>
                <w:color w:val="000000"/>
                <w:sz w:val="18"/>
                <w:szCs w:val="18"/>
              </w:rPr>
              <w:t>14.6</w:t>
            </w:r>
          </w:p>
        </w:tc>
      </w:tr>
      <w:tr w:rsidR="00FF59D2" w:rsidRPr="005C5A70" w14:paraId="71A2D2A9" w14:textId="77777777" w:rsidTr="00160B8E">
        <w:trPr>
          <w:trHeight w:val="315"/>
        </w:trPr>
        <w:tc>
          <w:tcPr>
            <w:tcW w:w="2972" w:type="dxa"/>
            <w:shd w:val="clear" w:color="auto" w:fill="auto"/>
            <w:vAlign w:val="center"/>
          </w:tcPr>
          <w:p w14:paraId="20A7A622"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University of South Australia</w:t>
            </w:r>
          </w:p>
        </w:tc>
        <w:tc>
          <w:tcPr>
            <w:tcW w:w="1513" w:type="dxa"/>
            <w:shd w:val="clear" w:color="auto" w:fill="auto"/>
            <w:vAlign w:val="center"/>
          </w:tcPr>
          <w:p w14:paraId="5A9D3433" w14:textId="77777777" w:rsidR="00FF59D2" w:rsidRPr="007D4717"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25.1 </w:t>
            </w:r>
          </w:p>
        </w:tc>
        <w:tc>
          <w:tcPr>
            <w:tcW w:w="1513" w:type="dxa"/>
            <w:shd w:val="clear" w:color="auto" w:fill="auto"/>
            <w:vAlign w:val="center"/>
          </w:tcPr>
          <w:p w14:paraId="5BE87E2A" w14:textId="77777777" w:rsidR="00FF59D2" w:rsidRPr="007D4717" w:rsidRDefault="00FF59D2" w:rsidP="00164085">
            <w:pPr>
              <w:spacing w:after="0" w:line="240" w:lineRule="auto"/>
              <w:ind w:right="411"/>
              <w:jc w:val="right"/>
              <w:rPr>
                <w:rFonts w:cs="Arial"/>
                <w:color w:val="000000"/>
                <w:sz w:val="18"/>
                <w:szCs w:val="18"/>
                <w:lang w:eastAsia="en-AU"/>
              </w:rPr>
            </w:pPr>
            <w:r w:rsidRPr="007D4717">
              <w:rPr>
                <w:rFonts w:cs="Arial"/>
                <w:color w:val="000000"/>
                <w:sz w:val="18"/>
                <w:szCs w:val="18"/>
              </w:rPr>
              <w:t>17.3</w:t>
            </w:r>
          </w:p>
        </w:tc>
        <w:tc>
          <w:tcPr>
            <w:tcW w:w="1513" w:type="dxa"/>
            <w:shd w:val="clear" w:color="auto" w:fill="auto"/>
            <w:vAlign w:val="center"/>
          </w:tcPr>
          <w:p w14:paraId="013CF1D8" w14:textId="77777777" w:rsidR="00FF59D2" w:rsidRPr="007D4717" w:rsidRDefault="00FF59D2" w:rsidP="00164085">
            <w:pPr>
              <w:spacing w:after="0" w:line="240" w:lineRule="auto"/>
              <w:ind w:right="411"/>
              <w:jc w:val="right"/>
              <w:rPr>
                <w:rFonts w:cs="Arial"/>
                <w:color w:val="000000"/>
                <w:sz w:val="18"/>
                <w:szCs w:val="18"/>
                <w:lang w:eastAsia="en-AU"/>
              </w:rPr>
            </w:pPr>
            <w:r w:rsidRPr="007D4717">
              <w:rPr>
                <w:rFonts w:cs="Arial"/>
                <w:color w:val="000000"/>
                <w:sz w:val="18"/>
                <w:szCs w:val="18"/>
              </w:rPr>
              <w:t>1.6</w:t>
            </w:r>
          </w:p>
        </w:tc>
        <w:tc>
          <w:tcPr>
            <w:tcW w:w="1513" w:type="dxa"/>
            <w:shd w:val="clear" w:color="auto" w:fill="auto"/>
            <w:vAlign w:val="center"/>
          </w:tcPr>
          <w:p w14:paraId="1A16A41E" w14:textId="77777777" w:rsidR="00FF59D2" w:rsidRPr="007D4717" w:rsidRDefault="00FF59D2" w:rsidP="00164085">
            <w:pPr>
              <w:spacing w:after="0" w:line="240" w:lineRule="auto"/>
              <w:ind w:right="411"/>
              <w:jc w:val="right"/>
              <w:rPr>
                <w:rFonts w:cs="Arial"/>
                <w:color w:val="000000"/>
                <w:sz w:val="18"/>
                <w:szCs w:val="18"/>
              </w:rPr>
            </w:pPr>
            <w:r w:rsidRPr="007D4717">
              <w:rPr>
                <w:rFonts w:cs="Arial"/>
                <w:color w:val="000000"/>
                <w:sz w:val="18"/>
                <w:szCs w:val="18"/>
              </w:rPr>
              <w:t>16.7</w:t>
            </w:r>
          </w:p>
        </w:tc>
      </w:tr>
    </w:tbl>
    <w:p w14:paraId="0E7898D8"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438C4081" w14:textId="77777777" w:rsidR="00FF59D2" w:rsidRDefault="00FF59D2" w:rsidP="00FF59D2"/>
    <w:p w14:paraId="76936AE1"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A6:  </w:t>
      </w:r>
      <w:r>
        <w:rPr>
          <w:rFonts w:cstheme="minorHAnsi"/>
          <w:color w:val="000000"/>
          <w:sz w:val="18"/>
          <w:szCs w:val="18"/>
          <w:lang w:eastAsia="en-AU"/>
        </w:rPr>
        <w:t xml:space="preserve">Tasmania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5BBA7B3F" w14:textId="77777777" w:rsidTr="00160B8E">
        <w:trPr>
          <w:trHeight w:val="315"/>
        </w:trPr>
        <w:tc>
          <w:tcPr>
            <w:tcW w:w="2972" w:type="dxa"/>
            <w:shd w:val="clear" w:color="auto" w:fill="auto"/>
            <w:hideMark/>
          </w:tcPr>
          <w:p w14:paraId="107827A9"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6C9643DA"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5BB5EAA5"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6CF79DDF"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72705D5C"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2C696C97" w14:textId="77777777" w:rsidTr="00160B8E">
        <w:trPr>
          <w:trHeight w:val="315"/>
        </w:trPr>
        <w:tc>
          <w:tcPr>
            <w:tcW w:w="2972" w:type="dxa"/>
            <w:shd w:val="clear" w:color="auto" w:fill="EFE2E7" w:themeFill="text1" w:themeFillTint="1A"/>
            <w:vAlign w:val="center"/>
          </w:tcPr>
          <w:p w14:paraId="1C16FE39" w14:textId="77777777" w:rsidR="00FF59D2" w:rsidRPr="00127B3A" w:rsidRDefault="00FF59D2" w:rsidP="00164085">
            <w:pPr>
              <w:spacing w:after="0" w:line="240" w:lineRule="auto"/>
              <w:rPr>
                <w:rFonts w:cs="Arial"/>
                <w:b/>
                <w:bCs/>
                <w:color w:val="000000"/>
                <w:sz w:val="18"/>
                <w:szCs w:val="18"/>
              </w:rPr>
            </w:pPr>
            <w:r w:rsidRPr="00127B3A">
              <w:rPr>
                <w:b/>
                <w:bCs/>
                <w:sz w:val="18"/>
                <w:szCs w:val="18"/>
              </w:rPr>
              <w:t>TAS Equity Reference Value</w:t>
            </w:r>
          </w:p>
        </w:tc>
        <w:tc>
          <w:tcPr>
            <w:tcW w:w="1513" w:type="dxa"/>
            <w:shd w:val="clear" w:color="auto" w:fill="EFE2E7" w:themeFill="text1" w:themeFillTint="1A"/>
            <w:vAlign w:val="center"/>
          </w:tcPr>
          <w:p w14:paraId="39239E7C"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42.3</w:t>
            </w:r>
          </w:p>
        </w:tc>
        <w:tc>
          <w:tcPr>
            <w:tcW w:w="1513" w:type="dxa"/>
            <w:shd w:val="clear" w:color="auto" w:fill="EFE2E7" w:themeFill="text1" w:themeFillTint="1A"/>
            <w:vAlign w:val="center"/>
          </w:tcPr>
          <w:p w14:paraId="2683C35B"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100.0</w:t>
            </w:r>
          </w:p>
        </w:tc>
        <w:tc>
          <w:tcPr>
            <w:tcW w:w="1513" w:type="dxa"/>
            <w:shd w:val="clear" w:color="auto" w:fill="EFE2E7" w:themeFill="text1" w:themeFillTint="1A"/>
            <w:vAlign w:val="center"/>
          </w:tcPr>
          <w:p w14:paraId="27EA3867"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5.5</w:t>
            </w:r>
          </w:p>
        </w:tc>
        <w:tc>
          <w:tcPr>
            <w:tcW w:w="1513" w:type="dxa"/>
            <w:shd w:val="clear" w:color="auto" w:fill="EFE2E7" w:themeFill="text1" w:themeFillTint="1A"/>
            <w:vAlign w:val="center"/>
          </w:tcPr>
          <w:p w14:paraId="5F827FB0" w14:textId="77777777" w:rsidR="00FF59D2" w:rsidRPr="00127B3A" w:rsidRDefault="00FF59D2" w:rsidP="00164085">
            <w:pPr>
              <w:spacing w:after="0" w:line="240" w:lineRule="auto"/>
              <w:ind w:right="411"/>
              <w:jc w:val="right"/>
              <w:rPr>
                <w:rFonts w:cs="Arial"/>
                <w:b/>
                <w:bCs/>
                <w:color w:val="000000"/>
                <w:sz w:val="18"/>
                <w:szCs w:val="18"/>
              </w:rPr>
            </w:pPr>
            <w:r w:rsidRPr="00127B3A">
              <w:rPr>
                <w:b/>
                <w:bCs/>
                <w:sz w:val="18"/>
                <w:szCs w:val="18"/>
              </w:rPr>
              <w:t>8.4</w:t>
            </w:r>
          </w:p>
        </w:tc>
      </w:tr>
      <w:tr w:rsidR="00FF59D2" w:rsidRPr="005C5A70" w14:paraId="45429229" w14:textId="77777777" w:rsidTr="00164085">
        <w:trPr>
          <w:trHeight w:val="315"/>
        </w:trPr>
        <w:tc>
          <w:tcPr>
            <w:tcW w:w="2972" w:type="dxa"/>
            <w:shd w:val="clear" w:color="000000" w:fill="FFFFFF"/>
            <w:vAlign w:val="center"/>
          </w:tcPr>
          <w:p w14:paraId="637794AD"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University</w:t>
            </w:r>
            <w:r>
              <w:rPr>
                <w:rFonts w:cs="Arial"/>
                <w:color w:val="000000"/>
                <w:sz w:val="18"/>
                <w:szCs w:val="18"/>
              </w:rPr>
              <w:t xml:space="preserve"> of Tasmania</w:t>
            </w:r>
          </w:p>
        </w:tc>
        <w:tc>
          <w:tcPr>
            <w:tcW w:w="1513" w:type="dxa"/>
            <w:shd w:val="clear" w:color="000000" w:fill="FFFFFF"/>
            <w:vAlign w:val="center"/>
          </w:tcPr>
          <w:p w14:paraId="7D8F970C" w14:textId="77777777" w:rsidR="00FF59D2" w:rsidRPr="00DD07FC"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23.8 </w:t>
            </w:r>
          </w:p>
        </w:tc>
        <w:tc>
          <w:tcPr>
            <w:tcW w:w="1513" w:type="dxa"/>
            <w:shd w:val="clear" w:color="000000" w:fill="FFFFFF"/>
            <w:vAlign w:val="center"/>
          </w:tcPr>
          <w:p w14:paraId="08A29E46" w14:textId="77777777" w:rsidR="00FF59D2" w:rsidRPr="00DD07FC" w:rsidRDefault="00FF59D2" w:rsidP="00164085">
            <w:pPr>
              <w:spacing w:after="0" w:line="240" w:lineRule="auto"/>
              <w:ind w:right="411"/>
              <w:jc w:val="right"/>
              <w:rPr>
                <w:rFonts w:cs="Arial"/>
                <w:color w:val="000000"/>
                <w:sz w:val="18"/>
                <w:szCs w:val="18"/>
                <w:lang w:eastAsia="en-AU"/>
              </w:rPr>
            </w:pPr>
            <w:r w:rsidRPr="00DD07FC">
              <w:rPr>
                <w:rFonts w:cs="Arial"/>
                <w:color w:val="000000"/>
                <w:sz w:val="18"/>
                <w:szCs w:val="18"/>
              </w:rPr>
              <w:t>64.2</w:t>
            </w:r>
          </w:p>
        </w:tc>
        <w:tc>
          <w:tcPr>
            <w:tcW w:w="1513" w:type="dxa"/>
            <w:shd w:val="clear" w:color="000000" w:fill="FFFFFF"/>
            <w:vAlign w:val="center"/>
          </w:tcPr>
          <w:p w14:paraId="619EA118" w14:textId="77777777" w:rsidR="00FF59D2" w:rsidRPr="00DD07FC" w:rsidRDefault="00FF59D2" w:rsidP="00164085">
            <w:pPr>
              <w:spacing w:after="0" w:line="240" w:lineRule="auto"/>
              <w:ind w:right="411"/>
              <w:jc w:val="right"/>
              <w:rPr>
                <w:rFonts w:cs="Arial"/>
                <w:color w:val="000000"/>
                <w:sz w:val="18"/>
                <w:szCs w:val="18"/>
                <w:lang w:eastAsia="en-AU"/>
              </w:rPr>
            </w:pPr>
            <w:r w:rsidRPr="00DD07FC">
              <w:rPr>
                <w:rFonts w:cs="Arial"/>
                <w:color w:val="000000"/>
                <w:sz w:val="18"/>
                <w:szCs w:val="18"/>
              </w:rPr>
              <w:t>2.9</w:t>
            </w:r>
          </w:p>
        </w:tc>
        <w:tc>
          <w:tcPr>
            <w:tcW w:w="1513" w:type="dxa"/>
            <w:shd w:val="clear" w:color="000000" w:fill="FFFFFF"/>
            <w:vAlign w:val="center"/>
          </w:tcPr>
          <w:p w14:paraId="1D97025E" w14:textId="77777777" w:rsidR="00FF59D2" w:rsidRPr="00DD07FC" w:rsidRDefault="00FF59D2" w:rsidP="00164085">
            <w:pPr>
              <w:spacing w:after="0" w:line="240" w:lineRule="auto"/>
              <w:ind w:right="411"/>
              <w:jc w:val="right"/>
              <w:rPr>
                <w:rFonts w:cs="Arial"/>
                <w:color w:val="000000"/>
                <w:sz w:val="18"/>
                <w:szCs w:val="18"/>
              </w:rPr>
            </w:pPr>
            <w:r w:rsidRPr="00DD07FC">
              <w:rPr>
                <w:rFonts w:cs="Arial"/>
                <w:color w:val="000000"/>
                <w:sz w:val="18"/>
                <w:szCs w:val="18"/>
              </w:rPr>
              <w:t>8.0</w:t>
            </w:r>
          </w:p>
        </w:tc>
      </w:tr>
    </w:tbl>
    <w:p w14:paraId="25EE09B6"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37F7444A" w14:textId="77777777" w:rsidR="00FF59D2" w:rsidRDefault="00FF59D2" w:rsidP="00FF59D2">
      <w:r>
        <w:br w:type="page"/>
      </w:r>
    </w:p>
    <w:p w14:paraId="24039510"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lastRenderedPageBreak/>
        <w:t xml:space="preserve">Table </w:t>
      </w:r>
      <w:r>
        <w:rPr>
          <w:rFonts w:cstheme="minorHAnsi"/>
          <w:b/>
          <w:bCs/>
          <w:color w:val="000000"/>
          <w:sz w:val="18"/>
          <w:szCs w:val="18"/>
          <w:lang w:eastAsia="en-AU"/>
        </w:rPr>
        <w:t xml:space="preserve">A7:  </w:t>
      </w:r>
      <w:r>
        <w:rPr>
          <w:rFonts w:cstheme="minorHAnsi"/>
          <w:color w:val="000000"/>
          <w:sz w:val="18"/>
          <w:szCs w:val="18"/>
          <w:lang w:eastAsia="en-AU"/>
        </w:rPr>
        <w:t xml:space="preserve">Northern Territory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2A308E08" w14:textId="77777777" w:rsidTr="00160B8E">
        <w:trPr>
          <w:trHeight w:val="315"/>
        </w:trPr>
        <w:tc>
          <w:tcPr>
            <w:tcW w:w="2972" w:type="dxa"/>
            <w:shd w:val="clear" w:color="auto" w:fill="auto"/>
            <w:hideMark/>
          </w:tcPr>
          <w:p w14:paraId="387A59E9"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48D803FB"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221D80D6"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60E4649C"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34F4B0D4"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1ECEF3B2" w14:textId="77777777" w:rsidTr="00160B8E">
        <w:trPr>
          <w:trHeight w:val="315"/>
        </w:trPr>
        <w:tc>
          <w:tcPr>
            <w:tcW w:w="2972" w:type="dxa"/>
            <w:shd w:val="clear" w:color="auto" w:fill="EFE2E7" w:themeFill="text1" w:themeFillTint="1A"/>
            <w:vAlign w:val="center"/>
          </w:tcPr>
          <w:p w14:paraId="23C59AA8" w14:textId="77777777" w:rsidR="00FF59D2" w:rsidRPr="00127B3A" w:rsidRDefault="00FF59D2" w:rsidP="00164085">
            <w:pPr>
              <w:spacing w:after="0" w:line="240" w:lineRule="auto"/>
              <w:rPr>
                <w:rFonts w:cs="Arial"/>
                <w:b/>
                <w:bCs/>
                <w:color w:val="000000"/>
                <w:sz w:val="18"/>
                <w:szCs w:val="18"/>
              </w:rPr>
            </w:pPr>
            <w:r w:rsidRPr="00127B3A">
              <w:rPr>
                <w:rFonts w:cs="Arial"/>
                <w:b/>
                <w:bCs/>
                <w:color w:val="000000"/>
                <w:sz w:val="18"/>
                <w:szCs w:val="18"/>
              </w:rPr>
              <w:t xml:space="preserve">NT </w:t>
            </w:r>
            <w:r w:rsidRPr="00127B3A">
              <w:rPr>
                <w:b/>
                <w:bCs/>
                <w:sz w:val="18"/>
                <w:szCs w:val="18"/>
              </w:rPr>
              <w:t xml:space="preserve">Equity </w:t>
            </w:r>
            <w:r w:rsidRPr="00127B3A">
              <w:rPr>
                <w:rFonts w:cs="Arial"/>
                <w:b/>
                <w:bCs/>
                <w:color w:val="000000"/>
                <w:sz w:val="18"/>
                <w:szCs w:val="18"/>
              </w:rPr>
              <w:t xml:space="preserve">Reference </w:t>
            </w:r>
            <w:r w:rsidRPr="00127B3A">
              <w:rPr>
                <w:b/>
                <w:bCs/>
                <w:sz w:val="18"/>
                <w:szCs w:val="18"/>
              </w:rPr>
              <w:t>Value</w:t>
            </w:r>
          </w:p>
        </w:tc>
        <w:tc>
          <w:tcPr>
            <w:tcW w:w="1513" w:type="dxa"/>
            <w:shd w:val="clear" w:color="auto" w:fill="EFE2E7" w:themeFill="text1" w:themeFillTint="1A"/>
            <w:vAlign w:val="center"/>
          </w:tcPr>
          <w:p w14:paraId="6ECAD906"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23.1</w:t>
            </w:r>
          </w:p>
        </w:tc>
        <w:tc>
          <w:tcPr>
            <w:tcW w:w="1513" w:type="dxa"/>
            <w:shd w:val="clear" w:color="auto" w:fill="EFE2E7" w:themeFill="text1" w:themeFillTint="1A"/>
            <w:vAlign w:val="center"/>
          </w:tcPr>
          <w:p w14:paraId="76F4ABA5"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100.0</w:t>
            </w:r>
          </w:p>
        </w:tc>
        <w:tc>
          <w:tcPr>
            <w:tcW w:w="1513" w:type="dxa"/>
            <w:shd w:val="clear" w:color="auto" w:fill="EFE2E7" w:themeFill="text1" w:themeFillTint="1A"/>
            <w:vAlign w:val="center"/>
          </w:tcPr>
          <w:p w14:paraId="2369CB82"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31.3</w:t>
            </w:r>
          </w:p>
        </w:tc>
        <w:tc>
          <w:tcPr>
            <w:tcW w:w="1513" w:type="dxa"/>
            <w:shd w:val="clear" w:color="auto" w:fill="EFE2E7" w:themeFill="text1" w:themeFillTint="1A"/>
            <w:vAlign w:val="center"/>
          </w:tcPr>
          <w:p w14:paraId="2CB109BA" w14:textId="77777777" w:rsidR="00FF59D2" w:rsidRPr="00127B3A" w:rsidRDefault="00FF59D2" w:rsidP="00164085">
            <w:pPr>
              <w:spacing w:after="0" w:line="240" w:lineRule="auto"/>
              <w:ind w:right="411"/>
              <w:jc w:val="right"/>
              <w:rPr>
                <w:rFonts w:cs="Arial"/>
                <w:b/>
                <w:bCs/>
                <w:color w:val="000000"/>
                <w:sz w:val="18"/>
                <w:szCs w:val="18"/>
              </w:rPr>
            </w:pPr>
            <w:r w:rsidRPr="00127B3A">
              <w:rPr>
                <w:b/>
                <w:bCs/>
                <w:sz w:val="18"/>
                <w:szCs w:val="18"/>
              </w:rPr>
              <w:t>8.4</w:t>
            </w:r>
          </w:p>
        </w:tc>
      </w:tr>
      <w:tr w:rsidR="00FF59D2" w:rsidRPr="005C5A70" w14:paraId="74B4DA69" w14:textId="77777777" w:rsidTr="00164085">
        <w:trPr>
          <w:trHeight w:val="315"/>
        </w:trPr>
        <w:tc>
          <w:tcPr>
            <w:tcW w:w="2972" w:type="dxa"/>
            <w:shd w:val="clear" w:color="000000" w:fill="FFFFFF"/>
            <w:vAlign w:val="center"/>
          </w:tcPr>
          <w:p w14:paraId="0467C650" w14:textId="77777777" w:rsidR="00FF59D2" w:rsidRPr="007D4717" w:rsidRDefault="00FF59D2" w:rsidP="00164085">
            <w:pPr>
              <w:spacing w:after="0" w:line="240" w:lineRule="auto"/>
              <w:rPr>
                <w:rFonts w:cs="Arial"/>
                <w:color w:val="000000"/>
                <w:sz w:val="18"/>
                <w:szCs w:val="18"/>
                <w:lang w:eastAsia="en-AU"/>
              </w:rPr>
            </w:pPr>
            <w:r>
              <w:rPr>
                <w:rFonts w:cs="Arial"/>
                <w:color w:val="000000"/>
                <w:sz w:val="18"/>
                <w:szCs w:val="18"/>
              </w:rPr>
              <w:t xml:space="preserve">Charles Darwin University </w:t>
            </w:r>
          </w:p>
        </w:tc>
        <w:tc>
          <w:tcPr>
            <w:tcW w:w="1513" w:type="dxa"/>
            <w:shd w:val="clear" w:color="000000" w:fill="FFFFFF"/>
            <w:vAlign w:val="center"/>
          </w:tcPr>
          <w:p w14:paraId="1C2FABF4" w14:textId="77777777" w:rsidR="00FF59D2" w:rsidRPr="002225D9"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19.4 </w:t>
            </w:r>
          </w:p>
        </w:tc>
        <w:tc>
          <w:tcPr>
            <w:tcW w:w="1513" w:type="dxa"/>
            <w:shd w:val="clear" w:color="000000" w:fill="FFFFFF"/>
            <w:vAlign w:val="center"/>
          </w:tcPr>
          <w:p w14:paraId="6BE46EA7" w14:textId="77777777" w:rsidR="00FF59D2" w:rsidRPr="002225D9" w:rsidRDefault="00FF59D2" w:rsidP="00164085">
            <w:pPr>
              <w:spacing w:after="0" w:line="240" w:lineRule="auto"/>
              <w:ind w:right="411"/>
              <w:jc w:val="right"/>
              <w:rPr>
                <w:rFonts w:cs="Arial"/>
                <w:color w:val="000000"/>
                <w:sz w:val="18"/>
                <w:szCs w:val="18"/>
                <w:lang w:eastAsia="en-AU"/>
              </w:rPr>
            </w:pPr>
            <w:r w:rsidRPr="002225D9">
              <w:rPr>
                <w:rFonts w:cs="Arial"/>
                <w:color w:val="000000"/>
                <w:sz w:val="18"/>
                <w:szCs w:val="18"/>
              </w:rPr>
              <w:t>57.1</w:t>
            </w:r>
          </w:p>
        </w:tc>
        <w:tc>
          <w:tcPr>
            <w:tcW w:w="1513" w:type="dxa"/>
            <w:shd w:val="clear" w:color="000000" w:fill="FFFFFF"/>
            <w:vAlign w:val="center"/>
          </w:tcPr>
          <w:p w14:paraId="3575F3A8" w14:textId="77777777" w:rsidR="00FF59D2" w:rsidRPr="002225D9" w:rsidRDefault="00FF59D2" w:rsidP="00164085">
            <w:pPr>
              <w:spacing w:after="0" w:line="240" w:lineRule="auto"/>
              <w:ind w:right="411"/>
              <w:jc w:val="right"/>
              <w:rPr>
                <w:rFonts w:cs="Arial"/>
                <w:color w:val="000000"/>
                <w:sz w:val="18"/>
                <w:szCs w:val="18"/>
                <w:lang w:eastAsia="en-AU"/>
              </w:rPr>
            </w:pPr>
            <w:r w:rsidRPr="002225D9">
              <w:rPr>
                <w:rFonts w:cs="Arial"/>
                <w:color w:val="000000"/>
                <w:sz w:val="18"/>
                <w:szCs w:val="18"/>
              </w:rPr>
              <w:t>7.3</w:t>
            </w:r>
          </w:p>
        </w:tc>
        <w:tc>
          <w:tcPr>
            <w:tcW w:w="1513" w:type="dxa"/>
            <w:shd w:val="clear" w:color="000000" w:fill="FFFFFF"/>
            <w:vAlign w:val="center"/>
          </w:tcPr>
          <w:p w14:paraId="09113898" w14:textId="77777777" w:rsidR="00FF59D2" w:rsidRPr="002225D9" w:rsidRDefault="00FF59D2" w:rsidP="00164085">
            <w:pPr>
              <w:spacing w:after="0" w:line="240" w:lineRule="auto"/>
              <w:ind w:right="411"/>
              <w:jc w:val="right"/>
              <w:rPr>
                <w:rFonts w:cs="Arial"/>
                <w:color w:val="000000"/>
                <w:sz w:val="18"/>
                <w:szCs w:val="18"/>
              </w:rPr>
            </w:pPr>
            <w:r w:rsidRPr="002225D9">
              <w:rPr>
                <w:rFonts w:cs="Arial"/>
                <w:color w:val="000000"/>
                <w:sz w:val="18"/>
                <w:szCs w:val="18"/>
              </w:rPr>
              <w:t>10.6</w:t>
            </w:r>
          </w:p>
        </w:tc>
      </w:tr>
    </w:tbl>
    <w:p w14:paraId="592BDB04"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027DFF73" w14:textId="77777777" w:rsidR="00FF59D2" w:rsidRDefault="00FF59D2" w:rsidP="00FF59D2"/>
    <w:p w14:paraId="36BD8DD5"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A8:  </w:t>
      </w:r>
      <w:r>
        <w:rPr>
          <w:rFonts w:cstheme="minorHAnsi"/>
          <w:color w:val="000000"/>
          <w:sz w:val="18"/>
          <w:szCs w:val="18"/>
          <w:lang w:eastAsia="en-AU"/>
        </w:rPr>
        <w:t xml:space="preserve">Australian Capital Territory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680A1DC3" w14:textId="77777777" w:rsidTr="00160B8E">
        <w:trPr>
          <w:trHeight w:val="315"/>
        </w:trPr>
        <w:tc>
          <w:tcPr>
            <w:tcW w:w="2972" w:type="dxa"/>
            <w:shd w:val="clear" w:color="auto" w:fill="auto"/>
            <w:hideMark/>
          </w:tcPr>
          <w:p w14:paraId="20F700EB"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3EEB0E5D"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5A92DB34"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4EF0366D"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7064D9F2"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18AD20F5" w14:textId="77777777" w:rsidTr="00160B8E">
        <w:trPr>
          <w:trHeight w:val="315"/>
        </w:trPr>
        <w:tc>
          <w:tcPr>
            <w:tcW w:w="2972" w:type="dxa"/>
            <w:shd w:val="clear" w:color="auto" w:fill="EFE2E7" w:themeFill="text1" w:themeFillTint="1A"/>
            <w:vAlign w:val="center"/>
          </w:tcPr>
          <w:p w14:paraId="67249DA0" w14:textId="77777777" w:rsidR="00FF59D2" w:rsidRPr="00127B3A" w:rsidRDefault="00FF59D2" w:rsidP="00164085">
            <w:pPr>
              <w:spacing w:after="0" w:line="240" w:lineRule="auto"/>
              <w:rPr>
                <w:rFonts w:cs="Arial"/>
                <w:b/>
                <w:bCs/>
                <w:color w:val="000000"/>
                <w:sz w:val="18"/>
                <w:szCs w:val="18"/>
              </w:rPr>
            </w:pPr>
            <w:r w:rsidRPr="00127B3A">
              <w:rPr>
                <w:rFonts w:cs="Arial"/>
                <w:b/>
                <w:bCs/>
                <w:color w:val="000000"/>
                <w:sz w:val="18"/>
                <w:szCs w:val="18"/>
              </w:rPr>
              <w:t xml:space="preserve">ACT </w:t>
            </w:r>
            <w:r w:rsidRPr="00127B3A">
              <w:rPr>
                <w:b/>
                <w:bCs/>
                <w:sz w:val="18"/>
                <w:szCs w:val="18"/>
              </w:rPr>
              <w:t xml:space="preserve">Equity </w:t>
            </w:r>
            <w:r w:rsidRPr="00127B3A">
              <w:rPr>
                <w:rFonts w:cs="Arial"/>
                <w:b/>
                <w:bCs/>
                <w:color w:val="000000"/>
                <w:sz w:val="18"/>
                <w:szCs w:val="18"/>
              </w:rPr>
              <w:t xml:space="preserve">Reference </w:t>
            </w:r>
            <w:r w:rsidRPr="00127B3A">
              <w:rPr>
                <w:b/>
                <w:bCs/>
                <w:sz w:val="18"/>
                <w:szCs w:val="18"/>
              </w:rPr>
              <w:t>Value</w:t>
            </w:r>
          </w:p>
        </w:tc>
        <w:tc>
          <w:tcPr>
            <w:tcW w:w="1513" w:type="dxa"/>
            <w:shd w:val="clear" w:color="auto" w:fill="EFE2E7" w:themeFill="text1" w:themeFillTint="1A"/>
            <w:vAlign w:val="center"/>
          </w:tcPr>
          <w:p w14:paraId="02BFF086"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0.2</w:t>
            </w:r>
          </w:p>
        </w:tc>
        <w:tc>
          <w:tcPr>
            <w:tcW w:w="1513" w:type="dxa"/>
            <w:shd w:val="clear" w:color="auto" w:fill="EFE2E7" w:themeFill="text1" w:themeFillTint="1A"/>
            <w:vAlign w:val="center"/>
          </w:tcPr>
          <w:p w14:paraId="187AFFA7"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0.1</w:t>
            </w:r>
          </w:p>
        </w:tc>
        <w:tc>
          <w:tcPr>
            <w:tcW w:w="1513" w:type="dxa"/>
            <w:shd w:val="clear" w:color="auto" w:fill="EFE2E7" w:themeFill="text1" w:themeFillTint="1A"/>
            <w:vAlign w:val="center"/>
          </w:tcPr>
          <w:p w14:paraId="41AE5B46"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1.9</w:t>
            </w:r>
          </w:p>
        </w:tc>
        <w:tc>
          <w:tcPr>
            <w:tcW w:w="1513" w:type="dxa"/>
            <w:shd w:val="clear" w:color="auto" w:fill="EFE2E7" w:themeFill="text1" w:themeFillTint="1A"/>
            <w:vAlign w:val="center"/>
          </w:tcPr>
          <w:p w14:paraId="58F06059" w14:textId="77777777" w:rsidR="00FF59D2" w:rsidRPr="00127B3A" w:rsidRDefault="00FF59D2" w:rsidP="00164085">
            <w:pPr>
              <w:spacing w:after="0" w:line="240" w:lineRule="auto"/>
              <w:ind w:right="411"/>
              <w:jc w:val="right"/>
              <w:rPr>
                <w:rFonts w:cs="Arial"/>
                <w:b/>
                <w:bCs/>
                <w:color w:val="000000"/>
                <w:sz w:val="18"/>
                <w:szCs w:val="18"/>
              </w:rPr>
            </w:pPr>
            <w:r w:rsidRPr="00127B3A">
              <w:rPr>
                <w:b/>
                <w:bCs/>
                <w:sz w:val="18"/>
                <w:szCs w:val="18"/>
              </w:rPr>
              <w:t>8.4</w:t>
            </w:r>
          </w:p>
        </w:tc>
      </w:tr>
      <w:tr w:rsidR="00FF59D2" w:rsidRPr="005C5A70" w14:paraId="5AE17F4A" w14:textId="77777777" w:rsidTr="00164085">
        <w:trPr>
          <w:trHeight w:val="315"/>
        </w:trPr>
        <w:tc>
          <w:tcPr>
            <w:tcW w:w="2972" w:type="dxa"/>
            <w:shd w:val="clear" w:color="000000" w:fill="FFFFFF"/>
            <w:vAlign w:val="center"/>
          </w:tcPr>
          <w:p w14:paraId="44D61CB0" w14:textId="77777777" w:rsidR="00FF59D2" w:rsidRPr="00791FED" w:rsidRDefault="00FF59D2" w:rsidP="00164085">
            <w:pPr>
              <w:spacing w:after="0" w:line="240" w:lineRule="auto"/>
              <w:rPr>
                <w:rFonts w:cs="Arial"/>
                <w:color w:val="000000"/>
                <w:sz w:val="18"/>
                <w:szCs w:val="18"/>
                <w:lang w:eastAsia="en-AU"/>
              </w:rPr>
            </w:pPr>
            <w:r w:rsidRPr="00791FED">
              <w:rPr>
                <w:rFonts w:cs="Arial"/>
                <w:color w:val="000000"/>
                <w:sz w:val="18"/>
                <w:szCs w:val="18"/>
              </w:rPr>
              <w:t>The Australian National University</w:t>
            </w:r>
          </w:p>
        </w:tc>
        <w:tc>
          <w:tcPr>
            <w:tcW w:w="1513" w:type="dxa"/>
            <w:shd w:val="clear" w:color="000000" w:fill="FFFFFF"/>
            <w:vAlign w:val="center"/>
          </w:tcPr>
          <w:p w14:paraId="651762ED" w14:textId="77777777" w:rsidR="00FF59D2" w:rsidRPr="000D129C"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3.3 </w:t>
            </w:r>
          </w:p>
        </w:tc>
        <w:tc>
          <w:tcPr>
            <w:tcW w:w="1513" w:type="dxa"/>
            <w:shd w:val="clear" w:color="000000" w:fill="FFFFFF"/>
            <w:vAlign w:val="center"/>
          </w:tcPr>
          <w:p w14:paraId="4D3B19E1" w14:textId="77777777" w:rsidR="00FF59D2" w:rsidRPr="000D129C" w:rsidRDefault="00FF59D2" w:rsidP="00164085">
            <w:pPr>
              <w:spacing w:after="0" w:line="240" w:lineRule="auto"/>
              <w:ind w:right="411"/>
              <w:jc w:val="right"/>
              <w:rPr>
                <w:rFonts w:cs="Arial"/>
                <w:color w:val="000000"/>
                <w:sz w:val="18"/>
                <w:szCs w:val="18"/>
                <w:lang w:eastAsia="en-AU"/>
              </w:rPr>
            </w:pPr>
            <w:r w:rsidRPr="000D129C">
              <w:rPr>
                <w:rFonts w:cs="Arial"/>
                <w:color w:val="000000"/>
                <w:sz w:val="18"/>
                <w:szCs w:val="18"/>
              </w:rPr>
              <w:t>13.3</w:t>
            </w:r>
          </w:p>
        </w:tc>
        <w:tc>
          <w:tcPr>
            <w:tcW w:w="1513" w:type="dxa"/>
            <w:shd w:val="clear" w:color="000000" w:fill="FFFFFF"/>
            <w:vAlign w:val="center"/>
          </w:tcPr>
          <w:p w14:paraId="6F5CA946" w14:textId="77777777" w:rsidR="00FF59D2" w:rsidRPr="000D129C" w:rsidRDefault="00FF59D2" w:rsidP="00164085">
            <w:pPr>
              <w:spacing w:after="0" w:line="240" w:lineRule="auto"/>
              <w:ind w:right="411"/>
              <w:jc w:val="right"/>
              <w:rPr>
                <w:rFonts w:cs="Arial"/>
                <w:color w:val="000000"/>
                <w:sz w:val="18"/>
                <w:szCs w:val="18"/>
                <w:lang w:eastAsia="en-AU"/>
              </w:rPr>
            </w:pPr>
            <w:r w:rsidRPr="000D129C">
              <w:rPr>
                <w:rFonts w:cs="Arial"/>
                <w:color w:val="000000"/>
                <w:sz w:val="18"/>
                <w:szCs w:val="18"/>
              </w:rPr>
              <w:t>1.0</w:t>
            </w:r>
          </w:p>
        </w:tc>
        <w:tc>
          <w:tcPr>
            <w:tcW w:w="1513" w:type="dxa"/>
            <w:shd w:val="clear" w:color="000000" w:fill="FFFFFF"/>
            <w:vAlign w:val="center"/>
          </w:tcPr>
          <w:p w14:paraId="50D6C8C8" w14:textId="77777777" w:rsidR="00FF59D2" w:rsidRPr="000D129C" w:rsidRDefault="00FF59D2" w:rsidP="00164085">
            <w:pPr>
              <w:spacing w:after="0" w:line="240" w:lineRule="auto"/>
              <w:ind w:right="411"/>
              <w:jc w:val="right"/>
              <w:rPr>
                <w:rFonts w:cs="Arial"/>
                <w:color w:val="000000"/>
                <w:sz w:val="18"/>
                <w:szCs w:val="18"/>
              </w:rPr>
            </w:pPr>
            <w:r w:rsidRPr="000D129C">
              <w:rPr>
                <w:rFonts w:cs="Arial"/>
                <w:color w:val="000000"/>
                <w:sz w:val="18"/>
                <w:szCs w:val="18"/>
              </w:rPr>
              <w:t>17.7</w:t>
            </w:r>
          </w:p>
        </w:tc>
      </w:tr>
      <w:tr w:rsidR="00FF59D2" w:rsidRPr="005C5A70" w14:paraId="5C8A4F89" w14:textId="77777777" w:rsidTr="00164085">
        <w:trPr>
          <w:trHeight w:val="315"/>
        </w:trPr>
        <w:tc>
          <w:tcPr>
            <w:tcW w:w="2972" w:type="dxa"/>
            <w:shd w:val="clear" w:color="000000" w:fill="FFFFFF"/>
            <w:vAlign w:val="center"/>
          </w:tcPr>
          <w:p w14:paraId="17DD2389" w14:textId="77777777" w:rsidR="00FF59D2" w:rsidRPr="00791FED" w:rsidRDefault="00FF59D2" w:rsidP="00164085">
            <w:pPr>
              <w:spacing w:after="0" w:line="240" w:lineRule="auto"/>
              <w:rPr>
                <w:rFonts w:cs="Arial"/>
                <w:color w:val="000000"/>
                <w:sz w:val="18"/>
                <w:szCs w:val="18"/>
              </w:rPr>
            </w:pPr>
            <w:r w:rsidRPr="00791FED">
              <w:rPr>
                <w:rFonts w:cs="Arial"/>
                <w:color w:val="000000"/>
                <w:sz w:val="18"/>
                <w:szCs w:val="18"/>
              </w:rPr>
              <w:t>University of Canberra</w:t>
            </w:r>
          </w:p>
        </w:tc>
        <w:tc>
          <w:tcPr>
            <w:tcW w:w="1513" w:type="dxa"/>
            <w:shd w:val="clear" w:color="000000" w:fill="FFFFFF"/>
            <w:vAlign w:val="center"/>
          </w:tcPr>
          <w:p w14:paraId="19A8F698" w14:textId="6BC25B2D" w:rsidR="00FF59D2" w:rsidRPr="000D129C" w:rsidRDefault="00FF59D2" w:rsidP="00164085">
            <w:pPr>
              <w:spacing w:after="0" w:line="240" w:lineRule="auto"/>
              <w:ind w:right="411"/>
              <w:jc w:val="right"/>
              <w:rPr>
                <w:rFonts w:cs="Arial"/>
                <w:color w:val="000000"/>
                <w:sz w:val="18"/>
                <w:szCs w:val="18"/>
              </w:rPr>
            </w:pPr>
            <w:r>
              <w:rPr>
                <w:rFonts w:cs="Arial"/>
                <w:color w:val="000000"/>
                <w:sz w:val="18"/>
                <w:szCs w:val="18"/>
              </w:rPr>
              <w:t xml:space="preserve">6.3 </w:t>
            </w:r>
          </w:p>
        </w:tc>
        <w:tc>
          <w:tcPr>
            <w:tcW w:w="1513" w:type="dxa"/>
            <w:shd w:val="clear" w:color="000000" w:fill="FFFFFF"/>
            <w:vAlign w:val="center"/>
          </w:tcPr>
          <w:p w14:paraId="0208E510" w14:textId="77777777" w:rsidR="00FF59D2" w:rsidRPr="000D129C" w:rsidRDefault="00FF59D2" w:rsidP="00164085">
            <w:pPr>
              <w:spacing w:after="0" w:line="240" w:lineRule="auto"/>
              <w:ind w:right="411"/>
              <w:jc w:val="right"/>
              <w:rPr>
                <w:rFonts w:cs="Arial"/>
                <w:color w:val="000000"/>
                <w:sz w:val="18"/>
                <w:szCs w:val="18"/>
              </w:rPr>
            </w:pPr>
            <w:r w:rsidRPr="000D129C">
              <w:rPr>
                <w:rFonts w:cs="Arial"/>
                <w:color w:val="000000"/>
                <w:sz w:val="18"/>
                <w:szCs w:val="18"/>
              </w:rPr>
              <w:t>15.9</w:t>
            </w:r>
          </w:p>
        </w:tc>
        <w:tc>
          <w:tcPr>
            <w:tcW w:w="1513" w:type="dxa"/>
            <w:shd w:val="clear" w:color="000000" w:fill="FFFFFF"/>
            <w:vAlign w:val="center"/>
          </w:tcPr>
          <w:p w14:paraId="2A484100" w14:textId="77777777" w:rsidR="00FF59D2" w:rsidRPr="000D129C" w:rsidRDefault="00FF59D2" w:rsidP="00164085">
            <w:pPr>
              <w:spacing w:after="0" w:line="240" w:lineRule="auto"/>
              <w:ind w:right="411"/>
              <w:jc w:val="right"/>
              <w:rPr>
                <w:rFonts w:cs="Arial"/>
                <w:color w:val="000000"/>
                <w:sz w:val="18"/>
                <w:szCs w:val="18"/>
              </w:rPr>
            </w:pPr>
            <w:r w:rsidRPr="000D129C">
              <w:rPr>
                <w:rFonts w:cs="Arial"/>
                <w:color w:val="000000"/>
                <w:sz w:val="18"/>
                <w:szCs w:val="18"/>
              </w:rPr>
              <w:t>2.8</w:t>
            </w:r>
          </w:p>
        </w:tc>
        <w:tc>
          <w:tcPr>
            <w:tcW w:w="1513" w:type="dxa"/>
            <w:shd w:val="clear" w:color="000000" w:fill="FFFFFF"/>
            <w:vAlign w:val="center"/>
          </w:tcPr>
          <w:p w14:paraId="30F25A98" w14:textId="77777777" w:rsidR="00FF59D2" w:rsidRPr="000D129C" w:rsidRDefault="00FF59D2" w:rsidP="00164085">
            <w:pPr>
              <w:spacing w:after="0" w:line="240" w:lineRule="auto"/>
              <w:ind w:right="411"/>
              <w:jc w:val="right"/>
              <w:rPr>
                <w:rFonts w:cs="Arial"/>
                <w:color w:val="000000"/>
                <w:sz w:val="18"/>
                <w:szCs w:val="18"/>
              </w:rPr>
            </w:pPr>
            <w:r w:rsidRPr="000D129C">
              <w:rPr>
                <w:rFonts w:cs="Arial"/>
                <w:color w:val="000000"/>
                <w:sz w:val="18"/>
                <w:szCs w:val="18"/>
              </w:rPr>
              <w:t>7.7</w:t>
            </w:r>
          </w:p>
        </w:tc>
      </w:tr>
    </w:tbl>
    <w:p w14:paraId="411A1E33"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220565CB" w14:textId="77777777" w:rsidR="00FF59D2" w:rsidRDefault="00FF59D2" w:rsidP="00FF59D2"/>
    <w:p w14:paraId="441ED95D"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A9:  </w:t>
      </w:r>
      <w:r>
        <w:rPr>
          <w:rFonts w:cstheme="minorHAnsi"/>
          <w:color w:val="000000"/>
          <w:sz w:val="18"/>
          <w:szCs w:val="18"/>
          <w:lang w:eastAsia="en-AU"/>
        </w:rPr>
        <w:t xml:space="preserve">Multi-State Equity Group Undergraduate Participation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20D090DC" w14:textId="77777777" w:rsidTr="00160B8E">
        <w:trPr>
          <w:trHeight w:val="315"/>
        </w:trPr>
        <w:tc>
          <w:tcPr>
            <w:tcW w:w="2972" w:type="dxa"/>
            <w:shd w:val="clear" w:color="auto" w:fill="auto"/>
            <w:hideMark/>
          </w:tcPr>
          <w:p w14:paraId="6E859C99"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16D5954B"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1ACD0D87"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478CBF1F"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7D8CE23F"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624323AE" w14:textId="77777777" w:rsidTr="00160B8E">
        <w:trPr>
          <w:trHeight w:val="315"/>
        </w:trPr>
        <w:tc>
          <w:tcPr>
            <w:tcW w:w="2972" w:type="dxa"/>
            <w:shd w:val="clear" w:color="auto" w:fill="EFE2E7" w:themeFill="text1" w:themeFillTint="1A"/>
            <w:vAlign w:val="center"/>
          </w:tcPr>
          <w:p w14:paraId="7C521911" w14:textId="77777777" w:rsidR="00FF59D2" w:rsidRPr="00127B3A" w:rsidRDefault="00FF59D2" w:rsidP="00164085">
            <w:pPr>
              <w:spacing w:after="0" w:line="240" w:lineRule="auto"/>
              <w:rPr>
                <w:rFonts w:cs="Arial"/>
                <w:b/>
                <w:bCs/>
                <w:color w:val="000000"/>
                <w:sz w:val="18"/>
                <w:szCs w:val="18"/>
                <w:lang w:eastAsia="en-AU"/>
              </w:rPr>
            </w:pPr>
            <w:r w:rsidRPr="00127B3A">
              <w:rPr>
                <w:rFonts w:cs="Arial"/>
                <w:b/>
                <w:bCs/>
                <w:color w:val="000000"/>
                <w:sz w:val="18"/>
                <w:szCs w:val="18"/>
                <w:lang w:eastAsia="en-AU"/>
              </w:rPr>
              <w:t xml:space="preserve">NSW </w:t>
            </w:r>
            <w:r w:rsidRPr="00127B3A">
              <w:rPr>
                <w:b/>
                <w:bCs/>
                <w:sz w:val="18"/>
                <w:szCs w:val="18"/>
              </w:rPr>
              <w:t xml:space="preserve">Equity </w:t>
            </w:r>
            <w:r w:rsidRPr="00127B3A">
              <w:rPr>
                <w:rFonts w:cs="Arial"/>
                <w:b/>
                <w:bCs/>
                <w:color w:val="000000"/>
                <w:sz w:val="18"/>
                <w:szCs w:val="18"/>
                <w:lang w:eastAsia="en-AU"/>
              </w:rPr>
              <w:t xml:space="preserve">Reference </w:t>
            </w:r>
            <w:r w:rsidRPr="00127B3A">
              <w:rPr>
                <w:b/>
                <w:bCs/>
                <w:sz w:val="18"/>
                <w:szCs w:val="18"/>
              </w:rPr>
              <w:t>Value</w:t>
            </w:r>
          </w:p>
        </w:tc>
        <w:tc>
          <w:tcPr>
            <w:tcW w:w="1513" w:type="dxa"/>
            <w:shd w:val="clear" w:color="auto" w:fill="EFE2E7" w:themeFill="text1" w:themeFillTint="1A"/>
            <w:vAlign w:val="center"/>
          </w:tcPr>
          <w:p w14:paraId="74989683"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23.0</w:t>
            </w:r>
          </w:p>
        </w:tc>
        <w:tc>
          <w:tcPr>
            <w:tcW w:w="1513" w:type="dxa"/>
            <w:shd w:val="clear" w:color="auto" w:fill="EFE2E7" w:themeFill="text1" w:themeFillTint="1A"/>
            <w:vAlign w:val="center"/>
          </w:tcPr>
          <w:p w14:paraId="1CD30AD1"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23.1</w:t>
            </w:r>
          </w:p>
        </w:tc>
        <w:tc>
          <w:tcPr>
            <w:tcW w:w="1513" w:type="dxa"/>
            <w:shd w:val="clear" w:color="auto" w:fill="EFE2E7" w:themeFill="text1" w:themeFillTint="1A"/>
            <w:vAlign w:val="center"/>
          </w:tcPr>
          <w:p w14:paraId="6752A4B4"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3.0</w:t>
            </w:r>
          </w:p>
        </w:tc>
        <w:tc>
          <w:tcPr>
            <w:tcW w:w="1513" w:type="dxa"/>
            <w:shd w:val="clear" w:color="auto" w:fill="EFE2E7" w:themeFill="text1" w:themeFillTint="1A"/>
            <w:vAlign w:val="center"/>
          </w:tcPr>
          <w:p w14:paraId="688570BE" w14:textId="77777777" w:rsidR="00FF59D2" w:rsidRPr="00127B3A" w:rsidRDefault="00FF59D2" w:rsidP="00164085">
            <w:pPr>
              <w:spacing w:after="0" w:line="240" w:lineRule="auto"/>
              <w:ind w:right="411"/>
              <w:jc w:val="right"/>
              <w:rPr>
                <w:rFonts w:cs="Arial"/>
                <w:b/>
                <w:bCs/>
                <w:color w:val="000000"/>
                <w:sz w:val="18"/>
                <w:szCs w:val="18"/>
              </w:rPr>
            </w:pPr>
            <w:r w:rsidRPr="00127B3A">
              <w:rPr>
                <w:rFonts w:cs="Arial"/>
                <w:b/>
                <w:bCs/>
                <w:color w:val="000000"/>
                <w:sz w:val="18"/>
                <w:szCs w:val="18"/>
              </w:rPr>
              <w:t>8.4</w:t>
            </w:r>
          </w:p>
        </w:tc>
      </w:tr>
      <w:tr w:rsidR="00FF59D2" w:rsidRPr="005C5A70" w14:paraId="65068359" w14:textId="77777777" w:rsidTr="00164085">
        <w:trPr>
          <w:trHeight w:val="315"/>
        </w:trPr>
        <w:tc>
          <w:tcPr>
            <w:tcW w:w="2972" w:type="dxa"/>
            <w:shd w:val="clear" w:color="000000" w:fill="FFFFFF"/>
            <w:vAlign w:val="center"/>
          </w:tcPr>
          <w:p w14:paraId="44BCB150" w14:textId="77777777" w:rsidR="00FF59D2" w:rsidRPr="00791FED" w:rsidRDefault="00FF59D2" w:rsidP="00164085">
            <w:pPr>
              <w:spacing w:after="0" w:line="240" w:lineRule="auto"/>
              <w:rPr>
                <w:rFonts w:cs="Arial"/>
                <w:color w:val="000000"/>
                <w:sz w:val="18"/>
                <w:szCs w:val="18"/>
                <w:lang w:eastAsia="en-AU"/>
              </w:rPr>
            </w:pPr>
            <w:r w:rsidRPr="006E5B56">
              <w:rPr>
                <w:rFonts w:cs="Arial"/>
                <w:color w:val="000000"/>
                <w:sz w:val="18"/>
                <w:szCs w:val="18"/>
                <w:lang w:eastAsia="en-AU"/>
              </w:rPr>
              <w:t>Australian Catholic University</w:t>
            </w:r>
          </w:p>
        </w:tc>
        <w:tc>
          <w:tcPr>
            <w:tcW w:w="1513" w:type="dxa"/>
            <w:shd w:val="clear" w:color="000000" w:fill="FFFFFF"/>
            <w:vAlign w:val="center"/>
          </w:tcPr>
          <w:p w14:paraId="15EB2182" w14:textId="77777777" w:rsidR="00FF59D2" w:rsidRPr="000A0414"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12.3 </w:t>
            </w:r>
          </w:p>
        </w:tc>
        <w:tc>
          <w:tcPr>
            <w:tcW w:w="1513" w:type="dxa"/>
            <w:shd w:val="clear" w:color="000000" w:fill="FFFFFF"/>
            <w:vAlign w:val="center"/>
          </w:tcPr>
          <w:p w14:paraId="78712ABA" w14:textId="77777777" w:rsidR="00FF59D2" w:rsidRPr="000A0414" w:rsidRDefault="00FF59D2" w:rsidP="00164085">
            <w:pPr>
              <w:spacing w:after="0" w:line="240" w:lineRule="auto"/>
              <w:ind w:right="411"/>
              <w:jc w:val="right"/>
              <w:rPr>
                <w:rFonts w:cs="Arial"/>
                <w:color w:val="000000"/>
                <w:sz w:val="18"/>
                <w:szCs w:val="18"/>
                <w:lang w:eastAsia="en-AU"/>
              </w:rPr>
            </w:pPr>
            <w:r w:rsidRPr="000A0414">
              <w:rPr>
                <w:rFonts w:cs="Arial"/>
                <w:color w:val="000000"/>
                <w:sz w:val="18"/>
                <w:szCs w:val="18"/>
              </w:rPr>
              <w:t>8.9</w:t>
            </w:r>
          </w:p>
        </w:tc>
        <w:tc>
          <w:tcPr>
            <w:tcW w:w="1513" w:type="dxa"/>
            <w:shd w:val="clear" w:color="000000" w:fill="FFFFFF"/>
            <w:vAlign w:val="center"/>
          </w:tcPr>
          <w:p w14:paraId="28810BBF" w14:textId="77777777" w:rsidR="00FF59D2" w:rsidRPr="000A0414" w:rsidRDefault="00FF59D2" w:rsidP="00164085">
            <w:pPr>
              <w:spacing w:after="0" w:line="240" w:lineRule="auto"/>
              <w:ind w:right="411"/>
              <w:jc w:val="right"/>
              <w:rPr>
                <w:rFonts w:cs="Arial"/>
                <w:color w:val="000000"/>
                <w:sz w:val="18"/>
                <w:szCs w:val="18"/>
                <w:lang w:eastAsia="en-AU"/>
              </w:rPr>
            </w:pPr>
            <w:r w:rsidRPr="000A0414">
              <w:rPr>
                <w:rFonts w:cs="Arial"/>
                <w:color w:val="000000"/>
                <w:sz w:val="18"/>
                <w:szCs w:val="18"/>
              </w:rPr>
              <w:t>2.1</w:t>
            </w:r>
          </w:p>
        </w:tc>
        <w:tc>
          <w:tcPr>
            <w:tcW w:w="1513" w:type="dxa"/>
            <w:shd w:val="clear" w:color="000000" w:fill="FFFFFF"/>
            <w:vAlign w:val="center"/>
          </w:tcPr>
          <w:p w14:paraId="79AC60B2" w14:textId="77777777" w:rsidR="00FF59D2" w:rsidRPr="000A0414" w:rsidRDefault="00FF59D2" w:rsidP="00164085">
            <w:pPr>
              <w:spacing w:after="0" w:line="240" w:lineRule="auto"/>
              <w:ind w:right="411"/>
              <w:jc w:val="right"/>
              <w:rPr>
                <w:rFonts w:cs="Arial"/>
                <w:color w:val="000000"/>
                <w:sz w:val="18"/>
                <w:szCs w:val="18"/>
              </w:rPr>
            </w:pPr>
            <w:r w:rsidRPr="000A0414">
              <w:rPr>
                <w:rFonts w:cs="Arial"/>
                <w:color w:val="000000"/>
                <w:sz w:val="18"/>
                <w:szCs w:val="18"/>
              </w:rPr>
              <w:t>8.0</w:t>
            </w:r>
          </w:p>
        </w:tc>
      </w:tr>
    </w:tbl>
    <w:p w14:paraId="45E9E2BF" w14:textId="77777777" w:rsidR="00FF59D2" w:rsidRPr="00127B3A" w:rsidRDefault="00FF59D2" w:rsidP="00FF59D2">
      <w:pPr>
        <w:spacing w:after="0" w:line="240" w:lineRule="auto"/>
        <w:rPr>
          <w:b/>
          <w:bCs/>
          <w:sz w:val="18"/>
          <w:szCs w:val="18"/>
        </w:rPr>
      </w:pPr>
      <w:r>
        <w:rPr>
          <w:b/>
          <w:bCs/>
          <w:sz w:val="18"/>
          <w:szCs w:val="18"/>
        </w:rPr>
        <w:t>Note:</w:t>
      </w:r>
      <w:r w:rsidRPr="00981B05">
        <w:rPr>
          <w:sz w:val="18"/>
          <w:szCs w:val="18"/>
        </w:rPr>
        <w:t xml:space="preserve"> ACU is a multi-state university and as such, there is not one state/territory reference value. Reference value</w:t>
      </w:r>
      <w:r>
        <w:rPr>
          <w:sz w:val="18"/>
          <w:szCs w:val="18"/>
        </w:rPr>
        <w:t>s</w:t>
      </w:r>
      <w:r w:rsidRPr="00981B05">
        <w:rPr>
          <w:sz w:val="18"/>
          <w:szCs w:val="18"/>
        </w:rPr>
        <w:t xml:space="preserve"> for New South Wales are shown for illustrative purposes.</w:t>
      </w:r>
    </w:p>
    <w:p w14:paraId="38AC8511"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4D79A22F" w14:textId="77777777" w:rsidR="00FF59D2" w:rsidRDefault="00FF59D2" w:rsidP="00FF59D2">
      <w:pPr>
        <w:rPr>
          <w:rFonts w:cs="Arial"/>
          <w:sz w:val="18"/>
          <w:szCs w:val="18"/>
        </w:rPr>
      </w:pPr>
      <w:r>
        <w:rPr>
          <w:rFonts w:cs="Arial"/>
          <w:sz w:val="18"/>
          <w:szCs w:val="18"/>
        </w:rPr>
        <w:br w:type="page"/>
      </w:r>
    </w:p>
    <w:p w14:paraId="66083568" w14:textId="05CED2DE" w:rsidR="00FF59D2" w:rsidRDefault="00FF59D2" w:rsidP="00A160A2">
      <w:pPr>
        <w:pStyle w:val="Heading1"/>
      </w:pPr>
      <w:bookmarkStart w:id="29" w:name="_Toc171511589"/>
      <w:r>
        <w:lastRenderedPageBreak/>
        <w:t>Appendix B: Equity Group Completion Rates, Table A Providers by State and Territory</w:t>
      </w:r>
      <w:bookmarkEnd w:id="29"/>
    </w:p>
    <w:p w14:paraId="63F5D64F" w14:textId="77777777" w:rsidR="00FF59D2" w:rsidRPr="00ED7646" w:rsidRDefault="00FF59D2" w:rsidP="00B0246A">
      <w:pPr>
        <w:pStyle w:val="Heading2"/>
      </w:pPr>
      <w:r>
        <w:t>Completion</w:t>
      </w:r>
    </w:p>
    <w:p w14:paraId="692B7461" w14:textId="77777777" w:rsidR="00FF59D2" w:rsidRDefault="00FF59D2" w:rsidP="00FF59D2">
      <w:pPr>
        <w:spacing w:line="240" w:lineRule="auto"/>
        <w:rPr>
          <w:rFonts w:cstheme="minorHAnsi"/>
          <w:color w:val="000000"/>
          <w:sz w:val="18"/>
          <w:szCs w:val="18"/>
          <w:lang w:eastAsia="en-AU"/>
        </w:rPr>
      </w:pPr>
      <w:r>
        <w:rPr>
          <w:rFonts w:cstheme="minorHAnsi"/>
          <w:b/>
          <w:bCs/>
          <w:color w:val="000000"/>
          <w:sz w:val="18"/>
          <w:szCs w:val="18"/>
          <w:lang w:eastAsia="en-AU"/>
        </w:rPr>
        <w:br/>
      </w: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B1:  </w:t>
      </w:r>
      <w:r>
        <w:rPr>
          <w:rFonts w:cstheme="minorHAnsi"/>
          <w:color w:val="000000"/>
          <w:sz w:val="18"/>
          <w:szCs w:val="18"/>
          <w:lang w:eastAsia="en-AU"/>
        </w:rPr>
        <w:t xml:space="preserve">New South Wales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20E57FC6" w14:textId="77777777" w:rsidTr="00160B8E">
        <w:trPr>
          <w:trHeight w:val="315"/>
        </w:trPr>
        <w:tc>
          <w:tcPr>
            <w:tcW w:w="2972" w:type="dxa"/>
            <w:shd w:val="clear" w:color="auto" w:fill="auto"/>
            <w:hideMark/>
          </w:tcPr>
          <w:p w14:paraId="431CABB8"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3DF47CB3"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6760A41C"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0184B226"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5AB30577"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14702626" w14:textId="77777777" w:rsidTr="00160B8E">
        <w:trPr>
          <w:trHeight w:val="315"/>
        </w:trPr>
        <w:tc>
          <w:tcPr>
            <w:tcW w:w="2972" w:type="dxa"/>
            <w:shd w:val="clear" w:color="auto" w:fill="EFE2E7" w:themeFill="text1" w:themeFillTint="1A"/>
            <w:vAlign w:val="center"/>
          </w:tcPr>
          <w:p w14:paraId="1F639032" w14:textId="77777777" w:rsidR="00FF59D2" w:rsidRPr="00594ED8" w:rsidRDefault="00FF59D2" w:rsidP="00164085">
            <w:pPr>
              <w:spacing w:after="0" w:line="240" w:lineRule="auto"/>
              <w:rPr>
                <w:b/>
                <w:bCs/>
                <w:sz w:val="18"/>
                <w:szCs w:val="18"/>
              </w:rPr>
            </w:pPr>
            <w:r w:rsidRPr="00594ED8">
              <w:rPr>
                <w:b/>
                <w:bCs/>
                <w:sz w:val="18"/>
                <w:szCs w:val="18"/>
              </w:rPr>
              <w:t>NSW Equity Reference Value</w:t>
            </w:r>
          </w:p>
        </w:tc>
        <w:tc>
          <w:tcPr>
            <w:tcW w:w="1513" w:type="dxa"/>
            <w:shd w:val="clear" w:color="auto" w:fill="EFE2E7" w:themeFill="text1" w:themeFillTint="1A"/>
            <w:vAlign w:val="center"/>
          </w:tcPr>
          <w:p w14:paraId="499F89A8" w14:textId="77777777" w:rsidR="00FF59D2" w:rsidRPr="00594ED8" w:rsidRDefault="00FF59D2" w:rsidP="00164085">
            <w:pPr>
              <w:spacing w:after="0" w:line="240" w:lineRule="auto"/>
              <w:ind w:right="411"/>
              <w:jc w:val="right"/>
              <w:rPr>
                <w:rFonts w:eastAsiaTheme="minorHAnsi" w:cs="Arial"/>
                <w:b/>
                <w:bCs/>
                <w:color w:val="000000"/>
                <w:sz w:val="18"/>
                <w:szCs w:val="18"/>
                <w:lang w:eastAsia="en-US"/>
              </w:rPr>
            </w:pPr>
            <w:r w:rsidRPr="00594ED8">
              <w:rPr>
                <w:rFonts w:eastAsiaTheme="minorHAnsi" w:cs="Arial"/>
                <w:b/>
                <w:bCs/>
                <w:color w:val="000000"/>
                <w:sz w:val="18"/>
                <w:szCs w:val="18"/>
                <w:lang w:eastAsia="en-US"/>
              </w:rPr>
              <w:t>23.0</w:t>
            </w:r>
          </w:p>
        </w:tc>
        <w:tc>
          <w:tcPr>
            <w:tcW w:w="1513" w:type="dxa"/>
            <w:shd w:val="clear" w:color="auto" w:fill="EFE2E7" w:themeFill="text1" w:themeFillTint="1A"/>
            <w:vAlign w:val="center"/>
          </w:tcPr>
          <w:p w14:paraId="0870D46A" w14:textId="77777777" w:rsidR="00FF59D2" w:rsidRPr="00594ED8" w:rsidRDefault="00FF59D2" w:rsidP="00164085">
            <w:pPr>
              <w:spacing w:after="0" w:line="240" w:lineRule="auto"/>
              <w:ind w:right="411"/>
              <w:jc w:val="right"/>
              <w:rPr>
                <w:rFonts w:eastAsiaTheme="minorHAnsi" w:cs="Arial"/>
                <w:b/>
                <w:bCs/>
                <w:color w:val="000000"/>
                <w:sz w:val="18"/>
                <w:szCs w:val="18"/>
                <w:lang w:eastAsia="en-US"/>
              </w:rPr>
            </w:pPr>
            <w:r w:rsidRPr="00594ED8">
              <w:rPr>
                <w:rFonts w:eastAsiaTheme="minorHAnsi" w:cs="Arial"/>
                <w:b/>
                <w:bCs/>
                <w:color w:val="000000"/>
                <w:sz w:val="18"/>
                <w:szCs w:val="18"/>
                <w:lang w:eastAsia="en-US"/>
              </w:rPr>
              <w:t>23.1</w:t>
            </w:r>
          </w:p>
        </w:tc>
        <w:tc>
          <w:tcPr>
            <w:tcW w:w="1513" w:type="dxa"/>
            <w:shd w:val="clear" w:color="auto" w:fill="EFE2E7" w:themeFill="text1" w:themeFillTint="1A"/>
            <w:vAlign w:val="center"/>
          </w:tcPr>
          <w:p w14:paraId="6B91ACF0" w14:textId="77777777" w:rsidR="00FF59D2" w:rsidRPr="00594ED8" w:rsidRDefault="00FF59D2" w:rsidP="00164085">
            <w:pPr>
              <w:spacing w:after="0" w:line="240" w:lineRule="auto"/>
              <w:ind w:right="411"/>
              <w:jc w:val="right"/>
              <w:rPr>
                <w:rFonts w:eastAsiaTheme="minorHAnsi" w:cs="Arial"/>
                <w:b/>
                <w:bCs/>
                <w:color w:val="000000"/>
                <w:sz w:val="18"/>
                <w:szCs w:val="18"/>
                <w:lang w:eastAsia="en-US"/>
              </w:rPr>
            </w:pPr>
            <w:r w:rsidRPr="00594ED8">
              <w:rPr>
                <w:rFonts w:eastAsiaTheme="minorHAnsi" w:cs="Arial"/>
                <w:b/>
                <w:bCs/>
                <w:color w:val="000000"/>
                <w:sz w:val="18"/>
                <w:szCs w:val="18"/>
                <w:lang w:eastAsia="en-US"/>
              </w:rPr>
              <w:t>3.0</w:t>
            </w:r>
          </w:p>
        </w:tc>
        <w:tc>
          <w:tcPr>
            <w:tcW w:w="1513" w:type="dxa"/>
            <w:shd w:val="clear" w:color="auto" w:fill="EFE2E7" w:themeFill="text1" w:themeFillTint="1A"/>
            <w:vAlign w:val="center"/>
          </w:tcPr>
          <w:p w14:paraId="4EA46980" w14:textId="77777777" w:rsidR="00FF59D2" w:rsidRPr="00594ED8" w:rsidRDefault="00FF59D2" w:rsidP="00164085">
            <w:pPr>
              <w:spacing w:after="0" w:line="240" w:lineRule="auto"/>
              <w:ind w:right="411"/>
              <w:jc w:val="right"/>
              <w:rPr>
                <w:rFonts w:eastAsiaTheme="minorHAnsi" w:cs="Arial"/>
                <w:b/>
                <w:bCs/>
                <w:color w:val="000000"/>
                <w:sz w:val="18"/>
                <w:szCs w:val="18"/>
                <w:lang w:eastAsia="en-US"/>
              </w:rPr>
            </w:pPr>
            <w:r w:rsidRPr="00594ED8">
              <w:rPr>
                <w:rFonts w:cs="Arial"/>
                <w:b/>
                <w:bCs/>
                <w:color w:val="000000"/>
                <w:sz w:val="18"/>
                <w:szCs w:val="18"/>
              </w:rPr>
              <w:t>8.4</w:t>
            </w:r>
          </w:p>
        </w:tc>
      </w:tr>
      <w:tr w:rsidR="00FF59D2" w:rsidRPr="005C5A70" w14:paraId="0A091711" w14:textId="77777777" w:rsidTr="00164085">
        <w:trPr>
          <w:trHeight w:val="315"/>
        </w:trPr>
        <w:tc>
          <w:tcPr>
            <w:tcW w:w="2972" w:type="dxa"/>
            <w:shd w:val="clear" w:color="000000" w:fill="FFFFFF"/>
            <w:vAlign w:val="center"/>
          </w:tcPr>
          <w:p w14:paraId="2D7440B2"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Charles Sturt University</w:t>
            </w:r>
          </w:p>
        </w:tc>
        <w:tc>
          <w:tcPr>
            <w:tcW w:w="1513" w:type="dxa"/>
            <w:shd w:val="clear" w:color="000000" w:fill="FFFFFF"/>
            <w:vAlign w:val="center"/>
          </w:tcPr>
          <w:p w14:paraId="5FE2ABAD" w14:textId="1A30ABFC" w:rsidR="00FF59D2" w:rsidRPr="00AF2684" w:rsidRDefault="00FF59D2" w:rsidP="00164085">
            <w:pPr>
              <w:spacing w:after="0" w:line="240" w:lineRule="auto"/>
              <w:ind w:right="411"/>
              <w:jc w:val="right"/>
              <w:rPr>
                <w:rFonts w:cs="Arial"/>
                <w:color w:val="000000"/>
                <w:sz w:val="18"/>
                <w:szCs w:val="18"/>
                <w:lang w:eastAsia="en-AU"/>
              </w:rPr>
            </w:pPr>
            <w:r>
              <w:rPr>
                <w:rFonts w:eastAsiaTheme="minorHAnsi" w:cs="Arial"/>
                <w:color w:val="000000"/>
                <w:sz w:val="18"/>
                <w:szCs w:val="18"/>
                <w:lang w:eastAsia="en-US"/>
              </w:rPr>
              <w:t xml:space="preserve">20.4 </w:t>
            </w:r>
          </w:p>
        </w:tc>
        <w:tc>
          <w:tcPr>
            <w:tcW w:w="1513" w:type="dxa"/>
            <w:shd w:val="clear" w:color="000000" w:fill="FFFFFF"/>
            <w:vAlign w:val="center"/>
          </w:tcPr>
          <w:p w14:paraId="15E102D6"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42.7</w:t>
            </w:r>
          </w:p>
        </w:tc>
        <w:tc>
          <w:tcPr>
            <w:tcW w:w="1513" w:type="dxa"/>
            <w:shd w:val="clear" w:color="000000" w:fill="FFFFFF"/>
            <w:vAlign w:val="center"/>
          </w:tcPr>
          <w:p w14:paraId="7436904C"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3.5</w:t>
            </w:r>
          </w:p>
        </w:tc>
        <w:tc>
          <w:tcPr>
            <w:tcW w:w="1513" w:type="dxa"/>
            <w:shd w:val="clear" w:color="000000" w:fill="FFFFFF"/>
            <w:vAlign w:val="center"/>
          </w:tcPr>
          <w:p w14:paraId="6C4ABB87"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5.3</w:t>
            </w:r>
          </w:p>
        </w:tc>
      </w:tr>
      <w:tr w:rsidR="00FF59D2" w:rsidRPr="005C5A70" w14:paraId="61B2DDA7" w14:textId="77777777" w:rsidTr="00160B8E">
        <w:trPr>
          <w:trHeight w:val="315"/>
        </w:trPr>
        <w:tc>
          <w:tcPr>
            <w:tcW w:w="2972" w:type="dxa"/>
            <w:shd w:val="clear" w:color="auto" w:fill="auto"/>
            <w:vAlign w:val="center"/>
          </w:tcPr>
          <w:p w14:paraId="19C6A5BE"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Macquarie University</w:t>
            </w:r>
          </w:p>
        </w:tc>
        <w:tc>
          <w:tcPr>
            <w:tcW w:w="1513" w:type="dxa"/>
            <w:shd w:val="clear" w:color="auto" w:fill="auto"/>
            <w:vAlign w:val="center"/>
          </w:tcPr>
          <w:p w14:paraId="74D13732" w14:textId="77777777" w:rsidR="00FF59D2" w:rsidRPr="00AF2684" w:rsidRDefault="00FF59D2" w:rsidP="00164085">
            <w:pPr>
              <w:spacing w:after="0" w:line="240" w:lineRule="auto"/>
              <w:ind w:right="411"/>
              <w:jc w:val="right"/>
              <w:rPr>
                <w:rFonts w:cs="Arial"/>
                <w:color w:val="000000"/>
                <w:sz w:val="18"/>
                <w:szCs w:val="18"/>
                <w:lang w:eastAsia="en-AU"/>
              </w:rPr>
            </w:pPr>
            <w:r>
              <w:rPr>
                <w:rFonts w:eastAsiaTheme="minorHAnsi" w:cs="Arial"/>
                <w:color w:val="000000"/>
                <w:sz w:val="18"/>
                <w:szCs w:val="18"/>
                <w:lang w:eastAsia="en-US"/>
              </w:rPr>
              <w:t xml:space="preserve">8.6 </w:t>
            </w:r>
          </w:p>
        </w:tc>
        <w:tc>
          <w:tcPr>
            <w:tcW w:w="1513" w:type="dxa"/>
            <w:shd w:val="clear" w:color="auto" w:fill="auto"/>
            <w:vAlign w:val="center"/>
          </w:tcPr>
          <w:p w14:paraId="193F7CD1"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4.7</w:t>
            </w:r>
          </w:p>
        </w:tc>
        <w:tc>
          <w:tcPr>
            <w:tcW w:w="1513" w:type="dxa"/>
            <w:shd w:val="clear" w:color="auto" w:fill="auto"/>
            <w:vAlign w:val="center"/>
          </w:tcPr>
          <w:p w14:paraId="33A416F3"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0.9</w:t>
            </w:r>
          </w:p>
        </w:tc>
        <w:tc>
          <w:tcPr>
            <w:tcW w:w="1513" w:type="dxa"/>
            <w:shd w:val="clear" w:color="auto" w:fill="auto"/>
            <w:vAlign w:val="center"/>
          </w:tcPr>
          <w:p w14:paraId="39112485"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7.3</w:t>
            </w:r>
          </w:p>
        </w:tc>
      </w:tr>
      <w:tr w:rsidR="00FF59D2" w:rsidRPr="005C5A70" w14:paraId="67920B3D" w14:textId="77777777" w:rsidTr="00160B8E">
        <w:trPr>
          <w:trHeight w:val="315"/>
        </w:trPr>
        <w:tc>
          <w:tcPr>
            <w:tcW w:w="2972" w:type="dxa"/>
            <w:shd w:val="clear" w:color="auto" w:fill="auto"/>
            <w:vAlign w:val="center"/>
          </w:tcPr>
          <w:p w14:paraId="25EE399E"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Southern Cross University</w:t>
            </w:r>
          </w:p>
        </w:tc>
        <w:tc>
          <w:tcPr>
            <w:tcW w:w="1513" w:type="dxa"/>
            <w:shd w:val="clear" w:color="auto" w:fill="auto"/>
            <w:vAlign w:val="center"/>
          </w:tcPr>
          <w:p w14:paraId="3F253618" w14:textId="77777777" w:rsidR="00FF59D2" w:rsidRPr="00AF2684" w:rsidRDefault="00FF59D2" w:rsidP="00164085">
            <w:pPr>
              <w:spacing w:after="0" w:line="240" w:lineRule="auto"/>
              <w:ind w:right="411"/>
              <w:jc w:val="right"/>
              <w:rPr>
                <w:rFonts w:cs="Arial"/>
                <w:color w:val="000000"/>
                <w:sz w:val="18"/>
                <w:szCs w:val="18"/>
                <w:lang w:eastAsia="en-AU"/>
              </w:rPr>
            </w:pPr>
            <w:r>
              <w:rPr>
                <w:rFonts w:eastAsiaTheme="minorHAnsi" w:cs="Arial"/>
                <w:color w:val="000000"/>
                <w:sz w:val="18"/>
                <w:szCs w:val="18"/>
                <w:lang w:eastAsia="en-US"/>
              </w:rPr>
              <w:t xml:space="preserve">18.2 </w:t>
            </w:r>
          </w:p>
        </w:tc>
        <w:tc>
          <w:tcPr>
            <w:tcW w:w="1513" w:type="dxa"/>
            <w:shd w:val="clear" w:color="auto" w:fill="auto"/>
            <w:vAlign w:val="center"/>
          </w:tcPr>
          <w:p w14:paraId="11990C71"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35.9</w:t>
            </w:r>
          </w:p>
        </w:tc>
        <w:tc>
          <w:tcPr>
            <w:tcW w:w="1513" w:type="dxa"/>
            <w:shd w:val="clear" w:color="auto" w:fill="auto"/>
            <w:vAlign w:val="center"/>
          </w:tcPr>
          <w:p w14:paraId="377EF6BC"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3.5</w:t>
            </w:r>
          </w:p>
        </w:tc>
        <w:tc>
          <w:tcPr>
            <w:tcW w:w="1513" w:type="dxa"/>
            <w:shd w:val="clear" w:color="auto" w:fill="auto"/>
            <w:vAlign w:val="center"/>
          </w:tcPr>
          <w:p w14:paraId="1CCC602B"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7.4</w:t>
            </w:r>
          </w:p>
        </w:tc>
      </w:tr>
      <w:tr w:rsidR="00FF59D2" w:rsidRPr="005C5A70" w14:paraId="6BDC645A" w14:textId="77777777" w:rsidTr="00160B8E">
        <w:trPr>
          <w:trHeight w:val="315"/>
        </w:trPr>
        <w:tc>
          <w:tcPr>
            <w:tcW w:w="2972" w:type="dxa"/>
            <w:shd w:val="clear" w:color="auto" w:fill="auto"/>
            <w:vAlign w:val="center"/>
          </w:tcPr>
          <w:p w14:paraId="68C61726" w14:textId="77777777" w:rsidR="00FF59D2" w:rsidRPr="000438FE" w:rsidRDefault="00FF59D2" w:rsidP="00164085">
            <w:pPr>
              <w:spacing w:after="0" w:line="240" w:lineRule="auto"/>
              <w:rPr>
                <w:rFonts w:cs="Arial"/>
                <w:color w:val="auto"/>
                <w:sz w:val="18"/>
                <w:szCs w:val="18"/>
                <w:lang w:eastAsia="en-AU"/>
              </w:rPr>
            </w:pPr>
            <w:r w:rsidRPr="000438FE">
              <w:rPr>
                <w:sz w:val="18"/>
                <w:szCs w:val="18"/>
              </w:rPr>
              <w:t>The University of New England</w:t>
            </w:r>
          </w:p>
        </w:tc>
        <w:tc>
          <w:tcPr>
            <w:tcW w:w="1513" w:type="dxa"/>
            <w:shd w:val="clear" w:color="auto" w:fill="auto"/>
            <w:vAlign w:val="center"/>
          </w:tcPr>
          <w:p w14:paraId="1272ED8A" w14:textId="77777777" w:rsidR="00FF59D2" w:rsidRPr="00AF2684" w:rsidRDefault="00FF59D2" w:rsidP="00164085">
            <w:pPr>
              <w:spacing w:after="0" w:line="240" w:lineRule="auto"/>
              <w:ind w:right="411"/>
              <w:jc w:val="right"/>
              <w:rPr>
                <w:rFonts w:cs="Arial"/>
                <w:color w:val="auto"/>
                <w:sz w:val="18"/>
                <w:szCs w:val="18"/>
                <w:lang w:eastAsia="en-AU"/>
              </w:rPr>
            </w:pPr>
            <w:r>
              <w:rPr>
                <w:rFonts w:eastAsiaTheme="minorHAnsi" w:cs="Arial"/>
                <w:color w:val="000000"/>
                <w:sz w:val="18"/>
                <w:szCs w:val="18"/>
                <w:lang w:eastAsia="en-US"/>
              </w:rPr>
              <w:t xml:space="preserve">18.0 </w:t>
            </w:r>
          </w:p>
        </w:tc>
        <w:tc>
          <w:tcPr>
            <w:tcW w:w="1513" w:type="dxa"/>
            <w:shd w:val="clear" w:color="auto" w:fill="auto"/>
            <w:vAlign w:val="center"/>
          </w:tcPr>
          <w:p w14:paraId="5E0F8DB7" w14:textId="77777777" w:rsidR="00FF59D2" w:rsidRPr="00AF2684" w:rsidRDefault="00FF59D2" w:rsidP="00164085">
            <w:pPr>
              <w:spacing w:after="0" w:line="240" w:lineRule="auto"/>
              <w:ind w:right="411"/>
              <w:jc w:val="right"/>
              <w:rPr>
                <w:rFonts w:cs="Arial"/>
                <w:color w:val="auto"/>
                <w:sz w:val="18"/>
                <w:szCs w:val="18"/>
                <w:lang w:eastAsia="en-AU"/>
              </w:rPr>
            </w:pPr>
            <w:r w:rsidRPr="00AF2684">
              <w:rPr>
                <w:rFonts w:eastAsiaTheme="minorHAnsi" w:cs="Arial"/>
                <w:color w:val="000000"/>
                <w:sz w:val="18"/>
                <w:szCs w:val="18"/>
                <w:lang w:eastAsia="en-US"/>
              </w:rPr>
              <w:t>41.1</w:t>
            </w:r>
          </w:p>
        </w:tc>
        <w:tc>
          <w:tcPr>
            <w:tcW w:w="1513" w:type="dxa"/>
            <w:shd w:val="clear" w:color="auto" w:fill="auto"/>
            <w:vAlign w:val="center"/>
          </w:tcPr>
          <w:p w14:paraId="15BC835E" w14:textId="77777777" w:rsidR="00FF59D2" w:rsidRPr="00AF2684" w:rsidRDefault="00FF59D2" w:rsidP="00164085">
            <w:pPr>
              <w:spacing w:after="0" w:line="240" w:lineRule="auto"/>
              <w:ind w:right="411"/>
              <w:jc w:val="right"/>
              <w:rPr>
                <w:rFonts w:cs="Arial"/>
                <w:color w:val="auto"/>
                <w:sz w:val="18"/>
                <w:szCs w:val="18"/>
                <w:lang w:eastAsia="en-AU"/>
              </w:rPr>
            </w:pPr>
            <w:r w:rsidRPr="00AF2684">
              <w:rPr>
                <w:rFonts w:eastAsiaTheme="minorHAnsi" w:cs="Arial"/>
                <w:color w:val="000000"/>
                <w:sz w:val="18"/>
                <w:szCs w:val="18"/>
                <w:lang w:eastAsia="en-US"/>
              </w:rPr>
              <w:t>2.8</w:t>
            </w:r>
          </w:p>
        </w:tc>
        <w:tc>
          <w:tcPr>
            <w:tcW w:w="1513" w:type="dxa"/>
            <w:shd w:val="clear" w:color="auto" w:fill="auto"/>
            <w:vAlign w:val="center"/>
          </w:tcPr>
          <w:p w14:paraId="7C087779" w14:textId="77777777" w:rsidR="00FF59D2" w:rsidRPr="00AF2684" w:rsidRDefault="00FF59D2" w:rsidP="00164085">
            <w:pPr>
              <w:spacing w:after="0" w:line="240" w:lineRule="auto"/>
              <w:ind w:right="411"/>
              <w:jc w:val="right"/>
              <w:rPr>
                <w:rFonts w:cs="Arial"/>
                <w:color w:val="auto"/>
                <w:sz w:val="18"/>
                <w:szCs w:val="18"/>
              </w:rPr>
            </w:pPr>
            <w:r w:rsidRPr="00AF2684">
              <w:rPr>
                <w:rFonts w:eastAsiaTheme="minorHAnsi" w:cs="Arial"/>
                <w:color w:val="000000"/>
                <w:sz w:val="18"/>
                <w:szCs w:val="18"/>
                <w:lang w:eastAsia="en-US"/>
              </w:rPr>
              <w:t>14.3</w:t>
            </w:r>
          </w:p>
        </w:tc>
      </w:tr>
      <w:tr w:rsidR="00FF59D2" w:rsidRPr="005C5A70" w14:paraId="3140A35E" w14:textId="77777777" w:rsidTr="00160B8E">
        <w:trPr>
          <w:trHeight w:val="315"/>
        </w:trPr>
        <w:tc>
          <w:tcPr>
            <w:tcW w:w="2972" w:type="dxa"/>
            <w:shd w:val="clear" w:color="auto" w:fill="auto"/>
            <w:vAlign w:val="center"/>
          </w:tcPr>
          <w:p w14:paraId="0102B33B"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The University of Newcastle</w:t>
            </w:r>
          </w:p>
        </w:tc>
        <w:tc>
          <w:tcPr>
            <w:tcW w:w="1513" w:type="dxa"/>
            <w:shd w:val="clear" w:color="auto" w:fill="auto"/>
            <w:vAlign w:val="center"/>
          </w:tcPr>
          <w:p w14:paraId="5FA28C83" w14:textId="77777777" w:rsidR="00FF59D2" w:rsidRPr="00AF2684" w:rsidRDefault="00FF59D2" w:rsidP="00164085">
            <w:pPr>
              <w:spacing w:after="0" w:line="240" w:lineRule="auto"/>
              <w:ind w:right="411"/>
              <w:jc w:val="right"/>
              <w:rPr>
                <w:rFonts w:cs="Arial"/>
                <w:color w:val="auto"/>
                <w:sz w:val="18"/>
                <w:szCs w:val="18"/>
                <w:lang w:eastAsia="en-AU"/>
              </w:rPr>
            </w:pPr>
            <w:r>
              <w:rPr>
                <w:rFonts w:eastAsiaTheme="minorHAnsi" w:cs="Arial"/>
                <w:color w:val="000000"/>
                <w:sz w:val="18"/>
                <w:szCs w:val="18"/>
                <w:lang w:eastAsia="en-US"/>
              </w:rPr>
              <w:t xml:space="preserve">20.1 </w:t>
            </w:r>
          </w:p>
        </w:tc>
        <w:tc>
          <w:tcPr>
            <w:tcW w:w="1513" w:type="dxa"/>
            <w:shd w:val="clear" w:color="auto" w:fill="auto"/>
            <w:vAlign w:val="center"/>
          </w:tcPr>
          <w:p w14:paraId="79F572A0"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17.5</w:t>
            </w:r>
          </w:p>
        </w:tc>
        <w:tc>
          <w:tcPr>
            <w:tcW w:w="1513" w:type="dxa"/>
            <w:shd w:val="clear" w:color="auto" w:fill="auto"/>
            <w:vAlign w:val="center"/>
          </w:tcPr>
          <w:p w14:paraId="583B6526"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3.0</w:t>
            </w:r>
          </w:p>
        </w:tc>
        <w:tc>
          <w:tcPr>
            <w:tcW w:w="1513" w:type="dxa"/>
            <w:shd w:val="clear" w:color="auto" w:fill="auto"/>
            <w:vAlign w:val="center"/>
          </w:tcPr>
          <w:p w14:paraId="79A45AE9"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11.4</w:t>
            </w:r>
          </w:p>
        </w:tc>
      </w:tr>
      <w:tr w:rsidR="00FF59D2" w:rsidRPr="005C5A70" w14:paraId="366FE694" w14:textId="77777777" w:rsidTr="00160B8E">
        <w:trPr>
          <w:trHeight w:val="315"/>
        </w:trPr>
        <w:tc>
          <w:tcPr>
            <w:tcW w:w="2972" w:type="dxa"/>
            <w:shd w:val="clear" w:color="auto" w:fill="auto"/>
            <w:vAlign w:val="center"/>
          </w:tcPr>
          <w:p w14:paraId="17C81768"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The University of Sydney</w:t>
            </w:r>
          </w:p>
        </w:tc>
        <w:tc>
          <w:tcPr>
            <w:tcW w:w="1513" w:type="dxa"/>
            <w:shd w:val="clear" w:color="auto" w:fill="auto"/>
            <w:vAlign w:val="center"/>
          </w:tcPr>
          <w:p w14:paraId="7236A47B" w14:textId="77777777" w:rsidR="00FF59D2" w:rsidRPr="00AF2684" w:rsidRDefault="00FF59D2" w:rsidP="00164085">
            <w:pPr>
              <w:spacing w:after="0" w:line="240" w:lineRule="auto"/>
              <w:ind w:right="411"/>
              <w:jc w:val="right"/>
              <w:rPr>
                <w:rFonts w:cs="Arial"/>
                <w:color w:val="auto"/>
                <w:sz w:val="18"/>
                <w:szCs w:val="18"/>
                <w:lang w:eastAsia="en-AU"/>
              </w:rPr>
            </w:pPr>
            <w:r>
              <w:rPr>
                <w:rFonts w:eastAsiaTheme="minorHAnsi" w:cs="Arial"/>
                <w:color w:val="000000"/>
                <w:sz w:val="18"/>
                <w:szCs w:val="18"/>
                <w:lang w:eastAsia="en-US"/>
              </w:rPr>
              <w:t xml:space="preserve">8.0 </w:t>
            </w:r>
          </w:p>
        </w:tc>
        <w:tc>
          <w:tcPr>
            <w:tcW w:w="1513" w:type="dxa"/>
            <w:shd w:val="clear" w:color="auto" w:fill="auto"/>
            <w:vAlign w:val="center"/>
          </w:tcPr>
          <w:p w14:paraId="3550E943"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5.9</w:t>
            </w:r>
          </w:p>
        </w:tc>
        <w:tc>
          <w:tcPr>
            <w:tcW w:w="1513" w:type="dxa"/>
            <w:shd w:val="clear" w:color="auto" w:fill="auto"/>
            <w:vAlign w:val="center"/>
          </w:tcPr>
          <w:p w14:paraId="7C117C70"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1.0</w:t>
            </w:r>
          </w:p>
        </w:tc>
        <w:tc>
          <w:tcPr>
            <w:tcW w:w="1513" w:type="dxa"/>
            <w:shd w:val="clear" w:color="auto" w:fill="auto"/>
            <w:vAlign w:val="center"/>
          </w:tcPr>
          <w:p w14:paraId="45DFD15E"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7.6</w:t>
            </w:r>
          </w:p>
        </w:tc>
      </w:tr>
      <w:tr w:rsidR="00FF59D2" w:rsidRPr="005C5A70" w14:paraId="596A90ED" w14:textId="77777777" w:rsidTr="00160B8E">
        <w:trPr>
          <w:trHeight w:val="315"/>
        </w:trPr>
        <w:tc>
          <w:tcPr>
            <w:tcW w:w="2972" w:type="dxa"/>
            <w:shd w:val="clear" w:color="auto" w:fill="auto"/>
            <w:vAlign w:val="center"/>
          </w:tcPr>
          <w:p w14:paraId="7DED9706"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University of New South Wales</w:t>
            </w:r>
          </w:p>
        </w:tc>
        <w:tc>
          <w:tcPr>
            <w:tcW w:w="1513" w:type="dxa"/>
            <w:shd w:val="clear" w:color="auto" w:fill="auto"/>
            <w:vAlign w:val="center"/>
          </w:tcPr>
          <w:p w14:paraId="1EC7CA87" w14:textId="4649D747" w:rsidR="00FF59D2" w:rsidRPr="00AF2684" w:rsidRDefault="00FF59D2" w:rsidP="00164085">
            <w:pPr>
              <w:spacing w:after="0" w:line="240" w:lineRule="auto"/>
              <w:ind w:right="411"/>
              <w:jc w:val="right"/>
              <w:rPr>
                <w:rFonts w:cs="Arial"/>
                <w:color w:val="auto"/>
                <w:sz w:val="18"/>
                <w:szCs w:val="18"/>
                <w:lang w:eastAsia="en-AU"/>
              </w:rPr>
            </w:pPr>
            <w:r>
              <w:rPr>
                <w:rFonts w:eastAsiaTheme="minorHAnsi" w:cs="Arial"/>
                <w:color w:val="000000"/>
                <w:sz w:val="18"/>
                <w:szCs w:val="18"/>
                <w:lang w:eastAsia="en-US"/>
              </w:rPr>
              <w:t>8.</w:t>
            </w:r>
            <w:r w:rsidR="00ED3A7B">
              <w:rPr>
                <w:rFonts w:eastAsiaTheme="minorHAnsi" w:cs="Arial"/>
                <w:color w:val="000000"/>
                <w:sz w:val="18"/>
                <w:szCs w:val="18"/>
                <w:lang w:eastAsia="en-US"/>
              </w:rPr>
              <w:t>6</w:t>
            </w:r>
            <w:r>
              <w:rPr>
                <w:rFonts w:eastAsiaTheme="minorHAnsi" w:cs="Arial"/>
                <w:color w:val="000000"/>
                <w:sz w:val="18"/>
                <w:szCs w:val="18"/>
                <w:lang w:eastAsia="en-US"/>
              </w:rPr>
              <w:t xml:space="preserve"> </w:t>
            </w:r>
          </w:p>
        </w:tc>
        <w:tc>
          <w:tcPr>
            <w:tcW w:w="1513" w:type="dxa"/>
            <w:shd w:val="clear" w:color="auto" w:fill="auto"/>
            <w:vAlign w:val="center"/>
          </w:tcPr>
          <w:p w14:paraId="71B14E91"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6.7</w:t>
            </w:r>
          </w:p>
        </w:tc>
        <w:tc>
          <w:tcPr>
            <w:tcW w:w="1513" w:type="dxa"/>
            <w:shd w:val="clear" w:color="auto" w:fill="auto"/>
            <w:vAlign w:val="center"/>
          </w:tcPr>
          <w:p w14:paraId="3A20135A"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1.0</w:t>
            </w:r>
          </w:p>
        </w:tc>
        <w:tc>
          <w:tcPr>
            <w:tcW w:w="1513" w:type="dxa"/>
            <w:shd w:val="clear" w:color="auto" w:fill="auto"/>
            <w:vAlign w:val="center"/>
          </w:tcPr>
          <w:p w14:paraId="7B933524"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6.0</w:t>
            </w:r>
          </w:p>
        </w:tc>
      </w:tr>
      <w:tr w:rsidR="00FF59D2" w:rsidRPr="005C5A70" w14:paraId="4AB8C8F6" w14:textId="77777777" w:rsidTr="00160B8E">
        <w:trPr>
          <w:trHeight w:val="315"/>
        </w:trPr>
        <w:tc>
          <w:tcPr>
            <w:tcW w:w="2972" w:type="dxa"/>
            <w:shd w:val="clear" w:color="auto" w:fill="auto"/>
            <w:vAlign w:val="center"/>
          </w:tcPr>
          <w:p w14:paraId="6846AED5"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University of Technology Sydney</w:t>
            </w:r>
          </w:p>
        </w:tc>
        <w:tc>
          <w:tcPr>
            <w:tcW w:w="1513" w:type="dxa"/>
            <w:shd w:val="clear" w:color="auto" w:fill="auto"/>
            <w:vAlign w:val="center"/>
          </w:tcPr>
          <w:p w14:paraId="7AAE204E" w14:textId="77777777" w:rsidR="00FF59D2" w:rsidRPr="00AF2684" w:rsidRDefault="00FF59D2" w:rsidP="00164085">
            <w:pPr>
              <w:spacing w:after="0" w:line="240" w:lineRule="auto"/>
              <w:ind w:right="411"/>
              <w:jc w:val="right"/>
              <w:rPr>
                <w:rFonts w:cs="Arial"/>
                <w:color w:val="auto"/>
                <w:sz w:val="18"/>
                <w:szCs w:val="18"/>
                <w:lang w:eastAsia="en-AU"/>
              </w:rPr>
            </w:pPr>
            <w:r>
              <w:rPr>
                <w:rFonts w:eastAsiaTheme="minorHAnsi" w:cs="Arial"/>
                <w:color w:val="000000"/>
                <w:sz w:val="18"/>
                <w:szCs w:val="18"/>
                <w:lang w:eastAsia="en-US"/>
              </w:rPr>
              <w:t xml:space="preserve">10.7 </w:t>
            </w:r>
          </w:p>
        </w:tc>
        <w:tc>
          <w:tcPr>
            <w:tcW w:w="1513" w:type="dxa"/>
            <w:shd w:val="clear" w:color="auto" w:fill="auto"/>
            <w:vAlign w:val="center"/>
          </w:tcPr>
          <w:p w14:paraId="051A4501"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3.4</w:t>
            </w:r>
          </w:p>
        </w:tc>
        <w:tc>
          <w:tcPr>
            <w:tcW w:w="1513" w:type="dxa"/>
            <w:shd w:val="clear" w:color="auto" w:fill="auto"/>
            <w:vAlign w:val="center"/>
          </w:tcPr>
          <w:p w14:paraId="5BD5E3CB"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0.8</w:t>
            </w:r>
          </w:p>
        </w:tc>
        <w:tc>
          <w:tcPr>
            <w:tcW w:w="1513" w:type="dxa"/>
            <w:shd w:val="clear" w:color="auto" w:fill="auto"/>
            <w:vAlign w:val="center"/>
          </w:tcPr>
          <w:p w14:paraId="3790D7EF" w14:textId="77777777" w:rsidR="00FF59D2" w:rsidRPr="00AF2684" w:rsidRDefault="00FF59D2" w:rsidP="00164085">
            <w:pPr>
              <w:spacing w:after="0" w:line="240" w:lineRule="auto"/>
              <w:ind w:right="411"/>
              <w:jc w:val="right"/>
              <w:rPr>
                <w:rFonts w:cs="Arial"/>
                <w:color w:val="000000"/>
                <w:sz w:val="18"/>
                <w:szCs w:val="18"/>
              </w:rPr>
            </w:pPr>
            <w:r>
              <w:rPr>
                <w:rFonts w:eastAsiaTheme="minorHAnsi" w:cs="Arial"/>
                <w:color w:val="000000"/>
                <w:sz w:val="18"/>
                <w:szCs w:val="18"/>
                <w:lang w:eastAsia="en-US"/>
              </w:rPr>
              <w:t xml:space="preserve">5.0 </w:t>
            </w:r>
          </w:p>
        </w:tc>
      </w:tr>
      <w:tr w:rsidR="00FF59D2" w:rsidRPr="005C5A70" w14:paraId="695B7CA4" w14:textId="77777777" w:rsidTr="00160B8E">
        <w:trPr>
          <w:trHeight w:val="315"/>
        </w:trPr>
        <w:tc>
          <w:tcPr>
            <w:tcW w:w="2972" w:type="dxa"/>
            <w:shd w:val="clear" w:color="auto" w:fill="auto"/>
            <w:vAlign w:val="center"/>
          </w:tcPr>
          <w:p w14:paraId="2E0256BE"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University of Wollongong</w:t>
            </w:r>
          </w:p>
        </w:tc>
        <w:tc>
          <w:tcPr>
            <w:tcW w:w="1513" w:type="dxa"/>
            <w:shd w:val="clear" w:color="auto" w:fill="auto"/>
            <w:vAlign w:val="center"/>
          </w:tcPr>
          <w:p w14:paraId="2AC6748B" w14:textId="48AB56F3" w:rsidR="00FF59D2" w:rsidRPr="00AF2684" w:rsidRDefault="00FF59D2" w:rsidP="00164085">
            <w:pPr>
              <w:spacing w:after="0" w:line="240" w:lineRule="auto"/>
              <w:ind w:right="411"/>
              <w:jc w:val="right"/>
              <w:rPr>
                <w:rFonts w:cs="Arial"/>
                <w:color w:val="000000"/>
                <w:sz w:val="18"/>
                <w:szCs w:val="18"/>
                <w:lang w:eastAsia="en-AU"/>
              </w:rPr>
            </w:pPr>
            <w:r>
              <w:rPr>
                <w:rFonts w:eastAsiaTheme="minorHAnsi" w:cs="Arial"/>
                <w:color w:val="000000"/>
                <w:sz w:val="18"/>
                <w:szCs w:val="18"/>
                <w:lang w:eastAsia="en-US"/>
              </w:rPr>
              <w:t>16.6</w:t>
            </w:r>
          </w:p>
        </w:tc>
        <w:tc>
          <w:tcPr>
            <w:tcW w:w="1513" w:type="dxa"/>
            <w:shd w:val="clear" w:color="auto" w:fill="auto"/>
            <w:vAlign w:val="center"/>
          </w:tcPr>
          <w:p w14:paraId="1A71B0D8"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28.3</w:t>
            </w:r>
          </w:p>
        </w:tc>
        <w:tc>
          <w:tcPr>
            <w:tcW w:w="1513" w:type="dxa"/>
            <w:shd w:val="clear" w:color="auto" w:fill="auto"/>
            <w:vAlign w:val="center"/>
          </w:tcPr>
          <w:p w14:paraId="169A18BA"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2.6</w:t>
            </w:r>
          </w:p>
        </w:tc>
        <w:tc>
          <w:tcPr>
            <w:tcW w:w="1513" w:type="dxa"/>
            <w:shd w:val="clear" w:color="auto" w:fill="auto"/>
            <w:vAlign w:val="center"/>
          </w:tcPr>
          <w:p w14:paraId="30B34B46"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11.5</w:t>
            </w:r>
          </w:p>
        </w:tc>
      </w:tr>
      <w:tr w:rsidR="00FF59D2" w:rsidRPr="005C5A70" w14:paraId="0349605E" w14:textId="77777777" w:rsidTr="00160B8E">
        <w:trPr>
          <w:trHeight w:val="315"/>
        </w:trPr>
        <w:tc>
          <w:tcPr>
            <w:tcW w:w="2972" w:type="dxa"/>
            <w:shd w:val="clear" w:color="auto" w:fill="auto"/>
            <w:vAlign w:val="center"/>
          </w:tcPr>
          <w:p w14:paraId="75C992F7" w14:textId="77777777" w:rsidR="00FF59D2" w:rsidRPr="000438FE" w:rsidRDefault="00FF59D2" w:rsidP="00164085">
            <w:pPr>
              <w:spacing w:after="0" w:line="240" w:lineRule="auto"/>
              <w:rPr>
                <w:rFonts w:cs="Arial"/>
                <w:color w:val="000000"/>
                <w:sz w:val="18"/>
                <w:szCs w:val="18"/>
                <w:lang w:eastAsia="en-AU"/>
              </w:rPr>
            </w:pPr>
            <w:r w:rsidRPr="000438FE">
              <w:rPr>
                <w:sz w:val="18"/>
                <w:szCs w:val="18"/>
              </w:rPr>
              <w:t>Western Sydney University</w:t>
            </w:r>
          </w:p>
        </w:tc>
        <w:tc>
          <w:tcPr>
            <w:tcW w:w="1513" w:type="dxa"/>
            <w:shd w:val="clear" w:color="auto" w:fill="auto"/>
            <w:vAlign w:val="center"/>
          </w:tcPr>
          <w:p w14:paraId="51180371" w14:textId="77777777" w:rsidR="00FF59D2" w:rsidRPr="00AF2684" w:rsidRDefault="00FF59D2" w:rsidP="00164085">
            <w:pPr>
              <w:spacing w:after="0" w:line="240" w:lineRule="auto"/>
              <w:ind w:right="411"/>
              <w:jc w:val="right"/>
              <w:rPr>
                <w:rFonts w:cs="Arial"/>
                <w:color w:val="000000"/>
                <w:sz w:val="18"/>
                <w:szCs w:val="18"/>
                <w:lang w:eastAsia="en-AU"/>
              </w:rPr>
            </w:pPr>
            <w:r>
              <w:rPr>
                <w:rFonts w:eastAsiaTheme="minorHAnsi" w:cs="Arial"/>
                <w:color w:val="000000"/>
                <w:sz w:val="18"/>
                <w:szCs w:val="18"/>
                <w:lang w:eastAsia="en-US"/>
              </w:rPr>
              <w:t xml:space="preserve">28.8 </w:t>
            </w:r>
          </w:p>
        </w:tc>
        <w:tc>
          <w:tcPr>
            <w:tcW w:w="1513" w:type="dxa"/>
            <w:shd w:val="clear" w:color="auto" w:fill="auto"/>
            <w:vAlign w:val="center"/>
          </w:tcPr>
          <w:p w14:paraId="2148EDAE"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4.8</w:t>
            </w:r>
          </w:p>
        </w:tc>
        <w:tc>
          <w:tcPr>
            <w:tcW w:w="1513" w:type="dxa"/>
            <w:shd w:val="clear" w:color="auto" w:fill="auto"/>
            <w:vAlign w:val="center"/>
          </w:tcPr>
          <w:p w14:paraId="05D2E7B5" w14:textId="77777777" w:rsidR="00FF59D2" w:rsidRPr="00AF2684" w:rsidRDefault="00FF59D2" w:rsidP="00164085">
            <w:pPr>
              <w:spacing w:after="0" w:line="240" w:lineRule="auto"/>
              <w:ind w:right="411"/>
              <w:jc w:val="right"/>
              <w:rPr>
                <w:rFonts w:cs="Arial"/>
                <w:color w:val="000000"/>
                <w:sz w:val="18"/>
                <w:szCs w:val="18"/>
                <w:lang w:eastAsia="en-AU"/>
              </w:rPr>
            </w:pPr>
            <w:r w:rsidRPr="00AF2684">
              <w:rPr>
                <w:rFonts w:eastAsiaTheme="minorHAnsi" w:cs="Arial"/>
                <w:color w:val="000000"/>
                <w:sz w:val="18"/>
                <w:szCs w:val="18"/>
                <w:lang w:eastAsia="en-US"/>
              </w:rPr>
              <w:t>1.9</w:t>
            </w:r>
          </w:p>
        </w:tc>
        <w:tc>
          <w:tcPr>
            <w:tcW w:w="1513" w:type="dxa"/>
            <w:shd w:val="clear" w:color="auto" w:fill="auto"/>
            <w:vAlign w:val="center"/>
          </w:tcPr>
          <w:p w14:paraId="070FC6C6" w14:textId="77777777" w:rsidR="00FF59D2" w:rsidRPr="00AF2684" w:rsidRDefault="00FF59D2" w:rsidP="00164085">
            <w:pPr>
              <w:spacing w:after="0" w:line="240" w:lineRule="auto"/>
              <w:ind w:right="411"/>
              <w:jc w:val="right"/>
              <w:rPr>
                <w:rFonts w:cs="Arial"/>
                <w:color w:val="000000"/>
                <w:sz w:val="18"/>
                <w:szCs w:val="18"/>
              </w:rPr>
            </w:pPr>
            <w:r w:rsidRPr="00AF2684">
              <w:rPr>
                <w:rFonts w:eastAsiaTheme="minorHAnsi" w:cs="Arial"/>
                <w:color w:val="000000"/>
                <w:sz w:val="18"/>
                <w:szCs w:val="18"/>
                <w:lang w:eastAsia="en-US"/>
              </w:rPr>
              <w:t>4.1</w:t>
            </w:r>
          </w:p>
        </w:tc>
      </w:tr>
    </w:tbl>
    <w:p w14:paraId="31029FBC" w14:textId="77777777" w:rsidR="00FF59D2" w:rsidRDefault="00FF59D2" w:rsidP="00FF59D2">
      <w:pPr>
        <w:spacing w:after="0" w:line="240" w:lineRule="auto"/>
        <w:rPr>
          <w:sz w:val="18"/>
          <w:szCs w:val="18"/>
        </w:rPr>
      </w:pPr>
      <w:r>
        <w:rPr>
          <w:b/>
          <w:bCs/>
          <w:sz w:val="18"/>
          <w:szCs w:val="18"/>
        </w:rPr>
        <w:t xml:space="preserve">Note: </w:t>
      </w:r>
      <w:r>
        <w:rPr>
          <w:sz w:val="18"/>
          <w:szCs w:val="18"/>
        </w:rPr>
        <w:t xml:space="preserve">Completion rates here refer to the equity group share of undergraduate degree completions. </w:t>
      </w:r>
    </w:p>
    <w:p w14:paraId="4CB6C1DF" w14:textId="77777777" w:rsidR="00FF59D2" w:rsidRPr="00B57824" w:rsidRDefault="00FF59D2" w:rsidP="00FF59D2">
      <w:pPr>
        <w:spacing w:after="0" w:line="240" w:lineRule="auto"/>
        <w:rPr>
          <w:sz w:val="18"/>
          <w:szCs w:val="18"/>
        </w:rPr>
      </w:pPr>
      <w:r>
        <w:rPr>
          <w:sz w:val="18"/>
          <w:szCs w:val="18"/>
        </w:rPr>
        <w:t>The Equity Reference Value refers to the equity share of state/territory population.</w:t>
      </w:r>
    </w:p>
    <w:p w14:paraId="1A3858F0"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7EB8A941" w14:textId="77777777" w:rsidR="00FF59D2" w:rsidRDefault="00FF59D2" w:rsidP="00FF59D2"/>
    <w:p w14:paraId="0D421A0D"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B2:  </w:t>
      </w:r>
      <w:r>
        <w:rPr>
          <w:rFonts w:cstheme="minorHAnsi"/>
          <w:color w:val="000000"/>
          <w:sz w:val="18"/>
          <w:szCs w:val="18"/>
          <w:lang w:eastAsia="en-AU"/>
        </w:rPr>
        <w:t xml:space="preserve">Victoria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2677F266" w14:textId="77777777" w:rsidTr="00160B8E">
        <w:trPr>
          <w:trHeight w:val="315"/>
        </w:trPr>
        <w:tc>
          <w:tcPr>
            <w:tcW w:w="2972" w:type="dxa"/>
            <w:shd w:val="clear" w:color="auto" w:fill="auto"/>
            <w:hideMark/>
          </w:tcPr>
          <w:p w14:paraId="3BEE2CE1"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3B3C8A82"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1C9A5DBE"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690B048F"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66BAC72D"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25CA012E" w14:textId="77777777" w:rsidTr="00160B8E">
        <w:trPr>
          <w:trHeight w:val="315"/>
        </w:trPr>
        <w:tc>
          <w:tcPr>
            <w:tcW w:w="2972" w:type="dxa"/>
            <w:shd w:val="clear" w:color="auto" w:fill="EFE2E7" w:themeFill="text1" w:themeFillTint="1A"/>
            <w:vAlign w:val="center"/>
          </w:tcPr>
          <w:p w14:paraId="629AFFDB" w14:textId="77777777" w:rsidR="00FF59D2" w:rsidRPr="00594ED8" w:rsidRDefault="00FF59D2" w:rsidP="00164085">
            <w:pPr>
              <w:spacing w:after="0" w:line="240" w:lineRule="auto"/>
              <w:rPr>
                <w:rFonts w:cs="Arial"/>
                <w:b/>
                <w:bCs/>
                <w:color w:val="000000"/>
                <w:sz w:val="18"/>
                <w:szCs w:val="18"/>
              </w:rPr>
            </w:pPr>
            <w:r w:rsidRPr="00594ED8">
              <w:rPr>
                <w:b/>
                <w:bCs/>
                <w:sz w:val="18"/>
                <w:szCs w:val="18"/>
              </w:rPr>
              <w:t>VIC Equity Reference Value</w:t>
            </w:r>
          </w:p>
        </w:tc>
        <w:tc>
          <w:tcPr>
            <w:tcW w:w="1513" w:type="dxa"/>
            <w:shd w:val="clear" w:color="auto" w:fill="EFE2E7" w:themeFill="text1" w:themeFillTint="1A"/>
            <w:vAlign w:val="center"/>
          </w:tcPr>
          <w:p w14:paraId="6F56555D"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auto"/>
                <w:sz w:val="18"/>
                <w:szCs w:val="18"/>
                <w:lang w:eastAsia="en-AU"/>
              </w:rPr>
              <w:t>19.4</w:t>
            </w:r>
          </w:p>
        </w:tc>
        <w:tc>
          <w:tcPr>
            <w:tcW w:w="1513" w:type="dxa"/>
            <w:shd w:val="clear" w:color="auto" w:fill="EFE2E7" w:themeFill="text1" w:themeFillTint="1A"/>
            <w:vAlign w:val="center"/>
          </w:tcPr>
          <w:p w14:paraId="5E15C4B3"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20.8</w:t>
            </w:r>
          </w:p>
        </w:tc>
        <w:tc>
          <w:tcPr>
            <w:tcW w:w="1513" w:type="dxa"/>
            <w:shd w:val="clear" w:color="auto" w:fill="EFE2E7" w:themeFill="text1" w:themeFillTint="1A"/>
            <w:vAlign w:val="center"/>
          </w:tcPr>
          <w:p w14:paraId="0427E0DF"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0.9</w:t>
            </w:r>
          </w:p>
        </w:tc>
        <w:tc>
          <w:tcPr>
            <w:tcW w:w="1513" w:type="dxa"/>
            <w:shd w:val="clear" w:color="auto" w:fill="EFE2E7" w:themeFill="text1" w:themeFillTint="1A"/>
            <w:vAlign w:val="center"/>
          </w:tcPr>
          <w:p w14:paraId="08EA7653"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1C9553D3" w14:textId="77777777" w:rsidTr="00164085">
        <w:trPr>
          <w:trHeight w:val="315"/>
        </w:trPr>
        <w:tc>
          <w:tcPr>
            <w:tcW w:w="2972" w:type="dxa"/>
            <w:shd w:val="clear" w:color="000000" w:fill="FFFFFF"/>
            <w:vAlign w:val="center"/>
          </w:tcPr>
          <w:p w14:paraId="519C0FEF"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Deakin University</w:t>
            </w:r>
          </w:p>
        </w:tc>
        <w:tc>
          <w:tcPr>
            <w:tcW w:w="1513" w:type="dxa"/>
            <w:shd w:val="clear" w:color="000000" w:fill="FFFFFF"/>
            <w:vAlign w:val="center"/>
          </w:tcPr>
          <w:p w14:paraId="6B1C35F0" w14:textId="77777777" w:rsidR="00FF59D2" w:rsidRPr="00D6486D"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12.3 </w:t>
            </w:r>
          </w:p>
        </w:tc>
        <w:tc>
          <w:tcPr>
            <w:tcW w:w="1513" w:type="dxa"/>
            <w:shd w:val="clear" w:color="000000" w:fill="FFFFFF"/>
            <w:vAlign w:val="center"/>
          </w:tcPr>
          <w:p w14:paraId="344E2A87"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19.8</w:t>
            </w:r>
          </w:p>
        </w:tc>
        <w:tc>
          <w:tcPr>
            <w:tcW w:w="1513" w:type="dxa"/>
            <w:shd w:val="clear" w:color="000000" w:fill="FFFFFF"/>
            <w:vAlign w:val="center"/>
          </w:tcPr>
          <w:p w14:paraId="35C25E13"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0.8</w:t>
            </w:r>
          </w:p>
        </w:tc>
        <w:tc>
          <w:tcPr>
            <w:tcW w:w="1513" w:type="dxa"/>
            <w:shd w:val="clear" w:color="000000" w:fill="FFFFFF"/>
            <w:vAlign w:val="center"/>
          </w:tcPr>
          <w:p w14:paraId="7C9FE15B"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10.9</w:t>
            </w:r>
          </w:p>
        </w:tc>
      </w:tr>
      <w:tr w:rsidR="00FF59D2" w:rsidRPr="005C5A70" w14:paraId="3460880E" w14:textId="77777777" w:rsidTr="00160B8E">
        <w:trPr>
          <w:trHeight w:val="315"/>
        </w:trPr>
        <w:tc>
          <w:tcPr>
            <w:tcW w:w="2972" w:type="dxa"/>
            <w:shd w:val="clear" w:color="auto" w:fill="auto"/>
            <w:vAlign w:val="center"/>
          </w:tcPr>
          <w:p w14:paraId="27BD918E"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Federation University Australia</w:t>
            </w:r>
          </w:p>
        </w:tc>
        <w:tc>
          <w:tcPr>
            <w:tcW w:w="1513" w:type="dxa"/>
            <w:shd w:val="clear" w:color="auto" w:fill="auto"/>
            <w:vAlign w:val="center"/>
          </w:tcPr>
          <w:p w14:paraId="2E85CE80" w14:textId="77777777" w:rsidR="00FF59D2" w:rsidRPr="00D6486D"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24.6 </w:t>
            </w:r>
          </w:p>
        </w:tc>
        <w:tc>
          <w:tcPr>
            <w:tcW w:w="1513" w:type="dxa"/>
            <w:shd w:val="clear" w:color="auto" w:fill="auto"/>
            <w:vAlign w:val="center"/>
          </w:tcPr>
          <w:p w14:paraId="5E4FDD23"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58.4</w:t>
            </w:r>
          </w:p>
        </w:tc>
        <w:tc>
          <w:tcPr>
            <w:tcW w:w="1513" w:type="dxa"/>
            <w:shd w:val="clear" w:color="auto" w:fill="auto"/>
            <w:vAlign w:val="center"/>
          </w:tcPr>
          <w:p w14:paraId="38E38359"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0.8</w:t>
            </w:r>
          </w:p>
        </w:tc>
        <w:tc>
          <w:tcPr>
            <w:tcW w:w="1513" w:type="dxa"/>
            <w:shd w:val="clear" w:color="auto" w:fill="auto"/>
            <w:vAlign w:val="center"/>
          </w:tcPr>
          <w:p w14:paraId="0B32BBEF"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9.1</w:t>
            </w:r>
          </w:p>
        </w:tc>
      </w:tr>
      <w:tr w:rsidR="00FF59D2" w:rsidRPr="005C5A70" w14:paraId="1E0025B3" w14:textId="77777777" w:rsidTr="00160B8E">
        <w:trPr>
          <w:trHeight w:val="315"/>
        </w:trPr>
        <w:tc>
          <w:tcPr>
            <w:tcW w:w="2972" w:type="dxa"/>
            <w:shd w:val="clear" w:color="auto" w:fill="auto"/>
            <w:vAlign w:val="center"/>
          </w:tcPr>
          <w:p w14:paraId="76505ED1"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La Trobe University</w:t>
            </w:r>
          </w:p>
        </w:tc>
        <w:tc>
          <w:tcPr>
            <w:tcW w:w="1513" w:type="dxa"/>
            <w:shd w:val="clear" w:color="auto" w:fill="auto"/>
            <w:vAlign w:val="center"/>
          </w:tcPr>
          <w:p w14:paraId="0452810C" w14:textId="77777777" w:rsidR="00FF59D2" w:rsidRPr="00D6486D"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17.0 </w:t>
            </w:r>
          </w:p>
        </w:tc>
        <w:tc>
          <w:tcPr>
            <w:tcW w:w="1513" w:type="dxa"/>
            <w:shd w:val="clear" w:color="auto" w:fill="auto"/>
            <w:vAlign w:val="center"/>
          </w:tcPr>
          <w:p w14:paraId="6C2D6C6B"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26.5</w:t>
            </w:r>
          </w:p>
        </w:tc>
        <w:tc>
          <w:tcPr>
            <w:tcW w:w="1513" w:type="dxa"/>
            <w:shd w:val="clear" w:color="auto" w:fill="auto"/>
            <w:vAlign w:val="center"/>
          </w:tcPr>
          <w:p w14:paraId="25A53484" w14:textId="77777777" w:rsidR="00FF59D2" w:rsidRPr="00D6486D"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0.6 </w:t>
            </w:r>
          </w:p>
        </w:tc>
        <w:tc>
          <w:tcPr>
            <w:tcW w:w="1513" w:type="dxa"/>
            <w:shd w:val="clear" w:color="auto" w:fill="auto"/>
            <w:vAlign w:val="center"/>
          </w:tcPr>
          <w:p w14:paraId="4DDC784E"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9.0</w:t>
            </w:r>
          </w:p>
        </w:tc>
      </w:tr>
      <w:tr w:rsidR="00FF59D2" w:rsidRPr="005C5A70" w14:paraId="6BCB35F9" w14:textId="77777777" w:rsidTr="00160B8E">
        <w:trPr>
          <w:trHeight w:val="315"/>
        </w:trPr>
        <w:tc>
          <w:tcPr>
            <w:tcW w:w="2972" w:type="dxa"/>
            <w:shd w:val="clear" w:color="auto" w:fill="auto"/>
            <w:vAlign w:val="center"/>
          </w:tcPr>
          <w:p w14:paraId="06B303F2" w14:textId="77777777" w:rsidR="00FF59D2" w:rsidRPr="008B745D" w:rsidRDefault="00FF59D2" w:rsidP="00164085">
            <w:pPr>
              <w:spacing w:after="0" w:line="240" w:lineRule="auto"/>
              <w:rPr>
                <w:rFonts w:cs="Arial"/>
                <w:color w:val="auto"/>
                <w:sz w:val="18"/>
                <w:szCs w:val="18"/>
                <w:lang w:eastAsia="en-AU"/>
              </w:rPr>
            </w:pPr>
            <w:r w:rsidRPr="008B745D">
              <w:rPr>
                <w:rFonts w:cs="Arial"/>
                <w:color w:val="000000"/>
                <w:sz w:val="18"/>
                <w:szCs w:val="18"/>
              </w:rPr>
              <w:t>Monash University</w:t>
            </w:r>
          </w:p>
        </w:tc>
        <w:tc>
          <w:tcPr>
            <w:tcW w:w="1513" w:type="dxa"/>
            <w:shd w:val="clear" w:color="auto" w:fill="auto"/>
            <w:vAlign w:val="center"/>
          </w:tcPr>
          <w:p w14:paraId="1CAB0C12" w14:textId="77777777" w:rsidR="00FF59D2" w:rsidRPr="00D6486D"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10.8 </w:t>
            </w:r>
          </w:p>
        </w:tc>
        <w:tc>
          <w:tcPr>
            <w:tcW w:w="1513" w:type="dxa"/>
            <w:shd w:val="clear" w:color="auto" w:fill="auto"/>
            <w:vAlign w:val="center"/>
          </w:tcPr>
          <w:p w14:paraId="68FAC802" w14:textId="77777777" w:rsidR="00FF59D2" w:rsidRPr="00D6486D" w:rsidRDefault="00FF59D2" w:rsidP="00164085">
            <w:pPr>
              <w:spacing w:after="0" w:line="240" w:lineRule="auto"/>
              <w:ind w:right="411"/>
              <w:jc w:val="right"/>
              <w:rPr>
                <w:rFonts w:cs="Arial"/>
                <w:color w:val="auto"/>
                <w:sz w:val="18"/>
                <w:szCs w:val="18"/>
                <w:lang w:eastAsia="en-AU"/>
              </w:rPr>
            </w:pPr>
            <w:r w:rsidRPr="00D6486D">
              <w:rPr>
                <w:rFonts w:cs="Arial"/>
                <w:color w:val="000000"/>
                <w:sz w:val="18"/>
                <w:szCs w:val="18"/>
              </w:rPr>
              <w:t>9.4</w:t>
            </w:r>
          </w:p>
        </w:tc>
        <w:tc>
          <w:tcPr>
            <w:tcW w:w="1513" w:type="dxa"/>
            <w:shd w:val="clear" w:color="auto" w:fill="auto"/>
            <w:vAlign w:val="center"/>
          </w:tcPr>
          <w:p w14:paraId="77D7DAC7" w14:textId="77777777" w:rsidR="00FF59D2" w:rsidRPr="00D6486D"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0.5 </w:t>
            </w:r>
          </w:p>
        </w:tc>
        <w:tc>
          <w:tcPr>
            <w:tcW w:w="1513" w:type="dxa"/>
            <w:shd w:val="clear" w:color="auto" w:fill="auto"/>
            <w:vAlign w:val="center"/>
          </w:tcPr>
          <w:p w14:paraId="2EF0ED45" w14:textId="77777777" w:rsidR="00FF59D2" w:rsidRPr="00D6486D" w:rsidRDefault="00FF59D2" w:rsidP="00164085">
            <w:pPr>
              <w:spacing w:after="0" w:line="240" w:lineRule="auto"/>
              <w:ind w:right="411"/>
              <w:jc w:val="right"/>
              <w:rPr>
                <w:rFonts w:cs="Arial"/>
                <w:color w:val="auto"/>
                <w:sz w:val="18"/>
                <w:szCs w:val="18"/>
              </w:rPr>
            </w:pPr>
            <w:r w:rsidRPr="00D6486D">
              <w:rPr>
                <w:rFonts w:cs="Arial"/>
                <w:color w:val="000000"/>
                <w:sz w:val="18"/>
                <w:szCs w:val="18"/>
              </w:rPr>
              <w:t>6.8</w:t>
            </w:r>
          </w:p>
        </w:tc>
      </w:tr>
      <w:tr w:rsidR="00FF59D2" w:rsidRPr="005C5A70" w14:paraId="43FE6718" w14:textId="77777777" w:rsidTr="00160B8E">
        <w:trPr>
          <w:trHeight w:val="315"/>
        </w:trPr>
        <w:tc>
          <w:tcPr>
            <w:tcW w:w="2972" w:type="dxa"/>
            <w:shd w:val="clear" w:color="auto" w:fill="auto"/>
            <w:vAlign w:val="center"/>
          </w:tcPr>
          <w:p w14:paraId="6DE27D5A"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RMIT University</w:t>
            </w:r>
          </w:p>
        </w:tc>
        <w:tc>
          <w:tcPr>
            <w:tcW w:w="1513" w:type="dxa"/>
            <w:shd w:val="clear" w:color="auto" w:fill="auto"/>
            <w:vAlign w:val="center"/>
          </w:tcPr>
          <w:p w14:paraId="24EFD51E" w14:textId="77777777" w:rsidR="00FF59D2" w:rsidRPr="00D6486D"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13.1 </w:t>
            </w:r>
          </w:p>
        </w:tc>
        <w:tc>
          <w:tcPr>
            <w:tcW w:w="1513" w:type="dxa"/>
            <w:shd w:val="clear" w:color="auto" w:fill="auto"/>
            <w:vAlign w:val="center"/>
          </w:tcPr>
          <w:p w14:paraId="1FCF9746"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7.8</w:t>
            </w:r>
          </w:p>
        </w:tc>
        <w:tc>
          <w:tcPr>
            <w:tcW w:w="1513" w:type="dxa"/>
            <w:shd w:val="clear" w:color="auto" w:fill="auto"/>
            <w:vAlign w:val="center"/>
          </w:tcPr>
          <w:p w14:paraId="79EB14D2"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0.5</w:t>
            </w:r>
          </w:p>
        </w:tc>
        <w:tc>
          <w:tcPr>
            <w:tcW w:w="1513" w:type="dxa"/>
            <w:shd w:val="clear" w:color="auto" w:fill="auto"/>
            <w:vAlign w:val="center"/>
          </w:tcPr>
          <w:p w14:paraId="4A8AA590"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8.3</w:t>
            </w:r>
          </w:p>
        </w:tc>
      </w:tr>
      <w:tr w:rsidR="00FF59D2" w:rsidRPr="005C5A70" w14:paraId="53617E36" w14:textId="77777777" w:rsidTr="00160B8E">
        <w:trPr>
          <w:trHeight w:val="315"/>
        </w:trPr>
        <w:tc>
          <w:tcPr>
            <w:tcW w:w="2972" w:type="dxa"/>
            <w:shd w:val="clear" w:color="auto" w:fill="auto"/>
            <w:vAlign w:val="center"/>
          </w:tcPr>
          <w:p w14:paraId="11C5DF22"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Swinburne University of Technology</w:t>
            </w:r>
          </w:p>
        </w:tc>
        <w:tc>
          <w:tcPr>
            <w:tcW w:w="1513" w:type="dxa"/>
            <w:shd w:val="clear" w:color="auto" w:fill="auto"/>
            <w:vAlign w:val="center"/>
          </w:tcPr>
          <w:p w14:paraId="6F0DE5E7" w14:textId="77777777" w:rsidR="00FF59D2" w:rsidRPr="00D6486D" w:rsidRDefault="00FF59D2" w:rsidP="00164085">
            <w:pPr>
              <w:spacing w:after="0" w:line="240" w:lineRule="auto"/>
              <w:ind w:right="411"/>
              <w:jc w:val="right"/>
              <w:rPr>
                <w:rFonts w:cs="Arial"/>
                <w:color w:val="auto"/>
                <w:sz w:val="18"/>
                <w:szCs w:val="18"/>
                <w:lang w:eastAsia="en-AU"/>
              </w:rPr>
            </w:pPr>
            <w:r w:rsidRPr="00D6486D">
              <w:rPr>
                <w:rFonts w:cs="Arial"/>
                <w:color w:val="000000"/>
                <w:sz w:val="18"/>
                <w:szCs w:val="18"/>
              </w:rPr>
              <w:t>12.2</w:t>
            </w:r>
          </w:p>
        </w:tc>
        <w:tc>
          <w:tcPr>
            <w:tcW w:w="1513" w:type="dxa"/>
            <w:shd w:val="clear" w:color="auto" w:fill="auto"/>
            <w:vAlign w:val="center"/>
          </w:tcPr>
          <w:p w14:paraId="0339C4DC"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16.1</w:t>
            </w:r>
          </w:p>
        </w:tc>
        <w:tc>
          <w:tcPr>
            <w:tcW w:w="1513" w:type="dxa"/>
            <w:shd w:val="clear" w:color="auto" w:fill="auto"/>
            <w:vAlign w:val="center"/>
          </w:tcPr>
          <w:p w14:paraId="5A41DBCD"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0.8</w:t>
            </w:r>
          </w:p>
        </w:tc>
        <w:tc>
          <w:tcPr>
            <w:tcW w:w="1513" w:type="dxa"/>
            <w:shd w:val="clear" w:color="auto" w:fill="auto"/>
            <w:vAlign w:val="center"/>
          </w:tcPr>
          <w:p w14:paraId="2B9A23F0"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6.8</w:t>
            </w:r>
          </w:p>
        </w:tc>
      </w:tr>
      <w:tr w:rsidR="00FF59D2" w:rsidRPr="005C5A70" w14:paraId="549E58C7" w14:textId="77777777" w:rsidTr="00160B8E">
        <w:trPr>
          <w:trHeight w:val="315"/>
        </w:trPr>
        <w:tc>
          <w:tcPr>
            <w:tcW w:w="2972" w:type="dxa"/>
            <w:shd w:val="clear" w:color="auto" w:fill="auto"/>
            <w:vAlign w:val="center"/>
          </w:tcPr>
          <w:p w14:paraId="5E33B728"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The University of Melbourne</w:t>
            </w:r>
          </w:p>
        </w:tc>
        <w:tc>
          <w:tcPr>
            <w:tcW w:w="1513" w:type="dxa"/>
            <w:shd w:val="clear" w:color="auto" w:fill="auto"/>
            <w:vAlign w:val="center"/>
          </w:tcPr>
          <w:p w14:paraId="010655B2" w14:textId="77777777" w:rsidR="00FF59D2" w:rsidRPr="00D6486D" w:rsidRDefault="00FF59D2" w:rsidP="00164085">
            <w:pPr>
              <w:spacing w:after="0" w:line="240" w:lineRule="auto"/>
              <w:ind w:right="411"/>
              <w:jc w:val="right"/>
              <w:rPr>
                <w:rFonts w:cs="Arial"/>
                <w:color w:val="auto"/>
                <w:sz w:val="18"/>
                <w:szCs w:val="18"/>
                <w:lang w:eastAsia="en-AU"/>
              </w:rPr>
            </w:pPr>
            <w:r w:rsidRPr="00D6486D">
              <w:rPr>
                <w:rFonts w:cs="Arial"/>
                <w:color w:val="000000"/>
                <w:sz w:val="18"/>
                <w:szCs w:val="18"/>
              </w:rPr>
              <w:t>6.7</w:t>
            </w:r>
          </w:p>
        </w:tc>
        <w:tc>
          <w:tcPr>
            <w:tcW w:w="1513" w:type="dxa"/>
            <w:shd w:val="clear" w:color="auto" w:fill="auto"/>
            <w:vAlign w:val="center"/>
          </w:tcPr>
          <w:p w14:paraId="6B12512C"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10.4</w:t>
            </w:r>
          </w:p>
        </w:tc>
        <w:tc>
          <w:tcPr>
            <w:tcW w:w="1513" w:type="dxa"/>
            <w:shd w:val="clear" w:color="auto" w:fill="auto"/>
            <w:vAlign w:val="center"/>
          </w:tcPr>
          <w:p w14:paraId="38C0F813"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0.9</w:t>
            </w:r>
          </w:p>
        </w:tc>
        <w:tc>
          <w:tcPr>
            <w:tcW w:w="1513" w:type="dxa"/>
            <w:shd w:val="clear" w:color="auto" w:fill="auto"/>
            <w:vAlign w:val="center"/>
          </w:tcPr>
          <w:p w14:paraId="5DF9D647"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7.2</w:t>
            </w:r>
          </w:p>
        </w:tc>
      </w:tr>
      <w:tr w:rsidR="00FF59D2" w:rsidRPr="005C5A70" w14:paraId="196C7727" w14:textId="77777777" w:rsidTr="00160B8E">
        <w:trPr>
          <w:trHeight w:val="315"/>
        </w:trPr>
        <w:tc>
          <w:tcPr>
            <w:tcW w:w="2972" w:type="dxa"/>
            <w:shd w:val="clear" w:color="auto" w:fill="auto"/>
            <w:vAlign w:val="center"/>
          </w:tcPr>
          <w:p w14:paraId="59C0B537" w14:textId="77777777" w:rsidR="00FF59D2" w:rsidRPr="008B745D" w:rsidRDefault="00FF59D2" w:rsidP="00164085">
            <w:pPr>
              <w:spacing w:after="0" w:line="240" w:lineRule="auto"/>
              <w:rPr>
                <w:rFonts w:cs="Arial"/>
                <w:color w:val="000000"/>
                <w:sz w:val="18"/>
                <w:szCs w:val="18"/>
                <w:lang w:eastAsia="en-AU"/>
              </w:rPr>
            </w:pPr>
            <w:r w:rsidRPr="008B745D">
              <w:rPr>
                <w:rFonts w:cs="Arial"/>
                <w:color w:val="000000"/>
                <w:sz w:val="18"/>
                <w:szCs w:val="18"/>
              </w:rPr>
              <w:t>Victoria University</w:t>
            </w:r>
          </w:p>
        </w:tc>
        <w:tc>
          <w:tcPr>
            <w:tcW w:w="1513" w:type="dxa"/>
            <w:shd w:val="clear" w:color="auto" w:fill="auto"/>
            <w:vAlign w:val="center"/>
          </w:tcPr>
          <w:p w14:paraId="50F4E089" w14:textId="77777777" w:rsidR="00FF59D2" w:rsidRPr="00D6486D"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21.0 </w:t>
            </w:r>
          </w:p>
        </w:tc>
        <w:tc>
          <w:tcPr>
            <w:tcW w:w="1513" w:type="dxa"/>
            <w:shd w:val="clear" w:color="auto" w:fill="auto"/>
            <w:vAlign w:val="center"/>
          </w:tcPr>
          <w:p w14:paraId="5D56D4A4"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9.1</w:t>
            </w:r>
          </w:p>
        </w:tc>
        <w:tc>
          <w:tcPr>
            <w:tcW w:w="1513" w:type="dxa"/>
            <w:shd w:val="clear" w:color="auto" w:fill="auto"/>
            <w:vAlign w:val="center"/>
          </w:tcPr>
          <w:p w14:paraId="67286E7E" w14:textId="77777777" w:rsidR="00FF59D2" w:rsidRPr="00D6486D" w:rsidRDefault="00FF59D2" w:rsidP="00164085">
            <w:pPr>
              <w:spacing w:after="0" w:line="240" w:lineRule="auto"/>
              <w:ind w:right="411"/>
              <w:jc w:val="right"/>
              <w:rPr>
                <w:rFonts w:cs="Arial"/>
                <w:color w:val="000000"/>
                <w:sz w:val="18"/>
                <w:szCs w:val="18"/>
                <w:lang w:eastAsia="en-AU"/>
              </w:rPr>
            </w:pPr>
            <w:r w:rsidRPr="00D6486D">
              <w:rPr>
                <w:rFonts w:cs="Arial"/>
                <w:color w:val="000000"/>
                <w:sz w:val="18"/>
                <w:szCs w:val="18"/>
              </w:rPr>
              <w:t>0.9</w:t>
            </w:r>
          </w:p>
        </w:tc>
        <w:tc>
          <w:tcPr>
            <w:tcW w:w="1513" w:type="dxa"/>
            <w:shd w:val="clear" w:color="auto" w:fill="auto"/>
            <w:vAlign w:val="center"/>
          </w:tcPr>
          <w:p w14:paraId="1523CC97" w14:textId="77777777" w:rsidR="00FF59D2" w:rsidRPr="00D6486D" w:rsidRDefault="00FF59D2" w:rsidP="00164085">
            <w:pPr>
              <w:spacing w:after="0" w:line="240" w:lineRule="auto"/>
              <w:ind w:right="411"/>
              <w:jc w:val="right"/>
              <w:rPr>
                <w:rFonts w:cs="Arial"/>
                <w:color w:val="000000"/>
                <w:sz w:val="18"/>
                <w:szCs w:val="18"/>
              </w:rPr>
            </w:pPr>
            <w:r w:rsidRPr="00D6486D">
              <w:rPr>
                <w:rFonts w:cs="Arial"/>
                <w:color w:val="000000"/>
                <w:sz w:val="18"/>
                <w:szCs w:val="18"/>
              </w:rPr>
              <w:t>4.3</w:t>
            </w:r>
          </w:p>
        </w:tc>
      </w:tr>
    </w:tbl>
    <w:p w14:paraId="7123D2C8"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065A24AB" w14:textId="77777777" w:rsidR="00FF59D2" w:rsidRDefault="00FF59D2" w:rsidP="00FF59D2"/>
    <w:p w14:paraId="4B3D57B6" w14:textId="77777777" w:rsidR="00FF59D2" w:rsidRDefault="00FF59D2" w:rsidP="00FF59D2">
      <w:pPr>
        <w:rPr>
          <w:rFonts w:cstheme="minorHAnsi"/>
          <w:b/>
          <w:bCs/>
          <w:color w:val="000000"/>
          <w:sz w:val="18"/>
          <w:szCs w:val="18"/>
          <w:lang w:eastAsia="en-AU"/>
        </w:rPr>
      </w:pPr>
      <w:r>
        <w:rPr>
          <w:rFonts w:cstheme="minorHAnsi"/>
          <w:b/>
          <w:bCs/>
          <w:color w:val="000000"/>
          <w:sz w:val="18"/>
          <w:szCs w:val="18"/>
          <w:lang w:eastAsia="en-AU"/>
        </w:rPr>
        <w:br w:type="page"/>
      </w:r>
    </w:p>
    <w:p w14:paraId="0B5AC5AD"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lastRenderedPageBreak/>
        <w:t xml:space="preserve">Table </w:t>
      </w:r>
      <w:r>
        <w:rPr>
          <w:rFonts w:cstheme="minorHAnsi"/>
          <w:b/>
          <w:bCs/>
          <w:color w:val="000000"/>
          <w:sz w:val="18"/>
          <w:szCs w:val="18"/>
          <w:lang w:eastAsia="en-AU"/>
        </w:rPr>
        <w:t xml:space="preserve">B3:  </w:t>
      </w:r>
      <w:r>
        <w:rPr>
          <w:rFonts w:cstheme="minorHAnsi"/>
          <w:color w:val="000000"/>
          <w:sz w:val="18"/>
          <w:szCs w:val="18"/>
          <w:lang w:eastAsia="en-AU"/>
        </w:rPr>
        <w:t xml:space="preserve">Queensland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1D76B056" w14:textId="77777777" w:rsidTr="00160B8E">
        <w:trPr>
          <w:trHeight w:val="315"/>
        </w:trPr>
        <w:tc>
          <w:tcPr>
            <w:tcW w:w="2972" w:type="dxa"/>
            <w:shd w:val="clear" w:color="auto" w:fill="auto"/>
            <w:hideMark/>
          </w:tcPr>
          <w:p w14:paraId="345E282F"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1B385E9B"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5C921761"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6B97D17B"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3A4C5571"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46317CBD" w14:textId="77777777" w:rsidTr="00160B8E">
        <w:trPr>
          <w:trHeight w:val="315"/>
        </w:trPr>
        <w:tc>
          <w:tcPr>
            <w:tcW w:w="2972" w:type="dxa"/>
            <w:shd w:val="clear" w:color="auto" w:fill="EFE2E7" w:themeFill="text1" w:themeFillTint="1A"/>
            <w:vAlign w:val="center"/>
          </w:tcPr>
          <w:p w14:paraId="6D579660" w14:textId="77777777" w:rsidR="00FF59D2" w:rsidRPr="00594ED8" w:rsidRDefault="00FF59D2" w:rsidP="00164085">
            <w:pPr>
              <w:spacing w:after="0" w:line="240" w:lineRule="auto"/>
              <w:rPr>
                <w:b/>
                <w:bCs/>
                <w:sz w:val="18"/>
                <w:szCs w:val="18"/>
              </w:rPr>
            </w:pPr>
            <w:r w:rsidRPr="00594ED8">
              <w:rPr>
                <w:b/>
                <w:bCs/>
                <w:sz w:val="18"/>
                <w:szCs w:val="18"/>
              </w:rPr>
              <w:t>QLD Equity Reference Value</w:t>
            </w:r>
          </w:p>
        </w:tc>
        <w:tc>
          <w:tcPr>
            <w:tcW w:w="1513" w:type="dxa"/>
            <w:shd w:val="clear" w:color="auto" w:fill="EFE2E7" w:themeFill="text1" w:themeFillTint="1A"/>
            <w:vAlign w:val="center"/>
          </w:tcPr>
          <w:p w14:paraId="5430D77C"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auto"/>
                <w:sz w:val="18"/>
                <w:szCs w:val="18"/>
                <w:lang w:eastAsia="en-AU"/>
              </w:rPr>
              <w:t>28.1</w:t>
            </w:r>
          </w:p>
        </w:tc>
        <w:tc>
          <w:tcPr>
            <w:tcW w:w="1513" w:type="dxa"/>
            <w:shd w:val="clear" w:color="auto" w:fill="EFE2E7" w:themeFill="text1" w:themeFillTint="1A"/>
            <w:vAlign w:val="center"/>
          </w:tcPr>
          <w:p w14:paraId="70C79E90"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35.6</w:t>
            </w:r>
          </w:p>
        </w:tc>
        <w:tc>
          <w:tcPr>
            <w:tcW w:w="1513" w:type="dxa"/>
            <w:shd w:val="clear" w:color="auto" w:fill="EFE2E7" w:themeFill="text1" w:themeFillTint="1A"/>
            <w:vAlign w:val="center"/>
          </w:tcPr>
          <w:p w14:paraId="351AF772"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4.4</w:t>
            </w:r>
          </w:p>
        </w:tc>
        <w:tc>
          <w:tcPr>
            <w:tcW w:w="1513" w:type="dxa"/>
            <w:shd w:val="clear" w:color="auto" w:fill="EFE2E7" w:themeFill="text1" w:themeFillTint="1A"/>
            <w:vAlign w:val="center"/>
          </w:tcPr>
          <w:p w14:paraId="66939113"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5A843DA6" w14:textId="77777777" w:rsidTr="00164085">
        <w:trPr>
          <w:trHeight w:val="315"/>
        </w:trPr>
        <w:tc>
          <w:tcPr>
            <w:tcW w:w="2972" w:type="dxa"/>
            <w:shd w:val="clear" w:color="000000" w:fill="FFFFFF"/>
            <w:vAlign w:val="center"/>
          </w:tcPr>
          <w:p w14:paraId="738B3BA5"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CQUniversity</w:t>
            </w:r>
          </w:p>
        </w:tc>
        <w:tc>
          <w:tcPr>
            <w:tcW w:w="1513" w:type="dxa"/>
            <w:shd w:val="clear" w:color="000000" w:fill="FFFFFF"/>
            <w:vAlign w:val="center"/>
          </w:tcPr>
          <w:p w14:paraId="3F7C12BE" w14:textId="77777777" w:rsidR="00FF59D2" w:rsidRPr="00E61B0E"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36.6 </w:t>
            </w:r>
          </w:p>
        </w:tc>
        <w:tc>
          <w:tcPr>
            <w:tcW w:w="1513" w:type="dxa"/>
            <w:shd w:val="clear" w:color="000000" w:fill="FFFFFF"/>
            <w:vAlign w:val="center"/>
          </w:tcPr>
          <w:p w14:paraId="15E7C8C9"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65.6</w:t>
            </w:r>
          </w:p>
        </w:tc>
        <w:tc>
          <w:tcPr>
            <w:tcW w:w="1513" w:type="dxa"/>
            <w:shd w:val="clear" w:color="000000" w:fill="FFFFFF"/>
            <w:vAlign w:val="center"/>
          </w:tcPr>
          <w:p w14:paraId="780E7E9D"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3.0</w:t>
            </w:r>
          </w:p>
        </w:tc>
        <w:tc>
          <w:tcPr>
            <w:tcW w:w="1513" w:type="dxa"/>
            <w:shd w:val="clear" w:color="000000" w:fill="FFFFFF"/>
            <w:vAlign w:val="center"/>
          </w:tcPr>
          <w:p w14:paraId="5F1C44B2"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5.6</w:t>
            </w:r>
          </w:p>
        </w:tc>
      </w:tr>
      <w:tr w:rsidR="00FF59D2" w:rsidRPr="005C5A70" w14:paraId="54B21554" w14:textId="77777777" w:rsidTr="00160B8E">
        <w:trPr>
          <w:trHeight w:val="315"/>
        </w:trPr>
        <w:tc>
          <w:tcPr>
            <w:tcW w:w="2972" w:type="dxa"/>
            <w:shd w:val="clear" w:color="auto" w:fill="auto"/>
            <w:vAlign w:val="center"/>
          </w:tcPr>
          <w:p w14:paraId="1E3DF31B"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Griffith University</w:t>
            </w:r>
          </w:p>
        </w:tc>
        <w:tc>
          <w:tcPr>
            <w:tcW w:w="1513" w:type="dxa"/>
            <w:shd w:val="clear" w:color="auto" w:fill="auto"/>
            <w:vAlign w:val="center"/>
          </w:tcPr>
          <w:p w14:paraId="49A41891" w14:textId="77777777" w:rsidR="00FF59D2" w:rsidRPr="00E61B0E"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14.2 </w:t>
            </w:r>
          </w:p>
        </w:tc>
        <w:tc>
          <w:tcPr>
            <w:tcW w:w="1513" w:type="dxa"/>
            <w:shd w:val="clear" w:color="auto" w:fill="auto"/>
            <w:vAlign w:val="center"/>
          </w:tcPr>
          <w:p w14:paraId="374F50A3"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10.0</w:t>
            </w:r>
          </w:p>
        </w:tc>
        <w:tc>
          <w:tcPr>
            <w:tcW w:w="1513" w:type="dxa"/>
            <w:shd w:val="clear" w:color="auto" w:fill="auto"/>
            <w:vAlign w:val="center"/>
          </w:tcPr>
          <w:p w14:paraId="78D54E82"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2.2</w:t>
            </w:r>
          </w:p>
        </w:tc>
        <w:tc>
          <w:tcPr>
            <w:tcW w:w="1513" w:type="dxa"/>
            <w:shd w:val="clear" w:color="auto" w:fill="auto"/>
            <w:vAlign w:val="center"/>
          </w:tcPr>
          <w:p w14:paraId="2A31D481"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7.2</w:t>
            </w:r>
          </w:p>
        </w:tc>
      </w:tr>
      <w:tr w:rsidR="00FF59D2" w:rsidRPr="005C5A70" w14:paraId="0A29FF48" w14:textId="77777777" w:rsidTr="00160B8E">
        <w:trPr>
          <w:trHeight w:val="315"/>
        </w:trPr>
        <w:tc>
          <w:tcPr>
            <w:tcW w:w="2972" w:type="dxa"/>
            <w:shd w:val="clear" w:color="auto" w:fill="auto"/>
            <w:vAlign w:val="center"/>
          </w:tcPr>
          <w:p w14:paraId="4EE927C2"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James Cook University</w:t>
            </w:r>
          </w:p>
        </w:tc>
        <w:tc>
          <w:tcPr>
            <w:tcW w:w="1513" w:type="dxa"/>
            <w:shd w:val="clear" w:color="auto" w:fill="auto"/>
            <w:vAlign w:val="center"/>
          </w:tcPr>
          <w:p w14:paraId="61A71B0F" w14:textId="77777777" w:rsidR="00FF59D2" w:rsidRPr="00E61B0E"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21.1 </w:t>
            </w:r>
          </w:p>
        </w:tc>
        <w:tc>
          <w:tcPr>
            <w:tcW w:w="1513" w:type="dxa"/>
            <w:shd w:val="clear" w:color="auto" w:fill="auto"/>
            <w:vAlign w:val="center"/>
          </w:tcPr>
          <w:p w14:paraId="62C609A1"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67.8</w:t>
            </w:r>
          </w:p>
        </w:tc>
        <w:tc>
          <w:tcPr>
            <w:tcW w:w="1513" w:type="dxa"/>
            <w:shd w:val="clear" w:color="auto" w:fill="auto"/>
            <w:vAlign w:val="center"/>
          </w:tcPr>
          <w:p w14:paraId="626C5701"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3.2</w:t>
            </w:r>
          </w:p>
        </w:tc>
        <w:tc>
          <w:tcPr>
            <w:tcW w:w="1513" w:type="dxa"/>
            <w:shd w:val="clear" w:color="auto" w:fill="auto"/>
            <w:vAlign w:val="center"/>
          </w:tcPr>
          <w:p w14:paraId="7152A251"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6.1</w:t>
            </w:r>
          </w:p>
        </w:tc>
      </w:tr>
      <w:tr w:rsidR="00FF59D2" w:rsidRPr="005C5A70" w14:paraId="34D36346" w14:textId="77777777" w:rsidTr="00160B8E">
        <w:trPr>
          <w:trHeight w:val="315"/>
        </w:trPr>
        <w:tc>
          <w:tcPr>
            <w:tcW w:w="2972" w:type="dxa"/>
            <w:shd w:val="clear" w:color="auto" w:fill="auto"/>
            <w:vAlign w:val="center"/>
          </w:tcPr>
          <w:p w14:paraId="08331865" w14:textId="77777777" w:rsidR="00FF59D2" w:rsidRPr="00130AD8" w:rsidRDefault="00FF59D2" w:rsidP="00164085">
            <w:pPr>
              <w:spacing w:after="0" w:line="240" w:lineRule="auto"/>
              <w:rPr>
                <w:rFonts w:cs="Arial"/>
                <w:color w:val="auto"/>
                <w:sz w:val="18"/>
                <w:szCs w:val="18"/>
                <w:lang w:eastAsia="en-AU"/>
              </w:rPr>
            </w:pPr>
            <w:r w:rsidRPr="00130AD8">
              <w:rPr>
                <w:sz w:val="18"/>
                <w:szCs w:val="18"/>
              </w:rPr>
              <w:t>Queensland University of Technology</w:t>
            </w:r>
          </w:p>
        </w:tc>
        <w:tc>
          <w:tcPr>
            <w:tcW w:w="1513" w:type="dxa"/>
            <w:shd w:val="clear" w:color="auto" w:fill="auto"/>
            <w:vAlign w:val="center"/>
          </w:tcPr>
          <w:p w14:paraId="2B3B86C0" w14:textId="77777777" w:rsidR="00FF59D2" w:rsidRPr="00E61B0E"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11.2 </w:t>
            </w:r>
          </w:p>
        </w:tc>
        <w:tc>
          <w:tcPr>
            <w:tcW w:w="1513" w:type="dxa"/>
            <w:shd w:val="clear" w:color="auto" w:fill="auto"/>
            <w:vAlign w:val="center"/>
          </w:tcPr>
          <w:p w14:paraId="25AD4619" w14:textId="77777777" w:rsidR="00FF59D2" w:rsidRPr="00E61B0E" w:rsidRDefault="00FF59D2" w:rsidP="00164085">
            <w:pPr>
              <w:spacing w:after="0" w:line="240" w:lineRule="auto"/>
              <w:ind w:right="411"/>
              <w:jc w:val="right"/>
              <w:rPr>
                <w:rFonts w:cs="Arial"/>
                <w:color w:val="auto"/>
                <w:sz w:val="18"/>
                <w:szCs w:val="18"/>
                <w:lang w:eastAsia="en-AU"/>
              </w:rPr>
            </w:pPr>
            <w:r w:rsidRPr="00E61B0E">
              <w:rPr>
                <w:rFonts w:cs="Arial"/>
                <w:color w:val="000000"/>
                <w:sz w:val="18"/>
                <w:szCs w:val="18"/>
              </w:rPr>
              <w:t>10.0</w:t>
            </w:r>
          </w:p>
        </w:tc>
        <w:tc>
          <w:tcPr>
            <w:tcW w:w="1513" w:type="dxa"/>
            <w:shd w:val="clear" w:color="auto" w:fill="auto"/>
            <w:vAlign w:val="center"/>
          </w:tcPr>
          <w:p w14:paraId="0366F877" w14:textId="77777777" w:rsidR="00FF59D2" w:rsidRPr="00E61B0E" w:rsidRDefault="00FF59D2" w:rsidP="00164085">
            <w:pPr>
              <w:spacing w:after="0" w:line="240" w:lineRule="auto"/>
              <w:ind w:right="411"/>
              <w:jc w:val="right"/>
              <w:rPr>
                <w:rFonts w:cs="Arial"/>
                <w:color w:val="auto"/>
                <w:sz w:val="18"/>
                <w:szCs w:val="18"/>
                <w:lang w:eastAsia="en-AU"/>
              </w:rPr>
            </w:pPr>
            <w:r w:rsidRPr="00E61B0E">
              <w:rPr>
                <w:rFonts w:cs="Arial"/>
                <w:color w:val="000000"/>
                <w:sz w:val="18"/>
                <w:szCs w:val="18"/>
              </w:rPr>
              <w:t>1.8</w:t>
            </w:r>
          </w:p>
        </w:tc>
        <w:tc>
          <w:tcPr>
            <w:tcW w:w="1513" w:type="dxa"/>
            <w:shd w:val="clear" w:color="auto" w:fill="auto"/>
            <w:vAlign w:val="center"/>
          </w:tcPr>
          <w:p w14:paraId="2056965E" w14:textId="77777777" w:rsidR="00FF59D2" w:rsidRPr="00E61B0E" w:rsidRDefault="00FF59D2" w:rsidP="00164085">
            <w:pPr>
              <w:spacing w:after="0" w:line="240" w:lineRule="auto"/>
              <w:ind w:right="411"/>
              <w:jc w:val="right"/>
              <w:rPr>
                <w:rFonts w:cs="Arial"/>
                <w:color w:val="auto"/>
                <w:sz w:val="18"/>
                <w:szCs w:val="18"/>
              </w:rPr>
            </w:pPr>
            <w:r w:rsidRPr="00E61B0E">
              <w:rPr>
                <w:rFonts w:cs="Arial"/>
                <w:color w:val="000000"/>
                <w:sz w:val="18"/>
                <w:szCs w:val="18"/>
              </w:rPr>
              <w:t>5.7</w:t>
            </w:r>
          </w:p>
        </w:tc>
      </w:tr>
      <w:tr w:rsidR="00FF59D2" w:rsidRPr="005C5A70" w14:paraId="1DAFFFDE" w14:textId="77777777" w:rsidTr="00160B8E">
        <w:trPr>
          <w:trHeight w:val="315"/>
        </w:trPr>
        <w:tc>
          <w:tcPr>
            <w:tcW w:w="2972" w:type="dxa"/>
            <w:shd w:val="clear" w:color="auto" w:fill="auto"/>
            <w:vAlign w:val="center"/>
          </w:tcPr>
          <w:p w14:paraId="2C944714"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The University of Queensland</w:t>
            </w:r>
          </w:p>
        </w:tc>
        <w:tc>
          <w:tcPr>
            <w:tcW w:w="1513" w:type="dxa"/>
            <w:shd w:val="clear" w:color="auto" w:fill="auto"/>
            <w:vAlign w:val="center"/>
          </w:tcPr>
          <w:p w14:paraId="4F778B27" w14:textId="77777777" w:rsidR="00FF59D2" w:rsidRPr="00E61B0E"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9.4 </w:t>
            </w:r>
          </w:p>
        </w:tc>
        <w:tc>
          <w:tcPr>
            <w:tcW w:w="1513" w:type="dxa"/>
            <w:shd w:val="clear" w:color="auto" w:fill="auto"/>
            <w:vAlign w:val="center"/>
          </w:tcPr>
          <w:p w14:paraId="38223C8C"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12.0</w:t>
            </w:r>
          </w:p>
        </w:tc>
        <w:tc>
          <w:tcPr>
            <w:tcW w:w="1513" w:type="dxa"/>
            <w:shd w:val="clear" w:color="auto" w:fill="auto"/>
            <w:vAlign w:val="center"/>
          </w:tcPr>
          <w:p w14:paraId="1479977C"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1.0</w:t>
            </w:r>
          </w:p>
        </w:tc>
        <w:tc>
          <w:tcPr>
            <w:tcW w:w="1513" w:type="dxa"/>
            <w:shd w:val="clear" w:color="auto" w:fill="auto"/>
            <w:vAlign w:val="center"/>
          </w:tcPr>
          <w:p w14:paraId="17B5349C"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11.4</w:t>
            </w:r>
          </w:p>
        </w:tc>
      </w:tr>
      <w:tr w:rsidR="00FF59D2" w:rsidRPr="005C5A70" w14:paraId="44B873F1" w14:textId="77777777" w:rsidTr="00160B8E">
        <w:trPr>
          <w:trHeight w:val="315"/>
        </w:trPr>
        <w:tc>
          <w:tcPr>
            <w:tcW w:w="2972" w:type="dxa"/>
            <w:shd w:val="clear" w:color="auto" w:fill="auto"/>
            <w:vAlign w:val="center"/>
          </w:tcPr>
          <w:p w14:paraId="03F7AE29"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University of Southern Queensland</w:t>
            </w:r>
          </w:p>
        </w:tc>
        <w:tc>
          <w:tcPr>
            <w:tcW w:w="1513" w:type="dxa"/>
            <w:shd w:val="clear" w:color="auto" w:fill="auto"/>
            <w:vAlign w:val="center"/>
          </w:tcPr>
          <w:p w14:paraId="4FE10B73" w14:textId="77777777" w:rsidR="00FF59D2" w:rsidRPr="00E61B0E"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28.2 </w:t>
            </w:r>
          </w:p>
        </w:tc>
        <w:tc>
          <w:tcPr>
            <w:tcW w:w="1513" w:type="dxa"/>
            <w:shd w:val="clear" w:color="auto" w:fill="auto"/>
            <w:vAlign w:val="center"/>
          </w:tcPr>
          <w:p w14:paraId="0781093B"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44.4</w:t>
            </w:r>
          </w:p>
        </w:tc>
        <w:tc>
          <w:tcPr>
            <w:tcW w:w="1513" w:type="dxa"/>
            <w:shd w:val="clear" w:color="auto" w:fill="auto"/>
            <w:vAlign w:val="center"/>
          </w:tcPr>
          <w:p w14:paraId="7C4BD6B9"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2.8</w:t>
            </w:r>
          </w:p>
        </w:tc>
        <w:tc>
          <w:tcPr>
            <w:tcW w:w="1513" w:type="dxa"/>
            <w:shd w:val="clear" w:color="auto" w:fill="auto"/>
            <w:vAlign w:val="center"/>
          </w:tcPr>
          <w:p w14:paraId="0479838D"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9.3</w:t>
            </w:r>
          </w:p>
        </w:tc>
      </w:tr>
      <w:tr w:rsidR="00FF59D2" w:rsidRPr="005C5A70" w14:paraId="378CDDEB" w14:textId="77777777" w:rsidTr="00160B8E">
        <w:trPr>
          <w:trHeight w:val="315"/>
        </w:trPr>
        <w:tc>
          <w:tcPr>
            <w:tcW w:w="2972" w:type="dxa"/>
            <w:shd w:val="clear" w:color="auto" w:fill="auto"/>
            <w:vAlign w:val="center"/>
          </w:tcPr>
          <w:p w14:paraId="7344B578" w14:textId="77777777" w:rsidR="00FF59D2" w:rsidRPr="00130AD8" w:rsidRDefault="00FF59D2" w:rsidP="00164085">
            <w:pPr>
              <w:spacing w:after="0" w:line="240" w:lineRule="auto"/>
              <w:rPr>
                <w:rFonts w:cs="Arial"/>
                <w:color w:val="000000"/>
                <w:sz w:val="18"/>
                <w:szCs w:val="18"/>
                <w:lang w:eastAsia="en-AU"/>
              </w:rPr>
            </w:pPr>
            <w:r w:rsidRPr="00130AD8">
              <w:rPr>
                <w:sz w:val="18"/>
                <w:szCs w:val="18"/>
              </w:rPr>
              <w:t>University of the Sunshine Coast</w:t>
            </w:r>
          </w:p>
        </w:tc>
        <w:tc>
          <w:tcPr>
            <w:tcW w:w="1513" w:type="dxa"/>
            <w:shd w:val="clear" w:color="auto" w:fill="auto"/>
            <w:vAlign w:val="center"/>
          </w:tcPr>
          <w:p w14:paraId="2DF2C364" w14:textId="77777777" w:rsidR="00FF59D2" w:rsidRPr="00E61B0E" w:rsidRDefault="00FF59D2" w:rsidP="00164085">
            <w:pPr>
              <w:spacing w:after="0" w:line="240" w:lineRule="auto"/>
              <w:ind w:right="411"/>
              <w:jc w:val="right"/>
              <w:rPr>
                <w:rFonts w:cs="Arial"/>
                <w:color w:val="auto"/>
                <w:sz w:val="18"/>
                <w:szCs w:val="18"/>
                <w:lang w:eastAsia="en-AU"/>
              </w:rPr>
            </w:pPr>
            <w:r>
              <w:rPr>
                <w:rFonts w:cs="Arial"/>
                <w:color w:val="000000"/>
                <w:sz w:val="18"/>
                <w:szCs w:val="18"/>
              </w:rPr>
              <w:t xml:space="preserve">18.8 </w:t>
            </w:r>
          </w:p>
        </w:tc>
        <w:tc>
          <w:tcPr>
            <w:tcW w:w="1513" w:type="dxa"/>
            <w:shd w:val="clear" w:color="auto" w:fill="auto"/>
            <w:vAlign w:val="center"/>
          </w:tcPr>
          <w:p w14:paraId="553EA479"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26.2</w:t>
            </w:r>
          </w:p>
        </w:tc>
        <w:tc>
          <w:tcPr>
            <w:tcW w:w="1513" w:type="dxa"/>
            <w:shd w:val="clear" w:color="auto" w:fill="auto"/>
            <w:vAlign w:val="center"/>
          </w:tcPr>
          <w:p w14:paraId="5F38AB4B" w14:textId="77777777" w:rsidR="00FF59D2" w:rsidRPr="00E61B0E" w:rsidRDefault="00FF59D2" w:rsidP="00164085">
            <w:pPr>
              <w:spacing w:after="0" w:line="240" w:lineRule="auto"/>
              <w:ind w:right="411"/>
              <w:jc w:val="right"/>
              <w:rPr>
                <w:rFonts w:cs="Arial"/>
                <w:color w:val="000000"/>
                <w:sz w:val="18"/>
                <w:szCs w:val="18"/>
                <w:lang w:eastAsia="en-AU"/>
              </w:rPr>
            </w:pPr>
            <w:r w:rsidRPr="00E61B0E">
              <w:rPr>
                <w:rFonts w:cs="Arial"/>
                <w:color w:val="000000"/>
                <w:sz w:val="18"/>
                <w:szCs w:val="18"/>
              </w:rPr>
              <w:t>2.2</w:t>
            </w:r>
          </w:p>
        </w:tc>
        <w:tc>
          <w:tcPr>
            <w:tcW w:w="1513" w:type="dxa"/>
            <w:shd w:val="clear" w:color="auto" w:fill="auto"/>
            <w:vAlign w:val="center"/>
          </w:tcPr>
          <w:p w14:paraId="1C104752" w14:textId="77777777" w:rsidR="00FF59D2" w:rsidRPr="00E61B0E" w:rsidRDefault="00FF59D2" w:rsidP="00164085">
            <w:pPr>
              <w:spacing w:after="0" w:line="240" w:lineRule="auto"/>
              <w:ind w:right="411"/>
              <w:jc w:val="right"/>
              <w:rPr>
                <w:rFonts w:cs="Arial"/>
                <w:color w:val="000000"/>
                <w:sz w:val="18"/>
                <w:szCs w:val="18"/>
              </w:rPr>
            </w:pPr>
            <w:r w:rsidRPr="00E61B0E">
              <w:rPr>
                <w:rFonts w:cs="Arial"/>
                <w:color w:val="000000"/>
                <w:sz w:val="18"/>
                <w:szCs w:val="18"/>
              </w:rPr>
              <w:t>8.2</w:t>
            </w:r>
          </w:p>
        </w:tc>
      </w:tr>
    </w:tbl>
    <w:p w14:paraId="322A6500"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1F7188AB" w14:textId="77777777" w:rsidR="00FF59D2" w:rsidRDefault="00FF59D2" w:rsidP="00FF59D2"/>
    <w:p w14:paraId="6194CF87"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B4:  </w:t>
      </w:r>
      <w:r>
        <w:rPr>
          <w:rFonts w:cstheme="minorHAnsi"/>
          <w:color w:val="000000"/>
          <w:sz w:val="18"/>
          <w:szCs w:val="18"/>
          <w:lang w:eastAsia="en-AU"/>
        </w:rPr>
        <w:t xml:space="preserve">Western Australia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51D25346" w14:textId="77777777" w:rsidTr="00160B8E">
        <w:trPr>
          <w:trHeight w:val="315"/>
        </w:trPr>
        <w:tc>
          <w:tcPr>
            <w:tcW w:w="2972" w:type="dxa"/>
            <w:shd w:val="clear" w:color="auto" w:fill="auto"/>
            <w:hideMark/>
          </w:tcPr>
          <w:p w14:paraId="24EA4BDB"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4B6CD3EB"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290AC387"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1CFBCDC3"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031182C4"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4814391D" w14:textId="77777777" w:rsidTr="00160B8E">
        <w:trPr>
          <w:trHeight w:val="315"/>
        </w:trPr>
        <w:tc>
          <w:tcPr>
            <w:tcW w:w="2972" w:type="dxa"/>
            <w:shd w:val="clear" w:color="auto" w:fill="EFE2E7" w:themeFill="text1" w:themeFillTint="1A"/>
            <w:vAlign w:val="center"/>
          </w:tcPr>
          <w:p w14:paraId="0CD17582" w14:textId="77777777" w:rsidR="00FF59D2" w:rsidRPr="00594ED8" w:rsidRDefault="00FF59D2" w:rsidP="00164085">
            <w:pPr>
              <w:spacing w:after="0" w:line="240" w:lineRule="auto"/>
              <w:rPr>
                <w:rFonts w:cs="Arial"/>
                <w:b/>
                <w:bCs/>
                <w:sz w:val="18"/>
                <w:szCs w:val="18"/>
              </w:rPr>
            </w:pPr>
            <w:r w:rsidRPr="00594ED8">
              <w:rPr>
                <w:b/>
                <w:bCs/>
                <w:sz w:val="18"/>
                <w:szCs w:val="18"/>
              </w:rPr>
              <w:t>WA Equity Reference Value</w:t>
            </w:r>
          </w:p>
        </w:tc>
        <w:tc>
          <w:tcPr>
            <w:tcW w:w="1513" w:type="dxa"/>
            <w:shd w:val="clear" w:color="auto" w:fill="EFE2E7" w:themeFill="text1" w:themeFillTint="1A"/>
            <w:vAlign w:val="center"/>
          </w:tcPr>
          <w:p w14:paraId="5A95B4DF" w14:textId="77777777" w:rsidR="00FF59D2" w:rsidRPr="00594ED8" w:rsidRDefault="00FF59D2" w:rsidP="00164085">
            <w:pPr>
              <w:spacing w:after="0" w:line="240" w:lineRule="auto"/>
              <w:ind w:right="411"/>
              <w:jc w:val="right"/>
              <w:rPr>
                <w:b/>
                <w:bCs/>
                <w:sz w:val="18"/>
                <w:szCs w:val="18"/>
              </w:rPr>
            </w:pPr>
            <w:r w:rsidRPr="00594ED8">
              <w:rPr>
                <w:b/>
                <w:bCs/>
                <w:sz w:val="18"/>
                <w:szCs w:val="18"/>
              </w:rPr>
              <w:t>22.8</w:t>
            </w:r>
          </w:p>
        </w:tc>
        <w:tc>
          <w:tcPr>
            <w:tcW w:w="1513" w:type="dxa"/>
            <w:shd w:val="clear" w:color="auto" w:fill="EFE2E7" w:themeFill="text1" w:themeFillTint="1A"/>
            <w:vAlign w:val="center"/>
          </w:tcPr>
          <w:p w14:paraId="3C48B524" w14:textId="77777777" w:rsidR="00FF59D2" w:rsidRPr="00594ED8" w:rsidRDefault="00FF59D2" w:rsidP="00164085">
            <w:pPr>
              <w:spacing w:after="0" w:line="240" w:lineRule="auto"/>
              <w:ind w:right="411"/>
              <w:jc w:val="right"/>
              <w:rPr>
                <w:b/>
                <w:bCs/>
                <w:sz w:val="18"/>
                <w:szCs w:val="18"/>
              </w:rPr>
            </w:pPr>
            <w:r w:rsidRPr="00594ED8">
              <w:rPr>
                <w:b/>
                <w:bCs/>
                <w:sz w:val="18"/>
                <w:szCs w:val="18"/>
              </w:rPr>
              <w:t>21.7</w:t>
            </w:r>
          </w:p>
        </w:tc>
        <w:tc>
          <w:tcPr>
            <w:tcW w:w="1513" w:type="dxa"/>
            <w:shd w:val="clear" w:color="auto" w:fill="EFE2E7" w:themeFill="text1" w:themeFillTint="1A"/>
            <w:vAlign w:val="center"/>
          </w:tcPr>
          <w:p w14:paraId="4C59EFA8" w14:textId="77777777" w:rsidR="00FF59D2" w:rsidRPr="00594ED8" w:rsidRDefault="00FF59D2" w:rsidP="00164085">
            <w:pPr>
              <w:spacing w:after="0" w:line="240" w:lineRule="auto"/>
              <w:ind w:right="411"/>
              <w:jc w:val="right"/>
              <w:rPr>
                <w:b/>
                <w:bCs/>
                <w:sz w:val="18"/>
                <w:szCs w:val="18"/>
              </w:rPr>
            </w:pPr>
            <w:r w:rsidRPr="00594ED8">
              <w:rPr>
                <w:b/>
                <w:bCs/>
                <w:sz w:val="18"/>
                <w:szCs w:val="18"/>
              </w:rPr>
              <w:t>4.0</w:t>
            </w:r>
          </w:p>
        </w:tc>
        <w:tc>
          <w:tcPr>
            <w:tcW w:w="1513" w:type="dxa"/>
            <w:shd w:val="clear" w:color="auto" w:fill="EFE2E7" w:themeFill="text1" w:themeFillTint="1A"/>
            <w:vAlign w:val="center"/>
          </w:tcPr>
          <w:p w14:paraId="314BE81C" w14:textId="77777777" w:rsidR="00FF59D2" w:rsidRPr="00594ED8" w:rsidRDefault="00FF59D2" w:rsidP="00164085">
            <w:pPr>
              <w:spacing w:after="0" w:line="240" w:lineRule="auto"/>
              <w:ind w:right="411"/>
              <w:jc w:val="right"/>
              <w:rPr>
                <w:b/>
                <w:bCs/>
                <w:sz w:val="18"/>
                <w:szCs w:val="18"/>
              </w:rPr>
            </w:pPr>
            <w:r w:rsidRPr="00594ED8">
              <w:rPr>
                <w:rFonts w:cs="Arial"/>
                <w:b/>
                <w:bCs/>
                <w:color w:val="000000"/>
                <w:sz w:val="18"/>
                <w:szCs w:val="18"/>
              </w:rPr>
              <w:t>8.4</w:t>
            </w:r>
          </w:p>
        </w:tc>
      </w:tr>
      <w:tr w:rsidR="00FF59D2" w:rsidRPr="005C5A70" w14:paraId="29873517" w14:textId="77777777" w:rsidTr="00164085">
        <w:trPr>
          <w:trHeight w:val="315"/>
        </w:trPr>
        <w:tc>
          <w:tcPr>
            <w:tcW w:w="2972" w:type="dxa"/>
            <w:shd w:val="clear" w:color="000000" w:fill="FFFFFF"/>
            <w:vAlign w:val="center"/>
          </w:tcPr>
          <w:p w14:paraId="4ADFD730"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Curtin University</w:t>
            </w:r>
          </w:p>
        </w:tc>
        <w:tc>
          <w:tcPr>
            <w:tcW w:w="1513" w:type="dxa"/>
            <w:shd w:val="clear" w:color="000000" w:fill="FFFFFF"/>
            <w:vAlign w:val="center"/>
          </w:tcPr>
          <w:p w14:paraId="084F3B7C" w14:textId="77777777" w:rsidR="00FF59D2" w:rsidRPr="00C718E6" w:rsidRDefault="00FF59D2" w:rsidP="00164085">
            <w:pPr>
              <w:spacing w:after="0" w:line="240" w:lineRule="auto"/>
              <w:ind w:right="411"/>
              <w:jc w:val="right"/>
              <w:rPr>
                <w:rFonts w:cs="Arial"/>
                <w:color w:val="000000"/>
                <w:sz w:val="18"/>
                <w:szCs w:val="18"/>
                <w:lang w:eastAsia="en-AU"/>
              </w:rPr>
            </w:pPr>
            <w:r>
              <w:rPr>
                <w:sz w:val="18"/>
                <w:szCs w:val="18"/>
              </w:rPr>
              <w:t xml:space="preserve">13.9 </w:t>
            </w:r>
          </w:p>
        </w:tc>
        <w:tc>
          <w:tcPr>
            <w:tcW w:w="1513" w:type="dxa"/>
            <w:shd w:val="clear" w:color="000000" w:fill="FFFFFF"/>
            <w:vAlign w:val="center"/>
          </w:tcPr>
          <w:p w14:paraId="62A9BEDD"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9.6</w:t>
            </w:r>
          </w:p>
        </w:tc>
        <w:tc>
          <w:tcPr>
            <w:tcW w:w="1513" w:type="dxa"/>
            <w:shd w:val="clear" w:color="000000" w:fill="FFFFFF"/>
            <w:vAlign w:val="center"/>
          </w:tcPr>
          <w:p w14:paraId="250C14AE"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1.0</w:t>
            </w:r>
          </w:p>
        </w:tc>
        <w:tc>
          <w:tcPr>
            <w:tcW w:w="1513" w:type="dxa"/>
            <w:shd w:val="clear" w:color="000000" w:fill="FFFFFF"/>
            <w:vAlign w:val="center"/>
          </w:tcPr>
          <w:p w14:paraId="5B821C5E" w14:textId="77777777" w:rsidR="00FF59D2" w:rsidRPr="00C718E6" w:rsidRDefault="00FF59D2" w:rsidP="00164085">
            <w:pPr>
              <w:spacing w:after="0" w:line="240" w:lineRule="auto"/>
              <w:ind w:right="411"/>
              <w:jc w:val="right"/>
              <w:rPr>
                <w:rFonts w:cs="Arial"/>
                <w:color w:val="000000"/>
                <w:sz w:val="18"/>
                <w:szCs w:val="18"/>
              </w:rPr>
            </w:pPr>
            <w:r w:rsidRPr="00C718E6">
              <w:rPr>
                <w:sz w:val="18"/>
                <w:szCs w:val="18"/>
              </w:rPr>
              <w:t>5.5</w:t>
            </w:r>
          </w:p>
        </w:tc>
      </w:tr>
      <w:tr w:rsidR="00FF59D2" w:rsidRPr="005C5A70" w14:paraId="37608770" w14:textId="77777777" w:rsidTr="00160B8E">
        <w:trPr>
          <w:trHeight w:val="315"/>
        </w:trPr>
        <w:tc>
          <w:tcPr>
            <w:tcW w:w="2972" w:type="dxa"/>
            <w:shd w:val="clear" w:color="auto" w:fill="auto"/>
            <w:vAlign w:val="center"/>
          </w:tcPr>
          <w:p w14:paraId="430C7F42"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Edith Cowan University</w:t>
            </w:r>
          </w:p>
        </w:tc>
        <w:tc>
          <w:tcPr>
            <w:tcW w:w="1513" w:type="dxa"/>
            <w:shd w:val="clear" w:color="auto" w:fill="auto"/>
            <w:vAlign w:val="center"/>
          </w:tcPr>
          <w:p w14:paraId="517AE0E4" w14:textId="77777777" w:rsidR="00FF59D2" w:rsidRPr="00C718E6" w:rsidRDefault="00FF59D2" w:rsidP="00164085">
            <w:pPr>
              <w:spacing w:after="0" w:line="240" w:lineRule="auto"/>
              <w:ind w:right="411"/>
              <w:jc w:val="right"/>
              <w:rPr>
                <w:rFonts w:cs="Arial"/>
                <w:color w:val="000000"/>
                <w:sz w:val="18"/>
                <w:szCs w:val="18"/>
                <w:lang w:eastAsia="en-AU"/>
              </w:rPr>
            </w:pPr>
            <w:r>
              <w:rPr>
                <w:sz w:val="18"/>
                <w:szCs w:val="18"/>
              </w:rPr>
              <w:t xml:space="preserve">15.9 </w:t>
            </w:r>
          </w:p>
        </w:tc>
        <w:tc>
          <w:tcPr>
            <w:tcW w:w="1513" w:type="dxa"/>
            <w:shd w:val="clear" w:color="auto" w:fill="auto"/>
            <w:vAlign w:val="center"/>
          </w:tcPr>
          <w:p w14:paraId="72126377"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14.7</w:t>
            </w:r>
          </w:p>
        </w:tc>
        <w:tc>
          <w:tcPr>
            <w:tcW w:w="1513" w:type="dxa"/>
            <w:shd w:val="clear" w:color="auto" w:fill="auto"/>
            <w:vAlign w:val="center"/>
          </w:tcPr>
          <w:p w14:paraId="467EC7DD"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1.0</w:t>
            </w:r>
          </w:p>
        </w:tc>
        <w:tc>
          <w:tcPr>
            <w:tcW w:w="1513" w:type="dxa"/>
            <w:shd w:val="clear" w:color="auto" w:fill="auto"/>
            <w:vAlign w:val="center"/>
          </w:tcPr>
          <w:p w14:paraId="08C6380A" w14:textId="77777777" w:rsidR="00FF59D2" w:rsidRPr="00C718E6" w:rsidRDefault="00FF59D2" w:rsidP="00164085">
            <w:pPr>
              <w:spacing w:after="0" w:line="240" w:lineRule="auto"/>
              <w:ind w:right="411"/>
              <w:jc w:val="right"/>
              <w:rPr>
                <w:rFonts w:cs="Arial"/>
                <w:color w:val="000000"/>
                <w:sz w:val="18"/>
                <w:szCs w:val="18"/>
              </w:rPr>
            </w:pPr>
            <w:r w:rsidRPr="00C718E6">
              <w:rPr>
                <w:sz w:val="18"/>
                <w:szCs w:val="18"/>
              </w:rPr>
              <w:t>5.9</w:t>
            </w:r>
          </w:p>
        </w:tc>
      </w:tr>
      <w:tr w:rsidR="00FF59D2" w:rsidRPr="005C5A70" w14:paraId="0BDA967D" w14:textId="77777777" w:rsidTr="00160B8E">
        <w:trPr>
          <w:trHeight w:val="315"/>
        </w:trPr>
        <w:tc>
          <w:tcPr>
            <w:tcW w:w="2972" w:type="dxa"/>
            <w:shd w:val="clear" w:color="auto" w:fill="auto"/>
            <w:vAlign w:val="center"/>
          </w:tcPr>
          <w:p w14:paraId="0D38A92F"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Murdoch University</w:t>
            </w:r>
          </w:p>
        </w:tc>
        <w:tc>
          <w:tcPr>
            <w:tcW w:w="1513" w:type="dxa"/>
            <w:shd w:val="clear" w:color="auto" w:fill="auto"/>
            <w:vAlign w:val="center"/>
          </w:tcPr>
          <w:p w14:paraId="51BF2D37" w14:textId="77777777" w:rsidR="00FF59D2" w:rsidRPr="00C718E6" w:rsidRDefault="00FF59D2" w:rsidP="00164085">
            <w:pPr>
              <w:spacing w:after="0" w:line="240" w:lineRule="auto"/>
              <w:ind w:right="411"/>
              <w:jc w:val="right"/>
              <w:rPr>
                <w:rFonts w:cs="Arial"/>
                <w:color w:val="000000"/>
                <w:sz w:val="18"/>
                <w:szCs w:val="18"/>
                <w:lang w:eastAsia="en-AU"/>
              </w:rPr>
            </w:pPr>
            <w:r>
              <w:rPr>
                <w:sz w:val="18"/>
                <w:szCs w:val="18"/>
              </w:rPr>
              <w:t xml:space="preserve">18.1 </w:t>
            </w:r>
          </w:p>
        </w:tc>
        <w:tc>
          <w:tcPr>
            <w:tcW w:w="1513" w:type="dxa"/>
            <w:shd w:val="clear" w:color="auto" w:fill="auto"/>
            <w:vAlign w:val="center"/>
          </w:tcPr>
          <w:p w14:paraId="2E367936"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8.2</w:t>
            </w:r>
          </w:p>
        </w:tc>
        <w:tc>
          <w:tcPr>
            <w:tcW w:w="1513" w:type="dxa"/>
            <w:shd w:val="clear" w:color="auto" w:fill="auto"/>
            <w:vAlign w:val="center"/>
          </w:tcPr>
          <w:p w14:paraId="7AD4EB79"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1.4</w:t>
            </w:r>
          </w:p>
        </w:tc>
        <w:tc>
          <w:tcPr>
            <w:tcW w:w="1513" w:type="dxa"/>
            <w:shd w:val="clear" w:color="auto" w:fill="auto"/>
            <w:vAlign w:val="center"/>
          </w:tcPr>
          <w:p w14:paraId="555A7F83" w14:textId="77777777" w:rsidR="00FF59D2" w:rsidRPr="00C718E6" w:rsidRDefault="00FF59D2" w:rsidP="00164085">
            <w:pPr>
              <w:spacing w:after="0" w:line="240" w:lineRule="auto"/>
              <w:ind w:right="411"/>
              <w:jc w:val="right"/>
              <w:rPr>
                <w:rFonts w:cs="Arial"/>
                <w:color w:val="000000"/>
                <w:sz w:val="18"/>
                <w:szCs w:val="18"/>
              </w:rPr>
            </w:pPr>
            <w:r w:rsidRPr="00C718E6">
              <w:rPr>
                <w:sz w:val="18"/>
                <w:szCs w:val="18"/>
              </w:rPr>
              <w:t>5.3</w:t>
            </w:r>
          </w:p>
        </w:tc>
      </w:tr>
      <w:tr w:rsidR="00FF59D2" w:rsidRPr="005C5A70" w14:paraId="7574509D" w14:textId="77777777" w:rsidTr="00160B8E">
        <w:trPr>
          <w:trHeight w:val="315"/>
        </w:trPr>
        <w:tc>
          <w:tcPr>
            <w:tcW w:w="2972" w:type="dxa"/>
            <w:shd w:val="clear" w:color="auto" w:fill="auto"/>
            <w:vAlign w:val="center"/>
          </w:tcPr>
          <w:p w14:paraId="5BCC0157" w14:textId="77777777" w:rsidR="00FF59D2" w:rsidRPr="00B43100" w:rsidRDefault="00FF59D2" w:rsidP="00164085">
            <w:pPr>
              <w:spacing w:after="0" w:line="240" w:lineRule="auto"/>
              <w:rPr>
                <w:rFonts w:cs="Arial"/>
                <w:color w:val="auto"/>
                <w:sz w:val="18"/>
                <w:szCs w:val="18"/>
                <w:lang w:eastAsia="en-AU"/>
              </w:rPr>
            </w:pPr>
            <w:r w:rsidRPr="00B43100">
              <w:rPr>
                <w:rFonts w:cs="Arial"/>
                <w:sz w:val="18"/>
                <w:szCs w:val="18"/>
              </w:rPr>
              <w:t>The University of Notre Dame Australia</w:t>
            </w:r>
          </w:p>
        </w:tc>
        <w:tc>
          <w:tcPr>
            <w:tcW w:w="1513" w:type="dxa"/>
            <w:shd w:val="clear" w:color="auto" w:fill="auto"/>
            <w:vAlign w:val="center"/>
          </w:tcPr>
          <w:p w14:paraId="3C5C4ED5" w14:textId="77777777" w:rsidR="00FF59D2" w:rsidRPr="00C718E6" w:rsidRDefault="00FF59D2" w:rsidP="00164085">
            <w:pPr>
              <w:spacing w:after="0" w:line="240" w:lineRule="auto"/>
              <w:ind w:right="411"/>
              <w:jc w:val="right"/>
              <w:rPr>
                <w:rFonts w:cs="Arial"/>
                <w:color w:val="auto"/>
                <w:sz w:val="18"/>
                <w:szCs w:val="18"/>
                <w:lang w:eastAsia="en-AU"/>
              </w:rPr>
            </w:pPr>
            <w:r>
              <w:rPr>
                <w:sz w:val="18"/>
                <w:szCs w:val="18"/>
              </w:rPr>
              <w:t xml:space="preserve">9.9 </w:t>
            </w:r>
          </w:p>
        </w:tc>
        <w:tc>
          <w:tcPr>
            <w:tcW w:w="1513" w:type="dxa"/>
            <w:shd w:val="clear" w:color="auto" w:fill="auto"/>
            <w:vAlign w:val="center"/>
          </w:tcPr>
          <w:p w14:paraId="3C490E42" w14:textId="77777777" w:rsidR="00FF59D2" w:rsidRPr="00C718E6" w:rsidRDefault="00FF59D2" w:rsidP="00164085">
            <w:pPr>
              <w:spacing w:after="0" w:line="240" w:lineRule="auto"/>
              <w:ind w:right="411"/>
              <w:jc w:val="right"/>
              <w:rPr>
                <w:rFonts w:cs="Arial"/>
                <w:color w:val="auto"/>
                <w:sz w:val="18"/>
                <w:szCs w:val="18"/>
                <w:lang w:eastAsia="en-AU"/>
              </w:rPr>
            </w:pPr>
            <w:r w:rsidRPr="00C718E6">
              <w:rPr>
                <w:sz w:val="18"/>
                <w:szCs w:val="18"/>
              </w:rPr>
              <w:t>7.1</w:t>
            </w:r>
          </w:p>
        </w:tc>
        <w:tc>
          <w:tcPr>
            <w:tcW w:w="1513" w:type="dxa"/>
            <w:shd w:val="clear" w:color="auto" w:fill="auto"/>
            <w:vAlign w:val="center"/>
          </w:tcPr>
          <w:p w14:paraId="59B4BB63" w14:textId="77777777" w:rsidR="00FF59D2" w:rsidRPr="00C718E6" w:rsidRDefault="00FF59D2" w:rsidP="00164085">
            <w:pPr>
              <w:spacing w:after="0" w:line="240" w:lineRule="auto"/>
              <w:ind w:right="411"/>
              <w:jc w:val="right"/>
              <w:rPr>
                <w:rFonts w:cs="Arial"/>
                <w:color w:val="auto"/>
                <w:sz w:val="18"/>
                <w:szCs w:val="18"/>
                <w:lang w:eastAsia="en-AU"/>
              </w:rPr>
            </w:pPr>
            <w:r w:rsidRPr="00C718E6">
              <w:rPr>
                <w:sz w:val="18"/>
                <w:szCs w:val="18"/>
              </w:rPr>
              <w:t>0.6</w:t>
            </w:r>
          </w:p>
        </w:tc>
        <w:tc>
          <w:tcPr>
            <w:tcW w:w="1513" w:type="dxa"/>
            <w:shd w:val="clear" w:color="auto" w:fill="auto"/>
            <w:vAlign w:val="center"/>
          </w:tcPr>
          <w:p w14:paraId="0585B4C3" w14:textId="77777777" w:rsidR="00FF59D2" w:rsidRPr="00C718E6" w:rsidRDefault="00FF59D2" w:rsidP="00164085">
            <w:pPr>
              <w:spacing w:after="0" w:line="240" w:lineRule="auto"/>
              <w:ind w:right="411"/>
              <w:jc w:val="right"/>
              <w:rPr>
                <w:rFonts w:cs="Arial"/>
                <w:color w:val="auto"/>
                <w:sz w:val="18"/>
                <w:szCs w:val="18"/>
              </w:rPr>
            </w:pPr>
            <w:r>
              <w:rPr>
                <w:sz w:val="18"/>
                <w:szCs w:val="18"/>
              </w:rPr>
              <w:t xml:space="preserve">7.4 </w:t>
            </w:r>
          </w:p>
        </w:tc>
      </w:tr>
      <w:tr w:rsidR="00FF59D2" w:rsidRPr="005C5A70" w14:paraId="651A5F82" w14:textId="77777777" w:rsidTr="00160B8E">
        <w:trPr>
          <w:trHeight w:val="315"/>
        </w:trPr>
        <w:tc>
          <w:tcPr>
            <w:tcW w:w="2972" w:type="dxa"/>
            <w:shd w:val="clear" w:color="auto" w:fill="auto"/>
            <w:vAlign w:val="center"/>
          </w:tcPr>
          <w:p w14:paraId="0A458495" w14:textId="77777777" w:rsidR="00FF59D2" w:rsidRPr="00B43100" w:rsidRDefault="00FF59D2" w:rsidP="00164085">
            <w:pPr>
              <w:spacing w:after="0" w:line="240" w:lineRule="auto"/>
              <w:rPr>
                <w:rFonts w:cs="Arial"/>
                <w:color w:val="000000"/>
                <w:sz w:val="18"/>
                <w:szCs w:val="18"/>
                <w:lang w:eastAsia="en-AU"/>
              </w:rPr>
            </w:pPr>
            <w:r w:rsidRPr="00B43100">
              <w:rPr>
                <w:rFonts w:cs="Arial"/>
                <w:sz w:val="18"/>
                <w:szCs w:val="18"/>
              </w:rPr>
              <w:t>The University of Western Australia</w:t>
            </w:r>
          </w:p>
        </w:tc>
        <w:tc>
          <w:tcPr>
            <w:tcW w:w="1513" w:type="dxa"/>
            <w:shd w:val="clear" w:color="auto" w:fill="auto"/>
            <w:vAlign w:val="center"/>
          </w:tcPr>
          <w:p w14:paraId="27FC1130" w14:textId="77777777" w:rsidR="00FF59D2" w:rsidRPr="00C718E6" w:rsidRDefault="00FF59D2" w:rsidP="00164085">
            <w:pPr>
              <w:spacing w:after="0" w:line="240" w:lineRule="auto"/>
              <w:ind w:right="411"/>
              <w:jc w:val="right"/>
              <w:rPr>
                <w:rFonts w:cs="Arial"/>
                <w:color w:val="auto"/>
                <w:sz w:val="18"/>
                <w:szCs w:val="18"/>
                <w:lang w:eastAsia="en-AU"/>
              </w:rPr>
            </w:pPr>
            <w:r>
              <w:rPr>
                <w:sz w:val="18"/>
                <w:szCs w:val="18"/>
              </w:rPr>
              <w:t xml:space="preserve">8.6 </w:t>
            </w:r>
          </w:p>
        </w:tc>
        <w:tc>
          <w:tcPr>
            <w:tcW w:w="1513" w:type="dxa"/>
            <w:shd w:val="clear" w:color="auto" w:fill="auto"/>
            <w:vAlign w:val="center"/>
          </w:tcPr>
          <w:p w14:paraId="0C2C15BD" w14:textId="77777777" w:rsidR="00FF59D2" w:rsidRPr="00C718E6" w:rsidRDefault="00FF59D2" w:rsidP="00164085">
            <w:pPr>
              <w:spacing w:after="0" w:line="240" w:lineRule="auto"/>
              <w:ind w:right="411"/>
              <w:jc w:val="right"/>
              <w:rPr>
                <w:rFonts w:cs="Arial"/>
                <w:color w:val="000000"/>
                <w:sz w:val="18"/>
                <w:szCs w:val="18"/>
              </w:rPr>
            </w:pPr>
            <w:r w:rsidRPr="00C718E6">
              <w:rPr>
                <w:sz w:val="18"/>
                <w:szCs w:val="18"/>
              </w:rPr>
              <w:t>6.9</w:t>
            </w:r>
          </w:p>
        </w:tc>
        <w:tc>
          <w:tcPr>
            <w:tcW w:w="1513" w:type="dxa"/>
            <w:shd w:val="clear" w:color="auto" w:fill="auto"/>
            <w:vAlign w:val="center"/>
          </w:tcPr>
          <w:p w14:paraId="124AA916" w14:textId="77777777" w:rsidR="00FF59D2" w:rsidRPr="00C718E6" w:rsidRDefault="00FF59D2" w:rsidP="00164085">
            <w:pPr>
              <w:spacing w:after="0" w:line="240" w:lineRule="auto"/>
              <w:ind w:right="411"/>
              <w:jc w:val="right"/>
              <w:rPr>
                <w:rFonts w:cs="Arial"/>
                <w:color w:val="000000"/>
                <w:sz w:val="18"/>
                <w:szCs w:val="18"/>
                <w:lang w:eastAsia="en-AU"/>
              </w:rPr>
            </w:pPr>
            <w:r w:rsidRPr="00C718E6">
              <w:rPr>
                <w:sz w:val="18"/>
                <w:szCs w:val="18"/>
              </w:rPr>
              <w:t>0.6</w:t>
            </w:r>
          </w:p>
        </w:tc>
        <w:tc>
          <w:tcPr>
            <w:tcW w:w="1513" w:type="dxa"/>
            <w:shd w:val="clear" w:color="auto" w:fill="auto"/>
            <w:vAlign w:val="center"/>
          </w:tcPr>
          <w:p w14:paraId="55457806" w14:textId="77777777" w:rsidR="00FF59D2" w:rsidRPr="00C718E6" w:rsidRDefault="00FF59D2" w:rsidP="00164085">
            <w:pPr>
              <w:spacing w:after="0" w:line="240" w:lineRule="auto"/>
              <w:ind w:right="411"/>
              <w:jc w:val="right"/>
              <w:rPr>
                <w:rFonts w:cs="Arial"/>
                <w:color w:val="000000"/>
                <w:sz w:val="18"/>
                <w:szCs w:val="18"/>
              </w:rPr>
            </w:pPr>
            <w:r w:rsidRPr="00C718E6">
              <w:rPr>
                <w:sz w:val="18"/>
                <w:szCs w:val="18"/>
              </w:rPr>
              <w:t>9.7</w:t>
            </w:r>
          </w:p>
        </w:tc>
      </w:tr>
    </w:tbl>
    <w:p w14:paraId="3FCEFC8E"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02BBB6DF" w14:textId="77777777" w:rsidR="00FF59D2" w:rsidRDefault="00FF59D2" w:rsidP="00FF59D2"/>
    <w:p w14:paraId="76632FF9"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B5:  </w:t>
      </w:r>
      <w:r>
        <w:rPr>
          <w:rFonts w:cstheme="minorHAnsi"/>
          <w:color w:val="000000"/>
          <w:sz w:val="18"/>
          <w:szCs w:val="18"/>
          <w:lang w:eastAsia="en-AU"/>
        </w:rPr>
        <w:t xml:space="preserve">South Australia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0DF36CF1" w14:textId="77777777" w:rsidTr="00160B8E">
        <w:trPr>
          <w:trHeight w:val="315"/>
        </w:trPr>
        <w:tc>
          <w:tcPr>
            <w:tcW w:w="2972" w:type="dxa"/>
            <w:shd w:val="clear" w:color="auto" w:fill="auto"/>
            <w:hideMark/>
          </w:tcPr>
          <w:p w14:paraId="56344EAE"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2FBB5748"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4110387A"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26537990"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6B6B4999"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5AA3AE9F" w14:textId="77777777" w:rsidTr="00160B8E">
        <w:trPr>
          <w:trHeight w:val="315"/>
        </w:trPr>
        <w:tc>
          <w:tcPr>
            <w:tcW w:w="2972" w:type="dxa"/>
            <w:shd w:val="clear" w:color="auto" w:fill="EFE2E7" w:themeFill="text1" w:themeFillTint="1A"/>
            <w:vAlign w:val="center"/>
          </w:tcPr>
          <w:p w14:paraId="4EA724DA" w14:textId="77777777" w:rsidR="00FF59D2" w:rsidRPr="00594ED8" w:rsidRDefault="00FF59D2" w:rsidP="00164085">
            <w:pPr>
              <w:spacing w:after="0" w:line="240" w:lineRule="auto"/>
              <w:rPr>
                <w:rFonts w:cs="Arial"/>
                <w:b/>
                <w:bCs/>
                <w:color w:val="000000"/>
                <w:sz w:val="18"/>
                <w:szCs w:val="18"/>
              </w:rPr>
            </w:pPr>
            <w:r w:rsidRPr="00594ED8">
              <w:rPr>
                <w:b/>
                <w:bCs/>
                <w:sz w:val="18"/>
                <w:szCs w:val="18"/>
              </w:rPr>
              <w:t>SA Equity Reference Value</w:t>
            </w:r>
          </w:p>
        </w:tc>
        <w:tc>
          <w:tcPr>
            <w:tcW w:w="1513" w:type="dxa"/>
            <w:shd w:val="clear" w:color="auto" w:fill="EFE2E7" w:themeFill="text1" w:themeFillTint="1A"/>
            <w:vAlign w:val="center"/>
          </w:tcPr>
          <w:p w14:paraId="7D3DAE16"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30.0</w:t>
            </w:r>
          </w:p>
        </w:tc>
        <w:tc>
          <w:tcPr>
            <w:tcW w:w="1513" w:type="dxa"/>
            <w:shd w:val="clear" w:color="auto" w:fill="EFE2E7" w:themeFill="text1" w:themeFillTint="1A"/>
            <w:vAlign w:val="center"/>
          </w:tcPr>
          <w:p w14:paraId="424C7B9A"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25.3</w:t>
            </w:r>
          </w:p>
        </w:tc>
        <w:tc>
          <w:tcPr>
            <w:tcW w:w="1513" w:type="dxa"/>
            <w:shd w:val="clear" w:color="auto" w:fill="EFE2E7" w:themeFill="text1" w:themeFillTint="1A"/>
            <w:vAlign w:val="center"/>
          </w:tcPr>
          <w:p w14:paraId="0B2E954C"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2.6</w:t>
            </w:r>
          </w:p>
        </w:tc>
        <w:tc>
          <w:tcPr>
            <w:tcW w:w="1513" w:type="dxa"/>
            <w:shd w:val="clear" w:color="auto" w:fill="EFE2E7" w:themeFill="text1" w:themeFillTint="1A"/>
            <w:vAlign w:val="center"/>
          </w:tcPr>
          <w:p w14:paraId="152229A0"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1F3C330E" w14:textId="77777777" w:rsidTr="00164085">
        <w:trPr>
          <w:trHeight w:val="315"/>
        </w:trPr>
        <w:tc>
          <w:tcPr>
            <w:tcW w:w="2972" w:type="dxa"/>
            <w:shd w:val="clear" w:color="000000" w:fill="FFFFFF"/>
            <w:vAlign w:val="center"/>
          </w:tcPr>
          <w:p w14:paraId="546EFF40"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Flinders University</w:t>
            </w:r>
          </w:p>
        </w:tc>
        <w:tc>
          <w:tcPr>
            <w:tcW w:w="1513" w:type="dxa"/>
            <w:shd w:val="clear" w:color="000000" w:fill="FFFFFF"/>
            <w:vAlign w:val="center"/>
          </w:tcPr>
          <w:p w14:paraId="41430CE5" w14:textId="77777777" w:rsidR="00FF59D2" w:rsidRPr="006861D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17.2 </w:t>
            </w:r>
          </w:p>
        </w:tc>
        <w:tc>
          <w:tcPr>
            <w:tcW w:w="1513" w:type="dxa"/>
            <w:shd w:val="clear" w:color="000000" w:fill="FFFFFF"/>
            <w:vAlign w:val="center"/>
          </w:tcPr>
          <w:p w14:paraId="44529471" w14:textId="77777777" w:rsidR="00FF59D2" w:rsidRPr="006861D0" w:rsidRDefault="00FF59D2" w:rsidP="00164085">
            <w:pPr>
              <w:spacing w:after="0" w:line="240" w:lineRule="auto"/>
              <w:ind w:right="411"/>
              <w:jc w:val="right"/>
              <w:rPr>
                <w:rFonts w:cs="Arial"/>
                <w:color w:val="000000"/>
                <w:sz w:val="18"/>
                <w:szCs w:val="18"/>
                <w:lang w:eastAsia="en-AU"/>
              </w:rPr>
            </w:pPr>
            <w:r w:rsidRPr="006861D0">
              <w:rPr>
                <w:rFonts w:cs="Arial"/>
                <w:color w:val="000000"/>
                <w:sz w:val="18"/>
                <w:szCs w:val="18"/>
              </w:rPr>
              <w:t>20.0</w:t>
            </w:r>
          </w:p>
        </w:tc>
        <w:tc>
          <w:tcPr>
            <w:tcW w:w="1513" w:type="dxa"/>
            <w:shd w:val="clear" w:color="000000" w:fill="FFFFFF"/>
            <w:vAlign w:val="center"/>
          </w:tcPr>
          <w:p w14:paraId="2F15986E" w14:textId="77777777" w:rsidR="00FF59D2" w:rsidRPr="006861D0" w:rsidRDefault="00FF59D2" w:rsidP="00164085">
            <w:pPr>
              <w:spacing w:after="0" w:line="240" w:lineRule="auto"/>
              <w:ind w:right="411"/>
              <w:jc w:val="right"/>
              <w:rPr>
                <w:rFonts w:cs="Arial"/>
                <w:color w:val="000000"/>
                <w:sz w:val="18"/>
                <w:szCs w:val="18"/>
                <w:lang w:eastAsia="en-AU"/>
              </w:rPr>
            </w:pPr>
            <w:r w:rsidRPr="006861D0">
              <w:rPr>
                <w:rFonts w:cs="Arial"/>
                <w:color w:val="000000"/>
                <w:sz w:val="18"/>
                <w:szCs w:val="18"/>
              </w:rPr>
              <w:t>1.1</w:t>
            </w:r>
          </w:p>
        </w:tc>
        <w:tc>
          <w:tcPr>
            <w:tcW w:w="1513" w:type="dxa"/>
            <w:shd w:val="clear" w:color="000000" w:fill="FFFFFF"/>
            <w:vAlign w:val="center"/>
          </w:tcPr>
          <w:p w14:paraId="6A858495" w14:textId="77777777" w:rsidR="00FF59D2" w:rsidRPr="006861D0" w:rsidRDefault="00FF59D2" w:rsidP="00164085">
            <w:pPr>
              <w:spacing w:after="0" w:line="240" w:lineRule="auto"/>
              <w:ind w:right="411"/>
              <w:jc w:val="right"/>
              <w:rPr>
                <w:rFonts w:cs="Arial"/>
                <w:color w:val="000000"/>
                <w:sz w:val="18"/>
                <w:szCs w:val="18"/>
              </w:rPr>
            </w:pPr>
            <w:r w:rsidRPr="006861D0">
              <w:rPr>
                <w:rFonts w:cs="Arial"/>
                <w:color w:val="000000"/>
                <w:sz w:val="18"/>
                <w:szCs w:val="18"/>
              </w:rPr>
              <w:t>5.4</w:t>
            </w:r>
          </w:p>
        </w:tc>
      </w:tr>
      <w:tr w:rsidR="00FF59D2" w:rsidRPr="005C5A70" w14:paraId="78A1DC8C" w14:textId="77777777" w:rsidTr="00160B8E">
        <w:trPr>
          <w:trHeight w:val="315"/>
        </w:trPr>
        <w:tc>
          <w:tcPr>
            <w:tcW w:w="2972" w:type="dxa"/>
            <w:shd w:val="clear" w:color="auto" w:fill="auto"/>
            <w:vAlign w:val="center"/>
          </w:tcPr>
          <w:p w14:paraId="637F5B47"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The University of Adelaide</w:t>
            </w:r>
          </w:p>
        </w:tc>
        <w:tc>
          <w:tcPr>
            <w:tcW w:w="1513" w:type="dxa"/>
            <w:shd w:val="clear" w:color="auto" w:fill="auto"/>
            <w:vAlign w:val="center"/>
          </w:tcPr>
          <w:p w14:paraId="27DD9FAA" w14:textId="77777777" w:rsidR="00FF59D2" w:rsidRPr="006861D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14.9 </w:t>
            </w:r>
          </w:p>
        </w:tc>
        <w:tc>
          <w:tcPr>
            <w:tcW w:w="1513" w:type="dxa"/>
            <w:shd w:val="clear" w:color="auto" w:fill="auto"/>
            <w:vAlign w:val="center"/>
          </w:tcPr>
          <w:p w14:paraId="7C4313AC" w14:textId="77777777" w:rsidR="00FF59D2" w:rsidRPr="006861D0" w:rsidRDefault="00FF59D2" w:rsidP="00164085">
            <w:pPr>
              <w:spacing w:after="0" w:line="240" w:lineRule="auto"/>
              <w:ind w:right="411"/>
              <w:jc w:val="right"/>
              <w:rPr>
                <w:rFonts w:cs="Arial"/>
                <w:color w:val="000000"/>
                <w:sz w:val="18"/>
                <w:szCs w:val="18"/>
                <w:lang w:eastAsia="en-AU"/>
              </w:rPr>
            </w:pPr>
            <w:r w:rsidRPr="006861D0">
              <w:rPr>
                <w:rFonts w:cs="Arial"/>
                <w:color w:val="000000"/>
                <w:sz w:val="18"/>
                <w:szCs w:val="18"/>
              </w:rPr>
              <w:t>12.0</w:t>
            </w:r>
          </w:p>
        </w:tc>
        <w:tc>
          <w:tcPr>
            <w:tcW w:w="1513" w:type="dxa"/>
            <w:shd w:val="clear" w:color="auto" w:fill="auto"/>
            <w:vAlign w:val="center"/>
          </w:tcPr>
          <w:p w14:paraId="3456A24C" w14:textId="77777777" w:rsidR="00FF59D2" w:rsidRPr="006861D0" w:rsidRDefault="00FF59D2" w:rsidP="00164085">
            <w:pPr>
              <w:spacing w:after="0" w:line="240" w:lineRule="auto"/>
              <w:ind w:right="411"/>
              <w:jc w:val="right"/>
              <w:rPr>
                <w:rFonts w:cs="Arial"/>
                <w:color w:val="000000"/>
                <w:sz w:val="18"/>
                <w:szCs w:val="18"/>
                <w:lang w:eastAsia="en-AU"/>
              </w:rPr>
            </w:pPr>
            <w:r w:rsidRPr="006861D0">
              <w:rPr>
                <w:rFonts w:cs="Arial"/>
                <w:color w:val="000000"/>
                <w:sz w:val="18"/>
                <w:szCs w:val="18"/>
              </w:rPr>
              <w:t>1.0</w:t>
            </w:r>
          </w:p>
        </w:tc>
        <w:tc>
          <w:tcPr>
            <w:tcW w:w="1513" w:type="dxa"/>
            <w:shd w:val="clear" w:color="auto" w:fill="auto"/>
            <w:vAlign w:val="center"/>
          </w:tcPr>
          <w:p w14:paraId="7A9D1E57" w14:textId="77777777" w:rsidR="00FF59D2" w:rsidRPr="006861D0" w:rsidRDefault="00FF59D2" w:rsidP="00164085">
            <w:pPr>
              <w:spacing w:after="0" w:line="240" w:lineRule="auto"/>
              <w:ind w:right="411"/>
              <w:jc w:val="right"/>
              <w:rPr>
                <w:rFonts w:cs="Arial"/>
                <w:color w:val="000000"/>
                <w:sz w:val="18"/>
                <w:szCs w:val="18"/>
              </w:rPr>
            </w:pPr>
            <w:r w:rsidRPr="006861D0">
              <w:rPr>
                <w:rFonts w:cs="Arial"/>
                <w:color w:val="000000"/>
                <w:sz w:val="18"/>
                <w:szCs w:val="18"/>
              </w:rPr>
              <w:t>10.8</w:t>
            </w:r>
          </w:p>
        </w:tc>
      </w:tr>
      <w:tr w:rsidR="00FF59D2" w:rsidRPr="005C5A70" w14:paraId="1BEB6927" w14:textId="77777777" w:rsidTr="00160B8E">
        <w:trPr>
          <w:trHeight w:val="315"/>
        </w:trPr>
        <w:tc>
          <w:tcPr>
            <w:tcW w:w="2972" w:type="dxa"/>
            <w:shd w:val="clear" w:color="auto" w:fill="auto"/>
            <w:vAlign w:val="center"/>
          </w:tcPr>
          <w:p w14:paraId="7496EB41"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University of South Australia</w:t>
            </w:r>
          </w:p>
        </w:tc>
        <w:tc>
          <w:tcPr>
            <w:tcW w:w="1513" w:type="dxa"/>
            <w:shd w:val="clear" w:color="auto" w:fill="auto"/>
            <w:vAlign w:val="center"/>
          </w:tcPr>
          <w:p w14:paraId="5CCC1B51" w14:textId="77777777" w:rsidR="00FF59D2" w:rsidRPr="006861D0"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24 </w:t>
            </w:r>
          </w:p>
        </w:tc>
        <w:tc>
          <w:tcPr>
            <w:tcW w:w="1513" w:type="dxa"/>
            <w:shd w:val="clear" w:color="auto" w:fill="auto"/>
            <w:vAlign w:val="center"/>
          </w:tcPr>
          <w:p w14:paraId="1D40D243" w14:textId="77777777" w:rsidR="00FF59D2" w:rsidRPr="006861D0" w:rsidRDefault="00FF59D2" w:rsidP="00164085">
            <w:pPr>
              <w:spacing w:after="0" w:line="240" w:lineRule="auto"/>
              <w:ind w:right="411"/>
              <w:jc w:val="right"/>
              <w:rPr>
                <w:rFonts w:cs="Arial"/>
                <w:color w:val="000000"/>
                <w:sz w:val="18"/>
                <w:szCs w:val="18"/>
                <w:lang w:eastAsia="en-AU"/>
              </w:rPr>
            </w:pPr>
            <w:r w:rsidRPr="006861D0">
              <w:rPr>
                <w:rFonts w:cs="Arial"/>
                <w:color w:val="000000"/>
                <w:sz w:val="18"/>
                <w:szCs w:val="18"/>
              </w:rPr>
              <w:t>16.0</w:t>
            </w:r>
          </w:p>
        </w:tc>
        <w:tc>
          <w:tcPr>
            <w:tcW w:w="1513" w:type="dxa"/>
            <w:shd w:val="clear" w:color="auto" w:fill="auto"/>
            <w:vAlign w:val="center"/>
          </w:tcPr>
          <w:p w14:paraId="5ACF1407" w14:textId="77777777" w:rsidR="00FF59D2" w:rsidRPr="006861D0" w:rsidRDefault="00FF59D2" w:rsidP="00164085">
            <w:pPr>
              <w:spacing w:after="0" w:line="240" w:lineRule="auto"/>
              <w:ind w:right="411"/>
              <w:jc w:val="right"/>
              <w:rPr>
                <w:rFonts w:cs="Arial"/>
                <w:color w:val="000000"/>
                <w:sz w:val="18"/>
                <w:szCs w:val="18"/>
                <w:lang w:eastAsia="en-AU"/>
              </w:rPr>
            </w:pPr>
            <w:r w:rsidRPr="006861D0">
              <w:rPr>
                <w:rFonts w:cs="Arial"/>
                <w:color w:val="000000"/>
                <w:sz w:val="18"/>
                <w:szCs w:val="18"/>
              </w:rPr>
              <w:t>1.1</w:t>
            </w:r>
          </w:p>
        </w:tc>
        <w:tc>
          <w:tcPr>
            <w:tcW w:w="1513" w:type="dxa"/>
            <w:shd w:val="clear" w:color="auto" w:fill="auto"/>
            <w:vAlign w:val="center"/>
          </w:tcPr>
          <w:p w14:paraId="55403984" w14:textId="77777777" w:rsidR="00FF59D2" w:rsidRPr="006861D0" w:rsidRDefault="00FF59D2" w:rsidP="00164085">
            <w:pPr>
              <w:spacing w:after="0" w:line="240" w:lineRule="auto"/>
              <w:ind w:right="411"/>
              <w:jc w:val="right"/>
              <w:rPr>
                <w:rFonts w:cs="Arial"/>
                <w:color w:val="000000"/>
                <w:sz w:val="18"/>
                <w:szCs w:val="18"/>
              </w:rPr>
            </w:pPr>
            <w:r w:rsidRPr="006861D0">
              <w:rPr>
                <w:rFonts w:cs="Arial"/>
                <w:color w:val="000000"/>
                <w:sz w:val="18"/>
                <w:szCs w:val="18"/>
              </w:rPr>
              <w:t>13.1</w:t>
            </w:r>
          </w:p>
        </w:tc>
      </w:tr>
    </w:tbl>
    <w:p w14:paraId="312DBBBC"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4287E879" w14:textId="77777777" w:rsidR="00FF59D2" w:rsidRDefault="00FF59D2" w:rsidP="00FF59D2"/>
    <w:p w14:paraId="72EE473D"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B6:  </w:t>
      </w:r>
      <w:r>
        <w:rPr>
          <w:rFonts w:cstheme="minorHAnsi"/>
          <w:color w:val="000000"/>
          <w:sz w:val="18"/>
          <w:szCs w:val="18"/>
          <w:lang w:eastAsia="en-AU"/>
        </w:rPr>
        <w:t xml:space="preserve">Tasmania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62E3EE46" w14:textId="77777777" w:rsidTr="00160B8E">
        <w:trPr>
          <w:trHeight w:val="315"/>
        </w:trPr>
        <w:tc>
          <w:tcPr>
            <w:tcW w:w="2972" w:type="dxa"/>
            <w:shd w:val="clear" w:color="auto" w:fill="auto"/>
            <w:hideMark/>
          </w:tcPr>
          <w:p w14:paraId="3A2FF4D5"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5CD06B04"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42A657E9"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02876F39"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20C28E90"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42B12F3B" w14:textId="77777777" w:rsidTr="00160B8E">
        <w:trPr>
          <w:trHeight w:val="315"/>
        </w:trPr>
        <w:tc>
          <w:tcPr>
            <w:tcW w:w="2972" w:type="dxa"/>
            <w:shd w:val="clear" w:color="auto" w:fill="EFE2E7" w:themeFill="text1" w:themeFillTint="1A"/>
            <w:vAlign w:val="center"/>
          </w:tcPr>
          <w:p w14:paraId="5D38DA9B" w14:textId="77777777" w:rsidR="00FF59D2" w:rsidRPr="00594ED8" w:rsidRDefault="00FF59D2" w:rsidP="00164085">
            <w:pPr>
              <w:spacing w:after="0" w:line="240" w:lineRule="auto"/>
              <w:rPr>
                <w:rFonts w:cs="Arial"/>
                <w:b/>
                <w:bCs/>
                <w:color w:val="000000"/>
                <w:sz w:val="18"/>
                <w:szCs w:val="18"/>
              </w:rPr>
            </w:pPr>
            <w:r w:rsidRPr="00594ED8">
              <w:rPr>
                <w:b/>
                <w:bCs/>
                <w:sz w:val="18"/>
                <w:szCs w:val="18"/>
              </w:rPr>
              <w:t>TAS Equity Reference Value</w:t>
            </w:r>
          </w:p>
        </w:tc>
        <w:tc>
          <w:tcPr>
            <w:tcW w:w="1513" w:type="dxa"/>
            <w:shd w:val="clear" w:color="auto" w:fill="EFE2E7" w:themeFill="text1" w:themeFillTint="1A"/>
            <w:vAlign w:val="center"/>
          </w:tcPr>
          <w:p w14:paraId="69274AB7"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42.3</w:t>
            </w:r>
          </w:p>
        </w:tc>
        <w:tc>
          <w:tcPr>
            <w:tcW w:w="1513" w:type="dxa"/>
            <w:shd w:val="clear" w:color="auto" w:fill="EFE2E7" w:themeFill="text1" w:themeFillTint="1A"/>
            <w:vAlign w:val="center"/>
          </w:tcPr>
          <w:p w14:paraId="236A4997"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100.0</w:t>
            </w:r>
          </w:p>
        </w:tc>
        <w:tc>
          <w:tcPr>
            <w:tcW w:w="1513" w:type="dxa"/>
            <w:shd w:val="clear" w:color="auto" w:fill="EFE2E7" w:themeFill="text1" w:themeFillTint="1A"/>
            <w:vAlign w:val="center"/>
          </w:tcPr>
          <w:p w14:paraId="3F95EA0A"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5.5</w:t>
            </w:r>
          </w:p>
        </w:tc>
        <w:tc>
          <w:tcPr>
            <w:tcW w:w="1513" w:type="dxa"/>
            <w:shd w:val="clear" w:color="auto" w:fill="EFE2E7" w:themeFill="text1" w:themeFillTint="1A"/>
            <w:vAlign w:val="center"/>
          </w:tcPr>
          <w:p w14:paraId="754066B5"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6D2157DF" w14:textId="77777777" w:rsidTr="00164085">
        <w:trPr>
          <w:trHeight w:val="315"/>
        </w:trPr>
        <w:tc>
          <w:tcPr>
            <w:tcW w:w="2972" w:type="dxa"/>
            <w:shd w:val="clear" w:color="000000" w:fill="FFFFFF"/>
            <w:vAlign w:val="center"/>
          </w:tcPr>
          <w:p w14:paraId="226DBF7B" w14:textId="77777777" w:rsidR="00FF59D2" w:rsidRPr="007D4717" w:rsidRDefault="00FF59D2" w:rsidP="00164085">
            <w:pPr>
              <w:spacing w:after="0" w:line="240" w:lineRule="auto"/>
              <w:rPr>
                <w:rFonts w:cs="Arial"/>
                <w:color w:val="000000"/>
                <w:sz w:val="18"/>
                <w:szCs w:val="18"/>
                <w:lang w:eastAsia="en-AU"/>
              </w:rPr>
            </w:pPr>
            <w:r w:rsidRPr="007D4717">
              <w:rPr>
                <w:rFonts w:cs="Arial"/>
                <w:color w:val="000000"/>
                <w:sz w:val="18"/>
                <w:szCs w:val="18"/>
              </w:rPr>
              <w:t>University</w:t>
            </w:r>
            <w:r>
              <w:rPr>
                <w:rFonts w:cs="Arial"/>
                <w:color w:val="000000"/>
                <w:sz w:val="18"/>
                <w:szCs w:val="18"/>
              </w:rPr>
              <w:t xml:space="preserve"> of Tasmania</w:t>
            </w:r>
          </w:p>
        </w:tc>
        <w:tc>
          <w:tcPr>
            <w:tcW w:w="1513" w:type="dxa"/>
            <w:shd w:val="clear" w:color="000000" w:fill="FFFFFF"/>
            <w:vAlign w:val="center"/>
          </w:tcPr>
          <w:p w14:paraId="67578B60" w14:textId="77777777" w:rsidR="00FF59D2" w:rsidRPr="006B69C8"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20.8 </w:t>
            </w:r>
          </w:p>
        </w:tc>
        <w:tc>
          <w:tcPr>
            <w:tcW w:w="1513" w:type="dxa"/>
            <w:shd w:val="clear" w:color="000000" w:fill="FFFFFF"/>
            <w:vAlign w:val="center"/>
          </w:tcPr>
          <w:p w14:paraId="248ADCD6" w14:textId="77777777" w:rsidR="00FF59D2" w:rsidRPr="006B69C8" w:rsidRDefault="00FF59D2" w:rsidP="00164085">
            <w:pPr>
              <w:spacing w:after="0" w:line="240" w:lineRule="auto"/>
              <w:ind w:right="411"/>
              <w:jc w:val="right"/>
              <w:rPr>
                <w:rFonts w:cs="Arial"/>
                <w:color w:val="000000"/>
                <w:sz w:val="18"/>
                <w:szCs w:val="18"/>
                <w:lang w:eastAsia="en-AU"/>
              </w:rPr>
            </w:pPr>
            <w:r w:rsidRPr="006B69C8">
              <w:rPr>
                <w:rFonts w:cs="Arial"/>
                <w:color w:val="000000"/>
                <w:sz w:val="18"/>
                <w:szCs w:val="18"/>
              </w:rPr>
              <w:t>56.2</w:t>
            </w:r>
          </w:p>
        </w:tc>
        <w:tc>
          <w:tcPr>
            <w:tcW w:w="1513" w:type="dxa"/>
            <w:shd w:val="clear" w:color="000000" w:fill="FFFFFF"/>
            <w:vAlign w:val="center"/>
          </w:tcPr>
          <w:p w14:paraId="7E46B3FD" w14:textId="77777777" w:rsidR="00FF59D2" w:rsidRPr="006B69C8" w:rsidRDefault="00FF59D2" w:rsidP="00164085">
            <w:pPr>
              <w:spacing w:after="0" w:line="240" w:lineRule="auto"/>
              <w:ind w:right="411"/>
              <w:jc w:val="right"/>
              <w:rPr>
                <w:rFonts w:cs="Arial"/>
                <w:color w:val="000000"/>
                <w:sz w:val="18"/>
                <w:szCs w:val="18"/>
                <w:lang w:eastAsia="en-AU"/>
              </w:rPr>
            </w:pPr>
            <w:r w:rsidRPr="006B69C8">
              <w:rPr>
                <w:rFonts w:cs="Arial"/>
                <w:color w:val="000000"/>
                <w:sz w:val="18"/>
                <w:szCs w:val="18"/>
              </w:rPr>
              <w:t>2.0</w:t>
            </w:r>
          </w:p>
        </w:tc>
        <w:tc>
          <w:tcPr>
            <w:tcW w:w="1513" w:type="dxa"/>
            <w:shd w:val="clear" w:color="000000" w:fill="FFFFFF"/>
            <w:vAlign w:val="center"/>
          </w:tcPr>
          <w:p w14:paraId="7973DE3A" w14:textId="77777777" w:rsidR="00FF59D2" w:rsidRPr="006B69C8" w:rsidRDefault="00FF59D2" w:rsidP="00164085">
            <w:pPr>
              <w:spacing w:after="0" w:line="240" w:lineRule="auto"/>
              <w:ind w:right="411"/>
              <w:jc w:val="right"/>
              <w:rPr>
                <w:rFonts w:cs="Arial"/>
                <w:color w:val="000000"/>
                <w:sz w:val="18"/>
                <w:szCs w:val="18"/>
              </w:rPr>
            </w:pPr>
            <w:r w:rsidRPr="006B69C8">
              <w:rPr>
                <w:rFonts w:cs="Arial"/>
                <w:color w:val="000000"/>
                <w:sz w:val="18"/>
                <w:szCs w:val="18"/>
              </w:rPr>
              <w:t>4.9</w:t>
            </w:r>
          </w:p>
        </w:tc>
      </w:tr>
    </w:tbl>
    <w:p w14:paraId="3334E925"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0FE0EFE9" w14:textId="77777777" w:rsidR="00FF59D2" w:rsidRDefault="00FF59D2" w:rsidP="00FF59D2">
      <w:r>
        <w:br w:type="page"/>
      </w:r>
    </w:p>
    <w:p w14:paraId="43606B5A"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lastRenderedPageBreak/>
        <w:t xml:space="preserve">Table </w:t>
      </w:r>
      <w:r>
        <w:rPr>
          <w:rFonts w:cstheme="minorHAnsi"/>
          <w:b/>
          <w:bCs/>
          <w:color w:val="000000"/>
          <w:sz w:val="18"/>
          <w:szCs w:val="18"/>
          <w:lang w:eastAsia="en-AU"/>
        </w:rPr>
        <w:t xml:space="preserve">B7:  </w:t>
      </w:r>
      <w:r>
        <w:rPr>
          <w:rFonts w:cstheme="minorHAnsi"/>
          <w:color w:val="000000"/>
          <w:sz w:val="18"/>
          <w:szCs w:val="18"/>
          <w:lang w:eastAsia="en-AU"/>
        </w:rPr>
        <w:t xml:space="preserve">Northern Territory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10047862" w14:textId="77777777" w:rsidTr="00160B8E">
        <w:trPr>
          <w:trHeight w:val="315"/>
        </w:trPr>
        <w:tc>
          <w:tcPr>
            <w:tcW w:w="2972" w:type="dxa"/>
            <w:shd w:val="clear" w:color="auto" w:fill="auto"/>
            <w:hideMark/>
          </w:tcPr>
          <w:p w14:paraId="65032DE4"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460467A2"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32088998"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0C935A99"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0C0752E9"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5FD2AEAE" w14:textId="77777777" w:rsidTr="00160B8E">
        <w:trPr>
          <w:trHeight w:val="315"/>
        </w:trPr>
        <w:tc>
          <w:tcPr>
            <w:tcW w:w="2972" w:type="dxa"/>
            <w:shd w:val="clear" w:color="auto" w:fill="EFE2E7" w:themeFill="text1" w:themeFillTint="1A"/>
            <w:vAlign w:val="center"/>
          </w:tcPr>
          <w:p w14:paraId="168B02DF" w14:textId="77777777" w:rsidR="00FF59D2" w:rsidRPr="00594ED8" w:rsidRDefault="00FF59D2" w:rsidP="00164085">
            <w:pPr>
              <w:spacing w:after="0" w:line="240" w:lineRule="auto"/>
              <w:rPr>
                <w:rFonts w:cs="Arial"/>
                <w:b/>
                <w:bCs/>
                <w:color w:val="000000"/>
                <w:sz w:val="18"/>
                <w:szCs w:val="18"/>
              </w:rPr>
            </w:pPr>
            <w:r w:rsidRPr="00594ED8">
              <w:rPr>
                <w:rFonts w:cs="Arial"/>
                <w:b/>
                <w:bCs/>
                <w:color w:val="000000"/>
                <w:sz w:val="18"/>
                <w:szCs w:val="18"/>
              </w:rPr>
              <w:t xml:space="preserve">NT </w:t>
            </w:r>
            <w:r w:rsidRPr="00594ED8">
              <w:rPr>
                <w:b/>
                <w:bCs/>
                <w:sz w:val="18"/>
                <w:szCs w:val="18"/>
              </w:rPr>
              <w:t>Equity</w:t>
            </w:r>
            <w:r w:rsidRPr="00594ED8">
              <w:rPr>
                <w:rFonts w:cs="Arial"/>
                <w:b/>
                <w:bCs/>
                <w:color w:val="000000"/>
                <w:sz w:val="18"/>
                <w:szCs w:val="18"/>
              </w:rPr>
              <w:t xml:space="preserve"> Reference </w:t>
            </w:r>
            <w:r w:rsidRPr="00594ED8">
              <w:rPr>
                <w:b/>
                <w:bCs/>
                <w:sz w:val="18"/>
                <w:szCs w:val="18"/>
              </w:rPr>
              <w:t>Value</w:t>
            </w:r>
          </w:p>
        </w:tc>
        <w:tc>
          <w:tcPr>
            <w:tcW w:w="1513" w:type="dxa"/>
            <w:shd w:val="clear" w:color="auto" w:fill="EFE2E7" w:themeFill="text1" w:themeFillTint="1A"/>
            <w:vAlign w:val="center"/>
          </w:tcPr>
          <w:p w14:paraId="6DF9F27C"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23.1</w:t>
            </w:r>
          </w:p>
        </w:tc>
        <w:tc>
          <w:tcPr>
            <w:tcW w:w="1513" w:type="dxa"/>
            <w:shd w:val="clear" w:color="auto" w:fill="EFE2E7" w:themeFill="text1" w:themeFillTint="1A"/>
            <w:vAlign w:val="center"/>
          </w:tcPr>
          <w:p w14:paraId="28D87835"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100.0</w:t>
            </w:r>
          </w:p>
        </w:tc>
        <w:tc>
          <w:tcPr>
            <w:tcW w:w="1513" w:type="dxa"/>
            <w:shd w:val="clear" w:color="auto" w:fill="EFE2E7" w:themeFill="text1" w:themeFillTint="1A"/>
            <w:vAlign w:val="center"/>
          </w:tcPr>
          <w:p w14:paraId="13885828"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31.3</w:t>
            </w:r>
          </w:p>
        </w:tc>
        <w:tc>
          <w:tcPr>
            <w:tcW w:w="1513" w:type="dxa"/>
            <w:shd w:val="clear" w:color="auto" w:fill="EFE2E7" w:themeFill="text1" w:themeFillTint="1A"/>
            <w:vAlign w:val="center"/>
          </w:tcPr>
          <w:p w14:paraId="70AAB445"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09308AF2" w14:textId="77777777" w:rsidTr="00164085">
        <w:trPr>
          <w:trHeight w:val="315"/>
        </w:trPr>
        <w:tc>
          <w:tcPr>
            <w:tcW w:w="2972" w:type="dxa"/>
            <w:shd w:val="clear" w:color="000000" w:fill="FFFFFF"/>
            <w:vAlign w:val="center"/>
          </w:tcPr>
          <w:p w14:paraId="30842D8B" w14:textId="77777777" w:rsidR="00FF59D2" w:rsidRPr="007D4717" w:rsidRDefault="00FF59D2" w:rsidP="00164085">
            <w:pPr>
              <w:spacing w:after="0" w:line="240" w:lineRule="auto"/>
              <w:rPr>
                <w:rFonts w:cs="Arial"/>
                <w:color w:val="000000"/>
                <w:sz w:val="18"/>
                <w:szCs w:val="18"/>
                <w:lang w:eastAsia="en-AU"/>
              </w:rPr>
            </w:pPr>
            <w:r>
              <w:rPr>
                <w:rFonts w:cs="Arial"/>
                <w:color w:val="000000"/>
                <w:sz w:val="18"/>
                <w:szCs w:val="18"/>
              </w:rPr>
              <w:t xml:space="preserve">Charles Darwin University </w:t>
            </w:r>
          </w:p>
        </w:tc>
        <w:tc>
          <w:tcPr>
            <w:tcW w:w="1513" w:type="dxa"/>
            <w:shd w:val="clear" w:color="000000" w:fill="FFFFFF"/>
            <w:vAlign w:val="center"/>
          </w:tcPr>
          <w:p w14:paraId="59D3E94A" w14:textId="77777777" w:rsidR="00FF59D2" w:rsidRPr="00DC39F6"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16.8 </w:t>
            </w:r>
          </w:p>
        </w:tc>
        <w:tc>
          <w:tcPr>
            <w:tcW w:w="1513" w:type="dxa"/>
            <w:shd w:val="clear" w:color="000000" w:fill="FFFFFF"/>
            <w:vAlign w:val="center"/>
          </w:tcPr>
          <w:p w14:paraId="31A993C6" w14:textId="77777777" w:rsidR="00FF59D2" w:rsidRPr="00DC39F6" w:rsidRDefault="00FF59D2" w:rsidP="00164085">
            <w:pPr>
              <w:spacing w:after="0" w:line="240" w:lineRule="auto"/>
              <w:ind w:right="411"/>
              <w:jc w:val="right"/>
              <w:rPr>
                <w:rFonts w:cs="Arial"/>
                <w:color w:val="000000"/>
                <w:sz w:val="18"/>
                <w:szCs w:val="18"/>
                <w:lang w:eastAsia="en-AU"/>
              </w:rPr>
            </w:pPr>
            <w:r w:rsidRPr="00DC39F6">
              <w:rPr>
                <w:rFonts w:cs="Arial"/>
                <w:color w:val="000000"/>
                <w:sz w:val="18"/>
                <w:szCs w:val="18"/>
              </w:rPr>
              <w:t>61.2</w:t>
            </w:r>
          </w:p>
        </w:tc>
        <w:tc>
          <w:tcPr>
            <w:tcW w:w="1513" w:type="dxa"/>
            <w:shd w:val="clear" w:color="000000" w:fill="FFFFFF"/>
            <w:vAlign w:val="center"/>
          </w:tcPr>
          <w:p w14:paraId="5196EF3E" w14:textId="77777777" w:rsidR="00FF59D2" w:rsidRPr="00DC39F6" w:rsidRDefault="00FF59D2" w:rsidP="00164085">
            <w:pPr>
              <w:spacing w:after="0" w:line="240" w:lineRule="auto"/>
              <w:ind w:right="411"/>
              <w:jc w:val="right"/>
              <w:rPr>
                <w:rFonts w:cs="Arial"/>
                <w:color w:val="000000"/>
                <w:sz w:val="18"/>
                <w:szCs w:val="18"/>
                <w:lang w:eastAsia="en-AU"/>
              </w:rPr>
            </w:pPr>
            <w:r w:rsidRPr="00DC39F6">
              <w:rPr>
                <w:rFonts w:cs="Arial"/>
                <w:color w:val="000000"/>
                <w:sz w:val="18"/>
                <w:szCs w:val="18"/>
              </w:rPr>
              <w:t>4.9</w:t>
            </w:r>
          </w:p>
        </w:tc>
        <w:tc>
          <w:tcPr>
            <w:tcW w:w="1513" w:type="dxa"/>
            <w:shd w:val="clear" w:color="000000" w:fill="FFFFFF"/>
            <w:vAlign w:val="center"/>
          </w:tcPr>
          <w:p w14:paraId="2664EEF9" w14:textId="77777777" w:rsidR="00FF59D2" w:rsidRPr="00DC39F6" w:rsidRDefault="00FF59D2" w:rsidP="00164085">
            <w:pPr>
              <w:spacing w:after="0" w:line="240" w:lineRule="auto"/>
              <w:ind w:right="411"/>
              <w:jc w:val="right"/>
              <w:rPr>
                <w:rFonts w:cs="Arial"/>
                <w:color w:val="000000"/>
                <w:sz w:val="18"/>
                <w:szCs w:val="18"/>
              </w:rPr>
            </w:pPr>
            <w:r w:rsidRPr="00DC39F6">
              <w:rPr>
                <w:rFonts w:cs="Arial"/>
                <w:color w:val="000000"/>
                <w:sz w:val="18"/>
                <w:szCs w:val="18"/>
              </w:rPr>
              <w:t>8.2</w:t>
            </w:r>
          </w:p>
        </w:tc>
      </w:tr>
    </w:tbl>
    <w:p w14:paraId="264F1A24"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43AAA1B5" w14:textId="77777777" w:rsidR="00FF59D2" w:rsidRDefault="00FF59D2" w:rsidP="00FF59D2"/>
    <w:p w14:paraId="040A734D"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B8:  </w:t>
      </w:r>
      <w:r>
        <w:rPr>
          <w:rFonts w:cstheme="minorHAnsi"/>
          <w:color w:val="000000"/>
          <w:sz w:val="18"/>
          <w:szCs w:val="18"/>
          <w:lang w:eastAsia="en-AU"/>
        </w:rPr>
        <w:t xml:space="preserve">Australian Capital Territory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269B164C" w14:textId="77777777" w:rsidTr="00160B8E">
        <w:trPr>
          <w:trHeight w:val="315"/>
        </w:trPr>
        <w:tc>
          <w:tcPr>
            <w:tcW w:w="2972" w:type="dxa"/>
            <w:shd w:val="clear" w:color="auto" w:fill="auto"/>
            <w:hideMark/>
          </w:tcPr>
          <w:p w14:paraId="1FF5FC95"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3AE7AF07"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653283A5"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5DF1448E"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0BDFDFD8"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532C36A8" w14:textId="77777777" w:rsidTr="00160B8E">
        <w:trPr>
          <w:trHeight w:val="315"/>
        </w:trPr>
        <w:tc>
          <w:tcPr>
            <w:tcW w:w="2972" w:type="dxa"/>
            <w:shd w:val="clear" w:color="auto" w:fill="EFE2E7" w:themeFill="text1" w:themeFillTint="1A"/>
            <w:vAlign w:val="center"/>
          </w:tcPr>
          <w:p w14:paraId="26B31743" w14:textId="77777777" w:rsidR="00FF59D2" w:rsidRPr="00594ED8" w:rsidRDefault="00FF59D2" w:rsidP="00164085">
            <w:pPr>
              <w:spacing w:after="0" w:line="240" w:lineRule="auto"/>
              <w:rPr>
                <w:rFonts w:cs="Arial"/>
                <w:b/>
                <w:bCs/>
                <w:color w:val="000000"/>
                <w:sz w:val="18"/>
                <w:szCs w:val="18"/>
              </w:rPr>
            </w:pPr>
            <w:r w:rsidRPr="00594ED8">
              <w:rPr>
                <w:rFonts w:cs="Arial"/>
                <w:b/>
                <w:bCs/>
                <w:color w:val="000000"/>
                <w:sz w:val="18"/>
                <w:szCs w:val="18"/>
              </w:rPr>
              <w:t xml:space="preserve">ACT </w:t>
            </w:r>
            <w:r w:rsidRPr="00594ED8">
              <w:rPr>
                <w:b/>
                <w:bCs/>
                <w:sz w:val="18"/>
                <w:szCs w:val="18"/>
              </w:rPr>
              <w:t>Equity</w:t>
            </w:r>
            <w:r w:rsidRPr="00594ED8">
              <w:rPr>
                <w:rFonts w:cs="Arial"/>
                <w:b/>
                <w:bCs/>
                <w:color w:val="000000"/>
                <w:sz w:val="18"/>
                <w:szCs w:val="18"/>
              </w:rPr>
              <w:t xml:space="preserve"> Reference </w:t>
            </w:r>
            <w:r w:rsidRPr="00594ED8">
              <w:rPr>
                <w:b/>
                <w:bCs/>
                <w:sz w:val="18"/>
                <w:szCs w:val="18"/>
              </w:rPr>
              <w:t>Value</w:t>
            </w:r>
          </w:p>
        </w:tc>
        <w:tc>
          <w:tcPr>
            <w:tcW w:w="1513" w:type="dxa"/>
            <w:shd w:val="clear" w:color="auto" w:fill="EFE2E7" w:themeFill="text1" w:themeFillTint="1A"/>
            <w:vAlign w:val="center"/>
          </w:tcPr>
          <w:p w14:paraId="3F901AEA"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0.2</w:t>
            </w:r>
          </w:p>
        </w:tc>
        <w:tc>
          <w:tcPr>
            <w:tcW w:w="1513" w:type="dxa"/>
            <w:shd w:val="clear" w:color="auto" w:fill="EFE2E7" w:themeFill="text1" w:themeFillTint="1A"/>
            <w:vAlign w:val="center"/>
          </w:tcPr>
          <w:p w14:paraId="166557FB"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0.1</w:t>
            </w:r>
          </w:p>
        </w:tc>
        <w:tc>
          <w:tcPr>
            <w:tcW w:w="1513" w:type="dxa"/>
            <w:shd w:val="clear" w:color="auto" w:fill="EFE2E7" w:themeFill="text1" w:themeFillTint="1A"/>
            <w:vAlign w:val="center"/>
          </w:tcPr>
          <w:p w14:paraId="48ECEAE9"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1.9</w:t>
            </w:r>
          </w:p>
        </w:tc>
        <w:tc>
          <w:tcPr>
            <w:tcW w:w="1513" w:type="dxa"/>
            <w:shd w:val="clear" w:color="auto" w:fill="EFE2E7" w:themeFill="text1" w:themeFillTint="1A"/>
            <w:vAlign w:val="center"/>
          </w:tcPr>
          <w:p w14:paraId="43FCC55C"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230197BC" w14:textId="77777777" w:rsidTr="00164085">
        <w:trPr>
          <w:trHeight w:val="315"/>
        </w:trPr>
        <w:tc>
          <w:tcPr>
            <w:tcW w:w="2972" w:type="dxa"/>
            <w:shd w:val="clear" w:color="000000" w:fill="FFFFFF"/>
            <w:vAlign w:val="center"/>
          </w:tcPr>
          <w:p w14:paraId="6239BBDF" w14:textId="77777777" w:rsidR="00FF59D2" w:rsidRPr="00791FED" w:rsidRDefault="00FF59D2" w:rsidP="00164085">
            <w:pPr>
              <w:spacing w:after="0" w:line="240" w:lineRule="auto"/>
              <w:rPr>
                <w:rFonts w:cs="Arial"/>
                <w:color w:val="000000"/>
                <w:sz w:val="18"/>
                <w:szCs w:val="18"/>
                <w:lang w:eastAsia="en-AU"/>
              </w:rPr>
            </w:pPr>
            <w:r w:rsidRPr="00791FED">
              <w:rPr>
                <w:rFonts w:cs="Arial"/>
                <w:color w:val="000000"/>
                <w:sz w:val="18"/>
                <w:szCs w:val="18"/>
              </w:rPr>
              <w:t>The Australian National University</w:t>
            </w:r>
          </w:p>
        </w:tc>
        <w:tc>
          <w:tcPr>
            <w:tcW w:w="1513" w:type="dxa"/>
            <w:shd w:val="clear" w:color="000000" w:fill="FFFFFF"/>
            <w:vAlign w:val="center"/>
          </w:tcPr>
          <w:p w14:paraId="5BE948FB" w14:textId="77777777" w:rsidR="00FF59D2" w:rsidRPr="00684B4B"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4.5 </w:t>
            </w:r>
          </w:p>
        </w:tc>
        <w:tc>
          <w:tcPr>
            <w:tcW w:w="1513" w:type="dxa"/>
            <w:shd w:val="clear" w:color="000000" w:fill="FFFFFF"/>
            <w:vAlign w:val="center"/>
          </w:tcPr>
          <w:p w14:paraId="1FA19F66" w14:textId="77777777" w:rsidR="00FF59D2" w:rsidRPr="00684B4B" w:rsidRDefault="00FF59D2" w:rsidP="00164085">
            <w:pPr>
              <w:spacing w:after="0" w:line="240" w:lineRule="auto"/>
              <w:ind w:right="411"/>
              <w:jc w:val="right"/>
              <w:rPr>
                <w:rFonts w:cs="Arial"/>
                <w:color w:val="000000"/>
                <w:sz w:val="18"/>
                <w:szCs w:val="18"/>
                <w:lang w:eastAsia="en-AU"/>
              </w:rPr>
            </w:pPr>
            <w:r w:rsidRPr="00684B4B">
              <w:rPr>
                <w:rFonts w:cs="Arial"/>
                <w:color w:val="000000"/>
                <w:sz w:val="18"/>
                <w:szCs w:val="18"/>
              </w:rPr>
              <w:t>10.7</w:t>
            </w:r>
          </w:p>
        </w:tc>
        <w:tc>
          <w:tcPr>
            <w:tcW w:w="1513" w:type="dxa"/>
            <w:shd w:val="clear" w:color="000000" w:fill="FFFFFF"/>
            <w:vAlign w:val="center"/>
          </w:tcPr>
          <w:p w14:paraId="166CDA35" w14:textId="77777777" w:rsidR="00FF59D2" w:rsidRPr="00684B4B" w:rsidRDefault="00FF59D2" w:rsidP="00164085">
            <w:pPr>
              <w:spacing w:after="0" w:line="240" w:lineRule="auto"/>
              <w:ind w:right="411"/>
              <w:jc w:val="right"/>
              <w:rPr>
                <w:rFonts w:cs="Arial"/>
                <w:color w:val="000000"/>
                <w:sz w:val="18"/>
                <w:szCs w:val="18"/>
                <w:lang w:eastAsia="en-AU"/>
              </w:rPr>
            </w:pPr>
            <w:r w:rsidRPr="00684B4B">
              <w:rPr>
                <w:rFonts w:cs="Arial"/>
                <w:color w:val="000000"/>
                <w:sz w:val="18"/>
                <w:szCs w:val="18"/>
              </w:rPr>
              <w:t>1.7</w:t>
            </w:r>
          </w:p>
        </w:tc>
        <w:tc>
          <w:tcPr>
            <w:tcW w:w="1513" w:type="dxa"/>
            <w:shd w:val="clear" w:color="000000" w:fill="FFFFFF"/>
            <w:vAlign w:val="center"/>
          </w:tcPr>
          <w:p w14:paraId="68FBE809" w14:textId="77777777" w:rsidR="00FF59D2" w:rsidRPr="00684B4B" w:rsidRDefault="00FF59D2" w:rsidP="00164085">
            <w:pPr>
              <w:spacing w:after="0" w:line="240" w:lineRule="auto"/>
              <w:ind w:right="411"/>
              <w:jc w:val="right"/>
              <w:rPr>
                <w:rFonts w:cs="Arial"/>
                <w:color w:val="000000"/>
                <w:sz w:val="18"/>
                <w:szCs w:val="18"/>
              </w:rPr>
            </w:pPr>
            <w:r w:rsidRPr="00684B4B">
              <w:rPr>
                <w:rFonts w:cs="Arial"/>
                <w:color w:val="000000"/>
                <w:sz w:val="18"/>
                <w:szCs w:val="18"/>
              </w:rPr>
              <w:t>14.1</w:t>
            </w:r>
          </w:p>
        </w:tc>
      </w:tr>
      <w:tr w:rsidR="00FF59D2" w:rsidRPr="005C5A70" w14:paraId="398188FC" w14:textId="77777777" w:rsidTr="00164085">
        <w:trPr>
          <w:trHeight w:val="315"/>
        </w:trPr>
        <w:tc>
          <w:tcPr>
            <w:tcW w:w="2972" w:type="dxa"/>
            <w:shd w:val="clear" w:color="000000" w:fill="FFFFFF"/>
            <w:vAlign w:val="center"/>
          </w:tcPr>
          <w:p w14:paraId="0F26C172" w14:textId="77777777" w:rsidR="00FF59D2" w:rsidRPr="00791FED" w:rsidRDefault="00FF59D2" w:rsidP="00164085">
            <w:pPr>
              <w:spacing w:after="0" w:line="240" w:lineRule="auto"/>
              <w:rPr>
                <w:rFonts w:cs="Arial"/>
                <w:color w:val="000000"/>
                <w:sz w:val="18"/>
                <w:szCs w:val="18"/>
              </w:rPr>
            </w:pPr>
            <w:r w:rsidRPr="00791FED">
              <w:rPr>
                <w:rFonts w:cs="Arial"/>
                <w:color w:val="000000"/>
                <w:sz w:val="18"/>
                <w:szCs w:val="18"/>
              </w:rPr>
              <w:t>University of Canberra</w:t>
            </w:r>
          </w:p>
        </w:tc>
        <w:tc>
          <w:tcPr>
            <w:tcW w:w="1513" w:type="dxa"/>
            <w:shd w:val="clear" w:color="000000" w:fill="FFFFFF"/>
            <w:vAlign w:val="center"/>
          </w:tcPr>
          <w:p w14:paraId="5CD7E417" w14:textId="77777777" w:rsidR="00FF59D2" w:rsidRPr="00684B4B" w:rsidRDefault="00FF59D2" w:rsidP="00164085">
            <w:pPr>
              <w:spacing w:after="0" w:line="240" w:lineRule="auto"/>
              <w:ind w:right="411"/>
              <w:jc w:val="right"/>
              <w:rPr>
                <w:rFonts w:cs="Arial"/>
                <w:color w:val="000000"/>
                <w:sz w:val="18"/>
                <w:szCs w:val="18"/>
              </w:rPr>
            </w:pPr>
            <w:r>
              <w:rPr>
                <w:rFonts w:cs="Arial"/>
                <w:color w:val="000000"/>
                <w:sz w:val="18"/>
                <w:szCs w:val="18"/>
              </w:rPr>
              <w:t xml:space="preserve">6.1 </w:t>
            </w:r>
          </w:p>
        </w:tc>
        <w:tc>
          <w:tcPr>
            <w:tcW w:w="1513" w:type="dxa"/>
            <w:shd w:val="clear" w:color="000000" w:fill="FFFFFF"/>
            <w:vAlign w:val="center"/>
          </w:tcPr>
          <w:p w14:paraId="6156309A" w14:textId="77777777" w:rsidR="00FF59D2" w:rsidRPr="00684B4B" w:rsidRDefault="00FF59D2" w:rsidP="00164085">
            <w:pPr>
              <w:spacing w:after="0" w:line="240" w:lineRule="auto"/>
              <w:ind w:right="411"/>
              <w:jc w:val="right"/>
              <w:rPr>
                <w:rFonts w:cs="Arial"/>
                <w:color w:val="000000"/>
                <w:sz w:val="18"/>
                <w:szCs w:val="18"/>
              </w:rPr>
            </w:pPr>
            <w:r w:rsidRPr="00684B4B">
              <w:rPr>
                <w:rFonts w:cs="Arial"/>
                <w:color w:val="000000"/>
                <w:sz w:val="18"/>
                <w:szCs w:val="18"/>
              </w:rPr>
              <w:t>13.7</w:t>
            </w:r>
          </w:p>
        </w:tc>
        <w:tc>
          <w:tcPr>
            <w:tcW w:w="1513" w:type="dxa"/>
            <w:shd w:val="clear" w:color="000000" w:fill="FFFFFF"/>
            <w:vAlign w:val="center"/>
          </w:tcPr>
          <w:p w14:paraId="42937384" w14:textId="77777777" w:rsidR="00FF59D2" w:rsidRPr="00684B4B" w:rsidRDefault="00FF59D2" w:rsidP="00164085">
            <w:pPr>
              <w:spacing w:after="0" w:line="240" w:lineRule="auto"/>
              <w:ind w:right="411"/>
              <w:jc w:val="right"/>
              <w:rPr>
                <w:rFonts w:cs="Arial"/>
                <w:color w:val="000000"/>
                <w:sz w:val="18"/>
                <w:szCs w:val="18"/>
              </w:rPr>
            </w:pPr>
            <w:r>
              <w:rPr>
                <w:rFonts w:cs="Arial"/>
                <w:color w:val="000000"/>
                <w:sz w:val="18"/>
                <w:szCs w:val="18"/>
              </w:rPr>
              <w:t xml:space="preserve">1.9 </w:t>
            </w:r>
          </w:p>
        </w:tc>
        <w:tc>
          <w:tcPr>
            <w:tcW w:w="1513" w:type="dxa"/>
            <w:shd w:val="clear" w:color="000000" w:fill="FFFFFF"/>
            <w:vAlign w:val="center"/>
          </w:tcPr>
          <w:p w14:paraId="2DC35430" w14:textId="77777777" w:rsidR="00FF59D2" w:rsidRPr="00684B4B" w:rsidRDefault="00FF59D2" w:rsidP="00164085">
            <w:pPr>
              <w:spacing w:after="0" w:line="240" w:lineRule="auto"/>
              <w:ind w:right="411"/>
              <w:jc w:val="right"/>
              <w:rPr>
                <w:rFonts w:cs="Arial"/>
                <w:color w:val="000000"/>
                <w:sz w:val="18"/>
                <w:szCs w:val="18"/>
              </w:rPr>
            </w:pPr>
            <w:r>
              <w:rPr>
                <w:rFonts w:cs="Arial"/>
                <w:color w:val="000000"/>
                <w:sz w:val="18"/>
                <w:szCs w:val="18"/>
              </w:rPr>
              <w:t xml:space="preserve">7.3 </w:t>
            </w:r>
          </w:p>
        </w:tc>
      </w:tr>
    </w:tbl>
    <w:p w14:paraId="3970F354" w14:textId="77777777" w:rsidR="00FF59D2" w:rsidRDefault="00FF59D2" w:rsidP="00FF59D2">
      <w:pPr>
        <w:spacing w:after="0" w:line="240" w:lineRule="auto"/>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3D33B7CE" w14:textId="77777777" w:rsidR="00FF59D2" w:rsidRDefault="00FF59D2" w:rsidP="00FF59D2"/>
    <w:p w14:paraId="041F2EF5" w14:textId="77777777" w:rsidR="00FF59D2" w:rsidRDefault="00FF59D2" w:rsidP="00FF59D2">
      <w:pPr>
        <w:spacing w:line="240" w:lineRule="auto"/>
        <w:rPr>
          <w:rFonts w:cstheme="minorHAnsi"/>
          <w:color w:val="000000"/>
          <w:sz w:val="18"/>
          <w:szCs w:val="18"/>
          <w:lang w:eastAsia="en-AU"/>
        </w:rPr>
      </w:pPr>
      <w:r w:rsidRPr="00185BAE">
        <w:rPr>
          <w:rFonts w:cstheme="minorHAnsi"/>
          <w:b/>
          <w:bCs/>
          <w:color w:val="000000"/>
          <w:sz w:val="18"/>
          <w:szCs w:val="18"/>
          <w:lang w:eastAsia="en-AU"/>
        </w:rPr>
        <w:t xml:space="preserve">Table </w:t>
      </w:r>
      <w:r>
        <w:rPr>
          <w:rFonts w:cstheme="minorHAnsi"/>
          <w:b/>
          <w:bCs/>
          <w:color w:val="000000"/>
          <w:sz w:val="18"/>
          <w:szCs w:val="18"/>
          <w:lang w:eastAsia="en-AU"/>
        </w:rPr>
        <w:t xml:space="preserve">B9:  </w:t>
      </w:r>
      <w:r>
        <w:rPr>
          <w:rFonts w:cstheme="minorHAnsi"/>
          <w:color w:val="000000"/>
          <w:sz w:val="18"/>
          <w:szCs w:val="18"/>
          <w:lang w:eastAsia="en-AU"/>
        </w:rPr>
        <w:t xml:space="preserve">Multi-State Equity Group Undergraduate Completion Rates, 2021, %  </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3"/>
        <w:gridCol w:w="1513"/>
        <w:gridCol w:w="1513"/>
        <w:gridCol w:w="1513"/>
      </w:tblGrid>
      <w:tr w:rsidR="00FF59D2" w:rsidRPr="005C5A70" w14:paraId="57A15A7C" w14:textId="77777777" w:rsidTr="00160B8E">
        <w:trPr>
          <w:trHeight w:val="315"/>
        </w:trPr>
        <w:tc>
          <w:tcPr>
            <w:tcW w:w="2972" w:type="dxa"/>
            <w:shd w:val="clear" w:color="auto" w:fill="auto"/>
            <w:hideMark/>
          </w:tcPr>
          <w:p w14:paraId="3B592DAB" w14:textId="77777777" w:rsidR="00FF59D2" w:rsidRPr="005C5A70" w:rsidRDefault="00FF59D2" w:rsidP="00164085">
            <w:pPr>
              <w:spacing w:after="0" w:line="240" w:lineRule="auto"/>
              <w:rPr>
                <w:rFonts w:cs="Arial"/>
                <w:color w:val="FFFFFF"/>
                <w:sz w:val="18"/>
                <w:szCs w:val="18"/>
                <w:lang w:eastAsia="en-AU"/>
              </w:rPr>
            </w:pPr>
            <w:r w:rsidRPr="005C5A70">
              <w:rPr>
                <w:rFonts w:cs="Arial"/>
                <w:color w:val="EDE8E0" w:themeColor="background1"/>
                <w:sz w:val="18"/>
                <w:szCs w:val="18"/>
                <w:lang w:eastAsia="en-AU"/>
              </w:rPr>
              <w:t> </w:t>
            </w:r>
          </w:p>
        </w:tc>
        <w:tc>
          <w:tcPr>
            <w:tcW w:w="1513" w:type="dxa"/>
            <w:shd w:val="clear" w:color="auto" w:fill="6B3B57"/>
            <w:hideMark/>
          </w:tcPr>
          <w:p w14:paraId="6739C998" w14:textId="77777777" w:rsidR="00FF59D2" w:rsidRPr="005C5A70" w:rsidRDefault="00FF59D2" w:rsidP="00164085">
            <w:pPr>
              <w:spacing w:before="60" w:after="0" w:line="240" w:lineRule="auto"/>
              <w:jc w:val="center"/>
              <w:rPr>
                <w:rFonts w:cs="Arial"/>
                <w:b/>
                <w:bCs/>
                <w:color w:val="FFFFFF"/>
                <w:sz w:val="18"/>
                <w:szCs w:val="18"/>
                <w:lang w:eastAsia="en-AU"/>
              </w:rPr>
            </w:pPr>
            <w:r w:rsidRPr="005C5A70">
              <w:rPr>
                <w:rFonts w:cs="Arial"/>
                <w:b/>
                <w:bCs/>
                <w:color w:val="EDE8E0" w:themeColor="background1"/>
                <w:sz w:val="18"/>
                <w:szCs w:val="18"/>
                <w:lang w:eastAsia="en-AU"/>
              </w:rPr>
              <w:t>Low SES</w:t>
            </w:r>
          </w:p>
        </w:tc>
        <w:tc>
          <w:tcPr>
            <w:tcW w:w="1513" w:type="dxa"/>
            <w:shd w:val="clear" w:color="auto" w:fill="6B3B57"/>
          </w:tcPr>
          <w:p w14:paraId="2EF7A935"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Regional and</w:t>
            </w:r>
            <w:r>
              <w:rPr>
                <w:rFonts w:cs="Arial"/>
                <w:b/>
                <w:bCs/>
                <w:color w:val="FFFFFF"/>
                <w:sz w:val="18"/>
                <w:szCs w:val="18"/>
                <w:lang w:eastAsia="en-AU"/>
              </w:rPr>
              <w:br/>
              <w:t>Remote</w:t>
            </w:r>
          </w:p>
        </w:tc>
        <w:tc>
          <w:tcPr>
            <w:tcW w:w="1513" w:type="dxa"/>
            <w:shd w:val="clear" w:color="auto" w:fill="6B3B57"/>
            <w:hideMark/>
          </w:tcPr>
          <w:p w14:paraId="6E2319B0" w14:textId="77777777" w:rsidR="00FF59D2" w:rsidRPr="005C5A70"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First Nations</w:t>
            </w:r>
          </w:p>
        </w:tc>
        <w:tc>
          <w:tcPr>
            <w:tcW w:w="1513" w:type="dxa"/>
            <w:shd w:val="clear" w:color="auto" w:fill="6B3B57"/>
          </w:tcPr>
          <w:p w14:paraId="539D610F" w14:textId="77777777" w:rsidR="00FF59D2" w:rsidRDefault="00FF59D2" w:rsidP="00164085">
            <w:pPr>
              <w:spacing w:before="60" w:after="0" w:line="240" w:lineRule="auto"/>
              <w:jc w:val="center"/>
              <w:rPr>
                <w:rFonts w:cs="Arial"/>
                <w:b/>
                <w:bCs/>
                <w:color w:val="FFFFFF"/>
                <w:sz w:val="18"/>
                <w:szCs w:val="18"/>
                <w:lang w:eastAsia="en-AU"/>
              </w:rPr>
            </w:pPr>
            <w:r>
              <w:rPr>
                <w:rFonts w:cs="Arial"/>
                <w:b/>
                <w:bCs/>
                <w:color w:val="FFFFFF"/>
                <w:sz w:val="18"/>
                <w:szCs w:val="18"/>
                <w:lang w:eastAsia="en-AU"/>
              </w:rPr>
              <w:t xml:space="preserve">Disability </w:t>
            </w:r>
          </w:p>
        </w:tc>
      </w:tr>
      <w:tr w:rsidR="00FF59D2" w:rsidRPr="005C5A70" w14:paraId="09AC9E20" w14:textId="77777777" w:rsidTr="00160B8E">
        <w:trPr>
          <w:trHeight w:val="315"/>
        </w:trPr>
        <w:tc>
          <w:tcPr>
            <w:tcW w:w="2972" w:type="dxa"/>
            <w:shd w:val="clear" w:color="auto" w:fill="EFE2E7" w:themeFill="text1" w:themeFillTint="1A"/>
            <w:vAlign w:val="center"/>
          </w:tcPr>
          <w:p w14:paraId="64191F4F" w14:textId="77777777" w:rsidR="00FF59D2" w:rsidRPr="00594ED8" w:rsidRDefault="00FF59D2" w:rsidP="00164085">
            <w:pPr>
              <w:spacing w:after="0" w:line="240" w:lineRule="auto"/>
              <w:rPr>
                <w:rFonts w:cs="Arial"/>
                <w:b/>
                <w:bCs/>
                <w:color w:val="000000"/>
                <w:sz w:val="18"/>
                <w:szCs w:val="18"/>
                <w:lang w:eastAsia="en-AU"/>
              </w:rPr>
            </w:pPr>
            <w:r w:rsidRPr="00594ED8">
              <w:rPr>
                <w:rFonts w:cs="Arial"/>
                <w:b/>
                <w:bCs/>
                <w:color w:val="000000"/>
                <w:sz w:val="18"/>
                <w:szCs w:val="18"/>
                <w:lang w:eastAsia="en-AU"/>
              </w:rPr>
              <w:t xml:space="preserve">NSW </w:t>
            </w:r>
            <w:r w:rsidRPr="00594ED8">
              <w:rPr>
                <w:b/>
                <w:bCs/>
                <w:sz w:val="18"/>
                <w:szCs w:val="18"/>
              </w:rPr>
              <w:t>Equity</w:t>
            </w:r>
            <w:r w:rsidRPr="00594ED8">
              <w:rPr>
                <w:rFonts w:cs="Arial"/>
                <w:b/>
                <w:bCs/>
                <w:color w:val="000000"/>
                <w:sz w:val="18"/>
                <w:szCs w:val="18"/>
                <w:lang w:eastAsia="en-AU"/>
              </w:rPr>
              <w:t xml:space="preserve"> Reference Value</w:t>
            </w:r>
          </w:p>
        </w:tc>
        <w:tc>
          <w:tcPr>
            <w:tcW w:w="1513" w:type="dxa"/>
            <w:shd w:val="clear" w:color="auto" w:fill="EFE2E7" w:themeFill="text1" w:themeFillTint="1A"/>
            <w:vAlign w:val="center"/>
          </w:tcPr>
          <w:p w14:paraId="32D318DB"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auto"/>
                <w:sz w:val="18"/>
                <w:szCs w:val="18"/>
                <w:lang w:eastAsia="en-AU"/>
              </w:rPr>
              <w:t>23.0</w:t>
            </w:r>
          </w:p>
        </w:tc>
        <w:tc>
          <w:tcPr>
            <w:tcW w:w="1513" w:type="dxa"/>
            <w:shd w:val="clear" w:color="auto" w:fill="EFE2E7" w:themeFill="text1" w:themeFillTint="1A"/>
            <w:vAlign w:val="center"/>
          </w:tcPr>
          <w:p w14:paraId="676D4666"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23.1</w:t>
            </w:r>
          </w:p>
        </w:tc>
        <w:tc>
          <w:tcPr>
            <w:tcW w:w="1513" w:type="dxa"/>
            <w:shd w:val="clear" w:color="auto" w:fill="EFE2E7" w:themeFill="text1" w:themeFillTint="1A"/>
            <w:vAlign w:val="center"/>
          </w:tcPr>
          <w:p w14:paraId="6632A3C6"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3.0</w:t>
            </w:r>
          </w:p>
        </w:tc>
        <w:tc>
          <w:tcPr>
            <w:tcW w:w="1513" w:type="dxa"/>
            <w:shd w:val="clear" w:color="auto" w:fill="EFE2E7" w:themeFill="text1" w:themeFillTint="1A"/>
            <w:vAlign w:val="center"/>
          </w:tcPr>
          <w:p w14:paraId="3FC1D246" w14:textId="77777777" w:rsidR="00FF59D2" w:rsidRPr="00594ED8" w:rsidRDefault="00FF59D2" w:rsidP="00164085">
            <w:pPr>
              <w:spacing w:after="0" w:line="240" w:lineRule="auto"/>
              <w:ind w:right="411"/>
              <w:jc w:val="right"/>
              <w:rPr>
                <w:rFonts w:cs="Arial"/>
                <w:b/>
                <w:bCs/>
                <w:color w:val="000000"/>
                <w:sz w:val="18"/>
                <w:szCs w:val="18"/>
              </w:rPr>
            </w:pPr>
            <w:r w:rsidRPr="00594ED8">
              <w:rPr>
                <w:rFonts w:cs="Arial"/>
                <w:b/>
                <w:bCs/>
                <w:color w:val="000000"/>
                <w:sz w:val="18"/>
                <w:szCs w:val="18"/>
              </w:rPr>
              <w:t>8.4</w:t>
            </w:r>
          </w:p>
        </w:tc>
      </w:tr>
      <w:tr w:rsidR="00FF59D2" w:rsidRPr="005C5A70" w14:paraId="50B53C48" w14:textId="77777777" w:rsidTr="00164085">
        <w:trPr>
          <w:trHeight w:val="315"/>
        </w:trPr>
        <w:tc>
          <w:tcPr>
            <w:tcW w:w="2972" w:type="dxa"/>
            <w:shd w:val="clear" w:color="000000" w:fill="FFFFFF"/>
            <w:vAlign w:val="center"/>
          </w:tcPr>
          <w:p w14:paraId="3E3AEB2C" w14:textId="77777777" w:rsidR="00FF59D2" w:rsidRPr="00791FED" w:rsidRDefault="00FF59D2" w:rsidP="00164085">
            <w:pPr>
              <w:spacing w:after="0" w:line="240" w:lineRule="auto"/>
              <w:rPr>
                <w:rFonts w:cs="Arial"/>
                <w:color w:val="000000"/>
                <w:sz w:val="18"/>
                <w:szCs w:val="18"/>
                <w:lang w:eastAsia="en-AU"/>
              </w:rPr>
            </w:pPr>
            <w:r w:rsidRPr="006E5B56">
              <w:rPr>
                <w:rFonts w:cs="Arial"/>
                <w:color w:val="000000"/>
                <w:sz w:val="18"/>
                <w:szCs w:val="18"/>
                <w:lang w:eastAsia="en-AU"/>
              </w:rPr>
              <w:t>Australian Catholic University</w:t>
            </w:r>
          </w:p>
        </w:tc>
        <w:tc>
          <w:tcPr>
            <w:tcW w:w="1513" w:type="dxa"/>
            <w:shd w:val="clear" w:color="000000" w:fill="FFFFFF"/>
            <w:vAlign w:val="center"/>
          </w:tcPr>
          <w:p w14:paraId="755CBDA4" w14:textId="77777777" w:rsidR="00FF59D2" w:rsidRPr="00D91938" w:rsidRDefault="00FF59D2" w:rsidP="00164085">
            <w:pPr>
              <w:spacing w:after="0" w:line="240" w:lineRule="auto"/>
              <w:ind w:right="411"/>
              <w:jc w:val="right"/>
              <w:rPr>
                <w:rFonts w:cs="Arial"/>
                <w:color w:val="000000"/>
                <w:sz w:val="18"/>
                <w:szCs w:val="18"/>
                <w:lang w:eastAsia="en-AU"/>
              </w:rPr>
            </w:pPr>
            <w:r>
              <w:rPr>
                <w:rFonts w:cs="Arial"/>
                <w:color w:val="000000"/>
                <w:sz w:val="18"/>
                <w:szCs w:val="18"/>
              </w:rPr>
              <w:t xml:space="preserve">13.0 </w:t>
            </w:r>
          </w:p>
        </w:tc>
        <w:tc>
          <w:tcPr>
            <w:tcW w:w="1513" w:type="dxa"/>
            <w:shd w:val="clear" w:color="000000" w:fill="FFFFFF"/>
            <w:vAlign w:val="center"/>
          </w:tcPr>
          <w:p w14:paraId="01E42170" w14:textId="77777777" w:rsidR="00FF59D2" w:rsidRPr="00D91938" w:rsidRDefault="00FF59D2" w:rsidP="00164085">
            <w:pPr>
              <w:spacing w:after="0" w:line="240" w:lineRule="auto"/>
              <w:ind w:right="411"/>
              <w:jc w:val="right"/>
              <w:rPr>
                <w:rFonts w:cs="Arial"/>
                <w:color w:val="000000"/>
                <w:sz w:val="18"/>
                <w:szCs w:val="18"/>
                <w:lang w:eastAsia="en-AU"/>
              </w:rPr>
            </w:pPr>
            <w:r w:rsidRPr="00D91938">
              <w:rPr>
                <w:rFonts w:cs="Arial"/>
                <w:color w:val="000000"/>
                <w:sz w:val="18"/>
                <w:szCs w:val="18"/>
              </w:rPr>
              <w:t>12.3</w:t>
            </w:r>
          </w:p>
        </w:tc>
        <w:tc>
          <w:tcPr>
            <w:tcW w:w="1513" w:type="dxa"/>
            <w:shd w:val="clear" w:color="000000" w:fill="FFFFFF"/>
            <w:vAlign w:val="center"/>
          </w:tcPr>
          <w:p w14:paraId="27E365AF" w14:textId="77777777" w:rsidR="00FF59D2" w:rsidRPr="00D91938" w:rsidRDefault="00FF59D2" w:rsidP="00164085">
            <w:pPr>
              <w:spacing w:after="0" w:line="240" w:lineRule="auto"/>
              <w:ind w:right="411"/>
              <w:jc w:val="right"/>
              <w:rPr>
                <w:rFonts w:cs="Arial"/>
                <w:color w:val="000000"/>
                <w:sz w:val="18"/>
                <w:szCs w:val="18"/>
                <w:lang w:eastAsia="en-AU"/>
              </w:rPr>
            </w:pPr>
            <w:r w:rsidRPr="00D91938">
              <w:rPr>
                <w:rFonts w:cs="Arial"/>
                <w:color w:val="000000"/>
                <w:sz w:val="18"/>
                <w:szCs w:val="18"/>
              </w:rPr>
              <w:t>1.2</w:t>
            </w:r>
          </w:p>
        </w:tc>
        <w:tc>
          <w:tcPr>
            <w:tcW w:w="1513" w:type="dxa"/>
            <w:shd w:val="clear" w:color="000000" w:fill="FFFFFF"/>
            <w:vAlign w:val="center"/>
          </w:tcPr>
          <w:p w14:paraId="59C0B38E" w14:textId="77777777" w:rsidR="00FF59D2" w:rsidRPr="00D91938" w:rsidRDefault="00FF59D2" w:rsidP="00164085">
            <w:pPr>
              <w:spacing w:after="0" w:line="240" w:lineRule="auto"/>
              <w:ind w:right="411"/>
              <w:jc w:val="right"/>
              <w:rPr>
                <w:rFonts w:cs="Arial"/>
                <w:color w:val="000000"/>
                <w:sz w:val="18"/>
                <w:szCs w:val="18"/>
              </w:rPr>
            </w:pPr>
            <w:r w:rsidRPr="00D91938">
              <w:rPr>
                <w:rFonts w:cs="Arial"/>
                <w:color w:val="000000"/>
                <w:sz w:val="18"/>
                <w:szCs w:val="18"/>
              </w:rPr>
              <w:t>6.7</w:t>
            </w:r>
          </w:p>
        </w:tc>
      </w:tr>
    </w:tbl>
    <w:p w14:paraId="53D66CFF" w14:textId="77777777" w:rsidR="00FF59D2" w:rsidRPr="00A545B0" w:rsidRDefault="00FF59D2" w:rsidP="00FF59D2">
      <w:pPr>
        <w:spacing w:after="0" w:line="240" w:lineRule="auto"/>
        <w:rPr>
          <w:sz w:val="18"/>
          <w:szCs w:val="18"/>
        </w:rPr>
      </w:pPr>
      <w:r>
        <w:rPr>
          <w:b/>
          <w:bCs/>
          <w:sz w:val="18"/>
          <w:szCs w:val="18"/>
        </w:rPr>
        <w:t>Note</w:t>
      </w:r>
      <w:r w:rsidRPr="00981B05">
        <w:rPr>
          <w:sz w:val="18"/>
          <w:szCs w:val="18"/>
        </w:rPr>
        <w:t xml:space="preserve">: ACU is a multi-state university and as such, there is not one state/territory reference value. Reference values </w:t>
      </w:r>
      <w:r w:rsidRPr="00A545B0">
        <w:rPr>
          <w:sz w:val="18"/>
          <w:szCs w:val="18"/>
        </w:rPr>
        <w:t>for New South Wales are shown for illustrative purposes.</w:t>
      </w:r>
    </w:p>
    <w:p w14:paraId="6420607B" w14:textId="77777777" w:rsidR="00FF59D2" w:rsidRDefault="00FF59D2" w:rsidP="00FF59D2">
      <w:pPr>
        <w:spacing w:after="0" w:line="240" w:lineRule="auto"/>
        <w:rPr>
          <w:rFonts w:cs="Arial"/>
          <w:sz w:val="18"/>
          <w:szCs w:val="18"/>
        </w:rPr>
      </w:pPr>
      <w:r>
        <w:rPr>
          <w:b/>
          <w:bCs/>
          <w:sz w:val="18"/>
          <w:szCs w:val="18"/>
        </w:rPr>
        <w:t>Source:</w:t>
      </w:r>
      <w:r>
        <w:rPr>
          <w:sz w:val="18"/>
          <w:szCs w:val="18"/>
        </w:rPr>
        <w:t xml:space="preserve"> </w:t>
      </w:r>
      <w:r w:rsidRPr="009E5181">
        <w:rPr>
          <w:rFonts w:cs="Arial"/>
          <w:sz w:val="18"/>
          <w:szCs w:val="18"/>
        </w:rPr>
        <w:t>Australian Government Department of Education (2023)</w:t>
      </w:r>
      <w:r>
        <w:rPr>
          <w:rFonts w:cs="Arial"/>
          <w:sz w:val="18"/>
          <w:szCs w:val="18"/>
        </w:rPr>
        <w:t xml:space="preserve">. </w:t>
      </w:r>
    </w:p>
    <w:p w14:paraId="49223376" w14:textId="77777777" w:rsidR="00FF59D2" w:rsidRDefault="00FF59D2" w:rsidP="00FF59D2">
      <w:pPr>
        <w:spacing w:after="0" w:line="240" w:lineRule="auto"/>
      </w:pPr>
    </w:p>
    <w:p w14:paraId="401D1B78" w14:textId="77777777" w:rsidR="00FF59D2" w:rsidRPr="00654C5C" w:rsidRDefault="00FF59D2" w:rsidP="00FF59D2"/>
    <w:p w14:paraId="31FD7563" w14:textId="77777777" w:rsidR="000D129C" w:rsidRPr="00654C5C" w:rsidRDefault="000D129C" w:rsidP="00654C5C"/>
    <w:sectPr w:rsidR="000D129C" w:rsidRPr="00654C5C" w:rsidSect="002E40A8">
      <w:headerReference w:type="default" r:id="rId67"/>
      <w:footerReference w:type="default" r:id="rId68"/>
      <w:pgSz w:w="11906" w:h="16838" w:code="9"/>
      <w:pgMar w:top="1276" w:right="1134" w:bottom="1702" w:left="1134" w:header="0"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36D7F" w14:textId="77777777" w:rsidR="00894931" w:rsidRDefault="00894931" w:rsidP="009D6EDD">
      <w:r>
        <w:separator/>
      </w:r>
    </w:p>
  </w:endnote>
  <w:endnote w:type="continuationSeparator" w:id="0">
    <w:p w14:paraId="1EB3DFFC" w14:textId="77777777" w:rsidR="00894931" w:rsidRDefault="00894931" w:rsidP="009D6EDD">
      <w:r>
        <w:continuationSeparator/>
      </w:r>
    </w:p>
  </w:endnote>
  <w:endnote w:type="continuationNotice" w:id="1">
    <w:p w14:paraId="41B92C0D" w14:textId="77777777" w:rsidR="00894931" w:rsidRDefault="00894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 w:fontKey="{27AA63CB-88C5-499E-83C9-584C9880A467}"/>
    <w:embedBold r:id="rId2" w:fontKey="{47014452-416B-46D1-BA2C-57889E9E0BAA}"/>
    <w:embedItalic r:id="rId3" w:fontKey="{A0244DDD-A8EF-4FB6-AAFC-F44030B52E9F}"/>
  </w:font>
  <w:font w:name="Inter">
    <w:panose1 w:val="02000503000000020004"/>
    <w:charset w:val="00"/>
    <w:family w:val="auto"/>
    <w:pitch w:val="variable"/>
    <w:sig w:usb0="E00002FF" w:usb1="1200A1FF" w:usb2="00000001" w:usb3="00000000" w:csb0="0000019F" w:csb1="00000000"/>
    <w:embedRegular r:id="rId4" w:fontKey="{8E465D96-B8F4-48E7-BDC7-1F48D55D02DD}"/>
    <w:embedBold r:id="rId5" w:fontKey="{E6BAC491-5E51-44AB-B3C9-481585DFDE91}"/>
    <w:embedItalic r:id="rId6" w:fontKey="{68CD4DBE-3995-4A90-9FB9-E80F6F327318}"/>
    <w:embedBoldItalic r:id="rId7" w:fontKey="{2C28DE4B-B5B4-4316-B98B-A1145A347247}"/>
  </w:font>
  <w:font w:name="Inter SemiBold">
    <w:panose1 w:val="02000503000000020004"/>
    <w:charset w:val="00"/>
    <w:family w:val="auto"/>
    <w:pitch w:val="variable"/>
    <w:sig w:usb0="E00002FF" w:usb1="1200A1FF" w:usb2="00000001" w:usb3="00000000" w:csb0="0000019F" w:csb1="00000000"/>
    <w:embedRegular r:id="rId8" w:fontKey="{00B92719-97D4-4045-8D9B-A933D15DF714}"/>
    <w:embedBold r:id="rId9" w:fontKey="{800E446A-39AB-4636-A55F-247BDAB90A27}"/>
  </w:font>
  <w:font w:name="SansaSoft Pro SemiBold">
    <w:altName w:val="Calibri"/>
    <w:panose1 w:val="02000603080000020004"/>
    <w:charset w:val="00"/>
    <w:family w:val="modern"/>
    <w:notTrueType/>
    <w:pitch w:val="variable"/>
    <w:sig w:usb0="800000AF" w:usb1="00000042" w:usb2="00000000" w:usb3="00000000" w:csb0="0000000B" w:csb1="00000000"/>
  </w:font>
  <w:font w:name="Tahoma">
    <w:panose1 w:val="020B0604030504040204"/>
    <w:charset w:val="00"/>
    <w:family w:val="swiss"/>
    <w:pitch w:val="variable"/>
    <w:sig w:usb0="E1002EFF" w:usb1="C000605B" w:usb2="00000029" w:usb3="00000000" w:csb0="000101FF" w:csb1="00000000"/>
    <w:embedRegular r:id="rId10" w:fontKey="{BE65D73C-9A53-452F-8B9B-D37DF7AE888B}"/>
  </w:font>
  <w:font w:name="MS Mincho">
    <w:altName w:val="ＭＳ 明朝"/>
    <w:panose1 w:val="02020609040205080304"/>
    <w:charset w:val="80"/>
    <w:family w:val="modern"/>
    <w:pitch w:val="fixed"/>
    <w:sig w:usb0="E00002FF" w:usb1="6AC7FDFB" w:usb2="08000012" w:usb3="00000000" w:csb0="0002009F" w:csb1="00000000"/>
  </w:font>
  <w:font w:name="SansaSoft Pro Normal">
    <w:altName w:val="Calibri"/>
    <w:panose1 w:val="02000603080000020004"/>
    <w:charset w:val="00"/>
    <w:family w:val="modern"/>
    <w:notTrueType/>
    <w:pitch w:val="variable"/>
    <w:sig w:usb0="800000AF" w:usb1="00000042" w:usb2="00000000" w:usb3="00000000" w:csb0="0000000B" w:csb1="00000000"/>
  </w:font>
  <w:font w:name="Segoe UI">
    <w:panose1 w:val="020B0502040204020203"/>
    <w:charset w:val="00"/>
    <w:family w:val="swiss"/>
    <w:pitch w:val="variable"/>
    <w:sig w:usb0="E4002EFF" w:usb1="C000E47F" w:usb2="00000009" w:usb3="00000000" w:csb0="000001FF" w:csb1="00000000"/>
    <w:embedRegular r:id="rId11" w:fontKey="{0A176F9A-2687-49C0-AC4F-D7DEDDBA0CA2}"/>
    <w:embedBold r:id="rId12" w:fontKey="{5A9E864C-2401-467D-BBC9-9349BE74CDD6}"/>
  </w:font>
  <w:font w:name="Effra">
    <w:panose1 w:val="02000506080000020004"/>
    <w:charset w:val="00"/>
    <w:family w:val="auto"/>
    <w:pitch w:val="variable"/>
    <w:sig w:usb0="A00000AF" w:usb1="5000205B" w:usb2="00000000" w:usb3="00000000" w:csb0="0000009B" w:csb1="00000000"/>
    <w:embedBold r:id="rId13" w:fontKey="{E729DCC0-9647-4183-9039-E88C4FEB9B56}"/>
  </w:font>
  <w:font w:name="Inter Medium">
    <w:panose1 w:val="02000503000000020004"/>
    <w:charset w:val="00"/>
    <w:family w:val="auto"/>
    <w:pitch w:val="variable"/>
    <w:sig w:usb0="E00002FF" w:usb1="1200A1FF" w:usb2="00000001" w:usb3="00000000" w:csb0="0000019F" w:csb1="00000000"/>
    <w:embedBold r:id="rId14" w:fontKey="{B6C56AC4-EE02-47F6-8A45-805B145AA5F5}"/>
  </w:font>
  <w:font w:name="Cambria">
    <w:panose1 w:val="02040503050406030204"/>
    <w:charset w:val="00"/>
    <w:family w:val="roman"/>
    <w:pitch w:val="variable"/>
    <w:sig w:usb0="E00006FF" w:usb1="420024FF" w:usb2="02000000" w:usb3="00000000" w:csb0="0000019F" w:csb1="00000000"/>
    <w:embedRegular r:id="rId15" w:fontKey="{064E5408-A602-4D28-910E-969F03F778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DD5AE" w14:textId="47F35E37" w:rsidR="009526FF" w:rsidRPr="00C472C8" w:rsidRDefault="003772AA" w:rsidP="001647DB">
    <w:pPr>
      <w:pStyle w:val="Footer"/>
      <w:rPr>
        <w:rFonts w:cs="Arial"/>
      </w:rPr>
    </w:pPr>
    <w:r>
      <w:rPr>
        <w:rFonts w:eastAsiaTheme="majorEastAsia" w:cs="Arial"/>
        <w:noProof/>
      </w:rPr>
      <w:t>Australian</w:t>
    </w:r>
    <w:r w:rsidR="009526FF" w:rsidRPr="00C472C8">
      <w:rPr>
        <w:rFonts w:eastAsiaTheme="majorEastAsia" w:cs="Arial"/>
        <w:noProof/>
      </w:rPr>
      <w:t xml:space="preserve"> Centre for Student E</w:t>
    </w:r>
    <w:r w:rsidR="009526FF">
      <w:rPr>
        <w:rFonts w:eastAsiaTheme="majorEastAsia" w:cs="Arial"/>
        <w:noProof/>
      </w:rPr>
      <w:t xml:space="preserve">quity </w:t>
    </w:r>
    <w:r>
      <w:rPr>
        <w:rFonts w:eastAsiaTheme="majorEastAsia" w:cs="Arial"/>
        <w:noProof/>
      </w:rPr>
      <w:t>and Success</w:t>
    </w:r>
    <w:r w:rsidR="009526FF">
      <w:rPr>
        <w:rFonts w:eastAsiaTheme="majorEastAsia" w:cs="Arial"/>
        <w:noProof/>
      </w:rPr>
      <w:t xml:space="preserve">, </w:t>
    </w:r>
    <w:r w:rsidR="00E458F0">
      <w:rPr>
        <w:rFonts w:eastAsiaTheme="majorEastAsia" w:cs="Arial"/>
        <w:noProof/>
      </w:rPr>
      <w:t>October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93F7B" w14:textId="60A7F358" w:rsidR="00736D4C" w:rsidRPr="00C472C8" w:rsidRDefault="00736D4C" w:rsidP="001647DB">
    <w:pPr>
      <w:pStyle w:val="Footer"/>
      <w:rPr>
        <w:rFonts w:cs="Arial"/>
      </w:rPr>
    </w:pPr>
    <w:r>
      <w:rPr>
        <w:rFonts w:eastAsiaTheme="majorEastAsia" w:cs="Arial"/>
        <w:noProof/>
      </w:rPr>
      <w:t>Australian</w:t>
    </w:r>
    <w:r w:rsidRPr="00C472C8">
      <w:rPr>
        <w:rFonts w:eastAsiaTheme="majorEastAsia" w:cs="Arial"/>
        <w:noProof/>
      </w:rPr>
      <w:t xml:space="preserve"> Centre for Student E</w:t>
    </w:r>
    <w:r>
      <w:rPr>
        <w:rFonts w:eastAsiaTheme="majorEastAsia" w:cs="Arial"/>
        <w:noProof/>
      </w:rPr>
      <w:t xml:space="preserve">quity and Success, </w:t>
    </w:r>
    <w:r w:rsidR="00E458F0">
      <w:rPr>
        <w:rFonts w:eastAsiaTheme="majorEastAsia" w:cs="Arial"/>
        <w:noProof/>
      </w:rPr>
      <w:t>October 2023</w:t>
    </w:r>
    <w:r w:rsidRPr="00C472C8">
      <w:rPr>
        <w:rFonts w:eastAsiaTheme="majorEastAsia" w:cs="Arial"/>
        <w:noProof/>
      </w:rPr>
      <w:ptab w:relativeTo="margin" w:alignment="right" w:leader="none"/>
    </w:r>
    <w:r w:rsidRPr="00C472C8">
      <w:rPr>
        <w:rFonts w:eastAsiaTheme="majorEastAsia" w:cs="Arial"/>
        <w:noProof/>
      </w:rPr>
      <w:fldChar w:fldCharType="begin"/>
    </w:r>
    <w:r w:rsidRPr="00C472C8">
      <w:rPr>
        <w:rFonts w:eastAsiaTheme="majorEastAsia" w:cs="Arial"/>
        <w:noProof/>
      </w:rPr>
      <w:instrText xml:space="preserve"> PAGE   \* MERGEFORMAT </w:instrText>
    </w:r>
    <w:r w:rsidRPr="00C472C8">
      <w:rPr>
        <w:rFonts w:eastAsiaTheme="majorEastAsia" w:cs="Arial"/>
        <w:noProof/>
      </w:rPr>
      <w:fldChar w:fldCharType="separate"/>
    </w:r>
    <w:r>
      <w:rPr>
        <w:rFonts w:eastAsiaTheme="majorEastAsia" w:cs="Arial"/>
        <w:noProof/>
      </w:rPr>
      <w:t>17</w:t>
    </w:r>
    <w:r w:rsidRPr="00C472C8">
      <w:rPr>
        <w:rFonts w:eastAsiaTheme="majorEastAsia"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9BCD6" w14:textId="0748447A" w:rsidR="007E0FD0" w:rsidRPr="00C472C8" w:rsidRDefault="00634F7E" w:rsidP="001647DB">
    <w:pPr>
      <w:pStyle w:val="Footer"/>
      <w:rPr>
        <w:rFonts w:cs="Arial"/>
      </w:rPr>
    </w:pPr>
    <w:r>
      <w:rPr>
        <w:rFonts w:eastAsiaTheme="majorEastAsia" w:cs="Arial"/>
        <w:noProof/>
      </w:rPr>
      <w:t>Australian</w:t>
    </w:r>
    <w:r w:rsidRPr="00C472C8">
      <w:rPr>
        <w:rFonts w:eastAsiaTheme="majorEastAsia" w:cs="Arial"/>
        <w:noProof/>
      </w:rPr>
      <w:t xml:space="preserve"> Centre for Student E</w:t>
    </w:r>
    <w:r>
      <w:rPr>
        <w:rFonts w:eastAsiaTheme="majorEastAsia" w:cs="Arial"/>
        <w:noProof/>
      </w:rPr>
      <w:t>quity and Success</w:t>
    </w:r>
    <w:r w:rsidR="007E0FD0">
      <w:rPr>
        <w:rFonts w:eastAsiaTheme="majorEastAsia" w:cs="Arial"/>
        <w:noProof/>
      </w:rPr>
      <w:t xml:space="preserve">, </w:t>
    </w:r>
    <w:r w:rsidR="00DB46CA">
      <w:rPr>
        <w:rFonts w:eastAsiaTheme="majorEastAsia" w:cs="Arial"/>
        <w:noProof/>
      </w:rPr>
      <w:t>October 2023</w:t>
    </w:r>
    <w:r w:rsidR="007E0FD0" w:rsidRPr="00C472C8">
      <w:rPr>
        <w:rFonts w:eastAsiaTheme="majorEastAsia" w:cs="Arial"/>
        <w:noProof/>
      </w:rPr>
      <w:ptab w:relativeTo="margin" w:alignment="right" w:leader="none"/>
    </w:r>
    <w:r w:rsidR="007E0FD0" w:rsidRPr="00C472C8">
      <w:rPr>
        <w:rFonts w:eastAsiaTheme="majorEastAsia" w:cs="Arial"/>
        <w:noProof/>
      </w:rPr>
      <w:fldChar w:fldCharType="begin"/>
    </w:r>
    <w:r w:rsidR="007E0FD0" w:rsidRPr="00C472C8">
      <w:rPr>
        <w:rFonts w:eastAsiaTheme="majorEastAsia" w:cs="Arial"/>
        <w:noProof/>
      </w:rPr>
      <w:instrText xml:space="preserve"> PAGE   \* MERGEFORMAT </w:instrText>
    </w:r>
    <w:r w:rsidR="007E0FD0" w:rsidRPr="00C472C8">
      <w:rPr>
        <w:rFonts w:eastAsiaTheme="majorEastAsia" w:cs="Arial"/>
        <w:noProof/>
      </w:rPr>
      <w:fldChar w:fldCharType="separate"/>
    </w:r>
    <w:r w:rsidR="007E0FD0">
      <w:rPr>
        <w:rFonts w:eastAsiaTheme="majorEastAsia" w:cs="Arial"/>
        <w:noProof/>
      </w:rPr>
      <w:t>17</w:t>
    </w:r>
    <w:r w:rsidR="007E0FD0" w:rsidRPr="00C472C8">
      <w:rPr>
        <w:rFonts w:eastAsiaTheme="majorEastAsia"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B6ACF" w14:textId="77777777" w:rsidR="00894931" w:rsidRDefault="00894931" w:rsidP="009D6EDD">
      <w:r>
        <w:separator/>
      </w:r>
    </w:p>
  </w:footnote>
  <w:footnote w:type="continuationSeparator" w:id="0">
    <w:p w14:paraId="2DFCF7E4" w14:textId="77777777" w:rsidR="00894931" w:rsidRDefault="00894931" w:rsidP="009D6EDD">
      <w:r>
        <w:continuationSeparator/>
      </w:r>
    </w:p>
  </w:footnote>
  <w:footnote w:type="continuationNotice" w:id="1">
    <w:p w14:paraId="1D6FAD6C" w14:textId="77777777" w:rsidR="00894931" w:rsidRDefault="00894931"/>
  </w:footnote>
  <w:footnote w:id="2">
    <w:p w14:paraId="1888B49D" w14:textId="4F820D7D" w:rsidR="00C15E08" w:rsidRDefault="00C15E08" w:rsidP="00A545B0">
      <w:pPr>
        <w:pStyle w:val="FootnoteText"/>
        <w:spacing w:line="240" w:lineRule="auto"/>
      </w:pPr>
      <w:r>
        <w:rPr>
          <w:rStyle w:val="FootnoteReference"/>
        </w:rPr>
        <w:footnoteRef/>
      </w:r>
      <w:r>
        <w:t xml:space="preserve"> ‘Table A’ Providers are the 38 major higher education institutions (as of October 2023) as defined under the </w:t>
      </w:r>
      <w:r w:rsidRPr="00A545B0">
        <w:rPr>
          <w:i/>
          <w:iCs/>
        </w:rPr>
        <w:t>Higher Education Support Act 2003.</w:t>
      </w:r>
    </w:p>
  </w:footnote>
  <w:footnote w:id="3">
    <w:p w14:paraId="0EA8E81B" w14:textId="2934FA68" w:rsidR="00934F92" w:rsidRDefault="00934F92" w:rsidP="00934F92">
      <w:pPr>
        <w:pStyle w:val="FootnoteText"/>
        <w:spacing w:line="240" w:lineRule="auto"/>
      </w:pPr>
      <w:r>
        <w:rPr>
          <w:rStyle w:val="FootnoteReference"/>
        </w:rPr>
        <w:footnoteRef/>
      </w:r>
      <w:r>
        <w:t xml:space="preserve"> Table A’ Providers are the 38 major higher education institutions (as of October 2023) as defined under the </w:t>
      </w:r>
      <w:r w:rsidRPr="00A545B0">
        <w:rPr>
          <w:i/>
          <w:iCs/>
        </w:rPr>
        <w:t>Higher Education Support Act 2003.</w:t>
      </w:r>
    </w:p>
  </w:footnote>
  <w:footnote w:id="4">
    <w:p w14:paraId="3DE3B978" w14:textId="34D87CFF" w:rsidR="00C47AB4" w:rsidRPr="00731C99" w:rsidRDefault="00C47AB4" w:rsidP="006928B5">
      <w:pPr>
        <w:pStyle w:val="FootnoteText"/>
        <w:spacing w:line="240" w:lineRule="auto"/>
        <w:rPr>
          <w:sz w:val="18"/>
          <w:szCs w:val="18"/>
        </w:rPr>
      </w:pPr>
      <w:r w:rsidRPr="00731C99">
        <w:rPr>
          <w:rStyle w:val="FootnoteReference"/>
          <w:sz w:val="18"/>
          <w:szCs w:val="18"/>
        </w:rPr>
        <w:footnoteRef/>
      </w:r>
      <w:r w:rsidRPr="00731C99">
        <w:rPr>
          <w:sz w:val="18"/>
          <w:szCs w:val="18"/>
        </w:rPr>
        <w:t xml:space="preserve"> We use the term “completion rate” throughout to refer to an equity group’s share of completions. This is analogous to the “participation rate” in relation to overall enrolments. In Australian higher education data collection</w:t>
      </w:r>
      <w:r w:rsidR="00407379" w:rsidRPr="00731C99">
        <w:rPr>
          <w:sz w:val="18"/>
          <w:szCs w:val="18"/>
        </w:rPr>
        <w:t>,</w:t>
      </w:r>
      <w:r w:rsidRPr="00731C99">
        <w:rPr>
          <w:sz w:val="18"/>
          <w:szCs w:val="18"/>
        </w:rPr>
        <w:t xml:space="preserve"> the official term </w:t>
      </w:r>
      <w:r w:rsidR="00407379" w:rsidRPr="00731C99">
        <w:rPr>
          <w:sz w:val="18"/>
          <w:szCs w:val="18"/>
        </w:rPr>
        <w:t>for</w:t>
      </w:r>
      <w:r w:rsidRPr="00731C99">
        <w:rPr>
          <w:sz w:val="18"/>
          <w:szCs w:val="18"/>
        </w:rPr>
        <w:t xml:space="preserve"> this measure is the</w:t>
      </w:r>
      <w:r w:rsidRPr="00731C99">
        <w:rPr>
          <w:i/>
          <w:iCs/>
          <w:sz w:val="18"/>
          <w:szCs w:val="18"/>
        </w:rPr>
        <w:t xml:space="preserve"> </w:t>
      </w:r>
      <w:r w:rsidRPr="00731C99">
        <w:rPr>
          <w:sz w:val="18"/>
          <w:szCs w:val="18"/>
        </w:rPr>
        <w:t xml:space="preserve">“attainment rate”, which we do not use as the Interim Report refers to attainment exclusively in relation to attainment in the general population. Similarly, the “completion rate” should not be conflated with the “cohort completion rate” indicator in Australia or the standard “completion rate” indicator in the US, both of which refer to the share of an entering cohort who subsequently complete a qualification.   </w:t>
      </w:r>
    </w:p>
  </w:footnote>
  <w:footnote w:id="5">
    <w:p w14:paraId="5CFDA844" w14:textId="28B7AF6F" w:rsidR="002E3B8A" w:rsidRDefault="002E3B8A" w:rsidP="00570F12">
      <w:pPr>
        <w:pStyle w:val="FootnoteText"/>
        <w:spacing w:line="240" w:lineRule="auto"/>
      </w:pPr>
      <w:r w:rsidRPr="00731C99">
        <w:rPr>
          <w:rStyle w:val="FootnoteReference"/>
          <w:sz w:val="18"/>
          <w:szCs w:val="18"/>
        </w:rPr>
        <w:footnoteRef/>
      </w:r>
      <w:r w:rsidRPr="00731C99">
        <w:rPr>
          <w:sz w:val="18"/>
          <w:szCs w:val="18"/>
        </w:rPr>
        <w:t xml:space="preserve"> One exception was for low SES students where the reference value was high SES student share, although the population share (25% at the national level) was commonly reported. In this paper, we u</w:t>
      </w:r>
      <w:r w:rsidR="00B527C0" w:rsidRPr="00731C99">
        <w:rPr>
          <w:sz w:val="18"/>
          <w:szCs w:val="18"/>
        </w:rPr>
        <w:t>se</w:t>
      </w:r>
      <w:r w:rsidRPr="00731C99">
        <w:rPr>
          <w:sz w:val="18"/>
          <w:szCs w:val="18"/>
        </w:rPr>
        <w:t xml:space="preserve"> a reference share for low SES equal </w:t>
      </w:r>
      <w:r w:rsidR="00B527C0" w:rsidRPr="00731C99">
        <w:rPr>
          <w:sz w:val="18"/>
          <w:szCs w:val="18"/>
        </w:rPr>
        <w:t xml:space="preserve">calculated at the </w:t>
      </w:r>
      <w:r w:rsidR="00B527C0" w:rsidRPr="00731C99">
        <w:rPr>
          <w:i/>
          <w:iCs/>
          <w:sz w:val="18"/>
          <w:szCs w:val="18"/>
        </w:rPr>
        <w:t>national</w:t>
      </w:r>
      <w:r w:rsidR="00B527C0" w:rsidRPr="00731C99">
        <w:rPr>
          <w:sz w:val="18"/>
          <w:szCs w:val="18"/>
        </w:rPr>
        <w:t xml:space="preserve"> level that resides</w:t>
      </w:r>
      <w:r w:rsidRPr="00731C99">
        <w:rPr>
          <w:sz w:val="18"/>
          <w:szCs w:val="18"/>
        </w:rPr>
        <w:t xml:space="preserve"> </w:t>
      </w:r>
      <w:r w:rsidR="001F35DF" w:rsidRPr="00731C99">
        <w:rPr>
          <w:sz w:val="18"/>
          <w:szCs w:val="18"/>
        </w:rPr>
        <w:t xml:space="preserve">in </w:t>
      </w:r>
      <w:r w:rsidRPr="00731C99">
        <w:rPr>
          <w:sz w:val="18"/>
          <w:szCs w:val="18"/>
        </w:rPr>
        <w:t>each state and territory.</w:t>
      </w:r>
      <w:r w:rsidR="00E95CFE" w:rsidRPr="00731C99">
        <w:rPr>
          <w:sz w:val="18"/>
          <w:szCs w:val="18"/>
        </w:rPr>
        <w:t xml:space="preserve"> As per Table 5, this leads to variation</w:t>
      </w:r>
      <w:r w:rsidR="00CB45EF" w:rsidRPr="00731C99">
        <w:rPr>
          <w:sz w:val="18"/>
          <w:szCs w:val="18"/>
        </w:rPr>
        <w:t xml:space="preserve"> around 25%</w:t>
      </w:r>
      <w:r w:rsidR="00E95CFE" w:rsidRPr="00731C99">
        <w:rPr>
          <w:sz w:val="18"/>
          <w:szCs w:val="18"/>
        </w:rPr>
        <w:t xml:space="preserve"> in the </w:t>
      </w:r>
      <w:r w:rsidR="00CB45EF" w:rsidRPr="00731C99">
        <w:rPr>
          <w:sz w:val="18"/>
          <w:szCs w:val="18"/>
        </w:rPr>
        <w:t>low SES population share across states and territories.</w:t>
      </w:r>
      <w:r w:rsidR="00CB45EF">
        <w:t xml:space="preserve"> </w:t>
      </w:r>
      <w:r>
        <w:t xml:space="preserve">      </w:t>
      </w:r>
    </w:p>
  </w:footnote>
  <w:footnote w:id="6">
    <w:p w14:paraId="388CD9C6" w14:textId="2B94FBBD" w:rsidR="00FC7CB2" w:rsidRPr="001F0FF9" w:rsidRDefault="00FC7CB2" w:rsidP="00FC7CB2">
      <w:pPr>
        <w:pStyle w:val="FootnoteText"/>
        <w:spacing w:line="240" w:lineRule="auto"/>
        <w:rPr>
          <w:lang w:val="en-US"/>
        </w:rPr>
      </w:pPr>
      <w:r>
        <w:rPr>
          <w:rStyle w:val="FootnoteReference"/>
        </w:rPr>
        <w:footnoteRef/>
      </w:r>
      <w:r>
        <w:t xml:space="preserve"> </w:t>
      </w:r>
      <w:r w:rsidRPr="00630331">
        <w:t xml:space="preserve">The </w:t>
      </w:r>
      <w:r>
        <w:rPr>
          <w:i/>
          <w:iCs/>
        </w:rPr>
        <w:t>Equity Group</w:t>
      </w:r>
      <w:r>
        <w:t xml:space="preserve"> measure is a sum of the four groups under consideration. It provides a more accurate representation of the total across the four groups, with a correction factor of 0.79 being applied to the four</w:t>
      </w:r>
      <w:r w:rsidR="001D46A8">
        <w:t>-</w:t>
      </w:r>
      <w:r>
        <w:t>group total to account for equity students being members of multiple equity groups (Tomaszewski,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BF2F6" w14:textId="77777777" w:rsidR="007E0FD0" w:rsidRDefault="007E0FD0">
    <w:pPr>
      <w:pStyle w:val="Header"/>
    </w:pPr>
  </w:p>
  <w:p w14:paraId="25A23901" w14:textId="77777777" w:rsidR="00D04D54" w:rsidRDefault="00D04D54"/>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B6F"/>
    <w:multiLevelType w:val="hybridMultilevel"/>
    <w:tmpl w:val="89668C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F5722"/>
    <w:multiLevelType w:val="hybridMultilevel"/>
    <w:tmpl w:val="52A4F8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9DF6065"/>
    <w:multiLevelType w:val="hybridMultilevel"/>
    <w:tmpl w:val="937EACB8"/>
    <w:lvl w:ilvl="0" w:tplc="F9F84212">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69667E"/>
    <w:multiLevelType w:val="hybridMultilevel"/>
    <w:tmpl w:val="9F6450C6"/>
    <w:lvl w:ilvl="0" w:tplc="2F5E7D9C">
      <w:start w:val="1"/>
      <w:numFmt w:val="bullet"/>
      <w:lvlText w:val="·"/>
      <w:lvlJc w:val="left"/>
      <w:pPr>
        <w:ind w:left="720" w:hanging="360"/>
      </w:pPr>
      <w:rPr>
        <w:rFonts w:ascii="Symbol" w:hAnsi="Symbol" w:hint="default"/>
      </w:rPr>
    </w:lvl>
    <w:lvl w:ilvl="1" w:tplc="60DE7E1A">
      <w:start w:val="1"/>
      <w:numFmt w:val="bullet"/>
      <w:lvlText w:val="o"/>
      <w:lvlJc w:val="left"/>
      <w:pPr>
        <w:ind w:left="1440" w:hanging="360"/>
      </w:pPr>
      <w:rPr>
        <w:rFonts w:ascii="Courier New" w:hAnsi="Courier New" w:hint="default"/>
      </w:rPr>
    </w:lvl>
    <w:lvl w:ilvl="2" w:tplc="300229FC">
      <w:start w:val="1"/>
      <w:numFmt w:val="bullet"/>
      <w:lvlText w:val=""/>
      <w:lvlJc w:val="left"/>
      <w:pPr>
        <w:ind w:left="2160" w:hanging="360"/>
      </w:pPr>
      <w:rPr>
        <w:rFonts w:ascii="Wingdings" w:hAnsi="Wingdings" w:hint="default"/>
      </w:rPr>
    </w:lvl>
    <w:lvl w:ilvl="3" w:tplc="1E0621C0">
      <w:start w:val="1"/>
      <w:numFmt w:val="bullet"/>
      <w:lvlText w:val=""/>
      <w:lvlJc w:val="left"/>
      <w:pPr>
        <w:ind w:left="2880" w:hanging="360"/>
      </w:pPr>
      <w:rPr>
        <w:rFonts w:ascii="Symbol" w:hAnsi="Symbol" w:hint="default"/>
      </w:rPr>
    </w:lvl>
    <w:lvl w:ilvl="4" w:tplc="46048F78">
      <w:start w:val="1"/>
      <w:numFmt w:val="bullet"/>
      <w:lvlText w:val="o"/>
      <w:lvlJc w:val="left"/>
      <w:pPr>
        <w:ind w:left="3600" w:hanging="360"/>
      </w:pPr>
      <w:rPr>
        <w:rFonts w:ascii="Courier New" w:hAnsi="Courier New" w:hint="default"/>
      </w:rPr>
    </w:lvl>
    <w:lvl w:ilvl="5" w:tplc="83C6ABE6">
      <w:start w:val="1"/>
      <w:numFmt w:val="bullet"/>
      <w:lvlText w:val=""/>
      <w:lvlJc w:val="left"/>
      <w:pPr>
        <w:ind w:left="4320" w:hanging="360"/>
      </w:pPr>
      <w:rPr>
        <w:rFonts w:ascii="Wingdings" w:hAnsi="Wingdings" w:hint="default"/>
      </w:rPr>
    </w:lvl>
    <w:lvl w:ilvl="6" w:tplc="17E06C86">
      <w:start w:val="1"/>
      <w:numFmt w:val="bullet"/>
      <w:lvlText w:val=""/>
      <w:lvlJc w:val="left"/>
      <w:pPr>
        <w:ind w:left="5040" w:hanging="360"/>
      </w:pPr>
      <w:rPr>
        <w:rFonts w:ascii="Symbol" w:hAnsi="Symbol" w:hint="default"/>
      </w:rPr>
    </w:lvl>
    <w:lvl w:ilvl="7" w:tplc="BBA660B0">
      <w:start w:val="1"/>
      <w:numFmt w:val="bullet"/>
      <w:lvlText w:val="o"/>
      <w:lvlJc w:val="left"/>
      <w:pPr>
        <w:ind w:left="5760" w:hanging="360"/>
      </w:pPr>
      <w:rPr>
        <w:rFonts w:ascii="Courier New" w:hAnsi="Courier New" w:hint="default"/>
      </w:rPr>
    </w:lvl>
    <w:lvl w:ilvl="8" w:tplc="CC4400EA">
      <w:start w:val="1"/>
      <w:numFmt w:val="bullet"/>
      <w:lvlText w:val=""/>
      <w:lvlJc w:val="left"/>
      <w:pPr>
        <w:ind w:left="6480" w:hanging="360"/>
      </w:pPr>
      <w:rPr>
        <w:rFonts w:ascii="Wingdings" w:hAnsi="Wingdings" w:hint="default"/>
      </w:rPr>
    </w:lvl>
  </w:abstractNum>
  <w:abstractNum w:abstractNumId="4" w15:restartNumberingAfterBreak="0">
    <w:nsid w:val="12102D7B"/>
    <w:multiLevelType w:val="hybridMultilevel"/>
    <w:tmpl w:val="2C6A502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5D1B98"/>
    <w:multiLevelType w:val="hybridMultilevel"/>
    <w:tmpl w:val="77D242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774CE6"/>
    <w:multiLevelType w:val="hybridMultilevel"/>
    <w:tmpl w:val="AB346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5B0861"/>
    <w:multiLevelType w:val="hybridMultilevel"/>
    <w:tmpl w:val="89668C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43266"/>
    <w:multiLevelType w:val="hybridMultilevel"/>
    <w:tmpl w:val="85266C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B208DB"/>
    <w:multiLevelType w:val="hybridMultilevel"/>
    <w:tmpl w:val="BB289A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422C17"/>
    <w:multiLevelType w:val="hybridMultilevel"/>
    <w:tmpl w:val="89668C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595EB6"/>
    <w:multiLevelType w:val="hybridMultilevel"/>
    <w:tmpl w:val="519AD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EB3A98"/>
    <w:multiLevelType w:val="hybridMultilevel"/>
    <w:tmpl w:val="40FC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DB716F"/>
    <w:multiLevelType w:val="hybridMultilevel"/>
    <w:tmpl w:val="E050F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970411"/>
    <w:multiLevelType w:val="hybridMultilevel"/>
    <w:tmpl w:val="8C6808C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AA5637"/>
    <w:multiLevelType w:val="hybridMultilevel"/>
    <w:tmpl w:val="2CC868F6"/>
    <w:lvl w:ilvl="0" w:tplc="FFFFFFFF">
      <w:start w:val="1"/>
      <w:numFmt w:val="decimal"/>
      <w:lvlText w:val="%1."/>
      <w:lvlJc w:val="left"/>
      <w:pPr>
        <w:ind w:left="840" w:hanging="360"/>
      </w:pPr>
      <w:rPr>
        <w:rFonts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6" w15:restartNumberingAfterBreak="0">
    <w:nsid w:val="35AC4D2D"/>
    <w:multiLevelType w:val="hybridMultilevel"/>
    <w:tmpl w:val="BB321C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DD14D4"/>
    <w:multiLevelType w:val="hybridMultilevel"/>
    <w:tmpl w:val="F8CA1146"/>
    <w:lvl w:ilvl="0" w:tplc="90EE88E2">
      <w:start w:val="1"/>
      <w:numFmt w:val="decimal"/>
      <w:pStyle w:val="ListParagraph"/>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BB1BE6"/>
    <w:multiLevelType w:val="hybridMultilevel"/>
    <w:tmpl w:val="8C6808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714FFA"/>
    <w:multiLevelType w:val="hybridMultilevel"/>
    <w:tmpl w:val="C7D00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9F61A9"/>
    <w:multiLevelType w:val="hybridMultilevel"/>
    <w:tmpl w:val="AE52F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66381C"/>
    <w:multiLevelType w:val="hybridMultilevel"/>
    <w:tmpl w:val="CDD4F09E"/>
    <w:lvl w:ilvl="0" w:tplc="514AEB92">
      <w:start w:val="72"/>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EA583E"/>
    <w:multiLevelType w:val="hybridMultilevel"/>
    <w:tmpl w:val="17128D5C"/>
    <w:lvl w:ilvl="0" w:tplc="7D12AE00">
      <w:start w:val="1"/>
      <w:numFmt w:val="bullet"/>
      <w:lvlText w:val="•"/>
      <w:lvlJc w:val="left"/>
      <w:pPr>
        <w:tabs>
          <w:tab w:val="num" w:pos="720"/>
        </w:tabs>
        <w:ind w:left="720" w:hanging="360"/>
      </w:pPr>
      <w:rPr>
        <w:rFonts w:ascii="Arial" w:hAnsi="Arial" w:hint="default"/>
      </w:rPr>
    </w:lvl>
    <w:lvl w:ilvl="1" w:tplc="D7AC58E6">
      <w:start w:val="1"/>
      <w:numFmt w:val="bullet"/>
      <w:lvlText w:val="•"/>
      <w:lvlJc w:val="left"/>
      <w:pPr>
        <w:tabs>
          <w:tab w:val="num" w:pos="1440"/>
        </w:tabs>
        <w:ind w:left="1440" w:hanging="360"/>
      </w:pPr>
      <w:rPr>
        <w:rFonts w:ascii="Arial" w:hAnsi="Arial" w:hint="default"/>
      </w:rPr>
    </w:lvl>
    <w:lvl w:ilvl="2" w:tplc="C56A2C44">
      <w:start w:val="1"/>
      <w:numFmt w:val="lowerLetter"/>
      <w:lvlText w:val="%3)"/>
      <w:lvlJc w:val="left"/>
      <w:pPr>
        <w:tabs>
          <w:tab w:val="num" w:pos="2160"/>
        </w:tabs>
        <w:ind w:left="2160" w:hanging="360"/>
      </w:pPr>
    </w:lvl>
    <w:lvl w:ilvl="3" w:tplc="895E5084" w:tentative="1">
      <w:start w:val="1"/>
      <w:numFmt w:val="bullet"/>
      <w:lvlText w:val="•"/>
      <w:lvlJc w:val="left"/>
      <w:pPr>
        <w:tabs>
          <w:tab w:val="num" w:pos="2880"/>
        </w:tabs>
        <w:ind w:left="2880" w:hanging="360"/>
      </w:pPr>
      <w:rPr>
        <w:rFonts w:ascii="Arial" w:hAnsi="Arial" w:hint="default"/>
      </w:rPr>
    </w:lvl>
    <w:lvl w:ilvl="4" w:tplc="2ECA890A" w:tentative="1">
      <w:start w:val="1"/>
      <w:numFmt w:val="bullet"/>
      <w:lvlText w:val="•"/>
      <w:lvlJc w:val="left"/>
      <w:pPr>
        <w:tabs>
          <w:tab w:val="num" w:pos="3600"/>
        </w:tabs>
        <w:ind w:left="3600" w:hanging="360"/>
      </w:pPr>
      <w:rPr>
        <w:rFonts w:ascii="Arial" w:hAnsi="Arial" w:hint="default"/>
      </w:rPr>
    </w:lvl>
    <w:lvl w:ilvl="5" w:tplc="D88AC77C" w:tentative="1">
      <w:start w:val="1"/>
      <w:numFmt w:val="bullet"/>
      <w:lvlText w:val="•"/>
      <w:lvlJc w:val="left"/>
      <w:pPr>
        <w:tabs>
          <w:tab w:val="num" w:pos="4320"/>
        </w:tabs>
        <w:ind w:left="4320" w:hanging="360"/>
      </w:pPr>
      <w:rPr>
        <w:rFonts w:ascii="Arial" w:hAnsi="Arial" w:hint="default"/>
      </w:rPr>
    </w:lvl>
    <w:lvl w:ilvl="6" w:tplc="836C27C0" w:tentative="1">
      <w:start w:val="1"/>
      <w:numFmt w:val="bullet"/>
      <w:lvlText w:val="•"/>
      <w:lvlJc w:val="left"/>
      <w:pPr>
        <w:tabs>
          <w:tab w:val="num" w:pos="5040"/>
        </w:tabs>
        <w:ind w:left="5040" w:hanging="360"/>
      </w:pPr>
      <w:rPr>
        <w:rFonts w:ascii="Arial" w:hAnsi="Arial" w:hint="default"/>
      </w:rPr>
    </w:lvl>
    <w:lvl w:ilvl="7" w:tplc="7E480C76" w:tentative="1">
      <w:start w:val="1"/>
      <w:numFmt w:val="bullet"/>
      <w:lvlText w:val="•"/>
      <w:lvlJc w:val="left"/>
      <w:pPr>
        <w:tabs>
          <w:tab w:val="num" w:pos="5760"/>
        </w:tabs>
        <w:ind w:left="5760" w:hanging="360"/>
      </w:pPr>
      <w:rPr>
        <w:rFonts w:ascii="Arial" w:hAnsi="Arial" w:hint="default"/>
      </w:rPr>
    </w:lvl>
    <w:lvl w:ilvl="8" w:tplc="4E021D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BD863AD"/>
    <w:multiLevelType w:val="hybridMultilevel"/>
    <w:tmpl w:val="B4E898B8"/>
    <w:lvl w:ilvl="0" w:tplc="22DCD652">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A17A96"/>
    <w:multiLevelType w:val="hybridMultilevel"/>
    <w:tmpl w:val="22E4F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F7735C"/>
    <w:multiLevelType w:val="hybridMultilevel"/>
    <w:tmpl w:val="DDC2EA80"/>
    <w:lvl w:ilvl="0" w:tplc="C39859FE">
      <w:start w:val="1"/>
      <w:numFmt w:val="bullet"/>
      <w:lvlText w:val="•"/>
      <w:lvlJc w:val="left"/>
      <w:pPr>
        <w:tabs>
          <w:tab w:val="num" w:pos="720"/>
        </w:tabs>
        <w:ind w:left="720" w:hanging="360"/>
      </w:pPr>
      <w:rPr>
        <w:rFonts w:ascii="Arial" w:hAnsi="Arial" w:hint="default"/>
      </w:rPr>
    </w:lvl>
    <w:lvl w:ilvl="1" w:tplc="EE84E442">
      <w:start w:val="1"/>
      <w:numFmt w:val="bullet"/>
      <w:lvlText w:val="•"/>
      <w:lvlJc w:val="left"/>
      <w:pPr>
        <w:tabs>
          <w:tab w:val="num" w:pos="1440"/>
        </w:tabs>
        <w:ind w:left="1440" w:hanging="360"/>
      </w:pPr>
      <w:rPr>
        <w:rFonts w:ascii="Arial" w:hAnsi="Arial" w:hint="default"/>
      </w:rPr>
    </w:lvl>
    <w:lvl w:ilvl="2" w:tplc="47F4E5DC">
      <w:numFmt w:val="bullet"/>
      <w:lvlText w:val="•"/>
      <w:lvlJc w:val="left"/>
      <w:pPr>
        <w:tabs>
          <w:tab w:val="num" w:pos="2160"/>
        </w:tabs>
        <w:ind w:left="2160" w:hanging="360"/>
      </w:pPr>
      <w:rPr>
        <w:rFonts w:ascii="Arial" w:hAnsi="Arial" w:hint="default"/>
      </w:rPr>
    </w:lvl>
    <w:lvl w:ilvl="3" w:tplc="DB5AA390" w:tentative="1">
      <w:start w:val="1"/>
      <w:numFmt w:val="bullet"/>
      <w:lvlText w:val="•"/>
      <w:lvlJc w:val="left"/>
      <w:pPr>
        <w:tabs>
          <w:tab w:val="num" w:pos="2880"/>
        </w:tabs>
        <w:ind w:left="2880" w:hanging="360"/>
      </w:pPr>
      <w:rPr>
        <w:rFonts w:ascii="Arial" w:hAnsi="Arial" w:hint="default"/>
      </w:rPr>
    </w:lvl>
    <w:lvl w:ilvl="4" w:tplc="3EB658D0" w:tentative="1">
      <w:start w:val="1"/>
      <w:numFmt w:val="bullet"/>
      <w:lvlText w:val="•"/>
      <w:lvlJc w:val="left"/>
      <w:pPr>
        <w:tabs>
          <w:tab w:val="num" w:pos="3600"/>
        </w:tabs>
        <w:ind w:left="3600" w:hanging="360"/>
      </w:pPr>
      <w:rPr>
        <w:rFonts w:ascii="Arial" w:hAnsi="Arial" w:hint="default"/>
      </w:rPr>
    </w:lvl>
    <w:lvl w:ilvl="5" w:tplc="A6CEB50C" w:tentative="1">
      <w:start w:val="1"/>
      <w:numFmt w:val="bullet"/>
      <w:lvlText w:val="•"/>
      <w:lvlJc w:val="left"/>
      <w:pPr>
        <w:tabs>
          <w:tab w:val="num" w:pos="4320"/>
        </w:tabs>
        <w:ind w:left="4320" w:hanging="360"/>
      </w:pPr>
      <w:rPr>
        <w:rFonts w:ascii="Arial" w:hAnsi="Arial" w:hint="default"/>
      </w:rPr>
    </w:lvl>
    <w:lvl w:ilvl="6" w:tplc="3972304E" w:tentative="1">
      <w:start w:val="1"/>
      <w:numFmt w:val="bullet"/>
      <w:lvlText w:val="•"/>
      <w:lvlJc w:val="left"/>
      <w:pPr>
        <w:tabs>
          <w:tab w:val="num" w:pos="5040"/>
        </w:tabs>
        <w:ind w:left="5040" w:hanging="360"/>
      </w:pPr>
      <w:rPr>
        <w:rFonts w:ascii="Arial" w:hAnsi="Arial" w:hint="default"/>
      </w:rPr>
    </w:lvl>
    <w:lvl w:ilvl="7" w:tplc="81204760" w:tentative="1">
      <w:start w:val="1"/>
      <w:numFmt w:val="bullet"/>
      <w:lvlText w:val="•"/>
      <w:lvlJc w:val="left"/>
      <w:pPr>
        <w:tabs>
          <w:tab w:val="num" w:pos="5760"/>
        </w:tabs>
        <w:ind w:left="5760" w:hanging="360"/>
      </w:pPr>
      <w:rPr>
        <w:rFonts w:ascii="Arial" w:hAnsi="Arial" w:hint="default"/>
      </w:rPr>
    </w:lvl>
    <w:lvl w:ilvl="8" w:tplc="BDC0059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85C1718"/>
    <w:multiLevelType w:val="hybridMultilevel"/>
    <w:tmpl w:val="47D669DE"/>
    <w:lvl w:ilvl="0" w:tplc="43DE0B42">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0B34E4"/>
    <w:multiLevelType w:val="hybridMultilevel"/>
    <w:tmpl w:val="7358606C"/>
    <w:lvl w:ilvl="0" w:tplc="E502322E">
      <w:start w:val="2"/>
      <w:numFmt w:val="bullet"/>
      <w:lvlText w:val=""/>
      <w:lvlJc w:val="left"/>
      <w:pPr>
        <w:ind w:left="870" w:hanging="510"/>
      </w:pPr>
      <w:rPr>
        <w:rFonts w:ascii="Wingdings" w:eastAsiaTheme="majorEastAsia" w:hAnsi="Wingdings"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A17E88"/>
    <w:multiLevelType w:val="hybridMultilevel"/>
    <w:tmpl w:val="F1DE61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BF468D2"/>
    <w:multiLevelType w:val="hybridMultilevel"/>
    <w:tmpl w:val="42180524"/>
    <w:lvl w:ilvl="0" w:tplc="0C09000F">
      <w:start w:val="1"/>
      <w:numFmt w:val="decimal"/>
      <w:lvlText w:val="%1."/>
      <w:lvlJc w:val="left"/>
      <w:pPr>
        <w:ind w:left="840" w:hanging="360"/>
      </w:pPr>
      <w:rPr>
        <w:rFonts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30" w15:restartNumberingAfterBreak="0">
    <w:nsid w:val="5D8B6ECD"/>
    <w:multiLevelType w:val="hybridMultilevel"/>
    <w:tmpl w:val="1D189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0C17BE"/>
    <w:multiLevelType w:val="multilevel"/>
    <w:tmpl w:val="6FDE20E8"/>
    <w:lvl w:ilvl="0">
      <w:start w:val="1"/>
      <w:numFmt w:val="decimal"/>
      <w:lvlText w:val="%1."/>
      <w:lvlJc w:val="left"/>
      <w:pPr>
        <w:tabs>
          <w:tab w:val="num" w:pos="720"/>
        </w:tabs>
        <w:ind w:left="720" w:hanging="360"/>
      </w:pPr>
    </w:lvl>
    <w:lvl w:ilvl="1">
      <w:start w:val="23"/>
      <w:numFmt w:val="bullet"/>
      <w:lvlText w:val="-"/>
      <w:lvlJc w:val="left"/>
      <w:pPr>
        <w:ind w:left="1440" w:hanging="360"/>
      </w:pPr>
      <w:rPr>
        <w:rFonts w:ascii="Calibri" w:eastAsia="Times New Roman" w:hAnsi="Calibri" w:cs="Calibri" w:hint="default"/>
        <w:b/>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CB62C8"/>
    <w:multiLevelType w:val="hybridMultilevel"/>
    <w:tmpl w:val="AB1E4E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25803CF"/>
    <w:multiLevelType w:val="hybridMultilevel"/>
    <w:tmpl w:val="72361FFE"/>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34" w15:restartNumberingAfterBreak="0">
    <w:nsid w:val="642C47F8"/>
    <w:multiLevelType w:val="hybridMultilevel"/>
    <w:tmpl w:val="6568C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63A061D"/>
    <w:multiLevelType w:val="hybridMultilevel"/>
    <w:tmpl w:val="78E46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315A8C"/>
    <w:multiLevelType w:val="hybridMultilevel"/>
    <w:tmpl w:val="DF1CF62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7" w15:restartNumberingAfterBreak="0">
    <w:nsid w:val="6A7C64EF"/>
    <w:multiLevelType w:val="hybridMultilevel"/>
    <w:tmpl w:val="E548B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FC357A"/>
    <w:multiLevelType w:val="hybridMultilevel"/>
    <w:tmpl w:val="F882148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990055"/>
    <w:multiLevelType w:val="hybridMultilevel"/>
    <w:tmpl w:val="B5C4B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0DB4FC5"/>
    <w:multiLevelType w:val="hybridMultilevel"/>
    <w:tmpl w:val="FE8E4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BA0826"/>
    <w:multiLevelType w:val="hybridMultilevel"/>
    <w:tmpl w:val="89668C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5E6183"/>
    <w:multiLevelType w:val="hybridMultilevel"/>
    <w:tmpl w:val="32BE2A1A"/>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856424"/>
    <w:multiLevelType w:val="hybridMultilevel"/>
    <w:tmpl w:val="EE6AF026"/>
    <w:lvl w:ilvl="0" w:tplc="6866B1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175111">
    <w:abstractNumId w:val="3"/>
  </w:num>
  <w:num w:numId="2" w16cid:durableId="1784642764">
    <w:abstractNumId w:val="5"/>
  </w:num>
  <w:num w:numId="3" w16cid:durableId="1118985629">
    <w:abstractNumId w:val="11"/>
  </w:num>
  <w:num w:numId="4" w16cid:durableId="1607612922">
    <w:abstractNumId w:val="40"/>
  </w:num>
  <w:num w:numId="5" w16cid:durableId="898057351">
    <w:abstractNumId w:val="30"/>
  </w:num>
  <w:num w:numId="6" w16cid:durableId="48070387">
    <w:abstractNumId w:val="24"/>
  </w:num>
  <w:num w:numId="7" w16cid:durableId="900596032">
    <w:abstractNumId w:val="9"/>
  </w:num>
  <w:num w:numId="8" w16cid:durableId="822283034">
    <w:abstractNumId w:val="19"/>
  </w:num>
  <w:num w:numId="9" w16cid:durableId="2005089643">
    <w:abstractNumId w:val="20"/>
  </w:num>
  <w:num w:numId="10" w16cid:durableId="363096244">
    <w:abstractNumId w:val="33"/>
  </w:num>
  <w:num w:numId="11" w16cid:durableId="1002078025">
    <w:abstractNumId w:val="26"/>
  </w:num>
  <w:num w:numId="12" w16cid:durableId="556551289">
    <w:abstractNumId w:val="23"/>
  </w:num>
  <w:num w:numId="13" w16cid:durableId="1450247918">
    <w:abstractNumId w:val="13"/>
  </w:num>
  <w:num w:numId="14" w16cid:durableId="2091582374">
    <w:abstractNumId w:val="6"/>
  </w:num>
  <w:num w:numId="15" w16cid:durableId="1925644708">
    <w:abstractNumId w:val="12"/>
  </w:num>
  <w:num w:numId="16" w16cid:durableId="1598514242">
    <w:abstractNumId w:val="12"/>
  </w:num>
  <w:num w:numId="17" w16cid:durableId="544682062">
    <w:abstractNumId w:val="16"/>
  </w:num>
  <w:num w:numId="18" w16cid:durableId="958028413">
    <w:abstractNumId w:val="4"/>
  </w:num>
  <w:num w:numId="19" w16cid:durableId="216354607">
    <w:abstractNumId w:val="8"/>
  </w:num>
  <w:num w:numId="20" w16cid:durableId="1842155638">
    <w:abstractNumId w:val="25"/>
  </w:num>
  <w:num w:numId="21" w16cid:durableId="407463647">
    <w:abstractNumId w:val="22"/>
  </w:num>
  <w:num w:numId="22" w16cid:durableId="1890871876">
    <w:abstractNumId w:val="27"/>
  </w:num>
  <w:num w:numId="23" w16cid:durableId="1426614276">
    <w:abstractNumId w:val="28"/>
  </w:num>
  <w:num w:numId="24" w16cid:durableId="913273864">
    <w:abstractNumId w:val="36"/>
  </w:num>
  <w:num w:numId="25" w16cid:durableId="1525358516">
    <w:abstractNumId w:val="38"/>
  </w:num>
  <w:num w:numId="26" w16cid:durableId="96028098">
    <w:abstractNumId w:val="32"/>
  </w:num>
  <w:num w:numId="27" w16cid:durableId="969550465">
    <w:abstractNumId w:val="29"/>
  </w:num>
  <w:num w:numId="28" w16cid:durableId="830414963">
    <w:abstractNumId w:val="15"/>
  </w:num>
  <w:num w:numId="29" w16cid:durableId="336083025">
    <w:abstractNumId w:val="21"/>
  </w:num>
  <w:num w:numId="30" w16cid:durableId="664939299">
    <w:abstractNumId w:val="31"/>
  </w:num>
  <w:num w:numId="31" w16cid:durableId="1563254355">
    <w:abstractNumId w:val="14"/>
  </w:num>
  <w:num w:numId="32" w16cid:durableId="556549240">
    <w:abstractNumId w:val="7"/>
  </w:num>
  <w:num w:numId="33" w16cid:durableId="542643234">
    <w:abstractNumId w:val="2"/>
  </w:num>
  <w:num w:numId="34" w16cid:durableId="787819448">
    <w:abstractNumId w:val="10"/>
  </w:num>
  <w:num w:numId="35" w16cid:durableId="670839408">
    <w:abstractNumId w:val="0"/>
  </w:num>
  <w:num w:numId="36" w16cid:durableId="1304503517">
    <w:abstractNumId w:val="37"/>
  </w:num>
  <w:num w:numId="37" w16cid:durableId="542132464">
    <w:abstractNumId w:val="35"/>
  </w:num>
  <w:num w:numId="38" w16cid:durableId="1469857013">
    <w:abstractNumId w:val="41"/>
  </w:num>
  <w:num w:numId="39" w16cid:durableId="967392793">
    <w:abstractNumId w:val="1"/>
  </w:num>
  <w:num w:numId="40" w16cid:durableId="1815366445">
    <w:abstractNumId w:val="43"/>
  </w:num>
  <w:num w:numId="41" w16cid:durableId="1961257586">
    <w:abstractNumId w:val="34"/>
  </w:num>
  <w:num w:numId="42" w16cid:durableId="2090613769">
    <w:abstractNumId w:val="39"/>
  </w:num>
  <w:num w:numId="43" w16cid:durableId="1307931258">
    <w:abstractNumId w:val="17"/>
  </w:num>
  <w:num w:numId="44" w16cid:durableId="1890650931">
    <w:abstractNumId w:val="18"/>
  </w:num>
  <w:num w:numId="45" w16cid:durableId="814567287">
    <w:abstractNumId w:val="17"/>
    <w:lvlOverride w:ilvl="0">
      <w:startOverride w:val="1"/>
    </w:lvlOverride>
  </w:num>
  <w:num w:numId="46" w16cid:durableId="528764262">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cxNLc0MTEwsjAzMjZT0lEKTi0uzszPAykwqwUABxqm0S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02p9eddpv2ptea20sx92a7tdxs5z009pvt&quot;&gt;AllRef-Converted&lt;record-ids&gt;&lt;item&gt;233&lt;/item&gt;&lt;item&gt;238&lt;/item&gt;&lt;item&gt;588&lt;/item&gt;&lt;item&gt;1099&lt;/item&gt;&lt;item&gt;1193&lt;/item&gt;&lt;item&gt;1268&lt;/item&gt;&lt;item&gt;1364&lt;/item&gt;&lt;item&gt;1458&lt;/item&gt;&lt;item&gt;1459&lt;/item&gt;&lt;item&gt;1460&lt;/item&gt;&lt;item&gt;1461&lt;/item&gt;&lt;item&gt;1463&lt;/item&gt;&lt;item&gt;1464&lt;/item&gt;&lt;item&gt;1465&lt;/item&gt;&lt;item&gt;1466&lt;/item&gt;&lt;item&gt;1467&lt;/item&gt;&lt;/record-ids&gt;&lt;/item&gt;&lt;item db-id=&quot;pfpfzpxrnsp9efewdet5t9xpaa5vvddz9x5x&quot;&gt;Lib1&lt;record-ids&gt;&lt;item&gt;1795&lt;/item&gt;&lt;item&gt;1818&lt;/item&gt;&lt;item&gt;1841&lt;/item&gt;&lt;item&gt;1842&lt;/item&gt;&lt;item&gt;1843&lt;/item&gt;&lt;item&gt;1844&lt;/item&gt;&lt;item&gt;1845&lt;/item&gt;&lt;item&gt;1846&lt;/item&gt;&lt;item&gt;1847&lt;/item&gt;&lt;item&gt;1848&lt;/item&gt;&lt;item&gt;1849&lt;/item&gt;&lt;item&gt;1850&lt;/item&gt;&lt;item&gt;1851&lt;/item&gt;&lt;/record-ids&gt;&lt;/item&gt;&lt;/Libraries&gt;"/>
  </w:docVars>
  <w:rsids>
    <w:rsidRoot w:val="00833A14"/>
    <w:rsid w:val="00000191"/>
    <w:rsid w:val="000003A9"/>
    <w:rsid w:val="00000499"/>
    <w:rsid w:val="000006FB"/>
    <w:rsid w:val="000008C4"/>
    <w:rsid w:val="00000A41"/>
    <w:rsid w:val="00000B72"/>
    <w:rsid w:val="00000B98"/>
    <w:rsid w:val="00001984"/>
    <w:rsid w:val="00001D13"/>
    <w:rsid w:val="00001EE1"/>
    <w:rsid w:val="00001FB9"/>
    <w:rsid w:val="00002125"/>
    <w:rsid w:val="00002254"/>
    <w:rsid w:val="00002325"/>
    <w:rsid w:val="0000265B"/>
    <w:rsid w:val="00002B97"/>
    <w:rsid w:val="00002C2E"/>
    <w:rsid w:val="00002E3E"/>
    <w:rsid w:val="000034AC"/>
    <w:rsid w:val="00003697"/>
    <w:rsid w:val="00003D6D"/>
    <w:rsid w:val="00003ED6"/>
    <w:rsid w:val="00003FCC"/>
    <w:rsid w:val="0000409F"/>
    <w:rsid w:val="000040EA"/>
    <w:rsid w:val="0000413C"/>
    <w:rsid w:val="00004ECE"/>
    <w:rsid w:val="000050C9"/>
    <w:rsid w:val="00005412"/>
    <w:rsid w:val="00005713"/>
    <w:rsid w:val="00006079"/>
    <w:rsid w:val="00006494"/>
    <w:rsid w:val="000067AB"/>
    <w:rsid w:val="00006996"/>
    <w:rsid w:val="00006DA9"/>
    <w:rsid w:val="00006E3A"/>
    <w:rsid w:val="00007088"/>
    <w:rsid w:val="000070C6"/>
    <w:rsid w:val="000070E2"/>
    <w:rsid w:val="00007171"/>
    <w:rsid w:val="000101B6"/>
    <w:rsid w:val="000102BD"/>
    <w:rsid w:val="00010607"/>
    <w:rsid w:val="00010988"/>
    <w:rsid w:val="00010AFB"/>
    <w:rsid w:val="00010C02"/>
    <w:rsid w:val="00011876"/>
    <w:rsid w:val="00011882"/>
    <w:rsid w:val="00011894"/>
    <w:rsid w:val="00011DD7"/>
    <w:rsid w:val="000124A8"/>
    <w:rsid w:val="00012658"/>
    <w:rsid w:val="000127FF"/>
    <w:rsid w:val="000128C5"/>
    <w:rsid w:val="00012D3B"/>
    <w:rsid w:val="00012D7E"/>
    <w:rsid w:val="00012DD4"/>
    <w:rsid w:val="000135F1"/>
    <w:rsid w:val="0001395B"/>
    <w:rsid w:val="00013EDE"/>
    <w:rsid w:val="0001429A"/>
    <w:rsid w:val="000143D2"/>
    <w:rsid w:val="000144AD"/>
    <w:rsid w:val="0001471B"/>
    <w:rsid w:val="00014A16"/>
    <w:rsid w:val="00014E52"/>
    <w:rsid w:val="00014FBE"/>
    <w:rsid w:val="0001518E"/>
    <w:rsid w:val="00015860"/>
    <w:rsid w:val="000159B2"/>
    <w:rsid w:val="00016177"/>
    <w:rsid w:val="00016834"/>
    <w:rsid w:val="00016A61"/>
    <w:rsid w:val="00016AA1"/>
    <w:rsid w:val="00016CFD"/>
    <w:rsid w:val="00016E06"/>
    <w:rsid w:val="0001798B"/>
    <w:rsid w:val="000200AC"/>
    <w:rsid w:val="000201BE"/>
    <w:rsid w:val="00020533"/>
    <w:rsid w:val="00020590"/>
    <w:rsid w:val="00020866"/>
    <w:rsid w:val="00020ADE"/>
    <w:rsid w:val="00020ADF"/>
    <w:rsid w:val="00021045"/>
    <w:rsid w:val="000210DD"/>
    <w:rsid w:val="0002111C"/>
    <w:rsid w:val="00021321"/>
    <w:rsid w:val="000214A3"/>
    <w:rsid w:val="00021512"/>
    <w:rsid w:val="00021C5B"/>
    <w:rsid w:val="00021D8C"/>
    <w:rsid w:val="000220BF"/>
    <w:rsid w:val="0002226E"/>
    <w:rsid w:val="00022838"/>
    <w:rsid w:val="000229A1"/>
    <w:rsid w:val="00022D98"/>
    <w:rsid w:val="00022DAF"/>
    <w:rsid w:val="00022E64"/>
    <w:rsid w:val="00022FA3"/>
    <w:rsid w:val="00023850"/>
    <w:rsid w:val="00023899"/>
    <w:rsid w:val="0002399E"/>
    <w:rsid w:val="00024196"/>
    <w:rsid w:val="00024539"/>
    <w:rsid w:val="00024F01"/>
    <w:rsid w:val="000253EC"/>
    <w:rsid w:val="00025AEE"/>
    <w:rsid w:val="0002619A"/>
    <w:rsid w:val="00026519"/>
    <w:rsid w:val="00026684"/>
    <w:rsid w:val="0002673B"/>
    <w:rsid w:val="000267B6"/>
    <w:rsid w:val="00027B35"/>
    <w:rsid w:val="00027C27"/>
    <w:rsid w:val="00027DDC"/>
    <w:rsid w:val="00030140"/>
    <w:rsid w:val="00030268"/>
    <w:rsid w:val="0003084B"/>
    <w:rsid w:val="00030BD6"/>
    <w:rsid w:val="00030EA3"/>
    <w:rsid w:val="000311B6"/>
    <w:rsid w:val="000318AC"/>
    <w:rsid w:val="00031AA3"/>
    <w:rsid w:val="00031E07"/>
    <w:rsid w:val="00032302"/>
    <w:rsid w:val="000323D3"/>
    <w:rsid w:val="00032EBD"/>
    <w:rsid w:val="00033293"/>
    <w:rsid w:val="00033958"/>
    <w:rsid w:val="00033ADF"/>
    <w:rsid w:val="00033C3F"/>
    <w:rsid w:val="00033D60"/>
    <w:rsid w:val="00033D9B"/>
    <w:rsid w:val="000340AB"/>
    <w:rsid w:val="000340E5"/>
    <w:rsid w:val="00034535"/>
    <w:rsid w:val="0003484B"/>
    <w:rsid w:val="0003487A"/>
    <w:rsid w:val="00034927"/>
    <w:rsid w:val="00034BF1"/>
    <w:rsid w:val="00034C1C"/>
    <w:rsid w:val="00034FCE"/>
    <w:rsid w:val="0003509A"/>
    <w:rsid w:val="0003509D"/>
    <w:rsid w:val="0003532B"/>
    <w:rsid w:val="00035395"/>
    <w:rsid w:val="000353FA"/>
    <w:rsid w:val="00035489"/>
    <w:rsid w:val="00035BC2"/>
    <w:rsid w:val="00035F99"/>
    <w:rsid w:val="00036123"/>
    <w:rsid w:val="00036272"/>
    <w:rsid w:val="00036827"/>
    <w:rsid w:val="00036866"/>
    <w:rsid w:val="00036940"/>
    <w:rsid w:val="00036CF3"/>
    <w:rsid w:val="00036E34"/>
    <w:rsid w:val="00037037"/>
    <w:rsid w:val="000370C0"/>
    <w:rsid w:val="000370DE"/>
    <w:rsid w:val="000371E4"/>
    <w:rsid w:val="000400AA"/>
    <w:rsid w:val="000400E0"/>
    <w:rsid w:val="000407A0"/>
    <w:rsid w:val="000409BC"/>
    <w:rsid w:val="000411AF"/>
    <w:rsid w:val="00041339"/>
    <w:rsid w:val="000414F7"/>
    <w:rsid w:val="00041809"/>
    <w:rsid w:val="00041975"/>
    <w:rsid w:val="00041B5A"/>
    <w:rsid w:val="00041F88"/>
    <w:rsid w:val="000422CA"/>
    <w:rsid w:val="00042584"/>
    <w:rsid w:val="00042A0A"/>
    <w:rsid w:val="00042A18"/>
    <w:rsid w:val="0004318B"/>
    <w:rsid w:val="000436C6"/>
    <w:rsid w:val="00043836"/>
    <w:rsid w:val="000438FE"/>
    <w:rsid w:val="00043CC0"/>
    <w:rsid w:val="00043FE0"/>
    <w:rsid w:val="0004437A"/>
    <w:rsid w:val="000444AB"/>
    <w:rsid w:val="00044535"/>
    <w:rsid w:val="00044698"/>
    <w:rsid w:val="0004472D"/>
    <w:rsid w:val="000447E9"/>
    <w:rsid w:val="00044E98"/>
    <w:rsid w:val="0004556E"/>
    <w:rsid w:val="0004597C"/>
    <w:rsid w:val="00045A80"/>
    <w:rsid w:val="00045BE6"/>
    <w:rsid w:val="00046201"/>
    <w:rsid w:val="00046220"/>
    <w:rsid w:val="000463C6"/>
    <w:rsid w:val="000464B5"/>
    <w:rsid w:val="000465BD"/>
    <w:rsid w:val="0004666C"/>
    <w:rsid w:val="00046916"/>
    <w:rsid w:val="000469F5"/>
    <w:rsid w:val="00046B75"/>
    <w:rsid w:val="00046B7E"/>
    <w:rsid w:val="00046D7D"/>
    <w:rsid w:val="00046E8A"/>
    <w:rsid w:val="0004721E"/>
    <w:rsid w:val="00047486"/>
    <w:rsid w:val="00047862"/>
    <w:rsid w:val="000501A5"/>
    <w:rsid w:val="00050424"/>
    <w:rsid w:val="00050566"/>
    <w:rsid w:val="00050FED"/>
    <w:rsid w:val="00050FF3"/>
    <w:rsid w:val="00051658"/>
    <w:rsid w:val="00051BA6"/>
    <w:rsid w:val="00051C9E"/>
    <w:rsid w:val="00051EEA"/>
    <w:rsid w:val="000522E1"/>
    <w:rsid w:val="0005233C"/>
    <w:rsid w:val="0005238F"/>
    <w:rsid w:val="0005311C"/>
    <w:rsid w:val="00053466"/>
    <w:rsid w:val="00053575"/>
    <w:rsid w:val="000535E6"/>
    <w:rsid w:val="00053A08"/>
    <w:rsid w:val="00053A50"/>
    <w:rsid w:val="00053B2A"/>
    <w:rsid w:val="00053DA1"/>
    <w:rsid w:val="00053E02"/>
    <w:rsid w:val="000544F7"/>
    <w:rsid w:val="0005454D"/>
    <w:rsid w:val="000547E3"/>
    <w:rsid w:val="0005483B"/>
    <w:rsid w:val="0005488B"/>
    <w:rsid w:val="00054D59"/>
    <w:rsid w:val="00054E9A"/>
    <w:rsid w:val="00054FAB"/>
    <w:rsid w:val="0005525E"/>
    <w:rsid w:val="00055B3D"/>
    <w:rsid w:val="00055CA7"/>
    <w:rsid w:val="00056002"/>
    <w:rsid w:val="00056015"/>
    <w:rsid w:val="00056E1D"/>
    <w:rsid w:val="00056EB5"/>
    <w:rsid w:val="00056EF1"/>
    <w:rsid w:val="00056F3A"/>
    <w:rsid w:val="0005703E"/>
    <w:rsid w:val="000575AA"/>
    <w:rsid w:val="0005787A"/>
    <w:rsid w:val="00057A4C"/>
    <w:rsid w:val="00057BE4"/>
    <w:rsid w:val="00057CAA"/>
    <w:rsid w:val="000604A5"/>
    <w:rsid w:val="00060510"/>
    <w:rsid w:val="00060858"/>
    <w:rsid w:val="00060B62"/>
    <w:rsid w:val="00060CF2"/>
    <w:rsid w:val="00061305"/>
    <w:rsid w:val="000615F3"/>
    <w:rsid w:val="00061AAE"/>
    <w:rsid w:val="00061C0B"/>
    <w:rsid w:val="000622B4"/>
    <w:rsid w:val="0006231B"/>
    <w:rsid w:val="000624EF"/>
    <w:rsid w:val="00062588"/>
    <w:rsid w:val="00062699"/>
    <w:rsid w:val="00062859"/>
    <w:rsid w:val="00063006"/>
    <w:rsid w:val="0006305E"/>
    <w:rsid w:val="00063371"/>
    <w:rsid w:val="0006388C"/>
    <w:rsid w:val="00063B31"/>
    <w:rsid w:val="00063BAF"/>
    <w:rsid w:val="000641B1"/>
    <w:rsid w:val="000641B7"/>
    <w:rsid w:val="0006448B"/>
    <w:rsid w:val="00064878"/>
    <w:rsid w:val="000651BA"/>
    <w:rsid w:val="00065AB1"/>
    <w:rsid w:val="00066111"/>
    <w:rsid w:val="000663AD"/>
    <w:rsid w:val="000663E7"/>
    <w:rsid w:val="00066590"/>
    <w:rsid w:val="0006661E"/>
    <w:rsid w:val="00066806"/>
    <w:rsid w:val="00066B08"/>
    <w:rsid w:val="00066DDC"/>
    <w:rsid w:val="0006714C"/>
    <w:rsid w:val="000672E7"/>
    <w:rsid w:val="000678B6"/>
    <w:rsid w:val="00067A8D"/>
    <w:rsid w:val="0007034F"/>
    <w:rsid w:val="000705C1"/>
    <w:rsid w:val="00070AA6"/>
    <w:rsid w:val="00070BE5"/>
    <w:rsid w:val="00070DA7"/>
    <w:rsid w:val="00070E46"/>
    <w:rsid w:val="000716F7"/>
    <w:rsid w:val="00071735"/>
    <w:rsid w:val="0007187D"/>
    <w:rsid w:val="0007189B"/>
    <w:rsid w:val="000719EF"/>
    <w:rsid w:val="00072161"/>
    <w:rsid w:val="000722DA"/>
    <w:rsid w:val="000723A3"/>
    <w:rsid w:val="000724C8"/>
    <w:rsid w:val="00072665"/>
    <w:rsid w:val="000726FE"/>
    <w:rsid w:val="0007315D"/>
    <w:rsid w:val="00073254"/>
    <w:rsid w:val="00073941"/>
    <w:rsid w:val="00073D2E"/>
    <w:rsid w:val="000740E5"/>
    <w:rsid w:val="0007419B"/>
    <w:rsid w:val="000741B1"/>
    <w:rsid w:val="00074909"/>
    <w:rsid w:val="000749F4"/>
    <w:rsid w:val="00074CAA"/>
    <w:rsid w:val="000754D9"/>
    <w:rsid w:val="00075AC1"/>
    <w:rsid w:val="00075DDE"/>
    <w:rsid w:val="00075DE1"/>
    <w:rsid w:val="00075E19"/>
    <w:rsid w:val="00075E27"/>
    <w:rsid w:val="00076384"/>
    <w:rsid w:val="000764A5"/>
    <w:rsid w:val="00076869"/>
    <w:rsid w:val="00076AFC"/>
    <w:rsid w:val="00076BA1"/>
    <w:rsid w:val="00076C85"/>
    <w:rsid w:val="00076DDD"/>
    <w:rsid w:val="00076F49"/>
    <w:rsid w:val="00076F7E"/>
    <w:rsid w:val="000771AA"/>
    <w:rsid w:val="000774D9"/>
    <w:rsid w:val="000775B5"/>
    <w:rsid w:val="00077619"/>
    <w:rsid w:val="00080072"/>
    <w:rsid w:val="000801E1"/>
    <w:rsid w:val="00080312"/>
    <w:rsid w:val="00080322"/>
    <w:rsid w:val="0008034B"/>
    <w:rsid w:val="000803F2"/>
    <w:rsid w:val="00080432"/>
    <w:rsid w:val="0008067F"/>
    <w:rsid w:val="000806EE"/>
    <w:rsid w:val="000809F1"/>
    <w:rsid w:val="00080B78"/>
    <w:rsid w:val="00080BC1"/>
    <w:rsid w:val="00080E4A"/>
    <w:rsid w:val="00080E7A"/>
    <w:rsid w:val="00081743"/>
    <w:rsid w:val="0008180C"/>
    <w:rsid w:val="00081F96"/>
    <w:rsid w:val="000822F3"/>
    <w:rsid w:val="00082443"/>
    <w:rsid w:val="000825D4"/>
    <w:rsid w:val="00082F61"/>
    <w:rsid w:val="00083061"/>
    <w:rsid w:val="000834AA"/>
    <w:rsid w:val="000834E5"/>
    <w:rsid w:val="0008360F"/>
    <w:rsid w:val="000838E8"/>
    <w:rsid w:val="00083A12"/>
    <w:rsid w:val="00083BE5"/>
    <w:rsid w:val="00083EF1"/>
    <w:rsid w:val="000843A1"/>
    <w:rsid w:val="000850B0"/>
    <w:rsid w:val="00085598"/>
    <w:rsid w:val="000856BE"/>
    <w:rsid w:val="000856FF"/>
    <w:rsid w:val="00085924"/>
    <w:rsid w:val="00085B34"/>
    <w:rsid w:val="000862D3"/>
    <w:rsid w:val="0008651F"/>
    <w:rsid w:val="00086769"/>
    <w:rsid w:val="000868E3"/>
    <w:rsid w:val="00086C0A"/>
    <w:rsid w:val="00086C83"/>
    <w:rsid w:val="0008735F"/>
    <w:rsid w:val="00087646"/>
    <w:rsid w:val="0008766B"/>
    <w:rsid w:val="00087A45"/>
    <w:rsid w:val="00090269"/>
    <w:rsid w:val="000902EE"/>
    <w:rsid w:val="00090451"/>
    <w:rsid w:val="00090454"/>
    <w:rsid w:val="0009045C"/>
    <w:rsid w:val="00090586"/>
    <w:rsid w:val="00090972"/>
    <w:rsid w:val="00090A21"/>
    <w:rsid w:val="00090BD0"/>
    <w:rsid w:val="00090CC1"/>
    <w:rsid w:val="0009136C"/>
    <w:rsid w:val="0009170D"/>
    <w:rsid w:val="000924D0"/>
    <w:rsid w:val="0009257F"/>
    <w:rsid w:val="000928BF"/>
    <w:rsid w:val="00092A80"/>
    <w:rsid w:val="00092AF3"/>
    <w:rsid w:val="00092B70"/>
    <w:rsid w:val="00092C21"/>
    <w:rsid w:val="00092DBD"/>
    <w:rsid w:val="000932B2"/>
    <w:rsid w:val="000933A1"/>
    <w:rsid w:val="0009392F"/>
    <w:rsid w:val="00093A78"/>
    <w:rsid w:val="00093AFB"/>
    <w:rsid w:val="00094035"/>
    <w:rsid w:val="000942DD"/>
    <w:rsid w:val="000944E1"/>
    <w:rsid w:val="0009462C"/>
    <w:rsid w:val="00094BA5"/>
    <w:rsid w:val="00094CEC"/>
    <w:rsid w:val="00094D03"/>
    <w:rsid w:val="000954D1"/>
    <w:rsid w:val="0009596A"/>
    <w:rsid w:val="000959D7"/>
    <w:rsid w:val="00095C81"/>
    <w:rsid w:val="00095F44"/>
    <w:rsid w:val="00096236"/>
    <w:rsid w:val="000963CE"/>
    <w:rsid w:val="000967DB"/>
    <w:rsid w:val="00096AB3"/>
    <w:rsid w:val="00096AD9"/>
    <w:rsid w:val="00096C68"/>
    <w:rsid w:val="00097146"/>
    <w:rsid w:val="000A00FD"/>
    <w:rsid w:val="000A0414"/>
    <w:rsid w:val="000A0663"/>
    <w:rsid w:val="000A0D33"/>
    <w:rsid w:val="000A0D8A"/>
    <w:rsid w:val="000A0EB9"/>
    <w:rsid w:val="000A0F7B"/>
    <w:rsid w:val="000A13FD"/>
    <w:rsid w:val="000A1CF0"/>
    <w:rsid w:val="000A242B"/>
    <w:rsid w:val="000A2988"/>
    <w:rsid w:val="000A2CFE"/>
    <w:rsid w:val="000A2D16"/>
    <w:rsid w:val="000A33A9"/>
    <w:rsid w:val="000A364C"/>
    <w:rsid w:val="000A381D"/>
    <w:rsid w:val="000A3BEC"/>
    <w:rsid w:val="000A3D92"/>
    <w:rsid w:val="000A41A7"/>
    <w:rsid w:val="000A4393"/>
    <w:rsid w:val="000A4526"/>
    <w:rsid w:val="000A452F"/>
    <w:rsid w:val="000A4AA7"/>
    <w:rsid w:val="000A4E51"/>
    <w:rsid w:val="000A5199"/>
    <w:rsid w:val="000A57D0"/>
    <w:rsid w:val="000A5902"/>
    <w:rsid w:val="000A5995"/>
    <w:rsid w:val="000A5EF7"/>
    <w:rsid w:val="000A67DD"/>
    <w:rsid w:val="000A6DA2"/>
    <w:rsid w:val="000A6F4F"/>
    <w:rsid w:val="000A743F"/>
    <w:rsid w:val="000A767E"/>
    <w:rsid w:val="000A7A14"/>
    <w:rsid w:val="000A7E58"/>
    <w:rsid w:val="000B0237"/>
    <w:rsid w:val="000B0296"/>
    <w:rsid w:val="000B0387"/>
    <w:rsid w:val="000B0D44"/>
    <w:rsid w:val="000B0EDE"/>
    <w:rsid w:val="000B0EF3"/>
    <w:rsid w:val="000B10FE"/>
    <w:rsid w:val="000B1394"/>
    <w:rsid w:val="000B161F"/>
    <w:rsid w:val="000B1905"/>
    <w:rsid w:val="000B1AE2"/>
    <w:rsid w:val="000B217A"/>
    <w:rsid w:val="000B2436"/>
    <w:rsid w:val="000B2908"/>
    <w:rsid w:val="000B2BA0"/>
    <w:rsid w:val="000B2E1C"/>
    <w:rsid w:val="000B2ECE"/>
    <w:rsid w:val="000B34CD"/>
    <w:rsid w:val="000B3A25"/>
    <w:rsid w:val="000B3D92"/>
    <w:rsid w:val="000B4306"/>
    <w:rsid w:val="000B4307"/>
    <w:rsid w:val="000B5761"/>
    <w:rsid w:val="000B5AEF"/>
    <w:rsid w:val="000B5DBB"/>
    <w:rsid w:val="000B61D1"/>
    <w:rsid w:val="000B66D1"/>
    <w:rsid w:val="000B6AD2"/>
    <w:rsid w:val="000B7CEE"/>
    <w:rsid w:val="000B7EB4"/>
    <w:rsid w:val="000C0299"/>
    <w:rsid w:val="000C074D"/>
    <w:rsid w:val="000C07FB"/>
    <w:rsid w:val="000C09C2"/>
    <w:rsid w:val="000C0C50"/>
    <w:rsid w:val="000C1645"/>
    <w:rsid w:val="000C1704"/>
    <w:rsid w:val="000C1795"/>
    <w:rsid w:val="000C1EB8"/>
    <w:rsid w:val="000C2215"/>
    <w:rsid w:val="000C292B"/>
    <w:rsid w:val="000C2F2C"/>
    <w:rsid w:val="000C31C6"/>
    <w:rsid w:val="000C37DF"/>
    <w:rsid w:val="000C3B97"/>
    <w:rsid w:val="000C3D77"/>
    <w:rsid w:val="000C3DC0"/>
    <w:rsid w:val="000C40C8"/>
    <w:rsid w:val="000C439E"/>
    <w:rsid w:val="000C4B9F"/>
    <w:rsid w:val="000C4DC2"/>
    <w:rsid w:val="000C52DF"/>
    <w:rsid w:val="000C55FD"/>
    <w:rsid w:val="000C5B92"/>
    <w:rsid w:val="000C5D9A"/>
    <w:rsid w:val="000C5F68"/>
    <w:rsid w:val="000C6063"/>
    <w:rsid w:val="000C63E0"/>
    <w:rsid w:val="000C6486"/>
    <w:rsid w:val="000C68B1"/>
    <w:rsid w:val="000C6B43"/>
    <w:rsid w:val="000C6BE0"/>
    <w:rsid w:val="000C7140"/>
    <w:rsid w:val="000C731D"/>
    <w:rsid w:val="000C7B8D"/>
    <w:rsid w:val="000C7CAB"/>
    <w:rsid w:val="000C7CB3"/>
    <w:rsid w:val="000D110E"/>
    <w:rsid w:val="000D1242"/>
    <w:rsid w:val="000D129C"/>
    <w:rsid w:val="000D1E87"/>
    <w:rsid w:val="000D2203"/>
    <w:rsid w:val="000D2768"/>
    <w:rsid w:val="000D2A33"/>
    <w:rsid w:val="000D30A1"/>
    <w:rsid w:val="000D317C"/>
    <w:rsid w:val="000D3CC9"/>
    <w:rsid w:val="000D3DDA"/>
    <w:rsid w:val="000D428B"/>
    <w:rsid w:val="000D42A4"/>
    <w:rsid w:val="000D4346"/>
    <w:rsid w:val="000D4368"/>
    <w:rsid w:val="000D445F"/>
    <w:rsid w:val="000D4460"/>
    <w:rsid w:val="000D472C"/>
    <w:rsid w:val="000D47CD"/>
    <w:rsid w:val="000D4B3A"/>
    <w:rsid w:val="000D4B63"/>
    <w:rsid w:val="000D5201"/>
    <w:rsid w:val="000D5499"/>
    <w:rsid w:val="000D549D"/>
    <w:rsid w:val="000D5979"/>
    <w:rsid w:val="000D5C1C"/>
    <w:rsid w:val="000D5F73"/>
    <w:rsid w:val="000D6661"/>
    <w:rsid w:val="000D6A20"/>
    <w:rsid w:val="000D6D04"/>
    <w:rsid w:val="000D6EA4"/>
    <w:rsid w:val="000D6EB9"/>
    <w:rsid w:val="000D713B"/>
    <w:rsid w:val="000D742E"/>
    <w:rsid w:val="000D7491"/>
    <w:rsid w:val="000D762D"/>
    <w:rsid w:val="000D78B2"/>
    <w:rsid w:val="000D7CA0"/>
    <w:rsid w:val="000D7FEC"/>
    <w:rsid w:val="000E0122"/>
    <w:rsid w:val="000E02B9"/>
    <w:rsid w:val="000E0468"/>
    <w:rsid w:val="000E04C0"/>
    <w:rsid w:val="000E0542"/>
    <w:rsid w:val="000E098D"/>
    <w:rsid w:val="000E09C4"/>
    <w:rsid w:val="000E0A44"/>
    <w:rsid w:val="000E0A50"/>
    <w:rsid w:val="000E0B92"/>
    <w:rsid w:val="000E0CF5"/>
    <w:rsid w:val="000E0F69"/>
    <w:rsid w:val="000E0FDF"/>
    <w:rsid w:val="000E11B8"/>
    <w:rsid w:val="000E127F"/>
    <w:rsid w:val="000E13E5"/>
    <w:rsid w:val="000E1409"/>
    <w:rsid w:val="000E1479"/>
    <w:rsid w:val="000E1933"/>
    <w:rsid w:val="000E19B8"/>
    <w:rsid w:val="000E1A63"/>
    <w:rsid w:val="000E1F28"/>
    <w:rsid w:val="000E2203"/>
    <w:rsid w:val="000E222B"/>
    <w:rsid w:val="000E2400"/>
    <w:rsid w:val="000E25D9"/>
    <w:rsid w:val="000E2617"/>
    <w:rsid w:val="000E26C0"/>
    <w:rsid w:val="000E28E2"/>
    <w:rsid w:val="000E296C"/>
    <w:rsid w:val="000E29F0"/>
    <w:rsid w:val="000E2A4A"/>
    <w:rsid w:val="000E2B9E"/>
    <w:rsid w:val="000E2C81"/>
    <w:rsid w:val="000E2D54"/>
    <w:rsid w:val="000E2DB8"/>
    <w:rsid w:val="000E3575"/>
    <w:rsid w:val="000E3842"/>
    <w:rsid w:val="000E3AD5"/>
    <w:rsid w:val="000E3D96"/>
    <w:rsid w:val="000E424A"/>
    <w:rsid w:val="000E4303"/>
    <w:rsid w:val="000E4748"/>
    <w:rsid w:val="000E4784"/>
    <w:rsid w:val="000E49C6"/>
    <w:rsid w:val="000E4B3C"/>
    <w:rsid w:val="000E4B9B"/>
    <w:rsid w:val="000E4F14"/>
    <w:rsid w:val="000E4F4A"/>
    <w:rsid w:val="000E5332"/>
    <w:rsid w:val="000E5D4B"/>
    <w:rsid w:val="000E6444"/>
    <w:rsid w:val="000E6491"/>
    <w:rsid w:val="000E6773"/>
    <w:rsid w:val="000E6778"/>
    <w:rsid w:val="000E69A1"/>
    <w:rsid w:val="000E6CBA"/>
    <w:rsid w:val="000E6D51"/>
    <w:rsid w:val="000E6E27"/>
    <w:rsid w:val="000E6FFD"/>
    <w:rsid w:val="000E7B2E"/>
    <w:rsid w:val="000E7D90"/>
    <w:rsid w:val="000E7E4A"/>
    <w:rsid w:val="000E7FA3"/>
    <w:rsid w:val="000F0264"/>
    <w:rsid w:val="000F071E"/>
    <w:rsid w:val="000F0BE0"/>
    <w:rsid w:val="000F11B6"/>
    <w:rsid w:val="000F11D5"/>
    <w:rsid w:val="000F13AF"/>
    <w:rsid w:val="000F144B"/>
    <w:rsid w:val="000F16AD"/>
    <w:rsid w:val="000F2591"/>
    <w:rsid w:val="000F25EF"/>
    <w:rsid w:val="000F26ED"/>
    <w:rsid w:val="000F281C"/>
    <w:rsid w:val="000F2885"/>
    <w:rsid w:val="000F2FEF"/>
    <w:rsid w:val="000F300D"/>
    <w:rsid w:val="000F31CE"/>
    <w:rsid w:val="000F33D2"/>
    <w:rsid w:val="000F37BC"/>
    <w:rsid w:val="000F3B79"/>
    <w:rsid w:val="000F3D1A"/>
    <w:rsid w:val="000F422F"/>
    <w:rsid w:val="000F433A"/>
    <w:rsid w:val="000F4A6A"/>
    <w:rsid w:val="000F4D7D"/>
    <w:rsid w:val="000F50D3"/>
    <w:rsid w:val="000F558D"/>
    <w:rsid w:val="000F5602"/>
    <w:rsid w:val="000F571D"/>
    <w:rsid w:val="000F591B"/>
    <w:rsid w:val="000F5B62"/>
    <w:rsid w:val="000F6079"/>
    <w:rsid w:val="000F6160"/>
    <w:rsid w:val="000F6344"/>
    <w:rsid w:val="000F646B"/>
    <w:rsid w:val="000F6724"/>
    <w:rsid w:val="000F6918"/>
    <w:rsid w:val="000F6D47"/>
    <w:rsid w:val="000F74FA"/>
    <w:rsid w:val="000F7ACF"/>
    <w:rsid w:val="000F7C0E"/>
    <w:rsid w:val="000F7E15"/>
    <w:rsid w:val="00100036"/>
    <w:rsid w:val="00100095"/>
    <w:rsid w:val="00100132"/>
    <w:rsid w:val="001002ED"/>
    <w:rsid w:val="00100448"/>
    <w:rsid w:val="00100FC7"/>
    <w:rsid w:val="0010149A"/>
    <w:rsid w:val="00101870"/>
    <w:rsid w:val="001018D4"/>
    <w:rsid w:val="0010197F"/>
    <w:rsid w:val="00101A72"/>
    <w:rsid w:val="00101B7A"/>
    <w:rsid w:val="00101F9D"/>
    <w:rsid w:val="0010246F"/>
    <w:rsid w:val="001024E4"/>
    <w:rsid w:val="00102B17"/>
    <w:rsid w:val="00102F9E"/>
    <w:rsid w:val="0010383E"/>
    <w:rsid w:val="00103982"/>
    <w:rsid w:val="00103BAA"/>
    <w:rsid w:val="00103F0C"/>
    <w:rsid w:val="00103F5A"/>
    <w:rsid w:val="00104131"/>
    <w:rsid w:val="00104767"/>
    <w:rsid w:val="0010478A"/>
    <w:rsid w:val="00104CA6"/>
    <w:rsid w:val="00104D7A"/>
    <w:rsid w:val="00104F61"/>
    <w:rsid w:val="001050F3"/>
    <w:rsid w:val="00105246"/>
    <w:rsid w:val="00105967"/>
    <w:rsid w:val="00105D3A"/>
    <w:rsid w:val="00105E8E"/>
    <w:rsid w:val="001060C8"/>
    <w:rsid w:val="0010676C"/>
    <w:rsid w:val="00106BA3"/>
    <w:rsid w:val="00106E7E"/>
    <w:rsid w:val="001070D8"/>
    <w:rsid w:val="0010775E"/>
    <w:rsid w:val="00107A02"/>
    <w:rsid w:val="001104CD"/>
    <w:rsid w:val="001109A4"/>
    <w:rsid w:val="00110B40"/>
    <w:rsid w:val="00110C05"/>
    <w:rsid w:val="00110D4F"/>
    <w:rsid w:val="00110DD3"/>
    <w:rsid w:val="00110F1A"/>
    <w:rsid w:val="001115A7"/>
    <w:rsid w:val="00111607"/>
    <w:rsid w:val="00111882"/>
    <w:rsid w:val="00111B24"/>
    <w:rsid w:val="00111BF8"/>
    <w:rsid w:val="00111C5D"/>
    <w:rsid w:val="001125D4"/>
    <w:rsid w:val="0011282D"/>
    <w:rsid w:val="00112984"/>
    <w:rsid w:val="001129FB"/>
    <w:rsid w:val="00113039"/>
    <w:rsid w:val="0011338B"/>
    <w:rsid w:val="00113583"/>
    <w:rsid w:val="001135AE"/>
    <w:rsid w:val="001138CF"/>
    <w:rsid w:val="00113928"/>
    <w:rsid w:val="00113A65"/>
    <w:rsid w:val="00114452"/>
    <w:rsid w:val="00114941"/>
    <w:rsid w:val="00114C88"/>
    <w:rsid w:val="00114F2F"/>
    <w:rsid w:val="00114FC2"/>
    <w:rsid w:val="00114FE2"/>
    <w:rsid w:val="001151CC"/>
    <w:rsid w:val="001153E9"/>
    <w:rsid w:val="001154D1"/>
    <w:rsid w:val="00115995"/>
    <w:rsid w:val="00115D6A"/>
    <w:rsid w:val="00116002"/>
    <w:rsid w:val="0011617C"/>
    <w:rsid w:val="00116CE4"/>
    <w:rsid w:val="00116E2A"/>
    <w:rsid w:val="00116FD3"/>
    <w:rsid w:val="00117170"/>
    <w:rsid w:val="0011768D"/>
    <w:rsid w:val="00117BE1"/>
    <w:rsid w:val="00117C6F"/>
    <w:rsid w:val="00117EAC"/>
    <w:rsid w:val="00120A8D"/>
    <w:rsid w:val="00120C5A"/>
    <w:rsid w:val="00120C5E"/>
    <w:rsid w:val="00120E60"/>
    <w:rsid w:val="0012119B"/>
    <w:rsid w:val="0012121F"/>
    <w:rsid w:val="00121392"/>
    <w:rsid w:val="001213F4"/>
    <w:rsid w:val="0012157B"/>
    <w:rsid w:val="00121683"/>
    <w:rsid w:val="0012179D"/>
    <w:rsid w:val="00122170"/>
    <w:rsid w:val="00122428"/>
    <w:rsid w:val="001226AA"/>
    <w:rsid w:val="001226E8"/>
    <w:rsid w:val="0012279B"/>
    <w:rsid w:val="00122B86"/>
    <w:rsid w:val="00122BE1"/>
    <w:rsid w:val="00122CFC"/>
    <w:rsid w:val="00122F03"/>
    <w:rsid w:val="001236F5"/>
    <w:rsid w:val="0012390E"/>
    <w:rsid w:val="00123977"/>
    <w:rsid w:val="00123F0C"/>
    <w:rsid w:val="001241BB"/>
    <w:rsid w:val="0012421C"/>
    <w:rsid w:val="0012427E"/>
    <w:rsid w:val="001243FB"/>
    <w:rsid w:val="00124CAB"/>
    <w:rsid w:val="00124D79"/>
    <w:rsid w:val="00124D7E"/>
    <w:rsid w:val="0012508B"/>
    <w:rsid w:val="001250C1"/>
    <w:rsid w:val="00125A57"/>
    <w:rsid w:val="00125B90"/>
    <w:rsid w:val="00125DF4"/>
    <w:rsid w:val="00126846"/>
    <w:rsid w:val="00126CE8"/>
    <w:rsid w:val="00126D3E"/>
    <w:rsid w:val="00126D87"/>
    <w:rsid w:val="00126F85"/>
    <w:rsid w:val="00127186"/>
    <w:rsid w:val="0012726A"/>
    <w:rsid w:val="0012731E"/>
    <w:rsid w:val="001275B8"/>
    <w:rsid w:val="001275FE"/>
    <w:rsid w:val="00127B3A"/>
    <w:rsid w:val="00127F7A"/>
    <w:rsid w:val="0013009B"/>
    <w:rsid w:val="00130138"/>
    <w:rsid w:val="00130474"/>
    <w:rsid w:val="00130898"/>
    <w:rsid w:val="00130ACF"/>
    <w:rsid w:val="00130AD8"/>
    <w:rsid w:val="00130D1D"/>
    <w:rsid w:val="00130DEE"/>
    <w:rsid w:val="00131504"/>
    <w:rsid w:val="00131764"/>
    <w:rsid w:val="00131876"/>
    <w:rsid w:val="00131A41"/>
    <w:rsid w:val="00131AF9"/>
    <w:rsid w:val="00131C51"/>
    <w:rsid w:val="00132BBD"/>
    <w:rsid w:val="00133017"/>
    <w:rsid w:val="001333BF"/>
    <w:rsid w:val="00133D31"/>
    <w:rsid w:val="00133DB7"/>
    <w:rsid w:val="00133E4E"/>
    <w:rsid w:val="00133FE6"/>
    <w:rsid w:val="00134485"/>
    <w:rsid w:val="00134E6F"/>
    <w:rsid w:val="00134EB8"/>
    <w:rsid w:val="001351B0"/>
    <w:rsid w:val="001353F2"/>
    <w:rsid w:val="001354AD"/>
    <w:rsid w:val="00135A9E"/>
    <w:rsid w:val="00135AE9"/>
    <w:rsid w:val="00135BB3"/>
    <w:rsid w:val="00135CDF"/>
    <w:rsid w:val="0013643D"/>
    <w:rsid w:val="001367BB"/>
    <w:rsid w:val="00136B60"/>
    <w:rsid w:val="00136C89"/>
    <w:rsid w:val="00136F15"/>
    <w:rsid w:val="00137D74"/>
    <w:rsid w:val="00140093"/>
    <w:rsid w:val="001402A7"/>
    <w:rsid w:val="00140635"/>
    <w:rsid w:val="00140BA7"/>
    <w:rsid w:val="00140BE1"/>
    <w:rsid w:val="00140DBA"/>
    <w:rsid w:val="00141065"/>
    <w:rsid w:val="00141280"/>
    <w:rsid w:val="0014129B"/>
    <w:rsid w:val="0014143D"/>
    <w:rsid w:val="00141510"/>
    <w:rsid w:val="0014179F"/>
    <w:rsid w:val="0014197F"/>
    <w:rsid w:val="00141AA3"/>
    <w:rsid w:val="00142081"/>
    <w:rsid w:val="001421CB"/>
    <w:rsid w:val="001421E0"/>
    <w:rsid w:val="00142292"/>
    <w:rsid w:val="001423BE"/>
    <w:rsid w:val="00142584"/>
    <w:rsid w:val="001428B2"/>
    <w:rsid w:val="00142A5F"/>
    <w:rsid w:val="00142ADA"/>
    <w:rsid w:val="00142BEF"/>
    <w:rsid w:val="00142C37"/>
    <w:rsid w:val="00142C46"/>
    <w:rsid w:val="0014354F"/>
    <w:rsid w:val="001438D0"/>
    <w:rsid w:val="00143998"/>
    <w:rsid w:val="00143A99"/>
    <w:rsid w:val="00143E65"/>
    <w:rsid w:val="00143F44"/>
    <w:rsid w:val="001443D9"/>
    <w:rsid w:val="00144472"/>
    <w:rsid w:val="0014466C"/>
    <w:rsid w:val="00144A02"/>
    <w:rsid w:val="00144C3F"/>
    <w:rsid w:val="00144EA5"/>
    <w:rsid w:val="00145332"/>
    <w:rsid w:val="0014551C"/>
    <w:rsid w:val="00145618"/>
    <w:rsid w:val="00145E22"/>
    <w:rsid w:val="00145F05"/>
    <w:rsid w:val="001461DD"/>
    <w:rsid w:val="00146377"/>
    <w:rsid w:val="0014649B"/>
    <w:rsid w:val="00146656"/>
    <w:rsid w:val="001466C0"/>
    <w:rsid w:val="00146B0C"/>
    <w:rsid w:val="00147043"/>
    <w:rsid w:val="001471F4"/>
    <w:rsid w:val="001476FB"/>
    <w:rsid w:val="001476FD"/>
    <w:rsid w:val="001477AF"/>
    <w:rsid w:val="00147842"/>
    <w:rsid w:val="00147965"/>
    <w:rsid w:val="00147AF9"/>
    <w:rsid w:val="00147E97"/>
    <w:rsid w:val="00147EC6"/>
    <w:rsid w:val="00147F03"/>
    <w:rsid w:val="00150014"/>
    <w:rsid w:val="001501AD"/>
    <w:rsid w:val="001501EC"/>
    <w:rsid w:val="00150D2E"/>
    <w:rsid w:val="00151493"/>
    <w:rsid w:val="001515B4"/>
    <w:rsid w:val="001515CB"/>
    <w:rsid w:val="00151736"/>
    <w:rsid w:val="00151BC8"/>
    <w:rsid w:val="00151E52"/>
    <w:rsid w:val="00151FAC"/>
    <w:rsid w:val="00152A67"/>
    <w:rsid w:val="00152EBA"/>
    <w:rsid w:val="00153249"/>
    <w:rsid w:val="001534B4"/>
    <w:rsid w:val="00154246"/>
    <w:rsid w:val="0015435C"/>
    <w:rsid w:val="001545A3"/>
    <w:rsid w:val="00154694"/>
    <w:rsid w:val="0015472C"/>
    <w:rsid w:val="00154A52"/>
    <w:rsid w:val="00154BFC"/>
    <w:rsid w:val="00154C90"/>
    <w:rsid w:val="001555A0"/>
    <w:rsid w:val="0015561B"/>
    <w:rsid w:val="00155710"/>
    <w:rsid w:val="0015590D"/>
    <w:rsid w:val="00155FDD"/>
    <w:rsid w:val="001563E3"/>
    <w:rsid w:val="001567B2"/>
    <w:rsid w:val="0015697F"/>
    <w:rsid w:val="00156AB9"/>
    <w:rsid w:val="00156B9F"/>
    <w:rsid w:val="00156E53"/>
    <w:rsid w:val="00156F42"/>
    <w:rsid w:val="001570B9"/>
    <w:rsid w:val="00157181"/>
    <w:rsid w:val="001571E3"/>
    <w:rsid w:val="00157F92"/>
    <w:rsid w:val="0015BA11"/>
    <w:rsid w:val="001605A9"/>
    <w:rsid w:val="00160B8E"/>
    <w:rsid w:val="00160C20"/>
    <w:rsid w:val="00161187"/>
    <w:rsid w:val="00161236"/>
    <w:rsid w:val="0016143E"/>
    <w:rsid w:val="00161671"/>
    <w:rsid w:val="00161D32"/>
    <w:rsid w:val="00161F88"/>
    <w:rsid w:val="0016229C"/>
    <w:rsid w:val="00162A28"/>
    <w:rsid w:val="00162C0B"/>
    <w:rsid w:val="00162E0E"/>
    <w:rsid w:val="00162E59"/>
    <w:rsid w:val="001632DF"/>
    <w:rsid w:val="00163ABF"/>
    <w:rsid w:val="00163D49"/>
    <w:rsid w:val="00163DE9"/>
    <w:rsid w:val="00164085"/>
    <w:rsid w:val="00164755"/>
    <w:rsid w:val="001647DB"/>
    <w:rsid w:val="0016497A"/>
    <w:rsid w:val="00164A84"/>
    <w:rsid w:val="00164D37"/>
    <w:rsid w:val="00165080"/>
    <w:rsid w:val="001650FE"/>
    <w:rsid w:val="00165173"/>
    <w:rsid w:val="00165353"/>
    <w:rsid w:val="0016545B"/>
    <w:rsid w:val="00165665"/>
    <w:rsid w:val="0016597D"/>
    <w:rsid w:val="00165BD6"/>
    <w:rsid w:val="00165EC0"/>
    <w:rsid w:val="001662A8"/>
    <w:rsid w:val="00166BD5"/>
    <w:rsid w:val="00166EF5"/>
    <w:rsid w:val="00166F59"/>
    <w:rsid w:val="00167DCE"/>
    <w:rsid w:val="00167EC2"/>
    <w:rsid w:val="00167EF1"/>
    <w:rsid w:val="00167F3E"/>
    <w:rsid w:val="00167FEF"/>
    <w:rsid w:val="00170447"/>
    <w:rsid w:val="00170B2A"/>
    <w:rsid w:val="00170B68"/>
    <w:rsid w:val="00170BE2"/>
    <w:rsid w:val="001711F1"/>
    <w:rsid w:val="00171F33"/>
    <w:rsid w:val="0017232B"/>
    <w:rsid w:val="001723DF"/>
    <w:rsid w:val="00172667"/>
    <w:rsid w:val="00172A7D"/>
    <w:rsid w:val="00172A92"/>
    <w:rsid w:val="00172AAE"/>
    <w:rsid w:val="00172AB9"/>
    <w:rsid w:val="00172BA6"/>
    <w:rsid w:val="00172FE6"/>
    <w:rsid w:val="00173933"/>
    <w:rsid w:val="00174412"/>
    <w:rsid w:val="00174A05"/>
    <w:rsid w:val="0017544C"/>
    <w:rsid w:val="001754A7"/>
    <w:rsid w:val="00175AFE"/>
    <w:rsid w:val="00175BDA"/>
    <w:rsid w:val="00175D51"/>
    <w:rsid w:val="00176030"/>
    <w:rsid w:val="00176374"/>
    <w:rsid w:val="00176512"/>
    <w:rsid w:val="001765E2"/>
    <w:rsid w:val="00176B9F"/>
    <w:rsid w:val="00176BF3"/>
    <w:rsid w:val="00177BE5"/>
    <w:rsid w:val="00177DB1"/>
    <w:rsid w:val="00177F47"/>
    <w:rsid w:val="00177F60"/>
    <w:rsid w:val="00180541"/>
    <w:rsid w:val="001807C0"/>
    <w:rsid w:val="0018091D"/>
    <w:rsid w:val="00180CFC"/>
    <w:rsid w:val="00180EEA"/>
    <w:rsid w:val="00181723"/>
    <w:rsid w:val="00181F42"/>
    <w:rsid w:val="00182071"/>
    <w:rsid w:val="001821E5"/>
    <w:rsid w:val="00182488"/>
    <w:rsid w:val="00182834"/>
    <w:rsid w:val="00182861"/>
    <w:rsid w:val="00182A2A"/>
    <w:rsid w:val="00182A55"/>
    <w:rsid w:val="00182A70"/>
    <w:rsid w:val="00182AEB"/>
    <w:rsid w:val="00182BE1"/>
    <w:rsid w:val="00182E0E"/>
    <w:rsid w:val="00183053"/>
    <w:rsid w:val="0018348D"/>
    <w:rsid w:val="00183611"/>
    <w:rsid w:val="00183978"/>
    <w:rsid w:val="0018411C"/>
    <w:rsid w:val="001842F0"/>
    <w:rsid w:val="00184E0F"/>
    <w:rsid w:val="0018517C"/>
    <w:rsid w:val="001851B2"/>
    <w:rsid w:val="00185697"/>
    <w:rsid w:val="001858ED"/>
    <w:rsid w:val="00185980"/>
    <w:rsid w:val="00185989"/>
    <w:rsid w:val="00185AB0"/>
    <w:rsid w:val="00185BAE"/>
    <w:rsid w:val="00186066"/>
    <w:rsid w:val="00186174"/>
    <w:rsid w:val="0018627D"/>
    <w:rsid w:val="001862C7"/>
    <w:rsid w:val="001866D4"/>
    <w:rsid w:val="00186DC9"/>
    <w:rsid w:val="00186EC5"/>
    <w:rsid w:val="00187478"/>
    <w:rsid w:val="001879E6"/>
    <w:rsid w:val="00187BD8"/>
    <w:rsid w:val="00187E73"/>
    <w:rsid w:val="00190805"/>
    <w:rsid w:val="00190997"/>
    <w:rsid w:val="00190B35"/>
    <w:rsid w:val="00190BEA"/>
    <w:rsid w:val="00190F23"/>
    <w:rsid w:val="00191065"/>
    <w:rsid w:val="0019120D"/>
    <w:rsid w:val="0019176B"/>
    <w:rsid w:val="0019183F"/>
    <w:rsid w:val="0019188E"/>
    <w:rsid w:val="00191927"/>
    <w:rsid w:val="00191C22"/>
    <w:rsid w:val="00191E95"/>
    <w:rsid w:val="001927A9"/>
    <w:rsid w:val="00192AEE"/>
    <w:rsid w:val="00192D11"/>
    <w:rsid w:val="00193704"/>
    <w:rsid w:val="001937BF"/>
    <w:rsid w:val="00193D72"/>
    <w:rsid w:val="00193DA5"/>
    <w:rsid w:val="00193E99"/>
    <w:rsid w:val="00193EBA"/>
    <w:rsid w:val="00194261"/>
    <w:rsid w:val="00194744"/>
    <w:rsid w:val="00194821"/>
    <w:rsid w:val="00194942"/>
    <w:rsid w:val="00194C6C"/>
    <w:rsid w:val="00194D4E"/>
    <w:rsid w:val="00195037"/>
    <w:rsid w:val="001950CD"/>
    <w:rsid w:val="0019539F"/>
    <w:rsid w:val="001954CA"/>
    <w:rsid w:val="00195566"/>
    <w:rsid w:val="001955B0"/>
    <w:rsid w:val="00195AF1"/>
    <w:rsid w:val="00195C97"/>
    <w:rsid w:val="00195FD5"/>
    <w:rsid w:val="00196015"/>
    <w:rsid w:val="0019601D"/>
    <w:rsid w:val="001966A9"/>
    <w:rsid w:val="0019704A"/>
    <w:rsid w:val="001970A3"/>
    <w:rsid w:val="00197206"/>
    <w:rsid w:val="001977E5"/>
    <w:rsid w:val="00197960"/>
    <w:rsid w:val="00197AD2"/>
    <w:rsid w:val="00197B83"/>
    <w:rsid w:val="00197C19"/>
    <w:rsid w:val="001A038B"/>
    <w:rsid w:val="001A03E2"/>
    <w:rsid w:val="001A0592"/>
    <w:rsid w:val="001A0636"/>
    <w:rsid w:val="001A122D"/>
    <w:rsid w:val="001A12CE"/>
    <w:rsid w:val="001A15AC"/>
    <w:rsid w:val="001A15DE"/>
    <w:rsid w:val="001A1CE0"/>
    <w:rsid w:val="001A1DFE"/>
    <w:rsid w:val="001A1FFC"/>
    <w:rsid w:val="001A20D9"/>
    <w:rsid w:val="001A212A"/>
    <w:rsid w:val="001A2212"/>
    <w:rsid w:val="001A254A"/>
    <w:rsid w:val="001A266C"/>
    <w:rsid w:val="001A2956"/>
    <w:rsid w:val="001A2A32"/>
    <w:rsid w:val="001A2ACB"/>
    <w:rsid w:val="001A2C64"/>
    <w:rsid w:val="001A2E8B"/>
    <w:rsid w:val="001A3435"/>
    <w:rsid w:val="001A3489"/>
    <w:rsid w:val="001A3605"/>
    <w:rsid w:val="001A3D9E"/>
    <w:rsid w:val="001A4160"/>
    <w:rsid w:val="001A457E"/>
    <w:rsid w:val="001A4652"/>
    <w:rsid w:val="001A488F"/>
    <w:rsid w:val="001A507A"/>
    <w:rsid w:val="001A598A"/>
    <w:rsid w:val="001A5A5B"/>
    <w:rsid w:val="001A5BE7"/>
    <w:rsid w:val="001A5CE3"/>
    <w:rsid w:val="001A5CF2"/>
    <w:rsid w:val="001A5D71"/>
    <w:rsid w:val="001A678D"/>
    <w:rsid w:val="001A695D"/>
    <w:rsid w:val="001A698D"/>
    <w:rsid w:val="001A6DBD"/>
    <w:rsid w:val="001A6DC7"/>
    <w:rsid w:val="001A78BC"/>
    <w:rsid w:val="001A7A0E"/>
    <w:rsid w:val="001A7A0F"/>
    <w:rsid w:val="001A7BD6"/>
    <w:rsid w:val="001A7D2C"/>
    <w:rsid w:val="001A7FE4"/>
    <w:rsid w:val="001B01BD"/>
    <w:rsid w:val="001B0220"/>
    <w:rsid w:val="001B0497"/>
    <w:rsid w:val="001B08C0"/>
    <w:rsid w:val="001B0AF4"/>
    <w:rsid w:val="001B0D4F"/>
    <w:rsid w:val="001B0F44"/>
    <w:rsid w:val="001B0FEA"/>
    <w:rsid w:val="001B156A"/>
    <w:rsid w:val="001B1711"/>
    <w:rsid w:val="001B1873"/>
    <w:rsid w:val="001B1915"/>
    <w:rsid w:val="001B1C2F"/>
    <w:rsid w:val="001B213C"/>
    <w:rsid w:val="001B230C"/>
    <w:rsid w:val="001B2400"/>
    <w:rsid w:val="001B2A16"/>
    <w:rsid w:val="001B2BAA"/>
    <w:rsid w:val="001B2E36"/>
    <w:rsid w:val="001B2FFF"/>
    <w:rsid w:val="001B342A"/>
    <w:rsid w:val="001B36AE"/>
    <w:rsid w:val="001B39B5"/>
    <w:rsid w:val="001B3AD4"/>
    <w:rsid w:val="001B41A9"/>
    <w:rsid w:val="001B452C"/>
    <w:rsid w:val="001B4761"/>
    <w:rsid w:val="001B479D"/>
    <w:rsid w:val="001B4A5C"/>
    <w:rsid w:val="001B5285"/>
    <w:rsid w:val="001B54D8"/>
    <w:rsid w:val="001B5811"/>
    <w:rsid w:val="001B59D7"/>
    <w:rsid w:val="001B59D8"/>
    <w:rsid w:val="001B5BC5"/>
    <w:rsid w:val="001B5CA2"/>
    <w:rsid w:val="001B5CBF"/>
    <w:rsid w:val="001B6629"/>
    <w:rsid w:val="001B6682"/>
    <w:rsid w:val="001B682E"/>
    <w:rsid w:val="001B6D39"/>
    <w:rsid w:val="001B6FA4"/>
    <w:rsid w:val="001B71B1"/>
    <w:rsid w:val="001B76ED"/>
    <w:rsid w:val="001B7D96"/>
    <w:rsid w:val="001B7DC3"/>
    <w:rsid w:val="001B7DCA"/>
    <w:rsid w:val="001B7F45"/>
    <w:rsid w:val="001C00F0"/>
    <w:rsid w:val="001C07FC"/>
    <w:rsid w:val="001C0916"/>
    <w:rsid w:val="001C097D"/>
    <w:rsid w:val="001C0B67"/>
    <w:rsid w:val="001C11D9"/>
    <w:rsid w:val="001C1806"/>
    <w:rsid w:val="001C1ADB"/>
    <w:rsid w:val="001C1BA2"/>
    <w:rsid w:val="001C1DAB"/>
    <w:rsid w:val="001C2285"/>
    <w:rsid w:val="001C2297"/>
    <w:rsid w:val="001C2354"/>
    <w:rsid w:val="001C3B38"/>
    <w:rsid w:val="001C4694"/>
    <w:rsid w:val="001C4721"/>
    <w:rsid w:val="001C5144"/>
    <w:rsid w:val="001C5F6E"/>
    <w:rsid w:val="001C67AA"/>
    <w:rsid w:val="001C67D0"/>
    <w:rsid w:val="001C67E9"/>
    <w:rsid w:val="001C6937"/>
    <w:rsid w:val="001C6B23"/>
    <w:rsid w:val="001C6DED"/>
    <w:rsid w:val="001C6E28"/>
    <w:rsid w:val="001C71A7"/>
    <w:rsid w:val="001C74E8"/>
    <w:rsid w:val="001C7990"/>
    <w:rsid w:val="001C7BA5"/>
    <w:rsid w:val="001C7F67"/>
    <w:rsid w:val="001C7FAD"/>
    <w:rsid w:val="001D00F0"/>
    <w:rsid w:val="001D0494"/>
    <w:rsid w:val="001D04BA"/>
    <w:rsid w:val="001D0B9A"/>
    <w:rsid w:val="001D1356"/>
    <w:rsid w:val="001D1358"/>
    <w:rsid w:val="001D1361"/>
    <w:rsid w:val="001D17EF"/>
    <w:rsid w:val="001D1E0C"/>
    <w:rsid w:val="001D1E95"/>
    <w:rsid w:val="001D21F6"/>
    <w:rsid w:val="001D22C1"/>
    <w:rsid w:val="001D2459"/>
    <w:rsid w:val="001D359F"/>
    <w:rsid w:val="001D3BC5"/>
    <w:rsid w:val="001D3CA5"/>
    <w:rsid w:val="001D434F"/>
    <w:rsid w:val="001D437E"/>
    <w:rsid w:val="001D46A8"/>
    <w:rsid w:val="001D4870"/>
    <w:rsid w:val="001D4A66"/>
    <w:rsid w:val="001D510A"/>
    <w:rsid w:val="001D6486"/>
    <w:rsid w:val="001D6595"/>
    <w:rsid w:val="001D66DA"/>
    <w:rsid w:val="001D67FD"/>
    <w:rsid w:val="001D6910"/>
    <w:rsid w:val="001D6A04"/>
    <w:rsid w:val="001D6D6E"/>
    <w:rsid w:val="001D6E31"/>
    <w:rsid w:val="001D72AE"/>
    <w:rsid w:val="001D73AE"/>
    <w:rsid w:val="001D73D1"/>
    <w:rsid w:val="001D741B"/>
    <w:rsid w:val="001D7507"/>
    <w:rsid w:val="001D772C"/>
    <w:rsid w:val="001D7B73"/>
    <w:rsid w:val="001D7F1F"/>
    <w:rsid w:val="001D7FED"/>
    <w:rsid w:val="001E0149"/>
    <w:rsid w:val="001E06E1"/>
    <w:rsid w:val="001E0949"/>
    <w:rsid w:val="001E0C31"/>
    <w:rsid w:val="001E13B5"/>
    <w:rsid w:val="001E14E7"/>
    <w:rsid w:val="001E1539"/>
    <w:rsid w:val="001E1899"/>
    <w:rsid w:val="001E1C36"/>
    <w:rsid w:val="001E1E42"/>
    <w:rsid w:val="001E1EC7"/>
    <w:rsid w:val="001E1ECF"/>
    <w:rsid w:val="001E25BB"/>
    <w:rsid w:val="001E2B7F"/>
    <w:rsid w:val="001E2DD1"/>
    <w:rsid w:val="001E2EFA"/>
    <w:rsid w:val="001E2FA7"/>
    <w:rsid w:val="001E32B3"/>
    <w:rsid w:val="001E3684"/>
    <w:rsid w:val="001E38A0"/>
    <w:rsid w:val="001E38DE"/>
    <w:rsid w:val="001E3914"/>
    <w:rsid w:val="001E3F01"/>
    <w:rsid w:val="001E4077"/>
    <w:rsid w:val="001E4106"/>
    <w:rsid w:val="001E46EF"/>
    <w:rsid w:val="001E4873"/>
    <w:rsid w:val="001E4FFE"/>
    <w:rsid w:val="001E52A1"/>
    <w:rsid w:val="001E5600"/>
    <w:rsid w:val="001E5BE3"/>
    <w:rsid w:val="001E5BE6"/>
    <w:rsid w:val="001E5FC2"/>
    <w:rsid w:val="001E6185"/>
    <w:rsid w:val="001E65E0"/>
    <w:rsid w:val="001E69BD"/>
    <w:rsid w:val="001E6C3F"/>
    <w:rsid w:val="001E7164"/>
    <w:rsid w:val="001E7345"/>
    <w:rsid w:val="001E7647"/>
    <w:rsid w:val="001E7918"/>
    <w:rsid w:val="001E7A87"/>
    <w:rsid w:val="001E7C60"/>
    <w:rsid w:val="001F05BE"/>
    <w:rsid w:val="001F06BF"/>
    <w:rsid w:val="001F07D4"/>
    <w:rsid w:val="001F0A8B"/>
    <w:rsid w:val="001F0E02"/>
    <w:rsid w:val="001F0E36"/>
    <w:rsid w:val="001F144C"/>
    <w:rsid w:val="001F1D27"/>
    <w:rsid w:val="001F1FB5"/>
    <w:rsid w:val="001F29F8"/>
    <w:rsid w:val="001F2DC9"/>
    <w:rsid w:val="001F2FF6"/>
    <w:rsid w:val="001F35DF"/>
    <w:rsid w:val="001F36EE"/>
    <w:rsid w:val="001F3958"/>
    <w:rsid w:val="001F3A68"/>
    <w:rsid w:val="001F3D31"/>
    <w:rsid w:val="001F42DE"/>
    <w:rsid w:val="001F4739"/>
    <w:rsid w:val="001F4B1C"/>
    <w:rsid w:val="001F52E6"/>
    <w:rsid w:val="001F5471"/>
    <w:rsid w:val="001F58A3"/>
    <w:rsid w:val="001F592E"/>
    <w:rsid w:val="001F59B5"/>
    <w:rsid w:val="001F5C1D"/>
    <w:rsid w:val="001F5C8F"/>
    <w:rsid w:val="001F5DE0"/>
    <w:rsid w:val="001F620F"/>
    <w:rsid w:val="001F6448"/>
    <w:rsid w:val="001F6592"/>
    <w:rsid w:val="001F6616"/>
    <w:rsid w:val="001F6697"/>
    <w:rsid w:val="001F6A68"/>
    <w:rsid w:val="001F6B31"/>
    <w:rsid w:val="001F6B93"/>
    <w:rsid w:val="001F6FC2"/>
    <w:rsid w:val="001F6FEE"/>
    <w:rsid w:val="001F70D3"/>
    <w:rsid w:val="001F714D"/>
    <w:rsid w:val="001F798A"/>
    <w:rsid w:val="001F7DBC"/>
    <w:rsid w:val="002001CE"/>
    <w:rsid w:val="0020021B"/>
    <w:rsid w:val="0020045F"/>
    <w:rsid w:val="002004B1"/>
    <w:rsid w:val="002008DE"/>
    <w:rsid w:val="00200941"/>
    <w:rsid w:val="00200F67"/>
    <w:rsid w:val="00201117"/>
    <w:rsid w:val="00201F49"/>
    <w:rsid w:val="0020213C"/>
    <w:rsid w:val="002021EF"/>
    <w:rsid w:val="0020234F"/>
    <w:rsid w:val="00202778"/>
    <w:rsid w:val="00202785"/>
    <w:rsid w:val="002027FD"/>
    <w:rsid w:val="00202BF2"/>
    <w:rsid w:val="00203225"/>
    <w:rsid w:val="002032AE"/>
    <w:rsid w:val="002035EE"/>
    <w:rsid w:val="00203892"/>
    <w:rsid w:val="00203957"/>
    <w:rsid w:val="00203CFE"/>
    <w:rsid w:val="0020431B"/>
    <w:rsid w:val="00204692"/>
    <w:rsid w:val="002048EF"/>
    <w:rsid w:val="00204D3E"/>
    <w:rsid w:val="00205005"/>
    <w:rsid w:val="0020518B"/>
    <w:rsid w:val="0020524C"/>
    <w:rsid w:val="00205572"/>
    <w:rsid w:val="00205C05"/>
    <w:rsid w:val="00205C84"/>
    <w:rsid w:val="00205E3C"/>
    <w:rsid w:val="002061F6"/>
    <w:rsid w:val="00206534"/>
    <w:rsid w:val="00206835"/>
    <w:rsid w:val="00206D34"/>
    <w:rsid w:val="00206D3C"/>
    <w:rsid w:val="00206DA1"/>
    <w:rsid w:val="002079B1"/>
    <w:rsid w:val="00207A1E"/>
    <w:rsid w:val="00207B98"/>
    <w:rsid w:val="00207D00"/>
    <w:rsid w:val="00207F9A"/>
    <w:rsid w:val="00208A11"/>
    <w:rsid w:val="002102C7"/>
    <w:rsid w:val="00210381"/>
    <w:rsid w:val="00210654"/>
    <w:rsid w:val="002106B4"/>
    <w:rsid w:val="00210825"/>
    <w:rsid w:val="00211070"/>
    <w:rsid w:val="002111E0"/>
    <w:rsid w:val="002113D4"/>
    <w:rsid w:val="002114AF"/>
    <w:rsid w:val="002115BA"/>
    <w:rsid w:val="00211A45"/>
    <w:rsid w:val="00211A83"/>
    <w:rsid w:val="00211D4C"/>
    <w:rsid w:val="00211ED6"/>
    <w:rsid w:val="0021204F"/>
    <w:rsid w:val="002122A8"/>
    <w:rsid w:val="00212438"/>
    <w:rsid w:val="00212519"/>
    <w:rsid w:val="002127EA"/>
    <w:rsid w:val="0021294A"/>
    <w:rsid w:val="00212A71"/>
    <w:rsid w:val="00213471"/>
    <w:rsid w:val="002134DD"/>
    <w:rsid w:val="00213869"/>
    <w:rsid w:val="00213BEB"/>
    <w:rsid w:val="00213E32"/>
    <w:rsid w:val="00213EBF"/>
    <w:rsid w:val="00213F42"/>
    <w:rsid w:val="0021415B"/>
    <w:rsid w:val="002147A1"/>
    <w:rsid w:val="00214862"/>
    <w:rsid w:val="00214B7E"/>
    <w:rsid w:val="00214C6D"/>
    <w:rsid w:val="00214CA5"/>
    <w:rsid w:val="0021501E"/>
    <w:rsid w:val="0021519C"/>
    <w:rsid w:val="00215208"/>
    <w:rsid w:val="0021549B"/>
    <w:rsid w:val="0021563A"/>
    <w:rsid w:val="002156D7"/>
    <w:rsid w:val="00216095"/>
    <w:rsid w:val="00216306"/>
    <w:rsid w:val="00216A5C"/>
    <w:rsid w:val="00217167"/>
    <w:rsid w:val="0021731E"/>
    <w:rsid w:val="002177A1"/>
    <w:rsid w:val="00217B02"/>
    <w:rsid w:val="00217C36"/>
    <w:rsid w:val="002201F2"/>
    <w:rsid w:val="00220805"/>
    <w:rsid w:val="0022095B"/>
    <w:rsid w:val="00220B1A"/>
    <w:rsid w:val="00220B5D"/>
    <w:rsid w:val="00220F0A"/>
    <w:rsid w:val="002211E8"/>
    <w:rsid w:val="00221D65"/>
    <w:rsid w:val="00222153"/>
    <w:rsid w:val="0022258F"/>
    <w:rsid w:val="002225D9"/>
    <w:rsid w:val="00222623"/>
    <w:rsid w:val="00222722"/>
    <w:rsid w:val="00222730"/>
    <w:rsid w:val="00222753"/>
    <w:rsid w:val="002227B5"/>
    <w:rsid w:val="002232A5"/>
    <w:rsid w:val="00223DEC"/>
    <w:rsid w:val="00223F5D"/>
    <w:rsid w:val="00224116"/>
    <w:rsid w:val="00224355"/>
    <w:rsid w:val="002245C6"/>
    <w:rsid w:val="00224AC1"/>
    <w:rsid w:val="00224AD9"/>
    <w:rsid w:val="00224B7E"/>
    <w:rsid w:val="00224BC2"/>
    <w:rsid w:val="00224BFF"/>
    <w:rsid w:val="00225026"/>
    <w:rsid w:val="002251BB"/>
    <w:rsid w:val="002252AB"/>
    <w:rsid w:val="00225468"/>
    <w:rsid w:val="00225791"/>
    <w:rsid w:val="00225D06"/>
    <w:rsid w:val="002269A1"/>
    <w:rsid w:val="00226B6F"/>
    <w:rsid w:val="00226E85"/>
    <w:rsid w:val="002270AE"/>
    <w:rsid w:val="00227661"/>
    <w:rsid w:val="00227AB0"/>
    <w:rsid w:val="00230B1E"/>
    <w:rsid w:val="00230F4E"/>
    <w:rsid w:val="00231163"/>
    <w:rsid w:val="00231521"/>
    <w:rsid w:val="002316BA"/>
    <w:rsid w:val="002318FD"/>
    <w:rsid w:val="002325F3"/>
    <w:rsid w:val="00232685"/>
    <w:rsid w:val="00232B71"/>
    <w:rsid w:val="00232DB2"/>
    <w:rsid w:val="00232F51"/>
    <w:rsid w:val="002330B1"/>
    <w:rsid w:val="00233219"/>
    <w:rsid w:val="00233514"/>
    <w:rsid w:val="0023358C"/>
    <w:rsid w:val="0023377C"/>
    <w:rsid w:val="00233E5A"/>
    <w:rsid w:val="00233F5B"/>
    <w:rsid w:val="00234383"/>
    <w:rsid w:val="0023478C"/>
    <w:rsid w:val="0023479B"/>
    <w:rsid w:val="00234976"/>
    <w:rsid w:val="00234B60"/>
    <w:rsid w:val="00234C77"/>
    <w:rsid w:val="00235403"/>
    <w:rsid w:val="00235486"/>
    <w:rsid w:val="002354B0"/>
    <w:rsid w:val="00235777"/>
    <w:rsid w:val="00235C04"/>
    <w:rsid w:val="00236210"/>
    <w:rsid w:val="0023661B"/>
    <w:rsid w:val="00236B08"/>
    <w:rsid w:val="00236B9E"/>
    <w:rsid w:val="002372F3"/>
    <w:rsid w:val="00237437"/>
    <w:rsid w:val="00237514"/>
    <w:rsid w:val="00237854"/>
    <w:rsid w:val="00237932"/>
    <w:rsid w:val="00237DD7"/>
    <w:rsid w:val="00240263"/>
    <w:rsid w:val="00240706"/>
    <w:rsid w:val="0024080B"/>
    <w:rsid w:val="00240AF0"/>
    <w:rsid w:val="00240CA0"/>
    <w:rsid w:val="00240FB1"/>
    <w:rsid w:val="0024118B"/>
    <w:rsid w:val="00241217"/>
    <w:rsid w:val="00241609"/>
    <w:rsid w:val="00241633"/>
    <w:rsid w:val="00241762"/>
    <w:rsid w:val="00241B40"/>
    <w:rsid w:val="00241E2F"/>
    <w:rsid w:val="002421FF"/>
    <w:rsid w:val="002423B2"/>
    <w:rsid w:val="00242820"/>
    <w:rsid w:val="00242B2B"/>
    <w:rsid w:val="00242C17"/>
    <w:rsid w:val="00242C4F"/>
    <w:rsid w:val="00242DE3"/>
    <w:rsid w:val="00242DFE"/>
    <w:rsid w:val="00242EBF"/>
    <w:rsid w:val="002433F6"/>
    <w:rsid w:val="00243887"/>
    <w:rsid w:val="00243EC7"/>
    <w:rsid w:val="00243F2B"/>
    <w:rsid w:val="002443E6"/>
    <w:rsid w:val="00244662"/>
    <w:rsid w:val="0024525F"/>
    <w:rsid w:val="002453AC"/>
    <w:rsid w:val="002453FB"/>
    <w:rsid w:val="002456A1"/>
    <w:rsid w:val="002456F3"/>
    <w:rsid w:val="00245B1F"/>
    <w:rsid w:val="00245BEF"/>
    <w:rsid w:val="00245CCA"/>
    <w:rsid w:val="0024604E"/>
    <w:rsid w:val="002460A0"/>
    <w:rsid w:val="00246276"/>
    <w:rsid w:val="00246401"/>
    <w:rsid w:val="00246739"/>
    <w:rsid w:val="002471D3"/>
    <w:rsid w:val="0024726B"/>
    <w:rsid w:val="002476F0"/>
    <w:rsid w:val="0024770A"/>
    <w:rsid w:val="00250388"/>
    <w:rsid w:val="0025071C"/>
    <w:rsid w:val="00250845"/>
    <w:rsid w:val="002508B4"/>
    <w:rsid w:val="00250F98"/>
    <w:rsid w:val="0025124E"/>
    <w:rsid w:val="0025129B"/>
    <w:rsid w:val="0025145F"/>
    <w:rsid w:val="0025152E"/>
    <w:rsid w:val="0025168F"/>
    <w:rsid w:val="00251CF2"/>
    <w:rsid w:val="00251D93"/>
    <w:rsid w:val="00251F15"/>
    <w:rsid w:val="0025210A"/>
    <w:rsid w:val="00252192"/>
    <w:rsid w:val="002523B6"/>
    <w:rsid w:val="002523F6"/>
    <w:rsid w:val="00252472"/>
    <w:rsid w:val="00252507"/>
    <w:rsid w:val="002527DB"/>
    <w:rsid w:val="00252943"/>
    <w:rsid w:val="00252E01"/>
    <w:rsid w:val="00252EC0"/>
    <w:rsid w:val="0025337E"/>
    <w:rsid w:val="00253972"/>
    <w:rsid w:val="00253C9E"/>
    <w:rsid w:val="00253F12"/>
    <w:rsid w:val="00253F61"/>
    <w:rsid w:val="002540E3"/>
    <w:rsid w:val="00254952"/>
    <w:rsid w:val="00254F7C"/>
    <w:rsid w:val="00254FB3"/>
    <w:rsid w:val="00255044"/>
    <w:rsid w:val="00255130"/>
    <w:rsid w:val="002554E2"/>
    <w:rsid w:val="0025694A"/>
    <w:rsid w:val="002575FB"/>
    <w:rsid w:val="00257765"/>
    <w:rsid w:val="002577E6"/>
    <w:rsid w:val="00260186"/>
    <w:rsid w:val="00260239"/>
    <w:rsid w:val="0026036E"/>
    <w:rsid w:val="00260440"/>
    <w:rsid w:val="00260635"/>
    <w:rsid w:val="00260BEA"/>
    <w:rsid w:val="00260D46"/>
    <w:rsid w:val="00260F85"/>
    <w:rsid w:val="00260FB1"/>
    <w:rsid w:val="0026105E"/>
    <w:rsid w:val="0026119E"/>
    <w:rsid w:val="002611A6"/>
    <w:rsid w:val="00261463"/>
    <w:rsid w:val="0026150D"/>
    <w:rsid w:val="002619CA"/>
    <w:rsid w:val="00262331"/>
    <w:rsid w:val="002623AE"/>
    <w:rsid w:val="00262A6C"/>
    <w:rsid w:val="00262D74"/>
    <w:rsid w:val="00262DF2"/>
    <w:rsid w:val="002636D8"/>
    <w:rsid w:val="00263AD4"/>
    <w:rsid w:val="00263AFC"/>
    <w:rsid w:val="00263EE7"/>
    <w:rsid w:val="002644D6"/>
    <w:rsid w:val="0026464A"/>
    <w:rsid w:val="00264B38"/>
    <w:rsid w:val="0026519F"/>
    <w:rsid w:val="002655C7"/>
    <w:rsid w:val="00265852"/>
    <w:rsid w:val="00265B97"/>
    <w:rsid w:val="00265F5A"/>
    <w:rsid w:val="00266477"/>
    <w:rsid w:val="0026657C"/>
    <w:rsid w:val="00266592"/>
    <w:rsid w:val="002665CC"/>
    <w:rsid w:val="00266E26"/>
    <w:rsid w:val="00267037"/>
    <w:rsid w:val="0026727B"/>
    <w:rsid w:val="002672A3"/>
    <w:rsid w:val="002673A5"/>
    <w:rsid w:val="002679C1"/>
    <w:rsid w:val="00267A93"/>
    <w:rsid w:val="00267D43"/>
    <w:rsid w:val="00270122"/>
    <w:rsid w:val="002703F8"/>
    <w:rsid w:val="00270482"/>
    <w:rsid w:val="00270709"/>
    <w:rsid w:val="00270BD6"/>
    <w:rsid w:val="00270D93"/>
    <w:rsid w:val="00270EFA"/>
    <w:rsid w:val="002711B6"/>
    <w:rsid w:val="0027157A"/>
    <w:rsid w:val="0027167A"/>
    <w:rsid w:val="00271771"/>
    <w:rsid w:val="00271CFA"/>
    <w:rsid w:val="00272276"/>
    <w:rsid w:val="002729C3"/>
    <w:rsid w:val="00273464"/>
    <w:rsid w:val="00273470"/>
    <w:rsid w:val="0027350C"/>
    <w:rsid w:val="002737BE"/>
    <w:rsid w:val="00273A5D"/>
    <w:rsid w:val="0027473E"/>
    <w:rsid w:val="002749D5"/>
    <w:rsid w:val="00275086"/>
    <w:rsid w:val="00275335"/>
    <w:rsid w:val="002753BA"/>
    <w:rsid w:val="002753CA"/>
    <w:rsid w:val="002755A0"/>
    <w:rsid w:val="0027569E"/>
    <w:rsid w:val="002758D3"/>
    <w:rsid w:val="00275C33"/>
    <w:rsid w:val="00276102"/>
    <w:rsid w:val="00276356"/>
    <w:rsid w:val="0027637F"/>
    <w:rsid w:val="00276CEA"/>
    <w:rsid w:val="00276E39"/>
    <w:rsid w:val="00276EBF"/>
    <w:rsid w:val="00276FF4"/>
    <w:rsid w:val="002772DE"/>
    <w:rsid w:val="00277535"/>
    <w:rsid w:val="00277718"/>
    <w:rsid w:val="002778D5"/>
    <w:rsid w:val="00277E2E"/>
    <w:rsid w:val="00277F6E"/>
    <w:rsid w:val="0028053D"/>
    <w:rsid w:val="002809E3"/>
    <w:rsid w:val="00280BE0"/>
    <w:rsid w:val="0028106F"/>
    <w:rsid w:val="0028174F"/>
    <w:rsid w:val="00281878"/>
    <w:rsid w:val="002818C8"/>
    <w:rsid w:val="00281D84"/>
    <w:rsid w:val="002822F1"/>
    <w:rsid w:val="00282330"/>
    <w:rsid w:val="00282789"/>
    <w:rsid w:val="00282C45"/>
    <w:rsid w:val="00282E72"/>
    <w:rsid w:val="00282ECE"/>
    <w:rsid w:val="0028301C"/>
    <w:rsid w:val="002830F5"/>
    <w:rsid w:val="0028330F"/>
    <w:rsid w:val="002834EB"/>
    <w:rsid w:val="00283938"/>
    <w:rsid w:val="00283996"/>
    <w:rsid w:val="00283BE4"/>
    <w:rsid w:val="00283D83"/>
    <w:rsid w:val="002846A9"/>
    <w:rsid w:val="002846E8"/>
    <w:rsid w:val="0028533C"/>
    <w:rsid w:val="0028533E"/>
    <w:rsid w:val="002853D8"/>
    <w:rsid w:val="002854A5"/>
    <w:rsid w:val="002858E9"/>
    <w:rsid w:val="002858F8"/>
    <w:rsid w:val="0028590F"/>
    <w:rsid w:val="00285940"/>
    <w:rsid w:val="0028594A"/>
    <w:rsid w:val="00285CC9"/>
    <w:rsid w:val="00285D7E"/>
    <w:rsid w:val="00285DD9"/>
    <w:rsid w:val="0028630C"/>
    <w:rsid w:val="00286916"/>
    <w:rsid w:val="002870B9"/>
    <w:rsid w:val="00287356"/>
    <w:rsid w:val="0028748A"/>
    <w:rsid w:val="00287524"/>
    <w:rsid w:val="0028768F"/>
    <w:rsid w:val="00287BDC"/>
    <w:rsid w:val="002900AA"/>
    <w:rsid w:val="00290152"/>
    <w:rsid w:val="00290AD8"/>
    <w:rsid w:val="00290AF5"/>
    <w:rsid w:val="00290E31"/>
    <w:rsid w:val="002911A5"/>
    <w:rsid w:val="0029133F"/>
    <w:rsid w:val="00291369"/>
    <w:rsid w:val="00291855"/>
    <w:rsid w:val="00291880"/>
    <w:rsid w:val="00291946"/>
    <w:rsid w:val="00291AAF"/>
    <w:rsid w:val="002920AA"/>
    <w:rsid w:val="002920F6"/>
    <w:rsid w:val="0029218A"/>
    <w:rsid w:val="002921AB"/>
    <w:rsid w:val="002926FC"/>
    <w:rsid w:val="00292973"/>
    <w:rsid w:val="00292C0B"/>
    <w:rsid w:val="0029306D"/>
    <w:rsid w:val="002932C2"/>
    <w:rsid w:val="0029330E"/>
    <w:rsid w:val="002933FC"/>
    <w:rsid w:val="002935BD"/>
    <w:rsid w:val="00293601"/>
    <w:rsid w:val="00293C9E"/>
    <w:rsid w:val="00293CBB"/>
    <w:rsid w:val="002940F9"/>
    <w:rsid w:val="00294132"/>
    <w:rsid w:val="00294212"/>
    <w:rsid w:val="00294299"/>
    <w:rsid w:val="002945C5"/>
    <w:rsid w:val="00294EA8"/>
    <w:rsid w:val="002955C9"/>
    <w:rsid w:val="00295997"/>
    <w:rsid w:val="0029623B"/>
    <w:rsid w:val="0029669F"/>
    <w:rsid w:val="00296855"/>
    <w:rsid w:val="002968DB"/>
    <w:rsid w:val="00296E13"/>
    <w:rsid w:val="00296F5F"/>
    <w:rsid w:val="002973F9"/>
    <w:rsid w:val="002A007F"/>
    <w:rsid w:val="002A0303"/>
    <w:rsid w:val="002A0347"/>
    <w:rsid w:val="002A088F"/>
    <w:rsid w:val="002A0CAD"/>
    <w:rsid w:val="002A0D0E"/>
    <w:rsid w:val="002A0FBE"/>
    <w:rsid w:val="002A1350"/>
    <w:rsid w:val="002A192B"/>
    <w:rsid w:val="002A19F3"/>
    <w:rsid w:val="002A1D36"/>
    <w:rsid w:val="002A2193"/>
    <w:rsid w:val="002A25AC"/>
    <w:rsid w:val="002A3813"/>
    <w:rsid w:val="002A382B"/>
    <w:rsid w:val="002A3AC3"/>
    <w:rsid w:val="002A3B33"/>
    <w:rsid w:val="002A3D3E"/>
    <w:rsid w:val="002A3F09"/>
    <w:rsid w:val="002A4150"/>
    <w:rsid w:val="002A4482"/>
    <w:rsid w:val="002A46A7"/>
    <w:rsid w:val="002A55A7"/>
    <w:rsid w:val="002A566B"/>
    <w:rsid w:val="002A5CAB"/>
    <w:rsid w:val="002A5CAE"/>
    <w:rsid w:val="002A5F69"/>
    <w:rsid w:val="002A6049"/>
    <w:rsid w:val="002A66AA"/>
    <w:rsid w:val="002A6CC9"/>
    <w:rsid w:val="002A7349"/>
    <w:rsid w:val="002A76D8"/>
    <w:rsid w:val="002A788D"/>
    <w:rsid w:val="002A7ADD"/>
    <w:rsid w:val="002A7D93"/>
    <w:rsid w:val="002A7DF9"/>
    <w:rsid w:val="002A7E41"/>
    <w:rsid w:val="002B01EA"/>
    <w:rsid w:val="002B03FB"/>
    <w:rsid w:val="002B05C4"/>
    <w:rsid w:val="002B082A"/>
    <w:rsid w:val="002B0CB8"/>
    <w:rsid w:val="002B0E61"/>
    <w:rsid w:val="002B0EB5"/>
    <w:rsid w:val="002B0ED7"/>
    <w:rsid w:val="002B0EF9"/>
    <w:rsid w:val="002B10C6"/>
    <w:rsid w:val="002B1118"/>
    <w:rsid w:val="002B1508"/>
    <w:rsid w:val="002B150F"/>
    <w:rsid w:val="002B1672"/>
    <w:rsid w:val="002B1A6F"/>
    <w:rsid w:val="002B1E87"/>
    <w:rsid w:val="002B1EB0"/>
    <w:rsid w:val="002B2004"/>
    <w:rsid w:val="002B2139"/>
    <w:rsid w:val="002B24FE"/>
    <w:rsid w:val="002B2799"/>
    <w:rsid w:val="002B2D44"/>
    <w:rsid w:val="002B2D7E"/>
    <w:rsid w:val="002B31A4"/>
    <w:rsid w:val="002B3459"/>
    <w:rsid w:val="002B36A4"/>
    <w:rsid w:val="002B3962"/>
    <w:rsid w:val="002B3F93"/>
    <w:rsid w:val="002B4308"/>
    <w:rsid w:val="002B44C0"/>
    <w:rsid w:val="002B4617"/>
    <w:rsid w:val="002B4B96"/>
    <w:rsid w:val="002B4BF0"/>
    <w:rsid w:val="002B4F30"/>
    <w:rsid w:val="002B5259"/>
    <w:rsid w:val="002B59E8"/>
    <w:rsid w:val="002B5AF1"/>
    <w:rsid w:val="002B5C77"/>
    <w:rsid w:val="002B5CF5"/>
    <w:rsid w:val="002B5DED"/>
    <w:rsid w:val="002B5EAA"/>
    <w:rsid w:val="002B636F"/>
    <w:rsid w:val="002B6488"/>
    <w:rsid w:val="002B6662"/>
    <w:rsid w:val="002B6FD4"/>
    <w:rsid w:val="002B702C"/>
    <w:rsid w:val="002B7452"/>
    <w:rsid w:val="002B79D1"/>
    <w:rsid w:val="002B7ADF"/>
    <w:rsid w:val="002B7C88"/>
    <w:rsid w:val="002C0221"/>
    <w:rsid w:val="002C03E5"/>
    <w:rsid w:val="002C0502"/>
    <w:rsid w:val="002C051D"/>
    <w:rsid w:val="002C1079"/>
    <w:rsid w:val="002C16FE"/>
    <w:rsid w:val="002C206F"/>
    <w:rsid w:val="002C25FE"/>
    <w:rsid w:val="002C2844"/>
    <w:rsid w:val="002C29E2"/>
    <w:rsid w:val="002C2A12"/>
    <w:rsid w:val="002C2E50"/>
    <w:rsid w:val="002C3ABF"/>
    <w:rsid w:val="002C3F89"/>
    <w:rsid w:val="002C3FE3"/>
    <w:rsid w:val="002C447A"/>
    <w:rsid w:val="002C4BB4"/>
    <w:rsid w:val="002C4C72"/>
    <w:rsid w:val="002C4EBA"/>
    <w:rsid w:val="002C5640"/>
    <w:rsid w:val="002C5690"/>
    <w:rsid w:val="002C5902"/>
    <w:rsid w:val="002C59CA"/>
    <w:rsid w:val="002C5CE1"/>
    <w:rsid w:val="002C61E3"/>
    <w:rsid w:val="002C629E"/>
    <w:rsid w:val="002C6374"/>
    <w:rsid w:val="002C6605"/>
    <w:rsid w:val="002C6B35"/>
    <w:rsid w:val="002C6C43"/>
    <w:rsid w:val="002C6C5F"/>
    <w:rsid w:val="002C6D62"/>
    <w:rsid w:val="002C713A"/>
    <w:rsid w:val="002C7278"/>
    <w:rsid w:val="002C7388"/>
    <w:rsid w:val="002C7471"/>
    <w:rsid w:val="002C7BB4"/>
    <w:rsid w:val="002C7E70"/>
    <w:rsid w:val="002D055C"/>
    <w:rsid w:val="002D0AC3"/>
    <w:rsid w:val="002D1066"/>
    <w:rsid w:val="002D1159"/>
    <w:rsid w:val="002D1331"/>
    <w:rsid w:val="002D13E9"/>
    <w:rsid w:val="002D15A2"/>
    <w:rsid w:val="002D1B90"/>
    <w:rsid w:val="002D1D2C"/>
    <w:rsid w:val="002D1D3F"/>
    <w:rsid w:val="002D1E04"/>
    <w:rsid w:val="002D209B"/>
    <w:rsid w:val="002D2A5F"/>
    <w:rsid w:val="002D2C38"/>
    <w:rsid w:val="002D2C77"/>
    <w:rsid w:val="002D2CF8"/>
    <w:rsid w:val="002D3027"/>
    <w:rsid w:val="002D309E"/>
    <w:rsid w:val="002D314A"/>
    <w:rsid w:val="002D3B35"/>
    <w:rsid w:val="002D3B8E"/>
    <w:rsid w:val="002D3ECD"/>
    <w:rsid w:val="002D4023"/>
    <w:rsid w:val="002D494C"/>
    <w:rsid w:val="002D4CA5"/>
    <w:rsid w:val="002D4EE8"/>
    <w:rsid w:val="002D4FCA"/>
    <w:rsid w:val="002D52B1"/>
    <w:rsid w:val="002D54D7"/>
    <w:rsid w:val="002D54E2"/>
    <w:rsid w:val="002D59E5"/>
    <w:rsid w:val="002D5C3C"/>
    <w:rsid w:val="002D5EC7"/>
    <w:rsid w:val="002D61A0"/>
    <w:rsid w:val="002D645A"/>
    <w:rsid w:val="002D647C"/>
    <w:rsid w:val="002D6C79"/>
    <w:rsid w:val="002D6FFE"/>
    <w:rsid w:val="002D70D6"/>
    <w:rsid w:val="002D72BE"/>
    <w:rsid w:val="002D75B7"/>
    <w:rsid w:val="002D78A2"/>
    <w:rsid w:val="002D7E8F"/>
    <w:rsid w:val="002E0A5A"/>
    <w:rsid w:val="002E0CDC"/>
    <w:rsid w:val="002E1174"/>
    <w:rsid w:val="002E141A"/>
    <w:rsid w:val="002E1650"/>
    <w:rsid w:val="002E1984"/>
    <w:rsid w:val="002E224E"/>
    <w:rsid w:val="002E2350"/>
    <w:rsid w:val="002E238E"/>
    <w:rsid w:val="002E267F"/>
    <w:rsid w:val="002E3301"/>
    <w:rsid w:val="002E362E"/>
    <w:rsid w:val="002E3B8A"/>
    <w:rsid w:val="002E3C32"/>
    <w:rsid w:val="002E3D92"/>
    <w:rsid w:val="002E3ECA"/>
    <w:rsid w:val="002E40A8"/>
    <w:rsid w:val="002E4481"/>
    <w:rsid w:val="002E5055"/>
    <w:rsid w:val="002E54AB"/>
    <w:rsid w:val="002E5B39"/>
    <w:rsid w:val="002E5B86"/>
    <w:rsid w:val="002E60A5"/>
    <w:rsid w:val="002E60A9"/>
    <w:rsid w:val="002E622C"/>
    <w:rsid w:val="002E6A18"/>
    <w:rsid w:val="002E6D84"/>
    <w:rsid w:val="002E6E5C"/>
    <w:rsid w:val="002E7163"/>
    <w:rsid w:val="002E73CD"/>
    <w:rsid w:val="002E7462"/>
    <w:rsid w:val="002E775C"/>
    <w:rsid w:val="002E790E"/>
    <w:rsid w:val="002E7AC9"/>
    <w:rsid w:val="002E7B26"/>
    <w:rsid w:val="002F027B"/>
    <w:rsid w:val="002F09B6"/>
    <w:rsid w:val="002F0B31"/>
    <w:rsid w:val="002F0D1F"/>
    <w:rsid w:val="002F1213"/>
    <w:rsid w:val="002F12F6"/>
    <w:rsid w:val="002F1315"/>
    <w:rsid w:val="002F1505"/>
    <w:rsid w:val="002F1851"/>
    <w:rsid w:val="002F1BF1"/>
    <w:rsid w:val="002F1E3D"/>
    <w:rsid w:val="002F1FA2"/>
    <w:rsid w:val="002F2145"/>
    <w:rsid w:val="002F2299"/>
    <w:rsid w:val="002F234E"/>
    <w:rsid w:val="002F259A"/>
    <w:rsid w:val="002F2836"/>
    <w:rsid w:val="002F2840"/>
    <w:rsid w:val="002F2848"/>
    <w:rsid w:val="002F2870"/>
    <w:rsid w:val="002F2A46"/>
    <w:rsid w:val="002F30B5"/>
    <w:rsid w:val="002F3836"/>
    <w:rsid w:val="002F3F7C"/>
    <w:rsid w:val="002F3FE9"/>
    <w:rsid w:val="002F4139"/>
    <w:rsid w:val="002F4268"/>
    <w:rsid w:val="002F43C2"/>
    <w:rsid w:val="002F4EE4"/>
    <w:rsid w:val="002F5236"/>
    <w:rsid w:val="002F5795"/>
    <w:rsid w:val="002F59C9"/>
    <w:rsid w:val="002F6BBF"/>
    <w:rsid w:val="002F6BE9"/>
    <w:rsid w:val="002F7500"/>
    <w:rsid w:val="002F7732"/>
    <w:rsid w:val="002F7AD0"/>
    <w:rsid w:val="002F7BF2"/>
    <w:rsid w:val="003000EF"/>
    <w:rsid w:val="00300335"/>
    <w:rsid w:val="00300534"/>
    <w:rsid w:val="003006AB"/>
    <w:rsid w:val="00300899"/>
    <w:rsid w:val="00300900"/>
    <w:rsid w:val="00300A8C"/>
    <w:rsid w:val="00300EF7"/>
    <w:rsid w:val="00301032"/>
    <w:rsid w:val="003010F6"/>
    <w:rsid w:val="0030123B"/>
    <w:rsid w:val="003014E5"/>
    <w:rsid w:val="0030150F"/>
    <w:rsid w:val="00301985"/>
    <w:rsid w:val="00301A44"/>
    <w:rsid w:val="00301E78"/>
    <w:rsid w:val="0030234D"/>
    <w:rsid w:val="00302366"/>
    <w:rsid w:val="00302B51"/>
    <w:rsid w:val="00303055"/>
    <w:rsid w:val="0030343B"/>
    <w:rsid w:val="0030356D"/>
    <w:rsid w:val="00303656"/>
    <w:rsid w:val="00304246"/>
    <w:rsid w:val="0030434E"/>
    <w:rsid w:val="0030474C"/>
    <w:rsid w:val="00304B64"/>
    <w:rsid w:val="00304E30"/>
    <w:rsid w:val="00305070"/>
    <w:rsid w:val="00305174"/>
    <w:rsid w:val="00305193"/>
    <w:rsid w:val="00305226"/>
    <w:rsid w:val="00305231"/>
    <w:rsid w:val="003053F7"/>
    <w:rsid w:val="00305722"/>
    <w:rsid w:val="00305CB0"/>
    <w:rsid w:val="003062FC"/>
    <w:rsid w:val="00306CAB"/>
    <w:rsid w:val="00306F4E"/>
    <w:rsid w:val="0030708B"/>
    <w:rsid w:val="003078AE"/>
    <w:rsid w:val="00307B0F"/>
    <w:rsid w:val="00307B67"/>
    <w:rsid w:val="00307C13"/>
    <w:rsid w:val="00307D26"/>
    <w:rsid w:val="00307E19"/>
    <w:rsid w:val="00310038"/>
    <w:rsid w:val="00310165"/>
    <w:rsid w:val="0031019B"/>
    <w:rsid w:val="003104DD"/>
    <w:rsid w:val="003110FF"/>
    <w:rsid w:val="0031136B"/>
    <w:rsid w:val="003115BC"/>
    <w:rsid w:val="00311772"/>
    <w:rsid w:val="00311BB5"/>
    <w:rsid w:val="00311C5A"/>
    <w:rsid w:val="00311E3A"/>
    <w:rsid w:val="00311F3D"/>
    <w:rsid w:val="003126F1"/>
    <w:rsid w:val="00312841"/>
    <w:rsid w:val="00312C1A"/>
    <w:rsid w:val="00313A26"/>
    <w:rsid w:val="00313A27"/>
    <w:rsid w:val="00314266"/>
    <w:rsid w:val="0031433D"/>
    <w:rsid w:val="003144C3"/>
    <w:rsid w:val="00314B3A"/>
    <w:rsid w:val="00314BCF"/>
    <w:rsid w:val="0031529E"/>
    <w:rsid w:val="003154D3"/>
    <w:rsid w:val="0031562A"/>
    <w:rsid w:val="00315AFD"/>
    <w:rsid w:val="003162C1"/>
    <w:rsid w:val="00316449"/>
    <w:rsid w:val="003166B3"/>
    <w:rsid w:val="00316757"/>
    <w:rsid w:val="00316A75"/>
    <w:rsid w:val="00316CED"/>
    <w:rsid w:val="00316EF6"/>
    <w:rsid w:val="00316F3F"/>
    <w:rsid w:val="00317101"/>
    <w:rsid w:val="003174E8"/>
    <w:rsid w:val="0031762D"/>
    <w:rsid w:val="0031768E"/>
    <w:rsid w:val="003179D0"/>
    <w:rsid w:val="00317CDF"/>
    <w:rsid w:val="00317F24"/>
    <w:rsid w:val="003205EF"/>
    <w:rsid w:val="00320A0F"/>
    <w:rsid w:val="00320E10"/>
    <w:rsid w:val="00320E11"/>
    <w:rsid w:val="00321041"/>
    <w:rsid w:val="00321070"/>
    <w:rsid w:val="0032119E"/>
    <w:rsid w:val="00321389"/>
    <w:rsid w:val="003213DD"/>
    <w:rsid w:val="00321458"/>
    <w:rsid w:val="00321769"/>
    <w:rsid w:val="00321A16"/>
    <w:rsid w:val="00321F6F"/>
    <w:rsid w:val="00321FE0"/>
    <w:rsid w:val="003223E6"/>
    <w:rsid w:val="003227A2"/>
    <w:rsid w:val="003228DA"/>
    <w:rsid w:val="00322D28"/>
    <w:rsid w:val="00322DCB"/>
    <w:rsid w:val="00322E12"/>
    <w:rsid w:val="00322E71"/>
    <w:rsid w:val="00323307"/>
    <w:rsid w:val="00323520"/>
    <w:rsid w:val="00323F98"/>
    <w:rsid w:val="0032428A"/>
    <w:rsid w:val="00324B5B"/>
    <w:rsid w:val="00324E3E"/>
    <w:rsid w:val="003251C7"/>
    <w:rsid w:val="003253FB"/>
    <w:rsid w:val="003257AC"/>
    <w:rsid w:val="003258B8"/>
    <w:rsid w:val="00325ACA"/>
    <w:rsid w:val="00325B3C"/>
    <w:rsid w:val="00325BED"/>
    <w:rsid w:val="00326086"/>
    <w:rsid w:val="003261E5"/>
    <w:rsid w:val="003261EA"/>
    <w:rsid w:val="0032644F"/>
    <w:rsid w:val="003266A2"/>
    <w:rsid w:val="00326F40"/>
    <w:rsid w:val="003273C0"/>
    <w:rsid w:val="00327502"/>
    <w:rsid w:val="00327638"/>
    <w:rsid w:val="00327770"/>
    <w:rsid w:val="00327863"/>
    <w:rsid w:val="00327868"/>
    <w:rsid w:val="0033016C"/>
    <w:rsid w:val="0033016E"/>
    <w:rsid w:val="00330BA4"/>
    <w:rsid w:val="00331074"/>
    <w:rsid w:val="00331236"/>
    <w:rsid w:val="00331250"/>
    <w:rsid w:val="00331419"/>
    <w:rsid w:val="003314F7"/>
    <w:rsid w:val="0033178E"/>
    <w:rsid w:val="003317DF"/>
    <w:rsid w:val="00331D99"/>
    <w:rsid w:val="00331DEF"/>
    <w:rsid w:val="00331F31"/>
    <w:rsid w:val="00332977"/>
    <w:rsid w:val="003329AC"/>
    <w:rsid w:val="003330B6"/>
    <w:rsid w:val="00333278"/>
    <w:rsid w:val="0033340E"/>
    <w:rsid w:val="003334E5"/>
    <w:rsid w:val="003334F2"/>
    <w:rsid w:val="003337D9"/>
    <w:rsid w:val="0033384B"/>
    <w:rsid w:val="00333BA5"/>
    <w:rsid w:val="003340A0"/>
    <w:rsid w:val="00334685"/>
    <w:rsid w:val="00334859"/>
    <w:rsid w:val="00334ED3"/>
    <w:rsid w:val="00335370"/>
    <w:rsid w:val="0033549A"/>
    <w:rsid w:val="00335521"/>
    <w:rsid w:val="00335746"/>
    <w:rsid w:val="00335ADD"/>
    <w:rsid w:val="00335D4C"/>
    <w:rsid w:val="00335E45"/>
    <w:rsid w:val="003365DC"/>
    <w:rsid w:val="00336824"/>
    <w:rsid w:val="00336A4B"/>
    <w:rsid w:val="00336AD5"/>
    <w:rsid w:val="00336F5A"/>
    <w:rsid w:val="00337333"/>
    <w:rsid w:val="00337B7A"/>
    <w:rsid w:val="00340298"/>
    <w:rsid w:val="00340360"/>
    <w:rsid w:val="003404C3"/>
    <w:rsid w:val="00341124"/>
    <w:rsid w:val="0034180F"/>
    <w:rsid w:val="003418FA"/>
    <w:rsid w:val="00341959"/>
    <w:rsid w:val="00341B76"/>
    <w:rsid w:val="00341F93"/>
    <w:rsid w:val="003421A9"/>
    <w:rsid w:val="0034229E"/>
    <w:rsid w:val="0034286F"/>
    <w:rsid w:val="0034294C"/>
    <w:rsid w:val="00342B70"/>
    <w:rsid w:val="00342BB8"/>
    <w:rsid w:val="00342CA7"/>
    <w:rsid w:val="00342DB2"/>
    <w:rsid w:val="00342E80"/>
    <w:rsid w:val="00342EAC"/>
    <w:rsid w:val="00343081"/>
    <w:rsid w:val="00344070"/>
    <w:rsid w:val="0034414E"/>
    <w:rsid w:val="003441AF"/>
    <w:rsid w:val="003445CD"/>
    <w:rsid w:val="00344642"/>
    <w:rsid w:val="0034471F"/>
    <w:rsid w:val="0034497F"/>
    <w:rsid w:val="003449D1"/>
    <w:rsid w:val="00344E37"/>
    <w:rsid w:val="00345139"/>
    <w:rsid w:val="0034584C"/>
    <w:rsid w:val="00345CB0"/>
    <w:rsid w:val="00345DA9"/>
    <w:rsid w:val="0034609B"/>
    <w:rsid w:val="003461A5"/>
    <w:rsid w:val="00346464"/>
    <w:rsid w:val="0034666A"/>
    <w:rsid w:val="00346B48"/>
    <w:rsid w:val="00346BB8"/>
    <w:rsid w:val="00346F1E"/>
    <w:rsid w:val="00346FA2"/>
    <w:rsid w:val="00347195"/>
    <w:rsid w:val="0034731A"/>
    <w:rsid w:val="00347D56"/>
    <w:rsid w:val="003503B5"/>
    <w:rsid w:val="00350901"/>
    <w:rsid w:val="003509CF"/>
    <w:rsid w:val="00350CF9"/>
    <w:rsid w:val="00351044"/>
    <w:rsid w:val="00351787"/>
    <w:rsid w:val="003517EA"/>
    <w:rsid w:val="003518FC"/>
    <w:rsid w:val="00351B7E"/>
    <w:rsid w:val="00351F2B"/>
    <w:rsid w:val="0035218B"/>
    <w:rsid w:val="003521BF"/>
    <w:rsid w:val="003526C7"/>
    <w:rsid w:val="00352C04"/>
    <w:rsid w:val="00352C15"/>
    <w:rsid w:val="00352C46"/>
    <w:rsid w:val="00352D1E"/>
    <w:rsid w:val="003534CC"/>
    <w:rsid w:val="00353653"/>
    <w:rsid w:val="00353F31"/>
    <w:rsid w:val="0035497D"/>
    <w:rsid w:val="00354E3E"/>
    <w:rsid w:val="003553A4"/>
    <w:rsid w:val="00355C22"/>
    <w:rsid w:val="00355E5D"/>
    <w:rsid w:val="00355F02"/>
    <w:rsid w:val="00355FD7"/>
    <w:rsid w:val="00356608"/>
    <w:rsid w:val="00356814"/>
    <w:rsid w:val="00356CA8"/>
    <w:rsid w:val="00356D04"/>
    <w:rsid w:val="00356DCB"/>
    <w:rsid w:val="00356DF7"/>
    <w:rsid w:val="00357703"/>
    <w:rsid w:val="00357944"/>
    <w:rsid w:val="00357D2B"/>
    <w:rsid w:val="00360215"/>
    <w:rsid w:val="003604F6"/>
    <w:rsid w:val="00360796"/>
    <w:rsid w:val="00360F1A"/>
    <w:rsid w:val="00361524"/>
    <w:rsid w:val="0036192C"/>
    <w:rsid w:val="00361A26"/>
    <w:rsid w:val="00361EC0"/>
    <w:rsid w:val="003628A1"/>
    <w:rsid w:val="00362A90"/>
    <w:rsid w:val="003634AA"/>
    <w:rsid w:val="003638FC"/>
    <w:rsid w:val="00363ABD"/>
    <w:rsid w:val="00363AEB"/>
    <w:rsid w:val="00363FAC"/>
    <w:rsid w:val="003643D8"/>
    <w:rsid w:val="00364495"/>
    <w:rsid w:val="00364522"/>
    <w:rsid w:val="003645EA"/>
    <w:rsid w:val="0036469F"/>
    <w:rsid w:val="00364815"/>
    <w:rsid w:val="00364BFB"/>
    <w:rsid w:val="00364D9F"/>
    <w:rsid w:val="00365449"/>
    <w:rsid w:val="00365595"/>
    <w:rsid w:val="003658F9"/>
    <w:rsid w:val="0036590E"/>
    <w:rsid w:val="00365999"/>
    <w:rsid w:val="00365E5C"/>
    <w:rsid w:val="00366278"/>
    <w:rsid w:val="003664E2"/>
    <w:rsid w:val="0036693F"/>
    <w:rsid w:val="00366990"/>
    <w:rsid w:val="00366B24"/>
    <w:rsid w:val="00366E62"/>
    <w:rsid w:val="0036713C"/>
    <w:rsid w:val="00367556"/>
    <w:rsid w:val="0036765F"/>
    <w:rsid w:val="00367836"/>
    <w:rsid w:val="00367CA3"/>
    <w:rsid w:val="00367E1B"/>
    <w:rsid w:val="00370334"/>
    <w:rsid w:val="00370784"/>
    <w:rsid w:val="00370890"/>
    <w:rsid w:val="00370A92"/>
    <w:rsid w:val="00370B39"/>
    <w:rsid w:val="00370C5B"/>
    <w:rsid w:val="00370D7B"/>
    <w:rsid w:val="00370F81"/>
    <w:rsid w:val="003711D1"/>
    <w:rsid w:val="00371487"/>
    <w:rsid w:val="0037176A"/>
    <w:rsid w:val="00371828"/>
    <w:rsid w:val="00371880"/>
    <w:rsid w:val="00371965"/>
    <w:rsid w:val="00371A3A"/>
    <w:rsid w:val="00371CA8"/>
    <w:rsid w:val="00371F02"/>
    <w:rsid w:val="00371F70"/>
    <w:rsid w:val="003723C6"/>
    <w:rsid w:val="003728A6"/>
    <w:rsid w:val="0037299B"/>
    <w:rsid w:val="00372A26"/>
    <w:rsid w:val="00372AB6"/>
    <w:rsid w:val="00372C59"/>
    <w:rsid w:val="00372C75"/>
    <w:rsid w:val="003730DB"/>
    <w:rsid w:val="00373358"/>
    <w:rsid w:val="003733B9"/>
    <w:rsid w:val="0037397E"/>
    <w:rsid w:val="003739F4"/>
    <w:rsid w:val="00373DFE"/>
    <w:rsid w:val="00373EFB"/>
    <w:rsid w:val="00374133"/>
    <w:rsid w:val="00374310"/>
    <w:rsid w:val="00374337"/>
    <w:rsid w:val="003746DF"/>
    <w:rsid w:val="00374A35"/>
    <w:rsid w:val="00374C47"/>
    <w:rsid w:val="00374CC9"/>
    <w:rsid w:val="00374CEA"/>
    <w:rsid w:val="00374E88"/>
    <w:rsid w:val="00375173"/>
    <w:rsid w:val="003754D5"/>
    <w:rsid w:val="003754EA"/>
    <w:rsid w:val="003759C4"/>
    <w:rsid w:val="00375AEF"/>
    <w:rsid w:val="00375B6A"/>
    <w:rsid w:val="00375E5A"/>
    <w:rsid w:val="003763BC"/>
    <w:rsid w:val="003763C5"/>
    <w:rsid w:val="003763EE"/>
    <w:rsid w:val="003766FD"/>
    <w:rsid w:val="0037697A"/>
    <w:rsid w:val="00376ABC"/>
    <w:rsid w:val="00376B7B"/>
    <w:rsid w:val="00376CAA"/>
    <w:rsid w:val="00376FCD"/>
    <w:rsid w:val="003772AA"/>
    <w:rsid w:val="003775D4"/>
    <w:rsid w:val="003777B4"/>
    <w:rsid w:val="003777E9"/>
    <w:rsid w:val="00377C93"/>
    <w:rsid w:val="00377E0F"/>
    <w:rsid w:val="0038018C"/>
    <w:rsid w:val="003806D8"/>
    <w:rsid w:val="003806E0"/>
    <w:rsid w:val="003808DD"/>
    <w:rsid w:val="003809A6"/>
    <w:rsid w:val="003812B3"/>
    <w:rsid w:val="00381710"/>
    <w:rsid w:val="00381A91"/>
    <w:rsid w:val="00381D63"/>
    <w:rsid w:val="00381E11"/>
    <w:rsid w:val="00381F3E"/>
    <w:rsid w:val="003826BD"/>
    <w:rsid w:val="00382AAD"/>
    <w:rsid w:val="00382ADF"/>
    <w:rsid w:val="00382C60"/>
    <w:rsid w:val="00382F82"/>
    <w:rsid w:val="0038364C"/>
    <w:rsid w:val="00383F97"/>
    <w:rsid w:val="00383FEB"/>
    <w:rsid w:val="00384F77"/>
    <w:rsid w:val="00385012"/>
    <w:rsid w:val="00385163"/>
    <w:rsid w:val="003856B5"/>
    <w:rsid w:val="003857AB"/>
    <w:rsid w:val="00385D9D"/>
    <w:rsid w:val="003863C2"/>
    <w:rsid w:val="003863CC"/>
    <w:rsid w:val="003865CA"/>
    <w:rsid w:val="003865DB"/>
    <w:rsid w:val="003865FD"/>
    <w:rsid w:val="003868FE"/>
    <w:rsid w:val="00386A45"/>
    <w:rsid w:val="003873F1"/>
    <w:rsid w:val="003874E4"/>
    <w:rsid w:val="0038774E"/>
    <w:rsid w:val="00387773"/>
    <w:rsid w:val="00387CE1"/>
    <w:rsid w:val="00390064"/>
    <w:rsid w:val="003902DA"/>
    <w:rsid w:val="0039034E"/>
    <w:rsid w:val="00390AD6"/>
    <w:rsid w:val="00390D65"/>
    <w:rsid w:val="00390D6B"/>
    <w:rsid w:val="0039114A"/>
    <w:rsid w:val="00391CE0"/>
    <w:rsid w:val="00392150"/>
    <w:rsid w:val="00392163"/>
    <w:rsid w:val="0039233A"/>
    <w:rsid w:val="003925D0"/>
    <w:rsid w:val="00392740"/>
    <w:rsid w:val="00392D2F"/>
    <w:rsid w:val="00392FF4"/>
    <w:rsid w:val="00393613"/>
    <w:rsid w:val="00393718"/>
    <w:rsid w:val="0039381E"/>
    <w:rsid w:val="00393999"/>
    <w:rsid w:val="0039457F"/>
    <w:rsid w:val="00394608"/>
    <w:rsid w:val="00394916"/>
    <w:rsid w:val="00395171"/>
    <w:rsid w:val="00395181"/>
    <w:rsid w:val="0039519F"/>
    <w:rsid w:val="0039522B"/>
    <w:rsid w:val="00395760"/>
    <w:rsid w:val="0039583B"/>
    <w:rsid w:val="00395A50"/>
    <w:rsid w:val="00395B16"/>
    <w:rsid w:val="00396092"/>
    <w:rsid w:val="00396192"/>
    <w:rsid w:val="003963B6"/>
    <w:rsid w:val="00396436"/>
    <w:rsid w:val="0039663F"/>
    <w:rsid w:val="00396A18"/>
    <w:rsid w:val="00396B0A"/>
    <w:rsid w:val="00397610"/>
    <w:rsid w:val="00397A19"/>
    <w:rsid w:val="00397AB0"/>
    <w:rsid w:val="00397C2C"/>
    <w:rsid w:val="00397D25"/>
    <w:rsid w:val="003A0012"/>
    <w:rsid w:val="003A0143"/>
    <w:rsid w:val="003A03E3"/>
    <w:rsid w:val="003A057B"/>
    <w:rsid w:val="003A0746"/>
    <w:rsid w:val="003A0A17"/>
    <w:rsid w:val="003A0C44"/>
    <w:rsid w:val="003A0F77"/>
    <w:rsid w:val="003A1631"/>
    <w:rsid w:val="003A185C"/>
    <w:rsid w:val="003A1EDF"/>
    <w:rsid w:val="003A22D7"/>
    <w:rsid w:val="003A28CF"/>
    <w:rsid w:val="003A2A77"/>
    <w:rsid w:val="003A2B1F"/>
    <w:rsid w:val="003A30AB"/>
    <w:rsid w:val="003A3174"/>
    <w:rsid w:val="003A3178"/>
    <w:rsid w:val="003A3261"/>
    <w:rsid w:val="003A3434"/>
    <w:rsid w:val="003A34AB"/>
    <w:rsid w:val="003A3C9A"/>
    <w:rsid w:val="003A3D6A"/>
    <w:rsid w:val="003A3DB5"/>
    <w:rsid w:val="003A40D8"/>
    <w:rsid w:val="003A4B19"/>
    <w:rsid w:val="003A4BA8"/>
    <w:rsid w:val="003A4D25"/>
    <w:rsid w:val="003A4DE2"/>
    <w:rsid w:val="003A4F1C"/>
    <w:rsid w:val="003A4FF1"/>
    <w:rsid w:val="003A52CD"/>
    <w:rsid w:val="003A55F1"/>
    <w:rsid w:val="003A5DF9"/>
    <w:rsid w:val="003A5E83"/>
    <w:rsid w:val="003A613E"/>
    <w:rsid w:val="003A6661"/>
    <w:rsid w:val="003A66D9"/>
    <w:rsid w:val="003A6796"/>
    <w:rsid w:val="003A6958"/>
    <w:rsid w:val="003A6BBB"/>
    <w:rsid w:val="003A71A7"/>
    <w:rsid w:val="003A76FF"/>
    <w:rsid w:val="003A79C7"/>
    <w:rsid w:val="003B00BB"/>
    <w:rsid w:val="003B108A"/>
    <w:rsid w:val="003B146D"/>
    <w:rsid w:val="003B17DF"/>
    <w:rsid w:val="003B1DA5"/>
    <w:rsid w:val="003B1F28"/>
    <w:rsid w:val="003B2029"/>
    <w:rsid w:val="003B21C5"/>
    <w:rsid w:val="003B2277"/>
    <w:rsid w:val="003B2402"/>
    <w:rsid w:val="003B26B8"/>
    <w:rsid w:val="003B27A4"/>
    <w:rsid w:val="003B2C42"/>
    <w:rsid w:val="003B2CA3"/>
    <w:rsid w:val="003B2EA0"/>
    <w:rsid w:val="003B303A"/>
    <w:rsid w:val="003B364A"/>
    <w:rsid w:val="003B38E6"/>
    <w:rsid w:val="003B3CEC"/>
    <w:rsid w:val="003B47DA"/>
    <w:rsid w:val="003B4B65"/>
    <w:rsid w:val="003B4C44"/>
    <w:rsid w:val="003B4CC4"/>
    <w:rsid w:val="003B5156"/>
    <w:rsid w:val="003B5207"/>
    <w:rsid w:val="003B530D"/>
    <w:rsid w:val="003B5318"/>
    <w:rsid w:val="003B53BA"/>
    <w:rsid w:val="003B5550"/>
    <w:rsid w:val="003B5719"/>
    <w:rsid w:val="003B5B48"/>
    <w:rsid w:val="003B5EE2"/>
    <w:rsid w:val="003B65F5"/>
    <w:rsid w:val="003B666B"/>
    <w:rsid w:val="003B6CF2"/>
    <w:rsid w:val="003B7507"/>
    <w:rsid w:val="003B7667"/>
    <w:rsid w:val="003B7710"/>
    <w:rsid w:val="003B7852"/>
    <w:rsid w:val="003B7A69"/>
    <w:rsid w:val="003B7C16"/>
    <w:rsid w:val="003C021D"/>
    <w:rsid w:val="003C06DF"/>
    <w:rsid w:val="003C0856"/>
    <w:rsid w:val="003C091F"/>
    <w:rsid w:val="003C0A12"/>
    <w:rsid w:val="003C0D15"/>
    <w:rsid w:val="003C0DDC"/>
    <w:rsid w:val="003C1144"/>
    <w:rsid w:val="003C11A1"/>
    <w:rsid w:val="003C11FA"/>
    <w:rsid w:val="003C1EA1"/>
    <w:rsid w:val="003C1EE6"/>
    <w:rsid w:val="003C1F62"/>
    <w:rsid w:val="003C20E5"/>
    <w:rsid w:val="003C232F"/>
    <w:rsid w:val="003C23D8"/>
    <w:rsid w:val="003C2714"/>
    <w:rsid w:val="003C28CD"/>
    <w:rsid w:val="003C2999"/>
    <w:rsid w:val="003C2D30"/>
    <w:rsid w:val="003C2E7E"/>
    <w:rsid w:val="003C3586"/>
    <w:rsid w:val="003C39F4"/>
    <w:rsid w:val="003C3A67"/>
    <w:rsid w:val="003C3D1C"/>
    <w:rsid w:val="003C3D88"/>
    <w:rsid w:val="003C3E35"/>
    <w:rsid w:val="003C3F27"/>
    <w:rsid w:val="003C3FF6"/>
    <w:rsid w:val="003C4196"/>
    <w:rsid w:val="003C4225"/>
    <w:rsid w:val="003C446A"/>
    <w:rsid w:val="003C4526"/>
    <w:rsid w:val="003C478F"/>
    <w:rsid w:val="003C4816"/>
    <w:rsid w:val="003C481E"/>
    <w:rsid w:val="003C4BF3"/>
    <w:rsid w:val="003C4E0C"/>
    <w:rsid w:val="003C5206"/>
    <w:rsid w:val="003C52C2"/>
    <w:rsid w:val="003C5572"/>
    <w:rsid w:val="003C5662"/>
    <w:rsid w:val="003C57A8"/>
    <w:rsid w:val="003C5A90"/>
    <w:rsid w:val="003C5BBA"/>
    <w:rsid w:val="003C5DCA"/>
    <w:rsid w:val="003C5F1E"/>
    <w:rsid w:val="003C660A"/>
    <w:rsid w:val="003C6CF8"/>
    <w:rsid w:val="003C7272"/>
    <w:rsid w:val="003C77B4"/>
    <w:rsid w:val="003C7920"/>
    <w:rsid w:val="003C7F6A"/>
    <w:rsid w:val="003D03F6"/>
    <w:rsid w:val="003D0627"/>
    <w:rsid w:val="003D0642"/>
    <w:rsid w:val="003D0768"/>
    <w:rsid w:val="003D0815"/>
    <w:rsid w:val="003D0B84"/>
    <w:rsid w:val="003D15B6"/>
    <w:rsid w:val="003D1856"/>
    <w:rsid w:val="003D1E4A"/>
    <w:rsid w:val="003D207B"/>
    <w:rsid w:val="003D26FD"/>
    <w:rsid w:val="003D2823"/>
    <w:rsid w:val="003D2F21"/>
    <w:rsid w:val="003D30CF"/>
    <w:rsid w:val="003D31D9"/>
    <w:rsid w:val="003D3676"/>
    <w:rsid w:val="003D41C4"/>
    <w:rsid w:val="003D425A"/>
    <w:rsid w:val="003D4702"/>
    <w:rsid w:val="003D47A8"/>
    <w:rsid w:val="003D4D14"/>
    <w:rsid w:val="003D4DAE"/>
    <w:rsid w:val="003D50D1"/>
    <w:rsid w:val="003D50FD"/>
    <w:rsid w:val="003D55A0"/>
    <w:rsid w:val="003D55C0"/>
    <w:rsid w:val="003D5773"/>
    <w:rsid w:val="003D5789"/>
    <w:rsid w:val="003D5C24"/>
    <w:rsid w:val="003D5D4A"/>
    <w:rsid w:val="003D5F52"/>
    <w:rsid w:val="003D601C"/>
    <w:rsid w:val="003D6239"/>
    <w:rsid w:val="003D67E2"/>
    <w:rsid w:val="003D6826"/>
    <w:rsid w:val="003D68F6"/>
    <w:rsid w:val="003D6A2B"/>
    <w:rsid w:val="003D6D3A"/>
    <w:rsid w:val="003D6E01"/>
    <w:rsid w:val="003D706A"/>
    <w:rsid w:val="003D70BB"/>
    <w:rsid w:val="003D7627"/>
    <w:rsid w:val="003D773C"/>
    <w:rsid w:val="003D7810"/>
    <w:rsid w:val="003D7D8D"/>
    <w:rsid w:val="003D7DCC"/>
    <w:rsid w:val="003E0115"/>
    <w:rsid w:val="003E01F7"/>
    <w:rsid w:val="003E03C3"/>
    <w:rsid w:val="003E04BB"/>
    <w:rsid w:val="003E0E28"/>
    <w:rsid w:val="003E0FCC"/>
    <w:rsid w:val="003E1354"/>
    <w:rsid w:val="003E1539"/>
    <w:rsid w:val="003E1938"/>
    <w:rsid w:val="003E1EBA"/>
    <w:rsid w:val="003E2108"/>
    <w:rsid w:val="003E2655"/>
    <w:rsid w:val="003E26E2"/>
    <w:rsid w:val="003E2995"/>
    <w:rsid w:val="003E2EC6"/>
    <w:rsid w:val="003E3447"/>
    <w:rsid w:val="003E3733"/>
    <w:rsid w:val="003E37A9"/>
    <w:rsid w:val="003E3909"/>
    <w:rsid w:val="003E3EA0"/>
    <w:rsid w:val="003E43CB"/>
    <w:rsid w:val="003E46FE"/>
    <w:rsid w:val="003E4BD5"/>
    <w:rsid w:val="003E4E80"/>
    <w:rsid w:val="003E502C"/>
    <w:rsid w:val="003E5150"/>
    <w:rsid w:val="003E51DF"/>
    <w:rsid w:val="003E555A"/>
    <w:rsid w:val="003E5D9C"/>
    <w:rsid w:val="003E5DFD"/>
    <w:rsid w:val="003E5E13"/>
    <w:rsid w:val="003E661E"/>
    <w:rsid w:val="003E69B6"/>
    <w:rsid w:val="003E6C4B"/>
    <w:rsid w:val="003E74C6"/>
    <w:rsid w:val="003E77D1"/>
    <w:rsid w:val="003E78A1"/>
    <w:rsid w:val="003E79E8"/>
    <w:rsid w:val="003E7CF9"/>
    <w:rsid w:val="003E7E68"/>
    <w:rsid w:val="003E7EA7"/>
    <w:rsid w:val="003F01E1"/>
    <w:rsid w:val="003F063B"/>
    <w:rsid w:val="003F0671"/>
    <w:rsid w:val="003F06F8"/>
    <w:rsid w:val="003F0E15"/>
    <w:rsid w:val="003F0E6B"/>
    <w:rsid w:val="003F0F06"/>
    <w:rsid w:val="003F133E"/>
    <w:rsid w:val="003F15C6"/>
    <w:rsid w:val="003F18D1"/>
    <w:rsid w:val="003F1969"/>
    <w:rsid w:val="003F1994"/>
    <w:rsid w:val="003F1CF0"/>
    <w:rsid w:val="003F208F"/>
    <w:rsid w:val="003F2143"/>
    <w:rsid w:val="003F2BDE"/>
    <w:rsid w:val="003F2DD5"/>
    <w:rsid w:val="003F2DFF"/>
    <w:rsid w:val="003F2FC6"/>
    <w:rsid w:val="003F309C"/>
    <w:rsid w:val="003F3BD1"/>
    <w:rsid w:val="003F3CE5"/>
    <w:rsid w:val="003F3ECC"/>
    <w:rsid w:val="003F44BB"/>
    <w:rsid w:val="003F4969"/>
    <w:rsid w:val="003F4984"/>
    <w:rsid w:val="003F4A26"/>
    <w:rsid w:val="003F4B13"/>
    <w:rsid w:val="003F4C62"/>
    <w:rsid w:val="003F4CAD"/>
    <w:rsid w:val="003F528C"/>
    <w:rsid w:val="003F54D5"/>
    <w:rsid w:val="003F54D9"/>
    <w:rsid w:val="003F573D"/>
    <w:rsid w:val="003F5853"/>
    <w:rsid w:val="003F617D"/>
    <w:rsid w:val="003F64F1"/>
    <w:rsid w:val="003F6953"/>
    <w:rsid w:val="003F6CFB"/>
    <w:rsid w:val="003F7672"/>
    <w:rsid w:val="003F7D5D"/>
    <w:rsid w:val="003F7EBE"/>
    <w:rsid w:val="00400109"/>
    <w:rsid w:val="004004DF"/>
    <w:rsid w:val="004008E6"/>
    <w:rsid w:val="004009C8"/>
    <w:rsid w:val="00400BCD"/>
    <w:rsid w:val="004014CA"/>
    <w:rsid w:val="00401677"/>
    <w:rsid w:val="004017AF"/>
    <w:rsid w:val="00401A5D"/>
    <w:rsid w:val="00401AE6"/>
    <w:rsid w:val="00401DA5"/>
    <w:rsid w:val="00401EF4"/>
    <w:rsid w:val="0040201F"/>
    <w:rsid w:val="0040212B"/>
    <w:rsid w:val="00402274"/>
    <w:rsid w:val="004022C7"/>
    <w:rsid w:val="00402467"/>
    <w:rsid w:val="004026F4"/>
    <w:rsid w:val="0040271B"/>
    <w:rsid w:val="00402A25"/>
    <w:rsid w:val="00402B3C"/>
    <w:rsid w:val="00403079"/>
    <w:rsid w:val="00403619"/>
    <w:rsid w:val="00403753"/>
    <w:rsid w:val="004039DE"/>
    <w:rsid w:val="00403BE6"/>
    <w:rsid w:val="00403DA0"/>
    <w:rsid w:val="00404603"/>
    <w:rsid w:val="0040481E"/>
    <w:rsid w:val="00404A19"/>
    <w:rsid w:val="00404A43"/>
    <w:rsid w:val="00404D4D"/>
    <w:rsid w:val="00404F63"/>
    <w:rsid w:val="0040530B"/>
    <w:rsid w:val="0040554F"/>
    <w:rsid w:val="00405631"/>
    <w:rsid w:val="00405A04"/>
    <w:rsid w:val="00405B4F"/>
    <w:rsid w:val="00405BB3"/>
    <w:rsid w:val="00405D01"/>
    <w:rsid w:val="004066E4"/>
    <w:rsid w:val="00406799"/>
    <w:rsid w:val="00406B50"/>
    <w:rsid w:val="00406E53"/>
    <w:rsid w:val="00406ED0"/>
    <w:rsid w:val="00407010"/>
    <w:rsid w:val="00407379"/>
    <w:rsid w:val="0040742F"/>
    <w:rsid w:val="0040797E"/>
    <w:rsid w:val="00407C9B"/>
    <w:rsid w:val="00410168"/>
    <w:rsid w:val="00410727"/>
    <w:rsid w:val="004107C6"/>
    <w:rsid w:val="004109BA"/>
    <w:rsid w:val="00410E3A"/>
    <w:rsid w:val="00410EEA"/>
    <w:rsid w:val="00411340"/>
    <w:rsid w:val="00411749"/>
    <w:rsid w:val="0041190E"/>
    <w:rsid w:val="00411B39"/>
    <w:rsid w:val="00411C11"/>
    <w:rsid w:val="00411DEA"/>
    <w:rsid w:val="00412132"/>
    <w:rsid w:val="00412B9E"/>
    <w:rsid w:val="00412EC7"/>
    <w:rsid w:val="00412EE7"/>
    <w:rsid w:val="0041328E"/>
    <w:rsid w:val="00413330"/>
    <w:rsid w:val="0041359F"/>
    <w:rsid w:val="00413A34"/>
    <w:rsid w:val="00413E10"/>
    <w:rsid w:val="00413E99"/>
    <w:rsid w:val="0041411C"/>
    <w:rsid w:val="00414213"/>
    <w:rsid w:val="0041423D"/>
    <w:rsid w:val="0041427F"/>
    <w:rsid w:val="004143B5"/>
    <w:rsid w:val="004143C8"/>
    <w:rsid w:val="00414497"/>
    <w:rsid w:val="00414818"/>
    <w:rsid w:val="00414AF3"/>
    <w:rsid w:val="00414B56"/>
    <w:rsid w:val="00415397"/>
    <w:rsid w:val="0041546D"/>
    <w:rsid w:val="004154FD"/>
    <w:rsid w:val="0041556E"/>
    <w:rsid w:val="004155AF"/>
    <w:rsid w:val="00415677"/>
    <w:rsid w:val="004158D0"/>
    <w:rsid w:val="00415A0E"/>
    <w:rsid w:val="00415E24"/>
    <w:rsid w:val="00415EC9"/>
    <w:rsid w:val="00416034"/>
    <w:rsid w:val="004161BF"/>
    <w:rsid w:val="004164A0"/>
    <w:rsid w:val="004164D4"/>
    <w:rsid w:val="004169B6"/>
    <w:rsid w:val="00416A10"/>
    <w:rsid w:val="00416AF4"/>
    <w:rsid w:val="004173AB"/>
    <w:rsid w:val="00417EB4"/>
    <w:rsid w:val="0042005C"/>
    <w:rsid w:val="00420300"/>
    <w:rsid w:val="00420435"/>
    <w:rsid w:val="00420B2B"/>
    <w:rsid w:val="00420E08"/>
    <w:rsid w:val="00421034"/>
    <w:rsid w:val="00421213"/>
    <w:rsid w:val="004216F6"/>
    <w:rsid w:val="004217DE"/>
    <w:rsid w:val="004219BB"/>
    <w:rsid w:val="004219CB"/>
    <w:rsid w:val="00421A22"/>
    <w:rsid w:val="00421CFA"/>
    <w:rsid w:val="00421D44"/>
    <w:rsid w:val="00421E64"/>
    <w:rsid w:val="00421FEA"/>
    <w:rsid w:val="00422039"/>
    <w:rsid w:val="004225AD"/>
    <w:rsid w:val="00422CF3"/>
    <w:rsid w:val="004235DE"/>
    <w:rsid w:val="00423B04"/>
    <w:rsid w:val="00424224"/>
    <w:rsid w:val="0042424C"/>
    <w:rsid w:val="0042480D"/>
    <w:rsid w:val="00424AFB"/>
    <w:rsid w:val="00424D47"/>
    <w:rsid w:val="00424F9A"/>
    <w:rsid w:val="00425098"/>
    <w:rsid w:val="00425600"/>
    <w:rsid w:val="00425E36"/>
    <w:rsid w:val="00425FF0"/>
    <w:rsid w:val="004261B1"/>
    <w:rsid w:val="004261C2"/>
    <w:rsid w:val="00426331"/>
    <w:rsid w:val="004265B9"/>
    <w:rsid w:val="004266AF"/>
    <w:rsid w:val="00426B9E"/>
    <w:rsid w:val="00426BB9"/>
    <w:rsid w:val="00426C05"/>
    <w:rsid w:val="004270F3"/>
    <w:rsid w:val="004271D5"/>
    <w:rsid w:val="0042777A"/>
    <w:rsid w:val="00427A23"/>
    <w:rsid w:val="0043094F"/>
    <w:rsid w:val="0043096A"/>
    <w:rsid w:val="00430BAD"/>
    <w:rsid w:val="00430BD0"/>
    <w:rsid w:val="004312D7"/>
    <w:rsid w:val="00431407"/>
    <w:rsid w:val="00431C15"/>
    <w:rsid w:val="0043236B"/>
    <w:rsid w:val="004325A4"/>
    <w:rsid w:val="004325D6"/>
    <w:rsid w:val="0043274E"/>
    <w:rsid w:val="0043295A"/>
    <w:rsid w:val="00432A0D"/>
    <w:rsid w:val="00432B8C"/>
    <w:rsid w:val="00432D0A"/>
    <w:rsid w:val="00432F1D"/>
    <w:rsid w:val="004332B8"/>
    <w:rsid w:val="00433372"/>
    <w:rsid w:val="00433670"/>
    <w:rsid w:val="00433899"/>
    <w:rsid w:val="00433A35"/>
    <w:rsid w:val="00433AF2"/>
    <w:rsid w:val="00433EA5"/>
    <w:rsid w:val="00433FB4"/>
    <w:rsid w:val="0043405A"/>
    <w:rsid w:val="0043406D"/>
    <w:rsid w:val="0043425F"/>
    <w:rsid w:val="0043430E"/>
    <w:rsid w:val="00434570"/>
    <w:rsid w:val="004346FC"/>
    <w:rsid w:val="00434B4C"/>
    <w:rsid w:val="00434FAD"/>
    <w:rsid w:val="00435373"/>
    <w:rsid w:val="00435A07"/>
    <w:rsid w:val="00435B47"/>
    <w:rsid w:val="00435D46"/>
    <w:rsid w:val="004367F4"/>
    <w:rsid w:val="004368B6"/>
    <w:rsid w:val="00436E29"/>
    <w:rsid w:val="004376F3"/>
    <w:rsid w:val="00437A5A"/>
    <w:rsid w:val="00437C93"/>
    <w:rsid w:val="00437F06"/>
    <w:rsid w:val="00440A17"/>
    <w:rsid w:val="00440B48"/>
    <w:rsid w:val="00440C72"/>
    <w:rsid w:val="00440D3A"/>
    <w:rsid w:val="004411A3"/>
    <w:rsid w:val="0044155E"/>
    <w:rsid w:val="00441EAE"/>
    <w:rsid w:val="00441F53"/>
    <w:rsid w:val="00442468"/>
    <w:rsid w:val="004425A7"/>
    <w:rsid w:val="004427A8"/>
    <w:rsid w:val="00442971"/>
    <w:rsid w:val="004429DD"/>
    <w:rsid w:val="00442A73"/>
    <w:rsid w:val="00442D39"/>
    <w:rsid w:val="004438DC"/>
    <w:rsid w:val="00443EEC"/>
    <w:rsid w:val="00444568"/>
    <w:rsid w:val="00444AFE"/>
    <w:rsid w:val="00444D8C"/>
    <w:rsid w:val="00444F9D"/>
    <w:rsid w:val="00445242"/>
    <w:rsid w:val="004452AA"/>
    <w:rsid w:val="00445516"/>
    <w:rsid w:val="004455F0"/>
    <w:rsid w:val="00445900"/>
    <w:rsid w:val="00445AC0"/>
    <w:rsid w:val="004460B7"/>
    <w:rsid w:val="0044658F"/>
    <w:rsid w:val="004465E5"/>
    <w:rsid w:val="004466AA"/>
    <w:rsid w:val="004467A1"/>
    <w:rsid w:val="00446BF1"/>
    <w:rsid w:val="004475D8"/>
    <w:rsid w:val="00447955"/>
    <w:rsid w:val="00447A32"/>
    <w:rsid w:val="00447C4C"/>
    <w:rsid w:val="00447C64"/>
    <w:rsid w:val="004501C6"/>
    <w:rsid w:val="004504CF"/>
    <w:rsid w:val="0045093A"/>
    <w:rsid w:val="00450948"/>
    <w:rsid w:val="00450B34"/>
    <w:rsid w:val="00450E26"/>
    <w:rsid w:val="00450EF6"/>
    <w:rsid w:val="004514C2"/>
    <w:rsid w:val="004519DB"/>
    <w:rsid w:val="00451BD0"/>
    <w:rsid w:val="004522F5"/>
    <w:rsid w:val="00452532"/>
    <w:rsid w:val="004525D3"/>
    <w:rsid w:val="00452989"/>
    <w:rsid w:val="00452A30"/>
    <w:rsid w:val="00452F4B"/>
    <w:rsid w:val="004530F7"/>
    <w:rsid w:val="00453334"/>
    <w:rsid w:val="00453365"/>
    <w:rsid w:val="004535EA"/>
    <w:rsid w:val="00453642"/>
    <w:rsid w:val="0045367B"/>
    <w:rsid w:val="00453902"/>
    <w:rsid w:val="00453CAB"/>
    <w:rsid w:val="00453FB1"/>
    <w:rsid w:val="0045415A"/>
    <w:rsid w:val="004547CB"/>
    <w:rsid w:val="004547FD"/>
    <w:rsid w:val="00454AF8"/>
    <w:rsid w:val="0045519D"/>
    <w:rsid w:val="004553D9"/>
    <w:rsid w:val="0045555A"/>
    <w:rsid w:val="004555B0"/>
    <w:rsid w:val="004555B4"/>
    <w:rsid w:val="00455614"/>
    <w:rsid w:val="0045563F"/>
    <w:rsid w:val="004556EF"/>
    <w:rsid w:val="004557B0"/>
    <w:rsid w:val="0045582B"/>
    <w:rsid w:val="00455B5A"/>
    <w:rsid w:val="00455DC7"/>
    <w:rsid w:val="00455FF9"/>
    <w:rsid w:val="0045634B"/>
    <w:rsid w:val="00456922"/>
    <w:rsid w:val="00456A32"/>
    <w:rsid w:val="00456AA2"/>
    <w:rsid w:val="00456AF3"/>
    <w:rsid w:val="00456C92"/>
    <w:rsid w:val="00456EE6"/>
    <w:rsid w:val="0045728E"/>
    <w:rsid w:val="004573B9"/>
    <w:rsid w:val="004573D1"/>
    <w:rsid w:val="00457447"/>
    <w:rsid w:val="004574C0"/>
    <w:rsid w:val="00457509"/>
    <w:rsid w:val="00457836"/>
    <w:rsid w:val="00457BA6"/>
    <w:rsid w:val="00457E4A"/>
    <w:rsid w:val="00457ED6"/>
    <w:rsid w:val="0046016F"/>
    <w:rsid w:val="004604B2"/>
    <w:rsid w:val="004604DD"/>
    <w:rsid w:val="004605F4"/>
    <w:rsid w:val="00460681"/>
    <w:rsid w:val="00460E85"/>
    <w:rsid w:val="00460F11"/>
    <w:rsid w:val="004611DC"/>
    <w:rsid w:val="004614A2"/>
    <w:rsid w:val="00461659"/>
    <w:rsid w:val="00461CE2"/>
    <w:rsid w:val="00461E6C"/>
    <w:rsid w:val="004620EC"/>
    <w:rsid w:val="0046256D"/>
    <w:rsid w:val="004628D8"/>
    <w:rsid w:val="00463118"/>
    <w:rsid w:val="004638FA"/>
    <w:rsid w:val="00463C96"/>
    <w:rsid w:val="00463D8F"/>
    <w:rsid w:val="00464619"/>
    <w:rsid w:val="00464781"/>
    <w:rsid w:val="00464AAD"/>
    <w:rsid w:val="00464AD9"/>
    <w:rsid w:val="00464EF2"/>
    <w:rsid w:val="00464F89"/>
    <w:rsid w:val="00465429"/>
    <w:rsid w:val="0046547D"/>
    <w:rsid w:val="0046551B"/>
    <w:rsid w:val="00465575"/>
    <w:rsid w:val="0046559B"/>
    <w:rsid w:val="00465A85"/>
    <w:rsid w:val="00465E81"/>
    <w:rsid w:val="00466033"/>
    <w:rsid w:val="004662CC"/>
    <w:rsid w:val="0046650D"/>
    <w:rsid w:val="004668DE"/>
    <w:rsid w:val="00466A3C"/>
    <w:rsid w:val="00466CAC"/>
    <w:rsid w:val="00466ED0"/>
    <w:rsid w:val="00467136"/>
    <w:rsid w:val="00467142"/>
    <w:rsid w:val="004673C4"/>
    <w:rsid w:val="00467A71"/>
    <w:rsid w:val="00467B5F"/>
    <w:rsid w:val="00467BF8"/>
    <w:rsid w:val="00467D09"/>
    <w:rsid w:val="00470088"/>
    <w:rsid w:val="004703E0"/>
    <w:rsid w:val="004705C6"/>
    <w:rsid w:val="00470704"/>
    <w:rsid w:val="00470886"/>
    <w:rsid w:val="00470E76"/>
    <w:rsid w:val="00471711"/>
    <w:rsid w:val="00471760"/>
    <w:rsid w:val="00471B52"/>
    <w:rsid w:val="00471E87"/>
    <w:rsid w:val="00471EDD"/>
    <w:rsid w:val="00471FD2"/>
    <w:rsid w:val="00472413"/>
    <w:rsid w:val="00472B08"/>
    <w:rsid w:val="00472C5A"/>
    <w:rsid w:val="00472EBC"/>
    <w:rsid w:val="00472FCB"/>
    <w:rsid w:val="004731DA"/>
    <w:rsid w:val="00473567"/>
    <w:rsid w:val="00473622"/>
    <w:rsid w:val="00473BD8"/>
    <w:rsid w:val="00473EB3"/>
    <w:rsid w:val="00474619"/>
    <w:rsid w:val="004748CF"/>
    <w:rsid w:val="00474B47"/>
    <w:rsid w:val="00474C93"/>
    <w:rsid w:val="00475533"/>
    <w:rsid w:val="00475ABC"/>
    <w:rsid w:val="00475CF8"/>
    <w:rsid w:val="00476572"/>
    <w:rsid w:val="004766A3"/>
    <w:rsid w:val="004772DB"/>
    <w:rsid w:val="004773A7"/>
    <w:rsid w:val="00477FE0"/>
    <w:rsid w:val="00480C90"/>
    <w:rsid w:val="00480E7B"/>
    <w:rsid w:val="00480FA3"/>
    <w:rsid w:val="00480FF7"/>
    <w:rsid w:val="00481158"/>
    <w:rsid w:val="004814F4"/>
    <w:rsid w:val="00481A0B"/>
    <w:rsid w:val="00481A3A"/>
    <w:rsid w:val="0048273C"/>
    <w:rsid w:val="004827BA"/>
    <w:rsid w:val="004827DD"/>
    <w:rsid w:val="0048282B"/>
    <w:rsid w:val="00482BC7"/>
    <w:rsid w:val="00483093"/>
    <w:rsid w:val="00483279"/>
    <w:rsid w:val="004832B7"/>
    <w:rsid w:val="004833D4"/>
    <w:rsid w:val="00483B51"/>
    <w:rsid w:val="00483E98"/>
    <w:rsid w:val="00484974"/>
    <w:rsid w:val="00484F8B"/>
    <w:rsid w:val="00485990"/>
    <w:rsid w:val="00485C4C"/>
    <w:rsid w:val="00485ED0"/>
    <w:rsid w:val="00485FBB"/>
    <w:rsid w:val="00486A7E"/>
    <w:rsid w:val="00486B9F"/>
    <w:rsid w:val="00486EB8"/>
    <w:rsid w:val="004872A1"/>
    <w:rsid w:val="00487719"/>
    <w:rsid w:val="004879EF"/>
    <w:rsid w:val="00487A56"/>
    <w:rsid w:val="00487ADC"/>
    <w:rsid w:val="00487B7A"/>
    <w:rsid w:val="00490053"/>
    <w:rsid w:val="004900E1"/>
    <w:rsid w:val="004904F0"/>
    <w:rsid w:val="004906C9"/>
    <w:rsid w:val="004907FA"/>
    <w:rsid w:val="00490DBC"/>
    <w:rsid w:val="00490DD7"/>
    <w:rsid w:val="00491216"/>
    <w:rsid w:val="00491697"/>
    <w:rsid w:val="00491D41"/>
    <w:rsid w:val="00491F1A"/>
    <w:rsid w:val="00491F59"/>
    <w:rsid w:val="004920AD"/>
    <w:rsid w:val="004923E7"/>
    <w:rsid w:val="0049252B"/>
    <w:rsid w:val="0049315E"/>
    <w:rsid w:val="004934F6"/>
    <w:rsid w:val="00493621"/>
    <w:rsid w:val="00493B72"/>
    <w:rsid w:val="00493DB8"/>
    <w:rsid w:val="00493EEB"/>
    <w:rsid w:val="00494463"/>
    <w:rsid w:val="004945C8"/>
    <w:rsid w:val="004946DE"/>
    <w:rsid w:val="004948C9"/>
    <w:rsid w:val="004949CD"/>
    <w:rsid w:val="00494BA5"/>
    <w:rsid w:val="00495015"/>
    <w:rsid w:val="004950F2"/>
    <w:rsid w:val="00495335"/>
    <w:rsid w:val="004954E9"/>
    <w:rsid w:val="0049599F"/>
    <w:rsid w:val="00495A66"/>
    <w:rsid w:val="00495BE6"/>
    <w:rsid w:val="0049658B"/>
    <w:rsid w:val="00496970"/>
    <w:rsid w:val="00496F29"/>
    <w:rsid w:val="00496F30"/>
    <w:rsid w:val="00496FA7"/>
    <w:rsid w:val="0049709F"/>
    <w:rsid w:val="0049783A"/>
    <w:rsid w:val="00497870"/>
    <w:rsid w:val="00497A8F"/>
    <w:rsid w:val="00497F3F"/>
    <w:rsid w:val="00497F4D"/>
    <w:rsid w:val="004A0012"/>
    <w:rsid w:val="004A01EF"/>
    <w:rsid w:val="004A030A"/>
    <w:rsid w:val="004A0505"/>
    <w:rsid w:val="004A183A"/>
    <w:rsid w:val="004A18EA"/>
    <w:rsid w:val="004A1B8A"/>
    <w:rsid w:val="004A210C"/>
    <w:rsid w:val="004A222D"/>
    <w:rsid w:val="004A2383"/>
    <w:rsid w:val="004A27BC"/>
    <w:rsid w:val="004A28A7"/>
    <w:rsid w:val="004A29D0"/>
    <w:rsid w:val="004A29DE"/>
    <w:rsid w:val="004A2B75"/>
    <w:rsid w:val="004A2C14"/>
    <w:rsid w:val="004A2D31"/>
    <w:rsid w:val="004A2D4B"/>
    <w:rsid w:val="004A2D52"/>
    <w:rsid w:val="004A303F"/>
    <w:rsid w:val="004A3123"/>
    <w:rsid w:val="004A312F"/>
    <w:rsid w:val="004A3371"/>
    <w:rsid w:val="004A3495"/>
    <w:rsid w:val="004A3853"/>
    <w:rsid w:val="004A39B7"/>
    <w:rsid w:val="004A3E48"/>
    <w:rsid w:val="004A3F8C"/>
    <w:rsid w:val="004A411F"/>
    <w:rsid w:val="004A416A"/>
    <w:rsid w:val="004A4201"/>
    <w:rsid w:val="004A446A"/>
    <w:rsid w:val="004A468F"/>
    <w:rsid w:val="004A4756"/>
    <w:rsid w:val="004A48C3"/>
    <w:rsid w:val="004A516F"/>
    <w:rsid w:val="004A5729"/>
    <w:rsid w:val="004A574F"/>
    <w:rsid w:val="004A5A19"/>
    <w:rsid w:val="004A623C"/>
    <w:rsid w:val="004A6292"/>
    <w:rsid w:val="004A6919"/>
    <w:rsid w:val="004A6A4A"/>
    <w:rsid w:val="004A6C66"/>
    <w:rsid w:val="004A6D28"/>
    <w:rsid w:val="004A6ECA"/>
    <w:rsid w:val="004A735F"/>
    <w:rsid w:val="004A7B27"/>
    <w:rsid w:val="004A7D3B"/>
    <w:rsid w:val="004A7F74"/>
    <w:rsid w:val="004A7FB5"/>
    <w:rsid w:val="004B058D"/>
    <w:rsid w:val="004B0631"/>
    <w:rsid w:val="004B08F6"/>
    <w:rsid w:val="004B0E50"/>
    <w:rsid w:val="004B178C"/>
    <w:rsid w:val="004B1B81"/>
    <w:rsid w:val="004B1C17"/>
    <w:rsid w:val="004B1EFA"/>
    <w:rsid w:val="004B20AD"/>
    <w:rsid w:val="004B2348"/>
    <w:rsid w:val="004B28CF"/>
    <w:rsid w:val="004B2B91"/>
    <w:rsid w:val="004B2DBB"/>
    <w:rsid w:val="004B2F48"/>
    <w:rsid w:val="004B314C"/>
    <w:rsid w:val="004B34F2"/>
    <w:rsid w:val="004B371C"/>
    <w:rsid w:val="004B37D7"/>
    <w:rsid w:val="004B3B9E"/>
    <w:rsid w:val="004B3C65"/>
    <w:rsid w:val="004B3E9D"/>
    <w:rsid w:val="004B3FEB"/>
    <w:rsid w:val="004B4235"/>
    <w:rsid w:val="004B4342"/>
    <w:rsid w:val="004B440A"/>
    <w:rsid w:val="004B4A70"/>
    <w:rsid w:val="004B50B2"/>
    <w:rsid w:val="004B5386"/>
    <w:rsid w:val="004B5445"/>
    <w:rsid w:val="004B562C"/>
    <w:rsid w:val="004B5C33"/>
    <w:rsid w:val="004B6006"/>
    <w:rsid w:val="004B6062"/>
    <w:rsid w:val="004B60C5"/>
    <w:rsid w:val="004B656B"/>
    <w:rsid w:val="004B688C"/>
    <w:rsid w:val="004B69B9"/>
    <w:rsid w:val="004B6E8D"/>
    <w:rsid w:val="004B70B4"/>
    <w:rsid w:val="004B79D3"/>
    <w:rsid w:val="004B7EAC"/>
    <w:rsid w:val="004B7FAE"/>
    <w:rsid w:val="004C0093"/>
    <w:rsid w:val="004C09EF"/>
    <w:rsid w:val="004C0B13"/>
    <w:rsid w:val="004C0BBD"/>
    <w:rsid w:val="004C0D1D"/>
    <w:rsid w:val="004C0E87"/>
    <w:rsid w:val="004C1092"/>
    <w:rsid w:val="004C109D"/>
    <w:rsid w:val="004C116D"/>
    <w:rsid w:val="004C15DA"/>
    <w:rsid w:val="004C1C1C"/>
    <w:rsid w:val="004C1D23"/>
    <w:rsid w:val="004C2565"/>
    <w:rsid w:val="004C282A"/>
    <w:rsid w:val="004C2C03"/>
    <w:rsid w:val="004C2CA9"/>
    <w:rsid w:val="004C2EB3"/>
    <w:rsid w:val="004C3487"/>
    <w:rsid w:val="004C36E7"/>
    <w:rsid w:val="004C425F"/>
    <w:rsid w:val="004C4621"/>
    <w:rsid w:val="004C47D7"/>
    <w:rsid w:val="004C59CD"/>
    <w:rsid w:val="004C5C0E"/>
    <w:rsid w:val="004C5DB6"/>
    <w:rsid w:val="004C5E59"/>
    <w:rsid w:val="004C61A1"/>
    <w:rsid w:val="004C652E"/>
    <w:rsid w:val="004C6FFE"/>
    <w:rsid w:val="004C70EA"/>
    <w:rsid w:val="004C7541"/>
    <w:rsid w:val="004C761F"/>
    <w:rsid w:val="004C7627"/>
    <w:rsid w:val="004C7AA9"/>
    <w:rsid w:val="004C7BD0"/>
    <w:rsid w:val="004C7DA1"/>
    <w:rsid w:val="004D0242"/>
    <w:rsid w:val="004D0316"/>
    <w:rsid w:val="004D0E14"/>
    <w:rsid w:val="004D0E51"/>
    <w:rsid w:val="004D13E9"/>
    <w:rsid w:val="004D14AC"/>
    <w:rsid w:val="004D15E7"/>
    <w:rsid w:val="004D1645"/>
    <w:rsid w:val="004D1A61"/>
    <w:rsid w:val="004D227B"/>
    <w:rsid w:val="004D25C6"/>
    <w:rsid w:val="004D29C3"/>
    <w:rsid w:val="004D2B8F"/>
    <w:rsid w:val="004D2C27"/>
    <w:rsid w:val="004D3DBE"/>
    <w:rsid w:val="004D408F"/>
    <w:rsid w:val="004D42F4"/>
    <w:rsid w:val="004D4452"/>
    <w:rsid w:val="004D4668"/>
    <w:rsid w:val="004D4862"/>
    <w:rsid w:val="004D48B6"/>
    <w:rsid w:val="004D4DD4"/>
    <w:rsid w:val="004D4E35"/>
    <w:rsid w:val="004D52E7"/>
    <w:rsid w:val="004D582D"/>
    <w:rsid w:val="004D5CB1"/>
    <w:rsid w:val="004D62BF"/>
    <w:rsid w:val="004D63EF"/>
    <w:rsid w:val="004D64B2"/>
    <w:rsid w:val="004D66FC"/>
    <w:rsid w:val="004D69FD"/>
    <w:rsid w:val="004D6A34"/>
    <w:rsid w:val="004D6FC5"/>
    <w:rsid w:val="004D74B9"/>
    <w:rsid w:val="004D770B"/>
    <w:rsid w:val="004D7881"/>
    <w:rsid w:val="004D7A2D"/>
    <w:rsid w:val="004D7D36"/>
    <w:rsid w:val="004D7DC5"/>
    <w:rsid w:val="004D7FC3"/>
    <w:rsid w:val="004E041A"/>
    <w:rsid w:val="004E0B9B"/>
    <w:rsid w:val="004E0BA3"/>
    <w:rsid w:val="004E0F8C"/>
    <w:rsid w:val="004E1640"/>
    <w:rsid w:val="004E1B84"/>
    <w:rsid w:val="004E1EFF"/>
    <w:rsid w:val="004E209E"/>
    <w:rsid w:val="004E2462"/>
    <w:rsid w:val="004E26A6"/>
    <w:rsid w:val="004E2947"/>
    <w:rsid w:val="004E33BB"/>
    <w:rsid w:val="004E349B"/>
    <w:rsid w:val="004E3734"/>
    <w:rsid w:val="004E3973"/>
    <w:rsid w:val="004E5047"/>
    <w:rsid w:val="004E5307"/>
    <w:rsid w:val="004E5317"/>
    <w:rsid w:val="004E5855"/>
    <w:rsid w:val="004E597E"/>
    <w:rsid w:val="004E5A86"/>
    <w:rsid w:val="004E5BFD"/>
    <w:rsid w:val="004E63EF"/>
    <w:rsid w:val="004E6425"/>
    <w:rsid w:val="004E66FF"/>
    <w:rsid w:val="004E6D9B"/>
    <w:rsid w:val="004E6DA5"/>
    <w:rsid w:val="004E74CF"/>
    <w:rsid w:val="004E76D3"/>
    <w:rsid w:val="004E7915"/>
    <w:rsid w:val="004E79CD"/>
    <w:rsid w:val="004F02B5"/>
    <w:rsid w:val="004F0325"/>
    <w:rsid w:val="004F051E"/>
    <w:rsid w:val="004F0867"/>
    <w:rsid w:val="004F0DD7"/>
    <w:rsid w:val="004F1096"/>
    <w:rsid w:val="004F173C"/>
    <w:rsid w:val="004F1785"/>
    <w:rsid w:val="004F2006"/>
    <w:rsid w:val="004F2175"/>
    <w:rsid w:val="004F27FE"/>
    <w:rsid w:val="004F2C19"/>
    <w:rsid w:val="004F334B"/>
    <w:rsid w:val="004F3701"/>
    <w:rsid w:val="004F3950"/>
    <w:rsid w:val="004F3BC3"/>
    <w:rsid w:val="004F40E8"/>
    <w:rsid w:val="004F40EF"/>
    <w:rsid w:val="004F42E4"/>
    <w:rsid w:val="004F4A43"/>
    <w:rsid w:val="004F4C00"/>
    <w:rsid w:val="004F4CCA"/>
    <w:rsid w:val="004F5421"/>
    <w:rsid w:val="004F5882"/>
    <w:rsid w:val="004F5BF8"/>
    <w:rsid w:val="004F5D9E"/>
    <w:rsid w:val="004F60AB"/>
    <w:rsid w:val="004F62FA"/>
    <w:rsid w:val="004F663C"/>
    <w:rsid w:val="004F6684"/>
    <w:rsid w:val="004F66E1"/>
    <w:rsid w:val="004F6833"/>
    <w:rsid w:val="004F6A26"/>
    <w:rsid w:val="004F6C1A"/>
    <w:rsid w:val="004F6DE4"/>
    <w:rsid w:val="004F730A"/>
    <w:rsid w:val="004F7AA7"/>
    <w:rsid w:val="004F7B46"/>
    <w:rsid w:val="005000D8"/>
    <w:rsid w:val="00500359"/>
    <w:rsid w:val="005006D6"/>
    <w:rsid w:val="00500897"/>
    <w:rsid w:val="00500916"/>
    <w:rsid w:val="00500ABF"/>
    <w:rsid w:val="00500AD9"/>
    <w:rsid w:val="00500BF9"/>
    <w:rsid w:val="00500C29"/>
    <w:rsid w:val="00500C4E"/>
    <w:rsid w:val="00500CF3"/>
    <w:rsid w:val="005010A5"/>
    <w:rsid w:val="00501367"/>
    <w:rsid w:val="005014C4"/>
    <w:rsid w:val="00501711"/>
    <w:rsid w:val="00501D65"/>
    <w:rsid w:val="005020B7"/>
    <w:rsid w:val="00502A17"/>
    <w:rsid w:val="005032FE"/>
    <w:rsid w:val="00503558"/>
    <w:rsid w:val="00503824"/>
    <w:rsid w:val="00503C31"/>
    <w:rsid w:val="00503C6E"/>
    <w:rsid w:val="00504372"/>
    <w:rsid w:val="005043FB"/>
    <w:rsid w:val="00504494"/>
    <w:rsid w:val="0050458C"/>
    <w:rsid w:val="00504651"/>
    <w:rsid w:val="00504D0A"/>
    <w:rsid w:val="0050502E"/>
    <w:rsid w:val="005055A8"/>
    <w:rsid w:val="00505604"/>
    <w:rsid w:val="005057AD"/>
    <w:rsid w:val="005059A8"/>
    <w:rsid w:val="00506030"/>
    <w:rsid w:val="00506098"/>
    <w:rsid w:val="00506276"/>
    <w:rsid w:val="00506422"/>
    <w:rsid w:val="0050656C"/>
    <w:rsid w:val="00506639"/>
    <w:rsid w:val="005068F2"/>
    <w:rsid w:val="00506E6A"/>
    <w:rsid w:val="00506EBB"/>
    <w:rsid w:val="00506FD4"/>
    <w:rsid w:val="0050709B"/>
    <w:rsid w:val="005075CB"/>
    <w:rsid w:val="005077B9"/>
    <w:rsid w:val="00507958"/>
    <w:rsid w:val="005079CF"/>
    <w:rsid w:val="00507EC1"/>
    <w:rsid w:val="00510041"/>
    <w:rsid w:val="0051024D"/>
    <w:rsid w:val="005108CD"/>
    <w:rsid w:val="005109C2"/>
    <w:rsid w:val="00510B12"/>
    <w:rsid w:val="00510D7D"/>
    <w:rsid w:val="00510EE3"/>
    <w:rsid w:val="005114D4"/>
    <w:rsid w:val="005115D5"/>
    <w:rsid w:val="005115F9"/>
    <w:rsid w:val="00511670"/>
    <w:rsid w:val="005119C8"/>
    <w:rsid w:val="00511CA5"/>
    <w:rsid w:val="00511CBB"/>
    <w:rsid w:val="00512622"/>
    <w:rsid w:val="00512AB2"/>
    <w:rsid w:val="00512CBC"/>
    <w:rsid w:val="00512FE6"/>
    <w:rsid w:val="005132AF"/>
    <w:rsid w:val="0051331E"/>
    <w:rsid w:val="00513624"/>
    <w:rsid w:val="00514378"/>
    <w:rsid w:val="00514680"/>
    <w:rsid w:val="00514972"/>
    <w:rsid w:val="005149F2"/>
    <w:rsid w:val="00514BAB"/>
    <w:rsid w:val="00514EA9"/>
    <w:rsid w:val="00514F10"/>
    <w:rsid w:val="005158D3"/>
    <w:rsid w:val="00515DF3"/>
    <w:rsid w:val="00515EDE"/>
    <w:rsid w:val="00515FF5"/>
    <w:rsid w:val="005160EC"/>
    <w:rsid w:val="00516724"/>
    <w:rsid w:val="00516AE9"/>
    <w:rsid w:val="00516E46"/>
    <w:rsid w:val="00516F31"/>
    <w:rsid w:val="0051724B"/>
    <w:rsid w:val="00517898"/>
    <w:rsid w:val="00517A73"/>
    <w:rsid w:val="00517AC0"/>
    <w:rsid w:val="00517B7F"/>
    <w:rsid w:val="00517D13"/>
    <w:rsid w:val="0052036B"/>
    <w:rsid w:val="00520697"/>
    <w:rsid w:val="005207A4"/>
    <w:rsid w:val="00520B28"/>
    <w:rsid w:val="00521173"/>
    <w:rsid w:val="0052192B"/>
    <w:rsid w:val="00521B5A"/>
    <w:rsid w:val="00521F1E"/>
    <w:rsid w:val="0052206C"/>
    <w:rsid w:val="0052218D"/>
    <w:rsid w:val="00522192"/>
    <w:rsid w:val="005222F3"/>
    <w:rsid w:val="00522605"/>
    <w:rsid w:val="0052264F"/>
    <w:rsid w:val="00522CE7"/>
    <w:rsid w:val="00523327"/>
    <w:rsid w:val="005234DA"/>
    <w:rsid w:val="0052370A"/>
    <w:rsid w:val="00523A85"/>
    <w:rsid w:val="00523C60"/>
    <w:rsid w:val="00523E3B"/>
    <w:rsid w:val="00524192"/>
    <w:rsid w:val="005243CD"/>
    <w:rsid w:val="005243FB"/>
    <w:rsid w:val="00524815"/>
    <w:rsid w:val="00524FA0"/>
    <w:rsid w:val="0052500B"/>
    <w:rsid w:val="005251E8"/>
    <w:rsid w:val="005257A3"/>
    <w:rsid w:val="00525865"/>
    <w:rsid w:val="00525B58"/>
    <w:rsid w:val="00525E41"/>
    <w:rsid w:val="00525E9D"/>
    <w:rsid w:val="00525F2B"/>
    <w:rsid w:val="00526207"/>
    <w:rsid w:val="005265E2"/>
    <w:rsid w:val="0052695F"/>
    <w:rsid w:val="00526D91"/>
    <w:rsid w:val="00526E62"/>
    <w:rsid w:val="00526EE1"/>
    <w:rsid w:val="00527265"/>
    <w:rsid w:val="00527571"/>
    <w:rsid w:val="005275A8"/>
    <w:rsid w:val="00527B1F"/>
    <w:rsid w:val="00527D55"/>
    <w:rsid w:val="00527F07"/>
    <w:rsid w:val="00530148"/>
    <w:rsid w:val="0053023F"/>
    <w:rsid w:val="0053055D"/>
    <w:rsid w:val="00530892"/>
    <w:rsid w:val="00530C02"/>
    <w:rsid w:val="00530EBB"/>
    <w:rsid w:val="00530F5F"/>
    <w:rsid w:val="00531129"/>
    <w:rsid w:val="005312EA"/>
    <w:rsid w:val="005313BA"/>
    <w:rsid w:val="005313D9"/>
    <w:rsid w:val="00531511"/>
    <w:rsid w:val="0053194C"/>
    <w:rsid w:val="00531B4B"/>
    <w:rsid w:val="00531DD9"/>
    <w:rsid w:val="00531E0E"/>
    <w:rsid w:val="00532254"/>
    <w:rsid w:val="00532662"/>
    <w:rsid w:val="00532D99"/>
    <w:rsid w:val="00532EC5"/>
    <w:rsid w:val="0053319E"/>
    <w:rsid w:val="005333C6"/>
    <w:rsid w:val="00533F14"/>
    <w:rsid w:val="00534DA5"/>
    <w:rsid w:val="00534F50"/>
    <w:rsid w:val="00535058"/>
    <w:rsid w:val="00535184"/>
    <w:rsid w:val="00535296"/>
    <w:rsid w:val="005352E7"/>
    <w:rsid w:val="005357A4"/>
    <w:rsid w:val="00535C64"/>
    <w:rsid w:val="00535F14"/>
    <w:rsid w:val="0053605D"/>
    <w:rsid w:val="0053615B"/>
    <w:rsid w:val="005361E3"/>
    <w:rsid w:val="0053644C"/>
    <w:rsid w:val="00536659"/>
    <w:rsid w:val="0053669E"/>
    <w:rsid w:val="00536C5A"/>
    <w:rsid w:val="005371DE"/>
    <w:rsid w:val="005372ED"/>
    <w:rsid w:val="00537327"/>
    <w:rsid w:val="005373D3"/>
    <w:rsid w:val="005378FE"/>
    <w:rsid w:val="0053790C"/>
    <w:rsid w:val="00537A24"/>
    <w:rsid w:val="00537ED5"/>
    <w:rsid w:val="00540182"/>
    <w:rsid w:val="005405C5"/>
    <w:rsid w:val="005406A3"/>
    <w:rsid w:val="00540811"/>
    <w:rsid w:val="0054084F"/>
    <w:rsid w:val="00540856"/>
    <w:rsid w:val="00540B64"/>
    <w:rsid w:val="00540F73"/>
    <w:rsid w:val="00541214"/>
    <w:rsid w:val="005413F0"/>
    <w:rsid w:val="00541577"/>
    <w:rsid w:val="005417DB"/>
    <w:rsid w:val="00541A8F"/>
    <w:rsid w:val="00541DFE"/>
    <w:rsid w:val="00541E53"/>
    <w:rsid w:val="00541FAC"/>
    <w:rsid w:val="005421A5"/>
    <w:rsid w:val="00542501"/>
    <w:rsid w:val="00542679"/>
    <w:rsid w:val="00543068"/>
    <w:rsid w:val="0054364A"/>
    <w:rsid w:val="0054389C"/>
    <w:rsid w:val="00543D3A"/>
    <w:rsid w:val="005444A5"/>
    <w:rsid w:val="005452E3"/>
    <w:rsid w:val="005453C2"/>
    <w:rsid w:val="0054544F"/>
    <w:rsid w:val="005454F9"/>
    <w:rsid w:val="0054580B"/>
    <w:rsid w:val="005458F7"/>
    <w:rsid w:val="00545D32"/>
    <w:rsid w:val="00546106"/>
    <w:rsid w:val="005461A0"/>
    <w:rsid w:val="005463FB"/>
    <w:rsid w:val="005466EC"/>
    <w:rsid w:val="00546CEC"/>
    <w:rsid w:val="00546D14"/>
    <w:rsid w:val="00546E50"/>
    <w:rsid w:val="00546F02"/>
    <w:rsid w:val="0054715C"/>
    <w:rsid w:val="00547640"/>
    <w:rsid w:val="00547B67"/>
    <w:rsid w:val="0055011D"/>
    <w:rsid w:val="00550CFE"/>
    <w:rsid w:val="00550E00"/>
    <w:rsid w:val="00550FD9"/>
    <w:rsid w:val="005514C3"/>
    <w:rsid w:val="005515CA"/>
    <w:rsid w:val="0055185F"/>
    <w:rsid w:val="005518BE"/>
    <w:rsid w:val="005518C4"/>
    <w:rsid w:val="00551A22"/>
    <w:rsid w:val="00551A7C"/>
    <w:rsid w:val="00551C2B"/>
    <w:rsid w:val="00551D62"/>
    <w:rsid w:val="00551EDD"/>
    <w:rsid w:val="00551F3C"/>
    <w:rsid w:val="005521DE"/>
    <w:rsid w:val="0055262D"/>
    <w:rsid w:val="005528EF"/>
    <w:rsid w:val="005529D3"/>
    <w:rsid w:val="00552AA4"/>
    <w:rsid w:val="00552AE5"/>
    <w:rsid w:val="00552C78"/>
    <w:rsid w:val="00552E83"/>
    <w:rsid w:val="005534F6"/>
    <w:rsid w:val="005535D0"/>
    <w:rsid w:val="00553601"/>
    <w:rsid w:val="005536F9"/>
    <w:rsid w:val="0055391F"/>
    <w:rsid w:val="00553E9A"/>
    <w:rsid w:val="00553EED"/>
    <w:rsid w:val="0055410F"/>
    <w:rsid w:val="0055428B"/>
    <w:rsid w:val="0055447E"/>
    <w:rsid w:val="00554501"/>
    <w:rsid w:val="005547C8"/>
    <w:rsid w:val="0055487B"/>
    <w:rsid w:val="005548FE"/>
    <w:rsid w:val="00554A1F"/>
    <w:rsid w:val="00554ADA"/>
    <w:rsid w:val="0055538C"/>
    <w:rsid w:val="00555AA0"/>
    <w:rsid w:val="00555C2A"/>
    <w:rsid w:val="00555E87"/>
    <w:rsid w:val="00556124"/>
    <w:rsid w:val="00556466"/>
    <w:rsid w:val="00556572"/>
    <w:rsid w:val="005566C9"/>
    <w:rsid w:val="00556B09"/>
    <w:rsid w:val="00557152"/>
    <w:rsid w:val="0055751B"/>
    <w:rsid w:val="00557899"/>
    <w:rsid w:val="00557BA2"/>
    <w:rsid w:val="00557BDD"/>
    <w:rsid w:val="005601C8"/>
    <w:rsid w:val="0056062F"/>
    <w:rsid w:val="0056076D"/>
    <w:rsid w:val="00560786"/>
    <w:rsid w:val="00560BCB"/>
    <w:rsid w:val="00560E12"/>
    <w:rsid w:val="00560EE8"/>
    <w:rsid w:val="0056121D"/>
    <w:rsid w:val="005614F6"/>
    <w:rsid w:val="00561636"/>
    <w:rsid w:val="00561B42"/>
    <w:rsid w:val="00561B4C"/>
    <w:rsid w:val="00561B5F"/>
    <w:rsid w:val="005623E0"/>
    <w:rsid w:val="0056241A"/>
    <w:rsid w:val="00562432"/>
    <w:rsid w:val="00562AE3"/>
    <w:rsid w:val="00562D04"/>
    <w:rsid w:val="00562E99"/>
    <w:rsid w:val="00563342"/>
    <w:rsid w:val="0056350D"/>
    <w:rsid w:val="00563579"/>
    <w:rsid w:val="0056371D"/>
    <w:rsid w:val="0056395C"/>
    <w:rsid w:val="00563CCA"/>
    <w:rsid w:val="00563CCE"/>
    <w:rsid w:val="00563DAA"/>
    <w:rsid w:val="00563FF3"/>
    <w:rsid w:val="0056402D"/>
    <w:rsid w:val="0056485B"/>
    <w:rsid w:val="00564A52"/>
    <w:rsid w:val="0056515F"/>
    <w:rsid w:val="00565241"/>
    <w:rsid w:val="00565275"/>
    <w:rsid w:val="00565331"/>
    <w:rsid w:val="005655EF"/>
    <w:rsid w:val="0056576B"/>
    <w:rsid w:val="00565E46"/>
    <w:rsid w:val="005661CB"/>
    <w:rsid w:val="005662A0"/>
    <w:rsid w:val="005663C4"/>
    <w:rsid w:val="005664BA"/>
    <w:rsid w:val="00566613"/>
    <w:rsid w:val="00566916"/>
    <w:rsid w:val="00566983"/>
    <w:rsid w:val="00566EA4"/>
    <w:rsid w:val="00566EC5"/>
    <w:rsid w:val="005670A9"/>
    <w:rsid w:val="005670B5"/>
    <w:rsid w:val="0056726C"/>
    <w:rsid w:val="0056764F"/>
    <w:rsid w:val="005676ED"/>
    <w:rsid w:val="00567813"/>
    <w:rsid w:val="00567C92"/>
    <w:rsid w:val="00567D5E"/>
    <w:rsid w:val="005700EE"/>
    <w:rsid w:val="005702A5"/>
    <w:rsid w:val="00570699"/>
    <w:rsid w:val="005707C4"/>
    <w:rsid w:val="00570810"/>
    <w:rsid w:val="00570A2C"/>
    <w:rsid w:val="00570EBC"/>
    <w:rsid w:val="00570EC5"/>
    <w:rsid w:val="00570F12"/>
    <w:rsid w:val="00571031"/>
    <w:rsid w:val="00571F59"/>
    <w:rsid w:val="00571F65"/>
    <w:rsid w:val="00572291"/>
    <w:rsid w:val="00572C24"/>
    <w:rsid w:val="00572E26"/>
    <w:rsid w:val="00573103"/>
    <w:rsid w:val="00573211"/>
    <w:rsid w:val="00573340"/>
    <w:rsid w:val="00573669"/>
    <w:rsid w:val="005736D9"/>
    <w:rsid w:val="00573803"/>
    <w:rsid w:val="00573833"/>
    <w:rsid w:val="0057481B"/>
    <w:rsid w:val="00574848"/>
    <w:rsid w:val="00574D76"/>
    <w:rsid w:val="0057513D"/>
    <w:rsid w:val="005752DD"/>
    <w:rsid w:val="00575521"/>
    <w:rsid w:val="00575C25"/>
    <w:rsid w:val="00575C47"/>
    <w:rsid w:val="0057607A"/>
    <w:rsid w:val="005761EB"/>
    <w:rsid w:val="00576282"/>
    <w:rsid w:val="005765BC"/>
    <w:rsid w:val="00576803"/>
    <w:rsid w:val="005769DC"/>
    <w:rsid w:val="005778BB"/>
    <w:rsid w:val="00577C75"/>
    <w:rsid w:val="00577F8F"/>
    <w:rsid w:val="00577FBC"/>
    <w:rsid w:val="005802BE"/>
    <w:rsid w:val="005802D8"/>
    <w:rsid w:val="00580414"/>
    <w:rsid w:val="005807D0"/>
    <w:rsid w:val="00580F12"/>
    <w:rsid w:val="005812E5"/>
    <w:rsid w:val="00581692"/>
    <w:rsid w:val="00581941"/>
    <w:rsid w:val="00581958"/>
    <w:rsid w:val="00581DA0"/>
    <w:rsid w:val="00581DDD"/>
    <w:rsid w:val="00581FEB"/>
    <w:rsid w:val="0058279C"/>
    <w:rsid w:val="005828BB"/>
    <w:rsid w:val="00582A33"/>
    <w:rsid w:val="00582AB4"/>
    <w:rsid w:val="00582B84"/>
    <w:rsid w:val="00582DB1"/>
    <w:rsid w:val="005830BB"/>
    <w:rsid w:val="0058348C"/>
    <w:rsid w:val="0058354F"/>
    <w:rsid w:val="0058386E"/>
    <w:rsid w:val="005838CE"/>
    <w:rsid w:val="00584046"/>
    <w:rsid w:val="0058417B"/>
    <w:rsid w:val="005841F5"/>
    <w:rsid w:val="00584290"/>
    <w:rsid w:val="005845BD"/>
    <w:rsid w:val="0058462C"/>
    <w:rsid w:val="0058492D"/>
    <w:rsid w:val="00584CCF"/>
    <w:rsid w:val="00584D29"/>
    <w:rsid w:val="00585286"/>
    <w:rsid w:val="0058541B"/>
    <w:rsid w:val="0058548E"/>
    <w:rsid w:val="00585545"/>
    <w:rsid w:val="0058561B"/>
    <w:rsid w:val="00585659"/>
    <w:rsid w:val="00585D82"/>
    <w:rsid w:val="00585EB5"/>
    <w:rsid w:val="00586201"/>
    <w:rsid w:val="0058667F"/>
    <w:rsid w:val="005867D4"/>
    <w:rsid w:val="0058688D"/>
    <w:rsid w:val="00586893"/>
    <w:rsid w:val="00586B4B"/>
    <w:rsid w:val="00587040"/>
    <w:rsid w:val="00587945"/>
    <w:rsid w:val="00587EE6"/>
    <w:rsid w:val="0059004D"/>
    <w:rsid w:val="005901D3"/>
    <w:rsid w:val="005902C1"/>
    <w:rsid w:val="00590477"/>
    <w:rsid w:val="00590716"/>
    <w:rsid w:val="005907CC"/>
    <w:rsid w:val="005909A6"/>
    <w:rsid w:val="00590DDE"/>
    <w:rsid w:val="00591D4A"/>
    <w:rsid w:val="00592855"/>
    <w:rsid w:val="00592A2E"/>
    <w:rsid w:val="00593CED"/>
    <w:rsid w:val="00593D21"/>
    <w:rsid w:val="00593D70"/>
    <w:rsid w:val="00593F85"/>
    <w:rsid w:val="0059410B"/>
    <w:rsid w:val="00594965"/>
    <w:rsid w:val="00594ED8"/>
    <w:rsid w:val="00594F2A"/>
    <w:rsid w:val="005950A6"/>
    <w:rsid w:val="005953E2"/>
    <w:rsid w:val="00595835"/>
    <w:rsid w:val="00595E9F"/>
    <w:rsid w:val="005963B1"/>
    <w:rsid w:val="0059643C"/>
    <w:rsid w:val="00596843"/>
    <w:rsid w:val="00596914"/>
    <w:rsid w:val="0059699F"/>
    <w:rsid w:val="00596B3C"/>
    <w:rsid w:val="00596DC6"/>
    <w:rsid w:val="00596E20"/>
    <w:rsid w:val="0059771E"/>
    <w:rsid w:val="00597916"/>
    <w:rsid w:val="005979A2"/>
    <w:rsid w:val="00597AEE"/>
    <w:rsid w:val="00597E33"/>
    <w:rsid w:val="005A0A33"/>
    <w:rsid w:val="005A0E5E"/>
    <w:rsid w:val="005A103A"/>
    <w:rsid w:val="005A14DA"/>
    <w:rsid w:val="005A14EC"/>
    <w:rsid w:val="005A152B"/>
    <w:rsid w:val="005A187C"/>
    <w:rsid w:val="005A18C0"/>
    <w:rsid w:val="005A1A66"/>
    <w:rsid w:val="005A1DC2"/>
    <w:rsid w:val="005A2435"/>
    <w:rsid w:val="005A2570"/>
    <w:rsid w:val="005A298C"/>
    <w:rsid w:val="005A2DCC"/>
    <w:rsid w:val="005A3743"/>
    <w:rsid w:val="005A3840"/>
    <w:rsid w:val="005A385F"/>
    <w:rsid w:val="005A3AA4"/>
    <w:rsid w:val="005A3C77"/>
    <w:rsid w:val="005A3CA2"/>
    <w:rsid w:val="005A407A"/>
    <w:rsid w:val="005A4150"/>
    <w:rsid w:val="005A41A8"/>
    <w:rsid w:val="005A4753"/>
    <w:rsid w:val="005A4993"/>
    <w:rsid w:val="005A4BDC"/>
    <w:rsid w:val="005A4D00"/>
    <w:rsid w:val="005A50AC"/>
    <w:rsid w:val="005A53C6"/>
    <w:rsid w:val="005A56F0"/>
    <w:rsid w:val="005A5FA2"/>
    <w:rsid w:val="005A6152"/>
    <w:rsid w:val="005A63CB"/>
    <w:rsid w:val="005A68EF"/>
    <w:rsid w:val="005A6F36"/>
    <w:rsid w:val="005A6F69"/>
    <w:rsid w:val="005A712E"/>
    <w:rsid w:val="005A750C"/>
    <w:rsid w:val="005A77DF"/>
    <w:rsid w:val="005A786D"/>
    <w:rsid w:val="005A799A"/>
    <w:rsid w:val="005A7A79"/>
    <w:rsid w:val="005A7F7C"/>
    <w:rsid w:val="005B084E"/>
    <w:rsid w:val="005B0856"/>
    <w:rsid w:val="005B0A20"/>
    <w:rsid w:val="005B0E11"/>
    <w:rsid w:val="005B0E40"/>
    <w:rsid w:val="005B0E50"/>
    <w:rsid w:val="005B1159"/>
    <w:rsid w:val="005B1330"/>
    <w:rsid w:val="005B157E"/>
    <w:rsid w:val="005B1A0D"/>
    <w:rsid w:val="005B1FCC"/>
    <w:rsid w:val="005B20F8"/>
    <w:rsid w:val="005B210A"/>
    <w:rsid w:val="005B2160"/>
    <w:rsid w:val="005B21D2"/>
    <w:rsid w:val="005B2290"/>
    <w:rsid w:val="005B2398"/>
    <w:rsid w:val="005B25A9"/>
    <w:rsid w:val="005B280B"/>
    <w:rsid w:val="005B2915"/>
    <w:rsid w:val="005B2ADB"/>
    <w:rsid w:val="005B32E6"/>
    <w:rsid w:val="005B3A73"/>
    <w:rsid w:val="005B3ABD"/>
    <w:rsid w:val="005B3D80"/>
    <w:rsid w:val="005B4167"/>
    <w:rsid w:val="005B4219"/>
    <w:rsid w:val="005B4385"/>
    <w:rsid w:val="005B44B8"/>
    <w:rsid w:val="005B44E3"/>
    <w:rsid w:val="005B4567"/>
    <w:rsid w:val="005B45FE"/>
    <w:rsid w:val="005B46FA"/>
    <w:rsid w:val="005B47CC"/>
    <w:rsid w:val="005B4A8A"/>
    <w:rsid w:val="005B4C81"/>
    <w:rsid w:val="005B4F35"/>
    <w:rsid w:val="005B521F"/>
    <w:rsid w:val="005B554A"/>
    <w:rsid w:val="005B5792"/>
    <w:rsid w:val="005B5DF4"/>
    <w:rsid w:val="005B6059"/>
    <w:rsid w:val="005B6E91"/>
    <w:rsid w:val="005B70C6"/>
    <w:rsid w:val="005B7852"/>
    <w:rsid w:val="005B7F05"/>
    <w:rsid w:val="005C0E01"/>
    <w:rsid w:val="005C1100"/>
    <w:rsid w:val="005C1248"/>
    <w:rsid w:val="005C1311"/>
    <w:rsid w:val="005C1412"/>
    <w:rsid w:val="005C149E"/>
    <w:rsid w:val="005C16DE"/>
    <w:rsid w:val="005C1974"/>
    <w:rsid w:val="005C1A9A"/>
    <w:rsid w:val="005C1BC5"/>
    <w:rsid w:val="005C1C5F"/>
    <w:rsid w:val="005C1EA9"/>
    <w:rsid w:val="005C205C"/>
    <w:rsid w:val="005C20D1"/>
    <w:rsid w:val="005C2659"/>
    <w:rsid w:val="005C28D3"/>
    <w:rsid w:val="005C28D5"/>
    <w:rsid w:val="005C2AD1"/>
    <w:rsid w:val="005C2F4C"/>
    <w:rsid w:val="005C3376"/>
    <w:rsid w:val="005C34D9"/>
    <w:rsid w:val="005C3729"/>
    <w:rsid w:val="005C394D"/>
    <w:rsid w:val="005C3EC4"/>
    <w:rsid w:val="005C4698"/>
    <w:rsid w:val="005C49A1"/>
    <w:rsid w:val="005C4B52"/>
    <w:rsid w:val="005C5055"/>
    <w:rsid w:val="005C50B6"/>
    <w:rsid w:val="005C5649"/>
    <w:rsid w:val="005C596B"/>
    <w:rsid w:val="005C5A70"/>
    <w:rsid w:val="005C5CDF"/>
    <w:rsid w:val="005C5EBC"/>
    <w:rsid w:val="005C61B6"/>
    <w:rsid w:val="005C628A"/>
    <w:rsid w:val="005C655B"/>
    <w:rsid w:val="005C6A75"/>
    <w:rsid w:val="005C6A8F"/>
    <w:rsid w:val="005C6C37"/>
    <w:rsid w:val="005C6D48"/>
    <w:rsid w:val="005C6EE9"/>
    <w:rsid w:val="005C70C3"/>
    <w:rsid w:val="005C740C"/>
    <w:rsid w:val="005C7426"/>
    <w:rsid w:val="005C7457"/>
    <w:rsid w:val="005C75CD"/>
    <w:rsid w:val="005C781C"/>
    <w:rsid w:val="005C7A08"/>
    <w:rsid w:val="005C7C12"/>
    <w:rsid w:val="005C7CA8"/>
    <w:rsid w:val="005C7D44"/>
    <w:rsid w:val="005C7D6B"/>
    <w:rsid w:val="005D0034"/>
    <w:rsid w:val="005D041A"/>
    <w:rsid w:val="005D0542"/>
    <w:rsid w:val="005D0AE6"/>
    <w:rsid w:val="005D0C3C"/>
    <w:rsid w:val="005D1301"/>
    <w:rsid w:val="005D1580"/>
    <w:rsid w:val="005D1619"/>
    <w:rsid w:val="005D1720"/>
    <w:rsid w:val="005D18EA"/>
    <w:rsid w:val="005D1A02"/>
    <w:rsid w:val="005D1BE8"/>
    <w:rsid w:val="005D1BFC"/>
    <w:rsid w:val="005D1C6D"/>
    <w:rsid w:val="005D1C6F"/>
    <w:rsid w:val="005D1D0B"/>
    <w:rsid w:val="005D27D1"/>
    <w:rsid w:val="005D28C9"/>
    <w:rsid w:val="005D30F0"/>
    <w:rsid w:val="005D3431"/>
    <w:rsid w:val="005D3433"/>
    <w:rsid w:val="005D35C7"/>
    <w:rsid w:val="005D35ED"/>
    <w:rsid w:val="005D36F3"/>
    <w:rsid w:val="005D3B25"/>
    <w:rsid w:val="005D3B7A"/>
    <w:rsid w:val="005D3D81"/>
    <w:rsid w:val="005D3DF3"/>
    <w:rsid w:val="005D4251"/>
    <w:rsid w:val="005D4386"/>
    <w:rsid w:val="005D5272"/>
    <w:rsid w:val="005D59B3"/>
    <w:rsid w:val="005D5A64"/>
    <w:rsid w:val="005D5C08"/>
    <w:rsid w:val="005D6CDF"/>
    <w:rsid w:val="005D7411"/>
    <w:rsid w:val="005D75A5"/>
    <w:rsid w:val="005D7ACB"/>
    <w:rsid w:val="005E004D"/>
    <w:rsid w:val="005E00E0"/>
    <w:rsid w:val="005E00E9"/>
    <w:rsid w:val="005E04A3"/>
    <w:rsid w:val="005E054A"/>
    <w:rsid w:val="005E0631"/>
    <w:rsid w:val="005E064B"/>
    <w:rsid w:val="005E07DD"/>
    <w:rsid w:val="005E095A"/>
    <w:rsid w:val="005E095E"/>
    <w:rsid w:val="005E0F2F"/>
    <w:rsid w:val="005E0FE7"/>
    <w:rsid w:val="005E11AF"/>
    <w:rsid w:val="005E1A63"/>
    <w:rsid w:val="005E2268"/>
    <w:rsid w:val="005E228D"/>
    <w:rsid w:val="005E23CD"/>
    <w:rsid w:val="005E24C4"/>
    <w:rsid w:val="005E24DE"/>
    <w:rsid w:val="005E276C"/>
    <w:rsid w:val="005E2885"/>
    <w:rsid w:val="005E295D"/>
    <w:rsid w:val="005E2D4F"/>
    <w:rsid w:val="005E2F6D"/>
    <w:rsid w:val="005E2FDB"/>
    <w:rsid w:val="005E386E"/>
    <w:rsid w:val="005E3A7F"/>
    <w:rsid w:val="005E3C8B"/>
    <w:rsid w:val="005E44C4"/>
    <w:rsid w:val="005E4726"/>
    <w:rsid w:val="005E4A7B"/>
    <w:rsid w:val="005E4BC4"/>
    <w:rsid w:val="005E4C50"/>
    <w:rsid w:val="005E4F6E"/>
    <w:rsid w:val="005E527A"/>
    <w:rsid w:val="005E59BF"/>
    <w:rsid w:val="005E5CCF"/>
    <w:rsid w:val="005E5E1A"/>
    <w:rsid w:val="005E5F69"/>
    <w:rsid w:val="005E608F"/>
    <w:rsid w:val="005E6281"/>
    <w:rsid w:val="005E6441"/>
    <w:rsid w:val="005E677E"/>
    <w:rsid w:val="005E69F9"/>
    <w:rsid w:val="005E6A4E"/>
    <w:rsid w:val="005E6CC2"/>
    <w:rsid w:val="005E6E57"/>
    <w:rsid w:val="005E6FD8"/>
    <w:rsid w:val="005E70E7"/>
    <w:rsid w:val="005E76E9"/>
    <w:rsid w:val="005E7786"/>
    <w:rsid w:val="005E77F6"/>
    <w:rsid w:val="005E7B04"/>
    <w:rsid w:val="005E7E75"/>
    <w:rsid w:val="005E7F33"/>
    <w:rsid w:val="005E7F58"/>
    <w:rsid w:val="005E7FD1"/>
    <w:rsid w:val="005F0059"/>
    <w:rsid w:val="005F08E5"/>
    <w:rsid w:val="005F0BCC"/>
    <w:rsid w:val="005F0C95"/>
    <w:rsid w:val="005F0D08"/>
    <w:rsid w:val="005F0FE6"/>
    <w:rsid w:val="005F11E5"/>
    <w:rsid w:val="005F1593"/>
    <w:rsid w:val="005F1969"/>
    <w:rsid w:val="005F1A93"/>
    <w:rsid w:val="005F1DDC"/>
    <w:rsid w:val="005F2194"/>
    <w:rsid w:val="005F236B"/>
    <w:rsid w:val="005F2419"/>
    <w:rsid w:val="005F2A81"/>
    <w:rsid w:val="005F3401"/>
    <w:rsid w:val="005F3899"/>
    <w:rsid w:val="005F3D25"/>
    <w:rsid w:val="005F3E57"/>
    <w:rsid w:val="005F40A1"/>
    <w:rsid w:val="005F41EE"/>
    <w:rsid w:val="005F4519"/>
    <w:rsid w:val="005F452F"/>
    <w:rsid w:val="005F453F"/>
    <w:rsid w:val="005F4642"/>
    <w:rsid w:val="005F4847"/>
    <w:rsid w:val="005F4C17"/>
    <w:rsid w:val="005F4CA8"/>
    <w:rsid w:val="005F4CBE"/>
    <w:rsid w:val="005F4CCA"/>
    <w:rsid w:val="005F5376"/>
    <w:rsid w:val="005F5D33"/>
    <w:rsid w:val="005F6215"/>
    <w:rsid w:val="005F6496"/>
    <w:rsid w:val="005F6A4B"/>
    <w:rsid w:val="005F6C8C"/>
    <w:rsid w:val="005F744A"/>
    <w:rsid w:val="005F74D5"/>
    <w:rsid w:val="005F757B"/>
    <w:rsid w:val="005F7A61"/>
    <w:rsid w:val="005F7EF1"/>
    <w:rsid w:val="005F7F1F"/>
    <w:rsid w:val="005F7FF6"/>
    <w:rsid w:val="00600205"/>
    <w:rsid w:val="00600DE6"/>
    <w:rsid w:val="0060111B"/>
    <w:rsid w:val="006012E3"/>
    <w:rsid w:val="006015BC"/>
    <w:rsid w:val="006015C0"/>
    <w:rsid w:val="006018EE"/>
    <w:rsid w:val="00601CA2"/>
    <w:rsid w:val="006020BD"/>
    <w:rsid w:val="0060214E"/>
    <w:rsid w:val="0060220C"/>
    <w:rsid w:val="00602210"/>
    <w:rsid w:val="006025E8"/>
    <w:rsid w:val="0060292C"/>
    <w:rsid w:val="00602A26"/>
    <w:rsid w:val="0060380F"/>
    <w:rsid w:val="00603DDF"/>
    <w:rsid w:val="00603EB1"/>
    <w:rsid w:val="00603F11"/>
    <w:rsid w:val="006042F3"/>
    <w:rsid w:val="006046C4"/>
    <w:rsid w:val="00604AEC"/>
    <w:rsid w:val="00604DD8"/>
    <w:rsid w:val="00604F38"/>
    <w:rsid w:val="00604FAF"/>
    <w:rsid w:val="00605070"/>
    <w:rsid w:val="006050A8"/>
    <w:rsid w:val="0060514B"/>
    <w:rsid w:val="00605183"/>
    <w:rsid w:val="00605256"/>
    <w:rsid w:val="006055B2"/>
    <w:rsid w:val="00605668"/>
    <w:rsid w:val="00605C79"/>
    <w:rsid w:val="00605D55"/>
    <w:rsid w:val="00605E3D"/>
    <w:rsid w:val="006060A2"/>
    <w:rsid w:val="006060C0"/>
    <w:rsid w:val="00606496"/>
    <w:rsid w:val="0060670B"/>
    <w:rsid w:val="00606E6E"/>
    <w:rsid w:val="00607183"/>
    <w:rsid w:val="00607188"/>
    <w:rsid w:val="006071FB"/>
    <w:rsid w:val="00607239"/>
    <w:rsid w:val="00607420"/>
    <w:rsid w:val="006075B0"/>
    <w:rsid w:val="006075C7"/>
    <w:rsid w:val="00607AA8"/>
    <w:rsid w:val="00607AC3"/>
    <w:rsid w:val="00607C8C"/>
    <w:rsid w:val="00607E38"/>
    <w:rsid w:val="00607F57"/>
    <w:rsid w:val="00607F8B"/>
    <w:rsid w:val="006101CC"/>
    <w:rsid w:val="0061021E"/>
    <w:rsid w:val="006102F7"/>
    <w:rsid w:val="006104AD"/>
    <w:rsid w:val="00611021"/>
    <w:rsid w:val="006110AE"/>
    <w:rsid w:val="00611BDC"/>
    <w:rsid w:val="00611D79"/>
    <w:rsid w:val="00611DD7"/>
    <w:rsid w:val="00611EBB"/>
    <w:rsid w:val="00611F55"/>
    <w:rsid w:val="00612479"/>
    <w:rsid w:val="0061264C"/>
    <w:rsid w:val="006128DE"/>
    <w:rsid w:val="00612A51"/>
    <w:rsid w:val="00612B82"/>
    <w:rsid w:val="00612DA0"/>
    <w:rsid w:val="00612DDE"/>
    <w:rsid w:val="00612F73"/>
    <w:rsid w:val="00613131"/>
    <w:rsid w:val="00613431"/>
    <w:rsid w:val="006135A1"/>
    <w:rsid w:val="00613788"/>
    <w:rsid w:val="00613F96"/>
    <w:rsid w:val="006140D4"/>
    <w:rsid w:val="00614627"/>
    <w:rsid w:val="00614B6E"/>
    <w:rsid w:val="00615061"/>
    <w:rsid w:val="006150CC"/>
    <w:rsid w:val="0061512E"/>
    <w:rsid w:val="00615131"/>
    <w:rsid w:val="006153E1"/>
    <w:rsid w:val="006156E5"/>
    <w:rsid w:val="00615D3D"/>
    <w:rsid w:val="00615F86"/>
    <w:rsid w:val="006164A1"/>
    <w:rsid w:val="00616C50"/>
    <w:rsid w:val="00616DAA"/>
    <w:rsid w:val="00616E26"/>
    <w:rsid w:val="0061739D"/>
    <w:rsid w:val="006176FB"/>
    <w:rsid w:val="006178AD"/>
    <w:rsid w:val="00617A27"/>
    <w:rsid w:val="00617EBE"/>
    <w:rsid w:val="00617F2E"/>
    <w:rsid w:val="006201CE"/>
    <w:rsid w:val="006204D1"/>
    <w:rsid w:val="0062058A"/>
    <w:rsid w:val="00620622"/>
    <w:rsid w:val="0062091D"/>
    <w:rsid w:val="00620920"/>
    <w:rsid w:val="006214E8"/>
    <w:rsid w:val="00621593"/>
    <w:rsid w:val="0062160E"/>
    <w:rsid w:val="00621739"/>
    <w:rsid w:val="0062180C"/>
    <w:rsid w:val="00621A1E"/>
    <w:rsid w:val="00621E43"/>
    <w:rsid w:val="006220CF"/>
    <w:rsid w:val="006221A9"/>
    <w:rsid w:val="00622389"/>
    <w:rsid w:val="00622C27"/>
    <w:rsid w:val="00622D96"/>
    <w:rsid w:val="00622E6A"/>
    <w:rsid w:val="00622E8F"/>
    <w:rsid w:val="006241A7"/>
    <w:rsid w:val="00624504"/>
    <w:rsid w:val="006251E1"/>
    <w:rsid w:val="006253C8"/>
    <w:rsid w:val="00625529"/>
    <w:rsid w:val="00625A50"/>
    <w:rsid w:val="00625F3C"/>
    <w:rsid w:val="006261FA"/>
    <w:rsid w:val="0062658C"/>
    <w:rsid w:val="00626962"/>
    <w:rsid w:val="006269E2"/>
    <w:rsid w:val="00627178"/>
    <w:rsid w:val="00627185"/>
    <w:rsid w:val="006272DA"/>
    <w:rsid w:val="006279D6"/>
    <w:rsid w:val="00627ED6"/>
    <w:rsid w:val="00630331"/>
    <w:rsid w:val="006304E4"/>
    <w:rsid w:val="00630C3D"/>
    <w:rsid w:val="00630E9F"/>
    <w:rsid w:val="006310E0"/>
    <w:rsid w:val="00631164"/>
    <w:rsid w:val="0063118F"/>
    <w:rsid w:val="00631D8C"/>
    <w:rsid w:val="00631E52"/>
    <w:rsid w:val="0063295E"/>
    <w:rsid w:val="00632CB3"/>
    <w:rsid w:val="00632D40"/>
    <w:rsid w:val="00632D69"/>
    <w:rsid w:val="00633049"/>
    <w:rsid w:val="00633378"/>
    <w:rsid w:val="0063339E"/>
    <w:rsid w:val="006333F5"/>
    <w:rsid w:val="0063359A"/>
    <w:rsid w:val="00633763"/>
    <w:rsid w:val="006337C9"/>
    <w:rsid w:val="006338E9"/>
    <w:rsid w:val="00633A2D"/>
    <w:rsid w:val="00633D6D"/>
    <w:rsid w:val="00634321"/>
    <w:rsid w:val="006343D2"/>
    <w:rsid w:val="006346F9"/>
    <w:rsid w:val="0063471A"/>
    <w:rsid w:val="00634762"/>
    <w:rsid w:val="006349FE"/>
    <w:rsid w:val="00634F7E"/>
    <w:rsid w:val="0063528E"/>
    <w:rsid w:val="006357A2"/>
    <w:rsid w:val="00635CFE"/>
    <w:rsid w:val="00635F9B"/>
    <w:rsid w:val="00636603"/>
    <w:rsid w:val="00636DBF"/>
    <w:rsid w:val="00636FAC"/>
    <w:rsid w:val="006377B8"/>
    <w:rsid w:val="006379B1"/>
    <w:rsid w:val="00637D50"/>
    <w:rsid w:val="0064006B"/>
    <w:rsid w:val="00640C66"/>
    <w:rsid w:val="006418C3"/>
    <w:rsid w:val="00641CED"/>
    <w:rsid w:val="00641DE3"/>
    <w:rsid w:val="00641DE6"/>
    <w:rsid w:val="00641FF7"/>
    <w:rsid w:val="0064277C"/>
    <w:rsid w:val="00642EDC"/>
    <w:rsid w:val="00642F39"/>
    <w:rsid w:val="00643094"/>
    <w:rsid w:val="006430DF"/>
    <w:rsid w:val="0064310C"/>
    <w:rsid w:val="0064356E"/>
    <w:rsid w:val="0064385B"/>
    <w:rsid w:val="00643A63"/>
    <w:rsid w:val="00643A88"/>
    <w:rsid w:val="00643C07"/>
    <w:rsid w:val="00643E6F"/>
    <w:rsid w:val="00643E78"/>
    <w:rsid w:val="00643F36"/>
    <w:rsid w:val="00643FA0"/>
    <w:rsid w:val="00644374"/>
    <w:rsid w:val="00644488"/>
    <w:rsid w:val="00644BAB"/>
    <w:rsid w:val="00644FBA"/>
    <w:rsid w:val="006452CD"/>
    <w:rsid w:val="006455F7"/>
    <w:rsid w:val="0064571E"/>
    <w:rsid w:val="00645B0E"/>
    <w:rsid w:val="00645E1A"/>
    <w:rsid w:val="00645E7C"/>
    <w:rsid w:val="00646444"/>
    <w:rsid w:val="006464AD"/>
    <w:rsid w:val="0064653B"/>
    <w:rsid w:val="00646916"/>
    <w:rsid w:val="00646BF2"/>
    <w:rsid w:val="006474F9"/>
    <w:rsid w:val="00647509"/>
    <w:rsid w:val="006475CE"/>
    <w:rsid w:val="0064791A"/>
    <w:rsid w:val="0064795C"/>
    <w:rsid w:val="00647C71"/>
    <w:rsid w:val="00647E69"/>
    <w:rsid w:val="0064937A"/>
    <w:rsid w:val="006502B9"/>
    <w:rsid w:val="006503EB"/>
    <w:rsid w:val="00650665"/>
    <w:rsid w:val="00650999"/>
    <w:rsid w:val="00651096"/>
    <w:rsid w:val="006510C8"/>
    <w:rsid w:val="006511B6"/>
    <w:rsid w:val="006513BB"/>
    <w:rsid w:val="0065159B"/>
    <w:rsid w:val="00651828"/>
    <w:rsid w:val="00651B01"/>
    <w:rsid w:val="00652519"/>
    <w:rsid w:val="00652707"/>
    <w:rsid w:val="00652C05"/>
    <w:rsid w:val="00652C0B"/>
    <w:rsid w:val="00652EB5"/>
    <w:rsid w:val="0065389E"/>
    <w:rsid w:val="00653A35"/>
    <w:rsid w:val="00653E52"/>
    <w:rsid w:val="00653E81"/>
    <w:rsid w:val="00654206"/>
    <w:rsid w:val="00654326"/>
    <w:rsid w:val="00654755"/>
    <w:rsid w:val="006549A9"/>
    <w:rsid w:val="00654C5C"/>
    <w:rsid w:val="00654E28"/>
    <w:rsid w:val="0065524E"/>
    <w:rsid w:val="006552F6"/>
    <w:rsid w:val="006556B4"/>
    <w:rsid w:val="006559B6"/>
    <w:rsid w:val="00655DAE"/>
    <w:rsid w:val="00655EE1"/>
    <w:rsid w:val="006560A4"/>
    <w:rsid w:val="00656A70"/>
    <w:rsid w:val="00656FC2"/>
    <w:rsid w:val="00657242"/>
    <w:rsid w:val="006573A1"/>
    <w:rsid w:val="00657714"/>
    <w:rsid w:val="00657C98"/>
    <w:rsid w:val="00660357"/>
    <w:rsid w:val="0066095C"/>
    <w:rsid w:val="0066106A"/>
    <w:rsid w:val="0066115E"/>
    <w:rsid w:val="0066182F"/>
    <w:rsid w:val="00661B5B"/>
    <w:rsid w:val="006629E2"/>
    <w:rsid w:val="00662A1D"/>
    <w:rsid w:val="00662CF7"/>
    <w:rsid w:val="00663353"/>
    <w:rsid w:val="006637DD"/>
    <w:rsid w:val="00663CBD"/>
    <w:rsid w:val="00663D09"/>
    <w:rsid w:val="00663EC2"/>
    <w:rsid w:val="006641D7"/>
    <w:rsid w:val="0066441D"/>
    <w:rsid w:val="0066443B"/>
    <w:rsid w:val="00664442"/>
    <w:rsid w:val="00664D45"/>
    <w:rsid w:val="006654BA"/>
    <w:rsid w:val="00665D43"/>
    <w:rsid w:val="00665F6C"/>
    <w:rsid w:val="00666217"/>
    <w:rsid w:val="00666447"/>
    <w:rsid w:val="0066659E"/>
    <w:rsid w:val="006666F2"/>
    <w:rsid w:val="00666830"/>
    <w:rsid w:val="006668EF"/>
    <w:rsid w:val="00666D27"/>
    <w:rsid w:val="00667457"/>
    <w:rsid w:val="006679B4"/>
    <w:rsid w:val="00667B45"/>
    <w:rsid w:val="00667B7C"/>
    <w:rsid w:val="00667BC9"/>
    <w:rsid w:val="00667DB1"/>
    <w:rsid w:val="00670035"/>
    <w:rsid w:val="00670474"/>
    <w:rsid w:val="006705D6"/>
    <w:rsid w:val="00670975"/>
    <w:rsid w:val="00670B77"/>
    <w:rsid w:val="00670EED"/>
    <w:rsid w:val="00670F0E"/>
    <w:rsid w:val="0067113D"/>
    <w:rsid w:val="00671A51"/>
    <w:rsid w:val="00671C47"/>
    <w:rsid w:val="0067218A"/>
    <w:rsid w:val="00672236"/>
    <w:rsid w:val="006726CA"/>
    <w:rsid w:val="00672CB6"/>
    <w:rsid w:val="00672F1D"/>
    <w:rsid w:val="006730B7"/>
    <w:rsid w:val="00673271"/>
    <w:rsid w:val="0067375E"/>
    <w:rsid w:val="006737A6"/>
    <w:rsid w:val="006737C6"/>
    <w:rsid w:val="006739C8"/>
    <w:rsid w:val="00673BA6"/>
    <w:rsid w:val="00673BB2"/>
    <w:rsid w:val="00674792"/>
    <w:rsid w:val="00674A7C"/>
    <w:rsid w:val="00674AE9"/>
    <w:rsid w:val="00674C13"/>
    <w:rsid w:val="006760EE"/>
    <w:rsid w:val="006761CC"/>
    <w:rsid w:val="006764D9"/>
    <w:rsid w:val="006766EC"/>
    <w:rsid w:val="006767B4"/>
    <w:rsid w:val="006768CB"/>
    <w:rsid w:val="00676A55"/>
    <w:rsid w:val="00676CE3"/>
    <w:rsid w:val="00676D2B"/>
    <w:rsid w:val="00677421"/>
    <w:rsid w:val="00677869"/>
    <w:rsid w:val="0067789D"/>
    <w:rsid w:val="00677E95"/>
    <w:rsid w:val="006804BC"/>
    <w:rsid w:val="006804EA"/>
    <w:rsid w:val="006806A8"/>
    <w:rsid w:val="0068084B"/>
    <w:rsid w:val="006808DD"/>
    <w:rsid w:val="00680BD3"/>
    <w:rsid w:val="00680EAA"/>
    <w:rsid w:val="00680F3F"/>
    <w:rsid w:val="0068102B"/>
    <w:rsid w:val="0068155E"/>
    <w:rsid w:val="006815B3"/>
    <w:rsid w:val="006816D5"/>
    <w:rsid w:val="00681A54"/>
    <w:rsid w:val="00681B2C"/>
    <w:rsid w:val="00681F2E"/>
    <w:rsid w:val="00681F88"/>
    <w:rsid w:val="00682063"/>
    <w:rsid w:val="0068228E"/>
    <w:rsid w:val="0068234C"/>
    <w:rsid w:val="006823CC"/>
    <w:rsid w:val="00682668"/>
    <w:rsid w:val="00682A3C"/>
    <w:rsid w:val="00682B9C"/>
    <w:rsid w:val="00682D52"/>
    <w:rsid w:val="00682E04"/>
    <w:rsid w:val="0068323D"/>
    <w:rsid w:val="00683386"/>
    <w:rsid w:val="006833E3"/>
    <w:rsid w:val="006834C6"/>
    <w:rsid w:val="0068408D"/>
    <w:rsid w:val="00684B4B"/>
    <w:rsid w:val="00684E3A"/>
    <w:rsid w:val="0068591A"/>
    <w:rsid w:val="00685A27"/>
    <w:rsid w:val="00685D13"/>
    <w:rsid w:val="00685DB7"/>
    <w:rsid w:val="00686100"/>
    <w:rsid w:val="006861D0"/>
    <w:rsid w:val="00686260"/>
    <w:rsid w:val="0068662E"/>
    <w:rsid w:val="006866A8"/>
    <w:rsid w:val="00686B63"/>
    <w:rsid w:val="00686C41"/>
    <w:rsid w:val="00686CA1"/>
    <w:rsid w:val="00686CC7"/>
    <w:rsid w:val="006871D3"/>
    <w:rsid w:val="0068761A"/>
    <w:rsid w:val="006879D1"/>
    <w:rsid w:val="00687C83"/>
    <w:rsid w:val="00687F7F"/>
    <w:rsid w:val="0069002C"/>
    <w:rsid w:val="006900BB"/>
    <w:rsid w:val="00690355"/>
    <w:rsid w:val="0069052E"/>
    <w:rsid w:val="00690543"/>
    <w:rsid w:val="00690610"/>
    <w:rsid w:val="006907E7"/>
    <w:rsid w:val="00690A45"/>
    <w:rsid w:val="00690ACB"/>
    <w:rsid w:val="00690B67"/>
    <w:rsid w:val="00690BB5"/>
    <w:rsid w:val="00690E64"/>
    <w:rsid w:val="00690FDB"/>
    <w:rsid w:val="00691029"/>
    <w:rsid w:val="006912FC"/>
    <w:rsid w:val="00691520"/>
    <w:rsid w:val="00691716"/>
    <w:rsid w:val="00691A1D"/>
    <w:rsid w:val="0069211C"/>
    <w:rsid w:val="006922D1"/>
    <w:rsid w:val="006927E7"/>
    <w:rsid w:val="006928B5"/>
    <w:rsid w:val="006929DE"/>
    <w:rsid w:val="00692F81"/>
    <w:rsid w:val="006933BF"/>
    <w:rsid w:val="00693403"/>
    <w:rsid w:val="006934F1"/>
    <w:rsid w:val="00693761"/>
    <w:rsid w:val="0069396D"/>
    <w:rsid w:val="00693981"/>
    <w:rsid w:val="00693D35"/>
    <w:rsid w:val="00693F82"/>
    <w:rsid w:val="006940C3"/>
    <w:rsid w:val="0069411A"/>
    <w:rsid w:val="0069437B"/>
    <w:rsid w:val="0069452C"/>
    <w:rsid w:val="00694655"/>
    <w:rsid w:val="006948EF"/>
    <w:rsid w:val="00694A8C"/>
    <w:rsid w:val="00694D89"/>
    <w:rsid w:val="0069506D"/>
    <w:rsid w:val="00695108"/>
    <w:rsid w:val="006951AF"/>
    <w:rsid w:val="006952FD"/>
    <w:rsid w:val="006958A7"/>
    <w:rsid w:val="00695A46"/>
    <w:rsid w:val="00695CF6"/>
    <w:rsid w:val="00696120"/>
    <w:rsid w:val="0069622C"/>
    <w:rsid w:val="0069657B"/>
    <w:rsid w:val="00696649"/>
    <w:rsid w:val="006967A2"/>
    <w:rsid w:val="0069683D"/>
    <w:rsid w:val="006969BA"/>
    <w:rsid w:val="00696AC4"/>
    <w:rsid w:val="00696B78"/>
    <w:rsid w:val="00696D6A"/>
    <w:rsid w:val="0069751F"/>
    <w:rsid w:val="006979D5"/>
    <w:rsid w:val="00697CB9"/>
    <w:rsid w:val="00697EE5"/>
    <w:rsid w:val="00697F57"/>
    <w:rsid w:val="006A00CA"/>
    <w:rsid w:val="006A0721"/>
    <w:rsid w:val="006A0A1E"/>
    <w:rsid w:val="006A0D44"/>
    <w:rsid w:val="006A0D5A"/>
    <w:rsid w:val="006A128B"/>
    <w:rsid w:val="006A150D"/>
    <w:rsid w:val="006A158F"/>
    <w:rsid w:val="006A1B7D"/>
    <w:rsid w:val="006A21B8"/>
    <w:rsid w:val="006A22C5"/>
    <w:rsid w:val="006A291A"/>
    <w:rsid w:val="006A33B7"/>
    <w:rsid w:val="006A3543"/>
    <w:rsid w:val="006A393C"/>
    <w:rsid w:val="006A3E74"/>
    <w:rsid w:val="006A4690"/>
    <w:rsid w:val="006A4AB0"/>
    <w:rsid w:val="006A4F23"/>
    <w:rsid w:val="006A511E"/>
    <w:rsid w:val="006A5273"/>
    <w:rsid w:val="006A55D4"/>
    <w:rsid w:val="006A5628"/>
    <w:rsid w:val="006A56D1"/>
    <w:rsid w:val="006A5955"/>
    <w:rsid w:val="006A59C1"/>
    <w:rsid w:val="006A5CF5"/>
    <w:rsid w:val="006A5DA6"/>
    <w:rsid w:val="006A5E01"/>
    <w:rsid w:val="006A5E2B"/>
    <w:rsid w:val="006A5F29"/>
    <w:rsid w:val="006A6142"/>
    <w:rsid w:val="006A6540"/>
    <w:rsid w:val="006A6698"/>
    <w:rsid w:val="006A692C"/>
    <w:rsid w:val="006A6980"/>
    <w:rsid w:val="006A6993"/>
    <w:rsid w:val="006A6B9E"/>
    <w:rsid w:val="006A6D74"/>
    <w:rsid w:val="006A70E5"/>
    <w:rsid w:val="006A7517"/>
    <w:rsid w:val="006A75B5"/>
    <w:rsid w:val="006A75EA"/>
    <w:rsid w:val="006A787C"/>
    <w:rsid w:val="006A7ADA"/>
    <w:rsid w:val="006A7B37"/>
    <w:rsid w:val="006A7FDC"/>
    <w:rsid w:val="006B00E1"/>
    <w:rsid w:val="006B028A"/>
    <w:rsid w:val="006B037D"/>
    <w:rsid w:val="006B04AF"/>
    <w:rsid w:val="006B07C5"/>
    <w:rsid w:val="006B0919"/>
    <w:rsid w:val="006B0BD5"/>
    <w:rsid w:val="006B0C8B"/>
    <w:rsid w:val="006B101D"/>
    <w:rsid w:val="006B104E"/>
    <w:rsid w:val="006B1267"/>
    <w:rsid w:val="006B1445"/>
    <w:rsid w:val="006B1A02"/>
    <w:rsid w:val="006B2313"/>
    <w:rsid w:val="006B246D"/>
    <w:rsid w:val="006B2610"/>
    <w:rsid w:val="006B2747"/>
    <w:rsid w:val="006B285C"/>
    <w:rsid w:val="006B2AC7"/>
    <w:rsid w:val="006B2BB3"/>
    <w:rsid w:val="006B2F78"/>
    <w:rsid w:val="006B30B4"/>
    <w:rsid w:val="006B3189"/>
    <w:rsid w:val="006B3EBD"/>
    <w:rsid w:val="006B3F11"/>
    <w:rsid w:val="006B4022"/>
    <w:rsid w:val="006B41DC"/>
    <w:rsid w:val="006B463B"/>
    <w:rsid w:val="006B47E6"/>
    <w:rsid w:val="006B4C68"/>
    <w:rsid w:val="006B4D94"/>
    <w:rsid w:val="006B4D98"/>
    <w:rsid w:val="006B4DAE"/>
    <w:rsid w:val="006B502A"/>
    <w:rsid w:val="006B56EB"/>
    <w:rsid w:val="006B57B5"/>
    <w:rsid w:val="006B6035"/>
    <w:rsid w:val="006B61DF"/>
    <w:rsid w:val="006B632E"/>
    <w:rsid w:val="006B64F7"/>
    <w:rsid w:val="006B69C8"/>
    <w:rsid w:val="006B6AE9"/>
    <w:rsid w:val="006B6B60"/>
    <w:rsid w:val="006B701D"/>
    <w:rsid w:val="006B7939"/>
    <w:rsid w:val="006B7BBD"/>
    <w:rsid w:val="006B7C0E"/>
    <w:rsid w:val="006B7D18"/>
    <w:rsid w:val="006B7E15"/>
    <w:rsid w:val="006B7F92"/>
    <w:rsid w:val="006C0382"/>
    <w:rsid w:val="006C06C9"/>
    <w:rsid w:val="006C0D51"/>
    <w:rsid w:val="006C1038"/>
    <w:rsid w:val="006C1254"/>
    <w:rsid w:val="006C1908"/>
    <w:rsid w:val="006C1942"/>
    <w:rsid w:val="006C19C9"/>
    <w:rsid w:val="006C1AD9"/>
    <w:rsid w:val="006C1C4F"/>
    <w:rsid w:val="006C259D"/>
    <w:rsid w:val="006C28B5"/>
    <w:rsid w:val="006C293C"/>
    <w:rsid w:val="006C2DB6"/>
    <w:rsid w:val="006C3100"/>
    <w:rsid w:val="006C33F7"/>
    <w:rsid w:val="006C394D"/>
    <w:rsid w:val="006C3E32"/>
    <w:rsid w:val="006C4188"/>
    <w:rsid w:val="006C47AF"/>
    <w:rsid w:val="006C4897"/>
    <w:rsid w:val="006C4ADC"/>
    <w:rsid w:val="006C4FFD"/>
    <w:rsid w:val="006C549A"/>
    <w:rsid w:val="006C553E"/>
    <w:rsid w:val="006C55E1"/>
    <w:rsid w:val="006C58A7"/>
    <w:rsid w:val="006C6242"/>
    <w:rsid w:val="006C677A"/>
    <w:rsid w:val="006C6E1F"/>
    <w:rsid w:val="006C6FC9"/>
    <w:rsid w:val="006C710C"/>
    <w:rsid w:val="006C797E"/>
    <w:rsid w:val="006C7D29"/>
    <w:rsid w:val="006D0092"/>
    <w:rsid w:val="006D0143"/>
    <w:rsid w:val="006D02FB"/>
    <w:rsid w:val="006D03B3"/>
    <w:rsid w:val="006D0752"/>
    <w:rsid w:val="006D097A"/>
    <w:rsid w:val="006D0CDD"/>
    <w:rsid w:val="006D0E08"/>
    <w:rsid w:val="006D0F43"/>
    <w:rsid w:val="006D105F"/>
    <w:rsid w:val="006D120A"/>
    <w:rsid w:val="006D1339"/>
    <w:rsid w:val="006D13DE"/>
    <w:rsid w:val="006D1429"/>
    <w:rsid w:val="006D1D77"/>
    <w:rsid w:val="006D1D7A"/>
    <w:rsid w:val="006D1FE2"/>
    <w:rsid w:val="006D2337"/>
    <w:rsid w:val="006D26EC"/>
    <w:rsid w:val="006D270F"/>
    <w:rsid w:val="006D281D"/>
    <w:rsid w:val="006D2820"/>
    <w:rsid w:val="006D2C1B"/>
    <w:rsid w:val="006D2C2A"/>
    <w:rsid w:val="006D2CB6"/>
    <w:rsid w:val="006D2CE7"/>
    <w:rsid w:val="006D2EC8"/>
    <w:rsid w:val="006D2FF2"/>
    <w:rsid w:val="006D3005"/>
    <w:rsid w:val="006D3701"/>
    <w:rsid w:val="006D3C65"/>
    <w:rsid w:val="006D3FB7"/>
    <w:rsid w:val="006D415B"/>
    <w:rsid w:val="006D41B1"/>
    <w:rsid w:val="006D44FB"/>
    <w:rsid w:val="006D45BA"/>
    <w:rsid w:val="006D47BA"/>
    <w:rsid w:val="006D4834"/>
    <w:rsid w:val="006D4A3C"/>
    <w:rsid w:val="006D4B38"/>
    <w:rsid w:val="006D56C6"/>
    <w:rsid w:val="006D5CF6"/>
    <w:rsid w:val="006D5F00"/>
    <w:rsid w:val="006D5F28"/>
    <w:rsid w:val="006D65CA"/>
    <w:rsid w:val="006D6834"/>
    <w:rsid w:val="006D688C"/>
    <w:rsid w:val="006D68D9"/>
    <w:rsid w:val="006D69FC"/>
    <w:rsid w:val="006D6DCC"/>
    <w:rsid w:val="006D7454"/>
    <w:rsid w:val="006D7646"/>
    <w:rsid w:val="006D7897"/>
    <w:rsid w:val="006D7898"/>
    <w:rsid w:val="006D7D75"/>
    <w:rsid w:val="006E00BA"/>
    <w:rsid w:val="006E03D2"/>
    <w:rsid w:val="006E0815"/>
    <w:rsid w:val="006E0A20"/>
    <w:rsid w:val="006E0D6D"/>
    <w:rsid w:val="006E124D"/>
    <w:rsid w:val="006E12C6"/>
    <w:rsid w:val="006E1993"/>
    <w:rsid w:val="006E1C93"/>
    <w:rsid w:val="006E1EDB"/>
    <w:rsid w:val="006E2318"/>
    <w:rsid w:val="006E2856"/>
    <w:rsid w:val="006E2BDF"/>
    <w:rsid w:val="006E2CBA"/>
    <w:rsid w:val="006E2CF5"/>
    <w:rsid w:val="006E30D3"/>
    <w:rsid w:val="006E3420"/>
    <w:rsid w:val="006E35DF"/>
    <w:rsid w:val="006E3821"/>
    <w:rsid w:val="006E387A"/>
    <w:rsid w:val="006E3B04"/>
    <w:rsid w:val="006E3B42"/>
    <w:rsid w:val="006E3B77"/>
    <w:rsid w:val="006E4AD6"/>
    <w:rsid w:val="006E4C55"/>
    <w:rsid w:val="006E5076"/>
    <w:rsid w:val="006E50B7"/>
    <w:rsid w:val="006E5131"/>
    <w:rsid w:val="006E5981"/>
    <w:rsid w:val="006E5B56"/>
    <w:rsid w:val="006E5EA5"/>
    <w:rsid w:val="006E60E9"/>
    <w:rsid w:val="006E6194"/>
    <w:rsid w:val="006E6360"/>
    <w:rsid w:val="006E6416"/>
    <w:rsid w:val="006E6426"/>
    <w:rsid w:val="006E6AE4"/>
    <w:rsid w:val="006F04D4"/>
    <w:rsid w:val="006F0843"/>
    <w:rsid w:val="006F0F64"/>
    <w:rsid w:val="006F10F7"/>
    <w:rsid w:val="006F13A4"/>
    <w:rsid w:val="006F1407"/>
    <w:rsid w:val="006F147A"/>
    <w:rsid w:val="006F17C0"/>
    <w:rsid w:val="006F1B09"/>
    <w:rsid w:val="006F1D81"/>
    <w:rsid w:val="006F1DA0"/>
    <w:rsid w:val="006F1E38"/>
    <w:rsid w:val="006F27E0"/>
    <w:rsid w:val="006F292A"/>
    <w:rsid w:val="006F29AB"/>
    <w:rsid w:val="006F2A27"/>
    <w:rsid w:val="006F32D1"/>
    <w:rsid w:val="006F343C"/>
    <w:rsid w:val="006F34AB"/>
    <w:rsid w:val="006F35F7"/>
    <w:rsid w:val="006F3840"/>
    <w:rsid w:val="006F3E36"/>
    <w:rsid w:val="006F4226"/>
    <w:rsid w:val="006F4373"/>
    <w:rsid w:val="006F454A"/>
    <w:rsid w:val="006F45DD"/>
    <w:rsid w:val="006F4660"/>
    <w:rsid w:val="006F4A07"/>
    <w:rsid w:val="006F5136"/>
    <w:rsid w:val="006F524E"/>
    <w:rsid w:val="006F5477"/>
    <w:rsid w:val="006F557A"/>
    <w:rsid w:val="006F55B2"/>
    <w:rsid w:val="006F5709"/>
    <w:rsid w:val="006F58E5"/>
    <w:rsid w:val="006F5D58"/>
    <w:rsid w:val="006F5F2D"/>
    <w:rsid w:val="006F6284"/>
    <w:rsid w:val="006F65E5"/>
    <w:rsid w:val="006F6627"/>
    <w:rsid w:val="006F69D0"/>
    <w:rsid w:val="006F6A86"/>
    <w:rsid w:val="006F6B74"/>
    <w:rsid w:val="006F6FA4"/>
    <w:rsid w:val="006F7114"/>
    <w:rsid w:val="006F750E"/>
    <w:rsid w:val="006F76AD"/>
    <w:rsid w:val="00700376"/>
    <w:rsid w:val="0070057F"/>
    <w:rsid w:val="00700827"/>
    <w:rsid w:val="00700A1C"/>
    <w:rsid w:val="00700AFA"/>
    <w:rsid w:val="0070182C"/>
    <w:rsid w:val="00701B4E"/>
    <w:rsid w:val="00701BC3"/>
    <w:rsid w:val="0070233C"/>
    <w:rsid w:val="00702663"/>
    <w:rsid w:val="00702F2C"/>
    <w:rsid w:val="0070307B"/>
    <w:rsid w:val="007031E5"/>
    <w:rsid w:val="007031EB"/>
    <w:rsid w:val="00703309"/>
    <w:rsid w:val="007034BA"/>
    <w:rsid w:val="00703785"/>
    <w:rsid w:val="00703C64"/>
    <w:rsid w:val="0070490E"/>
    <w:rsid w:val="00704A44"/>
    <w:rsid w:val="00704B70"/>
    <w:rsid w:val="00704C3D"/>
    <w:rsid w:val="00704D93"/>
    <w:rsid w:val="00704EB5"/>
    <w:rsid w:val="00704EDD"/>
    <w:rsid w:val="00704F0A"/>
    <w:rsid w:val="00704F2D"/>
    <w:rsid w:val="00705365"/>
    <w:rsid w:val="0070539D"/>
    <w:rsid w:val="00705654"/>
    <w:rsid w:val="00705DC5"/>
    <w:rsid w:val="00705F18"/>
    <w:rsid w:val="00706118"/>
    <w:rsid w:val="007063AE"/>
    <w:rsid w:val="007068E6"/>
    <w:rsid w:val="00706C10"/>
    <w:rsid w:val="00707217"/>
    <w:rsid w:val="00707666"/>
    <w:rsid w:val="00707687"/>
    <w:rsid w:val="0070770F"/>
    <w:rsid w:val="00707718"/>
    <w:rsid w:val="007077FA"/>
    <w:rsid w:val="0070785A"/>
    <w:rsid w:val="00707B8A"/>
    <w:rsid w:val="00707D17"/>
    <w:rsid w:val="00707DAB"/>
    <w:rsid w:val="00707DE4"/>
    <w:rsid w:val="00707EA1"/>
    <w:rsid w:val="00710220"/>
    <w:rsid w:val="00710657"/>
    <w:rsid w:val="00710AAC"/>
    <w:rsid w:val="00710CC1"/>
    <w:rsid w:val="00710CEA"/>
    <w:rsid w:val="00710D3E"/>
    <w:rsid w:val="00711F85"/>
    <w:rsid w:val="00712346"/>
    <w:rsid w:val="0071246E"/>
    <w:rsid w:val="007126B9"/>
    <w:rsid w:val="007128EE"/>
    <w:rsid w:val="00712A45"/>
    <w:rsid w:val="00712C48"/>
    <w:rsid w:val="0071320E"/>
    <w:rsid w:val="007133EA"/>
    <w:rsid w:val="00713779"/>
    <w:rsid w:val="00713829"/>
    <w:rsid w:val="0071382E"/>
    <w:rsid w:val="00713B5E"/>
    <w:rsid w:val="00713D15"/>
    <w:rsid w:val="00714092"/>
    <w:rsid w:val="007140ED"/>
    <w:rsid w:val="0071444C"/>
    <w:rsid w:val="007146B6"/>
    <w:rsid w:val="007146EE"/>
    <w:rsid w:val="00714A70"/>
    <w:rsid w:val="00714CCB"/>
    <w:rsid w:val="00714D6F"/>
    <w:rsid w:val="00714E09"/>
    <w:rsid w:val="00715D0F"/>
    <w:rsid w:val="00716AC8"/>
    <w:rsid w:val="00716CE2"/>
    <w:rsid w:val="00717114"/>
    <w:rsid w:val="0071731E"/>
    <w:rsid w:val="0071758C"/>
    <w:rsid w:val="00717866"/>
    <w:rsid w:val="00717A50"/>
    <w:rsid w:val="00717F85"/>
    <w:rsid w:val="007204A0"/>
    <w:rsid w:val="007209F3"/>
    <w:rsid w:val="00720A8F"/>
    <w:rsid w:val="00720D6E"/>
    <w:rsid w:val="00720E5D"/>
    <w:rsid w:val="007214F6"/>
    <w:rsid w:val="00721533"/>
    <w:rsid w:val="00721556"/>
    <w:rsid w:val="00721E07"/>
    <w:rsid w:val="0072251D"/>
    <w:rsid w:val="00722831"/>
    <w:rsid w:val="00722E4B"/>
    <w:rsid w:val="00722E58"/>
    <w:rsid w:val="00722EB6"/>
    <w:rsid w:val="00722FD5"/>
    <w:rsid w:val="0072322F"/>
    <w:rsid w:val="0072360A"/>
    <w:rsid w:val="00723B0A"/>
    <w:rsid w:val="00723CA2"/>
    <w:rsid w:val="007248E3"/>
    <w:rsid w:val="00724AD8"/>
    <w:rsid w:val="00724EE5"/>
    <w:rsid w:val="0072530B"/>
    <w:rsid w:val="00725364"/>
    <w:rsid w:val="0072546D"/>
    <w:rsid w:val="00725E95"/>
    <w:rsid w:val="007263E0"/>
    <w:rsid w:val="007264FB"/>
    <w:rsid w:val="0072654E"/>
    <w:rsid w:val="00726761"/>
    <w:rsid w:val="00726E56"/>
    <w:rsid w:val="00727041"/>
    <w:rsid w:val="00727301"/>
    <w:rsid w:val="0072748F"/>
    <w:rsid w:val="00727639"/>
    <w:rsid w:val="00727991"/>
    <w:rsid w:val="00727C27"/>
    <w:rsid w:val="00730EBC"/>
    <w:rsid w:val="00731841"/>
    <w:rsid w:val="00731A66"/>
    <w:rsid w:val="00731C99"/>
    <w:rsid w:val="00731F42"/>
    <w:rsid w:val="00732131"/>
    <w:rsid w:val="00732166"/>
    <w:rsid w:val="00732503"/>
    <w:rsid w:val="00732726"/>
    <w:rsid w:val="00732771"/>
    <w:rsid w:val="00732BA5"/>
    <w:rsid w:val="00732C65"/>
    <w:rsid w:val="0073308F"/>
    <w:rsid w:val="0073390D"/>
    <w:rsid w:val="007340B4"/>
    <w:rsid w:val="007340B6"/>
    <w:rsid w:val="0073412F"/>
    <w:rsid w:val="007344DF"/>
    <w:rsid w:val="007347EE"/>
    <w:rsid w:val="007348A0"/>
    <w:rsid w:val="00734AD1"/>
    <w:rsid w:val="00734ADD"/>
    <w:rsid w:val="00734DF9"/>
    <w:rsid w:val="007354E3"/>
    <w:rsid w:val="00735564"/>
    <w:rsid w:val="007355E3"/>
    <w:rsid w:val="00735BFF"/>
    <w:rsid w:val="00735C71"/>
    <w:rsid w:val="0073620B"/>
    <w:rsid w:val="007366B0"/>
    <w:rsid w:val="007367BD"/>
    <w:rsid w:val="007369B3"/>
    <w:rsid w:val="00736BA1"/>
    <w:rsid w:val="00736D14"/>
    <w:rsid w:val="00736D4C"/>
    <w:rsid w:val="007370FA"/>
    <w:rsid w:val="00737E7A"/>
    <w:rsid w:val="0074011D"/>
    <w:rsid w:val="00740440"/>
    <w:rsid w:val="0074050C"/>
    <w:rsid w:val="00740969"/>
    <w:rsid w:val="00740E3D"/>
    <w:rsid w:val="0074125D"/>
    <w:rsid w:val="007412CD"/>
    <w:rsid w:val="0074138F"/>
    <w:rsid w:val="00741BA2"/>
    <w:rsid w:val="00742061"/>
    <w:rsid w:val="007426C3"/>
    <w:rsid w:val="00742782"/>
    <w:rsid w:val="007427BD"/>
    <w:rsid w:val="00742A7E"/>
    <w:rsid w:val="00742CBC"/>
    <w:rsid w:val="00742D4A"/>
    <w:rsid w:val="00742D55"/>
    <w:rsid w:val="00742E3A"/>
    <w:rsid w:val="00742EBC"/>
    <w:rsid w:val="007433A6"/>
    <w:rsid w:val="007439D8"/>
    <w:rsid w:val="00743B0A"/>
    <w:rsid w:val="00743DD1"/>
    <w:rsid w:val="007441AB"/>
    <w:rsid w:val="007441E8"/>
    <w:rsid w:val="0074435F"/>
    <w:rsid w:val="007444AE"/>
    <w:rsid w:val="00744653"/>
    <w:rsid w:val="00744EA3"/>
    <w:rsid w:val="0074517E"/>
    <w:rsid w:val="007451F5"/>
    <w:rsid w:val="00745BFA"/>
    <w:rsid w:val="00745D54"/>
    <w:rsid w:val="00745FCD"/>
    <w:rsid w:val="00745FDA"/>
    <w:rsid w:val="00746920"/>
    <w:rsid w:val="00746989"/>
    <w:rsid w:val="00746D8B"/>
    <w:rsid w:val="00746EBD"/>
    <w:rsid w:val="00746EF6"/>
    <w:rsid w:val="007478ED"/>
    <w:rsid w:val="00747917"/>
    <w:rsid w:val="00747D3B"/>
    <w:rsid w:val="00747DEA"/>
    <w:rsid w:val="0075007E"/>
    <w:rsid w:val="007505F6"/>
    <w:rsid w:val="00750627"/>
    <w:rsid w:val="00750BF1"/>
    <w:rsid w:val="00750D69"/>
    <w:rsid w:val="00751150"/>
    <w:rsid w:val="00751804"/>
    <w:rsid w:val="00751C37"/>
    <w:rsid w:val="00751E12"/>
    <w:rsid w:val="00752056"/>
    <w:rsid w:val="007521F3"/>
    <w:rsid w:val="007525DB"/>
    <w:rsid w:val="0075269B"/>
    <w:rsid w:val="007527E7"/>
    <w:rsid w:val="00752C39"/>
    <w:rsid w:val="00752D91"/>
    <w:rsid w:val="00753420"/>
    <w:rsid w:val="00753588"/>
    <w:rsid w:val="007535EC"/>
    <w:rsid w:val="00753968"/>
    <w:rsid w:val="007540EC"/>
    <w:rsid w:val="00754631"/>
    <w:rsid w:val="00754A18"/>
    <w:rsid w:val="00754FA0"/>
    <w:rsid w:val="00755278"/>
    <w:rsid w:val="00755473"/>
    <w:rsid w:val="00755826"/>
    <w:rsid w:val="007560E0"/>
    <w:rsid w:val="007562E8"/>
    <w:rsid w:val="0075688A"/>
    <w:rsid w:val="007568B8"/>
    <w:rsid w:val="00756EF6"/>
    <w:rsid w:val="0075748E"/>
    <w:rsid w:val="00757DD6"/>
    <w:rsid w:val="007600B5"/>
    <w:rsid w:val="00760464"/>
    <w:rsid w:val="0076051D"/>
    <w:rsid w:val="007605BD"/>
    <w:rsid w:val="007608B0"/>
    <w:rsid w:val="0076095B"/>
    <w:rsid w:val="00760D04"/>
    <w:rsid w:val="00760F0F"/>
    <w:rsid w:val="007610BF"/>
    <w:rsid w:val="00761DD4"/>
    <w:rsid w:val="00761F21"/>
    <w:rsid w:val="0076244E"/>
    <w:rsid w:val="0076281C"/>
    <w:rsid w:val="00763065"/>
    <w:rsid w:val="0076355A"/>
    <w:rsid w:val="0076371E"/>
    <w:rsid w:val="0076390C"/>
    <w:rsid w:val="00763EA8"/>
    <w:rsid w:val="00764215"/>
    <w:rsid w:val="007644CF"/>
    <w:rsid w:val="007648D7"/>
    <w:rsid w:val="00764A21"/>
    <w:rsid w:val="00764ACE"/>
    <w:rsid w:val="00764DD6"/>
    <w:rsid w:val="00764E9B"/>
    <w:rsid w:val="00764F3D"/>
    <w:rsid w:val="007655AB"/>
    <w:rsid w:val="007657D9"/>
    <w:rsid w:val="00765892"/>
    <w:rsid w:val="00765B0D"/>
    <w:rsid w:val="007662C1"/>
    <w:rsid w:val="00766567"/>
    <w:rsid w:val="007665B1"/>
    <w:rsid w:val="00766786"/>
    <w:rsid w:val="00766A6A"/>
    <w:rsid w:val="00766CC9"/>
    <w:rsid w:val="00766E05"/>
    <w:rsid w:val="007671B4"/>
    <w:rsid w:val="007673D0"/>
    <w:rsid w:val="007675FB"/>
    <w:rsid w:val="007678F6"/>
    <w:rsid w:val="00767D2B"/>
    <w:rsid w:val="00767E83"/>
    <w:rsid w:val="00767F43"/>
    <w:rsid w:val="0076E556"/>
    <w:rsid w:val="0077052D"/>
    <w:rsid w:val="0077058E"/>
    <w:rsid w:val="007710EE"/>
    <w:rsid w:val="007712DE"/>
    <w:rsid w:val="00771925"/>
    <w:rsid w:val="00771CE0"/>
    <w:rsid w:val="00771DCF"/>
    <w:rsid w:val="00771F68"/>
    <w:rsid w:val="00772130"/>
    <w:rsid w:val="007723D8"/>
    <w:rsid w:val="00772B18"/>
    <w:rsid w:val="00772E2B"/>
    <w:rsid w:val="00772E78"/>
    <w:rsid w:val="00773431"/>
    <w:rsid w:val="007736B9"/>
    <w:rsid w:val="007738F6"/>
    <w:rsid w:val="00773CE8"/>
    <w:rsid w:val="00774010"/>
    <w:rsid w:val="007745C5"/>
    <w:rsid w:val="007745E1"/>
    <w:rsid w:val="00774762"/>
    <w:rsid w:val="007747BC"/>
    <w:rsid w:val="00775233"/>
    <w:rsid w:val="00775356"/>
    <w:rsid w:val="00775FFE"/>
    <w:rsid w:val="0077665E"/>
    <w:rsid w:val="00776829"/>
    <w:rsid w:val="00776B1B"/>
    <w:rsid w:val="00776BEC"/>
    <w:rsid w:val="00776D69"/>
    <w:rsid w:val="00777067"/>
    <w:rsid w:val="007772F3"/>
    <w:rsid w:val="00777A9A"/>
    <w:rsid w:val="00777C65"/>
    <w:rsid w:val="00780341"/>
    <w:rsid w:val="00780B00"/>
    <w:rsid w:val="00780B51"/>
    <w:rsid w:val="00780FAC"/>
    <w:rsid w:val="00781600"/>
    <w:rsid w:val="00781613"/>
    <w:rsid w:val="007818F0"/>
    <w:rsid w:val="00781BBF"/>
    <w:rsid w:val="00781FC3"/>
    <w:rsid w:val="00782143"/>
    <w:rsid w:val="00782655"/>
    <w:rsid w:val="00782728"/>
    <w:rsid w:val="007827A8"/>
    <w:rsid w:val="007828CF"/>
    <w:rsid w:val="0078291B"/>
    <w:rsid w:val="00782C3E"/>
    <w:rsid w:val="00782D49"/>
    <w:rsid w:val="007834CB"/>
    <w:rsid w:val="00783CCD"/>
    <w:rsid w:val="00784250"/>
    <w:rsid w:val="0078456E"/>
    <w:rsid w:val="0078461B"/>
    <w:rsid w:val="00784A84"/>
    <w:rsid w:val="0078500F"/>
    <w:rsid w:val="00785240"/>
    <w:rsid w:val="007852CB"/>
    <w:rsid w:val="0078552D"/>
    <w:rsid w:val="007855ED"/>
    <w:rsid w:val="00785704"/>
    <w:rsid w:val="007859E5"/>
    <w:rsid w:val="00785C1E"/>
    <w:rsid w:val="00785D4A"/>
    <w:rsid w:val="00786174"/>
    <w:rsid w:val="0078640C"/>
    <w:rsid w:val="00786517"/>
    <w:rsid w:val="00786681"/>
    <w:rsid w:val="00787076"/>
    <w:rsid w:val="0078708A"/>
    <w:rsid w:val="0078719B"/>
    <w:rsid w:val="0078729A"/>
    <w:rsid w:val="007878E5"/>
    <w:rsid w:val="0078793A"/>
    <w:rsid w:val="00787A6C"/>
    <w:rsid w:val="00787A8B"/>
    <w:rsid w:val="007900F1"/>
    <w:rsid w:val="007903B8"/>
    <w:rsid w:val="007903B9"/>
    <w:rsid w:val="0079077A"/>
    <w:rsid w:val="007907F6"/>
    <w:rsid w:val="00790A21"/>
    <w:rsid w:val="0079102B"/>
    <w:rsid w:val="0079190A"/>
    <w:rsid w:val="00791D65"/>
    <w:rsid w:val="00791DF7"/>
    <w:rsid w:val="00791FED"/>
    <w:rsid w:val="007922CA"/>
    <w:rsid w:val="0079270D"/>
    <w:rsid w:val="0079280D"/>
    <w:rsid w:val="00792DDA"/>
    <w:rsid w:val="00793333"/>
    <w:rsid w:val="0079336B"/>
    <w:rsid w:val="007933FB"/>
    <w:rsid w:val="007936F0"/>
    <w:rsid w:val="00793A35"/>
    <w:rsid w:val="00793EFD"/>
    <w:rsid w:val="0079441A"/>
    <w:rsid w:val="007947EB"/>
    <w:rsid w:val="00794A60"/>
    <w:rsid w:val="00794B6F"/>
    <w:rsid w:val="00794FA1"/>
    <w:rsid w:val="007956DA"/>
    <w:rsid w:val="007956F8"/>
    <w:rsid w:val="007957BC"/>
    <w:rsid w:val="007957C1"/>
    <w:rsid w:val="0079586F"/>
    <w:rsid w:val="007958AF"/>
    <w:rsid w:val="00795949"/>
    <w:rsid w:val="00795A10"/>
    <w:rsid w:val="00795E3B"/>
    <w:rsid w:val="00795F9D"/>
    <w:rsid w:val="00796034"/>
    <w:rsid w:val="00796815"/>
    <w:rsid w:val="007969B9"/>
    <w:rsid w:val="00796C41"/>
    <w:rsid w:val="00796CB0"/>
    <w:rsid w:val="00796D6A"/>
    <w:rsid w:val="00796DFA"/>
    <w:rsid w:val="00796E50"/>
    <w:rsid w:val="0079712A"/>
    <w:rsid w:val="0079745B"/>
    <w:rsid w:val="0079762B"/>
    <w:rsid w:val="00797C15"/>
    <w:rsid w:val="00797CAE"/>
    <w:rsid w:val="00797E20"/>
    <w:rsid w:val="007A014A"/>
    <w:rsid w:val="007A0292"/>
    <w:rsid w:val="007A04BC"/>
    <w:rsid w:val="007A0735"/>
    <w:rsid w:val="007A09A4"/>
    <w:rsid w:val="007A0B07"/>
    <w:rsid w:val="007A0FBC"/>
    <w:rsid w:val="007A11E0"/>
    <w:rsid w:val="007A12AC"/>
    <w:rsid w:val="007A1B16"/>
    <w:rsid w:val="007A1B45"/>
    <w:rsid w:val="007A1B78"/>
    <w:rsid w:val="007A1E20"/>
    <w:rsid w:val="007A20A3"/>
    <w:rsid w:val="007A22B7"/>
    <w:rsid w:val="007A2328"/>
    <w:rsid w:val="007A256B"/>
    <w:rsid w:val="007A276F"/>
    <w:rsid w:val="007A2952"/>
    <w:rsid w:val="007A2F40"/>
    <w:rsid w:val="007A3282"/>
    <w:rsid w:val="007A333F"/>
    <w:rsid w:val="007A3371"/>
    <w:rsid w:val="007A34AF"/>
    <w:rsid w:val="007A360A"/>
    <w:rsid w:val="007A3794"/>
    <w:rsid w:val="007A37DC"/>
    <w:rsid w:val="007A3E25"/>
    <w:rsid w:val="007A3EA7"/>
    <w:rsid w:val="007A4313"/>
    <w:rsid w:val="007A44C0"/>
    <w:rsid w:val="007A44CC"/>
    <w:rsid w:val="007A4607"/>
    <w:rsid w:val="007A4686"/>
    <w:rsid w:val="007A4D95"/>
    <w:rsid w:val="007A4E82"/>
    <w:rsid w:val="007A536E"/>
    <w:rsid w:val="007A544B"/>
    <w:rsid w:val="007A5C5D"/>
    <w:rsid w:val="007A6790"/>
    <w:rsid w:val="007A69A9"/>
    <w:rsid w:val="007A71BA"/>
    <w:rsid w:val="007A72FA"/>
    <w:rsid w:val="007A7509"/>
    <w:rsid w:val="007A7552"/>
    <w:rsid w:val="007A7F52"/>
    <w:rsid w:val="007A7F5F"/>
    <w:rsid w:val="007B00E8"/>
    <w:rsid w:val="007B0191"/>
    <w:rsid w:val="007B0916"/>
    <w:rsid w:val="007B0B44"/>
    <w:rsid w:val="007B16FC"/>
    <w:rsid w:val="007B1717"/>
    <w:rsid w:val="007B1922"/>
    <w:rsid w:val="007B1A91"/>
    <w:rsid w:val="007B1E24"/>
    <w:rsid w:val="007B1E34"/>
    <w:rsid w:val="007B1E94"/>
    <w:rsid w:val="007B22E9"/>
    <w:rsid w:val="007B271F"/>
    <w:rsid w:val="007B2C2B"/>
    <w:rsid w:val="007B33ED"/>
    <w:rsid w:val="007B3729"/>
    <w:rsid w:val="007B3AEF"/>
    <w:rsid w:val="007B3B30"/>
    <w:rsid w:val="007B3B7E"/>
    <w:rsid w:val="007B3C91"/>
    <w:rsid w:val="007B3DC3"/>
    <w:rsid w:val="007B3E4F"/>
    <w:rsid w:val="007B3EAF"/>
    <w:rsid w:val="007B446D"/>
    <w:rsid w:val="007B4B00"/>
    <w:rsid w:val="007B4E0F"/>
    <w:rsid w:val="007B4ECA"/>
    <w:rsid w:val="007B51E8"/>
    <w:rsid w:val="007B56B6"/>
    <w:rsid w:val="007B56D6"/>
    <w:rsid w:val="007B5795"/>
    <w:rsid w:val="007B5E45"/>
    <w:rsid w:val="007B639F"/>
    <w:rsid w:val="007B63CD"/>
    <w:rsid w:val="007B6951"/>
    <w:rsid w:val="007B6C12"/>
    <w:rsid w:val="007B6D15"/>
    <w:rsid w:val="007B761A"/>
    <w:rsid w:val="007B77B8"/>
    <w:rsid w:val="007B77C3"/>
    <w:rsid w:val="007B7B14"/>
    <w:rsid w:val="007B7C81"/>
    <w:rsid w:val="007B7CEC"/>
    <w:rsid w:val="007B7FB1"/>
    <w:rsid w:val="007B7FDC"/>
    <w:rsid w:val="007C034F"/>
    <w:rsid w:val="007C0406"/>
    <w:rsid w:val="007C0623"/>
    <w:rsid w:val="007C08C3"/>
    <w:rsid w:val="007C0E6A"/>
    <w:rsid w:val="007C0EE4"/>
    <w:rsid w:val="007C101D"/>
    <w:rsid w:val="007C10DE"/>
    <w:rsid w:val="007C10F2"/>
    <w:rsid w:val="007C1264"/>
    <w:rsid w:val="007C1340"/>
    <w:rsid w:val="007C1456"/>
    <w:rsid w:val="007C149F"/>
    <w:rsid w:val="007C18EE"/>
    <w:rsid w:val="007C200D"/>
    <w:rsid w:val="007C2033"/>
    <w:rsid w:val="007C209E"/>
    <w:rsid w:val="007C2126"/>
    <w:rsid w:val="007C2297"/>
    <w:rsid w:val="007C2311"/>
    <w:rsid w:val="007C281A"/>
    <w:rsid w:val="007C29C7"/>
    <w:rsid w:val="007C2A86"/>
    <w:rsid w:val="007C2C8B"/>
    <w:rsid w:val="007C2CBB"/>
    <w:rsid w:val="007C2E69"/>
    <w:rsid w:val="007C2FBC"/>
    <w:rsid w:val="007C3050"/>
    <w:rsid w:val="007C311B"/>
    <w:rsid w:val="007C3126"/>
    <w:rsid w:val="007C321C"/>
    <w:rsid w:val="007C3260"/>
    <w:rsid w:val="007C3734"/>
    <w:rsid w:val="007C37D1"/>
    <w:rsid w:val="007C3AA1"/>
    <w:rsid w:val="007C3FE2"/>
    <w:rsid w:val="007C4113"/>
    <w:rsid w:val="007C43E7"/>
    <w:rsid w:val="007C4558"/>
    <w:rsid w:val="007C4594"/>
    <w:rsid w:val="007C47DF"/>
    <w:rsid w:val="007C47E4"/>
    <w:rsid w:val="007C4B83"/>
    <w:rsid w:val="007C4C2C"/>
    <w:rsid w:val="007C502E"/>
    <w:rsid w:val="007C51A7"/>
    <w:rsid w:val="007C566E"/>
    <w:rsid w:val="007C5809"/>
    <w:rsid w:val="007C5AB0"/>
    <w:rsid w:val="007C6307"/>
    <w:rsid w:val="007C6363"/>
    <w:rsid w:val="007C6406"/>
    <w:rsid w:val="007C6743"/>
    <w:rsid w:val="007C67CF"/>
    <w:rsid w:val="007C69BD"/>
    <w:rsid w:val="007C69E1"/>
    <w:rsid w:val="007C72D3"/>
    <w:rsid w:val="007C739E"/>
    <w:rsid w:val="007C7B4B"/>
    <w:rsid w:val="007D097D"/>
    <w:rsid w:val="007D0C5A"/>
    <w:rsid w:val="007D0D85"/>
    <w:rsid w:val="007D10AF"/>
    <w:rsid w:val="007D132D"/>
    <w:rsid w:val="007D14A0"/>
    <w:rsid w:val="007D1B9F"/>
    <w:rsid w:val="007D1D8E"/>
    <w:rsid w:val="007D20C2"/>
    <w:rsid w:val="007D23C6"/>
    <w:rsid w:val="007D2492"/>
    <w:rsid w:val="007D2533"/>
    <w:rsid w:val="007D2CCE"/>
    <w:rsid w:val="007D2D9A"/>
    <w:rsid w:val="007D3150"/>
    <w:rsid w:val="007D335F"/>
    <w:rsid w:val="007D397E"/>
    <w:rsid w:val="007D3E73"/>
    <w:rsid w:val="007D4439"/>
    <w:rsid w:val="007D44A6"/>
    <w:rsid w:val="007D4700"/>
    <w:rsid w:val="007D4717"/>
    <w:rsid w:val="007D477F"/>
    <w:rsid w:val="007D480A"/>
    <w:rsid w:val="007D4DB1"/>
    <w:rsid w:val="007D4FBF"/>
    <w:rsid w:val="007D5479"/>
    <w:rsid w:val="007D564C"/>
    <w:rsid w:val="007D593D"/>
    <w:rsid w:val="007D5988"/>
    <w:rsid w:val="007D5FF2"/>
    <w:rsid w:val="007D6695"/>
    <w:rsid w:val="007D6BE4"/>
    <w:rsid w:val="007D6E8F"/>
    <w:rsid w:val="007D6FB0"/>
    <w:rsid w:val="007D725F"/>
    <w:rsid w:val="007D77C5"/>
    <w:rsid w:val="007D7D32"/>
    <w:rsid w:val="007D7D7D"/>
    <w:rsid w:val="007E03AD"/>
    <w:rsid w:val="007E06F5"/>
    <w:rsid w:val="007E075B"/>
    <w:rsid w:val="007E0761"/>
    <w:rsid w:val="007E0807"/>
    <w:rsid w:val="007E0FD0"/>
    <w:rsid w:val="007E106D"/>
    <w:rsid w:val="007E10CB"/>
    <w:rsid w:val="007E11C1"/>
    <w:rsid w:val="007E1684"/>
    <w:rsid w:val="007E2367"/>
    <w:rsid w:val="007E2597"/>
    <w:rsid w:val="007E2645"/>
    <w:rsid w:val="007E26AC"/>
    <w:rsid w:val="007E28B3"/>
    <w:rsid w:val="007E2A48"/>
    <w:rsid w:val="007E2EC5"/>
    <w:rsid w:val="007E3008"/>
    <w:rsid w:val="007E31C6"/>
    <w:rsid w:val="007E3248"/>
    <w:rsid w:val="007E3A6C"/>
    <w:rsid w:val="007E3A6F"/>
    <w:rsid w:val="007E3EE2"/>
    <w:rsid w:val="007E4479"/>
    <w:rsid w:val="007E4E76"/>
    <w:rsid w:val="007E552B"/>
    <w:rsid w:val="007E62C2"/>
    <w:rsid w:val="007E630C"/>
    <w:rsid w:val="007E64F8"/>
    <w:rsid w:val="007E678F"/>
    <w:rsid w:val="007E6814"/>
    <w:rsid w:val="007E693B"/>
    <w:rsid w:val="007E6B7B"/>
    <w:rsid w:val="007E7078"/>
    <w:rsid w:val="007E723E"/>
    <w:rsid w:val="007E753D"/>
    <w:rsid w:val="007E7851"/>
    <w:rsid w:val="007E7B0A"/>
    <w:rsid w:val="007E7BA5"/>
    <w:rsid w:val="007E7CD5"/>
    <w:rsid w:val="007F0357"/>
    <w:rsid w:val="007F05DA"/>
    <w:rsid w:val="007F0B75"/>
    <w:rsid w:val="007F0DF0"/>
    <w:rsid w:val="007F0FC3"/>
    <w:rsid w:val="007F1960"/>
    <w:rsid w:val="007F1AB6"/>
    <w:rsid w:val="007F1B72"/>
    <w:rsid w:val="007F1F21"/>
    <w:rsid w:val="007F20FA"/>
    <w:rsid w:val="007F2167"/>
    <w:rsid w:val="007F26BF"/>
    <w:rsid w:val="007F2A39"/>
    <w:rsid w:val="007F2D1E"/>
    <w:rsid w:val="007F2EC7"/>
    <w:rsid w:val="007F30CC"/>
    <w:rsid w:val="007F3185"/>
    <w:rsid w:val="007F32A7"/>
    <w:rsid w:val="007F3BEC"/>
    <w:rsid w:val="007F4072"/>
    <w:rsid w:val="007F48EF"/>
    <w:rsid w:val="007F4EC7"/>
    <w:rsid w:val="007F5C77"/>
    <w:rsid w:val="007F5EDA"/>
    <w:rsid w:val="007F5FF4"/>
    <w:rsid w:val="007F6240"/>
    <w:rsid w:val="007F6529"/>
    <w:rsid w:val="007F67E4"/>
    <w:rsid w:val="007F6A7D"/>
    <w:rsid w:val="007F6F36"/>
    <w:rsid w:val="007F6FCF"/>
    <w:rsid w:val="007F704E"/>
    <w:rsid w:val="007F7687"/>
    <w:rsid w:val="007F7C18"/>
    <w:rsid w:val="007F7E1E"/>
    <w:rsid w:val="007F7E71"/>
    <w:rsid w:val="00800177"/>
    <w:rsid w:val="00800189"/>
    <w:rsid w:val="00800A81"/>
    <w:rsid w:val="008010DB"/>
    <w:rsid w:val="00801379"/>
    <w:rsid w:val="00801584"/>
    <w:rsid w:val="00801F0B"/>
    <w:rsid w:val="0080213F"/>
    <w:rsid w:val="008023E1"/>
    <w:rsid w:val="00802947"/>
    <w:rsid w:val="00802948"/>
    <w:rsid w:val="00802B50"/>
    <w:rsid w:val="00802C14"/>
    <w:rsid w:val="00802D7A"/>
    <w:rsid w:val="00802DE2"/>
    <w:rsid w:val="00802E7C"/>
    <w:rsid w:val="00802EB2"/>
    <w:rsid w:val="00802EDE"/>
    <w:rsid w:val="008032F2"/>
    <w:rsid w:val="00803428"/>
    <w:rsid w:val="00803659"/>
    <w:rsid w:val="008036B2"/>
    <w:rsid w:val="008037FD"/>
    <w:rsid w:val="00803C1B"/>
    <w:rsid w:val="00804647"/>
    <w:rsid w:val="00804B15"/>
    <w:rsid w:val="00804E45"/>
    <w:rsid w:val="0080512E"/>
    <w:rsid w:val="008051B4"/>
    <w:rsid w:val="00805886"/>
    <w:rsid w:val="00805A32"/>
    <w:rsid w:val="00805E41"/>
    <w:rsid w:val="00806073"/>
    <w:rsid w:val="008060C5"/>
    <w:rsid w:val="0080644A"/>
    <w:rsid w:val="0080649A"/>
    <w:rsid w:val="00806DF6"/>
    <w:rsid w:val="00806E11"/>
    <w:rsid w:val="00806ECE"/>
    <w:rsid w:val="00806F91"/>
    <w:rsid w:val="0080784F"/>
    <w:rsid w:val="00807990"/>
    <w:rsid w:val="00807D23"/>
    <w:rsid w:val="0081010C"/>
    <w:rsid w:val="0081037A"/>
    <w:rsid w:val="008108B8"/>
    <w:rsid w:val="00810BAE"/>
    <w:rsid w:val="00810BE2"/>
    <w:rsid w:val="00810D8C"/>
    <w:rsid w:val="00810FBF"/>
    <w:rsid w:val="008111E0"/>
    <w:rsid w:val="00811324"/>
    <w:rsid w:val="00811C40"/>
    <w:rsid w:val="0081208C"/>
    <w:rsid w:val="008121F2"/>
    <w:rsid w:val="008122B4"/>
    <w:rsid w:val="00812DB3"/>
    <w:rsid w:val="0081310F"/>
    <w:rsid w:val="008134E2"/>
    <w:rsid w:val="00813676"/>
    <w:rsid w:val="00813969"/>
    <w:rsid w:val="00813AE1"/>
    <w:rsid w:val="00813CBB"/>
    <w:rsid w:val="00813E5C"/>
    <w:rsid w:val="00813F9F"/>
    <w:rsid w:val="00814503"/>
    <w:rsid w:val="00814E0E"/>
    <w:rsid w:val="00814F6E"/>
    <w:rsid w:val="00815038"/>
    <w:rsid w:val="00815916"/>
    <w:rsid w:val="00815E95"/>
    <w:rsid w:val="00816195"/>
    <w:rsid w:val="008162FE"/>
    <w:rsid w:val="00816373"/>
    <w:rsid w:val="00816636"/>
    <w:rsid w:val="0081696A"/>
    <w:rsid w:val="00816C12"/>
    <w:rsid w:val="00816EA4"/>
    <w:rsid w:val="0081784E"/>
    <w:rsid w:val="008178D4"/>
    <w:rsid w:val="00817A17"/>
    <w:rsid w:val="0082040A"/>
    <w:rsid w:val="00820C70"/>
    <w:rsid w:val="008215F6"/>
    <w:rsid w:val="00821666"/>
    <w:rsid w:val="00822011"/>
    <w:rsid w:val="00822599"/>
    <w:rsid w:val="008226BC"/>
    <w:rsid w:val="00822D7F"/>
    <w:rsid w:val="00823482"/>
    <w:rsid w:val="00823671"/>
    <w:rsid w:val="00823AC4"/>
    <w:rsid w:val="00823F71"/>
    <w:rsid w:val="0082440D"/>
    <w:rsid w:val="00824473"/>
    <w:rsid w:val="00824523"/>
    <w:rsid w:val="0082490F"/>
    <w:rsid w:val="0082494E"/>
    <w:rsid w:val="00824E5B"/>
    <w:rsid w:val="0082501F"/>
    <w:rsid w:val="00825297"/>
    <w:rsid w:val="008253C2"/>
    <w:rsid w:val="00825548"/>
    <w:rsid w:val="0082564C"/>
    <w:rsid w:val="00825929"/>
    <w:rsid w:val="008259DE"/>
    <w:rsid w:val="00825DA9"/>
    <w:rsid w:val="00825E35"/>
    <w:rsid w:val="00825F68"/>
    <w:rsid w:val="0082607E"/>
    <w:rsid w:val="008261DA"/>
    <w:rsid w:val="0082628E"/>
    <w:rsid w:val="008262B9"/>
    <w:rsid w:val="0082631E"/>
    <w:rsid w:val="00826F2F"/>
    <w:rsid w:val="0082748A"/>
    <w:rsid w:val="00827497"/>
    <w:rsid w:val="0082761B"/>
    <w:rsid w:val="008276AC"/>
    <w:rsid w:val="008278B0"/>
    <w:rsid w:val="008278CE"/>
    <w:rsid w:val="00827BEB"/>
    <w:rsid w:val="00827C91"/>
    <w:rsid w:val="00827D9A"/>
    <w:rsid w:val="00827EF2"/>
    <w:rsid w:val="0083016A"/>
    <w:rsid w:val="00830B1F"/>
    <w:rsid w:val="0083125A"/>
    <w:rsid w:val="00831AA5"/>
    <w:rsid w:val="00831E6F"/>
    <w:rsid w:val="00831F9B"/>
    <w:rsid w:val="00831FB1"/>
    <w:rsid w:val="0083203C"/>
    <w:rsid w:val="00832166"/>
    <w:rsid w:val="00832593"/>
    <w:rsid w:val="00832769"/>
    <w:rsid w:val="008329BB"/>
    <w:rsid w:val="00832C2C"/>
    <w:rsid w:val="00832CDD"/>
    <w:rsid w:val="00833059"/>
    <w:rsid w:val="008330EF"/>
    <w:rsid w:val="008331A0"/>
    <w:rsid w:val="0083324F"/>
    <w:rsid w:val="00833507"/>
    <w:rsid w:val="0083356C"/>
    <w:rsid w:val="0083387A"/>
    <w:rsid w:val="00833A14"/>
    <w:rsid w:val="00833C85"/>
    <w:rsid w:val="00833E32"/>
    <w:rsid w:val="00833E65"/>
    <w:rsid w:val="00834134"/>
    <w:rsid w:val="00834369"/>
    <w:rsid w:val="00834403"/>
    <w:rsid w:val="00834758"/>
    <w:rsid w:val="00834C17"/>
    <w:rsid w:val="00834CB9"/>
    <w:rsid w:val="00834D9F"/>
    <w:rsid w:val="00835754"/>
    <w:rsid w:val="00835C04"/>
    <w:rsid w:val="00835D4B"/>
    <w:rsid w:val="00835EDF"/>
    <w:rsid w:val="00835F04"/>
    <w:rsid w:val="00836102"/>
    <w:rsid w:val="008369F7"/>
    <w:rsid w:val="00836AAD"/>
    <w:rsid w:val="00836BC5"/>
    <w:rsid w:val="00836C5B"/>
    <w:rsid w:val="00837162"/>
    <w:rsid w:val="00837511"/>
    <w:rsid w:val="00837547"/>
    <w:rsid w:val="00837BBF"/>
    <w:rsid w:val="00837D48"/>
    <w:rsid w:val="00837DE4"/>
    <w:rsid w:val="00837FA1"/>
    <w:rsid w:val="00840230"/>
    <w:rsid w:val="00840562"/>
    <w:rsid w:val="00840599"/>
    <w:rsid w:val="00840A39"/>
    <w:rsid w:val="00840A57"/>
    <w:rsid w:val="00840B6E"/>
    <w:rsid w:val="00840E96"/>
    <w:rsid w:val="00841026"/>
    <w:rsid w:val="0084143C"/>
    <w:rsid w:val="00841473"/>
    <w:rsid w:val="00841634"/>
    <w:rsid w:val="008416A3"/>
    <w:rsid w:val="00841BDB"/>
    <w:rsid w:val="00841C4B"/>
    <w:rsid w:val="00841D15"/>
    <w:rsid w:val="00841DC8"/>
    <w:rsid w:val="008421FC"/>
    <w:rsid w:val="008422A2"/>
    <w:rsid w:val="0084232E"/>
    <w:rsid w:val="00842B28"/>
    <w:rsid w:val="00842C4C"/>
    <w:rsid w:val="00842C55"/>
    <w:rsid w:val="00842FBF"/>
    <w:rsid w:val="0084302C"/>
    <w:rsid w:val="0084325C"/>
    <w:rsid w:val="008435BA"/>
    <w:rsid w:val="0084375F"/>
    <w:rsid w:val="0084499E"/>
    <w:rsid w:val="00844AF8"/>
    <w:rsid w:val="00844B09"/>
    <w:rsid w:val="00844B41"/>
    <w:rsid w:val="00845716"/>
    <w:rsid w:val="0084577A"/>
    <w:rsid w:val="008457CB"/>
    <w:rsid w:val="0084599B"/>
    <w:rsid w:val="00845DD7"/>
    <w:rsid w:val="00845FBA"/>
    <w:rsid w:val="00846080"/>
    <w:rsid w:val="008467B7"/>
    <w:rsid w:val="00846C99"/>
    <w:rsid w:val="00846E29"/>
    <w:rsid w:val="008473CE"/>
    <w:rsid w:val="00847A0E"/>
    <w:rsid w:val="00847A27"/>
    <w:rsid w:val="00847A53"/>
    <w:rsid w:val="00847BEA"/>
    <w:rsid w:val="00847F82"/>
    <w:rsid w:val="00850001"/>
    <w:rsid w:val="0085026A"/>
    <w:rsid w:val="008502FF"/>
    <w:rsid w:val="0085095E"/>
    <w:rsid w:val="00850F57"/>
    <w:rsid w:val="00851095"/>
    <w:rsid w:val="008513E9"/>
    <w:rsid w:val="00851741"/>
    <w:rsid w:val="00851A43"/>
    <w:rsid w:val="00851D9F"/>
    <w:rsid w:val="00851EA9"/>
    <w:rsid w:val="00852147"/>
    <w:rsid w:val="00852182"/>
    <w:rsid w:val="0085267A"/>
    <w:rsid w:val="00852727"/>
    <w:rsid w:val="00852734"/>
    <w:rsid w:val="008528DD"/>
    <w:rsid w:val="008529B2"/>
    <w:rsid w:val="00852DE4"/>
    <w:rsid w:val="00853187"/>
    <w:rsid w:val="00853197"/>
    <w:rsid w:val="008545E6"/>
    <w:rsid w:val="0085460B"/>
    <w:rsid w:val="00854DC4"/>
    <w:rsid w:val="00854E34"/>
    <w:rsid w:val="00854E38"/>
    <w:rsid w:val="00854EA3"/>
    <w:rsid w:val="00854FAB"/>
    <w:rsid w:val="008553B6"/>
    <w:rsid w:val="00855914"/>
    <w:rsid w:val="00855BDD"/>
    <w:rsid w:val="00856391"/>
    <w:rsid w:val="0085647A"/>
    <w:rsid w:val="00856BC6"/>
    <w:rsid w:val="00856E3D"/>
    <w:rsid w:val="00856E72"/>
    <w:rsid w:val="008570BD"/>
    <w:rsid w:val="00857199"/>
    <w:rsid w:val="008572AC"/>
    <w:rsid w:val="008572F1"/>
    <w:rsid w:val="0085773B"/>
    <w:rsid w:val="00860023"/>
    <w:rsid w:val="00860269"/>
    <w:rsid w:val="00860511"/>
    <w:rsid w:val="00860546"/>
    <w:rsid w:val="00860AC6"/>
    <w:rsid w:val="00860B68"/>
    <w:rsid w:val="00861615"/>
    <w:rsid w:val="00861E42"/>
    <w:rsid w:val="0086252E"/>
    <w:rsid w:val="00862554"/>
    <w:rsid w:val="0086256E"/>
    <w:rsid w:val="008626E6"/>
    <w:rsid w:val="008627F4"/>
    <w:rsid w:val="008628D9"/>
    <w:rsid w:val="00862969"/>
    <w:rsid w:val="008629A0"/>
    <w:rsid w:val="00862BF5"/>
    <w:rsid w:val="00862F0A"/>
    <w:rsid w:val="0086333D"/>
    <w:rsid w:val="00863853"/>
    <w:rsid w:val="008641FE"/>
    <w:rsid w:val="008646C1"/>
    <w:rsid w:val="0086495F"/>
    <w:rsid w:val="00864BA3"/>
    <w:rsid w:val="00864DFB"/>
    <w:rsid w:val="00865A28"/>
    <w:rsid w:val="00865C5F"/>
    <w:rsid w:val="00866517"/>
    <w:rsid w:val="00866683"/>
    <w:rsid w:val="00866776"/>
    <w:rsid w:val="00866ABE"/>
    <w:rsid w:val="0086751F"/>
    <w:rsid w:val="0087008B"/>
    <w:rsid w:val="00870646"/>
    <w:rsid w:val="0087076D"/>
    <w:rsid w:val="00870DB7"/>
    <w:rsid w:val="00870E0E"/>
    <w:rsid w:val="008712B2"/>
    <w:rsid w:val="008716C3"/>
    <w:rsid w:val="00871BE2"/>
    <w:rsid w:val="00871CC7"/>
    <w:rsid w:val="00871CEF"/>
    <w:rsid w:val="00871DC8"/>
    <w:rsid w:val="00871E96"/>
    <w:rsid w:val="008723E7"/>
    <w:rsid w:val="0087275A"/>
    <w:rsid w:val="00872F71"/>
    <w:rsid w:val="008730EB"/>
    <w:rsid w:val="0087378A"/>
    <w:rsid w:val="00873956"/>
    <w:rsid w:val="008739B9"/>
    <w:rsid w:val="00873A46"/>
    <w:rsid w:val="00873B93"/>
    <w:rsid w:val="00873BA1"/>
    <w:rsid w:val="00873C78"/>
    <w:rsid w:val="00873D74"/>
    <w:rsid w:val="00873DBB"/>
    <w:rsid w:val="0087402C"/>
    <w:rsid w:val="0087405E"/>
    <w:rsid w:val="00874165"/>
    <w:rsid w:val="00874EFC"/>
    <w:rsid w:val="00875147"/>
    <w:rsid w:val="00875218"/>
    <w:rsid w:val="00875284"/>
    <w:rsid w:val="008754EF"/>
    <w:rsid w:val="0087555C"/>
    <w:rsid w:val="008755E0"/>
    <w:rsid w:val="00875CA8"/>
    <w:rsid w:val="00875CD9"/>
    <w:rsid w:val="00875DA4"/>
    <w:rsid w:val="00875F3A"/>
    <w:rsid w:val="0087615D"/>
    <w:rsid w:val="008761E5"/>
    <w:rsid w:val="00876659"/>
    <w:rsid w:val="008769BA"/>
    <w:rsid w:val="008769EC"/>
    <w:rsid w:val="00877C8A"/>
    <w:rsid w:val="00877FF2"/>
    <w:rsid w:val="008801FB"/>
    <w:rsid w:val="00880710"/>
    <w:rsid w:val="00880B27"/>
    <w:rsid w:val="0088144D"/>
    <w:rsid w:val="00881ECC"/>
    <w:rsid w:val="00882463"/>
    <w:rsid w:val="00882A53"/>
    <w:rsid w:val="00882A70"/>
    <w:rsid w:val="00882E6C"/>
    <w:rsid w:val="00882F2F"/>
    <w:rsid w:val="0088309C"/>
    <w:rsid w:val="008832F7"/>
    <w:rsid w:val="0088347B"/>
    <w:rsid w:val="0088397B"/>
    <w:rsid w:val="00883D0F"/>
    <w:rsid w:val="00883D19"/>
    <w:rsid w:val="00883E60"/>
    <w:rsid w:val="00884309"/>
    <w:rsid w:val="00884356"/>
    <w:rsid w:val="00884420"/>
    <w:rsid w:val="00884579"/>
    <w:rsid w:val="00884658"/>
    <w:rsid w:val="0088468D"/>
    <w:rsid w:val="00884830"/>
    <w:rsid w:val="00884953"/>
    <w:rsid w:val="00884C32"/>
    <w:rsid w:val="00885111"/>
    <w:rsid w:val="008856F4"/>
    <w:rsid w:val="008858E5"/>
    <w:rsid w:val="00885CAC"/>
    <w:rsid w:val="00886251"/>
    <w:rsid w:val="0088636B"/>
    <w:rsid w:val="0088666B"/>
    <w:rsid w:val="0088685F"/>
    <w:rsid w:val="008871ED"/>
    <w:rsid w:val="00887588"/>
    <w:rsid w:val="008878A6"/>
    <w:rsid w:val="008904BA"/>
    <w:rsid w:val="008909A6"/>
    <w:rsid w:val="00890AF3"/>
    <w:rsid w:val="0089134E"/>
    <w:rsid w:val="008914DD"/>
    <w:rsid w:val="00891794"/>
    <w:rsid w:val="00891EA0"/>
    <w:rsid w:val="00891F82"/>
    <w:rsid w:val="00892329"/>
    <w:rsid w:val="0089278D"/>
    <w:rsid w:val="0089280F"/>
    <w:rsid w:val="00892B57"/>
    <w:rsid w:val="00892D18"/>
    <w:rsid w:val="00892DD2"/>
    <w:rsid w:val="00892F35"/>
    <w:rsid w:val="0089321D"/>
    <w:rsid w:val="00893262"/>
    <w:rsid w:val="00893350"/>
    <w:rsid w:val="0089357A"/>
    <w:rsid w:val="00893623"/>
    <w:rsid w:val="008938BB"/>
    <w:rsid w:val="008938C6"/>
    <w:rsid w:val="00893AFB"/>
    <w:rsid w:val="00893C28"/>
    <w:rsid w:val="00893C87"/>
    <w:rsid w:val="00893D7D"/>
    <w:rsid w:val="00893DFF"/>
    <w:rsid w:val="00893FE8"/>
    <w:rsid w:val="00894164"/>
    <w:rsid w:val="00894379"/>
    <w:rsid w:val="008943A1"/>
    <w:rsid w:val="00894471"/>
    <w:rsid w:val="0089464B"/>
    <w:rsid w:val="00894931"/>
    <w:rsid w:val="00895736"/>
    <w:rsid w:val="0089578C"/>
    <w:rsid w:val="00895BB2"/>
    <w:rsid w:val="00895C2C"/>
    <w:rsid w:val="00896414"/>
    <w:rsid w:val="00896815"/>
    <w:rsid w:val="00896BD5"/>
    <w:rsid w:val="00896CF2"/>
    <w:rsid w:val="00897089"/>
    <w:rsid w:val="00897111"/>
    <w:rsid w:val="0089738A"/>
    <w:rsid w:val="008974D8"/>
    <w:rsid w:val="008976B6"/>
    <w:rsid w:val="008A012C"/>
    <w:rsid w:val="008A02F4"/>
    <w:rsid w:val="008A0376"/>
    <w:rsid w:val="008A0875"/>
    <w:rsid w:val="008A0899"/>
    <w:rsid w:val="008A0B7C"/>
    <w:rsid w:val="008A0C41"/>
    <w:rsid w:val="008A0D1A"/>
    <w:rsid w:val="008A11D1"/>
    <w:rsid w:val="008A129F"/>
    <w:rsid w:val="008A1593"/>
    <w:rsid w:val="008A1607"/>
    <w:rsid w:val="008A16D0"/>
    <w:rsid w:val="008A17FD"/>
    <w:rsid w:val="008A1D56"/>
    <w:rsid w:val="008A1E1E"/>
    <w:rsid w:val="008A1E40"/>
    <w:rsid w:val="008A1F6F"/>
    <w:rsid w:val="008A2B41"/>
    <w:rsid w:val="008A2C0E"/>
    <w:rsid w:val="008A33B1"/>
    <w:rsid w:val="008A35CA"/>
    <w:rsid w:val="008A35EA"/>
    <w:rsid w:val="008A37A1"/>
    <w:rsid w:val="008A3808"/>
    <w:rsid w:val="008A3810"/>
    <w:rsid w:val="008A38F6"/>
    <w:rsid w:val="008A3B18"/>
    <w:rsid w:val="008A3D79"/>
    <w:rsid w:val="008A433D"/>
    <w:rsid w:val="008A4344"/>
    <w:rsid w:val="008A4420"/>
    <w:rsid w:val="008A45B1"/>
    <w:rsid w:val="008A47BC"/>
    <w:rsid w:val="008A4C81"/>
    <w:rsid w:val="008A50DB"/>
    <w:rsid w:val="008A5462"/>
    <w:rsid w:val="008A55C1"/>
    <w:rsid w:val="008A55E4"/>
    <w:rsid w:val="008A55F1"/>
    <w:rsid w:val="008A5D0F"/>
    <w:rsid w:val="008A67C4"/>
    <w:rsid w:val="008A68BB"/>
    <w:rsid w:val="008A6C05"/>
    <w:rsid w:val="008A73E8"/>
    <w:rsid w:val="008A7711"/>
    <w:rsid w:val="008B01D5"/>
    <w:rsid w:val="008B035A"/>
    <w:rsid w:val="008B0497"/>
    <w:rsid w:val="008B05C0"/>
    <w:rsid w:val="008B0832"/>
    <w:rsid w:val="008B0DF3"/>
    <w:rsid w:val="008B0E93"/>
    <w:rsid w:val="008B0F99"/>
    <w:rsid w:val="008B1103"/>
    <w:rsid w:val="008B15BC"/>
    <w:rsid w:val="008B169C"/>
    <w:rsid w:val="008B16F7"/>
    <w:rsid w:val="008B1859"/>
    <w:rsid w:val="008B1A4C"/>
    <w:rsid w:val="008B1DE2"/>
    <w:rsid w:val="008B1F7A"/>
    <w:rsid w:val="008B2569"/>
    <w:rsid w:val="008B28A6"/>
    <w:rsid w:val="008B2B43"/>
    <w:rsid w:val="008B31DA"/>
    <w:rsid w:val="008B40F7"/>
    <w:rsid w:val="008B41B1"/>
    <w:rsid w:val="008B49B6"/>
    <w:rsid w:val="008B4C40"/>
    <w:rsid w:val="008B4C71"/>
    <w:rsid w:val="008B4E3D"/>
    <w:rsid w:val="008B4E47"/>
    <w:rsid w:val="008B5148"/>
    <w:rsid w:val="008B545F"/>
    <w:rsid w:val="008B54FD"/>
    <w:rsid w:val="008B59E5"/>
    <w:rsid w:val="008B60EA"/>
    <w:rsid w:val="008B6317"/>
    <w:rsid w:val="008B631A"/>
    <w:rsid w:val="008B6463"/>
    <w:rsid w:val="008B6707"/>
    <w:rsid w:val="008B69D1"/>
    <w:rsid w:val="008B6A2D"/>
    <w:rsid w:val="008B70A3"/>
    <w:rsid w:val="008B718C"/>
    <w:rsid w:val="008B719F"/>
    <w:rsid w:val="008B7320"/>
    <w:rsid w:val="008B7348"/>
    <w:rsid w:val="008B745D"/>
    <w:rsid w:val="008C00BF"/>
    <w:rsid w:val="008C03F6"/>
    <w:rsid w:val="008C0849"/>
    <w:rsid w:val="008C0B07"/>
    <w:rsid w:val="008C0BB6"/>
    <w:rsid w:val="008C0E7D"/>
    <w:rsid w:val="008C12AF"/>
    <w:rsid w:val="008C1620"/>
    <w:rsid w:val="008C1775"/>
    <w:rsid w:val="008C18D6"/>
    <w:rsid w:val="008C1BD8"/>
    <w:rsid w:val="008C1C3D"/>
    <w:rsid w:val="008C1C81"/>
    <w:rsid w:val="008C1FBA"/>
    <w:rsid w:val="008C20D0"/>
    <w:rsid w:val="008C20DC"/>
    <w:rsid w:val="008C2517"/>
    <w:rsid w:val="008C26F8"/>
    <w:rsid w:val="008C2C13"/>
    <w:rsid w:val="008C2C15"/>
    <w:rsid w:val="008C2C64"/>
    <w:rsid w:val="008C2CEA"/>
    <w:rsid w:val="008C2D31"/>
    <w:rsid w:val="008C2E04"/>
    <w:rsid w:val="008C3889"/>
    <w:rsid w:val="008C38CE"/>
    <w:rsid w:val="008C3C30"/>
    <w:rsid w:val="008C41B6"/>
    <w:rsid w:val="008C4788"/>
    <w:rsid w:val="008C49C7"/>
    <w:rsid w:val="008C4E70"/>
    <w:rsid w:val="008C585E"/>
    <w:rsid w:val="008C5B45"/>
    <w:rsid w:val="008C5C77"/>
    <w:rsid w:val="008C5E96"/>
    <w:rsid w:val="008C613B"/>
    <w:rsid w:val="008C659D"/>
    <w:rsid w:val="008C6757"/>
    <w:rsid w:val="008C6BC5"/>
    <w:rsid w:val="008C7847"/>
    <w:rsid w:val="008C78FC"/>
    <w:rsid w:val="008C7CBA"/>
    <w:rsid w:val="008C7DD9"/>
    <w:rsid w:val="008C7F25"/>
    <w:rsid w:val="008D03F0"/>
    <w:rsid w:val="008D04E9"/>
    <w:rsid w:val="008D0533"/>
    <w:rsid w:val="008D0701"/>
    <w:rsid w:val="008D090A"/>
    <w:rsid w:val="008D0ABB"/>
    <w:rsid w:val="008D0B79"/>
    <w:rsid w:val="008D0B9E"/>
    <w:rsid w:val="008D0C21"/>
    <w:rsid w:val="008D0DA9"/>
    <w:rsid w:val="008D10ED"/>
    <w:rsid w:val="008D116B"/>
    <w:rsid w:val="008D1374"/>
    <w:rsid w:val="008D14A0"/>
    <w:rsid w:val="008D14A5"/>
    <w:rsid w:val="008D1526"/>
    <w:rsid w:val="008D1A03"/>
    <w:rsid w:val="008D1D8F"/>
    <w:rsid w:val="008D2111"/>
    <w:rsid w:val="008D2180"/>
    <w:rsid w:val="008D26B5"/>
    <w:rsid w:val="008D2C0F"/>
    <w:rsid w:val="008D2D6C"/>
    <w:rsid w:val="008D2D9A"/>
    <w:rsid w:val="008D2F54"/>
    <w:rsid w:val="008D2F8B"/>
    <w:rsid w:val="008D3F75"/>
    <w:rsid w:val="008D41BE"/>
    <w:rsid w:val="008D4209"/>
    <w:rsid w:val="008D4299"/>
    <w:rsid w:val="008D43A9"/>
    <w:rsid w:val="008D44A1"/>
    <w:rsid w:val="008D456A"/>
    <w:rsid w:val="008D49B5"/>
    <w:rsid w:val="008D4AA0"/>
    <w:rsid w:val="008D5415"/>
    <w:rsid w:val="008D561A"/>
    <w:rsid w:val="008D5DDD"/>
    <w:rsid w:val="008D5E68"/>
    <w:rsid w:val="008D6492"/>
    <w:rsid w:val="008D6893"/>
    <w:rsid w:val="008D6897"/>
    <w:rsid w:val="008D6BC2"/>
    <w:rsid w:val="008D6C50"/>
    <w:rsid w:val="008D6CBB"/>
    <w:rsid w:val="008D725F"/>
    <w:rsid w:val="008D75DF"/>
    <w:rsid w:val="008D7843"/>
    <w:rsid w:val="008D7B69"/>
    <w:rsid w:val="008D7C62"/>
    <w:rsid w:val="008D7F58"/>
    <w:rsid w:val="008E01D8"/>
    <w:rsid w:val="008E01E1"/>
    <w:rsid w:val="008E0272"/>
    <w:rsid w:val="008E0443"/>
    <w:rsid w:val="008E092D"/>
    <w:rsid w:val="008E0B1E"/>
    <w:rsid w:val="008E0EE9"/>
    <w:rsid w:val="008E1426"/>
    <w:rsid w:val="008E1673"/>
    <w:rsid w:val="008E1C43"/>
    <w:rsid w:val="008E1C6B"/>
    <w:rsid w:val="008E1D17"/>
    <w:rsid w:val="008E2120"/>
    <w:rsid w:val="008E21BB"/>
    <w:rsid w:val="008E2210"/>
    <w:rsid w:val="008E2605"/>
    <w:rsid w:val="008E2983"/>
    <w:rsid w:val="008E29DF"/>
    <w:rsid w:val="008E2B2F"/>
    <w:rsid w:val="008E2B51"/>
    <w:rsid w:val="008E2C6D"/>
    <w:rsid w:val="008E2DDB"/>
    <w:rsid w:val="008E2ED5"/>
    <w:rsid w:val="008E336B"/>
    <w:rsid w:val="008E364B"/>
    <w:rsid w:val="008E3F2E"/>
    <w:rsid w:val="008E4275"/>
    <w:rsid w:val="008E47B3"/>
    <w:rsid w:val="008E4F88"/>
    <w:rsid w:val="008E5259"/>
    <w:rsid w:val="008E5377"/>
    <w:rsid w:val="008E565C"/>
    <w:rsid w:val="008E5C2E"/>
    <w:rsid w:val="008E62C7"/>
    <w:rsid w:val="008E62F9"/>
    <w:rsid w:val="008E669F"/>
    <w:rsid w:val="008E66D6"/>
    <w:rsid w:val="008E687E"/>
    <w:rsid w:val="008E69A4"/>
    <w:rsid w:val="008E6C98"/>
    <w:rsid w:val="008E6E1A"/>
    <w:rsid w:val="008E6FA2"/>
    <w:rsid w:val="008E71D9"/>
    <w:rsid w:val="008E74CD"/>
    <w:rsid w:val="008E771F"/>
    <w:rsid w:val="008E7923"/>
    <w:rsid w:val="008E7EFB"/>
    <w:rsid w:val="008E7F2D"/>
    <w:rsid w:val="008E7FA1"/>
    <w:rsid w:val="008F0106"/>
    <w:rsid w:val="008F01B9"/>
    <w:rsid w:val="008F064A"/>
    <w:rsid w:val="008F09CB"/>
    <w:rsid w:val="008F0DEC"/>
    <w:rsid w:val="008F111C"/>
    <w:rsid w:val="008F12FF"/>
    <w:rsid w:val="008F1872"/>
    <w:rsid w:val="008F19F8"/>
    <w:rsid w:val="008F1B46"/>
    <w:rsid w:val="008F1D37"/>
    <w:rsid w:val="008F1E86"/>
    <w:rsid w:val="008F209E"/>
    <w:rsid w:val="008F23A5"/>
    <w:rsid w:val="008F2498"/>
    <w:rsid w:val="008F2741"/>
    <w:rsid w:val="008F2CC1"/>
    <w:rsid w:val="008F2E9B"/>
    <w:rsid w:val="008F2FDF"/>
    <w:rsid w:val="008F36C8"/>
    <w:rsid w:val="008F384B"/>
    <w:rsid w:val="008F3D0E"/>
    <w:rsid w:val="008F3D36"/>
    <w:rsid w:val="008F46EE"/>
    <w:rsid w:val="008F4B61"/>
    <w:rsid w:val="008F4EBD"/>
    <w:rsid w:val="008F511D"/>
    <w:rsid w:val="008F57DF"/>
    <w:rsid w:val="008F58C8"/>
    <w:rsid w:val="008F6569"/>
    <w:rsid w:val="008F660D"/>
    <w:rsid w:val="008F68F5"/>
    <w:rsid w:val="008F6AF8"/>
    <w:rsid w:val="008F6BE8"/>
    <w:rsid w:val="008F6E2D"/>
    <w:rsid w:val="008F7090"/>
    <w:rsid w:val="008F70D4"/>
    <w:rsid w:val="008F7872"/>
    <w:rsid w:val="008F7A43"/>
    <w:rsid w:val="009000A0"/>
    <w:rsid w:val="00900735"/>
    <w:rsid w:val="00900935"/>
    <w:rsid w:val="00900C29"/>
    <w:rsid w:val="0090147A"/>
    <w:rsid w:val="0090155A"/>
    <w:rsid w:val="009016D3"/>
    <w:rsid w:val="00901C6E"/>
    <w:rsid w:val="0090213C"/>
    <w:rsid w:val="009025A1"/>
    <w:rsid w:val="009028F0"/>
    <w:rsid w:val="00902BAE"/>
    <w:rsid w:val="00902E06"/>
    <w:rsid w:val="00902F24"/>
    <w:rsid w:val="009031E7"/>
    <w:rsid w:val="009032D1"/>
    <w:rsid w:val="00903598"/>
    <w:rsid w:val="009035D2"/>
    <w:rsid w:val="00903922"/>
    <w:rsid w:val="00903DA1"/>
    <w:rsid w:val="00903EBF"/>
    <w:rsid w:val="009040EE"/>
    <w:rsid w:val="00904195"/>
    <w:rsid w:val="00904218"/>
    <w:rsid w:val="009043DE"/>
    <w:rsid w:val="0090461F"/>
    <w:rsid w:val="00904713"/>
    <w:rsid w:val="0090495A"/>
    <w:rsid w:val="00904D62"/>
    <w:rsid w:val="009050AB"/>
    <w:rsid w:val="00905226"/>
    <w:rsid w:val="009054BA"/>
    <w:rsid w:val="009056DF"/>
    <w:rsid w:val="00905950"/>
    <w:rsid w:val="00905A38"/>
    <w:rsid w:val="00905B98"/>
    <w:rsid w:val="009060E3"/>
    <w:rsid w:val="009063C5"/>
    <w:rsid w:val="00907091"/>
    <w:rsid w:val="00907505"/>
    <w:rsid w:val="00907747"/>
    <w:rsid w:val="00907769"/>
    <w:rsid w:val="00907975"/>
    <w:rsid w:val="00907B06"/>
    <w:rsid w:val="0091075A"/>
    <w:rsid w:val="00910A57"/>
    <w:rsid w:val="00910A9D"/>
    <w:rsid w:val="00910CDF"/>
    <w:rsid w:val="009111CA"/>
    <w:rsid w:val="00911201"/>
    <w:rsid w:val="00911259"/>
    <w:rsid w:val="00911496"/>
    <w:rsid w:val="00911BBC"/>
    <w:rsid w:val="00911C09"/>
    <w:rsid w:val="00911DD9"/>
    <w:rsid w:val="00912080"/>
    <w:rsid w:val="009126D0"/>
    <w:rsid w:val="00912742"/>
    <w:rsid w:val="0091274E"/>
    <w:rsid w:val="009128D8"/>
    <w:rsid w:val="00912923"/>
    <w:rsid w:val="00912B3E"/>
    <w:rsid w:val="00912CFF"/>
    <w:rsid w:val="00913099"/>
    <w:rsid w:val="00913527"/>
    <w:rsid w:val="009135C4"/>
    <w:rsid w:val="009135DE"/>
    <w:rsid w:val="0091379C"/>
    <w:rsid w:val="00913887"/>
    <w:rsid w:val="009139C4"/>
    <w:rsid w:val="00913EBD"/>
    <w:rsid w:val="00914010"/>
    <w:rsid w:val="009144BC"/>
    <w:rsid w:val="0091450B"/>
    <w:rsid w:val="0091453E"/>
    <w:rsid w:val="00914567"/>
    <w:rsid w:val="00914671"/>
    <w:rsid w:val="00914739"/>
    <w:rsid w:val="00914A5B"/>
    <w:rsid w:val="00914C21"/>
    <w:rsid w:val="00914F6E"/>
    <w:rsid w:val="00915200"/>
    <w:rsid w:val="00915774"/>
    <w:rsid w:val="00915C9C"/>
    <w:rsid w:val="00915F6C"/>
    <w:rsid w:val="0091637A"/>
    <w:rsid w:val="0091647A"/>
    <w:rsid w:val="009164D3"/>
    <w:rsid w:val="00916EFD"/>
    <w:rsid w:val="00917205"/>
    <w:rsid w:val="00917268"/>
    <w:rsid w:val="00917578"/>
    <w:rsid w:val="00917700"/>
    <w:rsid w:val="00917CE9"/>
    <w:rsid w:val="00917D9B"/>
    <w:rsid w:val="00920075"/>
    <w:rsid w:val="0092073F"/>
    <w:rsid w:val="00920E4F"/>
    <w:rsid w:val="00920FB2"/>
    <w:rsid w:val="00921413"/>
    <w:rsid w:val="009214ED"/>
    <w:rsid w:val="00921640"/>
    <w:rsid w:val="009216E6"/>
    <w:rsid w:val="00921816"/>
    <w:rsid w:val="009218A1"/>
    <w:rsid w:val="00921A44"/>
    <w:rsid w:val="00921D7D"/>
    <w:rsid w:val="00921ECA"/>
    <w:rsid w:val="0092208F"/>
    <w:rsid w:val="00922193"/>
    <w:rsid w:val="00922823"/>
    <w:rsid w:val="009229B6"/>
    <w:rsid w:val="00922EC5"/>
    <w:rsid w:val="0092301B"/>
    <w:rsid w:val="00923303"/>
    <w:rsid w:val="009234C5"/>
    <w:rsid w:val="0092355A"/>
    <w:rsid w:val="00923940"/>
    <w:rsid w:val="00923C36"/>
    <w:rsid w:val="00923CC2"/>
    <w:rsid w:val="00923EA3"/>
    <w:rsid w:val="00923F82"/>
    <w:rsid w:val="009242EA"/>
    <w:rsid w:val="00924385"/>
    <w:rsid w:val="0092444C"/>
    <w:rsid w:val="0092452C"/>
    <w:rsid w:val="00924676"/>
    <w:rsid w:val="0092488E"/>
    <w:rsid w:val="00924B0B"/>
    <w:rsid w:val="00924B0F"/>
    <w:rsid w:val="00924C95"/>
    <w:rsid w:val="00924CEA"/>
    <w:rsid w:val="00924DBB"/>
    <w:rsid w:val="0092514C"/>
    <w:rsid w:val="00925247"/>
    <w:rsid w:val="00925269"/>
    <w:rsid w:val="00925594"/>
    <w:rsid w:val="009257FF"/>
    <w:rsid w:val="00925928"/>
    <w:rsid w:val="00925A21"/>
    <w:rsid w:val="00925AB6"/>
    <w:rsid w:val="00925BC5"/>
    <w:rsid w:val="00925CD6"/>
    <w:rsid w:val="009266EB"/>
    <w:rsid w:val="00926B1C"/>
    <w:rsid w:val="009277C7"/>
    <w:rsid w:val="009301BF"/>
    <w:rsid w:val="00930C43"/>
    <w:rsid w:val="009311BC"/>
    <w:rsid w:val="00931200"/>
    <w:rsid w:val="00931208"/>
    <w:rsid w:val="009316E4"/>
    <w:rsid w:val="00931B52"/>
    <w:rsid w:val="00931D23"/>
    <w:rsid w:val="00931F3E"/>
    <w:rsid w:val="009320B2"/>
    <w:rsid w:val="00932327"/>
    <w:rsid w:val="00932478"/>
    <w:rsid w:val="009325C5"/>
    <w:rsid w:val="0093296C"/>
    <w:rsid w:val="00932C63"/>
    <w:rsid w:val="009332D9"/>
    <w:rsid w:val="009332E2"/>
    <w:rsid w:val="0093337A"/>
    <w:rsid w:val="009336A8"/>
    <w:rsid w:val="009336E6"/>
    <w:rsid w:val="00933B4F"/>
    <w:rsid w:val="00933EEB"/>
    <w:rsid w:val="00934051"/>
    <w:rsid w:val="009344B9"/>
    <w:rsid w:val="0093471B"/>
    <w:rsid w:val="009347F9"/>
    <w:rsid w:val="0093486A"/>
    <w:rsid w:val="00934CAC"/>
    <w:rsid w:val="00934CFB"/>
    <w:rsid w:val="00934F49"/>
    <w:rsid w:val="00934F92"/>
    <w:rsid w:val="0093519D"/>
    <w:rsid w:val="009354EB"/>
    <w:rsid w:val="00935A18"/>
    <w:rsid w:val="00935F12"/>
    <w:rsid w:val="00936577"/>
    <w:rsid w:val="009367D0"/>
    <w:rsid w:val="0093680B"/>
    <w:rsid w:val="00936CBA"/>
    <w:rsid w:val="00936E4E"/>
    <w:rsid w:val="0093700F"/>
    <w:rsid w:val="00937040"/>
    <w:rsid w:val="009370AB"/>
    <w:rsid w:val="0093727F"/>
    <w:rsid w:val="00937571"/>
    <w:rsid w:val="009379CD"/>
    <w:rsid w:val="00937A5E"/>
    <w:rsid w:val="00937E84"/>
    <w:rsid w:val="009401A7"/>
    <w:rsid w:val="009401BA"/>
    <w:rsid w:val="009401D6"/>
    <w:rsid w:val="009402C8"/>
    <w:rsid w:val="0094035C"/>
    <w:rsid w:val="00940562"/>
    <w:rsid w:val="0094074B"/>
    <w:rsid w:val="00940C6A"/>
    <w:rsid w:val="00941120"/>
    <w:rsid w:val="00941399"/>
    <w:rsid w:val="00941486"/>
    <w:rsid w:val="009414E9"/>
    <w:rsid w:val="00941780"/>
    <w:rsid w:val="00941866"/>
    <w:rsid w:val="0094194B"/>
    <w:rsid w:val="00941AA3"/>
    <w:rsid w:val="009420B3"/>
    <w:rsid w:val="009422DC"/>
    <w:rsid w:val="009426B6"/>
    <w:rsid w:val="00942812"/>
    <w:rsid w:val="009429E4"/>
    <w:rsid w:val="00942A4F"/>
    <w:rsid w:val="00942A87"/>
    <w:rsid w:val="00942BF5"/>
    <w:rsid w:val="0094338D"/>
    <w:rsid w:val="0094370C"/>
    <w:rsid w:val="00943764"/>
    <w:rsid w:val="0094376A"/>
    <w:rsid w:val="009437F9"/>
    <w:rsid w:val="00943848"/>
    <w:rsid w:val="00943A07"/>
    <w:rsid w:val="00943D91"/>
    <w:rsid w:val="00943F88"/>
    <w:rsid w:val="0094416F"/>
    <w:rsid w:val="00944267"/>
    <w:rsid w:val="0094427E"/>
    <w:rsid w:val="009444EE"/>
    <w:rsid w:val="00944617"/>
    <w:rsid w:val="0094487E"/>
    <w:rsid w:val="00944921"/>
    <w:rsid w:val="00944C79"/>
    <w:rsid w:val="00944CAB"/>
    <w:rsid w:val="009468D7"/>
    <w:rsid w:val="0094744C"/>
    <w:rsid w:val="009474AB"/>
    <w:rsid w:val="00947696"/>
    <w:rsid w:val="0094778C"/>
    <w:rsid w:val="00947FEB"/>
    <w:rsid w:val="0095010B"/>
    <w:rsid w:val="00950132"/>
    <w:rsid w:val="00951174"/>
    <w:rsid w:val="0095117B"/>
    <w:rsid w:val="009516C3"/>
    <w:rsid w:val="00951825"/>
    <w:rsid w:val="00951D5F"/>
    <w:rsid w:val="00951E59"/>
    <w:rsid w:val="00952107"/>
    <w:rsid w:val="00952228"/>
    <w:rsid w:val="009526FF"/>
    <w:rsid w:val="0095287D"/>
    <w:rsid w:val="0095294D"/>
    <w:rsid w:val="00952F81"/>
    <w:rsid w:val="00953514"/>
    <w:rsid w:val="0095356D"/>
    <w:rsid w:val="00953FEC"/>
    <w:rsid w:val="00954005"/>
    <w:rsid w:val="00954A36"/>
    <w:rsid w:val="00954EBB"/>
    <w:rsid w:val="00955307"/>
    <w:rsid w:val="00955825"/>
    <w:rsid w:val="00955DFC"/>
    <w:rsid w:val="009560DE"/>
    <w:rsid w:val="0095612B"/>
    <w:rsid w:val="00956304"/>
    <w:rsid w:val="0095677B"/>
    <w:rsid w:val="009569D7"/>
    <w:rsid w:val="00956A24"/>
    <w:rsid w:val="00956DB7"/>
    <w:rsid w:val="009572C2"/>
    <w:rsid w:val="009572E3"/>
    <w:rsid w:val="0095731A"/>
    <w:rsid w:val="00957600"/>
    <w:rsid w:val="009577AA"/>
    <w:rsid w:val="0095782E"/>
    <w:rsid w:val="00957B86"/>
    <w:rsid w:val="009602A9"/>
    <w:rsid w:val="00960359"/>
    <w:rsid w:val="00960567"/>
    <w:rsid w:val="009607FE"/>
    <w:rsid w:val="0096095C"/>
    <w:rsid w:val="00960A0B"/>
    <w:rsid w:val="00961002"/>
    <w:rsid w:val="0096144A"/>
    <w:rsid w:val="00961457"/>
    <w:rsid w:val="00961610"/>
    <w:rsid w:val="0096194E"/>
    <w:rsid w:val="0096196B"/>
    <w:rsid w:val="00961A47"/>
    <w:rsid w:val="00961D95"/>
    <w:rsid w:val="00961DE7"/>
    <w:rsid w:val="0096206B"/>
    <w:rsid w:val="00962756"/>
    <w:rsid w:val="00962954"/>
    <w:rsid w:val="00962BD6"/>
    <w:rsid w:val="009630F2"/>
    <w:rsid w:val="009636FD"/>
    <w:rsid w:val="0096372F"/>
    <w:rsid w:val="00963780"/>
    <w:rsid w:val="00963A8D"/>
    <w:rsid w:val="00963AEA"/>
    <w:rsid w:val="00963EBC"/>
    <w:rsid w:val="00964286"/>
    <w:rsid w:val="009642EB"/>
    <w:rsid w:val="00964349"/>
    <w:rsid w:val="009643BB"/>
    <w:rsid w:val="0096440B"/>
    <w:rsid w:val="00964579"/>
    <w:rsid w:val="00964650"/>
    <w:rsid w:val="00964ECA"/>
    <w:rsid w:val="00965B3C"/>
    <w:rsid w:val="00965BCC"/>
    <w:rsid w:val="00965F84"/>
    <w:rsid w:val="00965FCC"/>
    <w:rsid w:val="00965FF8"/>
    <w:rsid w:val="009666A8"/>
    <w:rsid w:val="009666A9"/>
    <w:rsid w:val="00966A68"/>
    <w:rsid w:val="00966C42"/>
    <w:rsid w:val="00966E0E"/>
    <w:rsid w:val="00967299"/>
    <w:rsid w:val="009673A1"/>
    <w:rsid w:val="00967634"/>
    <w:rsid w:val="0096767D"/>
    <w:rsid w:val="00967693"/>
    <w:rsid w:val="00967BE4"/>
    <w:rsid w:val="00967C2E"/>
    <w:rsid w:val="00967EC1"/>
    <w:rsid w:val="00967EF0"/>
    <w:rsid w:val="00970063"/>
    <w:rsid w:val="009702EC"/>
    <w:rsid w:val="00970325"/>
    <w:rsid w:val="0097042A"/>
    <w:rsid w:val="00970823"/>
    <w:rsid w:val="00970A2F"/>
    <w:rsid w:val="00970E1B"/>
    <w:rsid w:val="00970EA7"/>
    <w:rsid w:val="00970F82"/>
    <w:rsid w:val="009713C0"/>
    <w:rsid w:val="009718DB"/>
    <w:rsid w:val="00971B7D"/>
    <w:rsid w:val="00972254"/>
    <w:rsid w:val="009722F6"/>
    <w:rsid w:val="0097256A"/>
    <w:rsid w:val="00972787"/>
    <w:rsid w:val="00972B5E"/>
    <w:rsid w:val="00972E95"/>
    <w:rsid w:val="0097303C"/>
    <w:rsid w:val="00973182"/>
    <w:rsid w:val="009731BC"/>
    <w:rsid w:val="009731E0"/>
    <w:rsid w:val="009732B5"/>
    <w:rsid w:val="0097347B"/>
    <w:rsid w:val="009734F7"/>
    <w:rsid w:val="00973555"/>
    <w:rsid w:val="0097377D"/>
    <w:rsid w:val="00973C7B"/>
    <w:rsid w:val="00973E15"/>
    <w:rsid w:val="0097442D"/>
    <w:rsid w:val="00974459"/>
    <w:rsid w:val="00974AEA"/>
    <w:rsid w:val="00974E1D"/>
    <w:rsid w:val="00975227"/>
    <w:rsid w:val="00975ACD"/>
    <w:rsid w:val="00976421"/>
    <w:rsid w:val="00976572"/>
    <w:rsid w:val="00976963"/>
    <w:rsid w:val="00976FF7"/>
    <w:rsid w:val="00977153"/>
    <w:rsid w:val="009771AF"/>
    <w:rsid w:val="009771CC"/>
    <w:rsid w:val="0097747B"/>
    <w:rsid w:val="009804FA"/>
    <w:rsid w:val="0098086E"/>
    <w:rsid w:val="009809E8"/>
    <w:rsid w:val="00980E17"/>
    <w:rsid w:val="009810B1"/>
    <w:rsid w:val="00981457"/>
    <w:rsid w:val="0098180D"/>
    <w:rsid w:val="0098193D"/>
    <w:rsid w:val="00981B05"/>
    <w:rsid w:val="00981C77"/>
    <w:rsid w:val="0098225A"/>
    <w:rsid w:val="00982BA7"/>
    <w:rsid w:val="00982CE1"/>
    <w:rsid w:val="00982DC2"/>
    <w:rsid w:val="00982DCD"/>
    <w:rsid w:val="00982E2B"/>
    <w:rsid w:val="00982E82"/>
    <w:rsid w:val="00982EB3"/>
    <w:rsid w:val="009833E7"/>
    <w:rsid w:val="00983611"/>
    <w:rsid w:val="00983D27"/>
    <w:rsid w:val="00983D34"/>
    <w:rsid w:val="00984C23"/>
    <w:rsid w:val="00984E5C"/>
    <w:rsid w:val="00984EFD"/>
    <w:rsid w:val="009851FA"/>
    <w:rsid w:val="00985260"/>
    <w:rsid w:val="00985878"/>
    <w:rsid w:val="00985A12"/>
    <w:rsid w:val="00986255"/>
    <w:rsid w:val="00986726"/>
    <w:rsid w:val="00986A90"/>
    <w:rsid w:val="00986B35"/>
    <w:rsid w:val="00986FBA"/>
    <w:rsid w:val="009875BF"/>
    <w:rsid w:val="009876F9"/>
    <w:rsid w:val="00987B8A"/>
    <w:rsid w:val="00990116"/>
    <w:rsid w:val="00990362"/>
    <w:rsid w:val="009905CB"/>
    <w:rsid w:val="0099084A"/>
    <w:rsid w:val="009915D7"/>
    <w:rsid w:val="009916F1"/>
    <w:rsid w:val="0099189B"/>
    <w:rsid w:val="00991960"/>
    <w:rsid w:val="00991CA4"/>
    <w:rsid w:val="00991ED7"/>
    <w:rsid w:val="009922C3"/>
    <w:rsid w:val="0099238F"/>
    <w:rsid w:val="0099241C"/>
    <w:rsid w:val="00992629"/>
    <w:rsid w:val="00992773"/>
    <w:rsid w:val="0099282C"/>
    <w:rsid w:val="00992BA6"/>
    <w:rsid w:val="00992E8B"/>
    <w:rsid w:val="00992FAF"/>
    <w:rsid w:val="009938EE"/>
    <w:rsid w:val="00993A01"/>
    <w:rsid w:val="009940F6"/>
    <w:rsid w:val="0099425D"/>
    <w:rsid w:val="00994447"/>
    <w:rsid w:val="009944FC"/>
    <w:rsid w:val="009946E4"/>
    <w:rsid w:val="00994743"/>
    <w:rsid w:val="00994AC0"/>
    <w:rsid w:val="00994E1B"/>
    <w:rsid w:val="009950D5"/>
    <w:rsid w:val="0099543E"/>
    <w:rsid w:val="00995838"/>
    <w:rsid w:val="009959EB"/>
    <w:rsid w:val="00995A81"/>
    <w:rsid w:val="00995BBE"/>
    <w:rsid w:val="00995C9C"/>
    <w:rsid w:val="00995ED7"/>
    <w:rsid w:val="009960B9"/>
    <w:rsid w:val="009962C2"/>
    <w:rsid w:val="00996330"/>
    <w:rsid w:val="0099637F"/>
    <w:rsid w:val="0099645E"/>
    <w:rsid w:val="009969AC"/>
    <w:rsid w:val="00996E41"/>
    <w:rsid w:val="0099703F"/>
    <w:rsid w:val="009A00F9"/>
    <w:rsid w:val="009A01E2"/>
    <w:rsid w:val="009A04C0"/>
    <w:rsid w:val="009A05A8"/>
    <w:rsid w:val="009A0ADA"/>
    <w:rsid w:val="009A0C73"/>
    <w:rsid w:val="009A0CCA"/>
    <w:rsid w:val="009A0F60"/>
    <w:rsid w:val="009A1077"/>
    <w:rsid w:val="009A11D6"/>
    <w:rsid w:val="009A1203"/>
    <w:rsid w:val="009A1283"/>
    <w:rsid w:val="009A1B52"/>
    <w:rsid w:val="009A1D6B"/>
    <w:rsid w:val="009A1F67"/>
    <w:rsid w:val="009A209F"/>
    <w:rsid w:val="009A2320"/>
    <w:rsid w:val="009A23B2"/>
    <w:rsid w:val="009A2A9F"/>
    <w:rsid w:val="009A319D"/>
    <w:rsid w:val="009A3286"/>
    <w:rsid w:val="009A34FB"/>
    <w:rsid w:val="009A38A7"/>
    <w:rsid w:val="009A3CDB"/>
    <w:rsid w:val="009A3DAD"/>
    <w:rsid w:val="009A3DDB"/>
    <w:rsid w:val="009A445D"/>
    <w:rsid w:val="009A4503"/>
    <w:rsid w:val="009A4810"/>
    <w:rsid w:val="009A567B"/>
    <w:rsid w:val="009A5698"/>
    <w:rsid w:val="009A5EF1"/>
    <w:rsid w:val="009A6176"/>
    <w:rsid w:val="009A6260"/>
    <w:rsid w:val="009A6302"/>
    <w:rsid w:val="009A6375"/>
    <w:rsid w:val="009A6479"/>
    <w:rsid w:val="009A679C"/>
    <w:rsid w:val="009A6A1F"/>
    <w:rsid w:val="009A6BC3"/>
    <w:rsid w:val="009A6C38"/>
    <w:rsid w:val="009A6CEB"/>
    <w:rsid w:val="009A719B"/>
    <w:rsid w:val="009A7A6D"/>
    <w:rsid w:val="009B09BB"/>
    <w:rsid w:val="009B113C"/>
    <w:rsid w:val="009B12E6"/>
    <w:rsid w:val="009B17CA"/>
    <w:rsid w:val="009B2262"/>
    <w:rsid w:val="009B2534"/>
    <w:rsid w:val="009B259E"/>
    <w:rsid w:val="009B2A8C"/>
    <w:rsid w:val="009B2B01"/>
    <w:rsid w:val="009B2B7A"/>
    <w:rsid w:val="009B2BAB"/>
    <w:rsid w:val="009B2F46"/>
    <w:rsid w:val="009B32B7"/>
    <w:rsid w:val="009B3537"/>
    <w:rsid w:val="009B35A1"/>
    <w:rsid w:val="009B3695"/>
    <w:rsid w:val="009B3979"/>
    <w:rsid w:val="009B3C00"/>
    <w:rsid w:val="009B3D33"/>
    <w:rsid w:val="009B3FE3"/>
    <w:rsid w:val="009B41FE"/>
    <w:rsid w:val="009B4224"/>
    <w:rsid w:val="009B43A3"/>
    <w:rsid w:val="009B44AD"/>
    <w:rsid w:val="009B46F2"/>
    <w:rsid w:val="009B4723"/>
    <w:rsid w:val="009B4E0C"/>
    <w:rsid w:val="009B4FE0"/>
    <w:rsid w:val="009B5578"/>
    <w:rsid w:val="009B5634"/>
    <w:rsid w:val="009B5658"/>
    <w:rsid w:val="009B571B"/>
    <w:rsid w:val="009B589C"/>
    <w:rsid w:val="009B5956"/>
    <w:rsid w:val="009B5CDE"/>
    <w:rsid w:val="009B5F0F"/>
    <w:rsid w:val="009B60B1"/>
    <w:rsid w:val="009B613B"/>
    <w:rsid w:val="009B6218"/>
    <w:rsid w:val="009B6407"/>
    <w:rsid w:val="009B721B"/>
    <w:rsid w:val="009B7571"/>
    <w:rsid w:val="009B7790"/>
    <w:rsid w:val="009B7D8D"/>
    <w:rsid w:val="009B7EA3"/>
    <w:rsid w:val="009C0001"/>
    <w:rsid w:val="009C037E"/>
    <w:rsid w:val="009C0592"/>
    <w:rsid w:val="009C086F"/>
    <w:rsid w:val="009C0B9A"/>
    <w:rsid w:val="009C0DCC"/>
    <w:rsid w:val="009C0ECA"/>
    <w:rsid w:val="009C107D"/>
    <w:rsid w:val="009C167F"/>
    <w:rsid w:val="009C1DDD"/>
    <w:rsid w:val="009C1E9F"/>
    <w:rsid w:val="009C1F99"/>
    <w:rsid w:val="009C2257"/>
    <w:rsid w:val="009C2545"/>
    <w:rsid w:val="009C29A2"/>
    <w:rsid w:val="009C2D58"/>
    <w:rsid w:val="009C2F68"/>
    <w:rsid w:val="009C31A1"/>
    <w:rsid w:val="009C3320"/>
    <w:rsid w:val="009C33E5"/>
    <w:rsid w:val="009C3475"/>
    <w:rsid w:val="009C36A4"/>
    <w:rsid w:val="009C36BD"/>
    <w:rsid w:val="009C36C1"/>
    <w:rsid w:val="009C3A92"/>
    <w:rsid w:val="009C3E60"/>
    <w:rsid w:val="009C4262"/>
    <w:rsid w:val="009C4830"/>
    <w:rsid w:val="009C48A0"/>
    <w:rsid w:val="009C4B21"/>
    <w:rsid w:val="009C4C19"/>
    <w:rsid w:val="009C4F30"/>
    <w:rsid w:val="009C5117"/>
    <w:rsid w:val="009C53C3"/>
    <w:rsid w:val="009C552F"/>
    <w:rsid w:val="009C5810"/>
    <w:rsid w:val="009C5A5C"/>
    <w:rsid w:val="009C5C6A"/>
    <w:rsid w:val="009C5E1C"/>
    <w:rsid w:val="009C62B2"/>
    <w:rsid w:val="009C666A"/>
    <w:rsid w:val="009C68AD"/>
    <w:rsid w:val="009C69C4"/>
    <w:rsid w:val="009C6C7D"/>
    <w:rsid w:val="009C6D3C"/>
    <w:rsid w:val="009C6D5C"/>
    <w:rsid w:val="009C71DD"/>
    <w:rsid w:val="009C7425"/>
    <w:rsid w:val="009C742D"/>
    <w:rsid w:val="009C749F"/>
    <w:rsid w:val="009C757D"/>
    <w:rsid w:val="009C7B32"/>
    <w:rsid w:val="009C7D05"/>
    <w:rsid w:val="009C7E8A"/>
    <w:rsid w:val="009C7F50"/>
    <w:rsid w:val="009D0041"/>
    <w:rsid w:val="009D030B"/>
    <w:rsid w:val="009D0818"/>
    <w:rsid w:val="009D1082"/>
    <w:rsid w:val="009D118A"/>
    <w:rsid w:val="009D1325"/>
    <w:rsid w:val="009D158D"/>
    <w:rsid w:val="009D1842"/>
    <w:rsid w:val="009D2476"/>
    <w:rsid w:val="009D297B"/>
    <w:rsid w:val="009D2B80"/>
    <w:rsid w:val="009D2D60"/>
    <w:rsid w:val="009D2D91"/>
    <w:rsid w:val="009D3084"/>
    <w:rsid w:val="009D319E"/>
    <w:rsid w:val="009D348A"/>
    <w:rsid w:val="009D37C6"/>
    <w:rsid w:val="009D3A73"/>
    <w:rsid w:val="009D3AFA"/>
    <w:rsid w:val="009D3C61"/>
    <w:rsid w:val="009D3D84"/>
    <w:rsid w:val="009D3EA2"/>
    <w:rsid w:val="009D5408"/>
    <w:rsid w:val="009D5439"/>
    <w:rsid w:val="009D5516"/>
    <w:rsid w:val="009D5699"/>
    <w:rsid w:val="009D578C"/>
    <w:rsid w:val="009D586D"/>
    <w:rsid w:val="009D5AF4"/>
    <w:rsid w:val="009D5D90"/>
    <w:rsid w:val="009D5DAA"/>
    <w:rsid w:val="009D5E2B"/>
    <w:rsid w:val="009D5E58"/>
    <w:rsid w:val="009D659A"/>
    <w:rsid w:val="009D667B"/>
    <w:rsid w:val="009D6787"/>
    <w:rsid w:val="009D6C76"/>
    <w:rsid w:val="009D6D32"/>
    <w:rsid w:val="009D6E64"/>
    <w:rsid w:val="009D6EDD"/>
    <w:rsid w:val="009D701F"/>
    <w:rsid w:val="009D7033"/>
    <w:rsid w:val="009D7078"/>
    <w:rsid w:val="009D70C1"/>
    <w:rsid w:val="009D731E"/>
    <w:rsid w:val="009D7754"/>
    <w:rsid w:val="009D78C2"/>
    <w:rsid w:val="009D7963"/>
    <w:rsid w:val="009D7A39"/>
    <w:rsid w:val="009D7BCD"/>
    <w:rsid w:val="009E03CA"/>
    <w:rsid w:val="009E0412"/>
    <w:rsid w:val="009E0B32"/>
    <w:rsid w:val="009E0CA9"/>
    <w:rsid w:val="009E0F7D"/>
    <w:rsid w:val="009E1383"/>
    <w:rsid w:val="009E1782"/>
    <w:rsid w:val="009E1A37"/>
    <w:rsid w:val="009E1E98"/>
    <w:rsid w:val="009E2616"/>
    <w:rsid w:val="009E277A"/>
    <w:rsid w:val="009E2855"/>
    <w:rsid w:val="009E2C41"/>
    <w:rsid w:val="009E2CEA"/>
    <w:rsid w:val="009E2F61"/>
    <w:rsid w:val="009E30CB"/>
    <w:rsid w:val="009E33E4"/>
    <w:rsid w:val="009E3480"/>
    <w:rsid w:val="009E3971"/>
    <w:rsid w:val="009E41EF"/>
    <w:rsid w:val="009E470F"/>
    <w:rsid w:val="009E4796"/>
    <w:rsid w:val="009E4909"/>
    <w:rsid w:val="009E4BA1"/>
    <w:rsid w:val="009E5083"/>
    <w:rsid w:val="009E5181"/>
    <w:rsid w:val="009E524B"/>
    <w:rsid w:val="009E530F"/>
    <w:rsid w:val="009E5B12"/>
    <w:rsid w:val="009E603A"/>
    <w:rsid w:val="009E6177"/>
    <w:rsid w:val="009E6205"/>
    <w:rsid w:val="009E6408"/>
    <w:rsid w:val="009E6940"/>
    <w:rsid w:val="009E6B89"/>
    <w:rsid w:val="009E6C2D"/>
    <w:rsid w:val="009E7176"/>
    <w:rsid w:val="009E718F"/>
    <w:rsid w:val="009E7488"/>
    <w:rsid w:val="009E7571"/>
    <w:rsid w:val="009E7582"/>
    <w:rsid w:val="009E778F"/>
    <w:rsid w:val="009E7E3C"/>
    <w:rsid w:val="009F03BE"/>
    <w:rsid w:val="009F05ED"/>
    <w:rsid w:val="009F07F5"/>
    <w:rsid w:val="009F08A5"/>
    <w:rsid w:val="009F0A3F"/>
    <w:rsid w:val="009F0C48"/>
    <w:rsid w:val="009F104F"/>
    <w:rsid w:val="009F114B"/>
    <w:rsid w:val="009F160C"/>
    <w:rsid w:val="009F1640"/>
    <w:rsid w:val="009F1A6C"/>
    <w:rsid w:val="009F1BD3"/>
    <w:rsid w:val="009F1E51"/>
    <w:rsid w:val="009F2256"/>
    <w:rsid w:val="009F2263"/>
    <w:rsid w:val="009F2450"/>
    <w:rsid w:val="009F27F6"/>
    <w:rsid w:val="009F2F38"/>
    <w:rsid w:val="009F30F0"/>
    <w:rsid w:val="009F31B4"/>
    <w:rsid w:val="009F3681"/>
    <w:rsid w:val="009F39BF"/>
    <w:rsid w:val="009F3A44"/>
    <w:rsid w:val="009F3BB3"/>
    <w:rsid w:val="009F3C74"/>
    <w:rsid w:val="009F41EE"/>
    <w:rsid w:val="009F4625"/>
    <w:rsid w:val="009F4682"/>
    <w:rsid w:val="009F482E"/>
    <w:rsid w:val="009F4A68"/>
    <w:rsid w:val="009F4B08"/>
    <w:rsid w:val="009F4C2B"/>
    <w:rsid w:val="009F520C"/>
    <w:rsid w:val="009F5B64"/>
    <w:rsid w:val="009F6018"/>
    <w:rsid w:val="009F6316"/>
    <w:rsid w:val="009F6366"/>
    <w:rsid w:val="009F63E0"/>
    <w:rsid w:val="009F652A"/>
    <w:rsid w:val="009F6CB7"/>
    <w:rsid w:val="009F6D01"/>
    <w:rsid w:val="009F71F0"/>
    <w:rsid w:val="009F7270"/>
    <w:rsid w:val="009F73F9"/>
    <w:rsid w:val="009F764A"/>
    <w:rsid w:val="009F7691"/>
    <w:rsid w:val="00A0023A"/>
    <w:rsid w:val="00A00277"/>
    <w:rsid w:val="00A00464"/>
    <w:rsid w:val="00A0067A"/>
    <w:rsid w:val="00A0081A"/>
    <w:rsid w:val="00A00DFD"/>
    <w:rsid w:val="00A0186E"/>
    <w:rsid w:val="00A0218F"/>
    <w:rsid w:val="00A02690"/>
    <w:rsid w:val="00A02804"/>
    <w:rsid w:val="00A02898"/>
    <w:rsid w:val="00A02FF2"/>
    <w:rsid w:val="00A033D0"/>
    <w:rsid w:val="00A03405"/>
    <w:rsid w:val="00A03705"/>
    <w:rsid w:val="00A039D0"/>
    <w:rsid w:val="00A03B32"/>
    <w:rsid w:val="00A03DBE"/>
    <w:rsid w:val="00A03EF6"/>
    <w:rsid w:val="00A042FC"/>
    <w:rsid w:val="00A043A1"/>
    <w:rsid w:val="00A044ED"/>
    <w:rsid w:val="00A046AA"/>
    <w:rsid w:val="00A04EEF"/>
    <w:rsid w:val="00A04F8C"/>
    <w:rsid w:val="00A05251"/>
    <w:rsid w:val="00A052CC"/>
    <w:rsid w:val="00A0569D"/>
    <w:rsid w:val="00A05AB1"/>
    <w:rsid w:val="00A06282"/>
    <w:rsid w:val="00A062DD"/>
    <w:rsid w:val="00A06390"/>
    <w:rsid w:val="00A063B3"/>
    <w:rsid w:val="00A066F6"/>
    <w:rsid w:val="00A0684F"/>
    <w:rsid w:val="00A06941"/>
    <w:rsid w:val="00A071C7"/>
    <w:rsid w:val="00A0757C"/>
    <w:rsid w:val="00A077A2"/>
    <w:rsid w:val="00A07F89"/>
    <w:rsid w:val="00A104F0"/>
    <w:rsid w:val="00A1077E"/>
    <w:rsid w:val="00A10B04"/>
    <w:rsid w:val="00A10E53"/>
    <w:rsid w:val="00A110B6"/>
    <w:rsid w:val="00A111B3"/>
    <w:rsid w:val="00A112FB"/>
    <w:rsid w:val="00A11767"/>
    <w:rsid w:val="00A11991"/>
    <w:rsid w:val="00A11B58"/>
    <w:rsid w:val="00A11D9E"/>
    <w:rsid w:val="00A11EE7"/>
    <w:rsid w:val="00A1222C"/>
    <w:rsid w:val="00A12362"/>
    <w:rsid w:val="00A127A2"/>
    <w:rsid w:val="00A129CF"/>
    <w:rsid w:val="00A12AAE"/>
    <w:rsid w:val="00A130AF"/>
    <w:rsid w:val="00A1323C"/>
    <w:rsid w:val="00A13257"/>
    <w:rsid w:val="00A13DAB"/>
    <w:rsid w:val="00A13EF6"/>
    <w:rsid w:val="00A13EFD"/>
    <w:rsid w:val="00A13F08"/>
    <w:rsid w:val="00A146FD"/>
    <w:rsid w:val="00A1486D"/>
    <w:rsid w:val="00A14AE5"/>
    <w:rsid w:val="00A15097"/>
    <w:rsid w:val="00A15123"/>
    <w:rsid w:val="00A1520A"/>
    <w:rsid w:val="00A155B6"/>
    <w:rsid w:val="00A15B3E"/>
    <w:rsid w:val="00A15FB2"/>
    <w:rsid w:val="00A160A2"/>
    <w:rsid w:val="00A16145"/>
    <w:rsid w:val="00A16444"/>
    <w:rsid w:val="00A164F8"/>
    <w:rsid w:val="00A1704F"/>
    <w:rsid w:val="00A17120"/>
    <w:rsid w:val="00A17620"/>
    <w:rsid w:val="00A1780F"/>
    <w:rsid w:val="00A20D89"/>
    <w:rsid w:val="00A20DAB"/>
    <w:rsid w:val="00A2103C"/>
    <w:rsid w:val="00A21594"/>
    <w:rsid w:val="00A21E2B"/>
    <w:rsid w:val="00A2201C"/>
    <w:rsid w:val="00A2207A"/>
    <w:rsid w:val="00A22173"/>
    <w:rsid w:val="00A223B8"/>
    <w:rsid w:val="00A2258B"/>
    <w:rsid w:val="00A22934"/>
    <w:rsid w:val="00A22B50"/>
    <w:rsid w:val="00A22C3D"/>
    <w:rsid w:val="00A22F24"/>
    <w:rsid w:val="00A22FDC"/>
    <w:rsid w:val="00A2340B"/>
    <w:rsid w:val="00A23793"/>
    <w:rsid w:val="00A238C5"/>
    <w:rsid w:val="00A239C8"/>
    <w:rsid w:val="00A23A80"/>
    <w:rsid w:val="00A23B51"/>
    <w:rsid w:val="00A243E9"/>
    <w:rsid w:val="00A2461C"/>
    <w:rsid w:val="00A249F8"/>
    <w:rsid w:val="00A24FBE"/>
    <w:rsid w:val="00A251C8"/>
    <w:rsid w:val="00A2524E"/>
    <w:rsid w:val="00A25360"/>
    <w:rsid w:val="00A2546A"/>
    <w:rsid w:val="00A255B0"/>
    <w:rsid w:val="00A25A54"/>
    <w:rsid w:val="00A25BA4"/>
    <w:rsid w:val="00A25D41"/>
    <w:rsid w:val="00A25FEC"/>
    <w:rsid w:val="00A263E9"/>
    <w:rsid w:val="00A26534"/>
    <w:rsid w:val="00A2657C"/>
    <w:rsid w:val="00A26774"/>
    <w:rsid w:val="00A2680C"/>
    <w:rsid w:val="00A27136"/>
    <w:rsid w:val="00A27267"/>
    <w:rsid w:val="00A27548"/>
    <w:rsid w:val="00A276DD"/>
    <w:rsid w:val="00A27B68"/>
    <w:rsid w:val="00A27E76"/>
    <w:rsid w:val="00A30263"/>
    <w:rsid w:val="00A3069D"/>
    <w:rsid w:val="00A30856"/>
    <w:rsid w:val="00A3088C"/>
    <w:rsid w:val="00A30944"/>
    <w:rsid w:val="00A30B92"/>
    <w:rsid w:val="00A30C69"/>
    <w:rsid w:val="00A30C9C"/>
    <w:rsid w:val="00A30FBB"/>
    <w:rsid w:val="00A3114A"/>
    <w:rsid w:val="00A3144C"/>
    <w:rsid w:val="00A3179A"/>
    <w:rsid w:val="00A317CC"/>
    <w:rsid w:val="00A31971"/>
    <w:rsid w:val="00A32ADE"/>
    <w:rsid w:val="00A32AF1"/>
    <w:rsid w:val="00A330C9"/>
    <w:rsid w:val="00A335CB"/>
    <w:rsid w:val="00A33749"/>
    <w:rsid w:val="00A33AEF"/>
    <w:rsid w:val="00A33B51"/>
    <w:rsid w:val="00A33B96"/>
    <w:rsid w:val="00A3414B"/>
    <w:rsid w:val="00A343E1"/>
    <w:rsid w:val="00A34564"/>
    <w:rsid w:val="00A34B97"/>
    <w:rsid w:val="00A35172"/>
    <w:rsid w:val="00A35268"/>
    <w:rsid w:val="00A355D6"/>
    <w:rsid w:val="00A3599D"/>
    <w:rsid w:val="00A35B8E"/>
    <w:rsid w:val="00A36084"/>
    <w:rsid w:val="00A36389"/>
    <w:rsid w:val="00A363A2"/>
    <w:rsid w:val="00A363B2"/>
    <w:rsid w:val="00A3688F"/>
    <w:rsid w:val="00A368B7"/>
    <w:rsid w:val="00A36A70"/>
    <w:rsid w:val="00A3722F"/>
    <w:rsid w:val="00A375CD"/>
    <w:rsid w:val="00A376CB"/>
    <w:rsid w:val="00A379C6"/>
    <w:rsid w:val="00A37AD5"/>
    <w:rsid w:val="00A37CCE"/>
    <w:rsid w:val="00A40286"/>
    <w:rsid w:val="00A40732"/>
    <w:rsid w:val="00A407D7"/>
    <w:rsid w:val="00A40BBE"/>
    <w:rsid w:val="00A40F45"/>
    <w:rsid w:val="00A4118A"/>
    <w:rsid w:val="00A4162E"/>
    <w:rsid w:val="00A41669"/>
    <w:rsid w:val="00A416A4"/>
    <w:rsid w:val="00A41A08"/>
    <w:rsid w:val="00A420DC"/>
    <w:rsid w:val="00A42DF6"/>
    <w:rsid w:val="00A43001"/>
    <w:rsid w:val="00A432B9"/>
    <w:rsid w:val="00A434B1"/>
    <w:rsid w:val="00A438D2"/>
    <w:rsid w:val="00A43CDD"/>
    <w:rsid w:val="00A443AF"/>
    <w:rsid w:val="00A4449D"/>
    <w:rsid w:val="00A44647"/>
    <w:rsid w:val="00A44741"/>
    <w:rsid w:val="00A44859"/>
    <w:rsid w:val="00A44DBF"/>
    <w:rsid w:val="00A45F55"/>
    <w:rsid w:val="00A46098"/>
    <w:rsid w:val="00A462AA"/>
    <w:rsid w:val="00A463A1"/>
    <w:rsid w:val="00A46407"/>
    <w:rsid w:val="00A4669F"/>
    <w:rsid w:val="00A468DD"/>
    <w:rsid w:val="00A46BFD"/>
    <w:rsid w:val="00A46FDE"/>
    <w:rsid w:val="00A47342"/>
    <w:rsid w:val="00A47504"/>
    <w:rsid w:val="00A4759C"/>
    <w:rsid w:val="00A4770F"/>
    <w:rsid w:val="00A47929"/>
    <w:rsid w:val="00A504C5"/>
    <w:rsid w:val="00A50770"/>
    <w:rsid w:val="00A508FE"/>
    <w:rsid w:val="00A50A11"/>
    <w:rsid w:val="00A50E33"/>
    <w:rsid w:val="00A516EF"/>
    <w:rsid w:val="00A51AAF"/>
    <w:rsid w:val="00A52011"/>
    <w:rsid w:val="00A520DD"/>
    <w:rsid w:val="00A526A9"/>
    <w:rsid w:val="00A5272A"/>
    <w:rsid w:val="00A52878"/>
    <w:rsid w:val="00A52A3F"/>
    <w:rsid w:val="00A52CAB"/>
    <w:rsid w:val="00A53346"/>
    <w:rsid w:val="00A534D3"/>
    <w:rsid w:val="00A53887"/>
    <w:rsid w:val="00A53C03"/>
    <w:rsid w:val="00A53E77"/>
    <w:rsid w:val="00A53FF2"/>
    <w:rsid w:val="00A545B0"/>
    <w:rsid w:val="00A550F2"/>
    <w:rsid w:val="00A55350"/>
    <w:rsid w:val="00A55634"/>
    <w:rsid w:val="00A5587A"/>
    <w:rsid w:val="00A5592C"/>
    <w:rsid w:val="00A55B43"/>
    <w:rsid w:val="00A56290"/>
    <w:rsid w:val="00A56292"/>
    <w:rsid w:val="00A563B6"/>
    <w:rsid w:val="00A56893"/>
    <w:rsid w:val="00A568BB"/>
    <w:rsid w:val="00A57092"/>
    <w:rsid w:val="00A57280"/>
    <w:rsid w:val="00A5747C"/>
    <w:rsid w:val="00A5781D"/>
    <w:rsid w:val="00A578A3"/>
    <w:rsid w:val="00A57DA5"/>
    <w:rsid w:val="00A57E0D"/>
    <w:rsid w:val="00A57F98"/>
    <w:rsid w:val="00A60178"/>
    <w:rsid w:val="00A60265"/>
    <w:rsid w:val="00A607DB"/>
    <w:rsid w:val="00A608AB"/>
    <w:rsid w:val="00A60D71"/>
    <w:rsid w:val="00A6170E"/>
    <w:rsid w:val="00A6173E"/>
    <w:rsid w:val="00A61C12"/>
    <w:rsid w:val="00A61D7E"/>
    <w:rsid w:val="00A624B8"/>
    <w:rsid w:val="00A62C12"/>
    <w:rsid w:val="00A62F9C"/>
    <w:rsid w:val="00A637A0"/>
    <w:rsid w:val="00A6380B"/>
    <w:rsid w:val="00A63B34"/>
    <w:rsid w:val="00A63D9A"/>
    <w:rsid w:val="00A63E83"/>
    <w:rsid w:val="00A63E84"/>
    <w:rsid w:val="00A64101"/>
    <w:rsid w:val="00A644A0"/>
    <w:rsid w:val="00A64952"/>
    <w:rsid w:val="00A64D13"/>
    <w:rsid w:val="00A64EEF"/>
    <w:rsid w:val="00A65A4D"/>
    <w:rsid w:val="00A65C13"/>
    <w:rsid w:val="00A65E6C"/>
    <w:rsid w:val="00A663AB"/>
    <w:rsid w:val="00A6658E"/>
    <w:rsid w:val="00A66D34"/>
    <w:rsid w:val="00A66FA2"/>
    <w:rsid w:val="00A67093"/>
    <w:rsid w:val="00A670A5"/>
    <w:rsid w:val="00A67257"/>
    <w:rsid w:val="00A676BD"/>
    <w:rsid w:val="00A67703"/>
    <w:rsid w:val="00A67848"/>
    <w:rsid w:val="00A67C27"/>
    <w:rsid w:val="00A67C53"/>
    <w:rsid w:val="00A67D91"/>
    <w:rsid w:val="00A67E86"/>
    <w:rsid w:val="00A70205"/>
    <w:rsid w:val="00A704B5"/>
    <w:rsid w:val="00A7059D"/>
    <w:rsid w:val="00A70C27"/>
    <w:rsid w:val="00A70D31"/>
    <w:rsid w:val="00A713D5"/>
    <w:rsid w:val="00A714A4"/>
    <w:rsid w:val="00A714E3"/>
    <w:rsid w:val="00A71838"/>
    <w:rsid w:val="00A71923"/>
    <w:rsid w:val="00A71DE4"/>
    <w:rsid w:val="00A7276C"/>
    <w:rsid w:val="00A728C1"/>
    <w:rsid w:val="00A72955"/>
    <w:rsid w:val="00A72C75"/>
    <w:rsid w:val="00A72DDE"/>
    <w:rsid w:val="00A72F8E"/>
    <w:rsid w:val="00A73258"/>
    <w:rsid w:val="00A73286"/>
    <w:rsid w:val="00A737F0"/>
    <w:rsid w:val="00A7385A"/>
    <w:rsid w:val="00A738D4"/>
    <w:rsid w:val="00A73D20"/>
    <w:rsid w:val="00A740DF"/>
    <w:rsid w:val="00A743B3"/>
    <w:rsid w:val="00A74553"/>
    <w:rsid w:val="00A748DE"/>
    <w:rsid w:val="00A74978"/>
    <w:rsid w:val="00A74EE2"/>
    <w:rsid w:val="00A7515B"/>
    <w:rsid w:val="00A7529C"/>
    <w:rsid w:val="00A752A9"/>
    <w:rsid w:val="00A75FCC"/>
    <w:rsid w:val="00A7625C"/>
    <w:rsid w:val="00A76508"/>
    <w:rsid w:val="00A768CB"/>
    <w:rsid w:val="00A7691C"/>
    <w:rsid w:val="00A76A09"/>
    <w:rsid w:val="00A76B65"/>
    <w:rsid w:val="00A76E90"/>
    <w:rsid w:val="00A7706B"/>
    <w:rsid w:val="00A77100"/>
    <w:rsid w:val="00A7749A"/>
    <w:rsid w:val="00A77A25"/>
    <w:rsid w:val="00A77B52"/>
    <w:rsid w:val="00A77C39"/>
    <w:rsid w:val="00A80136"/>
    <w:rsid w:val="00A80242"/>
    <w:rsid w:val="00A803F7"/>
    <w:rsid w:val="00A8044B"/>
    <w:rsid w:val="00A804DC"/>
    <w:rsid w:val="00A8085B"/>
    <w:rsid w:val="00A80A6E"/>
    <w:rsid w:val="00A80ACE"/>
    <w:rsid w:val="00A80C92"/>
    <w:rsid w:val="00A8106D"/>
    <w:rsid w:val="00A811A0"/>
    <w:rsid w:val="00A81777"/>
    <w:rsid w:val="00A8185B"/>
    <w:rsid w:val="00A818A1"/>
    <w:rsid w:val="00A819D9"/>
    <w:rsid w:val="00A81B46"/>
    <w:rsid w:val="00A8212B"/>
    <w:rsid w:val="00A82431"/>
    <w:rsid w:val="00A82680"/>
    <w:rsid w:val="00A82969"/>
    <w:rsid w:val="00A82CB8"/>
    <w:rsid w:val="00A8321B"/>
    <w:rsid w:val="00A836F2"/>
    <w:rsid w:val="00A839A8"/>
    <w:rsid w:val="00A83BA3"/>
    <w:rsid w:val="00A83E73"/>
    <w:rsid w:val="00A83F5E"/>
    <w:rsid w:val="00A8419C"/>
    <w:rsid w:val="00A841A3"/>
    <w:rsid w:val="00A8425B"/>
    <w:rsid w:val="00A842EF"/>
    <w:rsid w:val="00A845BA"/>
    <w:rsid w:val="00A849DE"/>
    <w:rsid w:val="00A84AF9"/>
    <w:rsid w:val="00A84B4D"/>
    <w:rsid w:val="00A85096"/>
    <w:rsid w:val="00A852A0"/>
    <w:rsid w:val="00A85448"/>
    <w:rsid w:val="00A854FB"/>
    <w:rsid w:val="00A85592"/>
    <w:rsid w:val="00A857F8"/>
    <w:rsid w:val="00A85EDD"/>
    <w:rsid w:val="00A86140"/>
    <w:rsid w:val="00A86611"/>
    <w:rsid w:val="00A8680E"/>
    <w:rsid w:val="00A87304"/>
    <w:rsid w:val="00A878FA"/>
    <w:rsid w:val="00A87997"/>
    <w:rsid w:val="00A87AD8"/>
    <w:rsid w:val="00A87C97"/>
    <w:rsid w:val="00A87E8F"/>
    <w:rsid w:val="00A90161"/>
    <w:rsid w:val="00A90617"/>
    <w:rsid w:val="00A907C5"/>
    <w:rsid w:val="00A90D60"/>
    <w:rsid w:val="00A90E35"/>
    <w:rsid w:val="00A9172A"/>
    <w:rsid w:val="00A91AA1"/>
    <w:rsid w:val="00A91EE7"/>
    <w:rsid w:val="00A92321"/>
    <w:rsid w:val="00A92882"/>
    <w:rsid w:val="00A92A3E"/>
    <w:rsid w:val="00A92C13"/>
    <w:rsid w:val="00A92C7E"/>
    <w:rsid w:val="00A92EDE"/>
    <w:rsid w:val="00A932AD"/>
    <w:rsid w:val="00A93358"/>
    <w:rsid w:val="00A93785"/>
    <w:rsid w:val="00A938B4"/>
    <w:rsid w:val="00A93B26"/>
    <w:rsid w:val="00A93E57"/>
    <w:rsid w:val="00A94165"/>
    <w:rsid w:val="00A944DF"/>
    <w:rsid w:val="00A94632"/>
    <w:rsid w:val="00A94640"/>
    <w:rsid w:val="00A94823"/>
    <w:rsid w:val="00A952FB"/>
    <w:rsid w:val="00A9549B"/>
    <w:rsid w:val="00A9556D"/>
    <w:rsid w:val="00A95A86"/>
    <w:rsid w:val="00A95AA4"/>
    <w:rsid w:val="00A95AA9"/>
    <w:rsid w:val="00A95B68"/>
    <w:rsid w:val="00A95BAA"/>
    <w:rsid w:val="00A961D0"/>
    <w:rsid w:val="00A962D0"/>
    <w:rsid w:val="00A963E1"/>
    <w:rsid w:val="00A9691A"/>
    <w:rsid w:val="00A96C0D"/>
    <w:rsid w:val="00A96D5B"/>
    <w:rsid w:val="00A96E3D"/>
    <w:rsid w:val="00A96E72"/>
    <w:rsid w:val="00A972F3"/>
    <w:rsid w:val="00A97870"/>
    <w:rsid w:val="00A97F6A"/>
    <w:rsid w:val="00AA0922"/>
    <w:rsid w:val="00AA0DBD"/>
    <w:rsid w:val="00AA10DB"/>
    <w:rsid w:val="00AA11C8"/>
    <w:rsid w:val="00AA1209"/>
    <w:rsid w:val="00AA14BD"/>
    <w:rsid w:val="00AA18CF"/>
    <w:rsid w:val="00AA1CC1"/>
    <w:rsid w:val="00AA2E3A"/>
    <w:rsid w:val="00AA2E8B"/>
    <w:rsid w:val="00AA2ECF"/>
    <w:rsid w:val="00AA32A3"/>
    <w:rsid w:val="00AA35F0"/>
    <w:rsid w:val="00AA3682"/>
    <w:rsid w:val="00AA3F67"/>
    <w:rsid w:val="00AA47CC"/>
    <w:rsid w:val="00AA48B8"/>
    <w:rsid w:val="00AA49DA"/>
    <w:rsid w:val="00AA4C10"/>
    <w:rsid w:val="00AA4CA9"/>
    <w:rsid w:val="00AA4F35"/>
    <w:rsid w:val="00AA5071"/>
    <w:rsid w:val="00AA5538"/>
    <w:rsid w:val="00AA5A65"/>
    <w:rsid w:val="00AA5AB5"/>
    <w:rsid w:val="00AA5B8A"/>
    <w:rsid w:val="00AA5BC2"/>
    <w:rsid w:val="00AA607F"/>
    <w:rsid w:val="00AA63F3"/>
    <w:rsid w:val="00AA6628"/>
    <w:rsid w:val="00AA6C90"/>
    <w:rsid w:val="00AA720D"/>
    <w:rsid w:val="00AA7444"/>
    <w:rsid w:val="00AA750A"/>
    <w:rsid w:val="00AA78B6"/>
    <w:rsid w:val="00AA79CC"/>
    <w:rsid w:val="00AB0120"/>
    <w:rsid w:val="00AB0473"/>
    <w:rsid w:val="00AB05BF"/>
    <w:rsid w:val="00AB0709"/>
    <w:rsid w:val="00AB07EC"/>
    <w:rsid w:val="00AB0EA5"/>
    <w:rsid w:val="00AB1158"/>
    <w:rsid w:val="00AB12E2"/>
    <w:rsid w:val="00AB1F74"/>
    <w:rsid w:val="00AB289F"/>
    <w:rsid w:val="00AB2A05"/>
    <w:rsid w:val="00AB2B7F"/>
    <w:rsid w:val="00AB2D83"/>
    <w:rsid w:val="00AB3153"/>
    <w:rsid w:val="00AB34CC"/>
    <w:rsid w:val="00AB3770"/>
    <w:rsid w:val="00AB3853"/>
    <w:rsid w:val="00AB38BD"/>
    <w:rsid w:val="00AB3CE6"/>
    <w:rsid w:val="00AB3E0E"/>
    <w:rsid w:val="00AB403F"/>
    <w:rsid w:val="00AB411F"/>
    <w:rsid w:val="00AB4907"/>
    <w:rsid w:val="00AB4A26"/>
    <w:rsid w:val="00AB4C47"/>
    <w:rsid w:val="00AB4D7C"/>
    <w:rsid w:val="00AB4DB4"/>
    <w:rsid w:val="00AB4F6B"/>
    <w:rsid w:val="00AB5001"/>
    <w:rsid w:val="00AB5452"/>
    <w:rsid w:val="00AB5582"/>
    <w:rsid w:val="00AB63CF"/>
    <w:rsid w:val="00AB6865"/>
    <w:rsid w:val="00AB6974"/>
    <w:rsid w:val="00AB6BEB"/>
    <w:rsid w:val="00AB6DA1"/>
    <w:rsid w:val="00AB6F80"/>
    <w:rsid w:val="00AB7001"/>
    <w:rsid w:val="00AB71CE"/>
    <w:rsid w:val="00AB73DA"/>
    <w:rsid w:val="00AB747E"/>
    <w:rsid w:val="00AB7757"/>
    <w:rsid w:val="00AB7B73"/>
    <w:rsid w:val="00AB7BD4"/>
    <w:rsid w:val="00AC0344"/>
    <w:rsid w:val="00AC06A3"/>
    <w:rsid w:val="00AC0CFE"/>
    <w:rsid w:val="00AC0FB6"/>
    <w:rsid w:val="00AC143B"/>
    <w:rsid w:val="00AC15C9"/>
    <w:rsid w:val="00AC1C69"/>
    <w:rsid w:val="00AC21AB"/>
    <w:rsid w:val="00AC263F"/>
    <w:rsid w:val="00AC273A"/>
    <w:rsid w:val="00AC2F41"/>
    <w:rsid w:val="00AC34A3"/>
    <w:rsid w:val="00AC3B55"/>
    <w:rsid w:val="00AC40A4"/>
    <w:rsid w:val="00AC46CE"/>
    <w:rsid w:val="00AC4A84"/>
    <w:rsid w:val="00AC4DE9"/>
    <w:rsid w:val="00AC4E05"/>
    <w:rsid w:val="00AC4EA6"/>
    <w:rsid w:val="00AC5159"/>
    <w:rsid w:val="00AC537E"/>
    <w:rsid w:val="00AC5395"/>
    <w:rsid w:val="00AC594B"/>
    <w:rsid w:val="00AC5C21"/>
    <w:rsid w:val="00AC5FFA"/>
    <w:rsid w:val="00AC6466"/>
    <w:rsid w:val="00AC734D"/>
    <w:rsid w:val="00AC7388"/>
    <w:rsid w:val="00AC78F6"/>
    <w:rsid w:val="00AC7924"/>
    <w:rsid w:val="00AC7A3A"/>
    <w:rsid w:val="00AD034D"/>
    <w:rsid w:val="00AD063B"/>
    <w:rsid w:val="00AD06BB"/>
    <w:rsid w:val="00AD083B"/>
    <w:rsid w:val="00AD0A2E"/>
    <w:rsid w:val="00AD0B15"/>
    <w:rsid w:val="00AD0BE1"/>
    <w:rsid w:val="00AD0D36"/>
    <w:rsid w:val="00AD0E9E"/>
    <w:rsid w:val="00AD0F65"/>
    <w:rsid w:val="00AD100F"/>
    <w:rsid w:val="00AD10BB"/>
    <w:rsid w:val="00AD164B"/>
    <w:rsid w:val="00AD2261"/>
    <w:rsid w:val="00AD291C"/>
    <w:rsid w:val="00AD29FC"/>
    <w:rsid w:val="00AD2B35"/>
    <w:rsid w:val="00AD3ACE"/>
    <w:rsid w:val="00AD3BB0"/>
    <w:rsid w:val="00AD3C5C"/>
    <w:rsid w:val="00AD3F6C"/>
    <w:rsid w:val="00AD4009"/>
    <w:rsid w:val="00AD4180"/>
    <w:rsid w:val="00AD4313"/>
    <w:rsid w:val="00AD4376"/>
    <w:rsid w:val="00AD43AF"/>
    <w:rsid w:val="00AD49AC"/>
    <w:rsid w:val="00AD4B35"/>
    <w:rsid w:val="00AD4F79"/>
    <w:rsid w:val="00AD5022"/>
    <w:rsid w:val="00AD5054"/>
    <w:rsid w:val="00AD5302"/>
    <w:rsid w:val="00AD54CF"/>
    <w:rsid w:val="00AD5A0B"/>
    <w:rsid w:val="00AD5BBB"/>
    <w:rsid w:val="00AD5D08"/>
    <w:rsid w:val="00AD6481"/>
    <w:rsid w:val="00AD6C8E"/>
    <w:rsid w:val="00AD6DB0"/>
    <w:rsid w:val="00AD6F33"/>
    <w:rsid w:val="00AD71AE"/>
    <w:rsid w:val="00AD7234"/>
    <w:rsid w:val="00AD78F6"/>
    <w:rsid w:val="00AD7CC0"/>
    <w:rsid w:val="00AD7CEA"/>
    <w:rsid w:val="00AD7D04"/>
    <w:rsid w:val="00AD7D33"/>
    <w:rsid w:val="00AE0327"/>
    <w:rsid w:val="00AE0359"/>
    <w:rsid w:val="00AE03B9"/>
    <w:rsid w:val="00AE0BCA"/>
    <w:rsid w:val="00AE0DDF"/>
    <w:rsid w:val="00AE1074"/>
    <w:rsid w:val="00AE1A35"/>
    <w:rsid w:val="00AE1A75"/>
    <w:rsid w:val="00AE1B7F"/>
    <w:rsid w:val="00AE1C38"/>
    <w:rsid w:val="00AE1D1A"/>
    <w:rsid w:val="00AE1F17"/>
    <w:rsid w:val="00AE21BA"/>
    <w:rsid w:val="00AE23B6"/>
    <w:rsid w:val="00AE25A5"/>
    <w:rsid w:val="00AE2624"/>
    <w:rsid w:val="00AE2F86"/>
    <w:rsid w:val="00AE3081"/>
    <w:rsid w:val="00AE34D5"/>
    <w:rsid w:val="00AE34F5"/>
    <w:rsid w:val="00AE3556"/>
    <w:rsid w:val="00AE3AB2"/>
    <w:rsid w:val="00AE3FA4"/>
    <w:rsid w:val="00AE4134"/>
    <w:rsid w:val="00AE490F"/>
    <w:rsid w:val="00AE49F7"/>
    <w:rsid w:val="00AE55D4"/>
    <w:rsid w:val="00AE5C0D"/>
    <w:rsid w:val="00AE5D4B"/>
    <w:rsid w:val="00AE60D7"/>
    <w:rsid w:val="00AE6307"/>
    <w:rsid w:val="00AE6566"/>
    <w:rsid w:val="00AE65A6"/>
    <w:rsid w:val="00AE67F2"/>
    <w:rsid w:val="00AE69CA"/>
    <w:rsid w:val="00AE6AED"/>
    <w:rsid w:val="00AE6EC7"/>
    <w:rsid w:val="00AE6F4E"/>
    <w:rsid w:val="00AE73E2"/>
    <w:rsid w:val="00AE7848"/>
    <w:rsid w:val="00AE784C"/>
    <w:rsid w:val="00AE7933"/>
    <w:rsid w:val="00AE7A5D"/>
    <w:rsid w:val="00AE7A84"/>
    <w:rsid w:val="00AE7DB4"/>
    <w:rsid w:val="00AF01E2"/>
    <w:rsid w:val="00AF047D"/>
    <w:rsid w:val="00AF078A"/>
    <w:rsid w:val="00AF079C"/>
    <w:rsid w:val="00AF086A"/>
    <w:rsid w:val="00AF1657"/>
    <w:rsid w:val="00AF22F4"/>
    <w:rsid w:val="00AF2684"/>
    <w:rsid w:val="00AF2CFA"/>
    <w:rsid w:val="00AF301D"/>
    <w:rsid w:val="00AF331E"/>
    <w:rsid w:val="00AF33A0"/>
    <w:rsid w:val="00AF3916"/>
    <w:rsid w:val="00AF39C2"/>
    <w:rsid w:val="00AF3AE4"/>
    <w:rsid w:val="00AF3C70"/>
    <w:rsid w:val="00AF467D"/>
    <w:rsid w:val="00AF4FE2"/>
    <w:rsid w:val="00AF501C"/>
    <w:rsid w:val="00AF577D"/>
    <w:rsid w:val="00AF5B55"/>
    <w:rsid w:val="00AF61D9"/>
    <w:rsid w:val="00AF6379"/>
    <w:rsid w:val="00AF7546"/>
    <w:rsid w:val="00AF778C"/>
    <w:rsid w:val="00AF7A2D"/>
    <w:rsid w:val="00AF7DAC"/>
    <w:rsid w:val="00AF7F9E"/>
    <w:rsid w:val="00AF7FF1"/>
    <w:rsid w:val="00B000BE"/>
    <w:rsid w:val="00B005A8"/>
    <w:rsid w:val="00B005D1"/>
    <w:rsid w:val="00B00692"/>
    <w:rsid w:val="00B00B81"/>
    <w:rsid w:val="00B00C4C"/>
    <w:rsid w:val="00B01171"/>
    <w:rsid w:val="00B013EF"/>
    <w:rsid w:val="00B0153F"/>
    <w:rsid w:val="00B015E5"/>
    <w:rsid w:val="00B01D39"/>
    <w:rsid w:val="00B01D3F"/>
    <w:rsid w:val="00B01EC4"/>
    <w:rsid w:val="00B020AE"/>
    <w:rsid w:val="00B021D9"/>
    <w:rsid w:val="00B0236E"/>
    <w:rsid w:val="00B0246A"/>
    <w:rsid w:val="00B0249E"/>
    <w:rsid w:val="00B027DE"/>
    <w:rsid w:val="00B02E06"/>
    <w:rsid w:val="00B03116"/>
    <w:rsid w:val="00B03177"/>
    <w:rsid w:val="00B031D3"/>
    <w:rsid w:val="00B037DA"/>
    <w:rsid w:val="00B03B70"/>
    <w:rsid w:val="00B03BB8"/>
    <w:rsid w:val="00B042A3"/>
    <w:rsid w:val="00B04923"/>
    <w:rsid w:val="00B04B90"/>
    <w:rsid w:val="00B05011"/>
    <w:rsid w:val="00B06360"/>
    <w:rsid w:val="00B063BF"/>
    <w:rsid w:val="00B06401"/>
    <w:rsid w:val="00B06718"/>
    <w:rsid w:val="00B0698F"/>
    <w:rsid w:val="00B06CC8"/>
    <w:rsid w:val="00B06E79"/>
    <w:rsid w:val="00B06F59"/>
    <w:rsid w:val="00B07084"/>
    <w:rsid w:val="00B070A6"/>
    <w:rsid w:val="00B071CB"/>
    <w:rsid w:val="00B0720C"/>
    <w:rsid w:val="00B07257"/>
    <w:rsid w:val="00B07E49"/>
    <w:rsid w:val="00B07F4A"/>
    <w:rsid w:val="00B1002A"/>
    <w:rsid w:val="00B100A5"/>
    <w:rsid w:val="00B107EA"/>
    <w:rsid w:val="00B10A95"/>
    <w:rsid w:val="00B10BF5"/>
    <w:rsid w:val="00B10F19"/>
    <w:rsid w:val="00B1106A"/>
    <w:rsid w:val="00B114D7"/>
    <w:rsid w:val="00B11623"/>
    <w:rsid w:val="00B116ED"/>
    <w:rsid w:val="00B119DA"/>
    <w:rsid w:val="00B11B57"/>
    <w:rsid w:val="00B11EE7"/>
    <w:rsid w:val="00B1227E"/>
    <w:rsid w:val="00B125A9"/>
    <w:rsid w:val="00B1273A"/>
    <w:rsid w:val="00B12DEA"/>
    <w:rsid w:val="00B12EAF"/>
    <w:rsid w:val="00B12F8A"/>
    <w:rsid w:val="00B12FAA"/>
    <w:rsid w:val="00B13037"/>
    <w:rsid w:val="00B130AD"/>
    <w:rsid w:val="00B131BD"/>
    <w:rsid w:val="00B1346C"/>
    <w:rsid w:val="00B134C8"/>
    <w:rsid w:val="00B13663"/>
    <w:rsid w:val="00B13E7B"/>
    <w:rsid w:val="00B13EB4"/>
    <w:rsid w:val="00B13FC1"/>
    <w:rsid w:val="00B143C4"/>
    <w:rsid w:val="00B1458F"/>
    <w:rsid w:val="00B1462E"/>
    <w:rsid w:val="00B14F3C"/>
    <w:rsid w:val="00B15584"/>
    <w:rsid w:val="00B15643"/>
    <w:rsid w:val="00B15765"/>
    <w:rsid w:val="00B158DE"/>
    <w:rsid w:val="00B159F5"/>
    <w:rsid w:val="00B16114"/>
    <w:rsid w:val="00B161D4"/>
    <w:rsid w:val="00B162D8"/>
    <w:rsid w:val="00B1639A"/>
    <w:rsid w:val="00B165E0"/>
    <w:rsid w:val="00B16826"/>
    <w:rsid w:val="00B16A1B"/>
    <w:rsid w:val="00B16C27"/>
    <w:rsid w:val="00B17ADA"/>
    <w:rsid w:val="00B17D5F"/>
    <w:rsid w:val="00B17D82"/>
    <w:rsid w:val="00B17E18"/>
    <w:rsid w:val="00B17E90"/>
    <w:rsid w:val="00B17F9C"/>
    <w:rsid w:val="00B20259"/>
    <w:rsid w:val="00B20A00"/>
    <w:rsid w:val="00B20B12"/>
    <w:rsid w:val="00B20EFD"/>
    <w:rsid w:val="00B214E3"/>
    <w:rsid w:val="00B2168D"/>
    <w:rsid w:val="00B21852"/>
    <w:rsid w:val="00B2192B"/>
    <w:rsid w:val="00B21B8B"/>
    <w:rsid w:val="00B223EB"/>
    <w:rsid w:val="00B22517"/>
    <w:rsid w:val="00B229BB"/>
    <w:rsid w:val="00B229DC"/>
    <w:rsid w:val="00B232EC"/>
    <w:rsid w:val="00B23327"/>
    <w:rsid w:val="00B23389"/>
    <w:rsid w:val="00B23807"/>
    <w:rsid w:val="00B23C6F"/>
    <w:rsid w:val="00B24028"/>
    <w:rsid w:val="00B241AB"/>
    <w:rsid w:val="00B2449B"/>
    <w:rsid w:val="00B2488B"/>
    <w:rsid w:val="00B24945"/>
    <w:rsid w:val="00B24E88"/>
    <w:rsid w:val="00B24FF8"/>
    <w:rsid w:val="00B250EB"/>
    <w:rsid w:val="00B2510A"/>
    <w:rsid w:val="00B2555B"/>
    <w:rsid w:val="00B264D7"/>
    <w:rsid w:val="00B26882"/>
    <w:rsid w:val="00B268AF"/>
    <w:rsid w:val="00B26F2A"/>
    <w:rsid w:val="00B30168"/>
    <w:rsid w:val="00B301B6"/>
    <w:rsid w:val="00B3035D"/>
    <w:rsid w:val="00B30551"/>
    <w:rsid w:val="00B30AAD"/>
    <w:rsid w:val="00B30B14"/>
    <w:rsid w:val="00B30F91"/>
    <w:rsid w:val="00B31133"/>
    <w:rsid w:val="00B31325"/>
    <w:rsid w:val="00B3176E"/>
    <w:rsid w:val="00B32083"/>
    <w:rsid w:val="00B32286"/>
    <w:rsid w:val="00B323B5"/>
    <w:rsid w:val="00B323E0"/>
    <w:rsid w:val="00B325EE"/>
    <w:rsid w:val="00B32C1B"/>
    <w:rsid w:val="00B32CC7"/>
    <w:rsid w:val="00B32D28"/>
    <w:rsid w:val="00B32E99"/>
    <w:rsid w:val="00B33240"/>
    <w:rsid w:val="00B333D3"/>
    <w:rsid w:val="00B338A2"/>
    <w:rsid w:val="00B33CB3"/>
    <w:rsid w:val="00B33DBD"/>
    <w:rsid w:val="00B33E36"/>
    <w:rsid w:val="00B34E90"/>
    <w:rsid w:val="00B34F8A"/>
    <w:rsid w:val="00B3647C"/>
    <w:rsid w:val="00B36522"/>
    <w:rsid w:val="00B36789"/>
    <w:rsid w:val="00B369E9"/>
    <w:rsid w:val="00B36EF8"/>
    <w:rsid w:val="00B371A2"/>
    <w:rsid w:val="00B37258"/>
    <w:rsid w:val="00B37288"/>
    <w:rsid w:val="00B372C5"/>
    <w:rsid w:val="00B373B3"/>
    <w:rsid w:val="00B374A0"/>
    <w:rsid w:val="00B37753"/>
    <w:rsid w:val="00B37858"/>
    <w:rsid w:val="00B37C52"/>
    <w:rsid w:val="00B37E2C"/>
    <w:rsid w:val="00B3FA39"/>
    <w:rsid w:val="00B4053D"/>
    <w:rsid w:val="00B4067D"/>
    <w:rsid w:val="00B40E6E"/>
    <w:rsid w:val="00B4109F"/>
    <w:rsid w:val="00B41671"/>
    <w:rsid w:val="00B41A59"/>
    <w:rsid w:val="00B41D0D"/>
    <w:rsid w:val="00B4220D"/>
    <w:rsid w:val="00B4236D"/>
    <w:rsid w:val="00B4254C"/>
    <w:rsid w:val="00B426AC"/>
    <w:rsid w:val="00B43100"/>
    <w:rsid w:val="00B431D9"/>
    <w:rsid w:val="00B432E0"/>
    <w:rsid w:val="00B43550"/>
    <w:rsid w:val="00B437A3"/>
    <w:rsid w:val="00B43AB3"/>
    <w:rsid w:val="00B43B4A"/>
    <w:rsid w:val="00B43D10"/>
    <w:rsid w:val="00B43DB1"/>
    <w:rsid w:val="00B4488C"/>
    <w:rsid w:val="00B44C39"/>
    <w:rsid w:val="00B44CFD"/>
    <w:rsid w:val="00B45390"/>
    <w:rsid w:val="00B45967"/>
    <w:rsid w:val="00B4597B"/>
    <w:rsid w:val="00B45B52"/>
    <w:rsid w:val="00B45BE9"/>
    <w:rsid w:val="00B46155"/>
    <w:rsid w:val="00B4640A"/>
    <w:rsid w:val="00B469DE"/>
    <w:rsid w:val="00B46B5B"/>
    <w:rsid w:val="00B46BED"/>
    <w:rsid w:val="00B46EA8"/>
    <w:rsid w:val="00B47785"/>
    <w:rsid w:val="00B477A0"/>
    <w:rsid w:val="00B47BBC"/>
    <w:rsid w:val="00B47C1C"/>
    <w:rsid w:val="00B50387"/>
    <w:rsid w:val="00B506F0"/>
    <w:rsid w:val="00B50A89"/>
    <w:rsid w:val="00B50CFE"/>
    <w:rsid w:val="00B50E2D"/>
    <w:rsid w:val="00B51B52"/>
    <w:rsid w:val="00B51E03"/>
    <w:rsid w:val="00B52057"/>
    <w:rsid w:val="00B52151"/>
    <w:rsid w:val="00B527C0"/>
    <w:rsid w:val="00B52EBA"/>
    <w:rsid w:val="00B530A8"/>
    <w:rsid w:val="00B53AD8"/>
    <w:rsid w:val="00B542CE"/>
    <w:rsid w:val="00B5445A"/>
    <w:rsid w:val="00B546BF"/>
    <w:rsid w:val="00B5489B"/>
    <w:rsid w:val="00B54969"/>
    <w:rsid w:val="00B54E52"/>
    <w:rsid w:val="00B54F7D"/>
    <w:rsid w:val="00B55032"/>
    <w:rsid w:val="00B55284"/>
    <w:rsid w:val="00B558EC"/>
    <w:rsid w:val="00B55FB3"/>
    <w:rsid w:val="00B5623A"/>
    <w:rsid w:val="00B56474"/>
    <w:rsid w:val="00B56668"/>
    <w:rsid w:val="00B56BD2"/>
    <w:rsid w:val="00B56D0F"/>
    <w:rsid w:val="00B56DFD"/>
    <w:rsid w:val="00B57026"/>
    <w:rsid w:val="00B57258"/>
    <w:rsid w:val="00B572B9"/>
    <w:rsid w:val="00B574AD"/>
    <w:rsid w:val="00B57525"/>
    <w:rsid w:val="00B57824"/>
    <w:rsid w:val="00B5796B"/>
    <w:rsid w:val="00B57B43"/>
    <w:rsid w:val="00B57B85"/>
    <w:rsid w:val="00B57EBA"/>
    <w:rsid w:val="00B6096E"/>
    <w:rsid w:val="00B61097"/>
    <w:rsid w:val="00B61518"/>
    <w:rsid w:val="00B615C7"/>
    <w:rsid w:val="00B61936"/>
    <w:rsid w:val="00B61D72"/>
    <w:rsid w:val="00B61EB8"/>
    <w:rsid w:val="00B6205C"/>
    <w:rsid w:val="00B620FA"/>
    <w:rsid w:val="00B62359"/>
    <w:rsid w:val="00B62494"/>
    <w:rsid w:val="00B62E7C"/>
    <w:rsid w:val="00B6300C"/>
    <w:rsid w:val="00B636B2"/>
    <w:rsid w:val="00B63AF9"/>
    <w:rsid w:val="00B63B49"/>
    <w:rsid w:val="00B63EA3"/>
    <w:rsid w:val="00B63FC6"/>
    <w:rsid w:val="00B64188"/>
    <w:rsid w:val="00B6451A"/>
    <w:rsid w:val="00B6487E"/>
    <w:rsid w:val="00B649DA"/>
    <w:rsid w:val="00B64B0A"/>
    <w:rsid w:val="00B64C9D"/>
    <w:rsid w:val="00B64E43"/>
    <w:rsid w:val="00B65003"/>
    <w:rsid w:val="00B65005"/>
    <w:rsid w:val="00B655FA"/>
    <w:rsid w:val="00B65E69"/>
    <w:rsid w:val="00B6621B"/>
    <w:rsid w:val="00B6624F"/>
    <w:rsid w:val="00B662A3"/>
    <w:rsid w:val="00B664EF"/>
    <w:rsid w:val="00B668FB"/>
    <w:rsid w:val="00B66D0C"/>
    <w:rsid w:val="00B67456"/>
    <w:rsid w:val="00B67553"/>
    <w:rsid w:val="00B678B7"/>
    <w:rsid w:val="00B678FB"/>
    <w:rsid w:val="00B678FF"/>
    <w:rsid w:val="00B67C27"/>
    <w:rsid w:val="00B67C9D"/>
    <w:rsid w:val="00B7052A"/>
    <w:rsid w:val="00B706A6"/>
    <w:rsid w:val="00B70C31"/>
    <w:rsid w:val="00B71E50"/>
    <w:rsid w:val="00B71E91"/>
    <w:rsid w:val="00B71FA5"/>
    <w:rsid w:val="00B71FC5"/>
    <w:rsid w:val="00B7202B"/>
    <w:rsid w:val="00B721EF"/>
    <w:rsid w:val="00B7277B"/>
    <w:rsid w:val="00B72976"/>
    <w:rsid w:val="00B72A08"/>
    <w:rsid w:val="00B7309A"/>
    <w:rsid w:val="00B731E5"/>
    <w:rsid w:val="00B73C1E"/>
    <w:rsid w:val="00B73E26"/>
    <w:rsid w:val="00B73F48"/>
    <w:rsid w:val="00B73FC4"/>
    <w:rsid w:val="00B74048"/>
    <w:rsid w:val="00B74072"/>
    <w:rsid w:val="00B740FF"/>
    <w:rsid w:val="00B74357"/>
    <w:rsid w:val="00B7456C"/>
    <w:rsid w:val="00B74C0A"/>
    <w:rsid w:val="00B74F24"/>
    <w:rsid w:val="00B751A0"/>
    <w:rsid w:val="00B75507"/>
    <w:rsid w:val="00B75C42"/>
    <w:rsid w:val="00B75F20"/>
    <w:rsid w:val="00B761BC"/>
    <w:rsid w:val="00B766BF"/>
    <w:rsid w:val="00B766D3"/>
    <w:rsid w:val="00B76931"/>
    <w:rsid w:val="00B76A04"/>
    <w:rsid w:val="00B76F71"/>
    <w:rsid w:val="00B7701A"/>
    <w:rsid w:val="00B770DA"/>
    <w:rsid w:val="00B7712A"/>
    <w:rsid w:val="00B77BC5"/>
    <w:rsid w:val="00B77DA4"/>
    <w:rsid w:val="00B80183"/>
    <w:rsid w:val="00B804A3"/>
    <w:rsid w:val="00B808DE"/>
    <w:rsid w:val="00B80BB7"/>
    <w:rsid w:val="00B80C7E"/>
    <w:rsid w:val="00B80D1E"/>
    <w:rsid w:val="00B81180"/>
    <w:rsid w:val="00B81488"/>
    <w:rsid w:val="00B81699"/>
    <w:rsid w:val="00B8190B"/>
    <w:rsid w:val="00B81B11"/>
    <w:rsid w:val="00B81BE4"/>
    <w:rsid w:val="00B81C5F"/>
    <w:rsid w:val="00B8276F"/>
    <w:rsid w:val="00B82943"/>
    <w:rsid w:val="00B82B79"/>
    <w:rsid w:val="00B83032"/>
    <w:rsid w:val="00B83AF1"/>
    <w:rsid w:val="00B83BDC"/>
    <w:rsid w:val="00B83C82"/>
    <w:rsid w:val="00B83D1E"/>
    <w:rsid w:val="00B83FCB"/>
    <w:rsid w:val="00B840A1"/>
    <w:rsid w:val="00B8434F"/>
    <w:rsid w:val="00B84615"/>
    <w:rsid w:val="00B84A9A"/>
    <w:rsid w:val="00B84B64"/>
    <w:rsid w:val="00B84B6E"/>
    <w:rsid w:val="00B84C3D"/>
    <w:rsid w:val="00B84EA0"/>
    <w:rsid w:val="00B8511D"/>
    <w:rsid w:val="00B85670"/>
    <w:rsid w:val="00B85B20"/>
    <w:rsid w:val="00B85B92"/>
    <w:rsid w:val="00B860B1"/>
    <w:rsid w:val="00B860D8"/>
    <w:rsid w:val="00B866C7"/>
    <w:rsid w:val="00B8673C"/>
    <w:rsid w:val="00B867AA"/>
    <w:rsid w:val="00B867B1"/>
    <w:rsid w:val="00B86B03"/>
    <w:rsid w:val="00B8703C"/>
    <w:rsid w:val="00B870FC"/>
    <w:rsid w:val="00B871E5"/>
    <w:rsid w:val="00B87543"/>
    <w:rsid w:val="00B8796C"/>
    <w:rsid w:val="00B87ABB"/>
    <w:rsid w:val="00B87D18"/>
    <w:rsid w:val="00B87D47"/>
    <w:rsid w:val="00B901CE"/>
    <w:rsid w:val="00B90374"/>
    <w:rsid w:val="00B9037C"/>
    <w:rsid w:val="00B9062F"/>
    <w:rsid w:val="00B907D3"/>
    <w:rsid w:val="00B9083D"/>
    <w:rsid w:val="00B909CC"/>
    <w:rsid w:val="00B90B26"/>
    <w:rsid w:val="00B90C10"/>
    <w:rsid w:val="00B90D7C"/>
    <w:rsid w:val="00B91244"/>
    <w:rsid w:val="00B91450"/>
    <w:rsid w:val="00B9148E"/>
    <w:rsid w:val="00B91584"/>
    <w:rsid w:val="00B918F4"/>
    <w:rsid w:val="00B91E0C"/>
    <w:rsid w:val="00B927E4"/>
    <w:rsid w:val="00B92880"/>
    <w:rsid w:val="00B929E7"/>
    <w:rsid w:val="00B92BC8"/>
    <w:rsid w:val="00B9329B"/>
    <w:rsid w:val="00B932C3"/>
    <w:rsid w:val="00B93539"/>
    <w:rsid w:val="00B93612"/>
    <w:rsid w:val="00B94046"/>
    <w:rsid w:val="00B946E7"/>
    <w:rsid w:val="00B948CF"/>
    <w:rsid w:val="00B948F8"/>
    <w:rsid w:val="00B94909"/>
    <w:rsid w:val="00B94B78"/>
    <w:rsid w:val="00B94DF0"/>
    <w:rsid w:val="00B94EC4"/>
    <w:rsid w:val="00B95067"/>
    <w:rsid w:val="00B95307"/>
    <w:rsid w:val="00B9536C"/>
    <w:rsid w:val="00B95403"/>
    <w:rsid w:val="00B9560F"/>
    <w:rsid w:val="00B95A37"/>
    <w:rsid w:val="00B95ABE"/>
    <w:rsid w:val="00B95BBF"/>
    <w:rsid w:val="00B95E26"/>
    <w:rsid w:val="00B960F8"/>
    <w:rsid w:val="00B9635F"/>
    <w:rsid w:val="00B965FE"/>
    <w:rsid w:val="00B966D7"/>
    <w:rsid w:val="00B96857"/>
    <w:rsid w:val="00B96ABF"/>
    <w:rsid w:val="00B96F67"/>
    <w:rsid w:val="00B97569"/>
    <w:rsid w:val="00B978C6"/>
    <w:rsid w:val="00B97F8C"/>
    <w:rsid w:val="00BA0394"/>
    <w:rsid w:val="00BA0624"/>
    <w:rsid w:val="00BA0C52"/>
    <w:rsid w:val="00BA11E3"/>
    <w:rsid w:val="00BA127A"/>
    <w:rsid w:val="00BA1320"/>
    <w:rsid w:val="00BA137B"/>
    <w:rsid w:val="00BA171F"/>
    <w:rsid w:val="00BA1EAA"/>
    <w:rsid w:val="00BA204F"/>
    <w:rsid w:val="00BA2248"/>
    <w:rsid w:val="00BA22B7"/>
    <w:rsid w:val="00BA2317"/>
    <w:rsid w:val="00BA253B"/>
    <w:rsid w:val="00BA26F2"/>
    <w:rsid w:val="00BA2BB9"/>
    <w:rsid w:val="00BA2FC7"/>
    <w:rsid w:val="00BA3052"/>
    <w:rsid w:val="00BA3152"/>
    <w:rsid w:val="00BA364F"/>
    <w:rsid w:val="00BA36F2"/>
    <w:rsid w:val="00BA3D68"/>
    <w:rsid w:val="00BA3E37"/>
    <w:rsid w:val="00BA3F51"/>
    <w:rsid w:val="00BA3F95"/>
    <w:rsid w:val="00BA457A"/>
    <w:rsid w:val="00BA4A6A"/>
    <w:rsid w:val="00BA4AC5"/>
    <w:rsid w:val="00BA4C13"/>
    <w:rsid w:val="00BA4C63"/>
    <w:rsid w:val="00BA4DAD"/>
    <w:rsid w:val="00BA527E"/>
    <w:rsid w:val="00BA57B9"/>
    <w:rsid w:val="00BA594B"/>
    <w:rsid w:val="00BA652D"/>
    <w:rsid w:val="00BA68AC"/>
    <w:rsid w:val="00BA6D8B"/>
    <w:rsid w:val="00BA6FED"/>
    <w:rsid w:val="00BA7360"/>
    <w:rsid w:val="00BA753B"/>
    <w:rsid w:val="00BA76AD"/>
    <w:rsid w:val="00BA77D9"/>
    <w:rsid w:val="00BA78A1"/>
    <w:rsid w:val="00BA78EE"/>
    <w:rsid w:val="00BA79CC"/>
    <w:rsid w:val="00BA7A78"/>
    <w:rsid w:val="00BA7C8D"/>
    <w:rsid w:val="00BA7EF4"/>
    <w:rsid w:val="00BB0193"/>
    <w:rsid w:val="00BB021C"/>
    <w:rsid w:val="00BB061A"/>
    <w:rsid w:val="00BB11A4"/>
    <w:rsid w:val="00BB12EF"/>
    <w:rsid w:val="00BB19F8"/>
    <w:rsid w:val="00BB1C44"/>
    <w:rsid w:val="00BB1C78"/>
    <w:rsid w:val="00BB2212"/>
    <w:rsid w:val="00BB2453"/>
    <w:rsid w:val="00BB265B"/>
    <w:rsid w:val="00BB275B"/>
    <w:rsid w:val="00BB28AD"/>
    <w:rsid w:val="00BB2B62"/>
    <w:rsid w:val="00BB360A"/>
    <w:rsid w:val="00BB3922"/>
    <w:rsid w:val="00BB3DA0"/>
    <w:rsid w:val="00BB3DCB"/>
    <w:rsid w:val="00BB41AA"/>
    <w:rsid w:val="00BB47D2"/>
    <w:rsid w:val="00BB4D12"/>
    <w:rsid w:val="00BB4E52"/>
    <w:rsid w:val="00BB5018"/>
    <w:rsid w:val="00BB51CD"/>
    <w:rsid w:val="00BB53B3"/>
    <w:rsid w:val="00BB544F"/>
    <w:rsid w:val="00BB5958"/>
    <w:rsid w:val="00BB5B47"/>
    <w:rsid w:val="00BB5D9D"/>
    <w:rsid w:val="00BB5E11"/>
    <w:rsid w:val="00BB5FE6"/>
    <w:rsid w:val="00BB6202"/>
    <w:rsid w:val="00BB6E8B"/>
    <w:rsid w:val="00BB6F7D"/>
    <w:rsid w:val="00BB6F91"/>
    <w:rsid w:val="00BB6F97"/>
    <w:rsid w:val="00BB741D"/>
    <w:rsid w:val="00BB749F"/>
    <w:rsid w:val="00BB7EBD"/>
    <w:rsid w:val="00BC0182"/>
    <w:rsid w:val="00BC04A8"/>
    <w:rsid w:val="00BC07D7"/>
    <w:rsid w:val="00BC0836"/>
    <w:rsid w:val="00BC0CC3"/>
    <w:rsid w:val="00BC0D3F"/>
    <w:rsid w:val="00BC0EFA"/>
    <w:rsid w:val="00BC10DC"/>
    <w:rsid w:val="00BC1A73"/>
    <w:rsid w:val="00BC1E21"/>
    <w:rsid w:val="00BC1F29"/>
    <w:rsid w:val="00BC2230"/>
    <w:rsid w:val="00BC23D2"/>
    <w:rsid w:val="00BC25F7"/>
    <w:rsid w:val="00BC2DAC"/>
    <w:rsid w:val="00BC3243"/>
    <w:rsid w:val="00BC3320"/>
    <w:rsid w:val="00BC34FD"/>
    <w:rsid w:val="00BC353C"/>
    <w:rsid w:val="00BC41B7"/>
    <w:rsid w:val="00BC4358"/>
    <w:rsid w:val="00BC43B9"/>
    <w:rsid w:val="00BC4507"/>
    <w:rsid w:val="00BC4849"/>
    <w:rsid w:val="00BC4A3C"/>
    <w:rsid w:val="00BC4F2E"/>
    <w:rsid w:val="00BC508F"/>
    <w:rsid w:val="00BC561D"/>
    <w:rsid w:val="00BC5685"/>
    <w:rsid w:val="00BC5BB1"/>
    <w:rsid w:val="00BC6019"/>
    <w:rsid w:val="00BC609B"/>
    <w:rsid w:val="00BC65CF"/>
    <w:rsid w:val="00BC677D"/>
    <w:rsid w:val="00BC68E7"/>
    <w:rsid w:val="00BC6C23"/>
    <w:rsid w:val="00BC70F5"/>
    <w:rsid w:val="00BC712A"/>
    <w:rsid w:val="00BC7560"/>
    <w:rsid w:val="00BC7C32"/>
    <w:rsid w:val="00BC7FB2"/>
    <w:rsid w:val="00BD0029"/>
    <w:rsid w:val="00BD02D9"/>
    <w:rsid w:val="00BD0528"/>
    <w:rsid w:val="00BD0657"/>
    <w:rsid w:val="00BD081F"/>
    <w:rsid w:val="00BD0A71"/>
    <w:rsid w:val="00BD0B87"/>
    <w:rsid w:val="00BD0C1E"/>
    <w:rsid w:val="00BD0CFD"/>
    <w:rsid w:val="00BD142E"/>
    <w:rsid w:val="00BD1B90"/>
    <w:rsid w:val="00BD1BC1"/>
    <w:rsid w:val="00BD1D01"/>
    <w:rsid w:val="00BD1EDD"/>
    <w:rsid w:val="00BD21B4"/>
    <w:rsid w:val="00BD234D"/>
    <w:rsid w:val="00BD25FE"/>
    <w:rsid w:val="00BD26E9"/>
    <w:rsid w:val="00BD2876"/>
    <w:rsid w:val="00BD2A62"/>
    <w:rsid w:val="00BD2C42"/>
    <w:rsid w:val="00BD2E70"/>
    <w:rsid w:val="00BD2E71"/>
    <w:rsid w:val="00BD2F1D"/>
    <w:rsid w:val="00BD31A0"/>
    <w:rsid w:val="00BD355E"/>
    <w:rsid w:val="00BD3723"/>
    <w:rsid w:val="00BD3740"/>
    <w:rsid w:val="00BD3906"/>
    <w:rsid w:val="00BD3B6D"/>
    <w:rsid w:val="00BD3F61"/>
    <w:rsid w:val="00BD3F99"/>
    <w:rsid w:val="00BD40B6"/>
    <w:rsid w:val="00BD43CD"/>
    <w:rsid w:val="00BD465E"/>
    <w:rsid w:val="00BD47F6"/>
    <w:rsid w:val="00BD48B4"/>
    <w:rsid w:val="00BD48FF"/>
    <w:rsid w:val="00BD4978"/>
    <w:rsid w:val="00BD4A6B"/>
    <w:rsid w:val="00BD4B14"/>
    <w:rsid w:val="00BD4C51"/>
    <w:rsid w:val="00BD4E51"/>
    <w:rsid w:val="00BD532B"/>
    <w:rsid w:val="00BD540F"/>
    <w:rsid w:val="00BD5528"/>
    <w:rsid w:val="00BD5E31"/>
    <w:rsid w:val="00BD6074"/>
    <w:rsid w:val="00BD6336"/>
    <w:rsid w:val="00BD65EC"/>
    <w:rsid w:val="00BD6775"/>
    <w:rsid w:val="00BD6871"/>
    <w:rsid w:val="00BD6E80"/>
    <w:rsid w:val="00BD6FFE"/>
    <w:rsid w:val="00BD710B"/>
    <w:rsid w:val="00BD7560"/>
    <w:rsid w:val="00BD75FE"/>
    <w:rsid w:val="00BD7882"/>
    <w:rsid w:val="00BD7966"/>
    <w:rsid w:val="00BD7B24"/>
    <w:rsid w:val="00BD7BF4"/>
    <w:rsid w:val="00BD7E0E"/>
    <w:rsid w:val="00BD7E3E"/>
    <w:rsid w:val="00BE0110"/>
    <w:rsid w:val="00BE0952"/>
    <w:rsid w:val="00BE0D64"/>
    <w:rsid w:val="00BE122F"/>
    <w:rsid w:val="00BE12C5"/>
    <w:rsid w:val="00BE1413"/>
    <w:rsid w:val="00BE1812"/>
    <w:rsid w:val="00BE1E42"/>
    <w:rsid w:val="00BE1E4D"/>
    <w:rsid w:val="00BE2187"/>
    <w:rsid w:val="00BE21B3"/>
    <w:rsid w:val="00BE2763"/>
    <w:rsid w:val="00BE2A3E"/>
    <w:rsid w:val="00BE317A"/>
    <w:rsid w:val="00BE370F"/>
    <w:rsid w:val="00BE38F4"/>
    <w:rsid w:val="00BE3AF1"/>
    <w:rsid w:val="00BE3C76"/>
    <w:rsid w:val="00BE3EB1"/>
    <w:rsid w:val="00BE40A6"/>
    <w:rsid w:val="00BE4479"/>
    <w:rsid w:val="00BE4CA8"/>
    <w:rsid w:val="00BE51EF"/>
    <w:rsid w:val="00BE527A"/>
    <w:rsid w:val="00BE53C2"/>
    <w:rsid w:val="00BE5604"/>
    <w:rsid w:val="00BE5708"/>
    <w:rsid w:val="00BE5C23"/>
    <w:rsid w:val="00BE602D"/>
    <w:rsid w:val="00BE65FE"/>
    <w:rsid w:val="00BE6910"/>
    <w:rsid w:val="00BE6A0E"/>
    <w:rsid w:val="00BE735E"/>
    <w:rsid w:val="00BE7682"/>
    <w:rsid w:val="00BE78FD"/>
    <w:rsid w:val="00BE79CE"/>
    <w:rsid w:val="00BE7ABB"/>
    <w:rsid w:val="00BE7F49"/>
    <w:rsid w:val="00BF061D"/>
    <w:rsid w:val="00BF077A"/>
    <w:rsid w:val="00BF09F9"/>
    <w:rsid w:val="00BF0AF9"/>
    <w:rsid w:val="00BF0CBE"/>
    <w:rsid w:val="00BF111A"/>
    <w:rsid w:val="00BF1471"/>
    <w:rsid w:val="00BF1760"/>
    <w:rsid w:val="00BF185C"/>
    <w:rsid w:val="00BF193D"/>
    <w:rsid w:val="00BF19C4"/>
    <w:rsid w:val="00BF1E91"/>
    <w:rsid w:val="00BF2062"/>
    <w:rsid w:val="00BF2195"/>
    <w:rsid w:val="00BF2454"/>
    <w:rsid w:val="00BF2708"/>
    <w:rsid w:val="00BF27EA"/>
    <w:rsid w:val="00BF2938"/>
    <w:rsid w:val="00BF2C7F"/>
    <w:rsid w:val="00BF2C9C"/>
    <w:rsid w:val="00BF2FDF"/>
    <w:rsid w:val="00BF36AA"/>
    <w:rsid w:val="00BF3BD4"/>
    <w:rsid w:val="00BF3C26"/>
    <w:rsid w:val="00BF402B"/>
    <w:rsid w:val="00BF43AB"/>
    <w:rsid w:val="00BF46F9"/>
    <w:rsid w:val="00BF4729"/>
    <w:rsid w:val="00BF49EA"/>
    <w:rsid w:val="00BF4A9F"/>
    <w:rsid w:val="00BF4B3A"/>
    <w:rsid w:val="00BF4B54"/>
    <w:rsid w:val="00BF4B5A"/>
    <w:rsid w:val="00BF4BB6"/>
    <w:rsid w:val="00BF4C11"/>
    <w:rsid w:val="00BF50EF"/>
    <w:rsid w:val="00BF52DF"/>
    <w:rsid w:val="00BF5C19"/>
    <w:rsid w:val="00BF5C9E"/>
    <w:rsid w:val="00BF6181"/>
    <w:rsid w:val="00BF61A5"/>
    <w:rsid w:val="00BF6805"/>
    <w:rsid w:val="00BF6935"/>
    <w:rsid w:val="00BF694A"/>
    <w:rsid w:val="00BF6967"/>
    <w:rsid w:val="00BF7090"/>
    <w:rsid w:val="00BF78B1"/>
    <w:rsid w:val="00BF7B31"/>
    <w:rsid w:val="00BF7BDC"/>
    <w:rsid w:val="00C0042B"/>
    <w:rsid w:val="00C0042F"/>
    <w:rsid w:val="00C00B5C"/>
    <w:rsid w:val="00C00C16"/>
    <w:rsid w:val="00C0108F"/>
    <w:rsid w:val="00C01320"/>
    <w:rsid w:val="00C0188C"/>
    <w:rsid w:val="00C01B19"/>
    <w:rsid w:val="00C02094"/>
    <w:rsid w:val="00C023D5"/>
    <w:rsid w:val="00C02491"/>
    <w:rsid w:val="00C02591"/>
    <w:rsid w:val="00C02684"/>
    <w:rsid w:val="00C029BB"/>
    <w:rsid w:val="00C02E23"/>
    <w:rsid w:val="00C02FA3"/>
    <w:rsid w:val="00C030F6"/>
    <w:rsid w:val="00C03129"/>
    <w:rsid w:val="00C03184"/>
    <w:rsid w:val="00C0320E"/>
    <w:rsid w:val="00C034E8"/>
    <w:rsid w:val="00C03944"/>
    <w:rsid w:val="00C03D5D"/>
    <w:rsid w:val="00C0423D"/>
    <w:rsid w:val="00C04421"/>
    <w:rsid w:val="00C0449E"/>
    <w:rsid w:val="00C046D3"/>
    <w:rsid w:val="00C048E5"/>
    <w:rsid w:val="00C049E0"/>
    <w:rsid w:val="00C04E84"/>
    <w:rsid w:val="00C04EBB"/>
    <w:rsid w:val="00C04FB2"/>
    <w:rsid w:val="00C051EA"/>
    <w:rsid w:val="00C05203"/>
    <w:rsid w:val="00C05553"/>
    <w:rsid w:val="00C0568E"/>
    <w:rsid w:val="00C05847"/>
    <w:rsid w:val="00C05ADA"/>
    <w:rsid w:val="00C06166"/>
    <w:rsid w:val="00C06A10"/>
    <w:rsid w:val="00C07197"/>
    <w:rsid w:val="00C0722D"/>
    <w:rsid w:val="00C072B0"/>
    <w:rsid w:val="00C0759C"/>
    <w:rsid w:val="00C077F2"/>
    <w:rsid w:val="00C079FB"/>
    <w:rsid w:val="00C07C78"/>
    <w:rsid w:val="00C07D5F"/>
    <w:rsid w:val="00C10210"/>
    <w:rsid w:val="00C105FA"/>
    <w:rsid w:val="00C10998"/>
    <w:rsid w:val="00C109F0"/>
    <w:rsid w:val="00C1118A"/>
    <w:rsid w:val="00C11603"/>
    <w:rsid w:val="00C11B1C"/>
    <w:rsid w:val="00C11BAC"/>
    <w:rsid w:val="00C12113"/>
    <w:rsid w:val="00C1237A"/>
    <w:rsid w:val="00C12409"/>
    <w:rsid w:val="00C12681"/>
    <w:rsid w:val="00C12765"/>
    <w:rsid w:val="00C1286B"/>
    <w:rsid w:val="00C12A16"/>
    <w:rsid w:val="00C12A3A"/>
    <w:rsid w:val="00C12A77"/>
    <w:rsid w:val="00C12E4A"/>
    <w:rsid w:val="00C130C5"/>
    <w:rsid w:val="00C1350D"/>
    <w:rsid w:val="00C13609"/>
    <w:rsid w:val="00C13B49"/>
    <w:rsid w:val="00C13C33"/>
    <w:rsid w:val="00C14B07"/>
    <w:rsid w:val="00C14B1E"/>
    <w:rsid w:val="00C14C2E"/>
    <w:rsid w:val="00C15064"/>
    <w:rsid w:val="00C15384"/>
    <w:rsid w:val="00C1560D"/>
    <w:rsid w:val="00C15639"/>
    <w:rsid w:val="00C15755"/>
    <w:rsid w:val="00C158E6"/>
    <w:rsid w:val="00C15BBC"/>
    <w:rsid w:val="00C15D29"/>
    <w:rsid w:val="00C15E08"/>
    <w:rsid w:val="00C15F97"/>
    <w:rsid w:val="00C15FFF"/>
    <w:rsid w:val="00C16135"/>
    <w:rsid w:val="00C168A6"/>
    <w:rsid w:val="00C173C7"/>
    <w:rsid w:val="00C1749D"/>
    <w:rsid w:val="00C17851"/>
    <w:rsid w:val="00C17B29"/>
    <w:rsid w:val="00C17EAB"/>
    <w:rsid w:val="00C2000D"/>
    <w:rsid w:val="00C20094"/>
    <w:rsid w:val="00C20188"/>
    <w:rsid w:val="00C20810"/>
    <w:rsid w:val="00C20AFC"/>
    <w:rsid w:val="00C20C79"/>
    <w:rsid w:val="00C20DA7"/>
    <w:rsid w:val="00C210DF"/>
    <w:rsid w:val="00C211BA"/>
    <w:rsid w:val="00C213A5"/>
    <w:rsid w:val="00C21441"/>
    <w:rsid w:val="00C214FB"/>
    <w:rsid w:val="00C21567"/>
    <w:rsid w:val="00C21A3A"/>
    <w:rsid w:val="00C21C2D"/>
    <w:rsid w:val="00C21E21"/>
    <w:rsid w:val="00C21F3B"/>
    <w:rsid w:val="00C222AE"/>
    <w:rsid w:val="00C22B1B"/>
    <w:rsid w:val="00C22F84"/>
    <w:rsid w:val="00C2302F"/>
    <w:rsid w:val="00C23688"/>
    <w:rsid w:val="00C23885"/>
    <w:rsid w:val="00C239AF"/>
    <w:rsid w:val="00C24010"/>
    <w:rsid w:val="00C2403F"/>
    <w:rsid w:val="00C24390"/>
    <w:rsid w:val="00C24F20"/>
    <w:rsid w:val="00C24FBE"/>
    <w:rsid w:val="00C2510B"/>
    <w:rsid w:val="00C25417"/>
    <w:rsid w:val="00C2549A"/>
    <w:rsid w:val="00C25864"/>
    <w:rsid w:val="00C25873"/>
    <w:rsid w:val="00C25A55"/>
    <w:rsid w:val="00C25ADD"/>
    <w:rsid w:val="00C25BBB"/>
    <w:rsid w:val="00C25E55"/>
    <w:rsid w:val="00C25F1A"/>
    <w:rsid w:val="00C26105"/>
    <w:rsid w:val="00C263F6"/>
    <w:rsid w:val="00C264F0"/>
    <w:rsid w:val="00C2650D"/>
    <w:rsid w:val="00C2677B"/>
    <w:rsid w:val="00C267FC"/>
    <w:rsid w:val="00C2699E"/>
    <w:rsid w:val="00C26DC4"/>
    <w:rsid w:val="00C26F5D"/>
    <w:rsid w:val="00C26FE3"/>
    <w:rsid w:val="00C276CC"/>
    <w:rsid w:val="00C2795E"/>
    <w:rsid w:val="00C27D24"/>
    <w:rsid w:val="00C27DEB"/>
    <w:rsid w:val="00C3014B"/>
    <w:rsid w:val="00C302F9"/>
    <w:rsid w:val="00C3067E"/>
    <w:rsid w:val="00C3071D"/>
    <w:rsid w:val="00C30901"/>
    <w:rsid w:val="00C30CB1"/>
    <w:rsid w:val="00C30D73"/>
    <w:rsid w:val="00C30ECE"/>
    <w:rsid w:val="00C30F09"/>
    <w:rsid w:val="00C30F79"/>
    <w:rsid w:val="00C31140"/>
    <w:rsid w:val="00C313CF"/>
    <w:rsid w:val="00C314E5"/>
    <w:rsid w:val="00C31741"/>
    <w:rsid w:val="00C319AD"/>
    <w:rsid w:val="00C31E55"/>
    <w:rsid w:val="00C31F32"/>
    <w:rsid w:val="00C31F44"/>
    <w:rsid w:val="00C3205C"/>
    <w:rsid w:val="00C32294"/>
    <w:rsid w:val="00C326FF"/>
    <w:rsid w:val="00C32862"/>
    <w:rsid w:val="00C32BEB"/>
    <w:rsid w:val="00C32C86"/>
    <w:rsid w:val="00C32CF3"/>
    <w:rsid w:val="00C33135"/>
    <w:rsid w:val="00C33253"/>
    <w:rsid w:val="00C3397D"/>
    <w:rsid w:val="00C33F3E"/>
    <w:rsid w:val="00C33F9B"/>
    <w:rsid w:val="00C34132"/>
    <w:rsid w:val="00C34449"/>
    <w:rsid w:val="00C344DF"/>
    <w:rsid w:val="00C34B1A"/>
    <w:rsid w:val="00C34B4B"/>
    <w:rsid w:val="00C351C2"/>
    <w:rsid w:val="00C3526C"/>
    <w:rsid w:val="00C353F8"/>
    <w:rsid w:val="00C35451"/>
    <w:rsid w:val="00C35504"/>
    <w:rsid w:val="00C357A5"/>
    <w:rsid w:val="00C35897"/>
    <w:rsid w:val="00C35D75"/>
    <w:rsid w:val="00C35E85"/>
    <w:rsid w:val="00C361D7"/>
    <w:rsid w:val="00C36400"/>
    <w:rsid w:val="00C36679"/>
    <w:rsid w:val="00C36D4D"/>
    <w:rsid w:val="00C37542"/>
    <w:rsid w:val="00C40011"/>
    <w:rsid w:val="00C40437"/>
    <w:rsid w:val="00C4062B"/>
    <w:rsid w:val="00C40B88"/>
    <w:rsid w:val="00C41096"/>
    <w:rsid w:val="00C410B1"/>
    <w:rsid w:val="00C41414"/>
    <w:rsid w:val="00C414D8"/>
    <w:rsid w:val="00C41785"/>
    <w:rsid w:val="00C41AFD"/>
    <w:rsid w:val="00C41E51"/>
    <w:rsid w:val="00C42086"/>
    <w:rsid w:val="00C42173"/>
    <w:rsid w:val="00C421D3"/>
    <w:rsid w:val="00C4239D"/>
    <w:rsid w:val="00C425D8"/>
    <w:rsid w:val="00C426CA"/>
    <w:rsid w:val="00C42E35"/>
    <w:rsid w:val="00C42F82"/>
    <w:rsid w:val="00C4309E"/>
    <w:rsid w:val="00C437B9"/>
    <w:rsid w:val="00C43AC2"/>
    <w:rsid w:val="00C44283"/>
    <w:rsid w:val="00C442FE"/>
    <w:rsid w:val="00C44BE0"/>
    <w:rsid w:val="00C44C06"/>
    <w:rsid w:val="00C44C09"/>
    <w:rsid w:val="00C44EA2"/>
    <w:rsid w:val="00C44F2B"/>
    <w:rsid w:val="00C44F7A"/>
    <w:rsid w:val="00C45325"/>
    <w:rsid w:val="00C45447"/>
    <w:rsid w:val="00C4554D"/>
    <w:rsid w:val="00C45648"/>
    <w:rsid w:val="00C457EC"/>
    <w:rsid w:val="00C45A3E"/>
    <w:rsid w:val="00C45FC7"/>
    <w:rsid w:val="00C466E2"/>
    <w:rsid w:val="00C46B86"/>
    <w:rsid w:val="00C46D7A"/>
    <w:rsid w:val="00C472AF"/>
    <w:rsid w:val="00C472C8"/>
    <w:rsid w:val="00C47626"/>
    <w:rsid w:val="00C4796C"/>
    <w:rsid w:val="00C47AB4"/>
    <w:rsid w:val="00C47B97"/>
    <w:rsid w:val="00C47ED8"/>
    <w:rsid w:val="00C50165"/>
    <w:rsid w:val="00C503CA"/>
    <w:rsid w:val="00C504DC"/>
    <w:rsid w:val="00C508A5"/>
    <w:rsid w:val="00C51121"/>
    <w:rsid w:val="00C513B9"/>
    <w:rsid w:val="00C51400"/>
    <w:rsid w:val="00C51522"/>
    <w:rsid w:val="00C51F8C"/>
    <w:rsid w:val="00C520AA"/>
    <w:rsid w:val="00C522D2"/>
    <w:rsid w:val="00C5244B"/>
    <w:rsid w:val="00C5265B"/>
    <w:rsid w:val="00C52785"/>
    <w:rsid w:val="00C5292A"/>
    <w:rsid w:val="00C53394"/>
    <w:rsid w:val="00C537B7"/>
    <w:rsid w:val="00C53AA3"/>
    <w:rsid w:val="00C53F7F"/>
    <w:rsid w:val="00C541B3"/>
    <w:rsid w:val="00C542D5"/>
    <w:rsid w:val="00C54436"/>
    <w:rsid w:val="00C546E9"/>
    <w:rsid w:val="00C55A61"/>
    <w:rsid w:val="00C55DB5"/>
    <w:rsid w:val="00C55F0F"/>
    <w:rsid w:val="00C56311"/>
    <w:rsid w:val="00C56382"/>
    <w:rsid w:val="00C56603"/>
    <w:rsid w:val="00C56627"/>
    <w:rsid w:val="00C5689B"/>
    <w:rsid w:val="00C57112"/>
    <w:rsid w:val="00C5787D"/>
    <w:rsid w:val="00C57BFB"/>
    <w:rsid w:val="00C57FF2"/>
    <w:rsid w:val="00C60021"/>
    <w:rsid w:val="00C60300"/>
    <w:rsid w:val="00C604C8"/>
    <w:rsid w:val="00C605D0"/>
    <w:rsid w:val="00C608EE"/>
    <w:rsid w:val="00C60AE8"/>
    <w:rsid w:val="00C60C45"/>
    <w:rsid w:val="00C60E03"/>
    <w:rsid w:val="00C60E15"/>
    <w:rsid w:val="00C60FE9"/>
    <w:rsid w:val="00C61137"/>
    <w:rsid w:val="00C6119F"/>
    <w:rsid w:val="00C612F9"/>
    <w:rsid w:val="00C6160B"/>
    <w:rsid w:val="00C617F4"/>
    <w:rsid w:val="00C61CA9"/>
    <w:rsid w:val="00C61EFC"/>
    <w:rsid w:val="00C623A6"/>
    <w:rsid w:val="00C623FE"/>
    <w:rsid w:val="00C62797"/>
    <w:rsid w:val="00C6296E"/>
    <w:rsid w:val="00C62CC0"/>
    <w:rsid w:val="00C631FC"/>
    <w:rsid w:val="00C633ED"/>
    <w:rsid w:val="00C636B0"/>
    <w:rsid w:val="00C63DA4"/>
    <w:rsid w:val="00C63F95"/>
    <w:rsid w:val="00C640C9"/>
    <w:rsid w:val="00C64369"/>
    <w:rsid w:val="00C64482"/>
    <w:rsid w:val="00C64592"/>
    <w:rsid w:val="00C6471C"/>
    <w:rsid w:val="00C649AB"/>
    <w:rsid w:val="00C64A0C"/>
    <w:rsid w:val="00C64FBA"/>
    <w:rsid w:val="00C650BF"/>
    <w:rsid w:val="00C6519F"/>
    <w:rsid w:val="00C65467"/>
    <w:rsid w:val="00C658D8"/>
    <w:rsid w:val="00C65FFD"/>
    <w:rsid w:val="00C661DA"/>
    <w:rsid w:val="00C661DF"/>
    <w:rsid w:val="00C66228"/>
    <w:rsid w:val="00C66660"/>
    <w:rsid w:val="00C668F4"/>
    <w:rsid w:val="00C66E93"/>
    <w:rsid w:val="00C66F45"/>
    <w:rsid w:val="00C6701F"/>
    <w:rsid w:val="00C6723E"/>
    <w:rsid w:val="00C67534"/>
    <w:rsid w:val="00C67948"/>
    <w:rsid w:val="00C67A7F"/>
    <w:rsid w:val="00C705CF"/>
    <w:rsid w:val="00C7068B"/>
    <w:rsid w:val="00C70CD9"/>
    <w:rsid w:val="00C70DCF"/>
    <w:rsid w:val="00C71078"/>
    <w:rsid w:val="00C71082"/>
    <w:rsid w:val="00C71361"/>
    <w:rsid w:val="00C71411"/>
    <w:rsid w:val="00C7159E"/>
    <w:rsid w:val="00C71734"/>
    <w:rsid w:val="00C718E6"/>
    <w:rsid w:val="00C71ED7"/>
    <w:rsid w:val="00C728CA"/>
    <w:rsid w:val="00C72AD3"/>
    <w:rsid w:val="00C73146"/>
    <w:rsid w:val="00C7334B"/>
    <w:rsid w:val="00C7352D"/>
    <w:rsid w:val="00C73AB6"/>
    <w:rsid w:val="00C73FEF"/>
    <w:rsid w:val="00C74186"/>
    <w:rsid w:val="00C743B5"/>
    <w:rsid w:val="00C748DE"/>
    <w:rsid w:val="00C74DCD"/>
    <w:rsid w:val="00C74F1D"/>
    <w:rsid w:val="00C7507B"/>
    <w:rsid w:val="00C75249"/>
    <w:rsid w:val="00C7542C"/>
    <w:rsid w:val="00C754A5"/>
    <w:rsid w:val="00C75A28"/>
    <w:rsid w:val="00C760F9"/>
    <w:rsid w:val="00C76CAA"/>
    <w:rsid w:val="00C76D2E"/>
    <w:rsid w:val="00C76D4A"/>
    <w:rsid w:val="00C76EEC"/>
    <w:rsid w:val="00C771CA"/>
    <w:rsid w:val="00C7732D"/>
    <w:rsid w:val="00C778E0"/>
    <w:rsid w:val="00C80099"/>
    <w:rsid w:val="00C80245"/>
    <w:rsid w:val="00C803BE"/>
    <w:rsid w:val="00C80839"/>
    <w:rsid w:val="00C80C60"/>
    <w:rsid w:val="00C80CBE"/>
    <w:rsid w:val="00C80E6D"/>
    <w:rsid w:val="00C8110D"/>
    <w:rsid w:val="00C812BB"/>
    <w:rsid w:val="00C812C3"/>
    <w:rsid w:val="00C81380"/>
    <w:rsid w:val="00C817D6"/>
    <w:rsid w:val="00C8185B"/>
    <w:rsid w:val="00C81DA8"/>
    <w:rsid w:val="00C8252A"/>
    <w:rsid w:val="00C8283E"/>
    <w:rsid w:val="00C82921"/>
    <w:rsid w:val="00C82A5C"/>
    <w:rsid w:val="00C82E20"/>
    <w:rsid w:val="00C82EBC"/>
    <w:rsid w:val="00C83455"/>
    <w:rsid w:val="00C83721"/>
    <w:rsid w:val="00C840B6"/>
    <w:rsid w:val="00C84547"/>
    <w:rsid w:val="00C845BE"/>
    <w:rsid w:val="00C845D0"/>
    <w:rsid w:val="00C84989"/>
    <w:rsid w:val="00C84B5A"/>
    <w:rsid w:val="00C84FC1"/>
    <w:rsid w:val="00C854D8"/>
    <w:rsid w:val="00C858D9"/>
    <w:rsid w:val="00C85B99"/>
    <w:rsid w:val="00C85CD0"/>
    <w:rsid w:val="00C85EED"/>
    <w:rsid w:val="00C860CF"/>
    <w:rsid w:val="00C86770"/>
    <w:rsid w:val="00C867A8"/>
    <w:rsid w:val="00C86CD3"/>
    <w:rsid w:val="00C86E0A"/>
    <w:rsid w:val="00C87004"/>
    <w:rsid w:val="00C87AE5"/>
    <w:rsid w:val="00C90067"/>
    <w:rsid w:val="00C90322"/>
    <w:rsid w:val="00C90382"/>
    <w:rsid w:val="00C908E1"/>
    <w:rsid w:val="00C90999"/>
    <w:rsid w:val="00C909A6"/>
    <w:rsid w:val="00C909D3"/>
    <w:rsid w:val="00C90A19"/>
    <w:rsid w:val="00C90B36"/>
    <w:rsid w:val="00C90DE6"/>
    <w:rsid w:val="00C90E93"/>
    <w:rsid w:val="00C90FD8"/>
    <w:rsid w:val="00C9100E"/>
    <w:rsid w:val="00C910CD"/>
    <w:rsid w:val="00C914E1"/>
    <w:rsid w:val="00C91686"/>
    <w:rsid w:val="00C91CAE"/>
    <w:rsid w:val="00C91E04"/>
    <w:rsid w:val="00C927C8"/>
    <w:rsid w:val="00C9288F"/>
    <w:rsid w:val="00C92993"/>
    <w:rsid w:val="00C929DB"/>
    <w:rsid w:val="00C92A35"/>
    <w:rsid w:val="00C92AAA"/>
    <w:rsid w:val="00C92E33"/>
    <w:rsid w:val="00C93085"/>
    <w:rsid w:val="00C9323E"/>
    <w:rsid w:val="00C93391"/>
    <w:rsid w:val="00C9352A"/>
    <w:rsid w:val="00C93586"/>
    <w:rsid w:val="00C93687"/>
    <w:rsid w:val="00C938C0"/>
    <w:rsid w:val="00C941E0"/>
    <w:rsid w:val="00C94323"/>
    <w:rsid w:val="00C94553"/>
    <w:rsid w:val="00C9457F"/>
    <w:rsid w:val="00C949BC"/>
    <w:rsid w:val="00C94D30"/>
    <w:rsid w:val="00C94F6B"/>
    <w:rsid w:val="00C9505B"/>
    <w:rsid w:val="00C950B2"/>
    <w:rsid w:val="00C95393"/>
    <w:rsid w:val="00C9592B"/>
    <w:rsid w:val="00C959B8"/>
    <w:rsid w:val="00C959E6"/>
    <w:rsid w:val="00C95A34"/>
    <w:rsid w:val="00C95F5D"/>
    <w:rsid w:val="00C9624B"/>
    <w:rsid w:val="00C9628C"/>
    <w:rsid w:val="00C968F2"/>
    <w:rsid w:val="00C96D71"/>
    <w:rsid w:val="00C972B2"/>
    <w:rsid w:val="00C9789F"/>
    <w:rsid w:val="00C97CC9"/>
    <w:rsid w:val="00C97F0A"/>
    <w:rsid w:val="00CA028E"/>
    <w:rsid w:val="00CA02C9"/>
    <w:rsid w:val="00CA08FF"/>
    <w:rsid w:val="00CA092C"/>
    <w:rsid w:val="00CA09C4"/>
    <w:rsid w:val="00CA0A71"/>
    <w:rsid w:val="00CA0FB7"/>
    <w:rsid w:val="00CA110E"/>
    <w:rsid w:val="00CA1143"/>
    <w:rsid w:val="00CA166B"/>
    <w:rsid w:val="00CA1832"/>
    <w:rsid w:val="00CA18EB"/>
    <w:rsid w:val="00CA1EB7"/>
    <w:rsid w:val="00CA219D"/>
    <w:rsid w:val="00CA240E"/>
    <w:rsid w:val="00CA269B"/>
    <w:rsid w:val="00CA279F"/>
    <w:rsid w:val="00CA28DF"/>
    <w:rsid w:val="00CA29E6"/>
    <w:rsid w:val="00CA2BD2"/>
    <w:rsid w:val="00CA2BE3"/>
    <w:rsid w:val="00CA2CD0"/>
    <w:rsid w:val="00CA33F6"/>
    <w:rsid w:val="00CA3D37"/>
    <w:rsid w:val="00CA3FAB"/>
    <w:rsid w:val="00CA3FF4"/>
    <w:rsid w:val="00CA40FB"/>
    <w:rsid w:val="00CA42AD"/>
    <w:rsid w:val="00CA435E"/>
    <w:rsid w:val="00CA465F"/>
    <w:rsid w:val="00CA49AD"/>
    <w:rsid w:val="00CA51C0"/>
    <w:rsid w:val="00CA537C"/>
    <w:rsid w:val="00CA58D6"/>
    <w:rsid w:val="00CA590E"/>
    <w:rsid w:val="00CA5A16"/>
    <w:rsid w:val="00CA5BCF"/>
    <w:rsid w:val="00CA5CC5"/>
    <w:rsid w:val="00CA61D7"/>
    <w:rsid w:val="00CA62B9"/>
    <w:rsid w:val="00CA6B52"/>
    <w:rsid w:val="00CA6D75"/>
    <w:rsid w:val="00CA6E3F"/>
    <w:rsid w:val="00CA70BF"/>
    <w:rsid w:val="00CA70D5"/>
    <w:rsid w:val="00CA7178"/>
    <w:rsid w:val="00CA7B52"/>
    <w:rsid w:val="00CA7BB5"/>
    <w:rsid w:val="00CB00EA"/>
    <w:rsid w:val="00CB02CA"/>
    <w:rsid w:val="00CB0434"/>
    <w:rsid w:val="00CB0477"/>
    <w:rsid w:val="00CB048A"/>
    <w:rsid w:val="00CB0730"/>
    <w:rsid w:val="00CB0877"/>
    <w:rsid w:val="00CB0B4C"/>
    <w:rsid w:val="00CB0B67"/>
    <w:rsid w:val="00CB0C0C"/>
    <w:rsid w:val="00CB0CF4"/>
    <w:rsid w:val="00CB11D2"/>
    <w:rsid w:val="00CB120A"/>
    <w:rsid w:val="00CB151C"/>
    <w:rsid w:val="00CB159C"/>
    <w:rsid w:val="00CB1644"/>
    <w:rsid w:val="00CB1A76"/>
    <w:rsid w:val="00CB1AFD"/>
    <w:rsid w:val="00CB1B3A"/>
    <w:rsid w:val="00CB1D0A"/>
    <w:rsid w:val="00CB1F79"/>
    <w:rsid w:val="00CB262C"/>
    <w:rsid w:val="00CB28BB"/>
    <w:rsid w:val="00CB2A1D"/>
    <w:rsid w:val="00CB2A67"/>
    <w:rsid w:val="00CB2F27"/>
    <w:rsid w:val="00CB2F69"/>
    <w:rsid w:val="00CB36E8"/>
    <w:rsid w:val="00CB38AD"/>
    <w:rsid w:val="00CB3A67"/>
    <w:rsid w:val="00CB3C0B"/>
    <w:rsid w:val="00CB3CBB"/>
    <w:rsid w:val="00CB3FE7"/>
    <w:rsid w:val="00CB4374"/>
    <w:rsid w:val="00CB43BF"/>
    <w:rsid w:val="00CB43C8"/>
    <w:rsid w:val="00CB45EF"/>
    <w:rsid w:val="00CB4A69"/>
    <w:rsid w:val="00CB5221"/>
    <w:rsid w:val="00CB532B"/>
    <w:rsid w:val="00CB5580"/>
    <w:rsid w:val="00CB56C7"/>
    <w:rsid w:val="00CB5DD7"/>
    <w:rsid w:val="00CB6038"/>
    <w:rsid w:val="00CB63B9"/>
    <w:rsid w:val="00CB657D"/>
    <w:rsid w:val="00CB66C3"/>
    <w:rsid w:val="00CB6907"/>
    <w:rsid w:val="00CB6BB6"/>
    <w:rsid w:val="00CB6C2C"/>
    <w:rsid w:val="00CB6E5D"/>
    <w:rsid w:val="00CB6FE4"/>
    <w:rsid w:val="00CB76D6"/>
    <w:rsid w:val="00CB7820"/>
    <w:rsid w:val="00CB7B64"/>
    <w:rsid w:val="00CC02FC"/>
    <w:rsid w:val="00CC0655"/>
    <w:rsid w:val="00CC07E0"/>
    <w:rsid w:val="00CC085E"/>
    <w:rsid w:val="00CC0A1F"/>
    <w:rsid w:val="00CC0C96"/>
    <w:rsid w:val="00CC0D3F"/>
    <w:rsid w:val="00CC0D93"/>
    <w:rsid w:val="00CC0EE5"/>
    <w:rsid w:val="00CC10EE"/>
    <w:rsid w:val="00CC199F"/>
    <w:rsid w:val="00CC1C62"/>
    <w:rsid w:val="00CC2066"/>
    <w:rsid w:val="00CC2593"/>
    <w:rsid w:val="00CC283B"/>
    <w:rsid w:val="00CC2E3B"/>
    <w:rsid w:val="00CC3312"/>
    <w:rsid w:val="00CC3458"/>
    <w:rsid w:val="00CC34DC"/>
    <w:rsid w:val="00CC351C"/>
    <w:rsid w:val="00CC3658"/>
    <w:rsid w:val="00CC39BF"/>
    <w:rsid w:val="00CC3A0E"/>
    <w:rsid w:val="00CC3FD6"/>
    <w:rsid w:val="00CC4228"/>
    <w:rsid w:val="00CC4475"/>
    <w:rsid w:val="00CC4489"/>
    <w:rsid w:val="00CC4899"/>
    <w:rsid w:val="00CC4A96"/>
    <w:rsid w:val="00CC4AF5"/>
    <w:rsid w:val="00CC4D46"/>
    <w:rsid w:val="00CC4EDB"/>
    <w:rsid w:val="00CC536A"/>
    <w:rsid w:val="00CC550D"/>
    <w:rsid w:val="00CC554B"/>
    <w:rsid w:val="00CC571C"/>
    <w:rsid w:val="00CC5766"/>
    <w:rsid w:val="00CC589D"/>
    <w:rsid w:val="00CC5B3C"/>
    <w:rsid w:val="00CC5BCB"/>
    <w:rsid w:val="00CC6378"/>
    <w:rsid w:val="00CC6536"/>
    <w:rsid w:val="00CC6583"/>
    <w:rsid w:val="00CC66CE"/>
    <w:rsid w:val="00CC6751"/>
    <w:rsid w:val="00CC6CA5"/>
    <w:rsid w:val="00CC6DFA"/>
    <w:rsid w:val="00CC7294"/>
    <w:rsid w:val="00CC7518"/>
    <w:rsid w:val="00CC7604"/>
    <w:rsid w:val="00CC7611"/>
    <w:rsid w:val="00CC7D6A"/>
    <w:rsid w:val="00CC7DF7"/>
    <w:rsid w:val="00CD07ED"/>
    <w:rsid w:val="00CD0D03"/>
    <w:rsid w:val="00CD0D08"/>
    <w:rsid w:val="00CD0EF6"/>
    <w:rsid w:val="00CD1507"/>
    <w:rsid w:val="00CD159B"/>
    <w:rsid w:val="00CD1890"/>
    <w:rsid w:val="00CD1DB0"/>
    <w:rsid w:val="00CD1EDE"/>
    <w:rsid w:val="00CD20B0"/>
    <w:rsid w:val="00CD2180"/>
    <w:rsid w:val="00CD2607"/>
    <w:rsid w:val="00CD2705"/>
    <w:rsid w:val="00CD2760"/>
    <w:rsid w:val="00CD2CDD"/>
    <w:rsid w:val="00CD35FC"/>
    <w:rsid w:val="00CD36A4"/>
    <w:rsid w:val="00CD39C3"/>
    <w:rsid w:val="00CD3BEC"/>
    <w:rsid w:val="00CD430A"/>
    <w:rsid w:val="00CD4345"/>
    <w:rsid w:val="00CD4354"/>
    <w:rsid w:val="00CD43A5"/>
    <w:rsid w:val="00CD4822"/>
    <w:rsid w:val="00CD4AFA"/>
    <w:rsid w:val="00CD4B09"/>
    <w:rsid w:val="00CD4B64"/>
    <w:rsid w:val="00CD4BA0"/>
    <w:rsid w:val="00CD4BB9"/>
    <w:rsid w:val="00CD4C5F"/>
    <w:rsid w:val="00CD4DCF"/>
    <w:rsid w:val="00CD4F69"/>
    <w:rsid w:val="00CD55D7"/>
    <w:rsid w:val="00CD560D"/>
    <w:rsid w:val="00CD57F6"/>
    <w:rsid w:val="00CD595E"/>
    <w:rsid w:val="00CD5A0D"/>
    <w:rsid w:val="00CD5EA3"/>
    <w:rsid w:val="00CD5F69"/>
    <w:rsid w:val="00CD61E7"/>
    <w:rsid w:val="00CD62F4"/>
    <w:rsid w:val="00CD6649"/>
    <w:rsid w:val="00CD6773"/>
    <w:rsid w:val="00CD67C2"/>
    <w:rsid w:val="00CD6B72"/>
    <w:rsid w:val="00CD6F8E"/>
    <w:rsid w:val="00CD7476"/>
    <w:rsid w:val="00CD7C5B"/>
    <w:rsid w:val="00CE01FA"/>
    <w:rsid w:val="00CE02B3"/>
    <w:rsid w:val="00CE034F"/>
    <w:rsid w:val="00CE035B"/>
    <w:rsid w:val="00CE0456"/>
    <w:rsid w:val="00CE08CF"/>
    <w:rsid w:val="00CE0D6D"/>
    <w:rsid w:val="00CE130B"/>
    <w:rsid w:val="00CE13BD"/>
    <w:rsid w:val="00CE14CF"/>
    <w:rsid w:val="00CE16C3"/>
    <w:rsid w:val="00CE1720"/>
    <w:rsid w:val="00CE1C32"/>
    <w:rsid w:val="00CE1F25"/>
    <w:rsid w:val="00CE2219"/>
    <w:rsid w:val="00CE22A1"/>
    <w:rsid w:val="00CE240F"/>
    <w:rsid w:val="00CE2669"/>
    <w:rsid w:val="00CE2D10"/>
    <w:rsid w:val="00CE3147"/>
    <w:rsid w:val="00CE32BB"/>
    <w:rsid w:val="00CE342F"/>
    <w:rsid w:val="00CE35C3"/>
    <w:rsid w:val="00CE39F2"/>
    <w:rsid w:val="00CE3A1D"/>
    <w:rsid w:val="00CE3C99"/>
    <w:rsid w:val="00CE3D99"/>
    <w:rsid w:val="00CE445F"/>
    <w:rsid w:val="00CE44C8"/>
    <w:rsid w:val="00CE46C1"/>
    <w:rsid w:val="00CE47D4"/>
    <w:rsid w:val="00CE5152"/>
    <w:rsid w:val="00CE523D"/>
    <w:rsid w:val="00CE526B"/>
    <w:rsid w:val="00CE5C87"/>
    <w:rsid w:val="00CE5CF1"/>
    <w:rsid w:val="00CE600A"/>
    <w:rsid w:val="00CE615A"/>
    <w:rsid w:val="00CE64B6"/>
    <w:rsid w:val="00CE6812"/>
    <w:rsid w:val="00CE68FB"/>
    <w:rsid w:val="00CE6A3B"/>
    <w:rsid w:val="00CE6A97"/>
    <w:rsid w:val="00CE6C6A"/>
    <w:rsid w:val="00CE6F35"/>
    <w:rsid w:val="00CE6F3B"/>
    <w:rsid w:val="00CE6F64"/>
    <w:rsid w:val="00CE7144"/>
    <w:rsid w:val="00CE71CE"/>
    <w:rsid w:val="00CE72BD"/>
    <w:rsid w:val="00CE7613"/>
    <w:rsid w:val="00CE7614"/>
    <w:rsid w:val="00CE7A07"/>
    <w:rsid w:val="00CE7EC0"/>
    <w:rsid w:val="00CF0157"/>
    <w:rsid w:val="00CF01F6"/>
    <w:rsid w:val="00CF05D2"/>
    <w:rsid w:val="00CF0644"/>
    <w:rsid w:val="00CF0D93"/>
    <w:rsid w:val="00CF0EAD"/>
    <w:rsid w:val="00CF0F54"/>
    <w:rsid w:val="00CF10B7"/>
    <w:rsid w:val="00CF1217"/>
    <w:rsid w:val="00CF1938"/>
    <w:rsid w:val="00CF193B"/>
    <w:rsid w:val="00CF1992"/>
    <w:rsid w:val="00CF1BE2"/>
    <w:rsid w:val="00CF213E"/>
    <w:rsid w:val="00CF2207"/>
    <w:rsid w:val="00CF2565"/>
    <w:rsid w:val="00CF2607"/>
    <w:rsid w:val="00CF27DB"/>
    <w:rsid w:val="00CF2D57"/>
    <w:rsid w:val="00CF2E87"/>
    <w:rsid w:val="00CF2E90"/>
    <w:rsid w:val="00CF3158"/>
    <w:rsid w:val="00CF35C4"/>
    <w:rsid w:val="00CF3964"/>
    <w:rsid w:val="00CF3A5E"/>
    <w:rsid w:val="00CF3A6F"/>
    <w:rsid w:val="00CF3BFD"/>
    <w:rsid w:val="00CF3C2A"/>
    <w:rsid w:val="00CF44DB"/>
    <w:rsid w:val="00CF4561"/>
    <w:rsid w:val="00CF46E9"/>
    <w:rsid w:val="00CF48F5"/>
    <w:rsid w:val="00CF506C"/>
    <w:rsid w:val="00CF508F"/>
    <w:rsid w:val="00CF50CF"/>
    <w:rsid w:val="00CF5A53"/>
    <w:rsid w:val="00CF6304"/>
    <w:rsid w:val="00CF6529"/>
    <w:rsid w:val="00CF671D"/>
    <w:rsid w:val="00CF6727"/>
    <w:rsid w:val="00CF6756"/>
    <w:rsid w:val="00CF714E"/>
    <w:rsid w:val="00CF737A"/>
    <w:rsid w:val="00CF7968"/>
    <w:rsid w:val="00D002E6"/>
    <w:rsid w:val="00D00A2A"/>
    <w:rsid w:val="00D00C65"/>
    <w:rsid w:val="00D00D35"/>
    <w:rsid w:val="00D00E41"/>
    <w:rsid w:val="00D0126E"/>
    <w:rsid w:val="00D01302"/>
    <w:rsid w:val="00D015E9"/>
    <w:rsid w:val="00D01646"/>
    <w:rsid w:val="00D018AD"/>
    <w:rsid w:val="00D01A14"/>
    <w:rsid w:val="00D01B7E"/>
    <w:rsid w:val="00D01D47"/>
    <w:rsid w:val="00D01D7F"/>
    <w:rsid w:val="00D01EA7"/>
    <w:rsid w:val="00D01EC1"/>
    <w:rsid w:val="00D02538"/>
    <w:rsid w:val="00D02610"/>
    <w:rsid w:val="00D02930"/>
    <w:rsid w:val="00D02B42"/>
    <w:rsid w:val="00D02BDE"/>
    <w:rsid w:val="00D02BF9"/>
    <w:rsid w:val="00D02CCB"/>
    <w:rsid w:val="00D0304A"/>
    <w:rsid w:val="00D033A8"/>
    <w:rsid w:val="00D03504"/>
    <w:rsid w:val="00D03A5A"/>
    <w:rsid w:val="00D03BF8"/>
    <w:rsid w:val="00D03C80"/>
    <w:rsid w:val="00D04363"/>
    <w:rsid w:val="00D04475"/>
    <w:rsid w:val="00D048AF"/>
    <w:rsid w:val="00D04989"/>
    <w:rsid w:val="00D04BD0"/>
    <w:rsid w:val="00D04D54"/>
    <w:rsid w:val="00D04EE5"/>
    <w:rsid w:val="00D04FB6"/>
    <w:rsid w:val="00D04FCD"/>
    <w:rsid w:val="00D0514D"/>
    <w:rsid w:val="00D0529F"/>
    <w:rsid w:val="00D05A1D"/>
    <w:rsid w:val="00D05B60"/>
    <w:rsid w:val="00D05EFE"/>
    <w:rsid w:val="00D0652A"/>
    <w:rsid w:val="00D0661D"/>
    <w:rsid w:val="00D06666"/>
    <w:rsid w:val="00D06B89"/>
    <w:rsid w:val="00D073C2"/>
    <w:rsid w:val="00D07895"/>
    <w:rsid w:val="00D07DC0"/>
    <w:rsid w:val="00D101E1"/>
    <w:rsid w:val="00D104FA"/>
    <w:rsid w:val="00D107AB"/>
    <w:rsid w:val="00D10FA9"/>
    <w:rsid w:val="00D11248"/>
    <w:rsid w:val="00D112FF"/>
    <w:rsid w:val="00D1168D"/>
    <w:rsid w:val="00D118FF"/>
    <w:rsid w:val="00D11995"/>
    <w:rsid w:val="00D11AEC"/>
    <w:rsid w:val="00D11C21"/>
    <w:rsid w:val="00D121C0"/>
    <w:rsid w:val="00D129F1"/>
    <w:rsid w:val="00D1300D"/>
    <w:rsid w:val="00D130B1"/>
    <w:rsid w:val="00D13336"/>
    <w:rsid w:val="00D13412"/>
    <w:rsid w:val="00D13579"/>
    <w:rsid w:val="00D13662"/>
    <w:rsid w:val="00D136CB"/>
    <w:rsid w:val="00D1385D"/>
    <w:rsid w:val="00D13CDA"/>
    <w:rsid w:val="00D14012"/>
    <w:rsid w:val="00D144C7"/>
    <w:rsid w:val="00D148AD"/>
    <w:rsid w:val="00D1512B"/>
    <w:rsid w:val="00D1527C"/>
    <w:rsid w:val="00D152EE"/>
    <w:rsid w:val="00D15D87"/>
    <w:rsid w:val="00D15FC4"/>
    <w:rsid w:val="00D1614C"/>
    <w:rsid w:val="00D161F7"/>
    <w:rsid w:val="00D16485"/>
    <w:rsid w:val="00D164FA"/>
    <w:rsid w:val="00D16760"/>
    <w:rsid w:val="00D1687B"/>
    <w:rsid w:val="00D168A9"/>
    <w:rsid w:val="00D16E04"/>
    <w:rsid w:val="00D16E14"/>
    <w:rsid w:val="00D16F33"/>
    <w:rsid w:val="00D17461"/>
    <w:rsid w:val="00D17D05"/>
    <w:rsid w:val="00D17E02"/>
    <w:rsid w:val="00D17FB4"/>
    <w:rsid w:val="00D17FD6"/>
    <w:rsid w:val="00D20047"/>
    <w:rsid w:val="00D20426"/>
    <w:rsid w:val="00D20A22"/>
    <w:rsid w:val="00D20F83"/>
    <w:rsid w:val="00D21464"/>
    <w:rsid w:val="00D217EB"/>
    <w:rsid w:val="00D21861"/>
    <w:rsid w:val="00D219DD"/>
    <w:rsid w:val="00D22019"/>
    <w:rsid w:val="00D22333"/>
    <w:rsid w:val="00D22C59"/>
    <w:rsid w:val="00D22F07"/>
    <w:rsid w:val="00D22FD0"/>
    <w:rsid w:val="00D230E3"/>
    <w:rsid w:val="00D2321B"/>
    <w:rsid w:val="00D23350"/>
    <w:rsid w:val="00D23930"/>
    <w:rsid w:val="00D23C3D"/>
    <w:rsid w:val="00D23D7F"/>
    <w:rsid w:val="00D24228"/>
    <w:rsid w:val="00D242CC"/>
    <w:rsid w:val="00D246D3"/>
    <w:rsid w:val="00D246EA"/>
    <w:rsid w:val="00D247DE"/>
    <w:rsid w:val="00D24D48"/>
    <w:rsid w:val="00D24FBD"/>
    <w:rsid w:val="00D24FE4"/>
    <w:rsid w:val="00D2542B"/>
    <w:rsid w:val="00D25468"/>
    <w:rsid w:val="00D256C4"/>
    <w:rsid w:val="00D2573B"/>
    <w:rsid w:val="00D25A2C"/>
    <w:rsid w:val="00D25C5C"/>
    <w:rsid w:val="00D26054"/>
    <w:rsid w:val="00D261B1"/>
    <w:rsid w:val="00D2644C"/>
    <w:rsid w:val="00D26657"/>
    <w:rsid w:val="00D266F1"/>
    <w:rsid w:val="00D268A7"/>
    <w:rsid w:val="00D26EA9"/>
    <w:rsid w:val="00D270DC"/>
    <w:rsid w:val="00D27230"/>
    <w:rsid w:val="00D27393"/>
    <w:rsid w:val="00D27556"/>
    <w:rsid w:val="00D278AA"/>
    <w:rsid w:val="00D30446"/>
    <w:rsid w:val="00D305C0"/>
    <w:rsid w:val="00D30794"/>
    <w:rsid w:val="00D30E4C"/>
    <w:rsid w:val="00D31250"/>
    <w:rsid w:val="00D31326"/>
    <w:rsid w:val="00D31922"/>
    <w:rsid w:val="00D31B46"/>
    <w:rsid w:val="00D31CBA"/>
    <w:rsid w:val="00D31FC6"/>
    <w:rsid w:val="00D31FDB"/>
    <w:rsid w:val="00D3202C"/>
    <w:rsid w:val="00D32066"/>
    <w:rsid w:val="00D320C6"/>
    <w:rsid w:val="00D32154"/>
    <w:rsid w:val="00D3227A"/>
    <w:rsid w:val="00D32792"/>
    <w:rsid w:val="00D328A8"/>
    <w:rsid w:val="00D3311B"/>
    <w:rsid w:val="00D33439"/>
    <w:rsid w:val="00D33816"/>
    <w:rsid w:val="00D33AA6"/>
    <w:rsid w:val="00D33BFD"/>
    <w:rsid w:val="00D33C85"/>
    <w:rsid w:val="00D33CC7"/>
    <w:rsid w:val="00D33D79"/>
    <w:rsid w:val="00D34029"/>
    <w:rsid w:val="00D34332"/>
    <w:rsid w:val="00D34716"/>
    <w:rsid w:val="00D34905"/>
    <w:rsid w:val="00D3494F"/>
    <w:rsid w:val="00D3495B"/>
    <w:rsid w:val="00D34B6A"/>
    <w:rsid w:val="00D34D1C"/>
    <w:rsid w:val="00D351A5"/>
    <w:rsid w:val="00D351C7"/>
    <w:rsid w:val="00D35300"/>
    <w:rsid w:val="00D35496"/>
    <w:rsid w:val="00D354D3"/>
    <w:rsid w:val="00D357D6"/>
    <w:rsid w:val="00D357FE"/>
    <w:rsid w:val="00D35DA0"/>
    <w:rsid w:val="00D360D8"/>
    <w:rsid w:val="00D360F0"/>
    <w:rsid w:val="00D36105"/>
    <w:rsid w:val="00D36A37"/>
    <w:rsid w:val="00D36BC0"/>
    <w:rsid w:val="00D36F0A"/>
    <w:rsid w:val="00D370E8"/>
    <w:rsid w:val="00D3711F"/>
    <w:rsid w:val="00D37665"/>
    <w:rsid w:val="00D377EE"/>
    <w:rsid w:val="00D3782F"/>
    <w:rsid w:val="00D37D80"/>
    <w:rsid w:val="00D40206"/>
    <w:rsid w:val="00D40779"/>
    <w:rsid w:val="00D418E6"/>
    <w:rsid w:val="00D41A8A"/>
    <w:rsid w:val="00D41CF1"/>
    <w:rsid w:val="00D41F70"/>
    <w:rsid w:val="00D42554"/>
    <w:rsid w:val="00D425B8"/>
    <w:rsid w:val="00D42658"/>
    <w:rsid w:val="00D42ABE"/>
    <w:rsid w:val="00D431CB"/>
    <w:rsid w:val="00D438B4"/>
    <w:rsid w:val="00D43936"/>
    <w:rsid w:val="00D43C7F"/>
    <w:rsid w:val="00D43FDE"/>
    <w:rsid w:val="00D44063"/>
    <w:rsid w:val="00D44752"/>
    <w:rsid w:val="00D447BA"/>
    <w:rsid w:val="00D44B6F"/>
    <w:rsid w:val="00D44F71"/>
    <w:rsid w:val="00D45582"/>
    <w:rsid w:val="00D45611"/>
    <w:rsid w:val="00D45789"/>
    <w:rsid w:val="00D4584A"/>
    <w:rsid w:val="00D469FE"/>
    <w:rsid w:val="00D46E4F"/>
    <w:rsid w:val="00D47DBD"/>
    <w:rsid w:val="00D505B9"/>
    <w:rsid w:val="00D505DE"/>
    <w:rsid w:val="00D50DC1"/>
    <w:rsid w:val="00D50FA4"/>
    <w:rsid w:val="00D51053"/>
    <w:rsid w:val="00D51353"/>
    <w:rsid w:val="00D5158D"/>
    <w:rsid w:val="00D516E4"/>
    <w:rsid w:val="00D516EF"/>
    <w:rsid w:val="00D51722"/>
    <w:rsid w:val="00D519A0"/>
    <w:rsid w:val="00D51B77"/>
    <w:rsid w:val="00D52257"/>
    <w:rsid w:val="00D527F3"/>
    <w:rsid w:val="00D52901"/>
    <w:rsid w:val="00D52CA9"/>
    <w:rsid w:val="00D52EB3"/>
    <w:rsid w:val="00D52F5B"/>
    <w:rsid w:val="00D52FBA"/>
    <w:rsid w:val="00D5314A"/>
    <w:rsid w:val="00D53426"/>
    <w:rsid w:val="00D53A4B"/>
    <w:rsid w:val="00D53C1F"/>
    <w:rsid w:val="00D53C7C"/>
    <w:rsid w:val="00D544AD"/>
    <w:rsid w:val="00D545F6"/>
    <w:rsid w:val="00D54B1C"/>
    <w:rsid w:val="00D54E91"/>
    <w:rsid w:val="00D550FE"/>
    <w:rsid w:val="00D55448"/>
    <w:rsid w:val="00D5572C"/>
    <w:rsid w:val="00D55942"/>
    <w:rsid w:val="00D55BB0"/>
    <w:rsid w:val="00D560A7"/>
    <w:rsid w:val="00D56267"/>
    <w:rsid w:val="00D562DE"/>
    <w:rsid w:val="00D56BC5"/>
    <w:rsid w:val="00D56D0B"/>
    <w:rsid w:val="00D575BF"/>
    <w:rsid w:val="00D57EA3"/>
    <w:rsid w:val="00D60313"/>
    <w:rsid w:val="00D60387"/>
    <w:rsid w:val="00D6055C"/>
    <w:rsid w:val="00D60624"/>
    <w:rsid w:val="00D607A1"/>
    <w:rsid w:val="00D60CE8"/>
    <w:rsid w:val="00D61061"/>
    <w:rsid w:val="00D61684"/>
    <w:rsid w:val="00D61ADC"/>
    <w:rsid w:val="00D61B33"/>
    <w:rsid w:val="00D61CD5"/>
    <w:rsid w:val="00D61DC6"/>
    <w:rsid w:val="00D62317"/>
    <w:rsid w:val="00D62506"/>
    <w:rsid w:val="00D62566"/>
    <w:rsid w:val="00D62571"/>
    <w:rsid w:val="00D62606"/>
    <w:rsid w:val="00D62C1D"/>
    <w:rsid w:val="00D62C52"/>
    <w:rsid w:val="00D62CE8"/>
    <w:rsid w:val="00D62F76"/>
    <w:rsid w:val="00D637CB"/>
    <w:rsid w:val="00D63BB4"/>
    <w:rsid w:val="00D63D33"/>
    <w:rsid w:val="00D63DFE"/>
    <w:rsid w:val="00D63EB7"/>
    <w:rsid w:val="00D63FB4"/>
    <w:rsid w:val="00D640B7"/>
    <w:rsid w:val="00D6425E"/>
    <w:rsid w:val="00D64310"/>
    <w:rsid w:val="00D6486D"/>
    <w:rsid w:val="00D6496B"/>
    <w:rsid w:val="00D64C78"/>
    <w:rsid w:val="00D64D4F"/>
    <w:rsid w:val="00D64D61"/>
    <w:rsid w:val="00D64EEC"/>
    <w:rsid w:val="00D6501E"/>
    <w:rsid w:val="00D65164"/>
    <w:rsid w:val="00D65310"/>
    <w:rsid w:val="00D65D29"/>
    <w:rsid w:val="00D66135"/>
    <w:rsid w:val="00D6629C"/>
    <w:rsid w:val="00D66567"/>
    <w:rsid w:val="00D665CB"/>
    <w:rsid w:val="00D66709"/>
    <w:rsid w:val="00D66AD4"/>
    <w:rsid w:val="00D66D52"/>
    <w:rsid w:val="00D66F00"/>
    <w:rsid w:val="00D66F28"/>
    <w:rsid w:val="00D6711F"/>
    <w:rsid w:val="00D674B8"/>
    <w:rsid w:val="00D6755B"/>
    <w:rsid w:val="00D67836"/>
    <w:rsid w:val="00D67B71"/>
    <w:rsid w:val="00D67D8B"/>
    <w:rsid w:val="00D70807"/>
    <w:rsid w:val="00D7094E"/>
    <w:rsid w:val="00D71809"/>
    <w:rsid w:val="00D7200F"/>
    <w:rsid w:val="00D7231E"/>
    <w:rsid w:val="00D72617"/>
    <w:rsid w:val="00D72B2A"/>
    <w:rsid w:val="00D72E0F"/>
    <w:rsid w:val="00D73188"/>
    <w:rsid w:val="00D734AE"/>
    <w:rsid w:val="00D73542"/>
    <w:rsid w:val="00D73E7E"/>
    <w:rsid w:val="00D73E86"/>
    <w:rsid w:val="00D73FEB"/>
    <w:rsid w:val="00D74252"/>
    <w:rsid w:val="00D7433B"/>
    <w:rsid w:val="00D74779"/>
    <w:rsid w:val="00D74E81"/>
    <w:rsid w:val="00D754F1"/>
    <w:rsid w:val="00D75717"/>
    <w:rsid w:val="00D760FC"/>
    <w:rsid w:val="00D76419"/>
    <w:rsid w:val="00D764BC"/>
    <w:rsid w:val="00D764EB"/>
    <w:rsid w:val="00D76580"/>
    <w:rsid w:val="00D768B9"/>
    <w:rsid w:val="00D76C28"/>
    <w:rsid w:val="00D76C86"/>
    <w:rsid w:val="00D76DA8"/>
    <w:rsid w:val="00D76FE7"/>
    <w:rsid w:val="00D7708E"/>
    <w:rsid w:val="00D7715D"/>
    <w:rsid w:val="00D77A43"/>
    <w:rsid w:val="00D77CAE"/>
    <w:rsid w:val="00D77CE1"/>
    <w:rsid w:val="00D77DBA"/>
    <w:rsid w:val="00D77E33"/>
    <w:rsid w:val="00D8051A"/>
    <w:rsid w:val="00D805AC"/>
    <w:rsid w:val="00D805E5"/>
    <w:rsid w:val="00D8098C"/>
    <w:rsid w:val="00D811BB"/>
    <w:rsid w:val="00D813C2"/>
    <w:rsid w:val="00D813CE"/>
    <w:rsid w:val="00D81594"/>
    <w:rsid w:val="00D815D2"/>
    <w:rsid w:val="00D818F4"/>
    <w:rsid w:val="00D81AEB"/>
    <w:rsid w:val="00D81FDA"/>
    <w:rsid w:val="00D82E2C"/>
    <w:rsid w:val="00D82F60"/>
    <w:rsid w:val="00D83158"/>
    <w:rsid w:val="00D83924"/>
    <w:rsid w:val="00D83A91"/>
    <w:rsid w:val="00D83B88"/>
    <w:rsid w:val="00D83C3D"/>
    <w:rsid w:val="00D83ED7"/>
    <w:rsid w:val="00D840B5"/>
    <w:rsid w:val="00D84525"/>
    <w:rsid w:val="00D85090"/>
    <w:rsid w:val="00D850F0"/>
    <w:rsid w:val="00D85167"/>
    <w:rsid w:val="00D85406"/>
    <w:rsid w:val="00D85DB4"/>
    <w:rsid w:val="00D85F1A"/>
    <w:rsid w:val="00D8610F"/>
    <w:rsid w:val="00D86355"/>
    <w:rsid w:val="00D86D8F"/>
    <w:rsid w:val="00D86E2C"/>
    <w:rsid w:val="00D86E85"/>
    <w:rsid w:val="00D87163"/>
    <w:rsid w:val="00D87314"/>
    <w:rsid w:val="00D8732C"/>
    <w:rsid w:val="00D87C12"/>
    <w:rsid w:val="00D87ECA"/>
    <w:rsid w:val="00D900FA"/>
    <w:rsid w:val="00D90446"/>
    <w:rsid w:val="00D90744"/>
    <w:rsid w:val="00D908C9"/>
    <w:rsid w:val="00D910A8"/>
    <w:rsid w:val="00D91440"/>
    <w:rsid w:val="00D91783"/>
    <w:rsid w:val="00D91938"/>
    <w:rsid w:val="00D91C53"/>
    <w:rsid w:val="00D9200E"/>
    <w:rsid w:val="00D92064"/>
    <w:rsid w:val="00D92137"/>
    <w:rsid w:val="00D9237D"/>
    <w:rsid w:val="00D92C41"/>
    <w:rsid w:val="00D92D42"/>
    <w:rsid w:val="00D93974"/>
    <w:rsid w:val="00D939EF"/>
    <w:rsid w:val="00D93A96"/>
    <w:rsid w:val="00D93D8B"/>
    <w:rsid w:val="00D943E4"/>
    <w:rsid w:val="00D9446C"/>
    <w:rsid w:val="00D9487A"/>
    <w:rsid w:val="00D94941"/>
    <w:rsid w:val="00D94CEF"/>
    <w:rsid w:val="00D94D8C"/>
    <w:rsid w:val="00D952EE"/>
    <w:rsid w:val="00D9553D"/>
    <w:rsid w:val="00D95671"/>
    <w:rsid w:val="00D95E06"/>
    <w:rsid w:val="00D95EAE"/>
    <w:rsid w:val="00D965E1"/>
    <w:rsid w:val="00D96826"/>
    <w:rsid w:val="00D96AE6"/>
    <w:rsid w:val="00D96EF0"/>
    <w:rsid w:val="00D97B17"/>
    <w:rsid w:val="00D97B95"/>
    <w:rsid w:val="00D97D75"/>
    <w:rsid w:val="00D97F93"/>
    <w:rsid w:val="00DA00EA"/>
    <w:rsid w:val="00DA0209"/>
    <w:rsid w:val="00DA08B0"/>
    <w:rsid w:val="00DA0D0C"/>
    <w:rsid w:val="00DA13A0"/>
    <w:rsid w:val="00DA151B"/>
    <w:rsid w:val="00DA1754"/>
    <w:rsid w:val="00DA184D"/>
    <w:rsid w:val="00DA2328"/>
    <w:rsid w:val="00DA267F"/>
    <w:rsid w:val="00DA2699"/>
    <w:rsid w:val="00DA27BC"/>
    <w:rsid w:val="00DA2858"/>
    <w:rsid w:val="00DA28AD"/>
    <w:rsid w:val="00DA2D07"/>
    <w:rsid w:val="00DA2F74"/>
    <w:rsid w:val="00DA306C"/>
    <w:rsid w:val="00DA32A9"/>
    <w:rsid w:val="00DA3590"/>
    <w:rsid w:val="00DA35E2"/>
    <w:rsid w:val="00DA4016"/>
    <w:rsid w:val="00DA4022"/>
    <w:rsid w:val="00DA41AE"/>
    <w:rsid w:val="00DA46DF"/>
    <w:rsid w:val="00DA4733"/>
    <w:rsid w:val="00DA497D"/>
    <w:rsid w:val="00DA4B94"/>
    <w:rsid w:val="00DA5015"/>
    <w:rsid w:val="00DA5304"/>
    <w:rsid w:val="00DA5F3C"/>
    <w:rsid w:val="00DA61BB"/>
    <w:rsid w:val="00DA63F1"/>
    <w:rsid w:val="00DA677E"/>
    <w:rsid w:val="00DA69BD"/>
    <w:rsid w:val="00DA6CF6"/>
    <w:rsid w:val="00DA6D3B"/>
    <w:rsid w:val="00DA756E"/>
    <w:rsid w:val="00DA760B"/>
    <w:rsid w:val="00DA7610"/>
    <w:rsid w:val="00DA77F0"/>
    <w:rsid w:val="00DA7B16"/>
    <w:rsid w:val="00DA7BB7"/>
    <w:rsid w:val="00DA7ECA"/>
    <w:rsid w:val="00DB00C9"/>
    <w:rsid w:val="00DB02A6"/>
    <w:rsid w:val="00DB0328"/>
    <w:rsid w:val="00DB0B3B"/>
    <w:rsid w:val="00DB0C74"/>
    <w:rsid w:val="00DB0E97"/>
    <w:rsid w:val="00DB0F4E"/>
    <w:rsid w:val="00DB1353"/>
    <w:rsid w:val="00DB18EC"/>
    <w:rsid w:val="00DB1D14"/>
    <w:rsid w:val="00DB1F4D"/>
    <w:rsid w:val="00DB2202"/>
    <w:rsid w:val="00DB2571"/>
    <w:rsid w:val="00DB25FF"/>
    <w:rsid w:val="00DB2F6E"/>
    <w:rsid w:val="00DB306E"/>
    <w:rsid w:val="00DB3306"/>
    <w:rsid w:val="00DB3744"/>
    <w:rsid w:val="00DB4026"/>
    <w:rsid w:val="00DB42AD"/>
    <w:rsid w:val="00DB467D"/>
    <w:rsid w:val="00DB46CA"/>
    <w:rsid w:val="00DB472F"/>
    <w:rsid w:val="00DB47F6"/>
    <w:rsid w:val="00DB4B9A"/>
    <w:rsid w:val="00DB4DB3"/>
    <w:rsid w:val="00DB4F0B"/>
    <w:rsid w:val="00DB5045"/>
    <w:rsid w:val="00DB51F9"/>
    <w:rsid w:val="00DB5671"/>
    <w:rsid w:val="00DB576F"/>
    <w:rsid w:val="00DB58BC"/>
    <w:rsid w:val="00DB5910"/>
    <w:rsid w:val="00DB5967"/>
    <w:rsid w:val="00DB59C7"/>
    <w:rsid w:val="00DB5B84"/>
    <w:rsid w:val="00DB6043"/>
    <w:rsid w:val="00DB6046"/>
    <w:rsid w:val="00DB617F"/>
    <w:rsid w:val="00DB6A82"/>
    <w:rsid w:val="00DB6ACB"/>
    <w:rsid w:val="00DB6F46"/>
    <w:rsid w:val="00DB7639"/>
    <w:rsid w:val="00DB789D"/>
    <w:rsid w:val="00DB7BE2"/>
    <w:rsid w:val="00DB7CAF"/>
    <w:rsid w:val="00DB7DA8"/>
    <w:rsid w:val="00DB7EC8"/>
    <w:rsid w:val="00DC00AC"/>
    <w:rsid w:val="00DC00E0"/>
    <w:rsid w:val="00DC0138"/>
    <w:rsid w:val="00DC0886"/>
    <w:rsid w:val="00DC1797"/>
    <w:rsid w:val="00DC1A77"/>
    <w:rsid w:val="00DC2085"/>
    <w:rsid w:val="00DC21DE"/>
    <w:rsid w:val="00DC2698"/>
    <w:rsid w:val="00DC2810"/>
    <w:rsid w:val="00DC2965"/>
    <w:rsid w:val="00DC2ADF"/>
    <w:rsid w:val="00DC2FAC"/>
    <w:rsid w:val="00DC36F3"/>
    <w:rsid w:val="00DC3700"/>
    <w:rsid w:val="00DC39AD"/>
    <w:rsid w:val="00DC39F6"/>
    <w:rsid w:val="00DC3ADA"/>
    <w:rsid w:val="00DC40E4"/>
    <w:rsid w:val="00DC4538"/>
    <w:rsid w:val="00DC4767"/>
    <w:rsid w:val="00DC4972"/>
    <w:rsid w:val="00DC54CE"/>
    <w:rsid w:val="00DC5982"/>
    <w:rsid w:val="00DC5AA0"/>
    <w:rsid w:val="00DC5ADB"/>
    <w:rsid w:val="00DC6086"/>
    <w:rsid w:val="00DC619F"/>
    <w:rsid w:val="00DC6986"/>
    <w:rsid w:val="00DC7092"/>
    <w:rsid w:val="00DC70E9"/>
    <w:rsid w:val="00DC717F"/>
    <w:rsid w:val="00DC738F"/>
    <w:rsid w:val="00DC7491"/>
    <w:rsid w:val="00DC77FD"/>
    <w:rsid w:val="00DC7988"/>
    <w:rsid w:val="00DC7A7A"/>
    <w:rsid w:val="00DC7E4E"/>
    <w:rsid w:val="00DC7E80"/>
    <w:rsid w:val="00DD0127"/>
    <w:rsid w:val="00DD05DE"/>
    <w:rsid w:val="00DD07FC"/>
    <w:rsid w:val="00DD0904"/>
    <w:rsid w:val="00DD0E09"/>
    <w:rsid w:val="00DD0FA5"/>
    <w:rsid w:val="00DD104A"/>
    <w:rsid w:val="00DD1070"/>
    <w:rsid w:val="00DD10BE"/>
    <w:rsid w:val="00DD1354"/>
    <w:rsid w:val="00DD148A"/>
    <w:rsid w:val="00DD19B2"/>
    <w:rsid w:val="00DD1BAB"/>
    <w:rsid w:val="00DD238B"/>
    <w:rsid w:val="00DD28BB"/>
    <w:rsid w:val="00DD2D37"/>
    <w:rsid w:val="00DD3254"/>
    <w:rsid w:val="00DD34C7"/>
    <w:rsid w:val="00DD358B"/>
    <w:rsid w:val="00DD36C7"/>
    <w:rsid w:val="00DD3D22"/>
    <w:rsid w:val="00DD425A"/>
    <w:rsid w:val="00DD4393"/>
    <w:rsid w:val="00DD43E8"/>
    <w:rsid w:val="00DD4636"/>
    <w:rsid w:val="00DD47C1"/>
    <w:rsid w:val="00DD47CB"/>
    <w:rsid w:val="00DD48D7"/>
    <w:rsid w:val="00DD5016"/>
    <w:rsid w:val="00DD51AE"/>
    <w:rsid w:val="00DD5333"/>
    <w:rsid w:val="00DD541A"/>
    <w:rsid w:val="00DD5B70"/>
    <w:rsid w:val="00DD5BAC"/>
    <w:rsid w:val="00DD5C2F"/>
    <w:rsid w:val="00DD5E44"/>
    <w:rsid w:val="00DD6204"/>
    <w:rsid w:val="00DD6272"/>
    <w:rsid w:val="00DD637A"/>
    <w:rsid w:val="00DD6503"/>
    <w:rsid w:val="00DD6509"/>
    <w:rsid w:val="00DD6722"/>
    <w:rsid w:val="00DD6A55"/>
    <w:rsid w:val="00DD6A8A"/>
    <w:rsid w:val="00DD6C75"/>
    <w:rsid w:val="00DD6DCD"/>
    <w:rsid w:val="00DD6F2D"/>
    <w:rsid w:val="00DD720F"/>
    <w:rsid w:val="00DD7279"/>
    <w:rsid w:val="00DD755A"/>
    <w:rsid w:val="00DD77AD"/>
    <w:rsid w:val="00DD7A6A"/>
    <w:rsid w:val="00DD7AD2"/>
    <w:rsid w:val="00DE07D7"/>
    <w:rsid w:val="00DE0873"/>
    <w:rsid w:val="00DE0C12"/>
    <w:rsid w:val="00DE0D55"/>
    <w:rsid w:val="00DE0EE4"/>
    <w:rsid w:val="00DE108B"/>
    <w:rsid w:val="00DE10A0"/>
    <w:rsid w:val="00DE1425"/>
    <w:rsid w:val="00DE1624"/>
    <w:rsid w:val="00DE1929"/>
    <w:rsid w:val="00DE1D61"/>
    <w:rsid w:val="00DE1FC6"/>
    <w:rsid w:val="00DE21F0"/>
    <w:rsid w:val="00DE276C"/>
    <w:rsid w:val="00DE2914"/>
    <w:rsid w:val="00DE2B7E"/>
    <w:rsid w:val="00DE2BD2"/>
    <w:rsid w:val="00DE2D07"/>
    <w:rsid w:val="00DE2E1C"/>
    <w:rsid w:val="00DE2F4E"/>
    <w:rsid w:val="00DE3020"/>
    <w:rsid w:val="00DE3158"/>
    <w:rsid w:val="00DE38D6"/>
    <w:rsid w:val="00DE3E25"/>
    <w:rsid w:val="00DE400A"/>
    <w:rsid w:val="00DE4267"/>
    <w:rsid w:val="00DE440B"/>
    <w:rsid w:val="00DE452A"/>
    <w:rsid w:val="00DE46B2"/>
    <w:rsid w:val="00DE47A4"/>
    <w:rsid w:val="00DE4A7B"/>
    <w:rsid w:val="00DE4EBF"/>
    <w:rsid w:val="00DE517A"/>
    <w:rsid w:val="00DE5485"/>
    <w:rsid w:val="00DE586E"/>
    <w:rsid w:val="00DE61C0"/>
    <w:rsid w:val="00DE61DB"/>
    <w:rsid w:val="00DE6220"/>
    <w:rsid w:val="00DE67FF"/>
    <w:rsid w:val="00DE689F"/>
    <w:rsid w:val="00DE6B05"/>
    <w:rsid w:val="00DE6F08"/>
    <w:rsid w:val="00DE7020"/>
    <w:rsid w:val="00DE742D"/>
    <w:rsid w:val="00DE7486"/>
    <w:rsid w:val="00DE750A"/>
    <w:rsid w:val="00DE7F89"/>
    <w:rsid w:val="00DF00BF"/>
    <w:rsid w:val="00DF00DA"/>
    <w:rsid w:val="00DF02B2"/>
    <w:rsid w:val="00DF0701"/>
    <w:rsid w:val="00DF0A8A"/>
    <w:rsid w:val="00DF0BDB"/>
    <w:rsid w:val="00DF0E26"/>
    <w:rsid w:val="00DF0E95"/>
    <w:rsid w:val="00DF1349"/>
    <w:rsid w:val="00DF13F7"/>
    <w:rsid w:val="00DF1E3C"/>
    <w:rsid w:val="00DF2619"/>
    <w:rsid w:val="00DF278A"/>
    <w:rsid w:val="00DF3294"/>
    <w:rsid w:val="00DF329B"/>
    <w:rsid w:val="00DF35D9"/>
    <w:rsid w:val="00DF3B1C"/>
    <w:rsid w:val="00DF3BAA"/>
    <w:rsid w:val="00DF3FDC"/>
    <w:rsid w:val="00DF42F0"/>
    <w:rsid w:val="00DF43BE"/>
    <w:rsid w:val="00DF4479"/>
    <w:rsid w:val="00DF46A4"/>
    <w:rsid w:val="00DF4B56"/>
    <w:rsid w:val="00DF4FCD"/>
    <w:rsid w:val="00DF516A"/>
    <w:rsid w:val="00DF5D83"/>
    <w:rsid w:val="00DF6737"/>
    <w:rsid w:val="00DF6756"/>
    <w:rsid w:val="00DF6A4E"/>
    <w:rsid w:val="00DF6C01"/>
    <w:rsid w:val="00DF6EE7"/>
    <w:rsid w:val="00DF6F60"/>
    <w:rsid w:val="00DF7009"/>
    <w:rsid w:val="00DF7DC0"/>
    <w:rsid w:val="00E00109"/>
    <w:rsid w:val="00E003AC"/>
    <w:rsid w:val="00E008DA"/>
    <w:rsid w:val="00E0099B"/>
    <w:rsid w:val="00E009F8"/>
    <w:rsid w:val="00E00B25"/>
    <w:rsid w:val="00E00E87"/>
    <w:rsid w:val="00E00F9F"/>
    <w:rsid w:val="00E01193"/>
    <w:rsid w:val="00E0165D"/>
    <w:rsid w:val="00E01A13"/>
    <w:rsid w:val="00E01E8C"/>
    <w:rsid w:val="00E02128"/>
    <w:rsid w:val="00E023C1"/>
    <w:rsid w:val="00E025D5"/>
    <w:rsid w:val="00E02637"/>
    <w:rsid w:val="00E02810"/>
    <w:rsid w:val="00E02867"/>
    <w:rsid w:val="00E02B4E"/>
    <w:rsid w:val="00E02C5F"/>
    <w:rsid w:val="00E02DC0"/>
    <w:rsid w:val="00E02ECF"/>
    <w:rsid w:val="00E0324D"/>
    <w:rsid w:val="00E03605"/>
    <w:rsid w:val="00E03B43"/>
    <w:rsid w:val="00E03CA2"/>
    <w:rsid w:val="00E03DAC"/>
    <w:rsid w:val="00E03DDC"/>
    <w:rsid w:val="00E040CA"/>
    <w:rsid w:val="00E0416B"/>
    <w:rsid w:val="00E04256"/>
    <w:rsid w:val="00E04259"/>
    <w:rsid w:val="00E043B4"/>
    <w:rsid w:val="00E043DC"/>
    <w:rsid w:val="00E044E9"/>
    <w:rsid w:val="00E045F5"/>
    <w:rsid w:val="00E04ADA"/>
    <w:rsid w:val="00E05128"/>
    <w:rsid w:val="00E0531B"/>
    <w:rsid w:val="00E053BC"/>
    <w:rsid w:val="00E056E6"/>
    <w:rsid w:val="00E05D18"/>
    <w:rsid w:val="00E0609C"/>
    <w:rsid w:val="00E060E7"/>
    <w:rsid w:val="00E0648F"/>
    <w:rsid w:val="00E068A4"/>
    <w:rsid w:val="00E06916"/>
    <w:rsid w:val="00E06929"/>
    <w:rsid w:val="00E06E8E"/>
    <w:rsid w:val="00E06F9C"/>
    <w:rsid w:val="00E07465"/>
    <w:rsid w:val="00E074C2"/>
    <w:rsid w:val="00E078E3"/>
    <w:rsid w:val="00E079A0"/>
    <w:rsid w:val="00E07EEA"/>
    <w:rsid w:val="00E07F43"/>
    <w:rsid w:val="00E101A8"/>
    <w:rsid w:val="00E1048D"/>
    <w:rsid w:val="00E104B0"/>
    <w:rsid w:val="00E106B5"/>
    <w:rsid w:val="00E10872"/>
    <w:rsid w:val="00E10BC7"/>
    <w:rsid w:val="00E10E5F"/>
    <w:rsid w:val="00E114F8"/>
    <w:rsid w:val="00E1160B"/>
    <w:rsid w:val="00E120F7"/>
    <w:rsid w:val="00E121F1"/>
    <w:rsid w:val="00E1225E"/>
    <w:rsid w:val="00E124F2"/>
    <w:rsid w:val="00E125A4"/>
    <w:rsid w:val="00E12768"/>
    <w:rsid w:val="00E12C57"/>
    <w:rsid w:val="00E12EB7"/>
    <w:rsid w:val="00E13011"/>
    <w:rsid w:val="00E13551"/>
    <w:rsid w:val="00E13687"/>
    <w:rsid w:val="00E13734"/>
    <w:rsid w:val="00E138F1"/>
    <w:rsid w:val="00E13F3D"/>
    <w:rsid w:val="00E14280"/>
    <w:rsid w:val="00E1475A"/>
    <w:rsid w:val="00E1493A"/>
    <w:rsid w:val="00E14FD3"/>
    <w:rsid w:val="00E151D9"/>
    <w:rsid w:val="00E152FE"/>
    <w:rsid w:val="00E1585C"/>
    <w:rsid w:val="00E162B8"/>
    <w:rsid w:val="00E16469"/>
    <w:rsid w:val="00E16613"/>
    <w:rsid w:val="00E16AD6"/>
    <w:rsid w:val="00E16FC4"/>
    <w:rsid w:val="00E17371"/>
    <w:rsid w:val="00E17622"/>
    <w:rsid w:val="00E17E5B"/>
    <w:rsid w:val="00E2067D"/>
    <w:rsid w:val="00E20F00"/>
    <w:rsid w:val="00E2142F"/>
    <w:rsid w:val="00E21468"/>
    <w:rsid w:val="00E218BA"/>
    <w:rsid w:val="00E2191D"/>
    <w:rsid w:val="00E219EC"/>
    <w:rsid w:val="00E21ABB"/>
    <w:rsid w:val="00E21B62"/>
    <w:rsid w:val="00E21D14"/>
    <w:rsid w:val="00E21DC9"/>
    <w:rsid w:val="00E21E61"/>
    <w:rsid w:val="00E22001"/>
    <w:rsid w:val="00E2216F"/>
    <w:rsid w:val="00E221A8"/>
    <w:rsid w:val="00E22608"/>
    <w:rsid w:val="00E226D9"/>
    <w:rsid w:val="00E227C1"/>
    <w:rsid w:val="00E22B0C"/>
    <w:rsid w:val="00E22FB7"/>
    <w:rsid w:val="00E23357"/>
    <w:rsid w:val="00E233EF"/>
    <w:rsid w:val="00E23AD0"/>
    <w:rsid w:val="00E2419B"/>
    <w:rsid w:val="00E24462"/>
    <w:rsid w:val="00E244C6"/>
    <w:rsid w:val="00E244DD"/>
    <w:rsid w:val="00E2477B"/>
    <w:rsid w:val="00E247D8"/>
    <w:rsid w:val="00E2490E"/>
    <w:rsid w:val="00E24C91"/>
    <w:rsid w:val="00E24CB7"/>
    <w:rsid w:val="00E24D4E"/>
    <w:rsid w:val="00E24F04"/>
    <w:rsid w:val="00E2505F"/>
    <w:rsid w:val="00E250BE"/>
    <w:rsid w:val="00E25413"/>
    <w:rsid w:val="00E25AFC"/>
    <w:rsid w:val="00E25D28"/>
    <w:rsid w:val="00E25D87"/>
    <w:rsid w:val="00E26D96"/>
    <w:rsid w:val="00E26F38"/>
    <w:rsid w:val="00E270E4"/>
    <w:rsid w:val="00E2736C"/>
    <w:rsid w:val="00E278DF"/>
    <w:rsid w:val="00E27A66"/>
    <w:rsid w:val="00E27BD1"/>
    <w:rsid w:val="00E27C4D"/>
    <w:rsid w:val="00E303A0"/>
    <w:rsid w:val="00E306FC"/>
    <w:rsid w:val="00E30BBF"/>
    <w:rsid w:val="00E31106"/>
    <w:rsid w:val="00E317BA"/>
    <w:rsid w:val="00E31D3F"/>
    <w:rsid w:val="00E31DF0"/>
    <w:rsid w:val="00E32199"/>
    <w:rsid w:val="00E32734"/>
    <w:rsid w:val="00E3292D"/>
    <w:rsid w:val="00E32C80"/>
    <w:rsid w:val="00E32E90"/>
    <w:rsid w:val="00E3348B"/>
    <w:rsid w:val="00E33E57"/>
    <w:rsid w:val="00E3419A"/>
    <w:rsid w:val="00E3456F"/>
    <w:rsid w:val="00E34D32"/>
    <w:rsid w:val="00E35206"/>
    <w:rsid w:val="00E3525D"/>
    <w:rsid w:val="00E352FA"/>
    <w:rsid w:val="00E353AB"/>
    <w:rsid w:val="00E355CD"/>
    <w:rsid w:val="00E35A71"/>
    <w:rsid w:val="00E35E03"/>
    <w:rsid w:val="00E36064"/>
    <w:rsid w:val="00E3628D"/>
    <w:rsid w:val="00E3670B"/>
    <w:rsid w:val="00E37DAE"/>
    <w:rsid w:val="00E37E12"/>
    <w:rsid w:val="00E37F8A"/>
    <w:rsid w:val="00E40498"/>
    <w:rsid w:val="00E405A6"/>
    <w:rsid w:val="00E406B2"/>
    <w:rsid w:val="00E40DE6"/>
    <w:rsid w:val="00E40E94"/>
    <w:rsid w:val="00E40F87"/>
    <w:rsid w:val="00E411EE"/>
    <w:rsid w:val="00E41288"/>
    <w:rsid w:val="00E41AD2"/>
    <w:rsid w:val="00E41D78"/>
    <w:rsid w:val="00E41F28"/>
    <w:rsid w:val="00E4216B"/>
    <w:rsid w:val="00E425DD"/>
    <w:rsid w:val="00E4280B"/>
    <w:rsid w:val="00E42B12"/>
    <w:rsid w:val="00E42DC9"/>
    <w:rsid w:val="00E42E81"/>
    <w:rsid w:val="00E42EEC"/>
    <w:rsid w:val="00E42F5D"/>
    <w:rsid w:val="00E4398E"/>
    <w:rsid w:val="00E43AAA"/>
    <w:rsid w:val="00E43DD6"/>
    <w:rsid w:val="00E43DDB"/>
    <w:rsid w:val="00E43E65"/>
    <w:rsid w:val="00E441B1"/>
    <w:rsid w:val="00E44A7B"/>
    <w:rsid w:val="00E44B7F"/>
    <w:rsid w:val="00E44D05"/>
    <w:rsid w:val="00E4517F"/>
    <w:rsid w:val="00E45308"/>
    <w:rsid w:val="00E456B9"/>
    <w:rsid w:val="00E45787"/>
    <w:rsid w:val="00E4588A"/>
    <w:rsid w:val="00E458F0"/>
    <w:rsid w:val="00E45A3F"/>
    <w:rsid w:val="00E45B3D"/>
    <w:rsid w:val="00E45DD4"/>
    <w:rsid w:val="00E45EF7"/>
    <w:rsid w:val="00E460CA"/>
    <w:rsid w:val="00E460FA"/>
    <w:rsid w:val="00E46728"/>
    <w:rsid w:val="00E4675C"/>
    <w:rsid w:val="00E46A2A"/>
    <w:rsid w:val="00E46C75"/>
    <w:rsid w:val="00E46E09"/>
    <w:rsid w:val="00E46FD9"/>
    <w:rsid w:val="00E478F2"/>
    <w:rsid w:val="00E47CCB"/>
    <w:rsid w:val="00E47CFC"/>
    <w:rsid w:val="00E501C6"/>
    <w:rsid w:val="00E50C42"/>
    <w:rsid w:val="00E512DA"/>
    <w:rsid w:val="00E514FF"/>
    <w:rsid w:val="00E51AD7"/>
    <w:rsid w:val="00E522BC"/>
    <w:rsid w:val="00E522F5"/>
    <w:rsid w:val="00E5240D"/>
    <w:rsid w:val="00E52910"/>
    <w:rsid w:val="00E52F39"/>
    <w:rsid w:val="00E530BA"/>
    <w:rsid w:val="00E531A9"/>
    <w:rsid w:val="00E533EB"/>
    <w:rsid w:val="00E5347B"/>
    <w:rsid w:val="00E53924"/>
    <w:rsid w:val="00E53B8E"/>
    <w:rsid w:val="00E53CD7"/>
    <w:rsid w:val="00E53E1A"/>
    <w:rsid w:val="00E5406C"/>
    <w:rsid w:val="00E5473D"/>
    <w:rsid w:val="00E548A9"/>
    <w:rsid w:val="00E54E9C"/>
    <w:rsid w:val="00E55002"/>
    <w:rsid w:val="00E55197"/>
    <w:rsid w:val="00E5525F"/>
    <w:rsid w:val="00E5567F"/>
    <w:rsid w:val="00E5576B"/>
    <w:rsid w:val="00E55C01"/>
    <w:rsid w:val="00E55D55"/>
    <w:rsid w:val="00E55E12"/>
    <w:rsid w:val="00E55F65"/>
    <w:rsid w:val="00E56015"/>
    <w:rsid w:val="00E57309"/>
    <w:rsid w:val="00E600A1"/>
    <w:rsid w:val="00E60421"/>
    <w:rsid w:val="00E6095E"/>
    <w:rsid w:val="00E60F23"/>
    <w:rsid w:val="00E610D8"/>
    <w:rsid w:val="00E614F8"/>
    <w:rsid w:val="00E61667"/>
    <w:rsid w:val="00E61853"/>
    <w:rsid w:val="00E61B0E"/>
    <w:rsid w:val="00E61C91"/>
    <w:rsid w:val="00E61F20"/>
    <w:rsid w:val="00E62116"/>
    <w:rsid w:val="00E62334"/>
    <w:rsid w:val="00E6290D"/>
    <w:rsid w:val="00E62A41"/>
    <w:rsid w:val="00E62D73"/>
    <w:rsid w:val="00E62DDD"/>
    <w:rsid w:val="00E62DF0"/>
    <w:rsid w:val="00E62F87"/>
    <w:rsid w:val="00E6300A"/>
    <w:rsid w:val="00E630EA"/>
    <w:rsid w:val="00E6324C"/>
    <w:rsid w:val="00E633AA"/>
    <w:rsid w:val="00E63A83"/>
    <w:rsid w:val="00E63CAD"/>
    <w:rsid w:val="00E63D26"/>
    <w:rsid w:val="00E64267"/>
    <w:rsid w:val="00E642C5"/>
    <w:rsid w:val="00E642DC"/>
    <w:rsid w:val="00E6450F"/>
    <w:rsid w:val="00E64965"/>
    <w:rsid w:val="00E64A0B"/>
    <w:rsid w:val="00E64E1E"/>
    <w:rsid w:val="00E65074"/>
    <w:rsid w:val="00E658F2"/>
    <w:rsid w:val="00E658FE"/>
    <w:rsid w:val="00E659D3"/>
    <w:rsid w:val="00E65BF4"/>
    <w:rsid w:val="00E65D03"/>
    <w:rsid w:val="00E65E10"/>
    <w:rsid w:val="00E65FF4"/>
    <w:rsid w:val="00E6611C"/>
    <w:rsid w:val="00E6640B"/>
    <w:rsid w:val="00E6648E"/>
    <w:rsid w:val="00E66540"/>
    <w:rsid w:val="00E667A8"/>
    <w:rsid w:val="00E66911"/>
    <w:rsid w:val="00E66B8C"/>
    <w:rsid w:val="00E66C69"/>
    <w:rsid w:val="00E67012"/>
    <w:rsid w:val="00E67353"/>
    <w:rsid w:val="00E67653"/>
    <w:rsid w:val="00E67693"/>
    <w:rsid w:val="00E67BE7"/>
    <w:rsid w:val="00E67E7D"/>
    <w:rsid w:val="00E702D1"/>
    <w:rsid w:val="00E704A1"/>
    <w:rsid w:val="00E7054F"/>
    <w:rsid w:val="00E70AB3"/>
    <w:rsid w:val="00E70D63"/>
    <w:rsid w:val="00E70DD8"/>
    <w:rsid w:val="00E710ED"/>
    <w:rsid w:val="00E71C52"/>
    <w:rsid w:val="00E722DE"/>
    <w:rsid w:val="00E722E2"/>
    <w:rsid w:val="00E72313"/>
    <w:rsid w:val="00E72B38"/>
    <w:rsid w:val="00E72D8F"/>
    <w:rsid w:val="00E72E56"/>
    <w:rsid w:val="00E72FAF"/>
    <w:rsid w:val="00E736BC"/>
    <w:rsid w:val="00E73888"/>
    <w:rsid w:val="00E73BC0"/>
    <w:rsid w:val="00E73D1D"/>
    <w:rsid w:val="00E73DAC"/>
    <w:rsid w:val="00E73F27"/>
    <w:rsid w:val="00E741CA"/>
    <w:rsid w:val="00E74591"/>
    <w:rsid w:val="00E74934"/>
    <w:rsid w:val="00E75134"/>
    <w:rsid w:val="00E7523F"/>
    <w:rsid w:val="00E75444"/>
    <w:rsid w:val="00E757C0"/>
    <w:rsid w:val="00E75CAE"/>
    <w:rsid w:val="00E75DC6"/>
    <w:rsid w:val="00E7660E"/>
    <w:rsid w:val="00E766F5"/>
    <w:rsid w:val="00E77A9F"/>
    <w:rsid w:val="00E77D19"/>
    <w:rsid w:val="00E77DDE"/>
    <w:rsid w:val="00E77EE8"/>
    <w:rsid w:val="00E77FD0"/>
    <w:rsid w:val="00E77FF4"/>
    <w:rsid w:val="00E8011E"/>
    <w:rsid w:val="00E8046B"/>
    <w:rsid w:val="00E80E74"/>
    <w:rsid w:val="00E80F0C"/>
    <w:rsid w:val="00E81000"/>
    <w:rsid w:val="00E810E5"/>
    <w:rsid w:val="00E81319"/>
    <w:rsid w:val="00E8168D"/>
    <w:rsid w:val="00E817FE"/>
    <w:rsid w:val="00E81DC4"/>
    <w:rsid w:val="00E81E64"/>
    <w:rsid w:val="00E829F8"/>
    <w:rsid w:val="00E82C7A"/>
    <w:rsid w:val="00E83139"/>
    <w:rsid w:val="00E8384B"/>
    <w:rsid w:val="00E83E34"/>
    <w:rsid w:val="00E84048"/>
    <w:rsid w:val="00E841E8"/>
    <w:rsid w:val="00E8429F"/>
    <w:rsid w:val="00E8440F"/>
    <w:rsid w:val="00E84559"/>
    <w:rsid w:val="00E850B1"/>
    <w:rsid w:val="00E85336"/>
    <w:rsid w:val="00E85A09"/>
    <w:rsid w:val="00E85B43"/>
    <w:rsid w:val="00E85B8C"/>
    <w:rsid w:val="00E85EDC"/>
    <w:rsid w:val="00E86293"/>
    <w:rsid w:val="00E863D8"/>
    <w:rsid w:val="00E86623"/>
    <w:rsid w:val="00E86670"/>
    <w:rsid w:val="00E869F2"/>
    <w:rsid w:val="00E86A19"/>
    <w:rsid w:val="00E86C2E"/>
    <w:rsid w:val="00E86CF3"/>
    <w:rsid w:val="00E86DDB"/>
    <w:rsid w:val="00E86EF4"/>
    <w:rsid w:val="00E86F2B"/>
    <w:rsid w:val="00E86F46"/>
    <w:rsid w:val="00E871D4"/>
    <w:rsid w:val="00E87251"/>
    <w:rsid w:val="00E875A3"/>
    <w:rsid w:val="00E87708"/>
    <w:rsid w:val="00E87B5D"/>
    <w:rsid w:val="00E87BC2"/>
    <w:rsid w:val="00E87DE6"/>
    <w:rsid w:val="00E87F56"/>
    <w:rsid w:val="00E90033"/>
    <w:rsid w:val="00E9096B"/>
    <w:rsid w:val="00E90B9A"/>
    <w:rsid w:val="00E90D8E"/>
    <w:rsid w:val="00E90DBC"/>
    <w:rsid w:val="00E90DDF"/>
    <w:rsid w:val="00E91064"/>
    <w:rsid w:val="00E910F6"/>
    <w:rsid w:val="00E91816"/>
    <w:rsid w:val="00E9238F"/>
    <w:rsid w:val="00E9266E"/>
    <w:rsid w:val="00E92FA1"/>
    <w:rsid w:val="00E93109"/>
    <w:rsid w:val="00E93418"/>
    <w:rsid w:val="00E93A2B"/>
    <w:rsid w:val="00E93A2C"/>
    <w:rsid w:val="00E9419F"/>
    <w:rsid w:val="00E9421C"/>
    <w:rsid w:val="00E94310"/>
    <w:rsid w:val="00E945D7"/>
    <w:rsid w:val="00E94810"/>
    <w:rsid w:val="00E94E7E"/>
    <w:rsid w:val="00E95119"/>
    <w:rsid w:val="00E95134"/>
    <w:rsid w:val="00E95210"/>
    <w:rsid w:val="00E95247"/>
    <w:rsid w:val="00E95314"/>
    <w:rsid w:val="00E9567D"/>
    <w:rsid w:val="00E95CFE"/>
    <w:rsid w:val="00E961FD"/>
    <w:rsid w:val="00E96405"/>
    <w:rsid w:val="00E96642"/>
    <w:rsid w:val="00E96CB0"/>
    <w:rsid w:val="00E96CBC"/>
    <w:rsid w:val="00E96DC2"/>
    <w:rsid w:val="00E97072"/>
    <w:rsid w:val="00E97564"/>
    <w:rsid w:val="00E975E8"/>
    <w:rsid w:val="00E97C58"/>
    <w:rsid w:val="00E97CB3"/>
    <w:rsid w:val="00EA0217"/>
    <w:rsid w:val="00EA0293"/>
    <w:rsid w:val="00EA0663"/>
    <w:rsid w:val="00EA0E85"/>
    <w:rsid w:val="00EA0FD9"/>
    <w:rsid w:val="00EA110B"/>
    <w:rsid w:val="00EA11B4"/>
    <w:rsid w:val="00EA21EC"/>
    <w:rsid w:val="00EA2774"/>
    <w:rsid w:val="00EA27AB"/>
    <w:rsid w:val="00EA2821"/>
    <w:rsid w:val="00EA2A83"/>
    <w:rsid w:val="00EA3003"/>
    <w:rsid w:val="00EA30F3"/>
    <w:rsid w:val="00EA34D3"/>
    <w:rsid w:val="00EA3DBB"/>
    <w:rsid w:val="00EA439B"/>
    <w:rsid w:val="00EA5478"/>
    <w:rsid w:val="00EA56F8"/>
    <w:rsid w:val="00EA5B41"/>
    <w:rsid w:val="00EA5B57"/>
    <w:rsid w:val="00EA5BD7"/>
    <w:rsid w:val="00EA5F29"/>
    <w:rsid w:val="00EA63D6"/>
    <w:rsid w:val="00EA653F"/>
    <w:rsid w:val="00EA6644"/>
    <w:rsid w:val="00EA6653"/>
    <w:rsid w:val="00EA6CB2"/>
    <w:rsid w:val="00EA6E89"/>
    <w:rsid w:val="00EA6EFC"/>
    <w:rsid w:val="00EA6F14"/>
    <w:rsid w:val="00EA73B5"/>
    <w:rsid w:val="00EA74B3"/>
    <w:rsid w:val="00EA7766"/>
    <w:rsid w:val="00EB0344"/>
    <w:rsid w:val="00EB0A1F"/>
    <w:rsid w:val="00EB0ACD"/>
    <w:rsid w:val="00EB0C38"/>
    <w:rsid w:val="00EB0CD6"/>
    <w:rsid w:val="00EB1012"/>
    <w:rsid w:val="00EB104B"/>
    <w:rsid w:val="00EB143A"/>
    <w:rsid w:val="00EB1560"/>
    <w:rsid w:val="00EB1B2C"/>
    <w:rsid w:val="00EB1B39"/>
    <w:rsid w:val="00EB1DBD"/>
    <w:rsid w:val="00EB2278"/>
    <w:rsid w:val="00EB2330"/>
    <w:rsid w:val="00EB25C2"/>
    <w:rsid w:val="00EB2BE5"/>
    <w:rsid w:val="00EB2E05"/>
    <w:rsid w:val="00EB2EF8"/>
    <w:rsid w:val="00EB3170"/>
    <w:rsid w:val="00EB357A"/>
    <w:rsid w:val="00EB38E9"/>
    <w:rsid w:val="00EB3F0D"/>
    <w:rsid w:val="00EB42CB"/>
    <w:rsid w:val="00EB439A"/>
    <w:rsid w:val="00EB47F8"/>
    <w:rsid w:val="00EB4C8C"/>
    <w:rsid w:val="00EB4E8A"/>
    <w:rsid w:val="00EB4EBA"/>
    <w:rsid w:val="00EB4EF0"/>
    <w:rsid w:val="00EB542C"/>
    <w:rsid w:val="00EB5541"/>
    <w:rsid w:val="00EB5777"/>
    <w:rsid w:val="00EB5815"/>
    <w:rsid w:val="00EB5AE9"/>
    <w:rsid w:val="00EB5C41"/>
    <w:rsid w:val="00EB5C85"/>
    <w:rsid w:val="00EB5D55"/>
    <w:rsid w:val="00EB6096"/>
    <w:rsid w:val="00EB6654"/>
    <w:rsid w:val="00EB673B"/>
    <w:rsid w:val="00EB67EE"/>
    <w:rsid w:val="00EB690D"/>
    <w:rsid w:val="00EB6CAF"/>
    <w:rsid w:val="00EB7476"/>
    <w:rsid w:val="00EB75DF"/>
    <w:rsid w:val="00EB760D"/>
    <w:rsid w:val="00EB7799"/>
    <w:rsid w:val="00EB78E5"/>
    <w:rsid w:val="00EB79C1"/>
    <w:rsid w:val="00EB7A4A"/>
    <w:rsid w:val="00EB7A9A"/>
    <w:rsid w:val="00EB7F8A"/>
    <w:rsid w:val="00EC062D"/>
    <w:rsid w:val="00EC086D"/>
    <w:rsid w:val="00EC0DA0"/>
    <w:rsid w:val="00EC0DA4"/>
    <w:rsid w:val="00EC1412"/>
    <w:rsid w:val="00EC1494"/>
    <w:rsid w:val="00EC15A4"/>
    <w:rsid w:val="00EC15D8"/>
    <w:rsid w:val="00EC16C3"/>
    <w:rsid w:val="00EC175B"/>
    <w:rsid w:val="00EC1ADC"/>
    <w:rsid w:val="00EC1B5A"/>
    <w:rsid w:val="00EC1B95"/>
    <w:rsid w:val="00EC1BEA"/>
    <w:rsid w:val="00EC1C5D"/>
    <w:rsid w:val="00EC1D55"/>
    <w:rsid w:val="00EC1E0D"/>
    <w:rsid w:val="00EC1E94"/>
    <w:rsid w:val="00EC1F5B"/>
    <w:rsid w:val="00EC2348"/>
    <w:rsid w:val="00EC23F3"/>
    <w:rsid w:val="00EC24A5"/>
    <w:rsid w:val="00EC261A"/>
    <w:rsid w:val="00EC2EFB"/>
    <w:rsid w:val="00EC300C"/>
    <w:rsid w:val="00EC3189"/>
    <w:rsid w:val="00EC35D9"/>
    <w:rsid w:val="00EC3973"/>
    <w:rsid w:val="00EC3B5A"/>
    <w:rsid w:val="00EC3E9C"/>
    <w:rsid w:val="00EC3FB1"/>
    <w:rsid w:val="00EC47CA"/>
    <w:rsid w:val="00EC4AE9"/>
    <w:rsid w:val="00EC4B3C"/>
    <w:rsid w:val="00EC514A"/>
    <w:rsid w:val="00EC5536"/>
    <w:rsid w:val="00EC5740"/>
    <w:rsid w:val="00EC5C2A"/>
    <w:rsid w:val="00EC5C8E"/>
    <w:rsid w:val="00EC5E94"/>
    <w:rsid w:val="00EC5F05"/>
    <w:rsid w:val="00EC6509"/>
    <w:rsid w:val="00EC652E"/>
    <w:rsid w:val="00EC656E"/>
    <w:rsid w:val="00EC669D"/>
    <w:rsid w:val="00EC72E3"/>
    <w:rsid w:val="00EC74D7"/>
    <w:rsid w:val="00EC7779"/>
    <w:rsid w:val="00EC79F7"/>
    <w:rsid w:val="00EC7A04"/>
    <w:rsid w:val="00EC7AFA"/>
    <w:rsid w:val="00EC7DEB"/>
    <w:rsid w:val="00ED003E"/>
    <w:rsid w:val="00ED00A7"/>
    <w:rsid w:val="00ED018D"/>
    <w:rsid w:val="00ED04F0"/>
    <w:rsid w:val="00ED0701"/>
    <w:rsid w:val="00ED0DA8"/>
    <w:rsid w:val="00ED11F0"/>
    <w:rsid w:val="00ED131B"/>
    <w:rsid w:val="00ED1A77"/>
    <w:rsid w:val="00ED1E10"/>
    <w:rsid w:val="00ED1EEE"/>
    <w:rsid w:val="00ED2217"/>
    <w:rsid w:val="00ED2584"/>
    <w:rsid w:val="00ED2B3D"/>
    <w:rsid w:val="00ED3392"/>
    <w:rsid w:val="00ED3530"/>
    <w:rsid w:val="00ED3759"/>
    <w:rsid w:val="00ED388B"/>
    <w:rsid w:val="00ED3A7B"/>
    <w:rsid w:val="00ED3E17"/>
    <w:rsid w:val="00ED3E36"/>
    <w:rsid w:val="00ED4504"/>
    <w:rsid w:val="00ED48EB"/>
    <w:rsid w:val="00ED4FF4"/>
    <w:rsid w:val="00ED513A"/>
    <w:rsid w:val="00ED52C2"/>
    <w:rsid w:val="00ED5A07"/>
    <w:rsid w:val="00ED5CE9"/>
    <w:rsid w:val="00ED5D7C"/>
    <w:rsid w:val="00ED601F"/>
    <w:rsid w:val="00ED6168"/>
    <w:rsid w:val="00ED66AD"/>
    <w:rsid w:val="00ED6E3D"/>
    <w:rsid w:val="00ED6E43"/>
    <w:rsid w:val="00ED74E5"/>
    <w:rsid w:val="00ED7646"/>
    <w:rsid w:val="00ED7692"/>
    <w:rsid w:val="00ED76D3"/>
    <w:rsid w:val="00ED78FC"/>
    <w:rsid w:val="00ED7B95"/>
    <w:rsid w:val="00EE0127"/>
    <w:rsid w:val="00EE031A"/>
    <w:rsid w:val="00EE0856"/>
    <w:rsid w:val="00EE0B0D"/>
    <w:rsid w:val="00EE1553"/>
    <w:rsid w:val="00EE15C6"/>
    <w:rsid w:val="00EE16F5"/>
    <w:rsid w:val="00EE17C1"/>
    <w:rsid w:val="00EE1A26"/>
    <w:rsid w:val="00EE1C0B"/>
    <w:rsid w:val="00EE1CF4"/>
    <w:rsid w:val="00EE2119"/>
    <w:rsid w:val="00EE215D"/>
    <w:rsid w:val="00EE2B30"/>
    <w:rsid w:val="00EE2C45"/>
    <w:rsid w:val="00EE2D87"/>
    <w:rsid w:val="00EE3872"/>
    <w:rsid w:val="00EE3947"/>
    <w:rsid w:val="00EE3D2C"/>
    <w:rsid w:val="00EE3ED1"/>
    <w:rsid w:val="00EE404A"/>
    <w:rsid w:val="00EE412A"/>
    <w:rsid w:val="00EE471B"/>
    <w:rsid w:val="00EE47E9"/>
    <w:rsid w:val="00EE4B8D"/>
    <w:rsid w:val="00EE5008"/>
    <w:rsid w:val="00EE505F"/>
    <w:rsid w:val="00EE5883"/>
    <w:rsid w:val="00EE59C8"/>
    <w:rsid w:val="00EE59EE"/>
    <w:rsid w:val="00EE5A6A"/>
    <w:rsid w:val="00EE5C7D"/>
    <w:rsid w:val="00EE60CA"/>
    <w:rsid w:val="00EE6162"/>
    <w:rsid w:val="00EE61A8"/>
    <w:rsid w:val="00EE63F5"/>
    <w:rsid w:val="00EE6C05"/>
    <w:rsid w:val="00EE7126"/>
    <w:rsid w:val="00EE7201"/>
    <w:rsid w:val="00EE777B"/>
    <w:rsid w:val="00EE7983"/>
    <w:rsid w:val="00EE7B80"/>
    <w:rsid w:val="00EE7CFD"/>
    <w:rsid w:val="00EF07FA"/>
    <w:rsid w:val="00EF0844"/>
    <w:rsid w:val="00EF0A10"/>
    <w:rsid w:val="00EF0BC6"/>
    <w:rsid w:val="00EF0C19"/>
    <w:rsid w:val="00EF0F15"/>
    <w:rsid w:val="00EF0F18"/>
    <w:rsid w:val="00EF0F21"/>
    <w:rsid w:val="00EF1112"/>
    <w:rsid w:val="00EF12EA"/>
    <w:rsid w:val="00EF19FF"/>
    <w:rsid w:val="00EF1A8D"/>
    <w:rsid w:val="00EF1AEA"/>
    <w:rsid w:val="00EF1B8D"/>
    <w:rsid w:val="00EF2268"/>
    <w:rsid w:val="00EF2523"/>
    <w:rsid w:val="00EF27B4"/>
    <w:rsid w:val="00EF2ABC"/>
    <w:rsid w:val="00EF2AD4"/>
    <w:rsid w:val="00EF2BC3"/>
    <w:rsid w:val="00EF2C3E"/>
    <w:rsid w:val="00EF2CE7"/>
    <w:rsid w:val="00EF3278"/>
    <w:rsid w:val="00EF3DC5"/>
    <w:rsid w:val="00EF4089"/>
    <w:rsid w:val="00EF450A"/>
    <w:rsid w:val="00EF4C26"/>
    <w:rsid w:val="00EF4C8B"/>
    <w:rsid w:val="00EF4E2B"/>
    <w:rsid w:val="00EF548F"/>
    <w:rsid w:val="00EF56D5"/>
    <w:rsid w:val="00EF58E3"/>
    <w:rsid w:val="00EF5E1B"/>
    <w:rsid w:val="00EF62A4"/>
    <w:rsid w:val="00EF656D"/>
    <w:rsid w:val="00EF6779"/>
    <w:rsid w:val="00EF701A"/>
    <w:rsid w:val="00EF7125"/>
    <w:rsid w:val="00EF79C7"/>
    <w:rsid w:val="00EF7BF3"/>
    <w:rsid w:val="00EF7D1F"/>
    <w:rsid w:val="00EF7E08"/>
    <w:rsid w:val="00F00ACE"/>
    <w:rsid w:val="00F00D19"/>
    <w:rsid w:val="00F01355"/>
    <w:rsid w:val="00F015C3"/>
    <w:rsid w:val="00F015DB"/>
    <w:rsid w:val="00F015E4"/>
    <w:rsid w:val="00F0169B"/>
    <w:rsid w:val="00F01D2F"/>
    <w:rsid w:val="00F02581"/>
    <w:rsid w:val="00F02953"/>
    <w:rsid w:val="00F03169"/>
    <w:rsid w:val="00F03266"/>
    <w:rsid w:val="00F0327D"/>
    <w:rsid w:val="00F03424"/>
    <w:rsid w:val="00F03614"/>
    <w:rsid w:val="00F037AE"/>
    <w:rsid w:val="00F03A6D"/>
    <w:rsid w:val="00F03DEB"/>
    <w:rsid w:val="00F03E41"/>
    <w:rsid w:val="00F04607"/>
    <w:rsid w:val="00F04615"/>
    <w:rsid w:val="00F04800"/>
    <w:rsid w:val="00F049DA"/>
    <w:rsid w:val="00F052AF"/>
    <w:rsid w:val="00F054E0"/>
    <w:rsid w:val="00F05519"/>
    <w:rsid w:val="00F059E8"/>
    <w:rsid w:val="00F05BCA"/>
    <w:rsid w:val="00F05D53"/>
    <w:rsid w:val="00F06F0D"/>
    <w:rsid w:val="00F0707C"/>
    <w:rsid w:val="00F0723C"/>
    <w:rsid w:val="00F076D9"/>
    <w:rsid w:val="00F0785D"/>
    <w:rsid w:val="00F07FEF"/>
    <w:rsid w:val="00F1044A"/>
    <w:rsid w:val="00F10598"/>
    <w:rsid w:val="00F105CB"/>
    <w:rsid w:val="00F1062A"/>
    <w:rsid w:val="00F107CF"/>
    <w:rsid w:val="00F10840"/>
    <w:rsid w:val="00F108BF"/>
    <w:rsid w:val="00F109F6"/>
    <w:rsid w:val="00F10CFA"/>
    <w:rsid w:val="00F10CFD"/>
    <w:rsid w:val="00F11395"/>
    <w:rsid w:val="00F113BA"/>
    <w:rsid w:val="00F114D6"/>
    <w:rsid w:val="00F11A0C"/>
    <w:rsid w:val="00F11EB9"/>
    <w:rsid w:val="00F12461"/>
    <w:rsid w:val="00F125E3"/>
    <w:rsid w:val="00F126F4"/>
    <w:rsid w:val="00F12D13"/>
    <w:rsid w:val="00F12DCA"/>
    <w:rsid w:val="00F12E16"/>
    <w:rsid w:val="00F13611"/>
    <w:rsid w:val="00F13718"/>
    <w:rsid w:val="00F1381C"/>
    <w:rsid w:val="00F13CF7"/>
    <w:rsid w:val="00F13D0C"/>
    <w:rsid w:val="00F13F18"/>
    <w:rsid w:val="00F142D1"/>
    <w:rsid w:val="00F1475C"/>
    <w:rsid w:val="00F14D43"/>
    <w:rsid w:val="00F14DBE"/>
    <w:rsid w:val="00F14F1F"/>
    <w:rsid w:val="00F152C4"/>
    <w:rsid w:val="00F154A7"/>
    <w:rsid w:val="00F1599A"/>
    <w:rsid w:val="00F15B12"/>
    <w:rsid w:val="00F15B7F"/>
    <w:rsid w:val="00F15E44"/>
    <w:rsid w:val="00F15F84"/>
    <w:rsid w:val="00F1609A"/>
    <w:rsid w:val="00F1609C"/>
    <w:rsid w:val="00F16268"/>
    <w:rsid w:val="00F163FE"/>
    <w:rsid w:val="00F16488"/>
    <w:rsid w:val="00F16569"/>
    <w:rsid w:val="00F166B2"/>
    <w:rsid w:val="00F16736"/>
    <w:rsid w:val="00F16A68"/>
    <w:rsid w:val="00F16CAC"/>
    <w:rsid w:val="00F16DF4"/>
    <w:rsid w:val="00F16E55"/>
    <w:rsid w:val="00F16E71"/>
    <w:rsid w:val="00F16F5A"/>
    <w:rsid w:val="00F17110"/>
    <w:rsid w:val="00F17159"/>
    <w:rsid w:val="00F173BB"/>
    <w:rsid w:val="00F17D00"/>
    <w:rsid w:val="00F17D0C"/>
    <w:rsid w:val="00F17D10"/>
    <w:rsid w:val="00F17D64"/>
    <w:rsid w:val="00F17DA5"/>
    <w:rsid w:val="00F17E0D"/>
    <w:rsid w:val="00F17E80"/>
    <w:rsid w:val="00F17F3A"/>
    <w:rsid w:val="00F20078"/>
    <w:rsid w:val="00F203F1"/>
    <w:rsid w:val="00F20899"/>
    <w:rsid w:val="00F2094D"/>
    <w:rsid w:val="00F20E21"/>
    <w:rsid w:val="00F20E7F"/>
    <w:rsid w:val="00F21062"/>
    <w:rsid w:val="00F213A6"/>
    <w:rsid w:val="00F213F2"/>
    <w:rsid w:val="00F2164D"/>
    <w:rsid w:val="00F21832"/>
    <w:rsid w:val="00F21A30"/>
    <w:rsid w:val="00F21EA7"/>
    <w:rsid w:val="00F22319"/>
    <w:rsid w:val="00F2267D"/>
    <w:rsid w:val="00F2285B"/>
    <w:rsid w:val="00F2293D"/>
    <w:rsid w:val="00F22A1D"/>
    <w:rsid w:val="00F22A6B"/>
    <w:rsid w:val="00F22D6E"/>
    <w:rsid w:val="00F22DC9"/>
    <w:rsid w:val="00F2311C"/>
    <w:rsid w:val="00F23154"/>
    <w:rsid w:val="00F231BD"/>
    <w:rsid w:val="00F238A5"/>
    <w:rsid w:val="00F23B03"/>
    <w:rsid w:val="00F23D72"/>
    <w:rsid w:val="00F24033"/>
    <w:rsid w:val="00F246B1"/>
    <w:rsid w:val="00F24BA9"/>
    <w:rsid w:val="00F25118"/>
    <w:rsid w:val="00F252B3"/>
    <w:rsid w:val="00F2542D"/>
    <w:rsid w:val="00F257DB"/>
    <w:rsid w:val="00F25848"/>
    <w:rsid w:val="00F25979"/>
    <w:rsid w:val="00F25EA7"/>
    <w:rsid w:val="00F25EDD"/>
    <w:rsid w:val="00F26098"/>
    <w:rsid w:val="00F26628"/>
    <w:rsid w:val="00F2736A"/>
    <w:rsid w:val="00F27619"/>
    <w:rsid w:val="00F27657"/>
    <w:rsid w:val="00F2770C"/>
    <w:rsid w:val="00F27C07"/>
    <w:rsid w:val="00F27D62"/>
    <w:rsid w:val="00F30003"/>
    <w:rsid w:val="00F30502"/>
    <w:rsid w:val="00F31B43"/>
    <w:rsid w:val="00F31CB2"/>
    <w:rsid w:val="00F31FF5"/>
    <w:rsid w:val="00F32A31"/>
    <w:rsid w:val="00F32B82"/>
    <w:rsid w:val="00F32C9D"/>
    <w:rsid w:val="00F33123"/>
    <w:rsid w:val="00F338AB"/>
    <w:rsid w:val="00F339DF"/>
    <w:rsid w:val="00F33C65"/>
    <w:rsid w:val="00F3432E"/>
    <w:rsid w:val="00F34466"/>
    <w:rsid w:val="00F34B1A"/>
    <w:rsid w:val="00F34C1C"/>
    <w:rsid w:val="00F34D58"/>
    <w:rsid w:val="00F34E37"/>
    <w:rsid w:val="00F3508C"/>
    <w:rsid w:val="00F350D4"/>
    <w:rsid w:val="00F352C2"/>
    <w:rsid w:val="00F359B6"/>
    <w:rsid w:val="00F368BA"/>
    <w:rsid w:val="00F36A42"/>
    <w:rsid w:val="00F36B3B"/>
    <w:rsid w:val="00F36CE0"/>
    <w:rsid w:val="00F3757F"/>
    <w:rsid w:val="00F377A5"/>
    <w:rsid w:val="00F37823"/>
    <w:rsid w:val="00F3793E"/>
    <w:rsid w:val="00F40121"/>
    <w:rsid w:val="00F40578"/>
    <w:rsid w:val="00F40656"/>
    <w:rsid w:val="00F40695"/>
    <w:rsid w:val="00F407F0"/>
    <w:rsid w:val="00F409A0"/>
    <w:rsid w:val="00F40C60"/>
    <w:rsid w:val="00F40F34"/>
    <w:rsid w:val="00F40FF0"/>
    <w:rsid w:val="00F41150"/>
    <w:rsid w:val="00F411C3"/>
    <w:rsid w:val="00F411F0"/>
    <w:rsid w:val="00F413D1"/>
    <w:rsid w:val="00F41B2E"/>
    <w:rsid w:val="00F41D93"/>
    <w:rsid w:val="00F4208A"/>
    <w:rsid w:val="00F42110"/>
    <w:rsid w:val="00F42153"/>
    <w:rsid w:val="00F42197"/>
    <w:rsid w:val="00F422EA"/>
    <w:rsid w:val="00F422EC"/>
    <w:rsid w:val="00F43045"/>
    <w:rsid w:val="00F43317"/>
    <w:rsid w:val="00F434FC"/>
    <w:rsid w:val="00F43628"/>
    <w:rsid w:val="00F4386D"/>
    <w:rsid w:val="00F43AC4"/>
    <w:rsid w:val="00F43DD4"/>
    <w:rsid w:val="00F4440D"/>
    <w:rsid w:val="00F44588"/>
    <w:rsid w:val="00F4464B"/>
    <w:rsid w:val="00F44990"/>
    <w:rsid w:val="00F449FD"/>
    <w:rsid w:val="00F4592B"/>
    <w:rsid w:val="00F45AC7"/>
    <w:rsid w:val="00F45D94"/>
    <w:rsid w:val="00F461AD"/>
    <w:rsid w:val="00F464B5"/>
    <w:rsid w:val="00F46892"/>
    <w:rsid w:val="00F468A4"/>
    <w:rsid w:val="00F468CB"/>
    <w:rsid w:val="00F46CAD"/>
    <w:rsid w:val="00F46D3D"/>
    <w:rsid w:val="00F46D9E"/>
    <w:rsid w:val="00F47557"/>
    <w:rsid w:val="00F47954"/>
    <w:rsid w:val="00F4795A"/>
    <w:rsid w:val="00F47B44"/>
    <w:rsid w:val="00F47C5E"/>
    <w:rsid w:val="00F47ED8"/>
    <w:rsid w:val="00F5065C"/>
    <w:rsid w:val="00F507A3"/>
    <w:rsid w:val="00F50F31"/>
    <w:rsid w:val="00F51049"/>
    <w:rsid w:val="00F51256"/>
    <w:rsid w:val="00F51262"/>
    <w:rsid w:val="00F512C0"/>
    <w:rsid w:val="00F515B9"/>
    <w:rsid w:val="00F51B13"/>
    <w:rsid w:val="00F51D28"/>
    <w:rsid w:val="00F5292E"/>
    <w:rsid w:val="00F531A7"/>
    <w:rsid w:val="00F540BB"/>
    <w:rsid w:val="00F5444C"/>
    <w:rsid w:val="00F5523C"/>
    <w:rsid w:val="00F55452"/>
    <w:rsid w:val="00F5576C"/>
    <w:rsid w:val="00F55DAE"/>
    <w:rsid w:val="00F55E28"/>
    <w:rsid w:val="00F55E7B"/>
    <w:rsid w:val="00F55FA4"/>
    <w:rsid w:val="00F5625E"/>
    <w:rsid w:val="00F5630A"/>
    <w:rsid w:val="00F564C9"/>
    <w:rsid w:val="00F568A9"/>
    <w:rsid w:val="00F56FE6"/>
    <w:rsid w:val="00F57348"/>
    <w:rsid w:val="00F575EC"/>
    <w:rsid w:val="00F57703"/>
    <w:rsid w:val="00F57759"/>
    <w:rsid w:val="00F577D9"/>
    <w:rsid w:val="00F5787B"/>
    <w:rsid w:val="00F57FA2"/>
    <w:rsid w:val="00F6000A"/>
    <w:rsid w:val="00F60B76"/>
    <w:rsid w:val="00F60D79"/>
    <w:rsid w:val="00F6100D"/>
    <w:rsid w:val="00F61044"/>
    <w:rsid w:val="00F61262"/>
    <w:rsid w:val="00F61330"/>
    <w:rsid w:val="00F614ED"/>
    <w:rsid w:val="00F6224B"/>
    <w:rsid w:val="00F628DF"/>
    <w:rsid w:val="00F62BFD"/>
    <w:rsid w:val="00F634B4"/>
    <w:rsid w:val="00F63567"/>
    <w:rsid w:val="00F635EE"/>
    <w:rsid w:val="00F63A92"/>
    <w:rsid w:val="00F63E40"/>
    <w:rsid w:val="00F63F6C"/>
    <w:rsid w:val="00F63FFC"/>
    <w:rsid w:val="00F6452F"/>
    <w:rsid w:val="00F64550"/>
    <w:rsid w:val="00F6462A"/>
    <w:rsid w:val="00F64A2B"/>
    <w:rsid w:val="00F64B86"/>
    <w:rsid w:val="00F64DE7"/>
    <w:rsid w:val="00F65191"/>
    <w:rsid w:val="00F653EC"/>
    <w:rsid w:val="00F6556F"/>
    <w:rsid w:val="00F655E7"/>
    <w:rsid w:val="00F657EA"/>
    <w:rsid w:val="00F65928"/>
    <w:rsid w:val="00F65981"/>
    <w:rsid w:val="00F65BCF"/>
    <w:rsid w:val="00F65C28"/>
    <w:rsid w:val="00F65EAC"/>
    <w:rsid w:val="00F66127"/>
    <w:rsid w:val="00F66406"/>
    <w:rsid w:val="00F664EE"/>
    <w:rsid w:val="00F668F8"/>
    <w:rsid w:val="00F66A07"/>
    <w:rsid w:val="00F66B1F"/>
    <w:rsid w:val="00F67102"/>
    <w:rsid w:val="00F67271"/>
    <w:rsid w:val="00F675AD"/>
    <w:rsid w:val="00F675EB"/>
    <w:rsid w:val="00F67A05"/>
    <w:rsid w:val="00F67C8C"/>
    <w:rsid w:val="00F67E59"/>
    <w:rsid w:val="00F704FC"/>
    <w:rsid w:val="00F70572"/>
    <w:rsid w:val="00F705EC"/>
    <w:rsid w:val="00F7067A"/>
    <w:rsid w:val="00F706C5"/>
    <w:rsid w:val="00F70737"/>
    <w:rsid w:val="00F7085B"/>
    <w:rsid w:val="00F70D9B"/>
    <w:rsid w:val="00F712C1"/>
    <w:rsid w:val="00F715AF"/>
    <w:rsid w:val="00F716C4"/>
    <w:rsid w:val="00F7177B"/>
    <w:rsid w:val="00F718C9"/>
    <w:rsid w:val="00F71AE9"/>
    <w:rsid w:val="00F71B69"/>
    <w:rsid w:val="00F71B9E"/>
    <w:rsid w:val="00F724A6"/>
    <w:rsid w:val="00F724D5"/>
    <w:rsid w:val="00F726C1"/>
    <w:rsid w:val="00F7282B"/>
    <w:rsid w:val="00F72EAA"/>
    <w:rsid w:val="00F73032"/>
    <w:rsid w:val="00F730F7"/>
    <w:rsid w:val="00F7335B"/>
    <w:rsid w:val="00F735ED"/>
    <w:rsid w:val="00F7365B"/>
    <w:rsid w:val="00F73777"/>
    <w:rsid w:val="00F74056"/>
    <w:rsid w:val="00F741B6"/>
    <w:rsid w:val="00F74636"/>
    <w:rsid w:val="00F7475D"/>
    <w:rsid w:val="00F7494A"/>
    <w:rsid w:val="00F74A6D"/>
    <w:rsid w:val="00F74C1E"/>
    <w:rsid w:val="00F75CD5"/>
    <w:rsid w:val="00F7602A"/>
    <w:rsid w:val="00F760F8"/>
    <w:rsid w:val="00F76210"/>
    <w:rsid w:val="00F7648A"/>
    <w:rsid w:val="00F76509"/>
    <w:rsid w:val="00F766CA"/>
    <w:rsid w:val="00F76B21"/>
    <w:rsid w:val="00F76CC4"/>
    <w:rsid w:val="00F76FFD"/>
    <w:rsid w:val="00F77065"/>
    <w:rsid w:val="00F77436"/>
    <w:rsid w:val="00F77599"/>
    <w:rsid w:val="00F778BA"/>
    <w:rsid w:val="00F77D05"/>
    <w:rsid w:val="00F80009"/>
    <w:rsid w:val="00F801DD"/>
    <w:rsid w:val="00F80419"/>
    <w:rsid w:val="00F809C8"/>
    <w:rsid w:val="00F8122D"/>
    <w:rsid w:val="00F816E4"/>
    <w:rsid w:val="00F81C22"/>
    <w:rsid w:val="00F81D0B"/>
    <w:rsid w:val="00F81D69"/>
    <w:rsid w:val="00F81EE8"/>
    <w:rsid w:val="00F82537"/>
    <w:rsid w:val="00F8282A"/>
    <w:rsid w:val="00F82BBA"/>
    <w:rsid w:val="00F82E40"/>
    <w:rsid w:val="00F82F4B"/>
    <w:rsid w:val="00F834AD"/>
    <w:rsid w:val="00F83747"/>
    <w:rsid w:val="00F83751"/>
    <w:rsid w:val="00F83AB0"/>
    <w:rsid w:val="00F83E5A"/>
    <w:rsid w:val="00F84B25"/>
    <w:rsid w:val="00F84EA8"/>
    <w:rsid w:val="00F8549E"/>
    <w:rsid w:val="00F85507"/>
    <w:rsid w:val="00F855B2"/>
    <w:rsid w:val="00F85652"/>
    <w:rsid w:val="00F85F8A"/>
    <w:rsid w:val="00F866B4"/>
    <w:rsid w:val="00F8670D"/>
    <w:rsid w:val="00F86837"/>
    <w:rsid w:val="00F86BE3"/>
    <w:rsid w:val="00F86DCC"/>
    <w:rsid w:val="00F86FAA"/>
    <w:rsid w:val="00F870AC"/>
    <w:rsid w:val="00F871C4"/>
    <w:rsid w:val="00F874E5"/>
    <w:rsid w:val="00F878C8"/>
    <w:rsid w:val="00F878F8"/>
    <w:rsid w:val="00F87998"/>
    <w:rsid w:val="00F87B1A"/>
    <w:rsid w:val="00F87D22"/>
    <w:rsid w:val="00F90384"/>
    <w:rsid w:val="00F90644"/>
    <w:rsid w:val="00F90982"/>
    <w:rsid w:val="00F90D98"/>
    <w:rsid w:val="00F90E27"/>
    <w:rsid w:val="00F91124"/>
    <w:rsid w:val="00F91173"/>
    <w:rsid w:val="00F91325"/>
    <w:rsid w:val="00F9140A"/>
    <w:rsid w:val="00F91615"/>
    <w:rsid w:val="00F918B2"/>
    <w:rsid w:val="00F919C1"/>
    <w:rsid w:val="00F919C2"/>
    <w:rsid w:val="00F91B55"/>
    <w:rsid w:val="00F91FA4"/>
    <w:rsid w:val="00F92043"/>
    <w:rsid w:val="00F927C7"/>
    <w:rsid w:val="00F92C77"/>
    <w:rsid w:val="00F92CF4"/>
    <w:rsid w:val="00F92E70"/>
    <w:rsid w:val="00F92E76"/>
    <w:rsid w:val="00F9392B"/>
    <w:rsid w:val="00F9434B"/>
    <w:rsid w:val="00F9446A"/>
    <w:rsid w:val="00F94AD9"/>
    <w:rsid w:val="00F94BF4"/>
    <w:rsid w:val="00F94CB3"/>
    <w:rsid w:val="00F94DF0"/>
    <w:rsid w:val="00F953BC"/>
    <w:rsid w:val="00F95405"/>
    <w:rsid w:val="00F9565E"/>
    <w:rsid w:val="00F956E9"/>
    <w:rsid w:val="00F95715"/>
    <w:rsid w:val="00F958A3"/>
    <w:rsid w:val="00F9593E"/>
    <w:rsid w:val="00F95AF5"/>
    <w:rsid w:val="00F95BAC"/>
    <w:rsid w:val="00F95F2B"/>
    <w:rsid w:val="00F9604B"/>
    <w:rsid w:val="00F964FC"/>
    <w:rsid w:val="00F9672C"/>
    <w:rsid w:val="00F96A78"/>
    <w:rsid w:val="00F96AC0"/>
    <w:rsid w:val="00F96CD9"/>
    <w:rsid w:val="00F96E45"/>
    <w:rsid w:val="00F96F6B"/>
    <w:rsid w:val="00F97072"/>
    <w:rsid w:val="00F9713B"/>
    <w:rsid w:val="00F9766D"/>
    <w:rsid w:val="00F978DF"/>
    <w:rsid w:val="00F97929"/>
    <w:rsid w:val="00FA038B"/>
    <w:rsid w:val="00FA062A"/>
    <w:rsid w:val="00FA0BD5"/>
    <w:rsid w:val="00FA0C4F"/>
    <w:rsid w:val="00FA0EE1"/>
    <w:rsid w:val="00FA20C4"/>
    <w:rsid w:val="00FA2166"/>
    <w:rsid w:val="00FA2240"/>
    <w:rsid w:val="00FA2458"/>
    <w:rsid w:val="00FA2B72"/>
    <w:rsid w:val="00FA2C14"/>
    <w:rsid w:val="00FA2E0E"/>
    <w:rsid w:val="00FA2E2B"/>
    <w:rsid w:val="00FA3353"/>
    <w:rsid w:val="00FA33DF"/>
    <w:rsid w:val="00FA33EF"/>
    <w:rsid w:val="00FA3A61"/>
    <w:rsid w:val="00FA3AE7"/>
    <w:rsid w:val="00FA3D56"/>
    <w:rsid w:val="00FA3D70"/>
    <w:rsid w:val="00FA3FC3"/>
    <w:rsid w:val="00FA41CB"/>
    <w:rsid w:val="00FA4341"/>
    <w:rsid w:val="00FA44A2"/>
    <w:rsid w:val="00FA4618"/>
    <w:rsid w:val="00FA47F4"/>
    <w:rsid w:val="00FA4CD4"/>
    <w:rsid w:val="00FA4DB7"/>
    <w:rsid w:val="00FA56DC"/>
    <w:rsid w:val="00FA56EB"/>
    <w:rsid w:val="00FA5A16"/>
    <w:rsid w:val="00FA5A88"/>
    <w:rsid w:val="00FA5CD9"/>
    <w:rsid w:val="00FA5D7F"/>
    <w:rsid w:val="00FA64BA"/>
    <w:rsid w:val="00FA6716"/>
    <w:rsid w:val="00FA6D8D"/>
    <w:rsid w:val="00FA709D"/>
    <w:rsid w:val="00FA747B"/>
    <w:rsid w:val="00FA74F7"/>
    <w:rsid w:val="00FA78DC"/>
    <w:rsid w:val="00FA7DEF"/>
    <w:rsid w:val="00FA7F35"/>
    <w:rsid w:val="00FA7F90"/>
    <w:rsid w:val="00FB00B1"/>
    <w:rsid w:val="00FB0320"/>
    <w:rsid w:val="00FB03B6"/>
    <w:rsid w:val="00FB0433"/>
    <w:rsid w:val="00FB06FF"/>
    <w:rsid w:val="00FB0712"/>
    <w:rsid w:val="00FB0AD8"/>
    <w:rsid w:val="00FB0CAC"/>
    <w:rsid w:val="00FB1068"/>
    <w:rsid w:val="00FB10BC"/>
    <w:rsid w:val="00FB1568"/>
    <w:rsid w:val="00FB1724"/>
    <w:rsid w:val="00FB17A5"/>
    <w:rsid w:val="00FB17FE"/>
    <w:rsid w:val="00FB1A35"/>
    <w:rsid w:val="00FB1BD1"/>
    <w:rsid w:val="00FB1BD6"/>
    <w:rsid w:val="00FB1EAF"/>
    <w:rsid w:val="00FB23A0"/>
    <w:rsid w:val="00FB278A"/>
    <w:rsid w:val="00FB27D2"/>
    <w:rsid w:val="00FB2933"/>
    <w:rsid w:val="00FB2A57"/>
    <w:rsid w:val="00FB2A84"/>
    <w:rsid w:val="00FB2B15"/>
    <w:rsid w:val="00FB2C76"/>
    <w:rsid w:val="00FB3126"/>
    <w:rsid w:val="00FB334D"/>
    <w:rsid w:val="00FB35D1"/>
    <w:rsid w:val="00FB38D4"/>
    <w:rsid w:val="00FB3A5E"/>
    <w:rsid w:val="00FB3B83"/>
    <w:rsid w:val="00FB3B88"/>
    <w:rsid w:val="00FB3C12"/>
    <w:rsid w:val="00FB3F93"/>
    <w:rsid w:val="00FB4266"/>
    <w:rsid w:val="00FB4B38"/>
    <w:rsid w:val="00FB515A"/>
    <w:rsid w:val="00FB5167"/>
    <w:rsid w:val="00FB51F7"/>
    <w:rsid w:val="00FB52B7"/>
    <w:rsid w:val="00FB586B"/>
    <w:rsid w:val="00FB5D0F"/>
    <w:rsid w:val="00FB5E01"/>
    <w:rsid w:val="00FB5F54"/>
    <w:rsid w:val="00FB62C3"/>
    <w:rsid w:val="00FB637F"/>
    <w:rsid w:val="00FB6813"/>
    <w:rsid w:val="00FB79C9"/>
    <w:rsid w:val="00FB7FD9"/>
    <w:rsid w:val="00FC03B7"/>
    <w:rsid w:val="00FC07B4"/>
    <w:rsid w:val="00FC0910"/>
    <w:rsid w:val="00FC0AAA"/>
    <w:rsid w:val="00FC0B16"/>
    <w:rsid w:val="00FC0CB4"/>
    <w:rsid w:val="00FC0D3C"/>
    <w:rsid w:val="00FC0E11"/>
    <w:rsid w:val="00FC10E4"/>
    <w:rsid w:val="00FC1182"/>
    <w:rsid w:val="00FC1268"/>
    <w:rsid w:val="00FC1304"/>
    <w:rsid w:val="00FC1680"/>
    <w:rsid w:val="00FC1913"/>
    <w:rsid w:val="00FC1D67"/>
    <w:rsid w:val="00FC23F6"/>
    <w:rsid w:val="00FC24CF"/>
    <w:rsid w:val="00FC25E8"/>
    <w:rsid w:val="00FC2709"/>
    <w:rsid w:val="00FC27B2"/>
    <w:rsid w:val="00FC2919"/>
    <w:rsid w:val="00FC3042"/>
    <w:rsid w:val="00FC33DC"/>
    <w:rsid w:val="00FC3996"/>
    <w:rsid w:val="00FC39A3"/>
    <w:rsid w:val="00FC3AF9"/>
    <w:rsid w:val="00FC43D4"/>
    <w:rsid w:val="00FC4887"/>
    <w:rsid w:val="00FC493A"/>
    <w:rsid w:val="00FC4A38"/>
    <w:rsid w:val="00FC4EEB"/>
    <w:rsid w:val="00FC527B"/>
    <w:rsid w:val="00FC5343"/>
    <w:rsid w:val="00FC535F"/>
    <w:rsid w:val="00FC5587"/>
    <w:rsid w:val="00FC56F1"/>
    <w:rsid w:val="00FC5C7C"/>
    <w:rsid w:val="00FC63AE"/>
    <w:rsid w:val="00FC64C3"/>
    <w:rsid w:val="00FC6E8A"/>
    <w:rsid w:val="00FC6F0F"/>
    <w:rsid w:val="00FC70F5"/>
    <w:rsid w:val="00FC79B0"/>
    <w:rsid w:val="00FC7CB2"/>
    <w:rsid w:val="00FC7CC4"/>
    <w:rsid w:val="00FC7FA0"/>
    <w:rsid w:val="00FD0453"/>
    <w:rsid w:val="00FD07CA"/>
    <w:rsid w:val="00FD0A90"/>
    <w:rsid w:val="00FD0BAE"/>
    <w:rsid w:val="00FD0BF6"/>
    <w:rsid w:val="00FD0EC1"/>
    <w:rsid w:val="00FD10CB"/>
    <w:rsid w:val="00FD1315"/>
    <w:rsid w:val="00FD1594"/>
    <w:rsid w:val="00FD16CB"/>
    <w:rsid w:val="00FD189B"/>
    <w:rsid w:val="00FD1C09"/>
    <w:rsid w:val="00FD203C"/>
    <w:rsid w:val="00FD23A0"/>
    <w:rsid w:val="00FD241E"/>
    <w:rsid w:val="00FD246D"/>
    <w:rsid w:val="00FD267C"/>
    <w:rsid w:val="00FD2942"/>
    <w:rsid w:val="00FD2BA0"/>
    <w:rsid w:val="00FD305C"/>
    <w:rsid w:val="00FD3CF3"/>
    <w:rsid w:val="00FD3F84"/>
    <w:rsid w:val="00FD404B"/>
    <w:rsid w:val="00FD43C5"/>
    <w:rsid w:val="00FD46F2"/>
    <w:rsid w:val="00FD49A7"/>
    <w:rsid w:val="00FD4A6D"/>
    <w:rsid w:val="00FD4E1F"/>
    <w:rsid w:val="00FD5329"/>
    <w:rsid w:val="00FD57B1"/>
    <w:rsid w:val="00FD58F3"/>
    <w:rsid w:val="00FD5DE4"/>
    <w:rsid w:val="00FD6128"/>
    <w:rsid w:val="00FD6F69"/>
    <w:rsid w:val="00FD7832"/>
    <w:rsid w:val="00FD783F"/>
    <w:rsid w:val="00FD7986"/>
    <w:rsid w:val="00FD7BED"/>
    <w:rsid w:val="00FD7E30"/>
    <w:rsid w:val="00FD7E4C"/>
    <w:rsid w:val="00FE00FD"/>
    <w:rsid w:val="00FE017E"/>
    <w:rsid w:val="00FE0319"/>
    <w:rsid w:val="00FE0462"/>
    <w:rsid w:val="00FE04AE"/>
    <w:rsid w:val="00FE08F6"/>
    <w:rsid w:val="00FE09A4"/>
    <w:rsid w:val="00FE09F1"/>
    <w:rsid w:val="00FE0F29"/>
    <w:rsid w:val="00FE129A"/>
    <w:rsid w:val="00FE130B"/>
    <w:rsid w:val="00FE1328"/>
    <w:rsid w:val="00FE169A"/>
    <w:rsid w:val="00FE1DB0"/>
    <w:rsid w:val="00FE20FB"/>
    <w:rsid w:val="00FE2167"/>
    <w:rsid w:val="00FE288F"/>
    <w:rsid w:val="00FE32F2"/>
    <w:rsid w:val="00FE3F6F"/>
    <w:rsid w:val="00FE43CE"/>
    <w:rsid w:val="00FE4A27"/>
    <w:rsid w:val="00FE4A8F"/>
    <w:rsid w:val="00FE4B86"/>
    <w:rsid w:val="00FE4B8D"/>
    <w:rsid w:val="00FE4E9A"/>
    <w:rsid w:val="00FE4F49"/>
    <w:rsid w:val="00FE4F5B"/>
    <w:rsid w:val="00FE563F"/>
    <w:rsid w:val="00FE58AF"/>
    <w:rsid w:val="00FE58D4"/>
    <w:rsid w:val="00FE68C9"/>
    <w:rsid w:val="00FE6A34"/>
    <w:rsid w:val="00FE6BFF"/>
    <w:rsid w:val="00FE71D4"/>
    <w:rsid w:val="00FE79E6"/>
    <w:rsid w:val="00FE7C78"/>
    <w:rsid w:val="00FE7E4D"/>
    <w:rsid w:val="00FE7FEC"/>
    <w:rsid w:val="00FF013F"/>
    <w:rsid w:val="00FF03E3"/>
    <w:rsid w:val="00FF056A"/>
    <w:rsid w:val="00FF08E2"/>
    <w:rsid w:val="00FF0A2D"/>
    <w:rsid w:val="00FF0ED8"/>
    <w:rsid w:val="00FF18A3"/>
    <w:rsid w:val="00FF19DF"/>
    <w:rsid w:val="00FF1B86"/>
    <w:rsid w:val="00FF1BAA"/>
    <w:rsid w:val="00FF1F26"/>
    <w:rsid w:val="00FF1FFD"/>
    <w:rsid w:val="00FF21A2"/>
    <w:rsid w:val="00FF2B85"/>
    <w:rsid w:val="00FF3767"/>
    <w:rsid w:val="00FF37F0"/>
    <w:rsid w:val="00FF38CB"/>
    <w:rsid w:val="00FF3A12"/>
    <w:rsid w:val="00FF3B24"/>
    <w:rsid w:val="00FF3B91"/>
    <w:rsid w:val="00FF48AB"/>
    <w:rsid w:val="00FF59D2"/>
    <w:rsid w:val="00FF6353"/>
    <w:rsid w:val="00FF64AD"/>
    <w:rsid w:val="00FF6609"/>
    <w:rsid w:val="00FF6915"/>
    <w:rsid w:val="00FF6924"/>
    <w:rsid w:val="00FF6B34"/>
    <w:rsid w:val="00FF6C6E"/>
    <w:rsid w:val="00FF6E41"/>
    <w:rsid w:val="00FF6FB6"/>
    <w:rsid w:val="00FF707F"/>
    <w:rsid w:val="00FF7274"/>
    <w:rsid w:val="00FF751D"/>
    <w:rsid w:val="00FF76FE"/>
    <w:rsid w:val="00FF7713"/>
    <w:rsid w:val="00FF7A02"/>
    <w:rsid w:val="01176D58"/>
    <w:rsid w:val="0118463F"/>
    <w:rsid w:val="01499266"/>
    <w:rsid w:val="018F4239"/>
    <w:rsid w:val="01900A04"/>
    <w:rsid w:val="01957D91"/>
    <w:rsid w:val="01C967A6"/>
    <w:rsid w:val="01F875D2"/>
    <w:rsid w:val="020CD280"/>
    <w:rsid w:val="0212B5B7"/>
    <w:rsid w:val="021E4941"/>
    <w:rsid w:val="0220414F"/>
    <w:rsid w:val="0253628E"/>
    <w:rsid w:val="027611E1"/>
    <w:rsid w:val="0297B66F"/>
    <w:rsid w:val="0298CE83"/>
    <w:rsid w:val="0299DF84"/>
    <w:rsid w:val="02BF34F1"/>
    <w:rsid w:val="02DD9468"/>
    <w:rsid w:val="02F0AC65"/>
    <w:rsid w:val="0313FEF0"/>
    <w:rsid w:val="0316BDBA"/>
    <w:rsid w:val="0332A14B"/>
    <w:rsid w:val="0357EC21"/>
    <w:rsid w:val="036DD423"/>
    <w:rsid w:val="0373427A"/>
    <w:rsid w:val="03866C58"/>
    <w:rsid w:val="039FE576"/>
    <w:rsid w:val="03AB449A"/>
    <w:rsid w:val="03AC4172"/>
    <w:rsid w:val="0407F56A"/>
    <w:rsid w:val="04533EA3"/>
    <w:rsid w:val="046081AE"/>
    <w:rsid w:val="04A6FC0E"/>
    <w:rsid w:val="04AF2694"/>
    <w:rsid w:val="0585E957"/>
    <w:rsid w:val="05B9699E"/>
    <w:rsid w:val="05C82BA1"/>
    <w:rsid w:val="05CD2277"/>
    <w:rsid w:val="05D81EAB"/>
    <w:rsid w:val="05E4109C"/>
    <w:rsid w:val="0643C5DB"/>
    <w:rsid w:val="065786A5"/>
    <w:rsid w:val="065B1C04"/>
    <w:rsid w:val="068E18D1"/>
    <w:rsid w:val="069048A8"/>
    <w:rsid w:val="06938C27"/>
    <w:rsid w:val="06A9B3D5"/>
    <w:rsid w:val="06B1458D"/>
    <w:rsid w:val="06ECEE52"/>
    <w:rsid w:val="0710CD8E"/>
    <w:rsid w:val="07124420"/>
    <w:rsid w:val="07563CAA"/>
    <w:rsid w:val="0763EDDA"/>
    <w:rsid w:val="07A7077C"/>
    <w:rsid w:val="07BD2197"/>
    <w:rsid w:val="07DB5A2A"/>
    <w:rsid w:val="08050428"/>
    <w:rsid w:val="080C6F4A"/>
    <w:rsid w:val="0812CAD4"/>
    <w:rsid w:val="082B4F1A"/>
    <w:rsid w:val="082F2676"/>
    <w:rsid w:val="08479936"/>
    <w:rsid w:val="08735699"/>
    <w:rsid w:val="0897A47D"/>
    <w:rsid w:val="08C20AC6"/>
    <w:rsid w:val="08DB5433"/>
    <w:rsid w:val="09073F5C"/>
    <w:rsid w:val="0909417D"/>
    <w:rsid w:val="091994B8"/>
    <w:rsid w:val="0924CBDB"/>
    <w:rsid w:val="092513ED"/>
    <w:rsid w:val="093D5612"/>
    <w:rsid w:val="096EDD03"/>
    <w:rsid w:val="097095AD"/>
    <w:rsid w:val="09EF4B59"/>
    <w:rsid w:val="09F58A62"/>
    <w:rsid w:val="09FF8F6A"/>
    <w:rsid w:val="0A248AA7"/>
    <w:rsid w:val="0A29F0C6"/>
    <w:rsid w:val="0A35574D"/>
    <w:rsid w:val="0A4CF18F"/>
    <w:rsid w:val="0A5928E7"/>
    <w:rsid w:val="0A6CD332"/>
    <w:rsid w:val="0AA14767"/>
    <w:rsid w:val="0AAD1653"/>
    <w:rsid w:val="0AD8AC48"/>
    <w:rsid w:val="0AFB4D89"/>
    <w:rsid w:val="0B261467"/>
    <w:rsid w:val="0B6B6799"/>
    <w:rsid w:val="0B818C00"/>
    <w:rsid w:val="0B9E35C7"/>
    <w:rsid w:val="0BB3AE63"/>
    <w:rsid w:val="0BBAA35C"/>
    <w:rsid w:val="0BCCDD6C"/>
    <w:rsid w:val="0C4095F4"/>
    <w:rsid w:val="0C5DB498"/>
    <w:rsid w:val="0C5DC7BB"/>
    <w:rsid w:val="0C64C144"/>
    <w:rsid w:val="0C6AAC86"/>
    <w:rsid w:val="0C872008"/>
    <w:rsid w:val="0C8AE946"/>
    <w:rsid w:val="0C9C1710"/>
    <w:rsid w:val="0CC20EA2"/>
    <w:rsid w:val="0CF619A1"/>
    <w:rsid w:val="0D2A5869"/>
    <w:rsid w:val="0D47FDD6"/>
    <w:rsid w:val="0D4A10A8"/>
    <w:rsid w:val="0D504880"/>
    <w:rsid w:val="0D59BA3F"/>
    <w:rsid w:val="0D643256"/>
    <w:rsid w:val="0D8D08E9"/>
    <w:rsid w:val="0DAC409F"/>
    <w:rsid w:val="0DC702A7"/>
    <w:rsid w:val="0DEFB11E"/>
    <w:rsid w:val="0E8206BC"/>
    <w:rsid w:val="0E9F30FA"/>
    <w:rsid w:val="0EAFEC47"/>
    <w:rsid w:val="0EC4E909"/>
    <w:rsid w:val="0ED2B2BE"/>
    <w:rsid w:val="0EEA9715"/>
    <w:rsid w:val="0EED7859"/>
    <w:rsid w:val="0F3CAB8D"/>
    <w:rsid w:val="0F5A119C"/>
    <w:rsid w:val="0F6DA5D3"/>
    <w:rsid w:val="0F829733"/>
    <w:rsid w:val="0F89BC86"/>
    <w:rsid w:val="0F90DAAE"/>
    <w:rsid w:val="0FAA45E3"/>
    <w:rsid w:val="0FADFFA0"/>
    <w:rsid w:val="0FC201E4"/>
    <w:rsid w:val="0FCC7BE3"/>
    <w:rsid w:val="0FE0F4F2"/>
    <w:rsid w:val="0FFCA80E"/>
    <w:rsid w:val="10088B27"/>
    <w:rsid w:val="103C6615"/>
    <w:rsid w:val="105632B0"/>
    <w:rsid w:val="106A0044"/>
    <w:rsid w:val="107610F2"/>
    <w:rsid w:val="108D458E"/>
    <w:rsid w:val="11045551"/>
    <w:rsid w:val="11152D9F"/>
    <w:rsid w:val="1118C78C"/>
    <w:rsid w:val="114058BE"/>
    <w:rsid w:val="11447E63"/>
    <w:rsid w:val="117CEAED"/>
    <w:rsid w:val="11B30D9E"/>
    <w:rsid w:val="11B78CBC"/>
    <w:rsid w:val="11C6D5C1"/>
    <w:rsid w:val="11E4584F"/>
    <w:rsid w:val="11E72902"/>
    <w:rsid w:val="11EFD3EC"/>
    <w:rsid w:val="11F7C66D"/>
    <w:rsid w:val="12191A63"/>
    <w:rsid w:val="122A4E9A"/>
    <w:rsid w:val="1288ED78"/>
    <w:rsid w:val="12CE10F5"/>
    <w:rsid w:val="12D65DC9"/>
    <w:rsid w:val="13A6BF5F"/>
    <w:rsid w:val="13BB5962"/>
    <w:rsid w:val="13DD3D78"/>
    <w:rsid w:val="13EFF212"/>
    <w:rsid w:val="13F83138"/>
    <w:rsid w:val="1417B868"/>
    <w:rsid w:val="145DC891"/>
    <w:rsid w:val="1469D409"/>
    <w:rsid w:val="146E5608"/>
    <w:rsid w:val="14C0F706"/>
    <w:rsid w:val="14E656DB"/>
    <w:rsid w:val="14E67311"/>
    <w:rsid w:val="14F2F1A7"/>
    <w:rsid w:val="156A609D"/>
    <w:rsid w:val="158DA581"/>
    <w:rsid w:val="160A2669"/>
    <w:rsid w:val="1635B06F"/>
    <w:rsid w:val="164E2D23"/>
    <w:rsid w:val="16825262"/>
    <w:rsid w:val="1685150C"/>
    <w:rsid w:val="1697399D"/>
    <w:rsid w:val="16F6900B"/>
    <w:rsid w:val="16FB1066"/>
    <w:rsid w:val="1730E11D"/>
    <w:rsid w:val="1744D01C"/>
    <w:rsid w:val="1751F013"/>
    <w:rsid w:val="1764C7B3"/>
    <w:rsid w:val="178DDF11"/>
    <w:rsid w:val="17933F34"/>
    <w:rsid w:val="17A478BC"/>
    <w:rsid w:val="17B0898F"/>
    <w:rsid w:val="17D2022B"/>
    <w:rsid w:val="17E14604"/>
    <w:rsid w:val="18067828"/>
    <w:rsid w:val="182EF218"/>
    <w:rsid w:val="183756BA"/>
    <w:rsid w:val="1846556F"/>
    <w:rsid w:val="1889A9FA"/>
    <w:rsid w:val="18D25EBC"/>
    <w:rsid w:val="18DC03AE"/>
    <w:rsid w:val="190C010E"/>
    <w:rsid w:val="19228492"/>
    <w:rsid w:val="1968976D"/>
    <w:rsid w:val="19692AA6"/>
    <w:rsid w:val="198390CF"/>
    <w:rsid w:val="198495AE"/>
    <w:rsid w:val="19D04E85"/>
    <w:rsid w:val="19DD1BD7"/>
    <w:rsid w:val="19EB61F5"/>
    <w:rsid w:val="19FAF323"/>
    <w:rsid w:val="1A384DB1"/>
    <w:rsid w:val="1A541545"/>
    <w:rsid w:val="1A7473F4"/>
    <w:rsid w:val="1AA78980"/>
    <w:rsid w:val="1AB0E91E"/>
    <w:rsid w:val="1ABD7976"/>
    <w:rsid w:val="1B2B127E"/>
    <w:rsid w:val="1B4B92A5"/>
    <w:rsid w:val="1B52F689"/>
    <w:rsid w:val="1B64A1E9"/>
    <w:rsid w:val="1B786B47"/>
    <w:rsid w:val="1B8A0372"/>
    <w:rsid w:val="1BD48D31"/>
    <w:rsid w:val="1BD4A051"/>
    <w:rsid w:val="1C0C5A31"/>
    <w:rsid w:val="1C51BC06"/>
    <w:rsid w:val="1C6DAC86"/>
    <w:rsid w:val="1C83613A"/>
    <w:rsid w:val="1CBCC8F7"/>
    <w:rsid w:val="1CC6E2DF"/>
    <w:rsid w:val="1CCBD27C"/>
    <w:rsid w:val="1CDBA9E4"/>
    <w:rsid w:val="1CFE86FD"/>
    <w:rsid w:val="1D211363"/>
    <w:rsid w:val="1D2EDF3D"/>
    <w:rsid w:val="1D2FD241"/>
    <w:rsid w:val="1D417BCA"/>
    <w:rsid w:val="1D51D7CD"/>
    <w:rsid w:val="1D530228"/>
    <w:rsid w:val="1D8265D6"/>
    <w:rsid w:val="1D83C4C5"/>
    <w:rsid w:val="1DAAD4AE"/>
    <w:rsid w:val="1DCB3905"/>
    <w:rsid w:val="1DD3D153"/>
    <w:rsid w:val="1DE360DC"/>
    <w:rsid w:val="1E0F2AAC"/>
    <w:rsid w:val="1E15EDA2"/>
    <w:rsid w:val="1E192734"/>
    <w:rsid w:val="1E21BE94"/>
    <w:rsid w:val="1E4BE262"/>
    <w:rsid w:val="1E62B340"/>
    <w:rsid w:val="1EABFDEC"/>
    <w:rsid w:val="1EE509A5"/>
    <w:rsid w:val="1EE8EDC4"/>
    <w:rsid w:val="1F03CC26"/>
    <w:rsid w:val="1F1E7CE6"/>
    <w:rsid w:val="1F41CB9F"/>
    <w:rsid w:val="1F4A825F"/>
    <w:rsid w:val="1F679F55"/>
    <w:rsid w:val="1F6B3A8A"/>
    <w:rsid w:val="1F6C8AD0"/>
    <w:rsid w:val="1F8B14AD"/>
    <w:rsid w:val="1FA6AD71"/>
    <w:rsid w:val="1FB38A28"/>
    <w:rsid w:val="20033D78"/>
    <w:rsid w:val="206B7714"/>
    <w:rsid w:val="207C5C27"/>
    <w:rsid w:val="207F0F63"/>
    <w:rsid w:val="2098B848"/>
    <w:rsid w:val="20BC292C"/>
    <w:rsid w:val="20CF53F6"/>
    <w:rsid w:val="219248A3"/>
    <w:rsid w:val="21B60DB6"/>
    <w:rsid w:val="21CEE636"/>
    <w:rsid w:val="22644B39"/>
    <w:rsid w:val="229B9C6D"/>
    <w:rsid w:val="22D72351"/>
    <w:rsid w:val="22DAF383"/>
    <w:rsid w:val="22DC6AD3"/>
    <w:rsid w:val="2303F23D"/>
    <w:rsid w:val="2323C3CE"/>
    <w:rsid w:val="2355A111"/>
    <w:rsid w:val="23A7A2FC"/>
    <w:rsid w:val="23C9D10F"/>
    <w:rsid w:val="242CBA6A"/>
    <w:rsid w:val="245FD3EA"/>
    <w:rsid w:val="2461240C"/>
    <w:rsid w:val="247DF559"/>
    <w:rsid w:val="249BDB3E"/>
    <w:rsid w:val="24CB4CAD"/>
    <w:rsid w:val="24F74C23"/>
    <w:rsid w:val="251CC15D"/>
    <w:rsid w:val="2539E724"/>
    <w:rsid w:val="2543D8AE"/>
    <w:rsid w:val="258B4DE9"/>
    <w:rsid w:val="2591A190"/>
    <w:rsid w:val="25F7E62D"/>
    <w:rsid w:val="262C81A2"/>
    <w:rsid w:val="26396B1F"/>
    <w:rsid w:val="266A0849"/>
    <w:rsid w:val="266BAB9E"/>
    <w:rsid w:val="267855CF"/>
    <w:rsid w:val="2694EF7C"/>
    <w:rsid w:val="26973EA7"/>
    <w:rsid w:val="26B02EBB"/>
    <w:rsid w:val="26BA848D"/>
    <w:rsid w:val="26FDA7D3"/>
    <w:rsid w:val="2715BE61"/>
    <w:rsid w:val="2752245E"/>
    <w:rsid w:val="277C26C4"/>
    <w:rsid w:val="27DDA2D6"/>
    <w:rsid w:val="27F42F63"/>
    <w:rsid w:val="289C20E3"/>
    <w:rsid w:val="28B9FCB1"/>
    <w:rsid w:val="28BB1BE6"/>
    <w:rsid w:val="28C3B1CF"/>
    <w:rsid w:val="28C415ED"/>
    <w:rsid w:val="28D0FB60"/>
    <w:rsid w:val="28E65822"/>
    <w:rsid w:val="28E706B2"/>
    <w:rsid w:val="291B9BAE"/>
    <w:rsid w:val="291C95A3"/>
    <w:rsid w:val="291D56B7"/>
    <w:rsid w:val="2923D3FB"/>
    <w:rsid w:val="29488C0F"/>
    <w:rsid w:val="29A96AB3"/>
    <w:rsid w:val="29A9B749"/>
    <w:rsid w:val="29AD536D"/>
    <w:rsid w:val="29B7621F"/>
    <w:rsid w:val="29C30876"/>
    <w:rsid w:val="2A24A52F"/>
    <w:rsid w:val="2A24FD22"/>
    <w:rsid w:val="2A421C80"/>
    <w:rsid w:val="2A5588D2"/>
    <w:rsid w:val="2A67F343"/>
    <w:rsid w:val="2A6B18E5"/>
    <w:rsid w:val="2A6E83E7"/>
    <w:rsid w:val="2A75E294"/>
    <w:rsid w:val="2AEBAB08"/>
    <w:rsid w:val="2B1FE43A"/>
    <w:rsid w:val="2B4923CE"/>
    <w:rsid w:val="2B86A0C5"/>
    <w:rsid w:val="2B945131"/>
    <w:rsid w:val="2B9AF859"/>
    <w:rsid w:val="2BCE3F0E"/>
    <w:rsid w:val="2C064BD5"/>
    <w:rsid w:val="2C1BD0DE"/>
    <w:rsid w:val="2C43FD57"/>
    <w:rsid w:val="2CEC5ECB"/>
    <w:rsid w:val="2D1BD50E"/>
    <w:rsid w:val="2D56E817"/>
    <w:rsid w:val="2D610AD2"/>
    <w:rsid w:val="2D8D0D96"/>
    <w:rsid w:val="2D91D4C8"/>
    <w:rsid w:val="2DDDF58A"/>
    <w:rsid w:val="2DDE06E5"/>
    <w:rsid w:val="2DF0F768"/>
    <w:rsid w:val="2DF91B3D"/>
    <w:rsid w:val="2E0158E8"/>
    <w:rsid w:val="2E037E8E"/>
    <w:rsid w:val="2E1F8CFA"/>
    <w:rsid w:val="2E3C75A6"/>
    <w:rsid w:val="2E9C3106"/>
    <w:rsid w:val="2E9C60F3"/>
    <w:rsid w:val="2EAD0413"/>
    <w:rsid w:val="2EE0CAAC"/>
    <w:rsid w:val="2EFCDB33"/>
    <w:rsid w:val="2F41EAEE"/>
    <w:rsid w:val="2F44831A"/>
    <w:rsid w:val="2F601CF6"/>
    <w:rsid w:val="2F6C5AD2"/>
    <w:rsid w:val="2F6DA7A4"/>
    <w:rsid w:val="2F94EB9E"/>
    <w:rsid w:val="2FA3DAC5"/>
    <w:rsid w:val="2FE87ECA"/>
    <w:rsid w:val="304A45FC"/>
    <w:rsid w:val="30761FB3"/>
    <w:rsid w:val="30768F53"/>
    <w:rsid w:val="30E63039"/>
    <w:rsid w:val="3143B233"/>
    <w:rsid w:val="31621ECA"/>
    <w:rsid w:val="31B840C4"/>
    <w:rsid w:val="31C50FC7"/>
    <w:rsid w:val="3219F97A"/>
    <w:rsid w:val="3262205B"/>
    <w:rsid w:val="3291A517"/>
    <w:rsid w:val="3292DB2F"/>
    <w:rsid w:val="32BFE21D"/>
    <w:rsid w:val="32ECC2DF"/>
    <w:rsid w:val="333AB77B"/>
    <w:rsid w:val="3349CEE2"/>
    <w:rsid w:val="3364D986"/>
    <w:rsid w:val="336E31F6"/>
    <w:rsid w:val="3373D137"/>
    <w:rsid w:val="338EF4DA"/>
    <w:rsid w:val="339372A8"/>
    <w:rsid w:val="33996966"/>
    <w:rsid w:val="33AABA6B"/>
    <w:rsid w:val="33BB4FAF"/>
    <w:rsid w:val="33E084B8"/>
    <w:rsid w:val="340BE4E3"/>
    <w:rsid w:val="342AC784"/>
    <w:rsid w:val="343A3F28"/>
    <w:rsid w:val="3469AEA3"/>
    <w:rsid w:val="34725A66"/>
    <w:rsid w:val="34A1D166"/>
    <w:rsid w:val="34B656B4"/>
    <w:rsid w:val="34F00614"/>
    <w:rsid w:val="34F3B305"/>
    <w:rsid w:val="3555E50F"/>
    <w:rsid w:val="35C0F8A8"/>
    <w:rsid w:val="35EC9063"/>
    <w:rsid w:val="360B96E7"/>
    <w:rsid w:val="36606037"/>
    <w:rsid w:val="367A3C74"/>
    <w:rsid w:val="3686BAE3"/>
    <w:rsid w:val="36970B5A"/>
    <w:rsid w:val="36B2AAD4"/>
    <w:rsid w:val="36C86702"/>
    <w:rsid w:val="36D22D88"/>
    <w:rsid w:val="36DC08B4"/>
    <w:rsid w:val="36E121A5"/>
    <w:rsid w:val="36ED20B3"/>
    <w:rsid w:val="36F1BAC0"/>
    <w:rsid w:val="370F6DE9"/>
    <w:rsid w:val="3722E4E2"/>
    <w:rsid w:val="3734430E"/>
    <w:rsid w:val="373984E9"/>
    <w:rsid w:val="37611188"/>
    <w:rsid w:val="37699800"/>
    <w:rsid w:val="378FED42"/>
    <w:rsid w:val="37B557B4"/>
    <w:rsid w:val="37E4C2C6"/>
    <w:rsid w:val="37FBE8CE"/>
    <w:rsid w:val="38349A9D"/>
    <w:rsid w:val="38524678"/>
    <w:rsid w:val="3862C594"/>
    <w:rsid w:val="38B3E210"/>
    <w:rsid w:val="3960C67A"/>
    <w:rsid w:val="396B996C"/>
    <w:rsid w:val="3991F544"/>
    <w:rsid w:val="39AB1352"/>
    <w:rsid w:val="39BCB3FE"/>
    <w:rsid w:val="39DAA023"/>
    <w:rsid w:val="39F7DFB4"/>
    <w:rsid w:val="3A1E1CA4"/>
    <w:rsid w:val="3A304CC9"/>
    <w:rsid w:val="3A52C43E"/>
    <w:rsid w:val="3A63B196"/>
    <w:rsid w:val="3A744E2B"/>
    <w:rsid w:val="3A822DD9"/>
    <w:rsid w:val="3AAA6AE1"/>
    <w:rsid w:val="3AE79B14"/>
    <w:rsid w:val="3AF7E105"/>
    <w:rsid w:val="3B00E1C8"/>
    <w:rsid w:val="3B86BB69"/>
    <w:rsid w:val="3B93D68F"/>
    <w:rsid w:val="3BA4246A"/>
    <w:rsid w:val="3BBB7221"/>
    <w:rsid w:val="3BD5A46D"/>
    <w:rsid w:val="3C01C194"/>
    <w:rsid w:val="3C39E22E"/>
    <w:rsid w:val="3C59D8B3"/>
    <w:rsid w:val="3C6AF148"/>
    <w:rsid w:val="3C8EEEAC"/>
    <w:rsid w:val="3CA6EEFE"/>
    <w:rsid w:val="3CC7E3D8"/>
    <w:rsid w:val="3CDE7E98"/>
    <w:rsid w:val="3D33411B"/>
    <w:rsid w:val="3D42EE39"/>
    <w:rsid w:val="3D5DC948"/>
    <w:rsid w:val="3DC054F1"/>
    <w:rsid w:val="3DD286BE"/>
    <w:rsid w:val="3DECCBE1"/>
    <w:rsid w:val="3E5C62D7"/>
    <w:rsid w:val="3E95BBAA"/>
    <w:rsid w:val="3EB7180A"/>
    <w:rsid w:val="3EBF285A"/>
    <w:rsid w:val="3EBFE816"/>
    <w:rsid w:val="3EE8377B"/>
    <w:rsid w:val="3F0F4513"/>
    <w:rsid w:val="3FB7E596"/>
    <w:rsid w:val="40212750"/>
    <w:rsid w:val="40BB0D64"/>
    <w:rsid w:val="40E6344A"/>
    <w:rsid w:val="41BD5F6B"/>
    <w:rsid w:val="426CD636"/>
    <w:rsid w:val="42751C99"/>
    <w:rsid w:val="429FAAA7"/>
    <w:rsid w:val="42A8C75E"/>
    <w:rsid w:val="42FD33DE"/>
    <w:rsid w:val="431925DA"/>
    <w:rsid w:val="432AFDD0"/>
    <w:rsid w:val="432C390B"/>
    <w:rsid w:val="43336065"/>
    <w:rsid w:val="4343AAF1"/>
    <w:rsid w:val="434B7A23"/>
    <w:rsid w:val="4378A4F1"/>
    <w:rsid w:val="437D2C61"/>
    <w:rsid w:val="437DF578"/>
    <w:rsid w:val="4382F1F0"/>
    <w:rsid w:val="43AB8634"/>
    <w:rsid w:val="43E1E636"/>
    <w:rsid w:val="43EDD6BB"/>
    <w:rsid w:val="4406C6AB"/>
    <w:rsid w:val="44132EF4"/>
    <w:rsid w:val="4426549C"/>
    <w:rsid w:val="44994374"/>
    <w:rsid w:val="449BC588"/>
    <w:rsid w:val="44B57CD5"/>
    <w:rsid w:val="44C368EF"/>
    <w:rsid w:val="44D2182D"/>
    <w:rsid w:val="44E60F3D"/>
    <w:rsid w:val="44EC2630"/>
    <w:rsid w:val="4503E8D6"/>
    <w:rsid w:val="459B203B"/>
    <w:rsid w:val="45E0C474"/>
    <w:rsid w:val="45EF8303"/>
    <w:rsid w:val="45F6797D"/>
    <w:rsid w:val="4636AA11"/>
    <w:rsid w:val="463FF06C"/>
    <w:rsid w:val="464839E7"/>
    <w:rsid w:val="4649DF49"/>
    <w:rsid w:val="465E8FF5"/>
    <w:rsid w:val="46671F14"/>
    <w:rsid w:val="46798BB3"/>
    <w:rsid w:val="468654EB"/>
    <w:rsid w:val="468F35BE"/>
    <w:rsid w:val="4694DAFC"/>
    <w:rsid w:val="46ABD022"/>
    <w:rsid w:val="46AC9C46"/>
    <w:rsid w:val="46BD1EF5"/>
    <w:rsid w:val="46C0152C"/>
    <w:rsid w:val="46DD5CA0"/>
    <w:rsid w:val="46E0E07B"/>
    <w:rsid w:val="47291A5C"/>
    <w:rsid w:val="47443381"/>
    <w:rsid w:val="47BD6E6C"/>
    <w:rsid w:val="47C132DA"/>
    <w:rsid w:val="47D0A478"/>
    <w:rsid w:val="47DFACB6"/>
    <w:rsid w:val="48087A4F"/>
    <w:rsid w:val="484D9E69"/>
    <w:rsid w:val="48672B3B"/>
    <w:rsid w:val="486EA863"/>
    <w:rsid w:val="48A00553"/>
    <w:rsid w:val="48BC1329"/>
    <w:rsid w:val="49810C39"/>
    <w:rsid w:val="498B1982"/>
    <w:rsid w:val="49965DB2"/>
    <w:rsid w:val="49B0AAE2"/>
    <w:rsid w:val="49B9A95C"/>
    <w:rsid w:val="4A168B5C"/>
    <w:rsid w:val="4A354AB8"/>
    <w:rsid w:val="4A50731A"/>
    <w:rsid w:val="4A60AD03"/>
    <w:rsid w:val="4A61EFAA"/>
    <w:rsid w:val="4A6224C2"/>
    <w:rsid w:val="4AA0684F"/>
    <w:rsid w:val="4AA4228C"/>
    <w:rsid w:val="4AA49807"/>
    <w:rsid w:val="4AC77A34"/>
    <w:rsid w:val="4AF83A03"/>
    <w:rsid w:val="4B096421"/>
    <w:rsid w:val="4B6C0400"/>
    <w:rsid w:val="4BC605BA"/>
    <w:rsid w:val="4C2240D2"/>
    <w:rsid w:val="4CCA7580"/>
    <w:rsid w:val="4CD7AAA3"/>
    <w:rsid w:val="4CE34398"/>
    <w:rsid w:val="4D194490"/>
    <w:rsid w:val="4D26EA00"/>
    <w:rsid w:val="4D4FDDAB"/>
    <w:rsid w:val="4D983135"/>
    <w:rsid w:val="4D9EA107"/>
    <w:rsid w:val="4DFF258E"/>
    <w:rsid w:val="4E507BCC"/>
    <w:rsid w:val="4E609DDE"/>
    <w:rsid w:val="4E73DBB0"/>
    <w:rsid w:val="4E7F7D1F"/>
    <w:rsid w:val="4EB5CD90"/>
    <w:rsid w:val="4ED9AD36"/>
    <w:rsid w:val="4F1CD175"/>
    <w:rsid w:val="4F580A70"/>
    <w:rsid w:val="4FA6FBFA"/>
    <w:rsid w:val="4FAC6218"/>
    <w:rsid w:val="4FF16390"/>
    <w:rsid w:val="502A8307"/>
    <w:rsid w:val="502AF649"/>
    <w:rsid w:val="502B3C6E"/>
    <w:rsid w:val="503EA3F6"/>
    <w:rsid w:val="5050EF5D"/>
    <w:rsid w:val="50547FF0"/>
    <w:rsid w:val="50651B70"/>
    <w:rsid w:val="506B0956"/>
    <w:rsid w:val="50E12C54"/>
    <w:rsid w:val="50EEF1B5"/>
    <w:rsid w:val="50FE4F69"/>
    <w:rsid w:val="514BBF70"/>
    <w:rsid w:val="51574913"/>
    <w:rsid w:val="519A29AF"/>
    <w:rsid w:val="51BD9C2A"/>
    <w:rsid w:val="51CBA849"/>
    <w:rsid w:val="51ED6E52"/>
    <w:rsid w:val="52383F9E"/>
    <w:rsid w:val="525467AE"/>
    <w:rsid w:val="529EC71F"/>
    <w:rsid w:val="52D8689C"/>
    <w:rsid w:val="52ED4A22"/>
    <w:rsid w:val="530823AD"/>
    <w:rsid w:val="5336EB01"/>
    <w:rsid w:val="53383B1D"/>
    <w:rsid w:val="5351D2D9"/>
    <w:rsid w:val="53707BF8"/>
    <w:rsid w:val="5373F11A"/>
    <w:rsid w:val="53B2F3BB"/>
    <w:rsid w:val="53C32CDD"/>
    <w:rsid w:val="53D5958C"/>
    <w:rsid w:val="53E1CB9C"/>
    <w:rsid w:val="53E96036"/>
    <w:rsid w:val="541DA1AC"/>
    <w:rsid w:val="542492D6"/>
    <w:rsid w:val="542BA9F8"/>
    <w:rsid w:val="5482FBE8"/>
    <w:rsid w:val="54B79776"/>
    <w:rsid w:val="54C2DFA1"/>
    <w:rsid w:val="54C99E3C"/>
    <w:rsid w:val="54F59F1E"/>
    <w:rsid w:val="54FB523C"/>
    <w:rsid w:val="551476ED"/>
    <w:rsid w:val="55237EEA"/>
    <w:rsid w:val="552B9E7E"/>
    <w:rsid w:val="552C69C7"/>
    <w:rsid w:val="552DB963"/>
    <w:rsid w:val="5541D6A7"/>
    <w:rsid w:val="55987319"/>
    <w:rsid w:val="559EF30D"/>
    <w:rsid w:val="55CADE8A"/>
    <w:rsid w:val="55CF4156"/>
    <w:rsid w:val="55D0EBB5"/>
    <w:rsid w:val="56037C80"/>
    <w:rsid w:val="561E9978"/>
    <w:rsid w:val="56729A93"/>
    <w:rsid w:val="56929D31"/>
    <w:rsid w:val="56C0DF75"/>
    <w:rsid w:val="57046D1D"/>
    <w:rsid w:val="57050C74"/>
    <w:rsid w:val="570966A6"/>
    <w:rsid w:val="57307B69"/>
    <w:rsid w:val="57658675"/>
    <w:rsid w:val="577C4CB3"/>
    <w:rsid w:val="577F943F"/>
    <w:rsid w:val="5790C636"/>
    <w:rsid w:val="57B0A0BB"/>
    <w:rsid w:val="57F7E4D6"/>
    <w:rsid w:val="5823B065"/>
    <w:rsid w:val="582D7590"/>
    <w:rsid w:val="5866BA5B"/>
    <w:rsid w:val="587A4E3B"/>
    <w:rsid w:val="58AE5F9D"/>
    <w:rsid w:val="58B3EF27"/>
    <w:rsid w:val="58B42BD7"/>
    <w:rsid w:val="58C441EF"/>
    <w:rsid w:val="58C83E3E"/>
    <w:rsid w:val="591C7DBE"/>
    <w:rsid w:val="592C154E"/>
    <w:rsid w:val="594C2B8F"/>
    <w:rsid w:val="5977547A"/>
    <w:rsid w:val="5999255E"/>
    <w:rsid w:val="59CBA3A2"/>
    <w:rsid w:val="59D9C672"/>
    <w:rsid w:val="59ED2668"/>
    <w:rsid w:val="5A05723F"/>
    <w:rsid w:val="5A05F7C5"/>
    <w:rsid w:val="5A334F56"/>
    <w:rsid w:val="5A9FC373"/>
    <w:rsid w:val="5AB542FB"/>
    <w:rsid w:val="5AE5A570"/>
    <w:rsid w:val="5AE67880"/>
    <w:rsid w:val="5AE96774"/>
    <w:rsid w:val="5AEE4A76"/>
    <w:rsid w:val="5B582415"/>
    <w:rsid w:val="5BA5D547"/>
    <w:rsid w:val="5BD3D15D"/>
    <w:rsid w:val="5BD9F376"/>
    <w:rsid w:val="5BE1AD67"/>
    <w:rsid w:val="5C3A11A9"/>
    <w:rsid w:val="5C4AF772"/>
    <w:rsid w:val="5CD48724"/>
    <w:rsid w:val="5CDFB77B"/>
    <w:rsid w:val="5CED3BC4"/>
    <w:rsid w:val="5CF3B62A"/>
    <w:rsid w:val="5CF50C7A"/>
    <w:rsid w:val="5D4D22B7"/>
    <w:rsid w:val="5D6429CB"/>
    <w:rsid w:val="5D71A81D"/>
    <w:rsid w:val="5DD6DCAF"/>
    <w:rsid w:val="5DFF9696"/>
    <w:rsid w:val="5E03DB00"/>
    <w:rsid w:val="5E89FA0B"/>
    <w:rsid w:val="5E8FA7AE"/>
    <w:rsid w:val="5EAE35CF"/>
    <w:rsid w:val="5EB93D74"/>
    <w:rsid w:val="5ECEDCF1"/>
    <w:rsid w:val="5EDED055"/>
    <w:rsid w:val="5EE63698"/>
    <w:rsid w:val="5EFB97FB"/>
    <w:rsid w:val="5F0F0939"/>
    <w:rsid w:val="5F13C358"/>
    <w:rsid w:val="5F29DD33"/>
    <w:rsid w:val="5F3DB99B"/>
    <w:rsid w:val="5F5467A5"/>
    <w:rsid w:val="5F72EF14"/>
    <w:rsid w:val="5F7DD039"/>
    <w:rsid w:val="5F91FDCA"/>
    <w:rsid w:val="5F9F69E9"/>
    <w:rsid w:val="5FB15C1E"/>
    <w:rsid w:val="5FBE75D8"/>
    <w:rsid w:val="6003D410"/>
    <w:rsid w:val="60058A6C"/>
    <w:rsid w:val="602CFF65"/>
    <w:rsid w:val="603C9AF2"/>
    <w:rsid w:val="603D4B6C"/>
    <w:rsid w:val="605136A1"/>
    <w:rsid w:val="60533219"/>
    <w:rsid w:val="6064A1E0"/>
    <w:rsid w:val="6064B632"/>
    <w:rsid w:val="6078651A"/>
    <w:rsid w:val="60AAB3B5"/>
    <w:rsid w:val="60D2D255"/>
    <w:rsid w:val="61958306"/>
    <w:rsid w:val="619BC036"/>
    <w:rsid w:val="61AF398D"/>
    <w:rsid w:val="61E0A791"/>
    <w:rsid w:val="61E81110"/>
    <w:rsid w:val="61F8CE2D"/>
    <w:rsid w:val="6219F8CE"/>
    <w:rsid w:val="62296385"/>
    <w:rsid w:val="622CB08E"/>
    <w:rsid w:val="628B7937"/>
    <w:rsid w:val="62951625"/>
    <w:rsid w:val="629FDA84"/>
    <w:rsid w:val="62F7F4BE"/>
    <w:rsid w:val="637BEFB5"/>
    <w:rsid w:val="637C71ED"/>
    <w:rsid w:val="639B11A2"/>
    <w:rsid w:val="63AB7D46"/>
    <w:rsid w:val="63B4EFB8"/>
    <w:rsid w:val="63EE42AE"/>
    <w:rsid w:val="642AF47F"/>
    <w:rsid w:val="64391522"/>
    <w:rsid w:val="64808931"/>
    <w:rsid w:val="6482816F"/>
    <w:rsid w:val="648CCB56"/>
    <w:rsid w:val="6496C717"/>
    <w:rsid w:val="64A7222C"/>
    <w:rsid w:val="64BB57F7"/>
    <w:rsid w:val="64BE7CC7"/>
    <w:rsid w:val="64D2A635"/>
    <w:rsid w:val="64F0906F"/>
    <w:rsid w:val="652861D7"/>
    <w:rsid w:val="656E5210"/>
    <w:rsid w:val="65A09A88"/>
    <w:rsid w:val="65DBB203"/>
    <w:rsid w:val="65EB3C76"/>
    <w:rsid w:val="65FD6BC5"/>
    <w:rsid w:val="6617C60B"/>
    <w:rsid w:val="6621F1B8"/>
    <w:rsid w:val="6635878B"/>
    <w:rsid w:val="664CF878"/>
    <w:rsid w:val="6652594B"/>
    <w:rsid w:val="66648DC1"/>
    <w:rsid w:val="6684DB71"/>
    <w:rsid w:val="668C9F4F"/>
    <w:rsid w:val="66ABFDFB"/>
    <w:rsid w:val="66BD7A7C"/>
    <w:rsid w:val="66DB5CC8"/>
    <w:rsid w:val="67243034"/>
    <w:rsid w:val="674A03AC"/>
    <w:rsid w:val="67629541"/>
    <w:rsid w:val="6768D68B"/>
    <w:rsid w:val="677B03FC"/>
    <w:rsid w:val="677DC151"/>
    <w:rsid w:val="679A8FCD"/>
    <w:rsid w:val="67C954B3"/>
    <w:rsid w:val="67E0F9A8"/>
    <w:rsid w:val="680AD73C"/>
    <w:rsid w:val="680D36F3"/>
    <w:rsid w:val="6835FA7F"/>
    <w:rsid w:val="6847CAE4"/>
    <w:rsid w:val="685EFC44"/>
    <w:rsid w:val="68992C08"/>
    <w:rsid w:val="6953E502"/>
    <w:rsid w:val="697C3439"/>
    <w:rsid w:val="6983D8D2"/>
    <w:rsid w:val="6989390A"/>
    <w:rsid w:val="69B3550A"/>
    <w:rsid w:val="69D32E49"/>
    <w:rsid w:val="69F31127"/>
    <w:rsid w:val="6A37CEAB"/>
    <w:rsid w:val="6A3E25FF"/>
    <w:rsid w:val="6A479901"/>
    <w:rsid w:val="6A52251E"/>
    <w:rsid w:val="6A65C471"/>
    <w:rsid w:val="6A7B3ADE"/>
    <w:rsid w:val="6A9A3603"/>
    <w:rsid w:val="6AB3AED7"/>
    <w:rsid w:val="6AC13E01"/>
    <w:rsid w:val="6B1F8ABE"/>
    <w:rsid w:val="6B313673"/>
    <w:rsid w:val="6B35D2F3"/>
    <w:rsid w:val="6B7A96EA"/>
    <w:rsid w:val="6BD7295A"/>
    <w:rsid w:val="6BDB3B84"/>
    <w:rsid w:val="6C0455FA"/>
    <w:rsid w:val="6C06843B"/>
    <w:rsid w:val="6C083231"/>
    <w:rsid w:val="6C140E3E"/>
    <w:rsid w:val="6C28DFE8"/>
    <w:rsid w:val="6C7308C2"/>
    <w:rsid w:val="6C926003"/>
    <w:rsid w:val="6C9BFD5B"/>
    <w:rsid w:val="6CAFB3D6"/>
    <w:rsid w:val="6CB32BDF"/>
    <w:rsid w:val="6CBF5E98"/>
    <w:rsid w:val="6CF45A81"/>
    <w:rsid w:val="6D0C394A"/>
    <w:rsid w:val="6D2F9B3A"/>
    <w:rsid w:val="6D9CBE1B"/>
    <w:rsid w:val="6DCC333F"/>
    <w:rsid w:val="6DFF2356"/>
    <w:rsid w:val="6E19AB8B"/>
    <w:rsid w:val="6E3FFB02"/>
    <w:rsid w:val="6E536CDA"/>
    <w:rsid w:val="6E6849B1"/>
    <w:rsid w:val="6E7DABDA"/>
    <w:rsid w:val="6E81F140"/>
    <w:rsid w:val="6EBA51AF"/>
    <w:rsid w:val="6EDB2CEF"/>
    <w:rsid w:val="6F1A9C8E"/>
    <w:rsid w:val="6F2DD00D"/>
    <w:rsid w:val="6F9B5F3C"/>
    <w:rsid w:val="6FB30DF6"/>
    <w:rsid w:val="6FD56DCF"/>
    <w:rsid w:val="7027ACA2"/>
    <w:rsid w:val="7037282E"/>
    <w:rsid w:val="70671946"/>
    <w:rsid w:val="706CAEB8"/>
    <w:rsid w:val="7078E21D"/>
    <w:rsid w:val="707A7820"/>
    <w:rsid w:val="70AA8D6E"/>
    <w:rsid w:val="70ADEE22"/>
    <w:rsid w:val="70E98AF8"/>
    <w:rsid w:val="710F5872"/>
    <w:rsid w:val="71477277"/>
    <w:rsid w:val="715BD47C"/>
    <w:rsid w:val="716F81DF"/>
    <w:rsid w:val="7194DDE4"/>
    <w:rsid w:val="71A10BB6"/>
    <w:rsid w:val="71D57814"/>
    <w:rsid w:val="71D6EA38"/>
    <w:rsid w:val="71E21B64"/>
    <w:rsid w:val="720061A8"/>
    <w:rsid w:val="722EA429"/>
    <w:rsid w:val="724FFD2C"/>
    <w:rsid w:val="7252150B"/>
    <w:rsid w:val="7261E490"/>
    <w:rsid w:val="728AFD0D"/>
    <w:rsid w:val="7297F06F"/>
    <w:rsid w:val="72F2B1AF"/>
    <w:rsid w:val="733BAF41"/>
    <w:rsid w:val="73466DD9"/>
    <w:rsid w:val="736B20CE"/>
    <w:rsid w:val="73756F5F"/>
    <w:rsid w:val="7386733F"/>
    <w:rsid w:val="7397F1DE"/>
    <w:rsid w:val="739D2FFC"/>
    <w:rsid w:val="739FCE4C"/>
    <w:rsid w:val="73EA2BDE"/>
    <w:rsid w:val="73F27C29"/>
    <w:rsid w:val="745F7D60"/>
    <w:rsid w:val="749A22A5"/>
    <w:rsid w:val="74A0CE47"/>
    <w:rsid w:val="74A9A6C4"/>
    <w:rsid w:val="74D775EC"/>
    <w:rsid w:val="74D8D5E9"/>
    <w:rsid w:val="75328099"/>
    <w:rsid w:val="75335EDC"/>
    <w:rsid w:val="7535D166"/>
    <w:rsid w:val="753B5DB6"/>
    <w:rsid w:val="75466466"/>
    <w:rsid w:val="754D55F6"/>
    <w:rsid w:val="756524DD"/>
    <w:rsid w:val="757D56A4"/>
    <w:rsid w:val="757F956B"/>
    <w:rsid w:val="75A2574D"/>
    <w:rsid w:val="75C99C16"/>
    <w:rsid w:val="7608C7CB"/>
    <w:rsid w:val="761667E6"/>
    <w:rsid w:val="761AE39A"/>
    <w:rsid w:val="763A20C5"/>
    <w:rsid w:val="7658FB8A"/>
    <w:rsid w:val="765A2D42"/>
    <w:rsid w:val="76805C9C"/>
    <w:rsid w:val="76BFA11D"/>
    <w:rsid w:val="76F99BE1"/>
    <w:rsid w:val="76FF4D16"/>
    <w:rsid w:val="7702AEE2"/>
    <w:rsid w:val="77145E73"/>
    <w:rsid w:val="773FB4FF"/>
    <w:rsid w:val="77650C65"/>
    <w:rsid w:val="776710D4"/>
    <w:rsid w:val="776E012A"/>
    <w:rsid w:val="7812F118"/>
    <w:rsid w:val="78542D7E"/>
    <w:rsid w:val="7869C767"/>
    <w:rsid w:val="788C534A"/>
    <w:rsid w:val="78E63429"/>
    <w:rsid w:val="78E8ADC8"/>
    <w:rsid w:val="79016FE9"/>
    <w:rsid w:val="790549B4"/>
    <w:rsid w:val="79415BFF"/>
    <w:rsid w:val="79655D32"/>
    <w:rsid w:val="796E1A2D"/>
    <w:rsid w:val="79E62947"/>
    <w:rsid w:val="7A44B659"/>
    <w:rsid w:val="7A530DB9"/>
    <w:rsid w:val="7A7B5995"/>
    <w:rsid w:val="7AEE6DC9"/>
    <w:rsid w:val="7B0EFE67"/>
    <w:rsid w:val="7B387511"/>
    <w:rsid w:val="7B6218D1"/>
    <w:rsid w:val="7B924C27"/>
    <w:rsid w:val="7BA8ACE3"/>
    <w:rsid w:val="7BBDD32C"/>
    <w:rsid w:val="7BBF5C28"/>
    <w:rsid w:val="7BCC9B67"/>
    <w:rsid w:val="7BE9DCFD"/>
    <w:rsid w:val="7BF32554"/>
    <w:rsid w:val="7C0DDBAA"/>
    <w:rsid w:val="7C210279"/>
    <w:rsid w:val="7C32A619"/>
    <w:rsid w:val="7C435BB0"/>
    <w:rsid w:val="7C77AFA0"/>
    <w:rsid w:val="7CC99774"/>
    <w:rsid w:val="7CCA1279"/>
    <w:rsid w:val="7CF60E24"/>
    <w:rsid w:val="7CFA4E2D"/>
    <w:rsid w:val="7D4F18D0"/>
    <w:rsid w:val="7DD4F507"/>
    <w:rsid w:val="7DF50BA3"/>
    <w:rsid w:val="7E20AFEE"/>
    <w:rsid w:val="7E58F7DD"/>
    <w:rsid w:val="7E876FFE"/>
    <w:rsid w:val="7E8EAC33"/>
    <w:rsid w:val="7EDB14F4"/>
    <w:rsid w:val="7EF08DA6"/>
    <w:rsid w:val="7F4A0934"/>
    <w:rsid w:val="7F4B2D1D"/>
    <w:rsid w:val="7F6E9F9A"/>
    <w:rsid w:val="7F875CDF"/>
    <w:rsid w:val="7FD2E90D"/>
    <w:rsid w:val="7FDE66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0A5CD"/>
  <w15:docId w15:val="{BEAAF974-7EB2-48FC-9CC8-94D5FA58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AA"/>
    <w:rPr>
      <w:rFonts w:ascii="Inter" w:eastAsia="Times New Roman" w:hAnsi="Inter" w:cs="Times New Roman"/>
      <w:color w:val="351C26" w:themeColor="text1"/>
      <w:szCs w:val="24"/>
      <w:lang w:eastAsia="en-GB"/>
    </w:rPr>
  </w:style>
  <w:style w:type="paragraph" w:styleId="Heading1">
    <w:name w:val="heading 1"/>
    <w:basedOn w:val="Normal"/>
    <w:next w:val="Normal"/>
    <w:link w:val="Heading1Char"/>
    <w:uiPriority w:val="9"/>
    <w:qFormat/>
    <w:rsid w:val="003772AA"/>
    <w:pPr>
      <w:keepNext/>
      <w:keepLines/>
      <w:spacing w:before="120" w:after="240" w:line="240" w:lineRule="auto"/>
      <w:outlineLvl w:val="0"/>
    </w:pPr>
    <w:rPr>
      <w:rFonts w:ascii="Inter SemiBold" w:eastAsiaTheme="majorEastAsia" w:hAnsi="Inter SemiBold" w:cstheme="majorBidi"/>
      <w:bCs/>
      <w:color w:val="6B3B57"/>
      <w:sz w:val="44"/>
      <w:szCs w:val="28"/>
    </w:rPr>
  </w:style>
  <w:style w:type="paragraph" w:styleId="Heading2">
    <w:name w:val="heading 2"/>
    <w:basedOn w:val="Normal"/>
    <w:next w:val="Normal"/>
    <w:link w:val="Heading2Char"/>
    <w:uiPriority w:val="9"/>
    <w:unhideWhenUsed/>
    <w:qFormat/>
    <w:rsid w:val="00B0246A"/>
    <w:pPr>
      <w:keepNext/>
      <w:keepLines/>
      <w:spacing w:before="360"/>
      <w:outlineLvl w:val="1"/>
    </w:pPr>
    <w:rPr>
      <w:rFonts w:eastAsiaTheme="majorEastAsia" w:cstheme="majorBidi"/>
      <w:b/>
      <w:bCs/>
      <w:color w:val="6B3B57"/>
      <w:sz w:val="26"/>
      <w:szCs w:val="26"/>
    </w:rPr>
  </w:style>
  <w:style w:type="paragraph" w:styleId="Heading3">
    <w:name w:val="heading 3"/>
    <w:basedOn w:val="Normal"/>
    <w:next w:val="Normal"/>
    <w:link w:val="Heading3Char"/>
    <w:uiPriority w:val="9"/>
    <w:unhideWhenUsed/>
    <w:qFormat/>
    <w:rsid w:val="006B57B5"/>
    <w:pPr>
      <w:keepNext/>
      <w:keepLines/>
      <w:spacing w:before="200"/>
      <w:outlineLvl w:val="2"/>
    </w:pPr>
    <w:rPr>
      <w:rFonts w:eastAsiaTheme="majorEastAsia" w:cstheme="majorBidi"/>
      <w:b/>
      <w:bCs/>
      <w:i/>
      <w:color w:val="auto"/>
    </w:rPr>
  </w:style>
  <w:style w:type="paragraph" w:styleId="Heading4">
    <w:name w:val="heading 4"/>
    <w:basedOn w:val="Normal"/>
    <w:next w:val="Normal"/>
    <w:link w:val="Heading4Char"/>
    <w:uiPriority w:val="9"/>
    <w:unhideWhenUsed/>
    <w:qFormat/>
    <w:rsid w:val="00C472C8"/>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Single bullet style,L,List Paragraph11,Recommendation,bullet point list,Bullet point,DDM Gen Text,List Paragraph - bullets,NFP GP Bulleted List,List Paragraph Number,List Paragraph2,Indented bullet,0Bullet,Bullets,CV text"/>
    <w:basedOn w:val="Normal"/>
    <w:link w:val="ListParagraphChar"/>
    <w:uiPriority w:val="34"/>
    <w:qFormat/>
    <w:rsid w:val="00581958"/>
    <w:pPr>
      <w:numPr>
        <w:numId w:val="43"/>
      </w:numPr>
      <w:ind w:left="357" w:hanging="357"/>
      <w:contextualSpacing/>
    </w:pPr>
  </w:style>
  <w:style w:type="paragraph" w:customStyle="1" w:styleId="Default">
    <w:name w:val="Default"/>
    <w:rsid w:val="007D5988"/>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7D5988"/>
    <w:rPr>
      <w:rFonts w:ascii="Calibri" w:hAnsi="Calibri"/>
      <w:szCs w:val="21"/>
    </w:rPr>
  </w:style>
  <w:style w:type="character" w:customStyle="1" w:styleId="PlainTextChar">
    <w:name w:val="Plain Text Char"/>
    <w:basedOn w:val="DefaultParagraphFont"/>
    <w:link w:val="PlainText"/>
    <w:uiPriority w:val="99"/>
    <w:rsid w:val="007D5988"/>
    <w:rPr>
      <w:rFonts w:ascii="Calibri" w:hAnsi="Calibri"/>
      <w:szCs w:val="21"/>
    </w:rPr>
  </w:style>
  <w:style w:type="character" w:customStyle="1" w:styleId="ListParagraphChar">
    <w:name w:val="List Paragraph Char"/>
    <w:aliases w:val="List Paragraph1 Char,Single bullet style Char,L Char,List Paragraph11 Char,Recommendation Char,bullet point list Char,Bullet point Char,DDM Gen Text Char,List Paragraph - bullets Char,NFP GP Bulleted List Char,List Paragraph2 Char"/>
    <w:basedOn w:val="DefaultParagraphFont"/>
    <w:link w:val="ListParagraph"/>
    <w:uiPriority w:val="34"/>
    <w:qFormat/>
    <w:rsid w:val="00581958"/>
    <w:rPr>
      <w:rFonts w:ascii="Inter" w:eastAsia="Times New Roman" w:hAnsi="Inter" w:cs="Times New Roman"/>
      <w:color w:val="351C26" w:themeColor="text1"/>
      <w:szCs w:val="24"/>
      <w:lang w:eastAsia="en-GB"/>
    </w:rPr>
  </w:style>
  <w:style w:type="character" w:styleId="Emphasis">
    <w:name w:val="Emphasis"/>
    <w:basedOn w:val="DefaultParagraphFont"/>
    <w:uiPriority w:val="20"/>
    <w:qFormat/>
    <w:rsid w:val="003A5DF9"/>
    <w:rPr>
      <w:i/>
      <w:iCs/>
    </w:rPr>
  </w:style>
  <w:style w:type="table" w:styleId="TableGrid">
    <w:name w:val="Table Grid"/>
    <w:basedOn w:val="TableNormal"/>
    <w:uiPriority w:val="39"/>
    <w:rsid w:val="008E2B2F"/>
    <w:pPr>
      <w:spacing w:after="0" w:line="240" w:lineRule="auto"/>
    </w:pPr>
    <w:rPr>
      <w:rFonts w:ascii="Arial" w:eastAsia="Times New Roman" w:hAnsi="Arial" w:cs="Times New Roman"/>
      <w:sz w:val="20"/>
      <w:szCs w:val="20"/>
    </w:rPr>
    <w:tblPr>
      <w:tblStyleRowBandSize w:val="1"/>
      <w:tblBorders>
        <w:top w:val="single" w:sz="18" w:space="0" w:color="EDE8E0" w:themeColor="background1"/>
        <w:left w:val="single" w:sz="18" w:space="0" w:color="EDE8E0" w:themeColor="background1"/>
        <w:bottom w:val="single" w:sz="18" w:space="0" w:color="EDE8E0" w:themeColor="background1"/>
        <w:right w:val="single" w:sz="18" w:space="0" w:color="EDE8E0" w:themeColor="background1"/>
        <w:insideH w:val="single" w:sz="18" w:space="0" w:color="EDE8E0" w:themeColor="background1"/>
        <w:insideV w:val="single" w:sz="18" w:space="0" w:color="EDE8E0" w:themeColor="background1"/>
      </w:tblBorders>
    </w:tblPr>
    <w:tblStylePr w:type="firstRow">
      <w:rPr>
        <w:rFonts w:ascii="Arial" w:hAnsi="Arial"/>
        <w:color w:val="EDE8E0" w:themeColor="background1"/>
      </w:rPr>
      <w:tblPr/>
      <w:tcPr>
        <w:shd w:val="clear" w:color="auto" w:fill="C79D15"/>
      </w:tcPr>
    </w:tblStylePr>
    <w:tblStylePr w:type="band1Horz">
      <w:rPr>
        <w:color w:val="auto"/>
      </w:rPr>
      <w:tblPr/>
      <w:tcPr>
        <w:shd w:val="clear" w:color="auto" w:fill="EDE8E0" w:themeFill="background1"/>
      </w:tcPr>
    </w:tblStylePr>
    <w:tblStylePr w:type="band2Horz">
      <w:tblPr/>
      <w:tcPr>
        <w:shd w:val="clear" w:color="auto" w:fill="FFF6E0"/>
      </w:tcPr>
    </w:tblStylePr>
  </w:style>
  <w:style w:type="paragraph" w:customStyle="1" w:styleId="TableHeading">
    <w:name w:val="Table Heading"/>
    <w:basedOn w:val="Heading1"/>
    <w:autoRedefine/>
    <w:qFormat/>
    <w:rsid w:val="003E7CF9"/>
    <w:pPr>
      <w:keepLines w:val="0"/>
      <w:tabs>
        <w:tab w:val="left" w:pos="709"/>
      </w:tabs>
      <w:spacing w:before="360" w:after="120" w:line="300" w:lineRule="auto"/>
      <w:ind w:left="709" w:hanging="720"/>
    </w:pPr>
    <w:rPr>
      <w:rFonts w:ascii="Arial" w:eastAsia="Times New Roman" w:hAnsi="Arial" w:cs="Times New Roman"/>
      <w:bCs w:val="0"/>
      <w:color w:val="auto"/>
      <w:kern w:val="28"/>
      <w:sz w:val="20"/>
      <w:szCs w:val="22"/>
      <w:lang w:val="en-US"/>
    </w:rPr>
  </w:style>
  <w:style w:type="character" w:customStyle="1" w:styleId="Heading1Char">
    <w:name w:val="Heading 1 Char"/>
    <w:basedOn w:val="DefaultParagraphFont"/>
    <w:link w:val="Heading1"/>
    <w:uiPriority w:val="9"/>
    <w:rsid w:val="003772AA"/>
    <w:rPr>
      <w:rFonts w:ascii="Inter SemiBold" w:eastAsiaTheme="majorEastAsia" w:hAnsi="Inter SemiBold" w:cstheme="majorBidi"/>
      <w:bCs/>
      <w:color w:val="6B3B57"/>
      <w:sz w:val="44"/>
      <w:szCs w:val="28"/>
      <w:lang w:eastAsia="en-GB"/>
    </w:rPr>
  </w:style>
  <w:style w:type="paragraph" w:customStyle="1" w:styleId="H2">
    <w:name w:val="H2"/>
    <w:basedOn w:val="Normal"/>
    <w:autoRedefine/>
    <w:rsid w:val="00FC2709"/>
    <w:pPr>
      <w:ind w:left="720" w:hanging="720"/>
      <w:jc w:val="center"/>
    </w:pPr>
    <w:rPr>
      <w:rFonts w:ascii="SansaSoft Pro SemiBold" w:hAnsi="SansaSoft Pro SemiBold"/>
      <w:b/>
      <w:sz w:val="20"/>
      <w:szCs w:val="20"/>
      <w:lang w:eastAsia="en-AU"/>
    </w:rPr>
  </w:style>
  <w:style w:type="paragraph" w:styleId="BalloonText">
    <w:name w:val="Balloon Text"/>
    <w:basedOn w:val="Normal"/>
    <w:link w:val="BalloonTextChar"/>
    <w:uiPriority w:val="99"/>
    <w:semiHidden/>
    <w:unhideWhenUsed/>
    <w:rsid w:val="0082440D"/>
    <w:rPr>
      <w:rFonts w:ascii="Tahoma" w:hAnsi="Tahoma" w:cs="Tahoma"/>
      <w:sz w:val="16"/>
      <w:szCs w:val="16"/>
    </w:rPr>
  </w:style>
  <w:style w:type="character" w:customStyle="1" w:styleId="BalloonTextChar">
    <w:name w:val="Balloon Text Char"/>
    <w:basedOn w:val="DefaultParagraphFont"/>
    <w:link w:val="BalloonText"/>
    <w:uiPriority w:val="99"/>
    <w:semiHidden/>
    <w:rsid w:val="0082440D"/>
    <w:rPr>
      <w:rFonts w:ascii="Tahoma" w:hAnsi="Tahoma" w:cs="Tahoma"/>
      <w:sz w:val="16"/>
      <w:szCs w:val="16"/>
    </w:rPr>
  </w:style>
  <w:style w:type="paragraph" w:styleId="Header">
    <w:name w:val="header"/>
    <w:basedOn w:val="Normal"/>
    <w:link w:val="HeaderChar"/>
    <w:uiPriority w:val="99"/>
    <w:unhideWhenUsed/>
    <w:rsid w:val="009D6EDD"/>
    <w:pPr>
      <w:tabs>
        <w:tab w:val="center" w:pos="4513"/>
        <w:tab w:val="right" w:pos="9026"/>
      </w:tabs>
    </w:pPr>
  </w:style>
  <w:style w:type="character" w:customStyle="1" w:styleId="HeaderChar">
    <w:name w:val="Header Char"/>
    <w:basedOn w:val="DefaultParagraphFont"/>
    <w:link w:val="Header"/>
    <w:uiPriority w:val="99"/>
    <w:rsid w:val="009D6EDD"/>
  </w:style>
  <w:style w:type="paragraph" w:styleId="Footer">
    <w:name w:val="footer"/>
    <w:basedOn w:val="Normal"/>
    <w:link w:val="FooterChar"/>
    <w:uiPriority w:val="99"/>
    <w:unhideWhenUsed/>
    <w:rsid w:val="00EB5C41"/>
    <w:pPr>
      <w:tabs>
        <w:tab w:val="center" w:pos="4513"/>
        <w:tab w:val="right" w:pos="9026"/>
      </w:tabs>
    </w:pPr>
    <w:rPr>
      <w:sz w:val="18"/>
    </w:rPr>
  </w:style>
  <w:style w:type="character" w:customStyle="1" w:styleId="FooterChar">
    <w:name w:val="Footer Char"/>
    <w:basedOn w:val="DefaultParagraphFont"/>
    <w:link w:val="Footer"/>
    <w:uiPriority w:val="99"/>
    <w:rsid w:val="00EB5C41"/>
    <w:rPr>
      <w:rFonts w:ascii="Arial" w:eastAsia="Times New Roman" w:hAnsi="Arial" w:cs="Times New Roman"/>
      <w:sz w:val="18"/>
      <w:szCs w:val="24"/>
      <w:lang w:eastAsia="en-GB"/>
    </w:rPr>
  </w:style>
  <w:style w:type="paragraph" w:styleId="Title">
    <w:name w:val="Title"/>
    <w:basedOn w:val="Default"/>
    <w:next w:val="Default"/>
    <w:link w:val="TitleChar"/>
    <w:uiPriority w:val="99"/>
    <w:qFormat/>
    <w:rsid w:val="00F67271"/>
    <w:rPr>
      <w:rFonts w:ascii="Arial" w:hAnsi="Arial" w:cs="Arial"/>
      <w:color w:val="auto"/>
    </w:rPr>
  </w:style>
  <w:style w:type="character" w:customStyle="1" w:styleId="TitleChar">
    <w:name w:val="Title Char"/>
    <w:basedOn w:val="DefaultParagraphFont"/>
    <w:link w:val="Title"/>
    <w:uiPriority w:val="99"/>
    <w:rsid w:val="00F67271"/>
    <w:rPr>
      <w:rFonts w:ascii="Arial" w:hAnsi="Arial" w:cs="Arial"/>
      <w:sz w:val="24"/>
      <w:szCs w:val="24"/>
    </w:rPr>
  </w:style>
  <w:style w:type="character" w:styleId="CommentReference">
    <w:name w:val="annotation reference"/>
    <w:basedOn w:val="DefaultParagraphFont"/>
    <w:uiPriority w:val="99"/>
    <w:semiHidden/>
    <w:unhideWhenUsed/>
    <w:rsid w:val="000200AC"/>
    <w:rPr>
      <w:sz w:val="16"/>
      <w:szCs w:val="16"/>
    </w:rPr>
  </w:style>
  <w:style w:type="paragraph" w:styleId="CommentText">
    <w:name w:val="annotation text"/>
    <w:basedOn w:val="Normal"/>
    <w:link w:val="CommentTextChar"/>
    <w:uiPriority w:val="99"/>
    <w:unhideWhenUsed/>
    <w:rsid w:val="000200AC"/>
    <w:rPr>
      <w:sz w:val="20"/>
      <w:szCs w:val="20"/>
    </w:rPr>
  </w:style>
  <w:style w:type="character" w:customStyle="1" w:styleId="CommentTextChar">
    <w:name w:val="Comment Text Char"/>
    <w:basedOn w:val="DefaultParagraphFont"/>
    <w:link w:val="CommentText"/>
    <w:uiPriority w:val="99"/>
    <w:rsid w:val="000200AC"/>
    <w:rPr>
      <w:sz w:val="20"/>
      <w:szCs w:val="20"/>
    </w:rPr>
  </w:style>
  <w:style w:type="paragraph" w:styleId="CommentSubject">
    <w:name w:val="annotation subject"/>
    <w:basedOn w:val="CommentText"/>
    <w:next w:val="CommentText"/>
    <w:link w:val="CommentSubjectChar"/>
    <w:uiPriority w:val="99"/>
    <w:semiHidden/>
    <w:unhideWhenUsed/>
    <w:rsid w:val="000200AC"/>
    <w:rPr>
      <w:b/>
      <w:bCs/>
    </w:rPr>
  </w:style>
  <w:style w:type="character" w:customStyle="1" w:styleId="CommentSubjectChar">
    <w:name w:val="Comment Subject Char"/>
    <w:basedOn w:val="CommentTextChar"/>
    <w:link w:val="CommentSubject"/>
    <w:uiPriority w:val="99"/>
    <w:semiHidden/>
    <w:rsid w:val="000200AC"/>
    <w:rPr>
      <w:b/>
      <w:bCs/>
      <w:sz w:val="20"/>
      <w:szCs w:val="20"/>
    </w:rPr>
  </w:style>
  <w:style w:type="paragraph" w:styleId="TOCHeading">
    <w:name w:val="TOC Heading"/>
    <w:basedOn w:val="Heading1"/>
    <w:next w:val="Normal"/>
    <w:uiPriority w:val="39"/>
    <w:unhideWhenUsed/>
    <w:qFormat/>
    <w:rsid w:val="0040271B"/>
    <w:pPr>
      <w:outlineLvl w:val="9"/>
    </w:pPr>
    <w:rPr>
      <w:lang w:val="en-US" w:eastAsia="ja-JP"/>
    </w:rPr>
  </w:style>
  <w:style w:type="paragraph" w:styleId="TOC2">
    <w:name w:val="toc 2"/>
    <w:basedOn w:val="Normal"/>
    <w:next w:val="Normal"/>
    <w:autoRedefine/>
    <w:uiPriority w:val="39"/>
    <w:unhideWhenUsed/>
    <w:qFormat/>
    <w:rsid w:val="000A4526"/>
    <w:pPr>
      <w:tabs>
        <w:tab w:val="right" w:leader="dot" w:pos="9638"/>
      </w:tabs>
      <w:spacing w:before="120"/>
      <w:ind w:left="221"/>
    </w:pPr>
    <w:rPr>
      <w:rFonts w:eastAsiaTheme="minorEastAsia"/>
      <w:lang w:val="en-US" w:eastAsia="ja-JP"/>
    </w:rPr>
  </w:style>
  <w:style w:type="paragraph" w:styleId="TOC1">
    <w:name w:val="toc 1"/>
    <w:basedOn w:val="Normal"/>
    <w:next w:val="Normal"/>
    <w:autoRedefine/>
    <w:uiPriority w:val="39"/>
    <w:unhideWhenUsed/>
    <w:qFormat/>
    <w:rsid w:val="00884420"/>
    <w:pPr>
      <w:tabs>
        <w:tab w:val="right" w:leader="dot" w:pos="9638"/>
      </w:tabs>
      <w:spacing w:after="100"/>
    </w:pPr>
    <w:rPr>
      <w:rFonts w:eastAsiaTheme="minorEastAsia" w:cs="Arial"/>
      <w:noProof/>
      <w:szCs w:val="22"/>
      <w:lang w:eastAsia="en-AU"/>
    </w:rPr>
  </w:style>
  <w:style w:type="paragraph" w:styleId="TOC3">
    <w:name w:val="toc 3"/>
    <w:basedOn w:val="Normal"/>
    <w:next w:val="Normal"/>
    <w:autoRedefine/>
    <w:uiPriority w:val="39"/>
    <w:unhideWhenUsed/>
    <w:qFormat/>
    <w:rsid w:val="0040271B"/>
    <w:pPr>
      <w:spacing w:after="100"/>
      <w:ind w:left="440"/>
    </w:pPr>
    <w:rPr>
      <w:rFonts w:eastAsiaTheme="minorEastAsia"/>
      <w:lang w:val="en-US" w:eastAsia="ja-JP"/>
    </w:rPr>
  </w:style>
  <w:style w:type="character" w:customStyle="1" w:styleId="Heading2Char">
    <w:name w:val="Heading 2 Char"/>
    <w:basedOn w:val="DefaultParagraphFont"/>
    <w:link w:val="Heading2"/>
    <w:uiPriority w:val="9"/>
    <w:rsid w:val="00B0246A"/>
    <w:rPr>
      <w:rFonts w:ascii="Inter" w:eastAsiaTheme="majorEastAsia" w:hAnsi="Inter" w:cstheme="majorBidi"/>
      <w:b/>
      <w:bCs/>
      <w:color w:val="6B3B57"/>
      <w:sz w:val="26"/>
      <w:szCs w:val="26"/>
      <w:lang w:eastAsia="en-GB"/>
    </w:rPr>
  </w:style>
  <w:style w:type="character" w:styleId="Hyperlink">
    <w:name w:val="Hyperlink"/>
    <w:basedOn w:val="DefaultParagraphFont"/>
    <w:uiPriority w:val="99"/>
    <w:unhideWhenUsed/>
    <w:rsid w:val="003772AA"/>
    <w:rPr>
      <w:color w:val="236F6B"/>
      <w:u w:val="single"/>
    </w:rPr>
  </w:style>
  <w:style w:type="character" w:customStyle="1" w:styleId="Heading3Char">
    <w:name w:val="Heading 3 Char"/>
    <w:basedOn w:val="DefaultParagraphFont"/>
    <w:link w:val="Heading3"/>
    <w:uiPriority w:val="9"/>
    <w:rsid w:val="006B57B5"/>
    <w:rPr>
      <w:rFonts w:ascii="Inter" w:eastAsiaTheme="majorEastAsia" w:hAnsi="Inter" w:cstheme="majorBidi"/>
      <w:b/>
      <w:bCs/>
      <w:i/>
      <w:szCs w:val="24"/>
      <w:lang w:eastAsia="en-GB"/>
    </w:rPr>
  </w:style>
  <w:style w:type="character" w:styleId="FollowedHyperlink">
    <w:name w:val="FollowedHyperlink"/>
    <w:basedOn w:val="DefaultParagraphFont"/>
    <w:uiPriority w:val="99"/>
    <w:semiHidden/>
    <w:unhideWhenUsed/>
    <w:rsid w:val="00B8190B"/>
    <w:rPr>
      <w:color w:val="FCBF86" w:themeColor="followedHyperlink"/>
      <w:u w:val="single"/>
    </w:rPr>
  </w:style>
  <w:style w:type="table" w:customStyle="1" w:styleId="TableGrid1">
    <w:name w:val="Table Grid1"/>
    <w:basedOn w:val="TableNormal"/>
    <w:next w:val="TableGrid"/>
    <w:uiPriority w:val="59"/>
    <w:rsid w:val="00F24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772AA"/>
    <w:rPr>
      <w:color w:val="auto"/>
      <w:sz w:val="20"/>
      <w:szCs w:val="20"/>
    </w:rPr>
  </w:style>
  <w:style w:type="character" w:customStyle="1" w:styleId="FootnoteTextChar">
    <w:name w:val="Footnote Text Char"/>
    <w:basedOn w:val="DefaultParagraphFont"/>
    <w:link w:val="FootnoteText"/>
    <w:uiPriority w:val="99"/>
    <w:rsid w:val="003772AA"/>
    <w:rPr>
      <w:rFonts w:ascii="Inter" w:eastAsia="Times New Roman" w:hAnsi="Inter" w:cs="Times New Roman"/>
      <w:sz w:val="20"/>
      <w:szCs w:val="20"/>
      <w:lang w:eastAsia="en-GB"/>
    </w:rPr>
  </w:style>
  <w:style w:type="character" w:styleId="FootnoteReference">
    <w:name w:val="footnote reference"/>
    <w:basedOn w:val="DefaultParagraphFont"/>
    <w:uiPriority w:val="99"/>
    <w:semiHidden/>
    <w:unhideWhenUsed/>
    <w:rsid w:val="003C7920"/>
    <w:rPr>
      <w:vertAlign w:val="superscript"/>
    </w:rPr>
  </w:style>
  <w:style w:type="paragraph" w:styleId="EndnoteText">
    <w:name w:val="endnote text"/>
    <w:basedOn w:val="Normal"/>
    <w:link w:val="EndnoteTextChar"/>
    <w:uiPriority w:val="99"/>
    <w:semiHidden/>
    <w:unhideWhenUsed/>
    <w:rsid w:val="00DF329B"/>
    <w:rPr>
      <w:sz w:val="20"/>
      <w:szCs w:val="20"/>
    </w:rPr>
  </w:style>
  <w:style w:type="character" w:customStyle="1" w:styleId="EndnoteTextChar">
    <w:name w:val="Endnote Text Char"/>
    <w:basedOn w:val="DefaultParagraphFont"/>
    <w:link w:val="EndnoteText"/>
    <w:uiPriority w:val="99"/>
    <w:semiHidden/>
    <w:rsid w:val="00DF329B"/>
    <w:rPr>
      <w:rFonts w:ascii="Arial" w:hAnsi="Arial"/>
      <w:sz w:val="20"/>
      <w:szCs w:val="20"/>
    </w:rPr>
  </w:style>
  <w:style w:type="character" w:styleId="EndnoteReference">
    <w:name w:val="endnote reference"/>
    <w:basedOn w:val="DefaultParagraphFont"/>
    <w:uiPriority w:val="99"/>
    <w:semiHidden/>
    <w:unhideWhenUsed/>
    <w:rsid w:val="00DF329B"/>
    <w:rPr>
      <w:vertAlign w:val="superscript"/>
    </w:rPr>
  </w:style>
  <w:style w:type="character" w:customStyle="1" w:styleId="Heading4Char">
    <w:name w:val="Heading 4 Char"/>
    <w:basedOn w:val="DefaultParagraphFont"/>
    <w:link w:val="Heading4"/>
    <w:uiPriority w:val="9"/>
    <w:rsid w:val="00C472C8"/>
    <w:rPr>
      <w:rFonts w:ascii="Arial" w:hAnsi="Arial"/>
      <w:b/>
    </w:rPr>
  </w:style>
  <w:style w:type="character" w:styleId="Strong">
    <w:name w:val="Strong"/>
    <w:basedOn w:val="DefaultParagraphFont"/>
    <w:uiPriority w:val="22"/>
    <w:qFormat/>
    <w:rsid w:val="00654755"/>
    <w:rPr>
      <w:b/>
      <w:bCs/>
    </w:rPr>
  </w:style>
  <w:style w:type="character" w:customStyle="1" w:styleId="lexicon-term">
    <w:name w:val="lexicon-term"/>
    <w:basedOn w:val="DefaultParagraphFont"/>
    <w:rsid w:val="00654755"/>
    <w:rPr>
      <w:strike w:val="0"/>
      <w:dstrike w:val="0"/>
      <w:u w:val="none"/>
      <w:effect w:val="none"/>
    </w:rPr>
  </w:style>
  <w:style w:type="paragraph" w:styleId="Caption">
    <w:name w:val="caption"/>
    <w:basedOn w:val="Normal"/>
    <w:next w:val="Normal"/>
    <w:uiPriority w:val="35"/>
    <w:unhideWhenUsed/>
    <w:qFormat/>
    <w:rsid w:val="00653E52"/>
    <w:pPr>
      <w:spacing w:after="200"/>
    </w:pPr>
    <w:rPr>
      <w:rFonts w:eastAsiaTheme="minorEastAsia"/>
      <w:b/>
      <w:bCs/>
      <w:color w:val="78DED9" w:themeColor="accent1"/>
      <w:sz w:val="18"/>
      <w:szCs w:val="18"/>
    </w:rPr>
  </w:style>
  <w:style w:type="paragraph" w:styleId="NormalWeb">
    <w:name w:val="Normal (Web)"/>
    <w:basedOn w:val="Normal"/>
    <w:uiPriority w:val="99"/>
    <w:unhideWhenUsed/>
    <w:rsid w:val="009D5E2B"/>
    <w:pPr>
      <w:spacing w:after="300"/>
    </w:pPr>
    <w:rPr>
      <w:lang w:eastAsia="en-AU"/>
    </w:rPr>
  </w:style>
  <w:style w:type="paragraph" w:styleId="Revision">
    <w:name w:val="Revision"/>
    <w:hidden/>
    <w:uiPriority w:val="99"/>
    <w:semiHidden/>
    <w:rsid w:val="005A63CB"/>
    <w:pPr>
      <w:spacing w:after="0" w:line="240" w:lineRule="auto"/>
    </w:pPr>
    <w:rPr>
      <w:rFonts w:ascii="Arial" w:hAnsi="Arial"/>
    </w:rPr>
  </w:style>
  <w:style w:type="paragraph" w:customStyle="1" w:styleId="xmsolistparagraph">
    <w:name w:val="x_msolistparagraph"/>
    <w:basedOn w:val="Normal"/>
    <w:rsid w:val="005378FE"/>
    <w:pPr>
      <w:spacing w:before="100" w:beforeAutospacing="1" w:after="100" w:afterAutospacing="1"/>
    </w:pPr>
  </w:style>
  <w:style w:type="character" w:customStyle="1" w:styleId="A7">
    <w:name w:val="A7"/>
    <w:uiPriority w:val="99"/>
    <w:rsid w:val="007738F6"/>
    <w:rPr>
      <w:rFonts w:cs="SansaSoft Pro Normal"/>
      <w:color w:val="403F41"/>
      <w:sz w:val="18"/>
      <w:szCs w:val="18"/>
    </w:rPr>
  </w:style>
  <w:style w:type="character" w:customStyle="1" w:styleId="UnresolvedMention1">
    <w:name w:val="Unresolved Mention1"/>
    <w:basedOn w:val="DefaultParagraphFont"/>
    <w:uiPriority w:val="99"/>
    <w:semiHidden/>
    <w:unhideWhenUsed/>
    <w:rsid w:val="001C4694"/>
    <w:rPr>
      <w:color w:val="605E5C"/>
      <w:shd w:val="clear" w:color="auto" w:fill="E1DFDD"/>
    </w:rPr>
  </w:style>
  <w:style w:type="character" w:customStyle="1" w:styleId="apple-converted-space">
    <w:name w:val="apple-converted-space"/>
    <w:basedOn w:val="DefaultParagraphFont"/>
    <w:rsid w:val="00F43AC4"/>
  </w:style>
  <w:style w:type="character" w:customStyle="1" w:styleId="UnresolvedMention2">
    <w:name w:val="Unresolved Mention2"/>
    <w:basedOn w:val="DefaultParagraphFont"/>
    <w:uiPriority w:val="99"/>
    <w:semiHidden/>
    <w:unhideWhenUsed/>
    <w:rsid w:val="00E056E6"/>
    <w:rPr>
      <w:color w:val="605E5C"/>
      <w:shd w:val="clear" w:color="auto" w:fill="E1DFDD"/>
    </w:rPr>
  </w:style>
  <w:style w:type="character" w:customStyle="1" w:styleId="UnresolvedMention3">
    <w:name w:val="Unresolved Mention3"/>
    <w:basedOn w:val="DefaultParagraphFont"/>
    <w:uiPriority w:val="99"/>
    <w:semiHidden/>
    <w:unhideWhenUsed/>
    <w:rsid w:val="00A127A2"/>
    <w:rPr>
      <w:color w:val="605E5C"/>
      <w:shd w:val="clear" w:color="auto" w:fill="E1DFDD"/>
    </w:rPr>
  </w:style>
  <w:style w:type="character" w:customStyle="1" w:styleId="UnresolvedMention4">
    <w:name w:val="Unresolved Mention4"/>
    <w:basedOn w:val="DefaultParagraphFont"/>
    <w:uiPriority w:val="99"/>
    <w:semiHidden/>
    <w:unhideWhenUsed/>
    <w:rsid w:val="004F4C00"/>
    <w:rPr>
      <w:color w:val="605E5C"/>
      <w:shd w:val="clear" w:color="auto" w:fill="E1DFDD"/>
    </w:rPr>
  </w:style>
  <w:style w:type="character" w:customStyle="1" w:styleId="nlmyear">
    <w:name w:val="nlm_year"/>
    <w:basedOn w:val="DefaultParagraphFont"/>
    <w:rsid w:val="00CA08FF"/>
  </w:style>
  <w:style w:type="character" w:customStyle="1" w:styleId="apple-tab-span">
    <w:name w:val="apple-tab-span"/>
    <w:basedOn w:val="DefaultParagraphFont"/>
    <w:rsid w:val="0034229E"/>
  </w:style>
  <w:style w:type="character" w:customStyle="1" w:styleId="normaltextrun">
    <w:name w:val="normaltextrun"/>
    <w:basedOn w:val="DefaultParagraphFont"/>
    <w:rsid w:val="00FE7C78"/>
  </w:style>
  <w:style w:type="paragraph" w:customStyle="1" w:styleId="EndNoteBibliographyTitle">
    <w:name w:val="EndNote Bibliography Title"/>
    <w:basedOn w:val="Normal"/>
    <w:link w:val="EndNoteBibliographyTitleChar"/>
    <w:rsid w:val="00835D4B"/>
    <w:pPr>
      <w:jc w:val="center"/>
    </w:pPr>
    <w:rPr>
      <w:rFonts w:cs="Arial"/>
      <w:noProof/>
      <w:lang w:val="en-GB"/>
    </w:rPr>
  </w:style>
  <w:style w:type="character" w:customStyle="1" w:styleId="EndNoteBibliographyTitleChar">
    <w:name w:val="EndNote Bibliography Title Char"/>
    <w:basedOn w:val="DefaultParagraphFont"/>
    <w:link w:val="EndNoteBibliographyTitle"/>
    <w:rsid w:val="00835D4B"/>
    <w:rPr>
      <w:rFonts w:ascii="Arial" w:eastAsia="Times New Roman" w:hAnsi="Arial" w:cs="Arial"/>
      <w:noProof/>
      <w:szCs w:val="24"/>
      <w:lang w:val="en-GB" w:eastAsia="en-GB"/>
    </w:rPr>
  </w:style>
  <w:style w:type="paragraph" w:customStyle="1" w:styleId="EndNoteBibliography">
    <w:name w:val="EndNote Bibliography"/>
    <w:basedOn w:val="Normal"/>
    <w:link w:val="EndNoteBibliographyChar"/>
    <w:rsid w:val="00835D4B"/>
    <w:rPr>
      <w:rFonts w:cs="Arial"/>
      <w:noProof/>
      <w:lang w:val="en-GB"/>
    </w:rPr>
  </w:style>
  <w:style w:type="character" w:customStyle="1" w:styleId="EndNoteBibliographyChar">
    <w:name w:val="EndNote Bibliography Char"/>
    <w:basedOn w:val="DefaultParagraphFont"/>
    <w:link w:val="EndNoteBibliography"/>
    <w:rsid w:val="00835D4B"/>
    <w:rPr>
      <w:rFonts w:ascii="Arial" w:eastAsia="Times New Roman" w:hAnsi="Arial" w:cs="Arial"/>
      <w:noProof/>
      <w:szCs w:val="24"/>
      <w:lang w:val="en-GB" w:eastAsia="en-GB"/>
    </w:rPr>
  </w:style>
  <w:style w:type="paragraph" w:customStyle="1" w:styleId="Address">
    <w:name w:val="Address"/>
    <w:basedOn w:val="Normal"/>
    <w:qFormat/>
    <w:rsid w:val="00367556"/>
    <w:pPr>
      <w:kinsoku w:val="0"/>
      <w:overflowPunct w:val="0"/>
      <w:autoSpaceDE w:val="0"/>
      <w:autoSpaceDN w:val="0"/>
      <w:adjustRightInd w:val="0"/>
      <w:spacing w:after="0" w:line="240" w:lineRule="auto"/>
      <w:ind w:left="40"/>
    </w:pPr>
    <w:rPr>
      <w:sz w:val="18"/>
    </w:rPr>
  </w:style>
  <w:style w:type="paragraph" w:customStyle="1" w:styleId="FigureTitle">
    <w:name w:val="Figure Title"/>
    <w:basedOn w:val="Normal"/>
    <w:qFormat/>
    <w:rsid w:val="00E757C0"/>
    <w:rPr>
      <w:b/>
      <w:sz w:val="20"/>
    </w:rPr>
  </w:style>
  <w:style w:type="paragraph" w:customStyle="1" w:styleId="TableTitle">
    <w:name w:val="Table Title"/>
    <w:basedOn w:val="Caption"/>
    <w:qFormat/>
    <w:rsid w:val="00802E7C"/>
    <w:pPr>
      <w:spacing w:before="120"/>
    </w:pPr>
    <w:rPr>
      <w:rFonts w:eastAsiaTheme="majorEastAsia"/>
      <w:color w:val="351C26" w:themeColor="text1"/>
      <w:sz w:val="20"/>
    </w:rPr>
  </w:style>
  <w:style w:type="character" w:customStyle="1" w:styleId="UnresolvedMention5">
    <w:name w:val="Unresolved Mention5"/>
    <w:basedOn w:val="DefaultParagraphFont"/>
    <w:uiPriority w:val="99"/>
    <w:semiHidden/>
    <w:unhideWhenUsed/>
    <w:rsid w:val="00DF6C01"/>
    <w:rPr>
      <w:color w:val="605E5C"/>
      <w:shd w:val="clear" w:color="auto" w:fill="E1DFDD"/>
    </w:rPr>
  </w:style>
  <w:style w:type="character" w:customStyle="1" w:styleId="UnresolvedMention6">
    <w:name w:val="Unresolved Mention6"/>
    <w:basedOn w:val="DefaultParagraphFont"/>
    <w:uiPriority w:val="99"/>
    <w:semiHidden/>
    <w:unhideWhenUsed/>
    <w:rsid w:val="00BD4E51"/>
    <w:rPr>
      <w:color w:val="605E5C"/>
      <w:shd w:val="clear" w:color="auto" w:fill="E1DFDD"/>
    </w:rPr>
  </w:style>
  <w:style w:type="character" w:customStyle="1" w:styleId="UnresolvedMention7">
    <w:name w:val="Unresolved Mention7"/>
    <w:basedOn w:val="DefaultParagraphFont"/>
    <w:uiPriority w:val="99"/>
    <w:semiHidden/>
    <w:unhideWhenUsed/>
    <w:rsid w:val="00C82E20"/>
    <w:rPr>
      <w:color w:val="605E5C"/>
      <w:shd w:val="clear" w:color="auto" w:fill="E1DFDD"/>
    </w:rPr>
  </w:style>
  <w:style w:type="paragraph" w:customStyle="1" w:styleId="xmsonormal">
    <w:name w:val="x_msonormal"/>
    <w:basedOn w:val="Normal"/>
    <w:rsid w:val="000F3D1A"/>
    <w:pPr>
      <w:spacing w:after="0" w:line="240" w:lineRule="auto"/>
    </w:pPr>
    <w:rPr>
      <w:rFonts w:ascii="Calibri" w:eastAsiaTheme="minorHAnsi" w:hAnsi="Calibri" w:cs="Calibri"/>
      <w:color w:val="auto"/>
      <w:szCs w:val="22"/>
      <w:lang w:eastAsia="en-AU"/>
    </w:rPr>
  </w:style>
  <w:style w:type="character" w:customStyle="1" w:styleId="UnresolvedMention8">
    <w:name w:val="Unresolved Mention8"/>
    <w:basedOn w:val="DefaultParagraphFont"/>
    <w:uiPriority w:val="99"/>
    <w:semiHidden/>
    <w:unhideWhenUsed/>
    <w:rsid w:val="001C67AA"/>
    <w:rPr>
      <w:color w:val="605E5C"/>
      <w:shd w:val="clear" w:color="auto" w:fill="E1DFDD"/>
    </w:rPr>
  </w:style>
  <w:style w:type="paragraph" w:customStyle="1" w:styleId="MTB">
    <w:name w:val="MTB"/>
    <w:basedOn w:val="Normal"/>
    <w:qFormat/>
    <w:rsid w:val="00BA26F2"/>
    <w:pPr>
      <w:spacing w:after="40" w:line="259" w:lineRule="auto"/>
    </w:pPr>
    <w:rPr>
      <w:rFonts w:ascii="SansaSoft Pro SemiBold" w:eastAsiaTheme="minorHAnsi" w:hAnsi="SansaSoft Pro SemiBold" w:cstheme="minorBidi"/>
      <w:color w:val="auto"/>
      <w:sz w:val="36"/>
      <w:szCs w:val="36"/>
      <w:lang w:eastAsia="en-US"/>
    </w:rPr>
  </w:style>
  <w:style w:type="character" w:customStyle="1" w:styleId="UnresolvedMention9">
    <w:name w:val="Unresolved Mention9"/>
    <w:basedOn w:val="DefaultParagraphFont"/>
    <w:uiPriority w:val="99"/>
    <w:semiHidden/>
    <w:unhideWhenUsed/>
    <w:rsid w:val="006F4226"/>
    <w:rPr>
      <w:color w:val="605E5C"/>
      <w:shd w:val="clear" w:color="auto" w:fill="E1DFDD"/>
    </w:rPr>
  </w:style>
  <w:style w:type="character" w:styleId="UnresolvedMention">
    <w:name w:val="Unresolved Mention"/>
    <w:basedOn w:val="DefaultParagraphFont"/>
    <w:uiPriority w:val="99"/>
    <w:semiHidden/>
    <w:unhideWhenUsed/>
    <w:rsid w:val="00A74553"/>
    <w:rPr>
      <w:color w:val="605E5C"/>
      <w:shd w:val="clear" w:color="auto" w:fill="E1DFDD"/>
    </w:rPr>
  </w:style>
  <w:style w:type="character" w:customStyle="1" w:styleId="cf01">
    <w:name w:val="cf01"/>
    <w:basedOn w:val="DefaultParagraphFont"/>
    <w:rsid w:val="00107A02"/>
    <w:rPr>
      <w:rFonts w:ascii="Segoe UI" w:hAnsi="Segoe UI" w:cs="Segoe UI" w:hint="default"/>
      <w:b/>
      <w:bCs/>
      <w:sz w:val="18"/>
      <w:szCs w:val="18"/>
    </w:rPr>
  </w:style>
  <w:style w:type="character" w:customStyle="1" w:styleId="cf11">
    <w:name w:val="cf11"/>
    <w:basedOn w:val="DefaultParagraphFont"/>
    <w:rsid w:val="00107A0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10383">
      <w:bodyDiv w:val="1"/>
      <w:marLeft w:val="0"/>
      <w:marRight w:val="0"/>
      <w:marTop w:val="0"/>
      <w:marBottom w:val="0"/>
      <w:divBdr>
        <w:top w:val="none" w:sz="0" w:space="0" w:color="auto"/>
        <w:left w:val="none" w:sz="0" w:space="0" w:color="auto"/>
        <w:bottom w:val="none" w:sz="0" w:space="0" w:color="auto"/>
        <w:right w:val="none" w:sz="0" w:space="0" w:color="auto"/>
      </w:divBdr>
    </w:div>
    <w:div w:id="86198195">
      <w:bodyDiv w:val="1"/>
      <w:marLeft w:val="0"/>
      <w:marRight w:val="0"/>
      <w:marTop w:val="0"/>
      <w:marBottom w:val="0"/>
      <w:divBdr>
        <w:top w:val="none" w:sz="0" w:space="0" w:color="auto"/>
        <w:left w:val="none" w:sz="0" w:space="0" w:color="auto"/>
        <w:bottom w:val="none" w:sz="0" w:space="0" w:color="auto"/>
        <w:right w:val="none" w:sz="0" w:space="0" w:color="auto"/>
      </w:divBdr>
    </w:div>
    <w:div w:id="108937097">
      <w:bodyDiv w:val="1"/>
      <w:marLeft w:val="0"/>
      <w:marRight w:val="0"/>
      <w:marTop w:val="0"/>
      <w:marBottom w:val="0"/>
      <w:divBdr>
        <w:top w:val="none" w:sz="0" w:space="0" w:color="auto"/>
        <w:left w:val="none" w:sz="0" w:space="0" w:color="auto"/>
        <w:bottom w:val="none" w:sz="0" w:space="0" w:color="auto"/>
        <w:right w:val="none" w:sz="0" w:space="0" w:color="auto"/>
      </w:divBdr>
      <w:divsChild>
        <w:div w:id="1481311916">
          <w:marLeft w:val="0"/>
          <w:marRight w:val="0"/>
          <w:marTop w:val="0"/>
          <w:marBottom w:val="0"/>
          <w:divBdr>
            <w:top w:val="none" w:sz="0" w:space="0" w:color="auto"/>
            <w:left w:val="none" w:sz="0" w:space="0" w:color="auto"/>
            <w:bottom w:val="none" w:sz="0" w:space="0" w:color="auto"/>
            <w:right w:val="none" w:sz="0" w:space="0" w:color="auto"/>
          </w:divBdr>
          <w:divsChild>
            <w:div w:id="7273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5639">
      <w:bodyDiv w:val="1"/>
      <w:marLeft w:val="0"/>
      <w:marRight w:val="0"/>
      <w:marTop w:val="0"/>
      <w:marBottom w:val="0"/>
      <w:divBdr>
        <w:top w:val="none" w:sz="0" w:space="0" w:color="auto"/>
        <w:left w:val="none" w:sz="0" w:space="0" w:color="auto"/>
        <w:bottom w:val="none" w:sz="0" w:space="0" w:color="auto"/>
        <w:right w:val="none" w:sz="0" w:space="0" w:color="auto"/>
      </w:divBdr>
    </w:div>
    <w:div w:id="187836778">
      <w:bodyDiv w:val="1"/>
      <w:marLeft w:val="0"/>
      <w:marRight w:val="0"/>
      <w:marTop w:val="0"/>
      <w:marBottom w:val="0"/>
      <w:divBdr>
        <w:top w:val="none" w:sz="0" w:space="0" w:color="auto"/>
        <w:left w:val="none" w:sz="0" w:space="0" w:color="auto"/>
        <w:bottom w:val="none" w:sz="0" w:space="0" w:color="auto"/>
        <w:right w:val="none" w:sz="0" w:space="0" w:color="auto"/>
      </w:divBdr>
    </w:div>
    <w:div w:id="190187448">
      <w:bodyDiv w:val="1"/>
      <w:marLeft w:val="0"/>
      <w:marRight w:val="0"/>
      <w:marTop w:val="0"/>
      <w:marBottom w:val="0"/>
      <w:divBdr>
        <w:top w:val="none" w:sz="0" w:space="0" w:color="auto"/>
        <w:left w:val="none" w:sz="0" w:space="0" w:color="auto"/>
        <w:bottom w:val="none" w:sz="0" w:space="0" w:color="auto"/>
        <w:right w:val="none" w:sz="0" w:space="0" w:color="auto"/>
      </w:divBdr>
    </w:div>
    <w:div w:id="212353573">
      <w:bodyDiv w:val="1"/>
      <w:marLeft w:val="0"/>
      <w:marRight w:val="0"/>
      <w:marTop w:val="0"/>
      <w:marBottom w:val="0"/>
      <w:divBdr>
        <w:top w:val="none" w:sz="0" w:space="0" w:color="auto"/>
        <w:left w:val="none" w:sz="0" w:space="0" w:color="auto"/>
        <w:bottom w:val="none" w:sz="0" w:space="0" w:color="auto"/>
        <w:right w:val="none" w:sz="0" w:space="0" w:color="auto"/>
      </w:divBdr>
    </w:div>
    <w:div w:id="228151722">
      <w:bodyDiv w:val="1"/>
      <w:marLeft w:val="0"/>
      <w:marRight w:val="0"/>
      <w:marTop w:val="0"/>
      <w:marBottom w:val="0"/>
      <w:divBdr>
        <w:top w:val="none" w:sz="0" w:space="0" w:color="auto"/>
        <w:left w:val="none" w:sz="0" w:space="0" w:color="auto"/>
        <w:bottom w:val="none" w:sz="0" w:space="0" w:color="auto"/>
        <w:right w:val="none" w:sz="0" w:space="0" w:color="auto"/>
      </w:divBdr>
    </w:div>
    <w:div w:id="232089545">
      <w:bodyDiv w:val="1"/>
      <w:marLeft w:val="0"/>
      <w:marRight w:val="0"/>
      <w:marTop w:val="0"/>
      <w:marBottom w:val="0"/>
      <w:divBdr>
        <w:top w:val="none" w:sz="0" w:space="0" w:color="auto"/>
        <w:left w:val="none" w:sz="0" w:space="0" w:color="auto"/>
        <w:bottom w:val="none" w:sz="0" w:space="0" w:color="auto"/>
        <w:right w:val="none" w:sz="0" w:space="0" w:color="auto"/>
      </w:divBdr>
    </w:div>
    <w:div w:id="251551836">
      <w:bodyDiv w:val="1"/>
      <w:marLeft w:val="0"/>
      <w:marRight w:val="0"/>
      <w:marTop w:val="0"/>
      <w:marBottom w:val="0"/>
      <w:divBdr>
        <w:top w:val="none" w:sz="0" w:space="0" w:color="auto"/>
        <w:left w:val="none" w:sz="0" w:space="0" w:color="auto"/>
        <w:bottom w:val="none" w:sz="0" w:space="0" w:color="auto"/>
        <w:right w:val="none" w:sz="0" w:space="0" w:color="auto"/>
      </w:divBdr>
    </w:div>
    <w:div w:id="294913579">
      <w:bodyDiv w:val="1"/>
      <w:marLeft w:val="0"/>
      <w:marRight w:val="0"/>
      <w:marTop w:val="0"/>
      <w:marBottom w:val="0"/>
      <w:divBdr>
        <w:top w:val="none" w:sz="0" w:space="0" w:color="auto"/>
        <w:left w:val="none" w:sz="0" w:space="0" w:color="auto"/>
        <w:bottom w:val="none" w:sz="0" w:space="0" w:color="auto"/>
        <w:right w:val="none" w:sz="0" w:space="0" w:color="auto"/>
      </w:divBdr>
    </w:div>
    <w:div w:id="302462876">
      <w:bodyDiv w:val="1"/>
      <w:marLeft w:val="0"/>
      <w:marRight w:val="0"/>
      <w:marTop w:val="0"/>
      <w:marBottom w:val="0"/>
      <w:divBdr>
        <w:top w:val="none" w:sz="0" w:space="0" w:color="auto"/>
        <w:left w:val="none" w:sz="0" w:space="0" w:color="auto"/>
        <w:bottom w:val="none" w:sz="0" w:space="0" w:color="auto"/>
        <w:right w:val="none" w:sz="0" w:space="0" w:color="auto"/>
      </w:divBdr>
    </w:div>
    <w:div w:id="313489047">
      <w:bodyDiv w:val="1"/>
      <w:marLeft w:val="0"/>
      <w:marRight w:val="0"/>
      <w:marTop w:val="0"/>
      <w:marBottom w:val="0"/>
      <w:divBdr>
        <w:top w:val="none" w:sz="0" w:space="0" w:color="auto"/>
        <w:left w:val="none" w:sz="0" w:space="0" w:color="auto"/>
        <w:bottom w:val="none" w:sz="0" w:space="0" w:color="auto"/>
        <w:right w:val="none" w:sz="0" w:space="0" w:color="auto"/>
      </w:divBdr>
    </w:div>
    <w:div w:id="321156912">
      <w:bodyDiv w:val="1"/>
      <w:marLeft w:val="0"/>
      <w:marRight w:val="0"/>
      <w:marTop w:val="0"/>
      <w:marBottom w:val="0"/>
      <w:divBdr>
        <w:top w:val="none" w:sz="0" w:space="0" w:color="auto"/>
        <w:left w:val="none" w:sz="0" w:space="0" w:color="auto"/>
        <w:bottom w:val="none" w:sz="0" w:space="0" w:color="auto"/>
        <w:right w:val="none" w:sz="0" w:space="0" w:color="auto"/>
      </w:divBdr>
    </w:div>
    <w:div w:id="325592223">
      <w:bodyDiv w:val="1"/>
      <w:marLeft w:val="0"/>
      <w:marRight w:val="0"/>
      <w:marTop w:val="0"/>
      <w:marBottom w:val="0"/>
      <w:divBdr>
        <w:top w:val="none" w:sz="0" w:space="0" w:color="auto"/>
        <w:left w:val="none" w:sz="0" w:space="0" w:color="auto"/>
        <w:bottom w:val="none" w:sz="0" w:space="0" w:color="auto"/>
        <w:right w:val="none" w:sz="0" w:space="0" w:color="auto"/>
      </w:divBdr>
    </w:div>
    <w:div w:id="349986544">
      <w:bodyDiv w:val="1"/>
      <w:marLeft w:val="0"/>
      <w:marRight w:val="0"/>
      <w:marTop w:val="0"/>
      <w:marBottom w:val="0"/>
      <w:divBdr>
        <w:top w:val="none" w:sz="0" w:space="0" w:color="auto"/>
        <w:left w:val="none" w:sz="0" w:space="0" w:color="auto"/>
        <w:bottom w:val="none" w:sz="0" w:space="0" w:color="auto"/>
        <w:right w:val="none" w:sz="0" w:space="0" w:color="auto"/>
      </w:divBdr>
      <w:divsChild>
        <w:div w:id="1514219025">
          <w:marLeft w:val="1526"/>
          <w:marRight w:val="0"/>
          <w:marTop w:val="100"/>
          <w:marBottom w:val="0"/>
          <w:divBdr>
            <w:top w:val="none" w:sz="0" w:space="0" w:color="auto"/>
            <w:left w:val="none" w:sz="0" w:space="0" w:color="auto"/>
            <w:bottom w:val="none" w:sz="0" w:space="0" w:color="auto"/>
            <w:right w:val="none" w:sz="0" w:space="0" w:color="auto"/>
          </w:divBdr>
        </w:div>
        <w:div w:id="1519736710">
          <w:marLeft w:val="2347"/>
          <w:marRight w:val="0"/>
          <w:marTop w:val="100"/>
          <w:marBottom w:val="0"/>
          <w:divBdr>
            <w:top w:val="none" w:sz="0" w:space="0" w:color="auto"/>
            <w:left w:val="none" w:sz="0" w:space="0" w:color="auto"/>
            <w:bottom w:val="none" w:sz="0" w:space="0" w:color="auto"/>
            <w:right w:val="none" w:sz="0" w:space="0" w:color="auto"/>
          </w:divBdr>
        </w:div>
        <w:div w:id="1631401531">
          <w:marLeft w:val="2347"/>
          <w:marRight w:val="0"/>
          <w:marTop w:val="100"/>
          <w:marBottom w:val="0"/>
          <w:divBdr>
            <w:top w:val="none" w:sz="0" w:space="0" w:color="auto"/>
            <w:left w:val="none" w:sz="0" w:space="0" w:color="auto"/>
            <w:bottom w:val="none" w:sz="0" w:space="0" w:color="auto"/>
            <w:right w:val="none" w:sz="0" w:space="0" w:color="auto"/>
          </w:divBdr>
        </w:div>
        <w:div w:id="1730960455">
          <w:marLeft w:val="1526"/>
          <w:marRight w:val="0"/>
          <w:marTop w:val="100"/>
          <w:marBottom w:val="0"/>
          <w:divBdr>
            <w:top w:val="none" w:sz="0" w:space="0" w:color="auto"/>
            <w:left w:val="none" w:sz="0" w:space="0" w:color="auto"/>
            <w:bottom w:val="none" w:sz="0" w:space="0" w:color="auto"/>
            <w:right w:val="none" w:sz="0" w:space="0" w:color="auto"/>
          </w:divBdr>
        </w:div>
        <w:div w:id="1993756481">
          <w:marLeft w:val="2347"/>
          <w:marRight w:val="0"/>
          <w:marTop w:val="100"/>
          <w:marBottom w:val="0"/>
          <w:divBdr>
            <w:top w:val="none" w:sz="0" w:space="0" w:color="auto"/>
            <w:left w:val="none" w:sz="0" w:space="0" w:color="auto"/>
            <w:bottom w:val="none" w:sz="0" w:space="0" w:color="auto"/>
            <w:right w:val="none" w:sz="0" w:space="0" w:color="auto"/>
          </w:divBdr>
        </w:div>
      </w:divsChild>
    </w:div>
    <w:div w:id="350881445">
      <w:bodyDiv w:val="1"/>
      <w:marLeft w:val="0"/>
      <w:marRight w:val="0"/>
      <w:marTop w:val="0"/>
      <w:marBottom w:val="0"/>
      <w:divBdr>
        <w:top w:val="none" w:sz="0" w:space="0" w:color="auto"/>
        <w:left w:val="none" w:sz="0" w:space="0" w:color="auto"/>
        <w:bottom w:val="none" w:sz="0" w:space="0" w:color="auto"/>
        <w:right w:val="none" w:sz="0" w:space="0" w:color="auto"/>
      </w:divBdr>
    </w:div>
    <w:div w:id="372660290">
      <w:bodyDiv w:val="1"/>
      <w:marLeft w:val="0"/>
      <w:marRight w:val="0"/>
      <w:marTop w:val="0"/>
      <w:marBottom w:val="0"/>
      <w:divBdr>
        <w:top w:val="none" w:sz="0" w:space="0" w:color="auto"/>
        <w:left w:val="none" w:sz="0" w:space="0" w:color="auto"/>
        <w:bottom w:val="none" w:sz="0" w:space="0" w:color="auto"/>
        <w:right w:val="none" w:sz="0" w:space="0" w:color="auto"/>
      </w:divBdr>
    </w:div>
    <w:div w:id="378672085">
      <w:bodyDiv w:val="1"/>
      <w:marLeft w:val="0"/>
      <w:marRight w:val="0"/>
      <w:marTop w:val="0"/>
      <w:marBottom w:val="0"/>
      <w:divBdr>
        <w:top w:val="none" w:sz="0" w:space="0" w:color="auto"/>
        <w:left w:val="none" w:sz="0" w:space="0" w:color="auto"/>
        <w:bottom w:val="none" w:sz="0" w:space="0" w:color="auto"/>
        <w:right w:val="none" w:sz="0" w:space="0" w:color="auto"/>
      </w:divBdr>
    </w:div>
    <w:div w:id="383218538">
      <w:bodyDiv w:val="1"/>
      <w:marLeft w:val="0"/>
      <w:marRight w:val="0"/>
      <w:marTop w:val="0"/>
      <w:marBottom w:val="0"/>
      <w:divBdr>
        <w:top w:val="none" w:sz="0" w:space="0" w:color="auto"/>
        <w:left w:val="none" w:sz="0" w:space="0" w:color="auto"/>
        <w:bottom w:val="none" w:sz="0" w:space="0" w:color="auto"/>
        <w:right w:val="none" w:sz="0" w:space="0" w:color="auto"/>
      </w:divBdr>
    </w:div>
    <w:div w:id="399137977">
      <w:bodyDiv w:val="1"/>
      <w:marLeft w:val="0"/>
      <w:marRight w:val="0"/>
      <w:marTop w:val="0"/>
      <w:marBottom w:val="0"/>
      <w:divBdr>
        <w:top w:val="none" w:sz="0" w:space="0" w:color="auto"/>
        <w:left w:val="none" w:sz="0" w:space="0" w:color="auto"/>
        <w:bottom w:val="none" w:sz="0" w:space="0" w:color="auto"/>
        <w:right w:val="none" w:sz="0" w:space="0" w:color="auto"/>
      </w:divBdr>
    </w:div>
    <w:div w:id="440807241">
      <w:bodyDiv w:val="1"/>
      <w:marLeft w:val="0"/>
      <w:marRight w:val="0"/>
      <w:marTop w:val="0"/>
      <w:marBottom w:val="0"/>
      <w:divBdr>
        <w:top w:val="none" w:sz="0" w:space="0" w:color="auto"/>
        <w:left w:val="none" w:sz="0" w:space="0" w:color="auto"/>
        <w:bottom w:val="none" w:sz="0" w:space="0" w:color="auto"/>
        <w:right w:val="none" w:sz="0" w:space="0" w:color="auto"/>
      </w:divBdr>
      <w:divsChild>
        <w:div w:id="279603807">
          <w:marLeft w:val="1526"/>
          <w:marRight w:val="0"/>
          <w:marTop w:val="100"/>
          <w:marBottom w:val="0"/>
          <w:divBdr>
            <w:top w:val="none" w:sz="0" w:space="0" w:color="auto"/>
            <w:left w:val="none" w:sz="0" w:space="0" w:color="auto"/>
            <w:bottom w:val="none" w:sz="0" w:space="0" w:color="auto"/>
            <w:right w:val="none" w:sz="0" w:space="0" w:color="auto"/>
          </w:divBdr>
        </w:div>
        <w:div w:id="589895167">
          <w:marLeft w:val="1526"/>
          <w:marRight w:val="0"/>
          <w:marTop w:val="100"/>
          <w:marBottom w:val="0"/>
          <w:divBdr>
            <w:top w:val="none" w:sz="0" w:space="0" w:color="auto"/>
            <w:left w:val="none" w:sz="0" w:space="0" w:color="auto"/>
            <w:bottom w:val="none" w:sz="0" w:space="0" w:color="auto"/>
            <w:right w:val="none" w:sz="0" w:space="0" w:color="auto"/>
          </w:divBdr>
        </w:div>
        <w:div w:id="685014278">
          <w:marLeft w:val="1526"/>
          <w:marRight w:val="0"/>
          <w:marTop w:val="100"/>
          <w:marBottom w:val="0"/>
          <w:divBdr>
            <w:top w:val="none" w:sz="0" w:space="0" w:color="auto"/>
            <w:left w:val="none" w:sz="0" w:space="0" w:color="auto"/>
            <w:bottom w:val="none" w:sz="0" w:space="0" w:color="auto"/>
            <w:right w:val="none" w:sz="0" w:space="0" w:color="auto"/>
          </w:divBdr>
        </w:div>
        <w:div w:id="704210222">
          <w:marLeft w:val="1526"/>
          <w:marRight w:val="0"/>
          <w:marTop w:val="100"/>
          <w:marBottom w:val="0"/>
          <w:divBdr>
            <w:top w:val="none" w:sz="0" w:space="0" w:color="auto"/>
            <w:left w:val="none" w:sz="0" w:space="0" w:color="auto"/>
            <w:bottom w:val="none" w:sz="0" w:space="0" w:color="auto"/>
            <w:right w:val="none" w:sz="0" w:space="0" w:color="auto"/>
          </w:divBdr>
        </w:div>
        <w:div w:id="777143044">
          <w:marLeft w:val="1526"/>
          <w:marRight w:val="0"/>
          <w:marTop w:val="100"/>
          <w:marBottom w:val="0"/>
          <w:divBdr>
            <w:top w:val="none" w:sz="0" w:space="0" w:color="auto"/>
            <w:left w:val="none" w:sz="0" w:space="0" w:color="auto"/>
            <w:bottom w:val="none" w:sz="0" w:space="0" w:color="auto"/>
            <w:right w:val="none" w:sz="0" w:space="0" w:color="auto"/>
          </w:divBdr>
        </w:div>
        <w:div w:id="821582541">
          <w:marLeft w:val="2246"/>
          <w:marRight w:val="0"/>
          <w:marTop w:val="100"/>
          <w:marBottom w:val="0"/>
          <w:divBdr>
            <w:top w:val="none" w:sz="0" w:space="0" w:color="auto"/>
            <w:left w:val="none" w:sz="0" w:space="0" w:color="auto"/>
            <w:bottom w:val="none" w:sz="0" w:space="0" w:color="auto"/>
            <w:right w:val="none" w:sz="0" w:space="0" w:color="auto"/>
          </w:divBdr>
        </w:div>
        <w:div w:id="829711278">
          <w:marLeft w:val="1526"/>
          <w:marRight w:val="0"/>
          <w:marTop w:val="100"/>
          <w:marBottom w:val="0"/>
          <w:divBdr>
            <w:top w:val="none" w:sz="0" w:space="0" w:color="auto"/>
            <w:left w:val="none" w:sz="0" w:space="0" w:color="auto"/>
            <w:bottom w:val="none" w:sz="0" w:space="0" w:color="auto"/>
            <w:right w:val="none" w:sz="0" w:space="0" w:color="auto"/>
          </w:divBdr>
        </w:div>
        <w:div w:id="831338168">
          <w:marLeft w:val="1526"/>
          <w:marRight w:val="0"/>
          <w:marTop w:val="100"/>
          <w:marBottom w:val="0"/>
          <w:divBdr>
            <w:top w:val="none" w:sz="0" w:space="0" w:color="auto"/>
            <w:left w:val="none" w:sz="0" w:space="0" w:color="auto"/>
            <w:bottom w:val="none" w:sz="0" w:space="0" w:color="auto"/>
            <w:right w:val="none" w:sz="0" w:space="0" w:color="auto"/>
          </w:divBdr>
        </w:div>
        <w:div w:id="959260241">
          <w:marLeft w:val="1526"/>
          <w:marRight w:val="0"/>
          <w:marTop w:val="100"/>
          <w:marBottom w:val="0"/>
          <w:divBdr>
            <w:top w:val="none" w:sz="0" w:space="0" w:color="auto"/>
            <w:left w:val="none" w:sz="0" w:space="0" w:color="auto"/>
            <w:bottom w:val="none" w:sz="0" w:space="0" w:color="auto"/>
            <w:right w:val="none" w:sz="0" w:space="0" w:color="auto"/>
          </w:divBdr>
        </w:div>
        <w:div w:id="1054893943">
          <w:marLeft w:val="2246"/>
          <w:marRight w:val="0"/>
          <w:marTop w:val="100"/>
          <w:marBottom w:val="0"/>
          <w:divBdr>
            <w:top w:val="none" w:sz="0" w:space="0" w:color="auto"/>
            <w:left w:val="none" w:sz="0" w:space="0" w:color="auto"/>
            <w:bottom w:val="none" w:sz="0" w:space="0" w:color="auto"/>
            <w:right w:val="none" w:sz="0" w:space="0" w:color="auto"/>
          </w:divBdr>
        </w:div>
        <w:div w:id="1063452785">
          <w:marLeft w:val="1526"/>
          <w:marRight w:val="0"/>
          <w:marTop w:val="100"/>
          <w:marBottom w:val="0"/>
          <w:divBdr>
            <w:top w:val="none" w:sz="0" w:space="0" w:color="auto"/>
            <w:left w:val="none" w:sz="0" w:space="0" w:color="auto"/>
            <w:bottom w:val="none" w:sz="0" w:space="0" w:color="auto"/>
            <w:right w:val="none" w:sz="0" w:space="0" w:color="auto"/>
          </w:divBdr>
        </w:div>
        <w:div w:id="1183281023">
          <w:marLeft w:val="1526"/>
          <w:marRight w:val="0"/>
          <w:marTop w:val="100"/>
          <w:marBottom w:val="0"/>
          <w:divBdr>
            <w:top w:val="none" w:sz="0" w:space="0" w:color="auto"/>
            <w:left w:val="none" w:sz="0" w:space="0" w:color="auto"/>
            <w:bottom w:val="none" w:sz="0" w:space="0" w:color="auto"/>
            <w:right w:val="none" w:sz="0" w:space="0" w:color="auto"/>
          </w:divBdr>
        </w:div>
        <w:div w:id="1247300599">
          <w:marLeft w:val="1526"/>
          <w:marRight w:val="0"/>
          <w:marTop w:val="100"/>
          <w:marBottom w:val="0"/>
          <w:divBdr>
            <w:top w:val="none" w:sz="0" w:space="0" w:color="auto"/>
            <w:left w:val="none" w:sz="0" w:space="0" w:color="auto"/>
            <w:bottom w:val="none" w:sz="0" w:space="0" w:color="auto"/>
            <w:right w:val="none" w:sz="0" w:space="0" w:color="auto"/>
          </w:divBdr>
        </w:div>
        <w:div w:id="1335649681">
          <w:marLeft w:val="1526"/>
          <w:marRight w:val="0"/>
          <w:marTop w:val="100"/>
          <w:marBottom w:val="0"/>
          <w:divBdr>
            <w:top w:val="none" w:sz="0" w:space="0" w:color="auto"/>
            <w:left w:val="none" w:sz="0" w:space="0" w:color="auto"/>
            <w:bottom w:val="none" w:sz="0" w:space="0" w:color="auto"/>
            <w:right w:val="none" w:sz="0" w:space="0" w:color="auto"/>
          </w:divBdr>
        </w:div>
        <w:div w:id="1396704196">
          <w:marLeft w:val="2246"/>
          <w:marRight w:val="0"/>
          <w:marTop w:val="100"/>
          <w:marBottom w:val="0"/>
          <w:divBdr>
            <w:top w:val="none" w:sz="0" w:space="0" w:color="auto"/>
            <w:left w:val="none" w:sz="0" w:space="0" w:color="auto"/>
            <w:bottom w:val="none" w:sz="0" w:space="0" w:color="auto"/>
            <w:right w:val="none" w:sz="0" w:space="0" w:color="auto"/>
          </w:divBdr>
        </w:div>
        <w:div w:id="1706909535">
          <w:marLeft w:val="1526"/>
          <w:marRight w:val="0"/>
          <w:marTop w:val="100"/>
          <w:marBottom w:val="0"/>
          <w:divBdr>
            <w:top w:val="none" w:sz="0" w:space="0" w:color="auto"/>
            <w:left w:val="none" w:sz="0" w:space="0" w:color="auto"/>
            <w:bottom w:val="none" w:sz="0" w:space="0" w:color="auto"/>
            <w:right w:val="none" w:sz="0" w:space="0" w:color="auto"/>
          </w:divBdr>
        </w:div>
        <w:div w:id="1952936640">
          <w:marLeft w:val="1526"/>
          <w:marRight w:val="0"/>
          <w:marTop w:val="100"/>
          <w:marBottom w:val="0"/>
          <w:divBdr>
            <w:top w:val="none" w:sz="0" w:space="0" w:color="auto"/>
            <w:left w:val="none" w:sz="0" w:space="0" w:color="auto"/>
            <w:bottom w:val="none" w:sz="0" w:space="0" w:color="auto"/>
            <w:right w:val="none" w:sz="0" w:space="0" w:color="auto"/>
          </w:divBdr>
        </w:div>
      </w:divsChild>
    </w:div>
    <w:div w:id="444812412">
      <w:bodyDiv w:val="1"/>
      <w:marLeft w:val="0"/>
      <w:marRight w:val="0"/>
      <w:marTop w:val="0"/>
      <w:marBottom w:val="0"/>
      <w:divBdr>
        <w:top w:val="none" w:sz="0" w:space="0" w:color="auto"/>
        <w:left w:val="none" w:sz="0" w:space="0" w:color="auto"/>
        <w:bottom w:val="none" w:sz="0" w:space="0" w:color="auto"/>
        <w:right w:val="none" w:sz="0" w:space="0" w:color="auto"/>
      </w:divBdr>
    </w:div>
    <w:div w:id="459498408">
      <w:bodyDiv w:val="1"/>
      <w:marLeft w:val="0"/>
      <w:marRight w:val="0"/>
      <w:marTop w:val="0"/>
      <w:marBottom w:val="0"/>
      <w:divBdr>
        <w:top w:val="none" w:sz="0" w:space="0" w:color="auto"/>
        <w:left w:val="none" w:sz="0" w:space="0" w:color="auto"/>
        <w:bottom w:val="none" w:sz="0" w:space="0" w:color="auto"/>
        <w:right w:val="none" w:sz="0" w:space="0" w:color="auto"/>
      </w:divBdr>
    </w:div>
    <w:div w:id="493452940">
      <w:bodyDiv w:val="1"/>
      <w:marLeft w:val="0"/>
      <w:marRight w:val="0"/>
      <w:marTop w:val="0"/>
      <w:marBottom w:val="0"/>
      <w:divBdr>
        <w:top w:val="none" w:sz="0" w:space="0" w:color="auto"/>
        <w:left w:val="none" w:sz="0" w:space="0" w:color="auto"/>
        <w:bottom w:val="none" w:sz="0" w:space="0" w:color="auto"/>
        <w:right w:val="none" w:sz="0" w:space="0" w:color="auto"/>
      </w:divBdr>
    </w:div>
    <w:div w:id="494496646">
      <w:bodyDiv w:val="1"/>
      <w:marLeft w:val="0"/>
      <w:marRight w:val="0"/>
      <w:marTop w:val="0"/>
      <w:marBottom w:val="0"/>
      <w:divBdr>
        <w:top w:val="none" w:sz="0" w:space="0" w:color="auto"/>
        <w:left w:val="none" w:sz="0" w:space="0" w:color="auto"/>
        <w:bottom w:val="none" w:sz="0" w:space="0" w:color="auto"/>
        <w:right w:val="none" w:sz="0" w:space="0" w:color="auto"/>
      </w:divBdr>
    </w:div>
    <w:div w:id="616566952">
      <w:bodyDiv w:val="1"/>
      <w:marLeft w:val="0"/>
      <w:marRight w:val="0"/>
      <w:marTop w:val="0"/>
      <w:marBottom w:val="0"/>
      <w:divBdr>
        <w:top w:val="none" w:sz="0" w:space="0" w:color="auto"/>
        <w:left w:val="none" w:sz="0" w:space="0" w:color="auto"/>
        <w:bottom w:val="none" w:sz="0" w:space="0" w:color="auto"/>
        <w:right w:val="none" w:sz="0" w:space="0" w:color="auto"/>
      </w:divBdr>
      <w:divsChild>
        <w:div w:id="641663641">
          <w:marLeft w:val="0"/>
          <w:marRight w:val="0"/>
          <w:marTop w:val="0"/>
          <w:marBottom w:val="0"/>
          <w:divBdr>
            <w:top w:val="none" w:sz="0" w:space="0" w:color="auto"/>
            <w:left w:val="none" w:sz="0" w:space="0" w:color="auto"/>
            <w:bottom w:val="none" w:sz="0" w:space="0" w:color="auto"/>
            <w:right w:val="none" w:sz="0" w:space="0" w:color="auto"/>
          </w:divBdr>
        </w:div>
        <w:div w:id="821501448">
          <w:marLeft w:val="0"/>
          <w:marRight w:val="0"/>
          <w:marTop w:val="0"/>
          <w:marBottom w:val="0"/>
          <w:divBdr>
            <w:top w:val="none" w:sz="0" w:space="0" w:color="auto"/>
            <w:left w:val="none" w:sz="0" w:space="0" w:color="auto"/>
            <w:bottom w:val="none" w:sz="0" w:space="0" w:color="auto"/>
            <w:right w:val="none" w:sz="0" w:space="0" w:color="auto"/>
          </w:divBdr>
        </w:div>
        <w:div w:id="1476024264">
          <w:marLeft w:val="0"/>
          <w:marRight w:val="0"/>
          <w:marTop w:val="0"/>
          <w:marBottom w:val="0"/>
          <w:divBdr>
            <w:top w:val="none" w:sz="0" w:space="0" w:color="auto"/>
            <w:left w:val="none" w:sz="0" w:space="0" w:color="auto"/>
            <w:bottom w:val="none" w:sz="0" w:space="0" w:color="auto"/>
            <w:right w:val="none" w:sz="0" w:space="0" w:color="auto"/>
          </w:divBdr>
        </w:div>
      </w:divsChild>
    </w:div>
    <w:div w:id="637688684">
      <w:bodyDiv w:val="1"/>
      <w:marLeft w:val="0"/>
      <w:marRight w:val="0"/>
      <w:marTop w:val="0"/>
      <w:marBottom w:val="0"/>
      <w:divBdr>
        <w:top w:val="none" w:sz="0" w:space="0" w:color="auto"/>
        <w:left w:val="none" w:sz="0" w:space="0" w:color="auto"/>
        <w:bottom w:val="none" w:sz="0" w:space="0" w:color="auto"/>
        <w:right w:val="none" w:sz="0" w:space="0" w:color="auto"/>
      </w:divBdr>
    </w:div>
    <w:div w:id="680014847">
      <w:bodyDiv w:val="1"/>
      <w:marLeft w:val="0"/>
      <w:marRight w:val="0"/>
      <w:marTop w:val="0"/>
      <w:marBottom w:val="0"/>
      <w:divBdr>
        <w:top w:val="none" w:sz="0" w:space="0" w:color="auto"/>
        <w:left w:val="none" w:sz="0" w:space="0" w:color="auto"/>
        <w:bottom w:val="none" w:sz="0" w:space="0" w:color="auto"/>
        <w:right w:val="none" w:sz="0" w:space="0" w:color="auto"/>
      </w:divBdr>
    </w:div>
    <w:div w:id="680469770">
      <w:bodyDiv w:val="1"/>
      <w:marLeft w:val="0"/>
      <w:marRight w:val="0"/>
      <w:marTop w:val="0"/>
      <w:marBottom w:val="0"/>
      <w:divBdr>
        <w:top w:val="none" w:sz="0" w:space="0" w:color="auto"/>
        <w:left w:val="none" w:sz="0" w:space="0" w:color="auto"/>
        <w:bottom w:val="none" w:sz="0" w:space="0" w:color="auto"/>
        <w:right w:val="none" w:sz="0" w:space="0" w:color="auto"/>
      </w:divBdr>
    </w:div>
    <w:div w:id="686558914">
      <w:bodyDiv w:val="1"/>
      <w:marLeft w:val="0"/>
      <w:marRight w:val="0"/>
      <w:marTop w:val="0"/>
      <w:marBottom w:val="0"/>
      <w:divBdr>
        <w:top w:val="none" w:sz="0" w:space="0" w:color="auto"/>
        <w:left w:val="none" w:sz="0" w:space="0" w:color="auto"/>
        <w:bottom w:val="none" w:sz="0" w:space="0" w:color="auto"/>
        <w:right w:val="none" w:sz="0" w:space="0" w:color="auto"/>
      </w:divBdr>
    </w:div>
    <w:div w:id="726143825">
      <w:bodyDiv w:val="1"/>
      <w:marLeft w:val="0"/>
      <w:marRight w:val="0"/>
      <w:marTop w:val="0"/>
      <w:marBottom w:val="0"/>
      <w:divBdr>
        <w:top w:val="none" w:sz="0" w:space="0" w:color="auto"/>
        <w:left w:val="none" w:sz="0" w:space="0" w:color="auto"/>
        <w:bottom w:val="none" w:sz="0" w:space="0" w:color="auto"/>
        <w:right w:val="none" w:sz="0" w:space="0" w:color="auto"/>
      </w:divBdr>
    </w:div>
    <w:div w:id="738864214">
      <w:bodyDiv w:val="1"/>
      <w:marLeft w:val="0"/>
      <w:marRight w:val="0"/>
      <w:marTop w:val="0"/>
      <w:marBottom w:val="0"/>
      <w:divBdr>
        <w:top w:val="none" w:sz="0" w:space="0" w:color="auto"/>
        <w:left w:val="none" w:sz="0" w:space="0" w:color="auto"/>
        <w:bottom w:val="none" w:sz="0" w:space="0" w:color="auto"/>
        <w:right w:val="none" w:sz="0" w:space="0" w:color="auto"/>
      </w:divBdr>
    </w:div>
    <w:div w:id="836964552">
      <w:bodyDiv w:val="1"/>
      <w:marLeft w:val="0"/>
      <w:marRight w:val="0"/>
      <w:marTop w:val="0"/>
      <w:marBottom w:val="0"/>
      <w:divBdr>
        <w:top w:val="none" w:sz="0" w:space="0" w:color="auto"/>
        <w:left w:val="none" w:sz="0" w:space="0" w:color="auto"/>
        <w:bottom w:val="none" w:sz="0" w:space="0" w:color="auto"/>
        <w:right w:val="none" w:sz="0" w:space="0" w:color="auto"/>
      </w:divBdr>
    </w:div>
    <w:div w:id="870530927">
      <w:bodyDiv w:val="1"/>
      <w:marLeft w:val="0"/>
      <w:marRight w:val="0"/>
      <w:marTop w:val="0"/>
      <w:marBottom w:val="0"/>
      <w:divBdr>
        <w:top w:val="none" w:sz="0" w:space="0" w:color="auto"/>
        <w:left w:val="none" w:sz="0" w:space="0" w:color="auto"/>
        <w:bottom w:val="none" w:sz="0" w:space="0" w:color="auto"/>
        <w:right w:val="none" w:sz="0" w:space="0" w:color="auto"/>
      </w:divBdr>
    </w:div>
    <w:div w:id="873809985">
      <w:bodyDiv w:val="1"/>
      <w:marLeft w:val="0"/>
      <w:marRight w:val="0"/>
      <w:marTop w:val="0"/>
      <w:marBottom w:val="0"/>
      <w:divBdr>
        <w:top w:val="none" w:sz="0" w:space="0" w:color="auto"/>
        <w:left w:val="none" w:sz="0" w:space="0" w:color="auto"/>
        <w:bottom w:val="none" w:sz="0" w:space="0" w:color="auto"/>
        <w:right w:val="none" w:sz="0" w:space="0" w:color="auto"/>
      </w:divBdr>
    </w:div>
    <w:div w:id="886798006">
      <w:bodyDiv w:val="1"/>
      <w:marLeft w:val="0"/>
      <w:marRight w:val="0"/>
      <w:marTop w:val="0"/>
      <w:marBottom w:val="0"/>
      <w:divBdr>
        <w:top w:val="none" w:sz="0" w:space="0" w:color="auto"/>
        <w:left w:val="none" w:sz="0" w:space="0" w:color="auto"/>
        <w:bottom w:val="none" w:sz="0" w:space="0" w:color="auto"/>
        <w:right w:val="none" w:sz="0" w:space="0" w:color="auto"/>
      </w:divBdr>
    </w:div>
    <w:div w:id="947735828">
      <w:bodyDiv w:val="1"/>
      <w:marLeft w:val="0"/>
      <w:marRight w:val="0"/>
      <w:marTop w:val="0"/>
      <w:marBottom w:val="0"/>
      <w:divBdr>
        <w:top w:val="none" w:sz="0" w:space="0" w:color="auto"/>
        <w:left w:val="none" w:sz="0" w:space="0" w:color="auto"/>
        <w:bottom w:val="none" w:sz="0" w:space="0" w:color="auto"/>
        <w:right w:val="none" w:sz="0" w:space="0" w:color="auto"/>
      </w:divBdr>
    </w:div>
    <w:div w:id="951321748">
      <w:bodyDiv w:val="1"/>
      <w:marLeft w:val="0"/>
      <w:marRight w:val="0"/>
      <w:marTop w:val="0"/>
      <w:marBottom w:val="0"/>
      <w:divBdr>
        <w:top w:val="none" w:sz="0" w:space="0" w:color="auto"/>
        <w:left w:val="none" w:sz="0" w:space="0" w:color="auto"/>
        <w:bottom w:val="none" w:sz="0" w:space="0" w:color="auto"/>
        <w:right w:val="none" w:sz="0" w:space="0" w:color="auto"/>
      </w:divBdr>
    </w:div>
    <w:div w:id="959264892">
      <w:bodyDiv w:val="1"/>
      <w:marLeft w:val="0"/>
      <w:marRight w:val="0"/>
      <w:marTop w:val="0"/>
      <w:marBottom w:val="0"/>
      <w:divBdr>
        <w:top w:val="none" w:sz="0" w:space="0" w:color="auto"/>
        <w:left w:val="none" w:sz="0" w:space="0" w:color="auto"/>
        <w:bottom w:val="none" w:sz="0" w:space="0" w:color="auto"/>
        <w:right w:val="none" w:sz="0" w:space="0" w:color="auto"/>
      </w:divBdr>
    </w:div>
    <w:div w:id="966544168">
      <w:bodyDiv w:val="1"/>
      <w:marLeft w:val="0"/>
      <w:marRight w:val="0"/>
      <w:marTop w:val="0"/>
      <w:marBottom w:val="0"/>
      <w:divBdr>
        <w:top w:val="none" w:sz="0" w:space="0" w:color="auto"/>
        <w:left w:val="none" w:sz="0" w:space="0" w:color="auto"/>
        <w:bottom w:val="none" w:sz="0" w:space="0" w:color="auto"/>
        <w:right w:val="none" w:sz="0" w:space="0" w:color="auto"/>
      </w:divBdr>
    </w:div>
    <w:div w:id="987831049">
      <w:bodyDiv w:val="1"/>
      <w:marLeft w:val="0"/>
      <w:marRight w:val="0"/>
      <w:marTop w:val="0"/>
      <w:marBottom w:val="0"/>
      <w:divBdr>
        <w:top w:val="none" w:sz="0" w:space="0" w:color="auto"/>
        <w:left w:val="none" w:sz="0" w:space="0" w:color="auto"/>
        <w:bottom w:val="none" w:sz="0" w:space="0" w:color="auto"/>
        <w:right w:val="none" w:sz="0" w:space="0" w:color="auto"/>
      </w:divBdr>
    </w:div>
    <w:div w:id="1102258445">
      <w:bodyDiv w:val="1"/>
      <w:marLeft w:val="0"/>
      <w:marRight w:val="0"/>
      <w:marTop w:val="0"/>
      <w:marBottom w:val="0"/>
      <w:divBdr>
        <w:top w:val="none" w:sz="0" w:space="0" w:color="auto"/>
        <w:left w:val="none" w:sz="0" w:space="0" w:color="auto"/>
        <w:bottom w:val="none" w:sz="0" w:space="0" w:color="auto"/>
        <w:right w:val="none" w:sz="0" w:space="0" w:color="auto"/>
      </w:divBdr>
    </w:div>
    <w:div w:id="1105688242">
      <w:bodyDiv w:val="1"/>
      <w:marLeft w:val="0"/>
      <w:marRight w:val="0"/>
      <w:marTop w:val="0"/>
      <w:marBottom w:val="0"/>
      <w:divBdr>
        <w:top w:val="none" w:sz="0" w:space="0" w:color="auto"/>
        <w:left w:val="none" w:sz="0" w:space="0" w:color="auto"/>
        <w:bottom w:val="none" w:sz="0" w:space="0" w:color="auto"/>
        <w:right w:val="none" w:sz="0" w:space="0" w:color="auto"/>
      </w:divBdr>
    </w:div>
    <w:div w:id="1113867668">
      <w:bodyDiv w:val="1"/>
      <w:marLeft w:val="0"/>
      <w:marRight w:val="0"/>
      <w:marTop w:val="0"/>
      <w:marBottom w:val="0"/>
      <w:divBdr>
        <w:top w:val="none" w:sz="0" w:space="0" w:color="auto"/>
        <w:left w:val="none" w:sz="0" w:space="0" w:color="auto"/>
        <w:bottom w:val="none" w:sz="0" w:space="0" w:color="auto"/>
        <w:right w:val="none" w:sz="0" w:space="0" w:color="auto"/>
      </w:divBdr>
    </w:div>
    <w:div w:id="1130394291">
      <w:bodyDiv w:val="1"/>
      <w:marLeft w:val="0"/>
      <w:marRight w:val="0"/>
      <w:marTop w:val="0"/>
      <w:marBottom w:val="0"/>
      <w:divBdr>
        <w:top w:val="none" w:sz="0" w:space="0" w:color="auto"/>
        <w:left w:val="none" w:sz="0" w:space="0" w:color="auto"/>
        <w:bottom w:val="none" w:sz="0" w:space="0" w:color="auto"/>
        <w:right w:val="none" w:sz="0" w:space="0" w:color="auto"/>
      </w:divBdr>
    </w:div>
    <w:div w:id="1140147105">
      <w:bodyDiv w:val="1"/>
      <w:marLeft w:val="0"/>
      <w:marRight w:val="0"/>
      <w:marTop w:val="0"/>
      <w:marBottom w:val="0"/>
      <w:divBdr>
        <w:top w:val="none" w:sz="0" w:space="0" w:color="auto"/>
        <w:left w:val="none" w:sz="0" w:space="0" w:color="auto"/>
        <w:bottom w:val="none" w:sz="0" w:space="0" w:color="auto"/>
        <w:right w:val="none" w:sz="0" w:space="0" w:color="auto"/>
      </w:divBdr>
    </w:div>
    <w:div w:id="1208838955">
      <w:bodyDiv w:val="1"/>
      <w:marLeft w:val="0"/>
      <w:marRight w:val="0"/>
      <w:marTop w:val="0"/>
      <w:marBottom w:val="0"/>
      <w:divBdr>
        <w:top w:val="none" w:sz="0" w:space="0" w:color="auto"/>
        <w:left w:val="none" w:sz="0" w:space="0" w:color="auto"/>
        <w:bottom w:val="none" w:sz="0" w:space="0" w:color="auto"/>
        <w:right w:val="none" w:sz="0" w:space="0" w:color="auto"/>
      </w:divBdr>
    </w:div>
    <w:div w:id="1212841211">
      <w:bodyDiv w:val="1"/>
      <w:marLeft w:val="0"/>
      <w:marRight w:val="0"/>
      <w:marTop w:val="0"/>
      <w:marBottom w:val="0"/>
      <w:divBdr>
        <w:top w:val="none" w:sz="0" w:space="0" w:color="auto"/>
        <w:left w:val="none" w:sz="0" w:space="0" w:color="auto"/>
        <w:bottom w:val="none" w:sz="0" w:space="0" w:color="auto"/>
        <w:right w:val="none" w:sz="0" w:space="0" w:color="auto"/>
      </w:divBdr>
    </w:div>
    <w:div w:id="1237125807">
      <w:bodyDiv w:val="1"/>
      <w:marLeft w:val="0"/>
      <w:marRight w:val="0"/>
      <w:marTop w:val="0"/>
      <w:marBottom w:val="0"/>
      <w:divBdr>
        <w:top w:val="none" w:sz="0" w:space="0" w:color="auto"/>
        <w:left w:val="none" w:sz="0" w:space="0" w:color="auto"/>
        <w:bottom w:val="none" w:sz="0" w:space="0" w:color="auto"/>
        <w:right w:val="none" w:sz="0" w:space="0" w:color="auto"/>
      </w:divBdr>
    </w:div>
    <w:div w:id="1246115042">
      <w:bodyDiv w:val="1"/>
      <w:marLeft w:val="0"/>
      <w:marRight w:val="0"/>
      <w:marTop w:val="0"/>
      <w:marBottom w:val="0"/>
      <w:divBdr>
        <w:top w:val="none" w:sz="0" w:space="0" w:color="auto"/>
        <w:left w:val="none" w:sz="0" w:space="0" w:color="auto"/>
        <w:bottom w:val="none" w:sz="0" w:space="0" w:color="auto"/>
        <w:right w:val="none" w:sz="0" w:space="0" w:color="auto"/>
      </w:divBdr>
    </w:div>
    <w:div w:id="1253785130">
      <w:bodyDiv w:val="1"/>
      <w:marLeft w:val="0"/>
      <w:marRight w:val="0"/>
      <w:marTop w:val="0"/>
      <w:marBottom w:val="0"/>
      <w:divBdr>
        <w:top w:val="none" w:sz="0" w:space="0" w:color="auto"/>
        <w:left w:val="none" w:sz="0" w:space="0" w:color="auto"/>
        <w:bottom w:val="none" w:sz="0" w:space="0" w:color="auto"/>
        <w:right w:val="none" w:sz="0" w:space="0" w:color="auto"/>
      </w:divBdr>
    </w:div>
    <w:div w:id="1270695118">
      <w:bodyDiv w:val="1"/>
      <w:marLeft w:val="0"/>
      <w:marRight w:val="0"/>
      <w:marTop w:val="0"/>
      <w:marBottom w:val="0"/>
      <w:divBdr>
        <w:top w:val="none" w:sz="0" w:space="0" w:color="auto"/>
        <w:left w:val="none" w:sz="0" w:space="0" w:color="auto"/>
        <w:bottom w:val="none" w:sz="0" w:space="0" w:color="auto"/>
        <w:right w:val="none" w:sz="0" w:space="0" w:color="auto"/>
      </w:divBdr>
    </w:div>
    <w:div w:id="1303314930">
      <w:bodyDiv w:val="1"/>
      <w:marLeft w:val="0"/>
      <w:marRight w:val="0"/>
      <w:marTop w:val="0"/>
      <w:marBottom w:val="0"/>
      <w:divBdr>
        <w:top w:val="none" w:sz="0" w:space="0" w:color="auto"/>
        <w:left w:val="none" w:sz="0" w:space="0" w:color="auto"/>
        <w:bottom w:val="none" w:sz="0" w:space="0" w:color="auto"/>
        <w:right w:val="none" w:sz="0" w:space="0" w:color="auto"/>
      </w:divBdr>
      <w:divsChild>
        <w:div w:id="908660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63725">
              <w:marLeft w:val="0"/>
              <w:marRight w:val="0"/>
              <w:marTop w:val="0"/>
              <w:marBottom w:val="0"/>
              <w:divBdr>
                <w:top w:val="none" w:sz="0" w:space="0" w:color="auto"/>
                <w:left w:val="none" w:sz="0" w:space="0" w:color="auto"/>
                <w:bottom w:val="none" w:sz="0" w:space="0" w:color="auto"/>
                <w:right w:val="none" w:sz="0" w:space="0" w:color="auto"/>
              </w:divBdr>
              <w:divsChild>
                <w:div w:id="33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44779">
      <w:bodyDiv w:val="1"/>
      <w:marLeft w:val="0"/>
      <w:marRight w:val="0"/>
      <w:marTop w:val="0"/>
      <w:marBottom w:val="0"/>
      <w:divBdr>
        <w:top w:val="none" w:sz="0" w:space="0" w:color="auto"/>
        <w:left w:val="none" w:sz="0" w:space="0" w:color="auto"/>
        <w:bottom w:val="none" w:sz="0" w:space="0" w:color="auto"/>
        <w:right w:val="none" w:sz="0" w:space="0" w:color="auto"/>
      </w:divBdr>
    </w:div>
    <w:div w:id="1372725937">
      <w:bodyDiv w:val="1"/>
      <w:marLeft w:val="0"/>
      <w:marRight w:val="0"/>
      <w:marTop w:val="0"/>
      <w:marBottom w:val="0"/>
      <w:divBdr>
        <w:top w:val="none" w:sz="0" w:space="0" w:color="auto"/>
        <w:left w:val="none" w:sz="0" w:space="0" w:color="auto"/>
        <w:bottom w:val="none" w:sz="0" w:space="0" w:color="auto"/>
        <w:right w:val="none" w:sz="0" w:space="0" w:color="auto"/>
      </w:divBdr>
    </w:div>
    <w:div w:id="1373075557">
      <w:bodyDiv w:val="1"/>
      <w:marLeft w:val="0"/>
      <w:marRight w:val="0"/>
      <w:marTop w:val="0"/>
      <w:marBottom w:val="0"/>
      <w:divBdr>
        <w:top w:val="none" w:sz="0" w:space="0" w:color="auto"/>
        <w:left w:val="none" w:sz="0" w:space="0" w:color="auto"/>
        <w:bottom w:val="none" w:sz="0" w:space="0" w:color="auto"/>
        <w:right w:val="none" w:sz="0" w:space="0" w:color="auto"/>
      </w:divBdr>
    </w:div>
    <w:div w:id="1382973254">
      <w:bodyDiv w:val="1"/>
      <w:marLeft w:val="0"/>
      <w:marRight w:val="0"/>
      <w:marTop w:val="0"/>
      <w:marBottom w:val="0"/>
      <w:divBdr>
        <w:top w:val="none" w:sz="0" w:space="0" w:color="auto"/>
        <w:left w:val="none" w:sz="0" w:space="0" w:color="auto"/>
        <w:bottom w:val="none" w:sz="0" w:space="0" w:color="auto"/>
        <w:right w:val="none" w:sz="0" w:space="0" w:color="auto"/>
      </w:divBdr>
    </w:div>
    <w:div w:id="1389454661">
      <w:bodyDiv w:val="1"/>
      <w:marLeft w:val="0"/>
      <w:marRight w:val="0"/>
      <w:marTop w:val="0"/>
      <w:marBottom w:val="0"/>
      <w:divBdr>
        <w:top w:val="none" w:sz="0" w:space="0" w:color="auto"/>
        <w:left w:val="none" w:sz="0" w:space="0" w:color="auto"/>
        <w:bottom w:val="none" w:sz="0" w:space="0" w:color="auto"/>
        <w:right w:val="none" w:sz="0" w:space="0" w:color="auto"/>
      </w:divBdr>
    </w:div>
    <w:div w:id="1445618343">
      <w:bodyDiv w:val="1"/>
      <w:marLeft w:val="0"/>
      <w:marRight w:val="0"/>
      <w:marTop w:val="0"/>
      <w:marBottom w:val="0"/>
      <w:divBdr>
        <w:top w:val="none" w:sz="0" w:space="0" w:color="auto"/>
        <w:left w:val="none" w:sz="0" w:space="0" w:color="auto"/>
        <w:bottom w:val="none" w:sz="0" w:space="0" w:color="auto"/>
        <w:right w:val="none" w:sz="0" w:space="0" w:color="auto"/>
      </w:divBdr>
    </w:div>
    <w:div w:id="1501701789">
      <w:bodyDiv w:val="1"/>
      <w:marLeft w:val="0"/>
      <w:marRight w:val="0"/>
      <w:marTop w:val="0"/>
      <w:marBottom w:val="0"/>
      <w:divBdr>
        <w:top w:val="none" w:sz="0" w:space="0" w:color="auto"/>
        <w:left w:val="none" w:sz="0" w:space="0" w:color="auto"/>
        <w:bottom w:val="none" w:sz="0" w:space="0" w:color="auto"/>
        <w:right w:val="none" w:sz="0" w:space="0" w:color="auto"/>
      </w:divBdr>
    </w:div>
    <w:div w:id="1511600570">
      <w:bodyDiv w:val="1"/>
      <w:marLeft w:val="0"/>
      <w:marRight w:val="0"/>
      <w:marTop w:val="0"/>
      <w:marBottom w:val="0"/>
      <w:divBdr>
        <w:top w:val="none" w:sz="0" w:space="0" w:color="auto"/>
        <w:left w:val="none" w:sz="0" w:space="0" w:color="auto"/>
        <w:bottom w:val="none" w:sz="0" w:space="0" w:color="auto"/>
        <w:right w:val="none" w:sz="0" w:space="0" w:color="auto"/>
      </w:divBdr>
    </w:div>
    <w:div w:id="1556163404">
      <w:bodyDiv w:val="1"/>
      <w:marLeft w:val="0"/>
      <w:marRight w:val="0"/>
      <w:marTop w:val="0"/>
      <w:marBottom w:val="0"/>
      <w:divBdr>
        <w:top w:val="none" w:sz="0" w:space="0" w:color="auto"/>
        <w:left w:val="none" w:sz="0" w:space="0" w:color="auto"/>
        <w:bottom w:val="none" w:sz="0" w:space="0" w:color="auto"/>
        <w:right w:val="none" w:sz="0" w:space="0" w:color="auto"/>
      </w:divBdr>
    </w:div>
    <w:div w:id="1579485504">
      <w:bodyDiv w:val="1"/>
      <w:marLeft w:val="0"/>
      <w:marRight w:val="0"/>
      <w:marTop w:val="0"/>
      <w:marBottom w:val="0"/>
      <w:divBdr>
        <w:top w:val="none" w:sz="0" w:space="0" w:color="auto"/>
        <w:left w:val="none" w:sz="0" w:space="0" w:color="auto"/>
        <w:bottom w:val="none" w:sz="0" w:space="0" w:color="auto"/>
        <w:right w:val="none" w:sz="0" w:space="0" w:color="auto"/>
      </w:divBdr>
    </w:div>
    <w:div w:id="1617327422">
      <w:bodyDiv w:val="1"/>
      <w:marLeft w:val="0"/>
      <w:marRight w:val="0"/>
      <w:marTop w:val="0"/>
      <w:marBottom w:val="0"/>
      <w:divBdr>
        <w:top w:val="none" w:sz="0" w:space="0" w:color="auto"/>
        <w:left w:val="none" w:sz="0" w:space="0" w:color="auto"/>
        <w:bottom w:val="none" w:sz="0" w:space="0" w:color="auto"/>
        <w:right w:val="none" w:sz="0" w:space="0" w:color="auto"/>
      </w:divBdr>
    </w:div>
    <w:div w:id="1629580791">
      <w:bodyDiv w:val="1"/>
      <w:marLeft w:val="0"/>
      <w:marRight w:val="0"/>
      <w:marTop w:val="0"/>
      <w:marBottom w:val="0"/>
      <w:divBdr>
        <w:top w:val="none" w:sz="0" w:space="0" w:color="auto"/>
        <w:left w:val="none" w:sz="0" w:space="0" w:color="auto"/>
        <w:bottom w:val="none" w:sz="0" w:space="0" w:color="auto"/>
        <w:right w:val="none" w:sz="0" w:space="0" w:color="auto"/>
      </w:divBdr>
    </w:div>
    <w:div w:id="1659337889">
      <w:bodyDiv w:val="1"/>
      <w:marLeft w:val="0"/>
      <w:marRight w:val="0"/>
      <w:marTop w:val="0"/>
      <w:marBottom w:val="0"/>
      <w:divBdr>
        <w:top w:val="none" w:sz="0" w:space="0" w:color="auto"/>
        <w:left w:val="none" w:sz="0" w:space="0" w:color="auto"/>
        <w:bottom w:val="none" w:sz="0" w:space="0" w:color="auto"/>
        <w:right w:val="none" w:sz="0" w:space="0" w:color="auto"/>
      </w:divBdr>
    </w:div>
    <w:div w:id="1665208250">
      <w:bodyDiv w:val="1"/>
      <w:marLeft w:val="0"/>
      <w:marRight w:val="0"/>
      <w:marTop w:val="0"/>
      <w:marBottom w:val="0"/>
      <w:divBdr>
        <w:top w:val="none" w:sz="0" w:space="0" w:color="auto"/>
        <w:left w:val="none" w:sz="0" w:space="0" w:color="auto"/>
        <w:bottom w:val="none" w:sz="0" w:space="0" w:color="auto"/>
        <w:right w:val="none" w:sz="0" w:space="0" w:color="auto"/>
      </w:divBdr>
    </w:div>
    <w:div w:id="1686516282">
      <w:bodyDiv w:val="1"/>
      <w:marLeft w:val="0"/>
      <w:marRight w:val="0"/>
      <w:marTop w:val="0"/>
      <w:marBottom w:val="0"/>
      <w:divBdr>
        <w:top w:val="none" w:sz="0" w:space="0" w:color="auto"/>
        <w:left w:val="none" w:sz="0" w:space="0" w:color="auto"/>
        <w:bottom w:val="none" w:sz="0" w:space="0" w:color="auto"/>
        <w:right w:val="none" w:sz="0" w:space="0" w:color="auto"/>
      </w:divBdr>
    </w:div>
    <w:div w:id="1701273148">
      <w:bodyDiv w:val="1"/>
      <w:marLeft w:val="0"/>
      <w:marRight w:val="0"/>
      <w:marTop w:val="0"/>
      <w:marBottom w:val="0"/>
      <w:divBdr>
        <w:top w:val="none" w:sz="0" w:space="0" w:color="auto"/>
        <w:left w:val="none" w:sz="0" w:space="0" w:color="auto"/>
        <w:bottom w:val="none" w:sz="0" w:space="0" w:color="auto"/>
        <w:right w:val="none" w:sz="0" w:space="0" w:color="auto"/>
      </w:divBdr>
    </w:div>
    <w:div w:id="1712027105">
      <w:bodyDiv w:val="1"/>
      <w:marLeft w:val="0"/>
      <w:marRight w:val="0"/>
      <w:marTop w:val="0"/>
      <w:marBottom w:val="0"/>
      <w:divBdr>
        <w:top w:val="none" w:sz="0" w:space="0" w:color="auto"/>
        <w:left w:val="none" w:sz="0" w:space="0" w:color="auto"/>
        <w:bottom w:val="none" w:sz="0" w:space="0" w:color="auto"/>
        <w:right w:val="none" w:sz="0" w:space="0" w:color="auto"/>
      </w:divBdr>
    </w:div>
    <w:div w:id="1756823619">
      <w:bodyDiv w:val="1"/>
      <w:marLeft w:val="0"/>
      <w:marRight w:val="0"/>
      <w:marTop w:val="0"/>
      <w:marBottom w:val="0"/>
      <w:divBdr>
        <w:top w:val="none" w:sz="0" w:space="0" w:color="auto"/>
        <w:left w:val="none" w:sz="0" w:space="0" w:color="auto"/>
        <w:bottom w:val="none" w:sz="0" w:space="0" w:color="auto"/>
        <w:right w:val="none" w:sz="0" w:space="0" w:color="auto"/>
      </w:divBdr>
    </w:div>
    <w:div w:id="1775243661">
      <w:bodyDiv w:val="1"/>
      <w:marLeft w:val="0"/>
      <w:marRight w:val="0"/>
      <w:marTop w:val="0"/>
      <w:marBottom w:val="0"/>
      <w:divBdr>
        <w:top w:val="none" w:sz="0" w:space="0" w:color="auto"/>
        <w:left w:val="none" w:sz="0" w:space="0" w:color="auto"/>
        <w:bottom w:val="none" w:sz="0" w:space="0" w:color="auto"/>
        <w:right w:val="none" w:sz="0" w:space="0" w:color="auto"/>
      </w:divBdr>
    </w:div>
    <w:div w:id="1778136274">
      <w:bodyDiv w:val="1"/>
      <w:marLeft w:val="0"/>
      <w:marRight w:val="0"/>
      <w:marTop w:val="0"/>
      <w:marBottom w:val="0"/>
      <w:divBdr>
        <w:top w:val="none" w:sz="0" w:space="0" w:color="auto"/>
        <w:left w:val="none" w:sz="0" w:space="0" w:color="auto"/>
        <w:bottom w:val="none" w:sz="0" w:space="0" w:color="auto"/>
        <w:right w:val="none" w:sz="0" w:space="0" w:color="auto"/>
      </w:divBdr>
    </w:div>
    <w:div w:id="1798256539">
      <w:bodyDiv w:val="1"/>
      <w:marLeft w:val="0"/>
      <w:marRight w:val="0"/>
      <w:marTop w:val="0"/>
      <w:marBottom w:val="0"/>
      <w:divBdr>
        <w:top w:val="none" w:sz="0" w:space="0" w:color="auto"/>
        <w:left w:val="none" w:sz="0" w:space="0" w:color="auto"/>
        <w:bottom w:val="none" w:sz="0" w:space="0" w:color="auto"/>
        <w:right w:val="none" w:sz="0" w:space="0" w:color="auto"/>
      </w:divBdr>
    </w:div>
    <w:div w:id="1823109640">
      <w:bodyDiv w:val="1"/>
      <w:marLeft w:val="0"/>
      <w:marRight w:val="0"/>
      <w:marTop w:val="0"/>
      <w:marBottom w:val="0"/>
      <w:divBdr>
        <w:top w:val="none" w:sz="0" w:space="0" w:color="auto"/>
        <w:left w:val="none" w:sz="0" w:space="0" w:color="auto"/>
        <w:bottom w:val="none" w:sz="0" w:space="0" w:color="auto"/>
        <w:right w:val="none" w:sz="0" w:space="0" w:color="auto"/>
      </w:divBdr>
    </w:div>
    <w:div w:id="1826969858">
      <w:bodyDiv w:val="1"/>
      <w:marLeft w:val="0"/>
      <w:marRight w:val="0"/>
      <w:marTop w:val="0"/>
      <w:marBottom w:val="0"/>
      <w:divBdr>
        <w:top w:val="none" w:sz="0" w:space="0" w:color="auto"/>
        <w:left w:val="none" w:sz="0" w:space="0" w:color="auto"/>
        <w:bottom w:val="none" w:sz="0" w:space="0" w:color="auto"/>
        <w:right w:val="none" w:sz="0" w:space="0" w:color="auto"/>
      </w:divBdr>
    </w:div>
    <w:div w:id="1839684917">
      <w:bodyDiv w:val="1"/>
      <w:marLeft w:val="0"/>
      <w:marRight w:val="0"/>
      <w:marTop w:val="0"/>
      <w:marBottom w:val="0"/>
      <w:divBdr>
        <w:top w:val="none" w:sz="0" w:space="0" w:color="auto"/>
        <w:left w:val="none" w:sz="0" w:space="0" w:color="auto"/>
        <w:bottom w:val="none" w:sz="0" w:space="0" w:color="auto"/>
        <w:right w:val="none" w:sz="0" w:space="0" w:color="auto"/>
      </w:divBdr>
    </w:div>
    <w:div w:id="1871995107">
      <w:bodyDiv w:val="1"/>
      <w:marLeft w:val="0"/>
      <w:marRight w:val="0"/>
      <w:marTop w:val="0"/>
      <w:marBottom w:val="0"/>
      <w:divBdr>
        <w:top w:val="none" w:sz="0" w:space="0" w:color="auto"/>
        <w:left w:val="none" w:sz="0" w:space="0" w:color="auto"/>
        <w:bottom w:val="none" w:sz="0" w:space="0" w:color="auto"/>
        <w:right w:val="none" w:sz="0" w:space="0" w:color="auto"/>
      </w:divBdr>
    </w:div>
    <w:div w:id="1887915368">
      <w:bodyDiv w:val="1"/>
      <w:marLeft w:val="0"/>
      <w:marRight w:val="0"/>
      <w:marTop w:val="0"/>
      <w:marBottom w:val="0"/>
      <w:divBdr>
        <w:top w:val="none" w:sz="0" w:space="0" w:color="auto"/>
        <w:left w:val="none" w:sz="0" w:space="0" w:color="auto"/>
        <w:bottom w:val="none" w:sz="0" w:space="0" w:color="auto"/>
        <w:right w:val="none" w:sz="0" w:space="0" w:color="auto"/>
      </w:divBdr>
    </w:div>
    <w:div w:id="1908565461">
      <w:bodyDiv w:val="1"/>
      <w:marLeft w:val="0"/>
      <w:marRight w:val="0"/>
      <w:marTop w:val="0"/>
      <w:marBottom w:val="0"/>
      <w:divBdr>
        <w:top w:val="none" w:sz="0" w:space="0" w:color="auto"/>
        <w:left w:val="none" w:sz="0" w:space="0" w:color="auto"/>
        <w:bottom w:val="none" w:sz="0" w:space="0" w:color="auto"/>
        <w:right w:val="none" w:sz="0" w:space="0" w:color="auto"/>
      </w:divBdr>
    </w:div>
    <w:div w:id="1909218919">
      <w:bodyDiv w:val="1"/>
      <w:marLeft w:val="0"/>
      <w:marRight w:val="0"/>
      <w:marTop w:val="0"/>
      <w:marBottom w:val="0"/>
      <w:divBdr>
        <w:top w:val="none" w:sz="0" w:space="0" w:color="auto"/>
        <w:left w:val="none" w:sz="0" w:space="0" w:color="auto"/>
        <w:bottom w:val="none" w:sz="0" w:space="0" w:color="auto"/>
        <w:right w:val="none" w:sz="0" w:space="0" w:color="auto"/>
      </w:divBdr>
    </w:div>
    <w:div w:id="1948809588">
      <w:bodyDiv w:val="1"/>
      <w:marLeft w:val="0"/>
      <w:marRight w:val="0"/>
      <w:marTop w:val="0"/>
      <w:marBottom w:val="0"/>
      <w:divBdr>
        <w:top w:val="none" w:sz="0" w:space="0" w:color="auto"/>
        <w:left w:val="none" w:sz="0" w:space="0" w:color="auto"/>
        <w:bottom w:val="none" w:sz="0" w:space="0" w:color="auto"/>
        <w:right w:val="none" w:sz="0" w:space="0" w:color="auto"/>
      </w:divBdr>
      <w:divsChild>
        <w:div w:id="345253905">
          <w:marLeft w:val="1627"/>
          <w:marRight w:val="0"/>
          <w:marTop w:val="100"/>
          <w:marBottom w:val="0"/>
          <w:divBdr>
            <w:top w:val="none" w:sz="0" w:space="0" w:color="auto"/>
            <w:left w:val="none" w:sz="0" w:space="0" w:color="auto"/>
            <w:bottom w:val="none" w:sz="0" w:space="0" w:color="auto"/>
            <w:right w:val="none" w:sz="0" w:space="0" w:color="auto"/>
          </w:divBdr>
        </w:div>
        <w:div w:id="828207131">
          <w:marLeft w:val="1627"/>
          <w:marRight w:val="0"/>
          <w:marTop w:val="100"/>
          <w:marBottom w:val="0"/>
          <w:divBdr>
            <w:top w:val="none" w:sz="0" w:space="0" w:color="auto"/>
            <w:left w:val="none" w:sz="0" w:space="0" w:color="auto"/>
            <w:bottom w:val="none" w:sz="0" w:space="0" w:color="auto"/>
            <w:right w:val="none" w:sz="0" w:space="0" w:color="auto"/>
          </w:divBdr>
        </w:div>
        <w:div w:id="908468403">
          <w:marLeft w:val="1526"/>
          <w:marRight w:val="0"/>
          <w:marTop w:val="100"/>
          <w:marBottom w:val="0"/>
          <w:divBdr>
            <w:top w:val="none" w:sz="0" w:space="0" w:color="auto"/>
            <w:left w:val="none" w:sz="0" w:space="0" w:color="auto"/>
            <w:bottom w:val="none" w:sz="0" w:space="0" w:color="auto"/>
            <w:right w:val="none" w:sz="0" w:space="0" w:color="auto"/>
          </w:divBdr>
        </w:div>
        <w:div w:id="1080980695">
          <w:marLeft w:val="1627"/>
          <w:marRight w:val="0"/>
          <w:marTop w:val="100"/>
          <w:marBottom w:val="0"/>
          <w:divBdr>
            <w:top w:val="none" w:sz="0" w:space="0" w:color="auto"/>
            <w:left w:val="none" w:sz="0" w:space="0" w:color="auto"/>
            <w:bottom w:val="none" w:sz="0" w:space="0" w:color="auto"/>
            <w:right w:val="none" w:sz="0" w:space="0" w:color="auto"/>
          </w:divBdr>
        </w:div>
        <w:div w:id="1419911568">
          <w:marLeft w:val="1627"/>
          <w:marRight w:val="0"/>
          <w:marTop w:val="100"/>
          <w:marBottom w:val="0"/>
          <w:divBdr>
            <w:top w:val="none" w:sz="0" w:space="0" w:color="auto"/>
            <w:left w:val="none" w:sz="0" w:space="0" w:color="auto"/>
            <w:bottom w:val="none" w:sz="0" w:space="0" w:color="auto"/>
            <w:right w:val="none" w:sz="0" w:space="0" w:color="auto"/>
          </w:divBdr>
        </w:div>
        <w:div w:id="1715930836">
          <w:marLeft w:val="2347"/>
          <w:marRight w:val="0"/>
          <w:marTop w:val="100"/>
          <w:marBottom w:val="0"/>
          <w:divBdr>
            <w:top w:val="none" w:sz="0" w:space="0" w:color="auto"/>
            <w:left w:val="none" w:sz="0" w:space="0" w:color="auto"/>
            <w:bottom w:val="none" w:sz="0" w:space="0" w:color="auto"/>
            <w:right w:val="none" w:sz="0" w:space="0" w:color="auto"/>
          </w:divBdr>
        </w:div>
        <w:div w:id="1899634939">
          <w:marLeft w:val="1627"/>
          <w:marRight w:val="0"/>
          <w:marTop w:val="100"/>
          <w:marBottom w:val="0"/>
          <w:divBdr>
            <w:top w:val="none" w:sz="0" w:space="0" w:color="auto"/>
            <w:left w:val="none" w:sz="0" w:space="0" w:color="auto"/>
            <w:bottom w:val="none" w:sz="0" w:space="0" w:color="auto"/>
            <w:right w:val="none" w:sz="0" w:space="0" w:color="auto"/>
          </w:divBdr>
        </w:div>
        <w:div w:id="1923295365">
          <w:marLeft w:val="2347"/>
          <w:marRight w:val="0"/>
          <w:marTop w:val="100"/>
          <w:marBottom w:val="0"/>
          <w:divBdr>
            <w:top w:val="none" w:sz="0" w:space="0" w:color="auto"/>
            <w:left w:val="none" w:sz="0" w:space="0" w:color="auto"/>
            <w:bottom w:val="none" w:sz="0" w:space="0" w:color="auto"/>
            <w:right w:val="none" w:sz="0" w:space="0" w:color="auto"/>
          </w:divBdr>
        </w:div>
      </w:divsChild>
    </w:div>
    <w:div w:id="1948922630">
      <w:bodyDiv w:val="1"/>
      <w:marLeft w:val="0"/>
      <w:marRight w:val="0"/>
      <w:marTop w:val="0"/>
      <w:marBottom w:val="0"/>
      <w:divBdr>
        <w:top w:val="none" w:sz="0" w:space="0" w:color="auto"/>
        <w:left w:val="none" w:sz="0" w:space="0" w:color="auto"/>
        <w:bottom w:val="none" w:sz="0" w:space="0" w:color="auto"/>
        <w:right w:val="none" w:sz="0" w:space="0" w:color="auto"/>
      </w:divBdr>
    </w:div>
    <w:div w:id="1961767278">
      <w:bodyDiv w:val="1"/>
      <w:marLeft w:val="0"/>
      <w:marRight w:val="0"/>
      <w:marTop w:val="0"/>
      <w:marBottom w:val="0"/>
      <w:divBdr>
        <w:top w:val="none" w:sz="0" w:space="0" w:color="auto"/>
        <w:left w:val="none" w:sz="0" w:space="0" w:color="auto"/>
        <w:bottom w:val="none" w:sz="0" w:space="0" w:color="auto"/>
        <w:right w:val="none" w:sz="0" w:space="0" w:color="auto"/>
      </w:divBdr>
    </w:div>
    <w:div w:id="1967469570">
      <w:bodyDiv w:val="1"/>
      <w:marLeft w:val="0"/>
      <w:marRight w:val="0"/>
      <w:marTop w:val="0"/>
      <w:marBottom w:val="0"/>
      <w:divBdr>
        <w:top w:val="none" w:sz="0" w:space="0" w:color="auto"/>
        <w:left w:val="none" w:sz="0" w:space="0" w:color="auto"/>
        <w:bottom w:val="none" w:sz="0" w:space="0" w:color="auto"/>
        <w:right w:val="none" w:sz="0" w:space="0" w:color="auto"/>
      </w:divBdr>
    </w:div>
    <w:div w:id="1989243757">
      <w:bodyDiv w:val="1"/>
      <w:marLeft w:val="0"/>
      <w:marRight w:val="0"/>
      <w:marTop w:val="0"/>
      <w:marBottom w:val="0"/>
      <w:divBdr>
        <w:top w:val="none" w:sz="0" w:space="0" w:color="auto"/>
        <w:left w:val="none" w:sz="0" w:space="0" w:color="auto"/>
        <w:bottom w:val="none" w:sz="0" w:space="0" w:color="auto"/>
        <w:right w:val="none" w:sz="0" w:space="0" w:color="auto"/>
      </w:divBdr>
    </w:div>
    <w:div w:id="1989356785">
      <w:bodyDiv w:val="1"/>
      <w:marLeft w:val="0"/>
      <w:marRight w:val="0"/>
      <w:marTop w:val="0"/>
      <w:marBottom w:val="0"/>
      <w:divBdr>
        <w:top w:val="none" w:sz="0" w:space="0" w:color="auto"/>
        <w:left w:val="none" w:sz="0" w:space="0" w:color="auto"/>
        <w:bottom w:val="none" w:sz="0" w:space="0" w:color="auto"/>
        <w:right w:val="none" w:sz="0" w:space="0" w:color="auto"/>
      </w:divBdr>
    </w:div>
    <w:div w:id="1994143172">
      <w:bodyDiv w:val="1"/>
      <w:marLeft w:val="0"/>
      <w:marRight w:val="0"/>
      <w:marTop w:val="0"/>
      <w:marBottom w:val="0"/>
      <w:divBdr>
        <w:top w:val="none" w:sz="0" w:space="0" w:color="auto"/>
        <w:left w:val="none" w:sz="0" w:space="0" w:color="auto"/>
        <w:bottom w:val="none" w:sz="0" w:space="0" w:color="auto"/>
        <w:right w:val="none" w:sz="0" w:space="0" w:color="auto"/>
      </w:divBdr>
    </w:div>
    <w:div w:id="2015843374">
      <w:bodyDiv w:val="1"/>
      <w:marLeft w:val="0"/>
      <w:marRight w:val="0"/>
      <w:marTop w:val="0"/>
      <w:marBottom w:val="0"/>
      <w:divBdr>
        <w:top w:val="none" w:sz="0" w:space="0" w:color="auto"/>
        <w:left w:val="none" w:sz="0" w:space="0" w:color="auto"/>
        <w:bottom w:val="none" w:sz="0" w:space="0" w:color="auto"/>
        <w:right w:val="none" w:sz="0" w:space="0" w:color="auto"/>
      </w:divBdr>
      <w:divsChild>
        <w:div w:id="2098938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038839">
      <w:bodyDiv w:val="1"/>
      <w:marLeft w:val="0"/>
      <w:marRight w:val="0"/>
      <w:marTop w:val="0"/>
      <w:marBottom w:val="0"/>
      <w:divBdr>
        <w:top w:val="none" w:sz="0" w:space="0" w:color="auto"/>
        <w:left w:val="none" w:sz="0" w:space="0" w:color="auto"/>
        <w:bottom w:val="none" w:sz="0" w:space="0" w:color="auto"/>
        <w:right w:val="none" w:sz="0" w:space="0" w:color="auto"/>
      </w:divBdr>
    </w:div>
    <w:div w:id="2023627883">
      <w:bodyDiv w:val="1"/>
      <w:marLeft w:val="0"/>
      <w:marRight w:val="0"/>
      <w:marTop w:val="0"/>
      <w:marBottom w:val="0"/>
      <w:divBdr>
        <w:top w:val="none" w:sz="0" w:space="0" w:color="auto"/>
        <w:left w:val="none" w:sz="0" w:space="0" w:color="auto"/>
        <w:bottom w:val="none" w:sz="0" w:space="0" w:color="auto"/>
        <w:right w:val="none" w:sz="0" w:space="0" w:color="auto"/>
      </w:divBdr>
    </w:div>
    <w:div w:id="2045667209">
      <w:bodyDiv w:val="1"/>
      <w:marLeft w:val="0"/>
      <w:marRight w:val="0"/>
      <w:marTop w:val="0"/>
      <w:marBottom w:val="0"/>
      <w:divBdr>
        <w:top w:val="none" w:sz="0" w:space="0" w:color="auto"/>
        <w:left w:val="none" w:sz="0" w:space="0" w:color="auto"/>
        <w:bottom w:val="none" w:sz="0" w:space="0" w:color="auto"/>
        <w:right w:val="none" w:sz="0" w:space="0" w:color="auto"/>
      </w:divBdr>
    </w:div>
    <w:div w:id="2092655935">
      <w:bodyDiv w:val="1"/>
      <w:marLeft w:val="0"/>
      <w:marRight w:val="0"/>
      <w:marTop w:val="0"/>
      <w:marBottom w:val="0"/>
      <w:divBdr>
        <w:top w:val="none" w:sz="0" w:space="0" w:color="auto"/>
        <w:left w:val="none" w:sz="0" w:space="0" w:color="auto"/>
        <w:bottom w:val="none" w:sz="0" w:space="0" w:color="auto"/>
        <w:right w:val="none" w:sz="0" w:space="0" w:color="auto"/>
      </w:divBdr>
      <w:divsChild>
        <w:div w:id="38864657">
          <w:marLeft w:val="0"/>
          <w:marRight w:val="0"/>
          <w:marTop w:val="0"/>
          <w:marBottom w:val="0"/>
          <w:divBdr>
            <w:top w:val="none" w:sz="0" w:space="0" w:color="auto"/>
            <w:left w:val="none" w:sz="0" w:space="0" w:color="auto"/>
            <w:bottom w:val="none" w:sz="0" w:space="0" w:color="auto"/>
            <w:right w:val="none" w:sz="0" w:space="0" w:color="auto"/>
          </w:divBdr>
        </w:div>
        <w:div w:id="650141736">
          <w:marLeft w:val="0"/>
          <w:marRight w:val="0"/>
          <w:marTop w:val="0"/>
          <w:marBottom w:val="0"/>
          <w:divBdr>
            <w:top w:val="none" w:sz="0" w:space="0" w:color="auto"/>
            <w:left w:val="none" w:sz="0" w:space="0" w:color="auto"/>
            <w:bottom w:val="none" w:sz="0" w:space="0" w:color="auto"/>
            <w:right w:val="none" w:sz="0" w:space="0" w:color="auto"/>
          </w:divBdr>
        </w:div>
        <w:div w:id="710419300">
          <w:marLeft w:val="0"/>
          <w:marRight w:val="0"/>
          <w:marTop w:val="0"/>
          <w:marBottom w:val="0"/>
          <w:divBdr>
            <w:top w:val="none" w:sz="0" w:space="0" w:color="auto"/>
            <w:left w:val="none" w:sz="0" w:space="0" w:color="auto"/>
            <w:bottom w:val="none" w:sz="0" w:space="0" w:color="auto"/>
            <w:right w:val="none" w:sz="0" w:space="0" w:color="auto"/>
          </w:divBdr>
        </w:div>
        <w:div w:id="825517084">
          <w:marLeft w:val="0"/>
          <w:marRight w:val="0"/>
          <w:marTop w:val="0"/>
          <w:marBottom w:val="0"/>
          <w:divBdr>
            <w:top w:val="none" w:sz="0" w:space="0" w:color="auto"/>
            <w:left w:val="none" w:sz="0" w:space="0" w:color="auto"/>
            <w:bottom w:val="none" w:sz="0" w:space="0" w:color="auto"/>
            <w:right w:val="none" w:sz="0" w:space="0" w:color="auto"/>
          </w:divBdr>
        </w:div>
        <w:div w:id="836505691">
          <w:marLeft w:val="0"/>
          <w:marRight w:val="0"/>
          <w:marTop w:val="0"/>
          <w:marBottom w:val="0"/>
          <w:divBdr>
            <w:top w:val="none" w:sz="0" w:space="0" w:color="auto"/>
            <w:left w:val="none" w:sz="0" w:space="0" w:color="auto"/>
            <w:bottom w:val="none" w:sz="0" w:space="0" w:color="auto"/>
            <w:right w:val="none" w:sz="0" w:space="0" w:color="auto"/>
          </w:divBdr>
        </w:div>
        <w:div w:id="924848631">
          <w:marLeft w:val="0"/>
          <w:marRight w:val="0"/>
          <w:marTop w:val="0"/>
          <w:marBottom w:val="0"/>
          <w:divBdr>
            <w:top w:val="none" w:sz="0" w:space="0" w:color="auto"/>
            <w:left w:val="none" w:sz="0" w:space="0" w:color="auto"/>
            <w:bottom w:val="none" w:sz="0" w:space="0" w:color="auto"/>
            <w:right w:val="none" w:sz="0" w:space="0" w:color="auto"/>
          </w:divBdr>
        </w:div>
        <w:div w:id="1136490579">
          <w:marLeft w:val="0"/>
          <w:marRight w:val="0"/>
          <w:marTop w:val="0"/>
          <w:marBottom w:val="0"/>
          <w:divBdr>
            <w:top w:val="none" w:sz="0" w:space="0" w:color="auto"/>
            <w:left w:val="none" w:sz="0" w:space="0" w:color="auto"/>
            <w:bottom w:val="none" w:sz="0" w:space="0" w:color="auto"/>
            <w:right w:val="none" w:sz="0" w:space="0" w:color="auto"/>
          </w:divBdr>
        </w:div>
        <w:div w:id="1320697599">
          <w:marLeft w:val="0"/>
          <w:marRight w:val="0"/>
          <w:marTop w:val="0"/>
          <w:marBottom w:val="0"/>
          <w:divBdr>
            <w:top w:val="none" w:sz="0" w:space="0" w:color="auto"/>
            <w:left w:val="none" w:sz="0" w:space="0" w:color="auto"/>
            <w:bottom w:val="none" w:sz="0" w:space="0" w:color="auto"/>
            <w:right w:val="none" w:sz="0" w:space="0" w:color="auto"/>
          </w:divBdr>
        </w:div>
        <w:div w:id="1345790560">
          <w:marLeft w:val="0"/>
          <w:marRight w:val="0"/>
          <w:marTop w:val="0"/>
          <w:marBottom w:val="0"/>
          <w:divBdr>
            <w:top w:val="none" w:sz="0" w:space="0" w:color="auto"/>
            <w:left w:val="none" w:sz="0" w:space="0" w:color="auto"/>
            <w:bottom w:val="none" w:sz="0" w:space="0" w:color="auto"/>
            <w:right w:val="none" w:sz="0" w:space="0" w:color="auto"/>
          </w:divBdr>
        </w:div>
        <w:div w:id="1712268101">
          <w:marLeft w:val="0"/>
          <w:marRight w:val="0"/>
          <w:marTop w:val="0"/>
          <w:marBottom w:val="0"/>
          <w:divBdr>
            <w:top w:val="none" w:sz="0" w:space="0" w:color="auto"/>
            <w:left w:val="none" w:sz="0" w:space="0" w:color="auto"/>
            <w:bottom w:val="none" w:sz="0" w:space="0" w:color="auto"/>
            <w:right w:val="none" w:sz="0" w:space="0" w:color="auto"/>
          </w:divBdr>
        </w:div>
        <w:div w:id="1931236904">
          <w:marLeft w:val="0"/>
          <w:marRight w:val="0"/>
          <w:marTop w:val="0"/>
          <w:marBottom w:val="0"/>
          <w:divBdr>
            <w:top w:val="none" w:sz="0" w:space="0" w:color="auto"/>
            <w:left w:val="none" w:sz="0" w:space="0" w:color="auto"/>
            <w:bottom w:val="none" w:sz="0" w:space="0" w:color="auto"/>
            <w:right w:val="none" w:sz="0" w:space="0" w:color="auto"/>
          </w:divBdr>
        </w:div>
      </w:divsChild>
    </w:div>
    <w:div w:id="2122140628">
      <w:bodyDiv w:val="1"/>
      <w:marLeft w:val="0"/>
      <w:marRight w:val="0"/>
      <w:marTop w:val="0"/>
      <w:marBottom w:val="0"/>
      <w:divBdr>
        <w:top w:val="none" w:sz="0" w:space="0" w:color="auto"/>
        <w:left w:val="none" w:sz="0" w:space="0" w:color="auto"/>
        <w:bottom w:val="none" w:sz="0" w:space="0" w:color="auto"/>
        <w:right w:val="none" w:sz="0" w:space="0" w:color="auto"/>
      </w:divBdr>
    </w:div>
    <w:div w:id="21292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ses.edu.au"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diagramQuickStyle" Target="diagrams/quickStyle4.xml"/><Relationship Id="rId21" Type="http://schemas.openxmlformats.org/officeDocument/2006/relationships/diagramLayout" Target="diagrams/layout2.xml"/><Relationship Id="rId34" Type="http://schemas.openxmlformats.org/officeDocument/2006/relationships/chart" Target="charts/chart1.xml"/><Relationship Id="rId42" Type="http://schemas.openxmlformats.org/officeDocument/2006/relationships/diagramData" Target="diagrams/data5.xml"/><Relationship Id="rId47" Type="http://schemas.openxmlformats.org/officeDocument/2006/relationships/diagramData" Target="diagrams/data6.xml"/><Relationship Id="rId50" Type="http://schemas.openxmlformats.org/officeDocument/2006/relationships/diagramColors" Target="diagrams/colors6.xml"/><Relationship Id="rId55" Type="http://schemas.openxmlformats.org/officeDocument/2006/relationships/hyperlink" Target="http://www.abs.gov.au/websitedbs/censushome.nsf/home/seifa?opendocument&amp;navpos=260" TargetMode="External"/><Relationship Id="rId63" Type="http://schemas.openxmlformats.org/officeDocument/2006/relationships/hyperlink" Target="https://www.researchgate.net/publication/312595725_Implications_of_the_Proposed_Low_SES_Participation_Target_for_Australian_University_Enrolments" TargetMode="External"/><Relationship Id="rId68" Type="http://schemas.openxmlformats.org/officeDocument/2006/relationships/footer" Target="footer3.xml"/><Relationship Id="rId7" Type="http://schemas.openxmlformats.org/officeDocument/2006/relationships/settings" Target="settings.xml"/><Relationship Id="rId71"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diagramLayout" Target="diagrams/layout1.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2.xml"/><Relationship Id="rId32" Type="http://schemas.openxmlformats.org/officeDocument/2006/relationships/image" Target="media/image4.gif"/><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chart" Target="charts/chart4.xml"/><Relationship Id="rId58" Type="http://schemas.openxmlformats.org/officeDocument/2006/relationships/hyperlink" Target="https://www.education.gov.au/australian-universities-accord/resources/accord-interim-report" TargetMode="External"/><Relationship Id="rId66" Type="http://schemas.openxmlformats.org/officeDocument/2006/relationships/hyperlink" Target="https://www.education.gov.au/higher-education-reviews-and-consultations/resources/final-report-performance-based-funding-commonwealth-grant-scheme" TargetMode="Externa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footer" Target="footer2.xml"/><Relationship Id="rId49" Type="http://schemas.openxmlformats.org/officeDocument/2006/relationships/diagramQuickStyle" Target="diagrams/quickStyle6.xml"/><Relationship Id="rId57" Type="http://schemas.openxmlformats.org/officeDocument/2006/relationships/hyperlink" Target="https://www.education.gov.au/higher-education-statistics/student-data/selected-higher-education-statistics-2021-student-data" TargetMode="External"/><Relationship Id="rId61" Type="http://schemas.openxmlformats.org/officeDocument/2006/relationships/hyperlink" Target="https://aus01.safelinks.protection.outlook.com/?url=https%3A%2F%2Fwww.acses.edu.au%2Fapp%2Fuploads%2F2014%2F12%2FNCSEHE-Partnership-Publication-Web.pdf&amp;data=05%7C02%7Canna.will%40curtin.edu.au%7Cce9a1f33d80d4ef8a97408dca0bb1398%7C5a740cd757684d09ae13f706b09fa22c%7C0%7C0%7C638561972555843285%7CUnknown%7CTWFpbGZsb3d8eyJWIjoiMC4wLjAwMDAiLCJQIjoiV2luMzIiLCJBTiI6Ik1haWwiLCJXVCI6Mn0%3D%7C0%7C%7C%7C&amp;sdata=A6QtsD1dsGeSx3Eir4iKB%2FJkjKzl7e1TJd48xLCVRYM%3D&amp;reserved=0"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3.gif"/><Relationship Id="rId44" Type="http://schemas.openxmlformats.org/officeDocument/2006/relationships/diagramQuickStyle" Target="diagrams/quickStyle5.xml"/><Relationship Id="rId52" Type="http://schemas.openxmlformats.org/officeDocument/2006/relationships/chart" Target="charts/chart3.xml"/><Relationship Id="rId60" Type="http://schemas.openxmlformats.org/officeDocument/2006/relationships/hyperlink" Target="https://www.acses.edu.au/app/uploads/2013/11/NCSEHE-Access-and-Participation-in-Higher-Education-2013.pdf" TargetMode="External"/><Relationship Id="rId65" Type="http://schemas.openxmlformats.org/officeDocument/2006/relationships/hyperlink" Target="https://www.education.gov.au/heppp/resources/student-equity-higher-education-evaluation-framework-seheef-fin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2.gif"/><Relationship Id="rId35" Type="http://schemas.openxmlformats.org/officeDocument/2006/relationships/chart" Target="charts/chart2.xml"/><Relationship Id="rId43" Type="http://schemas.openxmlformats.org/officeDocument/2006/relationships/diagramLayout" Target="diagrams/layout5.xml"/><Relationship Id="rId48" Type="http://schemas.openxmlformats.org/officeDocument/2006/relationships/diagramLayout" Target="diagrams/layout6.xml"/><Relationship Id="rId56" Type="http://schemas.openxmlformats.org/officeDocument/2006/relationships/hyperlink" Target="https://acilallen.com.au/projects/government-funded-services/evaluation-of-the-heppp-higher-education-participation-and-partnership-program" TargetMode="External"/><Relationship Id="rId64" Type="http://schemas.openxmlformats.org/officeDocument/2006/relationships/hyperlink" Target="https://www.pc.gov.au/research/completed/university-report-card"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microsoft.com/office/2007/relationships/diagramDrawing" Target="diagrams/drawing6.xml"/><Relationship Id="rId3" Type="http://schemas.openxmlformats.org/officeDocument/2006/relationships/customXml" Target="../customXml/item3.xml"/><Relationship Id="rId12" Type="http://schemas.openxmlformats.org/officeDocument/2006/relationships/hyperlink" Target="mailto:acses@curtin.edu.au" TargetMode="Externa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image" Target="media/image5.gif"/><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hyperlink" Target="https://www.education.gov.au/job-ready/resources/job-ready-graduated-discussion-paper" TargetMode="External"/><Relationship Id="rId67" Type="http://schemas.openxmlformats.org/officeDocument/2006/relationships/header" Target="header1.xml"/><Relationship Id="rId20" Type="http://schemas.openxmlformats.org/officeDocument/2006/relationships/diagramData" Target="diagrams/data2.xml"/><Relationship Id="rId41" Type="http://schemas.microsoft.com/office/2007/relationships/diagramDrawing" Target="diagrams/drawing4.xml"/><Relationship Id="rId54" Type="http://schemas.openxmlformats.org/officeDocument/2006/relationships/hyperlink" Target="http://www.abs.gov.au/AUSSTATS/abs@.nsf/Lookup/1351.0.55.038Main+Features1Mar%202012?OpenDocument" TargetMode="External"/><Relationship Id="rId62" Type="http://schemas.openxmlformats.org/officeDocument/2006/relationships/hyperlink" Target="https://www.acses.edu.au/data/interactive-tool/" TargetMode="External"/><Relationship Id="rId7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oleObject" Target="https://curtin-my.sharepoint.com/personal/181370f_curtin_edu_au/Documents/equity/2023_Equity%20Package%20Policy%20Options-Targets/7_Final%20Report/Report%20Tables/part_comp_tables_2023_10_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urtin-my.sharepoint.com/personal/181370f_curtin_edu_au/Documents/equity/2023_Equity%20Package%20Policy%20Options-Targets/7_Final%20Report/Report%20Tables/part_comp_tables_2023_10_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urtin-my.sharepoint.com/personal/181370f_curtin_edu_au/Documents/equity/2023_Equity%20Package%20Policy%20Options-Targets/7_Final%20Report/Report%20Tables/part_comp_tables_2023_10_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urtin-my.sharepoint.com/personal/181370f_curtin_edu_au/Documents/equity/2023_Equity%20Package%20Policy%20Options-Targets/7_Final%20Report/Report%20Tables/part_comp_tables_2023_10_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47747901481354E-2"/>
          <c:y val="8.7431693989071038E-2"/>
          <c:w val="0.89436353737516561"/>
          <c:h val="0.75049885977367581"/>
        </c:manualLayout>
      </c:layout>
      <c:lineChart>
        <c:grouping val="standard"/>
        <c:varyColors val="0"/>
        <c:ser>
          <c:idx val="0"/>
          <c:order val="0"/>
          <c:tx>
            <c:strRef>
              <c:f>'[part_comp_tables_2023_10_25.xlsx]All 4 groups part'!$F$1</c:f>
              <c:strCache>
                <c:ptCount val="1"/>
                <c:pt idx="0">
                  <c:v>2035 target (%)</c:v>
                </c:pt>
              </c:strCache>
            </c:strRef>
          </c:tx>
          <c:spPr>
            <a:ln w="28575" cap="rnd">
              <a:solidFill>
                <a:schemeClr val="accent1"/>
              </a:solidFill>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part'!$F$2:$F$31</c:f>
              <c:numCache>
                <c:formatCode>0.00</c:formatCode>
                <c:ptCount val="30"/>
                <c:pt idx="0">
                  <c:v>39.448164352049616</c:v>
                </c:pt>
                <c:pt idx="1">
                  <c:v>40.227656085297845</c:v>
                </c:pt>
                <c:pt idx="2">
                  <c:v>41.022550496267137</c:v>
                </c:pt>
                <c:pt idx="3">
                  <c:v>41.833151940309655</c:v>
                </c:pt>
                <c:pt idx="4">
                  <c:v>42.659770786808501</c:v>
                </c:pt>
                <c:pt idx="5">
                  <c:v>43.502723538014372</c:v>
                </c:pt>
                <c:pt idx="6">
                  <c:v>44.362332950230368</c:v>
                </c:pt>
                <c:pt idx="7">
                  <c:v>45.238928157391463</c:v>
                </c:pt>
                <c:pt idx="8">
                  <c:v>46.132844797085866</c:v>
                </c:pt>
                <c:pt idx="9">
                  <c:v>47.044425139066554</c:v>
                </c:pt>
                <c:pt idx="10">
                  <c:v>47.974018216302149</c:v>
                </c:pt>
                <c:pt idx="11">
                  <c:v>48.921979958617406</c:v>
                </c:pt>
                <c:pt idx="12">
                  <c:v>49.888673328974356</c:v>
                </c:pt>
                <c:pt idx="13">
                  <c:v>50.874468462446423</c:v>
                </c:pt>
                <c:pt idx="14">
                  <c:v>51.879742807938598</c:v>
                </c:pt>
              </c:numCache>
            </c:numRef>
          </c:val>
          <c:smooth val="0"/>
          <c:extLst>
            <c:ext xmlns:c16="http://schemas.microsoft.com/office/drawing/2014/chart" uri="{C3380CC4-5D6E-409C-BE32-E72D297353CC}">
              <c16:uniqueId val="{00000000-DB55-4F43-8D23-D42CDF17E8BE}"/>
            </c:ext>
          </c:extLst>
        </c:ser>
        <c:ser>
          <c:idx val="1"/>
          <c:order val="1"/>
          <c:tx>
            <c:strRef>
              <c:f>'[part_comp_tables_2023_10_25.xlsx]All 4 groups part'!$G$1</c:f>
              <c:strCache>
                <c:ptCount val="1"/>
                <c:pt idx="0">
                  <c:v>2050 target (%)</c:v>
                </c:pt>
              </c:strCache>
            </c:strRef>
          </c:tx>
          <c:spPr>
            <a:ln w="28575" cap="rnd">
              <a:solidFill>
                <a:schemeClr val="accent2"/>
              </a:solidFill>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part'!$G$2:$G$31</c:f>
              <c:numCache>
                <c:formatCode>0.00</c:formatCode>
                <c:ptCount val="30"/>
                <c:pt idx="0">
                  <c:v>39.448164352049616</c:v>
                </c:pt>
                <c:pt idx="1">
                  <c:v>39.838463537250576</c:v>
                </c:pt>
                <c:pt idx="2">
                  <c:v>40.232624333161965</c:v>
                </c:pt>
                <c:pt idx="3">
                  <c:v>40.630684946466864</c:v>
                </c:pt>
                <c:pt idx="4">
                  <c:v>41.032683961864372</c:v>
                </c:pt>
                <c:pt idx="5">
                  <c:v>41.438660345809652</c:v>
                </c:pt>
                <c:pt idx="6">
                  <c:v>41.848653450291039</c:v>
                </c:pt>
                <c:pt idx="7">
                  <c:v>42.262703016644494</c:v>
                </c:pt>
                <c:pt idx="8">
                  <c:v>42.680849179405783</c:v>
                </c:pt>
                <c:pt idx="9">
                  <c:v>43.103132470200819</c:v>
                </c:pt>
                <c:pt idx="10">
                  <c:v>43.529593821674432</c:v>
                </c:pt>
                <c:pt idx="11">
                  <c:v>43.960274571458058</c:v>
                </c:pt>
                <c:pt idx="12">
                  <c:v>44.395216466176642</c:v>
                </c:pt>
                <c:pt idx="13">
                  <c:v>44.83446166549524</c:v>
                </c:pt>
                <c:pt idx="14">
                  <c:v>45.278052746205617</c:v>
                </c:pt>
                <c:pt idx="15">
                  <c:v>45.726032706353287</c:v>
                </c:pt>
                <c:pt idx="16">
                  <c:v>46.178444969405398</c:v>
                </c:pt>
                <c:pt idx="17">
                  <c:v>46.635333388459799</c:v>
                </c:pt>
                <c:pt idx="18">
                  <c:v>47.096742250495858</c:v>
                </c:pt>
                <c:pt idx="19">
                  <c:v>47.56271628066726</c:v>
                </c:pt>
                <c:pt idx="20">
                  <c:v>48.033300646637237</c:v>
                </c:pt>
                <c:pt idx="21">
                  <c:v>48.508540962956829</c:v>
                </c:pt>
                <c:pt idx="22">
                  <c:v>48.988483295486311</c:v>
                </c:pt>
                <c:pt idx="23">
                  <c:v>49.473174165860506</c:v>
                </c:pt>
                <c:pt idx="24">
                  <c:v>49.962660555998127</c:v>
                </c:pt>
                <c:pt idx="25">
                  <c:v>50.456989912655878</c:v>
                </c:pt>
                <c:pt idx="26">
                  <c:v>50.956210152027538</c:v>
                </c:pt>
                <c:pt idx="27">
                  <c:v>51.460369664388516</c:v>
                </c:pt>
                <c:pt idx="28">
                  <c:v>51.969517318786473</c:v>
                </c:pt>
                <c:pt idx="29">
                  <c:v>52.483702467778215</c:v>
                </c:pt>
              </c:numCache>
            </c:numRef>
          </c:val>
          <c:smooth val="0"/>
          <c:extLst>
            <c:ext xmlns:c16="http://schemas.microsoft.com/office/drawing/2014/chart" uri="{C3380CC4-5D6E-409C-BE32-E72D297353CC}">
              <c16:uniqueId val="{00000001-DB55-4F43-8D23-D42CDF17E8BE}"/>
            </c:ext>
          </c:extLst>
        </c:ser>
        <c:dLbls>
          <c:showLegendKey val="0"/>
          <c:showVal val="0"/>
          <c:showCatName val="0"/>
          <c:showSerName val="0"/>
          <c:showPercent val="0"/>
          <c:showBubbleSize val="0"/>
        </c:dLbls>
        <c:smooth val="0"/>
        <c:axId val="1039543600"/>
        <c:axId val="1039543960"/>
        <c:extLst>
          <c:ext xmlns:c15="http://schemas.microsoft.com/office/drawing/2012/chart" uri="{02D57815-91ED-43cb-92C2-25804820EDAC}">
            <c15:filteredLineSeries>
              <c15:ser>
                <c:idx val="2"/>
                <c:order val="2"/>
                <c:tx>
                  <c:strRef>
                    <c:extLst>
                      <c:ext uri="{02D57815-91ED-43cb-92C2-25804820EDAC}">
                        <c15:formulaRef>
                          <c15:sqref>'[part_comp_tables_2023_10_25.xlsx]All 4 groups part'!$H$1</c15:sqref>
                        </c15:formulaRef>
                      </c:ext>
                    </c:extLst>
                    <c:strCache>
                      <c:ptCount val="1"/>
                      <c:pt idx="0">
                        <c:v>Reference</c:v>
                      </c:pt>
                    </c:strCache>
                  </c:strRef>
                </c:tx>
                <c:spPr>
                  <a:ln w="28575" cap="rnd">
                    <a:solidFill>
                      <a:schemeClr val="accent3"/>
                    </a:solidFill>
                    <a:round/>
                  </a:ln>
                  <a:effectLst/>
                </c:spPr>
                <c:marker>
                  <c:symbol val="none"/>
                </c:marker>
                <c:cat>
                  <c:numRef>
                    <c:extLst>
                      <c:ext uri="{02D57815-91ED-43cb-92C2-25804820EDAC}">
                        <c15:formulaRef>
                          <c15:sqref>'[part_comp_tables_2023_10_25.xlsx]All 4 groups part'!$A$2:$A$31</c15:sqref>
                        </c15:formulaRef>
                      </c:ext>
                    </c:extLst>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extLst>
                      <c:ext uri="{02D57815-91ED-43cb-92C2-25804820EDAC}">
                        <c15:formulaRef>
                          <c15:sqref>'[part_comp_tables_2023_10_25.xlsx]All 4 groups part'!$H$2:$H$31</c15:sqref>
                        </c15:formulaRef>
                      </c:ext>
                    </c:extLst>
                    <c:numCache>
                      <c:formatCode>General</c:formatCode>
                      <c:ptCount val="30"/>
                    </c:numCache>
                  </c:numRef>
                </c:val>
                <c:smooth val="0"/>
                <c:extLst>
                  <c:ext xmlns:c16="http://schemas.microsoft.com/office/drawing/2014/chart" uri="{C3380CC4-5D6E-409C-BE32-E72D297353CC}">
                    <c16:uniqueId val="{00000002-DB55-4F43-8D23-D42CDF17E8BE}"/>
                  </c:ext>
                </c:extLst>
              </c15:ser>
            </c15:filteredLineSeries>
          </c:ext>
        </c:extLst>
      </c:lineChart>
      <c:catAx>
        <c:axId val="103954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ln>
                  <a:noFill/>
                </a:ln>
                <a:solidFill>
                  <a:sysClr val="windowText" lastClr="000000"/>
                </a:solidFill>
                <a:latin typeface="+mn-lt"/>
                <a:ea typeface="+mn-ea"/>
                <a:cs typeface="+mn-cs"/>
              </a:defRPr>
            </a:pPr>
            <a:endParaRPr lang="en-US"/>
          </a:p>
        </c:txPr>
        <c:crossAx val="1039543960"/>
        <c:crosses val="autoZero"/>
        <c:auto val="1"/>
        <c:lblAlgn val="ctr"/>
        <c:lblOffset val="100"/>
        <c:noMultiLvlLbl val="0"/>
      </c:catAx>
      <c:valAx>
        <c:axId val="1039543960"/>
        <c:scaling>
          <c:orientation val="minMax"/>
          <c:min val="3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mn-lt"/>
                <a:ea typeface="+mn-ea"/>
                <a:cs typeface="+mn-cs"/>
              </a:defRPr>
            </a:pPr>
            <a:endParaRPr lang="en-US"/>
          </a:p>
        </c:txPr>
        <c:crossAx val="1039543600"/>
        <c:crosses val="autoZero"/>
        <c:crossBetween val="between"/>
      </c:valAx>
      <c:spPr>
        <a:noFill/>
        <a:ln>
          <a:noFill/>
        </a:ln>
        <a:effectLst/>
      </c:spPr>
    </c:plotArea>
    <c:legend>
      <c:legendPos val="b"/>
      <c:layout>
        <c:manualLayout>
          <c:xMode val="edge"/>
          <c:yMode val="edge"/>
          <c:x val="0.2499889708225152"/>
          <c:y val="0.92232557517746616"/>
          <c:w val="0.45021903129508695"/>
          <c:h val="5.7300910391294466E-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7586929540784"/>
          <c:y val="7.2700882269234393E-2"/>
          <c:w val="0.84804134366925066"/>
          <c:h val="0.72997153970211559"/>
        </c:manualLayout>
      </c:layout>
      <c:lineChart>
        <c:grouping val="standard"/>
        <c:varyColors val="0"/>
        <c:ser>
          <c:idx val="0"/>
          <c:order val="0"/>
          <c:tx>
            <c:strRef>
              <c:f>'[part_comp_tables_2023_10_25.xlsx]All 4 groups part'!$B$1</c:f>
              <c:strCache>
                <c:ptCount val="1"/>
                <c:pt idx="0">
                  <c:v>2035 target (headcount)</c:v>
                </c:pt>
              </c:strCache>
            </c:strRef>
          </c:tx>
          <c:spPr>
            <a:ln w="28575" cap="rnd" cmpd="sng" algn="ctr">
              <a:solidFill>
                <a:schemeClr val="accent1">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part'!$B$2:$B$31</c:f>
              <c:numCache>
                <c:formatCode>0</c:formatCode>
                <c:ptCount val="30"/>
                <c:pt idx="0">
                  <c:v>309360</c:v>
                </c:pt>
                <c:pt idx="1">
                  <c:v>322556.74933324929</c:v>
                </c:pt>
                <c:pt idx="2">
                  <c:v>336316.4486049671</c:v>
                </c:pt>
                <c:pt idx="3">
                  <c:v>350663.11226183409</c:v>
                </c:pt>
                <c:pt idx="4">
                  <c:v>365621.77916426648</c:v>
                </c:pt>
                <c:pt idx="5">
                  <c:v>381218.55628609046</c:v>
                </c:pt>
                <c:pt idx="6">
                  <c:v>397480.66427836719</c:v>
                </c:pt>
                <c:pt idx="7">
                  <c:v>414436.48497689003</c:v>
                </c:pt>
                <c:pt idx="8">
                  <c:v>432115.6109362673</c:v>
                </c:pt>
                <c:pt idx="9">
                  <c:v>450548.89707704115</c:v>
                </c:pt>
                <c:pt idx="10">
                  <c:v>469768.51453598106</c:v>
                </c:pt>
                <c:pt idx="11">
                  <c:v>489808.00681353547</c:v>
                </c:pt>
                <c:pt idx="12">
                  <c:v>510702.34831643401</c:v>
                </c:pt>
                <c:pt idx="13">
                  <c:v>532488.00539761374</c:v>
                </c:pt>
                <c:pt idx="14">
                  <c:v>555203</c:v>
                </c:pt>
              </c:numCache>
            </c:numRef>
          </c:val>
          <c:smooth val="0"/>
          <c:extLst>
            <c:ext xmlns:c16="http://schemas.microsoft.com/office/drawing/2014/chart" uri="{C3380CC4-5D6E-409C-BE32-E72D297353CC}">
              <c16:uniqueId val="{00000000-B3DC-4E90-866D-BB888AB28256}"/>
            </c:ext>
          </c:extLst>
        </c:ser>
        <c:ser>
          <c:idx val="1"/>
          <c:order val="1"/>
          <c:tx>
            <c:strRef>
              <c:f>'[part_comp_tables_2023_10_25.xlsx]All 4 groups part'!$C$1</c:f>
              <c:strCache>
                <c:ptCount val="1"/>
                <c:pt idx="0">
                  <c:v>2050 target (headcount)</c:v>
                </c:pt>
              </c:strCache>
            </c:strRef>
          </c:tx>
          <c:spPr>
            <a:ln w="28575" cap="rnd" cmpd="sng" algn="ctr">
              <a:solidFill>
                <a:schemeClr val="accent2">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part'!$C$2:$C$31</c:f>
              <c:numCache>
                <c:formatCode>0</c:formatCode>
                <c:ptCount val="30"/>
                <c:pt idx="0">
                  <c:v>309360</c:v>
                </c:pt>
                <c:pt idx="1">
                  <c:v>321261.31233405677</c:v>
                </c:pt>
                <c:pt idx="2">
                  <c:v>333620.47712244757</c:v>
                </c:pt>
                <c:pt idx="3">
                  <c:v>346455.10829412873</c:v>
                </c:pt>
                <c:pt idx="4">
                  <c:v>359783.49739917752</c:v>
                </c:pt>
                <c:pt idx="5">
                  <c:v>373624.63967738708</c:v>
                </c:pt>
                <c:pt idx="6">
                  <c:v>387998.26112974033</c:v>
                </c:pt>
                <c:pt idx="7">
                  <c:v>402924.84663134348</c:v>
                </c:pt>
                <c:pt idx="8">
                  <c:v>418425.66912588553</c:v>
                </c:pt>
                <c:pt idx="9">
                  <c:v>434522.81994323054</c:v>
                </c:pt>
                <c:pt idx="10">
                  <c:v>451239.24028335046</c:v>
                </c:pt>
                <c:pt idx="11">
                  <c:v>468598.75391146867</c:v>
                </c:pt>
                <c:pt idx="12">
                  <c:v>486626.10111101024</c:v>
                </c:pt>
                <c:pt idx="13">
                  <c:v>505346.9739427481</c:v>
                </c:pt>
                <c:pt idx="14">
                  <c:v>524788.05286039447</c:v>
                </c:pt>
                <c:pt idx="15">
                  <c:v>544977.04473482247</c:v>
                </c:pt>
                <c:pt idx="16">
                  <c:v>565942.72234110755</c:v>
                </c:pt>
                <c:pt idx="17">
                  <c:v>587714.96536466549</c:v>
                </c:pt>
                <c:pt idx="18">
                  <c:v>610324.80298492743</c:v>
                </c:pt>
                <c:pt idx="19">
                  <c:v>633804.45809724089</c:v>
                </c:pt>
                <c:pt idx="20">
                  <c:v>658187.39323602046</c:v>
                </c:pt>
                <c:pt idx="21">
                  <c:v>683508.35826459725</c:v>
                </c:pt>
                <c:pt idx="22">
                  <c:v>709803.43989973213</c:v>
                </c:pt>
                <c:pt idx="23">
                  <c:v>737110.1131413749</c:v>
                </c:pt>
                <c:pt idx="24">
                  <c:v>765467.29468096443</c:v>
                </c:pt>
                <c:pt idx="25">
                  <c:v>794915.3983643871</c:v>
                </c:pt>
                <c:pt idx="26">
                  <c:v>825496.39278863627</c:v>
                </c:pt>
                <c:pt idx="27">
                  <c:v>857253.86111425934</c:v>
                </c:pt>
                <c:pt idx="28">
                  <c:v>890233.06317883427</c:v>
                </c:pt>
                <c:pt idx="29">
                  <c:v>924480.9999999986</c:v>
                </c:pt>
              </c:numCache>
            </c:numRef>
          </c:val>
          <c:smooth val="0"/>
          <c:extLst>
            <c:ext xmlns:c16="http://schemas.microsoft.com/office/drawing/2014/chart" uri="{C3380CC4-5D6E-409C-BE32-E72D297353CC}">
              <c16:uniqueId val="{00000001-B3DC-4E90-866D-BB888AB28256}"/>
            </c:ext>
          </c:extLst>
        </c:ser>
        <c:ser>
          <c:idx val="2"/>
          <c:order val="2"/>
          <c:tx>
            <c:strRef>
              <c:f>'[part_comp_tables_2023_10_25.xlsx]All 4 groups part'!$F$1</c:f>
              <c:strCache>
                <c:ptCount val="1"/>
                <c:pt idx="0">
                  <c:v>2035 target (%)</c:v>
                </c:pt>
              </c:strCache>
            </c:strRef>
          </c:tx>
          <c:spPr>
            <a:ln w="28575" cap="rnd" cmpd="sng" algn="ctr">
              <a:solidFill>
                <a:schemeClr val="accent3">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part'!$F$2:$F$31</c:f>
              <c:numCache>
                <c:formatCode>0.00</c:formatCode>
                <c:ptCount val="30"/>
                <c:pt idx="0">
                  <c:v>39.448164352049616</c:v>
                </c:pt>
                <c:pt idx="1">
                  <c:v>40.227656085297845</c:v>
                </c:pt>
                <c:pt idx="2">
                  <c:v>41.022550496267137</c:v>
                </c:pt>
                <c:pt idx="3">
                  <c:v>41.833151940309655</c:v>
                </c:pt>
                <c:pt idx="4">
                  <c:v>42.659770786808501</c:v>
                </c:pt>
                <c:pt idx="5">
                  <c:v>43.502723538014372</c:v>
                </c:pt>
                <c:pt idx="6">
                  <c:v>44.362332950230368</c:v>
                </c:pt>
                <c:pt idx="7">
                  <c:v>45.238928157391463</c:v>
                </c:pt>
                <c:pt idx="8">
                  <c:v>46.132844797085866</c:v>
                </c:pt>
                <c:pt idx="9">
                  <c:v>47.044425139066554</c:v>
                </c:pt>
                <c:pt idx="10">
                  <c:v>47.974018216302149</c:v>
                </c:pt>
                <c:pt idx="11">
                  <c:v>48.921979958617406</c:v>
                </c:pt>
                <c:pt idx="12">
                  <c:v>49.888673328974356</c:v>
                </c:pt>
                <c:pt idx="13">
                  <c:v>50.874468462446423</c:v>
                </c:pt>
                <c:pt idx="14">
                  <c:v>51.879742807938598</c:v>
                </c:pt>
              </c:numCache>
            </c:numRef>
          </c:val>
          <c:smooth val="0"/>
          <c:extLst>
            <c:ext xmlns:c16="http://schemas.microsoft.com/office/drawing/2014/chart" uri="{C3380CC4-5D6E-409C-BE32-E72D297353CC}">
              <c16:uniqueId val="{00000002-B3DC-4E90-866D-BB888AB28256}"/>
            </c:ext>
          </c:extLst>
        </c:ser>
        <c:ser>
          <c:idx val="3"/>
          <c:order val="3"/>
          <c:tx>
            <c:strRef>
              <c:f>'[part_comp_tables_2023_10_25.xlsx]All 4 groups part'!$G$1</c:f>
              <c:strCache>
                <c:ptCount val="1"/>
                <c:pt idx="0">
                  <c:v>2050 target (%)</c:v>
                </c:pt>
              </c:strCache>
            </c:strRef>
          </c:tx>
          <c:spPr>
            <a:ln w="28575" cap="rnd" cmpd="sng" algn="ctr">
              <a:solidFill>
                <a:schemeClr val="accent4">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part'!$G$2:$G$31</c:f>
              <c:numCache>
                <c:formatCode>0.00</c:formatCode>
                <c:ptCount val="30"/>
                <c:pt idx="0">
                  <c:v>39.448164352049616</c:v>
                </c:pt>
                <c:pt idx="1">
                  <c:v>39.838463537250576</c:v>
                </c:pt>
                <c:pt idx="2">
                  <c:v>40.232624333161965</c:v>
                </c:pt>
                <c:pt idx="3">
                  <c:v>40.630684946466864</c:v>
                </c:pt>
                <c:pt idx="4">
                  <c:v>41.032683961864372</c:v>
                </c:pt>
                <c:pt idx="5">
                  <c:v>41.438660345809652</c:v>
                </c:pt>
                <c:pt idx="6">
                  <c:v>41.848653450291039</c:v>
                </c:pt>
                <c:pt idx="7">
                  <c:v>42.262703016644494</c:v>
                </c:pt>
                <c:pt idx="8">
                  <c:v>42.680849179405783</c:v>
                </c:pt>
                <c:pt idx="9">
                  <c:v>43.103132470200819</c:v>
                </c:pt>
                <c:pt idx="10">
                  <c:v>43.529593821674432</c:v>
                </c:pt>
                <c:pt idx="11">
                  <c:v>43.960274571458058</c:v>
                </c:pt>
                <c:pt idx="12">
                  <c:v>44.395216466176642</c:v>
                </c:pt>
                <c:pt idx="13">
                  <c:v>44.83446166549524</c:v>
                </c:pt>
                <c:pt idx="14">
                  <c:v>45.278052746205617</c:v>
                </c:pt>
                <c:pt idx="15">
                  <c:v>45.726032706353287</c:v>
                </c:pt>
                <c:pt idx="16">
                  <c:v>46.178444969405398</c:v>
                </c:pt>
                <c:pt idx="17">
                  <c:v>46.635333388459799</c:v>
                </c:pt>
                <c:pt idx="18">
                  <c:v>47.096742250495858</c:v>
                </c:pt>
                <c:pt idx="19">
                  <c:v>47.56271628066726</c:v>
                </c:pt>
                <c:pt idx="20">
                  <c:v>48.033300646637237</c:v>
                </c:pt>
                <c:pt idx="21">
                  <c:v>48.508540962956829</c:v>
                </c:pt>
                <c:pt idx="22">
                  <c:v>48.988483295486311</c:v>
                </c:pt>
                <c:pt idx="23">
                  <c:v>49.473174165860506</c:v>
                </c:pt>
                <c:pt idx="24">
                  <c:v>49.962660555998127</c:v>
                </c:pt>
                <c:pt idx="25">
                  <c:v>50.456989912655878</c:v>
                </c:pt>
                <c:pt idx="26">
                  <c:v>50.956210152027538</c:v>
                </c:pt>
                <c:pt idx="27">
                  <c:v>51.460369664388516</c:v>
                </c:pt>
                <c:pt idx="28">
                  <c:v>51.969517318786473</c:v>
                </c:pt>
                <c:pt idx="29">
                  <c:v>52.483702467778215</c:v>
                </c:pt>
              </c:numCache>
            </c:numRef>
          </c:val>
          <c:smooth val="0"/>
          <c:extLst>
            <c:ext xmlns:c16="http://schemas.microsoft.com/office/drawing/2014/chart" uri="{C3380CC4-5D6E-409C-BE32-E72D297353CC}">
              <c16:uniqueId val="{00000003-B3DC-4E90-866D-BB888AB28256}"/>
            </c:ext>
          </c:extLst>
        </c:ser>
        <c:dLbls>
          <c:showLegendKey val="0"/>
          <c:showVal val="0"/>
          <c:showCatName val="0"/>
          <c:showSerName val="0"/>
          <c:showPercent val="0"/>
          <c:showBubbleSize val="0"/>
        </c:dLbls>
        <c:smooth val="0"/>
        <c:axId val="1039543600"/>
        <c:axId val="1039543960"/>
        <c:extLst>
          <c:ext xmlns:c15="http://schemas.microsoft.com/office/drawing/2012/chart" uri="{02D57815-91ED-43cb-92C2-25804820EDAC}">
            <c15:filteredLineSeries>
              <c15:ser>
                <c:idx val="4"/>
                <c:order val="4"/>
                <c:tx>
                  <c:strRef>
                    <c:extLst>
                      <c:ext uri="{02D57815-91ED-43cb-92C2-25804820EDAC}">
                        <c15:formulaRef>
                          <c15:sqref>'[part_comp_tables_2023_10_25.xlsx]All 4 groups part'!$H$1</c15:sqref>
                        </c15:formulaRef>
                      </c:ext>
                    </c:extLst>
                    <c:strCache>
                      <c:ptCount val="1"/>
                      <c:pt idx="0">
                        <c:v>Reference</c:v>
                      </c:pt>
                    </c:strCache>
                  </c:strRef>
                </c:tx>
                <c:spPr>
                  <a:ln w="28575" cap="rnd" cmpd="sng" algn="ctr">
                    <a:solidFill>
                      <a:schemeClr val="accent5">
                        <a:shade val="95000"/>
                        <a:satMod val="105000"/>
                      </a:schemeClr>
                    </a:solidFill>
                    <a:prstDash val="solid"/>
                    <a:round/>
                  </a:ln>
                  <a:effectLst/>
                </c:spPr>
                <c:marker>
                  <c:symbol val="none"/>
                </c:marker>
                <c:cat>
                  <c:numRef>
                    <c:extLst>
                      <c:ext uri="{02D57815-91ED-43cb-92C2-25804820EDAC}">
                        <c15:formulaRef>
                          <c15:sqref>'[part_comp_tables_2023_10_25.xlsx]All 4 groups part'!$A$2:$A$31</c15:sqref>
                        </c15:formulaRef>
                      </c:ext>
                    </c:extLst>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extLst>
                      <c:ext uri="{02D57815-91ED-43cb-92C2-25804820EDAC}">
                        <c15:formulaRef>
                          <c15:sqref>'[part_comp_tables_2023_10_25.xlsx]All 4 groups part'!$H$2:$H$31</c15:sqref>
                        </c15:formulaRef>
                      </c:ext>
                    </c:extLst>
                    <c:numCache>
                      <c:formatCode>General</c:formatCode>
                      <c:ptCount val="30"/>
                    </c:numCache>
                  </c:numRef>
                </c:val>
                <c:smooth val="0"/>
                <c:extLst>
                  <c:ext xmlns:c16="http://schemas.microsoft.com/office/drawing/2014/chart" uri="{C3380CC4-5D6E-409C-BE32-E72D297353CC}">
                    <c16:uniqueId val="{00000004-B3DC-4E90-866D-BB888AB28256}"/>
                  </c:ext>
                </c:extLst>
              </c15:ser>
            </c15:filteredLineSeries>
          </c:ext>
        </c:extLst>
      </c:lineChart>
      <c:catAx>
        <c:axId val="103954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wrap="square" anchor="ctr" anchorCtr="1"/>
          <a:lstStyle/>
          <a:p>
            <a:pPr>
              <a:defRPr sz="1000" b="0" i="0" u="none" strike="noStrike" kern="1200" baseline="0">
                <a:ln>
                  <a:noFill/>
                </a:ln>
                <a:solidFill>
                  <a:schemeClr val="tx1"/>
                </a:solidFill>
                <a:latin typeface="+mn-lt"/>
                <a:ea typeface="+mn-ea"/>
                <a:cs typeface="+mn-cs"/>
              </a:defRPr>
            </a:pPr>
            <a:endParaRPr lang="en-US"/>
          </a:p>
        </c:txPr>
        <c:crossAx val="1039543960"/>
        <c:crosses val="autoZero"/>
        <c:auto val="1"/>
        <c:lblAlgn val="ctr"/>
        <c:lblOffset val="100"/>
        <c:noMultiLvlLbl val="0"/>
      </c:catAx>
      <c:valAx>
        <c:axId val="1039543960"/>
        <c:scaling>
          <c:orientation val="minMax"/>
          <c:min val="300000"/>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039543600"/>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solidFill>
        <a:schemeClr val="tx1"/>
      </a:solidFill>
      <a:prstDash val="solid"/>
      <a:round/>
    </a:ln>
    <a:effectLst/>
  </c:spPr>
  <c:txPr>
    <a:bodyPr/>
    <a:lstStyle/>
    <a:p>
      <a:pPr>
        <a:defRPr>
          <a:ln>
            <a:noFill/>
          </a:ln>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47747901481354E-2"/>
          <c:y val="8.7431693989071038E-2"/>
          <c:w val="0.89436353737516561"/>
          <c:h val="0.75049885977367581"/>
        </c:manualLayout>
      </c:layout>
      <c:lineChart>
        <c:grouping val="standard"/>
        <c:varyColors val="0"/>
        <c:ser>
          <c:idx val="0"/>
          <c:order val="0"/>
          <c:tx>
            <c:strRef>
              <c:f>'[part_comp_tables_2023_10_25.xlsx]All 4 groups part'!$F$1</c:f>
              <c:strCache>
                <c:ptCount val="1"/>
                <c:pt idx="0">
                  <c:v>2035 target (%)</c:v>
                </c:pt>
              </c:strCache>
            </c:strRef>
          </c:tx>
          <c:spPr>
            <a:ln w="28575" cap="rnd">
              <a:solidFill>
                <a:schemeClr val="accent1"/>
              </a:solidFill>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part'!$F$2:$F$31</c:f>
              <c:numCache>
                <c:formatCode>0.00</c:formatCode>
                <c:ptCount val="30"/>
                <c:pt idx="0">
                  <c:v>39.448164352049616</c:v>
                </c:pt>
                <c:pt idx="1">
                  <c:v>40.227656085297845</c:v>
                </c:pt>
                <c:pt idx="2">
                  <c:v>41.022550496267137</c:v>
                </c:pt>
                <c:pt idx="3">
                  <c:v>41.833151940309655</c:v>
                </c:pt>
                <c:pt idx="4">
                  <c:v>42.659770786808501</c:v>
                </c:pt>
                <c:pt idx="5">
                  <c:v>43.502723538014372</c:v>
                </c:pt>
                <c:pt idx="6">
                  <c:v>44.362332950230368</c:v>
                </c:pt>
                <c:pt idx="7">
                  <c:v>45.238928157391463</c:v>
                </c:pt>
                <c:pt idx="8">
                  <c:v>46.132844797085866</c:v>
                </c:pt>
                <c:pt idx="9">
                  <c:v>47.044425139066554</c:v>
                </c:pt>
                <c:pt idx="10">
                  <c:v>47.974018216302149</c:v>
                </c:pt>
                <c:pt idx="11">
                  <c:v>48.921979958617406</c:v>
                </c:pt>
                <c:pt idx="12">
                  <c:v>49.888673328974356</c:v>
                </c:pt>
                <c:pt idx="13">
                  <c:v>50.874468462446423</c:v>
                </c:pt>
                <c:pt idx="14">
                  <c:v>51.879742807938598</c:v>
                </c:pt>
              </c:numCache>
            </c:numRef>
          </c:val>
          <c:smooth val="0"/>
          <c:extLst>
            <c:ext xmlns:c16="http://schemas.microsoft.com/office/drawing/2014/chart" uri="{C3380CC4-5D6E-409C-BE32-E72D297353CC}">
              <c16:uniqueId val="{00000000-C0DC-4A81-84E7-825E71A49385}"/>
            </c:ext>
          </c:extLst>
        </c:ser>
        <c:ser>
          <c:idx val="1"/>
          <c:order val="1"/>
          <c:tx>
            <c:strRef>
              <c:f>'[part_comp_tables_2023_10_25.xlsx]All 4 groups part'!$G$1</c:f>
              <c:strCache>
                <c:ptCount val="1"/>
                <c:pt idx="0">
                  <c:v>2050 target (%)</c:v>
                </c:pt>
              </c:strCache>
            </c:strRef>
          </c:tx>
          <c:spPr>
            <a:ln w="28575" cap="rnd">
              <a:solidFill>
                <a:schemeClr val="accent2"/>
              </a:solidFill>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part'!$G$2:$G$31</c:f>
              <c:numCache>
                <c:formatCode>0.00</c:formatCode>
                <c:ptCount val="30"/>
                <c:pt idx="0">
                  <c:v>39.448164352049616</c:v>
                </c:pt>
                <c:pt idx="1">
                  <c:v>39.838463537250576</c:v>
                </c:pt>
                <c:pt idx="2">
                  <c:v>40.232624333161965</c:v>
                </c:pt>
                <c:pt idx="3">
                  <c:v>40.630684946466864</c:v>
                </c:pt>
                <c:pt idx="4">
                  <c:v>41.032683961864372</c:v>
                </c:pt>
                <c:pt idx="5">
                  <c:v>41.438660345809652</c:v>
                </c:pt>
                <c:pt idx="6">
                  <c:v>41.848653450291039</c:v>
                </c:pt>
                <c:pt idx="7">
                  <c:v>42.262703016644494</c:v>
                </c:pt>
                <c:pt idx="8">
                  <c:v>42.680849179405783</c:v>
                </c:pt>
                <c:pt idx="9">
                  <c:v>43.103132470200819</c:v>
                </c:pt>
                <c:pt idx="10">
                  <c:v>43.529593821674432</c:v>
                </c:pt>
                <c:pt idx="11">
                  <c:v>43.960274571458058</c:v>
                </c:pt>
                <c:pt idx="12">
                  <c:v>44.395216466176642</c:v>
                </c:pt>
                <c:pt idx="13">
                  <c:v>44.83446166549524</c:v>
                </c:pt>
                <c:pt idx="14">
                  <c:v>45.278052746205617</c:v>
                </c:pt>
                <c:pt idx="15">
                  <c:v>45.726032706353287</c:v>
                </c:pt>
                <c:pt idx="16">
                  <c:v>46.178444969405398</c:v>
                </c:pt>
                <c:pt idx="17">
                  <c:v>46.635333388459799</c:v>
                </c:pt>
                <c:pt idx="18">
                  <c:v>47.096742250495858</c:v>
                </c:pt>
                <c:pt idx="19">
                  <c:v>47.56271628066726</c:v>
                </c:pt>
                <c:pt idx="20">
                  <c:v>48.033300646637237</c:v>
                </c:pt>
                <c:pt idx="21">
                  <c:v>48.508540962956829</c:v>
                </c:pt>
                <c:pt idx="22">
                  <c:v>48.988483295486311</c:v>
                </c:pt>
                <c:pt idx="23">
                  <c:v>49.473174165860506</c:v>
                </c:pt>
                <c:pt idx="24">
                  <c:v>49.962660555998127</c:v>
                </c:pt>
                <c:pt idx="25">
                  <c:v>50.456989912655878</c:v>
                </c:pt>
                <c:pt idx="26">
                  <c:v>50.956210152027538</c:v>
                </c:pt>
                <c:pt idx="27">
                  <c:v>51.460369664388516</c:v>
                </c:pt>
                <c:pt idx="28">
                  <c:v>51.969517318786473</c:v>
                </c:pt>
                <c:pt idx="29">
                  <c:v>52.483702467778215</c:v>
                </c:pt>
              </c:numCache>
            </c:numRef>
          </c:val>
          <c:smooth val="0"/>
          <c:extLst>
            <c:ext xmlns:c16="http://schemas.microsoft.com/office/drawing/2014/chart" uri="{C3380CC4-5D6E-409C-BE32-E72D297353CC}">
              <c16:uniqueId val="{00000001-C0DC-4A81-84E7-825E71A49385}"/>
            </c:ext>
          </c:extLst>
        </c:ser>
        <c:dLbls>
          <c:showLegendKey val="0"/>
          <c:showVal val="0"/>
          <c:showCatName val="0"/>
          <c:showSerName val="0"/>
          <c:showPercent val="0"/>
          <c:showBubbleSize val="0"/>
        </c:dLbls>
        <c:smooth val="0"/>
        <c:axId val="1039543600"/>
        <c:axId val="1039543960"/>
        <c:extLst>
          <c:ext xmlns:c15="http://schemas.microsoft.com/office/drawing/2012/chart" uri="{02D57815-91ED-43cb-92C2-25804820EDAC}">
            <c15:filteredLineSeries>
              <c15:ser>
                <c:idx val="2"/>
                <c:order val="2"/>
                <c:tx>
                  <c:strRef>
                    <c:extLst>
                      <c:ext uri="{02D57815-91ED-43cb-92C2-25804820EDAC}">
                        <c15:formulaRef>
                          <c15:sqref>'[part_comp_tables_2023_10_25.xlsx]All 4 groups part'!$H$1</c15:sqref>
                        </c15:formulaRef>
                      </c:ext>
                    </c:extLst>
                    <c:strCache>
                      <c:ptCount val="1"/>
                      <c:pt idx="0">
                        <c:v>Reference</c:v>
                      </c:pt>
                    </c:strCache>
                  </c:strRef>
                </c:tx>
                <c:spPr>
                  <a:ln w="28575" cap="rnd">
                    <a:solidFill>
                      <a:schemeClr val="accent3"/>
                    </a:solidFill>
                    <a:round/>
                  </a:ln>
                  <a:effectLst/>
                </c:spPr>
                <c:marker>
                  <c:symbol val="none"/>
                </c:marker>
                <c:cat>
                  <c:numRef>
                    <c:extLst>
                      <c:ext uri="{02D57815-91ED-43cb-92C2-25804820EDAC}">
                        <c15:formulaRef>
                          <c15:sqref>'[part_comp_tables_2023_10_25.xlsx]All 4 groups part'!$A$2:$A$31</c15:sqref>
                        </c15:formulaRef>
                      </c:ext>
                    </c:extLst>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extLst>
                      <c:ext uri="{02D57815-91ED-43cb-92C2-25804820EDAC}">
                        <c15:formulaRef>
                          <c15:sqref>'[part_comp_tables_2023_10_25.xlsx]All 4 groups part'!$H$2:$H$31</c15:sqref>
                        </c15:formulaRef>
                      </c:ext>
                    </c:extLst>
                    <c:numCache>
                      <c:formatCode>General</c:formatCode>
                      <c:ptCount val="30"/>
                    </c:numCache>
                  </c:numRef>
                </c:val>
                <c:smooth val="0"/>
                <c:extLst>
                  <c:ext xmlns:c16="http://schemas.microsoft.com/office/drawing/2014/chart" uri="{C3380CC4-5D6E-409C-BE32-E72D297353CC}">
                    <c16:uniqueId val="{00000002-C0DC-4A81-84E7-825E71A49385}"/>
                  </c:ext>
                </c:extLst>
              </c15:ser>
            </c15:filteredLineSeries>
          </c:ext>
        </c:extLst>
      </c:lineChart>
      <c:catAx>
        <c:axId val="103954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ln>
                  <a:noFill/>
                </a:ln>
                <a:solidFill>
                  <a:sysClr val="windowText" lastClr="000000"/>
                </a:solidFill>
                <a:latin typeface="+mn-lt"/>
                <a:ea typeface="+mn-ea"/>
                <a:cs typeface="+mn-cs"/>
              </a:defRPr>
            </a:pPr>
            <a:endParaRPr lang="en-US"/>
          </a:p>
        </c:txPr>
        <c:crossAx val="1039543960"/>
        <c:crosses val="autoZero"/>
        <c:auto val="1"/>
        <c:lblAlgn val="ctr"/>
        <c:lblOffset val="100"/>
        <c:noMultiLvlLbl val="0"/>
      </c:catAx>
      <c:valAx>
        <c:axId val="1039543960"/>
        <c:scaling>
          <c:orientation val="minMax"/>
          <c:min val="3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mn-lt"/>
                <a:ea typeface="+mn-ea"/>
                <a:cs typeface="+mn-cs"/>
              </a:defRPr>
            </a:pPr>
            <a:endParaRPr lang="en-US"/>
          </a:p>
        </c:txPr>
        <c:crossAx val="1039543600"/>
        <c:crosses val="autoZero"/>
        <c:crossBetween val="between"/>
      </c:valAx>
      <c:spPr>
        <a:noFill/>
        <a:ln>
          <a:noFill/>
        </a:ln>
        <a:effectLst/>
      </c:spPr>
    </c:plotArea>
    <c:legend>
      <c:legendPos val="b"/>
      <c:layout>
        <c:manualLayout>
          <c:xMode val="edge"/>
          <c:yMode val="edge"/>
          <c:x val="0.2499889708225152"/>
          <c:y val="0.92232557517746616"/>
          <c:w val="0.45021903129508695"/>
          <c:h val="5.7300910391294466E-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7586929540784"/>
          <c:y val="7.2700882269234393E-2"/>
          <c:w val="0.84804134366925066"/>
          <c:h val="0.72997153970211559"/>
        </c:manualLayout>
      </c:layout>
      <c:lineChart>
        <c:grouping val="standard"/>
        <c:varyColors val="0"/>
        <c:ser>
          <c:idx val="0"/>
          <c:order val="0"/>
          <c:tx>
            <c:strRef>
              <c:f>'[part_comp_tables_2023_10_25.xlsx]All 4 groups part'!$B$1</c:f>
              <c:strCache>
                <c:ptCount val="1"/>
                <c:pt idx="0">
                  <c:v>2035 target (headcount)</c:v>
                </c:pt>
              </c:strCache>
            </c:strRef>
          </c:tx>
          <c:spPr>
            <a:ln w="28575" cap="rnd" cmpd="sng" algn="ctr">
              <a:solidFill>
                <a:schemeClr val="accent1">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part'!$B$2:$B$31</c:f>
              <c:numCache>
                <c:formatCode>0</c:formatCode>
                <c:ptCount val="30"/>
                <c:pt idx="0">
                  <c:v>309360</c:v>
                </c:pt>
                <c:pt idx="1">
                  <c:v>322556.74933324929</c:v>
                </c:pt>
                <c:pt idx="2">
                  <c:v>336316.4486049671</c:v>
                </c:pt>
                <c:pt idx="3">
                  <c:v>350663.11226183409</c:v>
                </c:pt>
                <c:pt idx="4">
                  <c:v>365621.77916426648</c:v>
                </c:pt>
                <c:pt idx="5">
                  <c:v>381218.55628609046</c:v>
                </c:pt>
                <c:pt idx="6">
                  <c:v>397480.66427836719</c:v>
                </c:pt>
                <c:pt idx="7">
                  <c:v>414436.48497689003</c:v>
                </c:pt>
                <c:pt idx="8">
                  <c:v>432115.6109362673</c:v>
                </c:pt>
                <c:pt idx="9">
                  <c:v>450548.89707704115</c:v>
                </c:pt>
                <c:pt idx="10">
                  <c:v>469768.51453598106</c:v>
                </c:pt>
                <c:pt idx="11">
                  <c:v>489808.00681353547</c:v>
                </c:pt>
                <c:pt idx="12">
                  <c:v>510702.34831643401</c:v>
                </c:pt>
                <c:pt idx="13">
                  <c:v>532488.00539761374</c:v>
                </c:pt>
                <c:pt idx="14">
                  <c:v>555203</c:v>
                </c:pt>
              </c:numCache>
            </c:numRef>
          </c:val>
          <c:smooth val="0"/>
          <c:extLst>
            <c:ext xmlns:c16="http://schemas.microsoft.com/office/drawing/2014/chart" uri="{C3380CC4-5D6E-409C-BE32-E72D297353CC}">
              <c16:uniqueId val="{00000000-2710-4143-8A3F-917E6E92021E}"/>
            </c:ext>
          </c:extLst>
        </c:ser>
        <c:ser>
          <c:idx val="1"/>
          <c:order val="1"/>
          <c:tx>
            <c:strRef>
              <c:f>'[part_comp_tables_2023_10_25.xlsx]All 4 groups part'!$C$1</c:f>
              <c:strCache>
                <c:ptCount val="1"/>
                <c:pt idx="0">
                  <c:v>2050 target (headcount)</c:v>
                </c:pt>
              </c:strCache>
            </c:strRef>
          </c:tx>
          <c:spPr>
            <a:ln w="28575" cap="rnd" cmpd="sng" algn="ctr">
              <a:solidFill>
                <a:schemeClr val="accent2">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part'!$C$2:$C$31</c:f>
              <c:numCache>
                <c:formatCode>0</c:formatCode>
                <c:ptCount val="30"/>
                <c:pt idx="0">
                  <c:v>309360</c:v>
                </c:pt>
                <c:pt idx="1">
                  <c:v>321261.31233405677</c:v>
                </c:pt>
                <c:pt idx="2">
                  <c:v>333620.47712244757</c:v>
                </c:pt>
                <c:pt idx="3">
                  <c:v>346455.10829412873</c:v>
                </c:pt>
                <c:pt idx="4">
                  <c:v>359783.49739917752</c:v>
                </c:pt>
                <c:pt idx="5">
                  <c:v>373624.63967738708</c:v>
                </c:pt>
                <c:pt idx="6">
                  <c:v>387998.26112974033</c:v>
                </c:pt>
                <c:pt idx="7">
                  <c:v>402924.84663134348</c:v>
                </c:pt>
                <c:pt idx="8">
                  <c:v>418425.66912588553</c:v>
                </c:pt>
                <c:pt idx="9">
                  <c:v>434522.81994323054</c:v>
                </c:pt>
                <c:pt idx="10">
                  <c:v>451239.24028335046</c:v>
                </c:pt>
                <c:pt idx="11">
                  <c:v>468598.75391146867</c:v>
                </c:pt>
                <c:pt idx="12">
                  <c:v>486626.10111101024</c:v>
                </c:pt>
                <c:pt idx="13">
                  <c:v>505346.9739427481</c:v>
                </c:pt>
                <c:pt idx="14">
                  <c:v>524788.05286039447</c:v>
                </c:pt>
                <c:pt idx="15">
                  <c:v>544977.04473482247</c:v>
                </c:pt>
                <c:pt idx="16">
                  <c:v>565942.72234110755</c:v>
                </c:pt>
                <c:pt idx="17">
                  <c:v>587714.96536466549</c:v>
                </c:pt>
                <c:pt idx="18">
                  <c:v>610324.80298492743</c:v>
                </c:pt>
                <c:pt idx="19">
                  <c:v>633804.45809724089</c:v>
                </c:pt>
                <c:pt idx="20">
                  <c:v>658187.39323602046</c:v>
                </c:pt>
                <c:pt idx="21">
                  <c:v>683508.35826459725</c:v>
                </c:pt>
                <c:pt idx="22">
                  <c:v>709803.43989973213</c:v>
                </c:pt>
                <c:pt idx="23">
                  <c:v>737110.1131413749</c:v>
                </c:pt>
                <c:pt idx="24">
                  <c:v>765467.29468096443</c:v>
                </c:pt>
                <c:pt idx="25">
                  <c:v>794915.3983643871</c:v>
                </c:pt>
                <c:pt idx="26">
                  <c:v>825496.39278863627</c:v>
                </c:pt>
                <c:pt idx="27">
                  <c:v>857253.86111425934</c:v>
                </c:pt>
                <c:pt idx="28">
                  <c:v>890233.06317883427</c:v>
                </c:pt>
                <c:pt idx="29">
                  <c:v>924480.9999999986</c:v>
                </c:pt>
              </c:numCache>
            </c:numRef>
          </c:val>
          <c:smooth val="0"/>
          <c:extLst>
            <c:ext xmlns:c16="http://schemas.microsoft.com/office/drawing/2014/chart" uri="{C3380CC4-5D6E-409C-BE32-E72D297353CC}">
              <c16:uniqueId val="{00000001-2710-4143-8A3F-917E6E92021E}"/>
            </c:ext>
          </c:extLst>
        </c:ser>
        <c:ser>
          <c:idx val="2"/>
          <c:order val="2"/>
          <c:tx>
            <c:strRef>
              <c:f>'[part_comp_tables_2023_10_25.xlsx]All 4 groups part'!$F$1</c:f>
              <c:strCache>
                <c:ptCount val="1"/>
                <c:pt idx="0">
                  <c:v>2035 target (%)</c:v>
                </c:pt>
              </c:strCache>
            </c:strRef>
          </c:tx>
          <c:spPr>
            <a:ln w="28575" cap="rnd" cmpd="sng" algn="ctr">
              <a:solidFill>
                <a:schemeClr val="accent3">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part'!$F$2:$F$31</c:f>
              <c:numCache>
                <c:formatCode>0.00</c:formatCode>
                <c:ptCount val="30"/>
                <c:pt idx="0">
                  <c:v>39.448164352049616</c:v>
                </c:pt>
                <c:pt idx="1">
                  <c:v>40.227656085297845</c:v>
                </c:pt>
                <c:pt idx="2">
                  <c:v>41.022550496267137</c:v>
                </c:pt>
                <c:pt idx="3">
                  <c:v>41.833151940309655</c:v>
                </c:pt>
                <c:pt idx="4">
                  <c:v>42.659770786808501</c:v>
                </c:pt>
                <c:pt idx="5">
                  <c:v>43.502723538014372</c:v>
                </c:pt>
                <c:pt idx="6">
                  <c:v>44.362332950230368</c:v>
                </c:pt>
                <c:pt idx="7">
                  <c:v>45.238928157391463</c:v>
                </c:pt>
                <c:pt idx="8">
                  <c:v>46.132844797085866</c:v>
                </c:pt>
                <c:pt idx="9">
                  <c:v>47.044425139066554</c:v>
                </c:pt>
                <c:pt idx="10">
                  <c:v>47.974018216302149</c:v>
                </c:pt>
                <c:pt idx="11">
                  <c:v>48.921979958617406</c:v>
                </c:pt>
                <c:pt idx="12">
                  <c:v>49.888673328974356</c:v>
                </c:pt>
                <c:pt idx="13">
                  <c:v>50.874468462446423</c:v>
                </c:pt>
                <c:pt idx="14">
                  <c:v>51.879742807938598</c:v>
                </c:pt>
              </c:numCache>
            </c:numRef>
          </c:val>
          <c:smooth val="0"/>
          <c:extLst>
            <c:ext xmlns:c16="http://schemas.microsoft.com/office/drawing/2014/chart" uri="{C3380CC4-5D6E-409C-BE32-E72D297353CC}">
              <c16:uniqueId val="{00000002-2710-4143-8A3F-917E6E92021E}"/>
            </c:ext>
          </c:extLst>
        </c:ser>
        <c:ser>
          <c:idx val="3"/>
          <c:order val="3"/>
          <c:tx>
            <c:strRef>
              <c:f>'[part_comp_tables_2023_10_25.xlsx]All 4 groups part'!$G$1</c:f>
              <c:strCache>
                <c:ptCount val="1"/>
                <c:pt idx="0">
                  <c:v>2050 target (%)</c:v>
                </c:pt>
              </c:strCache>
            </c:strRef>
          </c:tx>
          <c:spPr>
            <a:ln w="28575" cap="rnd" cmpd="sng" algn="ctr">
              <a:solidFill>
                <a:schemeClr val="accent4">
                  <a:shade val="95000"/>
                  <a:satMod val="105000"/>
                </a:schemeClr>
              </a:solidFill>
              <a:prstDash val="solid"/>
              <a:round/>
            </a:ln>
            <a:effectLst/>
          </c:spPr>
          <c:marker>
            <c:symbol val="none"/>
          </c:marker>
          <c:cat>
            <c:numRef>
              <c:f>'[part_comp_tables_2023_10_25.xlsx]All 4 groups part'!$A$2:$A$31</c:f>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f>'[part_comp_tables_2023_10_25.xlsx]All 4 groups part'!$G$2:$G$31</c:f>
              <c:numCache>
                <c:formatCode>0.00</c:formatCode>
                <c:ptCount val="30"/>
                <c:pt idx="0">
                  <c:v>39.448164352049616</c:v>
                </c:pt>
                <c:pt idx="1">
                  <c:v>39.838463537250576</c:v>
                </c:pt>
                <c:pt idx="2">
                  <c:v>40.232624333161965</c:v>
                </c:pt>
                <c:pt idx="3">
                  <c:v>40.630684946466864</c:v>
                </c:pt>
                <c:pt idx="4">
                  <c:v>41.032683961864372</c:v>
                </c:pt>
                <c:pt idx="5">
                  <c:v>41.438660345809652</c:v>
                </c:pt>
                <c:pt idx="6">
                  <c:v>41.848653450291039</c:v>
                </c:pt>
                <c:pt idx="7">
                  <c:v>42.262703016644494</c:v>
                </c:pt>
                <c:pt idx="8">
                  <c:v>42.680849179405783</c:v>
                </c:pt>
                <c:pt idx="9">
                  <c:v>43.103132470200819</c:v>
                </c:pt>
                <c:pt idx="10">
                  <c:v>43.529593821674432</c:v>
                </c:pt>
                <c:pt idx="11">
                  <c:v>43.960274571458058</c:v>
                </c:pt>
                <c:pt idx="12">
                  <c:v>44.395216466176642</c:v>
                </c:pt>
                <c:pt idx="13">
                  <c:v>44.83446166549524</c:v>
                </c:pt>
                <c:pt idx="14">
                  <c:v>45.278052746205617</c:v>
                </c:pt>
                <c:pt idx="15">
                  <c:v>45.726032706353287</c:v>
                </c:pt>
                <c:pt idx="16">
                  <c:v>46.178444969405398</c:v>
                </c:pt>
                <c:pt idx="17">
                  <c:v>46.635333388459799</c:v>
                </c:pt>
                <c:pt idx="18">
                  <c:v>47.096742250495858</c:v>
                </c:pt>
                <c:pt idx="19">
                  <c:v>47.56271628066726</c:v>
                </c:pt>
                <c:pt idx="20">
                  <c:v>48.033300646637237</c:v>
                </c:pt>
                <c:pt idx="21">
                  <c:v>48.508540962956829</c:v>
                </c:pt>
                <c:pt idx="22">
                  <c:v>48.988483295486311</c:v>
                </c:pt>
                <c:pt idx="23">
                  <c:v>49.473174165860506</c:v>
                </c:pt>
                <c:pt idx="24">
                  <c:v>49.962660555998127</c:v>
                </c:pt>
                <c:pt idx="25">
                  <c:v>50.456989912655878</c:v>
                </c:pt>
                <c:pt idx="26">
                  <c:v>50.956210152027538</c:v>
                </c:pt>
                <c:pt idx="27">
                  <c:v>51.460369664388516</c:v>
                </c:pt>
                <c:pt idx="28">
                  <c:v>51.969517318786473</c:v>
                </c:pt>
                <c:pt idx="29">
                  <c:v>52.483702467778215</c:v>
                </c:pt>
              </c:numCache>
            </c:numRef>
          </c:val>
          <c:smooth val="0"/>
          <c:extLst>
            <c:ext xmlns:c16="http://schemas.microsoft.com/office/drawing/2014/chart" uri="{C3380CC4-5D6E-409C-BE32-E72D297353CC}">
              <c16:uniqueId val="{00000003-2710-4143-8A3F-917E6E92021E}"/>
            </c:ext>
          </c:extLst>
        </c:ser>
        <c:dLbls>
          <c:showLegendKey val="0"/>
          <c:showVal val="0"/>
          <c:showCatName val="0"/>
          <c:showSerName val="0"/>
          <c:showPercent val="0"/>
          <c:showBubbleSize val="0"/>
        </c:dLbls>
        <c:smooth val="0"/>
        <c:axId val="1039543600"/>
        <c:axId val="1039543960"/>
        <c:extLst>
          <c:ext xmlns:c15="http://schemas.microsoft.com/office/drawing/2012/chart" uri="{02D57815-91ED-43cb-92C2-25804820EDAC}">
            <c15:filteredLineSeries>
              <c15:ser>
                <c:idx val="4"/>
                <c:order val="4"/>
                <c:tx>
                  <c:strRef>
                    <c:extLst>
                      <c:ext uri="{02D57815-91ED-43cb-92C2-25804820EDAC}">
                        <c15:formulaRef>
                          <c15:sqref>'[part_comp_tables_2023_10_25.xlsx]All 4 groups part'!$H$1</c15:sqref>
                        </c15:formulaRef>
                      </c:ext>
                    </c:extLst>
                    <c:strCache>
                      <c:ptCount val="1"/>
                      <c:pt idx="0">
                        <c:v>Reference</c:v>
                      </c:pt>
                    </c:strCache>
                  </c:strRef>
                </c:tx>
                <c:spPr>
                  <a:ln w="28575" cap="rnd" cmpd="sng" algn="ctr">
                    <a:solidFill>
                      <a:schemeClr val="accent5">
                        <a:shade val="95000"/>
                        <a:satMod val="105000"/>
                      </a:schemeClr>
                    </a:solidFill>
                    <a:prstDash val="solid"/>
                    <a:round/>
                  </a:ln>
                  <a:effectLst/>
                </c:spPr>
                <c:marker>
                  <c:symbol val="none"/>
                </c:marker>
                <c:cat>
                  <c:numRef>
                    <c:extLst>
                      <c:ext uri="{02D57815-91ED-43cb-92C2-25804820EDAC}">
                        <c15:formulaRef>
                          <c15:sqref>'[part_comp_tables_2023_10_25.xlsx]All 4 groups part'!$A$2:$A$31</c15:sqref>
                        </c15:formulaRef>
                      </c:ext>
                    </c:extLst>
                    <c:numCache>
                      <c:formatCode>General</c:formatCode>
                      <c:ptCount val="30"/>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pt idx="24">
                        <c:v>2045</c:v>
                      </c:pt>
                      <c:pt idx="25">
                        <c:v>2046</c:v>
                      </c:pt>
                      <c:pt idx="26">
                        <c:v>2047</c:v>
                      </c:pt>
                      <c:pt idx="27">
                        <c:v>2048</c:v>
                      </c:pt>
                      <c:pt idx="28">
                        <c:v>2049</c:v>
                      </c:pt>
                      <c:pt idx="29">
                        <c:v>2050</c:v>
                      </c:pt>
                    </c:numCache>
                  </c:numRef>
                </c:cat>
                <c:val>
                  <c:numRef>
                    <c:extLst>
                      <c:ext uri="{02D57815-91ED-43cb-92C2-25804820EDAC}">
                        <c15:formulaRef>
                          <c15:sqref>'[part_comp_tables_2023_10_25.xlsx]All 4 groups part'!$H$2:$H$31</c15:sqref>
                        </c15:formulaRef>
                      </c:ext>
                    </c:extLst>
                    <c:numCache>
                      <c:formatCode>General</c:formatCode>
                      <c:ptCount val="30"/>
                    </c:numCache>
                  </c:numRef>
                </c:val>
                <c:smooth val="0"/>
                <c:extLst>
                  <c:ext xmlns:c16="http://schemas.microsoft.com/office/drawing/2014/chart" uri="{C3380CC4-5D6E-409C-BE32-E72D297353CC}">
                    <c16:uniqueId val="{00000004-2710-4143-8A3F-917E6E92021E}"/>
                  </c:ext>
                </c:extLst>
              </c15:ser>
            </c15:filteredLineSeries>
          </c:ext>
        </c:extLst>
      </c:lineChart>
      <c:catAx>
        <c:axId val="103954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wrap="square" anchor="ctr" anchorCtr="1"/>
          <a:lstStyle/>
          <a:p>
            <a:pPr>
              <a:defRPr sz="1000" b="0" i="0" u="none" strike="noStrike" kern="1200" baseline="0">
                <a:ln>
                  <a:noFill/>
                </a:ln>
                <a:solidFill>
                  <a:schemeClr val="tx1"/>
                </a:solidFill>
                <a:latin typeface="+mn-lt"/>
                <a:ea typeface="+mn-ea"/>
                <a:cs typeface="+mn-cs"/>
              </a:defRPr>
            </a:pPr>
            <a:endParaRPr lang="en-US"/>
          </a:p>
        </c:txPr>
        <c:crossAx val="1039543960"/>
        <c:crosses val="autoZero"/>
        <c:auto val="1"/>
        <c:lblAlgn val="ctr"/>
        <c:lblOffset val="100"/>
        <c:noMultiLvlLbl val="0"/>
      </c:catAx>
      <c:valAx>
        <c:axId val="1039543960"/>
        <c:scaling>
          <c:orientation val="minMax"/>
          <c:min val="300000"/>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039543600"/>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solidFill>
        <a:schemeClr val="tx1">
          <a:tint val="75000"/>
          <a:shade val="95000"/>
          <a:satMod val="105000"/>
        </a:schemeClr>
      </a:solidFill>
      <a:prstDash val="solid"/>
      <a:round/>
    </a:ln>
    <a:effectLst/>
  </c:spPr>
  <c:txPr>
    <a:bodyPr/>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7DB6C8-46B7-4535-9583-B66A4C8F9277}"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C913AF34-B040-4D90-B98D-CBDBE12A8352}">
      <dgm:prSet phldrT="[Text]"/>
      <dgm:spPr>
        <a:ln>
          <a:solidFill>
            <a:srgbClr val="FFFFFF"/>
          </a:solidFill>
        </a:ln>
      </dgm:spPr>
      <dgm:t>
        <a:bodyPr/>
        <a:lstStyle/>
        <a:p>
          <a:r>
            <a:rPr lang="en-AU">
              <a:solidFill>
                <a:sysClr val="windowText" lastClr="000000"/>
              </a:solidFill>
              <a:latin typeface="Inter" panose="02000503000000020004" pitchFamily="2" charset="0"/>
              <a:ea typeface="Inter" panose="02000503000000020004" pitchFamily="2" charset="0"/>
            </a:rPr>
            <a:t>National</a:t>
          </a:r>
        </a:p>
      </dgm:t>
    </dgm:pt>
    <dgm:pt modelId="{AA05049E-98E5-4059-8832-10C8EF675D63}" type="parTrans" cxnId="{BE5C4F11-419C-4EAF-AA08-B27CB2FF28C6}">
      <dgm:prSet/>
      <dgm:spPr/>
      <dgm:t>
        <a:bodyPr/>
        <a:lstStyle/>
        <a:p>
          <a:endParaRPr lang="en-AU"/>
        </a:p>
      </dgm:t>
    </dgm:pt>
    <dgm:pt modelId="{0E67FB24-0710-4134-8C76-58A3C0E1689C}" type="sibTrans" cxnId="{BE5C4F11-419C-4EAF-AA08-B27CB2FF28C6}">
      <dgm:prSet/>
      <dgm:spPr/>
      <dgm:t>
        <a:bodyPr/>
        <a:lstStyle/>
        <a:p>
          <a:endParaRPr lang="en-AU"/>
        </a:p>
      </dgm:t>
    </dgm:pt>
    <dgm:pt modelId="{9B5D1D31-02EC-442A-876D-F4C85E4CC176}" type="pres">
      <dgm:prSet presAssocID="{D17DB6C8-46B7-4535-9583-B66A4C8F9277}" presName="Name0" presStyleCnt="0">
        <dgm:presLayoutVars>
          <dgm:chMax val="7"/>
          <dgm:dir/>
          <dgm:resizeHandles val="exact"/>
        </dgm:presLayoutVars>
      </dgm:prSet>
      <dgm:spPr/>
    </dgm:pt>
    <dgm:pt modelId="{27DA488B-C463-43DC-9AE2-5BA147AB79E2}" type="pres">
      <dgm:prSet presAssocID="{D17DB6C8-46B7-4535-9583-B66A4C8F9277}" presName="ellipse1" presStyleLbl="vennNode1" presStyleIdx="0" presStyleCnt="1" custScaleX="98010" custScaleY="98010">
        <dgm:presLayoutVars>
          <dgm:bulletEnabled val="1"/>
        </dgm:presLayoutVars>
      </dgm:prSet>
      <dgm:spPr/>
    </dgm:pt>
  </dgm:ptLst>
  <dgm:cxnLst>
    <dgm:cxn modelId="{BE5C4F11-419C-4EAF-AA08-B27CB2FF28C6}" srcId="{D17DB6C8-46B7-4535-9583-B66A4C8F9277}" destId="{C913AF34-B040-4D90-B98D-CBDBE12A8352}" srcOrd="0" destOrd="0" parTransId="{AA05049E-98E5-4059-8832-10C8EF675D63}" sibTransId="{0E67FB24-0710-4134-8C76-58A3C0E1689C}"/>
    <dgm:cxn modelId="{4CFDACAC-6340-402A-9917-09BCC8AE9041}" type="presOf" srcId="{C913AF34-B040-4D90-B98D-CBDBE12A8352}" destId="{27DA488B-C463-43DC-9AE2-5BA147AB79E2}" srcOrd="0" destOrd="0" presId="urn:microsoft.com/office/officeart/2005/8/layout/rings+Icon"/>
    <dgm:cxn modelId="{927DDEFF-8857-4460-B2CD-34003A46D684}" type="presOf" srcId="{D17DB6C8-46B7-4535-9583-B66A4C8F9277}" destId="{9B5D1D31-02EC-442A-876D-F4C85E4CC176}" srcOrd="0" destOrd="0" presId="urn:microsoft.com/office/officeart/2005/8/layout/rings+Icon"/>
    <dgm:cxn modelId="{8EF1992B-40FE-4CF0-8C56-D704F08A450D}" type="presParOf" srcId="{9B5D1D31-02EC-442A-876D-F4C85E4CC176}" destId="{27DA488B-C463-43DC-9AE2-5BA147AB79E2}" srcOrd="0" destOrd="0" presId="urn:microsoft.com/office/officeart/2005/8/layout/rings+Icon"/>
  </dgm:cxnLst>
  <dgm:bg/>
  <dgm:whole>
    <a:ln>
      <a:solidFill>
        <a:schemeClr val="accent1"/>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7DB6C8-46B7-4535-9583-B66A4C8F9277}" type="doc">
      <dgm:prSet loTypeId="urn:microsoft.com/office/officeart/2005/8/layout/rings+Icon" loCatId="officeonline" qsTypeId="urn:microsoft.com/office/officeart/2005/8/quickstyle/simple1" qsCatId="simple" csTypeId="urn:microsoft.com/office/officeart/2005/8/colors/accent6_2" csCatId="accent6" phldr="1"/>
      <dgm:spPr/>
    </dgm:pt>
    <dgm:pt modelId="{49E2EB8A-7868-42A6-8AFB-5191564301C6}">
      <dgm:prSet phldrT="[Text]"/>
      <dgm:spPr>
        <a:ln>
          <a:solidFill>
            <a:srgbClr val="FFFFFF"/>
          </a:solidFill>
        </a:ln>
      </dgm:spPr>
      <dgm:t>
        <a:bodyPr/>
        <a:lstStyle/>
        <a:p>
          <a:r>
            <a:rPr lang="en-AU">
              <a:ln/>
              <a:latin typeface="Inter" panose="02000503000000020004" pitchFamily="2" charset="0"/>
              <a:ea typeface="Inter" panose="02000503000000020004" pitchFamily="2" charset="0"/>
            </a:rPr>
            <a:t>State A</a:t>
          </a:r>
        </a:p>
      </dgm:t>
    </dgm:pt>
    <dgm:pt modelId="{1C5D0EE5-AA6C-4AA9-B1B7-506DADF1EF53}" type="parTrans" cxnId="{D6918BBC-7F8A-4A2F-A556-A779D987E087}">
      <dgm:prSet/>
      <dgm:spPr/>
      <dgm:t>
        <a:bodyPr/>
        <a:lstStyle/>
        <a:p>
          <a:endParaRPr lang="en-AU">
            <a:ln>
              <a:noFill/>
            </a:ln>
          </a:endParaRPr>
        </a:p>
      </dgm:t>
    </dgm:pt>
    <dgm:pt modelId="{D443A43A-D7F4-4426-8C99-392774A38411}" type="sibTrans" cxnId="{D6918BBC-7F8A-4A2F-A556-A779D987E087}">
      <dgm:prSet/>
      <dgm:spPr/>
      <dgm:t>
        <a:bodyPr/>
        <a:lstStyle/>
        <a:p>
          <a:endParaRPr lang="en-AU">
            <a:ln>
              <a:noFill/>
            </a:ln>
          </a:endParaRPr>
        </a:p>
      </dgm:t>
    </dgm:pt>
    <dgm:pt modelId="{C913AF34-B040-4D90-B98D-CBDBE12A8352}">
      <dgm:prSet phldrT="[Text]"/>
      <dgm:spPr>
        <a:ln>
          <a:solidFill>
            <a:srgbClr val="FFFFFF"/>
          </a:solidFill>
        </a:ln>
      </dgm:spPr>
      <dgm:t>
        <a:bodyPr/>
        <a:lstStyle/>
        <a:p>
          <a:r>
            <a:rPr lang="en-AU">
              <a:ln/>
              <a:latin typeface="Inter" panose="02000503000000020004" pitchFamily="2" charset="0"/>
              <a:ea typeface="Inter" panose="02000503000000020004" pitchFamily="2" charset="0"/>
            </a:rPr>
            <a:t>Territory</a:t>
          </a:r>
        </a:p>
      </dgm:t>
    </dgm:pt>
    <dgm:pt modelId="{AA05049E-98E5-4059-8832-10C8EF675D63}" type="parTrans" cxnId="{BE5C4F11-419C-4EAF-AA08-B27CB2FF28C6}">
      <dgm:prSet/>
      <dgm:spPr/>
      <dgm:t>
        <a:bodyPr/>
        <a:lstStyle/>
        <a:p>
          <a:endParaRPr lang="en-AU">
            <a:ln>
              <a:noFill/>
            </a:ln>
          </a:endParaRPr>
        </a:p>
      </dgm:t>
    </dgm:pt>
    <dgm:pt modelId="{0E67FB24-0710-4134-8C76-58A3C0E1689C}" type="sibTrans" cxnId="{BE5C4F11-419C-4EAF-AA08-B27CB2FF28C6}">
      <dgm:prSet/>
      <dgm:spPr/>
      <dgm:t>
        <a:bodyPr/>
        <a:lstStyle/>
        <a:p>
          <a:endParaRPr lang="en-AU">
            <a:ln>
              <a:noFill/>
            </a:ln>
          </a:endParaRPr>
        </a:p>
      </dgm:t>
    </dgm:pt>
    <dgm:pt modelId="{9CEBE110-42B4-468A-ADE1-98D03EBDD8DA}">
      <dgm:prSet phldrT="[Text]"/>
      <dgm:spPr>
        <a:ln>
          <a:solidFill>
            <a:srgbClr val="FFFFFF"/>
          </a:solidFill>
        </a:ln>
      </dgm:spPr>
      <dgm:t>
        <a:bodyPr/>
        <a:lstStyle/>
        <a:p>
          <a:r>
            <a:rPr lang="en-AU">
              <a:ln/>
              <a:latin typeface="Inter" panose="02000503000000020004" pitchFamily="2" charset="0"/>
              <a:ea typeface="Inter" panose="02000503000000020004" pitchFamily="2" charset="0"/>
            </a:rPr>
            <a:t>State B</a:t>
          </a:r>
        </a:p>
      </dgm:t>
    </dgm:pt>
    <dgm:pt modelId="{93FD7C84-CCFF-4D6F-B4D1-836464610157}" type="parTrans" cxnId="{FA9949C7-6F23-461A-8012-AE49F10247B7}">
      <dgm:prSet/>
      <dgm:spPr/>
      <dgm:t>
        <a:bodyPr/>
        <a:lstStyle/>
        <a:p>
          <a:endParaRPr lang="en-AU">
            <a:ln>
              <a:noFill/>
            </a:ln>
          </a:endParaRPr>
        </a:p>
      </dgm:t>
    </dgm:pt>
    <dgm:pt modelId="{1020AA44-4FA6-4ABD-96F2-97E5F57A8D90}" type="sibTrans" cxnId="{FA9949C7-6F23-461A-8012-AE49F10247B7}">
      <dgm:prSet/>
      <dgm:spPr/>
      <dgm:t>
        <a:bodyPr/>
        <a:lstStyle/>
        <a:p>
          <a:endParaRPr lang="en-AU">
            <a:ln>
              <a:noFill/>
            </a:ln>
          </a:endParaRPr>
        </a:p>
      </dgm:t>
    </dgm:pt>
    <dgm:pt modelId="{9B5D1D31-02EC-442A-876D-F4C85E4CC176}" type="pres">
      <dgm:prSet presAssocID="{D17DB6C8-46B7-4535-9583-B66A4C8F9277}" presName="Name0" presStyleCnt="0">
        <dgm:presLayoutVars>
          <dgm:chMax val="7"/>
          <dgm:dir/>
          <dgm:resizeHandles val="exact"/>
        </dgm:presLayoutVars>
      </dgm:prSet>
      <dgm:spPr/>
    </dgm:pt>
    <dgm:pt modelId="{27DA488B-C463-43DC-9AE2-5BA147AB79E2}" type="pres">
      <dgm:prSet presAssocID="{D17DB6C8-46B7-4535-9583-B66A4C8F9277}" presName="ellipse1" presStyleLbl="vennNode1" presStyleIdx="0" presStyleCnt="3" custScaleX="98175" custScaleY="98176" custLinFactNeighborX="-37674" custLinFactNeighborY="1983">
        <dgm:presLayoutVars>
          <dgm:bulletEnabled val="1"/>
        </dgm:presLayoutVars>
      </dgm:prSet>
      <dgm:spPr/>
    </dgm:pt>
    <dgm:pt modelId="{2A6D06CA-328B-4C78-9916-2653EB43C7B9}" type="pres">
      <dgm:prSet presAssocID="{D17DB6C8-46B7-4535-9583-B66A4C8F9277}" presName="ellipse2" presStyleLbl="vennNode1" presStyleIdx="1" presStyleCnt="3" custScaleX="98175" custScaleY="98176">
        <dgm:presLayoutVars>
          <dgm:bulletEnabled val="1"/>
        </dgm:presLayoutVars>
      </dgm:prSet>
      <dgm:spPr/>
    </dgm:pt>
    <dgm:pt modelId="{B78FB7A0-BEC5-406B-972B-A55D566282BE}" type="pres">
      <dgm:prSet presAssocID="{D17DB6C8-46B7-4535-9583-B66A4C8F9277}" presName="ellipse3" presStyleLbl="vennNode1" presStyleIdx="2" presStyleCnt="3" custScaleX="98175" custScaleY="98176" custLinFactNeighborX="36683" custLinFactNeighborY="991">
        <dgm:presLayoutVars>
          <dgm:bulletEnabled val="1"/>
        </dgm:presLayoutVars>
      </dgm:prSet>
      <dgm:spPr/>
    </dgm:pt>
  </dgm:ptLst>
  <dgm:cxnLst>
    <dgm:cxn modelId="{BE5C4F11-419C-4EAF-AA08-B27CB2FF28C6}" srcId="{D17DB6C8-46B7-4535-9583-B66A4C8F9277}" destId="{C913AF34-B040-4D90-B98D-CBDBE12A8352}" srcOrd="1" destOrd="0" parTransId="{AA05049E-98E5-4059-8832-10C8EF675D63}" sibTransId="{0E67FB24-0710-4134-8C76-58A3C0E1689C}"/>
    <dgm:cxn modelId="{027F041F-8665-4DE8-B284-88753B1F4989}" type="presOf" srcId="{9CEBE110-42B4-468A-ADE1-98D03EBDD8DA}" destId="{B78FB7A0-BEC5-406B-972B-A55D566282BE}" srcOrd="0" destOrd="0" presId="urn:microsoft.com/office/officeart/2005/8/layout/rings+Icon"/>
    <dgm:cxn modelId="{6B24D48C-D865-4AF9-8405-8353A4AF60EB}" type="presOf" srcId="{C913AF34-B040-4D90-B98D-CBDBE12A8352}" destId="{2A6D06CA-328B-4C78-9916-2653EB43C7B9}" srcOrd="0" destOrd="0" presId="urn:microsoft.com/office/officeart/2005/8/layout/rings+Icon"/>
    <dgm:cxn modelId="{D6918BBC-7F8A-4A2F-A556-A779D987E087}" srcId="{D17DB6C8-46B7-4535-9583-B66A4C8F9277}" destId="{49E2EB8A-7868-42A6-8AFB-5191564301C6}" srcOrd="0" destOrd="0" parTransId="{1C5D0EE5-AA6C-4AA9-B1B7-506DADF1EF53}" sibTransId="{D443A43A-D7F4-4426-8C99-392774A38411}"/>
    <dgm:cxn modelId="{FA9949C7-6F23-461A-8012-AE49F10247B7}" srcId="{D17DB6C8-46B7-4535-9583-B66A4C8F9277}" destId="{9CEBE110-42B4-468A-ADE1-98D03EBDD8DA}" srcOrd="2" destOrd="0" parTransId="{93FD7C84-CCFF-4D6F-B4D1-836464610157}" sibTransId="{1020AA44-4FA6-4ABD-96F2-97E5F57A8D90}"/>
    <dgm:cxn modelId="{7DC3FDE6-A7D8-468D-874E-BD9A7AC6D53E}" type="presOf" srcId="{49E2EB8A-7868-42A6-8AFB-5191564301C6}" destId="{27DA488B-C463-43DC-9AE2-5BA147AB79E2}" srcOrd="0" destOrd="0" presId="urn:microsoft.com/office/officeart/2005/8/layout/rings+Icon"/>
    <dgm:cxn modelId="{927DDEFF-8857-4460-B2CD-34003A46D684}" type="presOf" srcId="{D17DB6C8-46B7-4535-9583-B66A4C8F9277}" destId="{9B5D1D31-02EC-442A-876D-F4C85E4CC176}" srcOrd="0" destOrd="0" presId="urn:microsoft.com/office/officeart/2005/8/layout/rings+Icon"/>
    <dgm:cxn modelId="{8EF1992B-40FE-4CF0-8C56-D704F08A450D}" type="presParOf" srcId="{9B5D1D31-02EC-442A-876D-F4C85E4CC176}" destId="{27DA488B-C463-43DC-9AE2-5BA147AB79E2}" srcOrd="0" destOrd="0" presId="urn:microsoft.com/office/officeart/2005/8/layout/rings+Icon"/>
    <dgm:cxn modelId="{46520365-5A4F-4C88-B87C-633E64D8271E}" type="presParOf" srcId="{9B5D1D31-02EC-442A-876D-F4C85E4CC176}" destId="{2A6D06CA-328B-4C78-9916-2653EB43C7B9}" srcOrd="1" destOrd="0" presId="urn:microsoft.com/office/officeart/2005/8/layout/rings+Icon"/>
    <dgm:cxn modelId="{ABA1F47D-FB25-449F-8567-A995FDECDBE2}" type="presParOf" srcId="{9B5D1D31-02EC-442A-876D-F4C85E4CC176}" destId="{B78FB7A0-BEC5-406B-972B-A55D566282BE}" srcOrd="2" destOrd="0" presId="urn:microsoft.com/office/officeart/2005/8/layout/rings+Icon"/>
  </dgm:cxnLst>
  <dgm:bg/>
  <dgm:whole>
    <a:ln>
      <a:solidFill>
        <a:schemeClr val="accent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7DB6C8-46B7-4535-9583-B66A4C8F9277}" type="doc">
      <dgm:prSet loTypeId="urn:microsoft.com/office/officeart/2005/8/layout/rings+Icon" loCatId="officeonline" qsTypeId="urn:microsoft.com/office/officeart/2005/8/quickstyle/simple1" qsCatId="simple" csTypeId="urn:microsoft.com/office/officeart/2005/8/colors/accent6_2" csCatId="accent6" phldr="1"/>
      <dgm:spPr/>
    </dgm:pt>
    <dgm:pt modelId="{49E2EB8A-7868-42A6-8AFB-5191564301C6}">
      <dgm:prSet phldrT="[Text]"/>
      <dgm:spPr>
        <a:ln>
          <a:solidFill>
            <a:srgbClr val="FFFFFF"/>
          </a:solidFill>
        </a:ln>
      </dgm:spPr>
      <dgm:t>
        <a:bodyPr/>
        <a:lstStyle/>
        <a:p>
          <a:r>
            <a:rPr lang="en-AU">
              <a:latin typeface="Inter" panose="02000503000000020004" pitchFamily="2" charset="0"/>
              <a:ea typeface="Inter" panose="02000503000000020004" pitchFamily="2" charset="0"/>
            </a:rPr>
            <a:t>State A</a:t>
          </a:r>
        </a:p>
      </dgm:t>
    </dgm:pt>
    <dgm:pt modelId="{1C5D0EE5-AA6C-4AA9-B1B7-506DADF1EF53}" type="parTrans" cxnId="{D6918BBC-7F8A-4A2F-A556-A779D987E087}">
      <dgm:prSet/>
      <dgm:spPr/>
      <dgm:t>
        <a:bodyPr/>
        <a:lstStyle/>
        <a:p>
          <a:endParaRPr lang="en-AU"/>
        </a:p>
      </dgm:t>
    </dgm:pt>
    <dgm:pt modelId="{D443A43A-D7F4-4426-8C99-392774A38411}" type="sibTrans" cxnId="{D6918BBC-7F8A-4A2F-A556-A779D987E087}">
      <dgm:prSet/>
      <dgm:spPr/>
      <dgm:t>
        <a:bodyPr/>
        <a:lstStyle/>
        <a:p>
          <a:endParaRPr lang="en-AU"/>
        </a:p>
      </dgm:t>
    </dgm:pt>
    <dgm:pt modelId="{C913AF34-B040-4D90-B98D-CBDBE12A8352}">
      <dgm:prSet phldrT="[Text]"/>
      <dgm:spPr>
        <a:ln>
          <a:solidFill>
            <a:srgbClr val="FFFFFF"/>
          </a:solidFill>
        </a:ln>
      </dgm:spPr>
      <dgm:t>
        <a:bodyPr/>
        <a:lstStyle/>
        <a:p>
          <a:r>
            <a:rPr lang="en-AU">
              <a:latin typeface="Inter" panose="02000503000000020004" pitchFamily="2" charset="0"/>
              <a:ea typeface="Inter" panose="02000503000000020004" pitchFamily="2" charset="0"/>
            </a:rPr>
            <a:t>Territory</a:t>
          </a:r>
        </a:p>
      </dgm:t>
    </dgm:pt>
    <dgm:pt modelId="{AA05049E-98E5-4059-8832-10C8EF675D63}" type="parTrans" cxnId="{BE5C4F11-419C-4EAF-AA08-B27CB2FF28C6}">
      <dgm:prSet/>
      <dgm:spPr/>
      <dgm:t>
        <a:bodyPr/>
        <a:lstStyle/>
        <a:p>
          <a:endParaRPr lang="en-AU"/>
        </a:p>
      </dgm:t>
    </dgm:pt>
    <dgm:pt modelId="{0E67FB24-0710-4134-8C76-58A3C0E1689C}" type="sibTrans" cxnId="{BE5C4F11-419C-4EAF-AA08-B27CB2FF28C6}">
      <dgm:prSet/>
      <dgm:spPr/>
      <dgm:t>
        <a:bodyPr/>
        <a:lstStyle/>
        <a:p>
          <a:endParaRPr lang="en-AU"/>
        </a:p>
      </dgm:t>
    </dgm:pt>
    <dgm:pt modelId="{9CEBE110-42B4-468A-ADE1-98D03EBDD8DA}">
      <dgm:prSet phldrT="[Text]"/>
      <dgm:spPr>
        <a:ln>
          <a:solidFill>
            <a:srgbClr val="FFFFFF"/>
          </a:solidFill>
        </a:ln>
      </dgm:spPr>
      <dgm:t>
        <a:bodyPr/>
        <a:lstStyle/>
        <a:p>
          <a:r>
            <a:rPr lang="en-AU">
              <a:latin typeface="Inter" panose="02000503000000020004" pitchFamily="2" charset="0"/>
              <a:ea typeface="Inter" panose="02000503000000020004" pitchFamily="2" charset="0"/>
            </a:rPr>
            <a:t>State B</a:t>
          </a:r>
          <a:endParaRPr lang="en-AU" b="0">
            <a:ln/>
            <a:latin typeface="Inter" panose="02000503000000020004" pitchFamily="2" charset="0"/>
            <a:ea typeface="Inter" panose="02000503000000020004" pitchFamily="2" charset="0"/>
          </a:endParaRPr>
        </a:p>
      </dgm:t>
    </dgm:pt>
    <dgm:pt modelId="{93FD7C84-CCFF-4D6F-B4D1-836464610157}" type="parTrans" cxnId="{FA9949C7-6F23-461A-8012-AE49F10247B7}">
      <dgm:prSet/>
      <dgm:spPr/>
      <dgm:t>
        <a:bodyPr/>
        <a:lstStyle/>
        <a:p>
          <a:endParaRPr lang="en-AU"/>
        </a:p>
      </dgm:t>
    </dgm:pt>
    <dgm:pt modelId="{1020AA44-4FA6-4ABD-96F2-97E5F57A8D90}" type="sibTrans" cxnId="{FA9949C7-6F23-461A-8012-AE49F10247B7}">
      <dgm:prSet/>
      <dgm:spPr/>
      <dgm:t>
        <a:bodyPr/>
        <a:lstStyle/>
        <a:p>
          <a:endParaRPr lang="en-AU"/>
        </a:p>
      </dgm:t>
    </dgm:pt>
    <dgm:pt modelId="{9B5D1D31-02EC-442A-876D-F4C85E4CC176}" type="pres">
      <dgm:prSet presAssocID="{D17DB6C8-46B7-4535-9583-B66A4C8F9277}" presName="Name0" presStyleCnt="0">
        <dgm:presLayoutVars>
          <dgm:chMax val="7"/>
          <dgm:dir/>
          <dgm:resizeHandles val="exact"/>
        </dgm:presLayoutVars>
      </dgm:prSet>
      <dgm:spPr/>
    </dgm:pt>
    <dgm:pt modelId="{27DA488B-C463-43DC-9AE2-5BA147AB79E2}" type="pres">
      <dgm:prSet presAssocID="{D17DB6C8-46B7-4535-9583-B66A4C8F9277}" presName="ellipse1" presStyleLbl="vennNode1" presStyleIdx="0" presStyleCnt="3" custScaleX="98125" custScaleY="98127">
        <dgm:presLayoutVars>
          <dgm:bulletEnabled val="1"/>
        </dgm:presLayoutVars>
      </dgm:prSet>
      <dgm:spPr/>
    </dgm:pt>
    <dgm:pt modelId="{2A6D06CA-328B-4C78-9916-2653EB43C7B9}" type="pres">
      <dgm:prSet presAssocID="{D17DB6C8-46B7-4535-9583-B66A4C8F9277}" presName="ellipse2" presStyleLbl="vennNode1" presStyleIdx="1" presStyleCnt="3" custScaleX="98125" custScaleY="98127">
        <dgm:presLayoutVars>
          <dgm:bulletEnabled val="1"/>
        </dgm:presLayoutVars>
      </dgm:prSet>
      <dgm:spPr/>
    </dgm:pt>
    <dgm:pt modelId="{B78FB7A0-BEC5-406B-972B-A55D566282BE}" type="pres">
      <dgm:prSet presAssocID="{D17DB6C8-46B7-4535-9583-B66A4C8F9277}" presName="ellipse3" presStyleLbl="vennNode1" presStyleIdx="2" presStyleCnt="3" custScaleX="98125" custScaleY="98127" custLinFactNeighborX="-14866" custLinFactNeighborY="991">
        <dgm:presLayoutVars>
          <dgm:bulletEnabled val="1"/>
        </dgm:presLayoutVars>
      </dgm:prSet>
      <dgm:spPr/>
    </dgm:pt>
  </dgm:ptLst>
  <dgm:cxnLst>
    <dgm:cxn modelId="{BE5C4F11-419C-4EAF-AA08-B27CB2FF28C6}" srcId="{D17DB6C8-46B7-4535-9583-B66A4C8F9277}" destId="{C913AF34-B040-4D90-B98D-CBDBE12A8352}" srcOrd="1" destOrd="0" parTransId="{AA05049E-98E5-4059-8832-10C8EF675D63}" sibTransId="{0E67FB24-0710-4134-8C76-58A3C0E1689C}"/>
    <dgm:cxn modelId="{027F041F-8665-4DE8-B284-88753B1F4989}" type="presOf" srcId="{9CEBE110-42B4-468A-ADE1-98D03EBDD8DA}" destId="{B78FB7A0-BEC5-406B-972B-A55D566282BE}" srcOrd="0" destOrd="0" presId="urn:microsoft.com/office/officeart/2005/8/layout/rings+Icon"/>
    <dgm:cxn modelId="{6B24D48C-D865-4AF9-8405-8353A4AF60EB}" type="presOf" srcId="{C913AF34-B040-4D90-B98D-CBDBE12A8352}" destId="{2A6D06CA-328B-4C78-9916-2653EB43C7B9}" srcOrd="0" destOrd="0" presId="urn:microsoft.com/office/officeart/2005/8/layout/rings+Icon"/>
    <dgm:cxn modelId="{D6918BBC-7F8A-4A2F-A556-A779D987E087}" srcId="{D17DB6C8-46B7-4535-9583-B66A4C8F9277}" destId="{49E2EB8A-7868-42A6-8AFB-5191564301C6}" srcOrd="0" destOrd="0" parTransId="{1C5D0EE5-AA6C-4AA9-B1B7-506DADF1EF53}" sibTransId="{D443A43A-D7F4-4426-8C99-392774A38411}"/>
    <dgm:cxn modelId="{FA9949C7-6F23-461A-8012-AE49F10247B7}" srcId="{D17DB6C8-46B7-4535-9583-B66A4C8F9277}" destId="{9CEBE110-42B4-468A-ADE1-98D03EBDD8DA}" srcOrd="2" destOrd="0" parTransId="{93FD7C84-CCFF-4D6F-B4D1-836464610157}" sibTransId="{1020AA44-4FA6-4ABD-96F2-97E5F57A8D90}"/>
    <dgm:cxn modelId="{7DC3FDE6-A7D8-468D-874E-BD9A7AC6D53E}" type="presOf" srcId="{49E2EB8A-7868-42A6-8AFB-5191564301C6}" destId="{27DA488B-C463-43DC-9AE2-5BA147AB79E2}" srcOrd="0" destOrd="0" presId="urn:microsoft.com/office/officeart/2005/8/layout/rings+Icon"/>
    <dgm:cxn modelId="{927DDEFF-8857-4460-B2CD-34003A46D684}" type="presOf" srcId="{D17DB6C8-46B7-4535-9583-B66A4C8F9277}" destId="{9B5D1D31-02EC-442A-876D-F4C85E4CC176}" srcOrd="0" destOrd="0" presId="urn:microsoft.com/office/officeart/2005/8/layout/rings+Icon"/>
    <dgm:cxn modelId="{8EF1992B-40FE-4CF0-8C56-D704F08A450D}" type="presParOf" srcId="{9B5D1D31-02EC-442A-876D-F4C85E4CC176}" destId="{27DA488B-C463-43DC-9AE2-5BA147AB79E2}" srcOrd="0" destOrd="0" presId="urn:microsoft.com/office/officeart/2005/8/layout/rings+Icon"/>
    <dgm:cxn modelId="{46520365-5A4F-4C88-B87C-633E64D8271E}" type="presParOf" srcId="{9B5D1D31-02EC-442A-876D-F4C85E4CC176}" destId="{2A6D06CA-328B-4C78-9916-2653EB43C7B9}" srcOrd="1" destOrd="0" presId="urn:microsoft.com/office/officeart/2005/8/layout/rings+Icon"/>
    <dgm:cxn modelId="{ABA1F47D-FB25-449F-8567-A995FDECDBE2}" type="presParOf" srcId="{9B5D1D31-02EC-442A-876D-F4C85E4CC176}" destId="{B78FB7A0-BEC5-406B-972B-A55D566282BE}" srcOrd="2" destOrd="0" presId="urn:microsoft.com/office/officeart/2005/8/layout/rings+Icon"/>
  </dgm:cxnLst>
  <dgm:bg/>
  <dgm:whole>
    <a:ln>
      <a:solidFill>
        <a:schemeClr val="accent1"/>
      </a:solidFill>
    </a:ln>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17DB6C8-46B7-4535-9583-B66A4C8F9277}"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C913AF34-B040-4D90-B98D-CBDBE12A8352}">
      <dgm:prSet phldrT="[Text]"/>
      <dgm:spPr>
        <a:ln>
          <a:solidFill>
            <a:srgbClr val="FFFFFF"/>
          </a:solidFill>
        </a:ln>
      </dgm:spPr>
      <dgm:t>
        <a:bodyPr/>
        <a:lstStyle/>
        <a:p>
          <a:r>
            <a:rPr lang="en-AU">
              <a:solidFill>
                <a:sysClr val="windowText" lastClr="000000"/>
              </a:solidFill>
              <a:latin typeface="Inter" panose="02000503000000020004" pitchFamily="2" charset="0"/>
              <a:ea typeface="Inter" panose="02000503000000020004" pitchFamily="2" charset="0"/>
            </a:rPr>
            <a:t>National</a:t>
          </a:r>
        </a:p>
      </dgm:t>
    </dgm:pt>
    <dgm:pt modelId="{AA05049E-98E5-4059-8832-10C8EF675D63}" type="parTrans" cxnId="{BE5C4F11-419C-4EAF-AA08-B27CB2FF28C6}">
      <dgm:prSet/>
      <dgm:spPr/>
      <dgm:t>
        <a:bodyPr/>
        <a:lstStyle/>
        <a:p>
          <a:endParaRPr lang="en-AU"/>
        </a:p>
      </dgm:t>
    </dgm:pt>
    <dgm:pt modelId="{0E67FB24-0710-4134-8C76-58A3C0E1689C}" type="sibTrans" cxnId="{BE5C4F11-419C-4EAF-AA08-B27CB2FF28C6}">
      <dgm:prSet/>
      <dgm:spPr/>
      <dgm:t>
        <a:bodyPr/>
        <a:lstStyle/>
        <a:p>
          <a:endParaRPr lang="en-AU"/>
        </a:p>
      </dgm:t>
    </dgm:pt>
    <dgm:pt modelId="{9B5D1D31-02EC-442A-876D-F4C85E4CC176}" type="pres">
      <dgm:prSet presAssocID="{D17DB6C8-46B7-4535-9583-B66A4C8F9277}" presName="Name0" presStyleCnt="0">
        <dgm:presLayoutVars>
          <dgm:chMax val="7"/>
          <dgm:dir/>
          <dgm:resizeHandles val="exact"/>
        </dgm:presLayoutVars>
      </dgm:prSet>
      <dgm:spPr/>
    </dgm:pt>
    <dgm:pt modelId="{27DA488B-C463-43DC-9AE2-5BA147AB79E2}" type="pres">
      <dgm:prSet presAssocID="{D17DB6C8-46B7-4535-9583-B66A4C8F9277}" presName="ellipse1" presStyleLbl="vennNode1" presStyleIdx="0" presStyleCnt="1" custScaleX="98010" custScaleY="98010">
        <dgm:presLayoutVars>
          <dgm:bulletEnabled val="1"/>
        </dgm:presLayoutVars>
      </dgm:prSet>
      <dgm:spPr/>
    </dgm:pt>
  </dgm:ptLst>
  <dgm:cxnLst>
    <dgm:cxn modelId="{BE5C4F11-419C-4EAF-AA08-B27CB2FF28C6}" srcId="{D17DB6C8-46B7-4535-9583-B66A4C8F9277}" destId="{C913AF34-B040-4D90-B98D-CBDBE12A8352}" srcOrd="0" destOrd="0" parTransId="{AA05049E-98E5-4059-8832-10C8EF675D63}" sibTransId="{0E67FB24-0710-4134-8C76-58A3C0E1689C}"/>
    <dgm:cxn modelId="{4CFDACAC-6340-402A-9917-09BCC8AE9041}" type="presOf" srcId="{C913AF34-B040-4D90-B98D-CBDBE12A8352}" destId="{27DA488B-C463-43DC-9AE2-5BA147AB79E2}" srcOrd="0" destOrd="0" presId="urn:microsoft.com/office/officeart/2005/8/layout/rings+Icon"/>
    <dgm:cxn modelId="{927DDEFF-8857-4460-B2CD-34003A46D684}" type="presOf" srcId="{D17DB6C8-46B7-4535-9583-B66A4C8F9277}" destId="{9B5D1D31-02EC-442A-876D-F4C85E4CC176}" srcOrd="0" destOrd="0" presId="urn:microsoft.com/office/officeart/2005/8/layout/rings+Icon"/>
    <dgm:cxn modelId="{8EF1992B-40FE-4CF0-8C56-D704F08A450D}" type="presParOf" srcId="{9B5D1D31-02EC-442A-876D-F4C85E4CC176}" destId="{27DA488B-C463-43DC-9AE2-5BA147AB79E2}" srcOrd="0" destOrd="0" presId="urn:microsoft.com/office/officeart/2005/8/layout/rings+Icon"/>
  </dgm:cxnLst>
  <dgm:bg/>
  <dgm:whole>
    <a:ln>
      <a:solidFill>
        <a:schemeClr val="accent1"/>
      </a:solidFill>
    </a:ln>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17DB6C8-46B7-4535-9583-B66A4C8F9277}" type="doc">
      <dgm:prSet loTypeId="urn:microsoft.com/office/officeart/2005/8/layout/rings+Icon" loCatId="officeonline" qsTypeId="urn:microsoft.com/office/officeart/2005/8/quickstyle/simple1" qsCatId="simple" csTypeId="urn:microsoft.com/office/officeart/2005/8/colors/accent6_2" csCatId="accent6" phldr="1"/>
      <dgm:spPr/>
    </dgm:pt>
    <dgm:pt modelId="{49E2EB8A-7868-42A6-8AFB-5191564301C6}">
      <dgm:prSet phldrT="[Text]"/>
      <dgm:spPr>
        <a:ln>
          <a:solidFill>
            <a:srgbClr val="FFFFFF"/>
          </a:solidFill>
        </a:ln>
      </dgm:spPr>
      <dgm:t>
        <a:bodyPr/>
        <a:lstStyle/>
        <a:p>
          <a:r>
            <a:rPr lang="en-AU">
              <a:ln/>
              <a:latin typeface="Inter" panose="02000503000000020004" pitchFamily="2" charset="0"/>
              <a:ea typeface="Inter" panose="02000503000000020004" pitchFamily="2" charset="0"/>
            </a:rPr>
            <a:t>State A</a:t>
          </a:r>
        </a:p>
      </dgm:t>
    </dgm:pt>
    <dgm:pt modelId="{1C5D0EE5-AA6C-4AA9-B1B7-506DADF1EF53}" type="parTrans" cxnId="{D6918BBC-7F8A-4A2F-A556-A779D987E087}">
      <dgm:prSet/>
      <dgm:spPr/>
      <dgm:t>
        <a:bodyPr/>
        <a:lstStyle/>
        <a:p>
          <a:endParaRPr lang="en-AU">
            <a:ln>
              <a:noFill/>
            </a:ln>
          </a:endParaRPr>
        </a:p>
      </dgm:t>
    </dgm:pt>
    <dgm:pt modelId="{D443A43A-D7F4-4426-8C99-392774A38411}" type="sibTrans" cxnId="{D6918BBC-7F8A-4A2F-A556-A779D987E087}">
      <dgm:prSet/>
      <dgm:spPr/>
      <dgm:t>
        <a:bodyPr/>
        <a:lstStyle/>
        <a:p>
          <a:endParaRPr lang="en-AU">
            <a:ln>
              <a:noFill/>
            </a:ln>
          </a:endParaRPr>
        </a:p>
      </dgm:t>
    </dgm:pt>
    <dgm:pt modelId="{C913AF34-B040-4D90-B98D-CBDBE12A8352}">
      <dgm:prSet phldrT="[Text]"/>
      <dgm:spPr>
        <a:ln>
          <a:solidFill>
            <a:srgbClr val="FFFFFF"/>
          </a:solidFill>
        </a:ln>
      </dgm:spPr>
      <dgm:t>
        <a:bodyPr/>
        <a:lstStyle/>
        <a:p>
          <a:r>
            <a:rPr lang="en-AU">
              <a:ln/>
              <a:latin typeface="Inter" panose="02000503000000020004" pitchFamily="2" charset="0"/>
              <a:ea typeface="Inter" panose="02000503000000020004" pitchFamily="2" charset="0"/>
            </a:rPr>
            <a:t>Territory</a:t>
          </a:r>
        </a:p>
      </dgm:t>
    </dgm:pt>
    <dgm:pt modelId="{AA05049E-98E5-4059-8832-10C8EF675D63}" type="parTrans" cxnId="{BE5C4F11-419C-4EAF-AA08-B27CB2FF28C6}">
      <dgm:prSet/>
      <dgm:spPr/>
      <dgm:t>
        <a:bodyPr/>
        <a:lstStyle/>
        <a:p>
          <a:endParaRPr lang="en-AU">
            <a:ln>
              <a:noFill/>
            </a:ln>
          </a:endParaRPr>
        </a:p>
      </dgm:t>
    </dgm:pt>
    <dgm:pt modelId="{0E67FB24-0710-4134-8C76-58A3C0E1689C}" type="sibTrans" cxnId="{BE5C4F11-419C-4EAF-AA08-B27CB2FF28C6}">
      <dgm:prSet/>
      <dgm:spPr/>
      <dgm:t>
        <a:bodyPr/>
        <a:lstStyle/>
        <a:p>
          <a:endParaRPr lang="en-AU">
            <a:ln>
              <a:noFill/>
            </a:ln>
          </a:endParaRPr>
        </a:p>
      </dgm:t>
    </dgm:pt>
    <dgm:pt modelId="{9CEBE110-42B4-468A-ADE1-98D03EBDD8DA}">
      <dgm:prSet phldrT="[Text]"/>
      <dgm:spPr>
        <a:ln>
          <a:solidFill>
            <a:srgbClr val="FFFFFF"/>
          </a:solidFill>
        </a:ln>
      </dgm:spPr>
      <dgm:t>
        <a:bodyPr/>
        <a:lstStyle/>
        <a:p>
          <a:r>
            <a:rPr lang="en-AU">
              <a:ln/>
              <a:latin typeface="Inter" panose="02000503000000020004" pitchFamily="2" charset="0"/>
              <a:ea typeface="Inter" panose="02000503000000020004" pitchFamily="2" charset="0"/>
            </a:rPr>
            <a:t>State B</a:t>
          </a:r>
        </a:p>
      </dgm:t>
    </dgm:pt>
    <dgm:pt modelId="{93FD7C84-CCFF-4D6F-B4D1-836464610157}" type="parTrans" cxnId="{FA9949C7-6F23-461A-8012-AE49F10247B7}">
      <dgm:prSet/>
      <dgm:spPr/>
      <dgm:t>
        <a:bodyPr/>
        <a:lstStyle/>
        <a:p>
          <a:endParaRPr lang="en-AU">
            <a:ln>
              <a:noFill/>
            </a:ln>
          </a:endParaRPr>
        </a:p>
      </dgm:t>
    </dgm:pt>
    <dgm:pt modelId="{1020AA44-4FA6-4ABD-96F2-97E5F57A8D90}" type="sibTrans" cxnId="{FA9949C7-6F23-461A-8012-AE49F10247B7}">
      <dgm:prSet/>
      <dgm:spPr/>
      <dgm:t>
        <a:bodyPr/>
        <a:lstStyle/>
        <a:p>
          <a:endParaRPr lang="en-AU">
            <a:ln>
              <a:noFill/>
            </a:ln>
          </a:endParaRPr>
        </a:p>
      </dgm:t>
    </dgm:pt>
    <dgm:pt modelId="{9B5D1D31-02EC-442A-876D-F4C85E4CC176}" type="pres">
      <dgm:prSet presAssocID="{D17DB6C8-46B7-4535-9583-B66A4C8F9277}" presName="Name0" presStyleCnt="0">
        <dgm:presLayoutVars>
          <dgm:chMax val="7"/>
          <dgm:dir/>
          <dgm:resizeHandles val="exact"/>
        </dgm:presLayoutVars>
      </dgm:prSet>
      <dgm:spPr/>
    </dgm:pt>
    <dgm:pt modelId="{27DA488B-C463-43DC-9AE2-5BA147AB79E2}" type="pres">
      <dgm:prSet presAssocID="{D17DB6C8-46B7-4535-9583-B66A4C8F9277}" presName="ellipse1" presStyleLbl="vennNode1" presStyleIdx="0" presStyleCnt="3" custScaleX="98175" custScaleY="98176" custLinFactNeighborX="-37674" custLinFactNeighborY="1983">
        <dgm:presLayoutVars>
          <dgm:bulletEnabled val="1"/>
        </dgm:presLayoutVars>
      </dgm:prSet>
      <dgm:spPr/>
    </dgm:pt>
    <dgm:pt modelId="{2A6D06CA-328B-4C78-9916-2653EB43C7B9}" type="pres">
      <dgm:prSet presAssocID="{D17DB6C8-46B7-4535-9583-B66A4C8F9277}" presName="ellipse2" presStyleLbl="vennNode1" presStyleIdx="1" presStyleCnt="3" custScaleX="98175" custScaleY="98176">
        <dgm:presLayoutVars>
          <dgm:bulletEnabled val="1"/>
        </dgm:presLayoutVars>
      </dgm:prSet>
      <dgm:spPr/>
    </dgm:pt>
    <dgm:pt modelId="{B78FB7A0-BEC5-406B-972B-A55D566282BE}" type="pres">
      <dgm:prSet presAssocID="{D17DB6C8-46B7-4535-9583-B66A4C8F9277}" presName="ellipse3" presStyleLbl="vennNode1" presStyleIdx="2" presStyleCnt="3" custScaleX="98175" custScaleY="98176" custLinFactNeighborX="36683" custLinFactNeighborY="991">
        <dgm:presLayoutVars>
          <dgm:bulletEnabled val="1"/>
        </dgm:presLayoutVars>
      </dgm:prSet>
      <dgm:spPr/>
    </dgm:pt>
  </dgm:ptLst>
  <dgm:cxnLst>
    <dgm:cxn modelId="{BE5C4F11-419C-4EAF-AA08-B27CB2FF28C6}" srcId="{D17DB6C8-46B7-4535-9583-B66A4C8F9277}" destId="{C913AF34-B040-4D90-B98D-CBDBE12A8352}" srcOrd="1" destOrd="0" parTransId="{AA05049E-98E5-4059-8832-10C8EF675D63}" sibTransId="{0E67FB24-0710-4134-8C76-58A3C0E1689C}"/>
    <dgm:cxn modelId="{027F041F-8665-4DE8-B284-88753B1F4989}" type="presOf" srcId="{9CEBE110-42B4-468A-ADE1-98D03EBDD8DA}" destId="{B78FB7A0-BEC5-406B-972B-A55D566282BE}" srcOrd="0" destOrd="0" presId="urn:microsoft.com/office/officeart/2005/8/layout/rings+Icon"/>
    <dgm:cxn modelId="{6B24D48C-D865-4AF9-8405-8353A4AF60EB}" type="presOf" srcId="{C913AF34-B040-4D90-B98D-CBDBE12A8352}" destId="{2A6D06CA-328B-4C78-9916-2653EB43C7B9}" srcOrd="0" destOrd="0" presId="urn:microsoft.com/office/officeart/2005/8/layout/rings+Icon"/>
    <dgm:cxn modelId="{D6918BBC-7F8A-4A2F-A556-A779D987E087}" srcId="{D17DB6C8-46B7-4535-9583-B66A4C8F9277}" destId="{49E2EB8A-7868-42A6-8AFB-5191564301C6}" srcOrd="0" destOrd="0" parTransId="{1C5D0EE5-AA6C-4AA9-B1B7-506DADF1EF53}" sibTransId="{D443A43A-D7F4-4426-8C99-392774A38411}"/>
    <dgm:cxn modelId="{FA9949C7-6F23-461A-8012-AE49F10247B7}" srcId="{D17DB6C8-46B7-4535-9583-B66A4C8F9277}" destId="{9CEBE110-42B4-468A-ADE1-98D03EBDD8DA}" srcOrd="2" destOrd="0" parTransId="{93FD7C84-CCFF-4D6F-B4D1-836464610157}" sibTransId="{1020AA44-4FA6-4ABD-96F2-97E5F57A8D90}"/>
    <dgm:cxn modelId="{7DC3FDE6-A7D8-468D-874E-BD9A7AC6D53E}" type="presOf" srcId="{49E2EB8A-7868-42A6-8AFB-5191564301C6}" destId="{27DA488B-C463-43DC-9AE2-5BA147AB79E2}" srcOrd="0" destOrd="0" presId="urn:microsoft.com/office/officeart/2005/8/layout/rings+Icon"/>
    <dgm:cxn modelId="{927DDEFF-8857-4460-B2CD-34003A46D684}" type="presOf" srcId="{D17DB6C8-46B7-4535-9583-B66A4C8F9277}" destId="{9B5D1D31-02EC-442A-876D-F4C85E4CC176}" srcOrd="0" destOrd="0" presId="urn:microsoft.com/office/officeart/2005/8/layout/rings+Icon"/>
    <dgm:cxn modelId="{8EF1992B-40FE-4CF0-8C56-D704F08A450D}" type="presParOf" srcId="{9B5D1D31-02EC-442A-876D-F4C85E4CC176}" destId="{27DA488B-C463-43DC-9AE2-5BA147AB79E2}" srcOrd="0" destOrd="0" presId="urn:microsoft.com/office/officeart/2005/8/layout/rings+Icon"/>
    <dgm:cxn modelId="{46520365-5A4F-4C88-B87C-633E64D8271E}" type="presParOf" srcId="{9B5D1D31-02EC-442A-876D-F4C85E4CC176}" destId="{2A6D06CA-328B-4C78-9916-2653EB43C7B9}" srcOrd="1" destOrd="0" presId="urn:microsoft.com/office/officeart/2005/8/layout/rings+Icon"/>
    <dgm:cxn modelId="{ABA1F47D-FB25-449F-8567-A995FDECDBE2}" type="presParOf" srcId="{9B5D1D31-02EC-442A-876D-F4C85E4CC176}" destId="{B78FB7A0-BEC5-406B-972B-A55D566282BE}" srcOrd="2" destOrd="0" presId="urn:microsoft.com/office/officeart/2005/8/layout/rings+Icon"/>
  </dgm:cxnLst>
  <dgm:bg/>
  <dgm:whole>
    <a:ln>
      <a:solidFill>
        <a:schemeClr val="accent1"/>
      </a:solidFill>
    </a:ln>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17DB6C8-46B7-4535-9583-B66A4C8F9277}" type="doc">
      <dgm:prSet loTypeId="urn:microsoft.com/office/officeart/2005/8/layout/rings+Icon" loCatId="officeonline" qsTypeId="urn:microsoft.com/office/officeart/2005/8/quickstyle/simple1" qsCatId="simple" csTypeId="urn:microsoft.com/office/officeart/2005/8/colors/accent6_2" csCatId="accent6" phldr="1"/>
      <dgm:spPr/>
    </dgm:pt>
    <dgm:pt modelId="{49E2EB8A-7868-42A6-8AFB-5191564301C6}">
      <dgm:prSet phldrT="[Text]"/>
      <dgm:spPr>
        <a:ln>
          <a:solidFill>
            <a:srgbClr val="FFFFFF"/>
          </a:solidFill>
        </a:ln>
      </dgm:spPr>
      <dgm:t>
        <a:bodyPr/>
        <a:lstStyle/>
        <a:p>
          <a:r>
            <a:rPr lang="en-AU">
              <a:latin typeface="Inter" panose="02000503000000020004" pitchFamily="2" charset="0"/>
              <a:ea typeface="Inter" panose="02000503000000020004" pitchFamily="2" charset="0"/>
            </a:rPr>
            <a:t>State A</a:t>
          </a:r>
        </a:p>
      </dgm:t>
    </dgm:pt>
    <dgm:pt modelId="{1C5D0EE5-AA6C-4AA9-B1B7-506DADF1EF53}" type="parTrans" cxnId="{D6918BBC-7F8A-4A2F-A556-A779D987E087}">
      <dgm:prSet/>
      <dgm:spPr/>
      <dgm:t>
        <a:bodyPr/>
        <a:lstStyle/>
        <a:p>
          <a:endParaRPr lang="en-AU"/>
        </a:p>
      </dgm:t>
    </dgm:pt>
    <dgm:pt modelId="{D443A43A-D7F4-4426-8C99-392774A38411}" type="sibTrans" cxnId="{D6918BBC-7F8A-4A2F-A556-A779D987E087}">
      <dgm:prSet/>
      <dgm:spPr/>
      <dgm:t>
        <a:bodyPr/>
        <a:lstStyle/>
        <a:p>
          <a:endParaRPr lang="en-AU"/>
        </a:p>
      </dgm:t>
    </dgm:pt>
    <dgm:pt modelId="{C913AF34-B040-4D90-B98D-CBDBE12A8352}">
      <dgm:prSet phldrT="[Text]"/>
      <dgm:spPr>
        <a:ln>
          <a:solidFill>
            <a:srgbClr val="FFFFFF"/>
          </a:solidFill>
        </a:ln>
      </dgm:spPr>
      <dgm:t>
        <a:bodyPr/>
        <a:lstStyle/>
        <a:p>
          <a:r>
            <a:rPr lang="en-AU">
              <a:latin typeface="Inter" panose="02000503000000020004" pitchFamily="2" charset="0"/>
              <a:ea typeface="Inter" panose="02000503000000020004" pitchFamily="2" charset="0"/>
            </a:rPr>
            <a:t>Territory</a:t>
          </a:r>
        </a:p>
      </dgm:t>
    </dgm:pt>
    <dgm:pt modelId="{AA05049E-98E5-4059-8832-10C8EF675D63}" type="parTrans" cxnId="{BE5C4F11-419C-4EAF-AA08-B27CB2FF28C6}">
      <dgm:prSet/>
      <dgm:spPr/>
      <dgm:t>
        <a:bodyPr/>
        <a:lstStyle/>
        <a:p>
          <a:endParaRPr lang="en-AU"/>
        </a:p>
      </dgm:t>
    </dgm:pt>
    <dgm:pt modelId="{0E67FB24-0710-4134-8C76-58A3C0E1689C}" type="sibTrans" cxnId="{BE5C4F11-419C-4EAF-AA08-B27CB2FF28C6}">
      <dgm:prSet/>
      <dgm:spPr/>
      <dgm:t>
        <a:bodyPr/>
        <a:lstStyle/>
        <a:p>
          <a:endParaRPr lang="en-AU"/>
        </a:p>
      </dgm:t>
    </dgm:pt>
    <dgm:pt modelId="{9CEBE110-42B4-468A-ADE1-98D03EBDD8DA}">
      <dgm:prSet phldrT="[Text]"/>
      <dgm:spPr>
        <a:ln>
          <a:solidFill>
            <a:srgbClr val="FFFFFF"/>
          </a:solidFill>
        </a:ln>
      </dgm:spPr>
      <dgm:t>
        <a:bodyPr/>
        <a:lstStyle/>
        <a:p>
          <a:r>
            <a:rPr lang="en-AU">
              <a:latin typeface="Inter" panose="02000503000000020004" pitchFamily="2" charset="0"/>
              <a:ea typeface="Inter" panose="02000503000000020004" pitchFamily="2" charset="0"/>
            </a:rPr>
            <a:t>State B</a:t>
          </a:r>
          <a:endParaRPr lang="en-AU" b="0">
            <a:ln/>
            <a:latin typeface="Inter" panose="02000503000000020004" pitchFamily="2" charset="0"/>
            <a:ea typeface="Inter" panose="02000503000000020004" pitchFamily="2" charset="0"/>
          </a:endParaRPr>
        </a:p>
      </dgm:t>
    </dgm:pt>
    <dgm:pt modelId="{93FD7C84-CCFF-4D6F-B4D1-836464610157}" type="parTrans" cxnId="{FA9949C7-6F23-461A-8012-AE49F10247B7}">
      <dgm:prSet/>
      <dgm:spPr/>
      <dgm:t>
        <a:bodyPr/>
        <a:lstStyle/>
        <a:p>
          <a:endParaRPr lang="en-AU"/>
        </a:p>
      </dgm:t>
    </dgm:pt>
    <dgm:pt modelId="{1020AA44-4FA6-4ABD-96F2-97E5F57A8D90}" type="sibTrans" cxnId="{FA9949C7-6F23-461A-8012-AE49F10247B7}">
      <dgm:prSet/>
      <dgm:spPr/>
      <dgm:t>
        <a:bodyPr/>
        <a:lstStyle/>
        <a:p>
          <a:endParaRPr lang="en-AU"/>
        </a:p>
      </dgm:t>
    </dgm:pt>
    <dgm:pt modelId="{9B5D1D31-02EC-442A-876D-F4C85E4CC176}" type="pres">
      <dgm:prSet presAssocID="{D17DB6C8-46B7-4535-9583-B66A4C8F9277}" presName="Name0" presStyleCnt="0">
        <dgm:presLayoutVars>
          <dgm:chMax val="7"/>
          <dgm:dir/>
          <dgm:resizeHandles val="exact"/>
        </dgm:presLayoutVars>
      </dgm:prSet>
      <dgm:spPr/>
    </dgm:pt>
    <dgm:pt modelId="{27DA488B-C463-43DC-9AE2-5BA147AB79E2}" type="pres">
      <dgm:prSet presAssocID="{D17DB6C8-46B7-4535-9583-B66A4C8F9277}" presName="ellipse1" presStyleLbl="vennNode1" presStyleIdx="0" presStyleCnt="3" custScaleX="98125" custScaleY="98127">
        <dgm:presLayoutVars>
          <dgm:bulletEnabled val="1"/>
        </dgm:presLayoutVars>
      </dgm:prSet>
      <dgm:spPr/>
    </dgm:pt>
    <dgm:pt modelId="{2A6D06CA-328B-4C78-9916-2653EB43C7B9}" type="pres">
      <dgm:prSet presAssocID="{D17DB6C8-46B7-4535-9583-B66A4C8F9277}" presName="ellipse2" presStyleLbl="vennNode1" presStyleIdx="1" presStyleCnt="3" custScaleX="98125" custScaleY="98127">
        <dgm:presLayoutVars>
          <dgm:bulletEnabled val="1"/>
        </dgm:presLayoutVars>
      </dgm:prSet>
      <dgm:spPr/>
    </dgm:pt>
    <dgm:pt modelId="{B78FB7A0-BEC5-406B-972B-A55D566282BE}" type="pres">
      <dgm:prSet presAssocID="{D17DB6C8-46B7-4535-9583-B66A4C8F9277}" presName="ellipse3" presStyleLbl="vennNode1" presStyleIdx="2" presStyleCnt="3" custScaleX="98125" custScaleY="98127" custLinFactNeighborX="-14866" custLinFactNeighborY="991">
        <dgm:presLayoutVars>
          <dgm:bulletEnabled val="1"/>
        </dgm:presLayoutVars>
      </dgm:prSet>
      <dgm:spPr/>
    </dgm:pt>
  </dgm:ptLst>
  <dgm:cxnLst>
    <dgm:cxn modelId="{BE5C4F11-419C-4EAF-AA08-B27CB2FF28C6}" srcId="{D17DB6C8-46B7-4535-9583-B66A4C8F9277}" destId="{C913AF34-B040-4D90-B98D-CBDBE12A8352}" srcOrd="1" destOrd="0" parTransId="{AA05049E-98E5-4059-8832-10C8EF675D63}" sibTransId="{0E67FB24-0710-4134-8C76-58A3C0E1689C}"/>
    <dgm:cxn modelId="{027F041F-8665-4DE8-B284-88753B1F4989}" type="presOf" srcId="{9CEBE110-42B4-468A-ADE1-98D03EBDD8DA}" destId="{B78FB7A0-BEC5-406B-972B-A55D566282BE}" srcOrd="0" destOrd="0" presId="urn:microsoft.com/office/officeart/2005/8/layout/rings+Icon"/>
    <dgm:cxn modelId="{6B24D48C-D865-4AF9-8405-8353A4AF60EB}" type="presOf" srcId="{C913AF34-B040-4D90-B98D-CBDBE12A8352}" destId="{2A6D06CA-328B-4C78-9916-2653EB43C7B9}" srcOrd="0" destOrd="0" presId="urn:microsoft.com/office/officeart/2005/8/layout/rings+Icon"/>
    <dgm:cxn modelId="{D6918BBC-7F8A-4A2F-A556-A779D987E087}" srcId="{D17DB6C8-46B7-4535-9583-B66A4C8F9277}" destId="{49E2EB8A-7868-42A6-8AFB-5191564301C6}" srcOrd="0" destOrd="0" parTransId="{1C5D0EE5-AA6C-4AA9-B1B7-506DADF1EF53}" sibTransId="{D443A43A-D7F4-4426-8C99-392774A38411}"/>
    <dgm:cxn modelId="{FA9949C7-6F23-461A-8012-AE49F10247B7}" srcId="{D17DB6C8-46B7-4535-9583-B66A4C8F9277}" destId="{9CEBE110-42B4-468A-ADE1-98D03EBDD8DA}" srcOrd="2" destOrd="0" parTransId="{93FD7C84-CCFF-4D6F-B4D1-836464610157}" sibTransId="{1020AA44-4FA6-4ABD-96F2-97E5F57A8D90}"/>
    <dgm:cxn modelId="{7DC3FDE6-A7D8-468D-874E-BD9A7AC6D53E}" type="presOf" srcId="{49E2EB8A-7868-42A6-8AFB-5191564301C6}" destId="{27DA488B-C463-43DC-9AE2-5BA147AB79E2}" srcOrd="0" destOrd="0" presId="urn:microsoft.com/office/officeart/2005/8/layout/rings+Icon"/>
    <dgm:cxn modelId="{927DDEFF-8857-4460-B2CD-34003A46D684}" type="presOf" srcId="{D17DB6C8-46B7-4535-9583-B66A4C8F9277}" destId="{9B5D1D31-02EC-442A-876D-F4C85E4CC176}" srcOrd="0" destOrd="0" presId="urn:microsoft.com/office/officeart/2005/8/layout/rings+Icon"/>
    <dgm:cxn modelId="{8EF1992B-40FE-4CF0-8C56-D704F08A450D}" type="presParOf" srcId="{9B5D1D31-02EC-442A-876D-F4C85E4CC176}" destId="{27DA488B-C463-43DC-9AE2-5BA147AB79E2}" srcOrd="0" destOrd="0" presId="urn:microsoft.com/office/officeart/2005/8/layout/rings+Icon"/>
    <dgm:cxn modelId="{46520365-5A4F-4C88-B87C-633E64D8271E}" type="presParOf" srcId="{9B5D1D31-02EC-442A-876D-F4C85E4CC176}" destId="{2A6D06CA-328B-4C78-9916-2653EB43C7B9}" srcOrd="1" destOrd="0" presId="urn:microsoft.com/office/officeart/2005/8/layout/rings+Icon"/>
    <dgm:cxn modelId="{ABA1F47D-FB25-449F-8567-A995FDECDBE2}" type="presParOf" srcId="{9B5D1D31-02EC-442A-876D-F4C85E4CC176}" destId="{B78FB7A0-BEC5-406B-972B-A55D566282BE}" srcOrd="2" destOrd="0" presId="urn:microsoft.com/office/officeart/2005/8/layout/rings+Icon"/>
  </dgm:cxnLst>
  <dgm:bg/>
  <dgm:whole>
    <a:ln>
      <a:solidFill>
        <a:schemeClr val="accent1"/>
      </a:solidFill>
    </a:ln>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488B-C463-43DC-9AE2-5BA147AB79E2}">
      <dsp:nvSpPr>
        <dsp:cNvPr id="0" name=""/>
        <dsp:cNvSpPr/>
      </dsp:nvSpPr>
      <dsp:spPr>
        <a:xfrm>
          <a:off x="588339" y="15939"/>
          <a:ext cx="1570120" cy="1570120"/>
        </a:xfrm>
        <a:prstGeom prst="ellipse">
          <a:avLst/>
        </a:prstGeom>
        <a:solidFill>
          <a:schemeClr val="accent1">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AU" sz="1900" kern="1200">
              <a:solidFill>
                <a:sysClr val="windowText" lastClr="000000"/>
              </a:solidFill>
              <a:latin typeface="Inter" panose="02000503000000020004" pitchFamily="2" charset="0"/>
              <a:ea typeface="Inter" panose="02000503000000020004" pitchFamily="2" charset="0"/>
            </a:rPr>
            <a:t>National</a:t>
          </a:r>
        </a:p>
      </dsp:txBody>
      <dsp:txXfrm>
        <a:off x="818278" y="245878"/>
        <a:ext cx="1110242" cy="11102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488B-C463-43DC-9AE2-5BA147AB79E2}">
      <dsp:nvSpPr>
        <dsp:cNvPr id="0" name=""/>
        <dsp:cNvSpPr/>
      </dsp:nvSpPr>
      <dsp:spPr>
        <a:xfrm>
          <a:off x="45205" y="27822"/>
          <a:ext cx="943514" cy="943510"/>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n/>
              <a:latin typeface="Inter" panose="02000503000000020004" pitchFamily="2" charset="0"/>
              <a:ea typeface="Inter" panose="02000503000000020004" pitchFamily="2" charset="0"/>
            </a:rPr>
            <a:t>State A</a:t>
          </a:r>
        </a:p>
      </dsp:txBody>
      <dsp:txXfrm>
        <a:off x="183379" y="165996"/>
        <a:ext cx="667166" cy="667162"/>
      </dsp:txXfrm>
    </dsp:sp>
    <dsp:sp modelId="{2A6D06CA-328B-4C78-9916-2653EB43C7B9}">
      <dsp:nvSpPr>
        <dsp:cNvPr id="0" name=""/>
        <dsp:cNvSpPr/>
      </dsp:nvSpPr>
      <dsp:spPr>
        <a:xfrm>
          <a:off x="901935" y="649724"/>
          <a:ext cx="943514" cy="943510"/>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n/>
              <a:latin typeface="Inter" panose="02000503000000020004" pitchFamily="2" charset="0"/>
              <a:ea typeface="Inter" panose="02000503000000020004" pitchFamily="2" charset="0"/>
            </a:rPr>
            <a:t>Territory</a:t>
          </a:r>
        </a:p>
      </dsp:txBody>
      <dsp:txXfrm>
        <a:off x="1040109" y="787898"/>
        <a:ext cx="667166" cy="667162"/>
      </dsp:txXfrm>
    </dsp:sp>
    <dsp:sp modelId="{B78FB7A0-BEC5-406B-972B-A55D566282BE}">
      <dsp:nvSpPr>
        <dsp:cNvPr id="0" name=""/>
        <dsp:cNvSpPr/>
      </dsp:nvSpPr>
      <dsp:spPr>
        <a:xfrm>
          <a:off x="1748556" y="18288"/>
          <a:ext cx="943514" cy="943510"/>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n/>
              <a:latin typeface="Inter" panose="02000503000000020004" pitchFamily="2" charset="0"/>
              <a:ea typeface="Inter" panose="02000503000000020004" pitchFamily="2" charset="0"/>
            </a:rPr>
            <a:t>State B</a:t>
          </a:r>
        </a:p>
      </dsp:txBody>
      <dsp:txXfrm>
        <a:off x="1886730" y="156462"/>
        <a:ext cx="667166" cy="6671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488B-C463-43DC-9AE2-5BA147AB79E2}">
      <dsp:nvSpPr>
        <dsp:cNvPr id="0" name=""/>
        <dsp:cNvSpPr/>
      </dsp:nvSpPr>
      <dsp:spPr>
        <a:xfrm>
          <a:off x="344448" y="9585"/>
          <a:ext cx="1004398" cy="1004404"/>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Inter" panose="02000503000000020004" pitchFamily="2" charset="0"/>
              <a:ea typeface="Inter" panose="02000503000000020004" pitchFamily="2" charset="0"/>
            </a:rPr>
            <a:t>State A</a:t>
          </a:r>
        </a:p>
      </dsp:txBody>
      <dsp:txXfrm>
        <a:off x="491539" y="156677"/>
        <a:ext cx="710216" cy="710220"/>
      </dsp:txXfrm>
    </dsp:sp>
    <dsp:sp modelId="{2A6D06CA-328B-4C78-9916-2653EB43C7B9}">
      <dsp:nvSpPr>
        <dsp:cNvPr id="0" name=""/>
        <dsp:cNvSpPr/>
      </dsp:nvSpPr>
      <dsp:spPr>
        <a:xfrm>
          <a:off x="871299" y="692254"/>
          <a:ext cx="1004398" cy="1004404"/>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Inter" panose="02000503000000020004" pitchFamily="2" charset="0"/>
              <a:ea typeface="Inter" panose="02000503000000020004" pitchFamily="2" charset="0"/>
            </a:rPr>
            <a:t>Territory</a:t>
          </a:r>
        </a:p>
      </dsp:txBody>
      <dsp:txXfrm>
        <a:off x="1018390" y="839346"/>
        <a:ext cx="710216" cy="710220"/>
      </dsp:txXfrm>
    </dsp:sp>
    <dsp:sp modelId="{B78FB7A0-BEC5-406B-972B-A55D566282BE}">
      <dsp:nvSpPr>
        <dsp:cNvPr id="0" name=""/>
        <dsp:cNvSpPr/>
      </dsp:nvSpPr>
      <dsp:spPr>
        <a:xfrm>
          <a:off x="1245360" y="19729"/>
          <a:ext cx="1004398" cy="1004404"/>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Inter" panose="02000503000000020004" pitchFamily="2" charset="0"/>
              <a:ea typeface="Inter" panose="02000503000000020004" pitchFamily="2" charset="0"/>
            </a:rPr>
            <a:t>State B</a:t>
          </a:r>
          <a:endParaRPr lang="en-AU" sz="1100" b="0" kern="1200">
            <a:ln/>
            <a:latin typeface="Inter" panose="02000503000000020004" pitchFamily="2" charset="0"/>
            <a:ea typeface="Inter" panose="02000503000000020004" pitchFamily="2" charset="0"/>
          </a:endParaRPr>
        </a:p>
      </dsp:txBody>
      <dsp:txXfrm>
        <a:off x="1392451" y="166821"/>
        <a:ext cx="710216" cy="7102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488B-C463-43DC-9AE2-5BA147AB79E2}">
      <dsp:nvSpPr>
        <dsp:cNvPr id="0" name=""/>
        <dsp:cNvSpPr/>
      </dsp:nvSpPr>
      <dsp:spPr>
        <a:xfrm>
          <a:off x="588339" y="15939"/>
          <a:ext cx="1570120" cy="1570120"/>
        </a:xfrm>
        <a:prstGeom prst="ellipse">
          <a:avLst/>
        </a:prstGeom>
        <a:solidFill>
          <a:schemeClr val="accent1">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AU" sz="1900" kern="1200">
              <a:solidFill>
                <a:sysClr val="windowText" lastClr="000000"/>
              </a:solidFill>
              <a:latin typeface="Inter" panose="02000503000000020004" pitchFamily="2" charset="0"/>
              <a:ea typeface="Inter" panose="02000503000000020004" pitchFamily="2" charset="0"/>
            </a:rPr>
            <a:t>National</a:t>
          </a:r>
        </a:p>
      </dsp:txBody>
      <dsp:txXfrm>
        <a:off x="818278" y="245878"/>
        <a:ext cx="1110242" cy="11102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488B-C463-43DC-9AE2-5BA147AB79E2}">
      <dsp:nvSpPr>
        <dsp:cNvPr id="0" name=""/>
        <dsp:cNvSpPr/>
      </dsp:nvSpPr>
      <dsp:spPr>
        <a:xfrm>
          <a:off x="45205" y="27822"/>
          <a:ext cx="943514" cy="943510"/>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n/>
              <a:latin typeface="Inter" panose="02000503000000020004" pitchFamily="2" charset="0"/>
              <a:ea typeface="Inter" panose="02000503000000020004" pitchFamily="2" charset="0"/>
            </a:rPr>
            <a:t>State A</a:t>
          </a:r>
        </a:p>
      </dsp:txBody>
      <dsp:txXfrm>
        <a:off x="183379" y="165996"/>
        <a:ext cx="667166" cy="667162"/>
      </dsp:txXfrm>
    </dsp:sp>
    <dsp:sp modelId="{2A6D06CA-328B-4C78-9916-2653EB43C7B9}">
      <dsp:nvSpPr>
        <dsp:cNvPr id="0" name=""/>
        <dsp:cNvSpPr/>
      </dsp:nvSpPr>
      <dsp:spPr>
        <a:xfrm>
          <a:off x="901935" y="649724"/>
          <a:ext cx="943514" cy="943510"/>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n/>
              <a:latin typeface="Inter" panose="02000503000000020004" pitchFamily="2" charset="0"/>
              <a:ea typeface="Inter" panose="02000503000000020004" pitchFamily="2" charset="0"/>
            </a:rPr>
            <a:t>Territory</a:t>
          </a:r>
        </a:p>
      </dsp:txBody>
      <dsp:txXfrm>
        <a:off x="1040109" y="787898"/>
        <a:ext cx="667166" cy="667162"/>
      </dsp:txXfrm>
    </dsp:sp>
    <dsp:sp modelId="{B78FB7A0-BEC5-406B-972B-A55D566282BE}">
      <dsp:nvSpPr>
        <dsp:cNvPr id="0" name=""/>
        <dsp:cNvSpPr/>
      </dsp:nvSpPr>
      <dsp:spPr>
        <a:xfrm>
          <a:off x="1748556" y="18288"/>
          <a:ext cx="943514" cy="943510"/>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n/>
              <a:latin typeface="Inter" panose="02000503000000020004" pitchFamily="2" charset="0"/>
              <a:ea typeface="Inter" panose="02000503000000020004" pitchFamily="2" charset="0"/>
            </a:rPr>
            <a:t>State B</a:t>
          </a:r>
        </a:p>
      </dsp:txBody>
      <dsp:txXfrm>
        <a:off x="1886730" y="156462"/>
        <a:ext cx="667166" cy="66716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488B-C463-43DC-9AE2-5BA147AB79E2}">
      <dsp:nvSpPr>
        <dsp:cNvPr id="0" name=""/>
        <dsp:cNvSpPr/>
      </dsp:nvSpPr>
      <dsp:spPr>
        <a:xfrm>
          <a:off x="344448" y="9585"/>
          <a:ext cx="1004398" cy="1004404"/>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Inter" panose="02000503000000020004" pitchFamily="2" charset="0"/>
              <a:ea typeface="Inter" panose="02000503000000020004" pitchFamily="2" charset="0"/>
            </a:rPr>
            <a:t>State A</a:t>
          </a:r>
        </a:p>
      </dsp:txBody>
      <dsp:txXfrm>
        <a:off x="491539" y="156677"/>
        <a:ext cx="710216" cy="710220"/>
      </dsp:txXfrm>
    </dsp:sp>
    <dsp:sp modelId="{2A6D06CA-328B-4C78-9916-2653EB43C7B9}">
      <dsp:nvSpPr>
        <dsp:cNvPr id="0" name=""/>
        <dsp:cNvSpPr/>
      </dsp:nvSpPr>
      <dsp:spPr>
        <a:xfrm>
          <a:off x="871299" y="692254"/>
          <a:ext cx="1004398" cy="1004404"/>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Inter" panose="02000503000000020004" pitchFamily="2" charset="0"/>
              <a:ea typeface="Inter" panose="02000503000000020004" pitchFamily="2" charset="0"/>
            </a:rPr>
            <a:t>Territory</a:t>
          </a:r>
        </a:p>
      </dsp:txBody>
      <dsp:txXfrm>
        <a:off x="1018390" y="839346"/>
        <a:ext cx="710216" cy="710220"/>
      </dsp:txXfrm>
    </dsp:sp>
    <dsp:sp modelId="{B78FB7A0-BEC5-406B-972B-A55D566282BE}">
      <dsp:nvSpPr>
        <dsp:cNvPr id="0" name=""/>
        <dsp:cNvSpPr/>
      </dsp:nvSpPr>
      <dsp:spPr>
        <a:xfrm>
          <a:off x="1245360" y="19729"/>
          <a:ext cx="1004398" cy="1004404"/>
        </a:xfrm>
        <a:prstGeom prst="ellipse">
          <a:avLst/>
        </a:prstGeom>
        <a:solidFill>
          <a:schemeClr val="accent6">
            <a:alpha val="50000"/>
            <a:hueOff val="0"/>
            <a:satOff val="0"/>
            <a:lumOff val="0"/>
            <a:alphaOff val="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latin typeface="Inter" panose="02000503000000020004" pitchFamily="2" charset="0"/>
              <a:ea typeface="Inter" panose="02000503000000020004" pitchFamily="2" charset="0"/>
            </a:rPr>
            <a:t>State B</a:t>
          </a:r>
          <a:endParaRPr lang="en-AU" sz="1100" b="0" kern="1200">
            <a:ln/>
            <a:latin typeface="Inter" panose="02000503000000020004" pitchFamily="2" charset="0"/>
            <a:ea typeface="Inter" panose="02000503000000020004" pitchFamily="2" charset="0"/>
          </a:endParaRPr>
        </a:p>
      </dsp:txBody>
      <dsp:txXfrm>
        <a:off x="1392451" y="166821"/>
        <a:ext cx="710216" cy="710220"/>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2.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3.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4.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5.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6.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53a65b-a790-45aa-b23d-3e4902a859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1ABFB25EE934439F574BC264F0B8E6" ma:contentTypeVersion="17" ma:contentTypeDescription="Create a new document." ma:contentTypeScope="" ma:versionID="8f0afcc3096c78a2b1323cb7d42f6950">
  <xsd:schema xmlns:xsd="http://www.w3.org/2001/XMLSchema" xmlns:xs="http://www.w3.org/2001/XMLSchema" xmlns:p="http://schemas.microsoft.com/office/2006/metadata/properties" xmlns:ns3="5053a65b-a790-45aa-b23d-3e4902a85933" xmlns:ns4="6b707ee7-774c-4141-8c69-3f50efb0eaa0" targetNamespace="http://schemas.microsoft.com/office/2006/metadata/properties" ma:root="true" ma:fieldsID="6345426ae7032fb0b6d4306aec335e16" ns3:_="" ns4:_="">
    <xsd:import namespace="5053a65b-a790-45aa-b23d-3e4902a85933"/>
    <xsd:import namespace="6b707ee7-774c-4141-8c69-3f50efb0ea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3a65b-a790-45aa-b23d-3e4902a85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707ee7-774c-4141-8c69-3f50efb0ea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52E79-0AF2-441A-A67C-437FFBE997FA}">
  <ds:schemaRefs>
    <ds:schemaRef ds:uri="http://schemas.microsoft.com/office/2006/metadata/properties"/>
    <ds:schemaRef ds:uri="http://schemas.microsoft.com/office/infopath/2007/PartnerControls"/>
    <ds:schemaRef ds:uri="5053a65b-a790-45aa-b23d-3e4902a85933"/>
  </ds:schemaRefs>
</ds:datastoreItem>
</file>

<file path=customXml/itemProps2.xml><?xml version="1.0" encoding="utf-8"?>
<ds:datastoreItem xmlns:ds="http://schemas.openxmlformats.org/officeDocument/2006/customXml" ds:itemID="{5B9F64D1-DD78-4BCB-A26A-997875C38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3a65b-a790-45aa-b23d-3e4902a85933"/>
    <ds:schemaRef ds:uri="6b707ee7-774c-4141-8c69-3f50efb0e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56253-1FFF-43B1-9AF9-46735B9BAF2D}">
  <ds:schemaRefs>
    <ds:schemaRef ds:uri="http://schemas.openxmlformats.org/officeDocument/2006/bibliography"/>
  </ds:schemaRefs>
</ds:datastoreItem>
</file>

<file path=customXml/itemProps4.xml><?xml version="1.0" encoding="utf-8"?>
<ds:datastoreItem xmlns:ds="http://schemas.openxmlformats.org/officeDocument/2006/customXml" ds:itemID="{9B9CB51C-5990-4A57-B831-D0FEEAA0DC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67</Pages>
  <Words>17617</Words>
  <Characters>100771</Characters>
  <Application>Microsoft Office Word</Application>
  <DocSecurity>0</DocSecurity>
  <Lines>2583</Lines>
  <Paragraphs>1621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116767</CharactersWithSpaces>
  <SharedDoc>false</SharedDoc>
  <HLinks>
    <vt:vector size="156" baseType="variant">
      <vt:variant>
        <vt:i4>7929966</vt:i4>
      </vt:variant>
      <vt:variant>
        <vt:i4>111</vt:i4>
      </vt:variant>
      <vt:variant>
        <vt:i4>0</vt:i4>
      </vt:variant>
      <vt:variant>
        <vt:i4>5</vt:i4>
      </vt:variant>
      <vt:variant>
        <vt:lpwstr>https://www.education.gov.au/higher-education-reviews-and-consultations/resources/final-report-performance-based-funding-commonwealth-grant-scheme</vt:lpwstr>
      </vt:variant>
      <vt:variant>
        <vt:lpwstr/>
      </vt:variant>
      <vt:variant>
        <vt:i4>1769539</vt:i4>
      </vt:variant>
      <vt:variant>
        <vt:i4>108</vt:i4>
      </vt:variant>
      <vt:variant>
        <vt:i4>0</vt:i4>
      </vt:variant>
      <vt:variant>
        <vt:i4>5</vt:i4>
      </vt:variant>
      <vt:variant>
        <vt:lpwstr>https://www.education.gov.au/heppp/resources/student-equity-higher-education-evaluation-framework-seheef-final-report</vt:lpwstr>
      </vt:variant>
      <vt:variant>
        <vt:lpwstr/>
      </vt:variant>
      <vt:variant>
        <vt:i4>2097264</vt:i4>
      </vt:variant>
      <vt:variant>
        <vt:i4>105</vt:i4>
      </vt:variant>
      <vt:variant>
        <vt:i4>0</vt:i4>
      </vt:variant>
      <vt:variant>
        <vt:i4>5</vt:i4>
      </vt:variant>
      <vt:variant>
        <vt:lpwstr>https://www.pc.gov.au/research/completed/university-report-card</vt:lpwstr>
      </vt:variant>
      <vt:variant>
        <vt:lpwstr/>
      </vt:variant>
      <vt:variant>
        <vt:i4>1245193</vt:i4>
      </vt:variant>
      <vt:variant>
        <vt:i4>102</vt:i4>
      </vt:variant>
      <vt:variant>
        <vt:i4>0</vt:i4>
      </vt:variant>
      <vt:variant>
        <vt:i4>5</vt:i4>
      </vt:variant>
      <vt:variant>
        <vt:lpwstr>https://www.researchgate.net/publication/312595725_Implications_of_the_Proposed_Low_SES_Participation_Target_for_Australian_University_Enrolments</vt:lpwstr>
      </vt:variant>
      <vt:variant>
        <vt:lpwstr/>
      </vt:variant>
      <vt:variant>
        <vt:i4>4980737</vt:i4>
      </vt:variant>
      <vt:variant>
        <vt:i4>99</vt:i4>
      </vt:variant>
      <vt:variant>
        <vt:i4>0</vt:i4>
      </vt:variant>
      <vt:variant>
        <vt:i4>5</vt:i4>
      </vt:variant>
      <vt:variant>
        <vt:lpwstr>https://www.ncsehe.edu.au/data/national-data/</vt:lpwstr>
      </vt:variant>
      <vt:variant>
        <vt:lpwstr/>
      </vt:variant>
      <vt:variant>
        <vt:i4>7340151</vt:i4>
      </vt:variant>
      <vt:variant>
        <vt:i4>96</vt:i4>
      </vt:variant>
      <vt:variant>
        <vt:i4>0</vt:i4>
      </vt:variant>
      <vt:variant>
        <vt:i4>5</vt:i4>
      </vt:variant>
      <vt:variant>
        <vt:lpwstr>https://www.ncsehe.edu.au/wp-content/uploads/2014/12/NCSEHE-Partnership-Publication-Web.pdf</vt:lpwstr>
      </vt:variant>
      <vt:variant>
        <vt:lpwstr/>
      </vt:variant>
      <vt:variant>
        <vt:i4>4653139</vt:i4>
      </vt:variant>
      <vt:variant>
        <vt:i4>93</vt:i4>
      </vt:variant>
      <vt:variant>
        <vt:i4>0</vt:i4>
      </vt:variant>
      <vt:variant>
        <vt:i4>5</vt:i4>
      </vt:variant>
      <vt:variant>
        <vt:lpwstr>http://www.ncsehe.edu.au/wp-content/uploads/2013/11/NCSEHE-Access-and-Participation-in-Higher-Education-2013.pdf</vt:lpwstr>
      </vt:variant>
      <vt:variant>
        <vt:lpwstr/>
      </vt:variant>
      <vt:variant>
        <vt:i4>1966104</vt:i4>
      </vt:variant>
      <vt:variant>
        <vt:i4>90</vt:i4>
      </vt:variant>
      <vt:variant>
        <vt:i4>0</vt:i4>
      </vt:variant>
      <vt:variant>
        <vt:i4>5</vt:i4>
      </vt:variant>
      <vt:variant>
        <vt:lpwstr>https://www.education.gov.au/job-ready/resources/job-ready-graduated-discussion-paper</vt:lpwstr>
      </vt:variant>
      <vt:variant>
        <vt:lpwstr/>
      </vt:variant>
      <vt:variant>
        <vt:i4>6291500</vt:i4>
      </vt:variant>
      <vt:variant>
        <vt:i4>87</vt:i4>
      </vt:variant>
      <vt:variant>
        <vt:i4>0</vt:i4>
      </vt:variant>
      <vt:variant>
        <vt:i4>5</vt:i4>
      </vt:variant>
      <vt:variant>
        <vt:lpwstr>https://www.education.gov.au/australian-universities-accord/resources/accord-interim-report</vt:lpwstr>
      </vt:variant>
      <vt:variant>
        <vt:lpwstr/>
      </vt:variant>
      <vt:variant>
        <vt:i4>524298</vt:i4>
      </vt:variant>
      <vt:variant>
        <vt:i4>84</vt:i4>
      </vt:variant>
      <vt:variant>
        <vt:i4>0</vt:i4>
      </vt:variant>
      <vt:variant>
        <vt:i4>5</vt:i4>
      </vt:variant>
      <vt:variant>
        <vt:lpwstr>https://www.education.gov.au/higher-education-statistics/student-data/selected-higher-education-statistics-2021-student-data</vt:lpwstr>
      </vt:variant>
      <vt:variant>
        <vt:lpwstr/>
      </vt:variant>
      <vt:variant>
        <vt:i4>7602229</vt:i4>
      </vt:variant>
      <vt:variant>
        <vt:i4>81</vt:i4>
      </vt:variant>
      <vt:variant>
        <vt:i4>0</vt:i4>
      </vt:variant>
      <vt:variant>
        <vt:i4>5</vt:i4>
      </vt:variant>
      <vt:variant>
        <vt:lpwstr>https://acilallen.com.au/projects/government-funded-services/evaluation-of-the-heppp-higher-education-participation-and-partnership-program</vt:lpwstr>
      </vt:variant>
      <vt:variant>
        <vt:lpwstr/>
      </vt:variant>
      <vt:variant>
        <vt:i4>2424932</vt:i4>
      </vt:variant>
      <vt:variant>
        <vt:i4>78</vt:i4>
      </vt:variant>
      <vt:variant>
        <vt:i4>0</vt:i4>
      </vt:variant>
      <vt:variant>
        <vt:i4>5</vt:i4>
      </vt:variant>
      <vt:variant>
        <vt:lpwstr>http://www.abs.gov.au/websitedbs/censushome.nsf/home/seifa?opendocument&amp;navpos=260</vt:lpwstr>
      </vt:variant>
      <vt:variant>
        <vt:lpwstr/>
      </vt:variant>
      <vt:variant>
        <vt:i4>3866625</vt:i4>
      </vt:variant>
      <vt:variant>
        <vt:i4>75</vt:i4>
      </vt:variant>
      <vt:variant>
        <vt:i4>0</vt:i4>
      </vt:variant>
      <vt:variant>
        <vt:i4>5</vt:i4>
      </vt:variant>
      <vt:variant>
        <vt:lpwstr>http://www.abs.gov.au/AUSSTATS/abs@.nsf/Lookup/1351.0.55.038Main+Features1Mar 2012?OpenDocument</vt:lpwstr>
      </vt:variant>
      <vt:variant>
        <vt:lpwstr/>
      </vt:variant>
      <vt:variant>
        <vt:i4>1245232</vt:i4>
      </vt:variant>
      <vt:variant>
        <vt:i4>68</vt:i4>
      </vt:variant>
      <vt:variant>
        <vt:i4>0</vt:i4>
      </vt:variant>
      <vt:variant>
        <vt:i4>5</vt:i4>
      </vt:variant>
      <vt:variant>
        <vt:lpwstr/>
      </vt:variant>
      <vt:variant>
        <vt:lpwstr>_Toc149210922</vt:lpwstr>
      </vt:variant>
      <vt:variant>
        <vt:i4>1245232</vt:i4>
      </vt:variant>
      <vt:variant>
        <vt:i4>62</vt:i4>
      </vt:variant>
      <vt:variant>
        <vt:i4>0</vt:i4>
      </vt:variant>
      <vt:variant>
        <vt:i4>5</vt:i4>
      </vt:variant>
      <vt:variant>
        <vt:lpwstr/>
      </vt:variant>
      <vt:variant>
        <vt:lpwstr>_Toc149210921</vt:lpwstr>
      </vt:variant>
      <vt:variant>
        <vt:i4>1245232</vt:i4>
      </vt:variant>
      <vt:variant>
        <vt:i4>56</vt:i4>
      </vt:variant>
      <vt:variant>
        <vt:i4>0</vt:i4>
      </vt:variant>
      <vt:variant>
        <vt:i4>5</vt:i4>
      </vt:variant>
      <vt:variant>
        <vt:lpwstr/>
      </vt:variant>
      <vt:variant>
        <vt:lpwstr>_Toc149210920</vt:lpwstr>
      </vt:variant>
      <vt:variant>
        <vt:i4>1048624</vt:i4>
      </vt:variant>
      <vt:variant>
        <vt:i4>50</vt:i4>
      </vt:variant>
      <vt:variant>
        <vt:i4>0</vt:i4>
      </vt:variant>
      <vt:variant>
        <vt:i4>5</vt:i4>
      </vt:variant>
      <vt:variant>
        <vt:lpwstr/>
      </vt:variant>
      <vt:variant>
        <vt:lpwstr>_Toc149210919</vt:lpwstr>
      </vt:variant>
      <vt:variant>
        <vt:i4>1048624</vt:i4>
      </vt:variant>
      <vt:variant>
        <vt:i4>44</vt:i4>
      </vt:variant>
      <vt:variant>
        <vt:i4>0</vt:i4>
      </vt:variant>
      <vt:variant>
        <vt:i4>5</vt:i4>
      </vt:variant>
      <vt:variant>
        <vt:lpwstr/>
      </vt:variant>
      <vt:variant>
        <vt:lpwstr>_Toc149210918</vt:lpwstr>
      </vt:variant>
      <vt:variant>
        <vt:i4>1048624</vt:i4>
      </vt:variant>
      <vt:variant>
        <vt:i4>38</vt:i4>
      </vt:variant>
      <vt:variant>
        <vt:i4>0</vt:i4>
      </vt:variant>
      <vt:variant>
        <vt:i4>5</vt:i4>
      </vt:variant>
      <vt:variant>
        <vt:lpwstr/>
      </vt:variant>
      <vt:variant>
        <vt:lpwstr>_Toc149210917</vt:lpwstr>
      </vt:variant>
      <vt:variant>
        <vt:i4>1048624</vt:i4>
      </vt:variant>
      <vt:variant>
        <vt:i4>32</vt:i4>
      </vt:variant>
      <vt:variant>
        <vt:i4>0</vt:i4>
      </vt:variant>
      <vt:variant>
        <vt:i4>5</vt:i4>
      </vt:variant>
      <vt:variant>
        <vt:lpwstr/>
      </vt:variant>
      <vt:variant>
        <vt:lpwstr>_Toc149210916</vt:lpwstr>
      </vt:variant>
      <vt:variant>
        <vt:i4>1048624</vt:i4>
      </vt:variant>
      <vt:variant>
        <vt:i4>26</vt:i4>
      </vt:variant>
      <vt:variant>
        <vt:i4>0</vt:i4>
      </vt:variant>
      <vt:variant>
        <vt:i4>5</vt:i4>
      </vt:variant>
      <vt:variant>
        <vt:lpwstr/>
      </vt:variant>
      <vt:variant>
        <vt:lpwstr>_Toc149210915</vt:lpwstr>
      </vt:variant>
      <vt:variant>
        <vt:i4>1048624</vt:i4>
      </vt:variant>
      <vt:variant>
        <vt:i4>20</vt:i4>
      </vt:variant>
      <vt:variant>
        <vt:i4>0</vt:i4>
      </vt:variant>
      <vt:variant>
        <vt:i4>5</vt:i4>
      </vt:variant>
      <vt:variant>
        <vt:lpwstr/>
      </vt:variant>
      <vt:variant>
        <vt:lpwstr>_Toc149210914</vt:lpwstr>
      </vt:variant>
      <vt:variant>
        <vt:i4>1048624</vt:i4>
      </vt:variant>
      <vt:variant>
        <vt:i4>14</vt:i4>
      </vt:variant>
      <vt:variant>
        <vt:i4>0</vt:i4>
      </vt:variant>
      <vt:variant>
        <vt:i4>5</vt:i4>
      </vt:variant>
      <vt:variant>
        <vt:lpwstr/>
      </vt:variant>
      <vt:variant>
        <vt:lpwstr>_Toc149210913</vt:lpwstr>
      </vt:variant>
      <vt:variant>
        <vt:i4>1048624</vt:i4>
      </vt:variant>
      <vt:variant>
        <vt:i4>8</vt:i4>
      </vt:variant>
      <vt:variant>
        <vt:i4>0</vt:i4>
      </vt:variant>
      <vt:variant>
        <vt:i4>5</vt:i4>
      </vt:variant>
      <vt:variant>
        <vt:lpwstr/>
      </vt:variant>
      <vt:variant>
        <vt:lpwstr>_Toc149210912</vt:lpwstr>
      </vt:variant>
      <vt:variant>
        <vt:i4>7667748</vt:i4>
      </vt:variant>
      <vt:variant>
        <vt:i4>3</vt:i4>
      </vt:variant>
      <vt:variant>
        <vt:i4>0</vt:i4>
      </vt:variant>
      <vt:variant>
        <vt:i4>5</vt:i4>
      </vt:variant>
      <vt:variant>
        <vt:lpwstr>https://www.ncsehe.edu.au/</vt:lpwstr>
      </vt:variant>
      <vt:variant>
        <vt:lpwstr/>
      </vt:variant>
      <vt:variant>
        <vt:i4>4784181</vt:i4>
      </vt:variant>
      <vt:variant>
        <vt:i4>0</vt:i4>
      </vt:variant>
      <vt:variant>
        <vt:i4>0</vt:i4>
      </vt:variant>
      <vt:variant>
        <vt:i4>5</vt:i4>
      </vt:variant>
      <vt:variant>
        <vt:lpwstr>mailto:ncsehe@curtin.edu.au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Donald Cunninghame</dc:creator>
  <cp:keywords/>
  <cp:lastModifiedBy>Anna Will</cp:lastModifiedBy>
  <cp:revision>3</cp:revision>
  <cp:lastPrinted>2023-12-07T04:39:00Z</cp:lastPrinted>
  <dcterms:created xsi:type="dcterms:W3CDTF">2024-07-21T23:54:00Z</dcterms:created>
  <dcterms:modified xsi:type="dcterms:W3CDTF">2024-07-21T23:57:00Z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5a23ac58-d4cc-3b79-8c41-87984e2f0b66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0x010100CD1ABFB25EE934439F574BC264F0B8E6</vt:lpwstr>
  </property>
  <property fmtid="{D5CDD505-2E9C-101B-9397-08002B2CF9AE}" pid="26" name="MSIP_Label_79d889eb-932f-4752-8739-64d25806ef64_Enabled">
    <vt:lpwstr>true</vt:lpwstr>
  </property>
  <property fmtid="{D5CDD505-2E9C-101B-9397-08002B2CF9AE}" pid="27" name="MSIP_Label_79d889eb-932f-4752-8739-64d25806ef64_SetDate">
    <vt:lpwstr>2023-10-09T21:39:11Z</vt:lpwstr>
  </property>
  <property fmtid="{D5CDD505-2E9C-101B-9397-08002B2CF9AE}" pid="28" name="MSIP_Label_79d889eb-932f-4752-8739-64d25806ef64_Method">
    <vt:lpwstr>Privileged</vt:lpwstr>
  </property>
  <property fmtid="{D5CDD505-2E9C-101B-9397-08002B2CF9AE}" pid="29" name="MSIP_Label_79d889eb-932f-4752-8739-64d25806ef64_Name">
    <vt:lpwstr>79d889eb-932f-4752-8739-64d25806ef64</vt:lpwstr>
  </property>
  <property fmtid="{D5CDD505-2E9C-101B-9397-08002B2CF9AE}" pid="30" name="MSIP_Label_79d889eb-932f-4752-8739-64d25806ef64_SiteId">
    <vt:lpwstr>dd0cfd15-4558-4b12-8bad-ea26984fc417</vt:lpwstr>
  </property>
  <property fmtid="{D5CDD505-2E9C-101B-9397-08002B2CF9AE}" pid="31" name="MSIP_Label_79d889eb-932f-4752-8739-64d25806ef64_ActionId">
    <vt:lpwstr>2ed26159-cd2c-4b8f-b0e5-6a44a8857d88</vt:lpwstr>
  </property>
  <property fmtid="{D5CDD505-2E9C-101B-9397-08002B2CF9AE}" pid="32" name="MSIP_Label_79d889eb-932f-4752-8739-64d25806ef64_ContentBits">
    <vt:lpwstr>0</vt:lpwstr>
  </property>
</Properties>
</file>