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8092" w14:textId="573DD985" w:rsidR="005C2D35" w:rsidRPr="007F02E5" w:rsidRDefault="005C2D35" w:rsidP="005C2D35">
      <w:pPr>
        <w:jc w:val="center"/>
        <w:rPr>
          <w:b/>
          <w:bCs/>
          <w:sz w:val="24"/>
          <w:szCs w:val="24"/>
        </w:rPr>
      </w:pPr>
      <w:r w:rsidRPr="007F02E5">
        <w:rPr>
          <w:b/>
          <w:bCs/>
          <w:sz w:val="24"/>
          <w:szCs w:val="24"/>
        </w:rPr>
        <w:t>Australian Universities Accord Implementation Advisory Committee</w:t>
      </w:r>
    </w:p>
    <w:p w14:paraId="468CD041" w14:textId="5ECA0463" w:rsidR="00BD61DC" w:rsidRDefault="005C2D35" w:rsidP="007F02E5">
      <w:pPr>
        <w:jc w:val="center"/>
        <w:rPr>
          <w:b/>
          <w:bCs/>
          <w:sz w:val="24"/>
          <w:szCs w:val="24"/>
        </w:rPr>
      </w:pPr>
      <w:r w:rsidRPr="00EB05F4">
        <w:rPr>
          <w:b/>
          <w:bCs/>
          <w:sz w:val="24"/>
          <w:szCs w:val="24"/>
        </w:rPr>
        <w:t>Terms of Reference</w:t>
      </w:r>
      <w:r w:rsidR="00601AD0" w:rsidRPr="00EB05F4">
        <w:rPr>
          <w:b/>
          <w:bCs/>
          <w:sz w:val="24"/>
          <w:szCs w:val="24"/>
        </w:rPr>
        <w:t xml:space="preserve"> (</w:t>
      </w:r>
      <w:r w:rsidR="00ED6BDF" w:rsidRPr="00EB05F4">
        <w:rPr>
          <w:b/>
          <w:bCs/>
          <w:sz w:val="24"/>
          <w:szCs w:val="24"/>
        </w:rPr>
        <w:t xml:space="preserve">as </w:t>
      </w:r>
      <w:proofErr w:type="gramStart"/>
      <w:r w:rsidR="00ED6BDF" w:rsidRPr="00EB05F4">
        <w:rPr>
          <w:b/>
          <w:bCs/>
          <w:sz w:val="24"/>
          <w:szCs w:val="24"/>
        </w:rPr>
        <w:t>at</w:t>
      </w:r>
      <w:proofErr w:type="gramEnd"/>
      <w:r w:rsidR="00ED6BDF" w:rsidRPr="00EB05F4">
        <w:rPr>
          <w:b/>
          <w:bCs/>
          <w:sz w:val="24"/>
          <w:szCs w:val="24"/>
        </w:rPr>
        <w:t xml:space="preserve"> 1 January 202</w:t>
      </w:r>
      <w:r w:rsidR="000A0E83" w:rsidRPr="00EB05F4">
        <w:rPr>
          <w:b/>
          <w:bCs/>
          <w:sz w:val="24"/>
          <w:szCs w:val="24"/>
        </w:rPr>
        <w:t>5</w:t>
      </w:r>
      <w:r w:rsidR="00601AD0" w:rsidRPr="00EB05F4">
        <w:rPr>
          <w:b/>
          <w:bCs/>
          <w:sz w:val="24"/>
          <w:szCs w:val="24"/>
        </w:rPr>
        <w:t>)</w:t>
      </w:r>
    </w:p>
    <w:p w14:paraId="47B1E5A1" w14:textId="77777777" w:rsidR="006C5A7A" w:rsidRPr="006C5A7A" w:rsidRDefault="006C5A7A" w:rsidP="006C5A7A">
      <w:pPr>
        <w:tabs>
          <w:tab w:val="left" w:pos="0"/>
        </w:tabs>
        <w:rPr>
          <w:rFonts w:eastAsia="Calibri" w:cstheme="minorHAnsi"/>
          <w:b/>
          <w:sz w:val="24"/>
          <w:szCs w:val="24"/>
        </w:rPr>
      </w:pPr>
      <w:r w:rsidRPr="006C5A7A">
        <w:rPr>
          <w:rFonts w:eastAsia="Calibri" w:cstheme="minorHAnsi"/>
          <w:b/>
          <w:sz w:val="24"/>
          <w:szCs w:val="24"/>
        </w:rPr>
        <w:t>Purpose</w:t>
      </w:r>
    </w:p>
    <w:p w14:paraId="0EC326FC" w14:textId="7BEB6E0E"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The Australian Universities Accord Implementation Advisory Committee (the Committee) consist</w:t>
      </w:r>
      <w:r w:rsidR="009540FF">
        <w:rPr>
          <w:rFonts w:eastAsia="Calibri" w:cstheme="minorHAnsi"/>
          <w:sz w:val="24"/>
          <w:szCs w:val="24"/>
        </w:rPr>
        <w:t>s</w:t>
      </w:r>
      <w:r w:rsidRPr="006C5A7A">
        <w:rPr>
          <w:rFonts w:eastAsia="Calibri" w:cstheme="minorHAnsi"/>
          <w:sz w:val="24"/>
          <w:szCs w:val="24"/>
        </w:rPr>
        <w:t xml:space="preserve"> of a small group of experts and officials. Their role </w:t>
      </w:r>
      <w:r w:rsidR="009540FF">
        <w:rPr>
          <w:rFonts w:eastAsia="Calibri" w:cstheme="minorHAnsi"/>
          <w:sz w:val="24"/>
          <w:szCs w:val="24"/>
        </w:rPr>
        <w:t>is</w:t>
      </w:r>
      <w:r w:rsidRPr="006C5A7A">
        <w:rPr>
          <w:rFonts w:eastAsia="Calibri" w:cstheme="minorHAnsi"/>
          <w:sz w:val="24"/>
          <w:szCs w:val="24"/>
        </w:rPr>
        <w:t xml:space="preserve"> to provide expert advice and represent the views of the sector and wider community on the implementation of the Government response to the Australian Universities Accord.</w:t>
      </w:r>
    </w:p>
    <w:p w14:paraId="6FBB4EB0" w14:textId="590EF603"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The Committee primarily provide</w:t>
      </w:r>
      <w:r w:rsidR="009540FF">
        <w:rPr>
          <w:rFonts w:eastAsia="Calibri" w:cstheme="minorHAnsi"/>
          <w:sz w:val="24"/>
          <w:szCs w:val="24"/>
        </w:rPr>
        <w:t>s</w:t>
      </w:r>
      <w:r w:rsidRPr="006C5A7A">
        <w:rPr>
          <w:rFonts w:eastAsia="Calibri" w:cstheme="minorHAnsi"/>
          <w:sz w:val="24"/>
          <w:szCs w:val="24"/>
        </w:rPr>
        <w:t xml:space="preserve"> advice to Ministers on implementation issues and changes to legislation related to the Government response to the Accord</w:t>
      </w:r>
      <w:r w:rsidR="004D00FC">
        <w:rPr>
          <w:rFonts w:eastAsia="Calibri" w:cstheme="minorHAnsi"/>
          <w:sz w:val="24"/>
          <w:szCs w:val="24"/>
        </w:rPr>
        <w:t xml:space="preserve"> in the following priority areas:</w:t>
      </w:r>
    </w:p>
    <w:p w14:paraId="00C8888F" w14:textId="15BA60B7" w:rsidR="006C5A7A" w:rsidRPr="006C5A7A" w:rsidRDefault="006C5A7A" w:rsidP="006C5A7A">
      <w:pPr>
        <w:pStyle w:val="ListParagraph"/>
        <w:numPr>
          <w:ilvl w:val="0"/>
          <w:numId w:val="4"/>
        </w:numPr>
        <w:spacing w:line="360" w:lineRule="auto"/>
        <w:ind w:left="357" w:hanging="357"/>
        <w:rPr>
          <w:rFonts w:asciiTheme="minorHAnsi" w:eastAsia="Calibri" w:hAnsiTheme="minorHAnsi" w:cstheme="minorHAnsi"/>
          <w:szCs w:val="24"/>
        </w:rPr>
      </w:pPr>
      <w:r w:rsidRPr="006C5A7A">
        <w:rPr>
          <w:rFonts w:asciiTheme="minorHAnsi" w:eastAsia="Calibri" w:hAnsiTheme="minorHAnsi" w:cstheme="minorHAnsi"/>
          <w:szCs w:val="24"/>
        </w:rPr>
        <w:t>Setting ambitious targets to grow the tertiary sector to meet Australia’s skills needs</w:t>
      </w:r>
    </w:p>
    <w:p w14:paraId="282B8ED2" w14:textId="77777777" w:rsidR="006C5A7A" w:rsidRPr="006C5A7A" w:rsidRDefault="006C5A7A" w:rsidP="006C5A7A">
      <w:pPr>
        <w:pStyle w:val="ListParagraph"/>
        <w:numPr>
          <w:ilvl w:val="0"/>
          <w:numId w:val="4"/>
        </w:numPr>
        <w:spacing w:line="360" w:lineRule="auto"/>
        <w:ind w:left="357" w:hanging="357"/>
        <w:rPr>
          <w:rFonts w:asciiTheme="minorHAnsi" w:eastAsia="Calibri" w:hAnsiTheme="minorHAnsi" w:cstheme="minorHAnsi"/>
          <w:szCs w:val="24"/>
        </w:rPr>
      </w:pPr>
      <w:r w:rsidRPr="006C5A7A">
        <w:rPr>
          <w:rFonts w:asciiTheme="minorHAnsi" w:eastAsia="Calibri" w:hAnsiTheme="minorHAnsi" w:cstheme="minorHAnsi"/>
          <w:szCs w:val="24"/>
        </w:rPr>
        <w:t>Establishing an Australian Tertiary Education Commission</w:t>
      </w:r>
    </w:p>
    <w:p w14:paraId="2A12E2F6" w14:textId="77777777" w:rsidR="006C5A7A" w:rsidRPr="006C5A7A" w:rsidRDefault="006C5A7A" w:rsidP="006C5A7A">
      <w:pPr>
        <w:pStyle w:val="ListParagraph"/>
        <w:numPr>
          <w:ilvl w:val="0"/>
          <w:numId w:val="4"/>
        </w:numPr>
        <w:spacing w:line="360" w:lineRule="auto"/>
        <w:ind w:left="357" w:hanging="357"/>
        <w:rPr>
          <w:rFonts w:asciiTheme="minorHAnsi" w:eastAsia="Calibri" w:hAnsiTheme="minorHAnsi" w:cstheme="minorHAnsi"/>
          <w:szCs w:val="24"/>
        </w:rPr>
      </w:pPr>
      <w:r w:rsidRPr="006C5A7A">
        <w:rPr>
          <w:rFonts w:asciiTheme="minorHAnsi" w:eastAsia="Calibri" w:hAnsiTheme="minorHAnsi" w:cstheme="minorHAnsi"/>
          <w:szCs w:val="24"/>
        </w:rPr>
        <w:t>Higher education pricing reform</w:t>
      </w:r>
    </w:p>
    <w:p w14:paraId="3199C016" w14:textId="77777777" w:rsidR="006C5A7A" w:rsidRPr="006C5A7A" w:rsidRDefault="006C5A7A" w:rsidP="006C5A7A">
      <w:pPr>
        <w:pStyle w:val="ListParagraph"/>
        <w:numPr>
          <w:ilvl w:val="0"/>
          <w:numId w:val="4"/>
        </w:numPr>
        <w:spacing w:line="360" w:lineRule="auto"/>
        <w:ind w:left="357" w:hanging="357"/>
        <w:rPr>
          <w:rFonts w:asciiTheme="minorHAnsi" w:eastAsia="Calibri" w:hAnsiTheme="minorHAnsi" w:cstheme="minorHAnsi"/>
          <w:szCs w:val="24"/>
        </w:rPr>
      </w:pPr>
      <w:r w:rsidRPr="006C5A7A">
        <w:rPr>
          <w:rFonts w:asciiTheme="minorHAnsi" w:eastAsia="Calibri" w:hAnsiTheme="minorHAnsi" w:cstheme="minorHAnsi"/>
          <w:szCs w:val="24"/>
        </w:rPr>
        <w:t>Managed growth funding for universities</w:t>
      </w:r>
    </w:p>
    <w:p w14:paraId="726ADD79" w14:textId="77777777" w:rsidR="006C5A7A" w:rsidRPr="006C5A7A" w:rsidRDefault="006C5A7A" w:rsidP="006C5A7A">
      <w:pPr>
        <w:pStyle w:val="ListParagraph"/>
        <w:numPr>
          <w:ilvl w:val="0"/>
          <w:numId w:val="4"/>
        </w:numPr>
        <w:spacing w:line="360" w:lineRule="auto"/>
        <w:ind w:left="357" w:hanging="357"/>
        <w:rPr>
          <w:rFonts w:asciiTheme="minorHAnsi" w:eastAsia="Calibri" w:hAnsiTheme="minorHAnsi" w:cstheme="minorHAnsi"/>
          <w:szCs w:val="24"/>
        </w:rPr>
      </w:pPr>
      <w:r w:rsidRPr="006C5A7A">
        <w:rPr>
          <w:rFonts w:asciiTheme="minorHAnsi" w:eastAsia="Calibri" w:hAnsiTheme="minorHAnsi" w:cstheme="minorHAnsi"/>
          <w:szCs w:val="24"/>
        </w:rPr>
        <w:t>Needs-based funding for better equity outcomes</w:t>
      </w:r>
    </w:p>
    <w:p w14:paraId="08BF6C79" w14:textId="289ADDD1" w:rsidR="006C5A7A" w:rsidRPr="006C5A7A" w:rsidRDefault="006C5A7A" w:rsidP="006C5A7A">
      <w:pPr>
        <w:pStyle w:val="ListParagraph"/>
        <w:numPr>
          <w:ilvl w:val="0"/>
          <w:numId w:val="4"/>
        </w:numPr>
        <w:spacing w:line="360" w:lineRule="auto"/>
        <w:ind w:left="357" w:hanging="357"/>
        <w:rPr>
          <w:rFonts w:asciiTheme="minorHAnsi" w:eastAsia="Calibri" w:hAnsiTheme="minorHAnsi" w:cstheme="minorHAnsi"/>
          <w:szCs w:val="24"/>
        </w:rPr>
      </w:pPr>
      <w:r w:rsidRPr="006C5A7A">
        <w:rPr>
          <w:rFonts w:asciiTheme="minorHAnsi" w:eastAsia="Calibri" w:hAnsiTheme="minorHAnsi" w:cstheme="minorHAnsi"/>
          <w:szCs w:val="24"/>
        </w:rPr>
        <w:t>Commonwealth Prac Payment</w:t>
      </w:r>
    </w:p>
    <w:p w14:paraId="32B1236B" w14:textId="152F4820"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 xml:space="preserve">The Committee also </w:t>
      </w:r>
      <w:r w:rsidR="00EB05F4" w:rsidRPr="006C5A7A">
        <w:rPr>
          <w:rFonts w:eastAsia="Calibri" w:cstheme="minorHAnsi"/>
          <w:sz w:val="24"/>
          <w:szCs w:val="24"/>
        </w:rPr>
        <w:t>provide</w:t>
      </w:r>
      <w:r w:rsidR="00EB05F4">
        <w:rPr>
          <w:rFonts w:eastAsia="Calibri" w:cstheme="minorHAnsi"/>
          <w:sz w:val="24"/>
          <w:szCs w:val="24"/>
        </w:rPr>
        <w:t>s</w:t>
      </w:r>
      <w:r w:rsidR="00EB05F4" w:rsidRPr="006C5A7A">
        <w:rPr>
          <w:rFonts w:eastAsia="Calibri" w:cstheme="minorHAnsi"/>
          <w:sz w:val="24"/>
          <w:szCs w:val="24"/>
        </w:rPr>
        <w:t xml:space="preserve"> </w:t>
      </w:r>
      <w:r w:rsidR="00EB05F4">
        <w:rPr>
          <w:rFonts w:eastAsia="Calibri" w:cstheme="minorHAnsi"/>
          <w:sz w:val="24"/>
          <w:szCs w:val="24"/>
        </w:rPr>
        <w:t>ongoing</w:t>
      </w:r>
      <w:r w:rsidR="001568CA">
        <w:rPr>
          <w:rFonts w:eastAsia="Calibri" w:cstheme="minorHAnsi"/>
          <w:sz w:val="24"/>
          <w:szCs w:val="24"/>
        </w:rPr>
        <w:t xml:space="preserve"> advice to inform implementation and </w:t>
      </w:r>
      <w:r w:rsidRPr="006C5A7A">
        <w:rPr>
          <w:rFonts w:eastAsia="Calibri" w:cstheme="minorHAnsi"/>
          <w:sz w:val="24"/>
          <w:szCs w:val="24"/>
        </w:rPr>
        <w:t>legislation on the Government response to the Accord Final Report.</w:t>
      </w:r>
    </w:p>
    <w:p w14:paraId="50A881F5" w14:textId="18947355"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 xml:space="preserve">The Committee </w:t>
      </w:r>
      <w:r w:rsidR="009540FF">
        <w:rPr>
          <w:rFonts w:eastAsia="Calibri" w:cstheme="minorHAnsi"/>
          <w:sz w:val="24"/>
          <w:szCs w:val="24"/>
        </w:rPr>
        <w:t xml:space="preserve">is </w:t>
      </w:r>
      <w:r w:rsidRPr="006C5A7A">
        <w:rPr>
          <w:rFonts w:eastAsia="Calibri" w:cstheme="minorHAnsi"/>
          <w:sz w:val="24"/>
          <w:szCs w:val="24"/>
        </w:rPr>
        <w:t>not a formal decision-making body. It provide</w:t>
      </w:r>
      <w:r w:rsidR="009540FF">
        <w:rPr>
          <w:rFonts w:eastAsia="Calibri" w:cstheme="minorHAnsi"/>
          <w:sz w:val="24"/>
          <w:szCs w:val="24"/>
        </w:rPr>
        <w:t>s</w:t>
      </w:r>
      <w:r w:rsidRPr="006C5A7A">
        <w:rPr>
          <w:rFonts w:eastAsia="Calibri" w:cstheme="minorHAnsi"/>
          <w:sz w:val="24"/>
          <w:szCs w:val="24"/>
        </w:rPr>
        <w:t xml:space="preserve"> expert advice to the Government, referred at the discretion of the Minister for Education.</w:t>
      </w:r>
    </w:p>
    <w:p w14:paraId="6B8E75C8" w14:textId="121943B9"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The Committee report</w:t>
      </w:r>
      <w:r w:rsidR="009540FF">
        <w:rPr>
          <w:rFonts w:eastAsia="Calibri" w:cstheme="minorHAnsi"/>
          <w:sz w:val="24"/>
          <w:szCs w:val="24"/>
        </w:rPr>
        <w:t>s</w:t>
      </w:r>
      <w:r w:rsidRPr="006C5A7A">
        <w:rPr>
          <w:rFonts w:eastAsia="Calibri" w:cstheme="minorHAnsi"/>
          <w:sz w:val="24"/>
          <w:szCs w:val="24"/>
        </w:rPr>
        <w:t xml:space="preserve"> to both the Minister for Education and the Minister for Skills and Training on tertiary reforms and targets and the Minister for Education on higher education funding and governance.</w:t>
      </w:r>
    </w:p>
    <w:p w14:paraId="53497B6E" w14:textId="77777777" w:rsidR="006C5A7A" w:rsidRPr="006C5A7A" w:rsidRDefault="006C5A7A" w:rsidP="006C5A7A">
      <w:pPr>
        <w:tabs>
          <w:tab w:val="left" w:pos="0"/>
        </w:tabs>
        <w:rPr>
          <w:rFonts w:eastAsia="Calibri" w:cstheme="minorHAnsi"/>
          <w:b/>
          <w:sz w:val="24"/>
          <w:szCs w:val="24"/>
        </w:rPr>
      </w:pPr>
      <w:r w:rsidRPr="006C5A7A">
        <w:rPr>
          <w:rFonts w:eastAsia="Calibri" w:cstheme="minorHAnsi"/>
          <w:b/>
          <w:sz w:val="24"/>
          <w:szCs w:val="24"/>
        </w:rPr>
        <w:t>Timeframe and commitment</w:t>
      </w:r>
    </w:p>
    <w:p w14:paraId="45111BE1" w14:textId="0E82DA1A"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The Committee</w:t>
      </w:r>
      <w:r w:rsidR="006E2BA2">
        <w:rPr>
          <w:rFonts w:eastAsia="Calibri" w:cstheme="minorHAnsi"/>
          <w:sz w:val="24"/>
          <w:szCs w:val="24"/>
        </w:rPr>
        <w:t xml:space="preserve">’s term has been extended to </w:t>
      </w:r>
      <w:r w:rsidR="009540FF">
        <w:rPr>
          <w:rFonts w:eastAsia="Calibri" w:cstheme="minorHAnsi"/>
          <w:sz w:val="24"/>
          <w:szCs w:val="24"/>
        </w:rPr>
        <w:t>31 December</w:t>
      </w:r>
      <w:r w:rsidR="006E2BA2">
        <w:rPr>
          <w:rFonts w:eastAsia="Calibri" w:cstheme="minorHAnsi"/>
          <w:sz w:val="24"/>
          <w:szCs w:val="24"/>
        </w:rPr>
        <w:t xml:space="preserve"> 2025</w:t>
      </w:r>
      <w:r w:rsidR="00C661DE" w:rsidRPr="006C5A7A">
        <w:rPr>
          <w:rFonts w:eastAsia="Calibri" w:cstheme="minorHAnsi"/>
          <w:sz w:val="24"/>
          <w:szCs w:val="24"/>
        </w:rPr>
        <w:t>.</w:t>
      </w:r>
      <w:r w:rsidRPr="006C5A7A">
        <w:rPr>
          <w:rFonts w:eastAsia="Calibri" w:cstheme="minorHAnsi"/>
          <w:sz w:val="24"/>
          <w:szCs w:val="24"/>
        </w:rPr>
        <w:t xml:space="preserve"> The Committee will formally meet </w:t>
      </w:r>
      <w:r w:rsidR="000555AE">
        <w:rPr>
          <w:rFonts w:eastAsia="Calibri" w:cstheme="minorHAnsi"/>
          <w:sz w:val="24"/>
          <w:szCs w:val="24"/>
        </w:rPr>
        <w:t>approximately</w:t>
      </w:r>
      <w:r w:rsidRPr="006C5A7A">
        <w:rPr>
          <w:rFonts w:eastAsia="Calibri" w:cstheme="minorHAnsi"/>
          <w:sz w:val="24"/>
          <w:szCs w:val="24"/>
        </w:rPr>
        <w:t xml:space="preserve"> monthly</w:t>
      </w:r>
      <w:r w:rsidR="000555AE">
        <w:rPr>
          <w:rFonts w:eastAsia="Calibri" w:cstheme="minorHAnsi"/>
          <w:sz w:val="24"/>
          <w:szCs w:val="24"/>
        </w:rPr>
        <w:t xml:space="preserve"> until 1 July 2025</w:t>
      </w:r>
      <w:r w:rsidRPr="006C5A7A">
        <w:rPr>
          <w:rFonts w:eastAsia="Calibri" w:cstheme="minorHAnsi"/>
          <w:sz w:val="24"/>
          <w:szCs w:val="24"/>
        </w:rPr>
        <w:t>, with additional meetings as necessary in consultation with the Department of Education.</w:t>
      </w:r>
    </w:p>
    <w:p w14:paraId="3C675650" w14:textId="77777777" w:rsidR="006C5A7A" w:rsidRPr="006C5A7A" w:rsidRDefault="006C5A7A" w:rsidP="006C5A7A">
      <w:pPr>
        <w:tabs>
          <w:tab w:val="left" w:pos="0"/>
        </w:tabs>
        <w:rPr>
          <w:rFonts w:eastAsia="Calibri" w:cstheme="minorHAnsi"/>
          <w:b/>
          <w:sz w:val="24"/>
          <w:szCs w:val="24"/>
        </w:rPr>
      </w:pPr>
      <w:r w:rsidRPr="006C5A7A">
        <w:rPr>
          <w:rFonts w:eastAsia="Calibri" w:cstheme="minorHAnsi"/>
          <w:b/>
          <w:sz w:val="24"/>
          <w:szCs w:val="24"/>
        </w:rPr>
        <w:t>Membership</w:t>
      </w:r>
    </w:p>
    <w:p w14:paraId="63671127" w14:textId="4CF5CFCA"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 xml:space="preserve">The Committee </w:t>
      </w:r>
      <w:r w:rsidR="009540FF">
        <w:rPr>
          <w:rFonts w:eastAsia="Calibri" w:cstheme="minorHAnsi"/>
          <w:sz w:val="24"/>
          <w:szCs w:val="24"/>
        </w:rPr>
        <w:t>is</w:t>
      </w:r>
      <w:r w:rsidRPr="006C5A7A">
        <w:rPr>
          <w:rFonts w:eastAsia="Calibri" w:cstheme="minorHAnsi"/>
          <w:sz w:val="24"/>
          <w:szCs w:val="24"/>
        </w:rPr>
        <w:t xml:space="preserve"> chaired by the Secretary of the Department of Education, with members selected from individuals with experience in the tertiary education sector and public sector leadership.</w:t>
      </w:r>
    </w:p>
    <w:p w14:paraId="498D6D14" w14:textId="77777777" w:rsidR="006C5A7A" w:rsidRDefault="006C5A7A">
      <w:pPr>
        <w:rPr>
          <w:rFonts w:eastAsia="Calibri" w:cstheme="minorHAnsi"/>
          <w:b/>
          <w:sz w:val="24"/>
          <w:szCs w:val="24"/>
        </w:rPr>
      </w:pPr>
      <w:r>
        <w:rPr>
          <w:rFonts w:eastAsia="Calibri" w:cstheme="minorHAnsi"/>
          <w:b/>
          <w:sz w:val="24"/>
          <w:szCs w:val="24"/>
        </w:rPr>
        <w:br w:type="page"/>
      </w:r>
    </w:p>
    <w:p w14:paraId="0409FA0F" w14:textId="33EDEC42" w:rsidR="006C5A7A" w:rsidRPr="006C5A7A" w:rsidRDefault="006C5A7A" w:rsidP="006C5A7A">
      <w:pPr>
        <w:tabs>
          <w:tab w:val="left" w:pos="0"/>
        </w:tabs>
        <w:rPr>
          <w:rFonts w:eastAsia="Calibri" w:cstheme="minorHAnsi"/>
          <w:b/>
          <w:sz w:val="24"/>
          <w:szCs w:val="24"/>
        </w:rPr>
      </w:pPr>
      <w:r w:rsidRPr="006C5A7A">
        <w:rPr>
          <w:rFonts w:eastAsia="Calibri" w:cstheme="minorHAnsi"/>
          <w:b/>
          <w:sz w:val="24"/>
          <w:szCs w:val="24"/>
        </w:rPr>
        <w:lastRenderedPageBreak/>
        <w:t>Other members of the Committee are:</w:t>
      </w:r>
    </w:p>
    <w:p w14:paraId="0DCAD2B7"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eastAsia="Calibri" w:hAnsiTheme="minorHAnsi" w:cstheme="minorHAnsi"/>
          <w:szCs w:val="24"/>
        </w:rPr>
        <w:t>Professor David Lloyd</w:t>
      </w:r>
    </w:p>
    <w:p w14:paraId="390271F9"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eastAsia="Calibri" w:hAnsiTheme="minorHAnsi" w:cstheme="minorHAnsi"/>
          <w:szCs w:val="24"/>
        </w:rPr>
        <w:t>Professor the Hon. Verity Firth AM</w:t>
      </w:r>
    </w:p>
    <w:p w14:paraId="2DDB3FD7"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Professor Stephen Duckett AM</w:t>
      </w:r>
    </w:p>
    <w:p w14:paraId="4F2CE18A"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Professor Julia Horne</w:t>
      </w:r>
    </w:p>
    <w:p w14:paraId="07D53B16"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Professor Tom Calma AO</w:t>
      </w:r>
    </w:p>
    <w:p w14:paraId="1A486734"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Professor Barney Glover AO</w:t>
      </w:r>
    </w:p>
    <w:p w14:paraId="66ABEFCF" w14:textId="77777777" w:rsidR="006C5A7A" w:rsidRPr="00C400AB"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Ms Jenny Dodd</w:t>
      </w:r>
    </w:p>
    <w:p w14:paraId="6DAB6187" w14:textId="444197CE" w:rsidR="000963DD" w:rsidRPr="006C5A7A" w:rsidRDefault="000963DD"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Pr>
          <w:rFonts w:asciiTheme="minorHAnsi" w:hAnsiTheme="minorHAnsi" w:cstheme="minorHAnsi"/>
          <w:szCs w:val="24"/>
        </w:rPr>
        <w:t>Professor Rufus Black</w:t>
      </w:r>
    </w:p>
    <w:p w14:paraId="6D1BC1B2"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Ms Natalie James (Ex-Officio Member)</w:t>
      </w:r>
    </w:p>
    <w:p w14:paraId="5CE2C046" w14:textId="77777777" w:rsidR="006C5A7A" w:rsidRPr="006C5A7A" w:rsidRDefault="006C5A7A" w:rsidP="006C5A7A">
      <w:pPr>
        <w:pStyle w:val="ListParagraph"/>
        <w:numPr>
          <w:ilvl w:val="0"/>
          <w:numId w:val="4"/>
        </w:numPr>
        <w:spacing w:after="160" w:line="259" w:lineRule="auto"/>
        <w:ind w:left="357" w:hanging="357"/>
        <w:contextualSpacing w:val="0"/>
        <w:rPr>
          <w:rFonts w:asciiTheme="minorHAnsi" w:eastAsia="Calibri" w:hAnsiTheme="minorHAnsi" w:cstheme="minorHAnsi"/>
          <w:szCs w:val="24"/>
        </w:rPr>
      </w:pPr>
      <w:r w:rsidRPr="006C5A7A">
        <w:rPr>
          <w:rFonts w:asciiTheme="minorHAnsi" w:hAnsiTheme="minorHAnsi" w:cstheme="minorHAnsi"/>
          <w:szCs w:val="24"/>
        </w:rPr>
        <w:t>Mr Ben Rimmer (Ex-Officio Member)</w:t>
      </w:r>
    </w:p>
    <w:p w14:paraId="025DE00C" w14:textId="77777777" w:rsidR="006C5A7A" w:rsidRPr="006C5A7A" w:rsidRDefault="006C5A7A" w:rsidP="006C5A7A">
      <w:pPr>
        <w:tabs>
          <w:tab w:val="left" w:pos="0"/>
        </w:tabs>
        <w:rPr>
          <w:rFonts w:eastAsia="Calibri" w:cstheme="minorHAnsi"/>
          <w:b/>
          <w:sz w:val="24"/>
          <w:szCs w:val="24"/>
        </w:rPr>
      </w:pPr>
      <w:r w:rsidRPr="006C5A7A">
        <w:rPr>
          <w:rFonts w:eastAsia="Calibri" w:cstheme="minorHAnsi"/>
          <w:b/>
          <w:sz w:val="24"/>
          <w:szCs w:val="24"/>
        </w:rPr>
        <w:t>Secretariat Support and Consultation Processes</w:t>
      </w:r>
    </w:p>
    <w:p w14:paraId="6668ECDF" w14:textId="77777777" w:rsidR="006C5A7A" w:rsidRPr="006C5A7A" w:rsidRDefault="006C5A7A" w:rsidP="006C5A7A">
      <w:pPr>
        <w:spacing w:line="240" w:lineRule="auto"/>
        <w:rPr>
          <w:rFonts w:eastAsia="Calibri" w:cstheme="minorHAnsi"/>
          <w:sz w:val="24"/>
          <w:szCs w:val="24"/>
        </w:rPr>
      </w:pPr>
      <w:r w:rsidRPr="006C5A7A">
        <w:rPr>
          <w:rFonts w:eastAsia="Calibri" w:cstheme="minorHAnsi"/>
          <w:sz w:val="24"/>
          <w:szCs w:val="24"/>
        </w:rPr>
        <w:t>The Department of Education will provide secretariat services to support the role and general functions of the Committee. This may include providing materials to inform the Committee’s advice to Government and arranging meetings, including covering travel and related expenses.</w:t>
      </w:r>
    </w:p>
    <w:p w14:paraId="78F345A3" w14:textId="313A4A2E" w:rsidR="00BD0CCB" w:rsidRPr="007F02E5" w:rsidRDefault="006C5A7A" w:rsidP="00C400AB">
      <w:pPr>
        <w:spacing w:line="240" w:lineRule="auto"/>
        <w:rPr>
          <w:sz w:val="24"/>
          <w:szCs w:val="24"/>
        </w:rPr>
      </w:pPr>
      <w:r w:rsidRPr="006C5A7A">
        <w:rPr>
          <w:rFonts w:eastAsia="Calibri" w:cstheme="minorHAnsi"/>
          <w:sz w:val="24"/>
          <w:szCs w:val="24"/>
        </w:rPr>
        <w:t>The Department of Education will also ensure information from the wider consultation processes on the Government response to the Universities Accord will be provided to the Committee as required.</w:t>
      </w:r>
    </w:p>
    <w:sectPr w:rsidR="00BD0CCB" w:rsidRPr="007F02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500B" w14:textId="77777777" w:rsidR="00ED5AB4" w:rsidRDefault="00ED5AB4" w:rsidP="005C2D35">
      <w:pPr>
        <w:spacing w:after="0" w:line="240" w:lineRule="auto"/>
      </w:pPr>
      <w:r>
        <w:separator/>
      </w:r>
    </w:p>
  </w:endnote>
  <w:endnote w:type="continuationSeparator" w:id="0">
    <w:p w14:paraId="7E3AB13D" w14:textId="77777777" w:rsidR="00ED5AB4" w:rsidRDefault="00ED5AB4" w:rsidP="005C2D35">
      <w:pPr>
        <w:spacing w:after="0" w:line="240" w:lineRule="auto"/>
      </w:pPr>
      <w:r>
        <w:continuationSeparator/>
      </w:r>
    </w:p>
  </w:endnote>
  <w:endnote w:type="continuationNotice" w:id="1">
    <w:p w14:paraId="3C95DF38" w14:textId="77777777" w:rsidR="00ED5AB4" w:rsidRDefault="00ED5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7A29" w14:textId="6DFFED00" w:rsidR="00960684" w:rsidRDefault="00BC626A">
    <w:pPr>
      <w:pStyle w:val="Footer"/>
      <w:jc w:val="right"/>
    </w:pPr>
    <w:sdt>
      <w:sdtPr>
        <w:id w:val="-761143698"/>
        <w:docPartObj>
          <w:docPartGallery w:val="Page Numbers (Bottom of Page)"/>
          <w:docPartUnique/>
        </w:docPartObj>
      </w:sdtPr>
      <w:sdtEndPr>
        <w:rPr>
          <w:noProof/>
        </w:rPr>
      </w:sdtEndPr>
      <w:sdtContent>
        <w:r w:rsidR="00960684">
          <w:fldChar w:fldCharType="begin"/>
        </w:r>
        <w:r w:rsidR="00960684">
          <w:instrText xml:space="preserve"> PAGE   \* MERGEFORMAT </w:instrText>
        </w:r>
        <w:r w:rsidR="00960684">
          <w:fldChar w:fldCharType="separate"/>
        </w:r>
        <w:r w:rsidR="00960684">
          <w:rPr>
            <w:noProof/>
          </w:rPr>
          <w:t>2</w:t>
        </w:r>
        <w:r w:rsidR="00960684">
          <w:rPr>
            <w:noProof/>
          </w:rPr>
          <w:fldChar w:fldCharType="end"/>
        </w:r>
      </w:sdtContent>
    </w:sdt>
  </w:p>
  <w:p w14:paraId="4DE6591B" w14:textId="2860C334" w:rsidR="005C2D35" w:rsidRDefault="005C2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5DAC" w14:textId="77777777" w:rsidR="00ED5AB4" w:rsidRDefault="00ED5AB4" w:rsidP="005C2D35">
      <w:pPr>
        <w:spacing w:after="0" w:line="240" w:lineRule="auto"/>
      </w:pPr>
      <w:r>
        <w:separator/>
      </w:r>
    </w:p>
  </w:footnote>
  <w:footnote w:type="continuationSeparator" w:id="0">
    <w:p w14:paraId="527D28B1" w14:textId="77777777" w:rsidR="00ED5AB4" w:rsidRDefault="00ED5AB4" w:rsidP="005C2D35">
      <w:pPr>
        <w:spacing w:after="0" w:line="240" w:lineRule="auto"/>
      </w:pPr>
      <w:r>
        <w:continuationSeparator/>
      </w:r>
    </w:p>
  </w:footnote>
  <w:footnote w:type="continuationNotice" w:id="1">
    <w:p w14:paraId="53302177" w14:textId="77777777" w:rsidR="00ED5AB4" w:rsidRDefault="00ED5A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1E52"/>
    <w:multiLevelType w:val="hybridMultilevel"/>
    <w:tmpl w:val="A3046B0C"/>
    <w:lvl w:ilvl="0" w:tplc="0C090001">
      <w:start w:val="1"/>
      <w:numFmt w:val="bullet"/>
      <w:lvlText w:val=""/>
      <w:lvlJc w:val="left"/>
      <w:pPr>
        <w:ind w:left="360" w:hanging="360"/>
      </w:pPr>
      <w:rPr>
        <w:rFonts w:ascii="Symbol" w:hAnsi="Symbol" w:hint="default"/>
        <w:i w:val="0"/>
      </w:rPr>
    </w:lvl>
    <w:lvl w:ilvl="1" w:tplc="FFFFFFFF">
      <w:start w:val="1"/>
      <w:numFmt w:val="lowerLetter"/>
      <w:lvlText w:val="%2)"/>
      <w:lvlJc w:val="left"/>
      <w:pPr>
        <w:ind w:left="1080" w:hanging="360"/>
      </w:pPr>
    </w:lvl>
    <w:lvl w:ilvl="2" w:tplc="FFFFFFFF">
      <w:numFmt w:val="bullet"/>
      <w:lvlText w:val="•"/>
      <w:lvlJc w:val="left"/>
      <w:pPr>
        <w:ind w:left="2340" w:hanging="720"/>
      </w:pPr>
      <w:rPr>
        <w:rFonts w:ascii="Calibri" w:eastAsia="Calibr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2F53D2D"/>
    <w:multiLevelType w:val="hybridMultilevel"/>
    <w:tmpl w:val="52D07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CC1EC0"/>
    <w:multiLevelType w:val="hybridMultilevel"/>
    <w:tmpl w:val="C6B24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FE7578"/>
    <w:multiLevelType w:val="hybridMultilevel"/>
    <w:tmpl w:val="D15672AE"/>
    <w:lvl w:ilvl="0" w:tplc="404CF1DA">
      <w:start w:val="1"/>
      <w:numFmt w:val="decimal"/>
      <w:lvlText w:val="%1."/>
      <w:lvlJc w:val="left"/>
      <w:pPr>
        <w:ind w:left="2771" w:hanging="360"/>
      </w:pPr>
      <w:rPr>
        <w:rFonts w:cs="Times New Roman" w:hint="default"/>
        <w:b w:val="0"/>
        <w:bCs/>
        <w:color w:val="auto"/>
      </w:rPr>
    </w:lvl>
    <w:lvl w:ilvl="1" w:tplc="E2CEA52E">
      <w:start w:val="1"/>
      <w:numFmt w:val="lowerLetter"/>
      <w:lvlText w:val="%2."/>
      <w:lvlJc w:val="left"/>
      <w:pPr>
        <w:ind w:left="1440" w:hanging="360"/>
      </w:pPr>
    </w:lvl>
    <w:lvl w:ilvl="2" w:tplc="66B82D8E" w:tentative="1">
      <w:start w:val="1"/>
      <w:numFmt w:val="lowerRoman"/>
      <w:lvlText w:val="%3."/>
      <w:lvlJc w:val="right"/>
      <w:pPr>
        <w:ind w:left="2160" w:hanging="180"/>
      </w:pPr>
    </w:lvl>
    <w:lvl w:ilvl="3" w:tplc="221A819C" w:tentative="1">
      <w:start w:val="1"/>
      <w:numFmt w:val="decimal"/>
      <w:lvlText w:val="%4."/>
      <w:lvlJc w:val="left"/>
      <w:pPr>
        <w:ind w:left="2880" w:hanging="360"/>
      </w:pPr>
    </w:lvl>
    <w:lvl w:ilvl="4" w:tplc="C4FC8B8E" w:tentative="1">
      <w:start w:val="1"/>
      <w:numFmt w:val="lowerLetter"/>
      <w:lvlText w:val="%5."/>
      <w:lvlJc w:val="left"/>
      <w:pPr>
        <w:ind w:left="3600" w:hanging="360"/>
      </w:pPr>
    </w:lvl>
    <w:lvl w:ilvl="5" w:tplc="5ECE8CC8" w:tentative="1">
      <w:start w:val="1"/>
      <w:numFmt w:val="lowerRoman"/>
      <w:lvlText w:val="%6."/>
      <w:lvlJc w:val="right"/>
      <w:pPr>
        <w:ind w:left="4320" w:hanging="180"/>
      </w:pPr>
    </w:lvl>
    <w:lvl w:ilvl="6" w:tplc="6A62A5D2" w:tentative="1">
      <w:start w:val="1"/>
      <w:numFmt w:val="decimal"/>
      <w:lvlText w:val="%7."/>
      <w:lvlJc w:val="left"/>
      <w:pPr>
        <w:ind w:left="5040" w:hanging="360"/>
      </w:pPr>
    </w:lvl>
    <w:lvl w:ilvl="7" w:tplc="EE9EAB56" w:tentative="1">
      <w:start w:val="1"/>
      <w:numFmt w:val="lowerLetter"/>
      <w:lvlText w:val="%8."/>
      <w:lvlJc w:val="left"/>
      <w:pPr>
        <w:ind w:left="5760" w:hanging="360"/>
      </w:pPr>
    </w:lvl>
    <w:lvl w:ilvl="8" w:tplc="94A87C4E" w:tentative="1">
      <w:start w:val="1"/>
      <w:numFmt w:val="lowerRoman"/>
      <w:lvlText w:val="%9."/>
      <w:lvlJc w:val="right"/>
      <w:pPr>
        <w:ind w:left="6480" w:hanging="180"/>
      </w:pPr>
    </w:lvl>
  </w:abstractNum>
  <w:num w:numId="1" w16cid:durableId="808281902">
    <w:abstractNumId w:val="3"/>
  </w:num>
  <w:num w:numId="2" w16cid:durableId="879243993">
    <w:abstractNumId w:val="2"/>
  </w:num>
  <w:num w:numId="3" w16cid:durableId="1723022397">
    <w:abstractNumId w:val="1"/>
  </w:num>
  <w:num w:numId="4" w16cid:durableId="192526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5"/>
    <w:rsid w:val="00007AC5"/>
    <w:rsid w:val="00017A09"/>
    <w:rsid w:val="00017DBE"/>
    <w:rsid w:val="00027C79"/>
    <w:rsid w:val="0004178D"/>
    <w:rsid w:val="000555AE"/>
    <w:rsid w:val="00063510"/>
    <w:rsid w:val="00063C04"/>
    <w:rsid w:val="000843F8"/>
    <w:rsid w:val="00092916"/>
    <w:rsid w:val="000963DD"/>
    <w:rsid w:val="000A0E83"/>
    <w:rsid w:val="000A1C14"/>
    <w:rsid w:val="000D0714"/>
    <w:rsid w:val="000D4BC9"/>
    <w:rsid w:val="000E78C3"/>
    <w:rsid w:val="00107412"/>
    <w:rsid w:val="0011014A"/>
    <w:rsid w:val="0011475E"/>
    <w:rsid w:val="001149EF"/>
    <w:rsid w:val="001222EE"/>
    <w:rsid w:val="00123897"/>
    <w:rsid w:val="00126058"/>
    <w:rsid w:val="00133BB6"/>
    <w:rsid w:val="001568CA"/>
    <w:rsid w:val="0016409F"/>
    <w:rsid w:val="001723B7"/>
    <w:rsid w:val="00173111"/>
    <w:rsid w:val="00173B97"/>
    <w:rsid w:val="00191B82"/>
    <w:rsid w:val="001A2BF9"/>
    <w:rsid w:val="001A5EB1"/>
    <w:rsid w:val="001B5E25"/>
    <w:rsid w:val="001B683B"/>
    <w:rsid w:val="001E5015"/>
    <w:rsid w:val="002125E6"/>
    <w:rsid w:val="00212D62"/>
    <w:rsid w:val="00215714"/>
    <w:rsid w:val="002173CE"/>
    <w:rsid w:val="00225532"/>
    <w:rsid w:val="00235246"/>
    <w:rsid w:val="00253D0E"/>
    <w:rsid w:val="002578C3"/>
    <w:rsid w:val="00270697"/>
    <w:rsid w:val="00274390"/>
    <w:rsid w:val="002833B5"/>
    <w:rsid w:val="002839C4"/>
    <w:rsid w:val="00291E2B"/>
    <w:rsid w:val="002A1111"/>
    <w:rsid w:val="002A4839"/>
    <w:rsid w:val="002B545F"/>
    <w:rsid w:val="002D003A"/>
    <w:rsid w:val="002E314F"/>
    <w:rsid w:val="002E3595"/>
    <w:rsid w:val="002E393B"/>
    <w:rsid w:val="002F0BE5"/>
    <w:rsid w:val="002F459C"/>
    <w:rsid w:val="0030025D"/>
    <w:rsid w:val="00317D7A"/>
    <w:rsid w:val="00324C76"/>
    <w:rsid w:val="00336201"/>
    <w:rsid w:val="003525F5"/>
    <w:rsid w:val="00367541"/>
    <w:rsid w:val="00381E5D"/>
    <w:rsid w:val="00392C14"/>
    <w:rsid w:val="00393BD6"/>
    <w:rsid w:val="003B194A"/>
    <w:rsid w:val="003C2082"/>
    <w:rsid w:val="003C214D"/>
    <w:rsid w:val="003D2865"/>
    <w:rsid w:val="003D7254"/>
    <w:rsid w:val="003E0BEC"/>
    <w:rsid w:val="003E3608"/>
    <w:rsid w:val="003E7F5B"/>
    <w:rsid w:val="003F4BBF"/>
    <w:rsid w:val="003F6100"/>
    <w:rsid w:val="004065E6"/>
    <w:rsid w:val="00420859"/>
    <w:rsid w:val="004270E3"/>
    <w:rsid w:val="00451503"/>
    <w:rsid w:val="00483CDC"/>
    <w:rsid w:val="00485E2E"/>
    <w:rsid w:val="004967A2"/>
    <w:rsid w:val="004A1774"/>
    <w:rsid w:val="004C5CFC"/>
    <w:rsid w:val="004D00FC"/>
    <w:rsid w:val="004D3E61"/>
    <w:rsid w:val="004D7D16"/>
    <w:rsid w:val="004E2DBD"/>
    <w:rsid w:val="004E7EDD"/>
    <w:rsid w:val="004F1785"/>
    <w:rsid w:val="00503BDB"/>
    <w:rsid w:val="00520D94"/>
    <w:rsid w:val="005270B5"/>
    <w:rsid w:val="00527543"/>
    <w:rsid w:val="00553AE3"/>
    <w:rsid w:val="005666AA"/>
    <w:rsid w:val="00570352"/>
    <w:rsid w:val="005726DE"/>
    <w:rsid w:val="00575410"/>
    <w:rsid w:val="00582A55"/>
    <w:rsid w:val="00593C41"/>
    <w:rsid w:val="005B17EA"/>
    <w:rsid w:val="005B51A5"/>
    <w:rsid w:val="005C132C"/>
    <w:rsid w:val="005C2D35"/>
    <w:rsid w:val="005D22C8"/>
    <w:rsid w:val="005D3842"/>
    <w:rsid w:val="005D6B0C"/>
    <w:rsid w:val="005E1AD8"/>
    <w:rsid w:val="005F368F"/>
    <w:rsid w:val="00601AD0"/>
    <w:rsid w:val="00603B47"/>
    <w:rsid w:val="006053D8"/>
    <w:rsid w:val="00606B7B"/>
    <w:rsid w:val="0062656A"/>
    <w:rsid w:val="00636A83"/>
    <w:rsid w:val="00643E92"/>
    <w:rsid w:val="00646C8C"/>
    <w:rsid w:val="00654E77"/>
    <w:rsid w:val="006563D8"/>
    <w:rsid w:val="006719B1"/>
    <w:rsid w:val="00676C6B"/>
    <w:rsid w:val="006B6377"/>
    <w:rsid w:val="006C5A7A"/>
    <w:rsid w:val="006C6FE3"/>
    <w:rsid w:val="006D1804"/>
    <w:rsid w:val="006D5A25"/>
    <w:rsid w:val="006E2BA2"/>
    <w:rsid w:val="006F06E6"/>
    <w:rsid w:val="00721611"/>
    <w:rsid w:val="00726689"/>
    <w:rsid w:val="00727DDC"/>
    <w:rsid w:val="00737106"/>
    <w:rsid w:val="0075359E"/>
    <w:rsid w:val="00754201"/>
    <w:rsid w:val="007642F8"/>
    <w:rsid w:val="007A0021"/>
    <w:rsid w:val="007A3FFA"/>
    <w:rsid w:val="007B0625"/>
    <w:rsid w:val="007E7ABB"/>
    <w:rsid w:val="007E7CE6"/>
    <w:rsid w:val="007F02E5"/>
    <w:rsid w:val="007F6136"/>
    <w:rsid w:val="008016A6"/>
    <w:rsid w:val="0080348E"/>
    <w:rsid w:val="00804A67"/>
    <w:rsid w:val="00823072"/>
    <w:rsid w:val="00830F31"/>
    <w:rsid w:val="00835F8C"/>
    <w:rsid w:val="0084158A"/>
    <w:rsid w:val="00843D85"/>
    <w:rsid w:val="00846D91"/>
    <w:rsid w:val="008511C8"/>
    <w:rsid w:val="00856A7E"/>
    <w:rsid w:val="00863FAF"/>
    <w:rsid w:val="008659F4"/>
    <w:rsid w:val="00875B8A"/>
    <w:rsid w:val="008B0068"/>
    <w:rsid w:val="008B44C4"/>
    <w:rsid w:val="008C314C"/>
    <w:rsid w:val="008C578F"/>
    <w:rsid w:val="008D1FFA"/>
    <w:rsid w:val="008D4058"/>
    <w:rsid w:val="008F7175"/>
    <w:rsid w:val="00901FAA"/>
    <w:rsid w:val="00912328"/>
    <w:rsid w:val="00923097"/>
    <w:rsid w:val="00932CD2"/>
    <w:rsid w:val="009365E1"/>
    <w:rsid w:val="009409D6"/>
    <w:rsid w:val="009540FF"/>
    <w:rsid w:val="00960684"/>
    <w:rsid w:val="009608F8"/>
    <w:rsid w:val="0096551A"/>
    <w:rsid w:val="00966790"/>
    <w:rsid w:val="00972B6E"/>
    <w:rsid w:val="009768AB"/>
    <w:rsid w:val="00981795"/>
    <w:rsid w:val="009872EA"/>
    <w:rsid w:val="009874EE"/>
    <w:rsid w:val="009B5642"/>
    <w:rsid w:val="009B6925"/>
    <w:rsid w:val="009C02F8"/>
    <w:rsid w:val="009C6368"/>
    <w:rsid w:val="009D0D1B"/>
    <w:rsid w:val="00A02845"/>
    <w:rsid w:val="00A02EDD"/>
    <w:rsid w:val="00A04177"/>
    <w:rsid w:val="00A12973"/>
    <w:rsid w:val="00A1601A"/>
    <w:rsid w:val="00A32334"/>
    <w:rsid w:val="00A35845"/>
    <w:rsid w:val="00A6494F"/>
    <w:rsid w:val="00A703C8"/>
    <w:rsid w:val="00A85A3B"/>
    <w:rsid w:val="00AA0E62"/>
    <w:rsid w:val="00AA1366"/>
    <w:rsid w:val="00AF083F"/>
    <w:rsid w:val="00B009C8"/>
    <w:rsid w:val="00B014A0"/>
    <w:rsid w:val="00B1162D"/>
    <w:rsid w:val="00B20B58"/>
    <w:rsid w:val="00B21AD7"/>
    <w:rsid w:val="00B248A4"/>
    <w:rsid w:val="00B53F14"/>
    <w:rsid w:val="00B55470"/>
    <w:rsid w:val="00B56B2E"/>
    <w:rsid w:val="00B63280"/>
    <w:rsid w:val="00B86568"/>
    <w:rsid w:val="00BA1305"/>
    <w:rsid w:val="00BA73A6"/>
    <w:rsid w:val="00BB0325"/>
    <w:rsid w:val="00BC0C76"/>
    <w:rsid w:val="00BC34C1"/>
    <w:rsid w:val="00BD0CCB"/>
    <w:rsid w:val="00BD61DC"/>
    <w:rsid w:val="00BF0A73"/>
    <w:rsid w:val="00BF3E6A"/>
    <w:rsid w:val="00C11DB6"/>
    <w:rsid w:val="00C21E54"/>
    <w:rsid w:val="00C304D5"/>
    <w:rsid w:val="00C400AB"/>
    <w:rsid w:val="00C40BDD"/>
    <w:rsid w:val="00C43D14"/>
    <w:rsid w:val="00C47EEB"/>
    <w:rsid w:val="00C5089C"/>
    <w:rsid w:val="00C51A3B"/>
    <w:rsid w:val="00C661DE"/>
    <w:rsid w:val="00C66740"/>
    <w:rsid w:val="00C767F9"/>
    <w:rsid w:val="00C94956"/>
    <w:rsid w:val="00C96B18"/>
    <w:rsid w:val="00CA12C2"/>
    <w:rsid w:val="00CA5363"/>
    <w:rsid w:val="00CA6C31"/>
    <w:rsid w:val="00CA7DD8"/>
    <w:rsid w:val="00CB2462"/>
    <w:rsid w:val="00CB5388"/>
    <w:rsid w:val="00CB6E0C"/>
    <w:rsid w:val="00CE4E15"/>
    <w:rsid w:val="00CE7FD8"/>
    <w:rsid w:val="00D177AA"/>
    <w:rsid w:val="00D202FE"/>
    <w:rsid w:val="00D246E5"/>
    <w:rsid w:val="00D2668F"/>
    <w:rsid w:val="00D3470A"/>
    <w:rsid w:val="00D45A71"/>
    <w:rsid w:val="00D5394A"/>
    <w:rsid w:val="00D64BDF"/>
    <w:rsid w:val="00D81A8D"/>
    <w:rsid w:val="00D84854"/>
    <w:rsid w:val="00D942FC"/>
    <w:rsid w:val="00D95C4A"/>
    <w:rsid w:val="00DA5AE1"/>
    <w:rsid w:val="00DB650D"/>
    <w:rsid w:val="00DC2998"/>
    <w:rsid w:val="00DC3C7F"/>
    <w:rsid w:val="00DE6771"/>
    <w:rsid w:val="00E01A57"/>
    <w:rsid w:val="00E2395C"/>
    <w:rsid w:val="00E33114"/>
    <w:rsid w:val="00E34FF5"/>
    <w:rsid w:val="00E417BB"/>
    <w:rsid w:val="00E420AE"/>
    <w:rsid w:val="00E60F51"/>
    <w:rsid w:val="00E66991"/>
    <w:rsid w:val="00E814A4"/>
    <w:rsid w:val="00E90352"/>
    <w:rsid w:val="00EA268C"/>
    <w:rsid w:val="00EA58EC"/>
    <w:rsid w:val="00EA6061"/>
    <w:rsid w:val="00EB05F4"/>
    <w:rsid w:val="00EB4B77"/>
    <w:rsid w:val="00EB51ED"/>
    <w:rsid w:val="00ED380C"/>
    <w:rsid w:val="00ED5AB4"/>
    <w:rsid w:val="00ED6BDF"/>
    <w:rsid w:val="00EE4594"/>
    <w:rsid w:val="00EF35CC"/>
    <w:rsid w:val="00F13F2C"/>
    <w:rsid w:val="00F17132"/>
    <w:rsid w:val="00F26FB5"/>
    <w:rsid w:val="00F3292A"/>
    <w:rsid w:val="00F41CEE"/>
    <w:rsid w:val="00F651F7"/>
    <w:rsid w:val="00FA0F21"/>
    <w:rsid w:val="00FA26DA"/>
    <w:rsid w:val="00FA69DF"/>
    <w:rsid w:val="00FC2706"/>
    <w:rsid w:val="00FD4B6E"/>
    <w:rsid w:val="00FF6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19573"/>
  <w15:chartTrackingRefBased/>
  <w15:docId w15:val="{8E5DDEF9-5908-4634-A338-2BFAA5BA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3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D35"/>
    <w:rPr>
      <w:kern w:val="0"/>
      <w14:ligatures w14:val="none"/>
    </w:rPr>
  </w:style>
  <w:style w:type="paragraph" w:styleId="Footer">
    <w:name w:val="footer"/>
    <w:basedOn w:val="Normal"/>
    <w:link w:val="FooterChar"/>
    <w:uiPriority w:val="99"/>
    <w:unhideWhenUsed/>
    <w:rsid w:val="005C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D35"/>
    <w:rPr>
      <w:kern w:val="0"/>
      <w14:ligatures w14:val="none"/>
    </w:rPr>
  </w:style>
  <w:style w:type="paragraph" w:styleId="Revision">
    <w:name w:val="Revision"/>
    <w:hidden/>
    <w:uiPriority w:val="99"/>
    <w:semiHidden/>
    <w:rsid w:val="003C214D"/>
    <w:pPr>
      <w:spacing w:after="0" w:line="240" w:lineRule="auto"/>
    </w:pPr>
    <w:rPr>
      <w:kern w:val="0"/>
      <w14:ligatures w14:val="none"/>
    </w:rPr>
  </w:style>
  <w:style w:type="character" w:styleId="CommentReference">
    <w:name w:val="annotation reference"/>
    <w:basedOn w:val="DefaultParagraphFont"/>
    <w:uiPriority w:val="99"/>
    <w:semiHidden/>
    <w:unhideWhenUsed/>
    <w:rsid w:val="003C214D"/>
    <w:rPr>
      <w:sz w:val="16"/>
      <w:szCs w:val="16"/>
    </w:rPr>
  </w:style>
  <w:style w:type="paragraph" w:styleId="CommentText">
    <w:name w:val="annotation text"/>
    <w:basedOn w:val="Normal"/>
    <w:link w:val="CommentTextChar"/>
    <w:uiPriority w:val="99"/>
    <w:unhideWhenUsed/>
    <w:rsid w:val="003C214D"/>
    <w:pPr>
      <w:spacing w:line="240" w:lineRule="auto"/>
    </w:pPr>
    <w:rPr>
      <w:sz w:val="20"/>
      <w:szCs w:val="20"/>
    </w:rPr>
  </w:style>
  <w:style w:type="character" w:customStyle="1" w:styleId="CommentTextChar">
    <w:name w:val="Comment Text Char"/>
    <w:basedOn w:val="DefaultParagraphFont"/>
    <w:link w:val="CommentText"/>
    <w:uiPriority w:val="99"/>
    <w:rsid w:val="003C21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214D"/>
    <w:rPr>
      <w:b/>
      <w:bCs/>
    </w:rPr>
  </w:style>
  <w:style w:type="character" w:customStyle="1" w:styleId="CommentSubjectChar">
    <w:name w:val="Comment Subject Char"/>
    <w:basedOn w:val="CommentTextChar"/>
    <w:link w:val="CommentSubject"/>
    <w:uiPriority w:val="99"/>
    <w:semiHidden/>
    <w:rsid w:val="003C214D"/>
    <w:rPr>
      <w:b/>
      <w:bCs/>
      <w:kern w:val="0"/>
      <w:sz w:val="20"/>
      <w:szCs w:val="20"/>
      <w14:ligatures w14:val="none"/>
    </w:rPr>
  </w:style>
  <w:style w:type="paragraph" w:styleId="ListParagraph">
    <w:name w:val="List Paragraph"/>
    <w:basedOn w:val="Normal"/>
    <w:link w:val="ListParagraphChar"/>
    <w:uiPriority w:val="34"/>
    <w:qFormat/>
    <w:rsid w:val="005B17EA"/>
    <w:pPr>
      <w:spacing w:after="200" w:line="276" w:lineRule="auto"/>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rsid w:val="005B17EA"/>
    <w:rPr>
      <w:rFonts w:ascii="Times New Roman" w:hAnsi="Times New Roman"/>
      <w:kern w:val="0"/>
      <w:sz w:val="24"/>
      <w14:ligatures w14:val="none"/>
    </w:rPr>
  </w:style>
  <w:style w:type="paragraph" w:styleId="EndnoteText">
    <w:name w:val="endnote text"/>
    <w:basedOn w:val="Normal"/>
    <w:link w:val="EndnoteTextChar"/>
    <w:uiPriority w:val="99"/>
    <w:semiHidden/>
    <w:unhideWhenUsed/>
    <w:rsid w:val="009C02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2F8"/>
    <w:rPr>
      <w:kern w:val="0"/>
      <w:sz w:val="20"/>
      <w:szCs w:val="20"/>
      <w14:ligatures w14:val="none"/>
    </w:rPr>
  </w:style>
  <w:style w:type="character" w:styleId="EndnoteReference">
    <w:name w:val="endnote reference"/>
    <w:basedOn w:val="DefaultParagraphFont"/>
    <w:uiPriority w:val="99"/>
    <w:semiHidden/>
    <w:unhideWhenUsed/>
    <w:rsid w:val="009C02F8"/>
    <w:rPr>
      <w:vertAlign w:val="superscript"/>
    </w:rPr>
  </w:style>
  <w:style w:type="character" w:styleId="Hyperlink">
    <w:name w:val="Hyperlink"/>
    <w:basedOn w:val="DefaultParagraphFont"/>
    <w:uiPriority w:val="99"/>
    <w:unhideWhenUsed/>
    <w:rsid w:val="001E5015"/>
    <w:rPr>
      <w:color w:val="0563C1" w:themeColor="hyperlink"/>
      <w:u w:val="single"/>
    </w:rPr>
  </w:style>
  <w:style w:type="character" w:styleId="UnresolvedMention">
    <w:name w:val="Unresolved Mention"/>
    <w:basedOn w:val="DefaultParagraphFont"/>
    <w:uiPriority w:val="99"/>
    <w:semiHidden/>
    <w:unhideWhenUsed/>
    <w:rsid w:val="001E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TaxCatchAll xmlns="150ed607-d011-45d5-8216-b1990882b9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18" ma:contentTypeDescription="Create a new document." ma:contentTypeScope="" ma:versionID="b1df879bd7206bb25094ad3051a67470">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284c4db8772963121aa7e1962d70df8d"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1CDA5-A76F-45F2-9F87-EA013F80B79C}">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3B41A53-3F53-48AD-BFD4-2C0799040FA0"/>
    <ds:schemaRef ds:uri="http://purl.org/dc/terms/"/>
  </ds:schemaRefs>
</ds:datastoreItem>
</file>

<file path=customXml/itemProps2.xml><?xml version="1.0" encoding="utf-8"?>
<ds:datastoreItem xmlns:ds="http://schemas.openxmlformats.org/officeDocument/2006/customXml" ds:itemID="{E9D4D3CF-DAB3-49D5-97F6-F134E77D8E20}">
  <ds:schemaRefs>
    <ds:schemaRef ds:uri="http://schemas.microsoft.com/sharepoint/v3/contenttype/forms"/>
  </ds:schemaRefs>
</ds:datastoreItem>
</file>

<file path=customXml/itemProps3.xml><?xml version="1.0" encoding="utf-8"?>
<ds:datastoreItem xmlns:ds="http://schemas.openxmlformats.org/officeDocument/2006/customXml" ds:itemID="{964E253D-136B-4CF8-8C1C-A4875DC37F60}">
  <ds:schemaRefs>
    <ds:schemaRef ds:uri="http://schemas.openxmlformats.org/officeDocument/2006/bibliography"/>
  </ds:schemaRefs>
</ds:datastoreItem>
</file>

<file path=customXml/itemProps4.xml><?xml version="1.0" encoding="utf-8"?>
<ds:datastoreItem xmlns:ds="http://schemas.openxmlformats.org/officeDocument/2006/customXml" ds:itemID="{F2A6FCD3-9CE0-4CB3-BBA2-5A87FBBB3503}"/>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PACE,Kristina</dc:creator>
  <cp:keywords/>
  <dc:description/>
  <cp:lastModifiedBy>RIDGWAY,Caitlin</cp:lastModifiedBy>
  <cp:revision>2</cp:revision>
  <dcterms:created xsi:type="dcterms:W3CDTF">2024-12-12T01:00:00Z</dcterms:created>
  <dcterms:modified xsi:type="dcterms:W3CDTF">2024-12-12T01:00:00Z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b630f42</vt:lpwstr>
  </property>
  <property fmtid="{D5CDD505-2E9C-101B-9397-08002B2CF9AE}" pid="3" name="ClassificationContentMarkingFooterFontProps">
    <vt:lpwstr>#ff0000,12,ARIAL</vt:lpwstr>
  </property>
  <property fmtid="{D5CDD505-2E9C-101B-9397-08002B2CF9AE}" pid="4" name="ClassificationContentMarkingFooterText">
    <vt:lpwstr>PROTECTED//CABINET</vt:lpwstr>
  </property>
  <property fmtid="{D5CDD505-2E9C-101B-9397-08002B2CF9AE}" pid="5" name="ContentTypeId">
    <vt:lpwstr>0x010100E098083483EAF54BBE19C56BE4F7D597</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2024-06-27T07:21:31Z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3e2a789a-36b4-4d6c-91ef-4dad81ceaa50</vt:lpwstr>
  </property>
  <property fmtid="{D5CDD505-2E9C-101B-9397-08002B2CF9AE}" pid="13" name="MSIP_Label_79d889eb-932f-4752-8739-64d25806ef64_ContentBits">
    <vt:lpwstr>0</vt:lpwstr>
  </property>
</Properties>
</file>