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6788B" w14:textId="77777777" w:rsidR="00107DD5" w:rsidRDefault="00221D8F" w:rsidP="00CA4815">
      <w:r w:rsidRPr="00CA4815">
        <w:rPr>
          <w:b/>
          <w:bCs/>
          <w:noProof/>
        </w:rPr>
        <w:drawing>
          <wp:anchor distT="0" distB="0" distL="114300" distR="114300" simplePos="0" relativeHeight="251658240" behindDoc="1" locked="1" layoutInCell="1" allowOverlap="1" wp14:anchorId="75E38D93" wp14:editId="35BB39CA">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AA4CED3" wp14:editId="4F9F69B1">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3C5B3A7F" w14:textId="1E392D67" w:rsidR="00221D8F" w:rsidRDefault="00B36267" w:rsidP="00893A34">
          <w:pPr>
            <w:pStyle w:val="Heading1"/>
          </w:pPr>
          <w:r>
            <w:t>New Managed Growth Funding</w:t>
          </w:r>
        </w:p>
      </w:sdtContent>
    </w:sdt>
    <w:bookmarkEnd w:id="0" w:displacedByCustomXml="prev"/>
    <w:bookmarkEnd w:id="1" w:displacedByCustomXml="prev"/>
    <w:p w14:paraId="12DFF75A" w14:textId="710A6F3C" w:rsidR="0017134D" w:rsidRDefault="008265E4" w:rsidP="00EB4C2F">
      <w:pPr>
        <w:pStyle w:val="Subtitle"/>
      </w:pPr>
      <w:r>
        <w:t>Implementation consultation</w:t>
      </w:r>
    </w:p>
    <w:p w14:paraId="7AEC9BCB" w14:textId="092FA70A" w:rsidR="00114720" w:rsidRDefault="0037174B" w:rsidP="00F94050">
      <w:pPr>
        <w:pStyle w:val="Heading2"/>
        <w:spacing w:before="480"/>
      </w:pPr>
      <w:r>
        <w:t>The policy rationale for a</w:t>
      </w:r>
      <w:r w:rsidR="00F044E9">
        <w:t xml:space="preserve"> new funding model</w:t>
      </w:r>
    </w:p>
    <w:p w14:paraId="4E2AE350" w14:textId="555B3D3A" w:rsidR="006D014F" w:rsidRDefault="73AC8716" w:rsidP="006521DB">
      <w:pPr>
        <w:rPr>
          <w:lang w:val="en-GB"/>
        </w:rPr>
      </w:pPr>
      <w:r>
        <w:t>The</w:t>
      </w:r>
      <w:r w:rsidR="11FA7BB6">
        <w:t xml:space="preserve"> </w:t>
      </w:r>
      <w:r w:rsidR="03A09D90">
        <w:t xml:space="preserve">Government </w:t>
      </w:r>
      <w:r w:rsidR="3237F7AF">
        <w:t>has</w:t>
      </w:r>
      <w:r w:rsidR="11FA7BB6">
        <w:t xml:space="preserve"> committed to introduce a new </w:t>
      </w:r>
      <w:r w:rsidR="121CFEE0">
        <w:t>M</w:t>
      </w:r>
      <w:r w:rsidR="11FA7BB6">
        <w:t xml:space="preserve">anaged </w:t>
      </w:r>
      <w:r w:rsidR="121CFEE0">
        <w:t>G</w:t>
      </w:r>
      <w:r w:rsidR="11FA7BB6">
        <w:t xml:space="preserve">rowth </w:t>
      </w:r>
      <w:r w:rsidR="5F16717A">
        <w:t>F</w:t>
      </w:r>
      <w:r w:rsidR="03A09D90">
        <w:t xml:space="preserve">unding </w:t>
      </w:r>
      <w:r w:rsidR="11FA7BB6">
        <w:t>system</w:t>
      </w:r>
      <w:r w:rsidR="03A09D90">
        <w:t xml:space="preserve"> for Commonwealth supported places (CSPs)</w:t>
      </w:r>
      <w:r w:rsidR="2AD4CB71">
        <w:t>, intended to commence</w:t>
      </w:r>
      <w:r w:rsidR="11FA7BB6">
        <w:t xml:space="preserve"> from 1 January 2026.</w:t>
      </w:r>
      <w:r w:rsidR="03A09D90">
        <w:t xml:space="preserve"> </w:t>
      </w:r>
      <w:r w:rsidR="586B5E8C">
        <w:t>It is intended t</w:t>
      </w:r>
      <w:r w:rsidR="121CFEE0">
        <w:t xml:space="preserve">he new funding system </w:t>
      </w:r>
      <w:r w:rsidR="4C2A1871" w:rsidRPr="4967F98D">
        <w:rPr>
          <w:lang w:val="en-GB"/>
        </w:rPr>
        <w:t xml:space="preserve">will </w:t>
      </w:r>
      <w:r w:rsidR="683022A4" w:rsidRPr="4967F98D">
        <w:rPr>
          <w:lang w:val="en-GB"/>
        </w:rPr>
        <w:t xml:space="preserve">support the Government’s </w:t>
      </w:r>
      <w:r w:rsidR="54EF7D46" w:rsidRPr="4967F98D">
        <w:rPr>
          <w:lang w:val="en-GB"/>
        </w:rPr>
        <w:t xml:space="preserve">vision for a </w:t>
      </w:r>
      <w:r w:rsidR="683022A4" w:rsidRPr="4967F98D">
        <w:rPr>
          <w:lang w:val="en-GB"/>
        </w:rPr>
        <w:t>Future Made in Australia</w:t>
      </w:r>
      <w:r w:rsidR="54EF7D46" w:rsidRPr="4967F98D">
        <w:rPr>
          <w:lang w:val="en-GB"/>
        </w:rPr>
        <w:t xml:space="preserve">, </w:t>
      </w:r>
      <w:r w:rsidR="688D3BB5" w:rsidRPr="4967F98D">
        <w:rPr>
          <w:lang w:val="en-GB"/>
        </w:rPr>
        <w:t xml:space="preserve">better </w:t>
      </w:r>
      <w:r w:rsidR="121CFEE0" w:rsidRPr="4967F98D">
        <w:rPr>
          <w:lang w:val="en-GB"/>
        </w:rPr>
        <w:t xml:space="preserve">meet student demand, maintain sustainable growth and increase opportunity for people from underrepresented backgrounds. </w:t>
      </w:r>
    </w:p>
    <w:p w14:paraId="27BDD702" w14:textId="6D5D24B9" w:rsidR="00BF6E25" w:rsidRDefault="00DC5AF4" w:rsidP="00BF6E25">
      <w:pPr>
        <w:rPr>
          <w:lang w:val="en-GB"/>
        </w:rPr>
      </w:pPr>
      <w:r>
        <w:rPr>
          <w:lang w:val="en-GB"/>
        </w:rPr>
        <w:t>The new system will provide a p</w:t>
      </w:r>
      <w:r w:rsidRPr="006B545E">
        <w:rPr>
          <w:lang w:val="en-GB"/>
        </w:rPr>
        <w:t xml:space="preserve">olicy </w:t>
      </w:r>
      <w:r>
        <w:rPr>
          <w:lang w:val="en-GB"/>
        </w:rPr>
        <w:t>framework</w:t>
      </w:r>
      <w:r w:rsidRPr="006B545E">
        <w:rPr>
          <w:lang w:val="en-GB"/>
        </w:rPr>
        <w:t xml:space="preserve"> </w:t>
      </w:r>
      <w:r w:rsidR="00B77A82">
        <w:rPr>
          <w:lang w:val="en-GB"/>
        </w:rPr>
        <w:t xml:space="preserve">that encourage growth in </w:t>
      </w:r>
      <w:r w:rsidRPr="006B545E">
        <w:rPr>
          <w:lang w:val="en-GB"/>
        </w:rPr>
        <w:t xml:space="preserve">the number of CSPs </w:t>
      </w:r>
      <w:r w:rsidR="000F72F1">
        <w:rPr>
          <w:lang w:val="en-GB"/>
        </w:rPr>
        <w:t>consistent with the</w:t>
      </w:r>
      <w:r w:rsidRPr="006B545E">
        <w:rPr>
          <w:lang w:val="en-GB"/>
        </w:rPr>
        <w:t xml:space="preserve"> Government’s tertiary attainment target </w:t>
      </w:r>
      <w:r>
        <w:rPr>
          <w:lang w:val="en-GB"/>
        </w:rPr>
        <w:t xml:space="preserve">of 80% of working age people </w:t>
      </w:r>
      <w:r w:rsidRPr="006B545E">
        <w:rPr>
          <w:lang w:val="en-GB"/>
        </w:rPr>
        <w:t>and meet Australia’s future skills needs</w:t>
      </w:r>
      <w:r w:rsidRPr="00D57E8C">
        <w:rPr>
          <w:lang w:val="en-GB"/>
        </w:rPr>
        <w:t>.</w:t>
      </w:r>
      <w:r w:rsidR="001775DC">
        <w:rPr>
          <w:lang w:val="en-GB"/>
        </w:rPr>
        <w:t xml:space="preserve"> </w:t>
      </w:r>
      <w:r w:rsidR="00BF6E25">
        <w:rPr>
          <w:lang w:val="en-GB"/>
        </w:rPr>
        <w:t xml:space="preserve">The Universities Accord </w:t>
      </w:r>
      <w:r w:rsidR="001C4B63">
        <w:rPr>
          <w:lang w:val="en-GB"/>
        </w:rPr>
        <w:t xml:space="preserve">Final Report </w:t>
      </w:r>
      <w:r w:rsidR="00BF6E25">
        <w:rPr>
          <w:lang w:val="en-GB"/>
        </w:rPr>
        <w:t>found that the current funding system:</w:t>
      </w:r>
    </w:p>
    <w:p w14:paraId="38EE24CB" w14:textId="0867C0C5" w:rsidR="00BF6E25" w:rsidRDefault="00BF6E25" w:rsidP="001C4B63">
      <w:pPr>
        <w:pStyle w:val="ListBullet"/>
        <w:numPr>
          <w:ilvl w:val="0"/>
          <w:numId w:val="28"/>
        </w:numPr>
        <w:spacing w:after="120"/>
        <w:contextualSpacing w:val="0"/>
        <w:rPr>
          <w:lang w:val="en-GB"/>
        </w:rPr>
      </w:pPr>
      <w:r>
        <w:rPr>
          <w:lang w:val="en-GB"/>
        </w:rPr>
        <w:t xml:space="preserve">does not provide sufficient fully funded growth in </w:t>
      </w:r>
      <w:r w:rsidR="00FE1452">
        <w:rPr>
          <w:lang w:val="en-GB"/>
        </w:rPr>
        <w:t xml:space="preserve">domestic student </w:t>
      </w:r>
      <w:r>
        <w:rPr>
          <w:lang w:val="en-GB"/>
        </w:rPr>
        <w:t xml:space="preserve">enrolments to meet Australia’s skills needs with growth occurring in unplanned and unmanaged </w:t>
      </w:r>
      <w:proofErr w:type="gramStart"/>
      <w:r>
        <w:rPr>
          <w:lang w:val="en-GB"/>
        </w:rPr>
        <w:t>ways</w:t>
      </w:r>
      <w:proofErr w:type="gramEnd"/>
    </w:p>
    <w:p w14:paraId="7C5587AA" w14:textId="77777777" w:rsidR="00FE1452" w:rsidRDefault="096896E4" w:rsidP="17C92A78">
      <w:pPr>
        <w:pStyle w:val="ListBullet"/>
        <w:numPr>
          <w:ilvl w:val="0"/>
          <w:numId w:val="28"/>
        </w:numPr>
        <w:spacing w:after="120"/>
        <w:rPr>
          <w:lang w:val="en-GB"/>
        </w:rPr>
      </w:pPr>
      <w:r w:rsidRPr="17C92A78">
        <w:rPr>
          <w:lang w:val="en-GB"/>
        </w:rPr>
        <w:t xml:space="preserve">is overly complex, fragmented and difficult to comprehend and needs to be </w:t>
      </w:r>
      <w:proofErr w:type="gramStart"/>
      <w:r w:rsidRPr="17C92A78">
        <w:rPr>
          <w:lang w:val="en-GB"/>
        </w:rPr>
        <w:t>simplified</w:t>
      </w:r>
      <w:proofErr w:type="gramEnd"/>
    </w:p>
    <w:p w14:paraId="50153EE5" w14:textId="79115A94" w:rsidR="00FE1452" w:rsidRPr="00C15F98" w:rsidRDefault="00FE1452" w:rsidP="50F3E92B">
      <w:pPr>
        <w:pStyle w:val="ListBullet"/>
        <w:numPr>
          <w:ilvl w:val="0"/>
          <w:numId w:val="28"/>
        </w:numPr>
        <w:spacing w:after="120"/>
        <w:rPr>
          <w:lang w:val="en-GB"/>
        </w:rPr>
      </w:pPr>
      <w:r w:rsidRPr="50F3E92B">
        <w:rPr>
          <w:lang w:val="en-GB"/>
        </w:rPr>
        <w:t>allows universities to enrol students over the funding cap and receive only marginal funding for additional students, which create</w:t>
      </w:r>
      <w:r w:rsidR="300BFC51" w:rsidRPr="50F3E92B">
        <w:rPr>
          <w:lang w:val="en-GB"/>
        </w:rPr>
        <w:t>s</w:t>
      </w:r>
      <w:r w:rsidRPr="50F3E92B">
        <w:rPr>
          <w:lang w:val="en-GB"/>
        </w:rPr>
        <w:t xml:space="preserve"> adverse flow-on impact</w:t>
      </w:r>
      <w:r w:rsidR="4FF685C0" w:rsidRPr="50F3E92B">
        <w:rPr>
          <w:lang w:val="en-GB"/>
        </w:rPr>
        <w:t>s</w:t>
      </w:r>
      <w:r w:rsidRPr="50F3E92B">
        <w:rPr>
          <w:lang w:val="en-GB"/>
        </w:rPr>
        <w:t xml:space="preserve"> for the whole </w:t>
      </w:r>
      <w:proofErr w:type="gramStart"/>
      <w:r w:rsidRPr="50F3E92B">
        <w:rPr>
          <w:lang w:val="en-GB"/>
        </w:rPr>
        <w:t>system</w:t>
      </w:r>
      <w:proofErr w:type="gramEnd"/>
    </w:p>
    <w:p w14:paraId="22F447FB" w14:textId="1E83065E" w:rsidR="006B545E" w:rsidRDefault="0058607B" w:rsidP="001C4B63">
      <w:pPr>
        <w:rPr>
          <w:lang w:val="en-GB"/>
        </w:rPr>
      </w:pPr>
      <w:r>
        <w:t xml:space="preserve">The proposed new Managed Growth Funding </w:t>
      </w:r>
      <w:r w:rsidR="00185BBE">
        <w:t>S</w:t>
      </w:r>
      <w:r w:rsidR="008E22E6">
        <w:t xml:space="preserve">ystem </w:t>
      </w:r>
      <w:r w:rsidR="00EF0440">
        <w:t>is designed in response to</w:t>
      </w:r>
      <w:r w:rsidRPr="00D57E8C">
        <w:rPr>
          <w:lang w:val="en-GB"/>
        </w:rPr>
        <w:t xml:space="preserve"> Universities </w:t>
      </w:r>
      <w:r>
        <w:rPr>
          <w:lang w:val="en-GB"/>
        </w:rPr>
        <w:t>Accord recommendations 40, 41 and 46</w:t>
      </w:r>
      <w:r w:rsidR="00EF0440">
        <w:rPr>
          <w:lang w:val="en-GB"/>
        </w:rPr>
        <w:t xml:space="preserve">. </w:t>
      </w:r>
    </w:p>
    <w:p w14:paraId="159F5F4E" w14:textId="725B8AF2" w:rsidR="0058607B" w:rsidRPr="00231247" w:rsidRDefault="0058607B" w:rsidP="001C4B63">
      <w:r w:rsidRPr="00231247">
        <w:rPr>
          <w:lang w:val="en-GB"/>
        </w:rPr>
        <w:t xml:space="preserve">The </w:t>
      </w:r>
      <w:r w:rsidR="00EB0B73">
        <w:rPr>
          <w:lang w:val="en-GB"/>
        </w:rPr>
        <w:t xml:space="preserve">implementation </w:t>
      </w:r>
      <w:r w:rsidRPr="00231247">
        <w:rPr>
          <w:lang w:val="en-GB"/>
        </w:rPr>
        <w:t>of the new Managed Growth Funding System will be developed in consultation with the sector.</w:t>
      </w:r>
      <w:r w:rsidRPr="00231247">
        <w:t xml:space="preserve"> This paper outlines key </w:t>
      </w:r>
      <w:r w:rsidR="00875FD8">
        <w:t xml:space="preserve">proposed </w:t>
      </w:r>
      <w:r w:rsidRPr="00231247">
        <w:t>elements of the new funding system and key policy</w:t>
      </w:r>
      <w:r w:rsidR="00EB0B73">
        <w:t xml:space="preserve"> implementation</w:t>
      </w:r>
      <w:r w:rsidRPr="00231247">
        <w:t xml:space="preserve"> issues for further consultation</w:t>
      </w:r>
      <w:r w:rsidR="003F4C5E">
        <w:t>.</w:t>
      </w:r>
    </w:p>
    <w:p w14:paraId="30A5107E" w14:textId="77777777" w:rsidR="00EC0659" w:rsidRDefault="00EC0659">
      <w:pPr>
        <w:spacing w:after="160"/>
        <w:rPr>
          <w:rFonts w:asciiTheme="majorHAnsi" w:eastAsiaTheme="majorEastAsia" w:hAnsiTheme="majorHAnsi" w:cstheme="majorBidi"/>
          <w:b/>
          <w:color w:val="004C6C" w:themeColor="background2"/>
          <w:sz w:val="44"/>
          <w:szCs w:val="26"/>
        </w:rPr>
      </w:pPr>
      <w:r>
        <w:br w:type="page"/>
      </w:r>
    </w:p>
    <w:p w14:paraId="57DC25EC" w14:textId="43B277A7" w:rsidR="003A57BF" w:rsidRDefault="00C7393D" w:rsidP="003F4C5E">
      <w:pPr>
        <w:pStyle w:val="Heading2"/>
        <w:spacing w:before="480"/>
      </w:pPr>
      <w:r>
        <w:lastRenderedPageBreak/>
        <w:t xml:space="preserve">Key </w:t>
      </w:r>
      <w:r w:rsidR="00875FD8">
        <w:t xml:space="preserve">proposed </w:t>
      </w:r>
      <w:r>
        <w:t>elements</w:t>
      </w:r>
      <w:r w:rsidR="00683DCB">
        <w:t xml:space="preserve"> of </w:t>
      </w:r>
      <w:r w:rsidR="00F044E9">
        <w:t>the</w:t>
      </w:r>
      <w:r w:rsidR="00715B1F">
        <w:t xml:space="preserve"> n</w:t>
      </w:r>
      <w:r w:rsidR="00D91C87">
        <w:t xml:space="preserve">ew </w:t>
      </w:r>
      <w:r w:rsidR="00B359C2">
        <w:t>Managed G</w:t>
      </w:r>
      <w:r w:rsidR="00D91C87">
        <w:t xml:space="preserve">rowth </w:t>
      </w:r>
      <w:r w:rsidR="009705B0">
        <w:t xml:space="preserve">Funding </w:t>
      </w:r>
      <w:r w:rsidR="00B359C2">
        <w:t>S</w:t>
      </w:r>
      <w:r w:rsidR="00D91C87">
        <w:t>ystem</w:t>
      </w:r>
    </w:p>
    <w:p w14:paraId="1C047361" w14:textId="736A1F9A" w:rsidR="006521DB" w:rsidRDefault="006521DB" w:rsidP="00BA0EFD">
      <w:r>
        <w:t xml:space="preserve">The key </w:t>
      </w:r>
      <w:r w:rsidR="00D62D10">
        <w:t xml:space="preserve">proposed </w:t>
      </w:r>
      <w:r>
        <w:t xml:space="preserve">elements of the new </w:t>
      </w:r>
      <w:r w:rsidR="00D026F1">
        <w:t>M</w:t>
      </w:r>
      <w:r w:rsidR="008976E7">
        <w:t xml:space="preserve">anaged </w:t>
      </w:r>
      <w:r w:rsidR="00D026F1">
        <w:t>G</w:t>
      </w:r>
      <w:r w:rsidR="008976E7">
        <w:t xml:space="preserve">rowth </w:t>
      </w:r>
      <w:r w:rsidR="00D026F1">
        <w:t>F</w:t>
      </w:r>
      <w:r w:rsidR="008976E7">
        <w:t>unding system include</w:t>
      </w:r>
      <w:r w:rsidR="00623A5B">
        <w:t>:</w:t>
      </w:r>
    </w:p>
    <w:p w14:paraId="3B77A5DC" w14:textId="309E0C94" w:rsidR="00E72EE1" w:rsidRPr="00BC7E6D" w:rsidRDefault="00E72EE1" w:rsidP="00623A5B">
      <w:pPr>
        <w:pStyle w:val="ListParagraph"/>
        <w:numPr>
          <w:ilvl w:val="0"/>
          <w:numId w:val="20"/>
        </w:numPr>
        <w:rPr>
          <w:b/>
          <w:bCs/>
        </w:rPr>
      </w:pPr>
      <w:r w:rsidRPr="50F3E92B">
        <w:rPr>
          <w:b/>
          <w:bCs/>
        </w:rPr>
        <w:t xml:space="preserve">System-wide </w:t>
      </w:r>
      <w:r w:rsidR="00C447A9">
        <w:rPr>
          <w:b/>
          <w:bCs/>
        </w:rPr>
        <w:t>pool</w:t>
      </w:r>
      <w:r w:rsidR="57150AD0" w:rsidRPr="50F3E92B">
        <w:rPr>
          <w:b/>
          <w:bCs/>
        </w:rPr>
        <w:t xml:space="preserve"> </w:t>
      </w:r>
      <w:r w:rsidR="00C0419C">
        <w:t xml:space="preserve">of </w:t>
      </w:r>
      <w:r w:rsidR="009C7A74">
        <w:t xml:space="preserve">Commonwealth supported </w:t>
      </w:r>
      <w:r w:rsidR="00C0419C">
        <w:t>places</w:t>
      </w:r>
      <w:r w:rsidR="00750F15">
        <w:t xml:space="preserve"> for the sector </w:t>
      </w:r>
      <w:proofErr w:type="gramStart"/>
      <w:r w:rsidR="00750F15">
        <w:t>as a whole</w:t>
      </w:r>
      <w:r w:rsidR="00AF2173">
        <w:t xml:space="preserve"> to</w:t>
      </w:r>
      <w:proofErr w:type="gramEnd"/>
      <w:r w:rsidR="00AF2173">
        <w:t xml:space="preserve"> be set by </w:t>
      </w:r>
      <w:r w:rsidR="007D7054">
        <w:t>the G</w:t>
      </w:r>
      <w:r w:rsidR="00AF2173">
        <w:t>overnment</w:t>
      </w:r>
    </w:p>
    <w:p w14:paraId="79832FB1" w14:textId="1C6DCDAA" w:rsidR="00623A5B" w:rsidRDefault="00623A5B" w:rsidP="00623A5B">
      <w:pPr>
        <w:pStyle w:val="ListParagraph"/>
        <w:numPr>
          <w:ilvl w:val="0"/>
          <w:numId w:val="20"/>
        </w:numPr>
      </w:pPr>
      <w:r w:rsidRPr="00ED67E2">
        <w:rPr>
          <w:b/>
        </w:rPr>
        <w:t xml:space="preserve">Managed Growth </w:t>
      </w:r>
      <w:r w:rsidRPr="004A5E18">
        <w:rPr>
          <w:b/>
        </w:rPr>
        <w:t>Targets</w:t>
      </w:r>
      <w:r w:rsidR="00CE4250" w:rsidRPr="004A5E18">
        <w:rPr>
          <w:b/>
        </w:rPr>
        <w:t xml:space="preserve"> (MGTs)</w:t>
      </w:r>
      <w:r w:rsidR="00444DFD">
        <w:t xml:space="preserve"> for </w:t>
      </w:r>
      <w:r w:rsidR="00E4687E">
        <w:t xml:space="preserve">allocating places to </w:t>
      </w:r>
      <w:r w:rsidR="00444DFD">
        <w:t>Table A and non-Table A providers</w:t>
      </w:r>
    </w:p>
    <w:p w14:paraId="7E96C52B" w14:textId="2E8E8820" w:rsidR="00623A5B" w:rsidRDefault="00623A5B" w:rsidP="00623A5B">
      <w:pPr>
        <w:pStyle w:val="ListParagraph"/>
        <w:numPr>
          <w:ilvl w:val="0"/>
          <w:numId w:val="20"/>
        </w:numPr>
      </w:pPr>
      <w:r w:rsidRPr="00ED67E2">
        <w:rPr>
          <w:b/>
        </w:rPr>
        <w:t>Managed demand</w:t>
      </w:r>
      <w:r w:rsidR="00CE4250" w:rsidRPr="00ED67E2">
        <w:rPr>
          <w:b/>
        </w:rPr>
        <w:t>-</w:t>
      </w:r>
      <w:r w:rsidRPr="00ED67E2">
        <w:rPr>
          <w:b/>
        </w:rPr>
        <w:t xml:space="preserve">driven funding for </w:t>
      </w:r>
      <w:r w:rsidR="00ED67E2" w:rsidRPr="00ED67E2">
        <w:rPr>
          <w:b/>
          <w:bCs/>
        </w:rPr>
        <w:t xml:space="preserve">equity </w:t>
      </w:r>
      <w:r w:rsidRPr="00ED67E2">
        <w:rPr>
          <w:b/>
        </w:rPr>
        <w:t>students</w:t>
      </w:r>
      <w:r>
        <w:t xml:space="preserve"> from under-represented backgrounds</w:t>
      </w:r>
      <w:r w:rsidR="00444DFD">
        <w:t xml:space="preserve"> for Table A providers</w:t>
      </w:r>
    </w:p>
    <w:p w14:paraId="45E7FF98" w14:textId="28AB8B14" w:rsidR="00623A5B" w:rsidRDefault="5B0992EE" w:rsidP="00623A5B">
      <w:pPr>
        <w:pStyle w:val="ListParagraph"/>
        <w:numPr>
          <w:ilvl w:val="0"/>
          <w:numId w:val="20"/>
        </w:numPr>
      </w:pPr>
      <w:r w:rsidRPr="00ED67E2">
        <w:rPr>
          <w:b/>
        </w:rPr>
        <w:t>Transition arrangements</w:t>
      </w:r>
      <w:r>
        <w:t xml:space="preserve"> to smooth the impact of the end of the Higher Education Continuity Guarantee (HECG) </w:t>
      </w:r>
      <w:r w:rsidR="00AF2173">
        <w:t xml:space="preserve">from </w:t>
      </w:r>
      <w:r w:rsidR="00AF2173">
        <w:rPr>
          <w:bCs/>
        </w:rPr>
        <w:t>1 January 2026 to support</w:t>
      </w:r>
      <w:r>
        <w:t xml:space="preserve"> institutional sustainability</w:t>
      </w:r>
      <w:r w:rsidR="00444DFD">
        <w:t>.</w:t>
      </w:r>
    </w:p>
    <w:p w14:paraId="6E493C05" w14:textId="2A9197D3" w:rsidR="00E72EE1" w:rsidRDefault="00E72EE1" w:rsidP="007B04F3">
      <w:pPr>
        <w:pStyle w:val="Heading3"/>
      </w:pPr>
      <w:r>
        <w:t xml:space="preserve">System-wide </w:t>
      </w:r>
      <w:r w:rsidR="00C447A9">
        <w:t>Pool</w:t>
      </w:r>
    </w:p>
    <w:p w14:paraId="7BE4B5AA" w14:textId="3F6966C9" w:rsidR="00C266BE" w:rsidRDefault="00EC0659" w:rsidP="00C266BE">
      <w:r>
        <w:rPr>
          <w:noProof/>
        </w:rPr>
        <mc:AlternateContent>
          <mc:Choice Requires="wps">
            <w:drawing>
              <wp:inline distT="0" distB="0" distL="0" distR="0" wp14:anchorId="4998F553" wp14:editId="391FB692">
                <wp:extent cx="5731510" cy="956585"/>
                <wp:effectExtent l="0" t="0" r="21590" b="15240"/>
                <wp:docPr id="832810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56585"/>
                        </a:xfrm>
                        <a:prstGeom prst="rect">
                          <a:avLst/>
                        </a:prstGeom>
                        <a:solidFill>
                          <a:schemeClr val="accent3">
                            <a:lumMod val="20000"/>
                            <a:lumOff val="80000"/>
                          </a:schemeClr>
                        </a:solidFill>
                        <a:ln w="9525">
                          <a:solidFill>
                            <a:srgbClr val="000000"/>
                          </a:solidFill>
                          <a:miter lim="800000"/>
                          <a:headEnd/>
                          <a:tailEnd/>
                        </a:ln>
                      </wps:spPr>
                      <wps:txbx>
                        <w:txbxContent>
                          <w:p w14:paraId="5D7728E9" w14:textId="77777777" w:rsidR="00EC0659" w:rsidRDefault="00EC0659" w:rsidP="00EC0659">
                            <w:r>
                              <w:t xml:space="preserve">The Government will determine a maximum system-wide pool of Commonwealth supported places to </w:t>
                            </w:r>
                            <w:r w:rsidRPr="00714D73">
                              <w:t>support</w:t>
                            </w:r>
                            <w:r>
                              <w:t xml:space="preserve"> the </w:t>
                            </w:r>
                            <w:r w:rsidRPr="00714D73">
                              <w:t>long-term growth in enrolments</w:t>
                            </w:r>
                            <w:r>
                              <w:t xml:space="preserve"> to </w:t>
                            </w:r>
                            <w:r w:rsidRPr="00714D73">
                              <w:t>reach</w:t>
                            </w:r>
                            <w:r>
                              <w:t xml:space="preserve"> the </w:t>
                            </w:r>
                            <w:r w:rsidRPr="00714D73">
                              <w:t xml:space="preserve">Government’s </w:t>
                            </w:r>
                            <w:r>
                              <w:t xml:space="preserve">attainment </w:t>
                            </w:r>
                            <w:r w:rsidRPr="00714D73">
                              <w:t>targets</w:t>
                            </w:r>
                            <w:r>
                              <w:t>. Eligible institutions will negotiate a Managed Growth Target (MGT, expressed in numbers of students enrolled) from the system-wide pool of student places.</w:t>
                            </w:r>
                          </w:p>
                        </w:txbxContent>
                      </wps:txbx>
                      <wps:bodyPr rot="0" vert="horz" wrap="square" lIns="91440" tIns="45720" rIns="91440" bIns="45720" anchor="t" anchorCtr="0">
                        <a:noAutofit/>
                      </wps:bodyPr>
                    </wps:wsp>
                  </a:graphicData>
                </a:graphic>
              </wp:inline>
            </w:drawing>
          </mc:Choice>
          <mc:Fallback>
            <w:pict>
              <v:shapetype w14:anchorId="4998F553" id="_x0000_t202" coordsize="21600,21600" o:spt="202" path="m,l,21600r21600,l21600,xe">
                <v:stroke joinstyle="miter"/>
                <v:path gradientshapeok="t" o:connecttype="rect"/>
              </v:shapetype>
              <v:shape id="Text Box 2" o:spid="_x0000_s1026" type="#_x0000_t202" style="width:451.3pt;height:7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" fillcolor="#d0f1fc [662]">
                <v:textbox>
                  <w:txbxContent>
                    <w:p w14:paraId="5D7728E9" w14:textId="77777777" w:rsidR="00EC0659" w:rsidRDefault="00EC0659" w:rsidP="00EC0659">
                      <w:r>
                        <w:t xml:space="preserve">The Government will determine a maximum system-wide pool of Commonwealth supported places to </w:t>
                      </w:r>
                      <w:r w:rsidRPr="00714D73">
                        <w:t>support</w:t>
                      </w:r>
                      <w:r>
                        <w:t xml:space="preserve"> the </w:t>
                      </w:r>
                      <w:r w:rsidRPr="00714D73">
                        <w:t>long-term growth in enrolments</w:t>
                      </w:r>
                      <w:r>
                        <w:t xml:space="preserve"> to </w:t>
                      </w:r>
                      <w:r w:rsidRPr="00714D73">
                        <w:t>reach</w:t>
                      </w:r>
                      <w:r>
                        <w:t xml:space="preserve"> the </w:t>
                      </w:r>
                      <w:r w:rsidRPr="00714D73">
                        <w:t xml:space="preserve">Government’s </w:t>
                      </w:r>
                      <w:r>
                        <w:t xml:space="preserve">attainment </w:t>
                      </w:r>
                      <w:r w:rsidRPr="00714D73">
                        <w:t>targets</w:t>
                      </w:r>
                      <w:r>
                        <w:t>. Eligible institutions will negotiate a Managed Growth Target (MGT, expressed in numbers of students enrolled) from the system-wide pool of student places.</w:t>
                      </w:r>
                    </w:p>
                  </w:txbxContent>
                </v:textbox>
                <w10:anchorlock/>
              </v:shape>
            </w:pict>
          </mc:Fallback>
        </mc:AlternateContent>
      </w:r>
      <w:r w:rsidR="64B558A2" w:rsidRPr="00BA0EFD">
        <w:t>Under th</w:t>
      </w:r>
      <w:r w:rsidR="64B558A2">
        <w:t>e proposed new</w:t>
      </w:r>
      <w:r w:rsidR="64B558A2" w:rsidRPr="00BA0EFD">
        <w:t xml:space="preserve"> </w:t>
      </w:r>
      <w:r w:rsidR="64B558A2">
        <w:t>Managed Growth Funding S</w:t>
      </w:r>
      <w:r w:rsidR="64B558A2" w:rsidRPr="00BA0EFD">
        <w:t>ystem, the Government will set a whole</w:t>
      </w:r>
      <w:r w:rsidR="64B558A2">
        <w:t>-</w:t>
      </w:r>
      <w:r w:rsidR="64B558A2" w:rsidRPr="00BA0EFD">
        <w:t>of</w:t>
      </w:r>
      <w:r w:rsidR="64B558A2">
        <w:t>-</w:t>
      </w:r>
      <w:r w:rsidR="64B558A2" w:rsidRPr="00BA0EFD">
        <w:t xml:space="preserve">system </w:t>
      </w:r>
      <w:r w:rsidR="64B558A2">
        <w:t xml:space="preserve">allocation of the number of </w:t>
      </w:r>
      <w:r w:rsidR="64B558A2" w:rsidRPr="00BA0EFD">
        <w:t>enrolments in Commonwealth supported places (CSPs)</w:t>
      </w:r>
      <w:r w:rsidR="64B558A2">
        <w:t xml:space="preserve">. </w:t>
      </w:r>
      <w:r w:rsidR="64B558A2" w:rsidRPr="00BA0EFD">
        <w:t>In determining the size of this whole</w:t>
      </w:r>
      <w:r w:rsidR="64B558A2">
        <w:t>-</w:t>
      </w:r>
      <w:r w:rsidR="64B558A2" w:rsidRPr="00BA0EFD">
        <w:t>of</w:t>
      </w:r>
      <w:r w:rsidR="64B558A2">
        <w:t>-</w:t>
      </w:r>
      <w:r w:rsidR="64B558A2" w:rsidRPr="00BA0EFD">
        <w:t xml:space="preserve">system </w:t>
      </w:r>
      <w:r w:rsidR="64B558A2">
        <w:t xml:space="preserve">CSP enrolment </w:t>
      </w:r>
      <w:r w:rsidR="64B558A2" w:rsidRPr="00BA0EFD">
        <w:t xml:space="preserve">cap, the Government will </w:t>
      </w:r>
      <w:r w:rsidR="64B558A2">
        <w:t>consider</w:t>
      </w:r>
      <w:r w:rsidR="64B558A2" w:rsidRPr="00BA0EFD">
        <w:t xml:space="preserve"> </w:t>
      </w:r>
      <w:r w:rsidR="76DC3662">
        <w:t>long-term</w:t>
      </w:r>
      <w:r w:rsidR="13693560">
        <w:t xml:space="preserve"> growth in </w:t>
      </w:r>
      <w:r w:rsidR="711A4C16">
        <w:t>enrolments to</w:t>
      </w:r>
      <w:r w:rsidR="64B558A2" w:rsidRPr="00BA0EFD">
        <w:t xml:space="preserve"> ensure </w:t>
      </w:r>
      <w:r w:rsidR="6AF0F774">
        <w:t xml:space="preserve">Australia’s </w:t>
      </w:r>
      <w:r w:rsidR="64B558A2">
        <w:t xml:space="preserve">higher education </w:t>
      </w:r>
      <w:r w:rsidR="64B558A2" w:rsidRPr="00BA0EFD">
        <w:t xml:space="preserve">system is on track to deliver the </w:t>
      </w:r>
      <w:r w:rsidR="64B558A2">
        <w:t>agreed</w:t>
      </w:r>
      <w:r w:rsidR="64B558A2" w:rsidRPr="00BA0EFD">
        <w:t xml:space="preserve"> attainment targets</w:t>
      </w:r>
      <w:r w:rsidR="00CB28D7">
        <w:t xml:space="preserve"> and meet</w:t>
      </w:r>
      <w:r w:rsidR="57A141BF">
        <w:t xml:space="preserve"> </w:t>
      </w:r>
      <w:r w:rsidR="66C0E4D0">
        <w:t>community</w:t>
      </w:r>
      <w:r w:rsidR="40521370">
        <w:t xml:space="preserve"> </w:t>
      </w:r>
      <w:r w:rsidR="00CB28D7">
        <w:t xml:space="preserve">expectations </w:t>
      </w:r>
      <w:r w:rsidR="40521370">
        <w:t>and industry skills needs</w:t>
      </w:r>
      <w:r w:rsidR="64B558A2" w:rsidRPr="00BA0EFD">
        <w:t>.</w:t>
      </w:r>
    </w:p>
    <w:p w14:paraId="101A2BC1" w14:textId="6EEF17D1" w:rsidR="00C266BE" w:rsidRDefault="00051C85" w:rsidP="00C266BE">
      <w:r>
        <w:t xml:space="preserve">In the first instance, </w:t>
      </w:r>
      <w:r w:rsidR="00665DD5">
        <w:t xml:space="preserve">higher education providers with a current allocation of CSPs will receive </w:t>
      </w:r>
      <w:r w:rsidR="005D7341">
        <w:t>an</w:t>
      </w:r>
      <w:r w:rsidR="00C266BE">
        <w:t xml:space="preserve"> </w:t>
      </w:r>
      <w:r w:rsidR="00C266BE" w:rsidRPr="00BA0EFD">
        <w:t>allocation of the</w:t>
      </w:r>
      <w:r w:rsidR="00651D1D">
        <w:t xml:space="preserve"> system-wide</w:t>
      </w:r>
      <w:r w:rsidR="00C266BE" w:rsidRPr="00BA0EFD">
        <w:t xml:space="preserve"> places </w:t>
      </w:r>
      <w:r w:rsidR="009D75C3">
        <w:t xml:space="preserve">through </w:t>
      </w:r>
      <w:r w:rsidR="00004D19">
        <w:t>MGTs</w:t>
      </w:r>
      <w:r w:rsidR="00C266BE" w:rsidRPr="00BA0EFD">
        <w:t>.</w:t>
      </w:r>
      <w:r w:rsidR="005D7341">
        <w:t xml:space="preserve"> Over time it is anticipated that </w:t>
      </w:r>
      <w:r w:rsidR="00004D19">
        <w:t>additional providers will receive an MGT</w:t>
      </w:r>
      <w:r w:rsidR="009516A2">
        <w:t xml:space="preserve"> as the system-wide pool grows</w:t>
      </w:r>
      <w:r w:rsidR="00C266BE" w:rsidRPr="00BA0EFD">
        <w:t>.</w:t>
      </w:r>
    </w:p>
    <w:p w14:paraId="5738A008" w14:textId="537C9ABE" w:rsidR="00BA0EFD" w:rsidRPr="00BA0EFD" w:rsidRDefault="00BA0EFD" w:rsidP="00BA0EFD">
      <w:pPr>
        <w:keepNext/>
        <w:keepLines/>
        <w:spacing w:before="320" w:after="60"/>
        <w:outlineLvl w:val="2"/>
        <w:rPr>
          <w:rFonts w:asciiTheme="majorHAnsi" w:eastAsiaTheme="majorEastAsia" w:hAnsiTheme="majorHAnsi" w:cstheme="majorBidi"/>
          <w:b/>
          <w:color w:val="008599" w:themeColor="accent1"/>
          <w:sz w:val="32"/>
          <w:szCs w:val="24"/>
        </w:rPr>
      </w:pPr>
      <w:r w:rsidRPr="00BA0EFD">
        <w:rPr>
          <w:rFonts w:asciiTheme="majorHAnsi" w:eastAsiaTheme="majorEastAsia" w:hAnsiTheme="majorHAnsi" w:cstheme="majorBidi"/>
          <w:b/>
          <w:color w:val="008599" w:themeColor="accent1"/>
          <w:sz w:val="32"/>
          <w:szCs w:val="24"/>
        </w:rPr>
        <w:t>Managed Growth Targets</w:t>
      </w:r>
    </w:p>
    <w:p w14:paraId="402D5C34" w14:textId="3FDB4220" w:rsidR="00311509" w:rsidRDefault="00502DFC" w:rsidP="00AD5E78">
      <w:pPr>
        <w:pBdr>
          <w:top w:val="single" w:sz="4" w:space="1" w:color="auto"/>
          <w:left w:val="single" w:sz="4" w:space="4" w:color="auto"/>
          <w:bottom w:val="single" w:sz="4" w:space="1" w:color="auto"/>
          <w:right w:val="single" w:sz="4" w:space="4" w:color="auto"/>
        </w:pBdr>
        <w:shd w:val="clear" w:color="auto" w:fill="D0F1FC" w:themeFill="accent3" w:themeFillTint="33"/>
      </w:pPr>
      <w:r>
        <w:t xml:space="preserve">It is proposed that </w:t>
      </w:r>
      <w:r w:rsidRPr="001E140A">
        <w:rPr>
          <w:b/>
          <w:bCs/>
        </w:rPr>
        <w:t>Managed Growth Target</w:t>
      </w:r>
      <w:r w:rsidR="00FC05B6">
        <w:rPr>
          <w:b/>
          <w:bCs/>
        </w:rPr>
        <w:t>s</w:t>
      </w:r>
      <w:r w:rsidRPr="001E140A">
        <w:rPr>
          <w:b/>
          <w:bCs/>
        </w:rPr>
        <w:t xml:space="preserve"> (MGT)</w:t>
      </w:r>
      <w:r w:rsidR="00996791">
        <w:rPr>
          <w:b/>
          <w:bCs/>
        </w:rPr>
        <w:t xml:space="preserve"> </w:t>
      </w:r>
      <w:r w:rsidR="00996791" w:rsidRPr="00FC05B6">
        <w:t xml:space="preserve">will be introduced for </w:t>
      </w:r>
      <w:r w:rsidR="005B4394" w:rsidRPr="00FC05B6">
        <w:t xml:space="preserve">each </w:t>
      </w:r>
      <w:r w:rsidR="00D131DB" w:rsidRPr="00FC05B6">
        <w:t xml:space="preserve">Table A and </w:t>
      </w:r>
      <w:r w:rsidR="00DB1082">
        <w:t xml:space="preserve">the six </w:t>
      </w:r>
      <w:r w:rsidR="00E3016D" w:rsidRPr="00FC05B6">
        <w:t xml:space="preserve">non-Table A </w:t>
      </w:r>
      <w:r w:rsidR="005B4394" w:rsidRPr="00FC05B6">
        <w:t>provider</w:t>
      </w:r>
      <w:r w:rsidR="00DB1082">
        <w:t>s</w:t>
      </w:r>
      <w:r w:rsidR="005B4394" w:rsidRPr="00FC05B6">
        <w:t xml:space="preserve"> </w:t>
      </w:r>
      <w:r w:rsidR="00DB1082">
        <w:t xml:space="preserve">currently delivering Commonwealth supported places </w:t>
      </w:r>
      <w:r w:rsidR="005B4394" w:rsidRPr="00FC05B6">
        <w:t>from 1 January 2026</w:t>
      </w:r>
      <w:r>
        <w:t>.</w:t>
      </w:r>
    </w:p>
    <w:p w14:paraId="20879BEA" w14:textId="0D6DCC7E" w:rsidR="00996791" w:rsidRDefault="00502DFC" w:rsidP="00AD5E78">
      <w:pPr>
        <w:pBdr>
          <w:top w:val="single" w:sz="4" w:space="1" w:color="auto"/>
          <w:left w:val="single" w:sz="4" w:space="4" w:color="auto"/>
          <w:bottom w:val="single" w:sz="4" w:space="1" w:color="auto"/>
          <w:right w:val="single" w:sz="4" w:space="4" w:color="auto"/>
        </w:pBdr>
        <w:shd w:val="clear" w:color="auto" w:fill="D0F1FC" w:themeFill="accent3" w:themeFillTint="33"/>
      </w:pPr>
      <w:r>
        <w:t>The MGT will set the max</w:t>
      </w:r>
      <w:r w:rsidR="0012030F">
        <w:t xml:space="preserve">imum number of </w:t>
      </w:r>
      <w:r w:rsidR="00C34121">
        <w:t xml:space="preserve">Commonwealth supported </w:t>
      </w:r>
      <w:r w:rsidR="008F32BE">
        <w:t>places</w:t>
      </w:r>
      <w:r w:rsidR="004D5A8D">
        <w:t xml:space="preserve"> </w:t>
      </w:r>
      <w:r w:rsidR="00F93AC7">
        <w:t xml:space="preserve">– specified in equivalent full-time </w:t>
      </w:r>
      <w:r w:rsidR="009A0C59">
        <w:t xml:space="preserve">student load (EFTSL) – </w:t>
      </w:r>
      <w:r w:rsidR="00510E75">
        <w:t>that will be fu</w:t>
      </w:r>
      <w:r w:rsidR="00172B52">
        <w:t xml:space="preserve">nded based on the cluster rates and </w:t>
      </w:r>
      <w:r w:rsidR="00AF37E2">
        <w:t>student contributions amount.</w:t>
      </w:r>
    </w:p>
    <w:p w14:paraId="1D9CD820" w14:textId="23C95B24" w:rsidR="001E140A" w:rsidRDefault="009656B9" w:rsidP="00AD5E78">
      <w:pPr>
        <w:pBdr>
          <w:top w:val="single" w:sz="4" w:space="1" w:color="auto"/>
          <w:left w:val="single" w:sz="4" w:space="4" w:color="auto"/>
          <w:bottom w:val="single" w:sz="4" w:space="1" w:color="auto"/>
          <w:right w:val="single" w:sz="4" w:space="4" w:color="auto"/>
        </w:pBdr>
        <w:shd w:val="clear" w:color="auto" w:fill="D0F1FC" w:themeFill="accent3" w:themeFillTint="33"/>
      </w:pPr>
      <w:r>
        <w:t xml:space="preserve">The </w:t>
      </w:r>
      <w:r w:rsidRPr="009656B9">
        <w:t xml:space="preserve">MGT would represent a hard cap on CSPs at that institution, with providers not </w:t>
      </w:r>
      <w:r w:rsidR="00957F5A">
        <w:t>eligible for</w:t>
      </w:r>
      <w:r w:rsidRPr="009656B9">
        <w:t xml:space="preserve"> CGS funding </w:t>
      </w:r>
      <w:r w:rsidR="00957F5A">
        <w:t xml:space="preserve">and not permitted to retain </w:t>
      </w:r>
      <w:r w:rsidRPr="009656B9">
        <w:t>student contribution amounts (SCAs) for enrolments above the</w:t>
      </w:r>
      <w:r w:rsidR="00AF107C">
        <w:t>ir</w:t>
      </w:r>
      <w:r w:rsidRPr="009656B9">
        <w:t xml:space="preserve"> MGT.</w:t>
      </w:r>
    </w:p>
    <w:p w14:paraId="32602AA6" w14:textId="36AC5EDD" w:rsidR="00BA0EFD" w:rsidRPr="00BA0EFD" w:rsidRDefault="12B1DF27" w:rsidP="008C5F62">
      <w:r>
        <w:t>T</w:t>
      </w:r>
      <w:r w:rsidR="00BA0EFD">
        <w:t xml:space="preserve">he allocation of </w:t>
      </w:r>
      <w:r w:rsidR="3E886651">
        <w:t>CSPs</w:t>
      </w:r>
      <w:r w:rsidR="00BA0EFD">
        <w:t xml:space="preserve"> to higher education providers will be through the negotiation of </w:t>
      </w:r>
      <w:r w:rsidR="00BA0EFD" w:rsidRPr="1C574A9C">
        <w:rPr>
          <w:b/>
          <w:bCs/>
        </w:rPr>
        <w:t>Managed Growth Target</w:t>
      </w:r>
      <w:r w:rsidR="132A7B8E" w:rsidRPr="1C574A9C">
        <w:rPr>
          <w:b/>
          <w:bCs/>
        </w:rPr>
        <w:t>s</w:t>
      </w:r>
      <w:r w:rsidR="00BA0EFD">
        <w:t xml:space="preserve"> (MGT). </w:t>
      </w:r>
      <w:r w:rsidR="29718873">
        <w:t>T</w:t>
      </w:r>
      <w:r w:rsidR="39FEBE30">
        <w:t>he MGT will be a maximum level of enrolments</w:t>
      </w:r>
      <w:bookmarkStart w:id="2" w:name="_Hlk165886422"/>
      <w:r w:rsidR="3FA52D72">
        <w:t xml:space="preserve"> in EFTSL</w:t>
      </w:r>
      <w:r w:rsidR="39FEBE30">
        <w:t>.</w:t>
      </w:r>
      <w:bookmarkEnd w:id="2"/>
      <w:r w:rsidR="39FEBE30">
        <w:t xml:space="preserve"> This </w:t>
      </w:r>
      <w:proofErr w:type="gramStart"/>
      <w:r w:rsidR="39FEBE30">
        <w:t>is i</w:t>
      </w:r>
      <w:r w:rsidR="00BA0EFD">
        <w:t>n contrast to</w:t>
      </w:r>
      <w:proofErr w:type="gramEnd"/>
      <w:r w:rsidR="00BA0EFD">
        <w:t xml:space="preserve"> the current system, where each </w:t>
      </w:r>
      <w:r w:rsidR="3348ED85">
        <w:t xml:space="preserve">higher education </w:t>
      </w:r>
      <w:r w:rsidR="3E886651">
        <w:t xml:space="preserve">provider </w:t>
      </w:r>
      <w:r w:rsidR="00BA0EFD">
        <w:t>is provided a Maximum Basic Grant Amount (a maximum level of</w:t>
      </w:r>
      <w:r w:rsidR="3E886651">
        <w:t xml:space="preserve"> Commonwealth Grant Scheme</w:t>
      </w:r>
      <w:r w:rsidR="6F45266B">
        <w:t xml:space="preserve"> (CGS)</w:t>
      </w:r>
      <w:r w:rsidR="00BA0EFD">
        <w:t xml:space="preserve"> funding)</w:t>
      </w:r>
      <w:r w:rsidR="39FEBE30">
        <w:t>.</w:t>
      </w:r>
      <w:r w:rsidR="00BA0EFD">
        <w:t xml:space="preserve"> </w:t>
      </w:r>
    </w:p>
    <w:p w14:paraId="56427993" w14:textId="2C863D3B" w:rsidR="0047128C" w:rsidRPr="00BA0EFD" w:rsidRDefault="00E267D3" w:rsidP="008C5F62">
      <w:r>
        <w:lastRenderedPageBreak/>
        <w:t xml:space="preserve">This funding system will represent a new way of determining funding growth across institutions. </w:t>
      </w:r>
      <w:r w:rsidR="00BB6996">
        <w:t xml:space="preserve">Currently, </w:t>
      </w:r>
      <w:r w:rsidR="00796A47">
        <w:t xml:space="preserve">annual </w:t>
      </w:r>
      <w:r w:rsidR="00FC319F">
        <w:t xml:space="preserve">growth </w:t>
      </w:r>
      <w:r w:rsidR="00FC319F" w:rsidDel="00796A47">
        <w:t xml:space="preserve">in </w:t>
      </w:r>
      <w:r w:rsidR="00796A47">
        <w:t xml:space="preserve">CGS funding </w:t>
      </w:r>
      <w:r w:rsidR="009F6258">
        <w:t>is</w:t>
      </w:r>
      <w:r w:rsidR="00796A47">
        <w:t xml:space="preserve"> based on fixed growth rates depending on the location of university campuses. </w:t>
      </w:r>
      <w:r w:rsidR="00E3669D">
        <w:t xml:space="preserve"> </w:t>
      </w:r>
      <w:r w:rsidR="00834379">
        <w:t xml:space="preserve">Rather than determining growth through these fixed rates, which have </w:t>
      </w:r>
      <w:r w:rsidR="006742C1">
        <w:t xml:space="preserve">been shown to </w:t>
      </w:r>
      <w:r w:rsidR="00007B20">
        <w:t xml:space="preserve">not reflect student demand, the new system will </w:t>
      </w:r>
      <w:r w:rsidR="009A5FBF">
        <w:t xml:space="preserve">more </w:t>
      </w:r>
      <w:r w:rsidR="00B122C6">
        <w:t>responsivel</w:t>
      </w:r>
      <w:r w:rsidR="009A5FBF">
        <w:t xml:space="preserve">y allocate </w:t>
      </w:r>
      <w:r w:rsidR="00654F13">
        <w:t>growth</w:t>
      </w:r>
      <w:r w:rsidR="000A6E2B">
        <w:t xml:space="preserve"> to </w:t>
      </w:r>
      <w:r w:rsidR="00645134">
        <w:t xml:space="preserve">align with </w:t>
      </w:r>
      <w:r w:rsidR="000A6E2B">
        <w:t>student demand</w:t>
      </w:r>
      <w:r w:rsidR="007D0022">
        <w:t>.</w:t>
      </w:r>
    </w:p>
    <w:p w14:paraId="252AFC16" w14:textId="7909C13F" w:rsidR="00D82EE8" w:rsidRPr="009664C1" w:rsidRDefault="008B1C22" w:rsidP="00BA0EFD">
      <w:r>
        <w:t xml:space="preserve">The setting of </w:t>
      </w:r>
      <w:r w:rsidR="00F45826">
        <w:t>institutional MGTs</w:t>
      </w:r>
      <w:r>
        <w:t xml:space="preserve"> </w:t>
      </w:r>
      <w:r w:rsidR="006C22A9">
        <w:t xml:space="preserve">would </w:t>
      </w:r>
      <w:r w:rsidR="00FB0F6A">
        <w:t>b</w:t>
      </w:r>
      <w:r w:rsidR="009714AA">
        <w:t xml:space="preserve">e informed </w:t>
      </w:r>
      <w:r w:rsidR="004C33D9">
        <w:t>by</w:t>
      </w:r>
      <w:r w:rsidR="000765F3">
        <w:t xml:space="preserve"> national objectives set by the</w:t>
      </w:r>
      <w:r w:rsidR="004C33D9">
        <w:t xml:space="preserve"> Government</w:t>
      </w:r>
      <w:r w:rsidR="00E94906">
        <w:t xml:space="preserve">, for example, </w:t>
      </w:r>
      <w:r w:rsidR="004C33D9">
        <w:t>to promote a productive economy and society</w:t>
      </w:r>
      <w:r w:rsidR="5049DE80">
        <w:t xml:space="preserve"> and</w:t>
      </w:r>
      <w:r w:rsidR="004C33D9">
        <w:t xml:space="preserve"> equitable</w:t>
      </w:r>
      <w:r w:rsidR="00256A22">
        <w:t xml:space="preserve"> opportunity</w:t>
      </w:r>
      <w:r w:rsidR="00BB0D21">
        <w:t xml:space="preserve"> for all Australians</w:t>
      </w:r>
      <w:r w:rsidR="00C66D85">
        <w:t>.</w:t>
      </w:r>
      <w:r w:rsidR="006C22A9">
        <w:t xml:space="preserve"> Other factors that would be </w:t>
      </w:r>
      <w:proofErr w:type="gramStart"/>
      <w:r w:rsidR="006C22A9">
        <w:t>taken into account</w:t>
      </w:r>
      <w:proofErr w:type="gramEnd"/>
      <w:r w:rsidR="006C22A9">
        <w:t xml:space="preserve"> when </w:t>
      </w:r>
      <w:r w:rsidR="007B3F9A">
        <w:t xml:space="preserve">negotiating MGTs with individual institutions would </w:t>
      </w:r>
      <w:r w:rsidR="006C22A9">
        <w:t xml:space="preserve">include </w:t>
      </w:r>
      <w:r w:rsidR="00DC1496">
        <w:t xml:space="preserve">student demand, institutional </w:t>
      </w:r>
      <w:r w:rsidR="00A47523">
        <w:t xml:space="preserve">goals and missions, </w:t>
      </w:r>
      <w:r w:rsidR="00614301">
        <w:t xml:space="preserve">and </w:t>
      </w:r>
      <w:r w:rsidR="00D50D0A">
        <w:t xml:space="preserve">institutional and </w:t>
      </w:r>
      <w:r w:rsidR="009E2DFD">
        <w:t>sector sustainability.</w:t>
      </w:r>
      <w:r w:rsidR="00E56DA0">
        <w:t xml:space="preserve"> </w:t>
      </w:r>
    </w:p>
    <w:p w14:paraId="2E50F0AE" w14:textId="2A690891" w:rsidR="00BA0EFD" w:rsidRPr="00BA0EFD" w:rsidRDefault="00BA0EFD" w:rsidP="00BA0EFD">
      <w:r w:rsidRPr="00BA0EFD">
        <w:t>Each provider will be provided with an MGT for the next year</w:t>
      </w:r>
      <w:r w:rsidR="00C31BFF">
        <w:t xml:space="preserve"> </w:t>
      </w:r>
      <w:r w:rsidRPr="00BA0EFD">
        <w:t>with estimates for the following two years</w:t>
      </w:r>
      <w:r w:rsidR="00CF18A0">
        <w:t xml:space="preserve">. This will give </w:t>
      </w:r>
      <w:r w:rsidR="003A71F5">
        <w:t>higher education providers</w:t>
      </w:r>
      <w:r w:rsidRPr="00BA0EFD">
        <w:t xml:space="preserve"> a</w:t>
      </w:r>
      <w:r w:rsidR="00CF18A0">
        <w:t xml:space="preserve"> clear</w:t>
      </w:r>
      <w:r w:rsidRPr="00BA0EFD">
        <w:t xml:space="preserve"> expectation of their contribution to overall system growth and an incentive to grow sustainably and deliver on performance expectations.</w:t>
      </w:r>
      <w:r w:rsidR="00C31BFF">
        <w:t xml:space="preserve"> </w:t>
      </w:r>
      <w:r w:rsidR="00C71B0C" w:rsidRPr="00BA0EFD">
        <w:t xml:space="preserve">MGTs would be adjusted over time in response to </w:t>
      </w:r>
      <w:r w:rsidR="0080226F">
        <w:t xml:space="preserve">student </w:t>
      </w:r>
      <w:r w:rsidR="00C71B0C" w:rsidRPr="00BA0EFD">
        <w:t>demand dynamics, provider performance, and other market structure issues (</w:t>
      </w:r>
      <w:r w:rsidR="00C71B0C">
        <w:t>e.g.</w:t>
      </w:r>
      <w:r w:rsidR="00C71B0C" w:rsidRPr="00BA0EFD">
        <w:t xml:space="preserve"> the need to establish sustainable scale for a new provider). </w:t>
      </w:r>
      <w:r w:rsidR="00C16BA7">
        <w:t xml:space="preserve">This means </w:t>
      </w:r>
      <w:r w:rsidR="00BB4A5B">
        <w:t>MGTs can be lower than the year before</w:t>
      </w:r>
      <w:r w:rsidR="00C54F9B">
        <w:t>.</w:t>
      </w:r>
      <w:r w:rsidR="00757306">
        <w:t xml:space="preserve"> </w:t>
      </w:r>
      <w:r w:rsidR="0044584E">
        <w:t xml:space="preserve">For example, </w:t>
      </w:r>
      <w:r w:rsidR="00D6168B">
        <w:t xml:space="preserve">if a provider is not able to enrol up to </w:t>
      </w:r>
      <w:r w:rsidR="0056217E">
        <w:t xml:space="preserve">its MGT, its MGT </w:t>
      </w:r>
      <w:r w:rsidR="00FC20E1">
        <w:t>c</w:t>
      </w:r>
      <w:r w:rsidR="009A6A78">
        <w:t>ould</w:t>
      </w:r>
      <w:r w:rsidR="0056217E">
        <w:t xml:space="preserve"> be adjusted to a lower level</w:t>
      </w:r>
      <w:r w:rsidR="005D6B61">
        <w:t xml:space="preserve"> </w:t>
      </w:r>
      <w:r w:rsidR="2D67C8C9">
        <w:t>in following year</w:t>
      </w:r>
      <w:r w:rsidR="00E869BA">
        <w:t>, ensuring th</w:t>
      </w:r>
      <w:r w:rsidR="003A6C43">
        <w:t xml:space="preserve">e allocation of places </w:t>
      </w:r>
      <w:r w:rsidR="009268DF">
        <w:t>reflects student demand</w:t>
      </w:r>
      <w:r w:rsidR="005D6B61">
        <w:t xml:space="preserve">. </w:t>
      </w:r>
    </w:p>
    <w:p w14:paraId="28D7F14B" w14:textId="46ABE2D6" w:rsidR="000A33D3" w:rsidRDefault="005B6FE3" w:rsidP="000A33D3">
      <w:r w:rsidRPr="00E505DF">
        <w:t>U</w:t>
      </w:r>
      <w:r w:rsidR="58A9F642" w:rsidRPr="00E505DF">
        <w:t xml:space="preserve">niversities will not be </w:t>
      </w:r>
      <w:r w:rsidR="007341BB" w:rsidRPr="00E505DF">
        <w:t>permitted to enrol above their MGTs (unless they are enrolling First Nations students in demand-driven higher education courses</w:t>
      </w:r>
      <w:r w:rsidR="00D27432" w:rsidRPr="00E505DF">
        <w:t>)</w:t>
      </w:r>
      <w:r w:rsidR="007341BB" w:rsidRPr="00E505DF">
        <w:t xml:space="preserve"> and would not </w:t>
      </w:r>
      <w:r w:rsidR="007B0F0C" w:rsidRPr="00E505DF">
        <w:t xml:space="preserve">be eligible for </w:t>
      </w:r>
      <w:r w:rsidR="007341BB" w:rsidRPr="00E505DF">
        <w:t>any Commonwealth Grant Scheme (CGS)</w:t>
      </w:r>
      <w:r w:rsidR="008A684B" w:rsidRPr="00E505DF">
        <w:t xml:space="preserve"> </w:t>
      </w:r>
      <w:r w:rsidR="0028000E" w:rsidRPr="00E505DF">
        <w:t xml:space="preserve">funding </w:t>
      </w:r>
      <w:r w:rsidR="007B0F0C" w:rsidRPr="00E505DF">
        <w:t>and not</w:t>
      </w:r>
      <w:r w:rsidR="008A684B" w:rsidRPr="00E505DF">
        <w:t xml:space="preserve"> permitted to retain student contribution</w:t>
      </w:r>
      <w:r w:rsidR="007B0F0C" w:rsidRPr="00E505DF">
        <w:t xml:space="preserve"> amount</w:t>
      </w:r>
      <w:r w:rsidR="008A684B" w:rsidRPr="00E505DF">
        <w:t>s for any enrolments above the</w:t>
      </w:r>
      <w:r w:rsidR="007B0F0C" w:rsidRPr="00E505DF">
        <w:t>ir</w:t>
      </w:r>
      <w:r w:rsidR="008A684B" w:rsidRPr="00E505DF">
        <w:t xml:space="preserve"> MGT.</w:t>
      </w:r>
    </w:p>
    <w:p w14:paraId="6E178DA7" w14:textId="7E320F24" w:rsidR="00BA0EFD" w:rsidRPr="00BA0EFD" w:rsidRDefault="00BA0EFD" w:rsidP="00BA0EFD">
      <w:r w:rsidRPr="00BA0EFD">
        <w:t xml:space="preserve">For Table A providers, the MGT will include </w:t>
      </w:r>
      <w:r w:rsidR="000349B9">
        <w:t>CSPs</w:t>
      </w:r>
      <w:r w:rsidRPr="00BA0EFD">
        <w:t xml:space="preserve"> in higher education courses as defined under Schedule 1 of HESA, from sub-bachelor (including </w:t>
      </w:r>
      <w:r w:rsidR="004868D3">
        <w:t xml:space="preserve">new </w:t>
      </w:r>
      <w:r w:rsidRPr="00BA0EFD">
        <w:t>FEE</w:t>
      </w:r>
      <w:r w:rsidR="00626112">
        <w:t>-</w:t>
      </w:r>
      <w:r w:rsidRPr="00BA0EFD">
        <w:t>FREE Uni Ready</w:t>
      </w:r>
      <w:r w:rsidR="000E7DB5">
        <w:t xml:space="preserve"> courses</w:t>
      </w:r>
      <w:r w:rsidRPr="00BA0EFD">
        <w:t xml:space="preserve">) to postgraduate coursework. </w:t>
      </w:r>
      <w:r w:rsidR="00C447A9">
        <w:t xml:space="preserve">While different </w:t>
      </w:r>
      <w:r w:rsidR="00A02FD3">
        <w:t>courses</w:t>
      </w:r>
      <w:r w:rsidR="00C447A9">
        <w:t xml:space="preserve"> and levels would be transparent to Government, </w:t>
      </w:r>
      <w:r w:rsidR="003A71F5">
        <w:t xml:space="preserve">Table A providers </w:t>
      </w:r>
      <w:r w:rsidRPr="00BA0EFD">
        <w:t xml:space="preserve">would be able to move places between </w:t>
      </w:r>
      <w:r w:rsidRPr="00BA0EFD" w:rsidDel="00C447A9">
        <w:t xml:space="preserve">courses </w:t>
      </w:r>
      <w:r w:rsidRPr="00BA0EFD">
        <w:t>and levels to meet the demand from students and industry</w:t>
      </w:r>
      <w:r w:rsidR="00002D5C">
        <w:t>.</w:t>
      </w:r>
      <w:r w:rsidR="00406D55">
        <w:t xml:space="preserve"> </w:t>
      </w:r>
      <w:r w:rsidR="00DE3FF8">
        <w:t>For example, t</w:t>
      </w:r>
      <w:r w:rsidR="00406D55">
        <w:t xml:space="preserve">his will </w:t>
      </w:r>
      <w:r w:rsidR="006439D8">
        <w:t>allow Table A providers</w:t>
      </w:r>
      <w:r w:rsidR="003755A8">
        <w:t xml:space="preserve"> </w:t>
      </w:r>
      <w:r w:rsidR="00316446">
        <w:t xml:space="preserve">to build </w:t>
      </w:r>
      <w:r w:rsidR="00D24C7A">
        <w:t xml:space="preserve">the pipeline of students by </w:t>
      </w:r>
      <w:r w:rsidR="00316446">
        <w:t>increas</w:t>
      </w:r>
      <w:r w:rsidR="00D24C7A">
        <w:t>ing</w:t>
      </w:r>
      <w:r w:rsidR="00316446">
        <w:t xml:space="preserve"> the number of FEE-FREE Uni Ready courses they offer </w:t>
      </w:r>
      <w:r w:rsidR="00D24C7A">
        <w:t>and therefore</w:t>
      </w:r>
      <w:r w:rsidR="00316446">
        <w:t xml:space="preserve"> increas</w:t>
      </w:r>
      <w:r w:rsidR="00D24C7A">
        <w:t>ing</w:t>
      </w:r>
      <w:r w:rsidR="00316446">
        <w:t xml:space="preserve"> </w:t>
      </w:r>
      <w:r w:rsidR="00D066D2">
        <w:t>the articulation of</w:t>
      </w:r>
      <w:r w:rsidR="00B973D4">
        <w:t xml:space="preserve"> </w:t>
      </w:r>
      <w:r w:rsidR="00D24C7A">
        <w:t xml:space="preserve">these </w:t>
      </w:r>
      <w:r w:rsidR="00B973D4">
        <w:t xml:space="preserve">students to other </w:t>
      </w:r>
      <w:r w:rsidR="004432A9">
        <w:t>higher education award courses.</w:t>
      </w:r>
      <w:r w:rsidR="00E443C6" w:rsidRPr="00E443C6">
        <w:t xml:space="preserve"> </w:t>
      </w:r>
      <w:r w:rsidR="006439D8">
        <w:t xml:space="preserve">However, </w:t>
      </w:r>
      <w:r w:rsidR="00E443C6" w:rsidRPr="00E443C6">
        <w:t xml:space="preserve">this </w:t>
      </w:r>
      <w:r w:rsidR="006439D8">
        <w:t xml:space="preserve">flexibility provided under the MGT </w:t>
      </w:r>
      <w:r w:rsidR="00F44A53">
        <w:t>would be</w:t>
      </w:r>
      <w:r w:rsidR="00E443C6" w:rsidRPr="00E443C6" w:rsidDel="00F44A53">
        <w:t xml:space="preserve"> </w:t>
      </w:r>
      <w:r w:rsidR="00F44A53">
        <w:t>monitored</w:t>
      </w:r>
      <w:r w:rsidR="00F44A53" w:rsidRPr="00E443C6">
        <w:t xml:space="preserve"> </w:t>
      </w:r>
      <w:r w:rsidR="00E443C6" w:rsidRPr="00E443C6">
        <w:t xml:space="preserve">through negotiation to manage significant shifts in courses that do not align with national priorities and university missions. </w:t>
      </w:r>
    </w:p>
    <w:p w14:paraId="0C230B87" w14:textId="241D0D59" w:rsidR="006A2B42" w:rsidRDefault="006A2B42" w:rsidP="006A2B42">
      <w:r w:rsidRPr="00E505DF">
        <w:t>While</w:t>
      </w:r>
      <w:r w:rsidR="00A915D7" w:rsidRPr="00E505DF">
        <w:t xml:space="preserve"> Table A</w:t>
      </w:r>
      <w:r w:rsidRPr="00E505DF">
        <w:t xml:space="preserve"> universities enrol almost all Commonwealth supported students, there are currently six other higher education providers (including two TAFEs) with ongoing allocations of CSP funding</w:t>
      </w:r>
      <w:r w:rsidR="00EB7507" w:rsidRPr="00E505DF">
        <w:t xml:space="preserve"> (see </w:t>
      </w:r>
      <w:r w:rsidR="00EB7507" w:rsidRPr="00E505DF">
        <w:rPr>
          <w:u w:val="single"/>
        </w:rPr>
        <w:t>Attachment A</w:t>
      </w:r>
      <w:r w:rsidR="00EB7507" w:rsidRPr="00E505DF">
        <w:t>)</w:t>
      </w:r>
      <w:r w:rsidRPr="00E505DF">
        <w:t xml:space="preserve">. These providers are only able to offer CSPs in areas of national priority – education and nursing courses. It is intended that the new funding system will also apply to these providers. </w:t>
      </w:r>
    </w:p>
    <w:p w14:paraId="280CCAE1" w14:textId="120257F7" w:rsidR="006A2B42" w:rsidRDefault="006A2B42" w:rsidP="006A2B42">
      <w:r>
        <w:t xml:space="preserve">For these </w:t>
      </w:r>
      <w:r w:rsidR="007B0F0C">
        <w:t xml:space="preserve">six </w:t>
      </w:r>
      <w:r>
        <w:t>non-Table A providers</w:t>
      </w:r>
      <w:r w:rsidRPr="00BA0EFD">
        <w:t>, the</w:t>
      </w:r>
      <w:r>
        <w:t>ir</w:t>
      </w:r>
      <w:r w:rsidRPr="00BA0EFD">
        <w:t xml:space="preserve"> MGT will reflect the number of CSPs currently allocated to these providers by fields of study and </w:t>
      </w:r>
      <w:r w:rsidR="007134AB">
        <w:t>by</w:t>
      </w:r>
      <w:r w:rsidR="007134AB" w:rsidRPr="00BA0EFD">
        <w:t xml:space="preserve"> </w:t>
      </w:r>
      <w:r w:rsidRPr="00BA0EFD">
        <w:t xml:space="preserve">course level. </w:t>
      </w:r>
      <w:r>
        <w:t>Consistent with the treatment of Table A providers, t</w:t>
      </w:r>
      <w:r w:rsidRPr="00BA0EFD">
        <w:t xml:space="preserve">hese providers will not </w:t>
      </w:r>
      <w:r>
        <w:t>r</w:t>
      </w:r>
      <w:r w:rsidRPr="00BA0EFD">
        <w:t>eceiv</w:t>
      </w:r>
      <w:r>
        <w:t xml:space="preserve">e </w:t>
      </w:r>
      <w:r w:rsidRPr="00BA0EFD">
        <w:t>the CGS or student contribution for enrolments above these allocations.</w:t>
      </w:r>
    </w:p>
    <w:p w14:paraId="6C64B825" w14:textId="4DFC2F9A" w:rsidR="006A2B42" w:rsidRDefault="00DD2FD2" w:rsidP="006A2B42">
      <w:r>
        <w:t xml:space="preserve">It is intended that </w:t>
      </w:r>
      <w:r w:rsidR="00FE73C6">
        <w:t>the</w:t>
      </w:r>
      <w:r w:rsidR="00902C74">
        <w:t xml:space="preserve"> Australian Tertiary Education Commission</w:t>
      </w:r>
      <w:r w:rsidR="00FE73C6">
        <w:t xml:space="preserve"> </w:t>
      </w:r>
      <w:r w:rsidR="00902C74">
        <w:t>(</w:t>
      </w:r>
      <w:r w:rsidR="00FE73C6">
        <w:t>ATEC</w:t>
      </w:r>
      <w:r w:rsidR="00902C74">
        <w:t>)</w:t>
      </w:r>
      <w:r w:rsidR="00FE73C6">
        <w:t xml:space="preserve"> will consider and provide advice on </w:t>
      </w:r>
      <w:r w:rsidR="00AE5CAB">
        <w:t xml:space="preserve">expanding </w:t>
      </w:r>
      <w:r w:rsidR="006A2B42">
        <w:t xml:space="preserve">the allocation of CSPs </w:t>
      </w:r>
      <w:r>
        <w:t xml:space="preserve">to TAFEs </w:t>
      </w:r>
      <w:r w:rsidR="00664232">
        <w:t xml:space="preserve">offering higher education qualifications </w:t>
      </w:r>
      <w:r>
        <w:t xml:space="preserve">and other publicly funded non-Table A </w:t>
      </w:r>
      <w:r w:rsidR="00664232">
        <w:t xml:space="preserve">higher education </w:t>
      </w:r>
      <w:r>
        <w:t xml:space="preserve">providers. </w:t>
      </w:r>
    </w:p>
    <w:p w14:paraId="5CDFCEB3" w14:textId="4CE4B93B" w:rsidR="00441DDE" w:rsidRDefault="00595CC0" w:rsidP="000A33D3">
      <w:r w:rsidRPr="0097548E">
        <w:rPr>
          <w:b/>
          <w:bCs/>
          <w:noProof/>
        </w:rPr>
        <w:lastRenderedPageBreak/>
        <mc:AlternateContent>
          <mc:Choice Requires="wps">
            <w:drawing>
              <wp:inline distT="0" distB="0" distL="0" distR="0" wp14:anchorId="2E2D4848" wp14:editId="53F5BE4D">
                <wp:extent cx="5705475" cy="3027045"/>
                <wp:effectExtent l="0" t="0" r="28575" b="20955"/>
                <wp:docPr id="885955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27045"/>
                        </a:xfrm>
                        <a:prstGeom prst="rect">
                          <a:avLst/>
                        </a:prstGeom>
                        <a:solidFill>
                          <a:schemeClr val="accent5">
                            <a:lumMod val="20000"/>
                            <a:lumOff val="80000"/>
                          </a:schemeClr>
                        </a:solidFill>
                        <a:ln w="9525">
                          <a:solidFill>
                            <a:srgbClr val="000000"/>
                          </a:solidFill>
                          <a:miter lim="800000"/>
                          <a:headEnd/>
                          <a:tailEnd/>
                        </a:ln>
                      </wps:spPr>
                      <wps:txbx>
                        <w:txbxContent>
                          <w:p w14:paraId="6B8A0585" w14:textId="3EDF31F7" w:rsidR="003F78AD" w:rsidRPr="00E863BF" w:rsidRDefault="0097548E" w:rsidP="0097548E">
                            <w:pPr>
                              <w:spacing w:after="0" w:line="240" w:lineRule="auto"/>
                              <w:rPr>
                                <w:b/>
                                <w:sz w:val="32"/>
                                <w:szCs w:val="32"/>
                              </w:rPr>
                            </w:pPr>
                            <w:bookmarkStart w:id="3" w:name="_Hlk166136570"/>
                            <w:r w:rsidRPr="00E863BF">
                              <w:rPr>
                                <w:b/>
                                <w:sz w:val="32"/>
                                <w:szCs w:val="32"/>
                              </w:rPr>
                              <w:t xml:space="preserve">Implementation </w:t>
                            </w:r>
                            <w:r w:rsidR="00EE2BD1">
                              <w:rPr>
                                <w:b/>
                                <w:sz w:val="32"/>
                                <w:szCs w:val="32"/>
                              </w:rPr>
                              <w:t>i</w:t>
                            </w:r>
                            <w:r w:rsidRPr="00E863BF">
                              <w:rPr>
                                <w:b/>
                                <w:sz w:val="32"/>
                                <w:szCs w:val="32"/>
                              </w:rPr>
                              <w:t>ssues</w:t>
                            </w:r>
                            <w:r w:rsidR="00EE2BD1">
                              <w:rPr>
                                <w:b/>
                                <w:sz w:val="32"/>
                                <w:szCs w:val="32"/>
                              </w:rPr>
                              <w:t xml:space="preserve"> </w:t>
                            </w:r>
                            <w:r w:rsidR="007B0F75">
                              <w:rPr>
                                <w:b/>
                                <w:sz w:val="32"/>
                                <w:szCs w:val="32"/>
                              </w:rPr>
                              <w:t>for co</w:t>
                            </w:r>
                            <w:r w:rsidR="009C7F1A">
                              <w:rPr>
                                <w:b/>
                                <w:sz w:val="32"/>
                                <w:szCs w:val="32"/>
                              </w:rPr>
                              <w:t>nsideration</w:t>
                            </w:r>
                          </w:p>
                          <w:bookmarkEnd w:id="3"/>
                          <w:p w14:paraId="51789EB8" w14:textId="38BE33ED" w:rsidR="00B92411" w:rsidRDefault="00AD4E18" w:rsidP="00B37291">
                            <w:pPr>
                              <w:pStyle w:val="ListParagraph"/>
                              <w:numPr>
                                <w:ilvl w:val="0"/>
                                <w:numId w:val="32"/>
                              </w:numPr>
                              <w:spacing w:before="240"/>
                              <w:ind w:left="357" w:hanging="357"/>
                              <w:contextualSpacing w:val="0"/>
                            </w:pPr>
                            <w:r>
                              <w:t xml:space="preserve">What </w:t>
                            </w:r>
                            <w:r w:rsidR="001E5B91">
                              <w:t>a</w:t>
                            </w:r>
                            <w:r>
                              <w:t xml:space="preserve">re the key </w:t>
                            </w:r>
                            <w:r w:rsidR="001E5B91">
                              <w:t>implementation issues that</w:t>
                            </w:r>
                            <w:r w:rsidR="001F6D1C">
                              <w:t xml:space="preserve"> need to be considered </w:t>
                            </w:r>
                            <w:r w:rsidR="00C153B5">
                              <w:t>as the sector transition</w:t>
                            </w:r>
                            <w:r w:rsidR="009B1062">
                              <w:t>s</w:t>
                            </w:r>
                            <w:r w:rsidR="00C153B5">
                              <w:t xml:space="preserve"> from the current system based on total funding cap (i.e. MBGA)</w:t>
                            </w:r>
                            <w:r w:rsidR="003C07F2">
                              <w:t xml:space="preserve"> to the new system based on </w:t>
                            </w:r>
                            <w:r w:rsidR="00AA258E">
                              <w:t>a cap on EFTS</w:t>
                            </w:r>
                            <w:r w:rsidR="00A06C9A">
                              <w:t>L (i.e. MGT)?</w:t>
                            </w:r>
                          </w:p>
                          <w:p w14:paraId="604461ED" w14:textId="4B29FE3D" w:rsidR="009C5ABE" w:rsidRDefault="009C5ABE" w:rsidP="00B37291">
                            <w:pPr>
                              <w:pStyle w:val="ListParagraph"/>
                              <w:numPr>
                                <w:ilvl w:val="0"/>
                                <w:numId w:val="32"/>
                              </w:numPr>
                              <w:spacing w:before="240"/>
                              <w:ind w:left="357" w:hanging="357"/>
                              <w:contextualSpacing w:val="0"/>
                            </w:pPr>
                            <w:r w:rsidRPr="009C5ABE">
                              <w:t>How can the</w:t>
                            </w:r>
                            <w:r w:rsidR="00DE7AF4">
                              <w:t xml:space="preserve"> system be </w:t>
                            </w:r>
                            <w:r w:rsidR="00DB1082">
                              <w:t xml:space="preserve">designed </w:t>
                            </w:r>
                            <w:r w:rsidR="00DE7AF4">
                              <w:t xml:space="preserve">so that it is </w:t>
                            </w:r>
                            <w:r w:rsidR="000A7DBE">
                              <w:t>responsive while also</w:t>
                            </w:r>
                            <w:r w:rsidRPr="009C5ABE">
                              <w:t xml:space="preserve"> </w:t>
                            </w:r>
                            <w:r w:rsidR="00986573">
                              <w:t>provid</w:t>
                            </w:r>
                            <w:r w:rsidR="000A7DBE">
                              <w:t>ing</w:t>
                            </w:r>
                            <w:r w:rsidR="00986573">
                              <w:t xml:space="preserve"> </w:t>
                            </w:r>
                            <w:r w:rsidR="00F8363D">
                              <w:t xml:space="preserve">more funding certainty to providers? </w:t>
                            </w:r>
                          </w:p>
                          <w:p w14:paraId="362970BE" w14:textId="13F2CCB5" w:rsidR="000B710D" w:rsidRDefault="00B92411" w:rsidP="007134AB">
                            <w:pPr>
                              <w:pStyle w:val="ListParagraph"/>
                              <w:numPr>
                                <w:ilvl w:val="0"/>
                                <w:numId w:val="32"/>
                              </w:numPr>
                              <w:spacing w:after="0"/>
                              <w:ind w:left="357" w:hanging="357"/>
                              <w:contextualSpacing w:val="0"/>
                            </w:pPr>
                            <w:r w:rsidRPr="00B92411">
                              <w:t xml:space="preserve">What are the key operating rules and procedures </w:t>
                            </w:r>
                            <w:r w:rsidR="00DB1082">
                              <w:t xml:space="preserve">required </w:t>
                            </w:r>
                            <w:r w:rsidRPr="00B92411">
                              <w:t>for negotiating and setting the MGTs with providers?</w:t>
                            </w:r>
                            <w:r w:rsidR="007134AB">
                              <w:t xml:space="preserve"> </w:t>
                            </w:r>
                            <w:r w:rsidR="00695D98">
                              <w:t>For example</w:t>
                            </w:r>
                            <w:r w:rsidR="000B710D">
                              <w:t>:</w:t>
                            </w:r>
                          </w:p>
                          <w:p w14:paraId="13DF04A7" w14:textId="2405A86C" w:rsidR="000250BF" w:rsidRDefault="0067219F" w:rsidP="000B710D">
                            <w:pPr>
                              <w:pStyle w:val="ListParagraph"/>
                              <w:numPr>
                                <w:ilvl w:val="1"/>
                                <w:numId w:val="32"/>
                              </w:numPr>
                              <w:spacing w:after="0"/>
                              <w:contextualSpacing w:val="0"/>
                            </w:pPr>
                            <w:r>
                              <w:t>W</w:t>
                            </w:r>
                            <w:r w:rsidR="00695D98">
                              <w:t xml:space="preserve">hat are the </w:t>
                            </w:r>
                            <w:r w:rsidR="007134AB">
                              <w:t xml:space="preserve">key </w:t>
                            </w:r>
                            <w:r w:rsidR="006551FD">
                              <w:t xml:space="preserve">performance indicators </w:t>
                            </w:r>
                            <w:r w:rsidR="00CD045C">
                              <w:t xml:space="preserve">that </w:t>
                            </w:r>
                            <w:r w:rsidR="00864B4F">
                              <w:t xml:space="preserve">should be considered </w:t>
                            </w:r>
                            <w:r w:rsidR="006915F4">
                              <w:t xml:space="preserve">when </w:t>
                            </w:r>
                            <w:r w:rsidR="007134AB">
                              <w:t>adjusting a provider’s MGT</w:t>
                            </w:r>
                            <w:r w:rsidR="00695D98">
                              <w:t>?</w:t>
                            </w:r>
                          </w:p>
                          <w:p w14:paraId="170928E3" w14:textId="12C67276" w:rsidR="000B710D" w:rsidRDefault="0067219F" w:rsidP="0067219F">
                            <w:pPr>
                              <w:pStyle w:val="ListParagraph"/>
                              <w:numPr>
                                <w:ilvl w:val="1"/>
                                <w:numId w:val="32"/>
                              </w:numPr>
                              <w:spacing w:after="0"/>
                              <w:contextualSpacing w:val="0"/>
                            </w:pPr>
                            <w:r>
                              <w:t>W</w:t>
                            </w:r>
                            <w:r w:rsidR="00ED32C6">
                              <w:t>hat indicators of potential student demand (for example economic conditions) should be considered when adjusting a providers’ MGT?</w:t>
                            </w:r>
                          </w:p>
                          <w:p w14:paraId="19E0431A" w14:textId="77777777" w:rsidR="00B92411" w:rsidRDefault="00B92411"/>
                          <w:p w14:paraId="0D012B7A" w14:textId="77777777" w:rsidR="007B6DF9" w:rsidRDefault="007B6DF9"/>
                        </w:txbxContent>
                      </wps:txbx>
                      <wps:bodyPr rot="0" vert="horz" wrap="square" lIns="91440" tIns="45720" rIns="91440" bIns="45720" anchor="t" anchorCtr="0">
                        <a:noAutofit/>
                      </wps:bodyPr>
                    </wps:wsp>
                  </a:graphicData>
                </a:graphic>
              </wp:inline>
            </w:drawing>
          </mc:Choice>
          <mc:Fallback>
            <w:pict>
              <v:shape w14:anchorId="2E2D4848" id="Text Box 2" o:spid="_x0000_s1027" type="#_x0000_t202" style="width:449.25pt;height:2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" fillcolor="#fcdfdf [664]">
                <v:textbox>
                  <w:txbxContent>
                    <w:p w14:paraId="6B8A0585" w14:textId="3EDF31F7" w:rsidR="003F78AD" w:rsidRPr="00E863BF" w:rsidRDefault="0097548E" w:rsidP="0097548E">
                      <w:pPr>
                        <w:spacing w:after="0" w:line="240" w:lineRule="auto"/>
                        <w:rPr>
                          <w:b/>
                          <w:sz w:val="32"/>
                          <w:szCs w:val="32"/>
                        </w:rPr>
                      </w:pPr>
                      <w:bookmarkStart w:id="4" w:name="_Hlk166136570"/>
                      <w:r w:rsidRPr="00E863BF">
                        <w:rPr>
                          <w:b/>
                          <w:sz w:val="32"/>
                          <w:szCs w:val="32"/>
                        </w:rPr>
                        <w:t xml:space="preserve">Implementation </w:t>
                      </w:r>
                      <w:r w:rsidR="00EE2BD1">
                        <w:rPr>
                          <w:b/>
                          <w:sz w:val="32"/>
                          <w:szCs w:val="32"/>
                        </w:rPr>
                        <w:t>i</w:t>
                      </w:r>
                      <w:r w:rsidRPr="00E863BF">
                        <w:rPr>
                          <w:b/>
                          <w:sz w:val="32"/>
                          <w:szCs w:val="32"/>
                        </w:rPr>
                        <w:t>ssues</w:t>
                      </w:r>
                      <w:r w:rsidR="00EE2BD1">
                        <w:rPr>
                          <w:b/>
                          <w:sz w:val="32"/>
                          <w:szCs w:val="32"/>
                        </w:rPr>
                        <w:t xml:space="preserve"> </w:t>
                      </w:r>
                      <w:r w:rsidR="007B0F75">
                        <w:rPr>
                          <w:b/>
                          <w:sz w:val="32"/>
                          <w:szCs w:val="32"/>
                        </w:rPr>
                        <w:t>for co</w:t>
                      </w:r>
                      <w:r w:rsidR="009C7F1A">
                        <w:rPr>
                          <w:b/>
                          <w:sz w:val="32"/>
                          <w:szCs w:val="32"/>
                        </w:rPr>
                        <w:t>nsideration</w:t>
                      </w:r>
                    </w:p>
                    <w:bookmarkEnd w:id="4"/>
                    <w:p w14:paraId="51789EB8" w14:textId="38BE33ED" w:rsidR="00B92411" w:rsidRDefault="00AD4E18" w:rsidP="00B37291">
                      <w:pPr>
                        <w:pStyle w:val="ListParagraph"/>
                        <w:numPr>
                          <w:ilvl w:val="0"/>
                          <w:numId w:val="32"/>
                        </w:numPr>
                        <w:spacing w:before="240"/>
                        <w:ind w:left="357" w:hanging="357"/>
                        <w:contextualSpacing w:val="0"/>
                      </w:pPr>
                      <w:r>
                        <w:t xml:space="preserve">What </w:t>
                      </w:r>
                      <w:r w:rsidR="001E5B91">
                        <w:t>a</w:t>
                      </w:r>
                      <w:r>
                        <w:t xml:space="preserve">re the key </w:t>
                      </w:r>
                      <w:r w:rsidR="001E5B91">
                        <w:t>implementation issues that</w:t>
                      </w:r>
                      <w:r w:rsidR="001F6D1C">
                        <w:t xml:space="preserve"> need to be considered </w:t>
                      </w:r>
                      <w:r w:rsidR="00C153B5">
                        <w:t>as the sector transition</w:t>
                      </w:r>
                      <w:r w:rsidR="009B1062">
                        <w:t>s</w:t>
                      </w:r>
                      <w:r w:rsidR="00C153B5">
                        <w:t xml:space="preserve"> from the current system based on total funding cap (i.e. MBGA)</w:t>
                      </w:r>
                      <w:r w:rsidR="003C07F2">
                        <w:t xml:space="preserve"> to the new system based on </w:t>
                      </w:r>
                      <w:r w:rsidR="00AA258E">
                        <w:t>a cap on EFTS</w:t>
                      </w:r>
                      <w:r w:rsidR="00A06C9A">
                        <w:t>L (i.e. MGT)?</w:t>
                      </w:r>
                    </w:p>
                    <w:p w14:paraId="604461ED" w14:textId="4B29FE3D" w:rsidR="009C5ABE" w:rsidRDefault="009C5ABE" w:rsidP="00B37291">
                      <w:pPr>
                        <w:pStyle w:val="ListParagraph"/>
                        <w:numPr>
                          <w:ilvl w:val="0"/>
                          <w:numId w:val="32"/>
                        </w:numPr>
                        <w:spacing w:before="240"/>
                        <w:ind w:left="357" w:hanging="357"/>
                        <w:contextualSpacing w:val="0"/>
                      </w:pPr>
                      <w:r w:rsidRPr="009C5ABE">
                        <w:t>How can the</w:t>
                      </w:r>
                      <w:r w:rsidR="00DE7AF4">
                        <w:t xml:space="preserve"> system be </w:t>
                      </w:r>
                      <w:r w:rsidR="00DB1082">
                        <w:t xml:space="preserve">designed </w:t>
                      </w:r>
                      <w:r w:rsidR="00DE7AF4">
                        <w:t xml:space="preserve">so that it is </w:t>
                      </w:r>
                      <w:r w:rsidR="000A7DBE">
                        <w:t>responsive while also</w:t>
                      </w:r>
                      <w:r w:rsidRPr="009C5ABE">
                        <w:t xml:space="preserve"> </w:t>
                      </w:r>
                      <w:r w:rsidR="00986573">
                        <w:t>provid</w:t>
                      </w:r>
                      <w:r w:rsidR="000A7DBE">
                        <w:t>ing</w:t>
                      </w:r>
                      <w:r w:rsidR="00986573">
                        <w:t xml:space="preserve"> </w:t>
                      </w:r>
                      <w:r w:rsidR="00F8363D">
                        <w:t xml:space="preserve">more funding certainty to providers? </w:t>
                      </w:r>
                    </w:p>
                    <w:p w14:paraId="362970BE" w14:textId="13F2CCB5" w:rsidR="000B710D" w:rsidRDefault="00B92411" w:rsidP="007134AB">
                      <w:pPr>
                        <w:pStyle w:val="ListParagraph"/>
                        <w:numPr>
                          <w:ilvl w:val="0"/>
                          <w:numId w:val="32"/>
                        </w:numPr>
                        <w:spacing w:after="0"/>
                        <w:ind w:left="357" w:hanging="357"/>
                        <w:contextualSpacing w:val="0"/>
                      </w:pPr>
                      <w:r w:rsidRPr="00B92411">
                        <w:t xml:space="preserve">What are the key operating rules and procedures </w:t>
                      </w:r>
                      <w:r w:rsidR="00DB1082">
                        <w:t xml:space="preserve">required </w:t>
                      </w:r>
                      <w:r w:rsidRPr="00B92411">
                        <w:t>for negotiating and setting the MGTs with providers?</w:t>
                      </w:r>
                      <w:r w:rsidR="007134AB">
                        <w:t xml:space="preserve"> </w:t>
                      </w:r>
                      <w:r w:rsidR="00695D98">
                        <w:t>For example</w:t>
                      </w:r>
                      <w:r w:rsidR="000B710D">
                        <w:t>:</w:t>
                      </w:r>
                    </w:p>
                    <w:p w14:paraId="13DF04A7" w14:textId="2405A86C" w:rsidR="000250BF" w:rsidRDefault="0067219F" w:rsidP="000B710D">
                      <w:pPr>
                        <w:pStyle w:val="ListParagraph"/>
                        <w:numPr>
                          <w:ilvl w:val="1"/>
                          <w:numId w:val="32"/>
                        </w:numPr>
                        <w:spacing w:after="0"/>
                        <w:contextualSpacing w:val="0"/>
                      </w:pPr>
                      <w:r>
                        <w:t>W</w:t>
                      </w:r>
                      <w:r w:rsidR="00695D98">
                        <w:t xml:space="preserve">hat are the </w:t>
                      </w:r>
                      <w:r w:rsidR="007134AB">
                        <w:t xml:space="preserve">key </w:t>
                      </w:r>
                      <w:r w:rsidR="006551FD">
                        <w:t xml:space="preserve">performance indicators </w:t>
                      </w:r>
                      <w:r w:rsidR="00CD045C">
                        <w:t xml:space="preserve">that </w:t>
                      </w:r>
                      <w:r w:rsidR="00864B4F">
                        <w:t xml:space="preserve">should be considered </w:t>
                      </w:r>
                      <w:r w:rsidR="006915F4">
                        <w:t xml:space="preserve">when </w:t>
                      </w:r>
                      <w:r w:rsidR="007134AB">
                        <w:t>adjusting a provider’s MGT</w:t>
                      </w:r>
                      <w:r w:rsidR="00695D98">
                        <w:t>?</w:t>
                      </w:r>
                    </w:p>
                    <w:p w14:paraId="170928E3" w14:textId="12C67276" w:rsidR="000B710D" w:rsidRDefault="0067219F" w:rsidP="0067219F">
                      <w:pPr>
                        <w:pStyle w:val="ListParagraph"/>
                        <w:numPr>
                          <w:ilvl w:val="1"/>
                          <w:numId w:val="32"/>
                        </w:numPr>
                        <w:spacing w:after="0"/>
                        <w:contextualSpacing w:val="0"/>
                      </w:pPr>
                      <w:r>
                        <w:t>W</w:t>
                      </w:r>
                      <w:r w:rsidR="00ED32C6">
                        <w:t>hat indicators of potential student demand (for example economic conditions) should be considered when adjusting a providers’ MGT?</w:t>
                      </w:r>
                    </w:p>
                    <w:p w14:paraId="19E0431A" w14:textId="77777777" w:rsidR="00B92411" w:rsidRDefault="00B92411"/>
                    <w:p w14:paraId="0D012B7A" w14:textId="77777777" w:rsidR="007B6DF9" w:rsidRDefault="007B6DF9"/>
                  </w:txbxContent>
                </v:textbox>
                <w10:anchorlock/>
              </v:shape>
            </w:pict>
          </mc:Fallback>
        </mc:AlternateContent>
      </w:r>
    </w:p>
    <w:p w14:paraId="7060D067" w14:textId="7DFF797D" w:rsidR="0067219F" w:rsidRDefault="0067219F" w:rsidP="0067219F">
      <w:pPr>
        <w:rPr>
          <w:rFonts w:asciiTheme="majorHAnsi" w:eastAsiaTheme="majorEastAsia" w:hAnsiTheme="majorHAnsi" w:cstheme="majorBidi"/>
          <w:b/>
          <w:color w:val="008599" w:themeColor="accent1"/>
          <w:sz w:val="32"/>
          <w:szCs w:val="32"/>
        </w:rPr>
      </w:pPr>
    </w:p>
    <w:p w14:paraId="388B7272" w14:textId="26F71802" w:rsidR="00BA0EFD" w:rsidRDefault="004100CD" w:rsidP="0067219F">
      <w:pPr>
        <w:rPr>
          <w:rFonts w:asciiTheme="majorHAnsi" w:eastAsiaTheme="majorEastAsia" w:hAnsiTheme="majorHAnsi" w:cstheme="majorBidi"/>
          <w:b/>
          <w:color w:val="008599" w:themeColor="accent1"/>
          <w:sz w:val="32"/>
          <w:szCs w:val="32"/>
        </w:rPr>
      </w:pPr>
      <w:r w:rsidRPr="501928EC">
        <w:rPr>
          <w:rFonts w:asciiTheme="majorHAnsi" w:eastAsiaTheme="majorEastAsia" w:hAnsiTheme="majorHAnsi" w:cstheme="majorBidi"/>
          <w:b/>
          <w:color w:val="008599" w:themeColor="accent1"/>
          <w:sz w:val="32"/>
          <w:szCs w:val="32"/>
        </w:rPr>
        <w:t>Managed d</w:t>
      </w:r>
      <w:r w:rsidR="00BA0EFD" w:rsidRPr="501928EC">
        <w:rPr>
          <w:rFonts w:asciiTheme="majorHAnsi" w:eastAsiaTheme="majorEastAsia" w:hAnsiTheme="majorHAnsi" w:cstheme="majorBidi"/>
          <w:b/>
          <w:color w:val="008599" w:themeColor="accent1"/>
          <w:sz w:val="32"/>
          <w:szCs w:val="32"/>
        </w:rPr>
        <w:t>emand</w:t>
      </w:r>
      <w:r w:rsidRPr="501928EC">
        <w:rPr>
          <w:rFonts w:asciiTheme="majorHAnsi" w:eastAsiaTheme="majorEastAsia" w:hAnsiTheme="majorHAnsi" w:cstheme="majorBidi"/>
          <w:b/>
          <w:color w:val="008599" w:themeColor="accent1"/>
          <w:sz w:val="32"/>
          <w:szCs w:val="32"/>
        </w:rPr>
        <w:t>-</w:t>
      </w:r>
      <w:r w:rsidR="00BA0EFD" w:rsidRPr="501928EC">
        <w:rPr>
          <w:rFonts w:asciiTheme="majorHAnsi" w:eastAsiaTheme="majorEastAsia" w:hAnsiTheme="majorHAnsi" w:cstheme="majorBidi"/>
          <w:b/>
          <w:color w:val="008599" w:themeColor="accent1"/>
          <w:sz w:val="32"/>
          <w:szCs w:val="32"/>
        </w:rPr>
        <w:t>driven funding</w:t>
      </w:r>
      <w:r w:rsidR="000D7182" w:rsidRPr="501928EC">
        <w:rPr>
          <w:rFonts w:asciiTheme="majorHAnsi" w:eastAsiaTheme="majorEastAsia" w:hAnsiTheme="majorHAnsi" w:cstheme="majorBidi"/>
          <w:b/>
          <w:color w:val="008599" w:themeColor="accent1"/>
          <w:sz w:val="32"/>
          <w:szCs w:val="32"/>
        </w:rPr>
        <w:t xml:space="preserve"> for equity students</w:t>
      </w:r>
    </w:p>
    <w:p w14:paraId="7C163390" w14:textId="37CC0147" w:rsidR="00D56C17" w:rsidRDefault="00E3016D" w:rsidP="00062386">
      <w:pPr>
        <w:pBdr>
          <w:top w:val="single" w:sz="4" w:space="1" w:color="auto"/>
          <w:left w:val="single" w:sz="4" w:space="4" w:color="auto"/>
          <w:bottom w:val="single" w:sz="4" w:space="1" w:color="auto"/>
          <w:right w:val="single" w:sz="4" w:space="4" w:color="auto"/>
        </w:pBdr>
        <w:shd w:val="clear" w:color="auto" w:fill="D0F1FC" w:themeFill="accent3" w:themeFillTint="33"/>
      </w:pPr>
      <w:r>
        <w:t xml:space="preserve">It is proposed that </w:t>
      </w:r>
      <w:r w:rsidR="006171A9" w:rsidRPr="00B671C0">
        <w:rPr>
          <w:b/>
          <w:bCs/>
        </w:rPr>
        <w:t xml:space="preserve">managed </w:t>
      </w:r>
      <w:r w:rsidRPr="00B671C0">
        <w:rPr>
          <w:b/>
          <w:bCs/>
        </w:rPr>
        <w:t xml:space="preserve">demand-driven funding </w:t>
      </w:r>
      <w:r w:rsidR="006171A9" w:rsidRPr="00B671C0">
        <w:rPr>
          <w:b/>
          <w:bCs/>
        </w:rPr>
        <w:t xml:space="preserve">for equity students </w:t>
      </w:r>
      <w:r w:rsidR="001B673E" w:rsidRPr="001B673E">
        <w:t>will be established</w:t>
      </w:r>
      <w:r w:rsidR="006171A9" w:rsidRPr="00B671C0">
        <w:rPr>
          <w:b/>
          <w:bCs/>
        </w:rPr>
        <w:t xml:space="preserve"> </w:t>
      </w:r>
      <w:r w:rsidR="006171A9" w:rsidRPr="001B673E">
        <w:t>within</w:t>
      </w:r>
      <w:r w:rsidR="009161E8" w:rsidRPr="001B673E">
        <w:t xml:space="preserve"> the MGT</w:t>
      </w:r>
      <w:r w:rsidR="009161E8" w:rsidRPr="00B671C0">
        <w:rPr>
          <w:b/>
          <w:bCs/>
        </w:rPr>
        <w:t xml:space="preserve"> </w:t>
      </w:r>
      <w:r w:rsidR="009161E8">
        <w:t>for</w:t>
      </w:r>
      <w:r w:rsidR="009161E8" w:rsidDel="00DD2FD2">
        <w:t xml:space="preserve"> </w:t>
      </w:r>
      <w:r w:rsidR="009161E8">
        <w:t xml:space="preserve">Table A provider. </w:t>
      </w:r>
      <w:r w:rsidR="009161E8" w:rsidRPr="009161E8">
        <w:t xml:space="preserve">Students from equity backgrounds wishing to study a non-medical bachelor level course at a Table A </w:t>
      </w:r>
      <w:r w:rsidR="00292719">
        <w:t xml:space="preserve">providers </w:t>
      </w:r>
      <w:r w:rsidR="009161E8" w:rsidRPr="009161E8">
        <w:t xml:space="preserve">will be guaranteed a </w:t>
      </w:r>
      <w:proofErr w:type="gramStart"/>
      <w:r w:rsidR="009161E8" w:rsidRPr="009161E8">
        <w:t>fully-funded</w:t>
      </w:r>
      <w:proofErr w:type="gramEnd"/>
      <w:r w:rsidR="009161E8" w:rsidRPr="009161E8">
        <w:t xml:space="preserve"> CSP</w:t>
      </w:r>
      <w:r w:rsidR="00DD2FD2">
        <w:t xml:space="preserve"> if they gain admission</w:t>
      </w:r>
      <w:r w:rsidR="009161E8" w:rsidRPr="009161E8">
        <w:t>, but not guaranteed a place at their chosen university.</w:t>
      </w:r>
    </w:p>
    <w:p w14:paraId="42E32D3C" w14:textId="6664C23B" w:rsidR="00D131DB" w:rsidRDefault="00D56C17" w:rsidP="00062386">
      <w:pPr>
        <w:pBdr>
          <w:top w:val="single" w:sz="4" w:space="1" w:color="auto"/>
          <w:left w:val="single" w:sz="4" w:space="4" w:color="auto"/>
          <w:bottom w:val="single" w:sz="4" w:space="1" w:color="auto"/>
          <w:right w:val="single" w:sz="4" w:space="4" w:color="auto"/>
        </w:pBdr>
        <w:shd w:val="clear" w:color="auto" w:fill="D0F1FC" w:themeFill="accent3" w:themeFillTint="33"/>
      </w:pPr>
      <w:r>
        <w:t>MGT</w:t>
      </w:r>
      <w:r w:rsidR="008F6F82">
        <w:t xml:space="preserve">s </w:t>
      </w:r>
      <w:r w:rsidR="00DD2FD2">
        <w:t xml:space="preserve">of </w:t>
      </w:r>
      <w:r>
        <w:t xml:space="preserve">providers </w:t>
      </w:r>
      <w:r w:rsidR="008F6F82">
        <w:t xml:space="preserve">will be able to be </w:t>
      </w:r>
      <w:r w:rsidR="00DD2FD2">
        <w:t xml:space="preserve">adjusted </w:t>
      </w:r>
      <w:r>
        <w:t xml:space="preserve">to meet </w:t>
      </w:r>
      <w:r w:rsidR="00F01F5A">
        <w:t xml:space="preserve">equity </w:t>
      </w:r>
      <w:r>
        <w:t>demand</w:t>
      </w:r>
      <w:r w:rsidR="00F01F5A">
        <w:t>.</w:t>
      </w:r>
    </w:p>
    <w:p w14:paraId="257D165A" w14:textId="23A278AF" w:rsidR="00B671C0" w:rsidRPr="00BA0EFD" w:rsidRDefault="00111202" w:rsidP="00062386">
      <w:pPr>
        <w:pBdr>
          <w:top w:val="single" w:sz="4" w:space="1" w:color="auto"/>
          <w:left w:val="single" w:sz="4" w:space="4" w:color="auto"/>
          <w:bottom w:val="single" w:sz="4" w:space="1" w:color="auto"/>
          <w:right w:val="single" w:sz="4" w:space="4" w:color="auto"/>
        </w:pBdr>
        <w:shd w:val="clear" w:color="auto" w:fill="D0F1FC" w:themeFill="accent3" w:themeFillTint="33"/>
      </w:pPr>
      <w:r>
        <w:t xml:space="preserve">The managed demand-driven funding will </w:t>
      </w:r>
      <w:r w:rsidR="001C5791">
        <w:t xml:space="preserve">apply </w:t>
      </w:r>
      <w:r w:rsidR="00BD4FD0">
        <w:t>for</w:t>
      </w:r>
      <w:r w:rsidR="001C5791">
        <w:t xml:space="preserve"> students from </w:t>
      </w:r>
      <w:r w:rsidR="001C5791" w:rsidRPr="001C5791">
        <w:t>a low-SES, regional or remote background, or students with disability</w:t>
      </w:r>
      <w:r w:rsidR="00076ACF">
        <w:t>.</w:t>
      </w:r>
    </w:p>
    <w:p w14:paraId="58B24A1E" w14:textId="333B4F95" w:rsidR="00BA0EFD" w:rsidRPr="00BA0EFD" w:rsidRDefault="00BA0EFD" w:rsidP="00BA0EFD">
      <w:r w:rsidRPr="00BA0EFD">
        <w:t xml:space="preserve">First Nations students in non-medical bachelor level courses </w:t>
      </w:r>
      <w:r w:rsidR="00D810A3">
        <w:t>studying</w:t>
      </w:r>
      <w:r w:rsidRPr="00BA0EFD">
        <w:t xml:space="preserve"> at Table A universities will continue to have full access to demand driven funding (as introduced </w:t>
      </w:r>
      <w:r w:rsidR="004100CD">
        <w:t>in 2024</w:t>
      </w:r>
      <w:r w:rsidRPr="00BA0EFD">
        <w:t xml:space="preserve">). Enrolments </w:t>
      </w:r>
      <w:r w:rsidR="004100CD">
        <w:t>from</w:t>
      </w:r>
      <w:r w:rsidRPr="00BA0EFD">
        <w:t xml:space="preserve"> these students will not be subject to any </w:t>
      </w:r>
      <w:r w:rsidR="00DD2FD2">
        <w:t xml:space="preserve">limits </w:t>
      </w:r>
      <w:r w:rsidR="1EB62794">
        <w:t>and</w:t>
      </w:r>
      <w:r w:rsidRPr="00BA0EFD">
        <w:t xml:space="preserve"> funding will be managed separately to MGTs.</w:t>
      </w:r>
    </w:p>
    <w:p w14:paraId="1E16B4D7" w14:textId="7D9EE3BB" w:rsidR="003F212E" w:rsidRDefault="00BA0EFD" w:rsidP="00BA0EFD">
      <w:bookmarkStart w:id="4" w:name="_Hlk165887383"/>
      <w:r w:rsidRPr="00BA0EFD">
        <w:t xml:space="preserve">Students from </w:t>
      </w:r>
      <w:r w:rsidR="003322F0">
        <w:t>equity</w:t>
      </w:r>
      <w:r w:rsidRPr="00BA0EFD">
        <w:t xml:space="preserve"> backgrounds wishing to study a non-medical bachelor level course at a Table A university will be guaranteed a </w:t>
      </w:r>
      <w:proofErr w:type="gramStart"/>
      <w:r w:rsidRPr="00BA0EFD">
        <w:t>fully-funded</w:t>
      </w:r>
      <w:proofErr w:type="gramEnd"/>
      <w:r w:rsidRPr="00BA0EFD">
        <w:t xml:space="preserve"> </w:t>
      </w:r>
      <w:r w:rsidR="003322F0">
        <w:t>CSP</w:t>
      </w:r>
      <w:r w:rsidR="00DD2FD2">
        <w:t xml:space="preserve"> if they gain admission</w:t>
      </w:r>
      <w:r w:rsidRPr="00BA0EFD">
        <w:t>, but not guaranteed a place at their chosen university.</w:t>
      </w:r>
    </w:p>
    <w:bookmarkEnd w:id="4"/>
    <w:p w14:paraId="4AD23E69" w14:textId="4BFC8560" w:rsidR="00BA0EFD" w:rsidRPr="00BA0EFD" w:rsidRDefault="00126243" w:rsidP="00BA0EFD">
      <w:r>
        <w:t>I</w:t>
      </w:r>
      <w:r w:rsidR="3B50D95A">
        <w:t xml:space="preserve">f their preferred university is already </w:t>
      </w:r>
      <w:r w:rsidR="005F0257">
        <w:t>fully enrolled</w:t>
      </w:r>
      <w:r w:rsidR="00BA0EFD" w:rsidRPr="00BA0EFD">
        <w:t xml:space="preserve">, they will be offered a similar place at another university within a </w:t>
      </w:r>
      <w:r w:rsidR="009316EB">
        <w:t>student</w:t>
      </w:r>
      <w:r w:rsidR="009316EB" w:rsidRPr="00BA0EFD">
        <w:t xml:space="preserve"> </w:t>
      </w:r>
      <w:r w:rsidR="00BA0EFD" w:rsidRPr="00BA0EFD">
        <w:t>catchment area that has unused places, contingent on them meeting the entry requirements for the course at that university.</w:t>
      </w:r>
      <w:r w:rsidR="00F65ABA">
        <w:t xml:space="preserve"> In the first instance, </w:t>
      </w:r>
      <w:r w:rsidR="00251990">
        <w:t xml:space="preserve">this </w:t>
      </w:r>
      <w:r w:rsidR="00B56FE2">
        <w:t>process will follow student course/university preferences (as per existing processes), but should such a student</w:t>
      </w:r>
      <w:r w:rsidR="00F775F7">
        <w:t xml:space="preserve">’s preferences be exhausted, they will be offered places in other similar courses, ensuring they have the best possible chance of attending </w:t>
      </w:r>
      <w:proofErr w:type="spellStart"/>
      <w:r w:rsidR="00F775F7">
        <w:t>university.</w:t>
      </w:r>
      <w:r w:rsidR="004421F5" w:rsidRPr="00BA0EFD">
        <w:t>In</w:t>
      </w:r>
      <w:proofErr w:type="spellEnd"/>
      <w:r w:rsidR="004421F5" w:rsidRPr="00BA0EFD">
        <w:t xml:space="preserve"> instances where all universities in a student catchment area have exhausted their MGTs but there is unmet demand from prospective equity students, </w:t>
      </w:r>
      <w:r w:rsidR="004421F5">
        <w:t>the</w:t>
      </w:r>
      <w:r w:rsidR="004421F5" w:rsidRPr="00BA0EFD">
        <w:t xml:space="preserve"> </w:t>
      </w:r>
      <w:r w:rsidR="004421F5">
        <w:t xml:space="preserve">ATEC could increase </w:t>
      </w:r>
      <w:r w:rsidR="004421F5" w:rsidRPr="00BA0EFD">
        <w:t xml:space="preserve">MGTs </w:t>
      </w:r>
      <w:r w:rsidR="004421F5">
        <w:t xml:space="preserve">for catchment area universities, redirecting </w:t>
      </w:r>
      <w:r w:rsidR="004421F5" w:rsidRPr="00BA0EFD">
        <w:t xml:space="preserve">unused supply </w:t>
      </w:r>
      <w:r w:rsidR="004421F5">
        <w:lastRenderedPageBreak/>
        <w:t xml:space="preserve">from </w:t>
      </w:r>
      <w:r w:rsidR="004421F5" w:rsidRPr="00BA0EFD">
        <w:t xml:space="preserve">elsewhere in the system or </w:t>
      </w:r>
      <w:r w:rsidR="004421F5">
        <w:t xml:space="preserve">through an </w:t>
      </w:r>
      <w:r w:rsidR="004421F5" w:rsidRPr="00BA0EFD">
        <w:t xml:space="preserve">increase </w:t>
      </w:r>
      <w:r w:rsidR="004421F5">
        <w:t xml:space="preserve">in </w:t>
      </w:r>
      <w:r w:rsidR="004421F5" w:rsidRPr="00BA0EFD">
        <w:t>the total number of places available in the system should all places be filled.</w:t>
      </w:r>
    </w:p>
    <w:p w14:paraId="49BF40B9" w14:textId="0E7E9155" w:rsidR="00BA1127" w:rsidRDefault="00501FF5" w:rsidP="00BA0EFD">
      <w:r w:rsidRPr="008A3BB5">
        <w:rPr>
          <w:b/>
          <w:bCs/>
          <w:noProof/>
        </w:rPr>
        <mc:AlternateContent>
          <mc:Choice Requires="wps">
            <w:drawing>
              <wp:inline distT="0" distB="0" distL="0" distR="0" wp14:anchorId="7206797D" wp14:editId="5DBECA5D">
                <wp:extent cx="5705475" cy="348615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486150"/>
                        </a:xfrm>
                        <a:prstGeom prst="rect">
                          <a:avLst/>
                        </a:prstGeom>
                        <a:solidFill>
                          <a:schemeClr val="accent5">
                            <a:lumMod val="20000"/>
                            <a:lumOff val="80000"/>
                          </a:schemeClr>
                        </a:solidFill>
                        <a:ln w="9525">
                          <a:solidFill>
                            <a:srgbClr val="000000"/>
                          </a:solidFill>
                          <a:miter lim="800000"/>
                          <a:headEnd/>
                          <a:tailEnd/>
                        </a:ln>
                      </wps:spPr>
                      <wps:txbx>
                        <w:txbxContent>
                          <w:p w14:paraId="2C5083AC" w14:textId="77777777" w:rsidR="00B82E88" w:rsidRPr="00E863BF" w:rsidRDefault="00B82E88" w:rsidP="00B82E88">
                            <w:pPr>
                              <w:spacing w:after="0" w:line="240" w:lineRule="auto"/>
                              <w:rPr>
                                <w:b/>
                                <w:sz w:val="32"/>
                                <w:szCs w:val="32"/>
                              </w:rPr>
                            </w:pPr>
                            <w:bookmarkStart w:id="5" w:name="_Hlk165975668"/>
                            <w:bookmarkStart w:id="6" w:name="_Hlk165975669"/>
                            <w:r w:rsidRPr="00E863BF">
                              <w:rPr>
                                <w:b/>
                                <w:sz w:val="32"/>
                                <w:szCs w:val="32"/>
                              </w:rPr>
                              <w:t xml:space="preserve">Implementation </w:t>
                            </w:r>
                            <w:r>
                              <w:rPr>
                                <w:b/>
                                <w:sz w:val="32"/>
                                <w:szCs w:val="32"/>
                              </w:rPr>
                              <w:t>i</w:t>
                            </w:r>
                            <w:r w:rsidRPr="00E863BF">
                              <w:rPr>
                                <w:b/>
                                <w:sz w:val="32"/>
                                <w:szCs w:val="32"/>
                              </w:rPr>
                              <w:t>ssues</w:t>
                            </w:r>
                            <w:r>
                              <w:rPr>
                                <w:b/>
                                <w:sz w:val="32"/>
                                <w:szCs w:val="32"/>
                              </w:rPr>
                              <w:t xml:space="preserve"> for consideration</w:t>
                            </w:r>
                          </w:p>
                          <w:p w14:paraId="3005C514" w14:textId="77777777" w:rsidR="00584660" w:rsidRDefault="00584660" w:rsidP="00611BFF">
                            <w:pPr>
                              <w:pStyle w:val="ListParagraph"/>
                              <w:keepLines/>
                              <w:spacing w:after="0" w:line="240" w:lineRule="auto"/>
                            </w:pPr>
                          </w:p>
                          <w:p w14:paraId="0494DFD4" w14:textId="15A89C72" w:rsidR="004A4F45" w:rsidRDefault="004A4F45" w:rsidP="002F1DCF">
                            <w:pPr>
                              <w:pStyle w:val="ListParagraph"/>
                              <w:numPr>
                                <w:ilvl w:val="0"/>
                                <w:numId w:val="35"/>
                              </w:numPr>
                              <w:contextualSpacing w:val="0"/>
                            </w:pPr>
                            <w:r>
                              <w:t xml:space="preserve">Are there any implementation issues associated with defining eligibility </w:t>
                            </w:r>
                            <w:r w:rsidR="00013895">
                              <w:t>of equity students subject to managed demand driven funding?</w:t>
                            </w:r>
                          </w:p>
                          <w:p w14:paraId="78FD0B29" w14:textId="3504767E" w:rsidR="00584660" w:rsidRDefault="00584660" w:rsidP="00584660">
                            <w:pPr>
                              <w:pStyle w:val="ListParagraph"/>
                              <w:numPr>
                                <w:ilvl w:val="0"/>
                                <w:numId w:val="35"/>
                              </w:numPr>
                              <w:contextualSpacing w:val="0"/>
                            </w:pPr>
                            <w:r>
                              <w:t xml:space="preserve">How should the managed demand-driven funding system </w:t>
                            </w:r>
                            <w:r w:rsidR="007007B0">
                              <w:t xml:space="preserve">be implemented </w:t>
                            </w:r>
                            <w:r>
                              <w:t xml:space="preserve">to ensure equity students are not </w:t>
                            </w:r>
                            <w:r w:rsidR="0063542D">
                              <w:t>disincentivise</w:t>
                            </w:r>
                            <w:r w:rsidR="00DF7E03">
                              <w:t>d</w:t>
                            </w:r>
                            <w:r>
                              <w:t xml:space="preserve"> </w:t>
                            </w:r>
                            <w:r w:rsidR="004400E2">
                              <w:t xml:space="preserve">to study </w:t>
                            </w:r>
                            <w:r>
                              <w:t>if they do</w:t>
                            </w:r>
                            <w:r w:rsidR="004400E2">
                              <w:t xml:space="preserve"> not</w:t>
                            </w:r>
                            <w:r>
                              <w:t xml:space="preserve"> receive an offer from the university</w:t>
                            </w:r>
                            <w:r w:rsidR="00DF7E03">
                              <w:t xml:space="preserve"> or course</w:t>
                            </w:r>
                            <w:r>
                              <w:t xml:space="preserve"> of their choice?</w:t>
                            </w:r>
                          </w:p>
                          <w:p w14:paraId="4B5C2DC1" w14:textId="7CB6AFF2" w:rsidR="00DD669A" w:rsidRDefault="00217D6B" w:rsidP="003E42CC">
                            <w:pPr>
                              <w:pStyle w:val="ListParagraph"/>
                              <w:numPr>
                                <w:ilvl w:val="0"/>
                                <w:numId w:val="35"/>
                              </w:numPr>
                              <w:contextualSpacing w:val="0"/>
                            </w:pPr>
                            <w:r>
                              <w:t xml:space="preserve">How will the admissions process, including </w:t>
                            </w:r>
                            <w:r w:rsidR="004B0FC8">
                              <w:t>the applications, offers and acceptance</w:t>
                            </w:r>
                            <w:r>
                              <w:t>, need to work</w:t>
                            </w:r>
                            <w:r w:rsidR="004B0FC8">
                              <w:t xml:space="preserve"> for equity students </w:t>
                            </w:r>
                            <w:r>
                              <w:t>through the state-based tertiary admission centres (TACs)?</w:t>
                            </w:r>
                          </w:p>
                          <w:p w14:paraId="74434323" w14:textId="68619FBD" w:rsidR="00217D6B" w:rsidRDefault="00217D6B" w:rsidP="00F943D1">
                            <w:pPr>
                              <w:pStyle w:val="ListParagraph"/>
                              <w:numPr>
                                <w:ilvl w:val="0"/>
                                <w:numId w:val="35"/>
                              </w:numPr>
                              <w:contextualSpacing w:val="0"/>
                            </w:pPr>
                            <w:r>
                              <w:t>Are there any unintended consequences associated with the managed demand-driven for equity students?</w:t>
                            </w:r>
                          </w:p>
                          <w:p w14:paraId="02CB11C2" w14:textId="516F5E2E" w:rsidR="008A3BB5" w:rsidRDefault="00DB1082" w:rsidP="005A1CCE">
                            <w:pPr>
                              <w:pStyle w:val="ListParagraph"/>
                              <w:keepLines/>
                              <w:numPr>
                                <w:ilvl w:val="0"/>
                                <w:numId w:val="31"/>
                              </w:numPr>
                              <w:spacing w:after="0" w:line="240" w:lineRule="auto"/>
                            </w:pPr>
                            <w:r>
                              <w:t xml:space="preserve">What considerations need to be included when defining and determining </w:t>
                            </w:r>
                            <w:r w:rsidR="00EA27BC" w:rsidRPr="008E59A4">
                              <w:t>local catchment areas</w:t>
                            </w:r>
                            <w:r w:rsidR="00451C88">
                              <w:t>,</w:t>
                            </w:r>
                            <w:r w:rsidR="007D51CB">
                              <w:t xml:space="preserve"> </w:t>
                            </w:r>
                            <w:r w:rsidR="00217D6B">
                              <w:t xml:space="preserve">including </w:t>
                            </w:r>
                            <w:r w:rsidR="00082359">
                              <w:t>for</w:t>
                            </w:r>
                            <w:r w:rsidR="00EA27BC">
                              <w:t xml:space="preserve"> </w:t>
                            </w:r>
                            <w:r w:rsidR="00EA27BC" w:rsidRPr="008E59A4">
                              <w:t>universities with multiple campuses</w:t>
                            </w:r>
                            <w:r w:rsidR="00EA27BC">
                              <w:t>;</w:t>
                            </w:r>
                            <w:r w:rsidR="00EA27BC" w:rsidRPr="008E59A4">
                              <w:t xml:space="preserve"> for geographic locations with limited numbers of universities; or for students </w:t>
                            </w:r>
                            <w:r w:rsidR="00EA27BC">
                              <w:t xml:space="preserve">wishing to study </w:t>
                            </w:r>
                            <w:r w:rsidR="00EA27BC" w:rsidRPr="008E59A4">
                              <w:t>online?</w:t>
                            </w:r>
                            <w:bookmarkEnd w:id="5"/>
                            <w:bookmarkEnd w:id="6"/>
                          </w:p>
                        </w:txbxContent>
                      </wps:txbx>
                      <wps:bodyPr rot="0" vert="horz" wrap="square" lIns="91440" tIns="45720" rIns="91440" bIns="45720" anchor="t" anchorCtr="0">
                        <a:noAutofit/>
                      </wps:bodyPr>
                    </wps:wsp>
                  </a:graphicData>
                </a:graphic>
              </wp:inline>
            </w:drawing>
          </mc:Choice>
          <mc:Fallback>
            <w:pict>
              <v:shape w14:anchorId="7206797D" id="_x0000_s1028" type="#_x0000_t202" style="width:449.25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" fillcolor="#fcdfdf [664]">
                <v:textbox>
                  <w:txbxContent>
                    <w:p w14:paraId="2C5083AC" w14:textId="77777777" w:rsidR="00B82E88" w:rsidRPr="00E863BF" w:rsidRDefault="00B82E88" w:rsidP="00B82E88">
                      <w:pPr>
                        <w:spacing w:after="0" w:line="240" w:lineRule="auto"/>
                        <w:rPr>
                          <w:b/>
                          <w:sz w:val="32"/>
                          <w:szCs w:val="32"/>
                        </w:rPr>
                      </w:pPr>
                      <w:bookmarkStart w:id="8" w:name="_Hlk165975668"/>
                      <w:bookmarkStart w:id="9" w:name="_Hlk165975669"/>
                      <w:r w:rsidRPr="00E863BF">
                        <w:rPr>
                          <w:b/>
                          <w:sz w:val="32"/>
                          <w:szCs w:val="32"/>
                        </w:rPr>
                        <w:t xml:space="preserve">Implementation </w:t>
                      </w:r>
                      <w:r>
                        <w:rPr>
                          <w:b/>
                          <w:sz w:val="32"/>
                          <w:szCs w:val="32"/>
                        </w:rPr>
                        <w:t>i</w:t>
                      </w:r>
                      <w:r w:rsidRPr="00E863BF">
                        <w:rPr>
                          <w:b/>
                          <w:sz w:val="32"/>
                          <w:szCs w:val="32"/>
                        </w:rPr>
                        <w:t>ssues</w:t>
                      </w:r>
                      <w:r>
                        <w:rPr>
                          <w:b/>
                          <w:sz w:val="32"/>
                          <w:szCs w:val="32"/>
                        </w:rPr>
                        <w:t xml:space="preserve"> for consideration</w:t>
                      </w:r>
                    </w:p>
                    <w:p w14:paraId="3005C514" w14:textId="77777777" w:rsidR="00584660" w:rsidRDefault="00584660" w:rsidP="00611BFF">
                      <w:pPr>
                        <w:pStyle w:val="ListParagraph"/>
                        <w:keepLines/>
                        <w:spacing w:after="0" w:line="240" w:lineRule="auto"/>
                      </w:pPr>
                    </w:p>
                    <w:p w14:paraId="0494DFD4" w14:textId="15A89C72" w:rsidR="004A4F45" w:rsidRDefault="004A4F45" w:rsidP="002F1DCF">
                      <w:pPr>
                        <w:pStyle w:val="ListParagraph"/>
                        <w:numPr>
                          <w:ilvl w:val="0"/>
                          <w:numId w:val="35"/>
                        </w:numPr>
                        <w:contextualSpacing w:val="0"/>
                      </w:pPr>
                      <w:r>
                        <w:t xml:space="preserve">Are there any implementation issues associated with defining eligibility </w:t>
                      </w:r>
                      <w:r w:rsidR="00013895">
                        <w:t>of equity students subject to managed demand driven funding?</w:t>
                      </w:r>
                    </w:p>
                    <w:p w14:paraId="78FD0B29" w14:textId="3504767E" w:rsidR="00584660" w:rsidRDefault="00584660" w:rsidP="00584660">
                      <w:pPr>
                        <w:pStyle w:val="ListParagraph"/>
                        <w:numPr>
                          <w:ilvl w:val="0"/>
                          <w:numId w:val="35"/>
                        </w:numPr>
                        <w:contextualSpacing w:val="0"/>
                      </w:pPr>
                      <w:r>
                        <w:t xml:space="preserve">How should the managed demand-driven funding system </w:t>
                      </w:r>
                      <w:r w:rsidR="007007B0">
                        <w:t xml:space="preserve">be implemented </w:t>
                      </w:r>
                      <w:r>
                        <w:t xml:space="preserve">to ensure equity students are not </w:t>
                      </w:r>
                      <w:r w:rsidR="0063542D">
                        <w:t>disincentivise</w:t>
                      </w:r>
                      <w:r w:rsidR="00DF7E03">
                        <w:t>d</w:t>
                      </w:r>
                      <w:r>
                        <w:t xml:space="preserve"> </w:t>
                      </w:r>
                      <w:r w:rsidR="004400E2">
                        <w:t xml:space="preserve">to study </w:t>
                      </w:r>
                      <w:r>
                        <w:t>if they do</w:t>
                      </w:r>
                      <w:r w:rsidR="004400E2">
                        <w:t xml:space="preserve"> not</w:t>
                      </w:r>
                      <w:r>
                        <w:t xml:space="preserve"> receive an offer from the university</w:t>
                      </w:r>
                      <w:r w:rsidR="00DF7E03">
                        <w:t xml:space="preserve"> or course</w:t>
                      </w:r>
                      <w:r>
                        <w:t xml:space="preserve"> of their choice?</w:t>
                      </w:r>
                    </w:p>
                    <w:p w14:paraId="4B5C2DC1" w14:textId="7CB6AFF2" w:rsidR="00DD669A" w:rsidRDefault="00217D6B" w:rsidP="003E42CC">
                      <w:pPr>
                        <w:pStyle w:val="ListParagraph"/>
                        <w:numPr>
                          <w:ilvl w:val="0"/>
                          <w:numId w:val="35"/>
                        </w:numPr>
                        <w:contextualSpacing w:val="0"/>
                      </w:pPr>
                      <w:r>
                        <w:t xml:space="preserve">How will the admissions process, including </w:t>
                      </w:r>
                      <w:r w:rsidR="004B0FC8">
                        <w:t>the applications, offers and acceptance</w:t>
                      </w:r>
                      <w:r>
                        <w:t>, need to work</w:t>
                      </w:r>
                      <w:r w:rsidR="004B0FC8">
                        <w:t xml:space="preserve"> for equity students </w:t>
                      </w:r>
                      <w:r>
                        <w:t>through the state-based tertiary admission centres (TACs)?</w:t>
                      </w:r>
                    </w:p>
                    <w:p w14:paraId="74434323" w14:textId="68619FBD" w:rsidR="00217D6B" w:rsidRDefault="00217D6B" w:rsidP="00F943D1">
                      <w:pPr>
                        <w:pStyle w:val="ListParagraph"/>
                        <w:numPr>
                          <w:ilvl w:val="0"/>
                          <w:numId w:val="35"/>
                        </w:numPr>
                        <w:contextualSpacing w:val="0"/>
                      </w:pPr>
                      <w:r>
                        <w:t>Are there any unintended consequences associated with the managed demand-driven for equity students?</w:t>
                      </w:r>
                    </w:p>
                    <w:p w14:paraId="02CB11C2" w14:textId="516F5E2E" w:rsidR="008A3BB5" w:rsidRDefault="00DB1082" w:rsidP="005A1CCE">
                      <w:pPr>
                        <w:pStyle w:val="ListParagraph"/>
                        <w:keepLines/>
                        <w:numPr>
                          <w:ilvl w:val="0"/>
                          <w:numId w:val="31"/>
                        </w:numPr>
                        <w:spacing w:after="0" w:line="240" w:lineRule="auto"/>
                      </w:pPr>
                      <w:r>
                        <w:t xml:space="preserve">What considerations need to be included when defining and determining </w:t>
                      </w:r>
                      <w:r w:rsidR="00EA27BC" w:rsidRPr="008E59A4">
                        <w:t>local catchment areas</w:t>
                      </w:r>
                      <w:r w:rsidR="00451C88">
                        <w:t>,</w:t>
                      </w:r>
                      <w:r w:rsidR="007D51CB">
                        <w:t xml:space="preserve"> </w:t>
                      </w:r>
                      <w:r w:rsidR="00217D6B">
                        <w:t xml:space="preserve">including </w:t>
                      </w:r>
                      <w:r w:rsidR="00082359">
                        <w:t>for</w:t>
                      </w:r>
                      <w:r w:rsidR="00EA27BC">
                        <w:t xml:space="preserve"> </w:t>
                      </w:r>
                      <w:r w:rsidR="00EA27BC" w:rsidRPr="008E59A4">
                        <w:t>universities with multiple campuses</w:t>
                      </w:r>
                      <w:r w:rsidR="00EA27BC">
                        <w:t>;</w:t>
                      </w:r>
                      <w:r w:rsidR="00EA27BC" w:rsidRPr="008E59A4">
                        <w:t xml:space="preserve"> for geographic locations with limited numbers of universities; or for students </w:t>
                      </w:r>
                      <w:r w:rsidR="00EA27BC">
                        <w:t xml:space="preserve">wishing to study </w:t>
                      </w:r>
                      <w:r w:rsidR="00EA27BC" w:rsidRPr="008E59A4">
                        <w:t>online?</w:t>
                      </w:r>
                      <w:bookmarkEnd w:id="8"/>
                      <w:bookmarkEnd w:id="9"/>
                    </w:p>
                  </w:txbxContent>
                </v:textbox>
                <w10:anchorlock/>
              </v:shape>
            </w:pict>
          </mc:Fallback>
        </mc:AlternateContent>
      </w:r>
    </w:p>
    <w:p w14:paraId="330882E3" w14:textId="77777777" w:rsidR="007E32AA" w:rsidRDefault="007E32AA" w:rsidP="00BA0EFD"/>
    <w:p w14:paraId="78C8572E" w14:textId="76514E39" w:rsidR="126E4821" w:rsidRDefault="126E4821" w:rsidP="008659A0">
      <w:pPr>
        <w:spacing w:after="160"/>
        <w:rPr>
          <w:rFonts w:asciiTheme="majorHAnsi" w:eastAsiaTheme="majorEastAsia" w:hAnsiTheme="majorHAnsi" w:cstheme="majorBidi"/>
          <w:b/>
          <w:bCs/>
          <w:color w:val="008599" w:themeColor="accent1"/>
          <w:sz w:val="32"/>
          <w:szCs w:val="32"/>
        </w:rPr>
      </w:pPr>
      <w:r w:rsidRPr="57A263F9">
        <w:rPr>
          <w:rFonts w:asciiTheme="majorHAnsi" w:eastAsiaTheme="majorEastAsia" w:hAnsiTheme="majorHAnsi" w:cstheme="majorBidi"/>
          <w:b/>
          <w:bCs/>
          <w:color w:val="008599" w:themeColor="accent1"/>
          <w:sz w:val="32"/>
          <w:szCs w:val="32"/>
        </w:rPr>
        <w:t xml:space="preserve">Transition and institutional </w:t>
      </w:r>
      <w:r w:rsidRPr="400D4737">
        <w:rPr>
          <w:rFonts w:asciiTheme="majorHAnsi" w:eastAsiaTheme="majorEastAsia" w:hAnsiTheme="majorHAnsi" w:cstheme="majorBidi"/>
          <w:b/>
          <w:bCs/>
          <w:color w:val="008599" w:themeColor="accent1"/>
          <w:sz w:val="32"/>
          <w:szCs w:val="32"/>
        </w:rPr>
        <w:t>sustainability</w:t>
      </w:r>
    </w:p>
    <w:p w14:paraId="3D3FBD5F" w14:textId="2B276F27" w:rsidR="0043247B" w:rsidRDefault="00AC17A4" w:rsidP="00915B0B">
      <w:pPr>
        <w:pBdr>
          <w:top w:val="single" w:sz="4" w:space="0" w:color="auto"/>
          <w:left w:val="single" w:sz="4" w:space="4" w:color="auto"/>
          <w:bottom w:val="single" w:sz="4" w:space="1" w:color="auto"/>
          <w:right w:val="single" w:sz="4" w:space="4" w:color="auto"/>
        </w:pBdr>
        <w:shd w:val="clear" w:color="auto" w:fill="D0F1FC" w:themeFill="accent3" w:themeFillTint="33"/>
      </w:pPr>
      <w:r>
        <w:t xml:space="preserve">It is proposed that </w:t>
      </w:r>
      <w:r w:rsidR="00166CD6">
        <w:t xml:space="preserve">a </w:t>
      </w:r>
      <w:r w:rsidR="00166CD6" w:rsidRPr="0066321C">
        <w:rPr>
          <w:b/>
          <w:bCs/>
        </w:rPr>
        <w:t>funding floor</w:t>
      </w:r>
      <w:r w:rsidR="00166CD6">
        <w:t xml:space="preserve"> will be introduced for each Table A provider</w:t>
      </w:r>
      <w:r w:rsidR="00990643">
        <w:t xml:space="preserve"> as part of the transition to the new Managed Growth Funding System</w:t>
      </w:r>
      <w:r w:rsidR="0066321C">
        <w:t>.</w:t>
      </w:r>
    </w:p>
    <w:p w14:paraId="459ABA53" w14:textId="75593B27" w:rsidR="0066321C" w:rsidRDefault="0066321C" w:rsidP="00915B0B">
      <w:pPr>
        <w:pBdr>
          <w:top w:val="single" w:sz="4" w:space="0" w:color="auto"/>
          <w:left w:val="single" w:sz="4" w:space="4" w:color="auto"/>
          <w:bottom w:val="single" w:sz="4" w:space="1" w:color="auto"/>
          <w:right w:val="single" w:sz="4" w:space="4" w:color="auto"/>
        </w:pBdr>
        <w:shd w:val="clear" w:color="auto" w:fill="D0F1FC" w:themeFill="accent3" w:themeFillTint="33"/>
      </w:pPr>
      <w:r>
        <w:t>The funding floor would</w:t>
      </w:r>
      <w:r w:rsidRPr="00BA0EFD">
        <w:t xml:space="preserve"> be a level of funding which </w:t>
      </w:r>
      <w:r>
        <w:t>a Table A provider</w:t>
      </w:r>
      <w:r w:rsidRPr="00BA0EFD">
        <w:t xml:space="preserve"> is guaranteed to receive </w:t>
      </w:r>
      <w:r>
        <w:t>each</w:t>
      </w:r>
      <w:r w:rsidRPr="00BA0EFD">
        <w:t xml:space="preserve"> year, irrespective of </w:t>
      </w:r>
      <w:r>
        <w:t xml:space="preserve">actual </w:t>
      </w:r>
      <w:r w:rsidRPr="00BA0EFD">
        <w:t>enrolments</w:t>
      </w:r>
      <w:r w:rsidR="00B80355">
        <w:t xml:space="preserve">. </w:t>
      </w:r>
      <w:r w:rsidR="00605F7A">
        <w:t xml:space="preserve">The funding floor will be </w:t>
      </w:r>
      <w:r w:rsidR="00CC7612">
        <w:t xml:space="preserve">set </w:t>
      </w:r>
      <w:r w:rsidR="00906A14">
        <w:t xml:space="preserve">at a level </w:t>
      </w:r>
      <w:r w:rsidR="000B7CDC">
        <w:t xml:space="preserve">lower </w:t>
      </w:r>
      <w:r w:rsidR="00CC7612">
        <w:t>than the previous year</w:t>
      </w:r>
      <w:r w:rsidR="00AE0A59">
        <w:t>’</w:t>
      </w:r>
      <w:r w:rsidR="00CC7612">
        <w:t xml:space="preserve">s </w:t>
      </w:r>
      <w:r w:rsidR="00366F42">
        <w:t xml:space="preserve">CGS </w:t>
      </w:r>
      <w:r w:rsidR="00CC7612">
        <w:t>funding</w:t>
      </w:r>
      <w:r w:rsidRPr="00BA0EFD">
        <w:t>.</w:t>
      </w:r>
    </w:p>
    <w:p w14:paraId="554E1A58" w14:textId="48E830A2" w:rsidR="6F9D5ABC" w:rsidRDefault="393D813F">
      <w:r>
        <w:t>The ceasing of the Higher Education Continuity Guarantee (HECG) at the end of 2025</w:t>
      </w:r>
      <w:r w:rsidR="3FBFF823">
        <w:t xml:space="preserve"> has the potential to </w:t>
      </w:r>
      <w:r w:rsidR="007B7BEA">
        <w:t xml:space="preserve">reduce funding </w:t>
      </w:r>
      <w:r w:rsidR="00FA411F">
        <w:t>for</w:t>
      </w:r>
      <w:r w:rsidR="00DA51FD">
        <w:t xml:space="preserve"> </w:t>
      </w:r>
      <w:r w:rsidR="20277DCD">
        <w:t>some universities</w:t>
      </w:r>
      <w:r w:rsidR="3FBFF823">
        <w:t xml:space="preserve">. As part of the transition to the new </w:t>
      </w:r>
      <w:r w:rsidR="00990643">
        <w:t>M</w:t>
      </w:r>
      <w:r w:rsidR="3FBFF823">
        <w:t xml:space="preserve">anaged </w:t>
      </w:r>
      <w:r w:rsidR="00990643">
        <w:t>G</w:t>
      </w:r>
      <w:r w:rsidR="3FBFF823">
        <w:t xml:space="preserve">rowth </w:t>
      </w:r>
      <w:r w:rsidR="00990643">
        <w:t>F</w:t>
      </w:r>
      <w:r w:rsidR="3FBFF823">
        <w:t>un</w:t>
      </w:r>
      <w:r w:rsidR="700F1C5C">
        <w:t xml:space="preserve">ding system, </w:t>
      </w:r>
      <w:r w:rsidR="009316EB">
        <w:t>Government is considering</w:t>
      </w:r>
      <w:r w:rsidR="700F1C5C">
        <w:t xml:space="preserve"> how to reduce the impact of this </w:t>
      </w:r>
      <w:r w:rsidR="00FA411F">
        <w:t>reduction</w:t>
      </w:r>
      <w:r w:rsidR="00EA3F07">
        <w:t xml:space="preserve"> and to ensure that under-enrolled institutions </w:t>
      </w:r>
      <w:r w:rsidR="00053226">
        <w:t>are supported to increase</w:t>
      </w:r>
      <w:r w:rsidR="00EA3F07">
        <w:t xml:space="preserve"> their enrolments</w:t>
      </w:r>
      <w:r w:rsidR="00DA1AE5">
        <w:t xml:space="preserve"> over time</w:t>
      </w:r>
      <w:r w:rsidR="700F1C5C">
        <w:t>.</w:t>
      </w:r>
    </w:p>
    <w:p w14:paraId="0EE67378" w14:textId="5D15C29E" w:rsidR="00BB5265" w:rsidRDefault="008E0834" w:rsidP="00C85262">
      <w:r>
        <w:t>One option would be to introduce a</w:t>
      </w:r>
      <w:r w:rsidR="004D405D">
        <w:t xml:space="preserve"> funding floor as a transitional arrangement when the funding system moves to the new Managed Growth Funding system.</w:t>
      </w:r>
      <w:r w:rsidR="006363D2">
        <w:t xml:space="preserve"> Such a transitional arrangement could be time-limited (e.g. until the end of 2029) or could </w:t>
      </w:r>
      <w:r w:rsidR="00A84C46">
        <w:t xml:space="preserve">exist for each individual university until the point </w:t>
      </w:r>
      <w:r w:rsidR="00C62E0E">
        <w:t>at which it was no longer required (i.e. the universi</w:t>
      </w:r>
      <w:r w:rsidR="002706D1">
        <w:t xml:space="preserve">ty’s funding matches its enrolments). </w:t>
      </w:r>
      <w:r w:rsidR="004124F9">
        <w:t xml:space="preserve">Alternatively, </w:t>
      </w:r>
      <w:r w:rsidR="006811B4">
        <w:t>the funding floor could be introduced as a long</w:t>
      </w:r>
      <w:r w:rsidR="00F13CAD">
        <w:t xml:space="preserve">er term or </w:t>
      </w:r>
      <w:r w:rsidR="273C4F91">
        <w:t xml:space="preserve">ongoing </w:t>
      </w:r>
      <w:r w:rsidR="00F13CAD">
        <w:t>feature of the higher education funding system</w:t>
      </w:r>
      <w:r w:rsidR="002706D1">
        <w:t xml:space="preserve">, </w:t>
      </w:r>
      <w:r w:rsidR="00562397">
        <w:t xml:space="preserve">existing as a ‘safety net’ for universities and protecting them from </w:t>
      </w:r>
      <w:r w:rsidR="00D84B53">
        <w:t>unexpected and significant falls in student demand</w:t>
      </w:r>
      <w:r>
        <w:t>.</w:t>
      </w:r>
    </w:p>
    <w:p w14:paraId="6B0A6C52" w14:textId="3C179962" w:rsidR="0065224D" w:rsidRDefault="00CF4D95" w:rsidP="00C85262">
      <w:r>
        <w:t xml:space="preserve">Irrespective of whether the funding floor is </w:t>
      </w:r>
      <w:r w:rsidR="002A7B81">
        <w:t xml:space="preserve">introduced as a transitional arrangement or a </w:t>
      </w:r>
      <w:r w:rsidR="00011305">
        <w:t>permanent feature of the system</w:t>
      </w:r>
      <w:r w:rsidR="00796736">
        <w:t xml:space="preserve">, </w:t>
      </w:r>
      <w:r w:rsidR="00011305">
        <w:t xml:space="preserve">it </w:t>
      </w:r>
      <w:r w:rsidR="00BA0EFD">
        <w:t>w</w:t>
      </w:r>
      <w:r w:rsidR="4C3D310C">
        <w:t>ould</w:t>
      </w:r>
      <w:r w:rsidR="00BA0EFD" w:rsidRPr="00BA0EFD">
        <w:t xml:space="preserve"> be a level of funding which </w:t>
      </w:r>
      <w:r w:rsidR="00352936">
        <w:t>a Table A provider</w:t>
      </w:r>
      <w:r w:rsidR="00BA0EFD" w:rsidRPr="00BA0EFD">
        <w:t xml:space="preserve"> is guaranteed to </w:t>
      </w:r>
      <w:r w:rsidR="00BA0EFD" w:rsidRPr="00BA0EFD">
        <w:lastRenderedPageBreak/>
        <w:t xml:space="preserve">receive </w:t>
      </w:r>
      <w:r w:rsidR="00A4776C">
        <w:t>each</w:t>
      </w:r>
      <w:r w:rsidR="00BA0EFD" w:rsidRPr="00BA0EFD">
        <w:t xml:space="preserve"> year, irrespective of </w:t>
      </w:r>
      <w:r w:rsidR="00E21F4D">
        <w:t xml:space="preserve">actual </w:t>
      </w:r>
      <w:r w:rsidR="00BA0EFD" w:rsidRPr="00BA0EFD">
        <w:t xml:space="preserve">enrolments. </w:t>
      </w:r>
      <w:r w:rsidR="00E21F4D">
        <w:t xml:space="preserve">However, </w:t>
      </w:r>
      <w:r w:rsidR="0062058A">
        <w:t>u</w:t>
      </w:r>
      <w:r w:rsidR="00422470">
        <w:t xml:space="preserve">nlike the </w:t>
      </w:r>
      <w:r w:rsidR="00422470" w:rsidRPr="00422470">
        <w:t>current Higher Education Continuity Guarantee</w:t>
      </w:r>
      <w:r w:rsidR="00957705">
        <w:t xml:space="preserve"> (HECG)</w:t>
      </w:r>
      <w:r w:rsidR="00422470">
        <w:t xml:space="preserve">, the funding floor </w:t>
      </w:r>
      <w:r w:rsidR="009A370D">
        <w:t>w</w:t>
      </w:r>
      <w:r w:rsidR="22472F43">
        <w:t>ould</w:t>
      </w:r>
      <w:r w:rsidR="009A370D">
        <w:t xml:space="preserve"> not be set at</w:t>
      </w:r>
      <w:r w:rsidR="008D7CF2">
        <w:t xml:space="preserve"> the level of funding equivalent to a provider’s MGT. </w:t>
      </w:r>
      <w:r w:rsidR="001E0589">
        <w:t xml:space="preserve">Instead, </w:t>
      </w:r>
      <w:r w:rsidR="00AE54FE">
        <w:t xml:space="preserve">the funding floor </w:t>
      </w:r>
      <w:r w:rsidR="005C5B50">
        <w:t xml:space="preserve">could </w:t>
      </w:r>
      <w:r w:rsidR="00AE54FE">
        <w:t>be set a</w:t>
      </w:r>
      <w:r w:rsidR="0008558E">
        <w:t xml:space="preserve">t X% </w:t>
      </w:r>
      <w:r w:rsidR="1AC624BD">
        <w:t>decline</w:t>
      </w:r>
      <w:r w:rsidR="00030B1F">
        <w:t xml:space="preserve"> </w:t>
      </w:r>
      <w:r w:rsidR="5415C3C7">
        <w:t xml:space="preserve">from </w:t>
      </w:r>
      <w:r w:rsidR="00030B1F">
        <w:t>the CGS funding the university received in the previous year.</w:t>
      </w:r>
      <w:r w:rsidR="00467495">
        <w:t xml:space="preserve"> </w:t>
      </w:r>
      <w:r w:rsidR="00050094">
        <w:t>For</w:t>
      </w:r>
      <w:r w:rsidR="00CC56A5">
        <w:t xml:space="preserve"> example, </w:t>
      </w:r>
      <w:r w:rsidR="007B529F">
        <w:t xml:space="preserve">for </w:t>
      </w:r>
      <w:r w:rsidR="00CC56A5">
        <w:t xml:space="preserve">an under-enrolled university </w:t>
      </w:r>
      <w:r w:rsidR="006E34DC">
        <w:t xml:space="preserve">that </w:t>
      </w:r>
      <w:r w:rsidR="00C52DF0">
        <w:t>ha</w:t>
      </w:r>
      <w:r w:rsidR="00BB0FD5">
        <w:t>d</w:t>
      </w:r>
      <w:r w:rsidR="00C52DF0">
        <w:t xml:space="preserve"> </w:t>
      </w:r>
      <w:r w:rsidR="00046C76">
        <w:t>accessed it</w:t>
      </w:r>
      <w:r w:rsidR="00594CEB">
        <w:t>s</w:t>
      </w:r>
      <w:r w:rsidR="00046C76">
        <w:t xml:space="preserve"> funding floor in the previous year</w:t>
      </w:r>
      <w:r w:rsidR="00617E89">
        <w:t xml:space="preserve"> and </w:t>
      </w:r>
      <w:r w:rsidR="009E5AEA">
        <w:t xml:space="preserve">continued </w:t>
      </w:r>
      <w:r w:rsidR="00C52DF0">
        <w:t>to enrol below its MGT</w:t>
      </w:r>
      <w:r w:rsidR="00F3300E">
        <w:t xml:space="preserve">, </w:t>
      </w:r>
      <w:r w:rsidR="003136D3">
        <w:t xml:space="preserve">its funding floor </w:t>
      </w:r>
      <w:r w:rsidR="00911716">
        <w:t xml:space="preserve">for </w:t>
      </w:r>
      <w:r w:rsidR="007B529F">
        <w:t>this</w:t>
      </w:r>
      <w:r w:rsidR="00911716">
        <w:t xml:space="preserve"> year </w:t>
      </w:r>
      <w:r w:rsidR="00D01CB6">
        <w:t xml:space="preserve">could </w:t>
      </w:r>
      <w:r w:rsidR="00911716">
        <w:t xml:space="preserve">be set at </w:t>
      </w:r>
      <w:r w:rsidR="000D1E72">
        <w:t xml:space="preserve">X% </w:t>
      </w:r>
      <w:r w:rsidR="2EFB3649">
        <w:t xml:space="preserve">decline from </w:t>
      </w:r>
      <w:r w:rsidR="000D1E72">
        <w:t xml:space="preserve">the </w:t>
      </w:r>
      <w:r w:rsidR="00FD67A3">
        <w:t xml:space="preserve">CGS funding it received in the previous year (including funding associated with the </w:t>
      </w:r>
      <w:r w:rsidR="000D1E72">
        <w:t>funding floor</w:t>
      </w:r>
      <w:r w:rsidR="00537658">
        <w:t>)</w:t>
      </w:r>
      <w:r w:rsidR="000D1E72">
        <w:t xml:space="preserve">. </w:t>
      </w:r>
      <w:r w:rsidR="00BD3256">
        <w:t>This</w:t>
      </w:r>
      <w:r w:rsidR="5852333C">
        <w:t xml:space="preserve"> means</w:t>
      </w:r>
      <w:r w:rsidR="00BD3256">
        <w:t xml:space="preserve"> </w:t>
      </w:r>
      <w:r w:rsidR="5974AF3D">
        <w:t xml:space="preserve">for </w:t>
      </w:r>
      <w:r w:rsidR="00BD3256">
        <w:t xml:space="preserve">universities that </w:t>
      </w:r>
      <w:r w:rsidR="005D5336">
        <w:t>continue to enrol below its</w:t>
      </w:r>
      <w:r w:rsidR="00BC52FB">
        <w:t xml:space="preserve"> MGT, </w:t>
      </w:r>
      <w:r w:rsidR="00CC47A2">
        <w:t>its funding</w:t>
      </w:r>
      <w:r w:rsidR="00620FAD">
        <w:t xml:space="preserve"> floor amount will </w:t>
      </w:r>
      <w:r w:rsidR="002F07A7">
        <w:t xml:space="preserve">decline by X% </w:t>
      </w:r>
      <w:r w:rsidR="004168A5">
        <w:t xml:space="preserve">year-on-year </w:t>
      </w:r>
      <w:r w:rsidR="002F07A7">
        <w:t xml:space="preserve">in </w:t>
      </w:r>
      <w:r w:rsidR="004971F4">
        <w:t>nominal</w:t>
      </w:r>
      <w:r w:rsidR="00745899">
        <w:t xml:space="preserve"> term</w:t>
      </w:r>
      <w:r w:rsidR="0064615B">
        <w:t>s</w:t>
      </w:r>
      <w:r w:rsidR="00383F17">
        <w:t xml:space="preserve">. </w:t>
      </w:r>
      <w:r w:rsidR="00911716">
        <w:t xml:space="preserve"> </w:t>
      </w:r>
    </w:p>
    <w:p w14:paraId="690A700F" w14:textId="758CE671" w:rsidR="006B4FAC" w:rsidRDefault="57B7B24D" w:rsidP="001345F1">
      <w:r>
        <w:t xml:space="preserve">A funding floor </w:t>
      </w:r>
      <w:r w:rsidR="589FBE49">
        <w:t>would</w:t>
      </w:r>
      <w:r w:rsidR="33C774D6">
        <w:t xml:space="preserve"> replace the HECG in</w:t>
      </w:r>
      <w:r w:rsidR="589FBE49">
        <w:t xml:space="preserve"> provid</w:t>
      </w:r>
      <w:r w:rsidR="0DA5270A">
        <w:t>ing</w:t>
      </w:r>
      <w:r w:rsidR="589FBE49">
        <w:t xml:space="preserve"> under-enrolled universities with</w:t>
      </w:r>
      <w:r w:rsidR="1860C0EC">
        <w:t xml:space="preserve"> funding for places they are unable to fill with enrolments.</w:t>
      </w:r>
      <w:r w:rsidR="476FE04D">
        <w:t xml:space="preserve"> T</w:t>
      </w:r>
      <w:r w:rsidR="4C1889BD">
        <w:t>his would support transition to the new funding system and provide a safety net for universities (if introduced as a permanent feature of the system)</w:t>
      </w:r>
      <w:r w:rsidR="476FE04D">
        <w:t>. However</w:t>
      </w:r>
      <w:r w:rsidR="004C692E">
        <w:t xml:space="preserve">, </w:t>
      </w:r>
      <w:r w:rsidR="70E80BE5">
        <w:t xml:space="preserve">it would also </w:t>
      </w:r>
      <w:r w:rsidR="489ED15A">
        <w:t>potentially reduce the number of enrolments across the sector</w:t>
      </w:r>
      <w:r w:rsidR="052A92EF">
        <w:t xml:space="preserve"> as the unfilled places</w:t>
      </w:r>
      <w:r w:rsidR="72955A05">
        <w:t xml:space="preserve"> and associated funding</w:t>
      </w:r>
      <w:r w:rsidR="052A92EF">
        <w:t xml:space="preserve"> </w:t>
      </w:r>
      <w:r w:rsidR="721563D4">
        <w:t>at</w:t>
      </w:r>
      <w:r w:rsidR="052A92EF">
        <w:t xml:space="preserve"> universities accessing the funding floor could otherwise have been filled at universities with strong </w:t>
      </w:r>
      <w:r w:rsidR="72955A05">
        <w:t xml:space="preserve">student </w:t>
      </w:r>
      <w:r w:rsidR="052A92EF">
        <w:t>demand.</w:t>
      </w:r>
    </w:p>
    <w:p w14:paraId="5AA3DE5F" w14:textId="7CF26835" w:rsidR="001345F1" w:rsidRPr="001345F1" w:rsidRDefault="004F1545" w:rsidP="001345F1">
      <w:r>
        <w:t xml:space="preserve">The move to a hard cap, where universities do not receive </w:t>
      </w:r>
      <w:r w:rsidR="00E353EE">
        <w:t xml:space="preserve">CGS funding or student contributions for enrolments above their cap, will also </w:t>
      </w:r>
      <w:r w:rsidR="00FF7AD4">
        <w:t>require transitional arrangements f</w:t>
      </w:r>
      <w:r w:rsidR="00E26A22">
        <w:t xml:space="preserve">or universities that are </w:t>
      </w:r>
      <w:r w:rsidR="000F07F1">
        <w:t>enrolled above their MBGAs</w:t>
      </w:r>
      <w:r w:rsidR="0048341C">
        <w:t>.</w:t>
      </w:r>
      <w:r w:rsidR="000F07F1">
        <w:t xml:space="preserve"> </w:t>
      </w:r>
      <w:r w:rsidR="0048341C">
        <w:t>It is p</w:t>
      </w:r>
      <w:r w:rsidR="001345F1" w:rsidRPr="001345F1">
        <w:t>ropose</w:t>
      </w:r>
      <w:r w:rsidR="0048341C">
        <w:t>d</w:t>
      </w:r>
      <w:r w:rsidR="001345F1" w:rsidRPr="001345F1">
        <w:t xml:space="preserve"> that a transitional arrangement will be in place </w:t>
      </w:r>
      <w:r w:rsidR="001345F1">
        <w:t xml:space="preserve">for four years </w:t>
      </w:r>
      <w:r w:rsidR="001345F1" w:rsidRPr="001345F1">
        <w:t>until 31 December 2029 for students enrolled prior to 1 January 2026. During this transition period, providers that have over</w:t>
      </w:r>
      <w:r w:rsidR="001345F1" w:rsidRPr="001345F1">
        <w:noBreakHyphen/>
        <w:t xml:space="preserve">enrolled on their MBGA and are currently permitted to charge student contributions for marginal places, will be allowed to keep the student contributions for these existing students (i.e. those enrolled before 1 January 2026) to avoid a sudden decline in nominal revenue when their ability to commence new enrolments above the MGT is removed. </w:t>
      </w:r>
    </w:p>
    <w:p w14:paraId="662CBDD8" w14:textId="520E3D0D" w:rsidR="00DE4998" w:rsidRDefault="001345F1" w:rsidP="00073E84">
      <w:r w:rsidRPr="001345F1">
        <w:t>Table A providers will not be able to receive a student contribution for any new student enrolled after 1 January 2026 above their MGT</w:t>
      </w:r>
      <w:r>
        <w:t>.</w:t>
      </w:r>
      <w:bookmarkStart w:id="7" w:name="_Hlk165915831"/>
    </w:p>
    <w:p w14:paraId="6BF3439C" w14:textId="560A1225" w:rsidR="00A22648" w:rsidRPr="00073E84" w:rsidRDefault="00770126" w:rsidP="00073E84">
      <w:r w:rsidRPr="00FC264D">
        <w:rPr>
          <w:b/>
          <w:bCs/>
          <w:noProof/>
        </w:rPr>
        <w:lastRenderedPageBreak/>
        <mc:AlternateContent>
          <mc:Choice Requires="wps">
            <w:drawing>
              <wp:inline distT="0" distB="0" distL="0" distR="0" wp14:anchorId="43D04E82" wp14:editId="19510E8D">
                <wp:extent cx="5848350" cy="4095750"/>
                <wp:effectExtent l="0" t="0" r="19050" b="19050"/>
                <wp:docPr id="915363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095750"/>
                        </a:xfrm>
                        <a:prstGeom prst="rect">
                          <a:avLst/>
                        </a:prstGeom>
                        <a:solidFill>
                          <a:schemeClr val="accent5">
                            <a:lumMod val="20000"/>
                            <a:lumOff val="80000"/>
                          </a:schemeClr>
                        </a:solidFill>
                        <a:ln w="9525">
                          <a:solidFill>
                            <a:srgbClr val="000000"/>
                          </a:solidFill>
                          <a:miter lim="800000"/>
                          <a:headEnd/>
                          <a:tailEnd/>
                        </a:ln>
                      </wps:spPr>
                      <wps:txbx>
                        <w:txbxContent>
                          <w:p w14:paraId="2821A330" w14:textId="09C27B8B" w:rsidR="00FC264D" w:rsidRPr="00E863BF" w:rsidRDefault="00FC264D" w:rsidP="00FC264D">
                            <w:pPr>
                              <w:spacing w:after="0" w:line="240" w:lineRule="auto"/>
                              <w:rPr>
                                <w:b/>
                                <w:sz w:val="32"/>
                                <w:szCs w:val="32"/>
                              </w:rPr>
                            </w:pPr>
                            <w:r w:rsidRPr="00E863BF">
                              <w:rPr>
                                <w:b/>
                                <w:bCs/>
                                <w:sz w:val="32"/>
                                <w:szCs w:val="32"/>
                              </w:rPr>
                              <w:t xml:space="preserve">Implementation </w:t>
                            </w:r>
                            <w:r>
                              <w:rPr>
                                <w:b/>
                                <w:bCs/>
                                <w:sz w:val="32"/>
                                <w:szCs w:val="32"/>
                              </w:rPr>
                              <w:t>i</w:t>
                            </w:r>
                            <w:r w:rsidRPr="00E863BF">
                              <w:rPr>
                                <w:b/>
                                <w:bCs/>
                                <w:sz w:val="32"/>
                                <w:szCs w:val="32"/>
                              </w:rPr>
                              <w:t>ssues</w:t>
                            </w:r>
                            <w:r>
                              <w:rPr>
                                <w:b/>
                                <w:bCs/>
                                <w:sz w:val="32"/>
                                <w:szCs w:val="32"/>
                              </w:rPr>
                              <w:t xml:space="preserve"> for </w:t>
                            </w:r>
                            <w:r w:rsidR="008506D3">
                              <w:rPr>
                                <w:b/>
                                <w:bCs/>
                                <w:sz w:val="32"/>
                                <w:szCs w:val="32"/>
                              </w:rPr>
                              <w:t>consideration</w:t>
                            </w:r>
                          </w:p>
                          <w:p w14:paraId="07637777" w14:textId="53BD5131" w:rsidR="0033710D" w:rsidRDefault="00BB0057" w:rsidP="00B37291">
                            <w:pPr>
                              <w:pStyle w:val="ListParagraph"/>
                              <w:numPr>
                                <w:ilvl w:val="0"/>
                                <w:numId w:val="32"/>
                              </w:numPr>
                              <w:spacing w:before="240"/>
                              <w:ind w:left="357" w:hanging="357"/>
                              <w:contextualSpacing w:val="0"/>
                            </w:pPr>
                            <w:r>
                              <w:t>How long should</w:t>
                            </w:r>
                            <w:r w:rsidR="00723DBB">
                              <w:t xml:space="preserve"> transitional arrangement</w:t>
                            </w:r>
                            <w:r>
                              <w:t>s be put in place</w:t>
                            </w:r>
                            <w:r w:rsidR="00464403">
                              <w:t>? Should</w:t>
                            </w:r>
                            <w:r w:rsidR="00FC264D">
                              <w:t xml:space="preserve"> </w:t>
                            </w:r>
                            <w:r w:rsidR="00983D95">
                              <w:t xml:space="preserve">longer term or </w:t>
                            </w:r>
                            <w:r w:rsidR="008659A0">
                              <w:t>ongoing</w:t>
                            </w:r>
                            <w:r w:rsidR="00FC264D">
                              <w:t xml:space="preserve"> </w:t>
                            </w:r>
                            <w:r w:rsidR="00464403">
                              <w:t>arrangements be considered</w:t>
                            </w:r>
                            <w:r w:rsidR="00FC264D">
                              <w:t>?</w:t>
                            </w:r>
                            <w:r w:rsidR="002B275A">
                              <w:t xml:space="preserve"> Why?</w:t>
                            </w:r>
                          </w:p>
                          <w:p w14:paraId="6A205625" w14:textId="7C7E5B56" w:rsidR="00390D71" w:rsidRDefault="00C07B5C" w:rsidP="00390D71">
                            <w:pPr>
                              <w:pStyle w:val="ListParagraph"/>
                              <w:numPr>
                                <w:ilvl w:val="0"/>
                                <w:numId w:val="32"/>
                              </w:numPr>
                              <w:ind w:left="357" w:hanging="357"/>
                              <w:contextualSpacing w:val="0"/>
                            </w:pPr>
                            <w:r>
                              <w:t xml:space="preserve">Should there be a limit on how many consecutive years </w:t>
                            </w:r>
                            <w:r w:rsidR="00E83767">
                              <w:t xml:space="preserve">a university </w:t>
                            </w:r>
                            <w:r w:rsidR="009032F1">
                              <w:t xml:space="preserve">can access the </w:t>
                            </w:r>
                            <w:r w:rsidR="00390D71">
                              <w:t>funding floor?</w:t>
                            </w:r>
                          </w:p>
                          <w:p w14:paraId="4D4D2B12" w14:textId="387952B7" w:rsidR="0033710D" w:rsidRDefault="001D1E03" w:rsidP="0033710D">
                            <w:pPr>
                              <w:pStyle w:val="ListParagraph"/>
                              <w:numPr>
                                <w:ilvl w:val="0"/>
                                <w:numId w:val="32"/>
                              </w:numPr>
                              <w:ind w:left="357" w:hanging="357"/>
                              <w:contextualSpacing w:val="0"/>
                            </w:pPr>
                            <w:r>
                              <w:t>At what level should the funding floor be set?</w:t>
                            </w:r>
                            <w:r w:rsidR="00D0470C" w:rsidRPr="00D0470C">
                              <w:t xml:space="preserve"> For example, should it be </w:t>
                            </w:r>
                            <w:r w:rsidR="00AC5879">
                              <w:t xml:space="preserve">set at </w:t>
                            </w:r>
                            <w:r w:rsidR="00026740">
                              <w:t xml:space="preserve">2.5% reduction </w:t>
                            </w:r>
                            <w:r w:rsidR="00106146">
                              <w:t>from</w:t>
                            </w:r>
                            <w:r w:rsidR="00D0470C" w:rsidRPr="00D0470C">
                              <w:t xml:space="preserve"> the previous year’s CGS payment or </w:t>
                            </w:r>
                            <w:r w:rsidR="00106146">
                              <w:t>10% reduction?</w:t>
                            </w:r>
                            <w:r w:rsidR="0033710D" w:rsidRPr="0033710D">
                              <w:t xml:space="preserve"> </w:t>
                            </w:r>
                          </w:p>
                          <w:p w14:paraId="017B8EDA" w14:textId="387CEF31" w:rsidR="001D1E03" w:rsidRDefault="003C3C46" w:rsidP="001D1E03">
                            <w:pPr>
                              <w:pStyle w:val="ListParagraph"/>
                              <w:numPr>
                                <w:ilvl w:val="0"/>
                                <w:numId w:val="32"/>
                              </w:numPr>
                              <w:spacing w:after="0"/>
                              <w:ind w:left="357" w:hanging="357"/>
                              <w:contextualSpacing w:val="0"/>
                            </w:pPr>
                            <w:r>
                              <w:t xml:space="preserve">For universities that access the funding floor, </w:t>
                            </w:r>
                            <w:r w:rsidR="00E7609E">
                              <w:t xml:space="preserve">should these </w:t>
                            </w:r>
                            <w:r w:rsidR="009E400E">
                              <w:t xml:space="preserve">universities be required </w:t>
                            </w:r>
                            <w:r w:rsidR="002146DF">
                              <w:t xml:space="preserve">to </w:t>
                            </w:r>
                            <w:r w:rsidR="001A6159">
                              <w:t>develop a</w:t>
                            </w:r>
                            <w:r w:rsidR="00DB20FE">
                              <w:t xml:space="preserve">n ‘action plan’ detailing their initiatives to </w:t>
                            </w:r>
                            <w:r w:rsidR="00D855C9">
                              <w:t xml:space="preserve">improve their enrolments </w:t>
                            </w:r>
                            <w:r w:rsidR="003708F6">
                              <w:t xml:space="preserve">to meet their </w:t>
                            </w:r>
                            <w:r w:rsidR="00DB1082">
                              <w:t xml:space="preserve">future year </w:t>
                            </w:r>
                            <w:r w:rsidR="003708F6">
                              <w:t>MGTs?</w:t>
                            </w:r>
                          </w:p>
                          <w:p w14:paraId="0B65200F" w14:textId="77777777" w:rsidR="00D74A4A" w:rsidRDefault="00D74A4A" w:rsidP="00B37291">
                            <w:pPr>
                              <w:pStyle w:val="ListParagraph"/>
                              <w:spacing w:after="0"/>
                              <w:ind w:left="357"/>
                              <w:contextualSpacing w:val="0"/>
                            </w:pPr>
                          </w:p>
                          <w:p w14:paraId="2FC6E80E" w14:textId="3619250F" w:rsidR="00FC264D" w:rsidRDefault="00DA51FD" w:rsidP="00A726B1">
                            <w:pPr>
                              <w:pStyle w:val="ListParagraph"/>
                              <w:numPr>
                                <w:ilvl w:val="0"/>
                                <w:numId w:val="32"/>
                              </w:numPr>
                              <w:spacing w:after="0"/>
                              <w:ind w:left="357" w:hanging="357"/>
                              <w:contextualSpacing w:val="0"/>
                            </w:pPr>
                            <w:r>
                              <w:t>If providers are not able to receive any funding (</w:t>
                            </w:r>
                            <w:r w:rsidR="0097398B">
                              <w:t xml:space="preserve">i.e. </w:t>
                            </w:r>
                            <w:r>
                              <w:t>both government and student contributions) for enrolments above their MGT</w:t>
                            </w:r>
                            <w:r w:rsidR="0097398B">
                              <w:t>,</w:t>
                            </w:r>
                            <w:r>
                              <w:t xml:space="preserve"> </w:t>
                            </w:r>
                            <w:r w:rsidR="00206B61">
                              <w:t xml:space="preserve">what </w:t>
                            </w:r>
                            <w:r w:rsidR="00FC264D">
                              <w:t xml:space="preserve">transition </w:t>
                            </w:r>
                            <w:r w:rsidR="00206B61">
                              <w:t>arrangements are needed to support</w:t>
                            </w:r>
                            <w:r w:rsidR="00FC264D">
                              <w:t xml:space="preserve"> </w:t>
                            </w:r>
                            <w:r w:rsidR="00946760">
                              <w:t xml:space="preserve">those </w:t>
                            </w:r>
                            <w:r w:rsidR="00FC264D">
                              <w:t xml:space="preserve">universities </w:t>
                            </w:r>
                            <w:r w:rsidR="00946760">
                              <w:t xml:space="preserve">that are currently </w:t>
                            </w:r>
                            <w:r w:rsidR="00C66BD6">
                              <w:t>enrolled at levels above their funding cap?</w:t>
                            </w:r>
                          </w:p>
                          <w:p w14:paraId="5729E6F9" w14:textId="77777777" w:rsidR="00B762DB" w:rsidRDefault="00B762DB" w:rsidP="00B37291">
                            <w:pPr>
                              <w:pStyle w:val="ListParagraph"/>
                              <w:spacing w:after="0"/>
                              <w:ind w:left="357"/>
                              <w:contextualSpacing w:val="0"/>
                            </w:pPr>
                          </w:p>
                          <w:p w14:paraId="1E9635EB" w14:textId="1DF488E0" w:rsidR="00FC264D" w:rsidDel="00C66BD6" w:rsidRDefault="00B762DB" w:rsidP="00B37291">
                            <w:pPr>
                              <w:pStyle w:val="ListParagraph"/>
                              <w:numPr>
                                <w:ilvl w:val="0"/>
                                <w:numId w:val="32"/>
                              </w:numPr>
                              <w:spacing w:after="0"/>
                            </w:pPr>
                            <w:r>
                              <w:t>Are there any other important</w:t>
                            </w:r>
                            <w:r w:rsidRPr="00C816EE">
                              <w:t xml:space="preserve"> </w:t>
                            </w:r>
                            <w:r>
                              <w:t>implementation issues</w:t>
                            </w:r>
                            <w:r w:rsidRPr="00C816EE">
                              <w:t xml:space="preserve"> </w:t>
                            </w:r>
                            <w:r>
                              <w:t>that</w:t>
                            </w:r>
                            <w:r w:rsidRPr="00C816EE">
                              <w:t xml:space="preserve"> </w:t>
                            </w:r>
                            <w:r>
                              <w:t xml:space="preserve">should </w:t>
                            </w:r>
                            <w:r w:rsidR="00495272">
                              <w:t xml:space="preserve">be </w:t>
                            </w:r>
                            <w:r w:rsidRPr="00C816EE">
                              <w:t>consider</w:t>
                            </w:r>
                            <w:r w:rsidR="00495272">
                              <w:t>ed</w:t>
                            </w:r>
                            <w:r w:rsidRPr="00C816EE">
                              <w:t xml:space="preserve"> as part of the transitional arrangement to the new funding system?</w:t>
                            </w:r>
                          </w:p>
                        </w:txbxContent>
                      </wps:txbx>
                      <wps:bodyPr rot="0" vert="horz" wrap="square" lIns="91440" tIns="45720" rIns="91440" bIns="45720" anchor="t" anchorCtr="0">
                        <a:noAutofit/>
                      </wps:bodyPr>
                    </wps:wsp>
                  </a:graphicData>
                </a:graphic>
              </wp:inline>
            </w:drawing>
          </mc:Choice>
          <mc:Fallback>
            <w:pict>
              <v:shape w14:anchorId="43D04E82" id="_x0000_s1029" type="#_x0000_t202" style="width:460.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" fillcolor="#fcdfdf [664]">
                <v:textbox>
                  <w:txbxContent>
                    <w:p w14:paraId="2821A330" w14:textId="09C27B8B" w:rsidR="00FC264D" w:rsidRPr="00E863BF" w:rsidRDefault="00FC264D" w:rsidP="00FC264D">
                      <w:pPr>
                        <w:spacing w:after="0" w:line="240" w:lineRule="auto"/>
                        <w:rPr>
                          <w:b/>
                          <w:sz w:val="32"/>
                          <w:szCs w:val="32"/>
                        </w:rPr>
                      </w:pPr>
                      <w:r w:rsidRPr="00E863BF">
                        <w:rPr>
                          <w:b/>
                          <w:bCs/>
                          <w:sz w:val="32"/>
                          <w:szCs w:val="32"/>
                        </w:rPr>
                        <w:t xml:space="preserve">Implementation </w:t>
                      </w:r>
                      <w:r>
                        <w:rPr>
                          <w:b/>
                          <w:bCs/>
                          <w:sz w:val="32"/>
                          <w:szCs w:val="32"/>
                        </w:rPr>
                        <w:t>i</w:t>
                      </w:r>
                      <w:r w:rsidRPr="00E863BF">
                        <w:rPr>
                          <w:b/>
                          <w:bCs/>
                          <w:sz w:val="32"/>
                          <w:szCs w:val="32"/>
                        </w:rPr>
                        <w:t>ssues</w:t>
                      </w:r>
                      <w:r>
                        <w:rPr>
                          <w:b/>
                          <w:bCs/>
                          <w:sz w:val="32"/>
                          <w:szCs w:val="32"/>
                        </w:rPr>
                        <w:t xml:space="preserve"> for </w:t>
                      </w:r>
                      <w:r w:rsidR="008506D3">
                        <w:rPr>
                          <w:b/>
                          <w:bCs/>
                          <w:sz w:val="32"/>
                          <w:szCs w:val="32"/>
                        </w:rPr>
                        <w:t>consideration</w:t>
                      </w:r>
                    </w:p>
                    <w:p w14:paraId="07637777" w14:textId="53BD5131" w:rsidR="0033710D" w:rsidRDefault="00BB0057" w:rsidP="00B37291">
                      <w:pPr>
                        <w:pStyle w:val="ListParagraph"/>
                        <w:numPr>
                          <w:ilvl w:val="0"/>
                          <w:numId w:val="32"/>
                        </w:numPr>
                        <w:spacing w:before="240"/>
                        <w:ind w:left="357" w:hanging="357"/>
                        <w:contextualSpacing w:val="0"/>
                      </w:pPr>
                      <w:r>
                        <w:t>How long should</w:t>
                      </w:r>
                      <w:r w:rsidR="00723DBB">
                        <w:t xml:space="preserve"> transitional arrangement</w:t>
                      </w:r>
                      <w:r>
                        <w:t>s be put in place</w:t>
                      </w:r>
                      <w:r w:rsidR="00464403">
                        <w:t>? Should</w:t>
                      </w:r>
                      <w:r w:rsidR="00FC264D">
                        <w:t xml:space="preserve"> </w:t>
                      </w:r>
                      <w:r w:rsidR="00983D95">
                        <w:t xml:space="preserve">longer term or </w:t>
                      </w:r>
                      <w:r w:rsidR="008659A0">
                        <w:t>ongoing</w:t>
                      </w:r>
                      <w:r w:rsidR="00FC264D">
                        <w:t xml:space="preserve"> </w:t>
                      </w:r>
                      <w:r w:rsidR="00464403">
                        <w:t>arrangements be considered</w:t>
                      </w:r>
                      <w:r w:rsidR="00FC264D">
                        <w:t>?</w:t>
                      </w:r>
                      <w:r w:rsidR="002B275A">
                        <w:t xml:space="preserve"> Why?</w:t>
                      </w:r>
                    </w:p>
                    <w:p w14:paraId="6A205625" w14:textId="7C7E5B56" w:rsidR="00390D71" w:rsidRDefault="00C07B5C" w:rsidP="00390D71">
                      <w:pPr>
                        <w:pStyle w:val="ListParagraph"/>
                        <w:numPr>
                          <w:ilvl w:val="0"/>
                          <w:numId w:val="32"/>
                        </w:numPr>
                        <w:ind w:left="357" w:hanging="357"/>
                        <w:contextualSpacing w:val="0"/>
                      </w:pPr>
                      <w:r>
                        <w:t xml:space="preserve">Should there be a limit on how many consecutive years </w:t>
                      </w:r>
                      <w:r w:rsidR="00E83767">
                        <w:t xml:space="preserve">a university </w:t>
                      </w:r>
                      <w:r w:rsidR="009032F1">
                        <w:t xml:space="preserve">can access the </w:t>
                      </w:r>
                      <w:r w:rsidR="00390D71">
                        <w:t>funding floor?</w:t>
                      </w:r>
                    </w:p>
                    <w:p w14:paraId="4D4D2B12" w14:textId="387952B7" w:rsidR="0033710D" w:rsidRDefault="001D1E03" w:rsidP="0033710D">
                      <w:pPr>
                        <w:pStyle w:val="ListParagraph"/>
                        <w:numPr>
                          <w:ilvl w:val="0"/>
                          <w:numId w:val="32"/>
                        </w:numPr>
                        <w:ind w:left="357" w:hanging="357"/>
                        <w:contextualSpacing w:val="0"/>
                      </w:pPr>
                      <w:r>
                        <w:t>At what level should the funding floor be set?</w:t>
                      </w:r>
                      <w:r w:rsidR="00D0470C" w:rsidRPr="00D0470C">
                        <w:t xml:space="preserve"> For example, should it be </w:t>
                      </w:r>
                      <w:r w:rsidR="00AC5879">
                        <w:t xml:space="preserve">set at </w:t>
                      </w:r>
                      <w:r w:rsidR="00026740">
                        <w:t xml:space="preserve">2.5% reduction </w:t>
                      </w:r>
                      <w:r w:rsidR="00106146">
                        <w:t>from</w:t>
                      </w:r>
                      <w:r w:rsidR="00D0470C" w:rsidRPr="00D0470C">
                        <w:t xml:space="preserve"> the previous year’s CGS payment or </w:t>
                      </w:r>
                      <w:r w:rsidR="00106146">
                        <w:t>10% reduction?</w:t>
                      </w:r>
                      <w:r w:rsidR="0033710D" w:rsidRPr="0033710D">
                        <w:t xml:space="preserve"> </w:t>
                      </w:r>
                    </w:p>
                    <w:p w14:paraId="017B8EDA" w14:textId="387CEF31" w:rsidR="001D1E03" w:rsidRDefault="003C3C46" w:rsidP="001D1E03">
                      <w:pPr>
                        <w:pStyle w:val="ListParagraph"/>
                        <w:numPr>
                          <w:ilvl w:val="0"/>
                          <w:numId w:val="32"/>
                        </w:numPr>
                        <w:spacing w:after="0"/>
                        <w:ind w:left="357" w:hanging="357"/>
                        <w:contextualSpacing w:val="0"/>
                      </w:pPr>
                      <w:r>
                        <w:t xml:space="preserve">For universities that access the funding floor, </w:t>
                      </w:r>
                      <w:r w:rsidR="00E7609E">
                        <w:t xml:space="preserve">should these </w:t>
                      </w:r>
                      <w:r w:rsidR="009E400E">
                        <w:t xml:space="preserve">universities be required </w:t>
                      </w:r>
                      <w:r w:rsidR="002146DF">
                        <w:t xml:space="preserve">to </w:t>
                      </w:r>
                      <w:r w:rsidR="001A6159">
                        <w:t>develop a</w:t>
                      </w:r>
                      <w:r w:rsidR="00DB20FE">
                        <w:t xml:space="preserve">n ‘action plan’ detailing their initiatives to </w:t>
                      </w:r>
                      <w:r w:rsidR="00D855C9">
                        <w:t xml:space="preserve">improve their enrolments </w:t>
                      </w:r>
                      <w:r w:rsidR="003708F6">
                        <w:t xml:space="preserve">to meet their </w:t>
                      </w:r>
                      <w:r w:rsidR="00DB1082">
                        <w:t xml:space="preserve">future year </w:t>
                      </w:r>
                      <w:r w:rsidR="003708F6">
                        <w:t>MGTs?</w:t>
                      </w:r>
                    </w:p>
                    <w:p w14:paraId="0B65200F" w14:textId="77777777" w:rsidR="00D74A4A" w:rsidRDefault="00D74A4A" w:rsidP="00B37291">
                      <w:pPr>
                        <w:pStyle w:val="ListParagraph"/>
                        <w:spacing w:after="0"/>
                        <w:ind w:left="357"/>
                        <w:contextualSpacing w:val="0"/>
                      </w:pPr>
                    </w:p>
                    <w:p w14:paraId="2FC6E80E" w14:textId="3619250F" w:rsidR="00FC264D" w:rsidRDefault="00DA51FD" w:rsidP="00A726B1">
                      <w:pPr>
                        <w:pStyle w:val="ListParagraph"/>
                        <w:numPr>
                          <w:ilvl w:val="0"/>
                          <w:numId w:val="32"/>
                        </w:numPr>
                        <w:spacing w:after="0"/>
                        <w:ind w:left="357" w:hanging="357"/>
                        <w:contextualSpacing w:val="0"/>
                      </w:pPr>
                      <w:r>
                        <w:t>If providers are not able to receive any funding (</w:t>
                      </w:r>
                      <w:r w:rsidR="0097398B">
                        <w:t xml:space="preserve">i.e. </w:t>
                      </w:r>
                      <w:r>
                        <w:t>both government and student contributions) for enrolments above their MGT</w:t>
                      </w:r>
                      <w:r w:rsidR="0097398B">
                        <w:t>,</w:t>
                      </w:r>
                      <w:r>
                        <w:t xml:space="preserve"> </w:t>
                      </w:r>
                      <w:r w:rsidR="00206B61">
                        <w:t xml:space="preserve">what </w:t>
                      </w:r>
                      <w:r w:rsidR="00FC264D">
                        <w:t xml:space="preserve">transition </w:t>
                      </w:r>
                      <w:r w:rsidR="00206B61">
                        <w:t>arrangements are needed to support</w:t>
                      </w:r>
                      <w:r w:rsidR="00FC264D">
                        <w:t xml:space="preserve"> </w:t>
                      </w:r>
                      <w:r w:rsidR="00946760">
                        <w:t xml:space="preserve">those </w:t>
                      </w:r>
                      <w:r w:rsidR="00FC264D">
                        <w:t xml:space="preserve">universities </w:t>
                      </w:r>
                      <w:r w:rsidR="00946760">
                        <w:t xml:space="preserve">that are currently </w:t>
                      </w:r>
                      <w:r w:rsidR="00C66BD6">
                        <w:t>enrolled at levels above their funding cap?</w:t>
                      </w:r>
                    </w:p>
                    <w:p w14:paraId="5729E6F9" w14:textId="77777777" w:rsidR="00B762DB" w:rsidRDefault="00B762DB" w:rsidP="00B37291">
                      <w:pPr>
                        <w:pStyle w:val="ListParagraph"/>
                        <w:spacing w:after="0"/>
                        <w:ind w:left="357"/>
                        <w:contextualSpacing w:val="0"/>
                      </w:pPr>
                    </w:p>
                    <w:p w14:paraId="1E9635EB" w14:textId="1DF488E0" w:rsidR="00FC264D" w:rsidDel="00C66BD6" w:rsidRDefault="00B762DB" w:rsidP="00B37291">
                      <w:pPr>
                        <w:pStyle w:val="ListParagraph"/>
                        <w:numPr>
                          <w:ilvl w:val="0"/>
                          <w:numId w:val="32"/>
                        </w:numPr>
                        <w:spacing w:after="0"/>
                      </w:pPr>
                      <w:r>
                        <w:t>Are there any other important</w:t>
                      </w:r>
                      <w:r w:rsidRPr="00C816EE">
                        <w:t xml:space="preserve"> </w:t>
                      </w:r>
                      <w:r>
                        <w:t>implementation issues</w:t>
                      </w:r>
                      <w:r w:rsidRPr="00C816EE">
                        <w:t xml:space="preserve"> </w:t>
                      </w:r>
                      <w:r>
                        <w:t>that</w:t>
                      </w:r>
                      <w:r w:rsidRPr="00C816EE">
                        <w:t xml:space="preserve"> </w:t>
                      </w:r>
                      <w:r>
                        <w:t xml:space="preserve">should </w:t>
                      </w:r>
                      <w:r w:rsidR="00495272">
                        <w:t xml:space="preserve">be </w:t>
                      </w:r>
                      <w:r w:rsidRPr="00C816EE">
                        <w:t>consider</w:t>
                      </w:r>
                      <w:r w:rsidR="00495272">
                        <w:t>ed</w:t>
                      </w:r>
                      <w:r w:rsidRPr="00C816EE">
                        <w:t xml:space="preserve"> as part of the transitional arrangement to the new funding system?</w:t>
                      </w:r>
                    </w:p>
                  </w:txbxContent>
                </v:textbox>
                <w10:anchorlock/>
              </v:shape>
            </w:pict>
          </mc:Fallback>
        </mc:AlternateContent>
      </w:r>
    </w:p>
    <w:bookmarkEnd w:id="7"/>
    <w:p w14:paraId="0627F693" w14:textId="77777777" w:rsidR="00770126" w:rsidRDefault="00770126">
      <w:pPr>
        <w:spacing w:after="160"/>
        <w:rPr>
          <w:rFonts w:asciiTheme="majorHAnsi" w:eastAsiaTheme="majorEastAsia" w:hAnsiTheme="majorHAnsi" w:cstheme="majorBidi"/>
          <w:b/>
          <w:color w:val="008599" w:themeColor="accent1"/>
          <w:sz w:val="32"/>
          <w:szCs w:val="24"/>
        </w:rPr>
      </w:pPr>
      <w:r>
        <w:br w:type="page"/>
      </w:r>
    </w:p>
    <w:p w14:paraId="3C0111B2" w14:textId="32FECE4C" w:rsidR="002B671F" w:rsidRPr="00417891" w:rsidRDefault="002B671F" w:rsidP="00770126">
      <w:pPr>
        <w:pStyle w:val="Heading3"/>
      </w:pPr>
      <w:r w:rsidRPr="00417891">
        <w:lastRenderedPageBreak/>
        <w:t>Attachment A: Non</w:t>
      </w:r>
      <w:r w:rsidR="00770126">
        <w:t>-</w:t>
      </w:r>
      <w:r w:rsidR="00AA4687" w:rsidRPr="00417891">
        <w:t>Table</w:t>
      </w:r>
      <w:r w:rsidR="00770126">
        <w:t xml:space="preserve"> </w:t>
      </w:r>
      <w:r w:rsidR="00AA4687" w:rsidRPr="00417891">
        <w:t xml:space="preserve">A </w:t>
      </w:r>
      <w:r w:rsidRPr="00417891">
        <w:t>higher education providers with an ongoing allocation of Commonwealth supported places (CSPs)</w:t>
      </w:r>
    </w:p>
    <w:p w14:paraId="403F463B" w14:textId="77777777" w:rsidR="00770126" w:rsidRDefault="00770126" w:rsidP="00E1387B">
      <w:pPr>
        <w:pStyle w:val="ListParagraph"/>
        <w:ind w:left="0"/>
        <w:contextualSpacing w:val="0"/>
      </w:pPr>
    </w:p>
    <w:p w14:paraId="5FAA3AFF" w14:textId="4F746B25" w:rsidR="002B671F" w:rsidRDefault="000A7498" w:rsidP="00E1387B">
      <w:pPr>
        <w:pStyle w:val="ListParagraph"/>
        <w:ind w:left="0"/>
        <w:contextualSpacing w:val="0"/>
      </w:pPr>
      <w:r>
        <w:t xml:space="preserve">The following non-university higher education providers currently receive an ongoing allocation of Commonwealth supported places (CSPs) </w:t>
      </w:r>
      <w:r w:rsidR="007966C3">
        <w:t>in courses of national priority</w:t>
      </w:r>
      <w:r w:rsidR="00417891">
        <w:t xml:space="preserve"> (i.e. nursing and teaching)</w:t>
      </w:r>
      <w:r w:rsidR="007966C3">
        <w:t>:</w:t>
      </w:r>
    </w:p>
    <w:p w14:paraId="6624FD7C" w14:textId="677A2DA4" w:rsidR="007966C3" w:rsidRDefault="00AA4687" w:rsidP="00770126">
      <w:pPr>
        <w:pStyle w:val="ListParagraph"/>
        <w:numPr>
          <w:ilvl w:val="0"/>
          <w:numId w:val="36"/>
        </w:numPr>
        <w:ind w:left="0" w:firstLine="0"/>
        <w:contextualSpacing w:val="0"/>
      </w:pPr>
      <w:r>
        <w:t>Avondale University</w:t>
      </w:r>
    </w:p>
    <w:p w14:paraId="10931DB1" w14:textId="15A4F33F" w:rsidR="00AA4687" w:rsidRDefault="00AA4687" w:rsidP="00770126">
      <w:pPr>
        <w:pStyle w:val="ListParagraph"/>
        <w:numPr>
          <w:ilvl w:val="0"/>
          <w:numId w:val="36"/>
        </w:numPr>
        <w:ind w:left="0" w:firstLine="0"/>
        <w:contextualSpacing w:val="0"/>
      </w:pPr>
      <w:r>
        <w:t>Christian Heritage College</w:t>
      </w:r>
    </w:p>
    <w:p w14:paraId="68B30460" w14:textId="77777777" w:rsidR="004B2541" w:rsidRDefault="004B2541" w:rsidP="00770126">
      <w:pPr>
        <w:pStyle w:val="ListParagraph"/>
        <w:numPr>
          <w:ilvl w:val="0"/>
          <w:numId w:val="36"/>
        </w:numPr>
        <w:ind w:left="0" w:firstLine="0"/>
        <w:contextualSpacing w:val="0"/>
      </w:pPr>
      <w:r>
        <w:t xml:space="preserve">Eastern College Australia  </w:t>
      </w:r>
    </w:p>
    <w:p w14:paraId="24326B07" w14:textId="77777777" w:rsidR="00B3182B" w:rsidRDefault="00B3182B" w:rsidP="00770126">
      <w:pPr>
        <w:pStyle w:val="ListParagraph"/>
        <w:numPr>
          <w:ilvl w:val="0"/>
          <w:numId w:val="36"/>
        </w:numPr>
        <w:ind w:left="0" w:firstLine="0"/>
        <w:contextualSpacing w:val="0"/>
      </w:pPr>
      <w:r>
        <w:t>Holmesglen Institute of TAFE</w:t>
      </w:r>
    </w:p>
    <w:p w14:paraId="1EC8234C" w14:textId="77777777" w:rsidR="00B3182B" w:rsidRDefault="00B3182B" w:rsidP="00770126">
      <w:pPr>
        <w:pStyle w:val="ListParagraph"/>
        <w:numPr>
          <w:ilvl w:val="0"/>
          <w:numId w:val="36"/>
        </w:numPr>
        <w:ind w:left="0" w:firstLine="0"/>
        <w:contextualSpacing w:val="0"/>
      </w:pPr>
      <w:r>
        <w:t>Melbourne Polytechnic</w:t>
      </w:r>
    </w:p>
    <w:p w14:paraId="206B8C24" w14:textId="3997BA84" w:rsidR="00385701" w:rsidRPr="00723FC4" w:rsidRDefault="00AA4687" w:rsidP="0028373E">
      <w:pPr>
        <w:pStyle w:val="ListParagraph"/>
        <w:numPr>
          <w:ilvl w:val="0"/>
          <w:numId w:val="36"/>
        </w:numPr>
        <w:ind w:left="0" w:firstLine="0"/>
        <w:contextualSpacing w:val="0"/>
      </w:pPr>
      <w:r>
        <w:t>Tab</w:t>
      </w:r>
      <w:r w:rsidR="00B3182B">
        <w:t>or</w:t>
      </w:r>
      <w:r>
        <w:t xml:space="preserve"> </w:t>
      </w:r>
      <w:r w:rsidR="008057FA">
        <w:t>College</w:t>
      </w:r>
    </w:p>
    <w:sectPr w:rsidR="00385701" w:rsidRPr="00723FC4" w:rsidSect="00DA3AEC">
      <w:footerReference w:type="default" r:id="rId14"/>
      <w:footerReference w:type="first" r:id="rId15"/>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60AD" w14:textId="77777777" w:rsidR="006C4383" w:rsidRDefault="006C4383" w:rsidP="000A6228">
      <w:pPr>
        <w:spacing w:after="0" w:line="240" w:lineRule="auto"/>
      </w:pPr>
      <w:r>
        <w:separator/>
      </w:r>
    </w:p>
  </w:endnote>
  <w:endnote w:type="continuationSeparator" w:id="0">
    <w:p w14:paraId="2A2D0D86" w14:textId="77777777" w:rsidR="006C4383" w:rsidRDefault="006C4383" w:rsidP="000A6228">
      <w:pPr>
        <w:spacing w:after="0" w:line="240" w:lineRule="auto"/>
      </w:pPr>
      <w:r>
        <w:continuationSeparator/>
      </w:r>
    </w:p>
  </w:endnote>
  <w:endnote w:type="continuationNotice" w:id="1">
    <w:p w14:paraId="6758C50E" w14:textId="77777777" w:rsidR="006C4383" w:rsidRDefault="006C4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yriad Pro Light">
    <w:altName w:val="Yu Gothic"/>
    <w:panose1 w:val="00000000000000000000"/>
    <w:charset w:val="8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2345" w14:textId="01ED8C0A" w:rsidR="00D86284" w:rsidRDefault="003C469B">
    <w:pPr>
      <w:pStyle w:val="Footer"/>
    </w:pPr>
    <w:r>
      <w:fldChar w:fldCharType="begin"/>
    </w:r>
    <w:r>
      <w:instrText xml:space="preserve"> PAGE   \* MERGEFORMAT </w:instrText>
    </w:r>
    <w:r>
      <w:fldChar w:fldCharType="separate"/>
    </w:r>
    <w:r>
      <w:rPr>
        <w:noProof/>
      </w:rPr>
      <w:t>1</w:t>
    </w:r>
    <w:r>
      <w:rPr>
        <w:noProof/>
      </w:rPr>
      <w:fldChar w:fldCharType="end"/>
    </w:r>
    <w:r w:rsidR="00D86284">
      <w:rPr>
        <w:noProof/>
      </w:rPr>
      <w:drawing>
        <wp:anchor distT="0" distB="0" distL="114300" distR="114300" simplePos="0" relativeHeight="251658240" behindDoc="1" locked="1" layoutInCell="1" allowOverlap="1" wp14:anchorId="7472804D" wp14:editId="67B0ED1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864900"/>
      <w:docPartObj>
        <w:docPartGallery w:val="Page Numbers (Bottom of Page)"/>
        <w:docPartUnique/>
      </w:docPartObj>
    </w:sdtPr>
    <w:sdtEndPr>
      <w:rPr>
        <w:noProof/>
      </w:rPr>
    </w:sdtEndPr>
    <w:sdtContent>
      <w:p w14:paraId="7F6B96E7" w14:textId="691EDF52" w:rsidR="00DB57F0" w:rsidRDefault="00DB57F0">
        <w:pPr>
          <w:pStyle w:val="Footer"/>
        </w:pPr>
        <w:r>
          <w:fldChar w:fldCharType="begin"/>
        </w:r>
        <w:r>
          <w:instrText xml:space="preserve"> PAGE   \* MERGEFORMAT </w:instrText>
        </w:r>
        <w:r>
          <w:fldChar w:fldCharType="separate"/>
        </w:r>
        <w:r>
          <w:rPr>
            <w:noProof/>
          </w:rPr>
          <w:t>2</w:t>
        </w:r>
        <w:r>
          <w:rPr>
            <w:noProof/>
          </w:rPr>
          <w:fldChar w:fldCharType="end"/>
        </w:r>
      </w:p>
    </w:sdtContent>
  </w:sdt>
  <w:p w14:paraId="672B3EB8" w14:textId="77777777" w:rsidR="00DB57F0" w:rsidRDefault="00DB5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8BDF" w14:textId="77777777" w:rsidR="006C4383" w:rsidRDefault="006C4383" w:rsidP="000A6228">
      <w:pPr>
        <w:spacing w:after="0" w:line="240" w:lineRule="auto"/>
      </w:pPr>
      <w:r>
        <w:separator/>
      </w:r>
    </w:p>
  </w:footnote>
  <w:footnote w:type="continuationSeparator" w:id="0">
    <w:p w14:paraId="641C70E4" w14:textId="77777777" w:rsidR="006C4383" w:rsidRDefault="006C4383" w:rsidP="000A6228">
      <w:pPr>
        <w:spacing w:after="0" w:line="240" w:lineRule="auto"/>
      </w:pPr>
      <w:r>
        <w:continuationSeparator/>
      </w:r>
    </w:p>
  </w:footnote>
  <w:footnote w:type="continuationNotice" w:id="1">
    <w:p w14:paraId="21D09386" w14:textId="77777777" w:rsidR="006C4383" w:rsidRDefault="006C43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E30A7390"/>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EBDE4C5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AF37AA"/>
    <w:multiLevelType w:val="hybridMultilevel"/>
    <w:tmpl w:val="40FC5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E75619A"/>
    <w:multiLevelType w:val="hybridMultilevel"/>
    <w:tmpl w:val="3D322E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B7593A"/>
    <w:multiLevelType w:val="hybridMultilevel"/>
    <w:tmpl w:val="A94A0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lvlText w:val=""/>
      <w:lvlJc w:val="left"/>
      <w:pPr>
        <w:ind w:left="928" w:hanging="360"/>
      </w:pPr>
      <w:rPr>
        <w:rFonts w:ascii="Symbol" w:hAnsi="Symbol" w:hint="default"/>
      </w:rPr>
    </w:lvl>
    <w:lvl w:ilvl="1">
      <w:start w:val="1"/>
      <w:numFmt w:val="none"/>
      <w:pStyle w:val="ListBullet2"/>
      <w:lvlText w:val="%2–"/>
      <w:lvlJc w:val="left"/>
      <w:pPr>
        <w:ind w:left="852" w:firstLine="283"/>
      </w:pPr>
      <w:rPr>
        <w:rFonts w:hint="default"/>
      </w:rPr>
    </w:lvl>
    <w:lvl w:ilvl="2">
      <w:start w:val="1"/>
      <w:numFmt w:val="none"/>
      <w:lvlText w:val="%3o"/>
      <w:lvlJc w:val="right"/>
      <w:pPr>
        <w:ind w:left="1135" w:firstLine="284"/>
      </w:pPr>
      <w:rPr>
        <w:rFonts w:hint="default"/>
      </w:rPr>
    </w:lvl>
    <w:lvl w:ilvl="3">
      <w:start w:val="1"/>
      <w:numFmt w:val="none"/>
      <w:lvlText w:val="%4"/>
      <w:lvlJc w:val="left"/>
      <w:pPr>
        <w:ind w:left="1419" w:firstLine="283"/>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5" w15:restartNumberingAfterBreak="0">
    <w:nsid w:val="1E0D1A63"/>
    <w:multiLevelType w:val="multilevel"/>
    <w:tmpl w:val="E412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103DC"/>
    <w:multiLevelType w:val="multilevel"/>
    <w:tmpl w:val="5BE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16F8B"/>
    <w:multiLevelType w:val="hybridMultilevel"/>
    <w:tmpl w:val="206A009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A82303"/>
    <w:multiLevelType w:val="hybridMultilevel"/>
    <w:tmpl w:val="2614368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171400A"/>
    <w:multiLevelType w:val="hybridMultilevel"/>
    <w:tmpl w:val="29A61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1C4CD5"/>
    <w:multiLevelType w:val="hybridMultilevel"/>
    <w:tmpl w:val="C45EE6E2"/>
    <w:lvl w:ilvl="0" w:tplc="0C090001">
      <w:start w:val="1"/>
      <w:numFmt w:val="bullet"/>
      <w:lvlText w:val=""/>
      <w:lvlJc w:val="left"/>
      <w:pPr>
        <w:ind w:left="6" w:hanging="360"/>
      </w:pPr>
      <w:rPr>
        <w:rFonts w:ascii="Symbol" w:hAnsi="Symbol" w:hint="default"/>
      </w:rPr>
    </w:lvl>
    <w:lvl w:ilvl="1" w:tplc="F4B8DE90">
      <w:start w:val="5"/>
      <w:numFmt w:val="bullet"/>
      <w:lvlText w:val="•"/>
      <w:lvlJc w:val="left"/>
      <w:pPr>
        <w:ind w:left="726" w:hanging="360"/>
      </w:pPr>
      <w:rPr>
        <w:rFonts w:ascii="Calibri" w:eastAsiaTheme="minorHAnsi" w:hAnsi="Calibri" w:cs="Calibri"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4" w15:restartNumberingAfterBreak="0">
    <w:nsid w:val="53676E5A"/>
    <w:multiLevelType w:val="hybridMultilevel"/>
    <w:tmpl w:val="860E64F4"/>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ED1178"/>
    <w:multiLevelType w:val="hybridMultilevel"/>
    <w:tmpl w:val="9D067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5B1A47"/>
    <w:multiLevelType w:val="hybridMultilevel"/>
    <w:tmpl w:val="7E46DFF2"/>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8" w15:restartNumberingAfterBreak="0">
    <w:nsid w:val="6AC26B4E"/>
    <w:multiLevelType w:val="hybridMultilevel"/>
    <w:tmpl w:val="A092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D6500E"/>
    <w:multiLevelType w:val="hybridMultilevel"/>
    <w:tmpl w:val="D5D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29D2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5CC6300"/>
    <w:multiLevelType w:val="hybridMultilevel"/>
    <w:tmpl w:val="73E0FA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0803065">
    <w:abstractNumId w:val="14"/>
  </w:num>
  <w:num w:numId="2" w16cid:durableId="1144616732">
    <w:abstractNumId w:val="5"/>
  </w:num>
  <w:num w:numId="3" w16cid:durableId="979309186">
    <w:abstractNumId w:val="4"/>
  </w:num>
  <w:num w:numId="4" w16cid:durableId="144787752">
    <w:abstractNumId w:val="3"/>
  </w:num>
  <w:num w:numId="5" w16cid:durableId="934556078">
    <w:abstractNumId w:val="19"/>
  </w:num>
  <w:num w:numId="6" w16cid:durableId="816344236">
    <w:abstractNumId w:val="2"/>
  </w:num>
  <w:num w:numId="7" w16cid:durableId="1908612059">
    <w:abstractNumId w:val="1"/>
  </w:num>
  <w:num w:numId="8" w16cid:durableId="1618215078">
    <w:abstractNumId w:val="0"/>
  </w:num>
  <w:num w:numId="9" w16cid:durableId="1850677422">
    <w:abstractNumId w:val="17"/>
  </w:num>
  <w:num w:numId="10" w16cid:durableId="1599946406">
    <w:abstractNumId w:val="7"/>
  </w:num>
  <w:num w:numId="11" w16cid:durableId="714038629">
    <w:abstractNumId w:val="30"/>
  </w:num>
  <w:num w:numId="12" w16cid:durableId="1728914001">
    <w:abstractNumId w:val="13"/>
  </w:num>
  <w:num w:numId="13" w16cid:durableId="1785611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32"/>
  </w:num>
  <w:num w:numId="17" w16cid:durableId="2029670193">
    <w:abstractNumId w:val="20"/>
  </w:num>
  <w:num w:numId="18" w16cid:durableId="887570554">
    <w:abstractNumId w:val="8"/>
  </w:num>
  <w:num w:numId="19" w16cid:durableId="147789394">
    <w:abstractNumId w:val="25"/>
  </w:num>
  <w:num w:numId="20" w16cid:durableId="774446718">
    <w:abstractNumId w:val="9"/>
  </w:num>
  <w:num w:numId="21" w16cid:durableId="319041079">
    <w:abstractNumId w:val="15"/>
  </w:num>
  <w:num w:numId="22" w16cid:durableId="1122269380">
    <w:abstractNumId w:val="31"/>
  </w:num>
  <w:num w:numId="23" w16cid:durableId="939290320">
    <w:abstractNumId w:val="25"/>
  </w:num>
  <w:num w:numId="24" w16cid:durableId="1862936839">
    <w:abstractNumId w:val="16"/>
  </w:num>
  <w:num w:numId="25" w16cid:durableId="1902013793">
    <w:abstractNumId w:val="29"/>
  </w:num>
  <w:num w:numId="26" w16cid:durableId="1539733954">
    <w:abstractNumId w:val="27"/>
  </w:num>
  <w:num w:numId="27" w16cid:durableId="292560519">
    <w:abstractNumId w:val="26"/>
  </w:num>
  <w:num w:numId="28" w16cid:durableId="1042170633">
    <w:abstractNumId w:val="28"/>
  </w:num>
  <w:num w:numId="29" w16cid:durableId="758137522">
    <w:abstractNumId w:val="33"/>
  </w:num>
  <w:num w:numId="30" w16cid:durableId="1055161179">
    <w:abstractNumId w:val="18"/>
  </w:num>
  <w:num w:numId="31" w16cid:durableId="286083852">
    <w:abstractNumId w:val="22"/>
  </w:num>
  <w:num w:numId="32" w16cid:durableId="1936673476">
    <w:abstractNumId w:val="11"/>
  </w:num>
  <w:num w:numId="33" w16cid:durableId="1678924533">
    <w:abstractNumId w:val="23"/>
  </w:num>
  <w:num w:numId="34" w16cid:durableId="541090669">
    <w:abstractNumId w:val="12"/>
  </w:num>
  <w:num w:numId="35" w16cid:durableId="1843813158">
    <w:abstractNumId w:val="21"/>
  </w:num>
  <w:num w:numId="36" w16cid:durableId="12338073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942"/>
    <w:rsid w:val="00000A79"/>
    <w:rsid w:val="00000B3F"/>
    <w:rsid w:val="00000E38"/>
    <w:rsid w:val="0000142D"/>
    <w:rsid w:val="000017AB"/>
    <w:rsid w:val="000024BA"/>
    <w:rsid w:val="00002D5C"/>
    <w:rsid w:val="00004D19"/>
    <w:rsid w:val="000051B1"/>
    <w:rsid w:val="00005471"/>
    <w:rsid w:val="000057AD"/>
    <w:rsid w:val="00007141"/>
    <w:rsid w:val="00007465"/>
    <w:rsid w:val="000076A9"/>
    <w:rsid w:val="00007A75"/>
    <w:rsid w:val="00007B20"/>
    <w:rsid w:val="000102C6"/>
    <w:rsid w:val="00010933"/>
    <w:rsid w:val="00011305"/>
    <w:rsid w:val="00011EC3"/>
    <w:rsid w:val="00012366"/>
    <w:rsid w:val="00013895"/>
    <w:rsid w:val="000200E4"/>
    <w:rsid w:val="00020544"/>
    <w:rsid w:val="000212AC"/>
    <w:rsid w:val="00021FBE"/>
    <w:rsid w:val="000225FF"/>
    <w:rsid w:val="00022764"/>
    <w:rsid w:val="00022B00"/>
    <w:rsid w:val="00022B2A"/>
    <w:rsid w:val="00022CBB"/>
    <w:rsid w:val="00022EAF"/>
    <w:rsid w:val="00022F7E"/>
    <w:rsid w:val="00023368"/>
    <w:rsid w:val="00023D2E"/>
    <w:rsid w:val="000250BF"/>
    <w:rsid w:val="000258F3"/>
    <w:rsid w:val="00026740"/>
    <w:rsid w:val="00026AF1"/>
    <w:rsid w:val="0002720E"/>
    <w:rsid w:val="00030B1F"/>
    <w:rsid w:val="000319E9"/>
    <w:rsid w:val="00031D70"/>
    <w:rsid w:val="00031EB2"/>
    <w:rsid w:val="00033439"/>
    <w:rsid w:val="000349B9"/>
    <w:rsid w:val="00034BA6"/>
    <w:rsid w:val="00034CAB"/>
    <w:rsid w:val="0003558B"/>
    <w:rsid w:val="000358B8"/>
    <w:rsid w:val="00035EAD"/>
    <w:rsid w:val="000368B7"/>
    <w:rsid w:val="00036B28"/>
    <w:rsid w:val="00040E42"/>
    <w:rsid w:val="00042DC8"/>
    <w:rsid w:val="00042E46"/>
    <w:rsid w:val="000437A1"/>
    <w:rsid w:val="00043B2A"/>
    <w:rsid w:val="00044BBA"/>
    <w:rsid w:val="000465B0"/>
    <w:rsid w:val="00046810"/>
    <w:rsid w:val="00046C76"/>
    <w:rsid w:val="00047681"/>
    <w:rsid w:val="00047A5B"/>
    <w:rsid w:val="00050094"/>
    <w:rsid w:val="00051BE4"/>
    <w:rsid w:val="00051C85"/>
    <w:rsid w:val="000521D7"/>
    <w:rsid w:val="00053226"/>
    <w:rsid w:val="00053237"/>
    <w:rsid w:val="000533CD"/>
    <w:rsid w:val="000536B2"/>
    <w:rsid w:val="0005414C"/>
    <w:rsid w:val="000546A0"/>
    <w:rsid w:val="00054F3B"/>
    <w:rsid w:val="00056004"/>
    <w:rsid w:val="000567D0"/>
    <w:rsid w:val="00056DD8"/>
    <w:rsid w:val="00057475"/>
    <w:rsid w:val="00057CD6"/>
    <w:rsid w:val="00061A44"/>
    <w:rsid w:val="00061ED4"/>
    <w:rsid w:val="00062386"/>
    <w:rsid w:val="00063C61"/>
    <w:rsid w:val="00064B40"/>
    <w:rsid w:val="00064BE7"/>
    <w:rsid w:val="00064DB7"/>
    <w:rsid w:val="000654AF"/>
    <w:rsid w:val="00065C37"/>
    <w:rsid w:val="00065D1D"/>
    <w:rsid w:val="000668B4"/>
    <w:rsid w:val="00067279"/>
    <w:rsid w:val="00067A0E"/>
    <w:rsid w:val="00067CA4"/>
    <w:rsid w:val="0007089E"/>
    <w:rsid w:val="000719C7"/>
    <w:rsid w:val="00072B8F"/>
    <w:rsid w:val="0007383E"/>
    <w:rsid w:val="00073A9F"/>
    <w:rsid w:val="00073C6D"/>
    <w:rsid w:val="00073E84"/>
    <w:rsid w:val="00074BE9"/>
    <w:rsid w:val="00075078"/>
    <w:rsid w:val="000765F3"/>
    <w:rsid w:val="000767CF"/>
    <w:rsid w:val="00076ACF"/>
    <w:rsid w:val="00080279"/>
    <w:rsid w:val="00081733"/>
    <w:rsid w:val="00082359"/>
    <w:rsid w:val="00082CB1"/>
    <w:rsid w:val="00082EE7"/>
    <w:rsid w:val="00083116"/>
    <w:rsid w:val="00083CBB"/>
    <w:rsid w:val="000844C5"/>
    <w:rsid w:val="000848DD"/>
    <w:rsid w:val="0008558E"/>
    <w:rsid w:val="00085604"/>
    <w:rsid w:val="00086026"/>
    <w:rsid w:val="00087330"/>
    <w:rsid w:val="00087949"/>
    <w:rsid w:val="000905D5"/>
    <w:rsid w:val="00094FC8"/>
    <w:rsid w:val="00095719"/>
    <w:rsid w:val="000969D7"/>
    <w:rsid w:val="000972AF"/>
    <w:rsid w:val="00097610"/>
    <w:rsid w:val="000A005C"/>
    <w:rsid w:val="000A0B58"/>
    <w:rsid w:val="000A0ED0"/>
    <w:rsid w:val="000A1334"/>
    <w:rsid w:val="000A155B"/>
    <w:rsid w:val="000A33D3"/>
    <w:rsid w:val="000A3FCD"/>
    <w:rsid w:val="000A4FF2"/>
    <w:rsid w:val="000A56CC"/>
    <w:rsid w:val="000A5ED6"/>
    <w:rsid w:val="000A6228"/>
    <w:rsid w:val="000A6AB4"/>
    <w:rsid w:val="000A6B90"/>
    <w:rsid w:val="000A6E2B"/>
    <w:rsid w:val="000A7356"/>
    <w:rsid w:val="000A7498"/>
    <w:rsid w:val="000A7860"/>
    <w:rsid w:val="000A7DBE"/>
    <w:rsid w:val="000B0FFC"/>
    <w:rsid w:val="000B1935"/>
    <w:rsid w:val="000B24AB"/>
    <w:rsid w:val="000B2523"/>
    <w:rsid w:val="000B2C6C"/>
    <w:rsid w:val="000B4714"/>
    <w:rsid w:val="000B5D40"/>
    <w:rsid w:val="000B6D80"/>
    <w:rsid w:val="000B6E6D"/>
    <w:rsid w:val="000B710D"/>
    <w:rsid w:val="000B7149"/>
    <w:rsid w:val="000B7CDC"/>
    <w:rsid w:val="000B7EC6"/>
    <w:rsid w:val="000C0801"/>
    <w:rsid w:val="000C1751"/>
    <w:rsid w:val="000C1B49"/>
    <w:rsid w:val="000C4576"/>
    <w:rsid w:val="000C794D"/>
    <w:rsid w:val="000D098C"/>
    <w:rsid w:val="000D106A"/>
    <w:rsid w:val="000D166D"/>
    <w:rsid w:val="000D1A76"/>
    <w:rsid w:val="000D1B84"/>
    <w:rsid w:val="000D1C8A"/>
    <w:rsid w:val="000D1E72"/>
    <w:rsid w:val="000D3F46"/>
    <w:rsid w:val="000D4288"/>
    <w:rsid w:val="000D4A57"/>
    <w:rsid w:val="000D4E31"/>
    <w:rsid w:val="000D52B5"/>
    <w:rsid w:val="000D5519"/>
    <w:rsid w:val="000D6790"/>
    <w:rsid w:val="000D7182"/>
    <w:rsid w:val="000D741D"/>
    <w:rsid w:val="000D7484"/>
    <w:rsid w:val="000D79D3"/>
    <w:rsid w:val="000E0A23"/>
    <w:rsid w:val="000E11D3"/>
    <w:rsid w:val="000E1A49"/>
    <w:rsid w:val="000E2F14"/>
    <w:rsid w:val="000E313C"/>
    <w:rsid w:val="000E453C"/>
    <w:rsid w:val="000E5E4C"/>
    <w:rsid w:val="000E7DB5"/>
    <w:rsid w:val="000F07F1"/>
    <w:rsid w:val="000F195A"/>
    <w:rsid w:val="000F1B4B"/>
    <w:rsid w:val="000F20F7"/>
    <w:rsid w:val="000F2D56"/>
    <w:rsid w:val="000F3272"/>
    <w:rsid w:val="000F49FB"/>
    <w:rsid w:val="000F4A5E"/>
    <w:rsid w:val="000F4DA1"/>
    <w:rsid w:val="000F5616"/>
    <w:rsid w:val="000F5F8D"/>
    <w:rsid w:val="000F67D6"/>
    <w:rsid w:val="000F72C1"/>
    <w:rsid w:val="000F72F1"/>
    <w:rsid w:val="000F7CED"/>
    <w:rsid w:val="000F7E77"/>
    <w:rsid w:val="0010148E"/>
    <w:rsid w:val="00101B09"/>
    <w:rsid w:val="001024EA"/>
    <w:rsid w:val="00102D14"/>
    <w:rsid w:val="00103DFA"/>
    <w:rsid w:val="00103E58"/>
    <w:rsid w:val="00104A34"/>
    <w:rsid w:val="00104DD0"/>
    <w:rsid w:val="00105B81"/>
    <w:rsid w:val="00106146"/>
    <w:rsid w:val="001077FF"/>
    <w:rsid w:val="00107D87"/>
    <w:rsid w:val="00107DD5"/>
    <w:rsid w:val="00110DCB"/>
    <w:rsid w:val="00111202"/>
    <w:rsid w:val="00111517"/>
    <w:rsid w:val="001115AB"/>
    <w:rsid w:val="00111638"/>
    <w:rsid w:val="00111A5C"/>
    <w:rsid w:val="001135BD"/>
    <w:rsid w:val="00114720"/>
    <w:rsid w:val="0011560A"/>
    <w:rsid w:val="00115703"/>
    <w:rsid w:val="00115BAA"/>
    <w:rsid w:val="00115C8B"/>
    <w:rsid w:val="00115F9D"/>
    <w:rsid w:val="00117674"/>
    <w:rsid w:val="0012030F"/>
    <w:rsid w:val="0012343A"/>
    <w:rsid w:val="00123FE4"/>
    <w:rsid w:val="00125724"/>
    <w:rsid w:val="00125832"/>
    <w:rsid w:val="00126243"/>
    <w:rsid w:val="00126B0D"/>
    <w:rsid w:val="00130E33"/>
    <w:rsid w:val="00130F4F"/>
    <w:rsid w:val="00132F19"/>
    <w:rsid w:val="00133A16"/>
    <w:rsid w:val="00133B8D"/>
    <w:rsid w:val="00134102"/>
    <w:rsid w:val="001345F1"/>
    <w:rsid w:val="001353B8"/>
    <w:rsid w:val="0013611E"/>
    <w:rsid w:val="00136C13"/>
    <w:rsid w:val="00136C76"/>
    <w:rsid w:val="00140F0A"/>
    <w:rsid w:val="001428F6"/>
    <w:rsid w:val="00145DA6"/>
    <w:rsid w:val="00146904"/>
    <w:rsid w:val="001470F5"/>
    <w:rsid w:val="001473CD"/>
    <w:rsid w:val="001515BF"/>
    <w:rsid w:val="001520B1"/>
    <w:rsid w:val="001521CA"/>
    <w:rsid w:val="001521D1"/>
    <w:rsid w:val="00152841"/>
    <w:rsid w:val="00153B85"/>
    <w:rsid w:val="00153BAA"/>
    <w:rsid w:val="00154E86"/>
    <w:rsid w:val="0015508B"/>
    <w:rsid w:val="00155097"/>
    <w:rsid w:val="001574D6"/>
    <w:rsid w:val="0015795F"/>
    <w:rsid w:val="00157AE6"/>
    <w:rsid w:val="00157D1B"/>
    <w:rsid w:val="0016070C"/>
    <w:rsid w:val="001629E2"/>
    <w:rsid w:val="00163666"/>
    <w:rsid w:val="00163889"/>
    <w:rsid w:val="0016393C"/>
    <w:rsid w:val="00163AD9"/>
    <w:rsid w:val="001640E7"/>
    <w:rsid w:val="001642E5"/>
    <w:rsid w:val="00165641"/>
    <w:rsid w:val="00165ED8"/>
    <w:rsid w:val="00166897"/>
    <w:rsid w:val="00166A62"/>
    <w:rsid w:val="00166CD6"/>
    <w:rsid w:val="00167884"/>
    <w:rsid w:val="001700DD"/>
    <w:rsid w:val="00170740"/>
    <w:rsid w:val="00170871"/>
    <w:rsid w:val="0017134D"/>
    <w:rsid w:val="00172B52"/>
    <w:rsid w:val="001743F3"/>
    <w:rsid w:val="001758AC"/>
    <w:rsid w:val="001763ED"/>
    <w:rsid w:val="00176CB8"/>
    <w:rsid w:val="001775DC"/>
    <w:rsid w:val="00177830"/>
    <w:rsid w:val="00180F69"/>
    <w:rsid w:val="00180F6F"/>
    <w:rsid w:val="00181300"/>
    <w:rsid w:val="0018239B"/>
    <w:rsid w:val="001830E4"/>
    <w:rsid w:val="00183E4C"/>
    <w:rsid w:val="00185259"/>
    <w:rsid w:val="00185BBE"/>
    <w:rsid w:val="00186259"/>
    <w:rsid w:val="001866B6"/>
    <w:rsid w:val="00186984"/>
    <w:rsid w:val="001879F8"/>
    <w:rsid w:val="00190086"/>
    <w:rsid w:val="00192C16"/>
    <w:rsid w:val="001930A6"/>
    <w:rsid w:val="00193F95"/>
    <w:rsid w:val="001948AE"/>
    <w:rsid w:val="00195FC2"/>
    <w:rsid w:val="00196AE9"/>
    <w:rsid w:val="0019769E"/>
    <w:rsid w:val="001A0131"/>
    <w:rsid w:val="001A028B"/>
    <w:rsid w:val="001A0E88"/>
    <w:rsid w:val="001A0FDF"/>
    <w:rsid w:val="001A194D"/>
    <w:rsid w:val="001A1D0B"/>
    <w:rsid w:val="001A2D80"/>
    <w:rsid w:val="001A4A7B"/>
    <w:rsid w:val="001A4DF6"/>
    <w:rsid w:val="001A500C"/>
    <w:rsid w:val="001A51CB"/>
    <w:rsid w:val="001A5B40"/>
    <w:rsid w:val="001A5F95"/>
    <w:rsid w:val="001A6159"/>
    <w:rsid w:val="001A7871"/>
    <w:rsid w:val="001B08D0"/>
    <w:rsid w:val="001B1F1C"/>
    <w:rsid w:val="001B1F70"/>
    <w:rsid w:val="001B2639"/>
    <w:rsid w:val="001B2B97"/>
    <w:rsid w:val="001B2BFE"/>
    <w:rsid w:val="001B62B8"/>
    <w:rsid w:val="001B6695"/>
    <w:rsid w:val="001B673E"/>
    <w:rsid w:val="001B6AE7"/>
    <w:rsid w:val="001B70BA"/>
    <w:rsid w:val="001B76D4"/>
    <w:rsid w:val="001B7C46"/>
    <w:rsid w:val="001C005B"/>
    <w:rsid w:val="001C032C"/>
    <w:rsid w:val="001C10B2"/>
    <w:rsid w:val="001C14B0"/>
    <w:rsid w:val="001C1523"/>
    <w:rsid w:val="001C1D2C"/>
    <w:rsid w:val="001C24AC"/>
    <w:rsid w:val="001C2B25"/>
    <w:rsid w:val="001C36E5"/>
    <w:rsid w:val="001C4B63"/>
    <w:rsid w:val="001C4D79"/>
    <w:rsid w:val="001C5791"/>
    <w:rsid w:val="001C5B6D"/>
    <w:rsid w:val="001C6D9D"/>
    <w:rsid w:val="001C7995"/>
    <w:rsid w:val="001D0979"/>
    <w:rsid w:val="001D0B14"/>
    <w:rsid w:val="001D194C"/>
    <w:rsid w:val="001D1E03"/>
    <w:rsid w:val="001D21F5"/>
    <w:rsid w:val="001D2628"/>
    <w:rsid w:val="001D2D25"/>
    <w:rsid w:val="001D4466"/>
    <w:rsid w:val="001D6E72"/>
    <w:rsid w:val="001D774F"/>
    <w:rsid w:val="001E0589"/>
    <w:rsid w:val="001E140A"/>
    <w:rsid w:val="001E1BBD"/>
    <w:rsid w:val="001E3ACB"/>
    <w:rsid w:val="001E5B91"/>
    <w:rsid w:val="001E6F71"/>
    <w:rsid w:val="001E7B9D"/>
    <w:rsid w:val="001F0308"/>
    <w:rsid w:val="001F05A8"/>
    <w:rsid w:val="001F0C29"/>
    <w:rsid w:val="001F1B9A"/>
    <w:rsid w:val="001F1C9C"/>
    <w:rsid w:val="001F1D36"/>
    <w:rsid w:val="001F1DDA"/>
    <w:rsid w:val="001F2126"/>
    <w:rsid w:val="001F3154"/>
    <w:rsid w:val="001F480A"/>
    <w:rsid w:val="001F533E"/>
    <w:rsid w:val="001F564B"/>
    <w:rsid w:val="001F5CA8"/>
    <w:rsid w:val="001F5EBC"/>
    <w:rsid w:val="001F6D1C"/>
    <w:rsid w:val="00201083"/>
    <w:rsid w:val="002018FA"/>
    <w:rsid w:val="00204A70"/>
    <w:rsid w:val="00205872"/>
    <w:rsid w:val="00205CB2"/>
    <w:rsid w:val="00205F15"/>
    <w:rsid w:val="002060D8"/>
    <w:rsid w:val="00206B61"/>
    <w:rsid w:val="00206F26"/>
    <w:rsid w:val="002070F7"/>
    <w:rsid w:val="00207F3C"/>
    <w:rsid w:val="002102F4"/>
    <w:rsid w:val="002103F4"/>
    <w:rsid w:val="00211147"/>
    <w:rsid w:val="00211384"/>
    <w:rsid w:val="002119BC"/>
    <w:rsid w:val="002119BE"/>
    <w:rsid w:val="002120F5"/>
    <w:rsid w:val="0021234D"/>
    <w:rsid w:val="0021429F"/>
    <w:rsid w:val="002146DF"/>
    <w:rsid w:val="0021503F"/>
    <w:rsid w:val="00215855"/>
    <w:rsid w:val="002166FD"/>
    <w:rsid w:val="002168F3"/>
    <w:rsid w:val="00216CE0"/>
    <w:rsid w:val="002179BE"/>
    <w:rsid w:val="00217D6B"/>
    <w:rsid w:val="00221D8F"/>
    <w:rsid w:val="00221EAF"/>
    <w:rsid w:val="002224FD"/>
    <w:rsid w:val="00222B7A"/>
    <w:rsid w:val="00222DEF"/>
    <w:rsid w:val="00224DA0"/>
    <w:rsid w:val="00226778"/>
    <w:rsid w:val="0022724A"/>
    <w:rsid w:val="00227285"/>
    <w:rsid w:val="002272DB"/>
    <w:rsid w:val="002278BD"/>
    <w:rsid w:val="00230010"/>
    <w:rsid w:val="002301A8"/>
    <w:rsid w:val="0023033D"/>
    <w:rsid w:val="00230771"/>
    <w:rsid w:val="00231247"/>
    <w:rsid w:val="002319FE"/>
    <w:rsid w:val="00231C47"/>
    <w:rsid w:val="00233234"/>
    <w:rsid w:val="00237086"/>
    <w:rsid w:val="002405F6"/>
    <w:rsid w:val="00240E5E"/>
    <w:rsid w:val="002414FF"/>
    <w:rsid w:val="00241669"/>
    <w:rsid w:val="00241898"/>
    <w:rsid w:val="00241B9B"/>
    <w:rsid w:val="00242F74"/>
    <w:rsid w:val="0024356A"/>
    <w:rsid w:val="00243AFE"/>
    <w:rsid w:val="00243CA9"/>
    <w:rsid w:val="0024736A"/>
    <w:rsid w:val="00247743"/>
    <w:rsid w:val="00250B92"/>
    <w:rsid w:val="002513C8"/>
    <w:rsid w:val="00251990"/>
    <w:rsid w:val="00252AB6"/>
    <w:rsid w:val="0025481D"/>
    <w:rsid w:val="00254CA1"/>
    <w:rsid w:val="00256A22"/>
    <w:rsid w:val="00256AC1"/>
    <w:rsid w:val="0026017B"/>
    <w:rsid w:val="002601A7"/>
    <w:rsid w:val="00260584"/>
    <w:rsid w:val="00260B90"/>
    <w:rsid w:val="00261166"/>
    <w:rsid w:val="00263180"/>
    <w:rsid w:val="0026449F"/>
    <w:rsid w:val="00264802"/>
    <w:rsid w:val="00265962"/>
    <w:rsid w:val="00265CF7"/>
    <w:rsid w:val="00266C2D"/>
    <w:rsid w:val="00266DA9"/>
    <w:rsid w:val="00267279"/>
    <w:rsid w:val="002677D6"/>
    <w:rsid w:val="002706D1"/>
    <w:rsid w:val="00271A38"/>
    <w:rsid w:val="00272073"/>
    <w:rsid w:val="00272A0A"/>
    <w:rsid w:val="0027300B"/>
    <w:rsid w:val="002735C4"/>
    <w:rsid w:val="00273BD1"/>
    <w:rsid w:val="002746AB"/>
    <w:rsid w:val="00274C4E"/>
    <w:rsid w:val="00275E56"/>
    <w:rsid w:val="00275F43"/>
    <w:rsid w:val="00276047"/>
    <w:rsid w:val="00276436"/>
    <w:rsid w:val="00276A1D"/>
    <w:rsid w:val="0028000E"/>
    <w:rsid w:val="002802C1"/>
    <w:rsid w:val="00280E3E"/>
    <w:rsid w:val="00281735"/>
    <w:rsid w:val="00281E09"/>
    <w:rsid w:val="00282EDE"/>
    <w:rsid w:val="002833ED"/>
    <w:rsid w:val="00283604"/>
    <w:rsid w:val="0028373E"/>
    <w:rsid w:val="00283CF8"/>
    <w:rsid w:val="00284448"/>
    <w:rsid w:val="002849AA"/>
    <w:rsid w:val="00285304"/>
    <w:rsid w:val="002858E3"/>
    <w:rsid w:val="00285AAB"/>
    <w:rsid w:val="00285FD8"/>
    <w:rsid w:val="00290800"/>
    <w:rsid w:val="0029098B"/>
    <w:rsid w:val="00292719"/>
    <w:rsid w:val="00292C2C"/>
    <w:rsid w:val="00292C32"/>
    <w:rsid w:val="002937ED"/>
    <w:rsid w:val="00293BC6"/>
    <w:rsid w:val="00293C61"/>
    <w:rsid w:val="00294BAF"/>
    <w:rsid w:val="00294F9F"/>
    <w:rsid w:val="0029760B"/>
    <w:rsid w:val="00297FC9"/>
    <w:rsid w:val="002A0059"/>
    <w:rsid w:val="002A04C7"/>
    <w:rsid w:val="002A161F"/>
    <w:rsid w:val="002A1829"/>
    <w:rsid w:val="002A1915"/>
    <w:rsid w:val="002A1B1A"/>
    <w:rsid w:val="002A217E"/>
    <w:rsid w:val="002A23BA"/>
    <w:rsid w:val="002A252A"/>
    <w:rsid w:val="002A35A9"/>
    <w:rsid w:val="002A35EB"/>
    <w:rsid w:val="002A3A19"/>
    <w:rsid w:val="002A3BD7"/>
    <w:rsid w:val="002A4458"/>
    <w:rsid w:val="002A4EE0"/>
    <w:rsid w:val="002A50F6"/>
    <w:rsid w:val="002A5290"/>
    <w:rsid w:val="002A550C"/>
    <w:rsid w:val="002A5760"/>
    <w:rsid w:val="002A59EC"/>
    <w:rsid w:val="002A67CB"/>
    <w:rsid w:val="002A717E"/>
    <w:rsid w:val="002A7400"/>
    <w:rsid w:val="002A7B81"/>
    <w:rsid w:val="002B1966"/>
    <w:rsid w:val="002B2141"/>
    <w:rsid w:val="002B275A"/>
    <w:rsid w:val="002B3C0A"/>
    <w:rsid w:val="002B3EE3"/>
    <w:rsid w:val="002B59C1"/>
    <w:rsid w:val="002B5B74"/>
    <w:rsid w:val="002B60BD"/>
    <w:rsid w:val="002B671F"/>
    <w:rsid w:val="002B6CA8"/>
    <w:rsid w:val="002C14E8"/>
    <w:rsid w:val="002C15A1"/>
    <w:rsid w:val="002C1C99"/>
    <w:rsid w:val="002C1F98"/>
    <w:rsid w:val="002C327A"/>
    <w:rsid w:val="002C3A70"/>
    <w:rsid w:val="002C3D58"/>
    <w:rsid w:val="002C4272"/>
    <w:rsid w:val="002C492C"/>
    <w:rsid w:val="002C55B0"/>
    <w:rsid w:val="002C57A1"/>
    <w:rsid w:val="002C5C11"/>
    <w:rsid w:val="002C60BD"/>
    <w:rsid w:val="002C6BF3"/>
    <w:rsid w:val="002D035D"/>
    <w:rsid w:val="002D0887"/>
    <w:rsid w:val="002D15A1"/>
    <w:rsid w:val="002D22F1"/>
    <w:rsid w:val="002D4640"/>
    <w:rsid w:val="002D589A"/>
    <w:rsid w:val="002D6DBF"/>
    <w:rsid w:val="002D762D"/>
    <w:rsid w:val="002E0CBE"/>
    <w:rsid w:val="002E1BAE"/>
    <w:rsid w:val="002E1C6A"/>
    <w:rsid w:val="002E1D25"/>
    <w:rsid w:val="002E2706"/>
    <w:rsid w:val="002E34A5"/>
    <w:rsid w:val="002E3924"/>
    <w:rsid w:val="002E491A"/>
    <w:rsid w:val="002E5860"/>
    <w:rsid w:val="002E59DA"/>
    <w:rsid w:val="002E6273"/>
    <w:rsid w:val="002E6388"/>
    <w:rsid w:val="002E7624"/>
    <w:rsid w:val="002E798C"/>
    <w:rsid w:val="002E7E73"/>
    <w:rsid w:val="002F061A"/>
    <w:rsid w:val="002F07A7"/>
    <w:rsid w:val="002F1393"/>
    <w:rsid w:val="002F1C3F"/>
    <w:rsid w:val="002F1CA1"/>
    <w:rsid w:val="002F1DCF"/>
    <w:rsid w:val="002F2A4D"/>
    <w:rsid w:val="002F302C"/>
    <w:rsid w:val="002F453B"/>
    <w:rsid w:val="002F672E"/>
    <w:rsid w:val="002F6885"/>
    <w:rsid w:val="002F6D4D"/>
    <w:rsid w:val="002F6F74"/>
    <w:rsid w:val="00301131"/>
    <w:rsid w:val="00301BB3"/>
    <w:rsid w:val="00301E75"/>
    <w:rsid w:val="00302F66"/>
    <w:rsid w:val="00303E6D"/>
    <w:rsid w:val="00304CFA"/>
    <w:rsid w:val="003056AE"/>
    <w:rsid w:val="003059E2"/>
    <w:rsid w:val="003073E2"/>
    <w:rsid w:val="003101AB"/>
    <w:rsid w:val="0031055B"/>
    <w:rsid w:val="003109F5"/>
    <w:rsid w:val="00311457"/>
    <w:rsid w:val="00311509"/>
    <w:rsid w:val="003116F4"/>
    <w:rsid w:val="00312BE0"/>
    <w:rsid w:val="00312BF4"/>
    <w:rsid w:val="0031350E"/>
    <w:rsid w:val="003136D3"/>
    <w:rsid w:val="00313F99"/>
    <w:rsid w:val="00314A45"/>
    <w:rsid w:val="003150D3"/>
    <w:rsid w:val="00315979"/>
    <w:rsid w:val="00316446"/>
    <w:rsid w:val="00316A7F"/>
    <w:rsid w:val="00317748"/>
    <w:rsid w:val="003208DF"/>
    <w:rsid w:val="003229AB"/>
    <w:rsid w:val="00322F92"/>
    <w:rsid w:val="0032415C"/>
    <w:rsid w:val="00324449"/>
    <w:rsid w:val="00327010"/>
    <w:rsid w:val="003276C1"/>
    <w:rsid w:val="0032EF29"/>
    <w:rsid w:val="00332048"/>
    <w:rsid w:val="003322F0"/>
    <w:rsid w:val="003326B1"/>
    <w:rsid w:val="00332EBD"/>
    <w:rsid w:val="0033304F"/>
    <w:rsid w:val="00333608"/>
    <w:rsid w:val="00333989"/>
    <w:rsid w:val="00334531"/>
    <w:rsid w:val="003347C8"/>
    <w:rsid w:val="0033710D"/>
    <w:rsid w:val="003406EE"/>
    <w:rsid w:val="00340B43"/>
    <w:rsid w:val="00341BA7"/>
    <w:rsid w:val="0034220C"/>
    <w:rsid w:val="0034383F"/>
    <w:rsid w:val="00343F40"/>
    <w:rsid w:val="00344921"/>
    <w:rsid w:val="0034547F"/>
    <w:rsid w:val="003454F1"/>
    <w:rsid w:val="00345F6E"/>
    <w:rsid w:val="00346073"/>
    <w:rsid w:val="0034635C"/>
    <w:rsid w:val="00346655"/>
    <w:rsid w:val="00346956"/>
    <w:rsid w:val="00347079"/>
    <w:rsid w:val="00347854"/>
    <w:rsid w:val="00347BEB"/>
    <w:rsid w:val="003508F5"/>
    <w:rsid w:val="0035092A"/>
    <w:rsid w:val="003518C3"/>
    <w:rsid w:val="00352936"/>
    <w:rsid w:val="00352B5F"/>
    <w:rsid w:val="00352CB7"/>
    <w:rsid w:val="00352D46"/>
    <w:rsid w:val="003530A1"/>
    <w:rsid w:val="00353B4B"/>
    <w:rsid w:val="00354906"/>
    <w:rsid w:val="00354B0E"/>
    <w:rsid w:val="00355152"/>
    <w:rsid w:val="00355873"/>
    <w:rsid w:val="003562E5"/>
    <w:rsid w:val="0035680A"/>
    <w:rsid w:val="0035696A"/>
    <w:rsid w:val="00360337"/>
    <w:rsid w:val="003605E8"/>
    <w:rsid w:val="00360D07"/>
    <w:rsid w:val="0036215C"/>
    <w:rsid w:val="00362CA7"/>
    <w:rsid w:val="00364151"/>
    <w:rsid w:val="0036417D"/>
    <w:rsid w:val="00364589"/>
    <w:rsid w:val="003659D9"/>
    <w:rsid w:val="00366F42"/>
    <w:rsid w:val="003670EB"/>
    <w:rsid w:val="00367640"/>
    <w:rsid w:val="0036778D"/>
    <w:rsid w:val="00367847"/>
    <w:rsid w:val="00367CD8"/>
    <w:rsid w:val="00370655"/>
    <w:rsid w:val="003708F6"/>
    <w:rsid w:val="003710DD"/>
    <w:rsid w:val="003712AC"/>
    <w:rsid w:val="003716A9"/>
    <w:rsid w:val="0037174B"/>
    <w:rsid w:val="00372B8C"/>
    <w:rsid w:val="00372CAD"/>
    <w:rsid w:val="003731C4"/>
    <w:rsid w:val="00373B8B"/>
    <w:rsid w:val="0037516E"/>
    <w:rsid w:val="003755A8"/>
    <w:rsid w:val="003759C0"/>
    <w:rsid w:val="003765D9"/>
    <w:rsid w:val="00376F7F"/>
    <w:rsid w:val="0037770F"/>
    <w:rsid w:val="00380ACD"/>
    <w:rsid w:val="00380EB8"/>
    <w:rsid w:val="0038154C"/>
    <w:rsid w:val="00381A86"/>
    <w:rsid w:val="00382B8A"/>
    <w:rsid w:val="003832D9"/>
    <w:rsid w:val="0038395E"/>
    <w:rsid w:val="00383F17"/>
    <w:rsid w:val="00384870"/>
    <w:rsid w:val="00385701"/>
    <w:rsid w:val="00386B43"/>
    <w:rsid w:val="00387842"/>
    <w:rsid w:val="00387CDA"/>
    <w:rsid w:val="00387D91"/>
    <w:rsid w:val="00390151"/>
    <w:rsid w:val="00390178"/>
    <w:rsid w:val="003903AC"/>
    <w:rsid w:val="00390D71"/>
    <w:rsid w:val="00390EEB"/>
    <w:rsid w:val="00390F5A"/>
    <w:rsid w:val="00391613"/>
    <w:rsid w:val="00393188"/>
    <w:rsid w:val="003936C1"/>
    <w:rsid w:val="00393A6E"/>
    <w:rsid w:val="00393DBE"/>
    <w:rsid w:val="00395365"/>
    <w:rsid w:val="00395531"/>
    <w:rsid w:val="00395AFF"/>
    <w:rsid w:val="00395FB3"/>
    <w:rsid w:val="00397024"/>
    <w:rsid w:val="003A0356"/>
    <w:rsid w:val="003A08EA"/>
    <w:rsid w:val="003A0C5A"/>
    <w:rsid w:val="003A0FBB"/>
    <w:rsid w:val="003A2FE4"/>
    <w:rsid w:val="003A3A9A"/>
    <w:rsid w:val="003A477F"/>
    <w:rsid w:val="003A57BF"/>
    <w:rsid w:val="003A6C43"/>
    <w:rsid w:val="003A7030"/>
    <w:rsid w:val="003A71F5"/>
    <w:rsid w:val="003A7837"/>
    <w:rsid w:val="003A7E43"/>
    <w:rsid w:val="003B0AB4"/>
    <w:rsid w:val="003B197C"/>
    <w:rsid w:val="003B1BC1"/>
    <w:rsid w:val="003B240C"/>
    <w:rsid w:val="003B42EB"/>
    <w:rsid w:val="003B46DD"/>
    <w:rsid w:val="003B4A3C"/>
    <w:rsid w:val="003B58A3"/>
    <w:rsid w:val="003B776D"/>
    <w:rsid w:val="003C07F2"/>
    <w:rsid w:val="003C0B35"/>
    <w:rsid w:val="003C211C"/>
    <w:rsid w:val="003C28FF"/>
    <w:rsid w:val="003C2B4E"/>
    <w:rsid w:val="003C2F62"/>
    <w:rsid w:val="003C3C46"/>
    <w:rsid w:val="003C41A6"/>
    <w:rsid w:val="003C469B"/>
    <w:rsid w:val="003C53C1"/>
    <w:rsid w:val="003C5D5A"/>
    <w:rsid w:val="003C623A"/>
    <w:rsid w:val="003C68D5"/>
    <w:rsid w:val="003C6E81"/>
    <w:rsid w:val="003C7389"/>
    <w:rsid w:val="003C7A9C"/>
    <w:rsid w:val="003D1942"/>
    <w:rsid w:val="003D198C"/>
    <w:rsid w:val="003D2CF0"/>
    <w:rsid w:val="003D3493"/>
    <w:rsid w:val="003D54F5"/>
    <w:rsid w:val="003D5C0F"/>
    <w:rsid w:val="003D5C44"/>
    <w:rsid w:val="003D5DCF"/>
    <w:rsid w:val="003D6C83"/>
    <w:rsid w:val="003D6F28"/>
    <w:rsid w:val="003D796B"/>
    <w:rsid w:val="003E1377"/>
    <w:rsid w:val="003E194A"/>
    <w:rsid w:val="003E317C"/>
    <w:rsid w:val="003E3266"/>
    <w:rsid w:val="003E42CC"/>
    <w:rsid w:val="003E4CD9"/>
    <w:rsid w:val="003E4E28"/>
    <w:rsid w:val="003E50BC"/>
    <w:rsid w:val="003E6A31"/>
    <w:rsid w:val="003E771D"/>
    <w:rsid w:val="003E7772"/>
    <w:rsid w:val="003F212E"/>
    <w:rsid w:val="003F36C6"/>
    <w:rsid w:val="003F3BE4"/>
    <w:rsid w:val="003F3E3B"/>
    <w:rsid w:val="003F476F"/>
    <w:rsid w:val="003F4C5E"/>
    <w:rsid w:val="003F4D95"/>
    <w:rsid w:val="003F50A0"/>
    <w:rsid w:val="003F566E"/>
    <w:rsid w:val="003F5B0C"/>
    <w:rsid w:val="003F5ECA"/>
    <w:rsid w:val="003F652E"/>
    <w:rsid w:val="003F78AD"/>
    <w:rsid w:val="003F7C20"/>
    <w:rsid w:val="0040001D"/>
    <w:rsid w:val="00400753"/>
    <w:rsid w:val="00400AEE"/>
    <w:rsid w:val="00400D97"/>
    <w:rsid w:val="0040155D"/>
    <w:rsid w:val="0040286E"/>
    <w:rsid w:val="004031DB"/>
    <w:rsid w:val="0040383C"/>
    <w:rsid w:val="00406D55"/>
    <w:rsid w:val="00407049"/>
    <w:rsid w:val="004100CD"/>
    <w:rsid w:val="004124F9"/>
    <w:rsid w:val="00412ACB"/>
    <w:rsid w:val="00413A7D"/>
    <w:rsid w:val="0041422B"/>
    <w:rsid w:val="004142BF"/>
    <w:rsid w:val="0041495C"/>
    <w:rsid w:val="00415824"/>
    <w:rsid w:val="004163A8"/>
    <w:rsid w:val="004168A5"/>
    <w:rsid w:val="0041713E"/>
    <w:rsid w:val="00417891"/>
    <w:rsid w:val="004201F7"/>
    <w:rsid w:val="004206B4"/>
    <w:rsid w:val="00420902"/>
    <w:rsid w:val="00421945"/>
    <w:rsid w:val="00421D3F"/>
    <w:rsid w:val="00421E83"/>
    <w:rsid w:val="00421F04"/>
    <w:rsid w:val="00422470"/>
    <w:rsid w:val="00423785"/>
    <w:rsid w:val="004245A3"/>
    <w:rsid w:val="004247A6"/>
    <w:rsid w:val="00426330"/>
    <w:rsid w:val="004263D2"/>
    <w:rsid w:val="0042671D"/>
    <w:rsid w:val="004275D6"/>
    <w:rsid w:val="00427B00"/>
    <w:rsid w:val="004311F2"/>
    <w:rsid w:val="00431801"/>
    <w:rsid w:val="00431834"/>
    <w:rsid w:val="0043247B"/>
    <w:rsid w:val="004327CF"/>
    <w:rsid w:val="00432A1C"/>
    <w:rsid w:val="00432DDC"/>
    <w:rsid w:val="00433882"/>
    <w:rsid w:val="00433DC2"/>
    <w:rsid w:val="00433F10"/>
    <w:rsid w:val="00434D35"/>
    <w:rsid w:val="00434F7D"/>
    <w:rsid w:val="0043597C"/>
    <w:rsid w:val="004360F1"/>
    <w:rsid w:val="00436802"/>
    <w:rsid w:val="00436910"/>
    <w:rsid w:val="004400E2"/>
    <w:rsid w:val="00441DDE"/>
    <w:rsid w:val="00442079"/>
    <w:rsid w:val="004421F5"/>
    <w:rsid w:val="0044275A"/>
    <w:rsid w:val="00442ADC"/>
    <w:rsid w:val="004432A9"/>
    <w:rsid w:val="004436AB"/>
    <w:rsid w:val="004448B7"/>
    <w:rsid w:val="00444D98"/>
    <w:rsid w:val="00444DFD"/>
    <w:rsid w:val="00444EE2"/>
    <w:rsid w:val="00444F69"/>
    <w:rsid w:val="00445249"/>
    <w:rsid w:val="0044584E"/>
    <w:rsid w:val="00446987"/>
    <w:rsid w:val="00447219"/>
    <w:rsid w:val="0045062F"/>
    <w:rsid w:val="00450911"/>
    <w:rsid w:val="004511E0"/>
    <w:rsid w:val="00451AB7"/>
    <w:rsid w:val="00451C88"/>
    <w:rsid w:val="004527C7"/>
    <w:rsid w:val="00452ADB"/>
    <w:rsid w:val="00452D26"/>
    <w:rsid w:val="00453669"/>
    <w:rsid w:val="0045416C"/>
    <w:rsid w:val="004546A7"/>
    <w:rsid w:val="00455105"/>
    <w:rsid w:val="00456456"/>
    <w:rsid w:val="00456654"/>
    <w:rsid w:val="00457ABB"/>
    <w:rsid w:val="0046081E"/>
    <w:rsid w:val="00460879"/>
    <w:rsid w:val="00460EEA"/>
    <w:rsid w:val="0046102A"/>
    <w:rsid w:val="004627D5"/>
    <w:rsid w:val="0046326C"/>
    <w:rsid w:val="00464022"/>
    <w:rsid w:val="00464403"/>
    <w:rsid w:val="00465A10"/>
    <w:rsid w:val="0046617B"/>
    <w:rsid w:val="0046736E"/>
    <w:rsid w:val="00467495"/>
    <w:rsid w:val="004674BD"/>
    <w:rsid w:val="004705B8"/>
    <w:rsid w:val="0047128C"/>
    <w:rsid w:val="00475234"/>
    <w:rsid w:val="00475B2B"/>
    <w:rsid w:val="00476801"/>
    <w:rsid w:val="00476829"/>
    <w:rsid w:val="004774EF"/>
    <w:rsid w:val="00480483"/>
    <w:rsid w:val="00481161"/>
    <w:rsid w:val="00482014"/>
    <w:rsid w:val="004820C3"/>
    <w:rsid w:val="0048341C"/>
    <w:rsid w:val="0048409B"/>
    <w:rsid w:val="00485486"/>
    <w:rsid w:val="004855DE"/>
    <w:rsid w:val="004857C6"/>
    <w:rsid w:val="00485D7E"/>
    <w:rsid w:val="004864D8"/>
    <w:rsid w:val="004868D3"/>
    <w:rsid w:val="00486CB2"/>
    <w:rsid w:val="00486D99"/>
    <w:rsid w:val="004938CB"/>
    <w:rsid w:val="004940F1"/>
    <w:rsid w:val="00494F39"/>
    <w:rsid w:val="00495272"/>
    <w:rsid w:val="00496A06"/>
    <w:rsid w:val="004971F4"/>
    <w:rsid w:val="004A06CD"/>
    <w:rsid w:val="004A1350"/>
    <w:rsid w:val="004A137E"/>
    <w:rsid w:val="004A16CC"/>
    <w:rsid w:val="004A2135"/>
    <w:rsid w:val="004A22E0"/>
    <w:rsid w:val="004A2A4B"/>
    <w:rsid w:val="004A3237"/>
    <w:rsid w:val="004A4008"/>
    <w:rsid w:val="004A4359"/>
    <w:rsid w:val="004A4B6F"/>
    <w:rsid w:val="004A4CF9"/>
    <w:rsid w:val="004A4F45"/>
    <w:rsid w:val="004A5076"/>
    <w:rsid w:val="004A50B1"/>
    <w:rsid w:val="004A5575"/>
    <w:rsid w:val="004A590D"/>
    <w:rsid w:val="004A5E18"/>
    <w:rsid w:val="004A62D5"/>
    <w:rsid w:val="004A704C"/>
    <w:rsid w:val="004B0527"/>
    <w:rsid w:val="004B0FC8"/>
    <w:rsid w:val="004B1249"/>
    <w:rsid w:val="004B2541"/>
    <w:rsid w:val="004B2EC3"/>
    <w:rsid w:val="004B2FF4"/>
    <w:rsid w:val="004B3617"/>
    <w:rsid w:val="004B5477"/>
    <w:rsid w:val="004B58F5"/>
    <w:rsid w:val="004B61DF"/>
    <w:rsid w:val="004B6340"/>
    <w:rsid w:val="004B7424"/>
    <w:rsid w:val="004C07D4"/>
    <w:rsid w:val="004C0B30"/>
    <w:rsid w:val="004C0C91"/>
    <w:rsid w:val="004C14CA"/>
    <w:rsid w:val="004C1906"/>
    <w:rsid w:val="004C26BE"/>
    <w:rsid w:val="004C2DB1"/>
    <w:rsid w:val="004C33D9"/>
    <w:rsid w:val="004C345E"/>
    <w:rsid w:val="004C40AE"/>
    <w:rsid w:val="004C5335"/>
    <w:rsid w:val="004C5D4F"/>
    <w:rsid w:val="004C68A3"/>
    <w:rsid w:val="004C692E"/>
    <w:rsid w:val="004C7C9E"/>
    <w:rsid w:val="004D1860"/>
    <w:rsid w:val="004D1EB2"/>
    <w:rsid w:val="004D2546"/>
    <w:rsid w:val="004D2965"/>
    <w:rsid w:val="004D2D9D"/>
    <w:rsid w:val="004D2E10"/>
    <w:rsid w:val="004D3581"/>
    <w:rsid w:val="004D398A"/>
    <w:rsid w:val="004D405D"/>
    <w:rsid w:val="004D4F6F"/>
    <w:rsid w:val="004D5A8D"/>
    <w:rsid w:val="004D5B2C"/>
    <w:rsid w:val="004D66B8"/>
    <w:rsid w:val="004D7140"/>
    <w:rsid w:val="004E04A9"/>
    <w:rsid w:val="004E1096"/>
    <w:rsid w:val="004E3435"/>
    <w:rsid w:val="004E5841"/>
    <w:rsid w:val="004E611B"/>
    <w:rsid w:val="004E615A"/>
    <w:rsid w:val="004E62E7"/>
    <w:rsid w:val="004E7BD7"/>
    <w:rsid w:val="004F0803"/>
    <w:rsid w:val="004F1545"/>
    <w:rsid w:val="004F2061"/>
    <w:rsid w:val="004F2315"/>
    <w:rsid w:val="004F2848"/>
    <w:rsid w:val="004F5C25"/>
    <w:rsid w:val="004F61F4"/>
    <w:rsid w:val="004F7112"/>
    <w:rsid w:val="004F74F8"/>
    <w:rsid w:val="004F7B37"/>
    <w:rsid w:val="0050006D"/>
    <w:rsid w:val="00501DA3"/>
    <w:rsid w:val="00501FF5"/>
    <w:rsid w:val="005025D1"/>
    <w:rsid w:val="00502DFC"/>
    <w:rsid w:val="0050369D"/>
    <w:rsid w:val="00504471"/>
    <w:rsid w:val="005059D2"/>
    <w:rsid w:val="00505B24"/>
    <w:rsid w:val="005061B4"/>
    <w:rsid w:val="0050673B"/>
    <w:rsid w:val="005067DE"/>
    <w:rsid w:val="00506E3F"/>
    <w:rsid w:val="00510199"/>
    <w:rsid w:val="005102F1"/>
    <w:rsid w:val="00510E75"/>
    <w:rsid w:val="00510FE3"/>
    <w:rsid w:val="0051275D"/>
    <w:rsid w:val="0051355A"/>
    <w:rsid w:val="005138B4"/>
    <w:rsid w:val="00513D67"/>
    <w:rsid w:val="00513F45"/>
    <w:rsid w:val="00514827"/>
    <w:rsid w:val="00514A09"/>
    <w:rsid w:val="005152CF"/>
    <w:rsid w:val="005160A5"/>
    <w:rsid w:val="00516A01"/>
    <w:rsid w:val="00520904"/>
    <w:rsid w:val="00521006"/>
    <w:rsid w:val="0052108F"/>
    <w:rsid w:val="00521482"/>
    <w:rsid w:val="0052173B"/>
    <w:rsid w:val="00521AA9"/>
    <w:rsid w:val="005228DB"/>
    <w:rsid w:val="005229C8"/>
    <w:rsid w:val="005240E9"/>
    <w:rsid w:val="0052445B"/>
    <w:rsid w:val="005244D8"/>
    <w:rsid w:val="005249A3"/>
    <w:rsid w:val="00524CDF"/>
    <w:rsid w:val="00525213"/>
    <w:rsid w:val="00525C59"/>
    <w:rsid w:val="0053212A"/>
    <w:rsid w:val="00532543"/>
    <w:rsid w:val="0053268D"/>
    <w:rsid w:val="00532D60"/>
    <w:rsid w:val="00534D35"/>
    <w:rsid w:val="00534D68"/>
    <w:rsid w:val="0053509A"/>
    <w:rsid w:val="0053527D"/>
    <w:rsid w:val="00535F09"/>
    <w:rsid w:val="00536E73"/>
    <w:rsid w:val="0053729C"/>
    <w:rsid w:val="00537658"/>
    <w:rsid w:val="00540A4C"/>
    <w:rsid w:val="00540A61"/>
    <w:rsid w:val="00543664"/>
    <w:rsid w:val="00543A5E"/>
    <w:rsid w:val="00544051"/>
    <w:rsid w:val="00544D2B"/>
    <w:rsid w:val="00546393"/>
    <w:rsid w:val="0054651D"/>
    <w:rsid w:val="005467C8"/>
    <w:rsid w:val="005468C2"/>
    <w:rsid w:val="00547218"/>
    <w:rsid w:val="0054734B"/>
    <w:rsid w:val="00550852"/>
    <w:rsid w:val="00551153"/>
    <w:rsid w:val="0055216F"/>
    <w:rsid w:val="005522CA"/>
    <w:rsid w:val="00552B71"/>
    <w:rsid w:val="00553133"/>
    <w:rsid w:val="00553F62"/>
    <w:rsid w:val="0055418F"/>
    <w:rsid w:val="00554F2F"/>
    <w:rsid w:val="00555027"/>
    <w:rsid w:val="0055743C"/>
    <w:rsid w:val="00560B4E"/>
    <w:rsid w:val="00561E55"/>
    <w:rsid w:val="0056217E"/>
    <w:rsid w:val="00562397"/>
    <w:rsid w:val="005629C5"/>
    <w:rsid w:val="00562D0D"/>
    <w:rsid w:val="00565149"/>
    <w:rsid w:val="00566645"/>
    <w:rsid w:val="0056664A"/>
    <w:rsid w:val="00566EF4"/>
    <w:rsid w:val="0056703F"/>
    <w:rsid w:val="005677B6"/>
    <w:rsid w:val="00567E5E"/>
    <w:rsid w:val="005710CC"/>
    <w:rsid w:val="005735E6"/>
    <w:rsid w:val="005739B6"/>
    <w:rsid w:val="005740E4"/>
    <w:rsid w:val="00575A84"/>
    <w:rsid w:val="00575DB2"/>
    <w:rsid w:val="00577141"/>
    <w:rsid w:val="005777BC"/>
    <w:rsid w:val="00580A05"/>
    <w:rsid w:val="00580B82"/>
    <w:rsid w:val="00581343"/>
    <w:rsid w:val="00582B41"/>
    <w:rsid w:val="00583312"/>
    <w:rsid w:val="00584660"/>
    <w:rsid w:val="00585899"/>
    <w:rsid w:val="00585E11"/>
    <w:rsid w:val="0058607B"/>
    <w:rsid w:val="005863B2"/>
    <w:rsid w:val="00587D04"/>
    <w:rsid w:val="005901C4"/>
    <w:rsid w:val="00591642"/>
    <w:rsid w:val="0059208C"/>
    <w:rsid w:val="005924A4"/>
    <w:rsid w:val="005927C4"/>
    <w:rsid w:val="00594B6D"/>
    <w:rsid w:val="00594CEB"/>
    <w:rsid w:val="0059505C"/>
    <w:rsid w:val="005953FC"/>
    <w:rsid w:val="005954C9"/>
    <w:rsid w:val="0059565B"/>
    <w:rsid w:val="00595CC0"/>
    <w:rsid w:val="00596A69"/>
    <w:rsid w:val="00596D32"/>
    <w:rsid w:val="00597741"/>
    <w:rsid w:val="005A0457"/>
    <w:rsid w:val="005A055E"/>
    <w:rsid w:val="005A1336"/>
    <w:rsid w:val="005A15D7"/>
    <w:rsid w:val="005A1CCE"/>
    <w:rsid w:val="005A281A"/>
    <w:rsid w:val="005A2A54"/>
    <w:rsid w:val="005A2BE1"/>
    <w:rsid w:val="005A2CF8"/>
    <w:rsid w:val="005A2EE7"/>
    <w:rsid w:val="005A4090"/>
    <w:rsid w:val="005A4111"/>
    <w:rsid w:val="005A47B8"/>
    <w:rsid w:val="005A49A9"/>
    <w:rsid w:val="005A6E99"/>
    <w:rsid w:val="005A75C9"/>
    <w:rsid w:val="005A79DB"/>
    <w:rsid w:val="005A7AD3"/>
    <w:rsid w:val="005A7DA3"/>
    <w:rsid w:val="005B04C0"/>
    <w:rsid w:val="005B079C"/>
    <w:rsid w:val="005B187D"/>
    <w:rsid w:val="005B1A0E"/>
    <w:rsid w:val="005B4394"/>
    <w:rsid w:val="005B4416"/>
    <w:rsid w:val="005B5B73"/>
    <w:rsid w:val="005B5CED"/>
    <w:rsid w:val="005B662E"/>
    <w:rsid w:val="005B6FE3"/>
    <w:rsid w:val="005C198D"/>
    <w:rsid w:val="005C2928"/>
    <w:rsid w:val="005C2EF2"/>
    <w:rsid w:val="005C321F"/>
    <w:rsid w:val="005C353A"/>
    <w:rsid w:val="005C39DF"/>
    <w:rsid w:val="005C5B50"/>
    <w:rsid w:val="005C68C0"/>
    <w:rsid w:val="005C7840"/>
    <w:rsid w:val="005D0908"/>
    <w:rsid w:val="005D0B1F"/>
    <w:rsid w:val="005D0F81"/>
    <w:rsid w:val="005D11AD"/>
    <w:rsid w:val="005D1F76"/>
    <w:rsid w:val="005D215A"/>
    <w:rsid w:val="005D28DB"/>
    <w:rsid w:val="005D2C78"/>
    <w:rsid w:val="005D31ED"/>
    <w:rsid w:val="005D3C10"/>
    <w:rsid w:val="005D46F9"/>
    <w:rsid w:val="005D5336"/>
    <w:rsid w:val="005D5FE2"/>
    <w:rsid w:val="005D6B61"/>
    <w:rsid w:val="005D7341"/>
    <w:rsid w:val="005D7499"/>
    <w:rsid w:val="005D7FF1"/>
    <w:rsid w:val="005E0FF0"/>
    <w:rsid w:val="005E21E7"/>
    <w:rsid w:val="005E2219"/>
    <w:rsid w:val="005E2B12"/>
    <w:rsid w:val="005E2B6E"/>
    <w:rsid w:val="005E36BF"/>
    <w:rsid w:val="005E5356"/>
    <w:rsid w:val="005E5584"/>
    <w:rsid w:val="005F011A"/>
    <w:rsid w:val="005F0257"/>
    <w:rsid w:val="005F105F"/>
    <w:rsid w:val="005F159C"/>
    <w:rsid w:val="005F2260"/>
    <w:rsid w:val="005F255D"/>
    <w:rsid w:val="005F3C6E"/>
    <w:rsid w:val="005F3E50"/>
    <w:rsid w:val="005F4462"/>
    <w:rsid w:val="005F4953"/>
    <w:rsid w:val="005F519D"/>
    <w:rsid w:val="005F6266"/>
    <w:rsid w:val="005F6637"/>
    <w:rsid w:val="00600343"/>
    <w:rsid w:val="0060041C"/>
    <w:rsid w:val="00601189"/>
    <w:rsid w:val="00602EB8"/>
    <w:rsid w:val="006033AE"/>
    <w:rsid w:val="00604E98"/>
    <w:rsid w:val="0060500F"/>
    <w:rsid w:val="0060538D"/>
    <w:rsid w:val="006054E6"/>
    <w:rsid w:val="00605582"/>
    <w:rsid w:val="00605F7A"/>
    <w:rsid w:val="00606E8E"/>
    <w:rsid w:val="00606F58"/>
    <w:rsid w:val="0061038D"/>
    <w:rsid w:val="00611BFF"/>
    <w:rsid w:val="006131F3"/>
    <w:rsid w:val="00614301"/>
    <w:rsid w:val="0061549F"/>
    <w:rsid w:val="00616DD4"/>
    <w:rsid w:val="006171A9"/>
    <w:rsid w:val="0061741B"/>
    <w:rsid w:val="00617892"/>
    <w:rsid w:val="00617A18"/>
    <w:rsid w:val="00617E89"/>
    <w:rsid w:val="0062058A"/>
    <w:rsid w:val="006206DB"/>
    <w:rsid w:val="00620FAD"/>
    <w:rsid w:val="0062106D"/>
    <w:rsid w:val="0062134D"/>
    <w:rsid w:val="00621517"/>
    <w:rsid w:val="006216FE"/>
    <w:rsid w:val="00621B65"/>
    <w:rsid w:val="00621F7B"/>
    <w:rsid w:val="0062219B"/>
    <w:rsid w:val="00622515"/>
    <w:rsid w:val="0062289B"/>
    <w:rsid w:val="00622DDA"/>
    <w:rsid w:val="006232DC"/>
    <w:rsid w:val="00623A5B"/>
    <w:rsid w:val="00624154"/>
    <w:rsid w:val="00624DB8"/>
    <w:rsid w:val="00626112"/>
    <w:rsid w:val="00626A9B"/>
    <w:rsid w:val="00626CDB"/>
    <w:rsid w:val="00626E79"/>
    <w:rsid w:val="00630691"/>
    <w:rsid w:val="0063094F"/>
    <w:rsid w:val="0063097B"/>
    <w:rsid w:val="00630B01"/>
    <w:rsid w:val="00632C1E"/>
    <w:rsid w:val="00632E65"/>
    <w:rsid w:val="0063354A"/>
    <w:rsid w:val="00633ADF"/>
    <w:rsid w:val="00633E06"/>
    <w:rsid w:val="006340BD"/>
    <w:rsid w:val="00635273"/>
    <w:rsid w:val="0063542D"/>
    <w:rsid w:val="006363D2"/>
    <w:rsid w:val="0063784A"/>
    <w:rsid w:val="00637BFE"/>
    <w:rsid w:val="00637E4E"/>
    <w:rsid w:val="0064023E"/>
    <w:rsid w:val="00640578"/>
    <w:rsid w:val="00640F04"/>
    <w:rsid w:val="00642132"/>
    <w:rsid w:val="006439D8"/>
    <w:rsid w:val="006448D5"/>
    <w:rsid w:val="00645134"/>
    <w:rsid w:val="00645F0B"/>
    <w:rsid w:val="0064615B"/>
    <w:rsid w:val="006470C6"/>
    <w:rsid w:val="006516D0"/>
    <w:rsid w:val="00651A88"/>
    <w:rsid w:val="00651D1D"/>
    <w:rsid w:val="006521DB"/>
    <w:rsid w:val="0065224D"/>
    <w:rsid w:val="0065228B"/>
    <w:rsid w:val="0065247C"/>
    <w:rsid w:val="0065327E"/>
    <w:rsid w:val="0065402D"/>
    <w:rsid w:val="00654F13"/>
    <w:rsid w:val="006551FD"/>
    <w:rsid w:val="0065655A"/>
    <w:rsid w:val="00656F85"/>
    <w:rsid w:val="00657F15"/>
    <w:rsid w:val="00660965"/>
    <w:rsid w:val="00660A04"/>
    <w:rsid w:val="0066194C"/>
    <w:rsid w:val="00661CD1"/>
    <w:rsid w:val="00662FA7"/>
    <w:rsid w:val="006631D8"/>
    <w:rsid w:val="0066321C"/>
    <w:rsid w:val="006638D9"/>
    <w:rsid w:val="00663F1C"/>
    <w:rsid w:val="00664232"/>
    <w:rsid w:val="00665C4C"/>
    <w:rsid w:val="00665D21"/>
    <w:rsid w:val="00665DD5"/>
    <w:rsid w:val="006662DD"/>
    <w:rsid w:val="00666495"/>
    <w:rsid w:val="006672CB"/>
    <w:rsid w:val="006708E5"/>
    <w:rsid w:val="00671FD7"/>
    <w:rsid w:val="0067219F"/>
    <w:rsid w:val="00672947"/>
    <w:rsid w:val="00672FC4"/>
    <w:rsid w:val="00673C2F"/>
    <w:rsid w:val="00673F46"/>
    <w:rsid w:val="0067420B"/>
    <w:rsid w:val="006742C1"/>
    <w:rsid w:val="006749FE"/>
    <w:rsid w:val="00674C8B"/>
    <w:rsid w:val="00674DA1"/>
    <w:rsid w:val="006757F9"/>
    <w:rsid w:val="0067582C"/>
    <w:rsid w:val="00676755"/>
    <w:rsid w:val="0067724E"/>
    <w:rsid w:val="006774D4"/>
    <w:rsid w:val="0067768B"/>
    <w:rsid w:val="006803B6"/>
    <w:rsid w:val="006811B4"/>
    <w:rsid w:val="00681544"/>
    <w:rsid w:val="00681A7A"/>
    <w:rsid w:val="00683DCB"/>
    <w:rsid w:val="00684603"/>
    <w:rsid w:val="0068463F"/>
    <w:rsid w:val="0068553E"/>
    <w:rsid w:val="00686BAD"/>
    <w:rsid w:val="00687F04"/>
    <w:rsid w:val="006915F4"/>
    <w:rsid w:val="00691BD7"/>
    <w:rsid w:val="00692B7E"/>
    <w:rsid w:val="006930E2"/>
    <w:rsid w:val="0069365E"/>
    <w:rsid w:val="0069373C"/>
    <w:rsid w:val="006950F3"/>
    <w:rsid w:val="00695D98"/>
    <w:rsid w:val="00696343"/>
    <w:rsid w:val="00696592"/>
    <w:rsid w:val="00696837"/>
    <w:rsid w:val="00696FF0"/>
    <w:rsid w:val="006978DE"/>
    <w:rsid w:val="006A0B6A"/>
    <w:rsid w:val="006A157C"/>
    <w:rsid w:val="006A1B9F"/>
    <w:rsid w:val="006A2181"/>
    <w:rsid w:val="006A22E5"/>
    <w:rsid w:val="006A2B42"/>
    <w:rsid w:val="006A2FC4"/>
    <w:rsid w:val="006A317C"/>
    <w:rsid w:val="006A3D02"/>
    <w:rsid w:val="006A3D18"/>
    <w:rsid w:val="006A4746"/>
    <w:rsid w:val="006A51EE"/>
    <w:rsid w:val="006A5A9F"/>
    <w:rsid w:val="006A7AAD"/>
    <w:rsid w:val="006B0F5E"/>
    <w:rsid w:val="006B14D9"/>
    <w:rsid w:val="006B1EEB"/>
    <w:rsid w:val="006B1F86"/>
    <w:rsid w:val="006B3370"/>
    <w:rsid w:val="006B3380"/>
    <w:rsid w:val="006B4FAC"/>
    <w:rsid w:val="006B4FF4"/>
    <w:rsid w:val="006B51A9"/>
    <w:rsid w:val="006B545E"/>
    <w:rsid w:val="006B5946"/>
    <w:rsid w:val="006B62F3"/>
    <w:rsid w:val="006B64C9"/>
    <w:rsid w:val="006B6D9B"/>
    <w:rsid w:val="006B74F9"/>
    <w:rsid w:val="006B765F"/>
    <w:rsid w:val="006C0DF6"/>
    <w:rsid w:val="006C0F65"/>
    <w:rsid w:val="006C1125"/>
    <w:rsid w:val="006C12F5"/>
    <w:rsid w:val="006C22A9"/>
    <w:rsid w:val="006C25A9"/>
    <w:rsid w:val="006C30E7"/>
    <w:rsid w:val="006C4383"/>
    <w:rsid w:val="006C44A5"/>
    <w:rsid w:val="006C4CD4"/>
    <w:rsid w:val="006C51D0"/>
    <w:rsid w:val="006C523E"/>
    <w:rsid w:val="006C535A"/>
    <w:rsid w:val="006C6A8A"/>
    <w:rsid w:val="006C7430"/>
    <w:rsid w:val="006C7684"/>
    <w:rsid w:val="006C7D8F"/>
    <w:rsid w:val="006D014F"/>
    <w:rsid w:val="006D0737"/>
    <w:rsid w:val="006D1031"/>
    <w:rsid w:val="006D18C9"/>
    <w:rsid w:val="006D2D32"/>
    <w:rsid w:val="006D52F4"/>
    <w:rsid w:val="006D5F1E"/>
    <w:rsid w:val="006D67F3"/>
    <w:rsid w:val="006E132A"/>
    <w:rsid w:val="006E203D"/>
    <w:rsid w:val="006E2566"/>
    <w:rsid w:val="006E34DC"/>
    <w:rsid w:val="006E3A07"/>
    <w:rsid w:val="006E49F8"/>
    <w:rsid w:val="006E59FA"/>
    <w:rsid w:val="006F14F4"/>
    <w:rsid w:val="006F1A15"/>
    <w:rsid w:val="006F1F8F"/>
    <w:rsid w:val="006F1FFF"/>
    <w:rsid w:val="006F214B"/>
    <w:rsid w:val="006F56AB"/>
    <w:rsid w:val="006F66BA"/>
    <w:rsid w:val="006F6D10"/>
    <w:rsid w:val="006F6E56"/>
    <w:rsid w:val="006F783F"/>
    <w:rsid w:val="00700019"/>
    <w:rsid w:val="007007B0"/>
    <w:rsid w:val="00700A37"/>
    <w:rsid w:val="00701BD9"/>
    <w:rsid w:val="00702428"/>
    <w:rsid w:val="007033EF"/>
    <w:rsid w:val="00703854"/>
    <w:rsid w:val="00704C4C"/>
    <w:rsid w:val="007060A2"/>
    <w:rsid w:val="007063E1"/>
    <w:rsid w:val="007077BF"/>
    <w:rsid w:val="007101DC"/>
    <w:rsid w:val="007106E9"/>
    <w:rsid w:val="007108E7"/>
    <w:rsid w:val="0071182D"/>
    <w:rsid w:val="0071203E"/>
    <w:rsid w:val="00712B94"/>
    <w:rsid w:val="007134AB"/>
    <w:rsid w:val="00713DD6"/>
    <w:rsid w:val="00714D73"/>
    <w:rsid w:val="0071539B"/>
    <w:rsid w:val="00715B1F"/>
    <w:rsid w:val="00717201"/>
    <w:rsid w:val="00717BE9"/>
    <w:rsid w:val="00717CAC"/>
    <w:rsid w:val="007206F6"/>
    <w:rsid w:val="007212F1"/>
    <w:rsid w:val="007238C1"/>
    <w:rsid w:val="00723B10"/>
    <w:rsid w:val="00723CC9"/>
    <w:rsid w:val="00723DBB"/>
    <w:rsid w:val="00723E97"/>
    <w:rsid w:val="00723FC4"/>
    <w:rsid w:val="00730108"/>
    <w:rsid w:val="0073057D"/>
    <w:rsid w:val="007305CB"/>
    <w:rsid w:val="00731741"/>
    <w:rsid w:val="00732612"/>
    <w:rsid w:val="0073275D"/>
    <w:rsid w:val="00732B61"/>
    <w:rsid w:val="00732E2A"/>
    <w:rsid w:val="007340AF"/>
    <w:rsid w:val="007341BB"/>
    <w:rsid w:val="00734E18"/>
    <w:rsid w:val="007351C5"/>
    <w:rsid w:val="007353F2"/>
    <w:rsid w:val="0073562C"/>
    <w:rsid w:val="00735776"/>
    <w:rsid w:val="00735DFA"/>
    <w:rsid w:val="00740732"/>
    <w:rsid w:val="0074086E"/>
    <w:rsid w:val="00740C45"/>
    <w:rsid w:val="007412A2"/>
    <w:rsid w:val="00742DEE"/>
    <w:rsid w:val="00743A97"/>
    <w:rsid w:val="007446F5"/>
    <w:rsid w:val="00744F9E"/>
    <w:rsid w:val="00745899"/>
    <w:rsid w:val="00746A62"/>
    <w:rsid w:val="00746BDB"/>
    <w:rsid w:val="007474D8"/>
    <w:rsid w:val="00747E0B"/>
    <w:rsid w:val="00750457"/>
    <w:rsid w:val="00750C50"/>
    <w:rsid w:val="00750F15"/>
    <w:rsid w:val="0075182C"/>
    <w:rsid w:val="00751F60"/>
    <w:rsid w:val="007523B8"/>
    <w:rsid w:val="00752714"/>
    <w:rsid w:val="00753499"/>
    <w:rsid w:val="007537B9"/>
    <w:rsid w:val="00753E99"/>
    <w:rsid w:val="00754094"/>
    <w:rsid w:val="0075486C"/>
    <w:rsid w:val="00755D53"/>
    <w:rsid w:val="007565D1"/>
    <w:rsid w:val="00757306"/>
    <w:rsid w:val="00760866"/>
    <w:rsid w:val="00760AC7"/>
    <w:rsid w:val="00760C52"/>
    <w:rsid w:val="00760E21"/>
    <w:rsid w:val="007616D0"/>
    <w:rsid w:val="00761813"/>
    <w:rsid w:val="00761866"/>
    <w:rsid w:val="00762682"/>
    <w:rsid w:val="00762EB7"/>
    <w:rsid w:val="00763D53"/>
    <w:rsid w:val="00765E47"/>
    <w:rsid w:val="00767670"/>
    <w:rsid w:val="007679C6"/>
    <w:rsid w:val="00770126"/>
    <w:rsid w:val="00770BB0"/>
    <w:rsid w:val="00771754"/>
    <w:rsid w:val="0077196D"/>
    <w:rsid w:val="007720A4"/>
    <w:rsid w:val="007723FF"/>
    <w:rsid w:val="007725F2"/>
    <w:rsid w:val="00772AB2"/>
    <w:rsid w:val="007732FF"/>
    <w:rsid w:val="0077524C"/>
    <w:rsid w:val="00777670"/>
    <w:rsid w:val="00780970"/>
    <w:rsid w:val="00780D87"/>
    <w:rsid w:val="00780E1B"/>
    <w:rsid w:val="00781E82"/>
    <w:rsid w:val="007821A2"/>
    <w:rsid w:val="007822D1"/>
    <w:rsid w:val="00782F6C"/>
    <w:rsid w:val="00783770"/>
    <w:rsid w:val="00783B4B"/>
    <w:rsid w:val="00785320"/>
    <w:rsid w:val="00785B1E"/>
    <w:rsid w:val="00785D08"/>
    <w:rsid w:val="00786441"/>
    <w:rsid w:val="00787B24"/>
    <w:rsid w:val="00791A20"/>
    <w:rsid w:val="00792373"/>
    <w:rsid w:val="00793197"/>
    <w:rsid w:val="007936B6"/>
    <w:rsid w:val="007936BD"/>
    <w:rsid w:val="007966C3"/>
    <w:rsid w:val="00796736"/>
    <w:rsid w:val="00796A47"/>
    <w:rsid w:val="00796E3F"/>
    <w:rsid w:val="007970DB"/>
    <w:rsid w:val="00797588"/>
    <w:rsid w:val="007A12A3"/>
    <w:rsid w:val="007A1DC8"/>
    <w:rsid w:val="007A2C46"/>
    <w:rsid w:val="007A4DFF"/>
    <w:rsid w:val="007A50D2"/>
    <w:rsid w:val="007A7A07"/>
    <w:rsid w:val="007B04F3"/>
    <w:rsid w:val="007B0BB0"/>
    <w:rsid w:val="007B0C64"/>
    <w:rsid w:val="007B0F0C"/>
    <w:rsid w:val="007B0F48"/>
    <w:rsid w:val="007B0F4E"/>
    <w:rsid w:val="007B0F75"/>
    <w:rsid w:val="007B12F6"/>
    <w:rsid w:val="007B19F1"/>
    <w:rsid w:val="007B246D"/>
    <w:rsid w:val="007B24FD"/>
    <w:rsid w:val="007B2CA1"/>
    <w:rsid w:val="007B3F9A"/>
    <w:rsid w:val="007B529F"/>
    <w:rsid w:val="007B5578"/>
    <w:rsid w:val="007B610D"/>
    <w:rsid w:val="007B6DF9"/>
    <w:rsid w:val="007B7930"/>
    <w:rsid w:val="007B7BC2"/>
    <w:rsid w:val="007B7BEA"/>
    <w:rsid w:val="007C05E0"/>
    <w:rsid w:val="007C19B4"/>
    <w:rsid w:val="007C1D06"/>
    <w:rsid w:val="007C21B9"/>
    <w:rsid w:val="007C2269"/>
    <w:rsid w:val="007C2EED"/>
    <w:rsid w:val="007C3135"/>
    <w:rsid w:val="007C3510"/>
    <w:rsid w:val="007C3DC8"/>
    <w:rsid w:val="007C48B7"/>
    <w:rsid w:val="007C5005"/>
    <w:rsid w:val="007C6548"/>
    <w:rsid w:val="007C78D6"/>
    <w:rsid w:val="007D0022"/>
    <w:rsid w:val="007D0ABC"/>
    <w:rsid w:val="007D0ABE"/>
    <w:rsid w:val="007D1F77"/>
    <w:rsid w:val="007D339A"/>
    <w:rsid w:val="007D3662"/>
    <w:rsid w:val="007D4AAA"/>
    <w:rsid w:val="007D4F66"/>
    <w:rsid w:val="007D51CB"/>
    <w:rsid w:val="007D7054"/>
    <w:rsid w:val="007D7158"/>
    <w:rsid w:val="007D7723"/>
    <w:rsid w:val="007E104F"/>
    <w:rsid w:val="007E122D"/>
    <w:rsid w:val="007E135E"/>
    <w:rsid w:val="007E1A53"/>
    <w:rsid w:val="007E1BB9"/>
    <w:rsid w:val="007E1C0E"/>
    <w:rsid w:val="007E20BA"/>
    <w:rsid w:val="007E2888"/>
    <w:rsid w:val="007E32AA"/>
    <w:rsid w:val="007E395D"/>
    <w:rsid w:val="007E4754"/>
    <w:rsid w:val="007E50D2"/>
    <w:rsid w:val="007E66A7"/>
    <w:rsid w:val="007E6CBB"/>
    <w:rsid w:val="007F018A"/>
    <w:rsid w:val="007F178F"/>
    <w:rsid w:val="007F1B87"/>
    <w:rsid w:val="007F404B"/>
    <w:rsid w:val="007F551E"/>
    <w:rsid w:val="007F5D2B"/>
    <w:rsid w:val="007F6429"/>
    <w:rsid w:val="00800DC8"/>
    <w:rsid w:val="0080226F"/>
    <w:rsid w:val="00803821"/>
    <w:rsid w:val="00803CA0"/>
    <w:rsid w:val="00803D22"/>
    <w:rsid w:val="00803F26"/>
    <w:rsid w:val="008042F5"/>
    <w:rsid w:val="008057FA"/>
    <w:rsid w:val="008065ED"/>
    <w:rsid w:val="00806813"/>
    <w:rsid w:val="00810CD8"/>
    <w:rsid w:val="008116CF"/>
    <w:rsid w:val="008118CB"/>
    <w:rsid w:val="0081250C"/>
    <w:rsid w:val="00812B49"/>
    <w:rsid w:val="0081324C"/>
    <w:rsid w:val="008135A7"/>
    <w:rsid w:val="008138D1"/>
    <w:rsid w:val="00813EA6"/>
    <w:rsid w:val="00814622"/>
    <w:rsid w:val="00814A01"/>
    <w:rsid w:val="00814F28"/>
    <w:rsid w:val="00815CF6"/>
    <w:rsid w:val="008166BC"/>
    <w:rsid w:val="0081672F"/>
    <w:rsid w:val="00817FF4"/>
    <w:rsid w:val="0082097B"/>
    <w:rsid w:val="00820AF0"/>
    <w:rsid w:val="00820EF9"/>
    <w:rsid w:val="0082152F"/>
    <w:rsid w:val="008216DE"/>
    <w:rsid w:val="008226FB"/>
    <w:rsid w:val="00823E7A"/>
    <w:rsid w:val="00823EA7"/>
    <w:rsid w:val="0082485A"/>
    <w:rsid w:val="00824A3D"/>
    <w:rsid w:val="00825D50"/>
    <w:rsid w:val="008265E4"/>
    <w:rsid w:val="00831576"/>
    <w:rsid w:val="0083193C"/>
    <w:rsid w:val="00832C22"/>
    <w:rsid w:val="00833936"/>
    <w:rsid w:val="00833966"/>
    <w:rsid w:val="00834379"/>
    <w:rsid w:val="00834E99"/>
    <w:rsid w:val="00835177"/>
    <w:rsid w:val="00836257"/>
    <w:rsid w:val="00842EEC"/>
    <w:rsid w:val="00844478"/>
    <w:rsid w:val="008446B3"/>
    <w:rsid w:val="008447AE"/>
    <w:rsid w:val="008464EA"/>
    <w:rsid w:val="00846D99"/>
    <w:rsid w:val="008476AC"/>
    <w:rsid w:val="00847E9B"/>
    <w:rsid w:val="008502D4"/>
    <w:rsid w:val="008506D3"/>
    <w:rsid w:val="0085094D"/>
    <w:rsid w:val="00850D7A"/>
    <w:rsid w:val="00851118"/>
    <w:rsid w:val="008516DB"/>
    <w:rsid w:val="00853288"/>
    <w:rsid w:val="00853BB0"/>
    <w:rsid w:val="00854146"/>
    <w:rsid w:val="00855745"/>
    <w:rsid w:val="00855E99"/>
    <w:rsid w:val="00856BF6"/>
    <w:rsid w:val="00856CEC"/>
    <w:rsid w:val="008570E7"/>
    <w:rsid w:val="00857EDD"/>
    <w:rsid w:val="00860077"/>
    <w:rsid w:val="00861BEA"/>
    <w:rsid w:val="00861F78"/>
    <w:rsid w:val="0086201D"/>
    <w:rsid w:val="00862B04"/>
    <w:rsid w:val="00863062"/>
    <w:rsid w:val="00863C23"/>
    <w:rsid w:val="00864B4F"/>
    <w:rsid w:val="00864B5A"/>
    <w:rsid w:val="008659A0"/>
    <w:rsid w:val="0086797D"/>
    <w:rsid w:val="00867A85"/>
    <w:rsid w:val="00871B65"/>
    <w:rsid w:val="00872012"/>
    <w:rsid w:val="00872976"/>
    <w:rsid w:val="00872A0C"/>
    <w:rsid w:val="00872D8D"/>
    <w:rsid w:val="00875FD8"/>
    <w:rsid w:val="008763FA"/>
    <w:rsid w:val="008767B6"/>
    <w:rsid w:val="00876BB5"/>
    <w:rsid w:val="008770D8"/>
    <w:rsid w:val="00882C5E"/>
    <w:rsid w:val="00884010"/>
    <w:rsid w:val="00884124"/>
    <w:rsid w:val="008850E4"/>
    <w:rsid w:val="0088533D"/>
    <w:rsid w:val="0088586E"/>
    <w:rsid w:val="00886744"/>
    <w:rsid w:val="00886959"/>
    <w:rsid w:val="00886FA8"/>
    <w:rsid w:val="00891F45"/>
    <w:rsid w:val="00892305"/>
    <w:rsid w:val="0089251D"/>
    <w:rsid w:val="008925EE"/>
    <w:rsid w:val="0089287E"/>
    <w:rsid w:val="00893A34"/>
    <w:rsid w:val="00893C26"/>
    <w:rsid w:val="00894E98"/>
    <w:rsid w:val="00895E9E"/>
    <w:rsid w:val="008966CD"/>
    <w:rsid w:val="00896E27"/>
    <w:rsid w:val="008976E7"/>
    <w:rsid w:val="00897797"/>
    <w:rsid w:val="008A0707"/>
    <w:rsid w:val="008A1CE8"/>
    <w:rsid w:val="008A24F2"/>
    <w:rsid w:val="008A2508"/>
    <w:rsid w:val="008A36E1"/>
    <w:rsid w:val="008A37A7"/>
    <w:rsid w:val="008A3BB5"/>
    <w:rsid w:val="008A3DC4"/>
    <w:rsid w:val="008A6180"/>
    <w:rsid w:val="008A684B"/>
    <w:rsid w:val="008A6B57"/>
    <w:rsid w:val="008A748B"/>
    <w:rsid w:val="008A787A"/>
    <w:rsid w:val="008A7A2C"/>
    <w:rsid w:val="008A7D88"/>
    <w:rsid w:val="008B0736"/>
    <w:rsid w:val="008B0780"/>
    <w:rsid w:val="008B09AB"/>
    <w:rsid w:val="008B0FAD"/>
    <w:rsid w:val="008B1C22"/>
    <w:rsid w:val="008B1ED6"/>
    <w:rsid w:val="008B391A"/>
    <w:rsid w:val="008B5EF5"/>
    <w:rsid w:val="008B6254"/>
    <w:rsid w:val="008B6A35"/>
    <w:rsid w:val="008B782A"/>
    <w:rsid w:val="008B7A86"/>
    <w:rsid w:val="008B7B42"/>
    <w:rsid w:val="008C004E"/>
    <w:rsid w:val="008C1322"/>
    <w:rsid w:val="008C1CD3"/>
    <w:rsid w:val="008C29A2"/>
    <w:rsid w:val="008C4091"/>
    <w:rsid w:val="008C4201"/>
    <w:rsid w:val="008C553B"/>
    <w:rsid w:val="008C58C2"/>
    <w:rsid w:val="008C5A26"/>
    <w:rsid w:val="008C5F62"/>
    <w:rsid w:val="008C6C0A"/>
    <w:rsid w:val="008C7648"/>
    <w:rsid w:val="008C7FA5"/>
    <w:rsid w:val="008D004F"/>
    <w:rsid w:val="008D060C"/>
    <w:rsid w:val="008D0D4E"/>
    <w:rsid w:val="008D1A3E"/>
    <w:rsid w:val="008D202F"/>
    <w:rsid w:val="008D209C"/>
    <w:rsid w:val="008D285C"/>
    <w:rsid w:val="008D617D"/>
    <w:rsid w:val="008D6363"/>
    <w:rsid w:val="008D7253"/>
    <w:rsid w:val="008D74FF"/>
    <w:rsid w:val="008D7CF2"/>
    <w:rsid w:val="008D7D2A"/>
    <w:rsid w:val="008E0834"/>
    <w:rsid w:val="008E0C83"/>
    <w:rsid w:val="008E0E69"/>
    <w:rsid w:val="008E0F2A"/>
    <w:rsid w:val="008E22E6"/>
    <w:rsid w:val="008E22F9"/>
    <w:rsid w:val="008E2D75"/>
    <w:rsid w:val="008E34A3"/>
    <w:rsid w:val="008E3630"/>
    <w:rsid w:val="008E4978"/>
    <w:rsid w:val="008E4D7F"/>
    <w:rsid w:val="008E59A4"/>
    <w:rsid w:val="008E70F5"/>
    <w:rsid w:val="008E7134"/>
    <w:rsid w:val="008E7269"/>
    <w:rsid w:val="008E7A96"/>
    <w:rsid w:val="008F098D"/>
    <w:rsid w:val="008F0C0E"/>
    <w:rsid w:val="008F187D"/>
    <w:rsid w:val="008F2284"/>
    <w:rsid w:val="008F2926"/>
    <w:rsid w:val="008F2A74"/>
    <w:rsid w:val="008F2DA6"/>
    <w:rsid w:val="008F32BE"/>
    <w:rsid w:val="008F3F88"/>
    <w:rsid w:val="008F3FC7"/>
    <w:rsid w:val="008F45E1"/>
    <w:rsid w:val="008F5DFC"/>
    <w:rsid w:val="008F69CC"/>
    <w:rsid w:val="008F6F82"/>
    <w:rsid w:val="008F7CD9"/>
    <w:rsid w:val="00901490"/>
    <w:rsid w:val="00902A8A"/>
    <w:rsid w:val="00902C74"/>
    <w:rsid w:val="00902FA6"/>
    <w:rsid w:val="009032F1"/>
    <w:rsid w:val="00903940"/>
    <w:rsid w:val="00903F17"/>
    <w:rsid w:val="009044B5"/>
    <w:rsid w:val="00904B1D"/>
    <w:rsid w:val="009050CD"/>
    <w:rsid w:val="0090552C"/>
    <w:rsid w:val="00905F4C"/>
    <w:rsid w:val="009063EC"/>
    <w:rsid w:val="00906A14"/>
    <w:rsid w:val="00906B5A"/>
    <w:rsid w:val="0091049E"/>
    <w:rsid w:val="00910BA3"/>
    <w:rsid w:val="00911016"/>
    <w:rsid w:val="00911716"/>
    <w:rsid w:val="0091263D"/>
    <w:rsid w:val="009128E5"/>
    <w:rsid w:val="00913E67"/>
    <w:rsid w:val="00914A9E"/>
    <w:rsid w:val="00915B0B"/>
    <w:rsid w:val="009161E8"/>
    <w:rsid w:val="00916745"/>
    <w:rsid w:val="00916C55"/>
    <w:rsid w:val="00920573"/>
    <w:rsid w:val="00921A90"/>
    <w:rsid w:val="009235B5"/>
    <w:rsid w:val="0092397E"/>
    <w:rsid w:val="00924E4A"/>
    <w:rsid w:val="0092565D"/>
    <w:rsid w:val="00925C38"/>
    <w:rsid w:val="00926016"/>
    <w:rsid w:val="009268DF"/>
    <w:rsid w:val="009275F6"/>
    <w:rsid w:val="0092779B"/>
    <w:rsid w:val="0093026C"/>
    <w:rsid w:val="00930806"/>
    <w:rsid w:val="009313A7"/>
    <w:rsid w:val="009316EB"/>
    <w:rsid w:val="00932084"/>
    <w:rsid w:val="00932F0B"/>
    <w:rsid w:val="0093407D"/>
    <w:rsid w:val="00934B80"/>
    <w:rsid w:val="00935A81"/>
    <w:rsid w:val="00935DB6"/>
    <w:rsid w:val="00936122"/>
    <w:rsid w:val="00936C1D"/>
    <w:rsid w:val="00936D90"/>
    <w:rsid w:val="00936FCA"/>
    <w:rsid w:val="009375BD"/>
    <w:rsid w:val="00940BA3"/>
    <w:rsid w:val="009411D5"/>
    <w:rsid w:val="009414A3"/>
    <w:rsid w:val="0094185C"/>
    <w:rsid w:val="00941F4C"/>
    <w:rsid w:val="00941FA5"/>
    <w:rsid w:val="00942BD0"/>
    <w:rsid w:val="00942F19"/>
    <w:rsid w:val="00942F5E"/>
    <w:rsid w:val="00944105"/>
    <w:rsid w:val="0094410A"/>
    <w:rsid w:val="00945827"/>
    <w:rsid w:val="0094643E"/>
    <w:rsid w:val="00946760"/>
    <w:rsid w:val="009508DB"/>
    <w:rsid w:val="00950B06"/>
    <w:rsid w:val="00951299"/>
    <w:rsid w:val="009515A4"/>
    <w:rsid w:val="009516A2"/>
    <w:rsid w:val="00952379"/>
    <w:rsid w:val="00952A23"/>
    <w:rsid w:val="00953033"/>
    <w:rsid w:val="0095323E"/>
    <w:rsid w:val="00953C0D"/>
    <w:rsid w:val="00954E1B"/>
    <w:rsid w:val="0095545D"/>
    <w:rsid w:val="00955962"/>
    <w:rsid w:val="009568A6"/>
    <w:rsid w:val="00956FDB"/>
    <w:rsid w:val="0095766F"/>
    <w:rsid w:val="00957705"/>
    <w:rsid w:val="00957F5A"/>
    <w:rsid w:val="0096011A"/>
    <w:rsid w:val="009608D6"/>
    <w:rsid w:val="00960BAE"/>
    <w:rsid w:val="009612CF"/>
    <w:rsid w:val="00961641"/>
    <w:rsid w:val="0096244C"/>
    <w:rsid w:val="00962939"/>
    <w:rsid w:val="00963AD3"/>
    <w:rsid w:val="00963C18"/>
    <w:rsid w:val="00964B70"/>
    <w:rsid w:val="009656B9"/>
    <w:rsid w:val="00965D37"/>
    <w:rsid w:val="009664C1"/>
    <w:rsid w:val="0096795E"/>
    <w:rsid w:val="00970069"/>
    <w:rsid w:val="00970498"/>
    <w:rsid w:val="009705B0"/>
    <w:rsid w:val="00970657"/>
    <w:rsid w:val="00970874"/>
    <w:rsid w:val="00970DAC"/>
    <w:rsid w:val="009714AA"/>
    <w:rsid w:val="009717BE"/>
    <w:rsid w:val="009721EB"/>
    <w:rsid w:val="00972B5D"/>
    <w:rsid w:val="009733A2"/>
    <w:rsid w:val="0097342F"/>
    <w:rsid w:val="0097398B"/>
    <w:rsid w:val="0097548E"/>
    <w:rsid w:val="00975AC9"/>
    <w:rsid w:val="00975B99"/>
    <w:rsid w:val="009765F5"/>
    <w:rsid w:val="00976D37"/>
    <w:rsid w:val="00977393"/>
    <w:rsid w:val="0097793A"/>
    <w:rsid w:val="00977ED3"/>
    <w:rsid w:val="009803C3"/>
    <w:rsid w:val="009807E9"/>
    <w:rsid w:val="00982085"/>
    <w:rsid w:val="0098221C"/>
    <w:rsid w:val="009827D2"/>
    <w:rsid w:val="00982C78"/>
    <w:rsid w:val="00983BAF"/>
    <w:rsid w:val="00983C3B"/>
    <w:rsid w:val="00983D95"/>
    <w:rsid w:val="00984A61"/>
    <w:rsid w:val="00984C1B"/>
    <w:rsid w:val="00985C1D"/>
    <w:rsid w:val="009861DD"/>
    <w:rsid w:val="00986573"/>
    <w:rsid w:val="009865FA"/>
    <w:rsid w:val="00986874"/>
    <w:rsid w:val="0098772C"/>
    <w:rsid w:val="00987C4E"/>
    <w:rsid w:val="00990643"/>
    <w:rsid w:val="00991156"/>
    <w:rsid w:val="00991895"/>
    <w:rsid w:val="00991D85"/>
    <w:rsid w:val="00991DC3"/>
    <w:rsid w:val="00992EC4"/>
    <w:rsid w:val="009934EF"/>
    <w:rsid w:val="00993C70"/>
    <w:rsid w:val="009956C9"/>
    <w:rsid w:val="00995B12"/>
    <w:rsid w:val="00996791"/>
    <w:rsid w:val="00996C40"/>
    <w:rsid w:val="00997608"/>
    <w:rsid w:val="00997858"/>
    <w:rsid w:val="009A0C59"/>
    <w:rsid w:val="009A15BF"/>
    <w:rsid w:val="009A181A"/>
    <w:rsid w:val="009A183F"/>
    <w:rsid w:val="009A234A"/>
    <w:rsid w:val="009A345B"/>
    <w:rsid w:val="009A370D"/>
    <w:rsid w:val="009A3957"/>
    <w:rsid w:val="009A5FBF"/>
    <w:rsid w:val="009A6A78"/>
    <w:rsid w:val="009A7914"/>
    <w:rsid w:val="009B0529"/>
    <w:rsid w:val="009B0675"/>
    <w:rsid w:val="009B0F1A"/>
    <w:rsid w:val="009B1062"/>
    <w:rsid w:val="009B1E37"/>
    <w:rsid w:val="009B2124"/>
    <w:rsid w:val="009B24B6"/>
    <w:rsid w:val="009B2A71"/>
    <w:rsid w:val="009B321F"/>
    <w:rsid w:val="009B35DF"/>
    <w:rsid w:val="009B4084"/>
    <w:rsid w:val="009B4C59"/>
    <w:rsid w:val="009B4E6D"/>
    <w:rsid w:val="009B5FFB"/>
    <w:rsid w:val="009B62B5"/>
    <w:rsid w:val="009B67AC"/>
    <w:rsid w:val="009B6BE0"/>
    <w:rsid w:val="009B706E"/>
    <w:rsid w:val="009C1BA5"/>
    <w:rsid w:val="009C2B13"/>
    <w:rsid w:val="009C3DA7"/>
    <w:rsid w:val="009C423A"/>
    <w:rsid w:val="009C4B45"/>
    <w:rsid w:val="009C5089"/>
    <w:rsid w:val="009C592D"/>
    <w:rsid w:val="009C5ABE"/>
    <w:rsid w:val="009C5F81"/>
    <w:rsid w:val="009C6ADB"/>
    <w:rsid w:val="009C6B00"/>
    <w:rsid w:val="009C6B0A"/>
    <w:rsid w:val="009C6C95"/>
    <w:rsid w:val="009C7A74"/>
    <w:rsid w:val="009C7D0B"/>
    <w:rsid w:val="009C7F1A"/>
    <w:rsid w:val="009D006A"/>
    <w:rsid w:val="009D00FF"/>
    <w:rsid w:val="009D056C"/>
    <w:rsid w:val="009D060F"/>
    <w:rsid w:val="009D2E1F"/>
    <w:rsid w:val="009D352A"/>
    <w:rsid w:val="009D3CC3"/>
    <w:rsid w:val="009D3FB4"/>
    <w:rsid w:val="009D40B2"/>
    <w:rsid w:val="009D4120"/>
    <w:rsid w:val="009D473E"/>
    <w:rsid w:val="009D4A78"/>
    <w:rsid w:val="009D4CBE"/>
    <w:rsid w:val="009D5E45"/>
    <w:rsid w:val="009D6B25"/>
    <w:rsid w:val="009D75C3"/>
    <w:rsid w:val="009D7A64"/>
    <w:rsid w:val="009E05DB"/>
    <w:rsid w:val="009E16F5"/>
    <w:rsid w:val="009E1728"/>
    <w:rsid w:val="009E1B88"/>
    <w:rsid w:val="009E2C6B"/>
    <w:rsid w:val="009E2DFD"/>
    <w:rsid w:val="009E400E"/>
    <w:rsid w:val="009E43AD"/>
    <w:rsid w:val="009E5AEA"/>
    <w:rsid w:val="009E6700"/>
    <w:rsid w:val="009E7406"/>
    <w:rsid w:val="009E79ED"/>
    <w:rsid w:val="009F06D8"/>
    <w:rsid w:val="009F1736"/>
    <w:rsid w:val="009F2218"/>
    <w:rsid w:val="009F2437"/>
    <w:rsid w:val="009F3453"/>
    <w:rsid w:val="009F350C"/>
    <w:rsid w:val="009F3D27"/>
    <w:rsid w:val="009F5399"/>
    <w:rsid w:val="009F596F"/>
    <w:rsid w:val="009F5D1E"/>
    <w:rsid w:val="009F6258"/>
    <w:rsid w:val="009F6E4A"/>
    <w:rsid w:val="009F6FAB"/>
    <w:rsid w:val="00A02029"/>
    <w:rsid w:val="00A0262B"/>
    <w:rsid w:val="00A02FD3"/>
    <w:rsid w:val="00A02FDC"/>
    <w:rsid w:val="00A032A9"/>
    <w:rsid w:val="00A06C9A"/>
    <w:rsid w:val="00A07596"/>
    <w:rsid w:val="00A10410"/>
    <w:rsid w:val="00A116CF"/>
    <w:rsid w:val="00A12B7C"/>
    <w:rsid w:val="00A13078"/>
    <w:rsid w:val="00A1459D"/>
    <w:rsid w:val="00A149F7"/>
    <w:rsid w:val="00A14B41"/>
    <w:rsid w:val="00A158A4"/>
    <w:rsid w:val="00A16157"/>
    <w:rsid w:val="00A161B7"/>
    <w:rsid w:val="00A161C8"/>
    <w:rsid w:val="00A163B5"/>
    <w:rsid w:val="00A163C1"/>
    <w:rsid w:val="00A178CE"/>
    <w:rsid w:val="00A17A08"/>
    <w:rsid w:val="00A20A95"/>
    <w:rsid w:val="00A21701"/>
    <w:rsid w:val="00A21B03"/>
    <w:rsid w:val="00A21C6C"/>
    <w:rsid w:val="00A22648"/>
    <w:rsid w:val="00A22D61"/>
    <w:rsid w:val="00A2394D"/>
    <w:rsid w:val="00A2404A"/>
    <w:rsid w:val="00A247EE"/>
    <w:rsid w:val="00A24E97"/>
    <w:rsid w:val="00A24FF8"/>
    <w:rsid w:val="00A258EC"/>
    <w:rsid w:val="00A265F6"/>
    <w:rsid w:val="00A26CC2"/>
    <w:rsid w:val="00A27663"/>
    <w:rsid w:val="00A305C4"/>
    <w:rsid w:val="00A30849"/>
    <w:rsid w:val="00A309A9"/>
    <w:rsid w:val="00A30E1D"/>
    <w:rsid w:val="00A315A4"/>
    <w:rsid w:val="00A32DE4"/>
    <w:rsid w:val="00A330C1"/>
    <w:rsid w:val="00A34500"/>
    <w:rsid w:val="00A356C7"/>
    <w:rsid w:val="00A35876"/>
    <w:rsid w:val="00A36CB0"/>
    <w:rsid w:val="00A3702E"/>
    <w:rsid w:val="00A37342"/>
    <w:rsid w:val="00A373B5"/>
    <w:rsid w:val="00A37599"/>
    <w:rsid w:val="00A3773E"/>
    <w:rsid w:val="00A37BC0"/>
    <w:rsid w:val="00A37FDF"/>
    <w:rsid w:val="00A40952"/>
    <w:rsid w:val="00A426F2"/>
    <w:rsid w:val="00A42C4E"/>
    <w:rsid w:val="00A4404A"/>
    <w:rsid w:val="00A44464"/>
    <w:rsid w:val="00A45000"/>
    <w:rsid w:val="00A451AA"/>
    <w:rsid w:val="00A452C0"/>
    <w:rsid w:val="00A45EFB"/>
    <w:rsid w:val="00A47523"/>
    <w:rsid w:val="00A47680"/>
    <w:rsid w:val="00A476EF"/>
    <w:rsid w:val="00A4776C"/>
    <w:rsid w:val="00A47F8E"/>
    <w:rsid w:val="00A506A3"/>
    <w:rsid w:val="00A5138F"/>
    <w:rsid w:val="00A51EBB"/>
    <w:rsid w:val="00A52241"/>
    <w:rsid w:val="00A524D5"/>
    <w:rsid w:val="00A527E3"/>
    <w:rsid w:val="00A5362A"/>
    <w:rsid w:val="00A537DB"/>
    <w:rsid w:val="00A541E7"/>
    <w:rsid w:val="00A55FF0"/>
    <w:rsid w:val="00A563A2"/>
    <w:rsid w:val="00A567DA"/>
    <w:rsid w:val="00A56AAB"/>
    <w:rsid w:val="00A56F79"/>
    <w:rsid w:val="00A57206"/>
    <w:rsid w:val="00A60673"/>
    <w:rsid w:val="00A62468"/>
    <w:rsid w:val="00A624EA"/>
    <w:rsid w:val="00A6275A"/>
    <w:rsid w:val="00A634CA"/>
    <w:rsid w:val="00A63C03"/>
    <w:rsid w:val="00A644AE"/>
    <w:rsid w:val="00A64AB9"/>
    <w:rsid w:val="00A677EF"/>
    <w:rsid w:val="00A67A40"/>
    <w:rsid w:val="00A70D48"/>
    <w:rsid w:val="00A70F15"/>
    <w:rsid w:val="00A711B9"/>
    <w:rsid w:val="00A722AB"/>
    <w:rsid w:val="00A726B1"/>
    <w:rsid w:val="00A72B65"/>
    <w:rsid w:val="00A73257"/>
    <w:rsid w:val="00A7675C"/>
    <w:rsid w:val="00A818A3"/>
    <w:rsid w:val="00A81A27"/>
    <w:rsid w:val="00A823A8"/>
    <w:rsid w:val="00A8260A"/>
    <w:rsid w:val="00A8264C"/>
    <w:rsid w:val="00A82EB4"/>
    <w:rsid w:val="00A83FF6"/>
    <w:rsid w:val="00A84860"/>
    <w:rsid w:val="00A84C46"/>
    <w:rsid w:val="00A8538C"/>
    <w:rsid w:val="00A857DF"/>
    <w:rsid w:val="00A85A2F"/>
    <w:rsid w:val="00A8618C"/>
    <w:rsid w:val="00A879F9"/>
    <w:rsid w:val="00A87B35"/>
    <w:rsid w:val="00A87D0B"/>
    <w:rsid w:val="00A915D7"/>
    <w:rsid w:val="00A94263"/>
    <w:rsid w:val="00A9586E"/>
    <w:rsid w:val="00A96148"/>
    <w:rsid w:val="00A96FC8"/>
    <w:rsid w:val="00A97497"/>
    <w:rsid w:val="00AA094C"/>
    <w:rsid w:val="00AA12C3"/>
    <w:rsid w:val="00AA24D5"/>
    <w:rsid w:val="00AA258E"/>
    <w:rsid w:val="00AA2D8A"/>
    <w:rsid w:val="00AA3A6A"/>
    <w:rsid w:val="00AA3CE8"/>
    <w:rsid w:val="00AA4687"/>
    <w:rsid w:val="00AA4B54"/>
    <w:rsid w:val="00AA56DC"/>
    <w:rsid w:val="00AA79E1"/>
    <w:rsid w:val="00AB01EB"/>
    <w:rsid w:val="00AB2486"/>
    <w:rsid w:val="00AB3699"/>
    <w:rsid w:val="00AB431E"/>
    <w:rsid w:val="00AB45B4"/>
    <w:rsid w:val="00AB4E0D"/>
    <w:rsid w:val="00AB5A7F"/>
    <w:rsid w:val="00AB5B1D"/>
    <w:rsid w:val="00AB5F92"/>
    <w:rsid w:val="00AB61F9"/>
    <w:rsid w:val="00AB6B06"/>
    <w:rsid w:val="00AB6EE0"/>
    <w:rsid w:val="00AB6FE1"/>
    <w:rsid w:val="00AB7B67"/>
    <w:rsid w:val="00AC17A4"/>
    <w:rsid w:val="00AC1872"/>
    <w:rsid w:val="00AC214B"/>
    <w:rsid w:val="00AC2385"/>
    <w:rsid w:val="00AC2622"/>
    <w:rsid w:val="00AC27C7"/>
    <w:rsid w:val="00AC2F11"/>
    <w:rsid w:val="00AC3763"/>
    <w:rsid w:val="00AC3C3B"/>
    <w:rsid w:val="00AC3ECE"/>
    <w:rsid w:val="00AC5879"/>
    <w:rsid w:val="00AC731B"/>
    <w:rsid w:val="00AC7CAA"/>
    <w:rsid w:val="00AD20CD"/>
    <w:rsid w:val="00AD2495"/>
    <w:rsid w:val="00AD2A63"/>
    <w:rsid w:val="00AD37AC"/>
    <w:rsid w:val="00AD3905"/>
    <w:rsid w:val="00AD39CD"/>
    <w:rsid w:val="00AD4E18"/>
    <w:rsid w:val="00AD4E6C"/>
    <w:rsid w:val="00AD4FA6"/>
    <w:rsid w:val="00AD4FED"/>
    <w:rsid w:val="00AD5564"/>
    <w:rsid w:val="00AD5614"/>
    <w:rsid w:val="00AD5A78"/>
    <w:rsid w:val="00AD5E78"/>
    <w:rsid w:val="00AD631F"/>
    <w:rsid w:val="00AD6D57"/>
    <w:rsid w:val="00AD7B77"/>
    <w:rsid w:val="00AE01B8"/>
    <w:rsid w:val="00AE0A59"/>
    <w:rsid w:val="00AE0BDC"/>
    <w:rsid w:val="00AE1D84"/>
    <w:rsid w:val="00AE1EF8"/>
    <w:rsid w:val="00AE21FF"/>
    <w:rsid w:val="00AE33D2"/>
    <w:rsid w:val="00AE4B9D"/>
    <w:rsid w:val="00AE54FE"/>
    <w:rsid w:val="00AE5CAB"/>
    <w:rsid w:val="00AE5E4F"/>
    <w:rsid w:val="00AE792D"/>
    <w:rsid w:val="00AF107C"/>
    <w:rsid w:val="00AF1F18"/>
    <w:rsid w:val="00AF2173"/>
    <w:rsid w:val="00AF24EE"/>
    <w:rsid w:val="00AF37E2"/>
    <w:rsid w:val="00AF51E1"/>
    <w:rsid w:val="00AF5A76"/>
    <w:rsid w:val="00AF70FE"/>
    <w:rsid w:val="00AF7F1A"/>
    <w:rsid w:val="00B004CD"/>
    <w:rsid w:val="00B01B8E"/>
    <w:rsid w:val="00B01C8C"/>
    <w:rsid w:val="00B028B6"/>
    <w:rsid w:val="00B0292E"/>
    <w:rsid w:val="00B02BB6"/>
    <w:rsid w:val="00B02BDC"/>
    <w:rsid w:val="00B0325D"/>
    <w:rsid w:val="00B045F6"/>
    <w:rsid w:val="00B0602B"/>
    <w:rsid w:val="00B0726E"/>
    <w:rsid w:val="00B11080"/>
    <w:rsid w:val="00B11384"/>
    <w:rsid w:val="00B1225B"/>
    <w:rsid w:val="00B122C6"/>
    <w:rsid w:val="00B129BB"/>
    <w:rsid w:val="00B14D76"/>
    <w:rsid w:val="00B1511C"/>
    <w:rsid w:val="00B15A50"/>
    <w:rsid w:val="00B15B98"/>
    <w:rsid w:val="00B17143"/>
    <w:rsid w:val="00B205BA"/>
    <w:rsid w:val="00B21110"/>
    <w:rsid w:val="00B21410"/>
    <w:rsid w:val="00B219D1"/>
    <w:rsid w:val="00B21B09"/>
    <w:rsid w:val="00B224EE"/>
    <w:rsid w:val="00B22BAD"/>
    <w:rsid w:val="00B22D7F"/>
    <w:rsid w:val="00B22DBF"/>
    <w:rsid w:val="00B22DC6"/>
    <w:rsid w:val="00B242BB"/>
    <w:rsid w:val="00B24CB0"/>
    <w:rsid w:val="00B26A98"/>
    <w:rsid w:val="00B26CA1"/>
    <w:rsid w:val="00B30715"/>
    <w:rsid w:val="00B30BB0"/>
    <w:rsid w:val="00B3182B"/>
    <w:rsid w:val="00B318BE"/>
    <w:rsid w:val="00B31966"/>
    <w:rsid w:val="00B320DA"/>
    <w:rsid w:val="00B3339F"/>
    <w:rsid w:val="00B33E0D"/>
    <w:rsid w:val="00B3410D"/>
    <w:rsid w:val="00B34D56"/>
    <w:rsid w:val="00B356F0"/>
    <w:rsid w:val="00B359C2"/>
    <w:rsid w:val="00B35DF2"/>
    <w:rsid w:val="00B36267"/>
    <w:rsid w:val="00B3631A"/>
    <w:rsid w:val="00B37291"/>
    <w:rsid w:val="00B40664"/>
    <w:rsid w:val="00B40ABD"/>
    <w:rsid w:val="00B419C8"/>
    <w:rsid w:val="00B4246F"/>
    <w:rsid w:val="00B42755"/>
    <w:rsid w:val="00B44874"/>
    <w:rsid w:val="00B458B3"/>
    <w:rsid w:val="00B46905"/>
    <w:rsid w:val="00B50658"/>
    <w:rsid w:val="00B51049"/>
    <w:rsid w:val="00B511D1"/>
    <w:rsid w:val="00B53E8F"/>
    <w:rsid w:val="00B54F88"/>
    <w:rsid w:val="00B55E17"/>
    <w:rsid w:val="00B5603F"/>
    <w:rsid w:val="00B56C99"/>
    <w:rsid w:val="00B56FE2"/>
    <w:rsid w:val="00B577E0"/>
    <w:rsid w:val="00B57AC5"/>
    <w:rsid w:val="00B6152D"/>
    <w:rsid w:val="00B615E1"/>
    <w:rsid w:val="00B62A46"/>
    <w:rsid w:val="00B62BEF"/>
    <w:rsid w:val="00B63065"/>
    <w:rsid w:val="00B634D1"/>
    <w:rsid w:val="00B63EEA"/>
    <w:rsid w:val="00B64069"/>
    <w:rsid w:val="00B64558"/>
    <w:rsid w:val="00B64856"/>
    <w:rsid w:val="00B64D24"/>
    <w:rsid w:val="00B64E2B"/>
    <w:rsid w:val="00B66198"/>
    <w:rsid w:val="00B66B11"/>
    <w:rsid w:val="00B66EE1"/>
    <w:rsid w:val="00B671C0"/>
    <w:rsid w:val="00B67236"/>
    <w:rsid w:val="00B67FE2"/>
    <w:rsid w:val="00B70DE9"/>
    <w:rsid w:val="00B70F65"/>
    <w:rsid w:val="00B70FBD"/>
    <w:rsid w:val="00B71560"/>
    <w:rsid w:val="00B71735"/>
    <w:rsid w:val="00B7191D"/>
    <w:rsid w:val="00B7330A"/>
    <w:rsid w:val="00B73347"/>
    <w:rsid w:val="00B73ECC"/>
    <w:rsid w:val="00B762DB"/>
    <w:rsid w:val="00B769C7"/>
    <w:rsid w:val="00B77744"/>
    <w:rsid w:val="00B77778"/>
    <w:rsid w:val="00B77A82"/>
    <w:rsid w:val="00B77C30"/>
    <w:rsid w:val="00B80355"/>
    <w:rsid w:val="00B806FF"/>
    <w:rsid w:val="00B80B03"/>
    <w:rsid w:val="00B8170A"/>
    <w:rsid w:val="00B81FA4"/>
    <w:rsid w:val="00B82E88"/>
    <w:rsid w:val="00B83A31"/>
    <w:rsid w:val="00B83AC9"/>
    <w:rsid w:val="00B83C6C"/>
    <w:rsid w:val="00B84469"/>
    <w:rsid w:val="00B8450B"/>
    <w:rsid w:val="00B84BEA"/>
    <w:rsid w:val="00B86EDC"/>
    <w:rsid w:val="00B8794C"/>
    <w:rsid w:val="00B90DCB"/>
    <w:rsid w:val="00B91BA4"/>
    <w:rsid w:val="00B92411"/>
    <w:rsid w:val="00B92710"/>
    <w:rsid w:val="00B92C6E"/>
    <w:rsid w:val="00B93F61"/>
    <w:rsid w:val="00B94A2D"/>
    <w:rsid w:val="00B94B1F"/>
    <w:rsid w:val="00B94EB8"/>
    <w:rsid w:val="00B94FC3"/>
    <w:rsid w:val="00B9548C"/>
    <w:rsid w:val="00B95E6F"/>
    <w:rsid w:val="00B95EF4"/>
    <w:rsid w:val="00B96909"/>
    <w:rsid w:val="00B96D84"/>
    <w:rsid w:val="00B96DC9"/>
    <w:rsid w:val="00B973D4"/>
    <w:rsid w:val="00B975EB"/>
    <w:rsid w:val="00B97811"/>
    <w:rsid w:val="00B97CD8"/>
    <w:rsid w:val="00B97D83"/>
    <w:rsid w:val="00BA0EFD"/>
    <w:rsid w:val="00BA1127"/>
    <w:rsid w:val="00BA1172"/>
    <w:rsid w:val="00BA1305"/>
    <w:rsid w:val="00BA2B9D"/>
    <w:rsid w:val="00BA4689"/>
    <w:rsid w:val="00BA4A09"/>
    <w:rsid w:val="00BA4BA3"/>
    <w:rsid w:val="00BA5802"/>
    <w:rsid w:val="00BA58EE"/>
    <w:rsid w:val="00BA59DB"/>
    <w:rsid w:val="00BA7A70"/>
    <w:rsid w:val="00BA7EA6"/>
    <w:rsid w:val="00BB0057"/>
    <w:rsid w:val="00BB0110"/>
    <w:rsid w:val="00BB0C14"/>
    <w:rsid w:val="00BB0D21"/>
    <w:rsid w:val="00BB0F9C"/>
    <w:rsid w:val="00BB0FD5"/>
    <w:rsid w:val="00BB14F1"/>
    <w:rsid w:val="00BB1B03"/>
    <w:rsid w:val="00BB2C72"/>
    <w:rsid w:val="00BB4A5B"/>
    <w:rsid w:val="00BB5265"/>
    <w:rsid w:val="00BB6042"/>
    <w:rsid w:val="00BB63B4"/>
    <w:rsid w:val="00BB6509"/>
    <w:rsid w:val="00BB6996"/>
    <w:rsid w:val="00BC0025"/>
    <w:rsid w:val="00BC1951"/>
    <w:rsid w:val="00BC248C"/>
    <w:rsid w:val="00BC26C3"/>
    <w:rsid w:val="00BC39BC"/>
    <w:rsid w:val="00BC4452"/>
    <w:rsid w:val="00BC52FB"/>
    <w:rsid w:val="00BC5335"/>
    <w:rsid w:val="00BC5417"/>
    <w:rsid w:val="00BC6353"/>
    <w:rsid w:val="00BC65A3"/>
    <w:rsid w:val="00BC79B1"/>
    <w:rsid w:val="00BC7E6D"/>
    <w:rsid w:val="00BC7EC8"/>
    <w:rsid w:val="00BD25D9"/>
    <w:rsid w:val="00BD3256"/>
    <w:rsid w:val="00BD32ED"/>
    <w:rsid w:val="00BD3FE2"/>
    <w:rsid w:val="00BD49C9"/>
    <w:rsid w:val="00BD4FD0"/>
    <w:rsid w:val="00BD56A0"/>
    <w:rsid w:val="00BD629B"/>
    <w:rsid w:val="00BE0324"/>
    <w:rsid w:val="00BE0A2A"/>
    <w:rsid w:val="00BE14FE"/>
    <w:rsid w:val="00BE1F77"/>
    <w:rsid w:val="00BE235F"/>
    <w:rsid w:val="00BE2678"/>
    <w:rsid w:val="00BE28F8"/>
    <w:rsid w:val="00BE3B51"/>
    <w:rsid w:val="00BE3ED0"/>
    <w:rsid w:val="00BE4FCD"/>
    <w:rsid w:val="00BE5080"/>
    <w:rsid w:val="00BE6660"/>
    <w:rsid w:val="00BE6ACB"/>
    <w:rsid w:val="00BE7DBC"/>
    <w:rsid w:val="00BF0050"/>
    <w:rsid w:val="00BF071C"/>
    <w:rsid w:val="00BF085A"/>
    <w:rsid w:val="00BF0EED"/>
    <w:rsid w:val="00BF1AA0"/>
    <w:rsid w:val="00BF2297"/>
    <w:rsid w:val="00BF3564"/>
    <w:rsid w:val="00BF51FA"/>
    <w:rsid w:val="00BF52B1"/>
    <w:rsid w:val="00BF548D"/>
    <w:rsid w:val="00BF641D"/>
    <w:rsid w:val="00BF6E25"/>
    <w:rsid w:val="00C004A0"/>
    <w:rsid w:val="00C00927"/>
    <w:rsid w:val="00C00DB6"/>
    <w:rsid w:val="00C01EC0"/>
    <w:rsid w:val="00C028FF"/>
    <w:rsid w:val="00C02917"/>
    <w:rsid w:val="00C03573"/>
    <w:rsid w:val="00C0419C"/>
    <w:rsid w:val="00C05237"/>
    <w:rsid w:val="00C07B5C"/>
    <w:rsid w:val="00C07F69"/>
    <w:rsid w:val="00C10242"/>
    <w:rsid w:val="00C102DC"/>
    <w:rsid w:val="00C104D3"/>
    <w:rsid w:val="00C105F7"/>
    <w:rsid w:val="00C120A3"/>
    <w:rsid w:val="00C13227"/>
    <w:rsid w:val="00C1327B"/>
    <w:rsid w:val="00C1357A"/>
    <w:rsid w:val="00C153B5"/>
    <w:rsid w:val="00C153E4"/>
    <w:rsid w:val="00C159F5"/>
    <w:rsid w:val="00C15DA1"/>
    <w:rsid w:val="00C15F98"/>
    <w:rsid w:val="00C16BA7"/>
    <w:rsid w:val="00C16FA9"/>
    <w:rsid w:val="00C21509"/>
    <w:rsid w:val="00C2263D"/>
    <w:rsid w:val="00C237BD"/>
    <w:rsid w:val="00C244EE"/>
    <w:rsid w:val="00C257CE"/>
    <w:rsid w:val="00C2589C"/>
    <w:rsid w:val="00C25F42"/>
    <w:rsid w:val="00C266BE"/>
    <w:rsid w:val="00C2674B"/>
    <w:rsid w:val="00C30889"/>
    <w:rsid w:val="00C313B6"/>
    <w:rsid w:val="00C318D2"/>
    <w:rsid w:val="00C31BFF"/>
    <w:rsid w:val="00C326D3"/>
    <w:rsid w:val="00C3316C"/>
    <w:rsid w:val="00C33921"/>
    <w:rsid w:val="00C3403D"/>
    <w:rsid w:val="00C34121"/>
    <w:rsid w:val="00C3451B"/>
    <w:rsid w:val="00C34B00"/>
    <w:rsid w:val="00C35BB3"/>
    <w:rsid w:val="00C36DF0"/>
    <w:rsid w:val="00C375A6"/>
    <w:rsid w:val="00C37B02"/>
    <w:rsid w:val="00C4086A"/>
    <w:rsid w:val="00C4166C"/>
    <w:rsid w:val="00C41D4F"/>
    <w:rsid w:val="00C42234"/>
    <w:rsid w:val="00C42260"/>
    <w:rsid w:val="00C4259E"/>
    <w:rsid w:val="00C43BBC"/>
    <w:rsid w:val="00C447A9"/>
    <w:rsid w:val="00C4489F"/>
    <w:rsid w:val="00C44B1B"/>
    <w:rsid w:val="00C44DC0"/>
    <w:rsid w:val="00C45102"/>
    <w:rsid w:val="00C45AD0"/>
    <w:rsid w:val="00C45C6C"/>
    <w:rsid w:val="00C47BAD"/>
    <w:rsid w:val="00C514DA"/>
    <w:rsid w:val="00C5163D"/>
    <w:rsid w:val="00C5176C"/>
    <w:rsid w:val="00C52762"/>
    <w:rsid w:val="00C52DF0"/>
    <w:rsid w:val="00C53E37"/>
    <w:rsid w:val="00C53E40"/>
    <w:rsid w:val="00C54F9B"/>
    <w:rsid w:val="00C55210"/>
    <w:rsid w:val="00C560E4"/>
    <w:rsid w:val="00C57B0E"/>
    <w:rsid w:val="00C6037A"/>
    <w:rsid w:val="00C6188C"/>
    <w:rsid w:val="00C61A4A"/>
    <w:rsid w:val="00C628EB"/>
    <w:rsid w:val="00C62E0E"/>
    <w:rsid w:val="00C63F99"/>
    <w:rsid w:val="00C641B8"/>
    <w:rsid w:val="00C64824"/>
    <w:rsid w:val="00C66BD6"/>
    <w:rsid w:val="00C66D85"/>
    <w:rsid w:val="00C7057A"/>
    <w:rsid w:val="00C70804"/>
    <w:rsid w:val="00C7139C"/>
    <w:rsid w:val="00C71B0C"/>
    <w:rsid w:val="00C71BEC"/>
    <w:rsid w:val="00C71FF9"/>
    <w:rsid w:val="00C72224"/>
    <w:rsid w:val="00C7393D"/>
    <w:rsid w:val="00C74066"/>
    <w:rsid w:val="00C7435F"/>
    <w:rsid w:val="00C748B1"/>
    <w:rsid w:val="00C7500A"/>
    <w:rsid w:val="00C75536"/>
    <w:rsid w:val="00C75706"/>
    <w:rsid w:val="00C80B17"/>
    <w:rsid w:val="00C8124F"/>
    <w:rsid w:val="00C816EE"/>
    <w:rsid w:val="00C8173E"/>
    <w:rsid w:val="00C817DB"/>
    <w:rsid w:val="00C82023"/>
    <w:rsid w:val="00C82052"/>
    <w:rsid w:val="00C82209"/>
    <w:rsid w:val="00C825D7"/>
    <w:rsid w:val="00C8353A"/>
    <w:rsid w:val="00C8372E"/>
    <w:rsid w:val="00C84881"/>
    <w:rsid w:val="00C84ED6"/>
    <w:rsid w:val="00C84FBD"/>
    <w:rsid w:val="00C85262"/>
    <w:rsid w:val="00C85988"/>
    <w:rsid w:val="00C868DC"/>
    <w:rsid w:val="00C86C16"/>
    <w:rsid w:val="00C871B6"/>
    <w:rsid w:val="00C8723A"/>
    <w:rsid w:val="00C8757A"/>
    <w:rsid w:val="00C8795A"/>
    <w:rsid w:val="00C915D2"/>
    <w:rsid w:val="00C921E5"/>
    <w:rsid w:val="00C931A1"/>
    <w:rsid w:val="00C93647"/>
    <w:rsid w:val="00C93717"/>
    <w:rsid w:val="00C93938"/>
    <w:rsid w:val="00C94458"/>
    <w:rsid w:val="00C95529"/>
    <w:rsid w:val="00C95E4D"/>
    <w:rsid w:val="00C967A0"/>
    <w:rsid w:val="00C97003"/>
    <w:rsid w:val="00CA0011"/>
    <w:rsid w:val="00CA03D2"/>
    <w:rsid w:val="00CA2CD0"/>
    <w:rsid w:val="00CA339F"/>
    <w:rsid w:val="00CA357E"/>
    <w:rsid w:val="00CA3B68"/>
    <w:rsid w:val="00CA4815"/>
    <w:rsid w:val="00CA4B99"/>
    <w:rsid w:val="00CA5A2F"/>
    <w:rsid w:val="00CA5A44"/>
    <w:rsid w:val="00CA771F"/>
    <w:rsid w:val="00CA7F1E"/>
    <w:rsid w:val="00CB0AF5"/>
    <w:rsid w:val="00CB0F0D"/>
    <w:rsid w:val="00CB1C70"/>
    <w:rsid w:val="00CB258F"/>
    <w:rsid w:val="00CB28D7"/>
    <w:rsid w:val="00CB2917"/>
    <w:rsid w:val="00CB534C"/>
    <w:rsid w:val="00CB6809"/>
    <w:rsid w:val="00CB6D39"/>
    <w:rsid w:val="00CB72C8"/>
    <w:rsid w:val="00CB7631"/>
    <w:rsid w:val="00CB7C77"/>
    <w:rsid w:val="00CC02B9"/>
    <w:rsid w:val="00CC0668"/>
    <w:rsid w:val="00CC0D7A"/>
    <w:rsid w:val="00CC11C1"/>
    <w:rsid w:val="00CC12CD"/>
    <w:rsid w:val="00CC3737"/>
    <w:rsid w:val="00CC47A2"/>
    <w:rsid w:val="00CC56A5"/>
    <w:rsid w:val="00CC5962"/>
    <w:rsid w:val="00CC5CCC"/>
    <w:rsid w:val="00CC6F4A"/>
    <w:rsid w:val="00CC7612"/>
    <w:rsid w:val="00CD045C"/>
    <w:rsid w:val="00CD0898"/>
    <w:rsid w:val="00CD231F"/>
    <w:rsid w:val="00CD24F0"/>
    <w:rsid w:val="00CD381E"/>
    <w:rsid w:val="00CD39A0"/>
    <w:rsid w:val="00CD4D41"/>
    <w:rsid w:val="00CD5788"/>
    <w:rsid w:val="00CD714F"/>
    <w:rsid w:val="00CD71EB"/>
    <w:rsid w:val="00CD7E5F"/>
    <w:rsid w:val="00CE0514"/>
    <w:rsid w:val="00CE0BE0"/>
    <w:rsid w:val="00CE0C3F"/>
    <w:rsid w:val="00CE0D62"/>
    <w:rsid w:val="00CE1D39"/>
    <w:rsid w:val="00CE2283"/>
    <w:rsid w:val="00CE2338"/>
    <w:rsid w:val="00CE2E41"/>
    <w:rsid w:val="00CE3078"/>
    <w:rsid w:val="00CE3F4F"/>
    <w:rsid w:val="00CE4250"/>
    <w:rsid w:val="00CE47C1"/>
    <w:rsid w:val="00CE48AE"/>
    <w:rsid w:val="00CE4AEA"/>
    <w:rsid w:val="00CE4D1A"/>
    <w:rsid w:val="00CE5B2C"/>
    <w:rsid w:val="00CE5F01"/>
    <w:rsid w:val="00CE775D"/>
    <w:rsid w:val="00CF03CB"/>
    <w:rsid w:val="00CF18A0"/>
    <w:rsid w:val="00CF210F"/>
    <w:rsid w:val="00CF259C"/>
    <w:rsid w:val="00CF2DBA"/>
    <w:rsid w:val="00CF40C5"/>
    <w:rsid w:val="00CF4468"/>
    <w:rsid w:val="00CF47A8"/>
    <w:rsid w:val="00CF4D95"/>
    <w:rsid w:val="00CF4D99"/>
    <w:rsid w:val="00CF55F4"/>
    <w:rsid w:val="00CF6075"/>
    <w:rsid w:val="00CF6562"/>
    <w:rsid w:val="00CF7860"/>
    <w:rsid w:val="00D00253"/>
    <w:rsid w:val="00D00B6A"/>
    <w:rsid w:val="00D00FDD"/>
    <w:rsid w:val="00D01CB6"/>
    <w:rsid w:val="00D026F1"/>
    <w:rsid w:val="00D02ADD"/>
    <w:rsid w:val="00D02F2F"/>
    <w:rsid w:val="00D02FCD"/>
    <w:rsid w:val="00D033C6"/>
    <w:rsid w:val="00D03B3A"/>
    <w:rsid w:val="00D03BA1"/>
    <w:rsid w:val="00D042A1"/>
    <w:rsid w:val="00D0470C"/>
    <w:rsid w:val="00D0489F"/>
    <w:rsid w:val="00D05A58"/>
    <w:rsid w:val="00D060AD"/>
    <w:rsid w:val="00D066D2"/>
    <w:rsid w:val="00D06C90"/>
    <w:rsid w:val="00D07660"/>
    <w:rsid w:val="00D10690"/>
    <w:rsid w:val="00D10C26"/>
    <w:rsid w:val="00D10CB4"/>
    <w:rsid w:val="00D1182A"/>
    <w:rsid w:val="00D11F62"/>
    <w:rsid w:val="00D13070"/>
    <w:rsid w:val="00D131DB"/>
    <w:rsid w:val="00D14C53"/>
    <w:rsid w:val="00D14D01"/>
    <w:rsid w:val="00D15D4D"/>
    <w:rsid w:val="00D16ABD"/>
    <w:rsid w:val="00D1734C"/>
    <w:rsid w:val="00D20399"/>
    <w:rsid w:val="00D223FC"/>
    <w:rsid w:val="00D2243C"/>
    <w:rsid w:val="00D224F9"/>
    <w:rsid w:val="00D2256A"/>
    <w:rsid w:val="00D23945"/>
    <w:rsid w:val="00D23DD0"/>
    <w:rsid w:val="00D2433F"/>
    <w:rsid w:val="00D244DD"/>
    <w:rsid w:val="00D24C7A"/>
    <w:rsid w:val="00D25A93"/>
    <w:rsid w:val="00D25EC1"/>
    <w:rsid w:val="00D26AAE"/>
    <w:rsid w:val="00D26C1A"/>
    <w:rsid w:val="00D27432"/>
    <w:rsid w:val="00D27600"/>
    <w:rsid w:val="00D27790"/>
    <w:rsid w:val="00D27B1E"/>
    <w:rsid w:val="00D30071"/>
    <w:rsid w:val="00D30946"/>
    <w:rsid w:val="00D30CED"/>
    <w:rsid w:val="00D31C39"/>
    <w:rsid w:val="00D3456D"/>
    <w:rsid w:val="00D35011"/>
    <w:rsid w:val="00D35109"/>
    <w:rsid w:val="00D370DD"/>
    <w:rsid w:val="00D372B0"/>
    <w:rsid w:val="00D40A24"/>
    <w:rsid w:val="00D40B4E"/>
    <w:rsid w:val="00D40EBD"/>
    <w:rsid w:val="00D414AC"/>
    <w:rsid w:val="00D41A4C"/>
    <w:rsid w:val="00D41E3B"/>
    <w:rsid w:val="00D42042"/>
    <w:rsid w:val="00D42312"/>
    <w:rsid w:val="00D429A7"/>
    <w:rsid w:val="00D42B9C"/>
    <w:rsid w:val="00D42CE9"/>
    <w:rsid w:val="00D42FAC"/>
    <w:rsid w:val="00D456A2"/>
    <w:rsid w:val="00D459DA"/>
    <w:rsid w:val="00D4791B"/>
    <w:rsid w:val="00D50007"/>
    <w:rsid w:val="00D50341"/>
    <w:rsid w:val="00D50D0A"/>
    <w:rsid w:val="00D51CAA"/>
    <w:rsid w:val="00D5203A"/>
    <w:rsid w:val="00D54350"/>
    <w:rsid w:val="00D548D0"/>
    <w:rsid w:val="00D54D55"/>
    <w:rsid w:val="00D55425"/>
    <w:rsid w:val="00D55F8A"/>
    <w:rsid w:val="00D562CF"/>
    <w:rsid w:val="00D5688A"/>
    <w:rsid w:val="00D56C17"/>
    <w:rsid w:val="00D57E8C"/>
    <w:rsid w:val="00D601BD"/>
    <w:rsid w:val="00D609D7"/>
    <w:rsid w:val="00D6168B"/>
    <w:rsid w:val="00D62D10"/>
    <w:rsid w:val="00D63558"/>
    <w:rsid w:val="00D64805"/>
    <w:rsid w:val="00D6669B"/>
    <w:rsid w:val="00D67099"/>
    <w:rsid w:val="00D7139D"/>
    <w:rsid w:val="00D71978"/>
    <w:rsid w:val="00D719BC"/>
    <w:rsid w:val="00D71FDD"/>
    <w:rsid w:val="00D71FE2"/>
    <w:rsid w:val="00D7284A"/>
    <w:rsid w:val="00D72BC8"/>
    <w:rsid w:val="00D74A4A"/>
    <w:rsid w:val="00D754D2"/>
    <w:rsid w:val="00D75D79"/>
    <w:rsid w:val="00D7617F"/>
    <w:rsid w:val="00D763A1"/>
    <w:rsid w:val="00D7662A"/>
    <w:rsid w:val="00D76CEE"/>
    <w:rsid w:val="00D80359"/>
    <w:rsid w:val="00D80C27"/>
    <w:rsid w:val="00D80CDB"/>
    <w:rsid w:val="00D810A3"/>
    <w:rsid w:val="00D8163C"/>
    <w:rsid w:val="00D82EE8"/>
    <w:rsid w:val="00D8319A"/>
    <w:rsid w:val="00D834C2"/>
    <w:rsid w:val="00D84684"/>
    <w:rsid w:val="00D84786"/>
    <w:rsid w:val="00D84A79"/>
    <w:rsid w:val="00D84B53"/>
    <w:rsid w:val="00D855C9"/>
    <w:rsid w:val="00D85DDB"/>
    <w:rsid w:val="00D86107"/>
    <w:rsid w:val="00D86284"/>
    <w:rsid w:val="00D87C14"/>
    <w:rsid w:val="00D87E8E"/>
    <w:rsid w:val="00D90355"/>
    <w:rsid w:val="00D91C87"/>
    <w:rsid w:val="00D92056"/>
    <w:rsid w:val="00D92127"/>
    <w:rsid w:val="00D92C25"/>
    <w:rsid w:val="00D94E53"/>
    <w:rsid w:val="00D95078"/>
    <w:rsid w:val="00D95699"/>
    <w:rsid w:val="00D96E31"/>
    <w:rsid w:val="00D96F26"/>
    <w:rsid w:val="00D971BB"/>
    <w:rsid w:val="00DA1004"/>
    <w:rsid w:val="00DA168D"/>
    <w:rsid w:val="00DA1AE5"/>
    <w:rsid w:val="00DA235B"/>
    <w:rsid w:val="00DA2571"/>
    <w:rsid w:val="00DA2A05"/>
    <w:rsid w:val="00DA357D"/>
    <w:rsid w:val="00DA3AEC"/>
    <w:rsid w:val="00DA51FD"/>
    <w:rsid w:val="00DA6156"/>
    <w:rsid w:val="00DA62C5"/>
    <w:rsid w:val="00DA69EC"/>
    <w:rsid w:val="00DA6D11"/>
    <w:rsid w:val="00DB0692"/>
    <w:rsid w:val="00DB100A"/>
    <w:rsid w:val="00DB1082"/>
    <w:rsid w:val="00DB146D"/>
    <w:rsid w:val="00DB1689"/>
    <w:rsid w:val="00DB175F"/>
    <w:rsid w:val="00DB1C93"/>
    <w:rsid w:val="00DB20FE"/>
    <w:rsid w:val="00DB22EF"/>
    <w:rsid w:val="00DB339E"/>
    <w:rsid w:val="00DB36CF"/>
    <w:rsid w:val="00DB3D8E"/>
    <w:rsid w:val="00DB3F06"/>
    <w:rsid w:val="00DB4724"/>
    <w:rsid w:val="00DB4829"/>
    <w:rsid w:val="00DB4935"/>
    <w:rsid w:val="00DB5580"/>
    <w:rsid w:val="00DB57F0"/>
    <w:rsid w:val="00DC01D2"/>
    <w:rsid w:val="00DC0B3F"/>
    <w:rsid w:val="00DC1496"/>
    <w:rsid w:val="00DC2595"/>
    <w:rsid w:val="00DC3DB0"/>
    <w:rsid w:val="00DC40F4"/>
    <w:rsid w:val="00DC4996"/>
    <w:rsid w:val="00DC5980"/>
    <w:rsid w:val="00DC59A1"/>
    <w:rsid w:val="00DC5AF4"/>
    <w:rsid w:val="00DC7320"/>
    <w:rsid w:val="00DD2B46"/>
    <w:rsid w:val="00DD2FD2"/>
    <w:rsid w:val="00DD31F3"/>
    <w:rsid w:val="00DD669A"/>
    <w:rsid w:val="00DD66A2"/>
    <w:rsid w:val="00DE0766"/>
    <w:rsid w:val="00DE2B93"/>
    <w:rsid w:val="00DE2C0F"/>
    <w:rsid w:val="00DE33B9"/>
    <w:rsid w:val="00DE348A"/>
    <w:rsid w:val="00DE39AE"/>
    <w:rsid w:val="00DE3AA3"/>
    <w:rsid w:val="00DE3D17"/>
    <w:rsid w:val="00DE3D32"/>
    <w:rsid w:val="00DE3FF8"/>
    <w:rsid w:val="00DE4998"/>
    <w:rsid w:val="00DE53E7"/>
    <w:rsid w:val="00DE5DC7"/>
    <w:rsid w:val="00DE60BA"/>
    <w:rsid w:val="00DE696E"/>
    <w:rsid w:val="00DE7AF4"/>
    <w:rsid w:val="00DE7CA4"/>
    <w:rsid w:val="00DF0951"/>
    <w:rsid w:val="00DF136E"/>
    <w:rsid w:val="00DF2619"/>
    <w:rsid w:val="00DF3A1F"/>
    <w:rsid w:val="00DF3D28"/>
    <w:rsid w:val="00DF5159"/>
    <w:rsid w:val="00DF5327"/>
    <w:rsid w:val="00DF5340"/>
    <w:rsid w:val="00DF5A2C"/>
    <w:rsid w:val="00DF6732"/>
    <w:rsid w:val="00DF7879"/>
    <w:rsid w:val="00DF7E03"/>
    <w:rsid w:val="00E01279"/>
    <w:rsid w:val="00E01401"/>
    <w:rsid w:val="00E01510"/>
    <w:rsid w:val="00E01F61"/>
    <w:rsid w:val="00E046B4"/>
    <w:rsid w:val="00E047FE"/>
    <w:rsid w:val="00E0566C"/>
    <w:rsid w:val="00E05BD3"/>
    <w:rsid w:val="00E05BF6"/>
    <w:rsid w:val="00E06ED6"/>
    <w:rsid w:val="00E06FCC"/>
    <w:rsid w:val="00E07031"/>
    <w:rsid w:val="00E0704B"/>
    <w:rsid w:val="00E10401"/>
    <w:rsid w:val="00E109F2"/>
    <w:rsid w:val="00E11009"/>
    <w:rsid w:val="00E1109F"/>
    <w:rsid w:val="00E1217E"/>
    <w:rsid w:val="00E13528"/>
    <w:rsid w:val="00E1380F"/>
    <w:rsid w:val="00E1387B"/>
    <w:rsid w:val="00E161F0"/>
    <w:rsid w:val="00E165F5"/>
    <w:rsid w:val="00E17BD6"/>
    <w:rsid w:val="00E20336"/>
    <w:rsid w:val="00E21370"/>
    <w:rsid w:val="00E2157E"/>
    <w:rsid w:val="00E21F4D"/>
    <w:rsid w:val="00E221AC"/>
    <w:rsid w:val="00E22FE1"/>
    <w:rsid w:val="00E23D79"/>
    <w:rsid w:val="00E24346"/>
    <w:rsid w:val="00E24BE6"/>
    <w:rsid w:val="00E25943"/>
    <w:rsid w:val="00E25C00"/>
    <w:rsid w:val="00E267D3"/>
    <w:rsid w:val="00E26A22"/>
    <w:rsid w:val="00E26F01"/>
    <w:rsid w:val="00E272BD"/>
    <w:rsid w:val="00E27379"/>
    <w:rsid w:val="00E2758B"/>
    <w:rsid w:val="00E3016D"/>
    <w:rsid w:val="00E30462"/>
    <w:rsid w:val="00E30772"/>
    <w:rsid w:val="00E309CC"/>
    <w:rsid w:val="00E30C94"/>
    <w:rsid w:val="00E31ED7"/>
    <w:rsid w:val="00E32A3A"/>
    <w:rsid w:val="00E3322C"/>
    <w:rsid w:val="00E353DC"/>
    <w:rsid w:val="00E353EE"/>
    <w:rsid w:val="00E361DB"/>
    <w:rsid w:val="00E364E8"/>
    <w:rsid w:val="00E3669D"/>
    <w:rsid w:val="00E367C8"/>
    <w:rsid w:val="00E36B86"/>
    <w:rsid w:val="00E3738D"/>
    <w:rsid w:val="00E3797E"/>
    <w:rsid w:val="00E37BF0"/>
    <w:rsid w:val="00E37C11"/>
    <w:rsid w:val="00E37F2B"/>
    <w:rsid w:val="00E40667"/>
    <w:rsid w:val="00E43526"/>
    <w:rsid w:val="00E435F6"/>
    <w:rsid w:val="00E4367C"/>
    <w:rsid w:val="00E443C6"/>
    <w:rsid w:val="00E4687E"/>
    <w:rsid w:val="00E505DF"/>
    <w:rsid w:val="00E50722"/>
    <w:rsid w:val="00E50F0A"/>
    <w:rsid w:val="00E51B85"/>
    <w:rsid w:val="00E529E5"/>
    <w:rsid w:val="00E52ED4"/>
    <w:rsid w:val="00E55F05"/>
    <w:rsid w:val="00E56DA0"/>
    <w:rsid w:val="00E57C86"/>
    <w:rsid w:val="00E57DB7"/>
    <w:rsid w:val="00E602B4"/>
    <w:rsid w:val="00E6045C"/>
    <w:rsid w:val="00E619F0"/>
    <w:rsid w:val="00E61AB4"/>
    <w:rsid w:val="00E62E31"/>
    <w:rsid w:val="00E63958"/>
    <w:rsid w:val="00E63AE0"/>
    <w:rsid w:val="00E63CA0"/>
    <w:rsid w:val="00E64D84"/>
    <w:rsid w:val="00E65036"/>
    <w:rsid w:val="00E654B2"/>
    <w:rsid w:val="00E70EB9"/>
    <w:rsid w:val="00E718F5"/>
    <w:rsid w:val="00E72EE1"/>
    <w:rsid w:val="00E73132"/>
    <w:rsid w:val="00E734F3"/>
    <w:rsid w:val="00E73AB8"/>
    <w:rsid w:val="00E74164"/>
    <w:rsid w:val="00E74F29"/>
    <w:rsid w:val="00E75EA9"/>
    <w:rsid w:val="00E75F92"/>
    <w:rsid w:val="00E7609E"/>
    <w:rsid w:val="00E764EF"/>
    <w:rsid w:val="00E76509"/>
    <w:rsid w:val="00E76877"/>
    <w:rsid w:val="00E76C34"/>
    <w:rsid w:val="00E774CE"/>
    <w:rsid w:val="00E80098"/>
    <w:rsid w:val="00E8013F"/>
    <w:rsid w:val="00E80A2C"/>
    <w:rsid w:val="00E80E9D"/>
    <w:rsid w:val="00E81259"/>
    <w:rsid w:val="00E81916"/>
    <w:rsid w:val="00E82F0A"/>
    <w:rsid w:val="00E83767"/>
    <w:rsid w:val="00E83E2C"/>
    <w:rsid w:val="00E84023"/>
    <w:rsid w:val="00E8577D"/>
    <w:rsid w:val="00E859F6"/>
    <w:rsid w:val="00E85CF1"/>
    <w:rsid w:val="00E85F5A"/>
    <w:rsid w:val="00E863BF"/>
    <w:rsid w:val="00E86412"/>
    <w:rsid w:val="00E869BA"/>
    <w:rsid w:val="00E86D14"/>
    <w:rsid w:val="00E86D6D"/>
    <w:rsid w:val="00E90714"/>
    <w:rsid w:val="00E90A7D"/>
    <w:rsid w:val="00E915E5"/>
    <w:rsid w:val="00E924EA"/>
    <w:rsid w:val="00E92EB3"/>
    <w:rsid w:val="00E92FA2"/>
    <w:rsid w:val="00E940E9"/>
    <w:rsid w:val="00E94906"/>
    <w:rsid w:val="00E95A9F"/>
    <w:rsid w:val="00E96A0F"/>
    <w:rsid w:val="00E96ADA"/>
    <w:rsid w:val="00E96D53"/>
    <w:rsid w:val="00E9762B"/>
    <w:rsid w:val="00E976D9"/>
    <w:rsid w:val="00E97870"/>
    <w:rsid w:val="00EA1766"/>
    <w:rsid w:val="00EA24A2"/>
    <w:rsid w:val="00EA27BC"/>
    <w:rsid w:val="00EA293E"/>
    <w:rsid w:val="00EA330B"/>
    <w:rsid w:val="00EA3723"/>
    <w:rsid w:val="00EA372D"/>
    <w:rsid w:val="00EA3BBA"/>
    <w:rsid w:val="00EA3F07"/>
    <w:rsid w:val="00EA43FD"/>
    <w:rsid w:val="00EA57AB"/>
    <w:rsid w:val="00EA57EF"/>
    <w:rsid w:val="00EA612C"/>
    <w:rsid w:val="00EA619A"/>
    <w:rsid w:val="00EB0B73"/>
    <w:rsid w:val="00EB11CF"/>
    <w:rsid w:val="00EB1241"/>
    <w:rsid w:val="00EB1C65"/>
    <w:rsid w:val="00EB3304"/>
    <w:rsid w:val="00EB365A"/>
    <w:rsid w:val="00EB4781"/>
    <w:rsid w:val="00EB4C2F"/>
    <w:rsid w:val="00EB59E0"/>
    <w:rsid w:val="00EB628E"/>
    <w:rsid w:val="00EB631F"/>
    <w:rsid w:val="00EB6705"/>
    <w:rsid w:val="00EB67ED"/>
    <w:rsid w:val="00EB7507"/>
    <w:rsid w:val="00EC0659"/>
    <w:rsid w:val="00EC07EA"/>
    <w:rsid w:val="00EC1011"/>
    <w:rsid w:val="00EC1074"/>
    <w:rsid w:val="00EC134C"/>
    <w:rsid w:val="00EC19F6"/>
    <w:rsid w:val="00EC1E3C"/>
    <w:rsid w:val="00EC1F2E"/>
    <w:rsid w:val="00EC26E1"/>
    <w:rsid w:val="00EC30B6"/>
    <w:rsid w:val="00EC39C9"/>
    <w:rsid w:val="00EC3B51"/>
    <w:rsid w:val="00EC47CD"/>
    <w:rsid w:val="00EC7160"/>
    <w:rsid w:val="00EC76F7"/>
    <w:rsid w:val="00EC788C"/>
    <w:rsid w:val="00ED0A6F"/>
    <w:rsid w:val="00ED0DDF"/>
    <w:rsid w:val="00ED2065"/>
    <w:rsid w:val="00ED32C6"/>
    <w:rsid w:val="00ED3ECC"/>
    <w:rsid w:val="00ED4630"/>
    <w:rsid w:val="00ED46C9"/>
    <w:rsid w:val="00ED49A7"/>
    <w:rsid w:val="00ED49CE"/>
    <w:rsid w:val="00ED4E48"/>
    <w:rsid w:val="00ED4FDE"/>
    <w:rsid w:val="00ED572B"/>
    <w:rsid w:val="00ED5B34"/>
    <w:rsid w:val="00ED6032"/>
    <w:rsid w:val="00ED67E2"/>
    <w:rsid w:val="00ED766F"/>
    <w:rsid w:val="00ED7931"/>
    <w:rsid w:val="00EE059A"/>
    <w:rsid w:val="00EE1823"/>
    <w:rsid w:val="00EE1D97"/>
    <w:rsid w:val="00EE22D1"/>
    <w:rsid w:val="00EE2B28"/>
    <w:rsid w:val="00EE2BD1"/>
    <w:rsid w:val="00EE2CB4"/>
    <w:rsid w:val="00EE3D0D"/>
    <w:rsid w:val="00EE51DF"/>
    <w:rsid w:val="00EE58FE"/>
    <w:rsid w:val="00EE5E02"/>
    <w:rsid w:val="00EE5F41"/>
    <w:rsid w:val="00EE6654"/>
    <w:rsid w:val="00EE67E6"/>
    <w:rsid w:val="00EE6991"/>
    <w:rsid w:val="00EE69AB"/>
    <w:rsid w:val="00EE7989"/>
    <w:rsid w:val="00EF0440"/>
    <w:rsid w:val="00EF04D0"/>
    <w:rsid w:val="00EF10F5"/>
    <w:rsid w:val="00EF1733"/>
    <w:rsid w:val="00EF359F"/>
    <w:rsid w:val="00EF44AE"/>
    <w:rsid w:val="00EF4894"/>
    <w:rsid w:val="00EF5FF4"/>
    <w:rsid w:val="00EF63D8"/>
    <w:rsid w:val="00EF6883"/>
    <w:rsid w:val="00EF6F0C"/>
    <w:rsid w:val="00EF776F"/>
    <w:rsid w:val="00EF7885"/>
    <w:rsid w:val="00F0129B"/>
    <w:rsid w:val="00F01F5A"/>
    <w:rsid w:val="00F02CE2"/>
    <w:rsid w:val="00F03128"/>
    <w:rsid w:val="00F031DC"/>
    <w:rsid w:val="00F03FA9"/>
    <w:rsid w:val="00F044E9"/>
    <w:rsid w:val="00F065D4"/>
    <w:rsid w:val="00F07811"/>
    <w:rsid w:val="00F1000D"/>
    <w:rsid w:val="00F1057D"/>
    <w:rsid w:val="00F10E66"/>
    <w:rsid w:val="00F1190C"/>
    <w:rsid w:val="00F13CAD"/>
    <w:rsid w:val="00F142F3"/>
    <w:rsid w:val="00F14484"/>
    <w:rsid w:val="00F14A38"/>
    <w:rsid w:val="00F162ED"/>
    <w:rsid w:val="00F17B99"/>
    <w:rsid w:val="00F2135D"/>
    <w:rsid w:val="00F2262D"/>
    <w:rsid w:val="00F22CFF"/>
    <w:rsid w:val="00F249F2"/>
    <w:rsid w:val="00F25242"/>
    <w:rsid w:val="00F2601B"/>
    <w:rsid w:val="00F261FF"/>
    <w:rsid w:val="00F27824"/>
    <w:rsid w:val="00F27EDC"/>
    <w:rsid w:val="00F311A4"/>
    <w:rsid w:val="00F32237"/>
    <w:rsid w:val="00F32F71"/>
    <w:rsid w:val="00F3300E"/>
    <w:rsid w:val="00F343A6"/>
    <w:rsid w:val="00F3467A"/>
    <w:rsid w:val="00F34EAA"/>
    <w:rsid w:val="00F35959"/>
    <w:rsid w:val="00F3759D"/>
    <w:rsid w:val="00F37939"/>
    <w:rsid w:val="00F4014E"/>
    <w:rsid w:val="00F40768"/>
    <w:rsid w:val="00F40EA5"/>
    <w:rsid w:val="00F43008"/>
    <w:rsid w:val="00F433E1"/>
    <w:rsid w:val="00F44A53"/>
    <w:rsid w:val="00F45052"/>
    <w:rsid w:val="00F45419"/>
    <w:rsid w:val="00F45826"/>
    <w:rsid w:val="00F459F7"/>
    <w:rsid w:val="00F46616"/>
    <w:rsid w:val="00F46618"/>
    <w:rsid w:val="00F505D7"/>
    <w:rsid w:val="00F505E3"/>
    <w:rsid w:val="00F512F1"/>
    <w:rsid w:val="00F53EF3"/>
    <w:rsid w:val="00F540C2"/>
    <w:rsid w:val="00F545FC"/>
    <w:rsid w:val="00F55BA4"/>
    <w:rsid w:val="00F56280"/>
    <w:rsid w:val="00F5687B"/>
    <w:rsid w:val="00F574EE"/>
    <w:rsid w:val="00F57FD5"/>
    <w:rsid w:val="00F57FDE"/>
    <w:rsid w:val="00F601D4"/>
    <w:rsid w:val="00F6244F"/>
    <w:rsid w:val="00F62A22"/>
    <w:rsid w:val="00F64F46"/>
    <w:rsid w:val="00F650E8"/>
    <w:rsid w:val="00F651F5"/>
    <w:rsid w:val="00F656F1"/>
    <w:rsid w:val="00F65ABA"/>
    <w:rsid w:val="00F65EA2"/>
    <w:rsid w:val="00F66902"/>
    <w:rsid w:val="00F66E8A"/>
    <w:rsid w:val="00F67DCF"/>
    <w:rsid w:val="00F700D9"/>
    <w:rsid w:val="00F702DB"/>
    <w:rsid w:val="00F70EDD"/>
    <w:rsid w:val="00F71A3F"/>
    <w:rsid w:val="00F71C5B"/>
    <w:rsid w:val="00F71D46"/>
    <w:rsid w:val="00F72060"/>
    <w:rsid w:val="00F73682"/>
    <w:rsid w:val="00F73717"/>
    <w:rsid w:val="00F754E7"/>
    <w:rsid w:val="00F76023"/>
    <w:rsid w:val="00F767E6"/>
    <w:rsid w:val="00F770D5"/>
    <w:rsid w:val="00F775F7"/>
    <w:rsid w:val="00F77F2F"/>
    <w:rsid w:val="00F80961"/>
    <w:rsid w:val="00F81513"/>
    <w:rsid w:val="00F815DE"/>
    <w:rsid w:val="00F82C2C"/>
    <w:rsid w:val="00F82EFD"/>
    <w:rsid w:val="00F834A0"/>
    <w:rsid w:val="00F8363D"/>
    <w:rsid w:val="00F83899"/>
    <w:rsid w:val="00F839F8"/>
    <w:rsid w:val="00F84568"/>
    <w:rsid w:val="00F8459F"/>
    <w:rsid w:val="00F85492"/>
    <w:rsid w:val="00F85913"/>
    <w:rsid w:val="00F85972"/>
    <w:rsid w:val="00F861B3"/>
    <w:rsid w:val="00F869A5"/>
    <w:rsid w:val="00F87263"/>
    <w:rsid w:val="00F875A0"/>
    <w:rsid w:val="00F90E0A"/>
    <w:rsid w:val="00F93AC7"/>
    <w:rsid w:val="00F94050"/>
    <w:rsid w:val="00F943D1"/>
    <w:rsid w:val="00F948E0"/>
    <w:rsid w:val="00F94AE3"/>
    <w:rsid w:val="00F94CF9"/>
    <w:rsid w:val="00F960A3"/>
    <w:rsid w:val="00FA0244"/>
    <w:rsid w:val="00FA0618"/>
    <w:rsid w:val="00FA1DC6"/>
    <w:rsid w:val="00FA2E23"/>
    <w:rsid w:val="00FA2F2B"/>
    <w:rsid w:val="00FA30FB"/>
    <w:rsid w:val="00FA3D10"/>
    <w:rsid w:val="00FA411F"/>
    <w:rsid w:val="00FA6381"/>
    <w:rsid w:val="00FB081F"/>
    <w:rsid w:val="00FB0F6A"/>
    <w:rsid w:val="00FB141F"/>
    <w:rsid w:val="00FB18E5"/>
    <w:rsid w:val="00FB198B"/>
    <w:rsid w:val="00FB1D0E"/>
    <w:rsid w:val="00FB29B7"/>
    <w:rsid w:val="00FB2F24"/>
    <w:rsid w:val="00FB73C1"/>
    <w:rsid w:val="00FC05B6"/>
    <w:rsid w:val="00FC119A"/>
    <w:rsid w:val="00FC1786"/>
    <w:rsid w:val="00FC1E06"/>
    <w:rsid w:val="00FC20E1"/>
    <w:rsid w:val="00FC264D"/>
    <w:rsid w:val="00FC28B3"/>
    <w:rsid w:val="00FC319F"/>
    <w:rsid w:val="00FC3280"/>
    <w:rsid w:val="00FD0D7E"/>
    <w:rsid w:val="00FD1B43"/>
    <w:rsid w:val="00FD3AFF"/>
    <w:rsid w:val="00FD4BFE"/>
    <w:rsid w:val="00FD4D6E"/>
    <w:rsid w:val="00FD4E17"/>
    <w:rsid w:val="00FD5AA9"/>
    <w:rsid w:val="00FD5E65"/>
    <w:rsid w:val="00FD6383"/>
    <w:rsid w:val="00FD67A3"/>
    <w:rsid w:val="00FD7B25"/>
    <w:rsid w:val="00FE02F2"/>
    <w:rsid w:val="00FE1452"/>
    <w:rsid w:val="00FE151A"/>
    <w:rsid w:val="00FE15B8"/>
    <w:rsid w:val="00FE1F9E"/>
    <w:rsid w:val="00FE21EE"/>
    <w:rsid w:val="00FE3337"/>
    <w:rsid w:val="00FE34FC"/>
    <w:rsid w:val="00FE3ACB"/>
    <w:rsid w:val="00FE466A"/>
    <w:rsid w:val="00FE4B0F"/>
    <w:rsid w:val="00FE57B2"/>
    <w:rsid w:val="00FE5995"/>
    <w:rsid w:val="00FE73C6"/>
    <w:rsid w:val="00FE787B"/>
    <w:rsid w:val="00FE7A65"/>
    <w:rsid w:val="00FE7E41"/>
    <w:rsid w:val="00FF05AA"/>
    <w:rsid w:val="00FF0646"/>
    <w:rsid w:val="00FF0C64"/>
    <w:rsid w:val="00FF0F35"/>
    <w:rsid w:val="00FF0FE0"/>
    <w:rsid w:val="00FF3212"/>
    <w:rsid w:val="00FF4037"/>
    <w:rsid w:val="00FF4D84"/>
    <w:rsid w:val="00FF4ECB"/>
    <w:rsid w:val="00FF522A"/>
    <w:rsid w:val="00FF5BC8"/>
    <w:rsid w:val="00FF7AD4"/>
    <w:rsid w:val="01B3A939"/>
    <w:rsid w:val="02579086"/>
    <w:rsid w:val="029CDA0E"/>
    <w:rsid w:val="02C3C3ED"/>
    <w:rsid w:val="02CA6F08"/>
    <w:rsid w:val="03A09D90"/>
    <w:rsid w:val="04665BCF"/>
    <w:rsid w:val="052A92EF"/>
    <w:rsid w:val="054010B1"/>
    <w:rsid w:val="06C0A8E8"/>
    <w:rsid w:val="0868DFF9"/>
    <w:rsid w:val="09054A22"/>
    <w:rsid w:val="092971D4"/>
    <w:rsid w:val="092C2815"/>
    <w:rsid w:val="09389E02"/>
    <w:rsid w:val="09500FE3"/>
    <w:rsid w:val="096896E4"/>
    <w:rsid w:val="0A6456C5"/>
    <w:rsid w:val="0BEF1E25"/>
    <w:rsid w:val="0C0CF574"/>
    <w:rsid w:val="0C262F8D"/>
    <w:rsid w:val="0C2CAB60"/>
    <w:rsid w:val="0C58DCCF"/>
    <w:rsid w:val="0CED2B83"/>
    <w:rsid w:val="0D27A536"/>
    <w:rsid w:val="0DA5270A"/>
    <w:rsid w:val="0ED80C3F"/>
    <w:rsid w:val="0F09F7AF"/>
    <w:rsid w:val="0FC91571"/>
    <w:rsid w:val="0FFABAED"/>
    <w:rsid w:val="10298641"/>
    <w:rsid w:val="11FA7BB6"/>
    <w:rsid w:val="121CFEE0"/>
    <w:rsid w:val="126E4821"/>
    <w:rsid w:val="12A5A79B"/>
    <w:rsid w:val="12B1DF27"/>
    <w:rsid w:val="132A7B8E"/>
    <w:rsid w:val="133CEBB6"/>
    <w:rsid w:val="13693560"/>
    <w:rsid w:val="138253BF"/>
    <w:rsid w:val="1584D882"/>
    <w:rsid w:val="16006CF8"/>
    <w:rsid w:val="1679E94D"/>
    <w:rsid w:val="1711B803"/>
    <w:rsid w:val="17353576"/>
    <w:rsid w:val="176B62C1"/>
    <w:rsid w:val="176E10E7"/>
    <w:rsid w:val="178F5732"/>
    <w:rsid w:val="17C92A78"/>
    <w:rsid w:val="1860C0EC"/>
    <w:rsid w:val="18C4CB71"/>
    <w:rsid w:val="19748685"/>
    <w:rsid w:val="1A6A3BD7"/>
    <w:rsid w:val="1A6B7B56"/>
    <w:rsid w:val="1AC624BD"/>
    <w:rsid w:val="1AF093D2"/>
    <w:rsid w:val="1C574A9C"/>
    <w:rsid w:val="1DBD5A95"/>
    <w:rsid w:val="1DEF9CBD"/>
    <w:rsid w:val="1EB62794"/>
    <w:rsid w:val="1F1F044E"/>
    <w:rsid w:val="1F7A02D9"/>
    <w:rsid w:val="20277DCD"/>
    <w:rsid w:val="20A16B25"/>
    <w:rsid w:val="20D68803"/>
    <w:rsid w:val="20D785CF"/>
    <w:rsid w:val="21294C84"/>
    <w:rsid w:val="21901584"/>
    <w:rsid w:val="22472F43"/>
    <w:rsid w:val="226A3908"/>
    <w:rsid w:val="2408363A"/>
    <w:rsid w:val="2444A764"/>
    <w:rsid w:val="25E21B05"/>
    <w:rsid w:val="261CA175"/>
    <w:rsid w:val="26FB43ED"/>
    <w:rsid w:val="27088D4D"/>
    <w:rsid w:val="27195CC9"/>
    <w:rsid w:val="27376D9D"/>
    <w:rsid w:val="273C4F91"/>
    <w:rsid w:val="2742D5CA"/>
    <w:rsid w:val="27D62CBF"/>
    <w:rsid w:val="2866EEA3"/>
    <w:rsid w:val="290D1E28"/>
    <w:rsid w:val="296A4D75"/>
    <w:rsid w:val="29718873"/>
    <w:rsid w:val="29F575A4"/>
    <w:rsid w:val="2AABC98C"/>
    <w:rsid w:val="2AD4CB71"/>
    <w:rsid w:val="2AE93897"/>
    <w:rsid w:val="2B6FE7E1"/>
    <w:rsid w:val="2C2FA080"/>
    <w:rsid w:val="2D5BB4C3"/>
    <w:rsid w:val="2D67C8C9"/>
    <w:rsid w:val="2DDC6DFC"/>
    <w:rsid w:val="2DEFEBC5"/>
    <w:rsid w:val="2E413DD4"/>
    <w:rsid w:val="2EFB3649"/>
    <w:rsid w:val="2FA18AFA"/>
    <w:rsid w:val="2FFD9CC4"/>
    <w:rsid w:val="300BFC51"/>
    <w:rsid w:val="3237F7AF"/>
    <w:rsid w:val="32C4EF1A"/>
    <w:rsid w:val="3348ED85"/>
    <w:rsid w:val="3382DC31"/>
    <w:rsid w:val="33C774D6"/>
    <w:rsid w:val="34222180"/>
    <w:rsid w:val="342DFE7E"/>
    <w:rsid w:val="34602803"/>
    <w:rsid w:val="351B177A"/>
    <w:rsid w:val="35B8C7DD"/>
    <w:rsid w:val="370C4D48"/>
    <w:rsid w:val="37A41701"/>
    <w:rsid w:val="37E3DBB0"/>
    <w:rsid w:val="38560938"/>
    <w:rsid w:val="38DA045E"/>
    <w:rsid w:val="39133DD8"/>
    <w:rsid w:val="393D813F"/>
    <w:rsid w:val="39FEBE30"/>
    <w:rsid w:val="3AC026EE"/>
    <w:rsid w:val="3AE5E82E"/>
    <w:rsid w:val="3B50D95A"/>
    <w:rsid w:val="3B70BA02"/>
    <w:rsid w:val="3B873875"/>
    <w:rsid w:val="3BC7CB3E"/>
    <w:rsid w:val="3C0FF10C"/>
    <w:rsid w:val="3CE6C807"/>
    <w:rsid w:val="3E10D50D"/>
    <w:rsid w:val="3E61054D"/>
    <w:rsid w:val="3E886651"/>
    <w:rsid w:val="3EEAC05A"/>
    <w:rsid w:val="3F199F37"/>
    <w:rsid w:val="3FA52D72"/>
    <w:rsid w:val="3FBFF823"/>
    <w:rsid w:val="400D4737"/>
    <w:rsid w:val="40521370"/>
    <w:rsid w:val="41A25CB7"/>
    <w:rsid w:val="436898BB"/>
    <w:rsid w:val="43BFC1BA"/>
    <w:rsid w:val="44B65EFF"/>
    <w:rsid w:val="44BB42BC"/>
    <w:rsid w:val="4568C965"/>
    <w:rsid w:val="46B89541"/>
    <w:rsid w:val="46F9FCBF"/>
    <w:rsid w:val="47221EA0"/>
    <w:rsid w:val="476FE04D"/>
    <w:rsid w:val="478C2C72"/>
    <w:rsid w:val="47C0269D"/>
    <w:rsid w:val="47C3BE64"/>
    <w:rsid w:val="480D29B9"/>
    <w:rsid w:val="489ED15A"/>
    <w:rsid w:val="48B74B0F"/>
    <w:rsid w:val="4967F98D"/>
    <w:rsid w:val="499D4018"/>
    <w:rsid w:val="4ADD094E"/>
    <w:rsid w:val="4AE0F948"/>
    <w:rsid w:val="4B0A87DD"/>
    <w:rsid w:val="4B5A1AAE"/>
    <w:rsid w:val="4C1889BD"/>
    <w:rsid w:val="4C2A1871"/>
    <w:rsid w:val="4C3D310C"/>
    <w:rsid w:val="4CA68E59"/>
    <w:rsid w:val="4CDC54D5"/>
    <w:rsid w:val="4FBF0F27"/>
    <w:rsid w:val="4FF685C0"/>
    <w:rsid w:val="501928EC"/>
    <w:rsid w:val="5049DE80"/>
    <w:rsid w:val="506A48EE"/>
    <w:rsid w:val="5094184D"/>
    <w:rsid w:val="50F3E92B"/>
    <w:rsid w:val="5192484A"/>
    <w:rsid w:val="51D45AAE"/>
    <w:rsid w:val="524E5344"/>
    <w:rsid w:val="5285695B"/>
    <w:rsid w:val="52938B38"/>
    <w:rsid w:val="53976844"/>
    <w:rsid w:val="539DA4D2"/>
    <w:rsid w:val="5415C3C7"/>
    <w:rsid w:val="549A1E99"/>
    <w:rsid w:val="54A88B88"/>
    <w:rsid w:val="54EF7D46"/>
    <w:rsid w:val="553B4EFE"/>
    <w:rsid w:val="56170521"/>
    <w:rsid w:val="56812426"/>
    <w:rsid w:val="56DC6D56"/>
    <w:rsid w:val="57150AD0"/>
    <w:rsid w:val="572EF359"/>
    <w:rsid w:val="57A141BF"/>
    <w:rsid w:val="57A263F9"/>
    <w:rsid w:val="57B7B24D"/>
    <w:rsid w:val="5852333C"/>
    <w:rsid w:val="586B5E8C"/>
    <w:rsid w:val="589B4829"/>
    <w:rsid w:val="589FBE49"/>
    <w:rsid w:val="58A9F642"/>
    <w:rsid w:val="5974AF3D"/>
    <w:rsid w:val="5A93F9C9"/>
    <w:rsid w:val="5B0992EE"/>
    <w:rsid w:val="5B5BA06C"/>
    <w:rsid w:val="5B797748"/>
    <w:rsid w:val="5BFD2310"/>
    <w:rsid w:val="5C2BC0CD"/>
    <w:rsid w:val="5D24E6DF"/>
    <w:rsid w:val="5DCD5E1F"/>
    <w:rsid w:val="5DFC7C96"/>
    <w:rsid w:val="5ECD98BA"/>
    <w:rsid w:val="5EE870E4"/>
    <w:rsid w:val="5EF074B7"/>
    <w:rsid w:val="5F16717A"/>
    <w:rsid w:val="5F355B4A"/>
    <w:rsid w:val="5F94E2B4"/>
    <w:rsid w:val="60121A7C"/>
    <w:rsid w:val="60397369"/>
    <w:rsid w:val="61D055E2"/>
    <w:rsid w:val="61F986F2"/>
    <w:rsid w:val="6217AFFA"/>
    <w:rsid w:val="62868C74"/>
    <w:rsid w:val="634EEBB5"/>
    <w:rsid w:val="6478B1DA"/>
    <w:rsid w:val="64B558A2"/>
    <w:rsid w:val="6582DAB7"/>
    <w:rsid w:val="65B20294"/>
    <w:rsid w:val="6607CF00"/>
    <w:rsid w:val="6692110C"/>
    <w:rsid w:val="66C0E4D0"/>
    <w:rsid w:val="67C10CC1"/>
    <w:rsid w:val="67E86F76"/>
    <w:rsid w:val="681336A5"/>
    <w:rsid w:val="683022A4"/>
    <w:rsid w:val="684DEAB8"/>
    <w:rsid w:val="688D3BB5"/>
    <w:rsid w:val="68D89A55"/>
    <w:rsid w:val="68E4C910"/>
    <w:rsid w:val="695DB340"/>
    <w:rsid w:val="6972F9BC"/>
    <w:rsid w:val="69DC7F9A"/>
    <w:rsid w:val="6AF0F774"/>
    <w:rsid w:val="6B580449"/>
    <w:rsid w:val="6C38BC78"/>
    <w:rsid w:val="6F45266B"/>
    <w:rsid w:val="6F571E72"/>
    <w:rsid w:val="6F9D5ABC"/>
    <w:rsid w:val="700F1C5C"/>
    <w:rsid w:val="708802C8"/>
    <w:rsid w:val="70B6326A"/>
    <w:rsid w:val="70BD3A7D"/>
    <w:rsid w:val="70D9ABB8"/>
    <w:rsid w:val="70E80BE5"/>
    <w:rsid w:val="711A4C16"/>
    <w:rsid w:val="71C1EA0B"/>
    <w:rsid w:val="721563D4"/>
    <w:rsid w:val="722C994B"/>
    <w:rsid w:val="725202CB"/>
    <w:rsid w:val="72955A05"/>
    <w:rsid w:val="72BBBCB6"/>
    <w:rsid w:val="73AC8716"/>
    <w:rsid w:val="745FC2DE"/>
    <w:rsid w:val="74E8439A"/>
    <w:rsid w:val="74F0F84D"/>
    <w:rsid w:val="75CA05DF"/>
    <w:rsid w:val="76DC3662"/>
    <w:rsid w:val="77DD0710"/>
    <w:rsid w:val="78568AC2"/>
    <w:rsid w:val="7A54E73E"/>
    <w:rsid w:val="7A59128C"/>
    <w:rsid w:val="7A7DC032"/>
    <w:rsid w:val="7AF45B07"/>
    <w:rsid w:val="7B0B476E"/>
    <w:rsid w:val="7D0E98B0"/>
    <w:rsid w:val="7E49C9EF"/>
    <w:rsid w:val="7E5BA8F5"/>
    <w:rsid w:val="7E69CF8C"/>
    <w:rsid w:val="7FDEA6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62580"/>
  <w15:chartTrackingRefBased/>
  <w15:docId w15:val="{4C07970D-8222-4822-9969-DBC0C72E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E"/>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spacing w:after="200"/>
      <w:ind w:left="284" w:hanging="284"/>
      <w:contextualSpacing/>
    </w:pPr>
  </w:style>
  <w:style w:type="paragraph" w:styleId="ListBullet2">
    <w:name w:val="List Bullet 2"/>
    <w:basedOn w:val="Normal"/>
    <w:uiPriority w:val="98"/>
    <w:qFormat/>
    <w:rsid w:val="00C75706"/>
    <w:pPr>
      <w:numPr>
        <w:ilvl w:val="1"/>
        <w:numId w:val="13"/>
      </w:numPr>
      <w:spacing w:after="200"/>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623A5B"/>
    <w:pPr>
      <w:ind w:left="720"/>
      <w:contextualSpacing/>
    </w:pPr>
  </w:style>
  <w:style w:type="paragraph" w:customStyle="1" w:styleId="Default">
    <w:name w:val="Default"/>
    <w:rsid w:val="008B5EF5"/>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2">
    <w:name w:val="Pa2"/>
    <w:basedOn w:val="Default"/>
    <w:next w:val="Default"/>
    <w:uiPriority w:val="99"/>
    <w:rsid w:val="008B5EF5"/>
    <w:pPr>
      <w:spacing w:line="221" w:lineRule="atLeast"/>
    </w:pPr>
    <w:rPr>
      <w:rFonts w:cstheme="minorBidi"/>
      <w:color w:val="auto"/>
    </w:rPr>
  </w:style>
  <w:style w:type="character" w:customStyle="1" w:styleId="A12">
    <w:name w:val="A12"/>
    <w:uiPriority w:val="99"/>
    <w:rsid w:val="008B5EF5"/>
    <w:rPr>
      <w:rFonts w:cs="Myriad Pro Light"/>
      <w:color w:val="000000"/>
      <w:sz w:val="22"/>
      <w:szCs w:val="22"/>
    </w:rPr>
  </w:style>
  <w:style w:type="character" w:styleId="CommentReference">
    <w:name w:val="annotation reference"/>
    <w:basedOn w:val="DefaultParagraphFont"/>
    <w:uiPriority w:val="99"/>
    <w:semiHidden/>
    <w:unhideWhenUsed/>
    <w:rsid w:val="009C5F81"/>
    <w:rPr>
      <w:sz w:val="16"/>
      <w:szCs w:val="16"/>
    </w:rPr>
  </w:style>
  <w:style w:type="paragraph" w:styleId="CommentText">
    <w:name w:val="annotation text"/>
    <w:basedOn w:val="Normal"/>
    <w:link w:val="CommentTextChar"/>
    <w:uiPriority w:val="99"/>
    <w:unhideWhenUsed/>
    <w:rsid w:val="009C5F81"/>
    <w:pPr>
      <w:spacing w:line="240" w:lineRule="auto"/>
    </w:pPr>
    <w:rPr>
      <w:sz w:val="20"/>
      <w:szCs w:val="20"/>
    </w:rPr>
  </w:style>
  <w:style w:type="character" w:customStyle="1" w:styleId="CommentTextChar">
    <w:name w:val="Comment Text Char"/>
    <w:basedOn w:val="DefaultParagraphFont"/>
    <w:link w:val="CommentText"/>
    <w:uiPriority w:val="99"/>
    <w:rsid w:val="009C5F81"/>
    <w:rPr>
      <w:sz w:val="20"/>
      <w:szCs w:val="20"/>
    </w:rPr>
  </w:style>
  <w:style w:type="paragraph" w:styleId="CommentSubject">
    <w:name w:val="annotation subject"/>
    <w:basedOn w:val="CommentText"/>
    <w:next w:val="CommentText"/>
    <w:link w:val="CommentSubjectChar"/>
    <w:uiPriority w:val="99"/>
    <w:semiHidden/>
    <w:unhideWhenUsed/>
    <w:rsid w:val="009C5F81"/>
    <w:rPr>
      <w:b/>
      <w:bCs/>
    </w:rPr>
  </w:style>
  <w:style w:type="character" w:customStyle="1" w:styleId="CommentSubjectChar">
    <w:name w:val="Comment Subject Char"/>
    <w:basedOn w:val="CommentTextChar"/>
    <w:link w:val="CommentSubject"/>
    <w:uiPriority w:val="99"/>
    <w:semiHidden/>
    <w:rsid w:val="009C5F81"/>
    <w:rPr>
      <w:b/>
      <w:bCs/>
      <w:sz w:val="20"/>
      <w:szCs w:val="20"/>
    </w:rPr>
  </w:style>
  <w:style w:type="paragraph" w:styleId="Revision">
    <w:name w:val="Revision"/>
    <w:hidden/>
    <w:uiPriority w:val="99"/>
    <w:semiHidden/>
    <w:rsid w:val="00851118"/>
    <w:pPr>
      <w:spacing w:after="0" w:line="240" w:lineRule="auto"/>
    </w:pPr>
  </w:style>
  <w:style w:type="character" w:styleId="Mention">
    <w:name w:val="Mention"/>
    <w:basedOn w:val="DefaultParagraphFont"/>
    <w:uiPriority w:val="99"/>
    <w:unhideWhenUsed/>
    <w:rsid w:val="006968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936">
      <w:bodyDiv w:val="1"/>
      <w:marLeft w:val="0"/>
      <w:marRight w:val="0"/>
      <w:marTop w:val="0"/>
      <w:marBottom w:val="0"/>
      <w:divBdr>
        <w:top w:val="none" w:sz="0" w:space="0" w:color="auto"/>
        <w:left w:val="none" w:sz="0" w:space="0" w:color="auto"/>
        <w:bottom w:val="none" w:sz="0" w:space="0" w:color="auto"/>
        <w:right w:val="none" w:sz="0" w:space="0" w:color="auto"/>
      </w:divBdr>
      <w:divsChild>
        <w:div w:id="657734387">
          <w:marLeft w:val="0"/>
          <w:marRight w:val="0"/>
          <w:marTop w:val="0"/>
          <w:marBottom w:val="0"/>
          <w:divBdr>
            <w:top w:val="none" w:sz="0" w:space="0" w:color="auto"/>
            <w:left w:val="none" w:sz="0" w:space="0" w:color="auto"/>
            <w:bottom w:val="none" w:sz="0" w:space="0" w:color="auto"/>
            <w:right w:val="none" w:sz="0" w:space="0" w:color="auto"/>
          </w:divBdr>
        </w:div>
        <w:div w:id="831412218">
          <w:marLeft w:val="0"/>
          <w:marRight w:val="0"/>
          <w:marTop w:val="0"/>
          <w:marBottom w:val="0"/>
          <w:divBdr>
            <w:top w:val="none" w:sz="0" w:space="0" w:color="auto"/>
            <w:left w:val="none" w:sz="0" w:space="0" w:color="auto"/>
            <w:bottom w:val="none" w:sz="0" w:space="0" w:color="auto"/>
            <w:right w:val="none" w:sz="0" w:space="0" w:color="auto"/>
          </w:divBdr>
        </w:div>
        <w:div w:id="1021585033">
          <w:marLeft w:val="0"/>
          <w:marRight w:val="0"/>
          <w:marTop w:val="0"/>
          <w:marBottom w:val="0"/>
          <w:divBdr>
            <w:top w:val="none" w:sz="0" w:space="0" w:color="auto"/>
            <w:left w:val="none" w:sz="0" w:space="0" w:color="auto"/>
            <w:bottom w:val="none" w:sz="0" w:space="0" w:color="auto"/>
            <w:right w:val="none" w:sz="0" w:space="0" w:color="auto"/>
          </w:divBdr>
        </w:div>
        <w:div w:id="1893882597">
          <w:marLeft w:val="0"/>
          <w:marRight w:val="0"/>
          <w:marTop w:val="0"/>
          <w:marBottom w:val="0"/>
          <w:divBdr>
            <w:top w:val="none" w:sz="0" w:space="0" w:color="auto"/>
            <w:left w:val="none" w:sz="0" w:space="0" w:color="auto"/>
            <w:bottom w:val="none" w:sz="0" w:space="0" w:color="auto"/>
            <w:right w:val="none" w:sz="0" w:space="0" w:color="auto"/>
          </w:divBdr>
        </w:div>
      </w:divsChild>
    </w:div>
    <w:div w:id="1100220956">
      <w:bodyDiv w:val="1"/>
      <w:marLeft w:val="0"/>
      <w:marRight w:val="0"/>
      <w:marTop w:val="0"/>
      <w:marBottom w:val="0"/>
      <w:divBdr>
        <w:top w:val="none" w:sz="0" w:space="0" w:color="auto"/>
        <w:left w:val="none" w:sz="0" w:space="0" w:color="auto"/>
        <w:bottom w:val="none" w:sz="0" w:space="0" w:color="auto"/>
        <w:right w:val="none" w:sz="0" w:space="0" w:color="auto"/>
      </w:divBdr>
    </w:div>
    <w:div w:id="1658413867">
      <w:bodyDiv w:val="1"/>
      <w:marLeft w:val="0"/>
      <w:marRight w:val="0"/>
      <w:marTop w:val="0"/>
      <w:marBottom w:val="0"/>
      <w:divBdr>
        <w:top w:val="none" w:sz="0" w:space="0" w:color="auto"/>
        <w:left w:val="none" w:sz="0" w:space="0" w:color="auto"/>
        <w:bottom w:val="none" w:sz="0" w:space="0" w:color="auto"/>
        <w:right w:val="none" w:sz="0" w:space="0" w:color="auto"/>
      </w:divBdr>
    </w:div>
    <w:div w:id="1850829500">
      <w:bodyDiv w:val="1"/>
      <w:marLeft w:val="0"/>
      <w:marRight w:val="0"/>
      <w:marTop w:val="0"/>
      <w:marBottom w:val="0"/>
      <w:divBdr>
        <w:top w:val="none" w:sz="0" w:space="0" w:color="auto"/>
        <w:left w:val="none" w:sz="0" w:space="0" w:color="auto"/>
        <w:bottom w:val="none" w:sz="0" w:space="0" w:color="auto"/>
        <w:right w:val="none" w:sz="0" w:space="0" w:color="auto"/>
      </w:divBdr>
    </w:div>
    <w:div w:id="21189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yriad Pro Light">
    <w:altName w:val="Yu Gothic"/>
    <w:panose1 w:val="00000000000000000000"/>
    <w:charset w:val="80"/>
    <w:family w:val="swiss"/>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40BAF"/>
    <w:rsid w:val="00045035"/>
    <w:rsid w:val="000A37F8"/>
    <w:rsid w:val="000E1B39"/>
    <w:rsid w:val="000E264E"/>
    <w:rsid w:val="000E5B35"/>
    <w:rsid w:val="00185971"/>
    <w:rsid w:val="00290491"/>
    <w:rsid w:val="002B3ACA"/>
    <w:rsid w:val="002E160C"/>
    <w:rsid w:val="00330F21"/>
    <w:rsid w:val="00380EB8"/>
    <w:rsid w:val="004125B5"/>
    <w:rsid w:val="004224D7"/>
    <w:rsid w:val="00445249"/>
    <w:rsid w:val="004541F0"/>
    <w:rsid w:val="00490E9B"/>
    <w:rsid w:val="00510FE3"/>
    <w:rsid w:val="00516A01"/>
    <w:rsid w:val="00535B4A"/>
    <w:rsid w:val="005B07A6"/>
    <w:rsid w:val="00750C03"/>
    <w:rsid w:val="007514B5"/>
    <w:rsid w:val="00785B1E"/>
    <w:rsid w:val="007B499C"/>
    <w:rsid w:val="007E0DE4"/>
    <w:rsid w:val="008E0B25"/>
    <w:rsid w:val="00934B80"/>
    <w:rsid w:val="009646B1"/>
    <w:rsid w:val="009C2CC0"/>
    <w:rsid w:val="009F67CE"/>
    <w:rsid w:val="00B774AF"/>
    <w:rsid w:val="00BD0816"/>
    <w:rsid w:val="00C65142"/>
    <w:rsid w:val="00CE37CA"/>
    <w:rsid w:val="00E63958"/>
    <w:rsid w:val="00EB63CD"/>
    <w:rsid w:val="00F3059A"/>
    <w:rsid w:val="00F771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c068a97b8ceb20e12cbe3121a0351198">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35e375e3188a1762dbc685d1bd5b9f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72cac6-940c-4742-b333-53bc562b4053">
      <Terms xmlns="http://schemas.microsoft.com/office/infopath/2007/PartnerControls"/>
    </lcf76f155ced4ddcb4097134ff3c332f>
    <TaxCatchAll xmlns="c35adfce-f9b0-4566-a0fa-e4f70df87b41" xsi:nil="true"/>
    <SharedWithUsers xmlns="c35adfce-f9b0-4566-a0fa-e4f70df87b41">
      <UserInfo>
        <DisplayName>HERD,Andrew</DisplayName>
        <AccountId>22</AccountId>
        <AccountType/>
      </UserInfo>
      <UserInfo>
        <DisplayName>MARTIN,Alex</DisplayName>
        <AccountId>41</AccountId>
        <AccountType/>
      </UserInfo>
      <UserInfo>
        <DisplayName>GOO,Siwei</DisplayName>
        <AccountId>596</AccountId>
        <AccountType/>
      </UserInfo>
      <UserInfo>
        <DisplayName>CANNELL,Annette</DisplayName>
        <AccountId>112</AccountId>
        <AccountType/>
      </UserInfo>
      <UserInfo>
        <DisplayName>HAN,Yong-Shen</DisplayName>
        <AccountId>148</AccountId>
        <AccountType/>
      </UserInfo>
      <UserInfo>
        <DisplayName>FISHER,Elliot</DisplayName>
        <AccountId>517</AccountId>
        <AccountType/>
      </UserInfo>
      <UserInfo>
        <DisplayName>DIMITRIADIS,Kimberley</DisplayName>
        <AccountId>192</AccountId>
        <AccountType/>
      </UserInfo>
      <UserInfo>
        <DisplayName>VICENTE,Rowena</DisplayName>
        <AccountId>534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731E5-FC58-47D3-AFCE-2D2F85C5C0B0}"/>
</file>

<file path=customXml/itemProps2.xml><?xml version="1.0" encoding="utf-8"?>
<ds:datastoreItem xmlns:ds="http://schemas.openxmlformats.org/officeDocument/2006/customXml" ds:itemID="{CCD08D62-94D2-48EF-A5CA-D0A04C0A5BF4}">
  <ds:schemaRefs>
    <ds:schemaRef ds:uri="150ed607-d011-45d5-8216-b1990882b9c0"/>
    <ds:schemaRef ds:uri="http://purl.org/dc/term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4a9c6c2e-cc90-47c0-be42-0b97b97642c0"/>
    <ds:schemaRef ds:uri="http://schemas.microsoft.com/office/2006/metadata/properties"/>
  </ds:schemaRefs>
</ds:datastoreItem>
</file>

<file path=customXml/itemProps3.xml><?xml version="1.0" encoding="utf-8"?>
<ds:datastoreItem xmlns:ds="http://schemas.openxmlformats.org/officeDocument/2006/customXml" ds:itemID="{43ADA65C-95D8-464B-8F57-40A3A2AD5AA5}">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2155</Words>
  <Characters>11853</Characters>
  <Application>Microsoft Office Word</Application>
  <DocSecurity>0</DocSecurity>
  <Lines>188</Lines>
  <Paragraphs>67</Paragraphs>
  <ScaleCrop>false</ScaleCrop>
  <HeadingPairs>
    <vt:vector size="2" baseType="variant">
      <vt:variant>
        <vt:lpstr>Title</vt:lpstr>
      </vt:variant>
      <vt:variant>
        <vt:i4>1</vt:i4>
      </vt:variant>
    </vt:vector>
  </HeadingPairs>
  <TitlesOfParts>
    <vt:vector size="1" baseType="lpstr">
      <vt:lpstr>New Managed Growth Funding</vt:lpstr>
    </vt:vector>
  </TitlesOfParts>
  <Company/>
  <LinksUpToDate>false</LinksUpToDate>
  <CharactersWithSpaces>13941</CharactersWithSpaces>
  <SharedDoc>false</SharedDoc>
  <HLinks>
    <vt:vector size="24" baseType="variant">
      <vt:variant>
        <vt:i4>6422606</vt:i4>
      </vt:variant>
      <vt:variant>
        <vt:i4>9</vt:i4>
      </vt:variant>
      <vt:variant>
        <vt:i4>0</vt:i4>
      </vt:variant>
      <vt:variant>
        <vt:i4>5</vt:i4>
      </vt:variant>
      <vt:variant>
        <vt:lpwstr>mailto:Danielle.Donegan@education.gov.au</vt:lpwstr>
      </vt:variant>
      <vt:variant>
        <vt:lpwstr/>
      </vt:variant>
      <vt:variant>
        <vt:i4>2818056</vt:i4>
      </vt:variant>
      <vt:variant>
        <vt:i4>6</vt:i4>
      </vt:variant>
      <vt:variant>
        <vt:i4>0</vt:i4>
      </vt:variant>
      <vt:variant>
        <vt:i4>5</vt:i4>
      </vt:variant>
      <vt:variant>
        <vt:lpwstr>mailto:Andrew.Herd@education.gov.au</vt:lpwstr>
      </vt:variant>
      <vt:variant>
        <vt:lpwstr/>
      </vt:variant>
      <vt:variant>
        <vt:i4>2818056</vt:i4>
      </vt:variant>
      <vt:variant>
        <vt:i4>3</vt:i4>
      </vt:variant>
      <vt:variant>
        <vt:i4>0</vt:i4>
      </vt:variant>
      <vt:variant>
        <vt:i4>5</vt:i4>
      </vt:variant>
      <vt:variant>
        <vt:lpwstr>mailto:Andrew.Herd@education.gov.au</vt:lpwstr>
      </vt:variant>
      <vt:variant>
        <vt:lpwstr/>
      </vt:variant>
      <vt:variant>
        <vt:i4>2818056</vt:i4>
      </vt:variant>
      <vt:variant>
        <vt:i4>0</vt:i4>
      </vt:variant>
      <vt:variant>
        <vt:i4>0</vt:i4>
      </vt:variant>
      <vt:variant>
        <vt:i4>5</vt:i4>
      </vt:variant>
      <vt:variant>
        <vt:lpwstr>mailto:Andrew.Herd@education.gov.au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Managed Growth Funding</dc:title>
  <dc:subject/>
  <dc:creator>GOO,Siwei</dc:creator>
  <cp:keywords/>
  <dc:description/>
  <cp:lastModifiedBy>RIDGWAY,Caitlin</cp:lastModifiedBy>
  <cp:revision>6</cp:revision>
  <cp:lastPrinted>2024-06-18T00:25:00Z</cp:lastPrinted>
  <dcterms:created xsi:type="dcterms:W3CDTF">2024-06-17T06:07:00Z</dcterms:created>
  <dcterms:modified xsi:type="dcterms:W3CDTF">2024-06-18T01:41:00Z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0x010100E098083483EAF54BBE19C56BE4F7D597</vt:lpwstr>
  </property>
  <property fmtid="{D5CDD505-2E9C-101B-9397-08002B2CF9AE}" pid="10" name="MediaServiceImageTags">
    <vt:lpwstr/>
  </property>
</Properties>
</file>