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01F27" w14:textId="25A2E4E0" w:rsidR="000B20F7" w:rsidRPr="000B20F7" w:rsidRDefault="198DF1E4" w:rsidP="5F09836B">
      <w:pPr>
        <w:spacing w:after="0" w:line="240" w:lineRule="auto"/>
        <w:textAlignment w:val="baseline"/>
        <w:rPr>
          <w:rFonts w:ascii="Calibri Light" w:eastAsia="Times New Roman" w:hAnsi="Calibri Light" w:cs="Calibri Light"/>
          <w:b/>
          <w:bCs/>
          <w:color w:val="004C6C"/>
          <w:sz w:val="44"/>
          <w:szCs w:val="44"/>
          <w:lang w:eastAsia="en-AU"/>
        </w:rPr>
      </w:pPr>
      <w:r w:rsidRPr="000B20F7">
        <w:rPr>
          <w:rFonts w:ascii="Calibri Light" w:eastAsia="Times New Roman" w:hAnsi="Calibri Light" w:cs="Calibri Light"/>
          <w:b/>
          <w:bCs/>
          <w:color w:val="004C6C"/>
          <w:kern w:val="0"/>
          <w:sz w:val="44"/>
          <w:szCs w:val="44"/>
          <w:lang w:eastAsia="en-AU"/>
          <w14:ligatures w14:val="none"/>
        </w:rPr>
        <w:t xml:space="preserve">Appendix </w:t>
      </w:r>
      <w:r w:rsidR="7A3A0FC4" w:rsidRPr="000B20F7">
        <w:rPr>
          <w:rFonts w:ascii="Calibri Light" w:eastAsia="Times New Roman" w:hAnsi="Calibri Light" w:cs="Calibri Light"/>
          <w:b/>
          <w:bCs/>
          <w:color w:val="004C6C"/>
          <w:kern w:val="0"/>
          <w:sz w:val="44"/>
          <w:szCs w:val="44"/>
          <w:lang w:eastAsia="en-AU"/>
          <w14:ligatures w14:val="none"/>
        </w:rPr>
        <w:t xml:space="preserve">B </w:t>
      </w:r>
      <w:r w:rsidRPr="000B20F7">
        <w:rPr>
          <w:rFonts w:ascii="Calibri Light" w:eastAsia="Times New Roman" w:hAnsi="Calibri Light" w:cs="Calibri Light"/>
          <w:b/>
          <w:bCs/>
          <w:color w:val="004C6C"/>
          <w:kern w:val="0"/>
          <w:sz w:val="44"/>
          <w:szCs w:val="44"/>
          <w:lang w:eastAsia="en-AU"/>
          <w14:ligatures w14:val="none"/>
        </w:rPr>
        <w:t xml:space="preserve">- </w:t>
      </w:r>
      <w:r w:rsidR="18B94C21" w:rsidRPr="5F09836B">
        <w:rPr>
          <w:rFonts w:ascii="Calibri Light" w:eastAsia="Times New Roman" w:hAnsi="Calibri Light" w:cs="Calibri Light"/>
          <w:b/>
          <w:bCs/>
          <w:color w:val="004C6C"/>
          <w:sz w:val="44"/>
          <w:szCs w:val="44"/>
          <w:lang w:eastAsia="en-AU"/>
        </w:rPr>
        <w:t>Addressing gender-based violence in the current regulatory landscape</w:t>
      </w:r>
    </w:p>
    <w:p w14:paraId="297BC46A" w14:textId="67BE00B6" w:rsidR="000B20F7" w:rsidRPr="000B20F7" w:rsidRDefault="18B94C21" w:rsidP="5F09836B">
      <w:pPr>
        <w:pStyle w:val="Heading4"/>
        <w:spacing w:before="240" w:line="257" w:lineRule="auto"/>
      </w:pPr>
      <w:r w:rsidRPr="5F09836B">
        <w:rPr>
          <w:rFonts w:ascii="Calibri Light" w:eastAsia="Calibri Light" w:hAnsi="Calibri Light" w:cs="Calibri Light"/>
          <w:color w:val="4472C4" w:themeColor="accent1"/>
          <w:sz w:val="32"/>
          <w:szCs w:val="32"/>
        </w:rPr>
        <w:t>Higher education providers</w:t>
      </w:r>
    </w:p>
    <w:p w14:paraId="3C1187C0" w14:textId="6FAA132C" w:rsidR="000B20F7" w:rsidRPr="000B20F7" w:rsidRDefault="18B94C21" w:rsidP="5F09836B">
      <w:pPr>
        <w:spacing w:before="120" w:after="240" w:line="257" w:lineRule="auto"/>
        <w:textAlignment w:val="baseline"/>
      </w:pPr>
      <w:r w:rsidRPr="5F09836B">
        <w:rPr>
          <w:rFonts w:ascii="Calibri" w:eastAsia="Calibri" w:hAnsi="Calibri" w:cs="Calibri"/>
        </w:rPr>
        <w:t xml:space="preserve">Higher education providers are registered by the Tertiary Education and Quality Standards Agency and must comply with the </w:t>
      </w:r>
      <w:hyperlink r:id="rId10">
        <w:r w:rsidRPr="5F09836B">
          <w:rPr>
            <w:rStyle w:val="Hyperlink"/>
            <w:rFonts w:ascii="Calibri" w:eastAsia="Calibri" w:hAnsi="Calibri" w:cs="Calibri"/>
            <w:color w:val="0563C1"/>
          </w:rPr>
          <w:t>Higher Education Standards Framework (Threshold Standards) 2021</w:t>
        </w:r>
      </w:hyperlink>
      <w:r w:rsidRPr="5F09836B">
        <w:rPr>
          <w:rFonts w:ascii="Calibri" w:eastAsia="Calibri" w:hAnsi="Calibri" w:cs="Calibri"/>
        </w:rPr>
        <w:t xml:space="preserve">. The Threshold Standards set out the minimum acceptable requirements for the provision of higher education in or from Australia by higher education providers registered under the </w:t>
      </w:r>
      <w:r w:rsidRPr="5F09836B">
        <w:rPr>
          <w:rFonts w:ascii="Calibri" w:eastAsia="Calibri" w:hAnsi="Calibri" w:cs="Calibri"/>
          <w:i/>
          <w:iCs/>
        </w:rPr>
        <w:t xml:space="preserve">Tertiary Education Quality and Standards Agency Act 2011 </w:t>
      </w:r>
      <w:r w:rsidRPr="5F09836B">
        <w:rPr>
          <w:rFonts w:ascii="Calibri" w:eastAsia="Calibri" w:hAnsi="Calibri" w:cs="Calibri"/>
        </w:rPr>
        <w:t>(TEQSA Act).</w:t>
      </w:r>
    </w:p>
    <w:p w14:paraId="04A36DCF" w14:textId="5EEF050E" w:rsidR="000B20F7" w:rsidRPr="000B20F7" w:rsidRDefault="18B94C21" w:rsidP="5F09836B">
      <w:pPr>
        <w:spacing w:after="0" w:line="257" w:lineRule="auto"/>
        <w:textAlignment w:val="baseline"/>
      </w:pPr>
      <w:r w:rsidRPr="5F09836B">
        <w:rPr>
          <w:rFonts w:ascii="Calibri" w:eastAsia="Calibri" w:hAnsi="Calibri" w:cs="Calibri"/>
        </w:rPr>
        <w:t xml:space="preserve">In the context of ensuring safety and wellbeing, higher education providers are required to: </w:t>
      </w:r>
    </w:p>
    <w:p w14:paraId="5472B395" w14:textId="2575A73D"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provide avenues and contacts for supports for students if needed</w:t>
      </w:r>
    </w:p>
    <w:p w14:paraId="7197B4DA" w14:textId="4AFBF8C7"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ensure the availability of specific types of personal support services</w:t>
      </w:r>
    </w:p>
    <w:p w14:paraId="55677333" w14:textId="4F89341F"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ensure that support services offered reflect the needs of student cohorts</w:t>
      </w:r>
    </w:p>
    <w:p w14:paraId="0F122EC1" w14:textId="5BD87EB8"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promote a safe environment</w:t>
      </w:r>
    </w:p>
    <w:p w14:paraId="641D6493" w14:textId="581A70EE"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appropriately manage critical incidents.</w:t>
      </w:r>
    </w:p>
    <w:p w14:paraId="2E1CCC0C" w14:textId="204031CC" w:rsidR="000B20F7" w:rsidRPr="000B20F7" w:rsidRDefault="198DF1E4" w:rsidP="5F09836B">
      <w:pPr>
        <w:spacing w:after="240" w:line="257" w:lineRule="auto"/>
        <w:textAlignment w:val="baseline"/>
      </w:pPr>
      <w:r>
        <w:br/>
      </w:r>
      <w:r w:rsidR="5621971C" w:rsidRPr="0C337F77">
        <w:rPr>
          <w:rFonts w:ascii="Calibri" w:eastAsia="Calibri" w:hAnsi="Calibri" w:cs="Calibri"/>
        </w:rPr>
        <w:t xml:space="preserve">Under the </w:t>
      </w:r>
      <w:hyperlink r:id="rId11">
        <w:r w:rsidR="5621971C" w:rsidRPr="0C337F77">
          <w:rPr>
            <w:rStyle w:val="Hyperlink"/>
            <w:rFonts w:ascii="Calibri" w:eastAsia="Calibri" w:hAnsi="Calibri" w:cs="Calibri"/>
            <w:i/>
            <w:iCs/>
            <w:color w:val="0563C1"/>
          </w:rPr>
          <w:t>Higher Education Support Act 2003</w:t>
        </w:r>
      </w:hyperlink>
      <w:r w:rsidR="5621971C" w:rsidRPr="0C337F77">
        <w:rPr>
          <w:rFonts w:ascii="Calibri" w:eastAsia="Calibri" w:hAnsi="Calibri" w:cs="Calibri"/>
        </w:rPr>
        <w:t xml:space="preserve">, higher education providers are required to have grievance and review procedures in place for student complaints on academic and non-academic matters. Providers must also have, comply with, and report on, a policy that supports students to successfully complete the units of study they are enrolled in (i.e., </w:t>
      </w:r>
      <w:hyperlink r:id="rId12">
        <w:r w:rsidR="5621971C" w:rsidRPr="0C337F77">
          <w:rPr>
            <w:rStyle w:val="Hyperlink"/>
            <w:rFonts w:ascii="Calibri" w:eastAsia="Calibri" w:hAnsi="Calibri" w:cs="Calibri"/>
            <w:color w:val="0563C1"/>
          </w:rPr>
          <w:t>Support for Students Policy</w:t>
        </w:r>
      </w:hyperlink>
      <w:r w:rsidR="5621971C" w:rsidRPr="0C337F77">
        <w:rPr>
          <w:rFonts w:ascii="Calibri" w:eastAsia="Calibri" w:hAnsi="Calibri" w:cs="Calibri"/>
        </w:rPr>
        <w:t>).</w:t>
      </w:r>
    </w:p>
    <w:p w14:paraId="14B33A55" w14:textId="5C9F6DF8" w:rsidR="000B20F7" w:rsidRPr="000B20F7" w:rsidRDefault="18B94C21" w:rsidP="5F09836B">
      <w:pPr>
        <w:spacing w:after="240" w:line="257" w:lineRule="auto"/>
        <w:textAlignment w:val="baseline"/>
      </w:pPr>
      <w:r w:rsidRPr="5F09836B">
        <w:rPr>
          <w:rFonts w:ascii="Calibri" w:eastAsia="Calibri" w:hAnsi="Calibri" w:cs="Calibri"/>
        </w:rPr>
        <w:t xml:space="preserve">All Commonwealth Register of Institutions and Courses for Overseas Students (CRICOS) registered providers must comply with the </w:t>
      </w:r>
      <w:hyperlink r:id="rId13">
        <w:r w:rsidRPr="5F09836B">
          <w:rPr>
            <w:rStyle w:val="Hyperlink"/>
            <w:rFonts w:ascii="Calibri" w:eastAsia="Calibri" w:hAnsi="Calibri" w:cs="Calibri"/>
            <w:b/>
            <w:bCs/>
            <w:i/>
            <w:iCs/>
          </w:rPr>
          <w:t>ESOS Act 2000</w:t>
        </w:r>
        <w:r w:rsidRPr="5F09836B">
          <w:rPr>
            <w:rStyle w:val="Hyperlink"/>
            <w:rFonts w:ascii="Calibri" w:eastAsia="Calibri" w:hAnsi="Calibri" w:cs="Calibri"/>
          </w:rPr>
          <w:t xml:space="preserve"> and the National Code of Practice for Providers of Education and Training to Overseas Students 2018</w:t>
        </w:r>
      </w:hyperlink>
      <w:r w:rsidRPr="5F09836B">
        <w:rPr>
          <w:rFonts w:ascii="Calibri" w:eastAsia="Calibri" w:hAnsi="Calibri" w:cs="Calibri"/>
          <w:color w:val="0563C1"/>
          <w:u w:val="single"/>
        </w:rPr>
        <w:t xml:space="preserve">. </w:t>
      </w:r>
      <w:r w:rsidRPr="5F09836B">
        <w:rPr>
          <w:rFonts w:ascii="Calibri" w:eastAsia="Calibri" w:hAnsi="Calibri" w:cs="Calibri"/>
        </w:rPr>
        <w:t xml:space="preserve">The Education Services for Overseas Students (ESOS) legislative framework supports international students studying in Australia, protects and enhances Australia’s reputation for quality education, and supports the integrity of Australia’s student visa program. </w:t>
      </w:r>
    </w:p>
    <w:p w14:paraId="14CCCA0C" w14:textId="60ED5A23" w:rsidR="000B20F7" w:rsidRPr="000B20F7" w:rsidRDefault="18B94C21" w:rsidP="5F09836B">
      <w:pPr>
        <w:spacing w:after="240" w:line="257" w:lineRule="auto"/>
        <w:textAlignment w:val="baseline"/>
      </w:pPr>
      <w:r w:rsidRPr="5F09836B">
        <w:rPr>
          <w:rFonts w:ascii="Calibri" w:eastAsia="Calibri" w:hAnsi="Calibri" w:cs="Calibri"/>
        </w:rPr>
        <w:t>Under the ESOS National Code, providers are required to take all reasonable steps to provide a safe environment on campus and advise overseas students and staff on actions they can take to enhance their personal security and safety.</w:t>
      </w:r>
    </w:p>
    <w:p w14:paraId="22CA1030" w14:textId="367FCCD9" w:rsidR="000B20F7" w:rsidRPr="000B20F7" w:rsidRDefault="18B94C21" w:rsidP="5F09836B">
      <w:pPr>
        <w:spacing w:after="0" w:line="257" w:lineRule="auto"/>
        <w:textAlignment w:val="baseline"/>
      </w:pPr>
      <w:r w:rsidRPr="5F09836B">
        <w:rPr>
          <w:rFonts w:ascii="Calibri" w:eastAsia="Calibri" w:hAnsi="Calibri" w:cs="Calibri"/>
        </w:rPr>
        <w:t xml:space="preserve">Specific to ensuring support for staff, under the </w:t>
      </w:r>
      <w:r w:rsidRPr="5F09836B">
        <w:rPr>
          <w:rFonts w:ascii="Calibri" w:eastAsia="Calibri" w:hAnsi="Calibri" w:cs="Calibri"/>
          <w:i/>
          <w:iCs/>
        </w:rPr>
        <w:t>Sex Discrimination Act 1984</w:t>
      </w:r>
      <w:r w:rsidRPr="5F09836B">
        <w:rPr>
          <w:rFonts w:ascii="Calibri" w:eastAsia="Calibri" w:hAnsi="Calibri" w:cs="Calibri"/>
        </w:rPr>
        <w:t xml:space="preserve"> higher education providers have a </w:t>
      </w:r>
      <w:hyperlink r:id="rId14">
        <w:r w:rsidRPr="5F09836B">
          <w:rPr>
            <w:rStyle w:val="Hyperlink"/>
            <w:rFonts w:ascii="Calibri" w:eastAsia="Calibri" w:hAnsi="Calibri" w:cs="Calibri"/>
            <w:color w:val="0563C1"/>
          </w:rPr>
          <w:t>positive duty</w:t>
        </w:r>
      </w:hyperlink>
      <w:r w:rsidRPr="5F09836B">
        <w:rPr>
          <w:rFonts w:ascii="Calibri" w:eastAsia="Calibri" w:hAnsi="Calibri" w:cs="Calibri"/>
        </w:rPr>
        <w:t xml:space="preserve"> to take proactive action to prevent discrimination and harm against employees from occurring in the first place. This requires providers to take ‘reasonable and proportionate measures’ to eliminate, as far as possible:</w:t>
      </w:r>
    </w:p>
    <w:p w14:paraId="2251A16E" w14:textId="0221E33E"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discrimination on the grounds of sex in a work context</w:t>
      </w:r>
    </w:p>
    <w:p w14:paraId="0F973F3B" w14:textId="37D758BA"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sexual harassment in connection with work</w:t>
      </w:r>
    </w:p>
    <w:p w14:paraId="0B2820A7" w14:textId="3A79DFE2"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sex-based harassment in connection with work</w:t>
      </w:r>
    </w:p>
    <w:p w14:paraId="14173E24" w14:textId="69D4814D"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conduct creating a workplace environment that is hostile on the grounds of sex</w:t>
      </w:r>
    </w:p>
    <w:p w14:paraId="25A36FA4" w14:textId="6C3E81F9"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related acts of victimisation.</w:t>
      </w:r>
    </w:p>
    <w:p w14:paraId="7E2F3C71" w14:textId="0B84285E" w:rsidR="000B20F7" w:rsidRPr="000B20F7" w:rsidRDefault="198DF1E4" w:rsidP="5F09836B">
      <w:pPr>
        <w:spacing w:after="0" w:line="257" w:lineRule="auto"/>
        <w:textAlignment w:val="baseline"/>
      </w:pPr>
      <w:r>
        <w:br/>
      </w:r>
      <w:r w:rsidR="5621971C" w:rsidRPr="0C337F77">
        <w:rPr>
          <w:rFonts w:ascii="Calibri" w:eastAsia="Calibri" w:hAnsi="Calibri" w:cs="Calibri"/>
        </w:rPr>
        <w:t>Under various state and territory work health and safety laws, providers have a primary duty to monitor workers’ health and conditions and manage health and safety risks. This includes eliminating or minimising psychosocial hazards at work, which include sexual harassment, violence and aggression.</w:t>
      </w:r>
    </w:p>
    <w:p w14:paraId="1C8F455B" w14:textId="62719C91" w:rsidR="000B20F7" w:rsidRPr="000B20F7" w:rsidRDefault="18B94C21" w:rsidP="5F09836B">
      <w:pPr>
        <w:spacing w:after="0" w:line="257" w:lineRule="auto"/>
        <w:textAlignment w:val="baseline"/>
      </w:pPr>
      <w:r w:rsidRPr="5F09836B">
        <w:rPr>
          <w:rFonts w:ascii="Calibri" w:eastAsia="Calibri" w:hAnsi="Calibri" w:cs="Calibri"/>
        </w:rPr>
        <w:t xml:space="preserve"> </w:t>
      </w:r>
    </w:p>
    <w:p w14:paraId="49493CCC" w14:textId="0EC092DC" w:rsidR="000B20F7" w:rsidRPr="000B20F7" w:rsidRDefault="18B94C21" w:rsidP="5F09836B">
      <w:pPr>
        <w:spacing w:after="0" w:line="257" w:lineRule="auto"/>
        <w:textAlignment w:val="baseline"/>
      </w:pPr>
      <w:r w:rsidRPr="5F09836B">
        <w:rPr>
          <w:rFonts w:ascii="Calibri" w:eastAsia="Calibri" w:hAnsi="Calibri" w:cs="Calibri"/>
        </w:rPr>
        <w:t xml:space="preserve">Higher education providers must also register for the Gender Equality Reporting program if they are standalone organisations with 100 or more employees, or a corporate structure with 100 or more employees in total across all entities. Relevant providers must submit the following to the </w:t>
      </w:r>
      <w:hyperlink r:id="rId15">
        <w:r w:rsidRPr="5F09836B">
          <w:rPr>
            <w:rStyle w:val="Hyperlink"/>
            <w:rFonts w:ascii="Calibri" w:eastAsia="Calibri" w:hAnsi="Calibri" w:cs="Calibri"/>
            <w:color w:val="0563C1"/>
          </w:rPr>
          <w:t>Workplace Gender Equality Agency</w:t>
        </w:r>
      </w:hyperlink>
      <w:r w:rsidRPr="5F09836B">
        <w:rPr>
          <w:rFonts w:ascii="Calibri" w:eastAsia="Calibri" w:hAnsi="Calibri" w:cs="Calibri"/>
        </w:rPr>
        <w:t xml:space="preserve"> annually:</w:t>
      </w:r>
    </w:p>
    <w:p w14:paraId="68759F4D" w14:textId="064D8E9F"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responses to an online questionnaire on the provider’s policies, strategies, and actions on gender equality</w:t>
      </w:r>
    </w:p>
    <w:p w14:paraId="69C49F43" w14:textId="7F1A63D1" w:rsidR="000B20F7" w:rsidRPr="000B20F7" w:rsidRDefault="18B94C21" w:rsidP="5F09836B">
      <w:pPr>
        <w:pStyle w:val="ListParagraph"/>
        <w:numPr>
          <w:ilvl w:val="0"/>
          <w:numId w:val="12"/>
        </w:numPr>
        <w:spacing w:after="0" w:line="257" w:lineRule="auto"/>
        <w:ind w:left="360"/>
        <w:textAlignment w:val="baseline"/>
        <w:rPr>
          <w:rFonts w:ascii="Calibri" w:eastAsia="Calibri" w:hAnsi="Calibri" w:cs="Calibri"/>
        </w:rPr>
      </w:pPr>
      <w:r w:rsidRPr="5F09836B">
        <w:rPr>
          <w:rFonts w:ascii="Calibri" w:eastAsia="Calibri" w:hAnsi="Calibri" w:cs="Calibri"/>
        </w:rPr>
        <w:t>information about workforce composition; salaries and remuneration; and employee appointments, promotions, resignations, and parental leave.</w:t>
      </w:r>
    </w:p>
    <w:p w14:paraId="1A97F413" w14:textId="318A6BAB" w:rsidR="000B20F7" w:rsidRPr="000B20F7" w:rsidRDefault="198DF1E4" w:rsidP="5F09836B">
      <w:pPr>
        <w:spacing w:after="240" w:line="257" w:lineRule="auto"/>
        <w:textAlignment w:val="baseline"/>
      </w:pPr>
      <w:r>
        <w:br/>
      </w:r>
      <w:r w:rsidR="5621971C" w:rsidRPr="0C337F77">
        <w:rPr>
          <w:rFonts w:ascii="Calibri" w:eastAsia="Calibri" w:hAnsi="Calibri" w:cs="Calibri"/>
        </w:rPr>
        <w:t xml:space="preserve">There is a range of supplementary material available to support providers in their compliance activities and promote best practice. This includes the Australian Human Rights Commission’s </w:t>
      </w:r>
      <w:hyperlink r:id="rId16">
        <w:r w:rsidR="5621971C" w:rsidRPr="0C337F77">
          <w:rPr>
            <w:rStyle w:val="Hyperlink"/>
            <w:rFonts w:ascii="Calibri" w:eastAsia="Calibri" w:hAnsi="Calibri" w:cs="Calibri"/>
          </w:rPr>
          <w:t>Guidelines for Complying with the positive duty under the</w:t>
        </w:r>
        <w:r w:rsidR="5621971C" w:rsidRPr="0C337F77">
          <w:rPr>
            <w:rStyle w:val="Hyperlink"/>
            <w:rFonts w:ascii="Calibri" w:eastAsia="Calibri" w:hAnsi="Calibri" w:cs="Calibri"/>
            <w:i/>
            <w:iCs/>
            <w:color w:val="0563C1"/>
          </w:rPr>
          <w:t xml:space="preserve"> Sex Discrimination Act 1984</w:t>
        </w:r>
      </w:hyperlink>
      <w:r w:rsidR="5621971C" w:rsidRPr="0C337F77">
        <w:rPr>
          <w:rFonts w:ascii="Calibri" w:eastAsia="Calibri" w:hAnsi="Calibri" w:cs="Calibri"/>
        </w:rPr>
        <w:t xml:space="preserve">; </w:t>
      </w:r>
      <w:hyperlink r:id="rId17">
        <w:r w:rsidR="5621971C" w:rsidRPr="0C337F77">
          <w:rPr>
            <w:rStyle w:val="Hyperlink"/>
            <w:rFonts w:ascii="Calibri" w:eastAsia="Calibri" w:hAnsi="Calibri" w:cs="Calibri"/>
            <w:color w:val="0563C1"/>
          </w:rPr>
          <w:t>TEQSA’s Guidance note on wellbeing and safety</w:t>
        </w:r>
      </w:hyperlink>
      <w:r w:rsidR="5621971C" w:rsidRPr="0C337F77">
        <w:rPr>
          <w:rFonts w:ascii="Calibri" w:eastAsia="Calibri" w:hAnsi="Calibri" w:cs="Calibri"/>
        </w:rPr>
        <w:t xml:space="preserve">; and Universities Australia’s </w:t>
      </w:r>
      <w:hyperlink r:id="rId18">
        <w:r w:rsidR="5621971C" w:rsidRPr="0C337F77">
          <w:rPr>
            <w:rStyle w:val="Hyperlink"/>
            <w:rFonts w:ascii="Calibri" w:eastAsia="Calibri" w:hAnsi="Calibri" w:cs="Calibri"/>
            <w:color w:val="0563C1"/>
          </w:rPr>
          <w:t>Sexual Harm Response Guidelines</w:t>
        </w:r>
      </w:hyperlink>
      <w:r w:rsidR="5621971C" w:rsidRPr="0C337F77">
        <w:rPr>
          <w:rFonts w:ascii="Calibri" w:eastAsia="Calibri" w:hAnsi="Calibri" w:cs="Calibri"/>
        </w:rPr>
        <w:t xml:space="preserve"> and </w:t>
      </w:r>
      <w:hyperlink r:id="rId19">
        <w:r w:rsidR="5621971C" w:rsidRPr="0C337F77">
          <w:rPr>
            <w:rStyle w:val="Hyperlink"/>
            <w:rFonts w:ascii="Calibri" w:eastAsia="Calibri" w:hAnsi="Calibri" w:cs="Calibri"/>
            <w:color w:val="0563C1"/>
          </w:rPr>
          <w:t>Primary Prevention of Sexual Harm in the University Sector – Good Practice Guide</w:t>
        </w:r>
      </w:hyperlink>
      <w:r w:rsidR="5621971C" w:rsidRPr="0C337F77">
        <w:rPr>
          <w:rFonts w:ascii="Calibri" w:eastAsia="Calibri" w:hAnsi="Calibri" w:cs="Calibri"/>
        </w:rPr>
        <w:t xml:space="preserve">.  </w:t>
      </w:r>
    </w:p>
    <w:p w14:paraId="6939EBE4" w14:textId="2536DA58" w:rsidR="5F09836B" w:rsidRDefault="5F09836B" w:rsidP="5F09836B">
      <w:pPr>
        <w:spacing w:after="0"/>
      </w:pPr>
    </w:p>
    <w:p w14:paraId="7C4DB400" w14:textId="77777777" w:rsidR="000B20F7" w:rsidRDefault="45AC8E56" w:rsidP="0C337F77">
      <w:pPr>
        <w:spacing w:after="0" w:line="240" w:lineRule="auto"/>
        <w:textAlignment w:val="baseline"/>
        <w:rPr>
          <w:rFonts w:ascii="Calibri" w:eastAsia="Times New Roman" w:hAnsi="Calibri" w:cs="Calibri"/>
          <w:kern w:val="0"/>
          <w:lang w:eastAsia="en-AU"/>
          <w14:ligatures w14:val="none"/>
        </w:rPr>
      </w:pPr>
      <w:r w:rsidRPr="000B20F7">
        <w:rPr>
          <w:rFonts w:ascii="Calibri" w:eastAsia="Times New Roman" w:hAnsi="Calibri" w:cs="Calibri"/>
          <w:kern w:val="0"/>
          <w:lang w:eastAsia="en-AU"/>
          <w14:ligatures w14:val="none"/>
        </w:rPr>
        <w:t> </w:t>
      </w:r>
    </w:p>
    <w:tbl>
      <w:tblPr>
        <w:tblW w:w="14743"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2616"/>
      </w:tblGrid>
      <w:tr w:rsidR="000B20F7" w:rsidRPr="000B20F7" w14:paraId="67455279" w14:textId="77777777" w:rsidTr="0C337F77">
        <w:trPr>
          <w:trHeight w:val="300"/>
        </w:trPr>
        <w:tc>
          <w:tcPr>
            <w:tcW w:w="2127" w:type="dxa"/>
            <w:tcBorders>
              <w:top w:val="single" w:sz="6" w:space="0" w:color="55437E"/>
              <w:left w:val="nil"/>
              <w:bottom w:val="single" w:sz="6" w:space="0" w:color="55437E"/>
              <w:right w:val="nil"/>
            </w:tcBorders>
            <w:shd w:val="clear" w:color="auto" w:fill="auto"/>
            <w:hideMark/>
          </w:tcPr>
          <w:p w14:paraId="209B64A2"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Regulation </w:t>
            </w:r>
          </w:p>
        </w:tc>
        <w:tc>
          <w:tcPr>
            <w:tcW w:w="12616" w:type="dxa"/>
            <w:tcBorders>
              <w:top w:val="single" w:sz="6" w:space="0" w:color="55437E"/>
              <w:left w:val="nil"/>
              <w:bottom w:val="single" w:sz="6" w:space="0" w:color="55437E"/>
              <w:right w:val="nil"/>
            </w:tcBorders>
            <w:shd w:val="clear" w:color="auto" w:fill="auto"/>
            <w:hideMark/>
          </w:tcPr>
          <w:p w14:paraId="047067A8" w14:textId="11043BF9" w:rsidR="000B20F7" w:rsidRPr="000B20F7" w:rsidRDefault="000B20F7" w:rsidP="5C83A75B">
            <w:pPr>
              <w:spacing w:after="0" w:line="240" w:lineRule="auto"/>
              <w:textAlignment w:val="baseline"/>
              <w:rPr>
                <w:rFonts w:ascii="Calibri" w:eastAsia="Times New Roman" w:hAnsi="Calibri" w:cs="Calibri"/>
                <w:b/>
                <w:bCs/>
                <w:color w:val="3F325E"/>
                <w:kern w:val="0"/>
                <w:sz w:val="20"/>
                <w:szCs w:val="20"/>
                <w:lang w:eastAsia="en-AU"/>
                <w14:ligatures w14:val="none"/>
              </w:rPr>
            </w:pPr>
            <w:r w:rsidRPr="000B20F7">
              <w:rPr>
                <w:rFonts w:ascii="Calibri" w:eastAsia="Times New Roman" w:hAnsi="Calibri" w:cs="Calibri"/>
                <w:b/>
                <w:bCs/>
                <w:color w:val="3F325E"/>
                <w:kern w:val="0"/>
                <w:sz w:val="20"/>
                <w:szCs w:val="20"/>
                <w:lang w:eastAsia="en-AU"/>
                <w14:ligatures w14:val="none"/>
              </w:rPr>
              <w:t xml:space="preserve">Current regulatory </w:t>
            </w:r>
            <w:r w:rsidR="5D45582F" w:rsidRPr="000B20F7">
              <w:rPr>
                <w:rFonts w:ascii="Calibri" w:eastAsia="Times New Roman" w:hAnsi="Calibri" w:cs="Calibri"/>
                <w:b/>
                <w:bCs/>
                <w:color w:val="3F325E"/>
                <w:kern w:val="0"/>
                <w:sz w:val="20"/>
                <w:szCs w:val="20"/>
                <w:lang w:eastAsia="en-AU"/>
                <w14:ligatures w14:val="none"/>
              </w:rPr>
              <w:t>scope</w:t>
            </w:r>
            <w:r w:rsidRPr="000B20F7">
              <w:rPr>
                <w:rFonts w:ascii="Calibri" w:eastAsia="Times New Roman" w:hAnsi="Calibri" w:cs="Calibri"/>
                <w:b/>
                <w:bCs/>
                <w:color w:val="3F325E"/>
                <w:kern w:val="0"/>
                <w:sz w:val="20"/>
                <w:szCs w:val="20"/>
                <w:lang w:eastAsia="en-AU"/>
                <w14:ligatures w14:val="none"/>
              </w:rPr>
              <w:t xml:space="preserve"> and opportunities to complement the National Code </w:t>
            </w:r>
          </w:p>
        </w:tc>
      </w:tr>
      <w:tr w:rsidR="000B20F7" w:rsidRPr="000B20F7" w14:paraId="062B9F23" w14:textId="77777777" w:rsidTr="0C337F77">
        <w:trPr>
          <w:trHeight w:val="300"/>
        </w:trPr>
        <w:tc>
          <w:tcPr>
            <w:tcW w:w="2127" w:type="dxa"/>
            <w:tcBorders>
              <w:top w:val="nil"/>
              <w:left w:val="nil"/>
              <w:bottom w:val="nil"/>
              <w:right w:val="nil"/>
            </w:tcBorders>
            <w:shd w:val="clear" w:color="auto" w:fill="DBD5E9"/>
            <w:hideMark/>
          </w:tcPr>
          <w:p w14:paraId="6979DFDE"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Higher Education Standards Framework (Threshold Standards) 2021 </w:t>
            </w:r>
          </w:p>
        </w:tc>
        <w:tc>
          <w:tcPr>
            <w:tcW w:w="12616" w:type="dxa"/>
            <w:tcBorders>
              <w:top w:val="nil"/>
              <w:left w:val="nil"/>
              <w:bottom w:val="nil"/>
              <w:right w:val="nil"/>
            </w:tcBorders>
            <w:shd w:val="clear" w:color="auto" w:fill="DBD5E9"/>
            <w:hideMark/>
          </w:tcPr>
          <w:p w14:paraId="038E47C8" w14:textId="77777777" w:rsidR="000B20F7" w:rsidRPr="000B20F7" w:rsidRDefault="4021254B" w:rsidP="5C83A75B">
            <w:pPr>
              <w:spacing w:after="0" w:line="240" w:lineRule="auto"/>
              <w:ind w:left="360" w:hanging="360"/>
              <w:textAlignment w:val="baseline"/>
              <w:rPr>
                <w:rFonts w:ascii="Calibri" w:eastAsia="Times New Roman" w:hAnsi="Calibri" w:cs="Calibri"/>
                <w:b/>
                <w:bCs/>
                <w:color w:val="000000" w:themeColor="text1"/>
                <w:kern w:val="0"/>
                <w:sz w:val="20"/>
                <w:szCs w:val="20"/>
                <w:lang w:eastAsia="en-AU"/>
                <w14:ligatures w14:val="none"/>
              </w:rPr>
            </w:pPr>
            <w:r w:rsidRPr="000B20F7">
              <w:rPr>
                <w:rFonts w:ascii="Calibri" w:eastAsia="Times New Roman" w:hAnsi="Calibri" w:cs="Calibri"/>
                <w:b/>
                <w:bCs/>
                <w:color w:val="000000"/>
                <w:kern w:val="0"/>
                <w:sz w:val="20"/>
                <w:szCs w:val="20"/>
                <w:lang w:eastAsia="en-AU"/>
                <w14:ligatures w14:val="none"/>
              </w:rPr>
              <w:t>Current scope</w:t>
            </w:r>
          </w:p>
          <w:p w14:paraId="04646800" w14:textId="315045A8" w:rsidR="000B20F7" w:rsidRPr="000B20F7" w:rsidRDefault="4021254B" w:rsidP="08C8E1F2">
            <w:pPr>
              <w:numPr>
                <w:ilvl w:val="0"/>
                <w:numId w:val="13"/>
              </w:numPr>
              <w:spacing w:after="0" w:line="240" w:lineRule="auto"/>
              <w:ind w:hanging="270"/>
              <w:textAlignment w:val="baseline"/>
              <w:rPr>
                <w:rFonts w:ascii="Calibri" w:eastAsia="Times New Roman" w:hAnsi="Calibri" w:cs="Calibri"/>
                <w:color w:val="000000" w:themeColor="text1"/>
                <w:sz w:val="20"/>
                <w:szCs w:val="20"/>
                <w:lang w:eastAsia="en-AU"/>
              </w:rPr>
            </w:pPr>
            <w:r w:rsidRPr="000B20F7">
              <w:rPr>
                <w:rFonts w:ascii="Calibri" w:eastAsia="Times New Roman" w:hAnsi="Calibri" w:cs="Calibri"/>
                <w:color w:val="000000"/>
                <w:kern w:val="0"/>
                <w:sz w:val="20"/>
                <w:szCs w:val="20"/>
                <w:lang w:eastAsia="en-AU"/>
                <w14:ligatures w14:val="none"/>
              </w:rPr>
              <w:t>T</w:t>
            </w:r>
            <w:r w:rsidR="000B20F7" w:rsidRPr="000B20F7">
              <w:rPr>
                <w:rFonts w:ascii="Calibri" w:eastAsia="Times New Roman" w:hAnsi="Calibri" w:cs="Calibri"/>
                <w:color w:val="000000"/>
                <w:kern w:val="0"/>
                <w:sz w:val="20"/>
                <w:szCs w:val="20"/>
                <w:lang w:eastAsia="en-AU"/>
                <w14:ligatures w14:val="none"/>
              </w:rPr>
              <w:t xml:space="preserve">he Threshold Standards </w:t>
            </w:r>
            <w:r w:rsidR="0BD3C314" w:rsidRPr="000B20F7">
              <w:rPr>
                <w:rFonts w:ascii="Calibri" w:eastAsia="Times New Roman" w:hAnsi="Calibri" w:cs="Calibri"/>
                <w:color w:val="000000"/>
                <w:kern w:val="0"/>
                <w:sz w:val="20"/>
                <w:szCs w:val="20"/>
                <w:lang w:eastAsia="en-AU"/>
                <w14:ligatures w14:val="none"/>
              </w:rPr>
              <w:t>cover safety and wellbeing for students</w:t>
            </w:r>
            <w:r w:rsidR="00F97730">
              <w:rPr>
                <w:rFonts w:ascii="Calibri" w:eastAsia="Times New Roman" w:hAnsi="Calibri" w:cs="Calibri"/>
                <w:color w:val="000000"/>
                <w:kern w:val="0"/>
                <w:sz w:val="20"/>
                <w:szCs w:val="20"/>
                <w:lang w:eastAsia="en-AU"/>
                <w14:ligatures w14:val="none"/>
              </w:rPr>
              <w:t>,</w:t>
            </w:r>
            <w:r w:rsidR="6366DC3B" w:rsidRPr="000B20F7">
              <w:rPr>
                <w:rFonts w:ascii="Calibri" w:eastAsia="Times New Roman" w:hAnsi="Calibri" w:cs="Calibri"/>
                <w:color w:val="000000"/>
                <w:kern w:val="0"/>
                <w:sz w:val="20"/>
                <w:szCs w:val="20"/>
                <w:lang w:eastAsia="en-AU"/>
                <w14:ligatures w14:val="none"/>
              </w:rPr>
              <w:t xml:space="preserve"> but do not</w:t>
            </w:r>
            <w:r w:rsidR="0BD3C314" w:rsidRPr="000B20F7">
              <w:rPr>
                <w:rFonts w:ascii="Calibri" w:eastAsia="Times New Roman" w:hAnsi="Calibri" w:cs="Calibri"/>
                <w:color w:val="000000"/>
                <w:kern w:val="0"/>
                <w:sz w:val="20"/>
                <w:szCs w:val="20"/>
                <w:lang w:eastAsia="en-AU"/>
                <w14:ligatures w14:val="none"/>
              </w:rPr>
              <w:t xml:space="preserve"> </w:t>
            </w:r>
            <w:r w:rsidR="26DDE140" w:rsidRPr="000B20F7">
              <w:rPr>
                <w:rFonts w:ascii="Calibri" w:eastAsia="Times New Roman" w:hAnsi="Calibri" w:cs="Calibri"/>
                <w:color w:val="000000"/>
                <w:kern w:val="0"/>
                <w:sz w:val="20"/>
                <w:szCs w:val="20"/>
                <w:lang w:eastAsia="en-AU"/>
                <w14:ligatures w14:val="none"/>
              </w:rPr>
              <w:t xml:space="preserve">provide </w:t>
            </w:r>
            <w:r w:rsidR="00AB6A2B">
              <w:rPr>
                <w:rFonts w:ascii="Calibri" w:eastAsia="Times New Roman" w:hAnsi="Calibri" w:cs="Calibri"/>
                <w:color w:val="000000"/>
                <w:kern w:val="0"/>
                <w:sz w:val="20"/>
                <w:szCs w:val="20"/>
                <w:lang w:eastAsia="en-AU"/>
                <w14:ligatures w14:val="none"/>
              </w:rPr>
              <w:t xml:space="preserve">specific </w:t>
            </w:r>
            <w:r w:rsidR="000B20F7" w:rsidRPr="000B20F7">
              <w:rPr>
                <w:rFonts w:ascii="Calibri" w:eastAsia="Times New Roman" w:hAnsi="Calibri" w:cs="Calibri"/>
                <w:color w:val="000000"/>
                <w:kern w:val="0"/>
                <w:sz w:val="20"/>
                <w:szCs w:val="20"/>
                <w:lang w:eastAsia="en-AU"/>
                <w14:ligatures w14:val="none"/>
              </w:rPr>
              <w:t>compliance requirements for preventing and res</w:t>
            </w:r>
            <w:r w:rsidR="000B20F7" w:rsidRPr="5C83A75B">
              <w:rPr>
                <w:rFonts w:eastAsiaTheme="minorEastAsia"/>
                <w:color w:val="000000" w:themeColor="text1"/>
                <w:sz w:val="20"/>
                <w:szCs w:val="20"/>
                <w:lang w:eastAsia="en-AU"/>
              </w:rPr>
              <w:t>ponding to gender-based violence, including specifics on the nature and extent of support services.   </w:t>
            </w:r>
          </w:p>
          <w:p w14:paraId="1AF67F26" w14:textId="77777777" w:rsidR="000B20F7" w:rsidRPr="000B20F7" w:rsidRDefault="000B20F7" w:rsidP="08C8E1F2">
            <w:pPr>
              <w:numPr>
                <w:ilvl w:val="0"/>
                <w:numId w:val="13"/>
              </w:numPr>
              <w:spacing w:after="0" w:line="240" w:lineRule="auto"/>
              <w:ind w:hanging="270"/>
              <w:rPr>
                <w:rFonts w:ascii="Calibri" w:eastAsia="Times New Roman" w:hAnsi="Calibri" w:cs="Calibri"/>
                <w:color w:val="000000" w:themeColor="text1"/>
                <w:sz w:val="20"/>
                <w:szCs w:val="20"/>
                <w:lang w:eastAsia="en-AU"/>
              </w:rPr>
            </w:pPr>
            <w:r w:rsidRPr="08C8E1F2">
              <w:rPr>
                <w:rFonts w:ascii="Calibri" w:eastAsia="Times New Roman" w:hAnsi="Calibri" w:cs="Calibri"/>
                <w:color w:val="000000" w:themeColor="text1"/>
                <w:sz w:val="20"/>
                <w:szCs w:val="20"/>
                <w:lang w:eastAsia="en-AU"/>
              </w:rPr>
              <w:t>Student accommodation providers are not subject to the Threshold Standards. </w:t>
            </w:r>
          </w:p>
          <w:p w14:paraId="7D78A2A7" w14:textId="71068DE7" w:rsidR="000B20F7" w:rsidRPr="000B20F7" w:rsidRDefault="000B20F7" w:rsidP="08C8E1F2">
            <w:pPr>
              <w:numPr>
                <w:ilvl w:val="0"/>
                <w:numId w:val="13"/>
              </w:numPr>
              <w:spacing w:after="0" w:line="240" w:lineRule="auto"/>
              <w:ind w:hanging="270"/>
              <w:rPr>
                <w:rFonts w:ascii="Calibri" w:eastAsia="Times New Roman" w:hAnsi="Calibri" w:cs="Calibri"/>
                <w:color w:val="000000" w:themeColor="text1"/>
                <w:sz w:val="20"/>
                <w:szCs w:val="20"/>
                <w:lang w:eastAsia="en-AU"/>
              </w:rPr>
            </w:pPr>
            <w:r w:rsidRPr="08C8E1F2">
              <w:rPr>
                <w:rFonts w:eastAsiaTheme="minorEastAsia"/>
                <w:color w:val="000000" w:themeColor="text1"/>
                <w:sz w:val="20"/>
                <w:szCs w:val="20"/>
                <w:lang w:eastAsia="en-AU"/>
              </w:rPr>
              <w:t xml:space="preserve">There is no requirement for providers to report publicly, regularly, consistently on gender-based violence </w:t>
            </w:r>
            <w:r w:rsidRPr="08C8E1F2">
              <w:rPr>
                <w:rFonts w:ascii="Calibri" w:eastAsia="Times New Roman" w:hAnsi="Calibri" w:cs="Calibri"/>
                <w:color w:val="000000" w:themeColor="text1"/>
                <w:sz w:val="20"/>
                <w:szCs w:val="20"/>
                <w:lang w:eastAsia="en-AU"/>
              </w:rPr>
              <w:t>incidents and responses to these incidents. </w:t>
            </w:r>
          </w:p>
          <w:p w14:paraId="1804D64F"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0C9E4F12" w14:textId="2DF73114" w:rsidR="000B20F7" w:rsidRPr="000B20F7" w:rsidRDefault="45AC8E56" w:rsidP="0C337F77">
            <w:pPr>
              <w:numPr>
                <w:ilvl w:val="0"/>
                <w:numId w:val="14"/>
              </w:numPr>
              <w:spacing w:after="0" w:line="240" w:lineRule="auto"/>
              <w:ind w:hanging="270"/>
              <w:rPr>
                <w:rFonts w:eastAsiaTheme="minorEastAsia"/>
                <w:color w:val="000000" w:themeColor="text1"/>
                <w:sz w:val="20"/>
                <w:szCs w:val="20"/>
                <w:lang w:eastAsia="en-AU"/>
              </w:rPr>
            </w:pPr>
            <w:r w:rsidRPr="0C337F77">
              <w:rPr>
                <w:rFonts w:ascii="Calibri" w:eastAsia="Times New Roman" w:hAnsi="Calibri" w:cs="Calibri"/>
                <w:color w:val="000000" w:themeColor="text1"/>
                <w:sz w:val="20"/>
                <w:szCs w:val="20"/>
                <w:lang w:eastAsia="en-AU"/>
              </w:rPr>
              <w:t xml:space="preserve">The </w:t>
            </w:r>
            <w:r w:rsidRPr="0C337F77">
              <w:rPr>
                <w:rFonts w:eastAsiaTheme="minorEastAsia"/>
                <w:color w:val="000000" w:themeColor="text1"/>
                <w:sz w:val="20"/>
                <w:szCs w:val="20"/>
                <w:lang w:eastAsia="en-AU"/>
              </w:rPr>
              <w:t>National Code will</w:t>
            </w:r>
            <w:r w:rsidR="552D442A" w:rsidRPr="0C337F77">
              <w:rPr>
                <w:rFonts w:eastAsiaTheme="minorEastAsia"/>
                <w:color w:val="000000" w:themeColor="text1"/>
                <w:sz w:val="20"/>
                <w:szCs w:val="20"/>
                <w:lang w:eastAsia="en-AU"/>
              </w:rPr>
              <w:t xml:space="preserve"> create</w:t>
            </w:r>
            <w:r w:rsidRPr="0C337F77">
              <w:rPr>
                <w:rFonts w:eastAsiaTheme="minorEastAsia"/>
                <w:color w:val="000000" w:themeColor="text1"/>
                <w:sz w:val="20"/>
                <w:szCs w:val="20"/>
                <w:lang w:eastAsia="en-AU"/>
              </w:rPr>
              <w:t xml:space="preserve"> mandatory standards that support providers to effectively prevent and respond to incidents of gender-based violence</w:t>
            </w:r>
            <w:r w:rsidR="6AD62018" w:rsidRPr="0C337F77">
              <w:rPr>
                <w:rFonts w:eastAsiaTheme="minorEastAsia"/>
                <w:color w:val="000000" w:themeColor="text1"/>
                <w:sz w:val="20"/>
                <w:szCs w:val="20"/>
                <w:lang w:eastAsia="en-AU"/>
              </w:rPr>
              <w:t>, which will be administered by a new Unit in the department.</w:t>
            </w:r>
          </w:p>
          <w:p w14:paraId="304C2C1F" w14:textId="6A2D9465" w:rsidR="000B20F7" w:rsidRPr="000B20F7" w:rsidRDefault="45AC8E56" w:rsidP="08C8E1F2">
            <w:pPr>
              <w:numPr>
                <w:ilvl w:val="0"/>
                <w:numId w:val="14"/>
              </w:numPr>
              <w:spacing w:after="0" w:line="240" w:lineRule="auto"/>
              <w:ind w:hanging="270"/>
              <w:rPr>
                <w:rFonts w:ascii="Calibri" w:eastAsia="Times New Roman" w:hAnsi="Calibri" w:cs="Calibri"/>
                <w:color w:val="000000" w:themeColor="text1"/>
                <w:sz w:val="20"/>
                <w:szCs w:val="20"/>
                <w:lang w:eastAsia="en-AU"/>
              </w:rPr>
            </w:pPr>
            <w:r w:rsidRPr="0C337F77">
              <w:rPr>
                <w:rFonts w:ascii="Calibri" w:eastAsia="Times New Roman" w:hAnsi="Calibri" w:cs="Calibri"/>
                <w:color w:val="000000" w:themeColor="text1"/>
                <w:sz w:val="20"/>
                <w:szCs w:val="20"/>
                <w:lang w:eastAsia="en-AU"/>
              </w:rPr>
              <w:t>Consistent and transparent reporting and ongoing monitoring would</w:t>
            </w:r>
            <w:r w:rsidR="333ACD31" w:rsidRPr="0C337F77">
              <w:rPr>
                <w:rFonts w:ascii="Calibri" w:eastAsia="Times New Roman" w:hAnsi="Calibri" w:cs="Calibri"/>
                <w:color w:val="000000" w:themeColor="text1"/>
                <w:sz w:val="20"/>
                <w:szCs w:val="20"/>
                <w:lang w:eastAsia="en-AU"/>
              </w:rPr>
              <w:t xml:space="preserve"> also</w:t>
            </w:r>
            <w:r w:rsidRPr="0C337F77">
              <w:rPr>
                <w:rFonts w:ascii="Calibri" w:eastAsia="Times New Roman" w:hAnsi="Calibri" w:cs="Calibri"/>
                <w:color w:val="000000" w:themeColor="text1"/>
                <w:sz w:val="20"/>
                <w:szCs w:val="20"/>
                <w:lang w:eastAsia="en-AU"/>
              </w:rPr>
              <w:t xml:space="preserve"> allow for identification of potential systemic issues </w:t>
            </w:r>
            <w:r w:rsidR="715B88EB" w:rsidRPr="0C337F77">
              <w:rPr>
                <w:rFonts w:ascii="Calibri" w:eastAsia="Times New Roman" w:hAnsi="Calibri" w:cs="Calibri"/>
                <w:color w:val="000000" w:themeColor="text1"/>
                <w:sz w:val="20"/>
                <w:szCs w:val="20"/>
                <w:lang w:eastAsia="en-AU"/>
              </w:rPr>
              <w:t xml:space="preserve">related to broader governance and safety issues that would be considered by </w:t>
            </w:r>
            <w:r w:rsidRPr="0C337F77">
              <w:rPr>
                <w:rFonts w:ascii="Calibri" w:eastAsia="Times New Roman" w:hAnsi="Calibri" w:cs="Calibri"/>
                <w:color w:val="000000" w:themeColor="text1"/>
                <w:sz w:val="20"/>
                <w:szCs w:val="20"/>
                <w:lang w:eastAsia="en-AU"/>
              </w:rPr>
              <w:t>TEQSA in regulating against the Threshold Standards. </w:t>
            </w:r>
          </w:p>
          <w:p w14:paraId="75457F25" w14:textId="60E09AB1" w:rsidR="000B20F7" w:rsidRPr="000B20F7" w:rsidRDefault="45AC8E56" w:rsidP="08C8E1F2">
            <w:pPr>
              <w:numPr>
                <w:ilvl w:val="0"/>
                <w:numId w:val="14"/>
              </w:numPr>
              <w:spacing w:after="0" w:line="240" w:lineRule="auto"/>
              <w:ind w:hanging="270"/>
              <w:rPr>
                <w:rFonts w:ascii="Calibri" w:eastAsia="Times New Roman" w:hAnsi="Calibri" w:cs="Calibri"/>
                <w:color w:val="000000" w:themeColor="text1"/>
                <w:sz w:val="20"/>
                <w:szCs w:val="20"/>
                <w:lang w:eastAsia="en-AU"/>
              </w:rPr>
            </w:pPr>
            <w:r w:rsidRPr="0C337F77">
              <w:rPr>
                <w:rFonts w:eastAsiaTheme="minorEastAsia"/>
                <w:color w:val="000000" w:themeColor="text1"/>
                <w:sz w:val="20"/>
                <w:szCs w:val="20"/>
                <w:lang w:eastAsia="en-AU"/>
              </w:rPr>
              <w:t>Reportin</w:t>
            </w:r>
            <w:r w:rsidRPr="0C337F77">
              <w:rPr>
                <w:rFonts w:ascii="Calibri" w:eastAsia="Times New Roman" w:hAnsi="Calibri" w:cs="Calibri"/>
                <w:color w:val="000000" w:themeColor="text1"/>
                <w:sz w:val="20"/>
                <w:szCs w:val="20"/>
                <w:lang w:eastAsia="en-AU"/>
              </w:rPr>
              <w:t xml:space="preserve">g insights </w:t>
            </w:r>
            <w:r w:rsidR="13D8940A" w:rsidRPr="0C337F77">
              <w:rPr>
                <w:rFonts w:ascii="Calibri" w:eastAsia="Times New Roman" w:hAnsi="Calibri" w:cs="Calibri"/>
                <w:color w:val="000000" w:themeColor="text1"/>
                <w:sz w:val="20"/>
                <w:szCs w:val="20"/>
                <w:lang w:eastAsia="en-AU"/>
              </w:rPr>
              <w:t xml:space="preserve">would </w:t>
            </w:r>
            <w:r w:rsidRPr="0C337F77">
              <w:rPr>
                <w:rFonts w:ascii="Calibri" w:eastAsia="Times New Roman" w:hAnsi="Calibri" w:cs="Calibri"/>
                <w:color w:val="000000" w:themeColor="text1"/>
                <w:sz w:val="20"/>
                <w:szCs w:val="20"/>
                <w:lang w:eastAsia="en-AU"/>
              </w:rPr>
              <w:t>inform best practice guidance and support sector capability. </w:t>
            </w:r>
          </w:p>
        </w:tc>
      </w:tr>
      <w:tr w:rsidR="000B20F7" w:rsidRPr="000B20F7" w14:paraId="2C45E94A" w14:textId="77777777" w:rsidTr="0C337F77">
        <w:trPr>
          <w:trHeight w:val="300"/>
        </w:trPr>
        <w:tc>
          <w:tcPr>
            <w:tcW w:w="2127" w:type="dxa"/>
            <w:tcBorders>
              <w:top w:val="nil"/>
              <w:left w:val="nil"/>
              <w:bottom w:val="nil"/>
              <w:right w:val="nil"/>
            </w:tcBorders>
            <w:shd w:val="clear" w:color="auto" w:fill="auto"/>
            <w:hideMark/>
          </w:tcPr>
          <w:p w14:paraId="5284BC62"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Higher Education Support Act 2003, Higher Education Provider Guidelines 2023 </w:t>
            </w:r>
          </w:p>
        </w:tc>
        <w:tc>
          <w:tcPr>
            <w:tcW w:w="12616" w:type="dxa"/>
            <w:tcBorders>
              <w:top w:val="nil"/>
              <w:left w:val="nil"/>
              <w:bottom w:val="nil"/>
              <w:right w:val="nil"/>
            </w:tcBorders>
            <w:shd w:val="clear" w:color="auto" w:fill="auto"/>
            <w:hideMark/>
          </w:tcPr>
          <w:p w14:paraId="493BDE0F" w14:textId="3ADEFA35" w:rsidR="000B20F7" w:rsidRPr="000B20F7" w:rsidRDefault="004326EC" w:rsidP="000B20F7">
            <w:pPr>
              <w:spacing w:after="0" w:line="240" w:lineRule="auto"/>
              <w:ind w:left="360" w:hanging="360"/>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 xml:space="preserve">Current scope </w:t>
            </w:r>
            <w:r w:rsidR="000B20F7" w:rsidRPr="000B20F7">
              <w:rPr>
                <w:rFonts w:ascii="Calibri" w:eastAsia="Times New Roman" w:hAnsi="Calibri" w:cs="Calibri"/>
                <w:color w:val="000000"/>
                <w:kern w:val="0"/>
                <w:sz w:val="20"/>
                <w:szCs w:val="20"/>
                <w:lang w:eastAsia="en-AU"/>
                <w14:ligatures w14:val="none"/>
              </w:rPr>
              <w:t> </w:t>
            </w:r>
          </w:p>
          <w:p w14:paraId="3683B620" w14:textId="1ACB10FC" w:rsidR="000B20F7" w:rsidRPr="000B20F7" w:rsidRDefault="040B19F6" w:rsidP="008B5CA1">
            <w:pPr>
              <w:numPr>
                <w:ilvl w:val="0"/>
                <w:numId w:val="15"/>
              </w:numPr>
              <w:spacing w:after="0" w:line="240" w:lineRule="auto"/>
              <w:ind w:hanging="270"/>
              <w:rPr>
                <w:rFonts w:ascii="Calibri" w:eastAsia="Times New Roman" w:hAnsi="Calibri" w:cs="Calibri"/>
                <w:color w:val="000000" w:themeColor="text1"/>
                <w:sz w:val="20"/>
                <w:szCs w:val="20"/>
                <w:lang w:eastAsia="en-AU"/>
              </w:rPr>
            </w:pPr>
            <w:r w:rsidRPr="0C337F77">
              <w:rPr>
                <w:rFonts w:ascii="Calibri" w:eastAsia="Times New Roman" w:hAnsi="Calibri" w:cs="Calibri"/>
                <w:color w:val="000000" w:themeColor="text1"/>
                <w:sz w:val="20"/>
                <w:szCs w:val="20"/>
                <w:lang w:eastAsia="en-AU"/>
              </w:rPr>
              <w:t xml:space="preserve">The </w:t>
            </w:r>
            <w:r w:rsidR="45AC8E56" w:rsidRPr="0C337F77">
              <w:rPr>
                <w:rFonts w:ascii="Calibri" w:eastAsia="Times New Roman" w:hAnsi="Calibri" w:cs="Calibri"/>
                <w:color w:val="000000" w:themeColor="text1"/>
                <w:sz w:val="20"/>
                <w:szCs w:val="20"/>
                <w:lang w:eastAsia="en-AU"/>
              </w:rPr>
              <w:t>Act and Guidelines</w:t>
            </w:r>
            <w:r w:rsidR="0C24172D" w:rsidRPr="0C337F77">
              <w:rPr>
                <w:rFonts w:ascii="Calibri" w:eastAsia="Times New Roman" w:hAnsi="Calibri" w:cs="Calibri"/>
                <w:color w:val="000000" w:themeColor="text1"/>
                <w:sz w:val="20"/>
                <w:szCs w:val="20"/>
                <w:lang w:eastAsia="en-AU"/>
              </w:rPr>
              <w:t xml:space="preserve"> require providers to have grievance and review procedures in place for student complaints on academic and non-academic matters</w:t>
            </w:r>
            <w:r w:rsidR="75BBEC35" w:rsidRPr="0C337F77">
              <w:rPr>
                <w:rFonts w:ascii="Calibri" w:eastAsia="Times New Roman" w:hAnsi="Calibri" w:cs="Calibri"/>
                <w:color w:val="000000" w:themeColor="text1"/>
                <w:sz w:val="20"/>
                <w:szCs w:val="20"/>
                <w:lang w:eastAsia="en-AU"/>
              </w:rPr>
              <w:t>.</w:t>
            </w:r>
            <w:r w:rsidR="4FBBE8BF" w:rsidRPr="0C337F77">
              <w:rPr>
                <w:rFonts w:ascii="Calibri" w:eastAsia="Times New Roman" w:hAnsi="Calibri" w:cs="Calibri"/>
                <w:color w:val="000000" w:themeColor="text1"/>
                <w:sz w:val="20"/>
                <w:szCs w:val="20"/>
                <w:lang w:eastAsia="en-AU"/>
              </w:rPr>
              <w:t xml:space="preserve"> </w:t>
            </w:r>
            <w:r w:rsidR="00573502">
              <w:rPr>
                <w:rFonts w:ascii="Calibri" w:eastAsia="Times New Roman" w:hAnsi="Calibri" w:cs="Calibri"/>
                <w:color w:val="000000" w:themeColor="text1"/>
                <w:sz w:val="20"/>
                <w:szCs w:val="20"/>
                <w:lang w:eastAsia="en-AU"/>
              </w:rPr>
              <w:t>However,</w:t>
            </w:r>
            <w:r w:rsidR="75BBEC35" w:rsidRPr="0C337F77">
              <w:rPr>
                <w:rFonts w:ascii="Calibri" w:eastAsia="Times New Roman" w:hAnsi="Calibri" w:cs="Calibri"/>
                <w:color w:val="000000" w:themeColor="text1"/>
                <w:sz w:val="20"/>
                <w:szCs w:val="20"/>
                <w:lang w:eastAsia="en-AU"/>
              </w:rPr>
              <w:t xml:space="preserve"> they</w:t>
            </w:r>
            <w:r w:rsidR="4FBBE8BF" w:rsidRPr="0C337F77">
              <w:rPr>
                <w:rFonts w:ascii="Calibri" w:eastAsia="Times New Roman" w:hAnsi="Calibri" w:cs="Calibri"/>
                <w:color w:val="000000" w:themeColor="text1"/>
                <w:sz w:val="20"/>
                <w:szCs w:val="20"/>
                <w:lang w:eastAsia="en-AU"/>
              </w:rPr>
              <w:t xml:space="preserve"> do</w:t>
            </w:r>
            <w:r w:rsidR="45AC8E56" w:rsidRPr="0C337F77">
              <w:rPr>
                <w:rFonts w:ascii="Calibri" w:eastAsia="Times New Roman" w:hAnsi="Calibri" w:cs="Calibri"/>
                <w:color w:val="000000" w:themeColor="text1"/>
                <w:sz w:val="20"/>
                <w:szCs w:val="20"/>
                <w:lang w:eastAsia="en-AU"/>
              </w:rPr>
              <w:t xml:space="preserve"> not </w:t>
            </w:r>
            <w:r w:rsidR="75BBEC35" w:rsidRPr="0C337F77">
              <w:rPr>
                <w:rFonts w:ascii="Calibri" w:eastAsia="Times New Roman" w:hAnsi="Calibri" w:cs="Calibri"/>
                <w:color w:val="000000" w:themeColor="text1"/>
                <w:sz w:val="20"/>
                <w:szCs w:val="20"/>
                <w:lang w:eastAsia="en-AU"/>
              </w:rPr>
              <w:t>require specific</w:t>
            </w:r>
            <w:r w:rsidR="45AC8E56" w:rsidRPr="0C337F77">
              <w:rPr>
                <w:rFonts w:ascii="Calibri" w:eastAsia="Times New Roman" w:hAnsi="Calibri" w:cs="Calibri"/>
                <w:color w:val="000000" w:themeColor="text1"/>
                <w:sz w:val="20"/>
                <w:szCs w:val="20"/>
                <w:lang w:eastAsia="en-AU"/>
              </w:rPr>
              <w:t xml:space="preserve"> information on the </w:t>
            </w:r>
            <w:r w:rsidR="002D571F">
              <w:rPr>
                <w:rFonts w:ascii="Calibri" w:eastAsia="Times New Roman" w:hAnsi="Calibri" w:cs="Calibri"/>
                <w:color w:val="000000" w:themeColor="text1"/>
                <w:sz w:val="20"/>
                <w:szCs w:val="20"/>
                <w:lang w:eastAsia="en-AU"/>
              </w:rPr>
              <w:t xml:space="preserve">nature of </w:t>
            </w:r>
            <w:r w:rsidR="45AC8E56" w:rsidRPr="0C337F77">
              <w:rPr>
                <w:rFonts w:ascii="Calibri" w:eastAsia="Times New Roman" w:hAnsi="Calibri" w:cs="Calibri"/>
                <w:color w:val="000000" w:themeColor="text1"/>
                <w:sz w:val="20"/>
                <w:szCs w:val="20"/>
                <w:lang w:eastAsia="en-AU"/>
              </w:rPr>
              <w:t>grievance and review procedures in relation to gender-based violence</w:t>
            </w:r>
            <w:r w:rsidR="3E8DCD6D" w:rsidRPr="0C337F77">
              <w:rPr>
                <w:rFonts w:ascii="Calibri" w:eastAsia="Times New Roman" w:hAnsi="Calibri" w:cs="Calibri"/>
                <w:color w:val="000000" w:themeColor="text1"/>
                <w:sz w:val="20"/>
                <w:szCs w:val="20"/>
                <w:lang w:eastAsia="en-AU"/>
              </w:rPr>
              <w:t xml:space="preserve"> </w:t>
            </w:r>
            <w:r w:rsidR="00FB310E">
              <w:rPr>
                <w:rFonts w:ascii="Calibri" w:eastAsia="Times New Roman" w:hAnsi="Calibri" w:cs="Calibri"/>
                <w:color w:val="000000" w:themeColor="text1"/>
                <w:sz w:val="20"/>
                <w:szCs w:val="20"/>
                <w:lang w:eastAsia="en-AU"/>
              </w:rPr>
              <w:t>n</w:t>
            </w:r>
            <w:r w:rsidR="3E8DCD6D" w:rsidRPr="0C337F77">
              <w:rPr>
                <w:rFonts w:ascii="Calibri" w:eastAsia="Times New Roman" w:hAnsi="Calibri" w:cs="Calibri"/>
                <w:color w:val="000000" w:themeColor="text1"/>
                <w:sz w:val="20"/>
                <w:szCs w:val="20"/>
                <w:lang w:eastAsia="en-AU"/>
              </w:rPr>
              <w:t>or require th</w:t>
            </w:r>
            <w:r w:rsidR="1273EEB6" w:rsidRPr="0C337F77">
              <w:rPr>
                <w:rFonts w:ascii="Calibri" w:eastAsia="Times New Roman" w:hAnsi="Calibri" w:cs="Calibri"/>
                <w:color w:val="000000" w:themeColor="text1"/>
                <w:sz w:val="20"/>
                <w:szCs w:val="20"/>
                <w:lang w:eastAsia="en-AU"/>
              </w:rPr>
              <w:t>o</w:t>
            </w:r>
            <w:r w:rsidR="3E8DCD6D" w:rsidRPr="0C337F77">
              <w:rPr>
                <w:rFonts w:ascii="Calibri" w:eastAsia="Times New Roman" w:hAnsi="Calibri" w:cs="Calibri"/>
                <w:color w:val="000000" w:themeColor="text1"/>
                <w:sz w:val="20"/>
                <w:szCs w:val="20"/>
                <w:lang w:eastAsia="en-AU"/>
              </w:rPr>
              <w:t>se procedures to</w:t>
            </w:r>
            <w:r w:rsidR="45AC8E56" w:rsidRPr="0C337F77">
              <w:rPr>
                <w:rFonts w:eastAsiaTheme="minorEastAsia"/>
                <w:color w:val="000000" w:themeColor="text1"/>
                <w:sz w:val="20"/>
                <w:szCs w:val="20"/>
                <w:lang w:eastAsia="en-AU"/>
              </w:rPr>
              <w:t xml:space="preserve"> be victim-centred and trauma-informed to reduce the likelihood of further </w:t>
            </w:r>
            <w:r w:rsidR="45AC8E56" w:rsidRPr="0C337F77">
              <w:rPr>
                <w:rFonts w:ascii="Calibri" w:eastAsia="Times New Roman" w:hAnsi="Calibri" w:cs="Calibri"/>
                <w:color w:val="000000" w:themeColor="text1"/>
                <w:sz w:val="20"/>
                <w:szCs w:val="20"/>
                <w:lang w:eastAsia="en-AU"/>
              </w:rPr>
              <w:t>harm. </w:t>
            </w:r>
          </w:p>
          <w:p w14:paraId="75EEC662"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643DA73E" w14:textId="5DEBC636" w:rsidR="000B20F7" w:rsidRPr="000B20F7" w:rsidRDefault="45AC8E56" w:rsidP="08C8E1F2">
            <w:pPr>
              <w:numPr>
                <w:ilvl w:val="0"/>
                <w:numId w:val="16"/>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The </w:t>
            </w:r>
            <w:r w:rsidRPr="08C8E1F2">
              <w:rPr>
                <w:rFonts w:ascii="Calibri" w:eastAsia="Times New Roman" w:hAnsi="Calibri" w:cs="Calibri"/>
                <w:color w:val="000000" w:themeColor="text1"/>
                <w:sz w:val="20"/>
                <w:szCs w:val="20"/>
                <w:lang w:eastAsia="en-AU"/>
              </w:rPr>
              <w:t>National</w:t>
            </w:r>
            <w:r w:rsidRPr="000B20F7">
              <w:rPr>
                <w:rFonts w:ascii="Calibri" w:eastAsia="Times New Roman" w:hAnsi="Calibri" w:cs="Calibri"/>
                <w:color w:val="000000"/>
                <w:kern w:val="0"/>
                <w:sz w:val="20"/>
                <w:szCs w:val="20"/>
                <w:lang w:eastAsia="en-AU"/>
                <w14:ligatures w14:val="none"/>
              </w:rPr>
              <w:t xml:space="preserve"> Code </w:t>
            </w:r>
            <w:r w:rsidR="25AC4ECD" w:rsidRPr="000B20F7">
              <w:rPr>
                <w:rFonts w:ascii="Calibri" w:eastAsia="Times New Roman" w:hAnsi="Calibri" w:cs="Calibri"/>
                <w:color w:val="000000"/>
                <w:kern w:val="0"/>
                <w:sz w:val="20"/>
                <w:szCs w:val="20"/>
                <w:lang w:eastAsia="en-AU"/>
                <w14:ligatures w14:val="none"/>
              </w:rPr>
              <w:t xml:space="preserve">would </w:t>
            </w:r>
            <w:r w:rsidRPr="000B20F7">
              <w:rPr>
                <w:rFonts w:ascii="Calibri" w:eastAsia="Times New Roman" w:hAnsi="Calibri" w:cs="Calibri"/>
                <w:color w:val="000000"/>
                <w:kern w:val="0"/>
                <w:sz w:val="20"/>
                <w:szCs w:val="20"/>
                <w:lang w:eastAsia="en-AU"/>
                <w14:ligatures w14:val="none"/>
              </w:rPr>
              <w:t xml:space="preserve">establish requirements and provide guidance on how to respond to incidents of gender-based violence, including complaints, </w:t>
            </w:r>
            <w:r w:rsidR="1273EEB6">
              <w:rPr>
                <w:rFonts w:ascii="Calibri" w:eastAsia="Times New Roman" w:hAnsi="Calibri" w:cs="Calibri"/>
                <w:color w:val="000000"/>
                <w:kern w:val="0"/>
                <w:sz w:val="20"/>
                <w:szCs w:val="20"/>
                <w:lang w:eastAsia="en-AU"/>
                <w14:ligatures w14:val="none"/>
              </w:rPr>
              <w:t xml:space="preserve">investigations and </w:t>
            </w:r>
            <w:r w:rsidRPr="000B20F7">
              <w:rPr>
                <w:rFonts w:ascii="Calibri" w:eastAsia="Times New Roman" w:hAnsi="Calibri" w:cs="Calibri"/>
                <w:color w:val="000000"/>
                <w:kern w:val="0"/>
                <w:sz w:val="20"/>
                <w:szCs w:val="20"/>
                <w:lang w:eastAsia="en-AU"/>
                <w14:ligatures w14:val="none"/>
              </w:rPr>
              <w:t>grievances escalation. </w:t>
            </w:r>
          </w:p>
        </w:tc>
      </w:tr>
      <w:tr w:rsidR="000B20F7" w:rsidRPr="000B20F7" w14:paraId="78188C29" w14:textId="77777777" w:rsidTr="0C337F77">
        <w:trPr>
          <w:trHeight w:val="300"/>
        </w:trPr>
        <w:tc>
          <w:tcPr>
            <w:tcW w:w="2127" w:type="dxa"/>
            <w:tcBorders>
              <w:top w:val="nil"/>
              <w:left w:val="nil"/>
              <w:bottom w:val="nil"/>
              <w:right w:val="nil"/>
            </w:tcBorders>
            <w:shd w:val="clear" w:color="auto" w:fill="DBD5E9"/>
            <w:hideMark/>
          </w:tcPr>
          <w:p w14:paraId="111387B7"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Support for Students Policy (HESA 2003, s19-43) </w:t>
            </w:r>
          </w:p>
        </w:tc>
        <w:tc>
          <w:tcPr>
            <w:tcW w:w="12616" w:type="dxa"/>
            <w:tcBorders>
              <w:top w:val="nil"/>
              <w:left w:val="nil"/>
              <w:bottom w:val="nil"/>
              <w:right w:val="nil"/>
            </w:tcBorders>
            <w:shd w:val="clear" w:color="auto" w:fill="DBD5E9"/>
            <w:hideMark/>
          </w:tcPr>
          <w:p w14:paraId="354A2410" w14:textId="67BEFCCD" w:rsidR="000B20F7" w:rsidRPr="000B20F7" w:rsidRDefault="004326EC" w:rsidP="000B20F7">
            <w:pPr>
              <w:spacing w:after="0" w:line="240" w:lineRule="auto"/>
              <w:ind w:left="360" w:hanging="360"/>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p>
          <w:p w14:paraId="78565692" w14:textId="66BD81F9" w:rsidR="000B20F7" w:rsidRPr="000B20F7" w:rsidRDefault="01C18967" w:rsidP="0C337F77">
            <w:pPr>
              <w:numPr>
                <w:ilvl w:val="0"/>
                <w:numId w:val="17"/>
              </w:numPr>
              <w:spacing w:after="0" w:line="240" w:lineRule="auto"/>
              <w:ind w:hanging="270"/>
              <w:rPr>
                <w:rFonts w:ascii="Calibri" w:eastAsia="Times New Roman" w:hAnsi="Calibri" w:cs="Calibri"/>
                <w:color w:val="000000" w:themeColor="text1"/>
                <w:sz w:val="20"/>
                <w:szCs w:val="20"/>
                <w:lang w:eastAsia="en-AU"/>
              </w:rPr>
            </w:pPr>
            <w:r>
              <w:rPr>
                <w:rFonts w:ascii="Calibri" w:eastAsia="Times New Roman" w:hAnsi="Calibri" w:cs="Calibri"/>
                <w:color w:val="000000"/>
                <w:kern w:val="0"/>
                <w:sz w:val="20"/>
                <w:szCs w:val="20"/>
                <w:lang w:eastAsia="en-AU"/>
                <w14:ligatures w14:val="none"/>
              </w:rPr>
              <w:t xml:space="preserve">The Support for Students Policy </w:t>
            </w:r>
            <w:r w:rsidR="0F9304D5">
              <w:rPr>
                <w:rFonts w:ascii="Calibri" w:eastAsia="Times New Roman" w:hAnsi="Calibri" w:cs="Calibri"/>
                <w:color w:val="000000"/>
                <w:kern w:val="0"/>
                <w:sz w:val="20"/>
                <w:szCs w:val="20"/>
                <w:lang w:eastAsia="en-AU"/>
                <w14:ligatures w14:val="none"/>
              </w:rPr>
              <w:t xml:space="preserve">requires providers </w:t>
            </w:r>
            <w:r w:rsidR="52635587">
              <w:rPr>
                <w:rFonts w:ascii="Calibri" w:eastAsia="Times New Roman" w:hAnsi="Calibri" w:cs="Calibri"/>
                <w:color w:val="000000"/>
                <w:kern w:val="0"/>
                <w:sz w:val="20"/>
                <w:szCs w:val="20"/>
                <w:lang w:eastAsia="en-AU"/>
                <w14:ligatures w14:val="none"/>
              </w:rPr>
              <w:t>to have, comply with and report on a policy that supports students to successfully complete units of study</w:t>
            </w:r>
            <w:r w:rsidR="3D1D4B27">
              <w:rPr>
                <w:rFonts w:ascii="Calibri" w:eastAsia="Times New Roman" w:hAnsi="Calibri" w:cs="Calibri"/>
                <w:color w:val="000000"/>
                <w:kern w:val="0"/>
                <w:sz w:val="20"/>
                <w:szCs w:val="20"/>
                <w:lang w:eastAsia="en-AU"/>
                <w14:ligatures w14:val="none"/>
              </w:rPr>
              <w:t xml:space="preserve"> in which they are </w:t>
            </w:r>
            <w:r w:rsidR="05D44EC6">
              <w:rPr>
                <w:rFonts w:ascii="Calibri" w:eastAsia="Times New Roman" w:hAnsi="Calibri" w:cs="Calibri"/>
                <w:color w:val="000000"/>
                <w:kern w:val="0"/>
                <w:sz w:val="20"/>
                <w:szCs w:val="20"/>
                <w:lang w:eastAsia="en-AU"/>
                <w14:ligatures w14:val="none"/>
              </w:rPr>
              <w:t>enrolled</w:t>
            </w:r>
            <w:r w:rsidR="52635587">
              <w:rPr>
                <w:rFonts w:ascii="Calibri" w:eastAsia="Times New Roman" w:hAnsi="Calibri" w:cs="Calibri"/>
                <w:color w:val="000000"/>
                <w:kern w:val="0"/>
                <w:sz w:val="20"/>
                <w:szCs w:val="20"/>
                <w:lang w:eastAsia="en-AU"/>
                <w14:ligatures w14:val="none"/>
              </w:rPr>
              <w:t>.</w:t>
            </w:r>
            <w:r w:rsidR="45AC8E56" w:rsidRPr="000B20F7">
              <w:rPr>
                <w:rFonts w:ascii="Calibri" w:eastAsia="Times New Roman" w:hAnsi="Calibri" w:cs="Calibri"/>
                <w:color w:val="000000"/>
                <w:kern w:val="0"/>
                <w:sz w:val="20"/>
                <w:szCs w:val="20"/>
                <w:lang w:eastAsia="en-AU"/>
                <w14:ligatures w14:val="none"/>
              </w:rPr>
              <w:t> </w:t>
            </w:r>
            <w:r w:rsidR="30006E1D" w:rsidRPr="000B20F7">
              <w:rPr>
                <w:rFonts w:ascii="Calibri" w:eastAsia="Times New Roman" w:hAnsi="Calibri" w:cs="Calibri"/>
                <w:color w:val="000000"/>
                <w:kern w:val="0"/>
                <w:sz w:val="20"/>
                <w:szCs w:val="20"/>
                <w:lang w:eastAsia="en-AU"/>
                <w14:ligatures w14:val="none"/>
              </w:rPr>
              <w:t>However, these requirements only apply to HESA</w:t>
            </w:r>
            <w:r w:rsidR="00344CC1">
              <w:rPr>
                <w:rFonts w:ascii="Calibri" w:eastAsia="Times New Roman" w:hAnsi="Calibri" w:cs="Calibri"/>
                <w:color w:val="000000"/>
                <w:kern w:val="0"/>
                <w:sz w:val="20"/>
                <w:szCs w:val="20"/>
                <w:lang w:eastAsia="en-AU"/>
                <w14:ligatures w14:val="none"/>
              </w:rPr>
              <w:t>-</w:t>
            </w:r>
            <w:r w:rsidR="30006E1D" w:rsidRPr="000B20F7">
              <w:rPr>
                <w:rFonts w:ascii="Calibri" w:eastAsia="Times New Roman" w:hAnsi="Calibri" w:cs="Calibri"/>
                <w:color w:val="000000"/>
                <w:kern w:val="0"/>
                <w:sz w:val="20"/>
                <w:szCs w:val="20"/>
                <w:lang w:eastAsia="en-AU"/>
                <w14:ligatures w14:val="none"/>
              </w:rPr>
              <w:t>approved providers</w:t>
            </w:r>
            <w:r w:rsidR="00344CC1">
              <w:rPr>
                <w:rFonts w:ascii="Calibri" w:eastAsia="Times New Roman" w:hAnsi="Calibri" w:cs="Calibri"/>
                <w:color w:val="000000"/>
                <w:kern w:val="0"/>
                <w:sz w:val="20"/>
                <w:szCs w:val="20"/>
                <w:lang w:eastAsia="en-AU"/>
                <w14:ligatures w14:val="none"/>
              </w:rPr>
              <w:t xml:space="preserve"> </w:t>
            </w:r>
            <w:r w:rsidR="00E73B19">
              <w:rPr>
                <w:rFonts w:ascii="Calibri" w:eastAsia="Times New Roman" w:hAnsi="Calibri" w:cs="Calibri"/>
                <w:color w:val="000000"/>
                <w:kern w:val="0"/>
                <w:sz w:val="20"/>
                <w:szCs w:val="20"/>
                <w:lang w:eastAsia="en-AU"/>
                <w14:ligatures w14:val="none"/>
              </w:rPr>
              <w:t>–</w:t>
            </w:r>
            <w:r w:rsidR="30006E1D" w:rsidRPr="000B20F7">
              <w:rPr>
                <w:rFonts w:ascii="Calibri" w:eastAsia="Times New Roman" w:hAnsi="Calibri" w:cs="Calibri"/>
                <w:color w:val="000000"/>
                <w:kern w:val="0"/>
                <w:sz w:val="20"/>
                <w:szCs w:val="20"/>
                <w:lang w:eastAsia="en-AU"/>
                <w14:ligatures w14:val="none"/>
              </w:rPr>
              <w:t xml:space="preserve"> not all TEQSA approved providers.</w:t>
            </w:r>
          </w:p>
          <w:p w14:paraId="23441A4C" w14:textId="0F302B0A" w:rsidR="000B20F7" w:rsidRPr="000B20F7" w:rsidRDefault="000B20F7" w:rsidP="08C8E1F2">
            <w:pPr>
              <w:numPr>
                <w:ilvl w:val="0"/>
                <w:numId w:val="17"/>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The guidelines recognise students may experience family and domestic violence</w:t>
            </w:r>
            <w:r w:rsidR="00EA335A">
              <w:rPr>
                <w:rFonts w:ascii="Calibri" w:eastAsia="Times New Roman" w:hAnsi="Calibri" w:cs="Calibri"/>
                <w:color w:val="000000"/>
                <w:kern w:val="0"/>
                <w:sz w:val="20"/>
                <w:szCs w:val="20"/>
                <w:lang w:eastAsia="en-AU"/>
                <w14:ligatures w14:val="none"/>
              </w:rPr>
              <w:t>, harassment</w:t>
            </w:r>
            <w:r w:rsidR="00477841">
              <w:rPr>
                <w:rFonts w:ascii="Calibri" w:eastAsia="Times New Roman" w:hAnsi="Calibri" w:cs="Calibri"/>
                <w:color w:val="000000"/>
                <w:kern w:val="0"/>
                <w:sz w:val="20"/>
                <w:szCs w:val="20"/>
                <w:lang w:eastAsia="en-AU"/>
                <w14:ligatures w14:val="none"/>
              </w:rPr>
              <w:t xml:space="preserve">, sexual harm </w:t>
            </w:r>
            <w:r w:rsidRPr="000B20F7">
              <w:rPr>
                <w:rFonts w:ascii="Calibri" w:eastAsia="Times New Roman" w:hAnsi="Calibri" w:cs="Calibri"/>
                <w:color w:val="000000"/>
                <w:kern w:val="0"/>
                <w:sz w:val="20"/>
                <w:szCs w:val="20"/>
                <w:lang w:eastAsia="en-AU"/>
                <w14:ligatures w14:val="none"/>
              </w:rPr>
              <w:t>but do not specifically include other forms of gender-based violence.   </w:t>
            </w:r>
          </w:p>
          <w:p w14:paraId="4DF936E4" w14:textId="77777777" w:rsidR="009046B0" w:rsidRDefault="009046B0" w:rsidP="000B20F7">
            <w:pPr>
              <w:spacing w:after="0" w:line="240" w:lineRule="auto"/>
              <w:textAlignment w:val="baseline"/>
              <w:rPr>
                <w:rFonts w:ascii="Calibri" w:eastAsia="Times New Roman" w:hAnsi="Calibri" w:cs="Calibri"/>
                <w:b/>
                <w:bCs/>
                <w:color w:val="000000"/>
                <w:kern w:val="0"/>
                <w:sz w:val="20"/>
                <w:szCs w:val="20"/>
                <w:lang w:eastAsia="en-AU"/>
                <w14:ligatures w14:val="none"/>
              </w:rPr>
            </w:pPr>
          </w:p>
          <w:p w14:paraId="75060FAB" w14:textId="77777777" w:rsidR="009046B0" w:rsidRDefault="009046B0" w:rsidP="000B20F7">
            <w:pPr>
              <w:spacing w:after="0" w:line="240" w:lineRule="auto"/>
              <w:textAlignment w:val="baseline"/>
              <w:rPr>
                <w:rFonts w:ascii="Calibri" w:eastAsia="Times New Roman" w:hAnsi="Calibri" w:cs="Calibri"/>
                <w:b/>
                <w:bCs/>
                <w:color w:val="000000"/>
                <w:kern w:val="0"/>
                <w:sz w:val="20"/>
                <w:szCs w:val="20"/>
                <w:lang w:eastAsia="en-AU"/>
                <w14:ligatures w14:val="none"/>
              </w:rPr>
            </w:pPr>
          </w:p>
          <w:p w14:paraId="06B1A7CF" w14:textId="6CBBA06B"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 </w:t>
            </w:r>
            <w:r w:rsidRPr="000B20F7">
              <w:rPr>
                <w:rFonts w:ascii="Calibri" w:eastAsia="Times New Roman" w:hAnsi="Calibri" w:cs="Calibri"/>
                <w:color w:val="000000"/>
                <w:kern w:val="0"/>
                <w:sz w:val="20"/>
                <w:szCs w:val="20"/>
                <w:lang w:eastAsia="en-AU"/>
                <w14:ligatures w14:val="none"/>
              </w:rPr>
              <w:t> </w:t>
            </w:r>
          </w:p>
          <w:p w14:paraId="7B9E0451" w14:textId="7A6C65CC" w:rsidR="000B20F7" w:rsidRPr="000B20F7" w:rsidRDefault="45AC8E56" w:rsidP="7632D213">
            <w:pPr>
              <w:numPr>
                <w:ilvl w:val="0"/>
                <w:numId w:val="18"/>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The National </w:t>
            </w:r>
            <w:r w:rsidRPr="7632D213">
              <w:rPr>
                <w:rFonts w:ascii="Calibri" w:eastAsia="Times New Roman" w:hAnsi="Calibri" w:cs="Calibri"/>
                <w:color w:val="000000" w:themeColor="text1"/>
                <w:sz w:val="20"/>
                <w:szCs w:val="20"/>
                <w:lang w:eastAsia="en-AU"/>
              </w:rPr>
              <w:t>Code</w:t>
            </w:r>
            <w:r w:rsidRPr="000B20F7">
              <w:rPr>
                <w:rFonts w:ascii="Calibri" w:eastAsia="Times New Roman" w:hAnsi="Calibri" w:cs="Calibri"/>
                <w:color w:val="000000"/>
                <w:kern w:val="0"/>
                <w:sz w:val="20"/>
                <w:szCs w:val="20"/>
                <w:lang w:eastAsia="en-AU"/>
                <w14:ligatures w14:val="none"/>
              </w:rPr>
              <w:t xml:space="preserve"> </w:t>
            </w:r>
            <w:r w:rsidR="2A209C09" w:rsidRPr="000B20F7">
              <w:rPr>
                <w:rFonts w:ascii="Calibri" w:eastAsia="Times New Roman" w:hAnsi="Calibri" w:cs="Calibri"/>
                <w:color w:val="000000"/>
                <w:kern w:val="0"/>
                <w:sz w:val="20"/>
                <w:szCs w:val="20"/>
                <w:lang w:eastAsia="en-AU"/>
                <w14:ligatures w14:val="none"/>
              </w:rPr>
              <w:t xml:space="preserve">would </w:t>
            </w:r>
            <w:r w:rsidRPr="000B20F7">
              <w:rPr>
                <w:rFonts w:ascii="Calibri" w:eastAsia="Times New Roman" w:hAnsi="Calibri" w:cs="Calibri"/>
                <w:color w:val="000000"/>
                <w:kern w:val="0"/>
                <w:sz w:val="20"/>
                <w:szCs w:val="20"/>
                <w:lang w:eastAsia="en-AU"/>
                <w14:ligatures w14:val="none"/>
              </w:rPr>
              <w:t>specify</w:t>
            </w:r>
            <w:r w:rsidR="43C00B60">
              <w:rPr>
                <w:rFonts w:ascii="Calibri" w:eastAsia="Times New Roman" w:hAnsi="Calibri" w:cs="Calibri"/>
                <w:color w:val="000000"/>
                <w:kern w:val="0"/>
                <w:sz w:val="20"/>
                <w:szCs w:val="20"/>
                <w:lang w:eastAsia="en-AU"/>
                <w14:ligatures w14:val="none"/>
              </w:rPr>
              <w:t xml:space="preserve"> standards for delivery of</w:t>
            </w:r>
            <w:r w:rsidRPr="000B20F7">
              <w:rPr>
                <w:rFonts w:ascii="Calibri" w:eastAsia="Times New Roman" w:hAnsi="Calibri" w:cs="Calibri"/>
                <w:color w:val="000000"/>
                <w:kern w:val="0"/>
                <w:sz w:val="20"/>
                <w:szCs w:val="20"/>
                <w:lang w:eastAsia="en-AU"/>
                <w14:ligatures w14:val="none"/>
              </w:rPr>
              <w:t xml:space="preserve"> support</w:t>
            </w:r>
            <w:r w:rsidR="63B592CC">
              <w:rPr>
                <w:rFonts w:ascii="Calibri" w:eastAsia="Times New Roman" w:hAnsi="Calibri" w:cs="Calibri"/>
                <w:color w:val="000000"/>
                <w:kern w:val="0"/>
                <w:sz w:val="20"/>
                <w:szCs w:val="20"/>
                <w:lang w:eastAsia="en-AU"/>
                <w14:ligatures w14:val="none"/>
              </w:rPr>
              <w:t xml:space="preserve"> services</w:t>
            </w:r>
            <w:r w:rsidR="00F65E42">
              <w:rPr>
                <w:rFonts w:ascii="Calibri" w:eastAsia="Times New Roman" w:hAnsi="Calibri" w:cs="Calibri"/>
                <w:color w:val="000000"/>
                <w:kern w:val="0"/>
                <w:sz w:val="20"/>
                <w:szCs w:val="20"/>
                <w:lang w:eastAsia="en-AU"/>
                <w14:ligatures w14:val="none"/>
              </w:rPr>
              <w:t>, including necessary expertise,</w:t>
            </w:r>
            <w:r w:rsidR="39464257">
              <w:rPr>
                <w:rFonts w:ascii="Calibri" w:eastAsia="Times New Roman" w:hAnsi="Calibri" w:cs="Calibri"/>
                <w:color w:val="000000"/>
                <w:kern w:val="0"/>
                <w:sz w:val="20"/>
                <w:szCs w:val="20"/>
                <w:lang w:eastAsia="en-AU"/>
                <w14:ligatures w14:val="none"/>
              </w:rPr>
              <w:t xml:space="preserve"> </w:t>
            </w:r>
            <w:r w:rsidR="032320F2">
              <w:rPr>
                <w:rFonts w:ascii="Calibri" w:eastAsia="Times New Roman" w:hAnsi="Calibri" w:cs="Calibri"/>
                <w:color w:val="000000"/>
                <w:kern w:val="0"/>
                <w:sz w:val="20"/>
                <w:szCs w:val="20"/>
                <w:lang w:eastAsia="en-AU"/>
                <w14:ligatures w14:val="none"/>
              </w:rPr>
              <w:t>related to gender-based violence</w:t>
            </w:r>
            <w:r w:rsidR="72BCD8FC">
              <w:rPr>
                <w:rFonts w:ascii="Calibri" w:eastAsia="Times New Roman" w:hAnsi="Calibri" w:cs="Calibri"/>
                <w:color w:val="000000"/>
                <w:kern w:val="0"/>
                <w:sz w:val="20"/>
                <w:szCs w:val="20"/>
                <w:lang w:eastAsia="en-AU"/>
                <w14:ligatures w14:val="none"/>
              </w:rPr>
              <w:t xml:space="preserve"> and how support </w:t>
            </w:r>
            <w:r w:rsidR="554E7202">
              <w:rPr>
                <w:rFonts w:ascii="Calibri" w:eastAsia="Times New Roman" w:hAnsi="Calibri" w:cs="Calibri"/>
                <w:color w:val="000000"/>
                <w:kern w:val="0"/>
                <w:sz w:val="20"/>
                <w:szCs w:val="20"/>
                <w:lang w:eastAsia="en-AU"/>
                <w14:ligatures w14:val="none"/>
              </w:rPr>
              <w:t>pathways</w:t>
            </w:r>
            <w:r w:rsidR="72BCD8FC">
              <w:rPr>
                <w:rFonts w:ascii="Calibri" w:eastAsia="Times New Roman" w:hAnsi="Calibri" w:cs="Calibri"/>
                <w:color w:val="000000"/>
                <w:kern w:val="0"/>
                <w:sz w:val="20"/>
                <w:szCs w:val="20"/>
                <w:lang w:eastAsia="en-AU"/>
                <w14:ligatures w14:val="none"/>
              </w:rPr>
              <w:t xml:space="preserve"> are communicated to students. </w:t>
            </w:r>
            <w:r w:rsidRPr="000B20F7">
              <w:rPr>
                <w:rFonts w:ascii="Calibri" w:eastAsia="Times New Roman" w:hAnsi="Calibri" w:cs="Calibri"/>
                <w:color w:val="000000"/>
                <w:kern w:val="0"/>
                <w:sz w:val="20"/>
                <w:szCs w:val="20"/>
                <w:lang w:eastAsia="en-AU"/>
                <w14:ligatures w14:val="none"/>
              </w:rPr>
              <w:t> </w:t>
            </w:r>
          </w:p>
        </w:tc>
      </w:tr>
      <w:tr w:rsidR="000B20F7" w:rsidRPr="000B20F7" w14:paraId="7C182C84" w14:textId="77777777" w:rsidTr="0C337F77">
        <w:trPr>
          <w:trHeight w:val="1845"/>
        </w:trPr>
        <w:tc>
          <w:tcPr>
            <w:tcW w:w="2127" w:type="dxa"/>
            <w:tcBorders>
              <w:top w:val="nil"/>
              <w:left w:val="nil"/>
              <w:bottom w:val="nil"/>
              <w:right w:val="nil"/>
            </w:tcBorders>
            <w:shd w:val="clear" w:color="auto" w:fill="auto"/>
            <w:hideMark/>
          </w:tcPr>
          <w:p w14:paraId="60C60118"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Higher Education Support (Student Services, Amenities, Representation and Advocacy) Guidelines 2022 </w:t>
            </w:r>
          </w:p>
        </w:tc>
        <w:tc>
          <w:tcPr>
            <w:tcW w:w="12616" w:type="dxa"/>
            <w:tcBorders>
              <w:top w:val="nil"/>
              <w:left w:val="nil"/>
              <w:bottom w:val="nil"/>
              <w:right w:val="nil"/>
            </w:tcBorders>
            <w:shd w:val="clear" w:color="auto" w:fill="auto"/>
            <w:hideMark/>
          </w:tcPr>
          <w:p w14:paraId="2724EDD5" w14:textId="358DC986" w:rsidR="000B20F7" w:rsidRPr="000B20F7" w:rsidRDefault="004326EC" w:rsidP="000B20F7">
            <w:pPr>
              <w:spacing w:after="0" w:line="240" w:lineRule="auto"/>
              <w:ind w:left="360" w:hanging="360"/>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r w:rsidR="000B20F7" w:rsidRPr="000B20F7">
              <w:rPr>
                <w:rFonts w:ascii="Calibri" w:eastAsia="Times New Roman" w:hAnsi="Calibri" w:cs="Calibri"/>
                <w:color w:val="000000"/>
                <w:kern w:val="0"/>
                <w:sz w:val="20"/>
                <w:szCs w:val="20"/>
                <w:lang w:eastAsia="en-AU"/>
                <w14:ligatures w14:val="none"/>
              </w:rPr>
              <w:t> </w:t>
            </w:r>
          </w:p>
          <w:p w14:paraId="4EC4BE5F" w14:textId="640D1B6E" w:rsidR="000B20F7" w:rsidRPr="000B20F7" w:rsidRDefault="003676F1" w:rsidP="7632D213">
            <w:pPr>
              <w:numPr>
                <w:ilvl w:val="0"/>
                <w:numId w:val="19"/>
              </w:numPr>
              <w:spacing w:after="0" w:line="240" w:lineRule="auto"/>
              <w:ind w:hanging="270"/>
              <w:rPr>
                <w:rFonts w:ascii="Calibri" w:eastAsia="Times New Roman" w:hAnsi="Calibri" w:cs="Calibri"/>
                <w:color w:val="3F325E"/>
                <w:sz w:val="20"/>
                <w:szCs w:val="20"/>
                <w:lang w:eastAsia="en-AU"/>
              </w:rPr>
            </w:pPr>
            <w:r>
              <w:rPr>
                <w:rFonts w:ascii="Calibri" w:eastAsia="Times New Roman" w:hAnsi="Calibri" w:cs="Calibri"/>
                <w:color w:val="000000"/>
                <w:kern w:val="0"/>
                <w:sz w:val="20"/>
                <w:szCs w:val="20"/>
                <w:lang w:eastAsia="en-AU"/>
                <w14:ligatures w14:val="none"/>
              </w:rPr>
              <w:t xml:space="preserve">These </w:t>
            </w:r>
            <w:r w:rsidR="000B20F7" w:rsidRPr="000B20F7">
              <w:rPr>
                <w:rFonts w:ascii="Calibri" w:eastAsia="Times New Roman" w:hAnsi="Calibri" w:cs="Calibri"/>
                <w:color w:val="000000"/>
                <w:kern w:val="0"/>
                <w:sz w:val="20"/>
                <w:szCs w:val="20"/>
                <w:lang w:eastAsia="en-AU"/>
                <w14:ligatures w14:val="none"/>
              </w:rPr>
              <w:t>Guidelines</w:t>
            </w:r>
            <w:r w:rsidR="00FB402F">
              <w:rPr>
                <w:rFonts w:ascii="Calibri" w:eastAsia="Times New Roman" w:hAnsi="Calibri" w:cs="Calibri"/>
                <w:color w:val="000000"/>
                <w:kern w:val="0"/>
                <w:sz w:val="20"/>
                <w:szCs w:val="20"/>
                <w:lang w:eastAsia="en-AU"/>
                <w14:ligatures w14:val="none"/>
              </w:rPr>
              <w:t xml:space="preserve"> </w:t>
            </w:r>
            <w:r w:rsidR="00D01438">
              <w:rPr>
                <w:rFonts w:ascii="Calibri" w:eastAsia="Times New Roman" w:hAnsi="Calibri" w:cs="Calibri"/>
                <w:color w:val="000000"/>
                <w:kern w:val="0"/>
                <w:sz w:val="20"/>
                <w:szCs w:val="20"/>
                <w:lang w:eastAsia="en-AU"/>
                <w14:ligatures w14:val="none"/>
              </w:rPr>
              <w:t>r</w:t>
            </w:r>
            <w:r w:rsidR="000D4D93" w:rsidRPr="000D4D93">
              <w:rPr>
                <w:rFonts w:ascii="Calibri" w:eastAsia="Times New Roman" w:hAnsi="Calibri" w:cs="Calibri"/>
                <w:color w:val="000000"/>
                <w:kern w:val="0"/>
                <w:sz w:val="20"/>
                <w:szCs w:val="20"/>
                <w:lang w:eastAsia="en-AU"/>
                <w14:ligatures w14:val="none"/>
              </w:rPr>
              <w:t xml:space="preserve">equire higher education providers </w:t>
            </w:r>
            <w:r w:rsidR="00D01438">
              <w:rPr>
                <w:rFonts w:ascii="Calibri" w:eastAsia="Times New Roman" w:hAnsi="Calibri" w:cs="Calibri"/>
                <w:color w:val="000000"/>
                <w:kern w:val="0"/>
                <w:sz w:val="20"/>
                <w:szCs w:val="20"/>
                <w:lang w:eastAsia="en-AU"/>
                <w14:ligatures w14:val="none"/>
              </w:rPr>
              <w:t xml:space="preserve">who charge a </w:t>
            </w:r>
            <w:r w:rsidR="000D4D93" w:rsidRPr="000D4D93">
              <w:rPr>
                <w:rFonts w:ascii="Calibri" w:eastAsia="Times New Roman" w:hAnsi="Calibri" w:cs="Calibri"/>
                <w:color w:val="000000"/>
                <w:kern w:val="0"/>
                <w:sz w:val="20"/>
                <w:szCs w:val="20"/>
                <w:lang w:eastAsia="en-AU"/>
                <w14:ligatures w14:val="none"/>
              </w:rPr>
              <w:t xml:space="preserve">student services and amenities fee (SSAF) </w:t>
            </w:r>
            <w:r w:rsidR="00D01438">
              <w:rPr>
                <w:rFonts w:ascii="Calibri" w:eastAsia="Times New Roman" w:hAnsi="Calibri" w:cs="Calibri"/>
                <w:color w:val="000000"/>
                <w:kern w:val="0"/>
                <w:sz w:val="20"/>
                <w:szCs w:val="20"/>
                <w:lang w:eastAsia="en-AU"/>
                <w14:ligatures w14:val="none"/>
              </w:rPr>
              <w:t xml:space="preserve">to </w:t>
            </w:r>
            <w:r w:rsidR="00D01438" w:rsidRPr="000D4D93">
              <w:rPr>
                <w:rFonts w:ascii="Calibri" w:eastAsia="Times New Roman" w:hAnsi="Calibri" w:cs="Calibri"/>
                <w:color w:val="000000"/>
                <w:kern w:val="0"/>
                <w:sz w:val="20"/>
                <w:szCs w:val="20"/>
                <w:lang w:eastAsia="en-AU"/>
                <w14:ligatures w14:val="none"/>
              </w:rPr>
              <w:t xml:space="preserve">publicly report on </w:t>
            </w:r>
            <w:r w:rsidR="00D01438">
              <w:rPr>
                <w:rFonts w:ascii="Calibri" w:eastAsia="Times New Roman" w:hAnsi="Calibri" w:cs="Calibri"/>
                <w:color w:val="000000"/>
                <w:kern w:val="0"/>
                <w:sz w:val="20"/>
                <w:szCs w:val="20"/>
                <w:lang w:eastAsia="en-AU"/>
                <w14:ligatures w14:val="none"/>
              </w:rPr>
              <w:t xml:space="preserve">how </w:t>
            </w:r>
            <w:r w:rsidR="000D4D93" w:rsidRPr="000D4D93">
              <w:rPr>
                <w:rFonts w:ascii="Calibri" w:eastAsia="Times New Roman" w:hAnsi="Calibri" w:cs="Calibri"/>
                <w:color w:val="000000"/>
                <w:kern w:val="0"/>
                <w:sz w:val="20"/>
                <w:szCs w:val="20"/>
                <w:lang w:eastAsia="en-AU"/>
                <w14:ligatures w14:val="none"/>
              </w:rPr>
              <w:t>allocations</w:t>
            </w:r>
            <w:r w:rsidR="000D4D93">
              <w:rPr>
                <w:rFonts w:ascii="Calibri" w:eastAsia="Times New Roman" w:hAnsi="Calibri" w:cs="Calibri"/>
                <w:color w:val="000000"/>
                <w:kern w:val="0"/>
                <w:sz w:val="20"/>
                <w:szCs w:val="20"/>
                <w:lang w:eastAsia="en-AU"/>
                <w14:ligatures w14:val="none"/>
              </w:rPr>
              <w:t xml:space="preserve"> </w:t>
            </w:r>
            <w:r w:rsidR="00D01438">
              <w:rPr>
                <w:rFonts w:ascii="Calibri" w:eastAsia="Times New Roman" w:hAnsi="Calibri" w:cs="Calibri"/>
                <w:color w:val="000000"/>
                <w:kern w:val="0"/>
                <w:sz w:val="20"/>
                <w:szCs w:val="20"/>
                <w:lang w:eastAsia="en-AU"/>
                <w14:ligatures w14:val="none"/>
              </w:rPr>
              <w:t>are spent</w:t>
            </w:r>
            <w:r w:rsidR="00FB402F">
              <w:rPr>
                <w:rFonts w:ascii="Calibri" w:eastAsia="Times New Roman" w:hAnsi="Calibri" w:cs="Calibri"/>
                <w:color w:val="000000"/>
                <w:kern w:val="0"/>
                <w:sz w:val="20"/>
                <w:szCs w:val="20"/>
                <w:lang w:eastAsia="en-AU"/>
                <w14:ligatures w14:val="none"/>
              </w:rPr>
              <w:t>.</w:t>
            </w:r>
            <w:r w:rsidR="00001F56">
              <w:rPr>
                <w:rFonts w:ascii="Calibri" w:eastAsia="Times New Roman" w:hAnsi="Calibri" w:cs="Calibri"/>
                <w:color w:val="000000"/>
                <w:kern w:val="0"/>
                <w:sz w:val="20"/>
                <w:szCs w:val="20"/>
                <w:lang w:eastAsia="en-AU"/>
                <w14:ligatures w14:val="none"/>
              </w:rPr>
              <w:t xml:space="preserve"> SSAF revenue can only be spent on a range of non-academic support services</w:t>
            </w:r>
            <w:r w:rsidR="00644177">
              <w:rPr>
                <w:rFonts w:ascii="Calibri" w:eastAsia="Times New Roman" w:hAnsi="Calibri" w:cs="Calibri"/>
                <w:color w:val="000000"/>
                <w:kern w:val="0"/>
                <w:sz w:val="20"/>
                <w:szCs w:val="20"/>
                <w:lang w:eastAsia="en-AU"/>
                <w14:ligatures w14:val="none"/>
              </w:rPr>
              <w:t xml:space="preserve">. </w:t>
            </w:r>
            <w:r w:rsidR="00293152">
              <w:rPr>
                <w:rFonts w:ascii="Calibri" w:eastAsia="Times New Roman" w:hAnsi="Calibri" w:cs="Calibri"/>
                <w:color w:val="000000"/>
                <w:kern w:val="0"/>
                <w:sz w:val="20"/>
                <w:szCs w:val="20"/>
                <w:lang w:eastAsia="en-AU"/>
                <w14:ligatures w14:val="none"/>
              </w:rPr>
              <w:t>However,</w:t>
            </w:r>
            <w:r w:rsidR="00FB402F">
              <w:rPr>
                <w:rFonts w:ascii="Calibri" w:eastAsia="Times New Roman" w:hAnsi="Calibri" w:cs="Calibri"/>
                <w:color w:val="000000"/>
                <w:kern w:val="0"/>
                <w:sz w:val="20"/>
                <w:szCs w:val="20"/>
                <w:lang w:eastAsia="en-AU"/>
                <w14:ligatures w14:val="none"/>
              </w:rPr>
              <w:t xml:space="preserve"> </w:t>
            </w:r>
            <w:r w:rsidR="00644177">
              <w:rPr>
                <w:rFonts w:ascii="Calibri" w:eastAsia="Times New Roman" w:hAnsi="Calibri" w:cs="Calibri"/>
                <w:color w:val="000000"/>
                <w:kern w:val="0"/>
                <w:sz w:val="20"/>
                <w:szCs w:val="20"/>
                <w:lang w:eastAsia="en-AU"/>
                <w14:ligatures w14:val="none"/>
              </w:rPr>
              <w:t>it does not prescribe</w:t>
            </w:r>
            <w:r w:rsidR="000B20F7" w:rsidRPr="000B20F7">
              <w:rPr>
                <w:rFonts w:ascii="Calibri" w:eastAsia="Times New Roman" w:hAnsi="Calibri" w:cs="Calibri"/>
                <w:color w:val="000000"/>
                <w:kern w:val="0"/>
                <w:sz w:val="20"/>
                <w:szCs w:val="20"/>
                <w:lang w:eastAsia="en-AU"/>
                <w14:ligatures w14:val="none"/>
              </w:rPr>
              <w:t xml:space="preserve"> support </w:t>
            </w:r>
            <w:r w:rsidR="00FF46C0">
              <w:rPr>
                <w:rFonts w:ascii="Calibri" w:eastAsia="Times New Roman" w:hAnsi="Calibri" w:cs="Calibri"/>
                <w:color w:val="000000"/>
                <w:kern w:val="0"/>
                <w:sz w:val="20"/>
                <w:szCs w:val="20"/>
                <w:lang w:eastAsia="en-AU"/>
                <w14:ligatures w14:val="none"/>
              </w:rPr>
              <w:t xml:space="preserve">the kinds of support required for </w:t>
            </w:r>
            <w:r w:rsidR="000B20F7" w:rsidRPr="000B20F7">
              <w:rPr>
                <w:rFonts w:ascii="Calibri" w:eastAsia="Times New Roman" w:hAnsi="Calibri" w:cs="Calibri"/>
                <w:color w:val="000000"/>
                <w:kern w:val="0"/>
                <w:sz w:val="20"/>
                <w:szCs w:val="20"/>
                <w:lang w:eastAsia="en-AU"/>
                <w14:ligatures w14:val="none"/>
              </w:rPr>
              <w:t xml:space="preserve">victims </w:t>
            </w:r>
            <w:r w:rsidR="000B20F7" w:rsidRPr="7632D213">
              <w:rPr>
                <w:rFonts w:ascii="Calibri" w:eastAsia="Times New Roman" w:hAnsi="Calibri" w:cs="Calibri"/>
                <w:color w:val="000000" w:themeColor="text1"/>
                <w:sz w:val="20"/>
                <w:szCs w:val="20"/>
                <w:lang w:eastAsia="en-AU"/>
              </w:rPr>
              <w:t>of</w:t>
            </w:r>
            <w:r w:rsidR="000B20F7" w:rsidRPr="000B20F7">
              <w:rPr>
                <w:rFonts w:ascii="Calibri" w:eastAsia="Times New Roman" w:hAnsi="Calibri" w:cs="Calibri"/>
                <w:color w:val="000000"/>
                <w:kern w:val="0"/>
                <w:sz w:val="20"/>
                <w:szCs w:val="20"/>
                <w:lang w:eastAsia="en-AU"/>
                <w14:ligatures w14:val="none"/>
              </w:rPr>
              <w:t xml:space="preserve"> gender-based violence. </w:t>
            </w:r>
          </w:p>
          <w:p w14:paraId="6CC832FA"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5758934F" w14:textId="528FBE08" w:rsidR="000B20F7" w:rsidRPr="000B20F7" w:rsidRDefault="554E7202" w:rsidP="7632D213">
            <w:pPr>
              <w:numPr>
                <w:ilvl w:val="0"/>
                <w:numId w:val="20"/>
              </w:numPr>
              <w:spacing w:after="0" w:line="240" w:lineRule="auto"/>
              <w:ind w:hanging="270"/>
              <w:rPr>
                <w:rFonts w:ascii="Calibri" w:eastAsia="Times New Roman" w:hAnsi="Calibri" w:cs="Calibri"/>
                <w:color w:val="3F325E"/>
                <w:sz w:val="20"/>
                <w:szCs w:val="20"/>
                <w:lang w:eastAsia="en-AU"/>
              </w:rPr>
            </w:pPr>
            <w:r>
              <w:rPr>
                <w:rFonts w:ascii="Calibri" w:eastAsia="Times New Roman" w:hAnsi="Calibri" w:cs="Calibri"/>
                <w:color w:val="000000"/>
                <w:kern w:val="0"/>
                <w:sz w:val="20"/>
                <w:szCs w:val="20"/>
                <w:lang w:eastAsia="en-AU"/>
                <w14:ligatures w14:val="none"/>
              </w:rPr>
              <w:t xml:space="preserve">The National Code </w:t>
            </w:r>
            <w:r w:rsidR="66058911">
              <w:rPr>
                <w:rFonts w:ascii="Calibri" w:eastAsia="Times New Roman" w:hAnsi="Calibri" w:cs="Calibri"/>
                <w:color w:val="000000"/>
                <w:kern w:val="0"/>
                <w:sz w:val="20"/>
                <w:szCs w:val="20"/>
                <w:lang w:eastAsia="en-AU"/>
                <w14:ligatures w14:val="none"/>
              </w:rPr>
              <w:t xml:space="preserve">would </w:t>
            </w:r>
            <w:r w:rsidRPr="000B20F7">
              <w:rPr>
                <w:rFonts w:ascii="Calibri" w:eastAsia="Times New Roman" w:hAnsi="Calibri" w:cs="Calibri"/>
                <w:color w:val="000000"/>
                <w:kern w:val="0"/>
                <w:sz w:val="20"/>
                <w:szCs w:val="20"/>
                <w:lang w:eastAsia="en-AU"/>
                <w14:ligatures w14:val="none"/>
              </w:rPr>
              <w:t>specify</w:t>
            </w:r>
            <w:r>
              <w:rPr>
                <w:rFonts w:ascii="Calibri" w:eastAsia="Times New Roman" w:hAnsi="Calibri" w:cs="Calibri"/>
                <w:color w:val="000000"/>
                <w:kern w:val="0"/>
                <w:sz w:val="20"/>
                <w:szCs w:val="20"/>
                <w:lang w:eastAsia="en-AU"/>
                <w14:ligatures w14:val="none"/>
              </w:rPr>
              <w:t xml:space="preserve"> </w:t>
            </w:r>
            <w:r w:rsidR="1C724C1B">
              <w:rPr>
                <w:rFonts w:ascii="Calibri" w:eastAsia="Times New Roman" w:hAnsi="Calibri" w:cs="Calibri"/>
                <w:color w:val="000000"/>
                <w:kern w:val="0"/>
                <w:sz w:val="20"/>
                <w:szCs w:val="20"/>
                <w:lang w:eastAsia="en-AU"/>
                <w14:ligatures w14:val="none"/>
              </w:rPr>
              <w:t xml:space="preserve">requirements </w:t>
            </w:r>
            <w:r>
              <w:rPr>
                <w:rFonts w:ascii="Calibri" w:eastAsia="Times New Roman" w:hAnsi="Calibri" w:cs="Calibri"/>
                <w:color w:val="000000"/>
                <w:kern w:val="0"/>
                <w:sz w:val="20"/>
                <w:szCs w:val="20"/>
                <w:lang w:eastAsia="en-AU"/>
                <w14:ligatures w14:val="none"/>
              </w:rPr>
              <w:t>for delivery of</w:t>
            </w:r>
            <w:r w:rsidRPr="000B20F7">
              <w:rPr>
                <w:rFonts w:ascii="Calibri" w:eastAsia="Times New Roman" w:hAnsi="Calibri" w:cs="Calibri"/>
                <w:color w:val="000000"/>
                <w:kern w:val="0"/>
                <w:sz w:val="20"/>
                <w:szCs w:val="20"/>
                <w:lang w:eastAsia="en-AU"/>
                <w14:ligatures w14:val="none"/>
              </w:rPr>
              <w:t xml:space="preserve"> support</w:t>
            </w:r>
            <w:r>
              <w:rPr>
                <w:rFonts w:ascii="Calibri" w:eastAsia="Times New Roman" w:hAnsi="Calibri" w:cs="Calibri"/>
                <w:color w:val="000000"/>
                <w:kern w:val="0"/>
                <w:sz w:val="20"/>
                <w:szCs w:val="20"/>
                <w:lang w:eastAsia="en-AU"/>
                <w14:ligatures w14:val="none"/>
              </w:rPr>
              <w:t xml:space="preserve"> services </w:t>
            </w:r>
            <w:r w:rsidR="39464257">
              <w:rPr>
                <w:rFonts w:ascii="Calibri" w:eastAsia="Times New Roman" w:hAnsi="Calibri" w:cs="Calibri"/>
                <w:color w:val="000000"/>
                <w:kern w:val="0"/>
                <w:sz w:val="20"/>
                <w:szCs w:val="20"/>
                <w:lang w:eastAsia="en-AU"/>
                <w14:ligatures w14:val="none"/>
              </w:rPr>
              <w:t xml:space="preserve">related to gender-based violence </w:t>
            </w:r>
            <w:r>
              <w:rPr>
                <w:rFonts w:ascii="Calibri" w:eastAsia="Times New Roman" w:hAnsi="Calibri" w:cs="Calibri"/>
                <w:color w:val="000000"/>
                <w:kern w:val="0"/>
                <w:sz w:val="20"/>
                <w:szCs w:val="20"/>
                <w:lang w:eastAsia="en-AU"/>
                <w14:ligatures w14:val="none"/>
              </w:rPr>
              <w:t>and how support</w:t>
            </w:r>
            <w:r w:rsidR="032320F2">
              <w:rPr>
                <w:rFonts w:ascii="Calibri" w:eastAsia="Times New Roman" w:hAnsi="Calibri" w:cs="Calibri"/>
                <w:color w:val="000000"/>
                <w:kern w:val="0"/>
                <w:sz w:val="20"/>
                <w:szCs w:val="20"/>
                <w:lang w:eastAsia="en-AU"/>
                <w14:ligatures w14:val="none"/>
              </w:rPr>
              <w:t xml:space="preserve"> pathways</w:t>
            </w:r>
            <w:r>
              <w:rPr>
                <w:rFonts w:ascii="Calibri" w:eastAsia="Times New Roman" w:hAnsi="Calibri" w:cs="Calibri"/>
                <w:color w:val="000000"/>
                <w:kern w:val="0"/>
                <w:sz w:val="20"/>
                <w:szCs w:val="20"/>
                <w:lang w:eastAsia="en-AU"/>
                <w14:ligatures w14:val="none"/>
              </w:rPr>
              <w:t xml:space="preserve"> are communicated to students. </w:t>
            </w:r>
            <w:r w:rsidRPr="000B20F7">
              <w:rPr>
                <w:rFonts w:ascii="Calibri" w:eastAsia="Times New Roman" w:hAnsi="Calibri" w:cs="Calibri"/>
                <w:color w:val="000000"/>
                <w:kern w:val="0"/>
                <w:sz w:val="20"/>
                <w:szCs w:val="20"/>
                <w:lang w:eastAsia="en-AU"/>
                <w14:ligatures w14:val="none"/>
              </w:rPr>
              <w:t> </w:t>
            </w:r>
          </w:p>
        </w:tc>
      </w:tr>
      <w:tr w:rsidR="000B20F7" w:rsidRPr="000B20F7" w14:paraId="1880227E" w14:textId="77777777" w:rsidTr="0C337F77">
        <w:trPr>
          <w:trHeight w:val="300"/>
        </w:trPr>
        <w:tc>
          <w:tcPr>
            <w:tcW w:w="2127" w:type="dxa"/>
            <w:tcBorders>
              <w:top w:val="nil"/>
              <w:left w:val="nil"/>
              <w:bottom w:val="nil"/>
              <w:right w:val="nil"/>
            </w:tcBorders>
            <w:shd w:val="clear" w:color="auto" w:fill="DBD5E9"/>
            <w:hideMark/>
          </w:tcPr>
          <w:p w14:paraId="4670B698"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The National Code of Practice for Providers of Education and Training to Overseas Students 2018  </w:t>
            </w:r>
          </w:p>
        </w:tc>
        <w:tc>
          <w:tcPr>
            <w:tcW w:w="12616" w:type="dxa"/>
            <w:tcBorders>
              <w:top w:val="nil"/>
              <w:left w:val="nil"/>
              <w:bottom w:val="nil"/>
              <w:right w:val="nil"/>
            </w:tcBorders>
            <w:shd w:val="clear" w:color="auto" w:fill="DBD5E9"/>
            <w:hideMark/>
          </w:tcPr>
          <w:p w14:paraId="6D19BBC2" w14:textId="33066AA6" w:rsidR="000B20F7" w:rsidRPr="000B20F7" w:rsidRDefault="004326EC" w:rsidP="000B20F7">
            <w:pPr>
              <w:spacing w:after="0" w:line="240" w:lineRule="auto"/>
              <w:ind w:left="360" w:hanging="360"/>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p>
          <w:p w14:paraId="0F44F9D1" w14:textId="29DE189B" w:rsidR="000B20F7" w:rsidRPr="000B20F7" w:rsidRDefault="45AC8E56" w:rsidP="0C337F77">
            <w:pPr>
              <w:numPr>
                <w:ilvl w:val="0"/>
                <w:numId w:val="21"/>
              </w:numPr>
              <w:spacing w:after="0" w:line="240" w:lineRule="auto"/>
              <w:ind w:hanging="270"/>
              <w:rPr>
                <w:rFonts w:ascii="Calibri" w:eastAsia="Times New Roman" w:hAnsi="Calibri" w:cs="Calibri"/>
                <w:color w:val="000000" w:themeColor="text1"/>
                <w:sz w:val="20"/>
                <w:szCs w:val="20"/>
                <w:lang w:eastAsia="en-AU"/>
              </w:rPr>
            </w:pPr>
            <w:r w:rsidRPr="000B20F7">
              <w:rPr>
                <w:rFonts w:ascii="Calibri" w:eastAsia="Times New Roman" w:hAnsi="Calibri" w:cs="Calibri"/>
                <w:color w:val="000000"/>
                <w:kern w:val="0"/>
                <w:sz w:val="20"/>
                <w:szCs w:val="20"/>
                <w:lang w:eastAsia="en-AU"/>
                <w14:ligatures w14:val="none"/>
              </w:rPr>
              <w:t>This code focuse</w:t>
            </w:r>
            <w:r w:rsidR="032320F2">
              <w:rPr>
                <w:rFonts w:ascii="Calibri" w:eastAsia="Times New Roman" w:hAnsi="Calibri" w:cs="Calibri"/>
                <w:color w:val="000000"/>
                <w:kern w:val="0"/>
                <w:sz w:val="20"/>
                <w:szCs w:val="20"/>
                <w:lang w:eastAsia="en-AU"/>
                <w14:ligatures w14:val="none"/>
              </w:rPr>
              <w:t>s</w:t>
            </w:r>
            <w:r w:rsidRPr="000B20F7">
              <w:rPr>
                <w:rFonts w:ascii="Calibri" w:eastAsia="Times New Roman" w:hAnsi="Calibri" w:cs="Calibri"/>
                <w:color w:val="000000"/>
                <w:kern w:val="0"/>
                <w:sz w:val="20"/>
                <w:szCs w:val="20"/>
                <w:lang w:eastAsia="en-AU"/>
                <w14:ligatures w14:val="none"/>
              </w:rPr>
              <w:t xml:space="preserve"> solely on </w:t>
            </w:r>
            <w:r w:rsidR="0737489B" w:rsidRPr="000B20F7">
              <w:rPr>
                <w:rFonts w:ascii="Calibri" w:eastAsia="Times New Roman" w:hAnsi="Calibri" w:cs="Calibri"/>
                <w:color w:val="000000"/>
                <w:kern w:val="0"/>
                <w:sz w:val="20"/>
                <w:szCs w:val="20"/>
                <w:lang w:eastAsia="en-AU"/>
                <w14:ligatures w14:val="none"/>
              </w:rPr>
              <w:t xml:space="preserve">the delivery of education to </w:t>
            </w:r>
            <w:r w:rsidRPr="000B20F7">
              <w:rPr>
                <w:rFonts w:ascii="Calibri" w:eastAsia="Times New Roman" w:hAnsi="Calibri" w:cs="Calibri"/>
                <w:color w:val="000000"/>
                <w:kern w:val="0"/>
                <w:sz w:val="20"/>
                <w:szCs w:val="20"/>
                <w:lang w:eastAsia="en-AU"/>
                <w14:ligatures w14:val="none"/>
              </w:rPr>
              <w:t>overseas students. </w:t>
            </w:r>
            <w:r w:rsidR="0154E459" w:rsidRPr="000B20F7">
              <w:rPr>
                <w:rFonts w:ascii="Calibri" w:eastAsia="Times New Roman" w:hAnsi="Calibri" w:cs="Calibri"/>
                <w:color w:val="000000"/>
                <w:kern w:val="0"/>
                <w:sz w:val="20"/>
                <w:szCs w:val="20"/>
                <w:lang w:eastAsia="en-AU"/>
                <w14:ligatures w14:val="none"/>
              </w:rPr>
              <w:t xml:space="preserve">Similar to the Threshold Standards, </w:t>
            </w:r>
            <w:r w:rsidR="5A518D65" w:rsidRPr="000B20F7">
              <w:rPr>
                <w:rFonts w:ascii="Calibri" w:eastAsia="Times New Roman" w:hAnsi="Calibri" w:cs="Calibri"/>
                <w:color w:val="000000"/>
                <w:kern w:val="0"/>
                <w:sz w:val="20"/>
                <w:szCs w:val="20"/>
                <w:lang w:eastAsia="en-AU"/>
                <w14:ligatures w14:val="none"/>
              </w:rPr>
              <w:t>it outlines</w:t>
            </w:r>
            <w:r w:rsidR="76A443DB" w:rsidRPr="000B20F7">
              <w:rPr>
                <w:rFonts w:ascii="Calibri" w:eastAsia="Times New Roman" w:hAnsi="Calibri" w:cs="Calibri"/>
                <w:color w:val="000000"/>
                <w:kern w:val="0"/>
                <w:sz w:val="20"/>
                <w:szCs w:val="20"/>
                <w:lang w:eastAsia="en-AU"/>
                <w14:ligatures w14:val="none"/>
              </w:rPr>
              <w:t xml:space="preserve"> minimum standards </w:t>
            </w:r>
            <w:r w:rsidR="193E123B" w:rsidRPr="000B20F7">
              <w:rPr>
                <w:rFonts w:ascii="Calibri" w:eastAsia="Times New Roman" w:hAnsi="Calibri" w:cs="Calibri"/>
                <w:color w:val="000000"/>
                <w:kern w:val="0"/>
                <w:sz w:val="20"/>
                <w:szCs w:val="20"/>
                <w:lang w:eastAsia="en-AU"/>
                <w14:ligatures w14:val="none"/>
              </w:rPr>
              <w:t xml:space="preserve">for providers to ensure safe environments </w:t>
            </w:r>
            <w:r w:rsidR="007865CC">
              <w:rPr>
                <w:rFonts w:ascii="Calibri" w:eastAsia="Times New Roman" w:hAnsi="Calibri" w:cs="Calibri"/>
                <w:color w:val="000000"/>
                <w:kern w:val="0"/>
                <w:sz w:val="20"/>
                <w:szCs w:val="20"/>
                <w:lang w:eastAsia="en-AU"/>
                <w14:ligatures w14:val="none"/>
              </w:rPr>
              <w:t>for</w:t>
            </w:r>
            <w:r w:rsidR="193E123B" w:rsidRPr="000B20F7">
              <w:rPr>
                <w:rFonts w:ascii="Calibri" w:eastAsia="Times New Roman" w:hAnsi="Calibri" w:cs="Calibri"/>
                <w:color w:val="000000"/>
                <w:kern w:val="0"/>
                <w:sz w:val="20"/>
                <w:szCs w:val="20"/>
                <w:lang w:eastAsia="en-AU"/>
                <w14:ligatures w14:val="none"/>
              </w:rPr>
              <w:t xml:space="preserve"> students</w:t>
            </w:r>
            <w:r w:rsidR="2FB7D2AB" w:rsidRPr="000B20F7">
              <w:rPr>
                <w:rFonts w:ascii="Calibri" w:eastAsia="Times New Roman" w:hAnsi="Calibri" w:cs="Calibri"/>
                <w:color w:val="000000"/>
                <w:kern w:val="0"/>
                <w:sz w:val="20"/>
                <w:szCs w:val="20"/>
                <w:lang w:eastAsia="en-AU"/>
                <w14:ligatures w14:val="none"/>
              </w:rPr>
              <w:t>.</w:t>
            </w:r>
          </w:p>
          <w:p w14:paraId="64306F9C"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3136A5B7" w14:textId="6E494C67" w:rsidR="000B20F7" w:rsidRPr="000B20F7" w:rsidRDefault="000B20F7" w:rsidP="7632D213">
            <w:pPr>
              <w:numPr>
                <w:ilvl w:val="0"/>
                <w:numId w:val="22"/>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The National Code </w:t>
            </w:r>
            <w:r w:rsidR="004D5CF5">
              <w:rPr>
                <w:rFonts w:ascii="Calibri" w:eastAsia="Times New Roman" w:hAnsi="Calibri" w:cs="Calibri"/>
                <w:color w:val="000000"/>
                <w:kern w:val="0"/>
                <w:sz w:val="20"/>
                <w:szCs w:val="20"/>
                <w:lang w:eastAsia="en-AU"/>
                <w14:ligatures w14:val="none"/>
              </w:rPr>
              <w:t>w</w:t>
            </w:r>
            <w:r w:rsidRPr="000B20F7">
              <w:rPr>
                <w:rFonts w:ascii="Calibri" w:eastAsia="Times New Roman" w:hAnsi="Calibri" w:cs="Calibri"/>
                <w:color w:val="000000"/>
                <w:kern w:val="0"/>
                <w:sz w:val="20"/>
                <w:szCs w:val="20"/>
                <w:lang w:eastAsia="en-AU"/>
                <w14:ligatures w14:val="none"/>
              </w:rPr>
              <w:t xml:space="preserve">ould specify requirements for targeted gender-based violence policies, procedures and support services for domestic and </w:t>
            </w:r>
            <w:r w:rsidRPr="7632D213">
              <w:rPr>
                <w:rFonts w:ascii="Calibri" w:eastAsia="Times New Roman" w:hAnsi="Calibri" w:cs="Calibri"/>
                <w:color w:val="000000" w:themeColor="text1"/>
                <w:sz w:val="20"/>
                <w:szCs w:val="20"/>
                <w:lang w:eastAsia="en-AU"/>
              </w:rPr>
              <w:t>overseas</w:t>
            </w:r>
            <w:r w:rsidRPr="000B20F7">
              <w:rPr>
                <w:rFonts w:ascii="Calibri" w:eastAsia="Times New Roman" w:hAnsi="Calibri" w:cs="Calibri"/>
                <w:color w:val="000000"/>
                <w:kern w:val="0"/>
                <w:sz w:val="20"/>
                <w:szCs w:val="20"/>
                <w:lang w:eastAsia="en-AU"/>
                <w14:ligatures w14:val="none"/>
              </w:rPr>
              <w:t xml:space="preserve"> students, staff and student accommodation</w:t>
            </w:r>
            <w:r w:rsidR="00576123">
              <w:rPr>
                <w:rFonts w:ascii="Calibri" w:eastAsia="Times New Roman" w:hAnsi="Calibri" w:cs="Calibri"/>
                <w:color w:val="000000"/>
                <w:kern w:val="0"/>
                <w:sz w:val="20"/>
                <w:szCs w:val="20"/>
                <w:lang w:eastAsia="en-AU"/>
                <w14:ligatures w14:val="none"/>
              </w:rPr>
              <w:t xml:space="preserve"> providers owned</w:t>
            </w:r>
            <w:r w:rsidR="00E83FF1">
              <w:rPr>
                <w:rFonts w:ascii="Calibri" w:eastAsia="Times New Roman" w:hAnsi="Calibri" w:cs="Calibri"/>
                <w:color w:val="000000"/>
                <w:kern w:val="0"/>
                <w:sz w:val="20"/>
                <w:szCs w:val="20"/>
                <w:lang w:eastAsia="en-AU"/>
                <w14:ligatures w14:val="none"/>
              </w:rPr>
              <w:t xml:space="preserve"> and/or </w:t>
            </w:r>
            <w:r w:rsidR="00576123">
              <w:rPr>
                <w:rFonts w:ascii="Calibri" w:eastAsia="Times New Roman" w:hAnsi="Calibri" w:cs="Calibri"/>
                <w:color w:val="000000"/>
                <w:kern w:val="0"/>
                <w:sz w:val="20"/>
                <w:szCs w:val="20"/>
                <w:lang w:eastAsia="en-AU"/>
                <w14:ligatures w14:val="none"/>
              </w:rPr>
              <w:t>operated by a registered higher education provider</w:t>
            </w:r>
            <w:r w:rsidRPr="000B20F7">
              <w:rPr>
                <w:rFonts w:ascii="Calibri" w:eastAsia="Times New Roman" w:hAnsi="Calibri" w:cs="Calibri"/>
                <w:color w:val="000000"/>
                <w:kern w:val="0"/>
                <w:sz w:val="20"/>
                <w:szCs w:val="20"/>
                <w:lang w:eastAsia="en-AU"/>
                <w14:ligatures w14:val="none"/>
              </w:rPr>
              <w:t>. </w:t>
            </w:r>
          </w:p>
        </w:tc>
      </w:tr>
      <w:tr w:rsidR="000B20F7" w:rsidRPr="000B20F7" w14:paraId="46764625" w14:textId="77777777" w:rsidTr="0C337F77">
        <w:trPr>
          <w:trHeight w:val="300"/>
        </w:trPr>
        <w:tc>
          <w:tcPr>
            <w:tcW w:w="2127" w:type="dxa"/>
            <w:tcBorders>
              <w:top w:val="nil"/>
              <w:left w:val="nil"/>
              <w:bottom w:val="nil"/>
              <w:right w:val="nil"/>
            </w:tcBorders>
            <w:shd w:val="clear" w:color="auto" w:fill="auto"/>
            <w:hideMark/>
          </w:tcPr>
          <w:p w14:paraId="06B7FA6B"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Sex Discrimination Act 1984 - Positive duty requirements / Fair Work Act 2009 </w:t>
            </w:r>
          </w:p>
        </w:tc>
        <w:tc>
          <w:tcPr>
            <w:tcW w:w="12616" w:type="dxa"/>
            <w:tcBorders>
              <w:top w:val="nil"/>
              <w:left w:val="nil"/>
              <w:bottom w:val="nil"/>
              <w:right w:val="nil"/>
            </w:tcBorders>
            <w:shd w:val="clear" w:color="auto" w:fill="auto"/>
            <w:hideMark/>
          </w:tcPr>
          <w:p w14:paraId="5B0E88A7" w14:textId="24C5D435" w:rsidR="000B20F7" w:rsidRPr="000B20F7" w:rsidRDefault="004326EC" w:rsidP="7632D213">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r w:rsidR="000B20F7" w:rsidRPr="000B20F7">
              <w:rPr>
                <w:rFonts w:ascii="Calibri" w:eastAsia="Times New Roman" w:hAnsi="Calibri" w:cs="Calibri"/>
                <w:b/>
                <w:bCs/>
                <w:color w:val="000000"/>
                <w:kern w:val="0"/>
                <w:sz w:val="20"/>
                <w:szCs w:val="20"/>
                <w:lang w:eastAsia="en-AU"/>
                <w14:ligatures w14:val="none"/>
              </w:rPr>
              <w:t> </w:t>
            </w:r>
            <w:r w:rsidR="000B20F7" w:rsidRPr="000B20F7">
              <w:rPr>
                <w:rFonts w:ascii="Calibri" w:eastAsia="Times New Roman" w:hAnsi="Calibri" w:cs="Calibri"/>
                <w:color w:val="000000"/>
                <w:kern w:val="0"/>
                <w:sz w:val="20"/>
                <w:szCs w:val="20"/>
                <w:lang w:eastAsia="en-AU"/>
                <w14:ligatures w14:val="none"/>
              </w:rPr>
              <w:t> </w:t>
            </w:r>
          </w:p>
          <w:p w14:paraId="47D99610" w14:textId="538C1BC2" w:rsidR="000B20F7" w:rsidRPr="000672A8" w:rsidRDefault="000B20F7" w:rsidP="00034620">
            <w:pPr>
              <w:pStyle w:val="ListParagraph"/>
              <w:numPr>
                <w:ilvl w:val="0"/>
                <w:numId w:val="30"/>
              </w:numPr>
              <w:spacing w:after="0"/>
              <w:rPr>
                <w:rFonts w:ascii="Calibri" w:eastAsia="Times New Roman" w:hAnsi="Calibri" w:cs="Calibri"/>
                <w:color w:val="000000"/>
                <w:sz w:val="20"/>
                <w:szCs w:val="20"/>
                <w:lang w:eastAsia="en-AU"/>
              </w:rPr>
            </w:pPr>
            <w:r w:rsidRPr="000672A8">
              <w:rPr>
                <w:rFonts w:ascii="Calibri" w:eastAsia="Times New Roman" w:hAnsi="Calibri" w:cs="Calibri"/>
                <w:color w:val="000000"/>
                <w:sz w:val="20"/>
                <w:szCs w:val="20"/>
                <w:lang w:eastAsia="en-AU"/>
              </w:rPr>
              <w:t xml:space="preserve">Requires </w:t>
            </w:r>
            <w:r w:rsidRPr="000672A8">
              <w:rPr>
                <w:rFonts w:ascii="Calibri" w:eastAsia="Times New Roman" w:hAnsi="Calibri" w:cs="Calibri"/>
                <w:color w:val="000000" w:themeColor="text1"/>
                <w:sz w:val="20"/>
                <w:szCs w:val="20"/>
                <w:lang w:eastAsia="en-AU"/>
              </w:rPr>
              <w:t>employers</w:t>
            </w:r>
            <w:r w:rsidRPr="000672A8">
              <w:rPr>
                <w:rFonts w:ascii="Calibri" w:eastAsia="Times New Roman" w:hAnsi="Calibri" w:cs="Calibri"/>
                <w:color w:val="000000"/>
                <w:sz w:val="20"/>
                <w:szCs w:val="20"/>
                <w:lang w:eastAsia="en-AU"/>
              </w:rPr>
              <w:t xml:space="preserve"> to take ‘reasonable and proportionate measures</w:t>
            </w:r>
            <w:r w:rsidR="0005076E">
              <w:rPr>
                <w:rFonts w:ascii="Calibri" w:eastAsia="Times New Roman" w:hAnsi="Calibri" w:cs="Calibri"/>
                <w:color w:val="000000"/>
                <w:sz w:val="20"/>
                <w:szCs w:val="20"/>
                <w:lang w:eastAsia="en-AU"/>
              </w:rPr>
              <w:t>’</w:t>
            </w:r>
            <w:r w:rsidRPr="000672A8">
              <w:rPr>
                <w:rFonts w:ascii="Calibri" w:eastAsia="Times New Roman" w:hAnsi="Calibri" w:cs="Calibri"/>
                <w:color w:val="000000"/>
                <w:sz w:val="20"/>
                <w:szCs w:val="20"/>
                <w:lang w:eastAsia="en-AU"/>
              </w:rPr>
              <w:t xml:space="preserve"> to eliminate</w:t>
            </w:r>
            <w:r w:rsidR="000672A8" w:rsidRPr="000672A8">
              <w:rPr>
                <w:rFonts w:ascii="Calibri" w:eastAsia="Times New Roman" w:hAnsi="Calibri" w:cs="Calibri"/>
                <w:color w:val="000000"/>
                <w:sz w:val="20"/>
                <w:szCs w:val="20"/>
                <w:lang w:eastAsia="en-AU"/>
              </w:rPr>
              <w:t xml:space="preserve"> </w:t>
            </w:r>
            <w:r w:rsidR="0005076E">
              <w:rPr>
                <w:rFonts w:ascii="Calibri" w:eastAsia="Times New Roman" w:hAnsi="Calibri" w:cs="Calibri"/>
                <w:color w:val="000000"/>
                <w:sz w:val="20"/>
                <w:szCs w:val="20"/>
                <w:lang w:eastAsia="en-AU"/>
              </w:rPr>
              <w:t xml:space="preserve">and prevent: </w:t>
            </w:r>
            <w:r w:rsidR="000672A8" w:rsidRPr="000672A8">
              <w:rPr>
                <w:rFonts w:ascii="Calibri" w:eastAsia="Times New Roman" w:hAnsi="Calibri" w:cs="Calibri"/>
                <w:color w:val="000000"/>
                <w:sz w:val="20"/>
                <w:szCs w:val="20"/>
                <w:lang w:eastAsia="en-AU"/>
              </w:rPr>
              <w:t>discrimination on the grounds of sex in a work context; sexual harassment in connection with work; sex-based harassment in connection with work; conduct creating a workplace environment that is hostile on the grounds of sex</w:t>
            </w:r>
            <w:r w:rsidR="000672A8">
              <w:rPr>
                <w:rFonts w:ascii="Calibri" w:eastAsia="Times New Roman" w:hAnsi="Calibri" w:cs="Calibri"/>
                <w:color w:val="000000"/>
                <w:sz w:val="20"/>
                <w:szCs w:val="20"/>
                <w:lang w:eastAsia="en-AU"/>
              </w:rPr>
              <w:t xml:space="preserve">; </w:t>
            </w:r>
            <w:r w:rsidR="000672A8" w:rsidRPr="000672A8">
              <w:rPr>
                <w:rFonts w:ascii="Calibri" w:eastAsia="Times New Roman" w:hAnsi="Calibri" w:cs="Calibri"/>
                <w:color w:val="000000"/>
                <w:sz w:val="20"/>
                <w:szCs w:val="20"/>
                <w:lang w:eastAsia="en-AU"/>
              </w:rPr>
              <w:t>related acts of victimisation</w:t>
            </w:r>
            <w:r w:rsidRPr="000672A8">
              <w:rPr>
                <w:rFonts w:ascii="Calibri" w:eastAsia="Times New Roman" w:hAnsi="Calibri" w:cs="Calibri"/>
                <w:color w:val="000000"/>
                <w:sz w:val="20"/>
                <w:szCs w:val="20"/>
                <w:lang w:eastAsia="en-AU"/>
              </w:rPr>
              <w:t>.  </w:t>
            </w:r>
          </w:p>
          <w:p w14:paraId="24D0B9F9" w14:textId="169492B7" w:rsidR="000B20F7" w:rsidRPr="009046B0" w:rsidRDefault="000672A8" w:rsidP="009046B0">
            <w:pPr>
              <w:numPr>
                <w:ilvl w:val="0"/>
                <w:numId w:val="23"/>
              </w:numPr>
              <w:spacing w:after="0" w:line="240" w:lineRule="auto"/>
              <w:ind w:hanging="270"/>
              <w:rPr>
                <w:rFonts w:ascii="Calibri" w:eastAsia="Times New Roman" w:hAnsi="Calibri" w:cs="Calibri"/>
                <w:color w:val="3F325E"/>
                <w:sz w:val="20"/>
                <w:szCs w:val="20"/>
                <w:lang w:eastAsia="en-AU"/>
              </w:rPr>
            </w:pPr>
            <w:r>
              <w:rPr>
                <w:rFonts w:eastAsiaTheme="minorEastAsia"/>
                <w:color w:val="000000" w:themeColor="text1"/>
                <w:sz w:val="20"/>
                <w:szCs w:val="20"/>
                <w:lang w:eastAsia="en-AU"/>
              </w:rPr>
              <w:t>Applies to employees/staff but d</w:t>
            </w:r>
            <w:r w:rsidR="000B20F7" w:rsidRPr="7632D213">
              <w:rPr>
                <w:rFonts w:eastAsiaTheme="minorEastAsia"/>
                <w:color w:val="000000" w:themeColor="text1"/>
                <w:sz w:val="20"/>
                <w:szCs w:val="20"/>
                <w:lang w:eastAsia="en-AU"/>
              </w:rPr>
              <w:t>oes not apply to students. </w:t>
            </w:r>
          </w:p>
          <w:p w14:paraId="2A5C6451" w14:textId="0872526C"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39FB3EB3" w14:textId="59B92224" w:rsidR="000B20F7" w:rsidRPr="004D5CF5" w:rsidRDefault="45AC8E56" w:rsidP="00034620">
            <w:pPr>
              <w:numPr>
                <w:ilvl w:val="0"/>
                <w:numId w:val="24"/>
              </w:numPr>
              <w:spacing w:after="0" w:line="240" w:lineRule="auto"/>
              <w:ind w:hanging="270"/>
              <w:rPr>
                <w:rFonts w:ascii="Calibri" w:eastAsia="Times New Roman" w:hAnsi="Calibri" w:cs="Calibri"/>
                <w:color w:val="000000" w:themeColor="text1"/>
                <w:sz w:val="20"/>
                <w:szCs w:val="20"/>
                <w:lang w:eastAsia="en-AU"/>
              </w:rPr>
            </w:pPr>
            <w:r w:rsidRPr="0C337F77">
              <w:rPr>
                <w:rFonts w:ascii="Calibri" w:eastAsia="Times New Roman" w:hAnsi="Calibri" w:cs="Calibri"/>
                <w:color w:val="000000" w:themeColor="text1"/>
                <w:sz w:val="20"/>
                <w:szCs w:val="20"/>
                <w:lang w:eastAsia="en-AU"/>
              </w:rPr>
              <w:t xml:space="preserve">The Code would be designed to address all forms of gender-based violence. The Code </w:t>
            </w:r>
            <w:r w:rsidR="39933326" w:rsidRPr="0C337F77">
              <w:rPr>
                <w:rFonts w:ascii="Calibri" w:eastAsia="Times New Roman" w:hAnsi="Calibri" w:cs="Calibri"/>
                <w:color w:val="000000" w:themeColor="text1"/>
                <w:sz w:val="20"/>
                <w:szCs w:val="20"/>
                <w:lang w:eastAsia="en-AU"/>
              </w:rPr>
              <w:t xml:space="preserve">would </w:t>
            </w:r>
            <w:r w:rsidRPr="0C337F77">
              <w:rPr>
                <w:rFonts w:ascii="Calibri" w:eastAsia="Times New Roman" w:hAnsi="Calibri" w:cs="Calibri"/>
                <w:color w:val="000000" w:themeColor="text1"/>
                <w:sz w:val="20"/>
                <w:szCs w:val="20"/>
                <w:lang w:eastAsia="en-AU"/>
              </w:rPr>
              <w:t>set expectations and build the evidence base for prevention programs, training and education for providers that cover the drivers of gender-based violence. </w:t>
            </w:r>
          </w:p>
          <w:p w14:paraId="21E417EB" w14:textId="2AB90B8D" w:rsidR="000B20F7" w:rsidRPr="000B20F7" w:rsidRDefault="000B20F7" w:rsidP="00434518">
            <w:pPr>
              <w:numPr>
                <w:ilvl w:val="0"/>
                <w:numId w:val="24"/>
              </w:numPr>
              <w:spacing w:after="0" w:line="240" w:lineRule="auto"/>
              <w:ind w:hanging="270"/>
              <w:rPr>
                <w:rFonts w:ascii="Calibri" w:eastAsia="Times New Roman" w:hAnsi="Calibri" w:cs="Calibri"/>
                <w:color w:val="000000" w:themeColor="text1"/>
                <w:sz w:val="20"/>
                <w:szCs w:val="20"/>
                <w:lang w:eastAsia="en-AU"/>
              </w:rPr>
            </w:pPr>
            <w:r w:rsidRPr="7632D213">
              <w:rPr>
                <w:rFonts w:ascii="Calibri" w:eastAsia="Times New Roman" w:hAnsi="Calibri" w:cs="Calibri"/>
                <w:color w:val="000000" w:themeColor="text1"/>
                <w:sz w:val="20"/>
                <w:szCs w:val="20"/>
                <w:lang w:eastAsia="en-AU"/>
              </w:rPr>
              <w:t xml:space="preserve">The Code </w:t>
            </w:r>
            <w:r w:rsidR="00090982">
              <w:rPr>
                <w:rFonts w:ascii="Calibri" w:eastAsia="Times New Roman" w:hAnsi="Calibri" w:cs="Calibri"/>
                <w:color w:val="000000" w:themeColor="text1"/>
                <w:sz w:val="20"/>
                <w:szCs w:val="20"/>
                <w:lang w:eastAsia="en-AU"/>
              </w:rPr>
              <w:t xml:space="preserve">will </w:t>
            </w:r>
            <w:r w:rsidR="00DD38DF">
              <w:rPr>
                <w:rFonts w:ascii="Calibri" w:eastAsia="Times New Roman" w:hAnsi="Calibri" w:cs="Calibri"/>
                <w:color w:val="000000" w:themeColor="text1"/>
                <w:sz w:val="20"/>
                <w:szCs w:val="20"/>
                <w:lang w:eastAsia="en-AU"/>
              </w:rPr>
              <w:t>require</w:t>
            </w:r>
            <w:r w:rsidRPr="7632D213">
              <w:rPr>
                <w:rFonts w:ascii="Calibri" w:eastAsia="Times New Roman" w:hAnsi="Calibri" w:cs="Calibri"/>
                <w:color w:val="000000" w:themeColor="text1"/>
                <w:sz w:val="20"/>
                <w:szCs w:val="20"/>
                <w:lang w:eastAsia="en-AU"/>
              </w:rPr>
              <w:t xml:space="preserve"> embed</w:t>
            </w:r>
            <w:r w:rsidR="00DD38DF">
              <w:rPr>
                <w:rFonts w:ascii="Calibri" w:eastAsia="Times New Roman" w:hAnsi="Calibri" w:cs="Calibri"/>
                <w:color w:val="000000" w:themeColor="text1"/>
                <w:sz w:val="20"/>
                <w:szCs w:val="20"/>
                <w:lang w:eastAsia="en-AU"/>
              </w:rPr>
              <w:t>ding</w:t>
            </w:r>
            <w:r w:rsidRPr="7632D213">
              <w:rPr>
                <w:rFonts w:ascii="Calibri" w:eastAsia="Times New Roman" w:hAnsi="Calibri" w:cs="Calibri"/>
                <w:color w:val="000000" w:themeColor="text1"/>
                <w:sz w:val="20"/>
                <w:szCs w:val="20"/>
                <w:lang w:eastAsia="en-AU"/>
              </w:rPr>
              <w:t xml:space="preserve"> a whole-of-institution approach to gender-based violence</w:t>
            </w:r>
            <w:r w:rsidR="00DD38DF">
              <w:rPr>
                <w:rFonts w:ascii="Calibri" w:eastAsia="Times New Roman" w:hAnsi="Calibri" w:cs="Calibri"/>
                <w:color w:val="000000" w:themeColor="text1"/>
                <w:sz w:val="20"/>
                <w:szCs w:val="20"/>
                <w:lang w:eastAsia="en-AU"/>
              </w:rPr>
              <w:t>,</w:t>
            </w:r>
            <w:r w:rsidRPr="7632D213">
              <w:rPr>
                <w:rFonts w:ascii="Calibri" w:eastAsia="Times New Roman" w:hAnsi="Calibri" w:cs="Calibri"/>
                <w:color w:val="000000" w:themeColor="text1"/>
                <w:sz w:val="20"/>
                <w:szCs w:val="20"/>
                <w:lang w:eastAsia="en-AU"/>
              </w:rPr>
              <w:t xml:space="preserve"> extending beyond positive duty obligations and extending to students.   </w:t>
            </w:r>
          </w:p>
        </w:tc>
      </w:tr>
      <w:tr w:rsidR="000B20F7" w:rsidRPr="000B20F7" w14:paraId="7AF092E5" w14:textId="77777777" w:rsidTr="0C337F77">
        <w:trPr>
          <w:trHeight w:val="300"/>
        </w:trPr>
        <w:tc>
          <w:tcPr>
            <w:tcW w:w="2127" w:type="dxa"/>
            <w:tcBorders>
              <w:top w:val="nil"/>
              <w:left w:val="nil"/>
              <w:bottom w:val="nil"/>
              <w:right w:val="nil"/>
            </w:tcBorders>
            <w:shd w:val="clear" w:color="auto" w:fill="DBD5E9"/>
            <w:hideMark/>
          </w:tcPr>
          <w:p w14:paraId="426DE6FD"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Work health and safety laws </w:t>
            </w:r>
          </w:p>
        </w:tc>
        <w:tc>
          <w:tcPr>
            <w:tcW w:w="12616" w:type="dxa"/>
            <w:tcBorders>
              <w:top w:val="nil"/>
              <w:left w:val="nil"/>
              <w:bottom w:val="nil"/>
              <w:right w:val="nil"/>
            </w:tcBorders>
            <w:shd w:val="clear" w:color="auto" w:fill="DBD5E9"/>
            <w:hideMark/>
          </w:tcPr>
          <w:p w14:paraId="0D4340D2" w14:textId="3602CC70" w:rsidR="000B20F7" w:rsidRPr="000B20F7" w:rsidRDefault="004326EC"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r w:rsidR="000B20F7" w:rsidRPr="000B20F7">
              <w:rPr>
                <w:rFonts w:ascii="Calibri" w:eastAsia="Times New Roman" w:hAnsi="Calibri" w:cs="Calibri"/>
                <w:color w:val="000000"/>
                <w:kern w:val="0"/>
                <w:sz w:val="20"/>
                <w:szCs w:val="20"/>
                <w:lang w:eastAsia="en-AU"/>
                <w14:ligatures w14:val="none"/>
              </w:rPr>
              <w:t> </w:t>
            </w:r>
          </w:p>
          <w:p w14:paraId="3996164C" w14:textId="6F6392C1" w:rsidR="002B651A" w:rsidRPr="002B651A" w:rsidRDefault="09C1B79E" w:rsidP="7632D213">
            <w:pPr>
              <w:numPr>
                <w:ilvl w:val="0"/>
                <w:numId w:val="25"/>
              </w:numPr>
              <w:spacing w:after="0" w:line="240" w:lineRule="auto"/>
              <w:ind w:hanging="270"/>
              <w:rPr>
                <w:rFonts w:ascii="Calibri" w:eastAsia="Times New Roman" w:hAnsi="Calibri" w:cs="Calibri"/>
                <w:color w:val="3F325E"/>
                <w:sz w:val="20"/>
                <w:szCs w:val="20"/>
                <w:lang w:eastAsia="en-AU"/>
              </w:rPr>
            </w:pPr>
            <w:r w:rsidRPr="002B651A">
              <w:rPr>
                <w:rFonts w:ascii="Calibri" w:eastAsia="Times New Roman" w:hAnsi="Calibri" w:cs="Calibri"/>
                <w:color w:val="000000"/>
                <w:kern w:val="0"/>
                <w:sz w:val="20"/>
                <w:szCs w:val="20"/>
                <w:lang w:eastAsia="en-AU"/>
                <w14:ligatures w14:val="none"/>
              </w:rPr>
              <w:t>P</w:t>
            </w:r>
            <w:r w:rsidR="01E8FD1B" w:rsidRPr="002B651A">
              <w:rPr>
                <w:rFonts w:ascii="Calibri" w:eastAsia="Times New Roman" w:hAnsi="Calibri" w:cs="Calibri"/>
                <w:color w:val="000000"/>
                <w:kern w:val="0"/>
                <w:sz w:val="20"/>
                <w:szCs w:val="20"/>
                <w:lang w:eastAsia="en-AU"/>
                <w14:ligatures w14:val="none"/>
              </w:rPr>
              <w:t>roviders have a primary duty to monitor workers’ health and conditions and manage health and safety risks. This includes eliminating or minimising psychosocial hazards at work, which include sexual harassment, violence and aggression</w:t>
            </w:r>
            <w:r w:rsidR="01E8FD1B">
              <w:rPr>
                <w:rFonts w:ascii="Calibri" w:eastAsia="Times New Roman" w:hAnsi="Calibri" w:cs="Calibri"/>
                <w:color w:val="000000"/>
                <w:kern w:val="0"/>
                <w:sz w:val="20"/>
                <w:szCs w:val="20"/>
                <w:lang w:eastAsia="en-AU"/>
                <w14:ligatures w14:val="none"/>
              </w:rPr>
              <w:t>.</w:t>
            </w:r>
          </w:p>
          <w:p w14:paraId="681A61A6" w14:textId="438DF8AE" w:rsidR="000B20F7" w:rsidRPr="000B20F7" w:rsidRDefault="45AC8E56" w:rsidP="7632D213">
            <w:pPr>
              <w:numPr>
                <w:ilvl w:val="0"/>
                <w:numId w:val="25"/>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Guidelines do not </w:t>
            </w:r>
            <w:r w:rsidR="3F27B385" w:rsidRPr="000B20F7">
              <w:rPr>
                <w:rFonts w:ascii="Calibri" w:eastAsia="Times New Roman" w:hAnsi="Calibri" w:cs="Calibri"/>
                <w:color w:val="000000"/>
                <w:kern w:val="0"/>
                <w:sz w:val="20"/>
                <w:szCs w:val="20"/>
                <w:lang w:eastAsia="en-AU"/>
                <w14:ligatures w14:val="none"/>
              </w:rPr>
              <w:t xml:space="preserve">always </w:t>
            </w:r>
            <w:r w:rsidRPr="7632D213">
              <w:rPr>
                <w:rFonts w:ascii="Calibri" w:eastAsia="Times New Roman" w:hAnsi="Calibri" w:cs="Calibri"/>
                <w:color w:val="000000" w:themeColor="text1"/>
                <w:sz w:val="20"/>
                <w:szCs w:val="20"/>
                <w:lang w:eastAsia="en-AU"/>
              </w:rPr>
              <w:t>provide</w:t>
            </w:r>
            <w:r w:rsidRPr="000B20F7">
              <w:rPr>
                <w:rFonts w:ascii="Calibri" w:eastAsia="Times New Roman" w:hAnsi="Calibri" w:cs="Calibri"/>
                <w:color w:val="000000"/>
                <w:kern w:val="0"/>
                <w:sz w:val="20"/>
                <w:szCs w:val="20"/>
                <w:lang w:eastAsia="en-AU"/>
                <w14:ligatures w14:val="none"/>
              </w:rPr>
              <w:t xml:space="preserve"> specific guidance on how to achieve compliance with the WHS Duty.  </w:t>
            </w:r>
          </w:p>
          <w:p w14:paraId="283D0687"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48302B0E" w14:textId="010C9F08" w:rsidR="000B20F7" w:rsidRPr="000B20F7" w:rsidRDefault="45AC8E56" w:rsidP="7632D213">
            <w:pPr>
              <w:numPr>
                <w:ilvl w:val="0"/>
                <w:numId w:val="26"/>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The Code </w:t>
            </w:r>
            <w:r w:rsidR="010004F7" w:rsidRPr="000B20F7">
              <w:rPr>
                <w:rFonts w:ascii="Calibri" w:eastAsia="Times New Roman" w:hAnsi="Calibri" w:cs="Calibri"/>
                <w:color w:val="000000"/>
                <w:kern w:val="0"/>
                <w:sz w:val="20"/>
                <w:szCs w:val="20"/>
                <w:lang w:eastAsia="en-AU"/>
                <w14:ligatures w14:val="none"/>
              </w:rPr>
              <w:t>w</w:t>
            </w:r>
            <w:r w:rsidRPr="000B20F7">
              <w:rPr>
                <w:rFonts w:ascii="Calibri" w:eastAsia="Times New Roman" w:hAnsi="Calibri" w:cs="Calibri"/>
                <w:color w:val="000000"/>
                <w:kern w:val="0"/>
                <w:sz w:val="20"/>
                <w:szCs w:val="20"/>
                <w:lang w:eastAsia="en-AU"/>
                <w14:ligatures w14:val="none"/>
              </w:rPr>
              <w:t xml:space="preserve">ould support providers to demonstrate </w:t>
            </w:r>
            <w:r w:rsidR="67A83AE6" w:rsidRPr="000B20F7">
              <w:rPr>
                <w:rFonts w:ascii="Calibri" w:eastAsia="Times New Roman" w:hAnsi="Calibri" w:cs="Calibri"/>
                <w:color w:val="000000"/>
                <w:kern w:val="0"/>
                <w:sz w:val="20"/>
                <w:szCs w:val="20"/>
                <w:lang w:eastAsia="en-AU"/>
                <w14:ligatures w14:val="none"/>
              </w:rPr>
              <w:t xml:space="preserve">how they </w:t>
            </w:r>
            <w:r w:rsidRPr="000B20F7">
              <w:rPr>
                <w:rFonts w:ascii="Calibri" w:eastAsia="Times New Roman" w:hAnsi="Calibri" w:cs="Calibri"/>
                <w:color w:val="000000"/>
                <w:kern w:val="0"/>
                <w:sz w:val="20"/>
                <w:szCs w:val="20"/>
                <w:lang w:eastAsia="en-AU"/>
                <w14:ligatures w14:val="none"/>
              </w:rPr>
              <w:t xml:space="preserve">are actively discharging their WHS duty to eliminate risks to workers’ safety by requiring </w:t>
            </w:r>
            <w:r w:rsidRPr="7632D213">
              <w:rPr>
                <w:rFonts w:ascii="Calibri" w:eastAsia="Times New Roman" w:hAnsi="Calibri" w:cs="Calibri"/>
                <w:color w:val="000000" w:themeColor="text1"/>
                <w:sz w:val="20"/>
                <w:szCs w:val="20"/>
                <w:lang w:eastAsia="en-AU"/>
              </w:rPr>
              <w:t>implementation</w:t>
            </w:r>
            <w:r w:rsidRPr="000B20F7">
              <w:rPr>
                <w:rFonts w:ascii="Calibri" w:eastAsia="Times New Roman" w:hAnsi="Calibri" w:cs="Calibri"/>
                <w:color w:val="000000"/>
                <w:kern w:val="0"/>
                <w:sz w:val="20"/>
                <w:szCs w:val="20"/>
                <w:lang w:eastAsia="en-AU"/>
                <w14:ligatures w14:val="none"/>
              </w:rPr>
              <w:t xml:space="preserve"> of a whole-of-organisation approach to preventing </w:t>
            </w:r>
            <w:r w:rsidR="7FAB2D75">
              <w:rPr>
                <w:rFonts w:ascii="Calibri" w:eastAsia="Times New Roman" w:hAnsi="Calibri" w:cs="Calibri"/>
                <w:color w:val="000000"/>
                <w:kern w:val="0"/>
                <w:sz w:val="20"/>
                <w:szCs w:val="20"/>
                <w:lang w:eastAsia="en-AU"/>
                <w14:ligatures w14:val="none"/>
              </w:rPr>
              <w:t xml:space="preserve">and responding to </w:t>
            </w:r>
            <w:r w:rsidRPr="000B20F7">
              <w:rPr>
                <w:rFonts w:ascii="Calibri" w:eastAsia="Times New Roman" w:hAnsi="Calibri" w:cs="Calibri"/>
                <w:color w:val="000000"/>
                <w:kern w:val="0"/>
                <w:sz w:val="20"/>
                <w:szCs w:val="20"/>
                <w:lang w:eastAsia="en-AU"/>
                <w14:ligatures w14:val="none"/>
              </w:rPr>
              <w:t>gender-based violence</w:t>
            </w:r>
            <w:r w:rsidR="7452415A" w:rsidRPr="000B20F7">
              <w:rPr>
                <w:rFonts w:ascii="Calibri" w:eastAsia="Times New Roman" w:hAnsi="Calibri" w:cs="Calibri"/>
                <w:color w:val="000000"/>
                <w:kern w:val="0"/>
                <w:sz w:val="20"/>
                <w:szCs w:val="20"/>
                <w:lang w:eastAsia="en-AU"/>
                <w14:ligatures w14:val="none"/>
              </w:rPr>
              <w:t>.</w:t>
            </w:r>
            <w:r w:rsidRPr="000B20F7">
              <w:rPr>
                <w:rFonts w:ascii="Calibri" w:eastAsia="Times New Roman" w:hAnsi="Calibri" w:cs="Calibri"/>
                <w:color w:val="000000"/>
                <w:kern w:val="0"/>
                <w:sz w:val="20"/>
                <w:szCs w:val="20"/>
                <w:lang w:eastAsia="en-AU"/>
                <w14:ligatures w14:val="none"/>
              </w:rPr>
              <w:t> </w:t>
            </w:r>
          </w:p>
        </w:tc>
      </w:tr>
      <w:tr w:rsidR="000B20F7" w:rsidRPr="000B20F7" w14:paraId="17549ACD" w14:textId="77777777" w:rsidTr="0C337F77">
        <w:trPr>
          <w:trHeight w:val="300"/>
        </w:trPr>
        <w:tc>
          <w:tcPr>
            <w:tcW w:w="2127" w:type="dxa"/>
            <w:tcBorders>
              <w:top w:val="nil"/>
              <w:left w:val="nil"/>
              <w:bottom w:val="single" w:sz="6" w:space="0" w:color="55437E"/>
              <w:right w:val="nil"/>
            </w:tcBorders>
            <w:shd w:val="clear" w:color="auto" w:fill="auto"/>
            <w:hideMark/>
          </w:tcPr>
          <w:p w14:paraId="7A406116" w14:textId="77777777" w:rsidR="000B20F7" w:rsidRPr="000B20F7" w:rsidRDefault="000B20F7" w:rsidP="000B20F7">
            <w:pPr>
              <w:spacing w:after="0" w:line="240" w:lineRule="auto"/>
              <w:textAlignment w:val="baseline"/>
              <w:rPr>
                <w:rFonts w:ascii="Times New Roman" w:eastAsia="Times New Roman" w:hAnsi="Times New Roman" w:cs="Times New Roman"/>
                <w:b/>
                <w:bCs/>
                <w:color w:val="3F325E"/>
                <w:kern w:val="0"/>
                <w:sz w:val="24"/>
                <w:szCs w:val="24"/>
                <w:lang w:eastAsia="en-AU"/>
                <w14:ligatures w14:val="none"/>
              </w:rPr>
            </w:pPr>
            <w:r w:rsidRPr="000B20F7">
              <w:rPr>
                <w:rFonts w:ascii="Calibri" w:eastAsia="Times New Roman" w:hAnsi="Calibri" w:cs="Calibri"/>
                <w:b/>
                <w:bCs/>
                <w:color w:val="3F325E"/>
                <w:kern w:val="0"/>
                <w:sz w:val="20"/>
                <w:szCs w:val="20"/>
                <w:lang w:eastAsia="en-AU"/>
                <w14:ligatures w14:val="none"/>
              </w:rPr>
              <w:t>Workplace Gender Equality Agency reporting requirements </w:t>
            </w:r>
          </w:p>
        </w:tc>
        <w:tc>
          <w:tcPr>
            <w:tcW w:w="12616" w:type="dxa"/>
            <w:tcBorders>
              <w:top w:val="nil"/>
              <w:left w:val="nil"/>
              <w:bottom w:val="single" w:sz="6" w:space="0" w:color="55437E"/>
              <w:right w:val="nil"/>
            </w:tcBorders>
            <w:shd w:val="clear" w:color="auto" w:fill="auto"/>
            <w:hideMark/>
          </w:tcPr>
          <w:p w14:paraId="12D9799D" w14:textId="36E8EA0F" w:rsidR="000B20F7" w:rsidRPr="000B20F7" w:rsidRDefault="004326EC"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Pr>
                <w:rFonts w:ascii="Calibri" w:eastAsia="Times New Roman" w:hAnsi="Calibri" w:cs="Calibri"/>
                <w:b/>
                <w:bCs/>
                <w:color w:val="000000"/>
                <w:kern w:val="0"/>
                <w:sz w:val="20"/>
                <w:szCs w:val="20"/>
                <w:lang w:eastAsia="en-AU"/>
                <w14:ligatures w14:val="none"/>
              </w:rPr>
              <w:t>Current scope</w:t>
            </w:r>
            <w:r w:rsidR="000B20F7" w:rsidRPr="000B20F7">
              <w:rPr>
                <w:rFonts w:ascii="Calibri" w:eastAsia="Times New Roman" w:hAnsi="Calibri" w:cs="Calibri"/>
                <w:color w:val="000000"/>
                <w:kern w:val="0"/>
                <w:sz w:val="20"/>
                <w:szCs w:val="20"/>
                <w:lang w:eastAsia="en-AU"/>
                <w14:ligatures w14:val="none"/>
              </w:rPr>
              <w:t> </w:t>
            </w:r>
          </w:p>
          <w:p w14:paraId="5FAFE81A" w14:textId="77777777" w:rsidR="00AA33A8" w:rsidRDefault="005A52AE" w:rsidP="7632D213">
            <w:pPr>
              <w:numPr>
                <w:ilvl w:val="0"/>
                <w:numId w:val="27"/>
              </w:numPr>
              <w:spacing w:after="0" w:line="240" w:lineRule="auto"/>
              <w:ind w:hanging="270"/>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Requires</w:t>
            </w:r>
            <w:r w:rsidR="00AA33A8">
              <w:rPr>
                <w:rFonts w:ascii="Calibri" w:eastAsia="Times New Roman" w:hAnsi="Calibri" w:cs="Calibri"/>
                <w:color w:val="000000" w:themeColor="text1"/>
                <w:sz w:val="20"/>
                <w:szCs w:val="20"/>
                <w:lang w:eastAsia="en-AU"/>
              </w:rPr>
              <w:t xml:space="preserve"> providers to register for the Gender Equality Program if they are</w:t>
            </w:r>
            <w:r w:rsidR="00AA33A8">
              <w:t xml:space="preserve"> </w:t>
            </w:r>
            <w:r w:rsidR="00AA33A8" w:rsidRPr="00AA33A8">
              <w:rPr>
                <w:rFonts w:ascii="Calibri" w:eastAsia="Times New Roman" w:hAnsi="Calibri" w:cs="Calibri"/>
                <w:color w:val="000000" w:themeColor="text1"/>
                <w:sz w:val="20"/>
                <w:szCs w:val="20"/>
                <w:lang w:eastAsia="en-AU"/>
              </w:rPr>
              <w:t>standalone organisations with 100 or more employees, or a corporate structure with 100 or more employees in total across all entities</w:t>
            </w:r>
            <w:r w:rsidR="00AA33A8">
              <w:rPr>
                <w:rFonts w:ascii="Calibri" w:eastAsia="Times New Roman" w:hAnsi="Calibri" w:cs="Calibri"/>
                <w:color w:val="000000" w:themeColor="text1"/>
                <w:sz w:val="20"/>
                <w:szCs w:val="20"/>
                <w:lang w:eastAsia="en-AU"/>
              </w:rPr>
              <w:t>.</w:t>
            </w:r>
          </w:p>
          <w:p w14:paraId="3C1B2FD0" w14:textId="198DC027" w:rsidR="000B20F7" w:rsidRPr="000B20F7" w:rsidRDefault="000B20F7" w:rsidP="7632D213">
            <w:pPr>
              <w:numPr>
                <w:ilvl w:val="0"/>
                <w:numId w:val="27"/>
              </w:numPr>
              <w:spacing w:after="0" w:line="240" w:lineRule="auto"/>
              <w:ind w:hanging="270"/>
              <w:rPr>
                <w:rFonts w:ascii="Calibri" w:eastAsia="Times New Roman" w:hAnsi="Calibri" w:cs="Calibri"/>
                <w:color w:val="000000" w:themeColor="text1"/>
                <w:sz w:val="20"/>
                <w:szCs w:val="20"/>
                <w:lang w:eastAsia="en-AU"/>
              </w:rPr>
            </w:pPr>
            <w:r w:rsidRPr="7632D213">
              <w:rPr>
                <w:rFonts w:ascii="Calibri" w:eastAsia="Times New Roman" w:hAnsi="Calibri" w:cs="Calibri"/>
                <w:color w:val="000000" w:themeColor="text1"/>
                <w:sz w:val="20"/>
                <w:szCs w:val="20"/>
                <w:lang w:eastAsia="en-AU"/>
              </w:rPr>
              <w:t>Reporting is focused on gender equality and equity (which can include harassment and discrimination</w:t>
            </w:r>
            <w:r w:rsidR="00AA33A8">
              <w:rPr>
                <w:rFonts w:ascii="Calibri" w:eastAsia="Times New Roman" w:hAnsi="Calibri" w:cs="Calibri"/>
                <w:color w:val="000000" w:themeColor="text1"/>
                <w:sz w:val="20"/>
                <w:szCs w:val="20"/>
                <w:lang w:eastAsia="en-AU"/>
              </w:rPr>
              <w:t>)</w:t>
            </w:r>
            <w:r w:rsidR="00844F6F">
              <w:rPr>
                <w:rFonts w:ascii="Calibri" w:eastAsia="Times New Roman" w:hAnsi="Calibri" w:cs="Calibri"/>
                <w:color w:val="000000" w:themeColor="text1"/>
                <w:sz w:val="20"/>
                <w:szCs w:val="20"/>
                <w:lang w:eastAsia="en-AU"/>
              </w:rPr>
              <w:t>.</w:t>
            </w:r>
            <w:r w:rsidRPr="7632D213">
              <w:rPr>
                <w:rFonts w:ascii="Calibri" w:eastAsia="Times New Roman" w:hAnsi="Calibri" w:cs="Calibri"/>
                <w:color w:val="000000" w:themeColor="text1"/>
                <w:sz w:val="20"/>
                <w:szCs w:val="20"/>
                <w:lang w:eastAsia="en-AU"/>
              </w:rPr>
              <w:t> </w:t>
            </w:r>
          </w:p>
          <w:p w14:paraId="7A0605BE" w14:textId="77777777" w:rsidR="000B20F7" w:rsidRPr="000B20F7" w:rsidRDefault="000B20F7" w:rsidP="7632D213">
            <w:pPr>
              <w:numPr>
                <w:ilvl w:val="0"/>
                <w:numId w:val="27"/>
              </w:numPr>
              <w:spacing w:after="0" w:line="240" w:lineRule="auto"/>
              <w:ind w:hanging="270"/>
              <w:rPr>
                <w:rFonts w:ascii="Calibri" w:eastAsia="Times New Roman" w:hAnsi="Calibri" w:cs="Calibri"/>
                <w:color w:val="000000" w:themeColor="text1"/>
                <w:sz w:val="20"/>
                <w:szCs w:val="20"/>
                <w:lang w:eastAsia="en-AU"/>
              </w:rPr>
            </w:pPr>
            <w:r w:rsidRPr="7632D213">
              <w:rPr>
                <w:rFonts w:ascii="Calibri" w:eastAsia="Times New Roman" w:hAnsi="Calibri" w:cs="Calibri"/>
                <w:color w:val="000000" w:themeColor="text1"/>
                <w:sz w:val="20"/>
                <w:szCs w:val="20"/>
                <w:lang w:eastAsia="en-AU"/>
              </w:rPr>
              <w:t>Reporting does not relate to students, student complaints, disclosures of gender-based violence or related incident rates. </w:t>
            </w:r>
          </w:p>
          <w:p w14:paraId="5417394B" w14:textId="61F32F5F" w:rsidR="000B20F7" w:rsidRPr="000B20F7" w:rsidRDefault="000B20F7" w:rsidP="7632D213">
            <w:pPr>
              <w:numPr>
                <w:ilvl w:val="0"/>
                <w:numId w:val="27"/>
              </w:numPr>
              <w:spacing w:after="0" w:line="240" w:lineRule="auto"/>
              <w:ind w:hanging="270"/>
              <w:rPr>
                <w:rFonts w:ascii="Calibri" w:eastAsia="Times New Roman" w:hAnsi="Calibri" w:cs="Calibri"/>
                <w:color w:val="000000" w:themeColor="text1"/>
                <w:sz w:val="20"/>
                <w:szCs w:val="20"/>
                <w:lang w:eastAsia="en-AU"/>
              </w:rPr>
            </w:pPr>
            <w:r w:rsidRPr="7632D213">
              <w:rPr>
                <w:rFonts w:ascii="Calibri" w:eastAsia="Times New Roman" w:hAnsi="Calibri" w:cs="Calibri"/>
                <w:color w:val="000000" w:themeColor="text1"/>
                <w:sz w:val="20"/>
                <w:szCs w:val="20"/>
                <w:lang w:eastAsia="en-AU"/>
              </w:rPr>
              <w:t>Does not apply to all registered higher education providers</w:t>
            </w:r>
            <w:r w:rsidR="00B7482D">
              <w:rPr>
                <w:rFonts w:ascii="Calibri" w:eastAsia="Times New Roman" w:hAnsi="Calibri" w:cs="Calibri"/>
                <w:color w:val="000000" w:themeColor="text1"/>
                <w:sz w:val="20"/>
                <w:szCs w:val="20"/>
                <w:lang w:eastAsia="en-AU"/>
              </w:rPr>
              <w:t xml:space="preserve">. </w:t>
            </w:r>
            <w:r w:rsidRPr="7632D213">
              <w:rPr>
                <w:rFonts w:ascii="Calibri" w:eastAsia="Times New Roman" w:hAnsi="Calibri" w:cs="Calibri"/>
                <w:color w:val="000000" w:themeColor="text1"/>
                <w:sz w:val="20"/>
                <w:szCs w:val="20"/>
                <w:lang w:eastAsia="en-AU"/>
              </w:rPr>
              <w:t> </w:t>
            </w:r>
          </w:p>
          <w:p w14:paraId="19FDC20C" w14:textId="77777777" w:rsidR="000B20F7" w:rsidRPr="000B20F7" w:rsidRDefault="000B20F7" w:rsidP="000B20F7">
            <w:pPr>
              <w:spacing w:after="0" w:line="240" w:lineRule="auto"/>
              <w:textAlignment w:val="baseline"/>
              <w:rPr>
                <w:rFonts w:ascii="Times New Roman" w:eastAsia="Times New Roman" w:hAnsi="Times New Roman" w:cs="Times New Roman"/>
                <w:color w:val="3F325E"/>
                <w:kern w:val="0"/>
                <w:sz w:val="24"/>
                <w:szCs w:val="24"/>
                <w:lang w:eastAsia="en-AU"/>
                <w14:ligatures w14:val="none"/>
              </w:rPr>
            </w:pPr>
            <w:r w:rsidRPr="000B20F7">
              <w:rPr>
                <w:rFonts w:ascii="Calibri" w:eastAsia="Times New Roman" w:hAnsi="Calibri" w:cs="Calibri"/>
                <w:b/>
                <w:bCs/>
                <w:color w:val="000000"/>
                <w:kern w:val="0"/>
                <w:sz w:val="20"/>
                <w:szCs w:val="20"/>
                <w:lang w:eastAsia="en-AU"/>
                <w14:ligatures w14:val="none"/>
              </w:rPr>
              <w:t>Opportunities</w:t>
            </w:r>
            <w:r w:rsidRPr="000B20F7">
              <w:rPr>
                <w:rFonts w:ascii="Calibri" w:eastAsia="Times New Roman" w:hAnsi="Calibri" w:cs="Calibri"/>
                <w:color w:val="000000"/>
                <w:kern w:val="0"/>
                <w:sz w:val="20"/>
                <w:szCs w:val="20"/>
                <w:lang w:eastAsia="en-AU"/>
                <w14:ligatures w14:val="none"/>
              </w:rPr>
              <w:t> </w:t>
            </w:r>
          </w:p>
          <w:p w14:paraId="370A0AFF" w14:textId="47012A63" w:rsidR="000B20F7" w:rsidRPr="000B20F7" w:rsidRDefault="000B20F7" w:rsidP="7632D213">
            <w:pPr>
              <w:numPr>
                <w:ilvl w:val="0"/>
                <w:numId w:val="28"/>
              </w:numPr>
              <w:spacing w:after="0" w:line="240" w:lineRule="auto"/>
              <w:ind w:hanging="270"/>
              <w:rPr>
                <w:rFonts w:ascii="Calibri" w:eastAsia="Times New Roman" w:hAnsi="Calibri" w:cs="Calibri"/>
                <w:color w:val="3F325E"/>
                <w:sz w:val="20"/>
                <w:szCs w:val="20"/>
                <w:lang w:eastAsia="en-AU"/>
              </w:rPr>
            </w:pPr>
            <w:r w:rsidRPr="000B20F7">
              <w:rPr>
                <w:rFonts w:ascii="Calibri" w:eastAsia="Times New Roman" w:hAnsi="Calibri" w:cs="Calibri"/>
                <w:color w:val="000000"/>
                <w:kern w:val="0"/>
                <w:sz w:val="20"/>
                <w:szCs w:val="20"/>
                <w:lang w:eastAsia="en-AU"/>
                <w14:ligatures w14:val="none"/>
              </w:rPr>
              <w:t xml:space="preserve">The Code </w:t>
            </w:r>
            <w:r w:rsidRPr="7632D213">
              <w:rPr>
                <w:rFonts w:ascii="Calibri" w:eastAsia="Times New Roman" w:hAnsi="Calibri" w:cs="Calibri"/>
                <w:color w:val="000000" w:themeColor="text1"/>
                <w:sz w:val="20"/>
                <w:szCs w:val="20"/>
                <w:lang w:eastAsia="en-AU"/>
              </w:rPr>
              <w:t>could</w:t>
            </w:r>
            <w:r w:rsidRPr="000B20F7">
              <w:rPr>
                <w:rFonts w:ascii="Calibri" w:eastAsia="Times New Roman" w:hAnsi="Calibri" w:cs="Calibri"/>
                <w:color w:val="000000"/>
                <w:kern w:val="0"/>
                <w:sz w:val="20"/>
                <w:szCs w:val="20"/>
                <w:lang w:eastAsia="en-AU"/>
                <w14:ligatures w14:val="none"/>
              </w:rPr>
              <w:t xml:space="preserve"> require reporting on disclosures</w:t>
            </w:r>
            <w:r w:rsidR="00C2026F">
              <w:rPr>
                <w:rFonts w:ascii="Calibri" w:eastAsia="Times New Roman" w:hAnsi="Calibri" w:cs="Calibri"/>
                <w:color w:val="000000"/>
                <w:kern w:val="0"/>
                <w:sz w:val="20"/>
                <w:szCs w:val="20"/>
                <w:lang w:eastAsia="en-AU"/>
                <w14:ligatures w14:val="none"/>
              </w:rPr>
              <w:t>/reports</w:t>
            </w:r>
            <w:r w:rsidRPr="000B20F7">
              <w:rPr>
                <w:rFonts w:ascii="Calibri" w:eastAsia="Times New Roman" w:hAnsi="Calibri" w:cs="Calibri"/>
                <w:color w:val="000000"/>
                <w:kern w:val="0"/>
                <w:sz w:val="20"/>
                <w:szCs w:val="20"/>
                <w:lang w:eastAsia="en-AU"/>
                <w14:ligatures w14:val="none"/>
              </w:rPr>
              <w:t xml:space="preserve"> of gender-based violence,</w:t>
            </w:r>
            <w:r w:rsidR="00C2026F">
              <w:rPr>
                <w:rFonts w:ascii="Calibri" w:eastAsia="Times New Roman" w:hAnsi="Calibri" w:cs="Calibri"/>
                <w:color w:val="000000"/>
                <w:kern w:val="0"/>
                <w:sz w:val="20"/>
                <w:szCs w:val="20"/>
                <w:lang w:eastAsia="en-AU"/>
                <w14:ligatures w14:val="none"/>
              </w:rPr>
              <w:t xml:space="preserve"> </w:t>
            </w:r>
            <w:r w:rsidRPr="000B20F7">
              <w:rPr>
                <w:rFonts w:ascii="Calibri" w:eastAsia="Times New Roman" w:hAnsi="Calibri" w:cs="Calibri"/>
                <w:color w:val="000000"/>
                <w:kern w:val="0"/>
                <w:sz w:val="20"/>
                <w:szCs w:val="20"/>
                <w:lang w:eastAsia="en-AU"/>
                <w14:ligatures w14:val="none"/>
              </w:rPr>
              <w:t xml:space="preserve">investigations </w:t>
            </w:r>
            <w:r w:rsidR="00C2026F">
              <w:rPr>
                <w:rFonts w:ascii="Calibri" w:eastAsia="Times New Roman" w:hAnsi="Calibri" w:cs="Calibri"/>
                <w:color w:val="000000"/>
                <w:kern w:val="0"/>
                <w:sz w:val="20"/>
                <w:szCs w:val="20"/>
                <w:lang w:eastAsia="en-AU"/>
                <w14:ligatures w14:val="none"/>
              </w:rPr>
              <w:t xml:space="preserve">and their </w:t>
            </w:r>
            <w:r w:rsidRPr="000B20F7">
              <w:rPr>
                <w:rFonts w:ascii="Calibri" w:eastAsia="Times New Roman" w:hAnsi="Calibri" w:cs="Calibri"/>
                <w:color w:val="000000"/>
                <w:kern w:val="0"/>
                <w:sz w:val="20"/>
                <w:szCs w:val="20"/>
                <w:lang w:eastAsia="en-AU"/>
                <w14:ligatures w14:val="none"/>
              </w:rPr>
              <w:t>outcomes / organisational actions</w:t>
            </w:r>
            <w:r w:rsidR="00C2026F">
              <w:rPr>
                <w:rFonts w:ascii="Calibri" w:eastAsia="Times New Roman" w:hAnsi="Calibri" w:cs="Calibri"/>
                <w:color w:val="000000"/>
                <w:kern w:val="0"/>
                <w:sz w:val="20"/>
                <w:szCs w:val="20"/>
                <w:lang w:eastAsia="en-AU"/>
                <w14:ligatures w14:val="none"/>
              </w:rPr>
              <w:t xml:space="preserve"> and other relevant data. </w:t>
            </w:r>
          </w:p>
        </w:tc>
      </w:tr>
    </w:tbl>
    <w:p w14:paraId="23C36CDC" w14:textId="77777777" w:rsidR="000B20F7" w:rsidRPr="000B20F7" w:rsidRDefault="000B20F7" w:rsidP="000B20F7">
      <w:pPr>
        <w:spacing w:after="0" w:line="240" w:lineRule="auto"/>
        <w:textAlignment w:val="baseline"/>
        <w:rPr>
          <w:rFonts w:ascii="Segoe UI" w:eastAsia="Times New Roman" w:hAnsi="Segoe UI" w:cs="Segoe UI"/>
          <w:kern w:val="0"/>
          <w:sz w:val="18"/>
          <w:szCs w:val="18"/>
          <w:lang w:eastAsia="en-AU"/>
          <w14:ligatures w14:val="none"/>
        </w:rPr>
      </w:pPr>
      <w:r w:rsidRPr="000B20F7">
        <w:rPr>
          <w:rFonts w:ascii="Calibri" w:eastAsia="Times New Roman" w:hAnsi="Calibri" w:cs="Calibri"/>
          <w:kern w:val="0"/>
          <w:lang w:eastAsia="en-AU"/>
          <w14:ligatures w14:val="none"/>
        </w:rPr>
        <w:t> </w:t>
      </w:r>
    </w:p>
    <w:p w14:paraId="1B340B37" w14:textId="77777777" w:rsidR="000B20F7" w:rsidRPr="000B20F7" w:rsidRDefault="000B20F7" w:rsidP="000B20F7">
      <w:pPr>
        <w:spacing w:after="0" w:line="240" w:lineRule="auto"/>
        <w:textAlignment w:val="baseline"/>
        <w:rPr>
          <w:rFonts w:ascii="Segoe UI" w:eastAsia="Times New Roman" w:hAnsi="Segoe UI" w:cs="Segoe UI"/>
          <w:kern w:val="0"/>
          <w:sz w:val="18"/>
          <w:szCs w:val="18"/>
          <w:lang w:eastAsia="en-AU"/>
          <w14:ligatures w14:val="none"/>
        </w:rPr>
      </w:pPr>
      <w:r w:rsidRPr="000B20F7">
        <w:rPr>
          <w:rFonts w:ascii="Calibri" w:eastAsia="Times New Roman" w:hAnsi="Calibri" w:cs="Calibri"/>
          <w:kern w:val="0"/>
          <w:lang w:eastAsia="en-AU"/>
          <w14:ligatures w14:val="none"/>
        </w:rPr>
        <w:t> </w:t>
      </w:r>
    </w:p>
    <w:p w14:paraId="69F51DC0" w14:textId="77777777" w:rsidR="00E4582F" w:rsidRDefault="00E4582F"/>
    <w:sectPr w:rsidR="00E4582F" w:rsidSect="000B20F7">
      <w:headerReference w:type="default" r:id="rId20"/>
      <w:footerReference w:type="default" r:id="rId21"/>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C4106" w14:textId="77777777" w:rsidR="000B20F7" w:rsidRDefault="000B20F7" w:rsidP="000B20F7">
      <w:pPr>
        <w:spacing w:after="0" w:line="240" w:lineRule="auto"/>
      </w:pPr>
      <w:r>
        <w:separator/>
      </w:r>
    </w:p>
  </w:endnote>
  <w:endnote w:type="continuationSeparator" w:id="0">
    <w:p w14:paraId="5AF6AF70" w14:textId="77777777" w:rsidR="000B20F7" w:rsidRDefault="000B20F7" w:rsidP="000B20F7">
      <w:pPr>
        <w:spacing w:after="0" w:line="240" w:lineRule="auto"/>
      </w:pPr>
      <w:r>
        <w:continuationSeparator/>
      </w:r>
    </w:p>
  </w:endnote>
  <w:endnote w:type="continuationNotice" w:id="1">
    <w:p w14:paraId="791233D9" w14:textId="77777777" w:rsidR="0019556A" w:rsidRDefault="00195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002486"/>
      <w:docPartObj>
        <w:docPartGallery w:val="Page Numbers (Bottom of Page)"/>
        <w:docPartUnique/>
      </w:docPartObj>
    </w:sdtPr>
    <w:sdtEndPr>
      <w:rPr>
        <w:noProof/>
      </w:rPr>
    </w:sdtEndPr>
    <w:sdtContent>
      <w:p w14:paraId="21CEDB70" w14:textId="7FE0646A" w:rsidR="00034620" w:rsidRDefault="000346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C2A4C" w14:textId="77777777" w:rsidR="00034620" w:rsidRDefault="0003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E8CF6" w14:textId="77777777" w:rsidR="000B20F7" w:rsidRDefault="000B20F7" w:rsidP="000B20F7">
      <w:pPr>
        <w:spacing w:after="0" w:line="240" w:lineRule="auto"/>
      </w:pPr>
      <w:r>
        <w:separator/>
      </w:r>
    </w:p>
  </w:footnote>
  <w:footnote w:type="continuationSeparator" w:id="0">
    <w:p w14:paraId="07064B09" w14:textId="77777777" w:rsidR="000B20F7" w:rsidRDefault="000B20F7" w:rsidP="000B20F7">
      <w:pPr>
        <w:spacing w:after="0" w:line="240" w:lineRule="auto"/>
      </w:pPr>
      <w:r>
        <w:continuationSeparator/>
      </w:r>
    </w:p>
  </w:footnote>
  <w:footnote w:type="continuationNotice" w:id="1">
    <w:p w14:paraId="262A4FBB" w14:textId="77777777" w:rsidR="0019556A" w:rsidRDefault="00195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4B1BE" w14:textId="37BC61FB" w:rsidR="000B20F7" w:rsidRDefault="000B20F7">
    <w:pPr>
      <w:pStyle w:val="Header"/>
    </w:pPr>
    <w:r>
      <w:rPr>
        <w:noProof/>
      </w:rPr>
      <w:drawing>
        <wp:anchor distT="0" distB="0" distL="114300" distR="114300" simplePos="0" relativeHeight="251658241" behindDoc="0" locked="0" layoutInCell="1" allowOverlap="1" wp14:anchorId="51079E5E" wp14:editId="6E4617A2">
          <wp:simplePos x="0" y="0"/>
          <wp:positionH relativeFrom="column">
            <wp:posOffset>-311323</wp:posOffset>
          </wp:positionH>
          <wp:positionV relativeFrom="paragraph">
            <wp:posOffset>80933</wp:posOffset>
          </wp:positionV>
          <wp:extent cx="2660650" cy="643890"/>
          <wp:effectExtent l="0" t="0" r="6350" b="3810"/>
          <wp:wrapSquare wrapText="bothSides"/>
          <wp:docPr id="1646188669"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stralian Government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3FD355B" wp14:editId="588DE576">
          <wp:simplePos x="0" y="0"/>
          <wp:positionH relativeFrom="page">
            <wp:posOffset>10391</wp:posOffset>
          </wp:positionH>
          <wp:positionV relativeFrom="paragraph">
            <wp:posOffset>-990426</wp:posOffset>
          </wp:positionV>
          <wp:extent cx="10935335" cy="2327275"/>
          <wp:effectExtent l="0" t="0" r="0" b="0"/>
          <wp:wrapSquare wrapText="bothSides"/>
          <wp:docPr id="1799650482" name="Picture 2" descr="A blue background with white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0482" name="Picture 2" descr="A blue background with white dots and lin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5335"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E51A"/>
    <w:multiLevelType w:val="hybridMultilevel"/>
    <w:tmpl w:val="0E5C40F6"/>
    <w:lvl w:ilvl="0" w:tplc="8A52CF86">
      <w:start w:val="1"/>
      <w:numFmt w:val="bullet"/>
      <w:lvlText w:val="·"/>
      <w:lvlJc w:val="left"/>
      <w:pPr>
        <w:ind w:left="720" w:hanging="360"/>
      </w:pPr>
      <w:rPr>
        <w:rFonts w:ascii="Symbol" w:hAnsi="Symbol" w:hint="default"/>
      </w:rPr>
    </w:lvl>
    <w:lvl w:ilvl="1" w:tplc="03E4A2AE">
      <w:start w:val="1"/>
      <w:numFmt w:val="bullet"/>
      <w:lvlText w:val="o"/>
      <w:lvlJc w:val="left"/>
      <w:pPr>
        <w:ind w:left="1440" w:hanging="360"/>
      </w:pPr>
      <w:rPr>
        <w:rFonts w:ascii="Courier New" w:hAnsi="Courier New" w:hint="default"/>
      </w:rPr>
    </w:lvl>
    <w:lvl w:ilvl="2" w:tplc="8A264F30">
      <w:start w:val="1"/>
      <w:numFmt w:val="bullet"/>
      <w:lvlText w:val=""/>
      <w:lvlJc w:val="left"/>
      <w:pPr>
        <w:ind w:left="2160" w:hanging="360"/>
      </w:pPr>
      <w:rPr>
        <w:rFonts w:ascii="Wingdings" w:hAnsi="Wingdings" w:hint="default"/>
      </w:rPr>
    </w:lvl>
    <w:lvl w:ilvl="3" w:tplc="5386B168">
      <w:start w:val="1"/>
      <w:numFmt w:val="bullet"/>
      <w:lvlText w:val=""/>
      <w:lvlJc w:val="left"/>
      <w:pPr>
        <w:ind w:left="2880" w:hanging="360"/>
      </w:pPr>
      <w:rPr>
        <w:rFonts w:ascii="Symbol" w:hAnsi="Symbol" w:hint="default"/>
      </w:rPr>
    </w:lvl>
    <w:lvl w:ilvl="4" w:tplc="8D9E5E2A">
      <w:start w:val="1"/>
      <w:numFmt w:val="bullet"/>
      <w:lvlText w:val="o"/>
      <w:lvlJc w:val="left"/>
      <w:pPr>
        <w:ind w:left="3600" w:hanging="360"/>
      </w:pPr>
      <w:rPr>
        <w:rFonts w:ascii="Courier New" w:hAnsi="Courier New" w:hint="default"/>
      </w:rPr>
    </w:lvl>
    <w:lvl w:ilvl="5" w:tplc="E5C67A12">
      <w:start w:val="1"/>
      <w:numFmt w:val="bullet"/>
      <w:lvlText w:val=""/>
      <w:lvlJc w:val="left"/>
      <w:pPr>
        <w:ind w:left="4320" w:hanging="360"/>
      </w:pPr>
      <w:rPr>
        <w:rFonts w:ascii="Wingdings" w:hAnsi="Wingdings" w:hint="default"/>
      </w:rPr>
    </w:lvl>
    <w:lvl w:ilvl="6" w:tplc="663CA9D6">
      <w:start w:val="1"/>
      <w:numFmt w:val="bullet"/>
      <w:lvlText w:val=""/>
      <w:lvlJc w:val="left"/>
      <w:pPr>
        <w:ind w:left="5040" w:hanging="360"/>
      </w:pPr>
      <w:rPr>
        <w:rFonts w:ascii="Symbol" w:hAnsi="Symbol" w:hint="default"/>
      </w:rPr>
    </w:lvl>
    <w:lvl w:ilvl="7" w:tplc="0A802C24">
      <w:start w:val="1"/>
      <w:numFmt w:val="bullet"/>
      <w:lvlText w:val="o"/>
      <w:lvlJc w:val="left"/>
      <w:pPr>
        <w:ind w:left="5760" w:hanging="360"/>
      </w:pPr>
      <w:rPr>
        <w:rFonts w:ascii="Courier New" w:hAnsi="Courier New" w:hint="default"/>
      </w:rPr>
    </w:lvl>
    <w:lvl w:ilvl="8" w:tplc="AD2860F0">
      <w:start w:val="1"/>
      <w:numFmt w:val="bullet"/>
      <w:lvlText w:val=""/>
      <w:lvlJc w:val="left"/>
      <w:pPr>
        <w:ind w:left="6480" w:hanging="360"/>
      </w:pPr>
      <w:rPr>
        <w:rFonts w:ascii="Wingdings" w:hAnsi="Wingdings" w:hint="default"/>
      </w:rPr>
    </w:lvl>
  </w:abstractNum>
  <w:abstractNum w:abstractNumId="1" w15:restartNumberingAfterBreak="0">
    <w:nsid w:val="07B84E0C"/>
    <w:multiLevelType w:val="hybridMultilevel"/>
    <w:tmpl w:val="C7ACCD66"/>
    <w:lvl w:ilvl="0" w:tplc="B984937A">
      <w:start w:val="1"/>
      <w:numFmt w:val="bullet"/>
      <w:lvlText w:val=""/>
      <w:lvlJc w:val="left"/>
      <w:pPr>
        <w:tabs>
          <w:tab w:val="num" w:pos="720"/>
        </w:tabs>
        <w:ind w:left="720" w:hanging="360"/>
      </w:pPr>
      <w:rPr>
        <w:rFonts w:ascii="Symbol" w:hAnsi="Symbol" w:hint="default"/>
        <w:sz w:val="20"/>
      </w:rPr>
    </w:lvl>
    <w:lvl w:ilvl="1" w:tplc="36EA354E" w:tentative="1">
      <w:start w:val="1"/>
      <w:numFmt w:val="bullet"/>
      <w:lvlText w:val=""/>
      <w:lvlJc w:val="left"/>
      <w:pPr>
        <w:tabs>
          <w:tab w:val="num" w:pos="1440"/>
        </w:tabs>
        <w:ind w:left="1440" w:hanging="360"/>
      </w:pPr>
      <w:rPr>
        <w:rFonts w:ascii="Symbol" w:hAnsi="Symbol" w:hint="default"/>
        <w:sz w:val="20"/>
      </w:rPr>
    </w:lvl>
    <w:lvl w:ilvl="2" w:tplc="7A08EDDC" w:tentative="1">
      <w:start w:val="1"/>
      <w:numFmt w:val="bullet"/>
      <w:lvlText w:val=""/>
      <w:lvlJc w:val="left"/>
      <w:pPr>
        <w:tabs>
          <w:tab w:val="num" w:pos="2160"/>
        </w:tabs>
        <w:ind w:left="2160" w:hanging="360"/>
      </w:pPr>
      <w:rPr>
        <w:rFonts w:ascii="Symbol" w:hAnsi="Symbol" w:hint="default"/>
        <w:sz w:val="20"/>
      </w:rPr>
    </w:lvl>
    <w:lvl w:ilvl="3" w:tplc="9D0C6588" w:tentative="1">
      <w:start w:val="1"/>
      <w:numFmt w:val="bullet"/>
      <w:lvlText w:val=""/>
      <w:lvlJc w:val="left"/>
      <w:pPr>
        <w:tabs>
          <w:tab w:val="num" w:pos="2880"/>
        </w:tabs>
        <w:ind w:left="2880" w:hanging="360"/>
      </w:pPr>
      <w:rPr>
        <w:rFonts w:ascii="Symbol" w:hAnsi="Symbol" w:hint="default"/>
        <w:sz w:val="20"/>
      </w:rPr>
    </w:lvl>
    <w:lvl w:ilvl="4" w:tplc="AA889F24" w:tentative="1">
      <w:start w:val="1"/>
      <w:numFmt w:val="bullet"/>
      <w:lvlText w:val=""/>
      <w:lvlJc w:val="left"/>
      <w:pPr>
        <w:tabs>
          <w:tab w:val="num" w:pos="3600"/>
        </w:tabs>
        <w:ind w:left="3600" w:hanging="360"/>
      </w:pPr>
      <w:rPr>
        <w:rFonts w:ascii="Symbol" w:hAnsi="Symbol" w:hint="default"/>
        <w:sz w:val="20"/>
      </w:rPr>
    </w:lvl>
    <w:lvl w:ilvl="5" w:tplc="B330C716" w:tentative="1">
      <w:start w:val="1"/>
      <w:numFmt w:val="bullet"/>
      <w:lvlText w:val=""/>
      <w:lvlJc w:val="left"/>
      <w:pPr>
        <w:tabs>
          <w:tab w:val="num" w:pos="4320"/>
        </w:tabs>
        <w:ind w:left="4320" w:hanging="360"/>
      </w:pPr>
      <w:rPr>
        <w:rFonts w:ascii="Symbol" w:hAnsi="Symbol" w:hint="default"/>
        <w:sz w:val="20"/>
      </w:rPr>
    </w:lvl>
    <w:lvl w:ilvl="6" w:tplc="15467F5A" w:tentative="1">
      <w:start w:val="1"/>
      <w:numFmt w:val="bullet"/>
      <w:lvlText w:val=""/>
      <w:lvlJc w:val="left"/>
      <w:pPr>
        <w:tabs>
          <w:tab w:val="num" w:pos="5040"/>
        </w:tabs>
        <w:ind w:left="5040" w:hanging="360"/>
      </w:pPr>
      <w:rPr>
        <w:rFonts w:ascii="Symbol" w:hAnsi="Symbol" w:hint="default"/>
        <w:sz w:val="20"/>
      </w:rPr>
    </w:lvl>
    <w:lvl w:ilvl="7" w:tplc="137608FC" w:tentative="1">
      <w:start w:val="1"/>
      <w:numFmt w:val="bullet"/>
      <w:lvlText w:val=""/>
      <w:lvlJc w:val="left"/>
      <w:pPr>
        <w:tabs>
          <w:tab w:val="num" w:pos="5760"/>
        </w:tabs>
        <w:ind w:left="5760" w:hanging="360"/>
      </w:pPr>
      <w:rPr>
        <w:rFonts w:ascii="Symbol" w:hAnsi="Symbol" w:hint="default"/>
        <w:sz w:val="20"/>
      </w:rPr>
    </w:lvl>
    <w:lvl w:ilvl="8" w:tplc="FB48A34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17433"/>
    <w:multiLevelType w:val="hybridMultilevel"/>
    <w:tmpl w:val="4EB016D0"/>
    <w:lvl w:ilvl="0" w:tplc="4106F94C">
      <w:start w:val="1"/>
      <w:numFmt w:val="bullet"/>
      <w:lvlText w:val=""/>
      <w:lvlJc w:val="left"/>
      <w:pPr>
        <w:tabs>
          <w:tab w:val="num" w:pos="720"/>
        </w:tabs>
        <w:ind w:left="720" w:hanging="360"/>
      </w:pPr>
      <w:rPr>
        <w:rFonts w:ascii="Symbol" w:hAnsi="Symbol" w:hint="default"/>
        <w:sz w:val="20"/>
      </w:rPr>
    </w:lvl>
    <w:lvl w:ilvl="1" w:tplc="9BDA9A54" w:tentative="1">
      <w:start w:val="1"/>
      <w:numFmt w:val="bullet"/>
      <w:lvlText w:val=""/>
      <w:lvlJc w:val="left"/>
      <w:pPr>
        <w:tabs>
          <w:tab w:val="num" w:pos="1440"/>
        </w:tabs>
        <w:ind w:left="1440" w:hanging="360"/>
      </w:pPr>
      <w:rPr>
        <w:rFonts w:ascii="Symbol" w:hAnsi="Symbol" w:hint="default"/>
        <w:sz w:val="20"/>
      </w:rPr>
    </w:lvl>
    <w:lvl w:ilvl="2" w:tplc="F9C6CFBE" w:tentative="1">
      <w:start w:val="1"/>
      <w:numFmt w:val="bullet"/>
      <w:lvlText w:val=""/>
      <w:lvlJc w:val="left"/>
      <w:pPr>
        <w:tabs>
          <w:tab w:val="num" w:pos="2160"/>
        </w:tabs>
        <w:ind w:left="2160" w:hanging="360"/>
      </w:pPr>
      <w:rPr>
        <w:rFonts w:ascii="Symbol" w:hAnsi="Symbol" w:hint="default"/>
        <w:sz w:val="20"/>
      </w:rPr>
    </w:lvl>
    <w:lvl w:ilvl="3" w:tplc="6B200188" w:tentative="1">
      <w:start w:val="1"/>
      <w:numFmt w:val="bullet"/>
      <w:lvlText w:val=""/>
      <w:lvlJc w:val="left"/>
      <w:pPr>
        <w:tabs>
          <w:tab w:val="num" w:pos="2880"/>
        </w:tabs>
        <w:ind w:left="2880" w:hanging="360"/>
      </w:pPr>
      <w:rPr>
        <w:rFonts w:ascii="Symbol" w:hAnsi="Symbol" w:hint="default"/>
        <w:sz w:val="20"/>
      </w:rPr>
    </w:lvl>
    <w:lvl w:ilvl="4" w:tplc="2050FD34" w:tentative="1">
      <w:start w:val="1"/>
      <w:numFmt w:val="bullet"/>
      <w:lvlText w:val=""/>
      <w:lvlJc w:val="left"/>
      <w:pPr>
        <w:tabs>
          <w:tab w:val="num" w:pos="3600"/>
        </w:tabs>
        <w:ind w:left="3600" w:hanging="360"/>
      </w:pPr>
      <w:rPr>
        <w:rFonts w:ascii="Symbol" w:hAnsi="Symbol" w:hint="default"/>
        <w:sz w:val="20"/>
      </w:rPr>
    </w:lvl>
    <w:lvl w:ilvl="5" w:tplc="5DF023D6" w:tentative="1">
      <w:start w:val="1"/>
      <w:numFmt w:val="bullet"/>
      <w:lvlText w:val=""/>
      <w:lvlJc w:val="left"/>
      <w:pPr>
        <w:tabs>
          <w:tab w:val="num" w:pos="4320"/>
        </w:tabs>
        <w:ind w:left="4320" w:hanging="360"/>
      </w:pPr>
      <w:rPr>
        <w:rFonts w:ascii="Symbol" w:hAnsi="Symbol" w:hint="default"/>
        <w:sz w:val="20"/>
      </w:rPr>
    </w:lvl>
    <w:lvl w:ilvl="6" w:tplc="3110C376" w:tentative="1">
      <w:start w:val="1"/>
      <w:numFmt w:val="bullet"/>
      <w:lvlText w:val=""/>
      <w:lvlJc w:val="left"/>
      <w:pPr>
        <w:tabs>
          <w:tab w:val="num" w:pos="5040"/>
        </w:tabs>
        <w:ind w:left="5040" w:hanging="360"/>
      </w:pPr>
      <w:rPr>
        <w:rFonts w:ascii="Symbol" w:hAnsi="Symbol" w:hint="default"/>
        <w:sz w:val="20"/>
      </w:rPr>
    </w:lvl>
    <w:lvl w:ilvl="7" w:tplc="4274A964" w:tentative="1">
      <w:start w:val="1"/>
      <w:numFmt w:val="bullet"/>
      <w:lvlText w:val=""/>
      <w:lvlJc w:val="left"/>
      <w:pPr>
        <w:tabs>
          <w:tab w:val="num" w:pos="5760"/>
        </w:tabs>
        <w:ind w:left="5760" w:hanging="360"/>
      </w:pPr>
      <w:rPr>
        <w:rFonts w:ascii="Symbol" w:hAnsi="Symbol" w:hint="default"/>
        <w:sz w:val="20"/>
      </w:rPr>
    </w:lvl>
    <w:lvl w:ilvl="8" w:tplc="056A244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5782B"/>
    <w:multiLevelType w:val="hybridMultilevel"/>
    <w:tmpl w:val="ADFAE432"/>
    <w:lvl w:ilvl="0" w:tplc="FB127262">
      <w:start w:val="1"/>
      <w:numFmt w:val="bullet"/>
      <w:lvlText w:val=""/>
      <w:lvlJc w:val="left"/>
      <w:pPr>
        <w:tabs>
          <w:tab w:val="num" w:pos="720"/>
        </w:tabs>
        <w:ind w:left="720" w:hanging="360"/>
      </w:pPr>
      <w:rPr>
        <w:rFonts w:ascii="Symbol" w:hAnsi="Symbol" w:hint="default"/>
        <w:sz w:val="20"/>
      </w:rPr>
    </w:lvl>
    <w:lvl w:ilvl="1" w:tplc="8ED89962" w:tentative="1">
      <w:start w:val="1"/>
      <w:numFmt w:val="bullet"/>
      <w:lvlText w:val=""/>
      <w:lvlJc w:val="left"/>
      <w:pPr>
        <w:tabs>
          <w:tab w:val="num" w:pos="1440"/>
        </w:tabs>
        <w:ind w:left="1440" w:hanging="360"/>
      </w:pPr>
      <w:rPr>
        <w:rFonts w:ascii="Symbol" w:hAnsi="Symbol" w:hint="default"/>
        <w:sz w:val="20"/>
      </w:rPr>
    </w:lvl>
    <w:lvl w:ilvl="2" w:tplc="AAB6BC0C" w:tentative="1">
      <w:start w:val="1"/>
      <w:numFmt w:val="bullet"/>
      <w:lvlText w:val=""/>
      <w:lvlJc w:val="left"/>
      <w:pPr>
        <w:tabs>
          <w:tab w:val="num" w:pos="2160"/>
        </w:tabs>
        <w:ind w:left="2160" w:hanging="360"/>
      </w:pPr>
      <w:rPr>
        <w:rFonts w:ascii="Symbol" w:hAnsi="Symbol" w:hint="default"/>
        <w:sz w:val="20"/>
      </w:rPr>
    </w:lvl>
    <w:lvl w:ilvl="3" w:tplc="B180F50E" w:tentative="1">
      <w:start w:val="1"/>
      <w:numFmt w:val="bullet"/>
      <w:lvlText w:val=""/>
      <w:lvlJc w:val="left"/>
      <w:pPr>
        <w:tabs>
          <w:tab w:val="num" w:pos="2880"/>
        </w:tabs>
        <w:ind w:left="2880" w:hanging="360"/>
      </w:pPr>
      <w:rPr>
        <w:rFonts w:ascii="Symbol" w:hAnsi="Symbol" w:hint="default"/>
        <w:sz w:val="20"/>
      </w:rPr>
    </w:lvl>
    <w:lvl w:ilvl="4" w:tplc="A89E5EF4" w:tentative="1">
      <w:start w:val="1"/>
      <w:numFmt w:val="bullet"/>
      <w:lvlText w:val=""/>
      <w:lvlJc w:val="left"/>
      <w:pPr>
        <w:tabs>
          <w:tab w:val="num" w:pos="3600"/>
        </w:tabs>
        <w:ind w:left="3600" w:hanging="360"/>
      </w:pPr>
      <w:rPr>
        <w:rFonts w:ascii="Symbol" w:hAnsi="Symbol" w:hint="default"/>
        <w:sz w:val="20"/>
      </w:rPr>
    </w:lvl>
    <w:lvl w:ilvl="5" w:tplc="245C2E98" w:tentative="1">
      <w:start w:val="1"/>
      <w:numFmt w:val="bullet"/>
      <w:lvlText w:val=""/>
      <w:lvlJc w:val="left"/>
      <w:pPr>
        <w:tabs>
          <w:tab w:val="num" w:pos="4320"/>
        </w:tabs>
        <w:ind w:left="4320" w:hanging="360"/>
      </w:pPr>
      <w:rPr>
        <w:rFonts w:ascii="Symbol" w:hAnsi="Symbol" w:hint="default"/>
        <w:sz w:val="20"/>
      </w:rPr>
    </w:lvl>
    <w:lvl w:ilvl="6" w:tplc="016E4B0C" w:tentative="1">
      <w:start w:val="1"/>
      <w:numFmt w:val="bullet"/>
      <w:lvlText w:val=""/>
      <w:lvlJc w:val="left"/>
      <w:pPr>
        <w:tabs>
          <w:tab w:val="num" w:pos="5040"/>
        </w:tabs>
        <w:ind w:left="5040" w:hanging="360"/>
      </w:pPr>
      <w:rPr>
        <w:rFonts w:ascii="Symbol" w:hAnsi="Symbol" w:hint="default"/>
        <w:sz w:val="20"/>
      </w:rPr>
    </w:lvl>
    <w:lvl w:ilvl="7" w:tplc="8586F334" w:tentative="1">
      <w:start w:val="1"/>
      <w:numFmt w:val="bullet"/>
      <w:lvlText w:val=""/>
      <w:lvlJc w:val="left"/>
      <w:pPr>
        <w:tabs>
          <w:tab w:val="num" w:pos="5760"/>
        </w:tabs>
        <w:ind w:left="5760" w:hanging="360"/>
      </w:pPr>
      <w:rPr>
        <w:rFonts w:ascii="Symbol" w:hAnsi="Symbol" w:hint="default"/>
        <w:sz w:val="20"/>
      </w:rPr>
    </w:lvl>
    <w:lvl w:ilvl="8" w:tplc="CA0486E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A9233"/>
    <w:multiLevelType w:val="hybridMultilevel"/>
    <w:tmpl w:val="67A4919E"/>
    <w:lvl w:ilvl="0" w:tplc="C3784DD0">
      <w:start w:val="1"/>
      <w:numFmt w:val="bullet"/>
      <w:lvlText w:val="·"/>
      <w:lvlJc w:val="left"/>
      <w:pPr>
        <w:ind w:left="720" w:hanging="360"/>
      </w:pPr>
      <w:rPr>
        <w:rFonts w:ascii="Symbol" w:hAnsi="Symbol" w:hint="default"/>
      </w:rPr>
    </w:lvl>
    <w:lvl w:ilvl="1" w:tplc="8DA45F8A">
      <w:start w:val="1"/>
      <w:numFmt w:val="bullet"/>
      <w:lvlText w:val="o"/>
      <w:lvlJc w:val="left"/>
      <w:pPr>
        <w:ind w:left="1440" w:hanging="360"/>
      </w:pPr>
      <w:rPr>
        <w:rFonts w:ascii="Courier New" w:hAnsi="Courier New" w:hint="default"/>
      </w:rPr>
    </w:lvl>
    <w:lvl w:ilvl="2" w:tplc="BFCC69C0">
      <w:start w:val="1"/>
      <w:numFmt w:val="bullet"/>
      <w:lvlText w:val=""/>
      <w:lvlJc w:val="left"/>
      <w:pPr>
        <w:ind w:left="2160" w:hanging="360"/>
      </w:pPr>
      <w:rPr>
        <w:rFonts w:ascii="Wingdings" w:hAnsi="Wingdings" w:hint="default"/>
      </w:rPr>
    </w:lvl>
    <w:lvl w:ilvl="3" w:tplc="5FFE00FE">
      <w:start w:val="1"/>
      <w:numFmt w:val="bullet"/>
      <w:lvlText w:val=""/>
      <w:lvlJc w:val="left"/>
      <w:pPr>
        <w:ind w:left="2880" w:hanging="360"/>
      </w:pPr>
      <w:rPr>
        <w:rFonts w:ascii="Symbol" w:hAnsi="Symbol" w:hint="default"/>
      </w:rPr>
    </w:lvl>
    <w:lvl w:ilvl="4" w:tplc="4F642C58">
      <w:start w:val="1"/>
      <w:numFmt w:val="bullet"/>
      <w:lvlText w:val="o"/>
      <w:lvlJc w:val="left"/>
      <w:pPr>
        <w:ind w:left="3600" w:hanging="360"/>
      </w:pPr>
      <w:rPr>
        <w:rFonts w:ascii="Courier New" w:hAnsi="Courier New" w:hint="default"/>
      </w:rPr>
    </w:lvl>
    <w:lvl w:ilvl="5" w:tplc="72DE34F2">
      <w:start w:val="1"/>
      <w:numFmt w:val="bullet"/>
      <w:lvlText w:val=""/>
      <w:lvlJc w:val="left"/>
      <w:pPr>
        <w:ind w:left="4320" w:hanging="360"/>
      </w:pPr>
      <w:rPr>
        <w:rFonts w:ascii="Wingdings" w:hAnsi="Wingdings" w:hint="default"/>
      </w:rPr>
    </w:lvl>
    <w:lvl w:ilvl="6" w:tplc="A94C4C8E">
      <w:start w:val="1"/>
      <w:numFmt w:val="bullet"/>
      <w:lvlText w:val=""/>
      <w:lvlJc w:val="left"/>
      <w:pPr>
        <w:ind w:left="5040" w:hanging="360"/>
      </w:pPr>
      <w:rPr>
        <w:rFonts w:ascii="Symbol" w:hAnsi="Symbol" w:hint="default"/>
      </w:rPr>
    </w:lvl>
    <w:lvl w:ilvl="7" w:tplc="69EAB81C">
      <w:start w:val="1"/>
      <w:numFmt w:val="bullet"/>
      <w:lvlText w:val="o"/>
      <w:lvlJc w:val="left"/>
      <w:pPr>
        <w:ind w:left="5760" w:hanging="360"/>
      </w:pPr>
      <w:rPr>
        <w:rFonts w:ascii="Courier New" w:hAnsi="Courier New" w:hint="default"/>
      </w:rPr>
    </w:lvl>
    <w:lvl w:ilvl="8" w:tplc="A2A4D6E2">
      <w:start w:val="1"/>
      <w:numFmt w:val="bullet"/>
      <w:lvlText w:val=""/>
      <w:lvlJc w:val="left"/>
      <w:pPr>
        <w:ind w:left="6480" w:hanging="360"/>
      </w:pPr>
      <w:rPr>
        <w:rFonts w:ascii="Wingdings" w:hAnsi="Wingdings" w:hint="default"/>
      </w:rPr>
    </w:lvl>
  </w:abstractNum>
  <w:abstractNum w:abstractNumId="5" w15:restartNumberingAfterBreak="0">
    <w:nsid w:val="1D9A41DA"/>
    <w:multiLevelType w:val="hybridMultilevel"/>
    <w:tmpl w:val="FBC080F2"/>
    <w:lvl w:ilvl="0" w:tplc="5BB22492">
      <w:start w:val="1"/>
      <w:numFmt w:val="bullet"/>
      <w:lvlText w:val="·"/>
      <w:lvlJc w:val="left"/>
      <w:pPr>
        <w:ind w:left="720" w:hanging="360"/>
      </w:pPr>
      <w:rPr>
        <w:rFonts w:ascii="Symbol" w:hAnsi="Symbol" w:hint="default"/>
      </w:rPr>
    </w:lvl>
    <w:lvl w:ilvl="1" w:tplc="5934BA08">
      <w:start w:val="1"/>
      <w:numFmt w:val="bullet"/>
      <w:lvlText w:val="o"/>
      <w:lvlJc w:val="left"/>
      <w:pPr>
        <w:ind w:left="1440" w:hanging="360"/>
      </w:pPr>
      <w:rPr>
        <w:rFonts w:ascii="Courier New" w:hAnsi="Courier New" w:hint="default"/>
      </w:rPr>
    </w:lvl>
    <w:lvl w:ilvl="2" w:tplc="3F98F93E">
      <w:start w:val="1"/>
      <w:numFmt w:val="bullet"/>
      <w:lvlText w:val=""/>
      <w:lvlJc w:val="left"/>
      <w:pPr>
        <w:ind w:left="2160" w:hanging="360"/>
      </w:pPr>
      <w:rPr>
        <w:rFonts w:ascii="Wingdings" w:hAnsi="Wingdings" w:hint="default"/>
      </w:rPr>
    </w:lvl>
    <w:lvl w:ilvl="3" w:tplc="5888CFC6">
      <w:start w:val="1"/>
      <w:numFmt w:val="bullet"/>
      <w:lvlText w:val=""/>
      <w:lvlJc w:val="left"/>
      <w:pPr>
        <w:ind w:left="2880" w:hanging="360"/>
      </w:pPr>
      <w:rPr>
        <w:rFonts w:ascii="Symbol" w:hAnsi="Symbol" w:hint="default"/>
      </w:rPr>
    </w:lvl>
    <w:lvl w:ilvl="4" w:tplc="8D381650">
      <w:start w:val="1"/>
      <w:numFmt w:val="bullet"/>
      <w:lvlText w:val="o"/>
      <w:lvlJc w:val="left"/>
      <w:pPr>
        <w:ind w:left="3600" w:hanging="360"/>
      </w:pPr>
      <w:rPr>
        <w:rFonts w:ascii="Courier New" w:hAnsi="Courier New" w:hint="default"/>
      </w:rPr>
    </w:lvl>
    <w:lvl w:ilvl="5" w:tplc="7F8A450E">
      <w:start w:val="1"/>
      <w:numFmt w:val="bullet"/>
      <w:lvlText w:val=""/>
      <w:lvlJc w:val="left"/>
      <w:pPr>
        <w:ind w:left="4320" w:hanging="360"/>
      </w:pPr>
      <w:rPr>
        <w:rFonts w:ascii="Wingdings" w:hAnsi="Wingdings" w:hint="default"/>
      </w:rPr>
    </w:lvl>
    <w:lvl w:ilvl="6" w:tplc="7FCE6604">
      <w:start w:val="1"/>
      <w:numFmt w:val="bullet"/>
      <w:lvlText w:val=""/>
      <w:lvlJc w:val="left"/>
      <w:pPr>
        <w:ind w:left="5040" w:hanging="360"/>
      </w:pPr>
      <w:rPr>
        <w:rFonts w:ascii="Symbol" w:hAnsi="Symbol" w:hint="default"/>
      </w:rPr>
    </w:lvl>
    <w:lvl w:ilvl="7" w:tplc="0B729054">
      <w:start w:val="1"/>
      <w:numFmt w:val="bullet"/>
      <w:lvlText w:val="o"/>
      <w:lvlJc w:val="left"/>
      <w:pPr>
        <w:ind w:left="5760" w:hanging="360"/>
      </w:pPr>
      <w:rPr>
        <w:rFonts w:ascii="Courier New" w:hAnsi="Courier New" w:hint="default"/>
      </w:rPr>
    </w:lvl>
    <w:lvl w:ilvl="8" w:tplc="899EDBA4">
      <w:start w:val="1"/>
      <w:numFmt w:val="bullet"/>
      <w:lvlText w:val=""/>
      <w:lvlJc w:val="left"/>
      <w:pPr>
        <w:ind w:left="6480" w:hanging="360"/>
      </w:pPr>
      <w:rPr>
        <w:rFonts w:ascii="Wingdings" w:hAnsi="Wingdings" w:hint="default"/>
      </w:rPr>
    </w:lvl>
  </w:abstractNum>
  <w:abstractNum w:abstractNumId="6" w15:restartNumberingAfterBreak="0">
    <w:nsid w:val="20B91C31"/>
    <w:multiLevelType w:val="hybridMultilevel"/>
    <w:tmpl w:val="516E68E8"/>
    <w:lvl w:ilvl="0" w:tplc="2C38E318">
      <w:start w:val="1"/>
      <w:numFmt w:val="bullet"/>
      <w:lvlText w:val="·"/>
      <w:lvlJc w:val="left"/>
      <w:pPr>
        <w:ind w:left="720" w:hanging="360"/>
      </w:pPr>
      <w:rPr>
        <w:rFonts w:ascii="Symbol" w:hAnsi="Symbol" w:hint="default"/>
      </w:rPr>
    </w:lvl>
    <w:lvl w:ilvl="1" w:tplc="D234B1C4">
      <w:start w:val="1"/>
      <w:numFmt w:val="bullet"/>
      <w:lvlText w:val="o"/>
      <w:lvlJc w:val="left"/>
      <w:pPr>
        <w:ind w:left="1440" w:hanging="360"/>
      </w:pPr>
      <w:rPr>
        <w:rFonts w:ascii="Courier New" w:hAnsi="Courier New" w:hint="default"/>
      </w:rPr>
    </w:lvl>
    <w:lvl w:ilvl="2" w:tplc="6038A58E">
      <w:start w:val="1"/>
      <w:numFmt w:val="bullet"/>
      <w:lvlText w:val=""/>
      <w:lvlJc w:val="left"/>
      <w:pPr>
        <w:ind w:left="2160" w:hanging="360"/>
      </w:pPr>
      <w:rPr>
        <w:rFonts w:ascii="Wingdings" w:hAnsi="Wingdings" w:hint="default"/>
      </w:rPr>
    </w:lvl>
    <w:lvl w:ilvl="3" w:tplc="A0AA3ED2">
      <w:start w:val="1"/>
      <w:numFmt w:val="bullet"/>
      <w:lvlText w:val=""/>
      <w:lvlJc w:val="left"/>
      <w:pPr>
        <w:ind w:left="2880" w:hanging="360"/>
      </w:pPr>
      <w:rPr>
        <w:rFonts w:ascii="Symbol" w:hAnsi="Symbol" w:hint="default"/>
      </w:rPr>
    </w:lvl>
    <w:lvl w:ilvl="4" w:tplc="5E8EF848">
      <w:start w:val="1"/>
      <w:numFmt w:val="bullet"/>
      <w:lvlText w:val="o"/>
      <w:lvlJc w:val="left"/>
      <w:pPr>
        <w:ind w:left="3600" w:hanging="360"/>
      </w:pPr>
      <w:rPr>
        <w:rFonts w:ascii="Courier New" w:hAnsi="Courier New" w:hint="default"/>
      </w:rPr>
    </w:lvl>
    <w:lvl w:ilvl="5" w:tplc="A91ABC2A">
      <w:start w:val="1"/>
      <w:numFmt w:val="bullet"/>
      <w:lvlText w:val=""/>
      <w:lvlJc w:val="left"/>
      <w:pPr>
        <w:ind w:left="4320" w:hanging="360"/>
      </w:pPr>
      <w:rPr>
        <w:rFonts w:ascii="Wingdings" w:hAnsi="Wingdings" w:hint="default"/>
      </w:rPr>
    </w:lvl>
    <w:lvl w:ilvl="6" w:tplc="3C24B7C4">
      <w:start w:val="1"/>
      <w:numFmt w:val="bullet"/>
      <w:lvlText w:val=""/>
      <w:lvlJc w:val="left"/>
      <w:pPr>
        <w:ind w:left="5040" w:hanging="360"/>
      </w:pPr>
      <w:rPr>
        <w:rFonts w:ascii="Symbol" w:hAnsi="Symbol" w:hint="default"/>
      </w:rPr>
    </w:lvl>
    <w:lvl w:ilvl="7" w:tplc="4E8EEC4A">
      <w:start w:val="1"/>
      <w:numFmt w:val="bullet"/>
      <w:lvlText w:val="o"/>
      <w:lvlJc w:val="left"/>
      <w:pPr>
        <w:ind w:left="5760" w:hanging="360"/>
      </w:pPr>
      <w:rPr>
        <w:rFonts w:ascii="Courier New" w:hAnsi="Courier New" w:hint="default"/>
      </w:rPr>
    </w:lvl>
    <w:lvl w:ilvl="8" w:tplc="8BAE1610">
      <w:start w:val="1"/>
      <w:numFmt w:val="bullet"/>
      <w:lvlText w:val=""/>
      <w:lvlJc w:val="left"/>
      <w:pPr>
        <w:ind w:left="6480" w:hanging="360"/>
      </w:pPr>
      <w:rPr>
        <w:rFonts w:ascii="Wingdings" w:hAnsi="Wingdings" w:hint="default"/>
      </w:rPr>
    </w:lvl>
  </w:abstractNum>
  <w:abstractNum w:abstractNumId="7" w15:restartNumberingAfterBreak="0">
    <w:nsid w:val="2BDF5409"/>
    <w:multiLevelType w:val="hybridMultilevel"/>
    <w:tmpl w:val="3BF21524"/>
    <w:lvl w:ilvl="0" w:tplc="D6F2B63A">
      <w:start w:val="1"/>
      <w:numFmt w:val="bullet"/>
      <w:lvlText w:val=""/>
      <w:lvlJc w:val="left"/>
      <w:pPr>
        <w:tabs>
          <w:tab w:val="num" w:pos="720"/>
        </w:tabs>
        <w:ind w:left="720" w:hanging="360"/>
      </w:pPr>
      <w:rPr>
        <w:rFonts w:ascii="Symbol" w:hAnsi="Symbol" w:hint="default"/>
        <w:sz w:val="20"/>
      </w:rPr>
    </w:lvl>
    <w:lvl w:ilvl="1" w:tplc="42DC466E" w:tentative="1">
      <w:start w:val="1"/>
      <w:numFmt w:val="bullet"/>
      <w:lvlText w:val=""/>
      <w:lvlJc w:val="left"/>
      <w:pPr>
        <w:tabs>
          <w:tab w:val="num" w:pos="1440"/>
        </w:tabs>
        <w:ind w:left="1440" w:hanging="360"/>
      </w:pPr>
      <w:rPr>
        <w:rFonts w:ascii="Symbol" w:hAnsi="Symbol" w:hint="default"/>
        <w:sz w:val="20"/>
      </w:rPr>
    </w:lvl>
    <w:lvl w:ilvl="2" w:tplc="6A768C96" w:tentative="1">
      <w:start w:val="1"/>
      <w:numFmt w:val="bullet"/>
      <w:lvlText w:val=""/>
      <w:lvlJc w:val="left"/>
      <w:pPr>
        <w:tabs>
          <w:tab w:val="num" w:pos="2160"/>
        </w:tabs>
        <w:ind w:left="2160" w:hanging="360"/>
      </w:pPr>
      <w:rPr>
        <w:rFonts w:ascii="Symbol" w:hAnsi="Symbol" w:hint="default"/>
        <w:sz w:val="20"/>
      </w:rPr>
    </w:lvl>
    <w:lvl w:ilvl="3" w:tplc="F52AF2F8" w:tentative="1">
      <w:start w:val="1"/>
      <w:numFmt w:val="bullet"/>
      <w:lvlText w:val=""/>
      <w:lvlJc w:val="left"/>
      <w:pPr>
        <w:tabs>
          <w:tab w:val="num" w:pos="2880"/>
        </w:tabs>
        <w:ind w:left="2880" w:hanging="360"/>
      </w:pPr>
      <w:rPr>
        <w:rFonts w:ascii="Symbol" w:hAnsi="Symbol" w:hint="default"/>
        <w:sz w:val="20"/>
      </w:rPr>
    </w:lvl>
    <w:lvl w:ilvl="4" w:tplc="C76AAA92" w:tentative="1">
      <w:start w:val="1"/>
      <w:numFmt w:val="bullet"/>
      <w:lvlText w:val=""/>
      <w:lvlJc w:val="left"/>
      <w:pPr>
        <w:tabs>
          <w:tab w:val="num" w:pos="3600"/>
        </w:tabs>
        <w:ind w:left="3600" w:hanging="360"/>
      </w:pPr>
      <w:rPr>
        <w:rFonts w:ascii="Symbol" w:hAnsi="Symbol" w:hint="default"/>
        <w:sz w:val="20"/>
      </w:rPr>
    </w:lvl>
    <w:lvl w:ilvl="5" w:tplc="3A183E22" w:tentative="1">
      <w:start w:val="1"/>
      <w:numFmt w:val="bullet"/>
      <w:lvlText w:val=""/>
      <w:lvlJc w:val="left"/>
      <w:pPr>
        <w:tabs>
          <w:tab w:val="num" w:pos="4320"/>
        </w:tabs>
        <w:ind w:left="4320" w:hanging="360"/>
      </w:pPr>
      <w:rPr>
        <w:rFonts w:ascii="Symbol" w:hAnsi="Symbol" w:hint="default"/>
        <w:sz w:val="20"/>
      </w:rPr>
    </w:lvl>
    <w:lvl w:ilvl="6" w:tplc="FDA2BE0C" w:tentative="1">
      <w:start w:val="1"/>
      <w:numFmt w:val="bullet"/>
      <w:lvlText w:val=""/>
      <w:lvlJc w:val="left"/>
      <w:pPr>
        <w:tabs>
          <w:tab w:val="num" w:pos="5040"/>
        </w:tabs>
        <w:ind w:left="5040" w:hanging="360"/>
      </w:pPr>
      <w:rPr>
        <w:rFonts w:ascii="Symbol" w:hAnsi="Symbol" w:hint="default"/>
        <w:sz w:val="20"/>
      </w:rPr>
    </w:lvl>
    <w:lvl w:ilvl="7" w:tplc="6B062738" w:tentative="1">
      <w:start w:val="1"/>
      <w:numFmt w:val="bullet"/>
      <w:lvlText w:val=""/>
      <w:lvlJc w:val="left"/>
      <w:pPr>
        <w:tabs>
          <w:tab w:val="num" w:pos="5760"/>
        </w:tabs>
        <w:ind w:left="5760" w:hanging="360"/>
      </w:pPr>
      <w:rPr>
        <w:rFonts w:ascii="Symbol" w:hAnsi="Symbol" w:hint="default"/>
        <w:sz w:val="20"/>
      </w:rPr>
    </w:lvl>
    <w:lvl w:ilvl="8" w:tplc="E94EF96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7D5340"/>
    <w:multiLevelType w:val="hybridMultilevel"/>
    <w:tmpl w:val="EE8E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C71489"/>
    <w:multiLevelType w:val="hybridMultilevel"/>
    <w:tmpl w:val="E912FBC6"/>
    <w:lvl w:ilvl="0" w:tplc="6308A448">
      <w:start w:val="1"/>
      <w:numFmt w:val="bullet"/>
      <w:lvlText w:val=""/>
      <w:lvlJc w:val="left"/>
      <w:pPr>
        <w:tabs>
          <w:tab w:val="num" w:pos="720"/>
        </w:tabs>
        <w:ind w:left="720" w:hanging="360"/>
      </w:pPr>
      <w:rPr>
        <w:rFonts w:ascii="Symbol" w:hAnsi="Symbol" w:hint="default"/>
        <w:sz w:val="20"/>
      </w:rPr>
    </w:lvl>
    <w:lvl w:ilvl="1" w:tplc="F994413C" w:tentative="1">
      <w:start w:val="1"/>
      <w:numFmt w:val="bullet"/>
      <w:lvlText w:val=""/>
      <w:lvlJc w:val="left"/>
      <w:pPr>
        <w:tabs>
          <w:tab w:val="num" w:pos="1440"/>
        </w:tabs>
        <w:ind w:left="1440" w:hanging="360"/>
      </w:pPr>
      <w:rPr>
        <w:rFonts w:ascii="Symbol" w:hAnsi="Symbol" w:hint="default"/>
        <w:sz w:val="20"/>
      </w:rPr>
    </w:lvl>
    <w:lvl w:ilvl="2" w:tplc="1A4C3CDA" w:tentative="1">
      <w:start w:val="1"/>
      <w:numFmt w:val="bullet"/>
      <w:lvlText w:val=""/>
      <w:lvlJc w:val="left"/>
      <w:pPr>
        <w:tabs>
          <w:tab w:val="num" w:pos="2160"/>
        </w:tabs>
        <w:ind w:left="2160" w:hanging="360"/>
      </w:pPr>
      <w:rPr>
        <w:rFonts w:ascii="Symbol" w:hAnsi="Symbol" w:hint="default"/>
        <w:sz w:val="20"/>
      </w:rPr>
    </w:lvl>
    <w:lvl w:ilvl="3" w:tplc="D60E84E4" w:tentative="1">
      <w:start w:val="1"/>
      <w:numFmt w:val="bullet"/>
      <w:lvlText w:val=""/>
      <w:lvlJc w:val="left"/>
      <w:pPr>
        <w:tabs>
          <w:tab w:val="num" w:pos="2880"/>
        </w:tabs>
        <w:ind w:left="2880" w:hanging="360"/>
      </w:pPr>
      <w:rPr>
        <w:rFonts w:ascii="Symbol" w:hAnsi="Symbol" w:hint="default"/>
        <w:sz w:val="20"/>
      </w:rPr>
    </w:lvl>
    <w:lvl w:ilvl="4" w:tplc="9A28983C" w:tentative="1">
      <w:start w:val="1"/>
      <w:numFmt w:val="bullet"/>
      <w:lvlText w:val=""/>
      <w:lvlJc w:val="left"/>
      <w:pPr>
        <w:tabs>
          <w:tab w:val="num" w:pos="3600"/>
        </w:tabs>
        <w:ind w:left="3600" w:hanging="360"/>
      </w:pPr>
      <w:rPr>
        <w:rFonts w:ascii="Symbol" w:hAnsi="Symbol" w:hint="default"/>
        <w:sz w:val="20"/>
      </w:rPr>
    </w:lvl>
    <w:lvl w:ilvl="5" w:tplc="B9986F16" w:tentative="1">
      <w:start w:val="1"/>
      <w:numFmt w:val="bullet"/>
      <w:lvlText w:val=""/>
      <w:lvlJc w:val="left"/>
      <w:pPr>
        <w:tabs>
          <w:tab w:val="num" w:pos="4320"/>
        </w:tabs>
        <w:ind w:left="4320" w:hanging="360"/>
      </w:pPr>
      <w:rPr>
        <w:rFonts w:ascii="Symbol" w:hAnsi="Symbol" w:hint="default"/>
        <w:sz w:val="20"/>
      </w:rPr>
    </w:lvl>
    <w:lvl w:ilvl="6" w:tplc="1FB24D82" w:tentative="1">
      <w:start w:val="1"/>
      <w:numFmt w:val="bullet"/>
      <w:lvlText w:val=""/>
      <w:lvlJc w:val="left"/>
      <w:pPr>
        <w:tabs>
          <w:tab w:val="num" w:pos="5040"/>
        </w:tabs>
        <w:ind w:left="5040" w:hanging="360"/>
      </w:pPr>
      <w:rPr>
        <w:rFonts w:ascii="Symbol" w:hAnsi="Symbol" w:hint="default"/>
        <w:sz w:val="20"/>
      </w:rPr>
    </w:lvl>
    <w:lvl w:ilvl="7" w:tplc="DF38099A" w:tentative="1">
      <w:start w:val="1"/>
      <w:numFmt w:val="bullet"/>
      <w:lvlText w:val=""/>
      <w:lvlJc w:val="left"/>
      <w:pPr>
        <w:tabs>
          <w:tab w:val="num" w:pos="5760"/>
        </w:tabs>
        <w:ind w:left="5760" w:hanging="360"/>
      </w:pPr>
      <w:rPr>
        <w:rFonts w:ascii="Symbol" w:hAnsi="Symbol" w:hint="default"/>
        <w:sz w:val="20"/>
      </w:rPr>
    </w:lvl>
    <w:lvl w:ilvl="8" w:tplc="B0EA876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5A572"/>
    <w:multiLevelType w:val="hybridMultilevel"/>
    <w:tmpl w:val="E7BCDC28"/>
    <w:lvl w:ilvl="0" w:tplc="A0429A5A">
      <w:start w:val="1"/>
      <w:numFmt w:val="bullet"/>
      <w:lvlText w:val="·"/>
      <w:lvlJc w:val="left"/>
      <w:pPr>
        <w:ind w:left="720" w:hanging="360"/>
      </w:pPr>
      <w:rPr>
        <w:rFonts w:ascii="Symbol" w:hAnsi="Symbol" w:hint="default"/>
      </w:rPr>
    </w:lvl>
    <w:lvl w:ilvl="1" w:tplc="F84048B6">
      <w:start w:val="1"/>
      <w:numFmt w:val="bullet"/>
      <w:lvlText w:val="o"/>
      <w:lvlJc w:val="left"/>
      <w:pPr>
        <w:ind w:left="1440" w:hanging="360"/>
      </w:pPr>
      <w:rPr>
        <w:rFonts w:ascii="Courier New" w:hAnsi="Courier New" w:hint="default"/>
      </w:rPr>
    </w:lvl>
    <w:lvl w:ilvl="2" w:tplc="EAD80EB4">
      <w:start w:val="1"/>
      <w:numFmt w:val="bullet"/>
      <w:lvlText w:val=""/>
      <w:lvlJc w:val="left"/>
      <w:pPr>
        <w:ind w:left="2160" w:hanging="360"/>
      </w:pPr>
      <w:rPr>
        <w:rFonts w:ascii="Wingdings" w:hAnsi="Wingdings" w:hint="default"/>
      </w:rPr>
    </w:lvl>
    <w:lvl w:ilvl="3" w:tplc="51FA4630">
      <w:start w:val="1"/>
      <w:numFmt w:val="bullet"/>
      <w:lvlText w:val=""/>
      <w:lvlJc w:val="left"/>
      <w:pPr>
        <w:ind w:left="2880" w:hanging="360"/>
      </w:pPr>
      <w:rPr>
        <w:rFonts w:ascii="Symbol" w:hAnsi="Symbol" w:hint="default"/>
      </w:rPr>
    </w:lvl>
    <w:lvl w:ilvl="4" w:tplc="FA16E7DA">
      <w:start w:val="1"/>
      <w:numFmt w:val="bullet"/>
      <w:lvlText w:val="o"/>
      <w:lvlJc w:val="left"/>
      <w:pPr>
        <w:ind w:left="3600" w:hanging="360"/>
      </w:pPr>
      <w:rPr>
        <w:rFonts w:ascii="Courier New" w:hAnsi="Courier New" w:hint="default"/>
      </w:rPr>
    </w:lvl>
    <w:lvl w:ilvl="5" w:tplc="58E6F828">
      <w:start w:val="1"/>
      <w:numFmt w:val="bullet"/>
      <w:lvlText w:val=""/>
      <w:lvlJc w:val="left"/>
      <w:pPr>
        <w:ind w:left="4320" w:hanging="360"/>
      </w:pPr>
      <w:rPr>
        <w:rFonts w:ascii="Wingdings" w:hAnsi="Wingdings" w:hint="default"/>
      </w:rPr>
    </w:lvl>
    <w:lvl w:ilvl="6" w:tplc="C13242D0">
      <w:start w:val="1"/>
      <w:numFmt w:val="bullet"/>
      <w:lvlText w:val=""/>
      <w:lvlJc w:val="left"/>
      <w:pPr>
        <w:ind w:left="5040" w:hanging="360"/>
      </w:pPr>
      <w:rPr>
        <w:rFonts w:ascii="Symbol" w:hAnsi="Symbol" w:hint="default"/>
      </w:rPr>
    </w:lvl>
    <w:lvl w:ilvl="7" w:tplc="9BA469D2">
      <w:start w:val="1"/>
      <w:numFmt w:val="bullet"/>
      <w:lvlText w:val="o"/>
      <w:lvlJc w:val="left"/>
      <w:pPr>
        <w:ind w:left="5760" w:hanging="360"/>
      </w:pPr>
      <w:rPr>
        <w:rFonts w:ascii="Courier New" w:hAnsi="Courier New" w:hint="default"/>
      </w:rPr>
    </w:lvl>
    <w:lvl w:ilvl="8" w:tplc="0BECB1CE">
      <w:start w:val="1"/>
      <w:numFmt w:val="bullet"/>
      <w:lvlText w:val=""/>
      <w:lvlJc w:val="left"/>
      <w:pPr>
        <w:ind w:left="6480" w:hanging="360"/>
      </w:pPr>
      <w:rPr>
        <w:rFonts w:ascii="Wingdings" w:hAnsi="Wingdings" w:hint="default"/>
      </w:rPr>
    </w:lvl>
  </w:abstractNum>
  <w:abstractNum w:abstractNumId="11" w15:restartNumberingAfterBreak="0">
    <w:nsid w:val="3FBD59A3"/>
    <w:multiLevelType w:val="hybridMultilevel"/>
    <w:tmpl w:val="5C0A4E90"/>
    <w:lvl w:ilvl="0" w:tplc="64C41494">
      <w:start w:val="1"/>
      <w:numFmt w:val="bullet"/>
      <w:lvlText w:val="·"/>
      <w:lvlJc w:val="left"/>
      <w:pPr>
        <w:ind w:left="720" w:hanging="360"/>
      </w:pPr>
      <w:rPr>
        <w:rFonts w:ascii="Symbol" w:hAnsi="Symbol" w:hint="default"/>
      </w:rPr>
    </w:lvl>
    <w:lvl w:ilvl="1" w:tplc="E3CED6D6">
      <w:start w:val="1"/>
      <w:numFmt w:val="bullet"/>
      <w:lvlText w:val="o"/>
      <w:lvlJc w:val="left"/>
      <w:pPr>
        <w:ind w:left="1440" w:hanging="360"/>
      </w:pPr>
      <w:rPr>
        <w:rFonts w:ascii="Courier New" w:hAnsi="Courier New" w:hint="default"/>
      </w:rPr>
    </w:lvl>
    <w:lvl w:ilvl="2" w:tplc="898C5868">
      <w:start w:val="1"/>
      <w:numFmt w:val="bullet"/>
      <w:lvlText w:val=""/>
      <w:lvlJc w:val="left"/>
      <w:pPr>
        <w:ind w:left="2160" w:hanging="360"/>
      </w:pPr>
      <w:rPr>
        <w:rFonts w:ascii="Wingdings" w:hAnsi="Wingdings" w:hint="default"/>
      </w:rPr>
    </w:lvl>
    <w:lvl w:ilvl="3" w:tplc="02C0EA22">
      <w:start w:val="1"/>
      <w:numFmt w:val="bullet"/>
      <w:lvlText w:val=""/>
      <w:lvlJc w:val="left"/>
      <w:pPr>
        <w:ind w:left="2880" w:hanging="360"/>
      </w:pPr>
      <w:rPr>
        <w:rFonts w:ascii="Symbol" w:hAnsi="Symbol" w:hint="default"/>
      </w:rPr>
    </w:lvl>
    <w:lvl w:ilvl="4" w:tplc="D4F69F5A">
      <w:start w:val="1"/>
      <w:numFmt w:val="bullet"/>
      <w:lvlText w:val="o"/>
      <w:lvlJc w:val="left"/>
      <w:pPr>
        <w:ind w:left="3600" w:hanging="360"/>
      </w:pPr>
      <w:rPr>
        <w:rFonts w:ascii="Courier New" w:hAnsi="Courier New" w:hint="default"/>
      </w:rPr>
    </w:lvl>
    <w:lvl w:ilvl="5" w:tplc="CBAE771C">
      <w:start w:val="1"/>
      <w:numFmt w:val="bullet"/>
      <w:lvlText w:val=""/>
      <w:lvlJc w:val="left"/>
      <w:pPr>
        <w:ind w:left="4320" w:hanging="360"/>
      </w:pPr>
      <w:rPr>
        <w:rFonts w:ascii="Wingdings" w:hAnsi="Wingdings" w:hint="default"/>
      </w:rPr>
    </w:lvl>
    <w:lvl w:ilvl="6" w:tplc="E6B0ACA4">
      <w:start w:val="1"/>
      <w:numFmt w:val="bullet"/>
      <w:lvlText w:val=""/>
      <w:lvlJc w:val="left"/>
      <w:pPr>
        <w:ind w:left="5040" w:hanging="360"/>
      </w:pPr>
      <w:rPr>
        <w:rFonts w:ascii="Symbol" w:hAnsi="Symbol" w:hint="default"/>
      </w:rPr>
    </w:lvl>
    <w:lvl w:ilvl="7" w:tplc="A98256B8">
      <w:start w:val="1"/>
      <w:numFmt w:val="bullet"/>
      <w:lvlText w:val="o"/>
      <w:lvlJc w:val="left"/>
      <w:pPr>
        <w:ind w:left="5760" w:hanging="360"/>
      </w:pPr>
      <w:rPr>
        <w:rFonts w:ascii="Courier New" w:hAnsi="Courier New" w:hint="default"/>
      </w:rPr>
    </w:lvl>
    <w:lvl w:ilvl="8" w:tplc="2556CF70">
      <w:start w:val="1"/>
      <w:numFmt w:val="bullet"/>
      <w:lvlText w:val=""/>
      <w:lvlJc w:val="left"/>
      <w:pPr>
        <w:ind w:left="6480" w:hanging="360"/>
      </w:pPr>
      <w:rPr>
        <w:rFonts w:ascii="Wingdings" w:hAnsi="Wingdings" w:hint="default"/>
      </w:rPr>
    </w:lvl>
  </w:abstractNum>
  <w:abstractNum w:abstractNumId="12" w15:restartNumberingAfterBreak="0">
    <w:nsid w:val="46817FD7"/>
    <w:multiLevelType w:val="hybridMultilevel"/>
    <w:tmpl w:val="56B28670"/>
    <w:lvl w:ilvl="0" w:tplc="C32C219A">
      <w:start w:val="1"/>
      <w:numFmt w:val="bullet"/>
      <w:lvlText w:val=""/>
      <w:lvlJc w:val="left"/>
      <w:pPr>
        <w:tabs>
          <w:tab w:val="num" w:pos="720"/>
        </w:tabs>
        <w:ind w:left="720" w:hanging="360"/>
      </w:pPr>
      <w:rPr>
        <w:rFonts w:ascii="Symbol" w:hAnsi="Symbol" w:hint="default"/>
        <w:sz w:val="20"/>
      </w:rPr>
    </w:lvl>
    <w:lvl w:ilvl="1" w:tplc="8F5C31A4" w:tentative="1">
      <w:start w:val="1"/>
      <w:numFmt w:val="bullet"/>
      <w:lvlText w:val=""/>
      <w:lvlJc w:val="left"/>
      <w:pPr>
        <w:tabs>
          <w:tab w:val="num" w:pos="1440"/>
        </w:tabs>
        <w:ind w:left="1440" w:hanging="360"/>
      </w:pPr>
      <w:rPr>
        <w:rFonts w:ascii="Symbol" w:hAnsi="Symbol" w:hint="default"/>
        <w:sz w:val="20"/>
      </w:rPr>
    </w:lvl>
    <w:lvl w:ilvl="2" w:tplc="D09EE60E" w:tentative="1">
      <w:start w:val="1"/>
      <w:numFmt w:val="bullet"/>
      <w:lvlText w:val=""/>
      <w:lvlJc w:val="left"/>
      <w:pPr>
        <w:tabs>
          <w:tab w:val="num" w:pos="2160"/>
        </w:tabs>
        <w:ind w:left="2160" w:hanging="360"/>
      </w:pPr>
      <w:rPr>
        <w:rFonts w:ascii="Symbol" w:hAnsi="Symbol" w:hint="default"/>
        <w:sz w:val="20"/>
      </w:rPr>
    </w:lvl>
    <w:lvl w:ilvl="3" w:tplc="37AE6F1A" w:tentative="1">
      <w:start w:val="1"/>
      <w:numFmt w:val="bullet"/>
      <w:lvlText w:val=""/>
      <w:lvlJc w:val="left"/>
      <w:pPr>
        <w:tabs>
          <w:tab w:val="num" w:pos="2880"/>
        </w:tabs>
        <w:ind w:left="2880" w:hanging="360"/>
      </w:pPr>
      <w:rPr>
        <w:rFonts w:ascii="Symbol" w:hAnsi="Symbol" w:hint="default"/>
        <w:sz w:val="20"/>
      </w:rPr>
    </w:lvl>
    <w:lvl w:ilvl="4" w:tplc="D3EC8BD8" w:tentative="1">
      <w:start w:val="1"/>
      <w:numFmt w:val="bullet"/>
      <w:lvlText w:val=""/>
      <w:lvlJc w:val="left"/>
      <w:pPr>
        <w:tabs>
          <w:tab w:val="num" w:pos="3600"/>
        </w:tabs>
        <w:ind w:left="3600" w:hanging="360"/>
      </w:pPr>
      <w:rPr>
        <w:rFonts w:ascii="Symbol" w:hAnsi="Symbol" w:hint="default"/>
        <w:sz w:val="20"/>
      </w:rPr>
    </w:lvl>
    <w:lvl w:ilvl="5" w:tplc="58A2BEE2" w:tentative="1">
      <w:start w:val="1"/>
      <w:numFmt w:val="bullet"/>
      <w:lvlText w:val=""/>
      <w:lvlJc w:val="left"/>
      <w:pPr>
        <w:tabs>
          <w:tab w:val="num" w:pos="4320"/>
        </w:tabs>
        <w:ind w:left="4320" w:hanging="360"/>
      </w:pPr>
      <w:rPr>
        <w:rFonts w:ascii="Symbol" w:hAnsi="Symbol" w:hint="default"/>
        <w:sz w:val="20"/>
      </w:rPr>
    </w:lvl>
    <w:lvl w:ilvl="6" w:tplc="8F4610D4" w:tentative="1">
      <w:start w:val="1"/>
      <w:numFmt w:val="bullet"/>
      <w:lvlText w:val=""/>
      <w:lvlJc w:val="left"/>
      <w:pPr>
        <w:tabs>
          <w:tab w:val="num" w:pos="5040"/>
        </w:tabs>
        <w:ind w:left="5040" w:hanging="360"/>
      </w:pPr>
      <w:rPr>
        <w:rFonts w:ascii="Symbol" w:hAnsi="Symbol" w:hint="default"/>
        <w:sz w:val="20"/>
      </w:rPr>
    </w:lvl>
    <w:lvl w:ilvl="7" w:tplc="E2A69EF6" w:tentative="1">
      <w:start w:val="1"/>
      <w:numFmt w:val="bullet"/>
      <w:lvlText w:val=""/>
      <w:lvlJc w:val="left"/>
      <w:pPr>
        <w:tabs>
          <w:tab w:val="num" w:pos="5760"/>
        </w:tabs>
        <w:ind w:left="5760" w:hanging="360"/>
      </w:pPr>
      <w:rPr>
        <w:rFonts w:ascii="Symbol" w:hAnsi="Symbol" w:hint="default"/>
        <w:sz w:val="20"/>
      </w:rPr>
    </w:lvl>
    <w:lvl w:ilvl="8" w:tplc="DD6AEC1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C5CBC"/>
    <w:multiLevelType w:val="hybridMultilevel"/>
    <w:tmpl w:val="C23063A6"/>
    <w:lvl w:ilvl="0" w:tplc="E9C4ACFC">
      <w:start w:val="1"/>
      <w:numFmt w:val="bullet"/>
      <w:lvlText w:val=""/>
      <w:lvlJc w:val="left"/>
      <w:pPr>
        <w:tabs>
          <w:tab w:val="num" w:pos="720"/>
        </w:tabs>
        <w:ind w:left="720" w:hanging="360"/>
      </w:pPr>
      <w:rPr>
        <w:rFonts w:ascii="Symbol" w:hAnsi="Symbol" w:hint="default"/>
        <w:sz w:val="20"/>
      </w:rPr>
    </w:lvl>
    <w:lvl w:ilvl="1" w:tplc="BBAAF74A" w:tentative="1">
      <w:start w:val="1"/>
      <w:numFmt w:val="bullet"/>
      <w:lvlText w:val=""/>
      <w:lvlJc w:val="left"/>
      <w:pPr>
        <w:tabs>
          <w:tab w:val="num" w:pos="1440"/>
        </w:tabs>
        <w:ind w:left="1440" w:hanging="360"/>
      </w:pPr>
      <w:rPr>
        <w:rFonts w:ascii="Symbol" w:hAnsi="Symbol" w:hint="default"/>
        <w:sz w:val="20"/>
      </w:rPr>
    </w:lvl>
    <w:lvl w:ilvl="2" w:tplc="8E80546C" w:tentative="1">
      <w:start w:val="1"/>
      <w:numFmt w:val="bullet"/>
      <w:lvlText w:val=""/>
      <w:lvlJc w:val="left"/>
      <w:pPr>
        <w:tabs>
          <w:tab w:val="num" w:pos="2160"/>
        </w:tabs>
        <w:ind w:left="2160" w:hanging="360"/>
      </w:pPr>
      <w:rPr>
        <w:rFonts w:ascii="Symbol" w:hAnsi="Symbol" w:hint="default"/>
        <w:sz w:val="20"/>
      </w:rPr>
    </w:lvl>
    <w:lvl w:ilvl="3" w:tplc="1B9A3CA2" w:tentative="1">
      <w:start w:val="1"/>
      <w:numFmt w:val="bullet"/>
      <w:lvlText w:val=""/>
      <w:lvlJc w:val="left"/>
      <w:pPr>
        <w:tabs>
          <w:tab w:val="num" w:pos="2880"/>
        </w:tabs>
        <w:ind w:left="2880" w:hanging="360"/>
      </w:pPr>
      <w:rPr>
        <w:rFonts w:ascii="Symbol" w:hAnsi="Symbol" w:hint="default"/>
        <w:sz w:val="20"/>
      </w:rPr>
    </w:lvl>
    <w:lvl w:ilvl="4" w:tplc="9FE6D06A" w:tentative="1">
      <w:start w:val="1"/>
      <w:numFmt w:val="bullet"/>
      <w:lvlText w:val=""/>
      <w:lvlJc w:val="left"/>
      <w:pPr>
        <w:tabs>
          <w:tab w:val="num" w:pos="3600"/>
        </w:tabs>
        <w:ind w:left="3600" w:hanging="360"/>
      </w:pPr>
      <w:rPr>
        <w:rFonts w:ascii="Symbol" w:hAnsi="Symbol" w:hint="default"/>
        <w:sz w:val="20"/>
      </w:rPr>
    </w:lvl>
    <w:lvl w:ilvl="5" w:tplc="F3EC58F4" w:tentative="1">
      <w:start w:val="1"/>
      <w:numFmt w:val="bullet"/>
      <w:lvlText w:val=""/>
      <w:lvlJc w:val="left"/>
      <w:pPr>
        <w:tabs>
          <w:tab w:val="num" w:pos="4320"/>
        </w:tabs>
        <w:ind w:left="4320" w:hanging="360"/>
      </w:pPr>
      <w:rPr>
        <w:rFonts w:ascii="Symbol" w:hAnsi="Symbol" w:hint="default"/>
        <w:sz w:val="20"/>
      </w:rPr>
    </w:lvl>
    <w:lvl w:ilvl="6" w:tplc="0FBE7290" w:tentative="1">
      <w:start w:val="1"/>
      <w:numFmt w:val="bullet"/>
      <w:lvlText w:val=""/>
      <w:lvlJc w:val="left"/>
      <w:pPr>
        <w:tabs>
          <w:tab w:val="num" w:pos="5040"/>
        </w:tabs>
        <w:ind w:left="5040" w:hanging="360"/>
      </w:pPr>
      <w:rPr>
        <w:rFonts w:ascii="Symbol" w:hAnsi="Symbol" w:hint="default"/>
        <w:sz w:val="20"/>
      </w:rPr>
    </w:lvl>
    <w:lvl w:ilvl="7" w:tplc="8F3C67E0" w:tentative="1">
      <w:start w:val="1"/>
      <w:numFmt w:val="bullet"/>
      <w:lvlText w:val=""/>
      <w:lvlJc w:val="left"/>
      <w:pPr>
        <w:tabs>
          <w:tab w:val="num" w:pos="5760"/>
        </w:tabs>
        <w:ind w:left="5760" w:hanging="360"/>
      </w:pPr>
      <w:rPr>
        <w:rFonts w:ascii="Symbol" w:hAnsi="Symbol" w:hint="default"/>
        <w:sz w:val="20"/>
      </w:rPr>
    </w:lvl>
    <w:lvl w:ilvl="8" w:tplc="689A6B9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E470C"/>
    <w:multiLevelType w:val="hybridMultilevel"/>
    <w:tmpl w:val="977C1E2A"/>
    <w:lvl w:ilvl="0" w:tplc="3BFA6EB0">
      <w:start w:val="1"/>
      <w:numFmt w:val="bullet"/>
      <w:lvlText w:val=""/>
      <w:lvlJc w:val="left"/>
      <w:pPr>
        <w:tabs>
          <w:tab w:val="num" w:pos="720"/>
        </w:tabs>
        <w:ind w:left="720" w:hanging="360"/>
      </w:pPr>
      <w:rPr>
        <w:rFonts w:ascii="Symbol" w:hAnsi="Symbol" w:hint="default"/>
        <w:sz w:val="20"/>
      </w:rPr>
    </w:lvl>
    <w:lvl w:ilvl="1" w:tplc="E0E8C492" w:tentative="1">
      <w:start w:val="1"/>
      <w:numFmt w:val="bullet"/>
      <w:lvlText w:val=""/>
      <w:lvlJc w:val="left"/>
      <w:pPr>
        <w:tabs>
          <w:tab w:val="num" w:pos="1440"/>
        </w:tabs>
        <w:ind w:left="1440" w:hanging="360"/>
      </w:pPr>
      <w:rPr>
        <w:rFonts w:ascii="Symbol" w:hAnsi="Symbol" w:hint="default"/>
        <w:sz w:val="20"/>
      </w:rPr>
    </w:lvl>
    <w:lvl w:ilvl="2" w:tplc="D062E9BE" w:tentative="1">
      <w:start w:val="1"/>
      <w:numFmt w:val="bullet"/>
      <w:lvlText w:val=""/>
      <w:lvlJc w:val="left"/>
      <w:pPr>
        <w:tabs>
          <w:tab w:val="num" w:pos="2160"/>
        </w:tabs>
        <w:ind w:left="2160" w:hanging="360"/>
      </w:pPr>
      <w:rPr>
        <w:rFonts w:ascii="Symbol" w:hAnsi="Symbol" w:hint="default"/>
        <w:sz w:val="20"/>
      </w:rPr>
    </w:lvl>
    <w:lvl w:ilvl="3" w:tplc="D2E09234" w:tentative="1">
      <w:start w:val="1"/>
      <w:numFmt w:val="bullet"/>
      <w:lvlText w:val=""/>
      <w:lvlJc w:val="left"/>
      <w:pPr>
        <w:tabs>
          <w:tab w:val="num" w:pos="2880"/>
        </w:tabs>
        <w:ind w:left="2880" w:hanging="360"/>
      </w:pPr>
      <w:rPr>
        <w:rFonts w:ascii="Symbol" w:hAnsi="Symbol" w:hint="default"/>
        <w:sz w:val="20"/>
      </w:rPr>
    </w:lvl>
    <w:lvl w:ilvl="4" w:tplc="77E0374E" w:tentative="1">
      <w:start w:val="1"/>
      <w:numFmt w:val="bullet"/>
      <w:lvlText w:val=""/>
      <w:lvlJc w:val="left"/>
      <w:pPr>
        <w:tabs>
          <w:tab w:val="num" w:pos="3600"/>
        </w:tabs>
        <w:ind w:left="3600" w:hanging="360"/>
      </w:pPr>
      <w:rPr>
        <w:rFonts w:ascii="Symbol" w:hAnsi="Symbol" w:hint="default"/>
        <w:sz w:val="20"/>
      </w:rPr>
    </w:lvl>
    <w:lvl w:ilvl="5" w:tplc="0FACB40C" w:tentative="1">
      <w:start w:val="1"/>
      <w:numFmt w:val="bullet"/>
      <w:lvlText w:val=""/>
      <w:lvlJc w:val="left"/>
      <w:pPr>
        <w:tabs>
          <w:tab w:val="num" w:pos="4320"/>
        </w:tabs>
        <w:ind w:left="4320" w:hanging="360"/>
      </w:pPr>
      <w:rPr>
        <w:rFonts w:ascii="Symbol" w:hAnsi="Symbol" w:hint="default"/>
        <w:sz w:val="20"/>
      </w:rPr>
    </w:lvl>
    <w:lvl w:ilvl="6" w:tplc="A09269AA" w:tentative="1">
      <w:start w:val="1"/>
      <w:numFmt w:val="bullet"/>
      <w:lvlText w:val=""/>
      <w:lvlJc w:val="left"/>
      <w:pPr>
        <w:tabs>
          <w:tab w:val="num" w:pos="5040"/>
        </w:tabs>
        <w:ind w:left="5040" w:hanging="360"/>
      </w:pPr>
      <w:rPr>
        <w:rFonts w:ascii="Symbol" w:hAnsi="Symbol" w:hint="default"/>
        <w:sz w:val="20"/>
      </w:rPr>
    </w:lvl>
    <w:lvl w:ilvl="7" w:tplc="401C0372" w:tentative="1">
      <w:start w:val="1"/>
      <w:numFmt w:val="bullet"/>
      <w:lvlText w:val=""/>
      <w:lvlJc w:val="left"/>
      <w:pPr>
        <w:tabs>
          <w:tab w:val="num" w:pos="5760"/>
        </w:tabs>
        <w:ind w:left="5760" w:hanging="360"/>
      </w:pPr>
      <w:rPr>
        <w:rFonts w:ascii="Symbol" w:hAnsi="Symbol" w:hint="default"/>
        <w:sz w:val="20"/>
      </w:rPr>
    </w:lvl>
    <w:lvl w:ilvl="8" w:tplc="99FE14E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81F77"/>
    <w:multiLevelType w:val="hybridMultilevel"/>
    <w:tmpl w:val="8DBE553C"/>
    <w:lvl w:ilvl="0" w:tplc="3154D10E">
      <w:start w:val="1"/>
      <w:numFmt w:val="bullet"/>
      <w:lvlText w:val="·"/>
      <w:lvlJc w:val="left"/>
      <w:pPr>
        <w:ind w:left="720" w:hanging="360"/>
      </w:pPr>
      <w:rPr>
        <w:rFonts w:ascii="Symbol" w:hAnsi="Symbol" w:hint="default"/>
      </w:rPr>
    </w:lvl>
    <w:lvl w:ilvl="1" w:tplc="90185D28">
      <w:start w:val="1"/>
      <w:numFmt w:val="bullet"/>
      <w:lvlText w:val="o"/>
      <w:lvlJc w:val="left"/>
      <w:pPr>
        <w:ind w:left="1440" w:hanging="360"/>
      </w:pPr>
      <w:rPr>
        <w:rFonts w:ascii="Courier New" w:hAnsi="Courier New" w:hint="default"/>
      </w:rPr>
    </w:lvl>
    <w:lvl w:ilvl="2" w:tplc="1C0098CC">
      <w:start w:val="1"/>
      <w:numFmt w:val="bullet"/>
      <w:lvlText w:val=""/>
      <w:lvlJc w:val="left"/>
      <w:pPr>
        <w:ind w:left="2160" w:hanging="360"/>
      </w:pPr>
      <w:rPr>
        <w:rFonts w:ascii="Wingdings" w:hAnsi="Wingdings" w:hint="default"/>
      </w:rPr>
    </w:lvl>
    <w:lvl w:ilvl="3" w:tplc="782A3D82">
      <w:start w:val="1"/>
      <w:numFmt w:val="bullet"/>
      <w:lvlText w:val=""/>
      <w:lvlJc w:val="left"/>
      <w:pPr>
        <w:ind w:left="2880" w:hanging="360"/>
      </w:pPr>
      <w:rPr>
        <w:rFonts w:ascii="Symbol" w:hAnsi="Symbol" w:hint="default"/>
      </w:rPr>
    </w:lvl>
    <w:lvl w:ilvl="4" w:tplc="134C8C4A">
      <w:start w:val="1"/>
      <w:numFmt w:val="bullet"/>
      <w:lvlText w:val="o"/>
      <w:lvlJc w:val="left"/>
      <w:pPr>
        <w:ind w:left="3600" w:hanging="360"/>
      </w:pPr>
      <w:rPr>
        <w:rFonts w:ascii="Courier New" w:hAnsi="Courier New" w:hint="default"/>
      </w:rPr>
    </w:lvl>
    <w:lvl w:ilvl="5" w:tplc="7732234E">
      <w:start w:val="1"/>
      <w:numFmt w:val="bullet"/>
      <w:lvlText w:val=""/>
      <w:lvlJc w:val="left"/>
      <w:pPr>
        <w:ind w:left="4320" w:hanging="360"/>
      </w:pPr>
      <w:rPr>
        <w:rFonts w:ascii="Wingdings" w:hAnsi="Wingdings" w:hint="default"/>
      </w:rPr>
    </w:lvl>
    <w:lvl w:ilvl="6" w:tplc="E0CA6130">
      <w:start w:val="1"/>
      <w:numFmt w:val="bullet"/>
      <w:lvlText w:val=""/>
      <w:lvlJc w:val="left"/>
      <w:pPr>
        <w:ind w:left="5040" w:hanging="360"/>
      </w:pPr>
      <w:rPr>
        <w:rFonts w:ascii="Symbol" w:hAnsi="Symbol" w:hint="default"/>
      </w:rPr>
    </w:lvl>
    <w:lvl w:ilvl="7" w:tplc="EB7470C2">
      <w:start w:val="1"/>
      <w:numFmt w:val="bullet"/>
      <w:lvlText w:val="o"/>
      <w:lvlJc w:val="left"/>
      <w:pPr>
        <w:ind w:left="5760" w:hanging="360"/>
      </w:pPr>
      <w:rPr>
        <w:rFonts w:ascii="Courier New" w:hAnsi="Courier New" w:hint="default"/>
      </w:rPr>
    </w:lvl>
    <w:lvl w:ilvl="8" w:tplc="33A22C7A">
      <w:start w:val="1"/>
      <w:numFmt w:val="bullet"/>
      <w:lvlText w:val=""/>
      <w:lvlJc w:val="left"/>
      <w:pPr>
        <w:ind w:left="6480" w:hanging="360"/>
      </w:pPr>
      <w:rPr>
        <w:rFonts w:ascii="Wingdings" w:hAnsi="Wingdings" w:hint="default"/>
      </w:rPr>
    </w:lvl>
  </w:abstractNum>
  <w:abstractNum w:abstractNumId="16" w15:restartNumberingAfterBreak="0">
    <w:nsid w:val="51A7496C"/>
    <w:multiLevelType w:val="hybridMultilevel"/>
    <w:tmpl w:val="0EC637CA"/>
    <w:lvl w:ilvl="0" w:tplc="567C4B78">
      <w:start w:val="1"/>
      <w:numFmt w:val="bullet"/>
      <w:lvlText w:val=""/>
      <w:lvlJc w:val="left"/>
      <w:pPr>
        <w:tabs>
          <w:tab w:val="num" w:pos="720"/>
        </w:tabs>
        <w:ind w:left="720" w:hanging="360"/>
      </w:pPr>
      <w:rPr>
        <w:rFonts w:ascii="Symbol" w:hAnsi="Symbol" w:hint="default"/>
        <w:sz w:val="20"/>
      </w:rPr>
    </w:lvl>
    <w:lvl w:ilvl="1" w:tplc="D16A6C3E" w:tentative="1">
      <w:start w:val="1"/>
      <w:numFmt w:val="bullet"/>
      <w:lvlText w:val=""/>
      <w:lvlJc w:val="left"/>
      <w:pPr>
        <w:tabs>
          <w:tab w:val="num" w:pos="1440"/>
        </w:tabs>
        <w:ind w:left="1440" w:hanging="360"/>
      </w:pPr>
      <w:rPr>
        <w:rFonts w:ascii="Symbol" w:hAnsi="Symbol" w:hint="default"/>
        <w:sz w:val="20"/>
      </w:rPr>
    </w:lvl>
    <w:lvl w:ilvl="2" w:tplc="E19A5430" w:tentative="1">
      <w:start w:val="1"/>
      <w:numFmt w:val="bullet"/>
      <w:lvlText w:val=""/>
      <w:lvlJc w:val="left"/>
      <w:pPr>
        <w:tabs>
          <w:tab w:val="num" w:pos="2160"/>
        </w:tabs>
        <w:ind w:left="2160" w:hanging="360"/>
      </w:pPr>
      <w:rPr>
        <w:rFonts w:ascii="Symbol" w:hAnsi="Symbol" w:hint="default"/>
        <w:sz w:val="20"/>
      </w:rPr>
    </w:lvl>
    <w:lvl w:ilvl="3" w:tplc="114279D4" w:tentative="1">
      <w:start w:val="1"/>
      <w:numFmt w:val="bullet"/>
      <w:lvlText w:val=""/>
      <w:lvlJc w:val="left"/>
      <w:pPr>
        <w:tabs>
          <w:tab w:val="num" w:pos="2880"/>
        </w:tabs>
        <w:ind w:left="2880" w:hanging="360"/>
      </w:pPr>
      <w:rPr>
        <w:rFonts w:ascii="Symbol" w:hAnsi="Symbol" w:hint="default"/>
        <w:sz w:val="20"/>
      </w:rPr>
    </w:lvl>
    <w:lvl w:ilvl="4" w:tplc="32881BE6" w:tentative="1">
      <w:start w:val="1"/>
      <w:numFmt w:val="bullet"/>
      <w:lvlText w:val=""/>
      <w:lvlJc w:val="left"/>
      <w:pPr>
        <w:tabs>
          <w:tab w:val="num" w:pos="3600"/>
        </w:tabs>
        <w:ind w:left="3600" w:hanging="360"/>
      </w:pPr>
      <w:rPr>
        <w:rFonts w:ascii="Symbol" w:hAnsi="Symbol" w:hint="default"/>
        <w:sz w:val="20"/>
      </w:rPr>
    </w:lvl>
    <w:lvl w:ilvl="5" w:tplc="87A445D4" w:tentative="1">
      <w:start w:val="1"/>
      <w:numFmt w:val="bullet"/>
      <w:lvlText w:val=""/>
      <w:lvlJc w:val="left"/>
      <w:pPr>
        <w:tabs>
          <w:tab w:val="num" w:pos="4320"/>
        </w:tabs>
        <w:ind w:left="4320" w:hanging="360"/>
      </w:pPr>
      <w:rPr>
        <w:rFonts w:ascii="Symbol" w:hAnsi="Symbol" w:hint="default"/>
        <w:sz w:val="20"/>
      </w:rPr>
    </w:lvl>
    <w:lvl w:ilvl="6" w:tplc="24846658" w:tentative="1">
      <w:start w:val="1"/>
      <w:numFmt w:val="bullet"/>
      <w:lvlText w:val=""/>
      <w:lvlJc w:val="left"/>
      <w:pPr>
        <w:tabs>
          <w:tab w:val="num" w:pos="5040"/>
        </w:tabs>
        <w:ind w:left="5040" w:hanging="360"/>
      </w:pPr>
      <w:rPr>
        <w:rFonts w:ascii="Symbol" w:hAnsi="Symbol" w:hint="default"/>
        <w:sz w:val="20"/>
      </w:rPr>
    </w:lvl>
    <w:lvl w:ilvl="7" w:tplc="CED8C544" w:tentative="1">
      <w:start w:val="1"/>
      <w:numFmt w:val="bullet"/>
      <w:lvlText w:val=""/>
      <w:lvlJc w:val="left"/>
      <w:pPr>
        <w:tabs>
          <w:tab w:val="num" w:pos="5760"/>
        </w:tabs>
        <w:ind w:left="5760" w:hanging="360"/>
      </w:pPr>
      <w:rPr>
        <w:rFonts w:ascii="Symbol" w:hAnsi="Symbol" w:hint="default"/>
        <w:sz w:val="20"/>
      </w:rPr>
    </w:lvl>
    <w:lvl w:ilvl="8" w:tplc="7CC03B10"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75487"/>
    <w:multiLevelType w:val="hybridMultilevel"/>
    <w:tmpl w:val="1A7C88F8"/>
    <w:lvl w:ilvl="0" w:tplc="46385578">
      <w:start w:val="1"/>
      <w:numFmt w:val="bullet"/>
      <w:lvlText w:val=""/>
      <w:lvlJc w:val="left"/>
      <w:pPr>
        <w:tabs>
          <w:tab w:val="num" w:pos="720"/>
        </w:tabs>
        <w:ind w:left="720" w:hanging="360"/>
      </w:pPr>
      <w:rPr>
        <w:rFonts w:ascii="Symbol" w:hAnsi="Symbol" w:hint="default"/>
        <w:sz w:val="20"/>
      </w:rPr>
    </w:lvl>
    <w:lvl w:ilvl="1" w:tplc="34EA3EB0" w:tentative="1">
      <w:start w:val="1"/>
      <w:numFmt w:val="bullet"/>
      <w:lvlText w:val=""/>
      <w:lvlJc w:val="left"/>
      <w:pPr>
        <w:tabs>
          <w:tab w:val="num" w:pos="1440"/>
        </w:tabs>
        <w:ind w:left="1440" w:hanging="360"/>
      </w:pPr>
      <w:rPr>
        <w:rFonts w:ascii="Symbol" w:hAnsi="Symbol" w:hint="default"/>
        <w:sz w:val="20"/>
      </w:rPr>
    </w:lvl>
    <w:lvl w:ilvl="2" w:tplc="63FE5C0E" w:tentative="1">
      <w:start w:val="1"/>
      <w:numFmt w:val="bullet"/>
      <w:lvlText w:val=""/>
      <w:lvlJc w:val="left"/>
      <w:pPr>
        <w:tabs>
          <w:tab w:val="num" w:pos="2160"/>
        </w:tabs>
        <w:ind w:left="2160" w:hanging="360"/>
      </w:pPr>
      <w:rPr>
        <w:rFonts w:ascii="Symbol" w:hAnsi="Symbol" w:hint="default"/>
        <w:sz w:val="20"/>
      </w:rPr>
    </w:lvl>
    <w:lvl w:ilvl="3" w:tplc="FEC0BD4E" w:tentative="1">
      <w:start w:val="1"/>
      <w:numFmt w:val="bullet"/>
      <w:lvlText w:val=""/>
      <w:lvlJc w:val="left"/>
      <w:pPr>
        <w:tabs>
          <w:tab w:val="num" w:pos="2880"/>
        </w:tabs>
        <w:ind w:left="2880" w:hanging="360"/>
      </w:pPr>
      <w:rPr>
        <w:rFonts w:ascii="Symbol" w:hAnsi="Symbol" w:hint="default"/>
        <w:sz w:val="20"/>
      </w:rPr>
    </w:lvl>
    <w:lvl w:ilvl="4" w:tplc="06962BAE" w:tentative="1">
      <w:start w:val="1"/>
      <w:numFmt w:val="bullet"/>
      <w:lvlText w:val=""/>
      <w:lvlJc w:val="left"/>
      <w:pPr>
        <w:tabs>
          <w:tab w:val="num" w:pos="3600"/>
        </w:tabs>
        <w:ind w:left="3600" w:hanging="360"/>
      </w:pPr>
      <w:rPr>
        <w:rFonts w:ascii="Symbol" w:hAnsi="Symbol" w:hint="default"/>
        <w:sz w:val="20"/>
      </w:rPr>
    </w:lvl>
    <w:lvl w:ilvl="5" w:tplc="0CB02D66" w:tentative="1">
      <w:start w:val="1"/>
      <w:numFmt w:val="bullet"/>
      <w:lvlText w:val=""/>
      <w:lvlJc w:val="left"/>
      <w:pPr>
        <w:tabs>
          <w:tab w:val="num" w:pos="4320"/>
        </w:tabs>
        <w:ind w:left="4320" w:hanging="360"/>
      </w:pPr>
      <w:rPr>
        <w:rFonts w:ascii="Symbol" w:hAnsi="Symbol" w:hint="default"/>
        <w:sz w:val="20"/>
      </w:rPr>
    </w:lvl>
    <w:lvl w:ilvl="6" w:tplc="08BC567E" w:tentative="1">
      <w:start w:val="1"/>
      <w:numFmt w:val="bullet"/>
      <w:lvlText w:val=""/>
      <w:lvlJc w:val="left"/>
      <w:pPr>
        <w:tabs>
          <w:tab w:val="num" w:pos="5040"/>
        </w:tabs>
        <w:ind w:left="5040" w:hanging="360"/>
      </w:pPr>
      <w:rPr>
        <w:rFonts w:ascii="Symbol" w:hAnsi="Symbol" w:hint="default"/>
        <w:sz w:val="20"/>
      </w:rPr>
    </w:lvl>
    <w:lvl w:ilvl="7" w:tplc="7A74596A" w:tentative="1">
      <w:start w:val="1"/>
      <w:numFmt w:val="bullet"/>
      <w:lvlText w:val=""/>
      <w:lvlJc w:val="left"/>
      <w:pPr>
        <w:tabs>
          <w:tab w:val="num" w:pos="5760"/>
        </w:tabs>
        <w:ind w:left="5760" w:hanging="360"/>
      </w:pPr>
      <w:rPr>
        <w:rFonts w:ascii="Symbol" w:hAnsi="Symbol" w:hint="default"/>
        <w:sz w:val="20"/>
      </w:rPr>
    </w:lvl>
    <w:lvl w:ilvl="8" w:tplc="C40ED04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6931F7"/>
    <w:multiLevelType w:val="hybridMultilevel"/>
    <w:tmpl w:val="3A4026AC"/>
    <w:lvl w:ilvl="0" w:tplc="C40476CA">
      <w:start w:val="1"/>
      <w:numFmt w:val="bullet"/>
      <w:lvlText w:val=""/>
      <w:lvlJc w:val="left"/>
      <w:pPr>
        <w:tabs>
          <w:tab w:val="num" w:pos="720"/>
        </w:tabs>
        <w:ind w:left="720" w:hanging="360"/>
      </w:pPr>
      <w:rPr>
        <w:rFonts w:ascii="Symbol" w:hAnsi="Symbol" w:hint="default"/>
        <w:sz w:val="20"/>
      </w:rPr>
    </w:lvl>
    <w:lvl w:ilvl="1" w:tplc="C4684EA4" w:tentative="1">
      <w:start w:val="1"/>
      <w:numFmt w:val="bullet"/>
      <w:lvlText w:val=""/>
      <w:lvlJc w:val="left"/>
      <w:pPr>
        <w:tabs>
          <w:tab w:val="num" w:pos="1440"/>
        </w:tabs>
        <w:ind w:left="1440" w:hanging="360"/>
      </w:pPr>
      <w:rPr>
        <w:rFonts w:ascii="Symbol" w:hAnsi="Symbol" w:hint="default"/>
        <w:sz w:val="20"/>
      </w:rPr>
    </w:lvl>
    <w:lvl w:ilvl="2" w:tplc="58C605BC" w:tentative="1">
      <w:start w:val="1"/>
      <w:numFmt w:val="bullet"/>
      <w:lvlText w:val=""/>
      <w:lvlJc w:val="left"/>
      <w:pPr>
        <w:tabs>
          <w:tab w:val="num" w:pos="2160"/>
        </w:tabs>
        <w:ind w:left="2160" w:hanging="360"/>
      </w:pPr>
      <w:rPr>
        <w:rFonts w:ascii="Symbol" w:hAnsi="Symbol" w:hint="default"/>
        <w:sz w:val="20"/>
      </w:rPr>
    </w:lvl>
    <w:lvl w:ilvl="3" w:tplc="67A2325E" w:tentative="1">
      <w:start w:val="1"/>
      <w:numFmt w:val="bullet"/>
      <w:lvlText w:val=""/>
      <w:lvlJc w:val="left"/>
      <w:pPr>
        <w:tabs>
          <w:tab w:val="num" w:pos="2880"/>
        </w:tabs>
        <w:ind w:left="2880" w:hanging="360"/>
      </w:pPr>
      <w:rPr>
        <w:rFonts w:ascii="Symbol" w:hAnsi="Symbol" w:hint="default"/>
        <w:sz w:val="20"/>
      </w:rPr>
    </w:lvl>
    <w:lvl w:ilvl="4" w:tplc="8DF8C470" w:tentative="1">
      <w:start w:val="1"/>
      <w:numFmt w:val="bullet"/>
      <w:lvlText w:val=""/>
      <w:lvlJc w:val="left"/>
      <w:pPr>
        <w:tabs>
          <w:tab w:val="num" w:pos="3600"/>
        </w:tabs>
        <w:ind w:left="3600" w:hanging="360"/>
      </w:pPr>
      <w:rPr>
        <w:rFonts w:ascii="Symbol" w:hAnsi="Symbol" w:hint="default"/>
        <w:sz w:val="20"/>
      </w:rPr>
    </w:lvl>
    <w:lvl w:ilvl="5" w:tplc="941465EE" w:tentative="1">
      <w:start w:val="1"/>
      <w:numFmt w:val="bullet"/>
      <w:lvlText w:val=""/>
      <w:lvlJc w:val="left"/>
      <w:pPr>
        <w:tabs>
          <w:tab w:val="num" w:pos="4320"/>
        </w:tabs>
        <w:ind w:left="4320" w:hanging="360"/>
      </w:pPr>
      <w:rPr>
        <w:rFonts w:ascii="Symbol" w:hAnsi="Symbol" w:hint="default"/>
        <w:sz w:val="20"/>
      </w:rPr>
    </w:lvl>
    <w:lvl w:ilvl="6" w:tplc="D2D81EE2" w:tentative="1">
      <w:start w:val="1"/>
      <w:numFmt w:val="bullet"/>
      <w:lvlText w:val=""/>
      <w:lvlJc w:val="left"/>
      <w:pPr>
        <w:tabs>
          <w:tab w:val="num" w:pos="5040"/>
        </w:tabs>
        <w:ind w:left="5040" w:hanging="360"/>
      </w:pPr>
      <w:rPr>
        <w:rFonts w:ascii="Symbol" w:hAnsi="Symbol" w:hint="default"/>
        <w:sz w:val="20"/>
      </w:rPr>
    </w:lvl>
    <w:lvl w:ilvl="7" w:tplc="46DCB866" w:tentative="1">
      <w:start w:val="1"/>
      <w:numFmt w:val="bullet"/>
      <w:lvlText w:val=""/>
      <w:lvlJc w:val="left"/>
      <w:pPr>
        <w:tabs>
          <w:tab w:val="num" w:pos="5760"/>
        </w:tabs>
        <w:ind w:left="5760" w:hanging="360"/>
      </w:pPr>
      <w:rPr>
        <w:rFonts w:ascii="Symbol" w:hAnsi="Symbol" w:hint="default"/>
        <w:sz w:val="20"/>
      </w:rPr>
    </w:lvl>
    <w:lvl w:ilvl="8" w:tplc="CAE068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04BCA"/>
    <w:multiLevelType w:val="hybridMultilevel"/>
    <w:tmpl w:val="6E80AADC"/>
    <w:lvl w:ilvl="0" w:tplc="2416C6C8">
      <w:start w:val="1"/>
      <w:numFmt w:val="bullet"/>
      <w:lvlText w:val=""/>
      <w:lvlJc w:val="left"/>
      <w:pPr>
        <w:tabs>
          <w:tab w:val="num" w:pos="720"/>
        </w:tabs>
        <w:ind w:left="720" w:hanging="360"/>
      </w:pPr>
      <w:rPr>
        <w:rFonts w:ascii="Symbol" w:hAnsi="Symbol" w:hint="default"/>
        <w:sz w:val="20"/>
      </w:rPr>
    </w:lvl>
    <w:lvl w:ilvl="1" w:tplc="7976137A" w:tentative="1">
      <w:start w:val="1"/>
      <w:numFmt w:val="bullet"/>
      <w:lvlText w:val=""/>
      <w:lvlJc w:val="left"/>
      <w:pPr>
        <w:tabs>
          <w:tab w:val="num" w:pos="1440"/>
        </w:tabs>
        <w:ind w:left="1440" w:hanging="360"/>
      </w:pPr>
      <w:rPr>
        <w:rFonts w:ascii="Symbol" w:hAnsi="Symbol" w:hint="default"/>
        <w:sz w:val="20"/>
      </w:rPr>
    </w:lvl>
    <w:lvl w:ilvl="2" w:tplc="84C63478" w:tentative="1">
      <w:start w:val="1"/>
      <w:numFmt w:val="bullet"/>
      <w:lvlText w:val=""/>
      <w:lvlJc w:val="left"/>
      <w:pPr>
        <w:tabs>
          <w:tab w:val="num" w:pos="2160"/>
        </w:tabs>
        <w:ind w:left="2160" w:hanging="360"/>
      </w:pPr>
      <w:rPr>
        <w:rFonts w:ascii="Symbol" w:hAnsi="Symbol" w:hint="default"/>
        <w:sz w:val="20"/>
      </w:rPr>
    </w:lvl>
    <w:lvl w:ilvl="3" w:tplc="415CE36A" w:tentative="1">
      <w:start w:val="1"/>
      <w:numFmt w:val="bullet"/>
      <w:lvlText w:val=""/>
      <w:lvlJc w:val="left"/>
      <w:pPr>
        <w:tabs>
          <w:tab w:val="num" w:pos="2880"/>
        </w:tabs>
        <w:ind w:left="2880" w:hanging="360"/>
      </w:pPr>
      <w:rPr>
        <w:rFonts w:ascii="Symbol" w:hAnsi="Symbol" w:hint="default"/>
        <w:sz w:val="20"/>
      </w:rPr>
    </w:lvl>
    <w:lvl w:ilvl="4" w:tplc="1082C6E2" w:tentative="1">
      <w:start w:val="1"/>
      <w:numFmt w:val="bullet"/>
      <w:lvlText w:val=""/>
      <w:lvlJc w:val="left"/>
      <w:pPr>
        <w:tabs>
          <w:tab w:val="num" w:pos="3600"/>
        </w:tabs>
        <w:ind w:left="3600" w:hanging="360"/>
      </w:pPr>
      <w:rPr>
        <w:rFonts w:ascii="Symbol" w:hAnsi="Symbol" w:hint="default"/>
        <w:sz w:val="20"/>
      </w:rPr>
    </w:lvl>
    <w:lvl w:ilvl="5" w:tplc="438A9022" w:tentative="1">
      <w:start w:val="1"/>
      <w:numFmt w:val="bullet"/>
      <w:lvlText w:val=""/>
      <w:lvlJc w:val="left"/>
      <w:pPr>
        <w:tabs>
          <w:tab w:val="num" w:pos="4320"/>
        </w:tabs>
        <w:ind w:left="4320" w:hanging="360"/>
      </w:pPr>
      <w:rPr>
        <w:rFonts w:ascii="Symbol" w:hAnsi="Symbol" w:hint="default"/>
        <w:sz w:val="20"/>
      </w:rPr>
    </w:lvl>
    <w:lvl w:ilvl="6" w:tplc="046CE6FA" w:tentative="1">
      <w:start w:val="1"/>
      <w:numFmt w:val="bullet"/>
      <w:lvlText w:val=""/>
      <w:lvlJc w:val="left"/>
      <w:pPr>
        <w:tabs>
          <w:tab w:val="num" w:pos="5040"/>
        </w:tabs>
        <w:ind w:left="5040" w:hanging="360"/>
      </w:pPr>
      <w:rPr>
        <w:rFonts w:ascii="Symbol" w:hAnsi="Symbol" w:hint="default"/>
        <w:sz w:val="20"/>
      </w:rPr>
    </w:lvl>
    <w:lvl w:ilvl="7" w:tplc="AD3A2FB0" w:tentative="1">
      <w:start w:val="1"/>
      <w:numFmt w:val="bullet"/>
      <w:lvlText w:val=""/>
      <w:lvlJc w:val="left"/>
      <w:pPr>
        <w:tabs>
          <w:tab w:val="num" w:pos="5760"/>
        </w:tabs>
        <w:ind w:left="5760" w:hanging="360"/>
      </w:pPr>
      <w:rPr>
        <w:rFonts w:ascii="Symbol" w:hAnsi="Symbol" w:hint="default"/>
        <w:sz w:val="20"/>
      </w:rPr>
    </w:lvl>
    <w:lvl w:ilvl="8" w:tplc="E5047FA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F33E6"/>
    <w:multiLevelType w:val="hybridMultilevel"/>
    <w:tmpl w:val="23D040B2"/>
    <w:lvl w:ilvl="0" w:tplc="50F67F6A">
      <w:start w:val="1"/>
      <w:numFmt w:val="bullet"/>
      <w:lvlText w:val="·"/>
      <w:lvlJc w:val="left"/>
      <w:pPr>
        <w:ind w:left="720" w:hanging="360"/>
      </w:pPr>
      <w:rPr>
        <w:rFonts w:ascii="Symbol" w:hAnsi="Symbol" w:hint="default"/>
      </w:rPr>
    </w:lvl>
    <w:lvl w:ilvl="1" w:tplc="AD761918">
      <w:start w:val="1"/>
      <w:numFmt w:val="bullet"/>
      <w:lvlText w:val="o"/>
      <w:lvlJc w:val="left"/>
      <w:pPr>
        <w:ind w:left="1440" w:hanging="360"/>
      </w:pPr>
      <w:rPr>
        <w:rFonts w:ascii="Courier New" w:hAnsi="Courier New" w:hint="default"/>
      </w:rPr>
    </w:lvl>
    <w:lvl w:ilvl="2" w:tplc="EE0851FC">
      <w:start w:val="1"/>
      <w:numFmt w:val="bullet"/>
      <w:lvlText w:val=""/>
      <w:lvlJc w:val="left"/>
      <w:pPr>
        <w:ind w:left="2160" w:hanging="360"/>
      </w:pPr>
      <w:rPr>
        <w:rFonts w:ascii="Wingdings" w:hAnsi="Wingdings" w:hint="default"/>
      </w:rPr>
    </w:lvl>
    <w:lvl w:ilvl="3" w:tplc="855E02CC">
      <w:start w:val="1"/>
      <w:numFmt w:val="bullet"/>
      <w:lvlText w:val=""/>
      <w:lvlJc w:val="left"/>
      <w:pPr>
        <w:ind w:left="2880" w:hanging="360"/>
      </w:pPr>
      <w:rPr>
        <w:rFonts w:ascii="Symbol" w:hAnsi="Symbol" w:hint="default"/>
      </w:rPr>
    </w:lvl>
    <w:lvl w:ilvl="4" w:tplc="B90CABD8">
      <w:start w:val="1"/>
      <w:numFmt w:val="bullet"/>
      <w:lvlText w:val="o"/>
      <w:lvlJc w:val="left"/>
      <w:pPr>
        <w:ind w:left="3600" w:hanging="360"/>
      </w:pPr>
      <w:rPr>
        <w:rFonts w:ascii="Courier New" w:hAnsi="Courier New" w:hint="default"/>
      </w:rPr>
    </w:lvl>
    <w:lvl w:ilvl="5" w:tplc="FF061A0A">
      <w:start w:val="1"/>
      <w:numFmt w:val="bullet"/>
      <w:lvlText w:val=""/>
      <w:lvlJc w:val="left"/>
      <w:pPr>
        <w:ind w:left="4320" w:hanging="360"/>
      </w:pPr>
      <w:rPr>
        <w:rFonts w:ascii="Wingdings" w:hAnsi="Wingdings" w:hint="default"/>
      </w:rPr>
    </w:lvl>
    <w:lvl w:ilvl="6" w:tplc="3D7ADFEA">
      <w:start w:val="1"/>
      <w:numFmt w:val="bullet"/>
      <w:lvlText w:val=""/>
      <w:lvlJc w:val="left"/>
      <w:pPr>
        <w:ind w:left="5040" w:hanging="360"/>
      </w:pPr>
      <w:rPr>
        <w:rFonts w:ascii="Symbol" w:hAnsi="Symbol" w:hint="default"/>
      </w:rPr>
    </w:lvl>
    <w:lvl w:ilvl="7" w:tplc="8EEC77E8">
      <w:start w:val="1"/>
      <w:numFmt w:val="bullet"/>
      <w:lvlText w:val="o"/>
      <w:lvlJc w:val="left"/>
      <w:pPr>
        <w:ind w:left="5760" w:hanging="360"/>
      </w:pPr>
      <w:rPr>
        <w:rFonts w:ascii="Courier New" w:hAnsi="Courier New" w:hint="default"/>
      </w:rPr>
    </w:lvl>
    <w:lvl w:ilvl="8" w:tplc="852C7AE4">
      <w:start w:val="1"/>
      <w:numFmt w:val="bullet"/>
      <w:lvlText w:val=""/>
      <w:lvlJc w:val="left"/>
      <w:pPr>
        <w:ind w:left="6480" w:hanging="360"/>
      </w:pPr>
      <w:rPr>
        <w:rFonts w:ascii="Wingdings" w:hAnsi="Wingdings" w:hint="default"/>
      </w:rPr>
    </w:lvl>
  </w:abstractNum>
  <w:abstractNum w:abstractNumId="21" w15:restartNumberingAfterBreak="0">
    <w:nsid w:val="677F4A43"/>
    <w:multiLevelType w:val="hybridMultilevel"/>
    <w:tmpl w:val="42CE5A8A"/>
    <w:lvl w:ilvl="0" w:tplc="E9A63B42">
      <w:start w:val="1"/>
      <w:numFmt w:val="bullet"/>
      <w:lvlText w:val=""/>
      <w:lvlJc w:val="left"/>
      <w:pPr>
        <w:tabs>
          <w:tab w:val="num" w:pos="720"/>
        </w:tabs>
        <w:ind w:left="720" w:hanging="360"/>
      </w:pPr>
      <w:rPr>
        <w:rFonts w:ascii="Symbol" w:hAnsi="Symbol" w:hint="default"/>
        <w:sz w:val="20"/>
      </w:rPr>
    </w:lvl>
    <w:lvl w:ilvl="1" w:tplc="B846E2D6" w:tentative="1">
      <w:start w:val="1"/>
      <w:numFmt w:val="bullet"/>
      <w:lvlText w:val=""/>
      <w:lvlJc w:val="left"/>
      <w:pPr>
        <w:tabs>
          <w:tab w:val="num" w:pos="1440"/>
        </w:tabs>
        <w:ind w:left="1440" w:hanging="360"/>
      </w:pPr>
      <w:rPr>
        <w:rFonts w:ascii="Symbol" w:hAnsi="Symbol" w:hint="default"/>
        <w:sz w:val="20"/>
      </w:rPr>
    </w:lvl>
    <w:lvl w:ilvl="2" w:tplc="A7BE8D5A" w:tentative="1">
      <w:start w:val="1"/>
      <w:numFmt w:val="bullet"/>
      <w:lvlText w:val=""/>
      <w:lvlJc w:val="left"/>
      <w:pPr>
        <w:tabs>
          <w:tab w:val="num" w:pos="2160"/>
        </w:tabs>
        <w:ind w:left="2160" w:hanging="360"/>
      </w:pPr>
      <w:rPr>
        <w:rFonts w:ascii="Symbol" w:hAnsi="Symbol" w:hint="default"/>
        <w:sz w:val="20"/>
      </w:rPr>
    </w:lvl>
    <w:lvl w:ilvl="3" w:tplc="23DAAB84" w:tentative="1">
      <w:start w:val="1"/>
      <w:numFmt w:val="bullet"/>
      <w:lvlText w:val=""/>
      <w:lvlJc w:val="left"/>
      <w:pPr>
        <w:tabs>
          <w:tab w:val="num" w:pos="2880"/>
        </w:tabs>
        <w:ind w:left="2880" w:hanging="360"/>
      </w:pPr>
      <w:rPr>
        <w:rFonts w:ascii="Symbol" w:hAnsi="Symbol" w:hint="default"/>
        <w:sz w:val="20"/>
      </w:rPr>
    </w:lvl>
    <w:lvl w:ilvl="4" w:tplc="6CC41424" w:tentative="1">
      <w:start w:val="1"/>
      <w:numFmt w:val="bullet"/>
      <w:lvlText w:val=""/>
      <w:lvlJc w:val="left"/>
      <w:pPr>
        <w:tabs>
          <w:tab w:val="num" w:pos="3600"/>
        </w:tabs>
        <w:ind w:left="3600" w:hanging="360"/>
      </w:pPr>
      <w:rPr>
        <w:rFonts w:ascii="Symbol" w:hAnsi="Symbol" w:hint="default"/>
        <w:sz w:val="20"/>
      </w:rPr>
    </w:lvl>
    <w:lvl w:ilvl="5" w:tplc="FE2C9C4E" w:tentative="1">
      <w:start w:val="1"/>
      <w:numFmt w:val="bullet"/>
      <w:lvlText w:val=""/>
      <w:lvlJc w:val="left"/>
      <w:pPr>
        <w:tabs>
          <w:tab w:val="num" w:pos="4320"/>
        </w:tabs>
        <w:ind w:left="4320" w:hanging="360"/>
      </w:pPr>
      <w:rPr>
        <w:rFonts w:ascii="Symbol" w:hAnsi="Symbol" w:hint="default"/>
        <w:sz w:val="20"/>
      </w:rPr>
    </w:lvl>
    <w:lvl w:ilvl="6" w:tplc="D77C3AF6" w:tentative="1">
      <w:start w:val="1"/>
      <w:numFmt w:val="bullet"/>
      <w:lvlText w:val=""/>
      <w:lvlJc w:val="left"/>
      <w:pPr>
        <w:tabs>
          <w:tab w:val="num" w:pos="5040"/>
        </w:tabs>
        <w:ind w:left="5040" w:hanging="360"/>
      </w:pPr>
      <w:rPr>
        <w:rFonts w:ascii="Symbol" w:hAnsi="Symbol" w:hint="default"/>
        <w:sz w:val="20"/>
      </w:rPr>
    </w:lvl>
    <w:lvl w:ilvl="7" w:tplc="40F463F2" w:tentative="1">
      <w:start w:val="1"/>
      <w:numFmt w:val="bullet"/>
      <w:lvlText w:val=""/>
      <w:lvlJc w:val="left"/>
      <w:pPr>
        <w:tabs>
          <w:tab w:val="num" w:pos="5760"/>
        </w:tabs>
        <w:ind w:left="5760" w:hanging="360"/>
      </w:pPr>
      <w:rPr>
        <w:rFonts w:ascii="Symbol" w:hAnsi="Symbol" w:hint="default"/>
        <w:sz w:val="20"/>
      </w:rPr>
    </w:lvl>
    <w:lvl w:ilvl="8" w:tplc="BB0407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D6353"/>
    <w:multiLevelType w:val="hybridMultilevel"/>
    <w:tmpl w:val="8C5E89A2"/>
    <w:lvl w:ilvl="0" w:tplc="9C248E52">
      <w:start w:val="1"/>
      <w:numFmt w:val="bullet"/>
      <w:lvlText w:val=""/>
      <w:lvlJc w:val="left"/>
      <w:pPr>
        <w:ind w:left="720" w:hanging="360"/>
      </w:pPr>
      <w:rPr>
        <w:rFonts w:ascii="Symbol" w:hAnsi="Symbol"/>
      </w:rPr>
    </w:lvl>
    <w:lvl w:ilvl="1" w:tplc="6C00DC88">
      <w:start w:val="1"/>
      <w:numFmt w:val="bullet"/>
      <w:lvlText w:val=""/>
      <w:lvlJc w:val="left"/>
      <w:pPr>
        <w:ind w:left="720" w:hanging="360"/>
      </w:pPr>
      <w:rPr>
        <w:rFonts w:ascii="Symbol" w:hAnsi="Symbol"/>
      </w:rPr>
    </w:lvl>
    <w:lvl w:ilvl="2" w:tplc="D3EC834E">
      <w:start w:val="1"/>
      <w:numFmt w:val="bullet"/>
      <w:lvlText w:val=""/>
      <w:lvlJc w:val="left"/>
      <w:pPr>
        <w:ind w:left="720" w:hanging="360"/>
      </w:pPr>
      <w:rPr>
        <w:rFonts w:ascii="Symbol" w:hAnsi="Symbol"/>
      </w:rPr>
    </w:lvl>
    <w:lvl w:ilvl="3" w:tplc="BBD093F2">
      <w:start w:val="1"/>
      <w:numFmt w:val="bullet"/>
      <w:lvlText w:val=""/>
      <w:lvlJc w:val="left"/>
      <w:pPr>
        <w:ind w:left="720" w:hanging="360"/>
      </w:pPr>
      <w:rPr>
        <w:rFonts w:ascii="Symbol" w:hAnsi="Symbol"/>
      </w:rPr>
    </w:lvl>
    <w:lvl w:ilvl="4" w:tplc="4AB4483E">
      <w:start w:val="1"/>
      <w:numFmt w:val="bullet"/>
      <w:lvlText w:val=""/>
      <w:lvlJc w:val="left"/>
      <w:pPr>
        <w:ind w:left="720" w:hanging="360"/>
      </w:pPr>
      <w:rPr>
        <w:rFonts w:ascii="Symbol" w:hAnsi="Symbol"/>
      </w:rPr>
    </w:lvl>
    <w:lvl w:ilvl="5" w:tplc="CE5414E2">
      <w:start w:val="1"/>
      <w:numFmt w:val="bullet"/>
      <w:lvlText w:val=""/>
      <w:lvlJc w:val="left"/>
      <w:pPr>
        <w:ind w:left="720" w:hanging="360"/>
      </w:pPr>
      <w:rPr>
        <w:rFonts w:ascii="Symbol" w:hAnsi="Symbol"/>
      </w:rPr>
    </w:lvl>
    <w:lvl w:ilvl="6" w:tplc="7FA2CB8C">
      <w:start w:val="1"/>
      <w:numFmt w:val="bullet"/>
      <w:lvlText w:val=""/>
      <w:lvlJc w:val="left"/>
      <w:pPr>
        <w:ind w:left="720" w:hanging="360"/>
      </w:pPr>
      <w:rPr>
        <w:rFonts w:ascii="Symbol" w:hAnsi="Symbol"/>
      </w:rPr>
    </w:lvl>
    <w:lvl w:ilvl="7" w:tplc="5C082B88">
      <w:start w:val="1"/>
      <w:numFmt w:val="bullet"/>
      <w:lvlText w:val=""/>
      <w:lvlJc w:val="left"/>
      <w:pPr>
        <w:ind w:left="720" w:hanging="360"/>
      </w:pPr>
      <w:rPr>
        <w:rFonts w:ascii="Symbol" w:hAnsi="Symbol"/>
      </w:rPr>
    </w:lvl>
    <w:lvl w:ilvl="8" w:tplc="64661AAE">
      <w:start w:val="1"/>
      <w:numFmt w:val="bullet"/>
      <w:lvlText w:val=""/>
      <w:lvlJc w:val="left"/>
      <w:pPr>
        <w:ind w:left="720" w:hanging="360"/>
      </w:pPr>
      <w:rPr>
        <w:rFonts w:ascii="Symbol" w:hAnsi="Symbol"/>
      </w:rPr>
    </w:lvl>
  </w:abstractNum>
  <w:abstractNum w:abstractNumId="23" w15:restartNumberingAfterBreak="0">
    <w:nsid w:val="6C27563F"/>
    <w:multiLevelType w:val="hybridMultilevel"/>
    <w:tmpl w:val="DD50DF44"/>
    <w:lvl w:ilvl="0" w:tplc="9EF0F932">
      <w:start w:val="1"/>
      <w:numFmt w:val="bullet"/>
      <w:lvlText w:val=""/>
      <w:lvlJc w:val="left"/>
      <w:pPr>
        <w:tabs>
          <w:tab w:val="num" w:pos="720"/>
        </w:tabs>
        <w:ind w:left="720" w:hanging="360"/>
      </w:pPr>
      <w:rPr>
        <w:rFonts w:ascii="Symbol" w:hAnsi="Symbol" w:hint="default"/>
        <w:sz w:val="20"/>
      </w:rPr>
    </w:lvl>
    <w:lvl w:ilvl="1" w:tplc="993E7C1C" w:tentative="1">
      <w:start w:val="1"/>
      <w:numFmt w:val="bullet"/>
      <w:lvlText w:val=""/>
      <w:lvlJc w:val="left"/>
      <w:pPr>
        <w:tabs>
          <w:tab w:val="num" w:pos="1440"/>
        </w:tabs>
        <w:ind w:left="1440" w:hanging="360"/>
      </w:pPr>
      <w:rPr>
        <w:rFonts w:ascii="Symbol" w:hAnsi="Symbol" w:hint="default"/>
        <w:sz w:val="20"/>
      </w:rPr>
    </w:lvl>
    <w:lvl w:ilvl="2" w:tplc="B6C41400" w:tentative="1">
      <w:start w:val="1"/>
      <w:numFmt w:val="bullet"/>
      <w:lvlText w:val=""/>
      <w:lvlJc w:val="left"/>
      <w:pPr>
        <w:tabs>
          <w:tab w:val="num" w:pos="2160"/>
        </w:tabs>
        <w:ind w:left="2160" w:hanging="360"/>
      </w:pPr>
      <w:rPr>
        <w:rFonts w:ascii="Symbol" w:hAnsi="Symbol" w:hint="default"/>
        <w:sz w:val="20"/>
      </w:rPr>
    </w:lvl>
    <w:lvl w:ilvl="3" w:tplc="BC92ADD2" w:tentative="1">
      <w:start w:val="1"/>
      <w:numFmt w:val="bullet"/>
      <w:lvlText w:val=""/>
      <w:lvlJc w:val="left"/>
      <w:pPr>
        <w:tabs>
          <w:tab w:val="num" w:pos="2880"/>
        </w:tabs>
        <w:ind w:left="2880" w:hanging="360"/>
      </w:pPr>
      <w:rPr>
        <w:rFonts w:ascii="Symbol" w:hAnsi="Symbol" w:hint="default"/>
        <w:sz w:val="20"/>
      </w:rPr>
    </w:lvl>
    <w:lvl w:ilvl="4" w:tplc="EA520FAA" w:tentative="1">
      <w:start w:val="1"/>
      <w:numFmt w:val="bullet"/>
      <w:lvlText w:val=""/>
      <w:lvlJc w:val="left"/>
      <w:pPr>
        <w:tabs>
          <w:tab w:val="num" w:pos="3600"/>
        </w:tabs>
        <w:ind w:left="3600" w:hanging="360"/>
      </w:pPr>
      <w:rPr>
        <w:rFonts w:ascii="Symbol" w:hAnsi="Symbol" w:hint="default"/>
        <w:sz w:val="20"/>
      </w:rPr>
    </w:lvl>
    <w:lvl w:ilvl="5" w:tplc="7118391E" w:tentative="1">
      <w:start w:val="1"/>
      <w:numFmt w:val="bullet"/>
      <w:lvlText w:val=""/>
      <w:lvlJc w:val="left"/>
      <w:pPr>
        <w:tabs>
          <w:tab w:val="num" w:pos="4320"/>
        </w:tabs>
        <w:ind w:left="4320" w:hanging="360"/>
      </w:pPr>
      <w:rPr>
        <w:rFonts w:ascii="Symbol" w:hAnsi="Symbol" w:hint="default"/>
        <w:sz w:val="20"/>
      </w:rPr>
    </w:lvl>
    <w:lvl w:ilvl="6" w:tplc="AECEB2CC" w:tentative="1">
      <w:start w:val="1"/>
      <w:numFmt w:val="bullet"/>
      <w:lvlText w:val=""/>
      <w:lvlJc w:val="left"/>
      <w:pPr>
        <w:tabs>
          <w:tab w:val="num" w:pos="5040"/>
        </w:tabs>
        <w:ind w:left="5040" w:hanging="360"/>
      </w:pPr>
      <w:rPr>
        <w:rFonts w:ascii="Symbol" w:hAnsi="Symbol" w:hint="default"/>
        <w:sz w:val="20"/>
      </w:rPr>
    </w:lvl>
    <w:lvl w:ilvl="7" w:tplc="F386ED9C" w:tentative="1">
      <w:start w:val="1"/>
      <w:numFmt w:val="bullet"/>
      <w:lvlText w:val=""/>
      <w:lvlJc w:val="left"/>
      <w:pPr>
        <w:tabs>
          <w:tab w:val="num" w:pos="5760"/>
        </w:tabs>
        <w:ind w:left="5760" w:hanging="360"/>
      </w:pPr>
      <w:rPr>
        <w:rFonts w:ascii="Symbol" w:hAnsi="Symbol" w:hint="default"/>
        <w:sz w:val="20"/>
      </w:rPr>
    </w:lvl>
    <w:lvl w:ilvl="8" w:tplc="3F6EC78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9890B"/>
    <w:multiLevelType w:val="hybridMultilevel"/>
    <w:tmpl w:val="CB3E908E"/>
    <w:lvl w:ilvl="0" w:tplc="1D1047F2">
      <w:start w:val="1"/>
      <w:numFmt w:val="bullet"/>
      <w:lvlText w:val="·"/>
      <w:lvlJc w:val="left"/>
      <w:pPr>
        <w:ind w:left="720" w:hanging="360"/>
      </w:pPr>
      <w:rPr>
        <w:rFonts w:ascii="Symbol" w:hAnsi="Symbol" w:hint="default"/>
      </w:rPr>
    </w:lvl>
    <w:lvl w:ilvl="1" w:tplc="7212B17A">
      <w:start w:val="1"/>
      <w:numFmt w:val="bullet"/>
      <w:lvlText w:val="o"/>
      <w:lvlJc w:val="left"/>
      <w:pPr>
        <w:ind w:left="1440" w:hanging="360"/>
      </w:pPr>
      <w:rPr>
        <w:rFonts w:ascii="Courier New" w:hAnsi="Courier New" w:hint="default"/>
      </w:rPr>
    </w:lvl>
    <w:lvl w:ilvl="2" w:tplc="2E583194">
      <w:start w:val="1"/>
      <w:numFmt w:val="bullet"/>
      <w:lvlText w:val=""/>
      <w:lvlJc w:val="left"/>
      <w:pPr>
        <w:ind w:left="2160" w:hanging="360"/>
      </w:pPr>
      <w:rPr>
        <w:rFonts w:ascii="Wingdings" w:hAnsi="Wingdings" w:hint="default"/>
      </w:rPr>
    </w:lvl>
    <w:lvl w:ilvl="3" w:tplc="79D8C768">
      <w:start w:val="1"/>
      <w:numFmt w:val="bullet"/>
      <w:lvlText w:val=""/>
      <w:lvlJc w:val="left"/>
      <w:pPr>
        <w:ind w:left="2880" w:hanging="360"/>
      </w:pPr>
      <w:rPr>
        <w:rFonts w:ascii="Symbol" w:hAnsi="Symbol" w:hint="default"/>
      </w:rPr>
    </w:lvl>
    <w:lvl w:ilvl="4" w:tplc="5622E782">
      <w:start w:val="1"/>
      <w:numFmt w:val="bullet"/>
      <w:lvlText w:val="o"/>
      <w:lvlJc w:val="left"/>
      <w:pPr>
        <w:ind w:left="3600" w:hanging="360"/>
      </w:pPr>
      <w:rPr>
        <w:rFonts w:ascii="Courier New" w:hAnsi="Courier New" w:hint="default"/>
      </w:rPr>
    </w:lvl>
    <w:lvl w:ilvl="5" w:tplc="24FC5F36">
      <w:start w:val="1"/>
      <w:numFmt w:val="bullet"/>
      <w:lvlText w:val=""/>
      <w:lvlJc w:val="left"/>
      <w:pPr>
        <w:ind w:left="4320" w:hanging="360"/>
      </w:pPr>
      <w:rPr>
        <w:rFonts w:ascii="Wingdings" w:hAnsi="Wingdings" w:hint="default"/>
      </w:rPr>
    </w:lvl>
    <w:lvl w:ilvl="6" w:tplc="33F47348">
      <w:start w:val="1"/>
      <w:numFmt w:val="bullet"/>
      <w:lvlText w:val=""/>
      <w:lvlJc w:val="left"/>
      <w:pPr>
        <w:ind w:left="5040" w:hanging="360"/>
      </w:pPr>
      <w:rPr>
        <w:rFonts w:ascii="Symbol" w:hAnsi="Symbol" w:hint="default"/>
      </w:rPr>
    </w:lvl>
    <w:lvl w:ilvl="7" w:tplc="2B0EFE52">
      <w:start w:val="1"/>
      <w:numFmt w:val="bullet"/>
      <w:lvlText w:val="o"/>
      <w:lvlJc w:val="left"/>
      <w:pPr>
        <w:ind w:left="5760" w:hanging="360"/>
      </w:pPr>
      <w:rPr>
        <w:rFonts w:ascii="Courier New" w:hAnsi="Courier New" w:hint="default"/>
      </w:rPr>
    </w:lvl>
    <w:lvl w:ilvl="8" w:tplc="269C7878">
      <w:start w:val="1"/>
      <w:numFmt w:val="bullet"/>
      <w:lvlText w:val=""/>
      <w:lvlJc w:val="left"/>
      <w:pPr>
        <w:ind w:left="6480" w:hanging="360"/>
      </w:pPr>
      <w:rPr>
        <w:rFonts w:ascii="Wingdings" w:hAnsi="Wingdings" w:hint="default"/>
      </w:rPr>
    </w:lvl>
  </w:abstractNum>
  <w:abstractNum w:abstractNumId="25" w15:restartNumberingAfterBreak="0">
    <w:nsid w:val="6D535A76"/>
    <w:multiLevelType w:val="hybridMultilevel"/>
    <w:tmpl w:val="5B5648F6"/>
    <w:lvl w:ilvl="0" w:tplc="C19ACDA0">
      <w:start w:val="1"/>
      <w:numFmt w:val="bullet"/>
      <w:lvlText w:val=""/>
      <w:lvlJc w:val="left"/>
      <w:pPr>
        <w:tabs>
          <w:tab w:val="num" w:pos="720"/>
        </w:tabs>
        <w:ind w:left="720" w:hanging="360"/>
      </w:pPr>
      <w:rPr>
        <w:rFonts w:ascii="Symbol" w:hAnsi="Symbol" w:hint="default"/>
        <w:sz w:val="20"/>
      </w:rPr>
    </w:lvl>
    <w:lvl w:ilvl="1" w:tplc="F7FABFF8" w:tentative="1">
      <w:start w:val="1"/>
      <w:numFmt w:val="bullet"/>
      <w:lvlText w:val=""/>
      <w:lvlJc w:val="left"/>
      <w:pPr>
        <w:tabs>
          <w:tab w:val="num" w:pos="1440"/>
        </w:tabs>
        <w:ind w:left="1440" w:hanging="360"/>
      </w:pPr>
      <w:rPr>
        <w:rFonts w:ascii="Symbol" w:hAnsi="Symbol" w:hint="default"/>
        <w:sz w:val="20"/>
      </w:rPr>
    </w:lvl>
    <w:lvl w:ilvl="2" w:tplc="2AB6F34C" w:tentative="1">
      <w:start w:val="1"/>
      <w:numFmt w:val="bullet"/>
      <w:lvlText w:val=""/>
      <w:lvlJc w:val="left"/>
      <w:pPr>
        <w:tabs>
          <w:tab w:val="num" w:pos="2160"/>
        </w:tabs>
        <w:ind w:left="2160" w:hanging="360"/>
      </w:pPr>
      <w:rPr>
        <w:rFonts w:ascii="Symbol" w:hAnsi="Symbol" w:hint="default"/>
        <w:sz w:val="20"/>
      </w:rPr>
    </w:lvl>
    <w:lvl w:ilvl="3" w:tplc="5250383E" w:tentative="1">
      <w:start w:val="1"/>
      <w:numFmt w:val="bullet"/>
      <w:lvlText w:val=""/>
      <w:lvlJc w:val="left"/>
      <w:pPr>
        <w:tabs>
          <w:tab w:val="num" w:pos="2880"/>
        </w:tabs>
        <w:ind w:left="2880" w:hanging="360"/>
      </w:pPr>
      <w:rPr>
        <w:rFonts w:ascii="Symbol" w:hAnsi="Symbol" w:hint="default"/>
        <w:sz w:val="20"/>
      </w:rPr>
    </w:lvl>
    <w:lvl w:ilvl="4" w:tplc="18C6E262" w:tentative="1">
      <w:start w:val="1"/>
      <w:numFmt w:val="bullet"/>
      <w:lvlText w:val=""/>
      <w:lvlJc w:val="left"/>
      <w:pPr>
        <w:tabs>
          <w:tab w:val="num" w:pos="3600"/>
        </w:tabs>
        <w:ind w:left="3600" w:hanging="360"/>
      </w:pPr>
      <w:rPr>
        <w:rFonts w:ascii="Symbol" w:hAnsi="Symbol" w:hint="default"/>
        <w:sz w:val="20"/>
      </w:rPr>
    </w:lvl>
    <w:lvl w:ilvl="5" w:tplc="5CBCFAB0" w:tentative="1">
      <w:start w:val="1"/>
      <w:numFmt w:val="bullet"/>
      <w:lvlText w:val=""/>
      <w:lvlJc w:val="left"/>
      <w:pPr>
        <w:tabs>
          <w:tab w:val="num" w:pos="4320"/>
        </w:tabs>
        <w:ind w:left="4320" w:hanging="360"/>
      </w:pPr>
      <w:rPr>
        <w:rFonts w:ascii="Symbol" w:hAnsi="Symbol" w:hint="default"/>
        <w:sz w:val="20"/>
      </w:rPr>
    </w:lvl>
    <w:lvl w:ilvl="6" w:tplc="E200AC4A" w:tentative="1">
      <w:start w:val="1"/>
      <w:numFmt w:val="bullet"/>
      <w:lvlText w:val=""/>
      <w:lvlJc w:val="left"/>
      <w:pPr>
        <w:tabs>
          <w:tab w:val="num" w:pos="5040"/>
        </w:tabs>
        <w:ind w:left="5040" w:hanging="360"/>
      </w:pPr>
      <w:rPr>
        <w:rFonts w:ascii="Symbol" w:hAnsi="Symbol" w:hint="default"/>
        <w:sz w:val="20"/>
      </w:rPr>
    </w:lvl>
    <w:lvl w:ilvl="7" w:tplc="47B2D57E" w:tentative="1">
      <w:start w:val="1"/>
      <w:numFmt w:val="bullet"/>
      <w:lvlText w:val=""/>
      <w:lvlJc w:val="left"/>
      <w:pPr>
        <w:tabs>
          <w:tab w:val="num" w:pos="5760"/>
        </w:tabs>
        <w:ind w:left="5760" w:hanging="360"/>
      </w:pPr>
      <w:rPr>
        <w:rFonts w:ascii="Symbol" w:hAnsi="Symbol" w:hint="default"/>
        <w:sz w:val="20"/>
      </w:rPr>
    </w:lvl>
    <w:lvl w:ilvl="8" w:tplc="030C3B7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8F6D19"/>
    <w:multiLevelType w:val="hybridMultilevel"/>
    <w:tmpl w:val="D6EE185C"/>
    <w:lvl w:ilvl="0" w:tplc="D7963EA2">
      <w:start w:val="1"/>
      <w:numFmt w:val="bullet"/>
      <w:lvlText w:val="·"/>
      <w:lvlJc w:val="left"/>
      <w:pPr>
        <w:ind w:left="720" w:hanging="360"/>
      </w:pPr>
      <w:rPr>
        <w:rFonts w:ascii="Symbol" w:hAnsi="Symbol" w:hint="default"/>
      </w:rPr>
    </w:lvl>
    <w:lvl w:ilvl="1" w:tplc="2C647D14">
      <w:start w:val="1"/>
      <w:numFmt w:val="bullet"/>
      <w:lvlText w:val="o"/>
      <w:lvlJc w:val="left"/>
      <w:pPr>
        <w:ind w:left="1440" w:hanging="360"/>
      </w:pPr>
      <w:rPr>
        <w:rFonts w:ascii="Courier New" w:hAnsi="Courier New" w:hint="default"/>
      </w:rPr>
    </w:lvl>
    <w:lvl w:ilvl="2" w:tplc="D15652C8">
      <w:start w:val="1"/>
      <w:numFmt w:val="bullet"/>
      <w:lvlText w:val=""/>
      <w:lvlJc w:val="left"/>
      <w:pPr>
        <w:ind w:left="2160" w:hanging="360"/>
      </w:pPr>
      <w:rPr>
        <w:rFonts w:ascii="Wingdings" w:hAnsi="Wingdings" w:hint="default"/>
      </w:rPr>
    </w:lvl>
    <w:lvl w:ilvl="3" w:tplc="32487B3C">
      <w:start w:val="1"/>
      <w:numFmt w:val="bullet"/>
      <w:lvlText w:val=""/>
      <w:lvlJc w:val="left"/>
      <w:pPr>
        <w:ind w:left="2880" w:hanging="360"/>
      </w:pPr>
      <w:rPr>
        <w:rFonts w:ascii="Symbol" w:hAnsi="Symbol" w:hint="default"/>
      </w:rPr>
    </w:lvl>
    <w:lvl w:ilvl="4" w:tplc="45AEACB8">
      <w:start w:val="1"/>
      <w:numFmt w:val="bullet"/>
      <w:lvlText w:val="o"/>
      <w:lvlJc w:val="left"/>
      <w:pPr>
        <w:ind w:left="3600" w:hanging="360"/>
      </w:pPr>
      <w:rPr>
        <w:rFonts w:ascii="Courier New" w:hAnsi="Courier New" w:hint="default"/>
      </w:rPr>
    </w:lvl>
    <w:lvl w:ilvl="5" w:tplc="9384D21E">
      <w:start w:val="1"/>
      <w:numFmt w:val="bullet"/>
      <w:lvlText w:val=""/>
      <w:lvlJc w:val="left"/>
      <w:pPr>
        <w:ind w:left="4320" w:hanging="360"/>
      </w:pPr>
      <w:rPr>
        <w:rFonts w:ascii="Wingdings" w:hAnsi="Wingdings" w:hint="default"/>
      </w:rPr>
    </w:lvl>
    <w:lvl w:ilvl="6" w:tplc="649C158A">
      <w:start w:val="1"/>
      <w:numFmt w:val="bullet"/>
      <w:lvlText w:val=""/>
      <w:lvlJc w:val="left"/>
      <w:pPr>
        <w:ind w:left="5040" w:hanging="360"/>
      </w:pPr>
      <w:rPr>
        <w:rFonts w:ascii="Symbol" w:hAnsi="Symbol" w:hint="default"/>
      </w:rPr>
    </w:lvl>
    <w:lvl w:ilvl="7" w:tplc="B3B250E4">
      <w:start w:val="1"/>
      <w:numFmt w:val="bullet"/>
      <w:lvlText w:val="o"/>
      <w:lvlJc w:val="left"/>
      <w:pPr>
        <w:ind w:left="5760" w:hanging="360"/>
      </w:pPr>
      <w:rPr>
        <w:rFonts w:ascii="Courier New" w:hAnsi="Courier New" w:hint="default"/>
      </w:rPr>
    </w:lvl>
    <w:lvl w:ilvl="8" w:tplc="AE36BB08">
      <w:start w:val="1"/>
      <w:numFmt w:val="bullet"/>
      <w:lvlText w:val=""/>
      <w:lvlJc w:val="left"/>
      <w:pPr>
        <w:ind w:left="6480" w:hanging="360"/>
      </w:pPr>
      <w:rPr>
        <w:rFonts w:ascii="Wingdings" w:hAnsi="Wingdings" w:hint="default"/>
      </w:rPr>
    </w:lvl>
  </w:abstractNum>
  <w:abstractNum w:abstractNumId="27" w15:restartNumberingAfterBreak="0">
    <w:nsid w:val="73D957EA"/>
    <w:multiLevelType w:val="hybridMultilevel"/>
    <w:tmpl w:val="5E7E7EF6"/>
    <w:lvl w:ilvl="0" w:tplc="047AFC44">
      <w:start w:val="1"/>
      <w:numFmt w:val="bullet"/>
      <w:lvlText w:val="·"/>
      <w:lvlJc w:val="left"/>
      <w:pPr>
        <w:ind w:left="720" w:hanging="360"/>
      </w:pPr>
      <w:rPr>
        <w:rFonts w:ascii="Symbol" w:hAnsi="Symbol" w:hint="default"/>
      </w:rPr>
    </w:lvl>
    <w:lvl w:ilvl="1" w:tplc="4BF66D8E">
      <w:start w:val="1"/>
      <w:numFmt w:val="bullet"/>
      <w:lvlText w:val="o"/>
      <w:lvlJc w:val="left"/>
      <w:pPr>
        <w:ind w:left="1440" w:hanging="360"/>
      </w:pPr>
      <w:rPr>
        <w:rFonts w:ascii="Courier New" w:hAnsi="Courier New" w:hint="default"/>
      </w:rPr>
    </w:lvl>
    <w:lvl w:ilvl="2" w:tplc="6FAE02BC">
      <w:start w:val="1"/>
      <w:numFmt w:val="bullet"/>
      <w:lvlText w:val=""/>
      <w:lvlJc w:val="left"/>
      <w:pPr>
        <w:ind w:left="2160" w:hanging="360"/>
      </w:pPr>
      <w:rPr>
        <w:rFonts w:ascii="Wingdings" w:hAnsi="Wingdings" w:hint="default"/>
      </w:rPr>
    </w:lvl>
    <w:lvl w:ilvl="3" w:tplc="5F3AA860">
      <w:start w:val="1"/>
      <w:numFmt w:val="bullet"/>
      <w:lvlText w:val=""/>
      <w:lvlJc w:val="left"/>
      <w:pPr>
        <w:ind w:left="2880" w:hanging="360"/>
      </w:pPr>
      <w:rPr>
        <w:rFonts w:ascii="Symbol" w:hAnsi="Symbol" w:hint="default"/>
      </w:rPr>
    </w:lvl>
    <w:lvl w:ilvl="4" w:tplc="FB14D7E8">
      <w:start w:val="1"/>
      <w:numFmt w:val="bullet"/>
      <w:lvlText w:val="o"/>
      <w:lvlJc w:val="left"/>
      <w:pPr>
        <w:ind w:left="3600" w:hanging="360"/>
      </w:pPr>
      <w:rPr>
        <w:rFonts w:ascii="Courier New" w:hAnsi="Courier New" w:hint="default"/>
      </w:rPr>
    </w:lvl>
    <w:lvl w:ilvl="5" w:tplc="78E20C82">
      <w:start w:val="1"/>
      <w:numFmt w:val="bullet"/>
      <w:lvlText w:val=""/>
      <w:lvlJc w:val="left"/>
      <w:pPr>
        <w:ind w:left="4320" w:hanging="360"/>
      </w:pPr>
      <w:rPr>
        <w:rFonts w:ascii="Wingdings" w:hAnsi="Wingdings" w:hint="default"/>
      </w:rPr>
    </w:lvl>
    <w:lvl w:ilvl="6" w:tplc="40C09124">
      <w:start w:val="1"/>
      <w:numFmt w:val="bullet"/>
      <w:lvlText w:val=""/>
      <w:lvlJc w:val="left"/>
      <w:pPr>
        <w:ind w:left="5040" w:hanging="360"/>
      </w:pPr>
      <w:rPr>
        <w:rFonts w:ascii="Symbol" w:hAnsi="Symbol" w:hint="default"/>
      </w:rPr>
    </w:lvl>
    <w:lvl w:ilvl="7" w:tplc="86EEEF3E">
      <w:start w:val="1"/>
      <w:numFmt w:val="bullet"/>
      <w:lvlText w:val="o"/>
      <w:lvlJc w:val="left"/>
      <w:pPr>
        <w:ind w:left="5760" w:hanging="360"/>
      </w:pPr>
      <w:rPr>
        <w:rFonts w:ascii="Courier New" w:hAnsi="Courier New" w:hint="default"/>
      </w:rPr>
    </w:lvl>
    <w:lvl w:ilvl="8" w:tplc="CFCA04FE">
      <w:start w:val="1"/>
      <w:numFmt w:val="bullet"/>
      <w:lvlText w:val=""/>
      <w:lvlJc w:val="left"/>
      <w:pPr>
        <w:ind w:left="6480" w:hanging="360"/>
      </w:pPr>
      <w:rPr>
        <w:rFonts w:ascii="Wingdings" w:hAnsi="Wingdings" w:hint="default"/>
      </w:rPr>
    </w:lvl>
  </w:abstractNum>
  <w:abstractNum w:abstractNumId="28" w15:restartNumberingAfterBreak="0">
    <w:nsid w:val="7828699D"/>
    <w:multiLevelType w:val="hybridMultilevel"/>
    <w:tmpl w:val="D840CD1E"/>
    <w:lvl w:ilvl="0" w:tplc="7276854E">
      <w:start w:val="1"/>
      <w:numFmt w:val="bullet"/>
      <w:lvlText w:val=""/>
      <w:lvlJc w:val="left"/>
      <w:pPr>
        <w:tabs>
          <w:tab w:val="num" w:pos="720"/>
        </w:tabs>
        <w:ind w:left="720" w:hanging="360"/>
      </w:pPr>
      <w:rPr>
        <w:rFonts w:ascii="Symbol" w:hAnsi="Symbol" w:hint="default"/>
        <w:sz w:val="20"/>
      </w:rPr>
    </w:lvl>
    <w:lvl w:ilvl="1" w:tplc="7F58C830" w:tentative="1">
      <w:start w:val="1"/>
      <w:numFmt w:val="bullet"/>
      <w:lvlText w:val=""/>
      <w:lvlJc w:val="left"/>
      <w:pPr>
        <w:tabs>
          <w:tab w:val="num" w:pos="1440"/>
        </w:tabs>
        <w:ind w:left="1440" w:hanging="360"/>
      </w:pPr>
      <w:rPr>
        <w:rFonts w:ascii="Symbol" w:hAnsi="Symbol" w:hint="default"/>
        <w:sz w:val="20"/>
      </w:rPr>
    </w:lvl>
    <w:lvl w:ilvl="2" w:tplc="7990FBC0" w:tentative="1">
      <w:start w:val="1"/>
      <w:numFmt w:val="bullet"/>
      <w:lvlText w:val=""/>
      <w:lvlJc w:val="left"/>
      <w:pPr>
        <w:tabs>
          <w:tab w:val="num" w:pos="2160"/>
        </w:tabs>
        <w:ind w:left="2160" w:hanging="360"/>
      </w:pPr>
      <w:rPr>
        <w:rFonts w:ascii="Symbol" w:hAnsi="Symbol" w:hint="default"/>
        <w:sz w:val="20"/>
      </w:rPr>
    </w:lvl>
    <w:lvl w:ilvl="3" w:tplc="B2DE89B8" w:tentative="1">
      <w:start w:val="1"/>
      <w:numFmt w:val="bullet"/>
      <w:lvlText w:val=""/>
      <w:lvlJc w:val="left"/>
      <w:pPr>
        <w:tabs>
          <w:tab w:val="num" w:pos="2880"/>
        </w:tabs>
        <w:ind w:left="2880" w:hanging="360"/>
      </w:pPr>
      <w:rPr>
        <w:rFonts w:ascii="Symbol" w:hAnsi="Symbol" w:hint="default"/>
        <w:sz w:val="20"/>
      </w:rPr>
    </w:lvl>
    <w:lvl w:ilvl="4" w:tplc="020A9526" w:tentative="1">
      <w:start w:val="1"/>
      <w:numFmt w:val="bullet"/>
      <w:lvlText w:val=""/>
      <w:lvlJc w:val="left"/>
      <w:pPr>
        <w:tabs>
          <w:tab w:val="num" w:pos="3600"/>
        </w:tabs>
        <w:ind w:left="3600" w:hanging="360"/>
      </w:pPr>
      <w:rPr>
        <w:rFonts w:ascii="Symbol" w:hAnsi="Symbol" w:hint="default"/>
        <w:sz w:val="20"/>
      </w:rPr>
    </w:lvl>
    <w:lvl w:ilvl="5" w:tplc="70EA1C0E" w:tentative="1">
      <w:start w:val="1"/>
      <w:numFmt w:val="bullet"/>
      <w:lvlText w:val=""/>
      <w:lvlJc w:val="left"/>
      <w:pPr>
        <w:tabs>
          <w:tab w:val="num" w:pos="4320"/>
        </w:tabs>
        <w:ind w:left="4320" w:hanging="360"/>
      </w:pPr>
      <w:rPr>
        <w:rFonts w:ascii="Symbol" w:hAnsi="Symbol" w:hint="default"/>
        <w:sz w:val="20"/>
      </w:rPr>
    </w:lvl>
    <w:lvl w:ilvl="6" w:tplc="90582B72" w:tentative="1">
      <w:start w:val="1"/>
      <w:numFmt w:val="bullet"/>
      <w:lvlText w:val=""/>
      <w:lvlJc w:val="left"/>
      <w:pPr>
        <w:tabs>
          <w:tab w:val="num" w:pos="5040"/>
        </w:tabs>
        <w:ind w:left="5040" w:hanging="360"/>
      </w:pPr>
      <w:rPr>
        <w:rFonts w:ascii="Symbol" w:hAnsi="Symbol" w:hint="default"/>
        <w:sz w:val="20"/>
      </w:rPr>
    </w:lvl>
    <w:lvl w:ilvl="7" w:tplc="224C10D0" w:tentative="1">
      <w:start w:val="1"/>
      <w:numFmt w:val="bullet"/>
      <w:lvlText w:val=""/>
      <w:lvlJc w:val="left"/>
      <w:pPr>
        <w:tabs>
          <w:tab w:val="num" w:pos="5760"/>
        </w:tabs>
        <w:ind w:left="5760" w:hanging="360"/>
      </w:pPr>
      <w:rPr>
        <w:rFonts w:ascii="Symbol" w:hAnsi="Symbol" w:hint="default"/>
        <w:sz w:val="20"/>
      </w:rPr>
    </w:lvl>
    <w:lvl w:ilvl="8" w:tplc="72FEF82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920B3E"/>
    <w:multiLevelType w:val="hybridMultilevel"/>
    <w:tmpl w:val="A072D5BA"/>
    <w:lvl w:ilvl="0" w:tplc="F45AC09A">
      <w:start w:val="1"/>
      <w:numFmt w:val="bullet"/>
      <w:lvlText w:val="·"/>
      <w:lvlJc w:val="left"/>
      <w:pPr>
        <w:ind w:left="720" w:hanging="360"/>
      </w:pPr>
      <w:rPr>
        <w:rFonts w:ascii="Symbol" w:hAnsi="Symbol" w:hint="default"/>
      </w:rPr>
    </w:lvl>
    <w:lvl w:ilvl="1" w:tplc="6B983D4C">
      <w:start w:val="1"/>
      <w:numFmt w:val="bullet"/>
      <w:lvlText w:val="o"/>
      <w:lvlJc w:val="left"/>
      <w:pPr>
        <w:ind w:left="1440" w:hanging="360"/>
      </w:pPr>
      <w:rPr>
        <w:rFonts w:ascii="Courier New" w:hAnsi="Courier New" w:hint="default"/>
      </w:rPr>
    </w:lvl>
    <w:lvl w:ilvl="2" w:tplc="1B38B39E">
      <w:start w:val="1"/>
      <w:numFmt w:val="bullet"/>
      <w:lvlText w:val=""/>
      <w:lvlJc w:val="left"/>
      <w:pPr>
        <w:ind w:left="2160" w:hanging="360"/>
      </w:pPr>
      <w:rPr>
        <w:rFonts w:ascii="Wingdings" w:hAnsi="Wingdings" w:hint="default"/>
      </w:rPr>
    </w:lvl>
    <w:lvl w:ilvl="3" w:tplc="5564388A">
      <w:start w:val="1"/>
      <w:numFmt w:val="bullet"/>
      <w:lvlText w:val=""/>
      <w:lvlJc w:val="left"/>
      <w:pPr>
        <w:ind w:left="2880" w:hanging="360"/>
      </w:pPr>
      <w:rPr>
        <w:rFonts w:ascii="Symbol" w:hAnsi="Symbol" w:hint="default"/>
      </w:rPr>
    </w:lvl>
    <w:lvl w:ilvl="4" w:tplc="72B60F3C">
      <w:start w:val="1"/>
      <w:numFmt w:val="bullet"/>
      <w:lvlText w:val="o"/>
      <w:lvlJc w:val="left"/>
      <w:pPr>
        <w:ind w:left="3600" w:hanging="360"/>
      </w:pPr>
      <w:rPr>
        <w:rFonts w:ascii="Courier New" w:hAnsi="Courier New" w:hint="default"/>
      </w:rPr>
    </w:lvl>
    <w:lvl w:ilvl="5" w:tplc="ACA26314">
      <w:start w:val="1"/>
      <w:numFmt w:val="bullet"/>
      <w:lvlText w:val=""/>
      <w:lvlJc w:val="left"/>
      <w:pPr>
        <w:ind w:left="4320" w:hanging="360"/>
      </w:pPr>
      <w:rPr>
        <w:rFonts w:ascii="Wingdings" w:hAnsi="Wingdings" w:hint="default"/>
      </w:rPr>
    </w:lvl>
    <w:lvl w:ilvl="6" w:tplc="6D2E1C1A">
      <w:start w:val="1"/>
      <w:numFmt w:val="bullet"/>
      <w:lvlText w:val=""/>
      <w:lvlJc w:val="left"/>
      <w:pPr>
        <w:ind w:left="5040" w:hanging="360"/>
      </w:pPr>
      <w:rPr>
        <w:rFonts w:ascii="Symbol" w:hAnsi="Symbol" w:hint="default"/>
      </w:rPr>
    </w:lvl>
    <w:lvl w:ilvl="7" w:tplc="7A26898A">
      <w:start w:val="1"/>
      <w:numFmt w:val="bullet"/>
      <w:lvlText w:val="o"/>
      <w:lvlJc w:val="left"/>
      <w:pPr>
        <w:ind w:left="5760" w:hanging="360"/>
      </w:pPr>
      <w:rPr>
        <w:rFonts w:ascii="Courier New" w:hAnsi="Courier New" w:hint="default"/>
      </w:rPr>
    </w:lvl>
    <w:lvl w:ilvl="8" w:tplc="D368D062">
      <w:start w:val="1"/>
      <w:numFmt w:val="bullet"/>
      <w:lvlText w:val=""/>
      <w:lvlJc w:val="left"/>
      <w:pPr>
        <w:ind w:left="6480" w:hanging="360"/>
      </w:pPr>
      <w:rPr>
        <w:rFonts w:ascii="Wingdings" w:hAnsi="Wingdings" w:hint="default"/>
      </w:rPr>
    </w:lvl>
  </w:abstractNum>
  <w:num w:numId="1" w16cid:durableId="1036198994">
    <w:abstractNumId w:val="24"/>
  </w:num>
  <w:num w:numId="2" w16cid:durableId="675034715">
    <w:abstractNumId w:val="15"/>
  </w:num>
  <w:num w:numId="3" w16cid:durableId="374934625">
    <w:abstractNumId w:val="29"/>
  </w:num>
  <w:num w:numId="4" w16cid:durableId="253323080">
    <w:abstractNumId w:val="5"/>
  </w:num>
  <w:num w:numId="5" w16cid:durableId="315649936">
    <w:abstractNumId w:val="11"/>
  </w:num>
  <w:num w:numId="6" w16cid:durableId="441657076">
    <w:abstractNumId w:val="26"/>
  </w:num>
  <w:num w:numId="7" w16cid:durableId="1111977033">
    <w:abstractNumId w:val="4"/>
  </w:num>
  <w:num w:numId="8" w16cid:durableId="83458651">
    <w:abstractNumId w:val="27"/>
  </w:num>
  <w:num w:numId="9" w16cid:durableId="722103221">
    <w:abstractNumId w:val="20"/>
  </w:num>
  <w:num w:numId="10" w16cid:durableId="568688088">
    <w:abstractNumId w:val="6"/>
  </w:num>
  <w:num w:numId="11" w16cid:durableId="210850628">
    <w:abstractNumId w:val="0"/>
  </w:num>
  <w:num w:numId="12" w16cid:durableId="2079866138">
    <w:abstractNumId w:val="10"/>
  </w:num>
  <w:num w:numId="13" w16cid:durableId="167721113">
    <w:abstractNumId w:val="3"/>
  </w:num>
  <w:num w:numId="14" w16cid:durableId="1709642132">
    <w:abstractNumId w:val="23"/>
  </w:num>
  <w:num w:numId="15" w16cid:durableId="2059283961">
    <w:abstractNumId w:val="12"/>
  </w:num>
  <w:num w:numId="16" w16cid:durableId="630399426">
    <w:abstractNumId w:val="13"/>
  </w:num>
  <w:num w:numId="17" w16cid:durableId="730076520">
    <w:abstractNumId w:val="1"/>
  </w:num>
  <w:num w:numId="18" w16cid:durableId="2092311733">
    <w:abstractNumId w:val="18"/>
  </w:num>
  <w:num w:numId="19" w16cid:durableId="886724357">
    <w:abstractNumId w:val="25"/>
  </w:num>
  <w:num w:numId="20" w16cid:durableId="2070611715">
    <w:abstractNumId w:val="21"/>
  </w:num>
  <w:num w:numId="21" w16cid:durableId="400367078">
    <w:abstractNumId w:val="17"/>
  </w:num>
  <w:num w:numId="22" w16cid:durableId="586186338">
    <w:abstractNumId w:val="7"/>
  </w:num>
  <w:num w:numId="23" w16cid:durableId="1097756011">
    <w:abstractNumId w:val="2"/>
  </w:num>
  <w:num w:numId="24" w16cid:durableId="775903945">
    <w:abstractNumId w:val="19"/>
  </w:num>
  <w:num w:numId="25" w16cid:durableId="1675263485">
    <w:abstractNumId w:val="16"/>
  </w:num>
  <w:num w:numId="26" w16cid:durableId="1461263308">
    <w:abstractNumId w:val="28"/>
  </w:num>
  <w:num w:numId="27" w16cid:durableId="1375695243">
    <w:abstractNumId w:val="9"/>
  </w:num>
  <w:num w:numId="28" w16cid:durableId="1162040907">
    <w:abstractNumId w:val="14"/>
  </w:num>
  <w:num w:numId="29" w16cid:durableId="2139100892">
    <w:abstractNumId w:val="22"/>
  </w:num>
  <w:num w:numId="30" w16cid:durableId="1195849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F7"/>
    <w:rsid w:val="00001F56"/>
    <w:rsid w:val="00034620"/>
    <w:rsid w:val="0005076E"/>
    <w:rsid w:val="000672A8"/>
    <w:rsid w:val="000736D0"/>
    <w:rsid w:val="0008086A"/>
    <w:rsid w:val="00084E1A"/>
    <w:rsid w:val="00085F51"/>
    <w:rsid w:val="00086F93"/>
    <w:rsid w:val="00090982"/>
    <w:rsid w:val="000B20F7"/>
    <w:rsid w:val="000D4D93"/>
    <w:rsid w:val="000D7FB9"/>
    <w:rsid w:val="001114F0"/>
    <w:rsid w:val="00167B02"/>
    <w:rsid w:val="0019556A"/>
    <w:rsid w:val="001A51DC"/>
    <w:rsid w:val="001A5C80"/>
    <w:rsid w:val="001E0646"/>
    <w:rsid w:val="002040A2"/>
    <w:rsid w:val="00293152"/>
    <w:rsid w:val="00297B95"/>
    <w:rsid w:val="002B651A"/>
    <w:rsid w:val="002C5DA6"/>
    <w:rsid w:val="002D571F"/>
    <w:rsid w:val="002D7D29"/>
    <w:rsid w:val="002F2990"/>
    <w:rsid w:val="00325D2F"/>
    <w:rsid w:val="00344CC1"/>
    <w:rsid w:val="003676F1"/>
    <w:rsid w:val="00382FD1"/>
    <w:rsid w:val="0038726D"/>
    <w:rsid w:val="003D145C"/>
    <w:rsid w:val="004326EC"/>
    <w:rsid w:val="004335FB"/>
    <w:rsid w:val="00434518"/>
    <w:rsid w:val="0043722A"/>
    <w:rsid w:val="00464D16"/>
    <w:rsid w:val="00477841"/>
    <w:rsid w:val="0048092E"/>
    <w:rsid w:val="00480C09"/>
    <w:rsid w:val="00481641"/>
    <w:rsid w:val="004B1138"/>
    <w:rsid w:val="004D5CF5"/>
    <w:rsid w:val="004E04E1"/>
    <w:rsid w:val="005144DD"/>
    <w:rsid w:val="00514A0A"/>
    <w:rsid w:val="00573502"/>
    <w:rsid w:val="00576123"/>
    <w:rsid w:val="005A52AE"/>
    <w:rsid w:val="005A66EF"/>
    <w:rsid w:val="005B08EB"/>
    <w:rsid w:val="005D32AC"/>
    <w:rsid w:val="005D7192"/>
    <w:rsid w:val="00620017"/>
    <w:rsid w:val="00644177"/>
    <w:rsid w:val="00687159"/>
    <w:rsid w:val="006B32BA"/>
    <w:rsid w:val="006C3C67"/>
    <w:rsid w:val="006D6716"/>
    <w:rsid w:val="007865CC"/>
    <w:rsid w:val="007E62A7"/>
    <w:rsid w:val="00800A79"/>
    <w:rsid w:val="00844F6F"/>
    <w:rsid w:val="00867E87"/>
    <w:rsid w:val="008702F5"/>
    <w:rsid w:val="008B5CA1"/>
    <w:rsid w:val="009046B0"/>
    <w:rsid w:val="00963516"/>
    <w:rsid w:val="009923B3"/>
    <w:rsid w:val="009A3DB8"/>
    <w:rsid w:val="009B67EF"/>
    <w:rsid w:val="00A50451"/>
    <w:rsid w:val="00A72CC3"/>
    <w:rsid w:val="00A771EE"/>
    <w:rsid w:val="00AA2BE7"/>
    <w:rsid w:val="00AA33A8"/>
    <w:rsid w:val="00AA4187"/>
    <w:rsid w:val="00AB6A2B"/>
    <w:rsid w:val="00AF3B20"/>
    <w:rsid w:val="00B06458"/>
    <w:rsid w:val="00B655C1"/>
    <w:rsid w:val="00B734E0"/>
    <w:rsid w:val="00B7482D"/>
    <w:rsid w:val="00B85CA5"/>
    <w:rsid w:val="00C2026F"/>
    <w:rsid w:val="00C609F3"/>
    <w:rsid w:val="00C717BC"/>
    <w:rsid w:val="00CA145B"/>
    <w:rsid w:val="00D01438"/>
    <w:rsid w:val="00DC6166"/>
    <w:rsid w:val="00DD38DF"/>
    <w:rsid w:val="00E35BC7"/>
    <w:rsid w:val="00E4582F"/>
    <w:rsid w:val="00E73B19"/>
    <w:rsid w:val="00E83FF1"/>
    <w:rsid w:val="00EA335A"/>
    <w:rsid w:val="00F06900"/>
    <w:rsid w:val="00F47008"/>
    <w:rsid w:val="00F541D8"/>
    <w:rsid w:val="00F65E42"/>
    <w:rsid w:val="00F76E86"/>
    <w:rsid w:val="00F961C8"/>
    <w:rsid w:val="00F97730"/>
    <w:rsid w:val="00FB310E"/>
    <w:rsid w:val="00FB402F"/>
    <w:rsid w:val="00FE755D"/>
    <w:rsid w:val="00FF46C0"/>
    <w:rsid w:val="010004F7"/>
    <w:rsid w:val="0154E459"/>
    <w:rsid w:val="01C18967"/>
    <w:rsid w:val="01E8FD1B"/>
    <w:rsid w:val="032320F2"/>
    <w:rsid w:val="040B19F6"/>
    <w:rsid w:val="05D44EC6"/>
    <w:rsid w:val="068FC8C1"/>
    <w:rsid w:val="0737489B"/>
    <w:rsid w:val="08C8E1F2"/>
    <w:rsid w:val="09C1B79E"/>
    <w:rsid w:val="0BD3C314"/>
    <w:rsid w:val="0C24172D"/>
    <w:rsid w:val="0C337F77"/>
    <w:rsid w:val="0E393F52"/>
    <w:rsid w:val="0F9304D5"/>
    <w:rsid w:val="1273EEB6"/>
    <w:rsid w:val="13D8940A"/>
    <w:rsid w:val="188584EB"/>
    <w:rsid w:val="18B94C21"/>
    <w:rsid w:val="193E123B"/>
    <w:rsid w:val="198DF1E4"/>
    <w:rsid w:val="1C724C1B"/>
    <w:rsid w:val="218459C3"/>
    <w:rsid w:val="251ADA1A"/>
    <w:rsid w:val="25AC4ECD"/>
    <w:rsid w:val="26DDE140"/>
    <w:rsid w:val="28691B8D"/>
    <w:rsid w:val="2A209C09"/>
    <w:rsid w:val="2C242900"/>
    <w:rsid w:val="2DB75FD2"/>
    <w:rsid w:val="2E49B46E"/>
    <w:rsid w:val="2FB7D2AB"/>
    <w:rsid w:val="30006E1D"/>
    <w:rsid w:val="30C2ED7F"/>
    <w:rsid w:val="333ACD31"/>
    <w:rsid w:val="358FE362"/>
    <w:rsid w:val="37D731E9"/>
    <w:rsid w:val="39464257"/>
    <w:rsid w:val="39933326"/>
    <w:rsid w:val="3D1D4B27"/>
    <w:rsid w:val="3E8DCD6D"/>
    <w:rsid w:val="3F27B385"/>
    <w:rsid w:val="4021254B"/>
    <w:rsid w:val="437B8F55"/>
    <w:rsid w:val="43C00B60"/>
    <w:rsid w:val="45AC8E56"/>
    <w:rsid w:val="4C10E1BE"/>
    <w:rsid w:val="4FBBE8BF"/>
    <w:rsid w:val="52635587"/>
    <w:rsid w:val="54BA9DE4"/>
    <w:rsid w:val="552D442A"/>
    <w:rsid w:val="554E7202"/>
    <w:rsid w:val="5621971C"/>
    <w:rsid w:val="5A518D65"/>
    <w:rsid w:val="5C83A75B"/>
    <w:rsid w:val="5D45582F"/>
    <w:rsid w:val="5E132FFB"/>
    <w:rsid w:val="5F09836B"/>
    <w:rsid w:val="628D204D"/>
    <w:rsid w:val="629EF1E9"/>
    <w:rsid w:val="6366DC3B"/>
    <w:rsid w:val="63B592CC"/>
    <w:rsid w:val="66058911"/>
    <w:rsid w:val="67A83AE6"/>
    <w:rsid w:val="68FC61D1"/>
    <w:rsid w:val="6AD62018"/>
    <w:rsid w:val="6B88859A"/>
    <w:rsid w:val="715B88EB"/>
    <w:rsid w:val="72BCD8FC"/>
    <w:rsid w:val="7452415A"/>
    <w:rsid w:val="75BBEC35"/>
    <w:rsid w:val="75E2D25F"/>
    <w:rsid w:val="7632D213"/>
    <w:rsid w:val="76A443DB"/>
    <w:rsid w:val="791A7321"/>
    <w:rsid w:val="7A3A0FC4"/>
    <w:rsid w:val="7FAB2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38389"/>
  <w15:chartTrackingRefBased/>
  <w15:docId w15:val="{F21FEFB0-1736-4E75-9A8F-5726B1CC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20F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0B20F7"/>
  </w:style>
  <w:style w:type="character" w:customStyle="1" w:styleId="eop">
    <w:name w:val="eop"/>
    <w:basedOn w:val="DefaultParagraphFont"/>
    <w:rsid w:val="000B20F7"/>
  </w:style>
  <w:style w:type="paragraph" w:styleId="Header">
    <w:name w:val="header"/>
    <w:basedOn w:val="Normal"/>
    <w:link w:val="HeaderChar"/>
    <w:uiPriority w:val="99"/>
    <w:unhideWhenUsed/>
    <w:rsid w:val="000B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0F7"/>
  </w:style>
  <w:style w:type="paragraph" w:styleId="Footer">
    <w:name w:val="footer"/>
    <w:basedOn w:val="Normal"/>
    <w:link w:val="FooterChar"/>
    <w:uiPriority w:val="99"/>
    <w:unhideWhenUsed/>
    <w:rsid w:val="000B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0F7"/>
  </w:style>
  <w:style w:type="paragraph" w:styleId="ListParagraph">
    <w:name w:val="List Paragraph"/>
    <w:aliases w:val="Bullet point,List Paragraph1,List Paragraph11,Recommendation,List Bullet 1,L"/>
    <w:basedOn w:val="Normal"/>
    <w:link w:val="ListParagraphChar"/>
    <w:uiPriority w:val="34"/>
    <w:qFormat/>
    <w:rsid w:val="000672A8"/>
    <w:pPr>
      <w:spacing w:after="240"/>
      <w:ind w:left="720"/>
      <w:contextualSpacing/>
    </w:pPr>
    <w:rPr>
      <w:kern w:val="0"/>
      <w14:ligatures w14:val="none"/>
    </w:r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0672A8"/>
    <w:rPr>
      <w:kern w:val="0"/>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7844">
      <w:bodyDiv w:val="1"/>
      <w:marLeft w:val="0"/>
      <w:marRight w:val="0"/>
      <w:marTop w:val="0"/>
      <w:marBottom w:val="0"/>
      <w:divBdr>
        <w:top w:val="none" w:sz="0" w:space="0" w:color="auto"/>
        <w:left w:val="none" w:sz="0" w:space="0" w:color="auto"/>
        <w:bottom w:val="none" w:sz="0" w:space="0" w:color="auto"/>
        <w:right w:val="none" w:sz="0" w:space="0" w:color="auto"/>
      </w:divBdr>
      <w:divsChild>
        <w:div w:id="121045001">
          <w:marLeft w:val="0"/>
          <w:marRight w:val="0"/>
          <w:marTop w:val="0"/>
          <w:marBottom w:val="0"/>
          <w:divBdr>
            <w:top w:val="none" w:sz="0" w:space="0" w:color="auto"/>
            <w:left w:val="none" w:sz="0" w:space="0" w:color="auto"/>
            <w:bottom w:val="none" w:sz="0" w:space="0" w:color="auto"/>
            <w:right w:val="none" w:sz="0" w:space="0" w:color="auto"/>
          </w:divBdr>
        </w:div>
        <w:div w:id="652873899">
          <w:marLeft w:val="0"/>
          <w:marRight w:val="0"/>
          <w:marTop w:val="0"/>
          <w:marBottom w:val="0"/>
          <w:divBdr>
            <w:top w:val="none" w:sz="0" w:space="0" w:color="auto"/>
            <w:left w:val="none" w:sz="0" w:space="0" w:color="auto"/>
            <w:bottom w:val="none" w:sz="0" w:space="0" w:color="auto"/>
            <w:right w:val="none" w:sz="0" w:space="0" w:color="auto"/>
          </w:divBdr>
        </w:div>
        <w:div w:id="1510825279">
          <w:marLeft w:val="0"/>
          <w:marRight w:val="0"/>
          <w:marTop w:val="0"/>
          <w:marBottom w:val="0"/>
          <w:divBdr>
            <w:top w:val="none" w:sz="0" w:space="0" w:color="auto"/>
            <w:left w:val="none" w:sz="0" w:space="0" w:color="auto"/>
            <w:bottom w:val="none" w:sz="0" w:space="0" w:color="auto"/>
            <w:right w:val="none" w:sz="0" w:space="0" w:color="auto"/>
          </w:divBdr>
          <w:divsChild>
            <w:div w:id="772629296">
              <w:marLeft w:val="-75"/>
              <w:marRight w:val="0"/>
              <w:marTop w:val="30"/>
              <w:marBottom w:val="30"/>
              <w:divBdr>
                <w:top w:val="none" w:sz="0" w:space="0" w:color="auto"/>
                <w:left w:val="none" w:sz="0" w:space="0" w:color="auto"/>
                <w:bottom w:val="none" w:sz="0" w:space="0" w:color="auto"/>
                <w:right w:val="none" w:sz="0" w:space="0" w:color="auto"/>
              </w:divBdr>
              <w:divsChild>
                <w:div w:id="59452255">
                  <w:marLeft w:val="0"/>
                  <w:marRight w:val="0"/>
                  <w:marTop w:val="0"/>
                  <w:marBottom w:val="0"/>
                  <w:divBdr>
                    <w:top w:val="none" w:sz="0" w:space="0" w:color="auto"/>
                    <w:left w:val="none" w:sz="0" w:space="0" w:color="auto"/>
                    <w:bottom w:val="none" w:sz="0" w:space="0" w:color="auto"/>
                    <w:right w:val="none" w:sz="0" w:space="0" w:color="auto"/>
                  </w:divBdr>
                  <w:divsChild>
                    <w:div w:id="1009144064">
                      <w:marLeft w:val="0"/>
                      <w:marRight w:val="0"/>
                      <w:marTop w:val="0"/>
                      <w:marBottom w:val="0"/>
                      <w:divBdr>
                        <w:top w:val="none" w:sz="0" w:space="0" w:color="auto"/>
                        <w:left w:val="none" w:sz="0" w:space="0" w:color="auto"/>
                        <w:bottom w:val="none" w:sz="0" w:space="0" w:color="auto"/>
                        <w:right w:val="none" w:sz="0" w:space="0" w:color="auto"/>
                      </w:divBdr>
                    </w:div>
                  </w:divsChild>
                </w:div>
                <w:div w:id="150995786">
                  <w:marLeft w:val="0"/>
                  <w:marRight w:val="0"/>
                  <w:marTop w:val="0"/>
                  <w:marBottom w:val="0"/>
                  <w:divBdr>
                    <w:top w:val="none" w:sz="0" w:space="0" w:color="auto"/>
                    <w:left w:val="none" w:sz="0" w:space="0" w:color="auto"/>
                    <w:bottom w:val="none" w:sz="0" w:space="0" w:color="auto"/>
                    <w:right w:val="none" w:sz="0" w:space="0" w:color="auto"/>
                  </w:divBdr>
                  <w:divsChild>
                    <w:div w:id="484395287">
                      <w:marLeft w:val="0"/>
                      <w:marRight w:val="0"/>
                      <w:marTop w:val="0"/>
                      <w:marBottom w:val="0"/>
                      <w:divBdr>
                        <w:top w:val="none" w:sz="0" w:space="0" w:color="auto"/>
                        <w:left w:val="none" w:sz="0" w:space="0" w:color="auto"/>
                        <w:bottom w:val="none" w:sz="0" w:space="0" w:color="auto"/>
                        <w:right w:val="none" w:sz="0" w:space="0" w:color="auto"/>
                      </w:divBdr>
                    </w:div>
                  </w:divsChild>
                </w:div>
                <w:div w:id="202988755">
                  <w:marLeft w:val="0"/>
                  <w:marRight w:val="0"/>
                  <w:marTop w:val="0"/>
                  <w:marBottom w:val="0"/>
                  <w:divBdr>
                    <w:top w:val="none" w:sz="0" w:space="0" w:color="auto"/>
                    <w:left w:val="none" w:sz="0" w:space="0" w:color="auto"/>
                    <w:bottom w:val="none" w:sz="0" w:space="0" w:color="auto"/>
                    <w:right w:val="none" w:sz="0" w:space="0" w:color="auto"/>
                  </w:divBdr>
                  <w:divsChild>
                    <w:div w:id="1359350254">
                      <w:marLeft w:val="0"/>
                      <w:marRight w:val="0"/>
                      <w:marTop w:val="0"/>
                      <w:marBottom w:val="0"/>
                      <w:divBdr>
                        <w:top w:val="none" w:sz="0" w:space="0" w:color="auto"/>
                        <w:left w:val="none" w:sz="0" w:space="0" w:color="auto"/>
                        <w:bottom w:val="none" w:sz="0" w:space="0" w:color="auto"/>
                        <w:right w:val="none" w:sz="0" w:space="0" w:color="auto"/>
                      </w:divBdr>
                    </w:div>
                  </w:divsChild>
                </w:div>
                <w:div w:id="270556161">
                  <w:marLeft w:val="0"/>
                  <w:marRight w:val="0"/>
                  <w:marTop w:val="0"/>
                  <w:marBottom w:val="0"/>
                  <w:divBdr>
                    <w:top w:val="none" w:sz="0" w:space="0" w:color="auto"/>
                    <w:left w:val="none" w:sz="0" w:space="0" w:color="auto"/>
                    <w:bottom w:val="none" w:sz="0" w:space="0" w:color="auto"/>
                    <w:right w:val="none" w:sz="0" w:space="0" w:color="auto"/>
                  </w:divBdr>
                  <w:divsChild>
                    <w:div w:id="19819333">
                      <w:marLeft w:val="0"/>
                      <w:marRight w:val="0"/>
                      <w:marTop w:val="0"/>
                      <w:marBottom w:val="0"/>
                      <w:divBdr>
                        <w:top w:val="none" w:sz="0" w:space="0" w:color="auto"/>
                        <w:left w:val="none" w:sz="0" w:space="0" w:color="auto"/>
                        <w:bottom w:val="none" w:sz="0" w:space="0" w:color="auto"/>
                        <w:right w:val="none" w:sz="0" w:space="0" w:color="auto"/>
                      </w:divBdr>
                    </w:div>
                    <w:div w:id="159735798">
                      <w:marLeft w:val="0"/>
                      <w:marRight w:val="0"/>
                      <w:marTop w:val="0"/>
                      <w:marBottom w:val="0"/>
                      <w:divBdr>
                        <w:top w:val="none" w:sz="0" w:space="0" w:color="auto"/>
                        <w:left w:val="none" w:sz="0" w:space="0" w:color="auto"/>
                        <w:bottom w:val="none" w:sz="0" w:space="0" w:color="auto"/>
                        <w:right w:val="none" w:sz="0" w:space="0" w:color="auto"/>
                      </w:divBdr>
                    </w:div>
                    <w:div w:id="1535574817">
                      <w:marLeft w:val="0"/>
                      <w:marRight w:val="0"/>
                      <w:marTop w:val="0"/>
                      <w:marBottom w:val="0"/>
                      <w:divBdr>
                        <w:top w:val="none" w:sz="0" w:space="0" w:color="auto"/>
                        <w:left w:val="none" w:sz="0" w:space="0" w:color="auto"/>
                        <w:bottom w:val="none" w:sz="0" w:space="0" w:color="auto"/>
                        <w:right w:val="none" w:sz="0" w:space="0" w:color="auto"/>
                      </w:divBdr>
                    </w:div>
                    <w:div w:id="1899434176">
                      <w:marLeft w:val="0"/>
                      <w:marRight w:val="0"/>
                      <w:marTop w:val="0"/>
                      <w:marBottom w:val="0"/>
                      <w:divBdr>
                        <w:top w:val="none" w:sz="0" w:space="0" w:color="auto"/>
                        <w:left w:val="none" w:sz="0" w:space="0" w:color="auto"/>
                        <w:bottom w:val="none" w:sz="0" w:space="0" w:color="auto"/>
                        <w:right w:val="none" w:sz="0" w:space="0" w:color="auto"/>
                      </w:divBdr>
                    </w:div>
                  </w:divsChild>
                </w:div>
                <w:div w:id="283730625">
                  <w:marLeft w:val="0"/>
                  <w:marRight w:val="0"/>
                  <w:marTop w:val="0"/>
                  <w:marBottom w:val="0"/>
                  <w:divBdr>
                    <w:top w:val="none" w:sz="0" w:space="0" w:color="auto"/>
                    <w:left w:val="none" w:sz="0" w:space="0" w:color="auto"/>
                    <w:bottom w:val="none" w:sz="0" w:space="0" w:color="auto"/>
                    <w:right w:val="none" w:sz="0" w:space="0" w:color="auto"/>
                  </w:divBdr>
                  <w:divsChild>
                    <w:div w:id="419372282">
                      <w:marLeft w:val="0"/>
                      <w:marRight w:val="0"/>
                      <w:marTop w:val="0"/>
                      <w:marBottom w:val="0"/>
                      <w:divBdr>
                        <w:top w:val="none" w:sz="0" w:space="0" w:color="auto"/>
                        <w:left w:val="none" w:sz="0" w:space="0" w:color="auto"/>
                        <w:bottom w:val="none" w:sz="0" w:space="0" w:color="auto"/>
                        <w:right w:val="none" w:sz="0" w:space="0" w:color="auto"/>
                      </w:divBdr>
                    </w:div>
                    <w:div w:id="989093982">
                      <w:marLeft w:val="0"/>
                      <w:marRight w:val="0"/>
                      <w:marTop w:val="0"/>
                      <w:marBottom w:val="0"/>
                      <w:divBdr>
                        <w:top w:val="none" w:sz="0" w:space="0" w:color="auto"/>
                        <w:left w:val="none" w:sz="0" w:space="0" w:color="auto"/>
                        <w:bottom w:val="none" w:sz="0" w:space="0" w:color="auto"/>
                        <w:right w:val="none" w:sz="0" w:space="0" w:color="auto"/>
                      </w:divBdr>
                    </w:div>
                    <w:div w:id="1546142741">
                      <w:marLeft w:val="0"/>
                      <w:marRight w:val="0"/>
                      <w:marTop w:val="0"/>
                      <w:marBottom w:val="0"/>
                      <w:divBdr>
                        <w:top w:val="none" w:sz="0" w:space="0" w:color="auto"/>
                        <w:left w:val="none" w:sz="0" w:space="0" w:color="auto"/>
                        <w:bottom w:val="none" w:sz="0" w:space="0" w:color="auto"/>
                        <w:right w:val="none" w:sz="0" w:space="0" w:color="auto"/>
                      </w:divBdr>
                    </w:div>
                    <w:div w:id="1877237014">
                      <w:marLeft w:val="0"/>
                      <w:marRight w:val="0"/>
                      <w:marTop w:val="0"/>
                      <w:marBottom w:val="0"/>
                      <w:divBdr>
                        <w:top w:val="none" w:sz="0" w:space="0" w:color="auto"/>
                        <w:left w:val="none" w:sz="0" w:space="0" w:color="auto"/>
                        <w:bottom w:val="none" w:sz="0" w:space="0" w:color="auto"/>
                        <w:right w:val="none" w:sz="0" w:space="0" w:color="auto"/>
                      </w:divBdr>
                    </w:div>
                  </w:divsChild>
                </w:div>
                <w:div w:id="285164075">
                  <w:marLeft w:val="0"/>
                  <w:marRight w:val="0"/>
                  <w:marTop w:val="0"/>
                  <w:marBottom w:val="0"/>
                  <w:divBdr>
                    <w:top w:val="none" w:sz="0" w:space="0" w:color="auto"/>
                    <w:left w:val="none" w:sz="0" w:space="0" w:color="auto"/>
                    <w:bottom w:val="none" w:sz="0" w:space="0" w:color="auto"/>
                    <w:right w:val="none" w:sz="0" w:space="0" w:color="auto"/>
                  </w:divBdr>
                  <w:divsChild>
                    <w:div w:id="716592451">
                      <w:marLeft w:val="0"/>
                      <w:marRight w:val="0"/>
                      <w:marTop w:val="0"/>
                      <w:marBottom w:val="0"/>
                      <w:divBdr>
                        <w:top w:val="none" w:sz="0" w:space="0" w:color="auto"/>
                        <w:left w:val="none" w:sz="0" w:space="0" w:color="auto"/>
                        <w:bottom w:val="none" w:sz="0" w:space="0" w:color="auto"/>
                        <w:right w:val="none" w:sz="0" w:space="0" w:color="auto"/>
                      </w:divBdr>
                    </w:div>
                  </w:divsChild>
                </w:div>
                <w:div w:id="329019565">
                  <w:marLeft w:val="0"/>
                  <w:marRight w:val="0"/>
                  <w:marTop w:val="0"/>
                  <w:marBottom w:val="0"/>
                  <w:divBdr>
                    <w:top w:val="none" w:sz="0" w:space="0" w:color="auto"/>
                    <w:left w:val="none" w:sz="0" w:space="0" w:color="auto"/>
                    <w:bottom w:val="none" w:sz="0" w:space="0" w:color="auto"/>
                    <w:right w:val="none" w:sz="0" w:space="0" w:color="auto"/>
                  </w:divBdr>
                  <w:divsChild>
                    <w:div w:id="1933775370">
                      <w:marLeft w:val="0"/>
                      <w:marRight w:val="0"/>
                      <w:marTop w:val="0"/>
                      <w:marBottom w:val="0"/>
                      <w:divBdr>
                        <w:top w:val="none" w:sz="0" w:space="0" w:color="auto"/>
                        <w:left w:val="none" w:sz="0" w:space="0" w:color="auto"/>
                        <w:bottom w:val="none" w:sz="0" w:space="0" w:color="auto"/>
                        <w:right w:val="none" w:sz="0" w:space="0" w:color="auto"/>
                      </w:divBdr>
                    </w:div>
                  </w:divsChild>
                </w:div>
                <w:div w:id="432868380">
                  <w:marLeft w:val="0"/>
                  <w:marRight w:val="0"/>
                  <w:marTop w:val="0"/>
                  <w:marBottom w:val="0"/>
                  <w:divBdr>
                    <w:top w:val="none" w:sz="0" w:space="0" w:color="auto"/>
                    <w:left w:val="none" w:sz="0" w:space="0" w:color="auto"/>
                    <w:bottom w:val="none" w:sz="0" w:space="0" w:color="auto"/>
                    <w:right w:val="none" w:sz="0" w:space="0" w:color="auto"/>
                  </w:divBdr>
                  <w:divsChild>
                    <w:div w:id="301693302">
                      <w:marLeft w:val="0"/>
                      <w:marRight w:val="0"/>
                      <w:marTop w:val="0"/>
                      <w:marBottom w:val="0"/>
                      <w:divBdr>
                        <w:top w:val="none" w:sz="0" w:space="0" w:color="auto"/>
                        <w:left w:val="none" w:sz="0" w:space="0" w:color="auto"/>
                        <w:bottom w:val="none" w:sz="0" w:space="0" w:color="auto"/>
                        <w:right w:val="none" w:sz="0" w:space="0" w:color="auto"/>
                      </w:divBdr>
                    </w:div>
                    <w:div w:id="437798871">
                      <w:marLeft w:val="0"/>
                      <w:marRight w:val="0"/>
                      <w:marTop w:val="0"/>
                      <w:marBottom w:val="0"/>
                      <w:divBdr>
                        <w:top w:val="none" w:sz="0" w:space="0" w:color="auto"/>
                        <w:left w:val="none" w:sz="0" w:space="0" w:color="auto"/>
                        <w:bottom w:val="none" w:sz="0" w:space="0" w:color="auto"/>
                        <w:right w:val="none" w:sz="0" w:space="0" w:color="auto"/>
                      </w:divBdr>
                    </w:div>
                    <w:div w:id="478695146">
                      <w:marLeft w:val="0"/>
                      <w:marRight w:val="0"/>
                      <w:marTop w:val="0"/>
                      <w:marBottom w:val="0"/>
                      <w:divBdr>
                        <w:top w:val="none" w:sz="0" w:space="0" w:color="auto"/>
                        <w:left w:val="none" w:sz="0" w:space="0" w:color="auto"/>
                        <w:bottom w:val="none" w:sz="0" w:space="0" w:color="auto"/>
                        <w:right w:val="none" w:sz="0" w:space="0" w:color="auto"/>
                      </w:divBdr>
                    </w:div>
                    <w:div w:id="1267272624">
                      <w:marLeft w:val="0"/>
                      <w:marRight w:val="0"/>
                      <w:marTop w:val="0"/>
                      <w:marBottom w:val="0"/>
                      <w:divBdr>
                        <w:top w:val="none" w:sz="0" w:space="0" w:color="auto"/>
                        <w:left w:val="none" w:sz="0" w:space="0" w:color="auto"/>
                        <w:bottom w:val="none" w:sz="0" w:space="0" w:color="auto"/>
                        <w:right w:val="none" w:sz="0" w:space="0" w:color="auto"/>
                      </w:divBdr>
                    </w:div>
                  </w:divsChild>
                </w:div>
                <w:div w:id="504443286">
                  <w:marLeft w:val="0"/>
                  <w:marRight w:val="0"/>
                  <w:marTop w:val="0"/>
                  <w:marBottom w:val="0"/>
                  <w:divBdr>
                    <w:top w:val="none" w:sz="0" w:space="0" w:color="auto"/>
                    <w:left w:val="none" w:sz="0" w:space="0" w:color="auto"/>
                    <w:bottom w:val="none" w:sz="0" w:space="0" w:color="auto"/>
                    <w:right w:val="none" w:sz="0" w:space="0" w:color="auto"/>
                  </w:divBdr>
                  <w:divsChild>
                    <w:div w:id="667443855">
                      <w:marLeft w:val="0"/>
                      <w:marRight w:val="0"/>
                      <w:marTop w:val="0"/>
                      <w:marBottom w:val="0"/>
                      <w:divBdr>
                        <w:top w:val="none" w:sz="0" w:space="0" w:color="auto"/>
                        <w:left w:val="none" w:sz="0" w:space="0" w:color="auto"/>
                        <w:bottom w:val="none" w:sz="0" w:space="0" w:color="auto"/>
                        <w:right w:val="none" w:sz="0" w:space="0" w:color="auto"/>
                      </w:divBdr>
                    </w:div>
                    <w:div w:id="786267764">
                      <w:marLeft w:val="0"/>
                      <w:marRight w:val="0"/>
                      <w:marTop w:val="0"/>
                      <w:marBottom w:val="0"/>
                      <w:divBdr>
                        <w:top w:val="none" w:sz="0" w:space="0" w:color="auto"/>
                        <w:left w:val="none" w:sz="0" w:space="0" w:color="auto"/>
                        <w:bottom w:val="none" w:sz="0" w:space="0" w:color="auto"/>
                        <w:right w:val="none" w:sz="0" w:space="0" w:color="auto"/>
                      </w:divBdr>
                    </w:div>
                    <w:div w:id="919555935">
                      <w:marLeft w:val="0"/>
                      <w:marRight w:val="0"/>
                      <w:marTop w:val="0"/>
                      <w:marBottom w:val="0"/>
                      <w:divBdr>
                        <w:top w:val="none" w:sz="0" w:space="0" w:color="auto"/>
                        <w:left w:val="none" w:sz="0" w:space="0" w:color="auto"/>
                        <w:bottom w:val="none" w:sz="0" w:space="0" w:color="auto"/>
                        <w:right w:val="none" w:sz="0" w:space="0" w:color="auto"/>
                      </w:divBdr>
                    </w:div>
                    <w:div w:id="1900481888">
                      <w:marLeft w:val="0"/>
                      <w:marRight w:val="0"/>
                      <w:marTop w:val="0"/>
                      <w:marBottom w:val="0"/>
                      <w:divBdr>
                        <w:top w:val="none" w:sz="0" w:space="0" w:color="auto"/>
                        <w:left w:val="none" w:sz="0" w:space="0" w:color="auto"/>
                        <w:bottom w:val="none" w:sz="0" w:space="0" w:color="auto"/>
                        <w:right w:val="none" w:sz="0" w:space="0" w:color="auto"/>
                      </w:divBdr>
                    </w:div>
                  </w:divsChild>
                </w:div>
                <w:div w:id="539054162">
                  <w:marLeft w:val="0"/>
                  <w:marRight w:val="0"/>
                  <w:marTop w:val="0"/>
                  <w:marBottom w:val="0"/>
                  <w:divBdr>
                    <w:top w:val="none" w:sz="0" w:space="0" w:color="auto"/>
                    <w:left w:val="none" w:sz="0" w:space="0" w:color="auto"/>
                    <w:bottom w:val="none" w:sz="0" w:space="0" w:color="auto"/>
                    <w:right w:val="none" w:sz="0" w:space="0" w:color="auto"/>
                  </w:divBdr>
                  <w:divsChild>
                    <w:div w:id="630673017">
                      <w:marLeft w:val="0"/>
                      <w:marRight w:val="0"/>
                      <w:marTop w:val="0"/>
                      <w:marBottom w:val="0"/>
                      <w:divBdr>
                        <w:top w:val="none" w:sz="0" w:space="0" w:color="auto"/>
                        <w:left w:val="none" w:sz="0" w:space="0" w:color="auto"/>
                        <w:bottom w:val="none" w:sz="0" w:space="0" w:color="auto"/>
                        <w:right w:val="none" w:sz="0" w:space="0" w:color="auto"/>
                      </w:divBdr>
                    </w:div>
                  </w:divsChild>
                </w:div>
                <w:div w:id="735859021">
                  <w:marLeft w:val="0"/>
                  <w:marRight w:val="0"/>
                  <w:marTop w:val="0"/>
                  <w:marBottom w:val="0"/>
                  <w:divBdr>
                    <w:top w:val="none" w:sz="0" w:space="0" w:color="auto"/>
                    <w:left w:val="none" w:sz="0" w:space="0" w:color="auto"/>
                    <w:bottom w:val="none" w:sz="0" w:space="0" w:color="auto"/>
                    <w:right w:val="none" w:sz="0" w:space="0" w:color="auto"/>
                  </w:divBdr>
                  <w:divsChild>
                    <w:div w:id="267741523">
                      <w:marLeft w:val="0"/>
                      <w:marRight w:val="0"/>
                      <w:marTop w:val="0"/>
                      <w:marBottom w:val="0"/>
                      <w:divBdr>
                        <w:top w:val="none" w:sz="0" w:space="0" w:color="auto"/>
                        <w:left w:val="none" w:sz="0" w:space="0" w:color="auto"/>
                        <w:bottom w:val="none" w:sz="0" w:space="0" w:color="auto"/>
                        <w:right w:val="none" w:sz="0" w:space="0" w:color="auto"/>
                      </w:divBdr>
                    </w:div>
                    <w:div w:id="744837879">
                      <w:marLeft w:val="0"/>
                      <w:marRight w:val="0"/>
                      <w:marTop w:val="0"/>
                      <w:marBottom w:val="0"/>
                      <w:divBdr>
                        <w:top w:val="none" w:sz="0" w:space="0" w:color="auto"/>
                        <w:left w:val="none" w:sz="0" w:space="0" w:color="auto"/>
                        <w:bottom w:val="none" w:sz="0" w:space="0" w:color="auto"/>
                        <w:right w:val="none" w:sz="0" w:space="0" w:color="auto"/>
                      </w:divBdr>
                    </w:div>
                    <w:div w:id="1206985572">
                      <w:marLeft w:val="0"/>
                      <w:marRight w:val="0"/>
                      <w:marTop w:val="0"/>
                      <w:marBottom w:val="0"/>
                      <w:divBdr>
                        <w:top w:val="none" w:sz="0" w:space="0" w:color="auto"/>
                        <w:left w:val="none" w:sz="0" w:space="0" w:color="auto"/>
                        <w:bottom w:val="none" w:sz="0" w:space="0" w:color="auto"/>
                        <w:right w:val="none" w:sz="0" w:space="0" w:color="auto"/>
                      </w:divBdr>
                    </w:div>
                    <w:div w:id="1771117159">
                      <w:marLeft w:val="0"/>
                      <w:marRight w:val="0"/>
                      <w:marTop w:val="0"/>
                      <w:marBottom w:val="0"/>
                      <w:divBdr>
                        <w:top w:val="none" w:sz="0" w:space="0" w:color="auto"/>
                        <w:left w:val="none" w:sz="0" w:space="0" w:color="auto"/>
                        <w:bottom w:val="none" w:sz="0" w:space="0" w:color="auto"/>
                        <w:right w:val="none" w:sz="0" w:space="0" w:color="auto"/>
                      </w:divBdr>
                    </w:div>
                  </w:divsChild>
                </w:div>
                <w:div w:id="906958267">
                  <w:marLeft w:val="0"/>
                  <w:marRight w:val="0"/>
                  <w:marTop w:val="0"/>
                  <w:marBottom w:val="0"/>
                  <w:divBdr>
                    <w:top w:val="none" w:sz="0" w:space="0" w:color="auto"/>
                    <w:left w:val="none" w:sz="0" w:space="0" w:color="auto"/>
                    <w:bottom w:val="none" w:sz="0" w:space="0" w:color="auto"/>
                    <w:right w:val="none" w:sz="0" w:space="0" w:color="auto"/>
                  </w:divBdr>
                  <w:divsChild>
                    <w:div w:id="1572547562">
                      <w:marLeft w:val="0"/>
                      <w:marRight w:val="0"/>
                      <w:marTop w:val="0"/>
                      <w:marBottom w:val="0"/>
                      <w:divBdr>
                        <w:top w:val="none" w:sz="0" w:space="0" w:color="auto"/>
                        <w:left w:val="none" w:sz="0" w:space="0" w:color="auto"/>
                        <w:bottom w:val="none" w:sz="0" w:space="0" w:color="auto"/>
                        <w:right w:val="none" w:sz="0" w:space="0" w:color="auto"/>
                      </w:divBdr>
                    </w:div>
                  </w:divsChild>
                </w:div>
                <w:div w:id="1093089519">
                  <w:marLeft w:val="0"/>
                  <w:marRight w:val="0"/>
                  <w:marTop w:val="0"/>
                  <w:marBottom w:val="0"/>
                  <w:divBdr>
                    <w:top w:val="none" w:sz="0" w:space="0" w:color="auto"/>
                    <w:left w:val="none" w:sz="0" w:space="0" w:color="auto"/>
                    <w:bottom w:val="none" w:sz="0" w:space="0" w:color="auto"/>
                    <w:right w:val="none" w:sz="0" w:space="0" w:color="auto"/>
                  </w:divBdr>
                  <w:divsChild>
                    <w:div w:id="892810703">
                      <w:marLeft w:val="0"/>
                      <w:marRight w:val="0"/>
                      <w:marTop w:val="0"/>
                      <w:marBottom w:val="0"/>
                      <w:divBdr>
                        <w:top w:val="none" w:sz="0" w:space="0" w:color="auto"/>
                        <w:left w:val="none" w:sz="0" w:space="0" w:color="auto"/>
                        <w:bottom w:val="none" w:sz="0" w:space="0" w:color="auto"/>
                        <w:right w:val="none" w:sz="0" w:space="0" w:color="auto"/>
                      </w:divBdr>
                    </w:div>
                    <w:div w:id="1137651390">
                      <w:marLeft w:val="0"/>
                      <w:marRight w:val="0"/>
                      <w:marTop w:val="0"/>
                      <w:marBottom w:val="0"/>
                      <w:divBdr>
                        <w:top w:val="none" w:sz="0" w:space="0" w:color="auto"/>
                        <w:left w:val="none" w:sz="0" w:space="0" w:color="auto"/>
                        <w:bottom w:val="none" w:sz="0" w:space="0" w:color="auto"/>
                        <w:right w:val="none" w:sz="0" w:space="0" w:color="auto"/>
                      </w:divBdr>
                    </w:div>
                    <w:div w:id="1541476602">
                      <w:marLeft w:val="0"/>
                      <w:marRight w:val="0"/>
                      <w:marTop w:val="0"/>
                      <w:marBottom w:val="0"/>
                      <w:divBdr>
                        <w:top w:val="none" w:sz="0" w:space="0" w:color="auto"/>
                        <w:left w:val="none" w:sz="0" w:space="0" w:color="auto"/>
                        <w:bottom w:val="none" w:sz="0" w:space="0" w:color="auto"/>
                        <w:right w:val="none" w:sz="0" w:space="0" w:color="auto"/>
                      </w:divBdr>
                    </w:div>
                    <w:div w:id="1543252209">
                      <w:marLeft w:val="0"/>
                      <w:marRight w:val="0"/>
                      <w:marTop w:val="0"/>
                      <w:marBottom w:val="0"/>
                      <w:divBdr>
                        <w:top w:val="none" w:sz="0" w:space="0" w:color="auto"/>
                        <w:left w:val="none" w:sz="0" w:space="0" w:color="auto"/>
                        <w:bottom w:val="none" w:sz="0" w:space="0" w:color="auto"/>
                        <w:right w:val="none" w:sz="0" w:space="0" w:color="auto"/>
                      </w:divBdr>
                    </w:div>
                  </w:divsChild>
                </w:div>
                <w:div w:id="1104113642">
                  <w:marLeft w:val="0"/>
                  <w:marRight w:val="0"/>
                  <w:marTop w:val="0"/>
                  <w:marBottom w:val="0"/>
                  <w:divBdr>
                    <w:top w:val="none" w:sz="0" w:space="0" w:color="auto"/>
                    <w:left w:val="none" w:sz="0" w:space="0" w:color="auto"/>
                    <w:bottom w:val="none" w:sz="0" w:space="0" w:color="auto"/>
                    <w:right w:val="none" w:sz="0" w:space="0" w:color="auto"/>
                  </w:divBdr>
                  <w:divsChild>
                    <w:div w:id="308095374">
                      <w:marLeft w:val="0"/>
                      <w:marRight w:val="0"/>
                      <w:marTop w:val="0"/>
                      <w:marBottom w:val="0"/>
                      <w:divBdr>
                        <w:top w:val="none" w:sz="0" w:space="0" w:color="auto"/>
                        <w:left w:val="none" w:sz="0" w:space="0" w:color="auto"/>
                        <w:bottom w:val="none" w:sz="0" w:space="0" w:color="auto"/>
                        <w:right w:val="none" w:sz="0" w:space="0" w:color="auto"/>
                      </w:divBdr>
                    </w:div>
                  </w:divsChild>
                </w:div>
                <w:div w:id="1453591447">
                  <w:marLeft w:val="0"/>
                  <w:marRight w:val="0"/>
                  <w:marTop w:val="0"/>
                  <w:marBottom w:val="0"/>
                  <w:divBdr>
                    <w:top w:val="none" w:sz="0" w:space="0" w:color="auto"/>
                    <w:left w:val="none" w:sz="0" w:space="0" w:color="auto"/>
                    <w:bottom w:val="none" w:sz="0" w:space="0" w:color="auto"/>
                    <w:right w:val="none" w:sz="0" w:space="0" w:color="auto"/>
                  </w:divBdr>
                  <w:divsChild>
                    <w:div w:id="647563377">
                      <w:marLeft w:val="0"/>
                      <w:marRight w:val="0"/>
                      <w:marTop w:val="0"/>
                      <w:marBottom w:val="0"/>
                      <w:divBdr>
                        <w:top w:val="none" w:sz="0" w:space="0" w:color="auto"/>
                        <w:left w:val="none" w:sz="0" w:space="0" w:color="auto"/>
                        <w:bottom w:val="none" w:sz="0" w:space="0" w:color="auto"/>
                        <w:right w:val="none" w:sz="0" w:space="0" w:color="auto"/>
                      </w:divBdr>
                    </w:div>
                    <w:div w:id="788932064">
                      <w:marLeft w:val="0"/>
                      <w:marRight w:val="0"/>
                      <w:marTop w:val="0"/>
                      <w:marBottom w:val="0"/>
                      <w:divBdr>
                        <w:top w:val="none" w:sz="0" w:space="0" w:color="auto"/>
                        <w:left w:val="none" w:sz="0" w:space="0" w:color="auto"/>
                        <w:bottom w:val="none" w:sz="0" w:space="0" w:color="auto"/>
                        <w:right w:val="none" w:sz="0" w:space="0" w:color="auto"/>
                      </w:divBdr>
                    </w:div>
                    <w:div w:id="1418212421">
                      <w:marLeft w:val="0"/>
                      <w:marRight w:val="0"/>
                      <w:marTop w:val="0"/>
                      <w:marBottom w:val="0"/>
                      <w:divBdr>
                        <w:top w:val="none" w:sz="0" w:space="0" w:color="auto"/>
                        <w:left w:val="none" w:sz="0" w:space="0" w:color="auto"/>
                        <w:bottom w:val="none" w:sz="0" w:space="0" w:color="auto"/>
                        <w:right w:val="none" w:sz="0" w:space="0" w:color="auto"/>
                      </w:divBdr>
                    </w:div>
                    <w:div w:id="2017069372">
                      <w:marLeft w:val="0"/>
                      <w:marRight w:val="0"/>
                      <w:marTop w:val="0"/>
                      <w:marBottom w:val="0"/>
                      <w:divBdr>
                        <w:top w:val="none" w:sz="0" w:space="0" w:color="auto"/>
                        <w:left w:val="none" w:sz="0" w:space="0" w:color="auto"/>
                        <w:bottom w:val="none" w:sz="0" w:space="0" w:color="auto"/>
                        <w:right w:val="none" w:sz="0" w:space="0" w:color="auto"/>
                      </w:divBdr>
                    </w:div>
                  </w:divsChild>
                </w:div>
                <w:div w:id="1464931229">
                  <w:marLeft w:val="0"/>
                  <w:marRight w:val="0"/>
                  <w:marTop w:val="0"/>
                  <w:marBottom w:val="0"/>
                  <w:divBdr>
                    <w:top w:val="none" w:sz="0" w:space="0" w:color="auto"/>
                    <w:left w:val="none" w:sz="0" w:space="0" w:color="auto"/>
                    <w:bottom w:val="none" w:sz="0" w:space="0" w:color="auto"/>
                    <w:right w:val="none" w:sz="0" w:space="0" w:color="auto"/>
                  </w:divBdr>
                  <w:divsChild>
                    <w:div w:id="414404308">
                      <w:marLeft w:val="0"/>
                      <w:marRight w:val="0"/>
                      <w:marTop w:val="0"/>
                      <w:marBottom w:val="0"/>
                      <w:divBdr>
                        <w:top w:val="none" w:sz="0" w:space="0" w:color="auto"/>
                        <w:left w:val="none" w:sz="0" w:space="0" w:color="auto"/>
                        <w:bottom w:val="none" w:sz="0" w:space="0" w:color="auto"/>
                        <w:right w:val="none" w:sz="0" w:space="0" w:color="auto"/>
                      </w:divBdr>
                    </w:div>
                    <w:div w:id="960500549">
                      <w:marLeft w:val="0"/>
                      <w:marRight w:val="0"/>
                      <w:marTop w:val="0"/>
                      <w:marBottom w:val="0"/>
                      <w:divBdr>
                        <w:top w:val="none" w:sz="0" w:space="0" w:color="auto"/>
                        <w:left w:val="none" w:sz="0" w:space="0" w:color="auto"/>
                        <w:bottom w:val="none" w:sz="0" w:space="0" w:color="auto"/>
                        <w:right w:val="none" w:sz="0" w:space="0" w:color="auto"/>
                      </w:divBdr>
                    </w:div>
                    <w:div w:id="1279798661">
                      <w:marLeft w:val="0"/>
                      <w:marRight w:val="0"/>
                      <w:marTop w:val="0"/>
                      <w:marBottom w:val="0"/>
                      <w:divBdr>
                        <w:top w:val="none" w:sz="0" w:space="0" w:color="auto"/>
                        <w:left w:val="none" w:sz="0" w:space="0" w:color="auto"/>
                        <w:bottom w:val="none" w:sz="0" w:space="0" w:color="auto"/>
                        <w:right w:val="none" w:sz="0" w:space="0" w:color="auto"/>
                      </w:divBdr>
                    </w:div>
                    <w:div w:id="1831216947">
                      <w:marLeft w:val="0"/>
                      <w:marRight w:val="0"/>
                      <w:marTop w:val="0"/>
                      <w:marBottom w:val="0"/>
                      <w:divBdr>
                        <w:top w:val="none" w:sz="0" w:space="0" w:color="auto"/>
                        <w:left w:val="none" w:sz="0" w:space="0" w:color="auto"/>
                        <w:bottom w:val="none" w:sz="0" w:space="0" w:color="auto"/>
                        <w:right w:val="none" w:sz="0" w:space="0" w:color="auto"/>
                      </w:divBdr>
                    </w:div>
                  </w:divsChild>
                </w:div>
                <w:div w:id="1992906455">
                  <w:marLeft w:val="0"/>
                  <w:marRight w:val="0"/>
                  <w:marTop w:val="0"/>
                  <w:marBottom w:val="0"/>
                  <w:divBdr>
                    <w:top w:val="none" w:sz="0" w:space="0" w:color="auto"/>
                    <w:left w:val="none" w:sz="0" w:space="0" w:color="auto"/>
                    <w:bottom w:val="none" w:sz="0" w:space="0" w:color="auto"/>
                    <w:right w:val="none" w:sz="0" w:space="0" w:color="auto"/>
                  </w:divBdr>
                  <w:divsChild>
                    <w:div w:id="864756291">
                      <w:marLeft w:val="0"/>
                      <w:marRight w:val="0"/>
                      <w:marTop w:val="0"/>
                      <w:marBottom w:val="0"/>
                      <w:divBdr>
                        <w:top w:val="none" w:sz="0" w:space="0" w:color="auto"/>
                        <w:left w:val="none" w:sz="0" w:space="0" w:color="auto"/>
                        <w:bottom w:val="none" w:sz="0" w:space="0" w:color="auto"/>
                        <w:right w:val="none" w:sz="0" w:space="0" w:color="auto"/>
                      </w:divBdr>
                    </w:div>
                  </w:divsChild>
                </w:div>
                <w:div w:id="2089036840">
                  <w:marLeft w:val="0"/>
                  <w:marRight w:val="0"/>
                  <w:marTop w:val="0"/>
                  <w:marBottom w:val="0"/>
                  <w:divBdr>
                    <w:top w:val="none" w:sz="0" w:space="0" w:color="auto"/>
                    <w:left w:val="none" w:sz="0" w:space="0" w:color="auto"/>
                    <w:bottom w:val="none" w:sz="0" w:space="0" w:color="auto"/>
                    <w:right w:val="none" w:sz="0" w:space="0" w:color="auto"/>
                  </w:divBdr>
                  <w:divsChild>
                    <w:div w:id="287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5814">
          <w:marLeft w:val="0"/>
          <w:marRight w:val="0"/>
          <w:marTop w:val="0"/>
          <w:marBottom w:val="0"/>
          <w:divBdr>
            <w:top w:val="none" w:sz="0" w:space="0" w:color="auto"/>
            <w:left w:val="none" w:sz="0" w:space="0" w:color="auto"/>
            <w:bottom w:val="none" w:sz="0" w:space="0" w:color="auto"/>
            <w:right w:val="none" w:sz="0" w:space="0" w:color="auto"/>
          </w:divBdr>
        </w:div>
        <w:div w:id="186767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au/esos-framework" TargetMode="External"/><Relationship Id="rId18" Type="http://schemas.openxmlformats.org/officeDocument/2006/relationships/hyperlink" Target="https://universitiesaustralia.edu.au/stats-publications/public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ducation.gov.au/new-requirements-support-students" TargetMode="External"/><Relationship Id="rId17" Type="http://schemas.openxmlformats.org/officeDocument/2006/relationships/hyperlink" Target="https://www.teqsa.gov.au/guides-resources/resources/guidance-notes/guidance-note-wellbeing-and-safety" TargetMode="External"/><Relationship Id="rId2" Type="http://schemas.openxmlformats.org/officeDocument/2006/relationships/customXml" Target="../customXml/item2.xml"/><Relationship Id="rId16" Type="http://schemas.openxmlformats.org/officeDocument/2006/relationships/hyperlink" Target="https://humanrights.gov.au/our-work/sex-discrimination/projects/positive-duty-under-sex-discrimination-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higher-education-loan-program/higher-education-support-act-2003-and-guidelines" TargetMode="External"/><Relationship Id="rId5" Type="http://schemas.openxmlformats.org/officeDocument/2006/relationships/styles" Target="styles.xml"/><Relationship Id="rId15" Type="http://schemas.openxmlformats.org/officeDocument/2006/relationships/hyperlink" Target="https://www.wgea.gov.au/what-we-do" TargetMode="External"/><Relationship Id="rId23" Type="http://schemas.openxmlformats.org/officeDocument/2006/relationships/theme" Target="theme/theme1.xml"/><Relationship Id="rId10" Type="http://schemas.openxmlformats.org/officeDocument/2006/relationships/hyperlink" Target="https://www.teqsa.gov.au/how-we-regulate/higher-education-standards-framework-2021" TargetMode="External"/><Relationship Id="rId19" Type="http://schemas.openxmlformats.org/officeDocument/2006/relationships/hyperlink" Target="https://universitiesaustralia.edu.au/stats-publications/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pectatwork.gov.au/new-positive-duty-employers-prevent-workplace-sexual-harassment-sex-discrimination-and-victimis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964e1c-3c7d-43e4-89cb-156e908b8513">
      <Terms xmlns="http://schemas.microsoft.com/office/infopath/2007/PartnerControls"/>
    </lcf76f155ced4ddcb4097134ff3c332f>
    <TaxCatchAll xmlns="c9626b16-7ee2-4fee-8073-c61099f7bc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13" ma:contentTypeDescription="Create a new document." ma:contentTypeScope="" ma:versionID="130f24a7c7ac28f0696f7b5390824b32">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dbfcce23b68d38344224a5a960c27ac"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139A3-6F81-4B43-BDEB-42D6C6013B91}">
  <ds:schemaRefs>
    <ds:schemaRef ds:uri="http://schemas.microsoft.com/office/2006/metadata/properties"/>
    <ds:schemaRef ds:uri="c5964e1c-3c7d-43e4-89cb-156e908b8513"/>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9626b16-7ee2-4fee-8073-c61099f7bc14"/>
    <ds:schemaRef ds:uri="http://www.w3.org/XML/1998/namespace"/>
    <ds:schemaRef ds:uri="http://purl.org/dc/dcmitype/"/>
  </ds:schemaRefs>
</ds:datastoreItem>
</file>

<file path=customXml/itemProps2.xml><?xml version="1.0" encoding="utf-8"?>
<ds:datastoreItem xmlns:ds="http://schemas.openxmlformats.org/officeDocument/2006/customXml" ds:itemID="{2FE5FDC1-2F1B-445E-8105-33BC803F1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C0ACE-C40B-4A76-860E-02EF8C63E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1672</Words>
  <Characters>9535</Characters>
  <Application>Microsoft Office Word</Application>
  <DocSecurity>4</DocSecurity>
  <Lines>79</Lines>
  <Paragraphs>22</Paragraphs>
  <ScaleCrop>false</ScaleCrop>
  <Company>Australian Government</Company>
  <LinksUpToDate>false</LinksUpToDate>
  <CharactersWithSpaces>11185</CharactersWithSpaces>
  <SharedDoc>false</SharedDoc>
  <HLinks>
    <vt:vector size="60" baseType="variant">
      <vt:variant>
        <vt:i4>5308490</vt:i4>
      </vt:variant>
      <vt:variant>
        <vt:i4>27</vt:i4>
      </vt:variant>
      <vt:variant>
        <vt:i4>0</vt:i4>
      </vt:variant>
      <vt:variant>
        <vt:i4>5</vt:i4>
      </vt:variant>
      <vt:variant>
        <vt:lpwstr>https://universitiesaustralia.edu.au/stats-publications/publications/</vt:lpwstr>
      </vt:variant>
      <vt:variant>
        <vt:lpwstr/>
      </vt:variant>
      <vt:variant>
        <vt:i4>5308490</vt:i4>
      </vt:variant>
      <vt:variant>
        <vt:i4>24</vt:i4>
      </vt:variant>
      <vt:variant>
        <vt:i4>0</vt:i4>
      </vt:variant>
      <vt:variant>
        <vt:i4>5</vt:i4>
      </vt:variant>
      <vt:variant>
        <vt:lpwstr>https://universitiesaustralia.edu.au/stats-publications/publications/</vt:lpwstr>
      </vt:variant>
      <vt:variant>
        <vt:lpwstr/>
      </vt:variant>
      <vt:variant>
        <vt:i4>4784216</vt:i4>
      </vt:variant>
      <vt:variant>
        <vt:i4>21</vt:i4>
      </vt:variant>
      <vt:variant>
        <vt:i4>0</vt:i4>
      </vt:variant>
      <vt:variant>
        <vt:i4>5</vt:i4>
      </vt:variant>
      <vt:variant>
        <vt:lpwstr>https://www.teqsa.gov.au/guides-resources/resources/guidance-notes/guidance-note-wellbeing-and-safety</vt:lpwstr>
      </vt:variant>
      <vt:variant>
        <vt:lpwstr/>
      </vt:variant>
      <vt:variant>
        <vt:i4>7078000</vt:i4>
      </vt:variant>
      <vt:variant>
        <vt:i4>18</vt:i4>
      </vt:variant>
      <vt:variant>
        <vt:i4>0</vt:i4>
      </vt:variant>
      <vt:variant>
        <vt:i4>5</vt:i4>
      </vt:variant>
      <vt:variant>
        <vt:lpwstr>https://humanrights.gov.au/our-work/sex-discrimination/projects/positive-duty-under-sex-discrimination-act</vt:lpwstr>
      </vt:variant>
      <vt:variant>
        <vt:lpwstr/>
      </vt:variant>
      <vt:variant>
        <vt:i4>3670130</vt:i4>
      </vt:variant>
      <vt:variant>
        <vt:i4>15</vt:i4>
      </vt:variant>
      <vt:variant>
        <vt:i4>0</vt:i4>
      </vt:variant>
      <vt:variant>
        <vt:i4>5</vt:i4>
      </vt:variant>
      <vt:variant>
        <vt:lpwstr>https://www.wgea.gov.au/what-we-do</vt:lpwstr>
      </vt:variant>
      <vt:variant>
        <vt:lpwstr/>
      </vt:variant>
      <vt:variant>
        <vt:i4>4522049</vt:i4>
      </vt:variant>
      <vt:variant>
        <vt:i4>12</vt:i4>
      </vt:variant>
      <vt:variant>
        <vt:i4>0</vt:i4>
      </vt:variant>
      <vt:variant>
        <vt:i4>5</vt:i4>
      </vt:variant>
      <vt:variant>
        <vt:lpwstr>https://www.respectatwork.gov.au/new-positive-duty-employers-prevent-workplace-sexual-harassment-sex-discrimination-and-victimisation</vt:lpwstr>
      </vt:variant>
      <vt:variant>
        <vt:lpwstr/>
      </vt:variant>
      <vt:variant>
        <vt:i4>7536740</vt:i4>
      </vt:variant>
      <vt:variant>
        <vt:i4>9</vt:i4>
      </vt:variant>
      <vt:variant>
        <vt:i4>0</vt:i4>
      </vt:variant>
      <vt:variant>
        <vt:i4>5</vt:i4>
      </vt:variant>
      <vt:variant>
        <vt:lpwstr>https://www.education.gov.au/esos-framework</vt:lpwstr>
      </vt:variant>
      <vt:variant>
        <vt:lpwstr/>
      </vt:variant>
      <vt:variant>
        <vt:i4>3342396</vt:i4>
      </vt:variant>
      <vt:variant>
        <vt:i4>6</vt:i4>
      </vt:variant>
      <vt:variant>
        <vt:i4>0</vt:i4>
      </vt:variant>
      <vt:variant>
        <vt:i4>5</vt:i4>
      </vt:variant>
      <vt:variant>
        <vt:lpwstr>https://www.education.gov.au/new-requirements-support-students</vt:lpwstr>
      </vt:variant>
      <vt:variant>
        <vt:lpwstr/>
      </vt:variant>
      <vt:variant>
        <vt:i4>3801184</vt:i4>
      </vt:variant>
      <vt:variant>
        <vt:i4>3</vt:i4>
      </vt:variant>
      <vt:variant>
        <vt:i4>0</vt:i4>
      </vt:variant>
      <vt:variant>
        <vt:i4>5</vt:i4>
      </vt:variant>
      <vt:variant>
        <vt:lpwstr>https://www.education.gov.au/higher-education-loan-program/higher-education-support-act-2003-and-guidelines</vt:lpwstr>
      </vt:variant>
      <vt:variant>
        <vt:lpwstr/>
      </vt:variant>
      <vt:variant>
        <vt:i4>6750314</vt:i4>
      </vt:variant>
      <vt:variant>
        <vt:i4>0</vt:i4>
      </vt:variant>
      <vt:variant>
        <vt:i4>0</vt:i4>
      </vt:variant>
      <vt:variant>
        <vt:i4>5</vt:i4>
      </vt:variant>
      <vt:variant>
        <vt:lpwstr>https://www.teqsa.gov.au/how-we-regulate/higher-education-standards-framework-2021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STREETER-JONES,Ashleigh</dc:creator>
  <cp:keywords/>
  <dc:description/>
  <cp:lastModifiedBy>HAMILTON,Renee</cp:lastModifiedBy>
  <cp:revision>89</cp:revision>
  <dcterms:created xsi:type="dcterms:W3CDTF">2024-04-04T15:40:00Z</dcterms:created>
  <dcterms:modified xsi:type="dcterms:W3CDTF">2024-05-23T19:25:00Z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2024-04-03T03:42:00Z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d937bbe1-3a9f-4a95-bb4c-cc132768212c</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