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1AC5" w14:textId="77777777" w:rsidR="002B3D07" w:rsidRDefault="002B3D07" w:rsidP="002B3D07">
      <w:pPr>
        <w:ind w:left="-1418"/>
        <w:sectPr w:rsidR="002B3D07" w:rsidSect="002B3D07">
          <w:headerReference w:type="even" r:id="rId11"/>
          <w:footerReference w:type="even" r:id="rId12"/>
          <w:footerReference w:type="default" r:id="rId13"/>
          <w:pgSz w:w="11906" w:h="16838"/>
          <w:pgMar w:top="0" w:right="1440" w:bottom="1440" w:left="1440" w:header="708" w:footer="708" w:gutter="0"/>
          <w:cols w:space="708"/>
          <w:titlePg/>
          <w:docGrid w:linePitch="360"/>
        </w:sectPr>
      </w:pPr>
      <w:r w:rsidRPr="002B3D07">
        <w:rPr>
          <w:noProof/>
          <w:lang w:eastAsia="en-AU"/>
        </w:rPr>
        <w:drawing>
          <wp:inline distT="0" distB="0" distL="0" distR="0" wp14:anchorId="110C5BB1" wp14:editId="7C7C0C1F">
            <wp:extent cx="7623613" cy="1200150"/>
            <wp:effectExtent l="0" t="0" r="0" b="0"/>
            <wp:docPr id="6" name="Picture 6" descr="National School Resourcing Bo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50655" cy="1204407"/>
                    </a:xfrm>
                    <a:prstGeom prst="rect">
                      <a:avLst/>
                    </a:prstGeom>
                    <a:noFill/>
                  </pic:spPr>
                </pic:pic>
              </a:graphicData>
            </a:graphic>
          </wp:inline>
        </w:drawing>
      </w:r>
    </w:p>
    <w:p w14:paraId="6790D988" w14:textId="5BB31CA5" w:rsidR="00016059" w:rsidRPr="00F31851" w:rsidRDefault="00016059" w:rsidP="005F0FEF">
      <w:pPr>
        <w:pStyle w:val="Title"/>
      </w:pPr>
      <w:r w:rsidRPr="005F0FEF">
        <w:t>Review</w:t>
      </w:r>
      <w:r w:rsidRPr="00016059">
        <w:t xml:space="preserve"> of </w:t>
      </w:r>
      <w:r w:rsidRPr="0068463E">
        <w:rPr>
          <w:color w:val="1F3864"/>
        </w:rPr>
        <w:t>the Schooling</w:t>
      </w:r>
      <w:r>
        <w:t xml:space="preserve"> Resource Standard </w:t>
      </w:r>
      <w:r w:rsidR="0076602E">
        <w:t>(SRS) Indexation Arrangements</w:t>
      </w:r>
    </w:p>
    <w:p w14:paraId="13A68BD9" w14:textId="77777777" w:rsidR="00E06069" w:rsidRDefault="00C96B62" w:rsidP="00E632F1">
      <w:pPr>
        <w:pStyle w:val="Subtitle"/>
      </w:pPr>
      <w:r w:rsidRPr="00E632F1">
        <w:t xml:space="preserve">Issues </w:t>
      </w:r>
      <w:r w:rsidR="0076602E">
        <w:t>P</w:t>
      </w:r>
      <w:r w:rsidR="00016059" w:rsidRPr="00E632F1">
        <w:t>aper</w:t>
      </w:r>
    </w:p>
    <w:p w14:paraId="6CFA4217" w14:textId="284FACD7" w:rsidR="00016059" w:rsidRPr="00E06069" w:rsidRDefault="00E06069" w:rsidP="00E632F1">
      <w:pPr>
        <w:pStyle w:val="Subtitle"/>
        <w:rPr>
          <w:sz w:val="28"/>
          <w:szCs w:val="28"/>
        </w:rPr>
      </w:pPr>
      <w:r w:rsidRPr="00E06069">
        <w:rPr>
          <w:sz w:val="28"/>
          <w:szCs w:val="28"/>
        </w:rPr>
        <w:t>February 2024</w:t>
      </w:r>
      <w:r w:rsidR="00016059" w:rsidRPr="00E06069">
        <w:rPr>
          <w:sz w:val="28"/>
          <w:szCs w:val="28"/>
        </w:rPr>
        <w:br w:type="page"/>
      </w:r>
    </w:p>
    <w:p w14:paraId="2ABD6442" w14:textId="77777777" w:rsidR="00852F07" w:rsidRDefault="00852F07" w:rsidP="00852F07">
      <w:pPr>
        <w:pStyle w:val="StyleCopyrightBefore66pt"/>
        <w:spacing w:before="1560" w:after="0"/>
      </w:pPr>
    </w:p>
    <w:p w14:paraId="3B962CC4" w14:textId="77777777" w:rsidR="0076602E" w:rsidRDefault="0076602E" w:rsidP="00852F07">
      <w:pPr>
        <w:pStyle w:val="StyleCopyrightBefore66pt"/>
        <w:spacing w:before="1560" w:after="0"/>
      </w:pPr>
    </w:p>
    <w:p w14:paraId="36967752" w14:textId="77777777" w:rsidR="0076602E" w:rsidRDefault="0076602E" w:rsidP="00852F07">
      <w:pPr>
        <w:pStyle w:val="StyleCopyrightBefore66pt"/>
        <w:spacing w:before="1560" w:after="0"/>
      </w:pPr>
    </w:p>
    <w:p w14:paraId="45A1CEC5" w14:textId="77777777" w:rsidR="0076602E" w:rsidRPr="0064756A" w:rsidRDefault="0076602E" w:rsidP="0076602E">
      <w:pPr>
        <w:pStyle w:val="Copyright-Largebefore"/>
      </w:pPr>
      <w:r>
        <w:t>Review of the Schooling Resource Standard (SRS) indexation arrangements</w:t>
      </w:r>
      <w:r w:rsidRPr="0064756A">
        <w:t> </w:t>
      </w:r>
      <w:r w:rsidRPr="0064756A">
        <w:br/>
        <w:t>© Commonwealth of Australia 202</w:t>
      </w:r>
      <w:r>
        <w:t>4</w:t>
      </w:r>
    </w:p>
    <w:p w14:paraId="6B862B36" w14:textId="77777777" w:rsidR="0076602E" w:rsidRPr="00484A44" w:rsidRDefault="0076602E" w:rsidP="0076602E">
      <w:pPr>
        <w:pStyle w:val="Copyright"/>
      </w:pPr>
      <w:r>
        <w:rPr>
          <w:b/>
          <w:bCs/>
          <w:lang w:eastAsia="en-AU"/>
        </w:rPr>
        <w:br/>
      </w:r>
      <w:r w:rsidRPr="00484A44">
        <w:t xml:space="preserve">With the exception of the Commonwealth Coat of Arms, the department's logo, any material protected by a trade mark and where otherwise noted, all material presented in this document is provided under a Creative Commons Attribution 4.0 International </w:t>
      </w:r>
      <w:r>
        <w:t>L</w:t>
      </w:r>
      <w:r w:rsidRPr="00484A44">
        <w:t>icence.</w:t>
      </w:r>
    </w:p>
    <w:p w14:paraId="1534BA0B" w14:textId="77777777" w:rsidR="0076602E" w:rsidRPr="00484A44" w:rsidRDefault="0076602E" w:rsidP="0076602E">
      <w:pPr>
        <w:pStyle w:val="Copyright"/>
      </w:pPr>
      <w:r w:rsidRPr="00484A44">
        <w:t>The details of the relevant licence conditions are available on the Creative Commons website (</w:t>
      </w:r>
      <w:hyperlink r:id="rId15" w:history="1">
        <w:r w:rsidRPr="00484A44">
          <w:rPr>
            <w:rStyle w:val="Hyperlink"/>
          </w:rPr>
          <w:t>https://creativecommons.Org/licenses/by/4.0/</w:t>
        </w:r>
      </w:hyperlink>
      <w:r w:rsidRPr="00484A44">
        <w:t>) as is the full legal code (</w:t>
      </w:r>
      <w:hyperlink r:id="rId16" w:tooltip="https://creativecommons.org/licenses/by/4.0/legalcode" w:history="1">
        <w:r w:rsidRPr="00484A44">
          <w:rPr>
            <w:rStyle w:val="Hyperlink"/>
          </w:rPr>
          <w:t>https://creativecommons.org/licenses/by/4.0/legalcode</w:t>
        </w:r>
      </w:hyperlink>
      <w:r w:rsidRPr="00484A44">
        <w:t>)</w:t>
      </w:r>
      <w:r>
        <w:t>.</w:t>
      </w:r>
    </w:p>
    <w:p w14:paraId="22D2028D" w14:textId="77777777" w:rsidR="0076602E" w:rsidRPr="00484A44" w:rsidRDefault="0076602E" w:rsidP="0076602E">
      <w:pPr>
        <w:pStyle w:val="Copyright"/>
      </w:pPr>
      <w:r w:rsidRPr="00484A44">
        <w:t>As far as practicable, material for which the copyright is owned by a third party will be clearly labelled. The National School Resourcing Board has made all reasonable efforts to ensure that this material has been reproduced in this document with the full consent of the copyright owners.</w:t>
      </w:r>
    </w:p>
    <w:p w14:paraId="6DB8AACB" w14:textId="77777777" w:rsidR="0076602E" w:rsidRPr="001809ED" w:rsidRDefault="0076602E" w:rsidP="0076602E">
      <w:pPr>
        <w:pStyle w:val="Copyright"/>
        <w:shd w:val="clear" w:color="auto" w:fill="FFFFFF" w:themeFill="background1"/>
      </w:pPr>
      <w:r w:rsidRPr="001809ED">
        <w:t>Copyright requests and enquiries concerning further authorisation should be addressed to:</w:t>
      </w:r>
    </w:p>
    <w:p w14:paraId="607D2A33" w14:textId="77777777" w:rsidR="0076602E" w:rsidRDefault="0076602E" w:rsidP="0076602E">
      <w:pPr>
        <w:pStyle w:val="Copyright-Indent"/>
        <w:shd w:val="clear" w:color="auto" w:fill="FFFFFF" w:themeFill="background1"/>
      </w:pPr>
      <w:r w:rsidRPr="001809ED">
        <w:t>The Copyright Officer</w:t>
      </w:r>
      <w:r w:rsidRPr="001809ED">
        <w:br/>
        <w:t>Department of Education</w:t>
      </w:r>
      <w:r w:rsidRPr="001809ED">
        <w:br/>
        <w:t xml:space="preserve">Location </w:t>
      </w:r>
      <w:r>
        <w:t>C</w:t>
      </w:r>
      <w:r w:rsidRPr="001809ED">
        <w:t>ode C50MA10</w:t>
      </w:r>
      <w:r w:rsidRPr="001809ED">
        <w:br/>
        <w:t xml:space="preserve">GPO Box 9880 </w:t>
      </w:r>
      <w:r w:rsidRPr="001809ED">
        <w:br/>
        <w:t>Canberra ACT 2601</w:t>
      </w:r>
      <w:r w:rsidRPr="00484A44">
        <w:t xml:space="preserve"> </w:t>
      </w:r>
    </w:p>
    <w:p w14:paraId="3CC8DB7E" w14:textId="77777777" w:rsidR="0076602E" w:rsidRPr="00484A44" w:rsidRDefault="0076602E" w:rsidP="0076602E">
      <w:pPr>
        <w:pStyle w:val="Copyright"/>
      </w:pPr>
      <w:r w:rsidRPr="00484A44">
        <w:t>or emailed to</w:t>
      </w:r>
      <w:r>
        <w:t>:</w:t>
      </w:r>
      <w:r w:rsidRPr="00484A44">
        <w:t xml:space="preserve"> </w:t>
      </w:r>
      <w:hyperlink r:id="rId17" w:history="1">
        <w:r w:rsidRPr="002856F4">
          <w:rPr>
            <w:rStyle w:val="Hyperlink"/>
          </w:rPr>
          <w:t>copyright@dese.gov.au</w:t>
        </w:r>
      </w:hyperlink>
      <w:r w:rsidRPr="00484A44">
        <w:t>.</w:t>
      </w:r>
    </w:p>
    <w:p w14:paraId="00993902" w14:textId="77777777" w:rsidR="0076602E" w:rsidRPr="00484A44" w:rsidRDefault="0076602E" w:rsidP="0076602E">
      <w:pPr>
        <w:pStyle w:val="Copyright"/>
      </w:pPr>
      <w:r w:rsidRPr="00484A44">
        <w:t>Where a copyright owner, other than the Commonwealth, is identified with respect to this material, please contact that third party copyright owner directly to seek permission.</w:t>
      </w:r>
    </w:p>
    <w:p w14:paraId="112CB91A" w14:textId="77777777" w:rsidR="0076602E" w:rsidRPr="008E4AB5" w:rsidRDefault="0076602E" w:rsidP="0076602E">
      <w:pPr>
        <w:pStyle w:val="Copyright"/>
        <w:rPr>
          <w:rStyle w:val="Strong"/>
        </w:rPr>
      </w:pPr>
      <w:r w:rsidRPr="008E4AB5">
        <w:rPr>
          <w:rStyle w:val="Strong"/>
        </w:rPr>
        <w:t>Disclaimer</w:t>
      </w:r>
    </w:p>
    <w:p w14:paraId="7BC5D6D6" w14:textId="77777777" w:rsidR="0076602E" w:rsidRDefault="0076602E" w:rsidP="0076602E">
      <w:pPr>
        <w:pStyle w:val="Copyright"/>
      </w:pPr>
      <w:r w:rsidRPr="00484A44">
        <w:t>As this is an independent review authored by the National School Resourcing Board, the report does not necessarily reflect the vie</w:t>
      </w:r>
      <w:r>
        <w:t>ws of the Australian Government.</w:t>
      </w:r>
    </w:p>
    <w:p w14:paraId="57C65794" w14:textId="6FCFC484" w:rsidR="00655B10" w:rsidRDefault="0076602E" w:rsidP="0076602E">
      <w:r w:rsidRPr="0060076A">
        <w:t>This document, when attributed, must be titled as</w:t>
      </w:r>
      <w:r>
        <w:t>:</w:t>
      </w:r>
      <w:r w:rsidRPr="0060076A">
        <w:t xml:space="preserve"> </w:t>
      </w:r>
      <w:r>
        <w:t>Review of the Schooling Resource Standard (SRS) indexation arrangements</w:t>
      </w:r>
      <w:r w:rsidR="00655B10">
        <w:br w:type="page"/>
      </w:r>
    </w:p>
    <w:sdt>
      <w:sdtPr>
        <w:rPr>
          <w:rFonts w:eastAsiaTheme="minorHAnsi" w:cstheme="minorBidi"/>
          <w:b w:val="0"/>
          <w:bCs w:val="0"/>
          <w:color w:val="auto"/>
          <w:sz w:val="22"/>
          <w:szCs w:val="22"/>
        </w:rPr>
        <w:id w:val="-1104881347"/>
        <w:docPartObj>
          <w:docPartGallery w:val="Table of Contents"/>
          <w:docPartUnique/>
        </w:docPartObj>
      </w:sdtPr>
      <w:sdtEndPr>
        <w:rPr>
          <w:noProof/>
        </w:rPr>
      </w:sdtEndPr>
      <w:sdtContent>
        <w:p w14:paraId="1DD58584" w14:textId="04D44975" w:rsidR="0035640D" w:rsidRDefault="0035640D">
          <w:pPr>
            <w:pStyle w:val="TOCHeading"/>
          </w:pPr>
          <w:r>
            <w:t>Contents</w:t>
          </w:r>
        </w:p>
        <w:p w14:paraId="4B5E3573" w14:textId="5A75E805" w:rsidR="00DF0D80" w:rsidRDefault="00C76287">
          <w:pPr>
            <w:pStyle w:val="TOC1"/>
            <w:tabs>
              <w:tab w:val="right" w:leader="dot" w:pos="9016"/>
            </w:tabs>
            <w:rPr>
              <w:rFonts w:eastAsiaTheme="minorEastAsia"/>
              <w:noProof/>
              <w:kern w:val="2"/>
              <w:lang w:eastAsia="en-AU"/>
              <w14:ligatures w14:val="standardContextual"/>
            </w:rPr>
          </w:pPr>
          <w:r>
            <w:fldChar w:fldCharType="begin"/>
          </w:r>
          <w:r>
            <w:instrText xml:space="preserve"> TOC \o "1-2" \h \z \u </w:instrText>
          </w:r>
          <w:r>
            <w:fldChar w:fldCharType="separate"/>
          </w:r>
          <w:hyperlink w:anchor="_Toc159597531" w:history="1">
            <w:r w:rsidR="00DF0D80" w:rsidRPr="00DA5274">
              <w:rPr>
                <w:rStyle w:val="Hyperlink"/>
                <w:noProof/>
              </w:rPr>
              <w:t>Background</w:t>
            </w:r>
            <w:r w:rsidR="00DF0D80">
              <w:rPr>
                <w:noProof/>
                <w:webHidden/>
              </w:rPr>
              <w:tab/>
            </w:r>
            <w:r w:rsidR="00DF0D80">
              <w:rPr>
                <w:noProof/>
                <w:webHidden/>
              </w:rPr>
              <w:fldChar w:fldCharType="begin"/>
            </w:r>
            <w:r w:rsidR="00DF0D80">
              <w:rPr>
                <w:noProof/>
                <w:webHidden/>
              </w:rPr>
              <w:instrText xml:space="preserve"> PAGEREF _Toc159597531 \h </w:instrText>
            </w:r>
            <w:r w:rsidR="00DF0D80">
              <w:rPr>
                <w:noProof/>
                <w:webHidden/>
              </w:rPr>
            </w:r>
            <w:r w:rsidR="00DF0D80">
              <w:rPr>
                <w:noProof/>
                <w:webHidden/>
              </w:rPr>
              <w:fldChar w:fldCharType="separate"/>
            </w:r>
            <w:r w:rsidR="00F759BE">
              <w:rPr>
                <w:noProof/>
                <w:webHidden/>
              </w:rPr>
              <w:t>4</w:t>
            </w:r>
            <w:r w:rsidR="00DF0D80">
              <w:rPr>
                <w:noProof/>
                <w:webHidden/>
              </w:rPr>
              <w:fldChar w:fldCharType="end"/>
            </w:r>
          </w:hyperlink>
        </w:p>
        <w:p w14:paraId="78354A40" w14:textId="1F3A551C" w:rsidR="00DF0D80" w:rsidRDefault="00F759BE">
          <w:pPr>
            <w:pStyle w:val="TOC1"/>
            <w:tabs>
              <w:tab w:val="left" w:pos="440"/>
              <w:tab w:val="right" w:leader="dot" w:pos="9016"/>
            </w:tabs>
            <w:rPr>
              <w:rFonts w:eastAsiaTheme="minorEastAsia"/>
              <w:noProof/>
              <w:kern w:val="2"/>
              <w:lang w:eastAsia="en-AU"/>
              <w14:ligatures w14:val="standardContextual"/>
            </w:rPr>
          </w:pPr>
          <w:hyperlink w:anchor="_Toc159597532" w:history="1">
            <w:r w:rsidR="00DF0D80" w:rsidRPr="00DA5274">
              <w:rPr>
                <w:rStyle w:val="Hyperlink"/>
                <w:noProof/>
              </w:rPr>
              <w:t>1.</w:t>
            </w:r>
            <w:r w:rsidR="00DF0D80">
              <w:rPr>
                <w:rFonts w:eastAsiaTheme="minorEastAsia"/>
                <w:noProof/>
                <w:kern w:val="2"/>
                <w:lang w:eastAsia="en-AU"/>
                <w14:ligatures w14:val="standardContextual"/>
              </w:rPr>
              <w:tab/>
            </w:r>
            <w:r w:rsidR="00DF0D80" w:rsidRPr="00DA5274">
              <w:rPr>
                <w:rStyle w:val="Hyperlink"/>
                <w:noProof/>
              </w:rPr>
              <w:t>Preliminary findings on the appropriateness of current indexation arrangements</w:t>
            </w:r>
            <w:r w:rsidR="00DF0D80">
              <w:rPr>
                <w:noProof/>
                <w:webHidden/>
              </w:rPr>
              <w:tab/>
            </w:r>
            <w:r w:rsidR="00DF0D80">
              <w:rPr>
                <w:noProof/>
                <w:webHidden/>
              </w:rPr>
              <w:fldChar w:fldCharType="begin"/>
            </w:r>
            <w:r w:rsidR="00DF0D80">
              <w:rPr>
                <w:noProof/>
                <w:webHidden/>
              </w:rPr>
              <w:instrText xml:space="preserve"> PAGEREF _Toc159597532 \h </w:instrText>
            </w:r>
            <w:r w:rsidR="00DF0D80">
              <w:rPr>
                <w:noProof/>
                <w:webHidden/>
              </w:rPr>
            </w:r>
            <w:r w:rsidR="00DF0D80">
              <w:rPr>
                <w:noProof/>
                <w:webHidden/>
              </w:rPr>
              <w:fldChar w:fldCharType="separate"/>
            </w:r>
            <w:r>
              <w:rPr>
                <w:noProof/>
                <w:webHidden/>
              </w:rPr>
              <w:t>5</w:t>
            </w:r>
            <w:r w:rsidR="00DF0D80">
              <w:rPr>
                <w:noProof/>
                <w:webHidden/>
              </w:rPr>
              <w:fldChar w:fldCharType="end"/>
            </w:r>
          </w:hyperlink>
        </w:p>
        <w:p w14:paraId="2F6E7269" w14:textId="75C5BE17" w:rsidR="00DF0D80" w:rsidRDefault="00F759BE">
          <w:pPr>
            <w:pStyle w:val="TOC1"/>
            <w:tabs>
              <w:tab w:val="left" w:pos="440"/>
              <w:tab w:val="right" w:leader="dot" w:pos="9016"/>
            </w:tabs>
            <w:rPr>
              <w:rFonts w:eastAsiaTheme="minorEastAsia"/>
              <w:noProof/>
              <w:kern w:val="2"/>
              <w:lang w:eastAsia="en-AU"/>
              <w14:ligatures w14:val="standardContextual"/>
            </w:rPr>
          </w:pPr>
          <w:hyperlink w:anchor="_Toc159597533" w:history="1">
            <w:r w:rsidR="00DF0D80" w:rsidRPr="00DA5274">
              <w:rPr>
                <w:rStyle w:val="Hyperlink"/>
                <w:noProof/>
              </w:rPr>
              <w:t>2.</w:t>
            </w:r>
            <w:r w:rsidR="00DF0D80">
              <w:rPr>
                <w:rFonts w:eastAsiaTheme="minorEastAsia"/>
                <w:noProof/>
                <w:kern w:val="2"/>
                <w:lang w:eastAsia="en-AU"/>
                <w14:ligatures w14:val="standardContextual"/>
              </w:rPr>
              <w:tab/>
            </w:r>
            <w:r w:rsidR="00DF0D80" w:rsidRPr="00DA5274">
              <w:rPr>
                <w:rStyle w:val="Hyperlink"/>
                <w:noProof/>
              </w:rPr>
              <w:t>Preliminary findings on the suitability of current indexation floor</w:t>
            </w:r>
            <w:r w:rsidR="00DF0D80">
              <w:rPr>
                <w:noProof/>
                <w:webHidden/>
              </w:rPr>
              <w:tab/>
            </w:r>
            <w:r w:rsidR="00DF0D80">
              <w:rPr>
                <w:noProof/>
                <w:webHidden/>
              </w:rPr>
              <w:fldChar w:fldCharType="begin"/>
            </w:r>
            <w:r w:rsidR="00DF0D80">
              <w:rPr>
                <w:noProof/>
                <w:webHidden/>
              </w:rPr>
              <w:instrText xml:space="preserve"> PAGEREF _Toc159597533 \h </w:instrText>
            </w:r>
            <w:r w:rsidR="00DF0D80">
              <w:rPr>
                <w:noProof/>
                <w:webHidden/>
              </w:rPr>
            </w:r>
            <w:r w:rsidR="00DF0D80">
              <w:rPr>
                <w:noProof/>
                <w:webHidden/>
              </w:rPr>
              <w:fldChar w:fldCharType="separate"/>
            </w:r>
            <w:r>
              <w:rPr>
                <w:noProof/>
                <w:webHidden/>
              </w:rPr>
              <w:t>7</w:t>
            </w:r>
            <w:r w:rsidR="00DF0D80">
              <w:rPr>
                <w:noProof/>
                <w:webHidden/>
              </w:rPr>
              <w:fldChar w:fldCharType="end"/>
            </w:r>
          </w:hyperlink>
        </w:p>
        <w:p w14:paraId="3B27F50B" w14:textId="17A9E20B" w:rsidR="00DF0D80" w:rsidRDefault="00F759BE">
          <w:pPr>
            <w:pStyle w:val="TOC1"/>
            <w:tabs>
              <w:tab w:val="left" w:pos="440"/>
              <w:tab w:val="right" w:leader="dot" w:pos="9016"/>
            </w:tabs>
            <w:rPr>
              <w:rFonts w:eastAsiaTheme="minorEastAsia"/>
              <w:noProof/>
              <w:kern w:val="2"/>
              <w:lang w:eastAsia="en-AU"/>
              <w14:ligatures w14:val="standardContextual"/>
            </w:rPr>
          </w:pPr>
          <w:hyperlink w:anchor="_Toc159597534" w:history="1">
            <w:r w:rsidR="00DF0D80" w:rsidRPr="00DA5274">
              <w:rPr>
                <w:rStyle w:val="Hyperlink"/>
                <w:noProof/>
              </w:rPr>
              <w:t>3.</w:t>
            </w:r>
            <w:r w:rsidR="00DF0D80">
              <w:rPr>
                <w:rFonts w:eastAsiaTheme="minorEastAsia"/>
                <w:noProof/>
                <w:kern w:val="2"/>
                <w:lang w:eastAsia="en-AU"/>
                <w14:ligatures w14:val="standardContextual"/>
              </w:rPr>
              <w:tab/>
            </w:r>
            <w:r w:rsidR="00DF0D80" w:rsidRPr="00DA5274">
              <w:rPr>
                <w:rStyle w:val="Hyperlink"/>
                <w:noProof/>
              </w:rPr>
              <w:t>Preliminary findings on the structure and weighting of composite index</w:t>
            </w:r>
            <w:r w:rsidR="00DF0D80">
              <w:rPr>
                <w:noProof/>
                <w:webHidden/>
              </w:rPr>
              <w:tab/>
            </w:r>
            <w:r w:rsidR="00DF0D80">
              <w:rPr>
                <w:noProof/>
                <w:webHidden/>
              </w:rPr>
              <w:fldChar w:fldCharType="begin"/>
            </w:r>
            <w:r w:rsidR="00DF0D80">
              <w:rPr>
                <w:noProof/>
                <w:webHidden/>
              </w:rPr>
              <w:instrText xml:space="preserve"> PAGEREF _Toc159597534 \h </w:instrText>
            </w:r>
            <w:r w:rsidR="00DF0D80">
              <w:rPr>
                <w:noProof/>
                <w:webHidden/>
              </w:rPr>
            </w:r>
            <w:r w:rsidR="00DF0D80">
              <w:rPr>
                <w:noProof/>
                <w:webHidden/>
              </w:rPr>
              <w:fldChar w:fldCharType="separate"/>
            </w:r>
            <w:r>
              <w:rPr>
                <w:noProof/>
                <w:webHidden/>
              </w:rPr>
              <w:t>8</w:t>
            </w:r>
            <w:r w:rsidR="00DF0D80">
              <w:rPr>
                <w:noProof/>
                <w:webHidden/>
              </w:rPr>
              <w:fldChar w:fldCharType="end"/>
            </w:r>
          </w:hyperlink>
        </w:p>
        <w:p w14:paraId="06F08B1B" w14:textId="332BA810" w:rsidR="00DF0D80" w:rsidRDefault="00F759BE">
          <w:pPr>
            <w:pStyle w:val="TOC1"/>
            <w:tabs>
              <w:tab w:val="left" w:pos="440"/>
              <w:tab w:val="right" w:leader="dot" w:pos="9016"/>
            </w:tabs>
            <w:rPr>
              <w:rFonts w:eastAsiaTheme="minorEastAsia"/>
              <w:noProof/>
              <w:kern w:val="2"/>
              <w:lang w:eastAsia="en-AU"/>
              <w14:ligatures w14:val="standardContextual"/>
            </w:rPr>
          </w:pPr>
          <w:hyperlink w:anchor="_Toc159597535" w:history="1">
            <w:r w:rsidR="00DF0D80" w:rsidRPr="00DA5274">
              <w:rPr>
                <w:rStyle w:val="Hyperlink"/>
                <w:noProof/>
              </w:rPr>
              <w:t>4.</w:t>
            </w:r>
            <w:r w:rsidR="00DF0D80">
              <w:rPr>
                <w:rFonts w:eastAsiaTheme="minorEastAsia"/>
                <w:noProof/>
                <w:kern w:val="2"/>
                <w:lang w:eastAsia="en-AU"/>
                <w14:ligatures w14:val="standardContextual"/>
              </w:rPr>
              <w:tab/>
            </w:r>
            <w:r w:rsidR="00DF0D80" w:rsidRPr="00DA5274">
              <w:rPr>
                <w:rStyle w:val="Hyperlink"/>
                <w:noProof/>
              </w:rPr>
              <w:t>Preliminary findings on timing of SRS indexation rates</w:t>
            </w:r>
            <w:r w:rsidR="00DF0D80">
              <w:rPr>
                <w:noProof/>
                <w:webHidden/>
              </w:rPr>
              <w:tab/>
            </w:r>
            <w:r w:rsidR="00DF0D80">
              <w:rPr>
                <w:noProof/>
                <w:webHidden/>
              </w:rPr>
              <w:fldChar w:fldCharType="begin"/>
            </w:r>
            <w:r w:rsidR="00DF0D80">
              <w:rPr>
                <w:noProof/>
                <w:webHidden/>
              </w:rPr>
              <w:instrText xml:space="preserve"> PAGEREF _Toc159597535 \h </w:instrText>
            </w:r>
            <w:r w:rsidR="00DF0D80">
              <w:rPr>
                <w:noProof/>
                <w:webHidden/>
              </w:rPr>
            </w:r>
            <w:r w:rsidR="00DF0D80">
              <w:rPr>
                <w:noProof/>
                <w:webHidden/>
              </w:rPr>
              <w:fldChar w:fldCharType="separate"/>
            </w:r>
            <w:r>
              <w:rPr>
                <w:noProof/>
                <w:webHidden/>
              </w:rPr>
              <w:t>9</w:t>
            </w:r>
            <w:r w:rsidR="00DF0D80">
              <w:rPr>
                <w:noProof/>
                <w:webHidden/>
              </w:rPr>
              <w:fldChar w:fldCharType="end"/>
            </w:r>
          </w:hyperlink>
        </w:p>
        <w:p w14:paraId="551531B2" w14:textId="7347641D" w:rsidR="00DF0D80" w:rsidRDefault="00F759BE">
          <w:pPr>
            <w:pStyle w:val="TOC1"/>
            <w:tabs>
              <w:tab w:val="right" w:leader="dot" w:pos="9016"/>
            </w:tabs>
            <w:rPr>
              <w:rFonts w:eastAsiaTheme="minorEastAsia"/>
              <w:noProof/>
              <w:kern w:val="2"/>
              <w:lang w:eastAsia="en-AU"/>
              <w14:ligatures w14:val="standardContextual"/>
            </w:rPr>
          </w:pPr>
          <w:hyperlink w:anchor="_Toc159597536" w:history="1">
            <w:r w:rsidR="00DF0D80" w:rsidRPr="00DA5274">
              <w:rPr>
                <w:rStyle w:val="Hyperlink"/>
                <w:noProof/>
              </w:rPr>
              <w:t>Appendix A</w:t>
            </w:r>
            <w:r w:rsidR="00DF0D80">
              <w:rPr>
                <w:noProof/>
                <w:webHidden/>
              </w:rPr>
              <w:tab/>
            </w:r>
            <w:r w:rsidR="00DF0D80">
              <w:rPr>
                <w:noProof/>
                <w:webHidden/>
              </w:rPr>
              <w:fldChar w:fldCharType="begin"/>
            </w:r>
            <w:r w:rsidR="00DF0D80">
              <w:rPr>
                <w:noProof/>
                <w:webHidden/>
              </w:rPr>
              <w:instrText xml:space="preserve"> PAGEREF _Toc159597536 \h </w:instrText>
            </w:r>
            <w:r w:rsidR="00DF0D80">
              <w:rPr>
                <w:noProof/>
                <w:webHidden/>
              </w:rPr>
            </w:r>
            <w:r w:rsidR="00DF0D80">
              <w:rPr>
                <w:noProof/>
                <w:webHidden/>
              </w:rPr>
              <w:fldChar w:fldCharType="separate"/>
            </w:r>
            <w:r>
              <w:rPr>
                <w:noProof/>
                <w:webHidden/>
              </w:rPr>
              <w:t>10</w:t>
            </w:r>
            <w:r w:rsidR="00DF0D80">
              <w:rPr>
                <w:noProof/>
                <w:webHidden/>
              </w:rPr>
              <w:fldChar w:fldCharType="end"/>
            </w:r>
          </w:hyperlink>
        </w:p>
        <w:p w14:paraId="29205DEB" w14:textId="554B38B8" w:rsidR="00DF0D80" w:rsidRDefault="00F759BE">
          <w:pPr>
            <w:pStyle w:val="TOC2"/>
            <w:tabs>
              <w:tab w:val="right" w:leader="dot" w:pos="9016"/>
            </w:tabs>
            <w:rPr>
              <w:rFonts w:eastAsiaTheme="minorEastAsia"/>
              <w:noProof/>
              <w:kern w:val="2"/>
              <w:lang w:eastAsia="en-AU"/>
              <w14:ligatures w14:val="standardContextual"/>
            </w:rPr>
          </w:pPr>
          <w:hyperlink w:anchor="_Toc159597537" w:history="1">
            <w:r w:rsidR="00DF0D80" w:rsidRPr="00DA5274">
              <w:rPr>
                <w:rStyle w:val="Hyperlink"/>
                <w:noProof/>
              </w:rPr>
              <w:t>Terms of reference Review of Schooling Resource Standard Indexation Arrangements</w:t>
            </w:r>
            <w:r w:rsidR="00DF0D80">
              <w:rPr>
                <w:noProof/>
                <w:webHidden/>
              </w:rPr>
              <w:tab/>
            </w:r>
            <w:r w:rsidR="00DF0D80">
              <w:rPr>
                <w:noProof/>
                <w:webHidden/>
              </w:rPr>
              <w:fldChar w:fldCharType="begin"/>
            </w:r>
            <w:r w:rsidR="00DF0D80">
              <w:rPr>
                <w:noProof/>
                <w:webHidden/>
              </w:rPr>
              <w:instrText xml:space="preserve"> PAGEREF _Toc159597537 \h </w:instrText>
            </w:r>
            <w:r w:rsidR="00DF0D80">
              <w:rPr>
                <w:noProof/>
                <w:webHidden/>
              </w:rPr>
            </w:r>
            <w:r w:rsidR="00DF0D80">
              <w:rPr>
                <w:noProof/>
                <w:webHidden/>
              </w:rPr>
              <w:fldChar w:fldCharType="separate"/>
            </w:r>
            <w:r>
              <w:rPr>
                <w:noProof/>
                <w:webHidden/>
              </w:rPr>
              <w:t>10</w:t>
            </w:r>
            <w:r w:rsidR="00DF0D80">
              <w:rPr>
                <w:noProof/>
                <w:webHidden/>
              </w:rPr>
              <w:fldChar w:fldCharType="end"/>
            </w:r>
          </w:hyperlink>
        </w:p>
        <w:p w14:paraId="236FE9E1" w14:textId="59BFDB8F" w:rsidR="0035640D" w:rsidRDefault="00C76287">
          <w:r>
            <w:fldChar w:fldCharType="end"/>
          </w:r>
        </w:p>
      </w:sdtContent>
    </w:sdt>
    <w:p w14:paraId="2DA8DA64" w14:textId="7B88C8BD" w:rsidR="00016059" w:rsidRDefault="00016059">
      <w:r>
        <w:br w:type="page"/>
      </w:r>
    </w:p>
    <w:p w14:paraId="5344C584" w14:textId="15B3C1B1" w:rsidR="00D031C7" w:rsidRPr="00655B10" w:rsidRDefault="0076602E" w:rsidP="005F0FEF">
      <w:pPr>
        <w:pStyle w:val="Heading1"/>
      </w:pPr>
      <w:bookmarkStart w:id="0" w:name="_Toc159597531"/>
      <w:r>
        <w:t>Background</w:t>
      </w:r>
      <w:bookmarkEnd w:id="0"/>
    </w:p>
    <w:p w14:paraId="2F794699" w14:textId="7A30D221" w:rsidR="00412B13" w:rsidRPr="00761599" w:rsidRDefault="00412B13" w:rsidP="00412B13">
      <w:r w:rsidRPr="00761599">
        <w:t>The Review of the Student Resourcing Standard (SRS) Indexation Arrangements</w:t>
      </w:r>
      <w:r w:rsidR="00761599" w:rsidRPr="00761599">
        <w:t xml:space="preserve"> (the Review) is</w:t>
      </w:r>
      <w:r w:rsidRPr="00761599">
        <w:t xml:space="preserve"> a commitment arising from the National School Reform Agreement (NSRA). In the extension of the NSRA, Ministers committed to completing the Review in 2024, and several jurisdictions requested it be completed in early 2024 to inform negotiations for the next NSRA.</w:t>
      </w:r>
    </w:p>
    <w:p w14:paraId="68F3786B" w14:textId="31184CE0" w:rsidR="00412B13" w:rsidRDefault="00761599" w:rsidP="00412B13">
      <w:r w:rsidRPr="00761599">
        <w:t xml:space="preserve">In accordance with Section 128 (8) of the </w:t>
      </w:r>
      <w:r w:rsidRPr="00761599">
        <w:rPr>
          <w:i/>
          <w:iCs/>
        </w:rPr>
        <w:t>Australian Education Act 2013</w:t>
      </w:r>
      <w:r w:rsidRPr="00761599">
        <w:t>, in developing the Terms of Reference (</w:t>
      </w:r>
      <w:r w:rsidRPr="00761599">
        <w:rPr>
          <w:u w:val="single"/>
        </w:rPr>
        <w:t>Appendix A</w:t>
      </w:r>
      <w:r w:rsidRPr="00761599">
        <w:t>) for this Review, this Minister consulted with the Education Ministers Meeting, Independent Schools Australian and the National Catholic Education Commission. Following this consultation, o</w:t>
      </w:r>
      <w:r w:rsidR="00412B13" w:rsidRPr="00761599">
        <w:t xml:space="preserve">n 1 February 2024, </w:t>
      </w:r>
      <w:r w:rsidRPr="00761599">
        <w:t xml:space="preserve">the Australian Government Minister for Education, the Hon. Jason Clare MP, </w:t>
      </w:r>
      <w:r w:rsidR="00412B13" w:rsidRPr="00761599">
        <w:t>commissioned the National School Resourcing Board (the Board) to undertake this Review and deliver its final report by 28 March 2024.</w:t>
      </w:r>
    </w:p>
    <w:p w14:paraId="1B51CAF1" w14:textId="041AB50F" w:rsidR="00412B13" w:rsidRDefault="00412B13" w:rsidP="00412B13">
      <w:r>
        <w:t xml:space="preserve">Deloitte </w:t>
      </w:r>
      <w:r w:rsidR="007F6DFA">
        <w:t>Touche Tohmatsu</w:t>
      </w:r>
      <w:r>
        <w:t xml:space="preserve"> (Deloitte) was engaged to support the Board to undertake </w:t>
      </w:r>
      <w:r w:rsidR="007F6DFA">
        <w:t xml:space="preserve">this review, including to </w:t>
      </w:r>
      <w:r>
        <w:t>undertake an analysis of the indexation arrangements that are currently being applied to the SRS.</w:t>
      </w:r>
    </w:p>
    <w:p w14:paraId="2BE34503" w14:textId="77777777" w:rsidR="00412B13" w:rsidRDefault="00412B13" w:rsidP="00412B13">
      <w:r>
        <w:t>The SRS estimates how much total public funding a school needs to meet its students’ educational needs. It is made up of a base amount and up to six needs-based loadings. The base amount and loadings are periodically reviewed to reflect changing educational needs.</w:t>
      </w:r>
    </w:p>
    <w:p w14:paraId="48DB462D" w14:textId="77777777" w:rsidR="00412B13" w:rsidRDefault="00412B13" w:rsidP="00412B13">
      <w:r>
        <w:rPr>
          <w:bCs/>
        </w:rPr>
        <w:t xml:space="preserve">Each year, the SRS base amount and loadings are indexed to reflect changes in prices which affect the cost of providing schooling. </w:t>
      </w:r>
      <w:r w:rsidRPr="00A80177">
        <w:rPr>
          <w:bCs/>
        </w:rPr>
        <w:t>Indexation is a critical component of the SRS</w:t>
      </w:r>
      <w:r w:rsidRPr="004A23D4">
        <w:rPr>
          <w:b/>
        </w:rPr>
        <w:t xml:space="preserve"> </w:t>
      </w:r>
      <w:r w:rsidRPr="00AF4FF7">
        <w:t xml:space="preserve">as it ensures that funding is responsive to changes in </w:t>
      </w:r>
      <w:r>
        <w:t>the prices of salary and non-salary inputs</w:t>
      </w:r>
      <w:r w:rsidRPr="00AF4FF7">
        <w:t xml:space="preserve">, </w:t>
      </w:r>
      <w:r>
        <w:t xml:space="preserve">allowing the </w:t>
      </w:r>
      <w:r w:rsidRPr="00AF4FF7">
        <w:t xml:space="preserve">real value of funding </w:t>
      </w:r>
      <w:r>
        <w:t xml:space="preserve">to be maintained over time. </w:t>
      </w:r>
    </w:p>
    <w:p w14:paraId="1F200E22" w14:textId="77777777" w:rsidR="00412B13" w:rsidRDefault="00412B13" w:rsidP="00412B13">
      <w:r w:rsidRPr="00AF4FF7">
        <w:t>Current SRS indexation arrangements have been in place since 2019</w:t>
      </w:r>
      <w:r>
        <w:t xml:space="preserve"> and are outlined in the </w:t>
      </w:r>
      <w:r>
        <w:rPr>
          <w:i/>
          <w:iCs/>
        </w:rPr>
        <w:t>Australian Education Act 2013</w:t>
      </w:r>
      <w:r>
        <w:t xml:space="preserve">. The final indexation rate is determined as either: </w:t>
      </w:r>
    </w:p>
    <w:p w14:paraId="2BCAE367" w14:textId="77777777" w:rsidR="00412B13" w:rsidRDefault="00412B13" w:rsidP="00502938">
      <w:pPr>
        <w:pStyle w:val="ListParagraph"/>
        <w:numPr>
          <w:ilvl w:val="0"/>
          <w:numId w:val="6"/>
        </w:numPr>
        <w:spacing w:after="170" w:line="240" w:lineRule="atLeast"/>
      </w:pPr>
      <w:r>
        <w:t xml:space="preserve">A rate calculated as the higher of: </w:t>
      </w:r>
    </w:p>
    <w:p w14:paraId="2182B0F9" w14:textId="77777777" w:rsidR="00412B13" w:rsidRDefault="00412B13" w:rsidP="00502938">
      <w:pPr>
        <w:pStyle w:val="ListParagraph"/>
        <w:numPr>
          <w:ilvl w:val="1"/>
          <w:numId w:val="6"/>
        </w:numPr>
        <w:spacing w:after="170" w:line="240" w:lineRule="atLeast"/>
      </w:pPr>
      <w:r>
        <w:t>3 per cent (the indexation ‘floor’), or</w:t>
      </w:r>
    </w:p>
    <w:p w14:paraId="2DCC1008" w14:textId="2A3689D9" w:rsidR="00412B13" w:rsidRDefault="00412B13" w:rsidP="00502938">
      <w:pPr>
        <w:pStyle w:val="ListParagraph"/>
        <w:numPr>
          <w:ilvl w:val="1"/>
          <w:numId w:val="6"/>
        </w:numPr>
        <w:spacing w:after="170" w:line="240" w:lineRule="atLeast"/>
      </w:pPr>
      <w:r>
        <w:t xml:space="preserve">A percentage derived from a composite index, comprising of 75 per cent of the change of the Wage Price Index (WPI) </w:t>
      </w:r>
      <w:r w:rsidR="006C3836">
        <w:t xml:space="preserve">and </w:t>
      </w:r>
      <w:r>
        <w:t>25 per cent of the Consumer Price Index (CPI); or</w:t>
      </w:r>
    </w:p>
    <w:p w14:paraId="088FD901" w14:textId="77777777" w:rsidR="00412B13" w:rsidRDefault="00412B13" w:rsidP="00502938">
      <w:pPr>
        <w:pStyle w:val="ListParagraph"/>
        <w:numPr>
          <w:ilvl w:val="0"/>
          <w:numId w:val="6"/>
        </w:numPr>
        <w:spacing w:after="170" w:line="240" w:lineRule="atLeast"/>
      </w:pPr>
      <w:r>
        <w:t xml:space="preserve">A rate prescribed by the Minister for Education. </w:t>
      </w:r>
    </w:p>
    <w:p w14:paraId="1184A387" w14:textId="77777777" w:rsidR="00412B13" w:rsidRDefault="00412B13" w:rsidP="00412B13">
      <w:r>
        <w:t xml:space="preserve">To date, the indexation factor has been prescribed (in 2019 and 2020), set to the indexation floor (in 2021), and set at the composite index (in 2022 and 2023). </w:t>
      </w:r>
    </w:p>
    <w:p w14:paraId="2882334F" w14:textId="3BE6BDB2" w:rsidR="00412B13" w:rsidRDefault="009A64B2" w:rsidP="00412B13">
      <w:r>
        <w:t>This</w:t>
      </w:r>
      <w:r w:rsidR="00412B13">
        <w:t xml:space="preserve"> issues paper explores four aspects of the current indexation arrangements:</w:t>
      </w:r>
    </w:p>
    <w:p w14:paraId="25F71932" w14:textId="77777777" w:rsidR="00412B13" w:rsidRDefault="00412B13" w:rsidP="00502938">
      <w:pPr>
        <w:pStyle w:val="ListParagraph"/>
        <w:numPr>
          <w:ilvl w:val="0"/>
          <w:numId w:val="5"/>
        </w:numPr>
        <w:spacing w:after="170" w:line="240" w:lineRule="atLeast"/>
      </w:pPr>
      <w:r>
        <w:t xml:space="preserve">The </w:t>
      </w:r>
      <w:r w:rsidRPr="00997274">
        <w:rPr>
          <w:b/>
          <w:bCs/>
        </w:rPr>
        <w:t>appropriateness</w:t>
      </w:r>
      <w:r>
        <w:t xml:space="preserve"> of current SRS indexation arrangements, including whether the operation of the SRS indexation arrangements since 2019 has kept pace with schooling price-related cost increases</w:t>
      </w:r>
    </w:p>
    <w:p w14:paraId="138E4F2F" w14:textId="77777777" w:rsidR="00412B13" w:rsidRDefault="00412B13" w:rsidP="00502938">
      <w:pPr>
        <w:pStyle w:val="ListParagraph"/>
        <w:numPr>
          <w:ilvl w:val="0"/>
          <w:numId w:val="5"/>
        </w:numPr>
        <w:spacing w:after="170" w:line="240" w:lineRule="atLeast"/>
      </w:pPr>
      <w:r>
        <w:t>The suitability</w:t>
      </w:r>
      <w:r w:rsidRPr="00997274">
        <w:rPr>
          <w:b/>
        </w:rPr>
        <w:t xml:space="preserve"> </w:t>
      </w:r>
      <w:r>
        <w:t xml:space="preserve">of the current SRS indexation </w:t>
      </w:r>
      <w:r w:rsidRPr="00997274">
        <w:rPr>
          <w:b/>
        </w:rPr>
        <w:t>floor of 3 per cent</w:t>
      </w:r>
    </w:p>
    <w:p w14:paraId="55808481" w14:textId="77777777" w:rsidR="00412B13" w:rsidRDefault="00412B13" w:rsidP="00502938">
      <w:pPr>
        <w:pStyle w:val="ListParagraph"/>
        <w:numPr>
          <w:ilvl w:val="0"/>
          <w:numId w:val="5"/>
        </w:numPr>
        <w:spacing w:after="170" w:line="240" w:lineRule="atLeast"/>
      </w:pPr>
      <w:r>
        <w:t xml:space="preserve">The </w:t>
      </w:r>
      <w:r w:rsidRPr="00997274">
        <w:rPr>
          <w:b/>
        </w:rPr>
        <w:t>structure and weighting</w:t>
      </w:r>
      <w:r>
        <w:t xml:space="preserve"> of the composite index for the SRS indexation factor</w:t>
      </w:r>
    </w:p>
    <w:p w14:paraId="3E683F2D" w14:textId="77777777" w:rsidR="00412B13" w:rsidRDefault="00412B13" w:rsidP="00502938">
      <w:pPr>
        <w:pStyle w:val="ListParagraph"/>
        <w:numPr>
          <w:ilvl w:val="0"/>
          <w:numId w:val="5"/>
        </w:numPr>
        <w:spacing w:after="170" w:line="240" w:lineRule="atLeast"/>
      </w:pPr>
      <w:r>
        <w:t xml:space="preserve">The </w:t>
      </w:r>
      <w:r w:rsidRPr="00997274">
        <w:rPr>
          <w:b/>
        </w:rPr>
        <w:t xml:space="preserve">timing </w:t>
      </w:r>
      <w:r>
        <w:t>of SRS indexation rates, including the reference period for source WPI and CPI data and the date at which the indexation rate is confirmed for the school year.</w:t>
      </w:r>
    </w:p>
    <w:p w14:paraId="404C73EB" w14:textId="5A6CFA6E" w:rsidR="00412B13" w:rsidRDefault="00412B13" w:rsidP="00412B13">
      <w:r>
        <w:t xml:space="preserve">The analysis has been based primarily on publicly available data. </w:t>
      </w:r>
      <w:r w:rsidR="005E6CB6">
        <w:t>Data referred to in the review Terms of Reference has not been used in this analysis due to timeframes and availability.</w:t>
      </w:r>
    </w:p>
    <w:p w14:paraId="1D2A24F1" w14:textId="77777777" w:rsidR="00412B13" w:rsidRDefault="00412B13" w:rsidP="009C4EAF">
      <w:pPr>
        <w:pStyle w:val="Heading2"/>
      </w:pPr>
    </w:p>
    <w:p w14:paraId="40015800" w14:textId="14F4FDB4" w:rsidR="005429AB" w:rsidRDefault="00BE216C" w:rsidP="00502938">
      <w:pPr>
        <w:pStyle w:val="Heading1"/>
        <w:numPr>
          <w:ilvl w:val="0"/>
          <w:numId w:val="13"/>
        </w:numPr>
        <w:ind w:left="709" w:hanging="709"/>
      </w:pPr>
      <w:bookmarkStart w:id="1" w:name="_Toc159597532"/>
      <w:r>
        <w:t xml:space="preserve">Preliminary </w:t>
      </w:r>
      <w:r w:rsidR="007F6DFA">
        <w:t>findings on the a</w:t>
      </w:r>
      <w:r w:rsidR="0076602E">
        <w:t>ppropriateness of current indexation arrangements</w:t>
      </w:r>
      <w:bookmarkEnd w:id="1"/>
    </w:p>
    <w:p w14:paraId="7E613838" w14:textId="77777777" w:rsidR="007F6DFA" w:rsidRPr="00B00105" w:rsidRDefault="007F6DFA" w:rsidP="007F6DFA">
      <w:pPr>
        <w:rPr>
          <w:b/>
          <w:bCs/>
          <w:i/>
          <w:iCs/>
        </w:rPr>
      </w:pPr>
      <w:r w:rsidRPr="00B00105">
        <w:rPr>
          <w:b/>
          <w:bCs/>
          <w:i/>
          <w:iCs/>
        </w:rPr>
        <w:t>Schooling inputs</w:t>
      </w:r>
    </w:p>
    <w:p w14:paraId="72B6AA09" w14:textId="77777777" w:rsidR="007F6DFA" w:rsidRDefault="007F6DFA" w:rsidP="00502938">
      <w:pPr>
        <w:pStyle w:val="ListParagraph"/>
        <w:numPr>
          <w:ilvl w:val="0"/>
          <w:numId w:val="8"/>
        </w:numPr>
        <w:spacing w:after="170" w:line="240" w:lineRule="atLeast"/>
      </w:pPr>
      <w:r>
        <w:t xml:space="preserve">Since 2018, salaries have consistently represented 74 to 76 per cent of total recurrent school expenditure across Australian schools. </w:t>
      </w:r>
    </w:p>
    <w:p w14:paraId="64A61879" w14:textId="77777777" w:rsidR="007F6DFA" w:rsidRDefault="007F6DFA" w:rsidP="00502938">
      <w:pPr>
        <w:pStyle w:val="ListParagraph"/>
        <w:numPr>
          <w:ilvl w:val="0"/>
          <w:numId w:val="8"/>
        </w:numPr>
        <w:spacing w:after="170" w:line="240" w:lineRule="atLeast"/>
      </w:pPr>
      <w:r>
        <w:t xml:space="preserve">Salaries of teaching staff account for between 48 and 58 per cent of total recurrent expenditure in schools. </w:t>
      </w:r>
    </w:p>
    <w:p w14:paraId="5305C7E0" w14:textId="77777777" w:rsidR="007F6DFA" w:rsidRDefault="007F6DFA" w:rsidP="00502938">
      <w:pPr>
        <w:pStyle w:val="ListParagraph"/>
        <w:numPr>
          <w:ilvl w:val="0"/>
          <w:numId w:val="8"/>
        </w:numPr>
        <w:spacing w:after="170" w:line="240" w:lineRule="atLeast"/>
      </w:pPr>
      <w:r>
        <w:t xml:space="preserve">The percentage of recurrent expenditure allocated to salary-related expenses varies across jurisdictions, particularly in government schools. </w:t>
      </w:r>
    </w:p>
    <w:p w14:paraId="1FD1C820" w14:textId="77777777" w:rsidR="007F6DFA" w:rsidRPr="00CD6C26" w:rsidRDefault="007F6DFA" w:rsidP="00502938">
      <w:pPr>
        <w:pStyle w:val="ListParagraph"/>
        <w:numPr>
          <w:ilvl w:val="1"/>
          <w:numId w:val="8"/>
        </w:numPr>
        <w:spacing w:after="170" w:line="240" w:lineRule="atLeast"/>
      </w:pPr>
      <w:r>
        <w:t>In the 2019-20 financial year, salary-related expenditure ranged from 62 per cent (in the Northern Territory) to 79 per cent (in the Australian Capital Territory) of the total expenditure for government sector schools.</w:t>
      </w:r>
    </w:p>
    <w:p w14:paraId="4DF72EBE" w14:textId="324D18B7" w:rsidR="007F6DFA" w:rsidRPr="00CD6C26" w:rsidRDefault="007F6DFA" w:rsidP="00502938">
      <w:pPr>
        <w:pStyle w:val="ListParagraph"/>
        <w:numPr>
          <w:ilvl w:val="0"/>
          <w:numId w:val="8"/>
        </w:numPr>
        <w:spacing w:after="170" w:line="240" w:lineRule="atLeast"/>
      </w:pPr>
      <w:r>
        <w:t xml:space="preserve">Since 2017, there has been a steady rise in the proportion staff in schools which are </w:t>
      </w:r>
      <w:r w:rsidR="00B00105">
        <w:br/>
      </w:r>
      <w:r>
        <w:t>non-teaching.</w:t>
      </w:r>
    </w:p>
    <w:p w14:paraId="1EC914EE" w14:textId="77777777" w:rsidR="007F6DFA" w:rsidRPr="00CD6C26" w:rsidRDefault="007F6DFA" w:rsidP="00502938">
      <w:pPr>
        <w:pStyle w:val="ListParagraph"/>
        <w:numPr>
          <w:ilvl w:val="0"/>
          <w:numId w:val="8"/>
        </w:numPr>
        <w:spacing w:after="170" w:line="240" w:lineRule="atLeast"/>
      </w:pPr>
      <w:r>
        <w:t>There is very limited information publicly available on the components of non-salary related expenditure.</w:t>
      </w:r>
    </w:p>
    <w:p w14:paraId="2334A323" w14:textId="77777777" w:rsidR="007F6DFA" w:rsidRPr="00B00105" w:rsidRDefault="007F6DFA" w:rsidP="007F6DFA">
      <w:pPr>
        <w:rPr>
          <w:b/>
          <w:bCs/>
          <w:i/>
          <w:iCs/>
        </w:rPr>
      </w:pPr>
      <w:r w:rsidRPr="00B00105">
        <w:rPr>
          <w:b/>
          <w:bCs/>
          <w:i/>
          <w:iCs/>
        </w:rPr>
        <w:t>Schooling input prices</w:t>
      </w:r>
    </w:p>
    <w:p w14:paraId="356343CB" w14:textId="77777777" w:rsidR="007F6DFA" w:rsidRPr="00CD6C26" w:rsidRDefault="007F6DFA" w:rsidP="00502938">
      <w:pPr>
        <w:pStyle w:val="ListParagraph"/>
        <w:numPr>
          <w:ilvl w:val="0"/>
          <w:numId w:val="8"/>
        </w:numPr>
        <w:spacing w:after="170" w:line="240" w:lineRule="atLeast"/>
      </w:pPr>
      <w:r w:rsidRPr="009A5412">
        <w:t xml:space="preserve">On </w:t>
      </w:r>
      <w:r>
        <w:t>a weighted average basis</w:t>
      </w:r>
      <w:r>
        <w:rPr>
          <w:rStyle w:val="FootnoteReference"/>
        </w:rPr>
        <w:footnoteReference w:id="2"/>
      </w:r>
      <w:r>
        <w:t>,</w:t>
      </w:r>
      <w:r w:rsidRPr="009A5412">
        <w:t xml:space="preserve"> the annual salary </w:t>
      </w:r>
      <w:proofErr w:type="gramStart"/>
      <w:r w:rsidRPr="009A5412">
        <w:t>increase</w:t>
      </w:r>
      <w:proofErr w:type="gramEnd"/>
      <w:r w:rsidRPr="009A5412">
        <w:t xml:space="preserve"> </w:t>
      </w:r>
      <w:r>
        <w:t xml:space="preserve">for teaching staff in government schools </w:t>
      </w:r>
      <w:r w:rsidRPr="009A5412">
        <w:t xml:space="preserve">from 2019 to 2024 fluctuated between 2 and </w:t>
      </w:r>
      <w:r>
        <w:t>6</w:t>
      </w:r>
      <w:r w:rsidRPr="009A5412">
        <w:t xml:space="preserve"> per cent.</w:t>
      </w:r>
    </w:p>
    <w:p w14:paraId="3C2C8090" w14:textId="77777777" w:rsidR="007F6DFA" w:rsidRPr="00CD6C26" w:rsidRDefault="007F6DFA" w:rsidP="00502938">
      <w:pPr>
        <w:pStyle w:val="ListParagraph"/>
        <w:numPr>
          <w:ilvl w:val="0"/>
          <w:numId w:val="8"/>
        </w:numPr>
        <w:spacing w:after="170" w:line="240" w:lineRule="atLeast"/>
      </w:pPr>
      <w:r>
        <w:t xml:space="preserve">Information on non-government schools indicates that teaching staff salary increases tend to align closely, or slightly surpass, the increases stipulated in the government-sector Enterprise Bargaining Agreements (EBAs) for teaching staff in their respective states. </w:t>
      </w:r>
    </w:p>
    <w:p w14:paraId="124CE889" w14:textId="52B9F9F9" w:rsidR="007F6DFA" w:rsidRPr="00CD6C26" w:rsidRDefault="007F6DFA" w:rsidP="00502938">
      <w:pPr>
        <w:pStyle w:val="ListParagraph"/>
        <w:numPr>
          <w:ilvl w:val="0"/>
          <w:numId w:val="8"/>
        </w:numPr>
        <w:spacing w:after="170" w:line="240" w:lineRule="atLeast"/>
      </w:pPr>
      <w:r>
        <w:t xml:space="preserve">For non-teaching staff, </w:t>
      </w:r>
      <w:r w:rsidRPr="00CE74C9">
        <w:t xml:space="preserve">the annual salary </w:t>
      </w:r>
      <w:proofErr w:type="gramStart"/>
      <w:r w:rsidRPr="00CE74C9">
        <w:t>increase</w:t>
      </w:r>
      <w:proofErr w:type="gramEnd"/>
      <w:r w:rsidRPr="00CE74C9">
        <w:t xml:space="preserve"> across jurisdictions ranged from </w:t>
      </w:r>
      <w:r w:rsidR="00B00105">
        <w:br/>
      </w:r>
      <w:r w:rsidRPr="00CE74C9">
        <w:t xml:space="preserve">2 to </w:t>
      </w:r>
      <w:r>
        <w:t>5</w:t>
      </w:r>
      <w:r w:rsidRPr="00CE74C9">
        <w:t xml:space="preserve"> per</w:t>
      </w:r>
      <w:r>
        <w:t xml:space="preserve"> </w:t>
      </w:r>
      <w:r w:rsidRPr="00CE74C9">
        <w:t xml:space="preserve">cent </w:t>
      </w:r>
      <w:r>
        <w:t xml:space="preserve">(on a weighted average basis) </w:t>
      </w:r>
      <w:r w:rsidRPr="00CE74C9">
        <w:t xml:space="preserve">over the </w:t>
      </w:r>
      <w:r>
        <w:t xml:space="preserve">period. </w:t>
      </w:r>
    </w:p>
    <w:p w14:paraId="2B81898A" w14:textId="77777777" w:rsidR="007F6DFA" w:rsidRPr="00B00105" w:rsidRDefault="007F6DFA" w:rsidP="007F6DFA">
      <w:pPr>
        <w:rPr>
          <w:b/>
          <w:bCs/>
          <w:i/>
        </w:rPr>
      </w:pPr>
      <w:r w:rsidRPr="00B00105">
        <w:rPr>
          <w:b/>
          <w:bCs/>
          <w:i/>
        </w:rPr>
        <w:t xml:space="preserve">Comparisons with </w:t>
      </w:r>
      <w:r w:rsidRPr="00B00105">
        <w:rPr>
          <w:b/>
          <w:bCs/>
          <w:i/>
          <w:iCs/>
        </w:rPr>
        <w:t xml:space="preserve">SRS indexation </w:t>
      </w:r>
    </w:p>
    <w:p w14:paraId="23864EB2" w14:textId="156AF33E" w:rsidR="007F6DFA" w:rsidRPr="00B00105" w:rsidRDefault="007F6DFA" w:rsidP="00502938">
      <w:pPr>
        <w:pStyle w:val="ListBullet"/>
        <w:numPr>
          <w:ilvl w:val="0"/>
          <w:numId w:val="9"/>
        </w:numPr>
        <w:rPr>
          <w:rFonts w:asciiTheme="minorHAnsi" w:hAnsiTheme="minorHAnsi" w:cstheme="minorHAnsi"/>
          <w:i/>
          <w:iCs/>
          <w:sz w:val="22"/>
          <w:szCs w:val="22"/>
        </w:rPr>
      </w:pPr>
      <w:r w:rsidRPr="00B00105">
        <w:rPr>
          <w:rFonts w:asciiTheme="minorHAnsi" w:hAnsiTheme="minorHAnsi" w:cstheme="minorHAnsi"/>
          <w:sz w:val="22"/>
          <w:szCs w:val="22"/>
        </w:rPr>
        <w:t>The WPI has increased by an average of 2.5 per cent over the period 2019</w:t>
      </w:r>
      <w:r w:rsidR="00B00105" w:rsidRPr="00B00105">
        <w:rPr>
          <w:rFonts w:asciiTheme="minorHAnsi" w:hAnsiTheme="minorHAnsi" w:cstheme="minorHAnsi"/>
          <w:sz w:val="22"/>
          <w:szCs w:val="22"/>
        </w:rPr>
        <w:t>–</w:t>
      </w:r>
      <w:r w:rsidRPr="00B00105">
        <w:rPr>
          <w:rFonts w:asciiTheme="minorHAnsi" w:hAnsiTheme="minorHAnsi" w:cstheme="minorHAnsi"/>
          <w:sz w:val="22"/>
          <w:szCs w:val="22"/>
        </w:rPr>
        <w:t xml:space="preserve">2023. Throughout this timeframe, teacher and non-teacher salaries in the government sector have, on a weighted average basis, increased by 2.6 per cent and 2.4 per cent respectively. Consequently, the growth in the WPI appears to be relatively consistent with the growth in both teacher and non-teacher salaries across Australia, on average. </w:t>
      </w:r>
    </w:p>
    <w:p w14:paraId="7285DB27" w14:textId="77777777" w:rsidR="007F6DFA" w:rsidRPr="00B00105" w:rsidRDefault="007F6DFA" w:rsidP="00502938">
      <w:pPr>
        <w:pStyle w:val="ListParagraph"/>
        <w:numPr>
          <w:ilvl w:val="0"/>
          <w:numId w:val="9"/>
        </w:numPr>
        <w:spacing w:after="170" w:line="240" w:lineRule="atLeast"/>
        <w:rPr>
          <w:rFonts w:cstheme="minorHAnsi"/>
        </w:rPr>
      </w:pPr>
      <w:r w:rsidRPr="00B00105">
        <w:rPr>
          <w:rFonts w:cstheme="minorHAnsi"/>
        </w:rPr>
        <w:t xml:space="preserve">Over the analysis period, growth in the CPI tended to outpace growth in CPI categories likely to be related to schooling (including Newspapers, books and </w:t>
      </w:r>
      <w:proofErr w:type="gramStart"/>
      <w:r w:rsidRPr="00B00105">
        <w:rPr>
          <w:rFonts w:cstheme="minorHAnsi"/>
        </w:rPr>
        <w:t>stationary</w:t>
      </w:r>
      <w:proofErr w:type="gramEnd"/>
      <w:r w:rsidRPr="00B00105">
        <w:rPr>
          <w:rFonts w:cstheme="minorHAnsi"/>
        </w:rPr>
        <w:t xml:space="preserve">, Utilities, Audio, visual and computing equipment and services and Insurance and financial services). </w:t>
      </w:r>
    </w:p>
    <w:p w14:paraId="143554DE" w14:textId="77777777" w:rsidR="007F6DFA" w:rsidRPr="00B00105" w:rsidRDefault="007F6DFA" w:rsidP="00502938">
      <w:pPr>
        <w:pStyle w:val="ListParagraph"/>
        <w:numPr>
          <w:ilvl w:val="0"/>
          <w:numId w:val="9"/>
        </w:numPr>
        <w:spacing w:after="170" w:line="240" w:lineRule="atLeast"/>
        <w:rPr>
          <w:rFonts w:cstheme="minorHAnsi"/>
        </w:rPr>
      </w:pPr>
      <w:r w:rsidRPr="00B00105">
        <w:rPr>
          <w:rFonts w:cstheme="minorHAnsi"/>
        </w:rPr>
        <w:t xml:space="preserve">More detailed information on the nature and shares of non-labour schooling inputs would enable a more robust analysis. </w:t>
      </w:r>
    </w:p>
    <w:p w14:paraId="5D057920" w14:textId="77777777" w:rsidR="007F6DFA" w:rsidRPr="00B00105" w:rsidRDefault="007F6DFA" w:rsidP="007F6DFA">
      <w:pPr>
        <w:rPr>
          <w:rFonts w:asciiTheme="majorHAnsi" w:hAnsiTheme="majorHAnsi" w:cs="Segoe UI"/>
          <w:b/>
          <w:bCs/>
          <w:i/>
          <w:iCs/>
        </w:rPr>
      </w:pPr>
      <w:r w:rsidRPr="00B00105">
        <w:rPr>
          <w:rFonts w:asciiTheme="majorHAnsi" w:hAnsiTheme="majorHAnsi" w:cs="Segoe UI"/>
          <w:b/>
          <w:bCs/>
          <w:i/>
          <w:iCs/>
        </w:rPr>
        <w:t>Key drivers of CPI and WPI</w:t>
      </w:r>
    </w:p>
    <w:p w14:paraId="3604AE79" w14:textId="77777777" w:rsidR="007F6DFA" w:rsidRDefault="007F6DFA" w:rsidP="00502938">
      <w:pPr>
        <w:pStyle w:val="ListParagraph"/>
        <w:numPr>
          <w:ilvl w:val="0"/>
          <w:numId w:val="10"/>
        </w:numPr>
        <w:spacing w:after="170" w:line="240" w:lineRule="atLeast"/>
      </w:pPr>
      <w:r>
        <w:t xml:space="preserve">Movements in WPI and CPI are driven by a range of factors that are not all relevant to schooling inputs. </w:t>
      </w:r>
    </w:p>
    <w:p w14:paraId="23684B8E" w14:textId="77777777" w:rsidR="00761599" w:rsidRDefault="007F6DFA" w:rsidP="00761599">
      <w:pPr>
        <w:pStyle w:val="ListParagraph"/>
        <w:numPr>
          <w:ilvl w:val="0"/>
          <w:numId w:val="10"/>
        </w:numPr>
        <w:spacing w:after="170" w:line="240" w:lineRule="atLeast"/>
      </w:pPr>
      <w:r>
        <w:t>The key drivers of price growth between 2021 and 2023 stemmed from supply chain disruptions and rising demand after removing COVID</w:t>
      </w:r>
      <w:r w:rsidR="00B00105">
        <w:t>-19</w:t>
      </w:r>
      <w:r>
        <w:t xml:space="preserve"> restrictions. Most key drivers of CPI growth over this period are not relevant to schools, except for Utilities and Automotive fuel.</w:t>
      </w:r>
    </w:p>
    <w:p w14:paraId="3AB5201D" w14:textId="3D37DEBA" w:rsidR="007F6DFA" w:rsidRDefault="007F6DFA" w:rsidP="00761599">
      <w:pPr>
        <w:pStyle w:val="ListParagraph"/>
        <w:numPr>
          <w:ilvl w:val="0"/>
          <w:numId w:val="10"/>
        </w:numPr>
        <w:spacing w:after="170" w:line="240" w:lineRule="atLeast"/>
      </w:pPr>
      <w:r>
        <w:t>Similarly, wage growth in recent years has been strongest in sectors like Construction which have seen persistent shortages and COVID</w:t>
      </w:r>
      <w:r w:rsidR="00B00105">
        <w:t>-19</w:t>
      </w:r>
      <w:r>
        <w:t xml:space="preserve"> disruptions. Education and training WPI growth has tracked lower than overall WPI in recent years due to EBA timing, but this may change as more EBAs are renegotiated. </w:t>
      </w:r>
    </w:p>
    <w:tbl>
      <w:tblPr>
        <w:tblStyle w:val="TableGrid"/>
        <w:tblW w:w="5000" w:type="pct"/>
        <w:shd w:val="clear" w:color="auto" w:fill="DEEAF6" w:themeFill="accent1" w:themeFillTint="33"/>
        <w:tblLook w:val="04A0" w:firstRow="1" w:lastRow="0" w:firstColumn="1" w:lastColumn="0" w:noHBand="0" w:noVBand="1"/>
      </w:tblPr>
      <w:tblGrid>
        <w:gridCol w:w="9016"/>
      </w:tblGrid>
      <w:tr w:rsidR="007F6DFA" w14:paraId="223E371C" w14:textId="77777777" w:rsidTr="007F6DFA">
        <w:tc>
          <w:tcPr>
            <w:tcW w:w="5000" w:type="pct"/>
            <w:shd w:val="clear" w:color="auto" w:fill="DEEAF6" w:themeFill="accent1" w:themeFillTint="33"/>
          </w:tcPr>
          <w:p w14:paraId="519DDE10" w14:textId="77777777" w:rsidR="007F6DFA" w:rsidRPr="00CD6C26" w:rsidRDefault="007F6DFA" w:rsidP="00BD66A6">
            <w:pPr>
              <w:spacing w:before="240"/>
              <w:ind w:left="227" w:right="227"/>
              <w:rPr>
                <w:b/>
                <w:bCs/>
              </w:rPr>
            </w:pPr>
            <w:r>
              <w:rPr>
                <w:b/>
                <w:bCs/>
              </w:rPr>
              <w:t xml:space="preserve">Discussion questions: </w:t>
            </w:r>
          </w:p>
          <w:p w14:paraId="305CEA60" w14:textId="77777777" w:rsidR="007F6DFA" w:rsidRDefault="007F6DFA" w:rsidP="00502938">
            <w:pPr>
              <w:pStyle w:val="ListParagraph"/>
              <w:numPr>
                <w:ilvl w:val="0"/>
                <w:numId w:val="10"/>
              </w:numPr>
              <w:spacing w:after="170" w:line="240" w:lineRule="atLeast"/>
            </w:pPr>
            <w:r>
              <w:t xml:space="preserve">Are data sources available on the breakdown of non-salary operating expenses for schools? </w:t>
            </w:r>
          </w:p>
          <w:p w14:paraId="77982130" w14:textId="77777777" w:rsidR="007F6DFA" w:rsidRPr="0068266D" w:rsidRDefault="007F6DFA" w:rsidP="00502938">
            <w:pPr>
              <w:pStyle w:val="ListParagraph"/>
              <w:numPr>
                <w:ilvl w:val="0"/>
                <w:numId w:val="10"/>
              </w:numPr>
              <w:spacing w:after="170" w:line="240" w:lineRule="atLeast"/>
            </w:pPr>
            <w:r>
              <w:t>What are the most substantial non-salary operating inputs?</w:t>
            </w:r>
          </w:p>
        </w:tc>
      </w:tr>
    </w:tbl>
    <w:p w14:paraId="5B81361F" w14:textId="77777777" w:rsidR="007E0855" w:rsidRDefault="007E0855">
      <w:pPr>
        <w:rPr>
          <w:rFonts w:eastAsiaTheme="majorEastAsia" w:cstheme="minorHAnsi"/>
          <w:b/>
          <w:bCs/>
          <w:color w:val="2D3E7B"/>
          <w:sz w:val="36"/>
          <w:szCs w:val="36"/>
        </w:rPr>
      </w:pPr>
      <w:r>
        <w:br w:type="page"/>
      </w:r>
    </w:p>
    <w:p w14:paraId="0B4DB1B9" w14:textId="7653D538" w:rsidR="003E1AB3" w:rsidRPr="00CB7EC5" w:rsidRDefault="009D7566" w:rsidP="00502938">
      <w:pPr>
        <w:pStyle w:val="Heading1"/>
        <w:numPr>
          <w:ilvl w:val="0"/>
          <w:numId w:val="13"/>
        </w:numPr>
        <w:ind w:left="709" w:hanging="709"/>
      </w:pPr>
      <w:bookmarkStart w:id="2" w:name="_Toc159597533"/>
      <w:r>
        <w:t xml:space="preserve">Preliminary </w:t>
      </w:r>
      <w:r w:rsidR="007F6DFA">
        <w:t>findings on the s</w:t>
      </w:r>
      <w:r w:rsidR="0076602E">
        <w:t>uitability of current indexation floor</w:t>
      </w:r>
      <w:bookmarkEnd w:id="2"/>
    </w:p>
    <w:p w14:paraId="4B5D93D4" w14:textId="77777777" w:rsidR="00B00105" w:rsidRDefault="00B00105" w:rsidP="00502938">
      <w:pPr>
        <w:pStyle w:val="ListParagraph"/>
        <w:numPr>
          <w:ilvl w:val="0"/>
          <w:numId w:val="10"/>
        </w:numPr>
        <w:spacing w:after="170" w:line="240" w:lineRule="atLeast"/>
      </w:pPr>
      <w:r>
        <w:t xml:space="preserve">The rationale for an indexation floor is to provide funding certainty and protecting the system against deflation. However, there is a trade-off between these objectives and funding accuracy. </w:t>
      </w:r>
    </w:p>
    <w:p w14:paraId="5FFD17B0" w14:textId="4FDDD46D" w:rsidR="00B00105" w:rsidRDefault="00B00105" w:rsidP="00502938">
      <w:pPr>
        <w:pStyle w:val="ListParagraph"/>
        <w:numPr>
          <w:ilvl w:val="0"/>
          <w:numId w:val="10"/>
        </w:numPr>
        <w:spacing w:after="170" w:line="240" w:lineRule="atLeast"/>
      </w:pPr>
      <w:r>
        <w:t xml:space="preserve">In periods of low inflation, a floor of 3 per cent </w:t>
      </w:r>
      <w:r w:rsidR="007B0B91">
        <w:t xml:space="preserve">would </w:t>
      </w:r>
      <w:r>
        <w:t>increase the purchasing power of funding.</w:t>
      </w:r>
    </w:p>
    <w:p w14:paraId="0B829574" w14:textId="53F28B4A" w:rsidR="00B00105" w:rsidRDefault="00B00105" w:rsidP="00502938">
      <w:pPr>
        <w:pStyle w:val="ListParagraph"/>
        <w:numPr>
          <w:ilvl w:val="0"/>
          <w:numId w:val="10"/>
        </w:numPr>
        <w:spacing w:after="170" w:line="240" w:lineRule="atLeast"/>
      </w:pPr>
      <w:r>
        <w:t>Protecting the system from deflation and a reduction in funding suggests that an indexation floor may be appropriate.</w:t>
      </w:r>
    </w:p>
    <w:p w14:paraId="0B250124" w14:textId="11CC4534" w:rsidR="00B00105" w:rsidRDefault="00B00105" w:rsidP="00502938">
      <w:pPr>
        <w:pStyle w:val="ListParagraph"/>
        <w:numPr>
          <w:ilvl w:val="0"/>
          <w:numId w:val="10"/>
        </w:numPr>
        <w:spacing w:after="170" w:line="240" w:lineRule="atLeast"/>
      </w:pPr>
      <w:r>
        <w:t>Funding certainty might be more important in times of high inflation volatility. While difficult to predict, there are reasons to consider that the inflationary environment may be more variable in the future than was the case over recent decades prior to the COVID-19 pandemic.</w:t>
      </w:r>
    </w:p>
    <w:p w14:paraId="25A96D50" w14:textId="77777777" w:rsidR="00B00105" w:rsidRDefault="00B00105" w:rsidP="00502938">
      <w:pPr>
        <w:pStyle w:val="ListParagraph"/>
        <w:numPr>
          <w:ilvl w:val="0"/>
          <w:numId w:val="10"/>
        </w:numPr>
        <w:spacing w:after="170" w:line="240" w:lineRule="atLeast"/>
      </w:pPr>
      <w:r>
        <w:t xml:space="preserve">If the concept of a floor is a desirable feature of an indexation formula, the next consideration is what is an appropriate level. The level of the floor should directly reflect the rationale for the floor's adoption. </w:t>
      </w:r>
    </w:p>
    <w:p w14:paraId="6FD3687B" w14:textId="77777777" w:rsidR="00B00105" w:rsidRDefault="00B00105" w:rsidP="00502938">
      <w:pPr>
        <w:pStyle w:val="ListParagraph"/>
        <w:numPr>
          <w:ilvl w:val="0"/>
          <w:numId w:val="10"/>
        </w:numPr>
        <w:spacing w:after="170" w:line="240" w:lineRule="atLeast"/>
      </w:pPr>
      <w:r>
        <w:t>One principle for setting the indexation floor in this context might be that it should not be engaged in a 'normal' inflationary environment.</w:t>
      </w:r>
    </w:p>
    <w:p w14:paraId="121F5F30" w14:textId="77777777" w:rsidR="00B15E27" w:rsidRPr="00997274" w:rsidRDefault="00B15E27" w:rsidP="00B15E27">
      <w:pPr>
        <w:pStyle w:val="ListParagraph"/>
        <w:numPr>
          <w:ilvl w:val="0"/>
          <w:numId w:val="10"/>
        </w:numPr>
        <w:spacing w:after="170" w:line="240" w:lineRule="atLeast"/>
      </w:pPr>
      <w:r>
        <w:t xml:space="preserve">Based on this principle, the current indexation floor of 3 per cent may be appropriate. </w:t>
      </w:r>
    </w:p>
    <w:tbl>
      <w:tblPr>
        <w:tblStyle w:val="TableGrid"/>
        <w:tblW w:w="0" w:type="auto"/>
        <w:shd w:val="clear" w:color="auto" w:fill="DEEAF6" w:themeFill="accent1" w:themeFillTint="33"/>
        <w:tblLook w:val="04A0" w:firstRow="1" w:lastRow="0" w:firstColumn="1" w:lastColumn="0" w:noHBand="0" w:noVBand="1"/>
      </w:tblPr>
      <w:tblGrid>
        <w:gridCol w:w="9016"/>
      </w:tblGrid>
      <w:tr w:rsidR="00B00105" w14:paraId="07050DD5" w14:textId="77777777" w:rsidTr="00B00105">
        <w:tc>
          <w:tcPr>
            <w:tcW w:w="9026" w:type="dxa"/>
            <w:shd w:val="clear" w:color="auto" w:fill="DEEAF6" w:themeFill="accent1" w:themeFillTint="33"/>
          </w:tcPr>
          <w:p w14:paraId="1C5C2F65" w14:textId="77777777" w:rsidR="00B00105" w:rsidRPr="002A1995" w:rsidRDefault="00B00105" w:rsidP="00BD66A6">
            <w:pPr>
              <w:keepNext/>
              <w:spacing w:before="240"/>
              <w:ind w:left="227" w:right="227"/>
              <w:rPr>
                <w:b/>
                <w:bCs/>
              </w:rPr>
            </w:pPr>
            <w:r>
              <w:rPr>
                <w:b/>
                <w:bCs/>
              </w:rPr>
              <w:t>Discussion questions:</w:t>
            </w:r>
          </w:p>
          <w:p w14:paraId="7D9FBEE8" w14:textId="77777777" w:rsidR="00B00105" w:rsidRDefault="00B00105" w:rsidP="00502938">
            <w:pPr>
              <w:pStyle w:val="ListParagraph"/>
              <w:numPr>
                <w:ilvl w:val="0"/>
                <w:numId w:val="10"/>
              </w:numPr>
              <w:spacing w:after="170" w:line="240" w:lineRule="atLeast"/>
            </w:pPr>
            <w:r>
              <w:t xml:space="preserve">How are the trade-offs between funding certainty and funding accuracy perceived? </w:t>
            </w:r>
          </w:p>
          <w:p w14:paraId="543EDE9B" w14:textId="77777777" w:rsidR="00B00105" w:rsidRDefault="00B00105" w:rsidP="00502938">
            <w:pPr>
              <w:pStyle w:val="ListParagraph"/>
              <w:numPr>
                <w:ilvl w:val="0"/>
                <w:numId w:val="10"/>
              </w:numPr>
              <w:spacing w:after="170" w:line="240" w:lineRule="atLeast"/>
            </w:pPr>
            <w:r>
              <w:t>Have perspectives about the rationale for an indexation floor changed over time?</w:t>
            </w:r>
          </w:p>
          <w:p w14:paraId="640AA266" w14:textId="7EC15265" w:rsidR="00B7084D" w:rsidRDefault="00B7084D" w:rsidP="00502938">
            <w:pPr>
              <w:pStyle w:val="ListParagraph"/>
              <w:numPr>
                <w:ilvl w:val="0"/>
                <w:numId w:val="10"/>
              </w:numPr>
              <w:spacing w:after="170" w:line="240" w:lineRule="atLeast"/>
            </w:pPr>
            <w:r>
              <w:t>Is the current indexation floor of 3 per cent appropriate? Should it change?</w:t>
            </w:r>
          </w:p>
        </w:tc>
      </w:tr>
    </w:tbl>
    <w:p w14:paraId="12D34662" w14:textId="77777777" w:rsidR="007E0855" w:rsidRDefault="007E0855">
      <w:pPr>
        <w:rPr>
          <w:rFonts w:eastAsiaTheme="majorEastAsia" w:cstheme="minorHAnsi"/>
          <w:b/>
          <w:bCs/>
          <w:color w:val="2D3E7B"/>
          <w:sz w:val="36"/>
          <w:szCs w:val="36"/>
        </w:rPr>
      </w:pPr>
      <w:r>
        <w:br w:type="page"/>
      </w:r>
    </w:p>
    <w:p w14:paraId="33A3E14C" w14:textId="35368290" w:rsidR="003E1AB3" w:rsidRPr="00A06E04" w:rsidRDefault="006D4229" w:rsidP="00502938">
      <w:pPr>
        <w:pStyle w:val="Heading1"/>
        <w:numPr>
          <w:ilvl w:val="0"/>
          <w:numId w:val="13"/>
        </w:numPr>
        <w:ind w:hanging="720"/>
      </w:pPr>
      <w:bookmarkStart w:id="3" w:name="_Toc159597534"/>
      <w:r>
        <w:t xml:space="preserve">Preliminary </w:t>
      </w:r>
      <w:r w:rsidR="00B00105">
        <w:t>findings on the s</w:t>
      </w:r>
      <w:r w:rsidR="0076602E">
        <w:t>tructure and weighting of composite index</w:t>
      </w:r>
      <w:bookmarkEnd w:id="3"/>
    </w:p>
    <w:p w14:paraId="6E581EA7" w14:textId="77777777" w:rsidR="00B00105" w:rsidRPr="0057703C" w:rsidRDefault="00B00105" w:rsidP="00502938">
      <w:pPr>
        <w:pStyle w:val="ListParagraph"/>
        <w:numPr>
          <w:ilvl w:val="0"/>
          <w:numId w:val="11"/>
        </w:numPr>
        <w:spacing w:after="170" w:line="240" w:lineRule="atLeast"/>
      </w:pPr>
      <w:r w:rsidRPr="0057703C">
        <w:rPr>
          <w:bCs/>
        </w:rPr>
        <w:t xml:space="preserve">The current composite index is based on the CPI and WPI, which are </w:t>
      </w:r>
      <w:r>
        <w:rPr>
          <w:bCs/>
        </w:rPr>
        <w:t>broad-based</w:t>
      </w:r>
      <w:r w:rsidRPr="0057703C">
        <w:rPr>
          <w:bCs/>
        </w:rPr>
        <w:t xml:space="preserve"> measures of changes in prices and wages. As such, </w:t>
      </w:r>
      <w:r>
        <w:t>the composite index reflects changes in the price of goods, services and labour that are not all relevant to schooling inputs.</w:t>
      </w:r>
    </w:p>
    <w:p w14:paraId="459CD32B" w14:textId="77777777" w:rsidR="00B00105" w:rsidRDefault="00B00105" w:rsidP="00502938">
      <w:pPr>
        <w:pStyle w:val="ListParagraph"/>
        <w:numPr>
          <w:ilvl w:val="0"/>
          <w:numId w:val="11"/>
        </w:numPr>
        <w:spacing w:after="170" w:line="240" w:lineRule="atLeast"/>
        <w:rPr>
          <w:bCs/>
        </w:rPr>
      </w:pPr>
      <w:r>
        <w:rPr>
          <w:bCs/>
        </w:rPr>
        <w:t xml:space="preserve">Alternative measures were considered against four key principles: </w:t>
      </w:r>
    </w:p>
    <w:p w14:paraId="2C5E050B" w14:textId="77777777" w:rsidR="00B00105" w:rsidRDefault="00B00105" w:rsidP="00502938">
      <w:pPr>
        <w:pStyle w:val="ListParagraph"/>
        <w:numPr>
          <w:ilvl w:val="1"/>
          <w:numId w:val="11"/>
        </w:numPr>
        <w:spacing w:after="170" w:line="240" w:lineRule="atLeast"/>
        <w:rPr>
          <w:bCs/>
        </w:rPr>
      </w:pPr>
      <w:r>
        <w:rPr>
          <w:bCs/>
        </w:rPr>
        <w:t>Frequency and timing</w:t>
      </w:r>
    </w:p>
    <w:p w14:paraId="2DF44A78" w14:textId="77777777" w:rsidR="00B00105" w:rsidRDefault="00B00105" w:rsidP="00502938">
      <w:pPr>
        <w:pStyle w:val="ListParagraph"/>
        <w:numPr>
          <w:ilvl w:val="1"/>
          <w:numId w:val="11"/>
        </w:numPr>
        <w:spacing w:after="170" w:line="240" w:lineRule="atLeast"/>
        <w:rPr>
          <w:bCs/>
        </w:rPr>
      </w:pPr>
      <w:r>
        <w:rPr>
          <w:bCs/>
        </w:rPr>
        <w:t xml:space="preserve">Is it </w:t>
      </w:r>
      <w:proofErr w:type="gramStart"/>
      <w:r>
        <w:rPr>
          <w:bCs/>
        </w:rPr>
        <w:t>is</w:t>
      </w:r>
      <w:proofErr w:type="gramEnd"/>
      <w:r>
        <w:rPr>
          <w:bCs/>
        </w:rPr>
        <w:t xml:space="preserve"> education focussed?</w:t>
      </w:r>
    </w:p>
    <w:p w14:paraId="0FD99E69" w14:textId="77777777" w:rsidR="00B00105" w:rsidRDefault="00B00105" w:rsidP="00502938">
      <w:pPr>
        <w:pStyle w:val="ListParagraph"/>
        <w:numPr>
          <w:ilvl w:val="1"/>
          <w:numId w:val="11"/>
        </w:numPr>
        <w:spacing w:after="170" w:line="240" w:lineRule="atLeast"/>
        <w:rPr>
          <w:bCs/>
        </w:rPr>
      </w:pPr>
      <w:r>
        <w:rPr>
          <w:bCs/>
        </w:rPr>
        <w:t>Would it reflect costs faced by schools?</w:t>
      </w:r>
    </w:p>
    <w:p w14:paraId="2A9EDA31" w14:textId="77777777" w:rsidR="00B00105" w:rsidRDefault="00B00105" w:rsidP="00502938">
      <w:pPr>
        <w:pStyle w:val="ListParagraph"/>
        <w:numPr>
          <w:ilvl w:val="1"/>
          <w:numId w:val="11"/>
        </w:numPr>
        <w:spacing w:after="170" w:line="240" w:lineRule="atLeast"/>
        <w:rPr>
          <w:bCs/>
        </w:rPr>
      </w:pPr>
      <w:r>
        <w:rPr>
          <w:bCs/>
        </w:rPr>
        <w:t>Is it policy independent?</w:t>
      </w:r>
    </w:p>
    <w:p w14:paraId="2B255E8C" w14:textId="18ABDF6D" w:rsidR="00B00105" w:rsidRPr="00EA7F4A" w:rsidRDefault="00B00105" w:rsidP="00502938">
      <w:pPr>
        <w:pStyle w:val="ListParagraph"/>
        <w:numPr>
          <w:ilvl w:val="0"/>
          <w:numId w:val="11"/>
        </w:numPr>
        <w:spacing w:after="170" w:line="240" w:lineRule="atLeast"/>
        <w:rPr>
          <w:bCs/>
        </w:rPr>
      </w:pPr>
      <w:r>
        <w:rPr>
          <w:bCs/>
        </w:rPr>
        <w:t xml:space="preserve">On balance, WPI and CPI are considered appropriate components for SRS indexation. Education-specific measures like the Education and </w:t>
      </w:r>
      <w:r w:rsidR="00761599">
        <w:rPr>
          <w:bCs/>
        </w:rPr>
        <w:t>T</w:t>
      </w:r>
      <w:r>
        <w:rPr>
          <w:bCs/>
        </w:rPr>
        <w:t>raining WPI pose risks of circularity of funding policy and indexation (‘policy independence’), while other data sources like PPI and Average weekly earnings are often less timely and add minimal value.</w:t>
      </w:r>
    </w:p>
    <w:p w14:paraId="53A8E50B" w14:textId="77777777" w:rsidR="00B00105" w:rsidRDefault="00B00105" w:rsidP="00502938">
      <w:pPr>
        <w:pStyle w:val="ListParagraph"/>
        <w:numPr>
          <w:ilvl w:val="0"/>
          <w:numId w:val="11"/>
        </w:numPr>
        <w:spacing w:after="170" w:line="240" w:lineRule="atLeast"/>
      </w:pPr>
      <w:r w:rsidRPr="00757410">
        <w:rPr>
          <w:bCs/>
        </w:rPr>
        <w:t xml:space="preserve">It is possible that a combination of some subcomponents of the CPI would better reflect schooling non-labour input prices than the overall CPI, while still maintaining policy independence. </w:t>
      </w:r>
      <w:r>
        <w:t xml:space="preserve">A more detailed understanding of these expenditure items would enable a more robust analysis of how well the CPI (or subcomponents of CPI) reflects the true price increases being faced by schools.  </w:t>
      </w:r>
    </w:p>
    <w:p w14:paraId="1167BC14" w14:textId="77777777" w:rsidR="00B00105" w:rsidRPr="00997274" w:rsidRDefault="00B00105" w:rsidP="00502938">
      <w:pPr>
        <w:pStyle w:val="ListParagraph"/>
        <w:numPr>
          <w:ilvl w:val="0"/>
          <w:numId w:val="11"/>
        </w:numPr>
        <w:spacing w:after="170" w:line="240" w:lineRule="atLeast"/>
        <w:rPr>
          <w:b/>
          <w:bCs/>
        </w:rPr>
      </w:pPr>
      <w:r w:rsidRPr="0027542C">
        <w:rPr>
          <w:bCs/>
        </w:rPr>
        <w:t xml:space="preserve">Expenditure on salaries and wages has consistently represented around 74 to 76 per cent of total recurrent school expenditure, across both government and non-government sectors. This suggests that the current weighting remains relevant and </w:t>
      </w:r>
      <w:r>
        <w:rPr>
          <w:bCs/>
        </w:rPr>
        <w:t>appropriate</w:t>
      </w:r>
      <w:r w:rsidRPr="0027542C">
        <w:rPr>
          <w:bCs/>
        </w:rPr>
        <w:t xml:space="preserve"> in reflecting the composition of school expenditure.</w:t>
      </w:r>
    </w:p>
    <w:tbl>
      <w:tblPr>
        <w:tblStyle w:val="TableGrid"/>
        <w:tblW w:w="0" w:type="auto"/>
        <w:shd w:val="clear" w:color="auto" w:fill="DEEAF6" w:themeFill="accent1" w:themeFillTint="33"/>
        <w:tblLook w:val="04A0" w:firstRow="1" w:lastRow="0" w:firstColumn="1" w:lastColumn="0" w:noHBand="0" w:noVBand="1"/>
      </w:tblPr>
      <w:tblGrid>
        <w:gridCol w:w="9016"/>
      </w:tblGrid>
      <w:tr w:rsidR="00B00105" w14:paraId="061FF8C3" w14:textId="77777777" w:rsidTr="00BD66A6">
        <w:trPr>
          <w:trHeight w:val="2062"/>
        </w:trPr>
        <w:tc>
          <w:tcPr>
            <w:tcW w:w="9026" w:type="dxa"/>
            <w:shd w:val="clear" w:color="auto" w:fill="DEEAF6" w:themeFill="accent1" w:themeFillTint="33"/>
          </w:tcPr>
          <w:p w14:paraId="53A70004" w14:textId="77777777" w:rsidR="00B00105" w:rsidRDefault="00B00105" w:rsidP="00BD66A6">
            <w:pPr>
              <w:spacing w:before="240"/>
              <w:ind w:left="227" w:right="227"/>
              <w:rPr>
                <w:b/>
                <w:bCs/>
              </w:rPr>
            </w:pPr>
            <w:r>
              <w:rPr>
                <w:b/>
                <w:bCs/>
              </w:rPr>
              <w:t xml:space="preserve">Discussion questions: </w:t>
            </w:r>
          </w:p>
          <w:p w14:paraId="48B86E7F" w14:textId="77777777" w:rsidR="00B00105" w:rsidRDefault="00B00105" w:rsidP="00502938">
            <w:pPr>
              <w:pStyle w:val="ListParagraph"/>
              <w:numPr>
                <w:ilvl w:val="0"/>
                <w:numId w:val="10"/>
              </w:numPr>
              <w:spacing w:after="170" w:line="240" w:lineRule="atLeast"/>
            </w:pPr>
            <w:r>
              <w:t>Are there any other data inputs that should be considered for the composite index?</w:t>
            </w:r>
          </w:p>
          <w:p w14:paraId="6673DE31" w14:textId="77777777" w:rsidR="00B00105" w:rsidRPr="00FD6666" w:rsidRDefault="00B00105" w:rsidP="00502938">
            <w:pPr>
              <w:pStyle w:val="ListParagraph"/>
              <w:numPr>
                <w:ilvl w:val="0"/>
                <w:numId w:val="10"/>
              </w:numPr>
              <w:spacing w:after="170" w:line="240" w:lineRule="atLeast"/>
            </w:pPr>
            <w:r w:rsidRPr="0001527D">
              <w:t>To what extent does the SRS indexation rate, or expectations regarding future rates of indexation, inform or influence government policy decisions regarding input prices? For example, are agreed wage increases negotiated through EBAs set with regard to the SRS indexation rate?</w:t>
            </w:r>
          </w:p>
        </w:tc>
      </w:tr>
    </w:tbl>
    <w:p w14:paraId="0201B218" w14:textId="77777777" w:rsidR="00B00105" w:rsidRDefault="00B00105" w:rsidP="0076602E">
      <w:pPr>
        <w:pStyle w:val="Heading1"/>
      </w:pPr>
    </w:p>
    <w:p w14:paraId="7B771FD0" w14:textId="77777777" w:rsidR="00B00105" w:rsidRDefault="00B00105">
      <w:pPr>
        <w:rPr>
          <w:rFonts w:eastAsiaTheme="majorEastAsia" w:cstheme="minorHAnsi"/>
          <w:b/>
          <w:bCs/>
          <w:color w:val="2D3E7B"/>
          <w:sz w:val="36"/>
          <w:szCs w:val="36"/>
        </w:rPr>
      </w:pPr>
      <w:r>
        <w:br w:type="page"/>
      </w:r>
    </w:p>
    <w:p w14:paraId="57562C64" w14:textId="54AF4B57" w:rsidR="00DFD648" w:rsidRDefault="007F2D4B" w:rsidP="00502938">
      <w:pPr>
        <w:pStyle w:val="Heading1"/>
        <w:numPr>
          <w:ilvl w:val="0"/>
          <w:numId w:val="13"/>
        </w:numPr>
        <w:ind w:hanging="720"/>
      </w:pPr>
      <w:bookmarkStart w:id="4" w:name="_Toc159597535"/>
      <w:r>
        <w:t xml:space="preserve">Preliminary </w:t>
      </w:r>
      <w:r w:rsidR="00502938">
        <w:t>f</w:t>
      </w:r>
      <w:r w:rsidR="00B00105">
        <w:t>indings on t</w:t>
      </w:r>
      <w:r w:rsidR="0076602E">
        <w:t>iming of SRS indexation rates</w:t>
      </w:r>
      <w:bookmarkEnd w:id="4"/>
    </w:p>
    <w:p w14:paraId="191455BB" w14:textId="77777777" w:rsidR="00B00105" w:rsidRPr="00B00105" w:rsidRDefault="00B00105" w:rsidP="00502938">
      <w:pPr>
        <w:pStyle w:val="ListBullet"/>
        <w:numPr>
          <w:ilvl w:val="0"/>
          <w:numId w:val="12"/>
        </w:numPr>
        <w:rPr>
          <w:rFonts w:asciiTheme="minorHAnsi" w:hAnsiTheme="minorHAnsi" w:cstheme="minorHAnsi"/>
          <w:sz w:val="22"/>
          <w:szCs w:val="22"/>
        </w:rPr>
      </w:pPr>
      <w:r w:rsidRPr="00B00105">
        <w:rPr>
          <w:rFonts w:asciiTheme="minorHAnsi" w:hAnsiTheme="minorHAnsi" w:cstheme="minorHAnsi"/>
          <w:sz w:val="22"/>
          <w:szCs w:val="22"/>
        </w:rPr>
        <w:t xml:space="preserve">Indexation rates are applied to Australian Government funding payments using data from the </w:t>
      </w:r>
      <w:r w:rsidRPr="00B00105">
        <w:rPr>
          <w:rFonts w:asciiTheme="minorHAnsi" w:hAnsiTheme="minorHAnsi" w:cstheme="minorHAnsi"/>
          <w:b/>
          <w:bCs/>
          <w:sz w:val="22"/>
          <w:szCs w:val="22"/>
        </w:rPr>
        <w:t>June quarter</w:t>
      </w:r>
      <w:r w:rsidRPr="00B00105">
        <w:rPr>
          <w:rFonts w:asciiTheme="minorHAnsi" w:hAnsiTheme="minorHAnsi" w:cstheme="minorHAnsi"/>
          <w:sz w:val="22"/>
          <w:szCs w:val="22"/>
        </w:rPr>
        <w:t xml:space="preserve"> of the year in which the payments are made, which is generally known by September in that year.</w:t>
      </w:r>
    </w:p>
    <w:p w14:paraId="3C29A400" w14:textId="77777777" w:rsidR="00B00105" w:rsidRPr="00B00105" w:rsidRDefault="00B00105" w:rsidP="00502938">
      <w:pPr>
        <w:pStyle w:val="ListBullet"/>
        <w:numPr>
          <w:ilvl w:val="0"/>
          <w:numId w:val="12"/>
        </w:numPr>
        <w:rPr>
          <w:rFonts w:asciiTheme="minorHAnsi" w:hAnsiTheme="minorHAnsi" w:cstheme="minorHAnsi"/>
          <w:sz w:val="22"/>
          <w:szCs w:val="22"/>
        </w:rPr>
      </w:pPr>
      <w:r w:rsidRPr="00B00105">
        <w:rPr>
          <w:rFonts w:asciiTheme="minorHAnsi" w:hAnsiTheme="minorHAnsi" w:cstheme="minorHAnsi"/>
          <w:sz w:val="22"/>
          <w:szCs w:val="22"/>
        </w:rPr>
        <w:t>Payments to non-government schools are made in January and July using estimated indexation rates, with a final payment in October based on actual indexation (including revisions to prior payments based on the difference between estimated and actual indexation).</w:t>
      </w:r>
    </w:p>
    <w:p w14:paraId="24856F44" w14:textId="77777777" w:rsidR="00B00105" w:rsidRPr="00B00105" w:rsidRDefault="00B00105" w:rsidP="00502938">
      <w:pPr>
        <w:pStyle w:val="ListBullet"/>
        <w:numPr>
          <w:ilvl w:val="0"/>
          <w:numId w:val="12"/>
        </w:numPr>
        <w:rPr>
          <w:rFonts w:asciiTheme="minorHAnsi" w:hAnsiTheme="minorHAnsi" w:cstheme="minorHAnsi"/>
          <w:sz w:val="22"/>
          <w:szCs w:val="22"/>
        </w:rPr>
      </w:pPr>
      <w:r w:rsidRPr="00B00105">
        <w:rPr>
          <w:rFonts w:asciiTheme="minorHAnsi" w:hAnsiTheme="minorHAnsi" w:cstheme="minorHAnsi"/>
          <w:sz w:val="22"/>
          <w:szCs w:val="22"/>
        </w:rPr>
        <w:t>Payments to government school systems are made on a monthly basis using estimated indexation rates, with a final funding revision made in December to reconcile the difference with actual indexation.</w:t>
      </w:r>
    </w:p>
    <w:p w14:paraId="2E0A4052" w14:textId="77777777" w:rsidR="00B00105" w:rsidRPr="00B00105" w:rsidRDefault="00B00105" w:rsidP="00502938">
      <w:pPr>
        <w:pStyle w:val="ListBullet"/>
        <w:numPr>
          <w:ilvl w:val="0"/>
          <w:numId w:val="12"/>
        </w:numPr>
        <w:rPr>
          <w:rFonts w:asciiTheme="minorHAnsi" w:hAnsiTheme="minorHAnsi" w:cstheme="minorHAnsi"/>
          <w:sz w:val="22"/>
          <w:szCs w:val="22"/>
        </w:rPr>
      </w:pPr>
      <w:r w:rsidRPr="00B00105">
        <w:rPr>
          <w:rFonts w:asciiTheme="minorHAnsi" w:hAnsiTheme="minorHAnsi" w:cstheme="minorHAnsi"/>
          <w:sz w:val="22"/>
          <w:szCs w:val="22"/>
        </w:rPr>
        <w:t>Determining the most appropriate timing for the application of indexation to the allocation of funding requires balancing the trade-off between timeliness of funding to changes in input prices against the need to provide certainty to systems and schools when determining their budgets and allocating resources.</w:t>
      </w:r>
    </w:p>
    <w:p w14:paraId="5A52619B" w14:textId="77777777" w:rsidR="00B00105" w:rsidRPr="00B00105" w:rsidRDefault="00B00105" w:rsidP="00502938">
      <w:pPr>
        <w:pStyle w:val="ListBullet"/>
        <w:numPr>
          <w:ilvl w:val="0"/>
          <w:numId w:val="12"/>
        </w:numPr>
        <w:rPr>
          <w:rFonts w:asciiTheme="minorHAnsi" w:hAnsiTheme="minorHAnsi" w:cstheme="minorHAnsi"/>
          <w:sz w:val="22"/>
          <w:szCs w:val="22"/>
        </w:rPr>
      </w:pPr>
      <w:r w:rsidRPr="00B00105">
        <w:rPr>
          <w:rFonts w:asciiTheme="minorHAnsi" w:hAnsiTheme="minorHAnsi" w:cstheme="minorHAnsi"/>
          <w:sz w:val="22"/>
          <w:szCs w:val="22"/>
        </w:rPr>
        <w:t>Indexation rates utilising CPI and WPI data from earlier quarters may improve budget certainty and the ability for schools and systems to effectively plan.</w:t>
      </w:r>
    </w:p>
    <w:p w14:paraId="25774CA7" w14:textId="77777777" w:rsidR="00B00105" w:rsidRPr="00B00105" w:rsidRDefault="00B00105" w:rsidP="00502938">
      <w:pPr>
        <w:pStyle w:val="ListBullet"/>
        <w:numPr>
          <w:ilvl w:val="0"/>
          <w:numId w:val="12"/>
        </w:numPr>
        <w:spacing w:after="170"/>
        <w:ind w:left="714" w:hanging="357"/>
        <w:rPr>
          <w:rFonts w:asciiTheme="minorHAnsi" w:hAnsiTheme="minorHAnsi" w:cstheme="minorHAnsi"/>
          <w:sz w:val="22"/>
          <w:szCs w:val="22"/>
        </w:rPr>
      </w:pPr>
      <w:r w:rsidRPr="00B00105">
        <w:rPr>
          <w:rFonts w:asciiTheme="minorHAnsi" w:hAnsiTheme="minorHAnsi" w:cstheme="minorHAnsi"/>
          <w:sz w:val="22"/>
          <w:szCs w:val="22"/>
        </w:rPr>
        <w:t>Data from up to 12 months prior to the current approach may be appropriate for the purposes of indexation, depending on the extent to which schools and systems require greater budget certainty to support their planning and effective use of funding.</w:t>
      </w:r>
    </w:p>
    <w:tbl>
      <w:tblPr>
        <w:tblStyle w:val="TableGrid"/>
        <w:tblW w:w="0" w:type="auto"/>
        <w:shd w:val="clear" w:color="auto" w:fill="DEEAF6" w:themeFill="accent1" w:themeFillTint="33"/>
        <w:tblLook w:val="04A0" w:firstRow="1" w:lastRow="0" w:firstColumn="1" w:lastColumn="0" w:noHBand="0" w:noVBand="1"/>
      </w:tblPr>
      <w:tblGrid>
        <w:gridCol w:w="9016"/>
      </w:tblGrid>
      <w:tr w:rsidR="00B00105" w14:paraId="708CB8B0" w14:textId="77777777" w:rsidTr="00B00105">
        <w:tc>
          <w:tcPr>
            <w:tcW w:w="9026" w:type="dxa"/>
            <w:shd w:val="clear" w:color="auto" w:fill="DEEAF6" w:themeFill="accent1" w:themeFillTint="33"/>
          </w:tcPr>
          <w:p w14:paraId="6CC4783C" w14:textId="77777777" w:rsidR="00B00105" w:rsidRDefault="00B00105" w:rsidP="00BD66A6">
            <w:pPr>
              <w:spacing w:before="240"/>
              <w:ind w:left="227" w:right="227"/>
              <w:rPr>
                <w:b/>
                <w:bCs/>
              </w:rPr>
            </w:pPr>
            <w:r>
              <w:rPr>
                <w:b/>
                <w:bCs/>
              </w:rPr>
              <w:t xml:space="preserve">Discussion questions: </w:t>
            </w:r>
          </w:p>
          <w:p w14:paraId="48458045" w14:textId="77777777" w:rsidR="00B00105" w:rsidRDefault="00B00105" w:rsidP="00502938">
            <w:pPr>
              <w:pStyle w:val="ListParagraph"/>
              <w:numPr>
                <w:ilvl w:val="0"/>
                <w:numId w:val="10"/>
              </w:numPr>
              <w:spacing w:after="170" w:line="240" w:lineRule="atLeast"/>
            </w:pPr>
            <w:r>
              <w:t>To what extent is it important that funding payments respond quickly to estimates of changes to input prices?</w:t>
            </w:r>
          </w:p>
          <w:p w14:paraId="2D56B541" w14:textId="77777777" w:rsidR="00B00105" w:rsidRDefault="00B00105" w:rsidP="00502938">
            <w:pPr>
              <w:pStyle w:val="ListParagraph"/>
              <w:numPr>
                <w:ilvl w:val="0"/>
                <w:numId w:val="10"/>
              </w:numPr>
              <w:spacing w:after="170" w:line="240" w:lineRule="atLeast"/>
            </w:pPr>
            <w:r>
              <w:t xml:space="preserve">How much lead time after final indexation is known do schools and systems feel is needed to support effective budget planning and resource allocation? </w:t>
            </w:r>
          </w:p>
          <w:p w14:paraId="72743E73" w14:textId="77777777" w:rsidR="00B00105" w:rsidRPr="00FD6666" w:rsidRDefault="00B00105" w:rsidP="00502938">
            <w:pPr>
              <w:pStyle w:val="ListParagraph"/>
              <w:numPr>
                <w:ilvl w:val="0"/>
                <w:numId w:val="10"/>
              </w:numPr>
              <w:spacing w:after="170" w:line="240" w:lineRule="atLeast"/>
            </w:pPr>
            <w:r>
              <w:t xml:space="preserve">For government school systems, how is budget planning affected in cases where final monthly payments in December account for large differences in projected vs. actual indexation? </w:t>
            </w:r>
          </w:p>
        </w:tc>
      </w:tr>
    </w:tbl>
    <w:p w14:paraId="61961BF7" w14:textId="77777777" w:rsidR="00B00105" w:rsidRDefault="00B00105" w:rsidP="00B00105">
      <w:pPr>
        <w:rPr>
          <w:b/>
          <w:bCs/>
        </w:rPr>
      </w:pPr>
    </w:p>
    <w:p w14:paraId="00C80BB9" w14:textId="35F3A8B9" w:rsidR="003D0AB3" w:rsidRDefault="003D0AB3" w:rsidP="003D0AB3">
      <w:pPr>
        <w:pStyle w:val="Default"/>
        <w:spacing w:before="200" w:after="120" w:line="276" w:lineRule="auto"/>
        <w:rPr>
          <w:rFonts w:asciiTheme="minorHAnsi" w:hAnsiTheme="minorHAnsi" w:cstheme="minorBidi"/>
          <w:sz w:val="22"/>
          <w:szCs w:val="22"/>
        </w:rPr>
      </w:pPr>
    </w:p>
    <w:p w14:paraId="16A5D7F4" w14:textId="3EB51941" w:rsidR="003D0AB3" w:rsidRPr="00713CB5" w:rsidRDefault="003D0AB3" w:rsidP="00E26DEC">
      <w:pPr>
        <w:pStyle w:val="Default"/>
        <w:spacing w:before="200" w:after="120" w:line="276" w:lineRule="auto"/>
        <w:rPr>
          <w:color w:val="000000" w:themeColor="text1"/>
          <w:sz w:val="22"/>
          <w:szCs w:val="22"/>
        </w:rPr>
        <w:sectPr w:rsidR="003D0AB3" w:rsidRPr="00713CB5" w:rsidSect="002B3D07">
          <w:type w:val="continuous"/>
          <w:pgSz w:w="11906" w:h="16838"/>
          <w:pgMar w:top="1440" w:right="1440" w:bottom="1440" w:left="1440" w:header="708" w:footer="708" w:gutter="0"/>
          <w:cols w:space="708"/>
          <w:titlePg/>
          <w:docGrid w:linePitch="360"/>
        </w:sectPr>
      </w:pPr>
    </w:p>
    <w:p w14:paraId="5FEB0F03" w14:textId="519803A0" w:rsidR="00E632F1" w:rsidRPr="00E632F1" w:rsidRDefault="00E632F1" w:rsidP="00E632F1">
      <w:pPr>
        <w:ind w:left="-1418"/>
        <w:rPr>
          <w:color w:val="000000" w:themeColor="text1"/>
        </w:rPr>
        <w:sectPr w:rsidR="00E632F1" w:rsidRPr="00E632F1" w:rsidSect="00E632F1">
          <w:pgSz w:w="11906" w:h="16838"/>
          <w:pgMar w:top="22" w:right="1440" w:bottom="1440" w:left="1440" w:header="708" w:footer="708" w:gutter="0"/>
          <w:cols w:space="708"/>
          <w:titlePg/>
          <w:docGrid w:linePitch="360"/>
        </w:sectPr>
      </w:pPr>
      <w:r w:rsidRPr="009C4EAF">
        <w:rPr>
          <w:rFonts w:ascii="Calibri" w:eastAsiaTheme="majorEastAsia" w:hAnsi="Calibri" w:cstheme="majorBidi"/>
          <w:noProof/>
          <w:color w:val="32375D"/>
          <w:sz w:val="36"/>
          <w:szCs w:val="32"/>
          <w:lang w:eastAsia="en-AU"/>
        </w:rPr>
        <w:drawing>
          <wp:inline distT="0" distB="0" distL="0" distR="0" wp14:anchorId="7E4BAD5F" wp14:editId="37BF73CF">
            <wp:extent cx="7546975" cy="1188085"/>
            <wp:effectExtent l="0" t="0" r="0" b="0"/>
            <wp:docPr id="18" name="Picture 18" descr="National School Resourcing Bo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6975" cy="1188085"/>
                    </a:xfrm>
                    <a:prstGeom prst="rect">
                      <a:avLst/>
                    </a:prstGeom>
                    <a:noFill/>
                  </pic:spPr>
                </pic:pic>
              </a:graphicData>
            </a:graphic>
          </wp:inline>
        </w:drawing>
      </w:r>
    </w:p>
    <w:p w14:paraId="5C4D1614" w14:textId="77777777" w:rsidR="00E632F1" w:rsidRDefault="00E632F1" w:rsidP="00E632F1">
      <w:pPr>
        <w:spacing w:after="0"/>
        <w:sectPr w:rsidR="00E632F1" w:rsidSect="00A10AFF">
          <w:headerReference w:type="default" r:id="rId18"/>
          <w:headerReference w:type="first" r:id="rId19"/>
          <w:type w:val="continuous"/>
          <w:pgSz w:w="11906" w:h="16838"/>
          <w:pgMar w:top="1440" w:right="1440" w:bottom="1440" w:left="1440" w:header="708" w:footer="708" w:gutter="0"/>
          <w:cols w:space="708"/>
          <w:titlePg/>
          <w:docGrid w:linePitch="360"/>
        </w:sectPr>
      </w:pPr>
    </w:p>
    <w:p w14:paraId="22E170C8" w14:textId="1EA26F04" w:rsidR="009C4EAF" w:rsidRDefault="009C4EAF" w:rsidP="00E632F1">
      <w:pPr>
        <w:pStyle w:val="Heading1"/>
        <w:spacing w:before="0"/>
        <w:jc w:val="right"/>
        <w:rPr>
          <w:noProof/>
        </w:rPr>
      </w:pPr>
      <w:bookmarkStart w:id="5" w:name="_Appendix_A"/>
      <w:bookmarkStart w:id="6" w:name="_Toc159597536"/>
      <w:bookmarkEnd w:id="5"/>
      <w:r>
        <w:rPr>
          <w:noProof/>
        </w:rPr>
        <w:t>Appendix A</w:t>
      </w:r>
      <w:bookmarkEnd w:id="6"/>
    </w:p>
    <w:p w14:paraId="7F16DD17" w14:textId="7AC5EA20" w:rsidR="00EA5834" w:rsidRPr="009C4EAF" w:rsidRDefault="00EA5834" w:rsidP="0048682A">
      <w:pPr>
        <w:pStyle w:val="Heading2"/>
        <w:spacing w:after="0"/>
        <w:jc w:val="center"/>
        <w:rPr>
          <w:noProof/>
          <w:sz w:val="32"/>
          <w:szCs w:val="28"/>
        </w:rPr>
      </w:pPr>
      <w:bookmarkStart w:id="7" w:name="_Toc159597537"/>
      <w:r w:rsidRPr="009C4EAF">
        <w:rPr>
          <w:noProof/>
          <w:sz w:val="32"/>
          <w:szCs w:val="28"/>
        </w:rPr>
        <w:t>Terms of reference</w:t>
      </w:r>
      <w:r w:rsidR="0048682A">
        <w:rPr>
          <w:noProof/>
          <w:sz w:val="32"/>
          <w:szCs w:val="28"/>
        </w:rPr>
        <w:br/>
      </w:r>
      <w:r w:rsidRPr="009C4EAF">
        <w:rPr>
          <w:noProof/>
          <w:sz w:val="32"/>
          <w:szCs w:val="28"/>
        </w:rPr>
        <w:t xml:space="preserve">Review of Schooling Resource Standard </w:t>
      </w:r>
      <w:r w:rsidR="007E0855">
        <w:rPr>
          <w:noProof/>
          <w:sz w:val="32"/>
          <w:szCs w:val="28"/>
        </w:rPr>
        <w:t>Indexation Arrangements</w:t>
      </w:r>
      <w:bookmarkEnd w:id="7"/>
    </w:p>
    <w:p w14:paraId="2B82C38A" w14:textId="77777777" w:rsidR="0048682A" w:rsidRDefault="0048682A" w:rsidP="00EA5834"/>
    <w:p w14:paraId="56E20022" w14:textId="77777777" w:rsidR="007E0855" w:rsidRPr="00990B12" w:rsidRDefault="007E0855" w:rsidP="007E0855">
      <w:pPr>
        <w:pStyle w:val="paragraph"/>
        <w:spacing w:before="120" w:beforeAutospacing="0" w:after="120" w:afterAutospacing="0"/>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rPr>
        <w:t xml:space="preserve">Commonwealth funding for schools is needs-based and is calculated with reference to the </w:t>
      </w:r>
      <w:hyperlink r:id="rId20" w:tgtFrame="_blank" w:history="1">
        <w:r w:rsidRPr="00990B12">
          <w:rPr>
            <w:rStyle w:val="normaltextrun"/>
            <w:rFonts w:asciiTheme="minorHAnsi" w:hAnsiTheme="minorHAnsi" w:cstheme="minorHAnsi"/>
            <w:color w:val="0000FF"/>
            <w:sz w:val="22"/>
            <w:szCs w:val="22"/>
          </w:rPr>
          <w:t>Schooling Resource Standard (SRS)</w:t>
        </w:r>
      </w:hyperlink>
      <w:r w:rsidRPr="00990B12">
        <w:rPr>
          <w:rStyle w:val="normaltextrun"/>
          <w:rFonts w:asciiTheme="minorHAnsi" w:hAnsiTheme="minorHAnsi" w:cstheme="minorHAnsi"/>
          <w:sz w:val="22"/>
          <w:szCs w:val="22"/>
        </w:rPr>
        <w:t>. The SRS is an estimate of how much total public recurrent funding a school needs to meet its students’ educational needs and is indexed each year by the SRS indexation factor to reflect changes in prices and wages and therefore costs faced by schools.</w:t>
      </w:r>
    </w:p>
    <w:p w14:paraId="372BEE25" w14:textId="77777777" w:rsidR="007E0855" w:rsidRPr="00990B12" w:rsidRDefault="007E0855" w:rsidP="007E0855">
      <w:pPr>
        <w:pStyle w:val="paragraph"/>
        <w:spacing w:before="120" w:beforeAutospacing="0" w:after="120" w:afterAutospacing="0"/>
        <w:textAlignment w:val="baseline"/>
        <w:rPr>
          <w:rStyle w:val="eop"/>
          <w:rFonts w:asciiTheme="minorHAnsi" w:hAnsiTheme="minorHAnsi" w:cstheme="minorHAnsi"/>
          <w:sz w:val="22"/>
          <w:szCs w:val="22"/>
        </w:rPr>
      </w:pPr>
      <w:r w:rsidRPr="00990B12">
        <w:rPr>
          <w:rStyle w:val="normaltextrun"/>
          <w:rFonts w:asciiTheme="minorHAnsi" w:hAnsiTheme="minorHAnsi" w:cstheme="minorHAnsi"/>
          <w:sz w:val="22"/>
          <w:szCs w:val="22"/>
        </w:rPr>
        <w:t>The purpose of this Review is to consider the appropriateness of the SRS indexation arrangements to ensure arrangements</w:t>
      </w:r>
      <w:r w:rsidRPr="00990B12">
        <w:rPr>
          <w:rFonts w:asciiTheme="minorHAnsi" w:hAnsiTheme="minorHAnsi" w:cstheme="minorHAnsi"/>
          <w:sz w:val="22"/>
          <w:szCs w:val="22"/>
        </w:rPr>
        <w:t xml:space="preserve"> reflect changes in the costs associated with meeting the educational needs of students</w:t>
      </w:r>
      <w:r w:rsidRPr="00990B12">
        <w:rPr>
          <w:rStyle w:val="normaltextrun"/>
          <w:rFonts w:asciiTheme="minorHAnsi" w:hAnsiTheme="minorHAnsi" w:cstheme="minorHAnsi"/>
          <w:sz w:val="22"/>
          <w:szCs w:val="22"/>
        </w:rPr>
        <w:t>. It fulfills a joint commitment from the Australian Government and the State and Territory Governments to review the SRS indexation arrangements in 2024 ahead of the next National School Reform Agreement.</w:t>
      </w:r>
      <w:r w:rsidRPr="00990B12">
        <w:rPr>
          <w:rStyle w:val="eop"/>
          <w:rFonts w:asciiTheme="minorHAnsi" w:hAnsiTheme="minorHAnsi" w:cstheme="minorHAnsi"/>
          <w:sz w:val="22"/>
          <w:szCs w:val="22"/>
        </w:rPr>
        <w:t> </w:t>
      </w:r>
    </w:p>
    <w:p w14:paraId="2B5BDA75" w14:textId="77777777" w:rsidR="007E0855" w:rsidRPr="00990B12" w:rsidRDefault="007E0855" w:rsidP="007E0855">
      <w:pPr>
        <w:pStyle w:val="paragraph"/>
        <w:spacing w:before="120" w:beforeAutospacing="0" w:after="0" w:afterAutospacing="0"/>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u w:val="single"/>
        </w:rPr>
        <w:t>Current SRS indexation arrangements</w:t>
      </w:r>
      <w:r w:rsidRPr="00990B12">
        <w:rPr>
          <w:rStyle w:val="eop"/>
          <w:rFonts w:asciiTheme="minorHAnsi" w:hAnsiTheme="minorHAnsi" w:cstheme="minorHAnsi"/>
          <w:sz w:val="22"/>
          <w:szCs w:val="22"/>
        </w:rPr>
        <w:t> </w:t>
      </w:r>
    </w:p>
    <w:p w14:paraId="7DD88C3F" w14:textId="77777777" w:rsidR="007E0855" w:rsidRPr="00990B12" w:rsidRDefault="007E0855" w:rsidP="007E0855">
      <w:pPr>
        <w:pStyle w:val="paragraph"/>
        <w:spacing w:before="120" w:beforeAutospacing="0" w:after="120" w:afterAutospacing="0"/>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rPr>
        <w:t>Since 2019, SRS funding has been indexed annually by either:</w:t>
      </w:r>
    </w:p>
    <w:p w14:paraId="7789539B" w14:textId="77777777" w:rsidR="007E0855" w:rsidRPr="00990B12" w:rsidRDefault="007E0855" w:rsidP="00502938">
      <w:pPr>
        <w:pStyle w:val="paragraph"/>
        <w:numPr>
          <w:ilvl w:val="0"/>
          <w:numId w:val="3"/>
        </w:numPr>
        <w:spacing w:before="0" w:beforeAutospacing="0" w:after="0" w:afterAutospacing="0"/>
        <w:ind w:hanging="357"/>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rPr>
        <w:t>a rate calculated as the higher of:</w:t>
      </w:r>
    </w:p>
    <w:p w14:paraId="6A5951EC" w14:textId="77777777" w:rsidR="007E0855" w:rsidRPr="00990B12" w:rsidRDefault="007E0855" w:rsidP="00502938">
      <w:pPr>
        <w:pStyle w:val="paragraph"/>
        <w:numPr>
          <w:ilvl w:val="1"/>
          <w:numId w:val="3"/>
        </w:numPr>
        <w:spacing w:before="0" w:beforeAutospacing="0" w:after="0" w:afterAutospacing="0"/>
        <w:ind w:hanging="357"/>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rPr>
        <w:t xml:space="preserve">3 per cent, or </w:t>
      </w:r>
    </w:p>
    <w:p w14:paraId="7FA8CB3C" w14:textId="77777777" w:rsidR="007E0855" w:rsidRPr="00990B12" w:rsidRDefault="007E0855" w:rsidP="00502938">
      <w:pPr>
        <w:pStyle w:val="paragraph"/>
        <w:numPr>
          <w:ilvl w:val="1"/>
          <w:numId w:val="3"/>
        </w:numPr>
        <w:spacing w:before="0" w:beforeAutospacing="0" w:after="0" w:afterAutospacing="0"/>
        <w:ind w:hanging="357"/>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rPr>
        <w:t>a percentage derived from 75 per cent of the change of the Wage Price Index (WPI) and 25 per cent of the change of the Consumer Price Index (CPI); or</w:t>
      </w:r>
    </w:p>
    <w:p w14:paraId="0989AA58" w14:textId="77777777" w:rsidR="007E0855" w:rsidRPr="00990B12" w:rsidRDefault="007E0855" w:rsidP="00502938">
      <w:pPr>
        <w:pStyle w:val="paragraph"/>
        <w:numPr>
          <w:ilvl w:val="0"/>
          <w:numId w:val="3"/>
        </w:numPr>
        <w:spacing w:before="0" w:beforeAutospacing="0" w:after="0" w:afterAutospacing="0"/>
        <w:ind w:hanging="357"/>
        <w:textAlignment w:val="baseline"/>
        <w:rPr>
          <w:rStyle w:val="normaltextrun"/>
          <w:rFonts w:asciiTheme="minorHAnsi" w:hAnsiTheme="minorHAnsi" w:cstheme="minorHAnsi"/>
          <w:sz w:val="22"/>
          <w:szCs w:val="22"/>
        </w:rPr>
      </w:pPr>
      <w:r w:rsidRPr="00990B12">
        <w:rPr>
          <w:rStyle w:val="normaltextrun"/>
          <w:rFonts w:asciiTheme="minorHAnsi" w:hAnsiTheme="minorHAnsi" w:cstheme="minorHAnsi"/>
          <w:sz w:val="22"/>
          <w:szCs w:val="22"/>
        </w:rPr>
        <w:t>a rate prescribed by the Minister for Education.</w:t>
      </w:r>
    </w:p>
    <w:p w14:paraId="0158BB07" w14:textId="77777777" w:rsidR="007E0855" w:rsidRPr="00990B12" w:rsidRDefault="007E0855" w:rsidP="007E0855">
      <w:pPr>
        <w:pStyle w:val="paragraph"/>
        <w:spacing w:before="120" w:beforeAutospacing="0" w:after="120" w:afterAutospacing="0"/>
        <w:textAlignment w:val="baseline"/>
        <w:rPr>
          <w:rFonts w:asciiTheme="minorHAnsi" w:hAnsiTheme="minorHAnsi" w:cstheme="minorHAnsi"/>
          <w:sz w:val="22"/>
          <w:szCs w:val="22"/>
        </w:rPr>
      </w:pPr>
      <w:r w:rsidRPr="00990B12">
        <w:rPr>
          <w:rStyle w:val="normaltextrun"/>
          <w:rFonts w:asciiTheme="minorHAnsi" w:hAnsiTheme="minorHAnsi" w:cstheme="minorHAnsi"/>
          <w:sz w:val="22"/>
          <w:szCs w:val="22"/>
        </w:rPr>
        <w:t xml:space="preserve">This approach introduced a minimum increase in funding and certainty for schools. It is weighted towards changes in wage costs reflecting that teachers’ and staff salaries are a significant driver of schools' costs. </w:t>
      </w:r>
    </w:p>
    <w:p w14:paraId="440BB2D7" w14:textId="77777777" w:rsidR="007E0855" w:rsidRPr="00990B12" w:rsidRDefault="007E0855" w:rsidP="007E0855">
      <w:pPr>
        <w:pStyle w:val="paragraph"/>
        <w:spacing w:before="120" w:beforeAutospacing="0" w:after="120" w:afterAutospacing="0"/>
        <w:textAlignment w:val="baseline"/>
        <w:rPr>
          <w:rFonts w:asciiTheme="minorHAnsi" w:hAnsiTheme="minorHAnsi" w:cstheme="minorHAnsi"/>
          <w:sz w:val="22"/>
          <w:szCs w:val="22"/>
        </w:rPr>
      </w:pPr>
      <w:r w:rsidRPr="00990B12">
        <w:rPr>
          <w:rStyle w:val="normaltextrun"/>
          <w:rFonts w:asciiTheme="minorHAnsi" w:hAnsiTheme="minorHAnsi" w:cstheme="minorHAnsi"/>
          <w:sz w:val="22"/>
          <w:szCs w:val="22"/>
        </w:rPr>
        <w:t>Given the current economic climate, it is prudent to review the SRS indexation arrangements to ensure it remains current and appropriate to ensure the effective delivery of school education.</w:t>
      </w:r>
      <w:r w:rsidRPr="00990B12">
        <w:rPr>
          <w:rStyle w:val="eop"/>
          <w:rFonts w:asciiTheme="minorHAnsi" w:hAnsiTheme="minorHAnsi" w:cstheme="minorHAnsi"/>
          <w:sz w:val="22"/>
          <w:szCs w:val="22"/>
        </w:rPr>
        <w:t> </w:t>
      </w:r>
    </w:p>
    <w:p w14:paraId="0FD8BDE6" w14:textId="77777777" w:rsidR="007E0855" w:rsidRPr="00990B12" w:rsidRDefault="007E0855" w:rsidP="007E0855">
      <w:pPr>
        <w:pStyle w:val="paragraph"/>
        <w:spacing w:before="120" w:beforeAutospacing="0" w:after="0" w:afterAutospacing="0"/>
        <w:textAlignment w:val="baseline"/>
        <w:rPr>
          <w:rStyle w:val="normaltextrun"/>
          <w:rFonts w:asciiTheme="minorHAnsi" w:hAnsiTheme="minorHAnsi" w:cstheme="minorHAnsi"/>
          <w:b/>
          <w:bCs/>
          <w:sz w:val="22"/>
          <w:szCs w:val="22"/>
        </w:rPr>
      </w:pPr>
      <w:r w:rsidRPr="00990B12">
        <w:rPr>
          <w:rStyle w:val="normaltextrun"/>
          <w:rFonts w:asciiTheme="minorHAnsi" w:hAnsiTheme="minorHAnsi" w:cstheme="minorHAnsi"/>
          <w:b/>
          <w:bCs/>
          <w:sz w:val="22"/>
          <w:szCs w:val="22"/>
        </w:rPr>
        <w:t>Scope</w:t>
      </w:r>
    </w:p>
    <w:p w14:paraId="08F9CCB1" w14:textId="77777777" w:rsidR="007E0855" w:rsidRPr="00990B12" w:rsidRDefault="007E0855" w:rsidP="007E0855">
      <w:pPr>
        <w:pStyle w:val="paragraph"/>
        <w:spacing w:before="120" w:beforeAutospacing="0" w:after="120" w:afterAutospacing="0"/>
        <w:textAlignment w:val="baseline"/>
        <w:rPr>
          <w:rFonts w:asciiTheme="minorHAnsi" w:hAnsiTheme="minorHAnsi" w:cstheme="minorHAnsi"/>
          <w:sz w:val="22"/>
          <w:szCs w:val="22"/>
        </w:rPr>
      </w:pPr>
      <w:r w:rsidRPr="00990B12">
        <w:rPr>
          <w:rStyle w:val="normaltextrun"/>
          <w:rFonts w:asciiTheme="minorHAnsi" w:hAnsiTheme="minorHAnsi" w:cstheme="minorHAnsi"/>
          <w:sz w:val="22"/>
          <w:szCs w:val="22"/>
        </w:rPr>
        <w:t>The Review will consider and provide advice on:</w:t>
      </w:r>
      <w:r w:rsidRPr="00990B12">
        <w:rPr>
          <w:rStyle w:val="eop"/>
          <w:rFonts w:asciiTheme="minorHAnsi" w:hAnsiTheme="minorHAnsi" w:cstheme="minorHAnsi"/>
          <w:sz w:val="22"/>
          <w:szCs w:val="22"/>
        </w:rPr>
        <w:t> </w:t>
      </w:r>
    </w:p>
    <w:p w14:paraId="722E5540" w14:textId="77777777" w:rsidR="007E0855" w:rsidRPr="00990B12" w:rsidRDefault="007E0855" w:rsidP="00502938">
      <w:pPr>
        <w:pStyle w:val="paragraph"/>
        <w:numPr>
          <w:ilvl w:val="0"/>
          <w:numId w:val="4"/>
        </w:numPr>
        <w:spacing w:before="120" w:beforeAutospacing="0" w:after="120" w:afterAutospacing="0"/>
        <w:textAlignment w:val="baseline"/>
        <w:rPr>
          <w:rFonts w:asciiTheme="minorHAnsi" w:hAnsiTheme="minorHAnsi" w:cstheme="minorHAnsi"/>
          <w:sz w:val="22"/>
          <w:szCs w:val="22"/>
        </w:rPr>
      </w:pPr>
      <w:r w:rsidRPr="00990B12">
        <w:rPr>
          <w:rStyle w:val="normaltextrun"/>
          <w:rFonts w:asciiTheme="minorHAnsi" w:hAnsiTheme="minorHAnsi" w:cstheme="minorHAnsi"/>
          <w:sz w:val="22"/>
          <w:szCs w:val="22"/>
        </w:rPr>
        <w:t xml:space="preserve">The </w:t>
      </w:r>
      <w:r w:rsidRPr="00990B12">
        <w:rPr>
          <w:rStyle w:val="normaltextrun"/>
          <w:rFonts w:asciiTheme="minorHAnsi" w:hAnsiTheme="minorHAnsi" w:cstheme="minorHAnsi"/>
          <w:b/>
          <w:bCs/>
          <w:sz w:val="22"/>
          <w:szCs w:val="22"/>
        </w:rPr>
        <w:t>appropriateness of current SRS indexation arrangements,</w:t>
      </w:r>
      <w:r w:rsidRPr="00990B12">
        <w:rPr>
          <w:rStyle w:val="normaltextrun"/>
          <w:rFonts w:asciiTheme="minorHAnsi" w:hAnsiTheme="minorHAnsi" w:cstheme="minorHAnsi"/>
          <w:sz w:val="22"/>
          <w:szCs w:val="22"/>
        </w:rPr>
        <w:t xml:space="preserve"> including whether the operation of the SRS indexation arrangements has kept pace with average schooling cost increases since 2018. </w:t>
      </w:r>
    </w:p>
    <w:p w14:paraId="768965DE" w14:textId="77777777" w:rsidR="007E0855" w:rsidRPr="00990B12" w:rsidRDefault="007E0855" w:rsidP="00502938">
      <w:pPr>
        <w:pStyle w:val="paragraph"/>
        <w:numPr>
          <w:ilvl w:val="0"/>
          <w:numId w:val="4"/>
        </w:numPr>
        <w:spacing w:before="120" w:beforeAutospacing="0" w:after="120" w:afterAutospacing="0"/>
        <w:textAlignment w:val="baseline"/>
        <w:rPr>
          <w:rFonts w:asciiTheme="minorHAnsi" w:hAnsiTheme="minorHAnsi" w:cstheme="minorHAnsi"/>
          <w:sz w:val="22"/>
          <w:szCs w:val="22"/>
        </w:rPr>
      </w:pPr>
      <w:r w:rsidRPr="00990B12">
        <w:rPr>
          <w:rStyle w:val="normaltextrun"/>
          <w:rFonts w:asciiTheme="minorHAnsi" w:hAnsiTheme="minorHAnsi" w:cstheme="minorHAnsi"/>
          <w:sz w:val="22"/>
          <w:szCs w:val="22"/>
        </w:rPr>
        <w:t xml:space="preserve">The </w:t>
      </w:r>
      <w:r w:rsidRPr="00990B12">
        <w:rPr>
          <w:rStyle w:val="normaltextrun"/>
          <w:rFonts w:asciiTheme="minorHAnsi" w:hAnsiTheme="minorHAnsi" w:cstheme="minorHAnsi"/>
          <w:b/>
          <w:bCs/>
          <w:sz w:val="22"/>
          <w:szCs w:val="22"/>
        </w:rPr>
        <w:t>suitability of the current SRS indexation floor</w:t>
      </w:r>
      <w:r w:rsidRPr="00990B12">
        <w:rPr>
          <w:rStyle w:val="normaltextrun"/>
          <w:rFonts w:asciiTheme="minorHAnsi" w:hAnsiTheme="minorHAnsi" w:cstheme="minorHAnsi"/>
          <w:sz w:val="22"/>
          <w:szCs w:val="22"/>
        </w:rPr>
        <w:t xml:space="preserve"> of 3 per cent.</w:t>
      </w:r>
    </w:p>
    <w:p w14:paraId="1015EBF7" w14:textId="77777777" w:rsidR="007E0855" w:rsidRPr="00990B12" w:rsidRDefault="007E0855" w:rsidP="00502938">
      <w:pPr>
        <w:pStyle w:val="paragraph"/>
        <w:numPr>
          <w:ilvl w:val="0"/>
          <w:numId w:val="4"/>
        </w:numPr>
        <w:spacing w:before="120" w:beforeAutospacing="0" w:after="120" w:afterAutospacing="0"/>
        <w:textAlignment w:val="baseline"/>
        <w:rPr>
          <w:rStyle w:val="eop"/>
          <w:rFonts w:asciiTheme="minorHAnsi" w:hAnsiTheme="minorHAnsi" w:cstheme="minorHAnsi"/>
          <w:sz w:val="22"/>
          <w:szCs w:val="22"/>
        </w:rPr>
      </w:pPr>
      <w:r w:rsidRPr="00990B12">
        <w:rPr>
          <w:rFonts w:asciiTheme="minorHAnsi" w:hAnsiTheme="minorHAnsi" w:cstheme="minorHAnsi"/>
          <w:sz w:val="22"/>
          <w:szCs w:val="22"/>
        </w:rPr>
        <w:t xml:space="preserve">The </w:t>
      </w:r>
      <w:r w:rsidRPr="00990B12">
        <w:rPr>
          <w:rFonts w:asciiTheme="minorHAnsi" w:hAnsiTheme="minorHAnsi" w:cstheme="minorHAnsi"/>
          <w:b/>
          <w:bCs/>
          <w:sz w:val="22"/>
          <w:szCs w:val="22"/>
        </w:rPr>
        <w:t>appropriateness of the composite index</w:t>
      </w:r>
      <w:r w:rsidRPr="00990B12">
        <w:rPr>
          <w:rFonts w:asciiTheme="minorHAnsi" w:hAnsiTheme="minorHAnsi" w:cstheme="minorHAnsi"/>
          <w:sz w:val="22"/>
          <w:szCs w:val="22"/>
        </w:rPr>
        <w:t>, including its structure, weighting and possible alternatives to the current composite index – currently set as 75 per cent Wage Price Index and 25 per cent Consumer Price Index.</w:t>
      </w:r>
    </w:p>
    <w:p w14:paraId="340A0F04" w14:textId="77777777" w:rsidR="007E0855" w:rsidRPr="00990B12" w:rsidRDefault="007E0855" w:rsidP="00502938">
      <w:pPr>
        <w:pStyle w:val="paragraph"/>
        <w:numPr>
          <w:ilvl w:val="0"/>
          <w:numId w:val="4"/>
        </w:numPr>
        <w:spacing w:after="0"/>
        <w:textAlignment w:val="baseline"/>
        <w:rPr>
          <w:rStyle w:val="eop"/>
          <w:rFonts w:asciiTheme="minorHAnsi" w:hAnsiTheme="minorHAnsi" w:cstheme="minorHAnsi"/>
          <w:sz w:val="22"/>
          <w:szCs w:val="22"/>
        </w:rPr>
      </w:pPr>
      <w:r w:rsidRPr="00990B12">
        <w:rPr>
          <w:rStyle w:val="eop"/>
          <w:rFonts w:asciiTheme="minorHAnsi" w:hAnsiTheme="minorHAnsi" w:cstheme="minorHAnsi"/>
          <w:sz w:val="22"/>
          <w:szCs w:val="22"/>
        </w:rPr>
        <w:t xml:space="preserve">The </w:t>
      </w:r>
      <w:r w:rsidRPr="00990B12">
        <w:rPr>
          <w:rStyle w:val="eop"/>
          <w:rFonts w:asciiTheme="minorHAnsi" w:hAnsiTheme="minorHAnsi" w:cstheme="minorHAnsi"/>
          <w:b/>
          <w:bCs/>
          <w:sz w:val="22"/>
          <w:szCs w:val="22"/>
        </w:rPr>
        <w:t>timing of SRS indexation</w:t>
      </w:r>
      <w:r w:rsidRPr="00990B12">
        <w:rPr>
          <w:rStyle w:val="eop"/>
          <w:rFonts w:asciiTheme="minorHAnsi" w:hAnsiTheme="minorHAnsi" w:cstheme="minorHAnsi"/>
          <w:sz w:val="22"/>
          <w:szCs w:val="22"/>
        </w:rPr>
        <w:t xml:space="preserve"> rates, including;</w:t>
      </w:r>
    </w:p>
    <w:p w14:paraId="00EECD58" w14:textId="77777777" w:rsidR="007E0855" w:rsidRPr="00990B12" w:rsidRDefault="007E0855" w:rsidP="00502938">
      <w:pPr>
        <w:pStyle w:val="paragraph"/>
        <w:numPr>
          <w:ilvl w:val="1"/>
          <w:numId w:val="4"/>
        </w:numPr>
        <w:spacing w:after="0"/>
        <w:textAlignment w:val="baseline"/>
        <w:rPr>
          <w:rStyle w:val="eop"/>
          <w:rFonts w:asciiTheme="minorHAnsi" w:hAnsiTheme="minorHAnsi" w:cstheme="minorHAnsi"/>
          <w:sz w:val="22"/>
          <w:szCs w:val="22"/>
        </w:rPr>
      </w:pPr>
      <w:r w:rsidRPr="00990B12">
        <w:rPr>
          <w:rStyle w:val="eop"/>
          <w:rFonts w:asciiTheme="minorHAnsi" w:hAnsiTheme="minorHAnsi" w:cstheme="minorHAnsi"/>
          <w:sz w:val="22"/>
          <w:szCs w:val="22"/>
        </w:rPr>
        <w:t>the reference period for source WPI and CPI data,</w:t>
      </w:r>
    </w:p>
    <w:p w14:paraId="5D684086" w14:textId="77777777" w:rsidR="00990B12" w:rsidRDefault="007E0855" w:rsidP="00502938">
      <w:pPr>
        <w:pStyle w:val="paragraph"/>
        <w:numPr>
          <w:ilvl w:val="1"/>
          <w:numId w:val="4"/>
        </w:numPr>
        <w:spacing w:after="0"/>
        <w:textAlignment w:val="baseline"/>
        <w:rPr>
          <w:rStyle w:val="eop"/>
          <w:rFonts w:ascii="Arial Narrow" w:hAnsi="Arial Narrow" w:cs="Calibri"/>
        </w:rPr>
        <w:sectPr w:rsidR="00990B12" w:rsidSect="00A10AFF">
          <w:headerReference w:type="default" r:id="rId21"/>
          <w:footerReference w:type="default" r:id="rId22"/>
          <w:type w:val="continuous"/>
          <w:pgSz w:w="11906" w:h="16838"/>
          <w:pgMar w:top="1440" w:right="1440" w:bottom="1440" w:left="1440" w:header="708" w:footer="708" w:gutter="0"/>
          <w:cols w:space="708"/>
          <w:titlePg/>
          <w:docGrid w:linePitch="360"/>
        </w:sectPr>
      </w:pPr>
      <w:r w:rsidRPr="00990B12">
        <w:rPr>
          <w:rStyle w:val="eop"/>
          <w:rFonts w:asciiTheme="minorHAnsi" w:hAnsiTheme="minorHAnsi" w:cstheme="minorHAnsi"/>
          <w:sz w:val="22"/>
          <w:szCs w:val="22"/>
        </w:rPr>
        <w:t>the date at which the indexation rate is confirmed for the school year, and its impact on systems and schools’ ability to effectively budget</w:t>
      </w:r>
      <w:r w:rsidRPr="000E4399">
        <w:rPr>
          <w:rStyle w:val="eop"/>
          <w:rFonts w:ascii="Arial Narrow" w:hAnsi="Arial Narrow" w:cs="Calibri"/>
        </w:rPr>
        <w:t>.</w:t>
      </w:r>
    </w:p>
    <w:p w14:paraId="084F0B03" w14:textId="69394788" w:rsidR="007E0855" w:rsidRPr="00990B12" w:rsidRDefault="007E0855" w:rsidP="007E0855">
      <w:pPr>
        <w:pStyle w:val="paragraph"/>
        <w:spacing w:before="120" w:beforeAutospacing="0" w:after="120" w:afterAutospacing="0"/>
        <w:textAlignment w:val="baseline"/>
        <w:rPr>
          <w:rStyle w:val="normaltextrun"/>
          <w:rFonts w:asciiTheme="minorHAnsi" w:hAnsiTheme="minorHAnsi" w:cstheme="minorHAnsi"/>
          <w:b/>
          <w:bCs/>
          <w:sz w:val="22"/>
          <w:szCs w:val="22"/>
        </w:rPr>
      </w:pPr>
      <w:r w:rsidRPr="00990B12">
        <w:rPr>
          <w:rStyle w:val="normaltextrun"/>
          <w:rFonts w:asciiTheme="minorHAnsi" w:hAnsiTheme="minorHAnsi" w:cstheme="minorHAnsi"/>
          <w:sz w:val="22"/>
          <w:szCs w:val="22"/>
        </w:rPr>
        <w:t>In providing this advice, the Board will engage closely with State and Territory Governments and their relevant departments as well as the non-government sector. This includes seeking financial data to support the Review as required.</w:t>
      </w:r>
    </w:p>
    <w:p w14:paraId="5B662544" w14:textId="77777777" w:rsidR="007E0855" w:rsidRPr="00990B12" w:rsidRDefault="007E0855" w:rsidP="007E0855">
      <w:pPr>
        <w:pStyle w:val="paragraph"/>
        <w:spacing w:before="120" w:beforeAutospacing="0" w:after="0" w:afterAutospacing="0"/>
        <w:textAlignment w:val="baseline"/>
        <w:rPr>
          <w:rStyle w:val="normaltextrun"/>
          <w:rFonts w:asciiTheme="minorHAnsi" w:hAnsiTheme="minorHAnsi" w:cstheme="minorHAnsi"/>
          <w:b/>
          <w:bCs/>
          <w:sz w:val="22"/>
          <w:szCs w:val="22"/>
        </w:rPr>
      </w:pPr>
      <w:r w:rsidRPr="00990B12">
        <w:rPr>
          <w:rStyle w:val="normaltextrun"/>
          <w:rFonts w:asciiTheme="minorHAnsi" w:hAnsiTheme="minorHAnsi" w:cstheme="minorHAnsi"/>
          <w:b/>
          <w:bCs/>
          <w:sz w:val="22"/>
          <w:szCs w:val="22"/>
        </w:rPr>
        <w:t>Timing </w:t>
      </w:r>
      <w:r w:rsidRPr="00990B12">
        <w:rPr>
          <w:rStyle w:val="normaltextrun"/>
          <w:rFonts w:asciiTheme="minorHAnsi" w:hAnsiTheme="minorHAnsi" w:cstheme="minorHAnsi"/>
          <w:sz w:val="22"/>
          <w:szCs w:val="22"/>
        </w:rPr>
        <w:t> </w:t>
      </w:r>
    </w:p>
    <w:p w14:paraId="5CF6FE38" w14:textId="77777777" w:rsidR="007E0855" w:rsidRPr="00990B12" w:rsidRDefault="007E0855" w:rsidP="00B00105">
      <w:pPr>
        <w:pStyle w:val="paragraph"/>
        <w:spacing w:before="120" w:beforeAutospacing="0" w:after="120" w:afterAutospacing="0"/>
        <w:textAlignment w:val="baseline"/>
        <w:rPr>
          <w:rStyle w:val="eop"/>
          <w:rFonts w:asciiTheme="minorHAnsi" w:hAnsiTheme="minorHAnsi" w:cstheme="minorHAnsi"/>
          <w:sz w:val="22"/>
          <w:szCs w:val="22"/>
        </w:rPr>
      </w:pPr>
      <w:r w:rsidRPr="00990B12">
        <w:rPr>
          <w:rStyle w:val="normaltextrun"/>
          <w:rFonts w:asciiTheme="minorHAnsi" w:hAnsiTheme="minorHAnsi" w:cstheme="minorHAnsi"/>
          <w:sz w:val="22"/>
          <w:szCs w:val="22"/>
        </w:rPr>
        <w:t>The Board will provide its final report to the Australian Government Minister for Education by</w:t>
      </w:r>
      <w:r w:rsidRPr="00990B12" w:rsidDel="0060454B">
        <w:rPr>
          <w:rStyle w:val="normaltextrun"/>
          <w:rFonts w:asciiTheme="minorHAnsi" w:hAnsiTheme="minorHAnsi" w:cstheme="minorHAnsi"/>
          <w:sz w:val="22"/>
          <w:szCs w:val="22"/>
        </w:rPr>
        <w:t xml:space="preserve"> </w:t>
      </w:r>
      <w:r w:rsidRPr="00990B12">
        <w:rPr>
          <w:rStyle w:val="normaltextrun"/>
          <w:rFonts w:asciiTheme="minorHAnsi" w:hAnsiTheme="minorHAnsi" w:cstheme="minorHAnsi"/>
          <w:sz w:val="22"/>
          <w:szCs w:val="22"/>
        </w:rPr>
        <w:t>28 March 2024.</w:t>
      </w:r>
      <w:r w:rsidRPr="00990B12">
        <w:rPr>
          <w:rStyle w:val="eop"/>
          <w:rFonts w:asciiTheme="minorHAnsi" w:hAnsiTheme="minorHAnsi" w:cstheme="minorHAnsi"/>
          <w:sz w:val="22"/>
          <w:szCs w:val="22"/>
        </w:rPr>
        <w:t> The Minister will share the report with Education Ministers and non-government peak bodies within 5 business days of receiving the report, and will invite the Chair of the Board to present the final report to the Education Ministers Meeting.</w:t>
      </w:r>
    </w:p>
    <w:p w14:paraId="7580AD91" w14:textId="77777777" w:rsidR="00B00105" w:rsidRPr="00990B12" w:rsidRDefault="00B00105" w:rsidP="00B00105">
      <w:pPr>
        <w:pStyle w:val="paragraph"/>
        <w:spacing w:before="120" w:beforeAutospacing="0" w:after="120" w:afterAutospacing="0"/>
        <w:textAlignment w:val="baseline"/>
        <w:rPr>
          <w:rStyle w:val="eop"/>
          <w:rFonts w:asciiTheme="minorHAnsi" w:hAnsiTheme="minorHAnsi" w:cstheme="minorHAnsi"/>
          <w:sz w:val="22"/>
          <w:szCs w:val="22"/>
        </w:rPr>
      </w:pPr>
    </w:p>
    <w:p w14:paraId="4C249D37" w14:textId="6292E756" w:rsidR="00852F07" w:rsidRPr="00990B12" w:rsidRDefault="00852F07" w:rsidP="00B00105">
      <w:pPr>
        <w:spacing w:after="120"/>
        <w:rPr>
          <w:rFonts w:cstheme="minorHAnsi"/>
        </w:rPr>
      </w:pPr>
      <w:bookmarkStart w:id="8" w:name="_Text_description_for_1"/>
      <w:bookmarkStart w:id="9" w:name="_Appendix_B"/>
      <w:bookmarkEnd w:id="8"/>
      <w:bookmarkEnd w:id="9"/>
    </w:p>
    <w:sectPr w:rsidR="00852F07" w:rsidRPr="00990B12" w:rsidSect="003A29BB">
      <w:head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A240" w14:textId="77777777" w:rsidR="00FD041A" w:rsidRDefault="00FD041A" w:rsidP="00016059">
      <w:pPr>
        <w:spacing w:after="0" w:line="240" w:lineRule="auto"/>
      </w:pPr>
      <w:r>
        <w:separator/>
      </w:r>
    </w:p>
  </w:endnote>
  <w:endnote w:type="continuationSeparator" w:id="0">
    <w:p w14:paraId="0387B9DE" w14:textId="77777777" w:rsidR="00FD041A" w:rsidRDefault="00FD041A" w:rsidP="00016059">
      <w:pPr>
        <w:spacing w:after="0" w:line="240" w:lineRule="auto"/>
      </w:pPr>
      <w:r>
        <w:continuationSeparator/>
      </w:r>
    </w:p>
  </w:endnote>
  <w:endnote w:type="continuationNotice" w:id="1">
    <w:p w14:paraId="4B0DD513" w14:textId="77777777" w:rsidR="00FD041A" w:rsidRDefault="00FD0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IDFont+F1">
    <w:altName w:val="Calibri"/>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17C4" w14:textId="77777777" w:rsidR="00F30650" w:rsidRDefault="00F30650">
    <w:pPr>
      <w:pStyle w:val="Footer"/>
    </w:pPr>
  </w:p>
  <w:p w14:paraId="4EFC1883" w14:textId="77777777" w:rsidR="00F30650" w:rsidRDefault="00F306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2362123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FDEF4EB" w14:textId="330BB8A8" w:rsidR="00F30650" w:rsidRPr="005F0FEF" w:rsidRDefault="00F30650" w:rsidP="005F0FEF">
            <w:pPr>
              <w:pStyle w:val="Footer"/>
              <w:jc w:val="center"/>
              <w:rPr>
                <w:bCs/>
                <w:sz w:val="18"/>
                <w:szCs w:val="18"/>
              </w:rPr>
            </w:pPr>
            <w:r w:rsidRPr="00016059">
              <w:rPr>
                <w:sz w:val="18"/>
                <w:szCs w:val="18"/>
              </w:rPr>
              <w:t xml:space="preserve">Page </w:t>
            </w:r>
            <w:r w:rsidRPr="00016059">
              <w:rPr>
                <w:bCs/>
                <w:sz w:val="18"/>
                <w:szCs w:val="18"/>
              </w:rPr>
              <w:fldChar w:fldCharType="begin"/>
            </w:r>
            <w:r w:rsidRPr="00016059">
              <w:rPr>
                <w:bCs/>
                <w:sz w:val="18"/>
                <w:szCs w:val="18"/>
              </w:rPr>
              <w:instrText xml:space="preserve"> PAGE </w:instrText>
            </w:r>
            <w:r w:rsidRPr="00016059">
              <w:rPr>
                <w:bCs/>
                <w:sz w:val="18"/>
                <w:szCs w:val="18"/>
              </w:rPr>
              <w:fldChar w:fldCharType="separate"/>
            </w:r>
            <w:r>
              <w:rPr>
                <w:bCs/>
                <w:noProof/>
                <w:sz w:val="18"/>
                <w:szCs w:val="18"/>
              </w:rPr>
              <w:t>17</w:t>
            </w:r>
            <w:r w:rsidRPr="00016059">
              <w:rPr>
                <w:bCs/>
                <w:sz w:val="18"/>
                <w:szCs w:val="18"/>
              </w:rPr>
              <w:fldChar w:fldCharType="end"/>
            </w:r>
            <w:r w:rsidRPr="00016059">
              <w:rPr>
                <w:sz w:val="18"/>
                <w:szCs w:val="18"/>
              </w:rPr>
              <w:t xml:space="preserve"> of </w:t>
            </w:r>
            <w:r w:rsidRPr="00016059">
              <w:rPr>
                <w:bCs/>
                <w:sz w:val="18"/>
                <w:szCs w:val="18"/>
              </w:rPr>
              <w:fldChar w:fldCharType="begin"/>
            </w:r>
            <w:r w:rsidRPr="00016059">
              <w:rPr>
                <w:bCs/>
                <w:sz w:val="18"/>
                <w:szCs w:val="18"/>
              </w:rPr>
              <w:instrText xml:space="preserve"> NUMPAGES  </w:instrText>
            </w:r>
            <w:r w:rsidRPr="00016059">
              <w:rPr>
                <w:bCs/>
                <w:sz w:val="18"/>
                <w:szCs w:val="18"/>
              </w:rPr>
              <w:fldChar w:fldCharType="separate"/>
            </w:r>
            <w:r>
              <w:rPr>
                <w:bCs/>
                <w:noProof/>
                <w:sz w:val="18"/>
                <w:szCs w:val="18"/>
              </w:rPr>
              <w:t>23</w:t>
            </w:r>
            <w:r w:rsidRPr="00016059">
              <w:rPr>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634180"/>
      <w:docPartObj>
        <w:docPartGallery w:val="Page Numbers (Bottom of Page)"/>
        <w:docPartUnique/>
      </w:docPartObj>
    </w:sdtPr>
    <w:sdtEndPr/>
    <w:sdtContent>
      <w:sdt>
        <w:sdtPr>
          <w:id w:val="1728636285"/>
          <w:docPartObj>
            <w:docPartGallery w:val="Page Numbers (Top of Page)"/>
            <w:docPartUnique/>
          </w:docPartObj>
        </w:sdtPr>
        <w:sdtEndPr/>
        <w:sdtContent>
          <w:p w14:paraId="4FF5D379" w14:textId="77777777" w:rsidR="007E0855" w:rsidRDefault="007E0855">
            <w:pPr>
              <w:pStyle w:val="Footer"/>
              <w:jc w:val="center"/>
            </w:pPr>
            <w:r w:rsidRPr="002F0DEE">
              <w:rPr>
                <w:rFonts w:ascii="Arial Narrow" w:hAnsi="Arial Narrow"/>
              </w:rPr>
              <w:t xml:space="preserve">Page </w:t>
            </w:r>
            <w:r w:rsidRPr="002F0DEE">
              <w:rPr>
                <w:rFonts w:ascii="Arial Narrow" w:hAnsi="Arial Narrow"/>
                <w:b/>
                <w:bCs/>
                <w:szCs w:val="24"/>
              </w:rPr>
              <w:fldChar w:fldCharType="begin"/>
            </w:r>
            <w:r w:rsidRPr="002F0DEE">
              <w:rPr>
                <w:rFonts w:ascii="Arial Narrow" w:hAnsi="Arial Narrow"/>
                <w:b/>
                <w:bCs/>
              </w:rPr>
              <w:instrText xml:space="preserve"> PAGE </w:instrText>
            </w:r>
            <w:r w:rsidRPr="002F0DEE">
              <w:rPr>
                <w:rFonts w:ascii="Arial Narrow" w:hAnsi="Arial Narrow"/>
                <w:b/>
                <w:bCs/>
                <w:szCs w:val="24"/>
              </w:rPr>
              <w:fldChar w:fldCharType="separate"/>
            </w:r>
            <w:r>
              <w:rPr>
                <w:rFonts w:ascii="Arial Narrow" w:hAnsi="Arial Narrow"/>
                <w:b/>
                <w:bCs/>
                <w:noProof/>
              </w:rPr>
              <w:t>3</w:t>
            </w:r>
            <w:r w:rsidRPr="002F0DEE">
              <w:rPr>
                <w:rFonts w:ascii="Arial Narrow" w:hAnsi="Arial Narrow"/>
                <w:b/>
                <w:bCs/>
                <w:szCs w:val="24"/>
              </w:rPr>
              <w:fldChar w:fldCharType="end"/>
            </w:r>
            <w:r w:rsidRPr="002F0DEE">
              <w:rPr>
                <w:rFonts w:ascii="Arial Narrow" w:hAnsi="Arial Narrow"/>
              </w:rPr>
              <w:t xml:space="preserve"> of </w:t>
            </w:r>
            <w:r w:rsidRPr="002F0DEE">
              <w:rPr>
                <w:rFonts w:ascii="Arial Narrow" w:hAnsi="Arial Narrow"/>
                <w:b/>
                <w:bCs/>
                <w:szCs w:val="24"/>
              </w:rPr>
              <w:fldChar w:fldCharType="begin"/>
            </w:r>
            <w:r w:rsidRPr="002F0DEE">
              <w:rPr>
                <w:rFonts w:ascii="Arial Narrow" w:hAnsi="Arial Narrow"/>
                <w:b/>
                <w:bCs/>
              </w:rPr>
              <w:instrText xml:space="preserve"> NUMPAGES  </w:instrText>
            </w:r>
            <w:r w:rsidRPr="002F0DEE">
              <w:rPr>
                <w:rFonts w:ascii="Arial Narrow" w:hAnsi="Arial Narrow"/>
                <w:b/>
                <w:bCs/>
                <w:szCs w:val="24"/>
              </w:rPr>
              <w:fldChar w:fldCharType="separate"/>
            </w:r>
            <w:r>
              <w:rPr>
                <w:rFonts w:ascii="Arial Narrow" w:hAnsi="Arial Narrow"/>
                <w:b/>
                <w:bCs/>
                <w:noProof/>
              </w:rPr>
              <w:t>3</w:t>
            </w:r>
            <w:r w:rsidRPr="002F0DEE">
              <w:rPr>
                <w:rFonts w:ascii="Arial Narrow" w:hAnsi="Arial Narrow"/>
                <w:b/>
                <w:bCs/>
                <w:szCs w:val="24"/>
              </w:rPr>
              <w:fldChar w:fldCharType="end"/>
            </w:r>
          </w:p>
        </w:sdtContent>
      </w:sdt>
    </w:sdtContent>
  </w:sdt>
  <w:p w14:paraId="24BE9683" w14:textId="77777777" w:rsidR="007E0855" w:rsidRDefault="007E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6387" w14:textId="77777777" w:rsidR="00FD041A" w:rsidRDefault="00FD041A" w:rsidP="00016059">
      <w:pPr>
        <w:spacing w:after="0" w:line="240" w:lineRule="auto"/>
      </w:pPr>
      <w:r>
        <w:separator/>
      </w:r>
    </w:p>
  </w:footnote>
  <w:footnote w:type="continuationSeparator" w:id="0">
    <w:p w14:paraId="2D6D8E97" w14:textId="77777777" w:rsidR="00FD041A" w:rsidRDefault="00FD041A" w:rsidP="00016059">
      <w:pPr>
        <w:spacing w:after="0" w:line="240" w:lineRule="auto"/>
      </w:pPr>
      <w:r>
        <w:continuationSeparator/>
      </w:r>
    </w:p>
  </w:footnote>
  <w:footnote w:type="continuationNotice" w:id="1">
    <w:p w14:paraId="36A2F522" w14:textId="77777777" w:rsidR="00FD041A" w:rsidRDefault="00FD041A">
      <w:pPr>
        <w:spacing w:after="0" w:line="240" w:lineRule="auto"/>
      </w:pPr>
    </w:p>
  </w:footnote>
  <w:footnote w:id="2">
    <w:p w14:paraId="4E86FD49" w14:textId="77777777" w:rsidR="007F6DFA" w:rsidRPr="00997274" w:rsidRDefault="007F6DFA" w:rsidP="007F6DFA">
      <w:pPr>
        <w:pStyle w:val="FootnoteText"/>
        <w:rPr>
          <w:lang w:val="en-US"/>
        </w:rPr>
      </w:pPr>
      <w:r>
        <w:rPr>
          <w:rStyle w:val="FootnoteReference"/>
        </w:rPr>
        <w:footnoteRef/>
      </w:r>
      <w:r>
        <w:t xml:space="preserve"> </w:t>
      </w:r>
      <w:r>
        <w:rPr>
          <w:lang w:val="en-US"/>
        </w:rPr>
        <w:t xml:space="preserve">Weights reflect the relative proportion of FTE teaching staff in government schools across jurisdictions.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7684" w14:textId="77777777" w:rsidR="00F30650" w:rsidRDefault="00F30650">
    <w:pPr>
      <w:pStyle w:val="Header"/>
    </w:pPr>
  </w:p>
  <w:p w14:paraId="057C70AA" w14:textId="77777777" w:rsidR="00F30650" w:rsidRDefault="00F306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B0DD" w14:textId="0144D093" w:rsidR="00F30650" w:rsidRDefault="00F30650" w:rsidP="009C4EAF">
    <w:pPr>
      <w:pStyle w:val="Header"/>
      <w:jc w:val="right"/>
    </w:pPr>
    <w: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8A2C" w14:textId="4D79F2C2" w:rsidR="00F30650" w:rsidRPr="009C4EAF" w:rsidRDefault="00F30650" w:rsidP="009C4EAF">
    <w:pPr>
      <w:pStyle w:val="Header"/>
      <w:rPr>
        <w:color w:val="1F3864" w:themeColor="accent5" w:themeShade="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7129" w14:textId="77777777" w:rsidR="007E0855" w:rsidRDefault="007E0855">
    <w:pPr>
      <w:pStyle w:val="Header"/>
    </w:pPr>
    <w:r>
      <w:rPr>
        <w:noProof/>
        <w:lang w:eastAsia="en-AU"/>
      </w:rPr>
      <w:drawing>
        <wp:anchor distT="0" distB="0" distL="114300" distR="114300" simplePos="0" relativeHeight="251659264" behindDoc="1" locked="0" layoutInCell="1" allowOverlap="1" wp14:anchorId="3ACB24FA" wp14:editId="1E566855">
          <wp:simplePos x="0" y="0"/>
          <wp:positionH relativeFrom="page">
            <wp:align>right</wp:align>
          </wp:positionH>
          <wp:positionV relativeFrom="paragraph">
            <wp:posOffset>-448310</wp:posOffset>
          </wp:positionV>
          <wp:extent cx="7736205" cy="1176655"/>
          <wp:effectExtent l="0" t="0" r="0" b="4445"/>
          <wp:wrapNone/>
          <wp:docPr id="579045731" name="Picture 57904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176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1D0" w14:textId="77777777" w:rsidR="00F30650" w:rsidRDefault="00F30650" w:rsidP="00C71D1D">
    <w:pPr>
      <w:pStyle w:val="Header"/>
      <w:jc w:val="right"/>
    </w:pPr>
    <w:r>
      <w:t>Appendix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7E5C" w14:textId="612ACD73" w:rsidR="00F30650" w:rsidRDefault="00F30650" w:rsidP="0099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EA1"/>
    <w:multiLevelType w:val="hybridMultilevel"/>
    <w:tmpl w:val="C8A64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2D78C9"/>
    <w:multiLevelType w:val="hybridMultilevel"/>
    <w:tmpl w:val="2D00B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050F3"/>
    <w:multiLevelType w:val="hybridMultilevel"/>
    <w:tmpl w:val="83B4F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A07113"/>
    <w:multiLevelType w:val="hybridMultilevel"/>
    <w:tmpl w:val="55507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11B3D9C"/>
    <w:multiLevelType w:val="hybridMultilevel"/>
    <w:tmpl w:val="83A02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676D2"/>
    <w:multiLevelType w:val="hybridMultilevel"/>
    <w:tmpl w:val="34D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12FCF"/>
    <w:multiLevelType w:val="hybridMultilevel"/>
    <w:tmpl w:val="6EC27E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971A88"/>
    <w:multiLevelType w:val="hybridMultilevel"/>
    <w:tmpl w:val="0B309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1578A7"/>
    <w:multiLevelType w:val="multilevel"/>
    <w:tmpl w:val="1356211C"/>
    <w:lvl w:ilvl="0">
      <w:start w:val="1"/>
      <w:numFmt w:val="bullet"/>
      <w:pStyle w:val="ListBullet"/>
      <w:lvlText w:val=""/>
      <w:lvlJc w:val="left"/>
      <w:pPr>
        <w:ind w:left="2040" w:hanging="340"/>
      </w:pPr>
      <w:rPr>
        <w:rFonts w:ascii="Symbol" w:hAnsi="Symbol" w:hint="default"/>
        <w:color w:val="auto"/>
      </w:rPr>
    </w:lvl>
    <w:lvl w:ilvl="1">
      <w:start w:val="1"/>
      <w:numFmt w:val="bullet"/>
      <w:lvlText w:val="–"/>
      <w:lvlJc w:val="left"/>
      <w:pPr>
        <w:ind w:left="2380" w:hanging="340"/>
      </w:pPr>
      <w:rPr>
        <w:rFonts w:ascii="Verdana" w:hAnsi="Verdana" w:hint="default"/>
      </w:rPr>
    </w:lvl>
    <w:lvl w:ilvl="2">
      <w:start w:val="1"/>
      <w:numFmt w:val="bullet"/>
      <w:lvlText w:val=""/>
      <w:lvlJc w:val="left"/>
      <w:pPr>
        <w:ind w:left="2720" w:hanging="340"/>
      </w:pPr>
      <w:rPr>
        <w:rFonts w:ascii="Symbol" w:hAnsi="Symbol" w:hint="default"/>
        <w:color w:val="auto"/>
      </w:rPr>
    </w:lvl>
    <w:lvl w:ilvl="3">
      <w:start w:val="1"/>
      <w:numFmt w:val="bullet"/>
      <w:lvlText w:val="–"/>
      <w:lvlJc w:val="left"/>
      <w:pPr>
        <w:ind w:left="3060" w:hanging="340"/>
      </w:pPr>
      <w:rPr>
        <w:rFonts w:ascii="Verdana" w:hAnsi="Verdana" w:hint="default"/>
      </w:rPr>
    </w:lvl>
    <w:lvl w:ilvl="4">
      <w:start w:val="1"/>
      <w:numFmt w:val="bullet"/>
      <w:lvlText w:val=""/>
      <w:lvlJc w:val="left"/>
      <w:pPr>
        <w:ind w:left="3400" w:hanging="340"/>
      </w:pPr>
      <w:rPr>
        <w:rFonts w:ascii="Symbol" w:hAnsi="Symbol" w:hint="default"/>
      </w:rPr>
    </w:lvl>
    <w:lvl w:ilvl="5">
      <w:start w:val="1"/>
      <w:numFmt w:val="bullet"/>
      <w:lvlText w:val="–"/>
      <w:lvlJc w:val="left"/>
      <w:pPr>
        <w:ind w:left="3740" w:hanging="340"/>
      </w:pPr>
      <w:rPr>
        <w:rFonts w:ascii="Verdana" w:hAnsi="Verdana" w:hint="default"/>
      </w:rPr>
    </w:lvl>
    <w:lvl w:ilvl="6">
      <w:start w:val="1"/>
      <w:numFmt w:val="bullet"/>
      <w:lvlText w:val=""/>
      <w:lvlJc w:val="left"/>
      <w:pPr>
        <w:ind w:left="4080" w:hanging="340"/>
      </w:pPr>
      <w:rPr>
        <w:rFonts w:ascii="Symbol" w:hAnsi="Symbol" w:hint="default"/>
      </w:rPr>
    </w:lvl>
    <w:lvl w:ilvl="7">
      <w:start w:val="1"/>
      <w:numFmt w:val="bullet"/>
      <w:lvlText w:val="–"/>
      <w:lvlJc w:val="left"/>
      <w:pPr>
        <w:ind w:left="4420" w:hanging="340"/>
      </w:pPr>
      <w:rPr>
        <w:rFonts w:ascii="Verdana" w:hAnsi="Verdana" w:hint="default"/>
      </w:rPr>
    </w:lvl>
    <w:lvl w:ilvl="8">
      <w:start w:val="1"/>
      <w:numFmt w:val="bullet"/>
      <w:lvlText w:val=""/>
      <w:lvlJc w:val="left"/>
      <w:pPr>
        <w:ind w:left="4760" w:hanging="340"/>
      </w:pPr>
      <w:rPr>
        <w:rFonts w:ascii="Symbol" w:hAnsi="Symbol" w:hint="default"/>
      </w:rPr>
    </w:lvl>
  </w:abstractNum>
  <w:abstractNum w:abstractNumId="9" w15:restartNumberingAfterBreak="0">
    <w:nsid w:val="5CFB511F"/>
    <w:multiLevelType w:val="hybridMultilevel"/>
    <w:tmpl w:val="C7A20C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517EA6"/>
    <w:multiLevelType w:val="hybridMultilevel"/>
    <w:tmpl w:val="8CEE0058"/>
    <w:lvl w:ilvl="0" w:tplc="EFBE09C4">
      <w:start w:val="1"/>
      <w:numFmt w:val="bullet"/>
      <w:pStyle w:val="CGCBulletlist"/>
      <w:lvlText w:val=""/>
      <w:lvlJc w:val="left"/>
      <w:pPr>
        <w:tabs>
          <w:tab w:val="num" w:pos="927"/>
        </w:tabs>
        <w:ind w:left="927" w:hanging="360"/>
      </w:pPr>
      <w:rPr>
        <w:rFonts w:ascii="Symbol" w:hAnsi="Symbol" w:hint="default"/>
      </w:rPr>
    </w:lvl>
    <w:lvl w:ilvl="1" w:tplc="EA5699B2">
      <w:start w:val="1"/>
      <w:numFmt w:val="lowerLetter"/>
      <w:lvlText w:val="%2)"/>
      <w:lvlJc w:val="left"/>
      <w:pPr>
        <w:tabs>
          <w:tab w:val="num" w:pos="1593"/>
        </w:tabs>
        <w:ind w:left="1593" w:hanging="360"/>
      </w:pPr>
      <w:rPr>
        <w:rFonts w:hint="default"/>
      </w:rPr>
    </w:lvl>
    <w:lvl w:ilvl="2" w:tplc="C6A2B336">
      <w:start w:val="1"/>
      <w:numFmt w:val="lowerRoman"/>
      <w:lvlText w:val="%3)"/>
      <w:lvlJc w:val="left"/>
      <w:pPr>
        <w:tabs>
          <w:tab w:val="num" w:pos="1953"/>
        </w:tabs>
        <w:ind w:left="1953" w:hanging="360"/>
      </w:pPr>
      <w:rPr>
        <w:rFonts w:hint="default"/>
      </w:rPr>
    </w:lvl>
    <w:lvl w:ilvl="3" w:tplc="CCBE2F66">
      <w:start w:val="1"/>
      <w:numFmt w:val="decimal"/>
      <w:lvlText w:val="(%4)"/>
      <w:lvlJc w:val="left"/>
      <w:pPr>
        <w:tabs>
          <w:tab w:val="num" w:pos="2313"/>
        </w:tabs>
        <w:ind w:left="2313" w:hanging="360"/>
      </w:pPr>
      <w:rPr>
        <w:rFonts w:hint="default"/>
      </w:rPr>
    </w:lvl>
    <w:lvl w:ilvl="4" w:tplc="E9B0A40C">
      <w:start w:val="1"/>
      <w:numFmt w:val="lowerLetter"/>
      <w:lvlText w:val="(%5)"/>
      <w:lvlJc w:val="left"/>
      <w:pPr>
        <w:tabs>
          <w:tab w:val="num" w:pos="2673"/>
        </w:tabs>
        <w:ind w:left="2673" w:hanging="360"/>
      </w:pPr>
      <w:rPr>
        <w:rFonts w:hint="default"/>
      </w:rPr>
    </w:lvl>
    <w:lvl w:ilvl="5" w:tplc="F272874C">
      <w:start w:val="1"/>
      <w:numFmt w:val="lowerRoman"/>
      <w:lvlText w:val="(%6)"/>
      <w:lvlJc w:val="left"/>
      <w:pPr>
        <w:tabs>
          <w:tab w:val="num" w:pos="3033"/>
        </w:tabs>
        <w:ind w:left="3033" w:hanging="360"/>
      </w:pPr>
      <w:rPr>
        <w:rFonts w:hint="default"/>
      </w:rPr>
    </w:lvl>
    <w:lvl w:ilvl="6" w:tplc="1070FC82">
      <w:start w:val="1"/>
      <w:numFmt w:val="decimal"/>
      <w:lvlText w:val="%7."/>
      <w:lvlJc w:val="left"/>
      <w:pPr>
        <w:tabs>
          <w:tab w:val="num" w:pos="3393"/>
        </w:tabs>
        <w:ind w:left="3393" w:hanging="360"/>
      </w:pPr>
      <w:rPr>
        <w:rFonts w:hint="default"/>
      </w:rPr>
    </w:lvl>
    <w:lvl w:ilvl="7" w:tplc="CA165AC2">
      <w:start w:val="1"/>
      <w:numFmt w:val="lowerLetter"/>
      <w:lvlText w:val="%8."/>
      <w:lvlJc w:val="left"/>
      <w:pPr>
        <w:tabs>
          <w:tab w:val="num" w:pos="3753"/>
        </w:tabs>
        <w:ind w:left="3753" w:hanging="360"/>
      </w:pPr>
      <w:rPr>
        <w:rFonts w:hint="default"/>
      </w:rPr>
    </w:lvl>
    <w:lvl w:ilvl="8" w:tplc="1C08DF38">
      <w:start w:val="1"/>
      <w:numFmt w:val="lowerRoman"/>
      <w:lvlText w:val="%9."/>
      <w:lvlJc w:val="left"/>
      <w:pPr>
        <w:tabs>
          <w:tab w:val="num" w:pos="4113"/>
        </w:tabs>
        <w:ind w:left="4113" w:hanging="360"/>
      </w:pPr>
      <w:rPr>
        <w:rFonts w:hint="default"/>
      </w:rPr>
    </w:lvl>
  </w:abstractNum>
  <w:abstractNum w:abstractNumId="11" w15:restartNumberingAfterBreak="0">
    <w:nsid w:val="77D62F87"/>
    <w:multiLevelType w:val="hybridMultilevel"/>
    <w:tmpl w:val="652A6E48"/>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1F75C5"/>
    <w:multiLevelType w:val="multilevel"/>
    <w:tmpl w:val="D14E19A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hAnsiTheme="minorHAnsi" w:cstheme="minorHAnsi"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54188434">
    <w:abstractNumId w:val="10"/>
  </w:num>
  <w:num w:numId="2" w16cid:durableId="892351088">
    <w:abstractNumId w:val="11"/>
  </w:num>
  <w:num w:numId="3" w16cid:durableId="107160911">
    <w:abstractNumId w:val="3"/>
  </w:num>
  <w:num w:numId="4" w16cid:durableId="1094205185">
    <w:abstractNumId w:val="12"/>
  </w:num>
  <w:num w:numId="5" w16cid:durableId="2089106113">
    <w:abstractNumId w:val="2"/>
  </w:num>
  <w:num w:numId="6" w16cid:durableId="1281299087">
    <w:abstractNumId w:val="0"/>
  </w:num>
  <w:num w:numId="7" w16cid:durableId="769930529">
    <w:abstractNumId w:val="8"/>
  </w:num>
  <w:num w:numId="8" w16cid:durableId="1325009506">
    <w:abstractNumId w:val="7"/>
  </w:num>
  <w:num w:numId="9" w16cid:durableId="824858069">
    <w:abstractNumId w:val="4"/>
  </w:num>
  <w:num w:numId="10" w16cid:durableId="421879369">
    <w:abstractNumId w:val="5"/>
  </w:num>
  <w:num w:numId="11" w16cid:durableId="604119840">
    <w:abstractNumId w:val="6"/>
  </w:num>
  <w:num w:numId="12" w16cid:durableId="1334257171">
    <w:abstractNumId w:val="1"/>
  </w:num>
  <w:num w:numId="13" w16cid:durableId="167079325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BA"/>
    <w:rsid w:val="00000654"/>
    <w:rsid w:val="000016CC"/>
    <w:rsid w:val="00003EF3"/>
    <w:rsid w:val="00004845"/>
    <w:rsid w:val="00011E16"/>
    <w:rsid w:val="0001226E"/>
    <w:rsid w:val="00012E1A"/>
    <w:rsid w:val="00016059"/>
    <w:rsid w:val="0002104E"/>
    <w:rsid w:val="00026F04"/>
    <w:rsid w:val="00026F40"/>
    <w:rsid w:val="0003131C"/>
    <w:rsid w:val="00032A50"/>
    <w:rsid w:val="0003777E"/>
    <w:rsid w:val="00041F3B"/>
    <w:rsid w:val="000439A2"/>
    <w:rsid w:val="00043B09"/>
    <w:rsid w:val="00043BAD"/>
    <w:rsid w:val="00044793"/>
    <w:rsid w:val="000459FB"/>
    <w:rsid w:val="00047ECA"/>
    <w:rsid w:val="00052F6A"/>
    <w:rsid w:val="0005F556"/>
    <w:rsid w:val="00060635"/>
    <w:rsid w:val="00063165"/>
    <w:rsid w:val="00063FF4"/>
    <w:rsid w:val="000647DB"/>
    <w:rsid w:val="000657B6"/>
    <w:rsid w:val="000664B6"/>
    <w:rsid w:val="00067F56"/>
    <w:rsid w:val="0008298E"/>
    <w:rsid w:val="000830FE"/>
    <w:rsid w:val="0008311D"/>
    <w:rsid w:val="00083315"/>
    <w:rsid w:val="00083493"/>
    <w:rsid w:val="00091C53"/>
    <w:rsid w:val="00094513"/>
    <w:rsid w:val="00095CEE"/>
    <w:rsid w:val="000A0CF4"/>
    <w:rsid w:val="000C5821"/>
    <w:rsid w:val="000C767A"/>
    <w:rsid w:val="000D220F"/>
    <w:rsid w:val="000E0130"/>
    <w:rsid w:val="000E6727"/>
    <w:rsid w:val="000F3191"/>
    <w:rsid w:val="000F7648"/>
    <w:rsid w:val="000F7DC8"/>
    <w:rsid w:val="001072BE"/>
    <w:rsid w:val="00110447"/>
    <w:rsid w:val="0011300E"/>
    <w:rsid w:val="001138B7"/>
    <w:rsid w:val="00117648"/>
    <w:rsid w:val="001228F8"/>
    <w:rsid w:val="00123F21"/>
    <w:rsid w:val="0012571E"/>
    <w:rsid w:val="00126A33"/>
    <w:rsid w:val="001304E6"/>
    <w:rsid w:val="00133151"/>
    <w:rsid w:val="00134BB2"/>
    <w:rsid w:val="001353C2"/>
    <w:rsid w:val="00137BD3"/>
    <w:rsid w:val="00137DFD"/>
    <w:rsid w:val="00140F55"/>
    <w:rsid w:val="00141938"/>
    <w:rsid w:val="00141C18"/>
    <w:rsid w:val="00142C64"/>
    <w:rsid w:val="00145523"/>
    <w:rsid w:val="001456A5"/>
    <w:rsid w:val="00150ADA"/>
    <w:rsid w:val="0015154E"/>
    <w:rsid w:val="0015162B"/>
    <w:rsid w:val="001559F3"/>
    <w:rsid w:val="00162C1A"/>
    <w:rsid w:val="00163611"/>
    <w:rsid w:val="00171A03"/>
    <w:rsid w:val="0017490A"/>
    <w:rsid w:val="00183459"/>
    <w:rsid w:val="00187B39"/>
    <w:rsid w:val="00190008"/>
    <w:rsid w:val="0019440E"/>
    <w:rsid w:val="00194430"/>
    <w:rsid w:val="0019522D"/>
    <w:rsid w:val="00197CEF"/>
    <w:rsid w:val="00197F5F"/>
    <w:rsid w:val="001A1610"/>
    <w:rsid w:val="001A3AE2"/>
    <w:rsid w:val="001A554C"/>
    <w:rsid w:val="001A6C31"/>
    <w:rsid w:val="001B2CC6"/>
    <w:rsid w:val="001B4F29"/>
    <w:rsid w:val="001B5E8F"/>
    <w:rsid w:val="001C09C9"/>
    <w:rsid w:val="001C3414"/>
    <w:rsid w:val="001C38D4"/>
    <w:rsid w:val="001C6B85"/>
    <w:rsid w:val="001C7605"/>
    <w:rsid w:val="001D3D33"/>
    <w:rsid w:val="001D5332"/>
    <w:rsid w:val="001D7382"/>
    <w:rsid w:val="001E00C6"/>
    <w:rsid w:val="001E25E2"/>
    <w:rsid w:val="001E2773"/>
    <w:rsid w:val="001E80F6"/>
    <w:rsid w:val="001F18A8"/>
    <w:rsid w:val="001F2F05"/>
    <w:rsid w:val="001F4453"/>
    <w:rsid w:val="00205014"/>
    <w:rsid w:val="0020518D"/>
    <w:rsid w:val="00205BA9"/>
    <w:rsid w:val="002060BD"/>
    <w:rsid w:val="002060C9"/>
    <w:rsid w:val="00226180"/>
    <w:rsid w:val="00227C2D"/>
    <w:rsid w:val="00233CB9"/>
    <w:rsid w:val="002401D8"/>
    <w:rsid w:val="00240C37"/>
    <w:rsid w:val="00243C3D"/>
    <w:rsid w:val="0024511A"/>
    <w:rsid w:val="00245F5D"/>
    <w:rsid w:val="002501B1"/>
    <w:rsid w:val="00252C5C"/>
    <w:rsid w:val="00255302"/>
    <w:rsid w:val="002603A8"/>
    <w:rsid w:val="00261810"/>
    <w:rsid w:val="00263333"/>
    <w:rsid w:val="00267D05"/>
    <w:rsid w:val="00271CBC"/>
    <w:rsid w:val="00274602"/>
    <w:rsid w:val="002748BE"/>
    <w:rsid w:val="00274D2C"/>
    <w:rsid w:val="00280D93"/>
    <w:rsid w:val="002838B8"/>
    <w:rsid w:val="00290692"/>
    <w:rsid w:val="002918E8"/>
    <w:rsid w:val="00295117"/>
    <w:rsid w:val="0029551E"/>
    <w:rsid w:val="00297452"/>
    <w:rsid w:val="002A37B5"/>
    <w:rsid w:val="002A3B0A"/>
    <w:rsid w:val="002A4843"/>
    <w:rsid w:val="002A4DA6"/>
    <w:rsid w:val="002A53BB"/>
    <w:rsid w:val="002A703A"/>
    <w:rsid w:val="002A79CE"/>
    <w:rsid w:val="002B068F"/>
    <w:rsid w:val="002B3984"/>
    <w:rsid w:val="002B3D07"/>
    <w:rsid w:val="002B3E81"/>
    <w:rsid w:val="002B69B0"/>
    <w:rsid w:val="002C30FB"/>
    <w:rsid w:val="002C39B5"/>
    <w:rsid w:val="002C7D63"/>
    <w:rsid w:val="002D42D4"/>
    <w:rsid w:val="002E21EC"/>
    <w:rsid w:val="002E381A"/>
    <w:rsid w:val="002E60C5"/>
    <w:rsid w:val="002F0FCE"/>
    <w:rsid w:val="002F142E"/>
    <w:rsid w:val="002F4586"/>
    <w:rsid w:val="0030202B"/>
    <w:rsid w:val="003033F6"/>
    <w:rsid w:val="00304544"/>
    <w:rsid w:val="00307426"/>
    <w:rsid w:val="00312E21"/>
    <w:rsid w:val="00314DED"/>
    <w:rsid w:val="00320F29"/>
    <w:rsid w:val="00327A60"/>
    <w:rsid w:val="00327D85"/>
    <w:rsid w:val="00330702"/>
    <w:rsid w:val="0033219D"/>
    <w:rsid w:val="0034141F"/>
    <w:rsid w:val="00343D75"/>
    <w:rsid w:val="0035194C"/>
    <w:rsid w:val="003522AA"/>
    <w:rsid w:val="0035640D"/>
    <w:rsid w:val="0036046D"/>
    <w:rsid w:val="00363AAA"/>
    <w:rsid w:val="00372ECC"/>
    <w:rsid w:val="0037625D"/>
    <w:rsid w:val="00376791"/>
    <w:rsid w:val="00380D8A"/>
    <w:rsid w:val="003831C7"/>
    <w:rsid w:val="003855C3"/>
    <w:rsid w:val="0038799B"/>
    <w:rsid w:val="00390407"/>
    <w:rsid w:val="003919F6"/>
    <w:rsid w:val="003949EF"/>
    <w:rsid w:val="003A07EC"/>
    <w:rsid w:val="003A29BB"/>
    <w:rsid w:val="003B1DCC"/>
    <w:rsid w:val="003B1EF2"/>
    <w:rsid w:val="003C3419"/>
    <w:rsid w:val="003C4C82"/>
    <w:rsid w:val="003C7286"/>
    <w:rsid w:val="003C9E2C"/>
    <w:rsid w:val="003D01A6"/>
    <w:rsid w:val="003D0AB3"/>
    <w:rsid w:val="003D1EEF"/>
    <w:rsid w:val="003D219F"/>
    <w:rsid w:val="003D7E4F"/>
    <w:rsid w:val="003E1157"/>
    <w:rsid w:val="003E1551"/>
    <w:rsid w:val="003E1AB3"/>
    <w:rsid w:val="003F037F"/>
    <w:rsid w:val="003F4D0E"/>
    <w:rsid w:val="003F5271"/>
    <w:rsid w:val="003F60B9"/>
    <w:rsid w:val="00401FFF"/>
    <w:rsid w:val="00405C82"/>
    <w:rsid w:val="004066F5"/>
    <w:rsid w:val="00412B13"/>
    <w:rsid w:val="00415C9B"/>
    <w:rsid w:val="00415CF2"/>
    <w:rsid w:val="004208E8"/>
    <w:rsid w:val="004214C1"/>
    <w:rsid w:val="004250B1"/>
    <w:rsid w:val="00434F70"/>
    <w:rsid w:val="00437DAC"/>
    <w:rsid w:val="0043B837"/>
    <w:rsid w:val="00442C4D"/>
    <w:rsid w:val="0044406A"/>
    <w:rsid w:val="00444A84"/>
    <w:rsid w:val="00450DD4"/>
    <w:rsid w:val="004515B5"/>
    <w:rsid w:val="00453498"/>
    <w:rsid w:val="00454BFA"/>
    <w:rsid w:val="00460102"/>
    <w:rsid w:val="00467CF0"/>
    <w:rsid w:val="00472CDB"/>
    <w:rsid w:val="0048682A"/>
    <w:rsid w:val="0049152B"/>
    <w:rsid w:val="00494ECA"/>
    <w:rsid w:val="004951F2"/>
    <w:rsid w:val="0049553D"/>
    <w:rsid w:val="004967AF"/>
    <w:rsid w:val="00497452"/>
    <w:rsid w:val="00497C63"/>
    <w:rsid w:val="004A2001"/>
    <w:rsid w:val="004A4100"/>
    <w:rsid w:val="004A4233"/>
    <w:rsid w:val="004C0B0A"/>
    <w:rsid w:val="004C0C3A"/>
    <w:rsid w:val="004D16AD"/>
    <w:rsid w:val="004D489D"/>
    <w:rsid w:val="004D6F9B"/>
    <w:rsid w:val="004E087C"/>
    <w:rsid w:val="004E3B3A"/>
    <w:rsid w:val="004F22A6"/>
    <w:rsid w:val="004F5F4F"/>
    <w:rsid w:val="00502938"/>
    <w:rsid w:val="00515BD1"/>
    <w:rsid w:val="005169B1"/>
    <w:rsid w:val="0052002F"/>
    <w:rsid w:val="005206C3"/>
    <w:rsid w:val="00520DB6"/>
    <w:rsid w:val="0052405F"/>
    <w:rsid w:val="00527A3D"/>
    <w:rsid w:val="00530AB5"/>
    <w:rsid w:val="0054068D"/>
    <w:rsid w:val="00541245"/>
    <w:rsid w:val="005429AB"/>
    <w:rsid w:val="00544424"/>
    <w:rsid w:val="005473A0"/>
    <w:rsid w:val="00553BB6"/>
    <w:rsid w:val="00555CD4"/>
    <w:rsid w:val="0056521C"/>
    <w:rsid w:val="00566B64"/>
    <w:rsid w:val="00567165"/>
    <w:rsid w:val="0057104D"/>
    <w:rsid w:val="0057202F"/>
    <w:rsid w:val="00574707"/>
    <w:rsid w:val="00582B1F"/>
    <w:rsid w:val="005830F4"/>
    <w:rsid w:val="005837D5"/>
    <w:rsid w:val="00583D30"/>
    <w:rsid w:val="005851F3"/>
    <w:rsid w:val="0059141B"/>
    <w:rsid w:val="00592CE4"/>
    <w:rsid w:val="00592F2D"/>
    <w:rsid w:val="0059460E"/>
    <w:rsid w:val="005973CD"/>
    <w:rsid w:val="005A1471"/>
    <w:rsid w:val="005A31A8"/>
    <w:rsid w:val="005A3A6B"/>
    <w:rsid w:val="005A4DB8"/>
    <w:rsid w:val="005B4A44"/>
    <w:rsid w:val="005B4B36"/>
    <w:rsid w:val="005B6CF8"/>
    <w:rsid w:val="005C1E87"/>
    <w:rsid w:val="005D1083"/>
    <w:rsid w:val="005D192C"/>
    <w:rsid w:val="005D5AE3"/>
    <w:rsid w:val="005D5EEE"/>
    <w:rsid w:val="005D74A3"/>
    <w:rsid w:val="005DEE62"/>
    <w:rsid w:val="005E2E28"/>
    <w:rsid w:val="005E39B7"/>
    <w:rsid w:val="005E6CB6"/>
    <w:rsid w:val="005F0FEF"/>
    <w:rsid w:val="005F4D9B"/>
    <w:rsid w:val="005F4DE3"/>
    <w:rsid w:val="005F5FE4"/>
    <w:rsid w:val="005F738D"/>
    <w:rsid w:val="00600E31"/>
    <w:rsid w:val="00603028"/>
    <w:rsid w:val="006037CB"/>
    <w:rsid w:val="00611DB9"/>
    <w:rsid w:val="0062068C"/>
    <w:rsid w:val="0062160C"/>
    <w:rsid w:val="00624BFA"/>
    <w:rsid w:val="00624C31"/>
    <w:rsid w:val="006268B3"/>
    <w:rsid w:val="00632118"/>
    <w:rsid w:val="00641D4D"/>
    <w:rsid w:val="0065051B"/>
    <w:rsid w:val="00655B10"/>
    <w:rsid w:val="00656E98"/>
    <w:rsid w:val="006574DB"/>
    <w:rsid w:val="00657A14"/>
    <w:rsid w:val="00657D56"/>
    <w:rsid w:val="00657E0A"/>
    <w:rsid w:val="006625E4"/>
    <w:rsid w:val="00677C7C"/>
    <w:rsid w:val="00677D79"/>
    <w:rsid w:val="00684397"/>
    <w:rsid w:val="0068463E"/>
    <w:rsid w:val="00685D9E"/>
    <w:rsid w:val="00694EB9"/>
    <w:rsid w:val="006953FA"/>
    <w:rsid w:val="0069594D"/>
    <w:rsid w:val="00697918"/>
    <w:rsid w:val="006A0CA2"/>
    <w:rsid w:val="006A206D"/>
    <w:rsid w:val="006A69B3"/>
    <w:rsid w:val="006B22F1"/>
    <w:rsid w:val="006B3B91"/>
    <w:rsid w:val="006C2563"/>
    <w:rsid w:val="006C3836"/>
    <w:rsid w:val="006C4391"/>
    <w:rsid w:val="006C4496"/>
    <w:rsid w:val="006C5BC6"/>
    <w:rsid w:val="006D2434"/>
    <w:rsid w:val="006D296C"/>
    <w:rsid w:val="006D4229"/>
    <w:rsid w:val="006D7FE2"/>
    <w:rsid w:val="006E1F0A"/>
    <w:rsid w:val="006E3C56"/>
    <w:rsid w:val="006E42AE"/>
    <w:rsid w:val="006F2D08"/>
    <w:rsid w:val="006F2D3B"/>
    <w:rsid w:val="006F470E"/>
    <w:rsid w:val="006F5A10"/>
    <w:rsid w:val="006F6DAC"/>
    <w:rsid w:val="006F78C5"/>
    <w:rsid w:val="007022CD"/>
    <w:rsid w:val="007045B5"/>
    <w:rsid w:val="007052DE"/>
    <w:rsid w:val="00706591"/>
    <w:rsid w:val="00707B5F"/>
    <w:rsid w:val="00711ABC"/>
    <w:rsid w:val="00713CB5"/>
    <w:rsid w:val="007230FB"/>
    <w:rsid w:val="00723FD1"/>
    <w:rsid w:val="0073026B"/>
    <w:rsid w:val="007312AB"/>
    <w:rsid w:val="00732B06"/>
    <w:rsid w:val="00732EF2"/>
    <w:rsid w:val="00735812"/>
    <w:rsid w:val="00740052"/>
    <w:rsid w:val="00740116"/>
    <w:rsid w:val="00747F1C"/>
    <w:rsid w:val="00752FDD"/>
    <w:rsid w:val="00753AE3"/>
    <w:rsid w:val="00761599"/>
    <w:rsid w:val="0076602E"/>
    <w:rsid w:val="00773539"/>
    <w:rsid w:val="007774C1"/>
    <w:rsid w:val="00777C33"/>
    <w:rsid w:val="00777C59"/>
    <w:rsid w:val="00784319"/>
    <w:rsid w:val="007853B2"/>
    <w:rsid w:val="00785757"/>
    <w:rsid w:val="00790D08"/>
    <w:rsid w:val="0079299E"/>
    <w:rsid w:val="007964C2"/>
    <w:rsid w:val="007971AD"/>
    <w:rsid w:val="007A5334"/>
    <w:rsid w:val="007B0B91"/>
    <w:rsid w:val="007B59C4"/>
    <w:rsid w:val="007B60DC"/>
    <w:rsid w:val="007B6F5E"/>
    <w:rsid w:val="007B7AA7"/>
    <w:rsid w:val="007C32CD"/>
    <w:rsid w:val="007C3612"/>
    <w:rsid w:val="007C66DB"/>
    <w:rsid w:val="007C7998"/>
    <w:rsid w:val="007D7BBE"/>
    <w:rsid w:val="007E07C7"/>
    <w:rsid w:val="007E0855"/>
    <w:rsid w:val="007E1E1F"/>
    <w:rsid w:val="007E3E5E"/>
    <w:rsid w:val="007E6D16"/>
    <w:rsid w:val="007F04DF"/>
    <w:rsid w:val="007F2D4B"/>
    <w:rsid w:val="007F6DFA"/>
    <w:rsid w:val="008132C5"/>
    <w:rsid w:val="0081576D"/>
    <w:rsid w:val="00816351"/>
    <w:rsid w:val="00830058"/>
    <w:rsid w:val="00831032"/>
    <w:rsid w:val="00835027"/>
    <w:rsid w:val="00840C58"/>
    <w:rsid w:val="008435EF"/>
    <w:rsid w:val="00843E7A"/>
    <w:rsid w:val="00852559"/>
    <w:rsid w:val="00852F07"/>
    <w:rsid w:val="00870B31"/>
    <w:rsid w:val="008720CB"/>
    <w:rsid w:val="008732AA"/>
    <w:rsid w:val="00875B49"/>
    <w:rsid w:val="0088130C"/>
    <w:rsid w:val="00883078"/>
    <w:rsid w:val="00884D9E"/>
    <w:rsid w:val="00886273"/>
    <w:rsid w:val="00891D1B"/>
    <w:rsid w:val="0089638A"/>
    <w:rsid w:val="00897E22"/>
    <w:rsid w:val="008A13D3"/>
    <w:rsid w:val="008A1BD8"/>
    <w:rsid w:val="008A39D3"/>
    <w:rsid w:val="008A46FE"/>
    <w:rsid w:val="008A69A5"/>
    <w:rsid w:val="008A7392"/>
    <w:rsid w:val="008B6A06"/>
    <w:rsid w:val="008B6DFB"/>
    <w:rsid w:val="008B79C0"/>
    <w:rsid w:val="008C145C"/>
    <w:rsid w:val="008C1B72"/>
    <w:rsid w:val="008C64F4"/>
    <w:rsid w:val="008C710F"/>
    <w:rsid w:val="008D150D"/>
    <w:rsid w:val="008E1F77"/>
    <w:rsid w:val="008E3891"/>
    <w:rsid w:val="008E6910"/>
    <w:rsid w:val="008E794D"/>
    <w:rsid w:val="008F188C"/>
    <w:rsid w:val="008F67FD"/>
    <w:rsid w:val="008F729A"/>
    <w:rsid w:val="009013E9"/>
    <w:rsid w:val="00903002"/>
    <w:rsid w:val="00904B70"/>
    <w:rsid w:val="009078C6"/>
    <w:rsid w:val="00911B45"/>
    <w:rsid w:val="00913C58"/>
    <w:rsid w:val="0091436D"/>
    <w:rsid w:val="00915309"/>
    <w:rsid w:val="00915990"/>
    <w:rsid w:val="0092476A"/>
    <w:rsid w:val="009273B6"/>
    <w:rsid w:val="009321E9"/>
    <w:rsid w:val="009415F3"/>
    <w:rsid w:val="00941DD0"/>
    <w:rsid w:val="00942534"/>
    <w:rsid w:val="00942930"/>
    <w:rsid w:val="0094370A"/>
    <w:rsid w:val="00946627"/>
    <w:rsid w:val="00951CD0"/>
    <w:rsid w:val="009577D5"/>
    <w:rsid w:val="009628FC"/>
    <w:rsid w:val="009636DB"/>
    <w:rsid w:val="00963F3B"/>
    <w:rsid w:val="00976929"/>
    <w:rsid w:val="009778BD"/>
    <w:rsid w:val="0098637E"/>
    <w:rsid w:val="00987420"/>
    <w:rsid w:val="00990B12"/>
    <w:rsid w:val="00991EA5"/>
    <w:rsid w:val="00992818"/>
    <w:rsid w:val="009A04C4"/>
    <w:rsid w:val="009A3D52"/>
    <w:rsid w:val="009A64B2"/>
    <w:rsid w:val="009A6FB9"/>
    <w:rsid w:val="009B38F4"/>
    <w:rsid w:val="009B5B68"/>
    <w:rsid w:val="009B5D0E"/>
    <w:rsid w:val="009B79EE"/>
    <w:rsid w:val="009C1598"/>
    <w:rsid w:val="009C1B7A"/>
    <w:rsid w:val="009C4B62"/>
    <w:rsid w:val="009C4EAF"/>
    <w:rsid w:val="009D3398"/>
    <w:rsid w:val="009D412C"/>
    <w:rsid w:val="009D7566"/>
    <w:rsid w:val="009E567C"/>
    <w:rsid w:val="009F1819"/>
    <w:rsid w:val="009F365D"/>
    <w:rsid w:val="009F48C9"/>
    <w:rsid w:val="009F658F"/>
    <w:rsid w:val="009F6C9F"/>
    <w:rsid w:val="00A004D7"/>
    <w:rsid w:val="00A04621"/>
    <w:rsid w:val="00A05262"/>
    <w:rsid w:val="00A06E04"/>
    <w:rsid w:val="00A07590"/>
    <w:rsid w:val="00A10AFF"/>
    <w:rsid w:val="00A11374"/>
    <w:rsid w:val="00A12B63"/>
    <w:rsid w:val="00A15EC8"/>
    <w:rsid w:val="00A26310"/>
    <w:rsid w:val="00A30298"/>
    <w:rsid w:val="00A30ADA"/>
    <w:rsid w:val="00A317F0"/>
    <w:rsid w:val="00A42AF7"/>
    <w:rsid w:val="00A43320"/>
    <w:rsid w:val="00A44946"/>
    <w:rsid w:val="00A44D99"/>
    <w:rsid w:val="00A50EF8"/>
    <w:rsid w:val="00A52668"/>
    <w:rsid w:val="00A61BF7"/>
    <w:rsid w:val="00A61CEE"/>
    <w:rsid w:val="00A63EC7"/>
    <w:rsid w:val="00A645BB"/>
    <w:rsid w:val="00A67F12"/>
    <w:rsid w:val="00A70BDE"/>
    <w:rsid w:val="00A86EF3"/>
    <w:rsid w:val="00A90654"/>
    <w:rsid w:val="00A92CE3"/>
    <w:rsid w:val="00A97FCF"/>
    <w:rsid w:val="00AA0D75"/>
    <w:rsid w:val="00AA138C"/>
    <w:rsid w:val="00AA18D7"/>
    <w:rsid w:val="00AA342A"/>
    <w:rsid w:val="00AA4EC0"/>
    <w:rsid w:val="00AA6991"/>
    <w:rsid w:val="00AA7767"/>
    <w:rsid w:val="00AB0318"/>
    <w:rsid w:val="00AB0ADA"/>
    <w:rsid w:val="00AB373D"/>
    <w:rsid w:val="00AB3849"/>
    <w:rsid w:val="00AB6363"/>
    <w:rsid w:val="00AC1CFE"/>
    <w:rsid w:val="00AC486F"/>
    <w:rsid w:val="00AC4C7C"/>
    <w:rsid w:val="00AC5537"/>
    <w:rsid w:val="00AC64C7"/>
    <w:rsid w:val="00AC767C"/>
    <w:rsid w:val="00AD03E1"/>
    <w:rsid w:val="00AD08DC"/>
    <w:rsid w:val="00AD3053"/>
    <w:rsid w:val="00AE1F6A"/>
    <w:rsid w:val="00AE23ED"/>
    <w:rsid w:val="00AE33F8"/>
    <w:rsid w:val="00AE631C"/>
    <w:rsid w:val="00AE70BB"/>
    <w:rsid w:val="00B00105"/>
    <w:rsid w:val="00B02E9B"/>
    <w:rsid w:val="00B07B64"/>
    <w:rsid w:val="00B07E3D"/>
    <w:rsid w:val="00B07F88"/>
    <w:rsid w:val="00B107CC"/>
    <w:rsid w:val="00B15E27"/>
    <w:rsid w:val="00B204D5"/>
    <w:rsid w:val="00B20DCE"/>
    <w:rsid w:val="00B214C6"/>
    <w:rsid w:val="00B243CA"/>
    <w:rsid w:val="00B25483"/>
    <w:rsid w:val="00B25913"/>
    <w:rsid w:val="00B336B5"/>
    <w:rsid w:val="00B3554B"/>
    <w:rsid w:val="00B401DD"/>
    <w:rsid w:val="00B44A16"/>
    <w:rsid w:val="00B44E4F"/>
    <w:rsid w:val="00B4510F"/>
    <w:rsid w:val="00B453D0"/>
    <w:rsid w:val="00B554D1"/>
    <w:rsid w:val="00B5560F"/>
    <w:rsid w:val="00B56808"/>
    <w:rsid w:val="00B568E1"/>
    <w:rsid w:val="00B57683"/>
    <w:rsid w:val="00B65C35"/>
    <w:rsid w:val="00B6FBE9"/>
    <w:rsid w:val="00B7084D"/>
    <w:rsid w:val="00B70DA4"/>
    <w:rsid w:val="00B72693"/>
    <w:rsid w:val="00B73D4B"/>
    <w:rsid w:val="00B85307"/>
    <w:rsid w:val="00B91B25"/>
    <w:rsid w:val="00BA1DFF"/>
    <w:rsid w:val="00BA44CF"/>
    <w:rsid w:val="00BA7AF6"/>
    <w:rsid w:val="00BB100C"/>
    <w:rsid w:val="00BB267E"/>
    <w:rsid w:val="00BB2CF1"/>
    <w:rsid w:val="00BB3F81"/>
    <w:rsid w:val="00BB5D30"/>
    <w:rsid w:val="00BC0144"/>
    <w:rsid w:val="00BC5EAE"/>
    <w:rsid w:val="00BD127A"/>
    <w:rsid w:val="00BD73C6"/>
    <w:rsid w:val="00BD7475"/>
    <w:rsid w:val="00BE216C"/>
    <w:rsid w:val="00BE358D"/>
    <w:rsid w:val="00BE5FC2"/>
    <w:rsid w:val="00BF1A02"/>
    <w:rsid w:val="00BF40EA"/>
    <w:rsid w:val="00BF5070"/>
    <w:rsid w:val="00BF58F9"/>
    <w:rsid w:val="00BF77C3"/>
    <w:rsid w:val="00BF7C5E"/>
    <w:rsid w:val="00C0165A"/>
    <w:rsid w:val="00C01E44"/>
    <w:rsid w:val="00C058E9"/>
    <w:rsid w:val="00C112A0"/>
    <w:rsid w:val="00C11487"/>
    <w:rsid w:val="00C13587"/>
    <w:rsid w:val="00C13D30"/>
    <w:rsid w:val="00C142A2"/>
    <w:rsid w:val="00C2031D"/>
    <w:rsid w:val="00C21D3A"/>
    <w:rsid w:val="00C23FBA"/>
    <w:rsid w:val="00C26FDA"/>
    <w:rsid w:val="00C273D4"/>
    <w:rsid w:val="00C278B8"/>
    <w:rsid w:val="00C27A5A"/>
    <w:rsid w:val="00C3064C"/>
    <w:rsid w:val="00C31517"/>
    <w:rsid w:val="00C34785"/>
    <w:rsid w:val="00C34978"/>
    <w:rsid w:val="00C36EC6"/>
    <w:rsid w:val="00C415BA"/>
    <w:rsid w:val="00C4483A"/>
    <w:rsid w:val="00C44AD8"/>
    <w:rsid w:val="00C470E0"/>
    <w:rsid w:val="00C504AC"/>
    <w:rsid w:val="00C51903"/>
    <w:rsid w:val="00C54908"/>
    <w:rsid w:val="00C66281"/>
    <w:rsid w:val="00C6658B"/>
    <w:rsid w:val="00C714E4"/>
    <w:rsid w:val="00C71D1D"/>
    <w:rsid w:val="00C76287"/>
    <w:rsid w:val="00C81A16"/>
    <w:rsid w:val="00C86750"/>
    <w:rsid w:val="00C96B62"/>
    <w:rsid w:val="00CB1C7F"/>
    <w:rsid w:val="00CB490B"/>
    <w:rsid w:val="00CB70DC"/>
    <w:rsid w:val="00CB7EC5"/>
    <w:rsid w:val="00CC04AA"/>
    <w:rsid w:val="00CC2AF5"/>
    <w:rsid w:val="00CC2E22"/>
    <w:rsid w:val="00CC7F89"/>
    <w:rsid w:val="00CD08CF"/>
    <w:rsid w:val="00CD4739"/>
    <w:rsid w:val="00CE5762"/>
    <w:rsid w:val="00CE7A67"/>
    <w:rsid w:val="00CF25A3"/>
    <w:rsid w:val="00CF3103"/>
    <w:rsid w:val="00CF6D65"/>
    <w:rsid w:val="00CF74B7"/>
    <w:rsid w:val="00CF7A25"/>
    <w:rsid w:val="00D00EFC"/>
    <w:rsid w:val="00D02EDE"/>
    <w:rsid w:val="00D031C7"/>
    <w:rsid w:val="00D07BD3"/>
    <w:rsid w:val="00D16DDF"/>
    <w:rsid w:val="00D21D0C"/>
    <w:rsid w:val="00D27CEE"/>
    <w:rsid w:val="00D27EA5"/>
    <w:rsid w:val="00D33FDF"/>
    <w:rsid w:val="00D3611E"/>
    <w:rsid w:val="00D36614"/>
    <w:rsid w:val="00D41E83"/>
    <w:rsid w:val="00D41EE0"/>
    <w:rsid w:val="00D47937"/>
    <w:rsid w:val="00D51700"/>
    <w:rsid w:val="00D53986"/>
    <w:rsid w:val="00D54145"/>
    <w:rsid w:val="00D55487"/>
    <w:rsid w:val="00D55CB0"/>
    <w:rsid w:val="00D560D7"/>
    <w:rsid w:val="00D70239"/>
    <w:rsid w:val="00D72FD4"/>
    <w:rsid w:val="00D73B32"/>
    <w:rsid w:val="00D7609D"/>
    <w:rsid w:val="00D813B1"/>
    <w:rsid w:val="00D86DB7"/>
    <w:rsid w:val="00D9041F"/>
    <w:rsid w:val="00D9164C"/>
    <w:rsid w:val="00D918A5"/>
    <w:rsid w:val="00D91D73"/>
    <w:rsid w:val="00D94B46"/>
    <w:rsid w:val="00D95ACD"/>
    <w:rsid w:val="00D96579"/>
    <w:rsid w:val="00DA7E62"/>
    <w:rsid w:val="00DB11B3"/>
    <w:rsid w:val="00DB38EA"/>
    <w:rsid w:val="00DB4212"/>
    <w:rsid w:val="00DB49B7"/>
    <w:rsid w:val="00DC068E"/>
    <w:rsid w:val="00DC18B6"/>
    <w:rsid w:val="00DC209B"/>
    <w:rsid w:val="00DC2B26"/>
    <w:rsid w:val="00DD4E84"/>
    <w:rsid w:val="00DD5643"/>
    <w:rsid w:val="00DD65C4"/>
    <w:rsid w:val="00DD76E1"/>
    <w:rsid w:val="00DD7913"/>
    <w:rsid w:val="00DE127A"/>
    <w:rsid w:val="00DE20E1"/>
    <w:rsid w:val="00DE484C"/>
    <w:rsid w:val="00DE5F98"/>
    <w:rsid w:val="00DE6CC5"/>
    <w:rsid w:val="00DE6DE5"/>
    <w:rsid w:val="00DF0D80"/>
    <w:rsid w:val="00DF1E40"/>
    <w:rsid w:val="00DF3466"/>
    <w:rsid w:val="00DF4A9D"/>
    <w:rsid w:val="00DF6343"/>
    <w:rsid w:val="00DFD648"/>
    <w:rsid w:val="00E0063D"/>
    <w:rsid w:val="00E036FF"/>
    <w:rsid w:val="00E04E0A"/>
    <w:rsid w:val="00E06069"/>
    <w:rsid w:val="00E0781F"/>
    <w:rsid w:val="00E117E1"/>
    <w:rsid w:val="00E12BCF"/>
    <w:rsid w:val="00E20B9A"/>
    <w:rsid w:val="00E228AE"/>
    <w:rsid w:val="00E232BC"/>
    <w:rsid w:val="00E238F3"/>
    <w:rsid w:val="00E26DEC"/>
    <w:rsid w:val="00E30551"/>
    <w:rsid w:val="00E31C63"/>
    <w:rsid w:val="00E41332"/>
    <w:rsid w:val="00E416DD"/>
    <w:rsid w:val="00E43A74"/>
    <w:rsid w:val="00E45F10"/>
    <w:rsid w:val="00E57274"/>
    <w:rsid w:val="00E632F1"/>
    <w:rsid w:val="00E66108"/>
    <w:rsid w:val="00E7092A"/>
    <w:rsid w:val="00E730A9"/>
    <w:rsid w:val="00E90245"/>
    <w:rsid w:val="00E911D4"/>
    <w:rsid w:val="00E91AF3"/>
    <w:rsid w:val="00E92689"/>
    <w:rsid w:val="00E93186"/>
    <w:rsid w:val="00EA1B12"/>
    <w:rsid w:val="00EA2BDA"/>
    <w:rsid w:val="00EA3AFE"/>
    <w:rsid w:val="00EA5834"/>
    <w:rsid w:val="00EA5CDB"/>
    <w:rsid w:val="00EA5EA0"/>
    <w:rsid w:val="00EA7976"/>
    <w:rsid w:val="00EB5112"/>
    <w:rsid w:val="00EC054E"/>
    <w:rsid w:val="00EC7FC2"/>
    <w:rsid w:val="00ED3380"/>
    <w:rsid w:val="00ED35C7"/>
    <w:rsid w:val="00ED5F05"/>
    <w:rsid w:val="00EE01D8"/>
    <w:rsid w:val="00EE5CCD"/>
    <w:rsid w:val="00EF6DF0"/>
    <w:rsid w:val="00EF727F"/>
    <w:rsid w:val="00F008BB"/>
    <w:rsid w:val="00F00F72"/>
    <w:rsid w:val="00F02BBE"/>
    <w:rsid w:val="00F04248"/>
    <w:rsid w:val="00F06602"/>
    <w:rsid w:val="00F124AF"/>
    <w:rsid w:val="00F234EE"/>
    <w:rsid w:val="00F246A4"/>
    <w:rsid w:val="00F256D8"/>
    <w:rsid w:val="00F30650"/>
    <w:rsid w:val="00F30D35"/>
    <w:rsid w:val="00F34698"/>
    <w:rsid w:val="00F35FE2"/>
    <w:rsid w:val="00F40C6F"/>
    <w:rsid w:val="00F4560A"/>
    <w:rsid w:val="00F473C9"/>
    <w:rsid w:val="00F51FB5"/>
    <w:rsid w:val="00F55D08"/>
    <w:rsid w:val="00F602B7"/>
    <w:rsid w:val="00F60AFA"/>
    <w:rsid w:val="00F640D2"/>
    <w:rsid w:val="00F6457C"/>
    <w:rsid w:val="00F66DAB"/>
    <w:rsid w:val="00F671D5"/>
    <w:rsid w:val="00F70139"/>
    <w:rsid w:val="00F719B9"/>
    <w:rsid w:val="00F72A9D"/>
    <w:rsid w:val="00F72FBC"/>
    <w:rsid w:val="00F752B8"/>
    <w:rsid w:val="00F759BE"/>
    <w:rsid w:val="00F80796"/>
    <w:rsid w:val="00F840A7"/>
    <w:rsid w:val="00F913A4"/>
    <w:rsid w:val="00FA1747"/>
    <w:rsid w:val="00FA3C6A"/>
    <w:rsid w:val="00FB05E0"/>
    <w:rsid w:val="00FB203A"/>
    <w:rsid w:val="00FB6492"/>
    <w:rsid w:val="00FB7260"/>
    <w:rsid w:val="00FC0673"/>
    <w:rsid w:val="00FC1691"/>
    <w:rsid w:val="00FC2EA1"/>
    <w:rsid w:val="00FC6474"/>
    <w:rsid w:val="00FD0126"/>
    <w:rsid w:val="00FD041A"/>
    <w:rsid w:val="00FD20FD"/>
    <w:rsid w:val="00FD3FDA"/>
    <w:rsid w:val="00FD4AA5"/>
    <w:rsid w:val="00FD5A57"/>
    <w:rsid w:val="00FE0D83"/>
    <w:rsid w:val="00FE1298"/>
    <w:rsid w:val="00FE1690"/>
    <w:rsid w:val="00FE6E06"/>
    <w:rsid w:val="00FF1A98"/>
    <w:rsid w:val="00FF3D5F"/>
    <w:rsid w:val="00FF3D80"/>
    <w:rsid w:val="00FF44B6"/>
    <w:rsid w:val="0105BFD2"/>
    <w:rsid w:val="01216309"/>
    <w:rsid w:val="02282021"/>
    <w:rsid w:val="0237D1F9"/>
    <w:rsid w:val="0262FE7B"/>
    <w:rsid w:val="02775EF7"/>
    <w:rsid w:val="02AAE716"/>
    <w:rsid w:val="02BADE20"/>
    <w:rsid w:val="02DE86C3"/>
    <w:rsid w:val="02DFE47F"/>
    <w:rsid w:val="02E62E62"/>
    <w:rsid w:val="031C9AF3"/>
    <w:rsid w:val="035002D8"/>
    <w:rsid w:val="03581759"/>
    <w:rsid w:val="035E8B49"/>
    <w:rsid w:val="037B2264"/>
    <w:rsid w:val="037FFBBA"/>
    <w:rsid w:val="03C17C77"/>
    <w:rsid w:val="041ED636"/>
    <w:rsid w:val="043C3577"/>
    <w:rsid w:val="044BD247"/>
    <w:rsid w:val="04F851E8"/>
    <w:rsid w:val="05657D12"/>
    <w:rsid w:val="056E3D50"/>
    <w:rsid w:val="05738CE0"/>
    <w:rsid w:val="059768FE"/>
    <w:rsid w:val="05A40733"/>
    <w:rsid w:val="05C86B72"/>
    <w:rsid w:val="065B417D"/>
    <w:rsid w:val="0687E09C"/>
    <w:rsid w:val="06A5921B"/>
    <w:rsid w:val="06ACB3AB"/>
    <w:rsid w:val="06AD2F63"/>
    <w:rsid w:val="06B83C6C"/>
    <w:rsid w:val="06D5D54B"/>
    <w:rsid w:val="06E4AE81"/>
    <w:rsid w:val="0771A7FF"/>
    <w:rsid w:val="0791FA1C"/>
    <w:rsid w:val="07D74443"/>
    <w:rsid w:val="07E34364"/>
    <w:rsid w:val="07E7BC47"/>
    <w:rsid w:val="08023EEF"/>
    <w:rsid w:val="083DD1C3"/>
    <w:rsid w:val="085E6F79"/>
    <w:rsid w:val="08ABD341"/>
    <w:rsid w:val="08B7A646"/>
    <w:rsid w:val="08E006AF"/>
    <w:rsid w:val="08E42DC5"/>
    <w:rsid w:val="08F78D73"/>
    <w:rsid w:val="090357B4"/>
    <w:rsid w:val="091D6FBE"/>
    <w:rsid w:val="096598CF"/>
    <w:rsid w:val="098F35D7"/>
    <w:rsid w:val="0A06496F"/>
    <w:rsid w:val="0A1DB23E"/>
    <w:rsid w:val="0A2CFF7A"/>
    <w:rsid w:val="0A4698A2"/>
    <w:rsid w:val="0A66CC60"/>
    <w:rsid w:val="0A88559F"/>
    <w:rsid w:val="0AB2003C"/>
    <w:rsid w:val="0AC666BA"/>
    <w:rsid w:val="0ADAE565"/>
    <w:rsid w:val="0AFE274A"/>
    <w:rsid w:val="0B749D8D"/>
    <w:rsid w:val="0B9A28D6"/>
    <w:rsid w:val="0BD8287A"/>
    <w:rsid w:val="0BE8FE4E"/>
    <w:rsid w:val="0BFB3EBC"/>
    <w:rsid w:val="0C6175E8"/>
    <w:rsid w:val="0C6D8748"/>
    <w:rsid w:val="0C858977"/>
    <w:rsid w:val="0C8D1FA0"/>
    <w:rsid w:val="0CB9B844"/>
    <w:rsid w:val="0CBF862F"/>
    <w:rsid w:val="0CE40DD7"/>
    <w:rsid w:val="0D1CEAFD"/>
    <w:rsid w:val="0D3A76CE"/>
    <w:rsid w:val="0DB55C62"/>
    <w:rsid w:val="0E0193F0"/>
    <w:rsid w:val="0E247365"/>
    <w:rsid w:val="0E271350"/>
    <w:rsid w:val="0E2D4638"/>
    <w:rsid w:val="0E2DC785"/>
    <w:rsid w:val="0F16CC0D"/>
    <w:rsid w:val="0FC878A6"/>
    <w:rsid w:val="0FF14A45"/>
    <w:rsid w:val="101FC4DF"/>
    <w:rsid w:val="1022CC1B"/>
    <w:rsid w:val="10970484"/>
    <w:rsid w:val="10B48CDE"/>
    <w:rsid w:val="10C2A89D"/>
    <w:rsid w:val="10D25EEE"/>
    <w:rsid w:val="11D50553"/>
    <w:rsid w:val="11D97DD9"/>
    <w:rsid w:val="123ED6EA"/>
    <w:rsid w:val="126BB619"/>
    <w:rsid w:val="12E0DDFD"/>
    <w:rsid w:val="133723EC"/>
    <w:rsid w:val="13AA04CC"/>
    <w:rsid w:val="14291C5A"/>
    <w:rsid w:val="14429DCB"/>
    <w:rsid w:val="15157DAB"/>
    <w:rsid w:val="15712889"/>
    <w:rsid w:val="159DB33C"/>
    <w:rsid w:val="15C88EFE"/>
    <w:rsid w:val="16013970"/>
    <w:rsid w:val="161AB3A8"/>
    <w:rsid w:val="1631E0FF"/>
    <w:rsid w:val="164DE413"/>
    <w:rsid w:val="16574454"/>
    <w:rsid w:val="169B7934"/>
    <w:rsid w:val="16BED5D1"/>
    <w:rsid w:val="16E77C15"/>
    <w:rsid w:val="16E959C8"/>
    <w:rsid w:val="16F2A2FC"/>
    <w:rsid w:val="170EF06C"/>
    <w:rsid w:val="173BF4C5"/>
    <w:rsid w:val="175D425A"/>
    <w:rsid w:val="17B97183"/>
    <w:rsid w:val="17ED80C9"/>
    <w:rsid w:val="18403E15"/>
    <w:rsid w:val="18592EE5"/>
    <w:rsid w:val="1891502C"/>
    <w:rsid w:val="18EE8401"/>
    <w:rsid w:val="18F3B7C8"/>
    <w:rsid w:val="191DB11F"/>
    <w:rsid w:val="19513227"/>
    <w:rsid w:val="19C29E18"/>
    <w:rsid w:val="19C9913E"/>
    <w:rsid w:val="1A1C6DA5"/>
    <w:rsid w:val="1A4044ED"/>
    <w:rsid w:val="1A49DF57"/>
    <w:rsid w:val="1A7F58CA"/>
    <w:rsid w:val="1AC0ADA4"/>
    <w:rsid w:val="1B054813"/>
    <w:rsid w:val="1B31AA00"/>
    <w:rsid w:val="1BBF1A2F"/>
    <w:rsid w:val="1C07252A"/>
    <w:rsid w:val="1C085ABE"/>
    <w:rsid w:val="1C0E597A"/>
    <w:rsid w:val="1C318459"/>
    <w:rsid w:val="1C5B5EB2"/>
    <w:rsid w:val="1C7FEAB3"/>
    <w:rsid w:val="1C8A82FD"/>
    <w:rsid w:val="1C95395E"/>
    <w:rsid w:val="1CFBE813"/>
    <w:rsid w:val="1D319D02"/>
    <w:rsid w:val="1D36CF22"/>
    <w:rsid w:val="1D3BABB3"/>
    <w:rsid w:val="1D855304"/>
    <w:rsid w:val="1E55BE94"/>
    <w:rsid w:val="1E7363EE"/>
    <w:rsid w:val="1E7E085D"/>
    <w:rsid w:val="1E8937D4"/>
    <w:rsid w:val="1E990033"/>
    <w:rsid w:val="1F144A1E"/>
    <w:rsid w:val="1F1781C6"/>
    <w:rsid w:val="1F99FF9E"/>
    <w:rsid w:val="200D5091"/>
    <w:rsid w:val="2048EEB5"/>
    <w:rsid w:val="206E9E26"/>
    <w:rsid w:val="209CA4F0"/>
    <w:rsid w:val="20A30603"/>
    <w:rsid w:val="20C84096"/>
    <w:rsid w:val="210B1B2A"/>
    <w:rsid w:val="218FFDC6"/>
    <w:rsid w:val="22022B27"/>
    <w:rsid w:val="220D0AB0"/>
    <w:rsid w:val="223CA063"/>
    <w:rsid w:val="226EBFFD"/>
    <w:rsid w:val="2275EE84"/>
    <w:rsid w:val="2276C5BC"/>
    <w:rsid w:val="227D4109"/>
    <w:rsid w:val="2287DD2D"/>
    <w:rsid w:val="228C24AA"/>
    <w:rsid w:val="229F0B85"/>
    <w:rsid w:val="22A8EEB7"/>
    <w:rsid w:val="23502D15"/>
    <w:rsid w:val="2386E86B"/>
    <w:rsid w:val="23904D57"/>
    <w:rsid w:val="23935060"/>
    <w:rsid w:val="23972508"/>
    <w:rsid w:val="23B0C631"/>
    <w:rsid w:val="23C40E16"/>
    <w:rsid w:val="241A4BAB"/>
    <w:rsid w:val="244C5BCB"/>
    <w:rsid w:val="24A44BE2"/>
    <w:rsid w:val="24ABB4C4"/>
    <w:rsid w:val="24C910A4"/>
    <w:rsid w:val="24CC739B"/>
    <w:rsid w:val="24EA62B2"/>
    <w:rsid w:val="24EDBEB3"/>
    <w:rsid w:val="259A0F2D"/>
    <w:rsid w:val="25A589DB"/>
    <w:rsid w:val="25AC68E5"/>
    <w:rsid w:val="25D66AF0"/>
    <w:rsid w:val="25DCFB9B"/>
    <w:rsid w:val="25E1C7A5"/>
    <w:rsid w:val="26002E10"/>
    <w:rsid w:val="2639F407"/>
    <w:rsid w:val="26423F5D"/>
    <w:rsid w:val="26436733"/>
    <w:rsid w:val="266AA33F"/>
    <w:rsid w:val="26953EBE"/>
    <w:rsid w:val="26A455FC"/>
    <w:rsid w:val="2703344E"/>
    <w:rsid w:val="27274BF8"/>
    <w:rsid w:val="2742A72C"/>
    <w:rsid w:val="274BFC4C"/>
    <w:rsid w:val="28008B31"/>
    <w:rsid w:val="280F74CD"/>
    <w:rsid w:val="28192387"/>
    <w:rsid w:val="2827021D"/>
    <w:rsid w:val="282B2EE2"/>
    <w:rsid w:val="288F4B11"/>
    <w:rsid w:val="28A3F2B9"/>
    <w:rsid w:val="28B6E0CA"/>
    <w:rsid w:val="2902672B"/>
    <w:rsid w:val="2997FB92"/>
    <w:rsid w:val="29B954D3"/>
    <w:rsid w:val="29EF0239"/>
    <w:rsid w:val="2A1EB531"/>
    <w:rsid w:val="2A3B62F6"/>
    <w:rsid w:val="2A5564D0"/>
    <w:rsid w:val="2A72C6DE"/>
    <w:rsid w:val="2ABD285A"/>
    <w:rsid w:val="2B0D67A3"/>
    <w:rsid w:val="2B838677"/>
    <w:rsid w:val="2B8EA799"/>
    <w:rsid w:val="2BBCE748"/>
    <w:rsid w:val="2BF3E4DC"/>
    <w:rsid w:val="2C414586"/>
    <w:rsid w:val="2C5FA0F4"/>
    <w:rsid w:val="2C5FDE85"/>
    <w:rsid w:val="2C8AEE77"/>
    <w:rsid w:val="2D13B5A1"/>
    <w:rsid w:val="2D6B27B8"/>
    <w:rsid w:val="2D77DC93"/>
    <w:rsid w:val="2D8D415C"/>
    <w:rsid w:val="2DD74B92"/>
    <w:rsid w:val="2DE35330"/>
    <w:rsid w:val="2DEADF31"/>
    <w:rsid w:val="2E2E44E3"/>
    <w:rsid w:val="2E8026C7"/>
    <w:rsid w:val="2EB0DA59"/>
    <w:rsid w:val="2EB2932C"/>
    <w:rsid w:val="2F015623"/>
    <w:rsid w:val="2F285BE9"/>
    <w:rsid w:val="2F356448"/>
    <w:rsid w:val="2F70E85D"/>
    <w:rsid w:val="2FD8221A"/>
    <w:rsid w:val="2FED45CE"/>
    <w:rsid w:val="30041B6B"/>
    <w:rsid w:val="301C1F3A"/>
    <w:rsid w:val="302F55CD"/>
    <w:rsid w:val="3034A53A"/>
    <w:rsid w:val="303B5E31"/>
    <w:rsid w:val="306914BE"/>
    <w:rsid w:val="3074819A"/>
    <w:rsid w:val="30A83955"/>
    <w:rsid w:val="30E664B8"/>
    <w:rsid w:val="30FAE4D8"/>
    <w:rsid w:val="312ACF23"/>
    <w:rsid w:val="3142859A"/>
    <w:rsid w:val="3162A88A"/>
    <w:rsid w:val="3196F567"/>
    <w:rsid w:val="31A826C4"/>
    <w:rsid w:val="31E1720A"/>
    <w:rsid w:val="321AFA3C"/>
    <w:rsid w:val="322CAC3A"/>
    <w:rsid w:val="324959F1"/>
    <w:rsid w:val="327205B5"/>
    <w:rsid w:val="32735822"/>
    <w:rsid w:val="327BB8A8"/>
    <w:rsid w:val="32EE585E"/>
    <w:rsid w:val="3345A5E2"/>
    <w:rsid w:val="339548EA"/>
    <w:rsid w:val="3427B8C9"/>
    <w:rsid w:val="3430D861"/>
    <w:rsid w:val="34781B22"/>
    <w:rsid w:val="347A08C8"/>
    <w:rsid w:val="349F2A42"/>
    <w:rsid w:val="34F7E03A"/>
    <w:rsid w:val="350198BF"/>
    <w:rsid w:val="350ECF54"/>
    <w:rsid w:val="353BAA2B"/>
    <w:rsid w:val="35FA980E"/>
    <w:rsid w:val="360002EC"/>
    <w:rsid w:val="3634F5D3"/>
    <w:rsid w:val="36B318C4"/>
    <w:rsid w:val="36C5EA2F"/>
    <w:rsid w:val="36D49C6F"/>
    <w:rsid w:val="36EF1C70"/>
    <w:rsid w:val="3718031D"/>
    <w:rsid w:val="371D0404"/>
    <w:rsid w:val="3790D20B"/>
    <w:rsid w:val="37D57863"/>
    <w:rsid w:val="37D7983B"/>
    <w:rsid w:val="3821C57A"/>
    <w:rsid w:val="3822B619"/>
    <w:rsid w:val="3856C9DF"/>
    <w:rsid w:val="387800C3"/>
    <w:rsid w:val="387950EE"/>
    <w:rsid w:val="387A7B49"/>
    <w:rsid w:val="3882938B"/>
    <w:rsid w:val="38C15759"/>
    <w:rsid w:val="38C18B39"/>
    <w:rsid w:val="38C3BF20"/>
    <w:rsid w:val="38D7440B"/>
    <w:rsid w:val="38EA02E2"/>
    <w:rsid w:val="39609632"/>
    <w:rsid w:val="397E93CE"/>
    <w:rsid w:val="399F897D"/>
    <w:rsid w:val="39BEA41E"/>
    <w:rsid w:val="39F2F6D9"/>
    <w:rsid w:val="3A3DF4ED"/>
    <w:rsid w:val="3AA9FFA9"/>
    <w:rsid w:val="3AAB7DF9"/>
    <w:rsid w:val="3AB3A2EC"/>
    <w:rsid w:val="3AD42B93"/>
    <w:rsid w:val="3AF3020A"/>
    <w:rsid w:val="3B087B07"/>
    <w:rsid w:val="3B2DB204"/>
    <w:rsid w:val="3B3FFDA2"/>
    <w:rsid w:val="3B43FFE9"/>
    <w:rsid w:val="3BAF7AA3"/>
    <w:rsid w:val="3BC78D5D"/>
    <w:rsid w:val="3C267329"/>
    <w:rsid w:val="3CDE6F84"/>
    <w:rsid w:val="3D04A3D8"/>
    <w:rsid w:val="3D191FCC"/>
    <w:rsid w:val="3D23B154"/>
    <w:rsid w:val="3D2D3E89"/>
    <w:rsid w:val="3DA035F0"/>
    <w:rsid w:val="3DD3234A"/>
    <w:rsid w:val="3DFBB7FA"/>
    <w:rsid w:val="3F0D88A9"/>
    <w:rsid w:val="3F3C9F88"/>
    <w:rsid w:val="3F55463C"/>
    <w:rsid w:val="3FB03A82"/>
    <w:rsid w:val="3FCFD43C"/>
    <w:rsid w:val="3FD8D68F"/>
    <w:rsid w:val="40133C19"/>
    <w:rsid w:val="40309236"/>
    <w:rsid w:val="404C16CE"/>
    <w:rsid w:val="4053509D"/>
    <w:rsid w:val="40563EC2"/>
    <w:rsid w:val="40830745"/>
    <w:rsid w:val="40B510EE"/>
    <w:rsid w:val="40CD7A95"/>
    <w:rsid w:val="40F9CC41"/>
    <w:rsid w:val="411BDE1F"/>
    <w:rsid w:val="412D1D04"/>
    <w:rsid w:val="413125A4"/>
    <w:rsid w:val="4140D944"/>
    <w:rsid w:val="41772A12"/>
    <w:rsid w:val="417A3A8E"/>
    <w:rsid w:val="41ABC742"/>
    <w:rsid w:val="41D500A1"/>
    <w:rsid w:val="41E8B232"/>
    <w:rsid w:val="4225F451"/>
    <w:rsid w:val="42372477"/>
    <w:rsid w:val="4270706E"/>
    <w:rsid w:val="42980F17"/>
    <w:rsid w:val="429CCD11"/>
    <w:rsid w:val="42D0BE0E"/>
    <w:rsid w:val="4316EC80"/>
    <w:rsid w:val="4321F09B"/>
    <w:rsid w:val="43389CE7"/>
    <w:rsid w:val="438EF3A8"/>
    <w:rsid w:val="439DF29E"/>
    <w:rsid w:val="43E96A73"/>
    <w:rsid w:val="43ED35FA"/>
    <w:rsid w:val="444B9D4D"/>
    <w:rsid w:val="44685139"/>
    <w:rsid w:val="4486B30A"/>
    <w:rsid w:val="44C46524"/>
    <w:rsid w:val="45279FD0"/>
    <w:rsid w:val="453EE0AD"/>
    <w:rsid w:val="45811980"/>
    <w:rsid w:val="4587E341"/>
    <w:rsid w:val="458F56D2"/>
    <w:rsid w:val="45A2B89B"/>
    <w:rsid w:val="45BB0EA9"/>
    <w:rsid w:val="45BC75FB"/>
    <w:rsid w:val="45C76D38"/>
    <w:rsid w:val="45FB6C5E"/>
    <w:rsid w:val="46AD1CA5"/>
    <w:rsid w:val="46AFF16C"/>
    <w:rsid w:val="46BCD720"/>
    <w:rsid w:val="46DDA609"/>
    <w:rsid w:val="46FA22B2"/>
    <w:rsid w:val="46FA41B2"/>
    <w:rsid w:val="476F1670"/>
    <w:rsid w:val="478DDED2"/>
    <w:rsid w:val="47B2D859"/>
    <w:rsid w:val="47C2CE92"/>
    <w:rsid w:val="47DACC55"/>
    <w:rsid w:val="47ECE4C6"/>
    <w:rsid w:val="47EDAC98"/>
    <w:rsid w:val="4844A3F3"/>
    <w:rsid w:val="4870D2C4"/>
    <w:rsid w:val="488025EA"/>
    <w:rsid w:val="489E1C9A"/>
    <w:rsid w:val="48D94713"/>
    <w:rsid w:val="48DA297B"/>
    <w:rsid w:val="48E8BFE2"/>
    <w:rsid w:val="48FB0CC0"/>
    <w:rsid w:val="49161602"/>
    <w:rsid w:val="491BC25A"/>
    <w:rsid w:val="491D64A8"/>
    <w:rsid w:val="494DB50F"/>
    <w:rsid w:val="497193DF"/>
    <w:rsid w:val="49778534"/>
    <w:rsid w:val="49AACEB9"/>
    <w:rsid w:val="49FDE278"/>
    <w:rsid w:val="4A0B7B4F"/>
    <w:rsid w:val="4A1A1E0F"/>
    <w:rsid w:val="4A71174E"/>
    <w:rsid w:val="4B09FAF3"/>
    <w:rsid w:val="4B460631"/>
    <w:rsid w:val="4B4CF53B"/>
    <w:rsid w:val="4B5D5AD4"/>
    <w:rsid w:val="4B9D501D"/>
    <w:rsid w:val="4BDA810E"/>
    <w:rsid w:val="4BEC98C6"/>
    <w:rsid w:val="4BEFB8F1"/>
    <w:rsid w:val="4C00996D"/>
    <w:rsid w:val="4C0DEC02"/>
    <w:rsid w:val="4C27CC81"/>
    <w:rsid w:val="4C8C5D07"/>
    <w:rsid w:val="4C9B22AB"/>
    <w:rsid w:val="4CAF466D"/>
    <w:rsid w:val="4CE13387"/>
    <w:rsid w:val="4CE60E67"/>
    <w:rsid w:val="4D0415CC"/>
    <w:rsid w:val="4D595C0C"/>
    <w:rsid w:val="4D95A25C"/>
    <w:rsid w:val="4E1EF08B"/>
    <w:rsid w:val="4E3EACCE"/>
    <w:rsid w:val="4E6F6F8A"/>
    <w:rsid w:val="4E70A07C"/>
    <w:rsid w:val="4E774B98"/>
    <w:rsid w:val="4EC398C5"/>
    <w:rsid w:val="4EF916ED"/>
    <w:rsid w:val="4F715033"/>
    <w:rsid w:val="4F79A2EB"/>
    <w:rsid w:val="4F9265A6"/>
    <w:rsid w:val="507D3EF4"/>
    <w:rsid w:val="50AE091F"/>
    <w:rsid w:val="50B70786"/>
    <w:rsid w:val="50CFD9D8"/>
    <w:rsid w:val="50D417E2"/>
    <w:rsid w:val="50D9ED6E"/>
    <w:rsid w:val="50E3238D"/>
    <w:rsid w:val="51085BC2"/>
    <w:rsid w:val="51942538"/>
    <w:rsid w:val="51FD4381"/>
    <w:rsid w:val="523F4107"/>
    <w:rsid w:val="5248AAB1"/>
    <w:rsid w:val="528A5C2A"/>
    <w:rsid w:val="52B59DCC"/>
    <w:rsid w:val="5345896A"/>
    <w:rsid w:val="53CBB5AD"/>
    <w:rsid w:val="542437DC"/>
    <w:rsid w:val="5452E163"/>
    <w:rsid w:val="549896C1"/>
    <w:rsid w:val="549B0A74"/>
    <w:rsid w:val="549B8289"/>
    <w:rsid w:val="549F5B71"/>
    <w:rsid w:val="54D5D4FE"/>
    <w:rsid w:val="54DB0A95"/>
    <w:rsid w:val="54E4FF2C"/>
    <w:rsid w:val="553E059C"/>
    <w:rsid w:val="55444630"/>
    <w:rsid w:val="559F6B2E"/>
    <w:rsid w:val="55A91213"/>
    <w:rsid w:val="56260820"/>
    <w:rsid w:val="563041BB"/>
    <w:rsid w:val="567976B0"/>
    <w:rsid w:val="56A5C84D"/>
    <w:rsid w:val="56E7040E"/>
    <w:rsid w:val="5700C8D4"/>
    <w:rsid w:val="571FB726"/>
    <w:rsid w:val="577DBF4C"/>
    <w:rsid w:val="577FFC0D"/>
    <w:rsid w:val="57857DF1"/>
    <w:rsid w:val="579CB7C2"/>
    <w:rsid w:val="57A3FF44"/>
    <w:rsid w:val="57EE3234"/>
    <w:rsid w:val="580C81EE"/>
    <w:rsid w:val="585239DE"/>
    <w:rsid w:val="588CAD95"/>
    <w:rsid w:val="58A98D0A"/>
    <w:rsid w:val="58E63D54"/>
    <w:rsid w:val="5944BC9B"/>
    <w:rsid w:val="59485139"/>
    <w:rsid w:val="595F54C2"/>
    <w:rsid w:val="59867491"/>
    <w:rsid w:val="599E91B7"/>
    <w:rsid w:val="59F55FAE"/>
    <w:rsid w:val="5AD66C60"/>
    <w:rsid w:val="5AFB5AE9"/>
    <w:rsid w:val="5B2E77BC"/>
    <w:rsid w:val="5B2FC6E6"/>
    <w:rsid w:val="5B810AE0"/>
    <w:rsid w:val="5BAF6123"/>
    <w:rsid w:val="5BB16EF6"/>
    <w:rsid w:val="5BE52CB9"/>
    <w:rsid w:val="5C01FC55"/>
    <w:rsid w:val="5C40F98B"/>
    <w:rsid w:val="5C442DC2"/>
    <w:rsid w:val="5CDA6314"/>
    <w:rsid w:val="5D369BD7"/>
    <w:rsid w:val="5D53F242"/>
    <w:rsid w:val="5D59A168"/>
    <w:rsid w:val="5D7751E4"/>
    <w:rsid w:val="5D9CF20B"/>
    <w:rsid w:val="5DE3D85F"/>
    <w:rsid w:val="5DF7B081"/>
    <w:rsid w:val="5E01FC25"/>
    <w:rsid w:val="5E0F04E2"/>
    <w:rsid w:val="5E1ACE2E"/>
    <w:rsid w:val="5E49A6CD"/>
    <w:rsid w:val="5E8509C2"/>
    <w:rsid w:val="5ED63574"/>
    <w:rsid w:val="5F245A89"/>
    <w:rsid w:val="5F2ADA1E"/>
    <w:rsid w:val="5F4981F1"/>
    <w:rsid w:val="5F7E6603"/>
    <w:rsid w:val="5F7FFEB2"/>
    <w:rsid w:val="5FB2A407"/>
    <w:rsid w:val="5FCECB59"/>
    <w:rsid w:val="5FD636F3"/>
    <w:rsid w:val="5FE3C317"/>
    <w:rsid w:val="6025DCF4"/>
    <w:rsid w:val="606ED4CA"/>
    <w:rsid w:val="60819009"/>
    <w:rsid w:val="60DC0D9D"/>
    <w:rsid w:val="6140F289"/>
    <w:rsid w:val="61645E7C"/>
    <w:rsid w:val="616FCD0A"/>
    <w:rsid w:val="6187FEAF"/>
    <w:rsid w:val="618A9523"/>
    <w:rsid w:val="61B8B187"/>
    <w:rsid w:val="61C15D5F"/>
    <w:rsid w:val="61FBE324"/>
    <w:rsid w:val="62011A37"/>
    <w:rsid w:val="620921EC"/>
    <w:rsid w:val="62188548"/>
    <w:rsid w:val="624B1E46"/>
    <w:rsid w:val="6281CEBB"/>
    <w:rsid w:val="62A3EB2C"/>
    <w:rsid w:val="62DE4A21"/>
    <w:rsid w:val="63592D8B"/>
    <w:rsid w:val="63616A15"/>
    <w:rsid w:val="636380B8"/>
    <w:rsid w:val="636BD851"/>
    <w:rsid w:val="6376D9A8"/>
    <w:rsid w:val="63FD2E03"/>
    <w:rsid w:val="640F719D"/>
    <w:rsid w:val="642739BF"/>
    <w:rsid w:val="649D7E02"/>
    <w:rsid w:val="64A61BE5"/>
    <w:rsid w:val="64C7A4FF"/>
    <w:rsid w:val="64ED784F"/>
    <w:rsid w:val="64F04D02"/>
    <w:rsid w:val="6543BC0A"/>
    <w:rsid w:val="654FB2B3"/>
    <w:rsid w:val="656205EE"/>
    <w:rsid w:val="65711199"/>
    <w:rsid w:val="6580337C"/>
    <w:rsid w:val="6582088C"/>
    <w:rsid w:val="66306C9E"/>
    <w:rsid w:val="665371E2"/>
    <w:rsid w:val="666B4649"/>
    <w:rsid w:val="6678B4BA"/>
    <w:rsid w:val="66F903C6"/>
    <w:rsid w:val="674E47B9"/>
    <w:rsid w:val="674F0290"/>
    <w:rsid w:val="67637630"/>
    <w:rsid w:val="68043066"/>
    <w:rsid w:val="68792B47"/>
    <w:rsid w:val="68840AD4"/>
    <w:rsid w:val="6902D33A"/>
    <w:rsid w:val="691279DB"/>
    <w:rsid w:val="691CEC23"/>
    <w:rsid w:val="694E52F1"/>
    <w:rsid w:val="69770CA6"/>
    <w:rsid w:val="6986DA04"/>
    <w:rsid w:val="69DCF044"/>
    <w:rsid w:val="69E0853A"/>
    <w:rsid w:val="6A0F6E74"/>
    <w:rsid w:val="6A4BFDAA"/>
    <w:rsid w:val="6A722469"/>
    <w:rsid w:val="6A900BA8"/>
    <w:rsid w:val="6AC641D8"/>
    <w:rsid w:val="6AD379A9"/>
    <w:rsid w:val="6B4FE635"/>
    <w:rsid w:val="6B6591AD"/>
    <w:rsid w:val="6B6899F0"/>
    <w:rsid w:val="6BCABE7F"/>
    <w:rsid w:val="6C165D65"/>
    <w:rsid w:val="6C75360C"/>
    <w:rsid w:val="6CAC339A"/>
    <w:rsid w:val="6CCAC7C4"/>
    <w:rsid w:val="6CE99B72"/>
    <w:rsid w:val="6CF47CF9"/>
    <w:rsid w:val="6D0E5058"/>
    <w:rsid w:val="6D0F834C"/>
    <w:rsid w:val="6D34CCAD"/>
    <w:rsid w:val="6D416B79"/>
    <w:rsid w:val="6D64131F"/>
    <w:rsid w:val="6D88D521"/>
    <w:rsid w:val="6D981017"/>
    <w:rsid w:val="6DF98359"/>
    <w:rsid w:val="6E0AFDCB"/>
    <w:rsid w:val="6E2D4F65"/>
    <w:rsid w:val="6E32B262"/>
    <w:rsid w:val="6E592AA9"/>
    <w:rsid w:val="6E8F23AA"/>
    <w:rsid w:val="6EB3BBC2"/>
    <w:rsid w:val="6F0E0C19"/>
    <w:rsid w:val="6F9FBEE8"/>
    <w:rsid w:val="6FF5CDE9"/>
    <w:rsid w:val="70234BBA"/>
    <w:rsid w:val="702FA590"/>
    <w:rsid w:val="704903DC"/>
    <w:rsid w:val="70671570"/>
    <w:rsid w:val="706763C0"/>
    <w:rsid w:val="709FCD1A"/>
    <w:rsid w:val="70AAD420"/>
    <w:rsid w:val="70B27B36"/>
    <w:rsid w:val="70C99EF1"/>
    <w:rsid w:val="71204E47"/>
    <w:rsid w:val="7144631F"/>
    <w:rsid w:val="71A5A223"/>
    <w:rsid w:val="7245965B"/>
    <w:rsid w:val="7246BCAE"/>
    <w:rsid w:val="726CDB33"/>
    <w:rsid w:val="728B96DB"/>
    <w:rsid w:val="72A94440"/>
    <w:rsid w:val="72F683AF"/>
    <w:rsid w:val="73122418"/>
    <w:rsid w:val="73306D39"/>
    <w:rsid w:val="73398C18"/>
    <w:rsid w:val="7355ABC8"/>
    <w:rsid w:val="7361C43D"/>
    <w:rsid w:val="7372D0BC"/>
    <w:rsid w:val="73A847A9"/>
    <w:rsid w:val="73E79DDF"/>
    <w:rsid w:val="73EC21B6"/>
    <w:rsid w:val="745C6AA6"/>
    <w:rsid w:val="7469BCDF"/>
    <w:rsid w:val="74790E89"/>
    <w:rsid w:val="747E89C3"/>
    <w:rsid w:val="748091C9"/>
    <w:rsid w:val="749E4043"/>
    <w:rsid w:val="74BA0D86"/>
    <w:rsid w:val="74D6F48E"/>
    <w:rsid w:val="74E2D0E1"/>
    <w:rsid w:val="74E41D26"/>
    <w:rsid w:val="75211B94"/>
    <w:rsid w:val="753D092B"/>
    <w:rsid w:val="75769C29"/>
    <w:rsid w:val="75D09CB8"/>
    <w:rsid w:val="75E8BD83"/>
    <w:rsid w:val="75E957E0"/>
    <w:rsid w:val="75FCDEA2"/>
    <w:rsid w:val="7604FE1C"/>
    <w:rsid w:val="763CB00A"/>
    <w:rsid w:val="76422B87"/>
    <w:rsid w:val="7650F80D"/>
    <w:rsid w:val="76650F6D"/>
    <w:rsid w:val="76BBA1D1"/>
    <w:rsid w:val="76C96C37"/>
    <w:rsid w:val="76CEBEA7"/>
    <w:rsid w:val="76D26C46"/>
    <w:rsid w:val="76D92D0F"/>
    <w:rsid w:val="77026FBB"/>
    <w:rsid w:val="77296706"/>
    <w:rsid w:val="7748A4D4"/>
    <w:rsid w:val="776A0F39"/>
    <w:rsid w:val="77A8DC3A"/>
    <w:rsid w:val="77C5E297"/>
    <w:rsid w:val="7843D8D1"/>
    <w:rsid w:val="787E011C"/>
    <w:rsid w:val="78C5E513"/>
    <w:rsid w:val="796BBC93"/>
    <w:rsid w:val="799F0320"/>
    <w:rsid w:val="7A046C22"/>
    <w:rsid w:val="7A2472FE"/>
    <w:rsid w:val="7A7B8222"/>
    <w:rsid w:val="7AF4D739"/>
    <w:rsid w:val="7B298C73"/>
    <w:rsid w:val="7B354AAF"/>
    <w:rsid w:val="7B3ABCEC"/>
    <w:rsid w:val="7BD5CAA9"/>
    <w:rsid w:val="7C248EED"/>
    <w:rsid w:val="7C47108A"/>
    <w:rsid w:val="7C9305A2"/>
    <w:rsid w:val="7CAC18CC"/>
    <w:rsid w:val="7CD62EE7"/>
    <w:rsid w:val="7CEAFCAD"/>
    <w:rsid w:val="7CF49773"/>
    <w:rsid w:val="7D2A3395"/>
    <w:rsid w:val="7D7AE351"/>
    <w:rsid w:val="7D84F053"/>
    <w:rsid w:val="7DA46B6A"/>
    <w:rsid w:val="7DA8D8F3"/>
    <w:rsid w:val="7DCED261"/>
    <w:rsid w:val="7DDF222C"/>
    <w:rsid w:val="7DFB9697"/>
    <w:rsid w:val="7E69FA34"/>
    <w:rsid w:val="7E76D8B5"/>
    <w:rsid w:val="7E96A8BD"/>
    <w:rsid w:val="7EB67071"/>
    <w:rsid w:val="7EF802C9"/>
    <w:rsid w:val="7F2EDA5D"/>
    <w:rsid w:val="7F3D0E69"/>
    <w:rsid w:val="7F43EC82"/>
    <w:rsid w:val="7F5843AC"/>
    <w:rsid w:val="7F63668F"/>
    <w:rsid w:val="7F717AB5"/>
    <w:rsid w:val="7F7C8C5C"/>
    <w:rsid w:val="7FB02C2A"/>
    <w:rsid w:val="7FB8CFDF"/>
    <w:rsid w:val="7FD2E7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55D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FEF"/>
    <w:pPr>
      <w:spacing w:before="240" w:after="120" w:line="240" w:lineRule="auto"/>
      <w:outlineLvl w:val="0"/>
    </w:pPr>
    <w:rPr>
      <w:rFonts w:eastAsiaTheme="majorEastAsia" w:cstheme="minorHAnsi"/>
      <w:b/>
      <w:bCs/>
      <w:color w:val="2D3E7B"/>
      <w:sz w:val="36"/>
      <w:szCs w:val="36"/>
    </w:rPr>
  </w:style>
  <w:style w:type="paragraph" w:styleId="Heading2">
    <w:name w:val="heading 2"/>
    <w:next w:val="Normal"/>
    <w:link w:val="Heading2Char"/>
    <w:uiPriority w:val="9"/>
    <w:unhideWhenUsed/>
    <w:qFormat/>
    <w:rsid w:val="009C4EAF"/>
    <w:pPr>
      <w:spacing w:before="240" w:after="120" w:line="240" w:lineRule="auto"/>
      <w:outlineLvl w:val="1"/>
    </w:pPr>
    <w:rPr>
      <w:rFonts w:ascii="Calibri" w:eastAsiaTheme="majorEastAsia" w:hAnsi="Calibri" w:cstheme="majorBidi"/>
      <w:b/>
      <w:bCs/>
      <w:color w:val="2D3E7B"/>
      <w:sz w:val="24"/>
    </w:rPr>
  </w:style>
  <w:style w:type="paragraph" w:styleId="Heading3">
    <w:name w:val="heading 3"/>
    <w:basedOn w:val="Normal"/>
    <w:next w:val="Normal"/>
    <w:link w:val="Heading3Char"/>
    <w:uiPriority w:val="9"/>
    <w:unhideWhenUsed/>
    <w:qFormat/>
    <w:rsid w:val="00694EB9"/>
    <w:pPr>
      <w:keepNext/>
      <w:keepLines/>
      <w:spacing w:before="240" w:after="120"/>
      <w:outlineLvl w:val="2"/>
    </w:pPr>
    <w:rPr>
      <w:rFonts w:asciiTheme="majorHAnsi" w:eastAsiaTheme="majorEastAsia" w:hAnsiTheme="majorHAnsi" w:cstheme="majorBidi"/>
      <w:b/>
      <w:color w:val="2D3E7B"/>
      <w:szCs w:val="24"/>
    </w:rPr>
  </w:style>
  <w:style w:type="paragraph" w:styleId="Heading4">
    <w:name w:val="heading 4"/>
    <w:basedOn w:val="Normal"/>
    <w:next w:val="Normal"/>
    <w:link w:val="Heading4Char"/>
    <w:uiPriority w:val="9"/>
    <w:unhideWhenUsed/>
    <w:qFormat/>
    <w:rsid w:val="00852F07"/>
    <w:pPr>
      <w:keepNext/>
      <w:keepLines/>
      <w:spacing w:before="240" w:after="0"/>
      <w:outlineLvl w:val="3"/>
    </w:pPr>
    <w:rPr>
      <w:rFonts w:ascii="Calibri" w:eastAsiaTheme="majorEastAsia" w:hAnsi="Calibri" w:cstheme="majorBidi"/>
      <w:iCs/>
      <w:color w:val="1F3864"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List Paragraph - bullets,standard lewis,Numbered Para 1,Dot pt,No Spacing1,List Paragraph Char Char Char,Indicator Text,List Paragraph1,Bullet Points,Bullet (1st level),First level bullet point,Recommendation,B1,L"/>
    <w:basedOn w:val="Normal"/>
    <w:link w:val="ListParagraphChar"/>
    <w:uiPriority w:val="34"/>
    <w:qFormat/>
    <w:rsid w:val="0054068D"/>
    <w:pPr>
      <w:ind w:left="720"/>
      <w:contextualSpacing/>
    </w:pPr>
  </w:style>
  <w:style w:type="paragraph" w:styleId="Header">
    <w:name w:val="header"/>
    <w:basedOn w:val="Normal"/>
    <w:link w:val="HeaderChar"/>
    <w:uiPriority w:val="99"/>
    <w:unhideWhenUsed/>
    <w:rsid w:val="00016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059"/>
  </w:style>
  <w:style w:type="paragraph" w:styleId="Footer">
    <w:name w:val="footer"/>
    <w:basedOn w:val="Normal"/>
    <w:link w:val="FooterChar"/>
    <w:uiPriority w:val="99"/>
    <w:unhideWhenUsed/>
    <w:rsid w:val="00016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059"/>
  </w:style>
  <w:style w:type="paragraph" w:styleId="Title">
    <w:name w:val="Title"/>
    <w:basedOn w:val="Normal"/>
    <w:next w:val="Normal"/>
    <w:link w:val="TitleChar"/>
    <w:autoRedefine/>
    <w:uiPriority w:val="10"/>
    <w:qFormat/>
    <w:rsid w:val="005F0FEF"/>
    <w:pPr>
      <w:spacing w:before="1800" w:after="120" w:line="240" w:lineRule="auto"/>
      <w:contextualSpacing/>
    </w:pPr>
    <w:rPr>
      <w:rFonts w:ascii="Calibri" w:eastAsiaTheme="majorEastAsia" w:hAnsi="Calibri" w:cs="Calibri"/>
      <w:color w:val="1F3864" w:themeColor="accent5" w:themeShade="80"/>
      <w:spacing w:val="5"/>
      <w:sz w:val="60"/>
      <w:szCs w:val="60"/>
    </w:rPr>
  </w:style>
  <w:style w:type="character" w:customStyle="1" w:styleId="TitleChar">
    <w:name w:val="Title Char"/>
    <w:basedOn w:val="DefaultParagraphFont"/>
    <w:link w:val="Title"/>
    <w:uiPriority w:val="10"/>
    <w:rsid w:val="005F0FEF"/>
    <w:rPr>
      <w:rFonts w:ascii="Calibri" w:eastAsiaTheme="majorEastAsia" w:hAnsi="Calibri" w:cs="Calibri"/>
      <w:color w:val="1F3864" w:themeColor="accent5" w:themeShade="80"/>
      <w:spacing w:val="5"/>
      <w:sz w:val="60"/>
      <w:szCs w:val="60"/>
    </w:rPr>
  </w:style>
  <w:style w:type="character" w:customStyle="1" w:styleId="Heading1Char">
    <w:name w:val="Heading 1 Char"/>
    <w:basedOn w:val="DefaultParagraphFont"/>
    <w:link w:val="Heading1"/>
    <w:uiPriority w:val="9"/>
    <w:rsid w:val="005F0FEF"/>
    <w:rPr>
      <w:rFonts w:eastAsiaTheme="majorEastAsia" w:cstheme="minorHAnsi"/>
      <w:b/>
      <w:bCs/>
      <w:color w:val="2D3E7B"/>
      <w:sz w:val="36"/>
      <w:szCs w:val="36"/>
    </w:rPr>
  </w:style>
  <w:style w:type="character" w:customStyle="1" w:styleId="Heading2Char">
    <w:name w:val="Heading 2 Char"/>
    <w:basedOn w:val="DefaultParagraphFont"/>
    <w:link w:val="Heading2"/>
    <w:uiPriority w:val="9"/>
    <w:rsid w:val="009C4EAF"/>
    <w:rPr>
      <w:rFonts w:ascii="Calibri" w:eastAsiaTheme="majorEastAsia" w:hAnsi="Calibri" w:cstheme="majorBidi"/>
      <w:b/>
      <w:bCs/>
      <w:color w:val="2D3E7B"/>
      <w:sz w:val="24"/>
    </w:rPr>
  </w:style>
  <w:style w:type="character" w:customStyle="1" w:styleId="Heading3Char">
    <w:name w:val="Heading 3 Char"/>
    <w:basedOn w:val="DefaultParagraphFont"/>
    <w:link w:val="Heading3"/>
    <w:uiPriority w:val="9"/>
    <w:rsid w:val="00694EB9"/>
    <w:rPr>
      <w:rFonts w:asciiTheme="majorHAnsi" w:eastAsiaTheme="majorEastAsia" w:hAnsiTheme="majorHAnsi" w:cstheme="majorBidi"/>
      <w:b/>
      <w:color w:val="2D3E7B"/>
      <w:szCs w:val="24"/>
    </w:rPr>
  </w:style>
  <w:style w:type="paragraph" w:styleId="TOCHeading">
    <w:name w:val="TOC Heading"/>
    <w:basedOn w:val="Heading1"/>
    <w:next w:val="Normal"/>
    <w:uiPriority w:val="39"/>
    <w:unhideWhenUsed/>
    <w:qFormat/>
    <w:rsid w:val="005F0FEF"/>
    <w:pPr>
      <w:keepNext/>
      <w:keepLines/>
      <w:spacing w:line="259" w:lineRule="auto"/>
      <w:outlineLvl w:val="9"/>
    </w:pPr>
  </w:style>
  <w:style w:type="paragraph" w:styleId="TOC1">
    <w:name w:val="toc 1"/>
    <w:basedOn w:val="Normal"/>
    <w:next w:val="Normal"/>
    <w:autoRedefine/>
    <w:uiPriority w:val="39"/>
    <w:unhideWhenUsed/>
    <w:rsid w:val="00655B10"/>
    <w:pPr>
      <w:spacing w:after="100"/>
    </w:pPr>
  </w:style>
  <w:style w:type="paragraph" w:styleId="TOC2">
    <w:name w:val="toc 2"/>
    <w:basedOn w:val="Normal"/>
    <w:next w:val="Normal"/>
    <w:autoRedefine/>
    <w:uiPriority w:val="39"/>
    <w:unhideWhenUsed/>
    <w:rsid w:val="00655B10"/>
    <w:pPr>
      <w:spacing w:after="100"/>
      <w:ind w:left="220"/>
    </w:pPr>
  </w:style>
  <w:style w:type="character" w:styleId="Hyperlink">
    <w:name w:val="Hyperlink"/>
    <w:basedOn w:val="DefaultParagraphFont"/>
    <w:uiPriority w:val="99"/>
    <w:unhideWhenUsed/>
    <w:rsid w:val="00655B10"/>
    <w:rPr>
      <w:color w:val="0563C1" w:themeColor="hyperlink"/>
      <w:u w:val="single"/>
    </w:rPr>
  </w:style>
  <w:style w:type="paragraph" w:styleId="FootnoteText">
    <w:name w:val="footnote text"/>
    <w:aliases w:val="Footnote Text Char1 Char,Footnote Text Char Char1 Char,Footnote Text Char Char Char Char Char1,Footnote Text Char Char Char,Footnote Text Char Char Char Char"/>
    <w:basedOn w:val="Normal"/>
    <w:link w:val="FootnoteTextChar"/>
    <w:uiPriority w:val="99"/>
    <w:unhideWhenUsed/>
    <w:rsid w:val="00655B10"/>
    <w:pPr>
      <w:spacing w:before="120" w:after="0" w:line="240" w:lineRule="auto"/>
    </w:pPr>
    <w:rPr>
      <w:rFonts w:eastAsiaTheme="minorEastAsia"/>
      <w:sz w:val="20"/>
      <w:szCs w:val="20"/>
    </w:rPr>
  </w:style>
  <w:style w:type="character" w:customStyle="1" w:styleId="FootnoteTextChar">
    <w:name w:val="Footnote Text Char"/>
    <w:aliases w:val="Footnote Text Char1 Char Char,Footnote Text Char Char1 Char Char,Footnote Text Char Char Char Char Char1 Char,Footnote Text Char Char Char Char1,Footnote Text Char Char Char Char Char"/>
    <w:basedOn w:val="DefaultParagraphFont"/>
    <w:link w:val="FootnoteText"/>
    <w:uiPriority w:val="99"/>
    <w:rsid w:val="00655B10"/>
    <w:rPr>
      <w:rFonts w:eastAsiaTheme="minorEastAsia"/>
      <w:sz w:val="20"/>
      <w:szCs w:val="20"/>
    </w:rPr>
  </w:style>
  <w:style w:type="character" w:styleId="FootnoteReference">
    <w:name w:val="footnote reference"/>
    <w:basedOn w:val="DefaultParagraphFont"/>
    <w:uiPriority w:val="99"/>
    <w:unhideWhenUsed/>
    <w:rsid w:val="00655B10"/>
    <w:rPr>
      <w:vertAlign w:val="superscript"/>
    </w:rPr>
  </w:style>
  <w:style w:type="paragraph" w:customStyle="1" w:styleId="Default">
    <w:name w:val="Default"/>
    <w:rsid w:val="00DB4212"/>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FollowedHyperlink">
    <w:name w:val="FollowedHyperlink"/>
    <w:basedOn w:val="DefaultParagraphFont"/>
    <w:uiPriority w:val="99"/>
    <w:semiHidden/>
    <w:unhideWhenUsed/>
    <w:rsid w:val="00D21D0C"/>
    <w:rPr>
      <w:color w:val="954F72" w:themeColor="followedHyperlink"/>
      <w:u w:val="single"/>
    </w:rPr>
  </w:style>
  <w:style w:type="character" w:styleId="CommentReference">
    <w:name w:val="annotation reference"/>
    <w:basedOn w:val="DefaultParagraphFont"/>
    <w:uiPriority w:val="99"/>
    <w:semiHidden/>
    <w:unhideWhenUsed/>
    <w:rsid w:val="007B7AA7"/>
    <w:rPr>
      <w:sz w:val="16"/>
      <w:szCs w:val="16"/>
    </w:rPr>
  </w:style>
  <w:style w:type="paragraph" w:styleId="CommentText">
    <w:name w:val="annotation text"/>
    <w:basedOn w:val="Normal"/>
    <w:link w:val="CommentTextChar"/>
    <w:uiPriority w:val="99"/>
    <w:unhideWhenUsed/>
    <w:rsid w:val="007B7AA7"/>
    <w:pPr>
      <w:spacing w:line="240" w:lineRule="auto"/>
    </w:pPr>
    <w:rPr>
      <w:sz w:val="20"/>
      <w:szCs w:val="20"/>
    </w:rPr>
  </w:style>
  <w:style w:type="character" w:customStyle="1" w:styleId="CommentTextChar">
    <w:name w:val="Comment Text Char"/>
    <w:basedOn w:val="DefaultParagraphFont"/>
    <w:link w:val="CommentText"/>
    <w:uiPriority w:val="99"/>
    <w:rsid w:val="007B7AA7"/>
    <w:rPr>
      <w:sz w:val="20"/>
      <w:szCs w:val="20"/>
    </w:rPr>
  </w:style>
  <w:style w:type="paragraph" w:styleId="CommentSubject">
    <w:name w:val="annotation subject"/>
    <w:basedOn w:val="CommentText"/>
    <w:next w:val="CommentText"/>
    <w:link w:val="CommentSubjectChar"/>
    <w:uiPriority w:val="99"/>
    <w:semiHidden/>
    <w:unhideWhenUsed/>
    <w:rsid w:val="007B7AA7"/>
    <w:rPr>
      <w:b/>
      <w:bCs/>
    </w:rPr>
  </w:style>
  <w:style w:type="character" w:customStyle="1" w:styleId="CommentSubjectChar">
    <w:name w:val="Comment Subject Char"/>
    <w:basedOn w:val="CommentTextChar"/>
    <w:link w:val="CommentSubject"/>
    <w:uiPriority w:val="99"/>
    <w:semiHidden/>
    <w:rsid w:val="007B7AA7"/>
    <w:rPr>
      <w:b/>
      <w:bCs/>
      <w:sz w:val="20"/>
      <w:szCs w:val="20"/>
    </w:rPr>
  </w:style>
  <w:style w:type="paragraph" w:styleId="BalloonText">
    <w:name w:val="Balloon Text"/>
    <w:basedOn w:val="Normal"/>
    <w:link w:val="BalloonTextChar"/>
    <w:uiPriority w:val="99"/>
    <w:semiHidden/>
    <w:unhideWhenUsed/>
    <w:rsid w:val="007B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A7"/>
    <w:rPr>
      <w:rFonts w:ascii="Segoe UI" w:hAnsi="Segoe UI" w:cs="Segoe UI"/>
      <w:sz w:val="18"/>
      <w:szCs w:val="18"/>
    </w:rPr>
  </w:style>
  <w:style w:type="paragraph" w:styleId="NormalWeb">
    <w:name w:val="Normal (Web)"/>
    <w:basedOn w:val="Normal"/>
    <w:uiPriority w:val="99"/>
    <w:semiHidden/>
    <w:unhideWhenUsed/>
    <w:rsid w:val="00657E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exicon-term">
    <w:name w:val="lexicon-term"/>
    <w:basedOn w:val="DefaultParagraphFont"/>
    <w:rsid w:val="00657E0A"/>
  </w:style>
  <w:style w:type="table" w:styleId="TableGrid">
    <w:name w:val="Table Grid"/>
    <w:basedOn w:val="TableNormal"/>
    <w:uiPriority w:val="99"/>
    <w:rsid w:val="0051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6DAC"/>
    <w:rPr>
      <w:b/>
      <w:bCs/>
    </w:rPr>
  </w:style>
  <w:style w:type="paragraph" w:styleId="Revision">
    <w:name w:val="Revision"/>
    <w:hidden/>
    <w:uiPriority w:val="99"/>
    <w:semiHidden/>
    <w:rsid w:val="007022CD"/>
    <w:pPr>
      <w:spacing w:after="0" w:line="240" w:lineRule="auto"/>
    </w:pPr>
  </w:style>
  <w:style w:type="paragraph" w:customStyle="1" w:styleId="CGCBulletlist">
    <w:name w:val="CGC Bullet list"/>
    <w:aliases w:val="CGC List 1"/>
    <w:basedOn w:val="Normal"/>
    <w:link w:val="CGCBulletlistCharChar"/>
    <w:rsid w:val="00E31C63"/>
    <w:pPr>
      <w:numPr>
        <w:numId w:val="1"/>
      </w:numPr>
      <w:tabs>
        <w:tab w:val="left" w:pos="1134"/>
      </w:tabs>
      <w:spacing w:before="80" w:after="80" w:line="300" w:lineRule="atLeast"/>
    </w:pPr>
    <w:rPr>
      <w:sz w:val="24"/>
      <w:szCs w:val="20"/>
    </w:rPr>
  </w:style>
  <w:style w:type="paragraph" w:customStyle="1" w:styleId="CGCSubbulletlist">
    <w:name w:val="CGC Sub bullet list"/>
    <w:aliases w:val="CGC List 2"/>
    <w:basedOn w:val="Normal"/>
    <w:rsid w:val="00E31C63"/>
    <w:pPr>
      <w:numPr>
        <w:numId w:val="2"/>
      </w:numPr>
      <w:tabs>
        <w:tab w:val="left" w:pos="1701"/>
      </w:tabs>
      <w:spacing w:after="80" w:line="300" w:lineRule="atLeast"/>
    </w:pPr>
    <w:rPr>
      <w:sz w:val="24"/>
      <w:szCs w:val="20"/>
    </w:rPr>
  </w:style>
  <w:style w:type="character" w:customStyle="1" w:styleId="CGCBulletlistCharChar">
    <w:name w:val="CGC Bullet list Char Char"/>
    <w:basedOn w:val="DefaultParagraphFont"/>
    <w:link w:val="CGCBulletlist"/>
    <w:rsid w:val="00E31C63"/>
    <w:rPr>
      <w:sz w:val="24"/>
      <w:szCs w:val="20"/>
    </w:rPr>
  </w:style>
  <w:style w:type="character" w:styleId="PlaceholderText">
    <w:name w:val="Placeholder Text"/>
    <w:basedOn w:val="DefaultParagraphFont"/>
    <w:uiPriority w:val="99"/>
    <w:semiHidden/>
    <w:rsid w:val="00AD03E1"/>
    <w:rPr>
      <w:color w:val="808080"/>
    </w:rPr>
  </w:style>
  <w:style w:type="character" w:customStyle="1" w:styleId="UnresolvedMention1">
    <w:name w:val="Unresolved Mention1"/>
    <w:basedOn w:val="DefaultParagraphFont"/>
    <w:uiPriority w:val="99"/>
    <w:unhideWhenUsed/>
    <w:rsid w:val="002B3984"/>
    <w:rPr>
      <w:color w:val="605E5C"/>
      <w:shd w:val="clear" w:color="auto" w:fill="E1DFDD"/>
    </w:rPr>
  </w:style>
  <w:style w:type="character" w:customStyle="1" w:styleId="Mention1">
    <w:name w:val="Mention1"/>
    <w:basedOn w:val="DefaultParagraphFont"/>
    <w:uiPriority w:val="99"/>
    <w:unhideWhenUsed/>
    <w:rsid w:val="002B3984"/>
    <w:rPr>
      <w:color w:val="2B579A"/>
      <w:shd w:val="clear" w:color="auto" w:fill="E1DFDD"/>
    </w:rPr>
  </w:style>
  <w:style w:type="character" w:styleId="Emphasis">
    <w:name w:val="Emphasis"/>
    <w:basedOn w:val="DefaultParagraphFont"/>
    <w:uiPriority w:val="20"/>
    <w:qFormat/>
    <w:rsid w:val="00C36EC6"/>
    <w:rPr>
      <w:b w:val="0"/>
      <w:i/>
      <w:iCs/>
    </w:rPr>
  </w:style>
  <w:style w:type="paragraph" w:customStyle="1" w:styleId="Copyright">
    <w:name w:val="Copyright"/>
    <w:basedOn w:val="Normal"/>
    <w:qFormat/>
    <w:rsid w:val="00C36EC6"/>
    <w:pPr>
      <w:spacing w:before="120" w:after="120" w:line="240" w:lineRule="auto"/>
    </w:pPr>
    <w:rPr>
      <w:rFonts w:ascii="Calibri" w:hAnsi="Calibri"/>
      <w:sz w:val="20"/>
    </w:rPr>
  </w:style>
  <w:style w:type="paragraph" w:customStyle="1" w:styleId="Copyright-Indent">
    <w:name w:val="Copyright - Indent"/>
    <w:basedOn w:val="Copyright"/>
    <w:qFormat/>
    <w:rsid w:val="00C36EC6"/>
    <w:pPr>
      <w:ind w:left="595"/>
    </w:pPr>
  </w:style>
  <w:style w:type="paragraph" w:customStyle="1" w:styleId="StyleCopyrightBefore66pt">
    <w:name w:val="Style Copyright + Before:  66 pt"/>
    <w:basedOn w:val="Copyright"/>
    <w:rsid w:val="00C36EC6"/>
    <w:pPr>
      <w:spacing w:before="1080"/>
    </w:pPr>
    <w:rPr>
      <w:rFonts w:eastAsia="Times New Roman" w:cs="Times New Roman"/>
      <w:szCs w:val="20"/>
    </w:rPr>
  </w:style>
  <w:style w:type="paragraph" w:customStyle="1" w:styleId="subsectionhead">
    <w:name w:val="subsectionhead"/>
    <w:basedOn w:val="Normal"/>
    <w:rsid w:val="00343D7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343D7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8A39D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Subtitle">
    <w:name w:val="Subtitle"/>
    <w:basedOn w:val="Normal"/>
    <w:next w:val="Normal"/>
    <w:link w:val="SubtitleChar"/>
    <w:uiPriority w:val="11"/>
    <w:qFormat/>
    <w:rsid w:val="005F0FEF"/>
    <w:pPr>
      <w:numPr>
        <w:ilvl w:val="1"/>
      </w:numPr>
      <w:spacing w:before="1440"/>
    </w:pPr>
    <w:rPr>
      <w:rFonts w:eastAsiaTheme="minorEastAsia"/>
      <w:b/>
      <w:bCs/>
      <w:color w:val="1F3864" w:themeColor="accent5" w:themeShade="80"/>
      <w:spacing w:val="15"/>
      <w:sz w:val="44"/>
      <w:szCs w:val="44"/>
    </w:rPr>
  </w:style>
  <w:style w:type="character" w:customStyle="1" w:styleId="SubtitleChar">
    <w:name w:val="Subtitle Char"/>
    <w:basedOn w:val="DefaultParagraphFont"/>
    <w:link w:val="Subtitle"/>
    <w:uiPriority w:val="11"/>
    <w:rsid w:val="005F0FEF"/>
    <w:rPr>
      <w:rFonts w:eastAsiaTheme="minorEastAsia"/>
      <w:b/>
      <w:bCs/>
      <w:color w:val="1F3864" w:themeColor="accent5" w:themeShade="80"/>
      <w:spacing w:val="15"/>
      <w:sz w:val="44"/>
      <w:szCs w:val="44"/>
    </w:rPr>
  </w:style>
  <w:style w:type="paragraph" w:styleId="Caption">
    <w:name w:val="caption"/>
    <w:basedOn w:val="Normal"/>
    <w:next w:val="Normal"/>
    <w:uiPriority w:val="35"/>
    <w:unhideWhenUsed/>
    <w:qFormat/>
    <w:rsid w:val="005F0FEF"/>
    <w:pPr>
      <w:spacing w:after="120" w:line="240" w:lineRule="auto"/>
    </w:pPr>
    <w:rPr>
      <w:b/>
      <w:iCs/>
      <w:szCs w:val="18"/>
    </w:rPr>
  </w:style>
  <w:style w:type="paragraph" w:styleId="Quote">
    <w:name w:val="Quote"/>
    <w:basedOn w:val="Normal"/>
    <w:next w:val="Normal"/>
    <w:link w:val="QuoteChar"/>
    <w:uiPriority w:val="29"/>
    <w:qFormat/>
    <w:rsid w:val="00E26DEC"/>
    <w:pPr>
      <w:ind w:left="567" w:right="804"/>
    </w:pPr>
    <w:rPr>
      <w:rFonts w:ascii="Calibri" w:eastAsia="Calibri" w:hAnsi="Calibri" w:cs="Calibri"/>
      <w:color w:val="4472C4" w:themeColor="accent5"/>
    </w:rPr>
  </w:style>
  <w:style w:type="character" w:customStyle="1" w:styleId="QuoteChar">
    <w:name w:val="Quote Char"/>
    <w:basedOn w:val="DefaultParagraphFont"/>
    <w:link w:val="Quote"/>
    <w:uiPriority w:val="29"/>
    <w:rsid w:val="00E26DEC"/>
    <w:rPr>
      <w:rFonts w:ascii="Calibri" w:eastAsia="Calibri" w:hAnsi="Calibri" w:cs="Calibri"/>
      <w:color w:val="4472C4" w:themeColor="accent5"/>
    </w:rPr>
  </w:style>
  <w:style w:type="character" w:customStyle="1" w:styleId="Heading4Char">
    <w:name w:val="Heading 4 Char"/>
    <w:basedOn w:val="DefaultParagraphFont"/>
    <w:link w:val="Heading4"/>
    <w:uiPriority w:val="9"/>
    <w:rsid w:val="00852F07"/>
    <w:rPr>
      <w:rFonts w:ascii="Calibri" w:eastAsiaTheme="majorEastAsia" w:hAnsi="Calibri" w:cstheme="majorBidi"/>
      <w:iCs/>
      <w:color w:val="1F3864" w:themeColor="accent5" w:themeShade="80"/>
    </w:rPr>
  </w:style>
  <w:style w:type="table" w:customStyle="1" w:styleId="DESE">
    <w:name w:val="DESE"/>
    <w:basedOn w:val="TableNormal"/>
    <w:uiPriority w:val="99"/>
    <w:rsid w:val="00126A33"/>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TOC3">
    <w:name w:val="toc 3"/>
    <w:basedOn w:val="Normal"/>
    <w:next w:val="Normal"/>
    <w:autoRedefine/>
    <w:uiPriority w:val="39"/>
    <w:unhideWhenUsed/>
    <w:rsid w:val="002060BD"/>
    <w:pPr>
      <w:spacing w:after="100"/>
      <w:ind w:left="440"/>
    </w:pPr>
  </w:style>
  <w:style w:type="character" w:styleId="UnresolvedMention">
    <w:name w:val="Unresolved Mention"/>
    <w:basedOn w:val="DefaultParagraphFont"/>
    <w:uiPriority w:val="99"/>
    <w:semiHidden/>
    <w:unhideWhenUsed/>
    <w:rsid w:val="002060BD"/>
    <w:rPr>
      <w:color w:val="605E5C"/>
      <w:shd w:val="clear" w:color="auto" w:fill="E1DFDD"/>
    </w:rPr>
  </w:style>
  <w:style w:type="paragraph" w:customStyle="1" w:styleId="Style1">
    <w:name w:val="Style1"/>
    <w:basedOn w:val="Heading2"/>
    <w:qFormat/>
    <w:rsid w:val="005206C3"/>
  </w:style>
  <w:style w:type="paragraph" w:customStyle="1" w:styleId="Style2">
    <w:name w:val="Style2"/>
    <w:basedOn w:val="Heading3"/>
    <w:qFormat/>
    <w:rsid w:val="005206C3"/>
  </w:style>
  <w:style w:type="paragraph" w:customStyle="1" w:styleId="Style3">
    <w:name w:val="Style3"/>
    <w:basedOn w:val="Heading3"/>
    <w:qFormat/>
    <w:rsid w:val="00694EB9"/>
  </w:style>
  <w:style w:type="paragraph" w:customStyle="1" w:styleId="Style4">
    <w:name w:val="Style4"/>
    <w:basedOn w:val="Heading3"/>
    <w:qFormat/>
    <w:rsid w:val="00694EB9"/>
    <w:pPr>
      <w:spacing w:line="240" w:lineRule="auto"/>
    </w:pPr>
  </w:style>
  <w:style w:type="paragraph" w:customStyle="1" w:styleId="Copyright-Largebefore">
    <w:name w:val="Copyright - Large before"/>
    <w:basedOn w:val="Normal"/>
    <w:qFormat/>
    <w:rsid w:val="0076602E"/>
    <w:pPr>
      <w:spacing w:before="1080" w:after="120" w:line="240" w:lineRule="auto"/>
    </w:pPr>
    <w:rPr>
      <w:rFonts w:ascii="CIDFont+F1" w:eastAsia="Times New Roman" w:hAnsi="CIDFont+F1" w:cs="Times New Roman"/>
      <w:sz w:val="20"/>
      <w:szCs w:val="20"/>
    </w:rPr>
  </w:style>
  <w:style w:type="paragraph" w:customStyle="1" w:styleId="paragraph">
    <w:name w:val="paragraph"/>
    <w:basedOn w:val="Normal"/>
    <w:rsid w:val="007E08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E0855"/>
  </w:style>
  <w:style w:type="character" w:customStyle="1" w:styleId="eop">
    <w:name w:val="eop"/>
    <w:basedOn w:val="DefaultParagraphFont"/>
    <w:rsid w:val="007E0855"/>
  </w:style>
  <w:style w:type="character" w:customStyle="1" w:styleId="ListParagraphChar">
    <w:name w:val="List Paragraph Char"/>
    <w:aliases w:val="Use Case List Paragraph Char,List Paragraph - bullets Char,standard lewis Char,Numbered Para 1 Char,Dot pt Char,No Spacing1 Char,List Paragraph Char Char Char Char,Indicator Text Char,List Paragraph1 Char,Bullet Points Char,B1 Char"/>
    <w:basedOn w:val="DefaultParagraphFont"/>
    <w:link w:val="ListParagraph"/>
    <w:uiPriority w:val="34"/>
    <w:qFormat/>
    <w:rsid w:val="00412B13"/>
  </w:style>
  <w:style w:type="paragraph" w:styleId="ListBullet">
    <w:name w:val="List Bullet"/>
    <w:basedOn w:val="Normal"/>
    <w:uiPriority w:val="3"/>
    <w:qFormat/>
    <w:rsid w:val="007F6DFA"/>
    <w:pPr>
      <w:numPr>
        <w:numId w:val="7"/>
      </w:numPr>
      <w:spacing w:after="0" w:line="240" w:lineRule="atLeast"/>
      <w:contextualSpacing/>
    </w:pPr>
    <w:rPr>
      <w:rFonts w:ascii="Verdana" w:hAnsi="Verdana"/>
      <w:sz w:val="18"/>
      <w:szCs w:val="17"/>
    </w:rPr>
  </w:style>
  <w:style w:type="paragraph" w:customStyle="1" w:styleId="Heading2un-numbered">
    <w:name w:val="Heading 2 (un-numbered)"/>
    <w:basedOn w:val="Heading2"/>
    <w:next w:val="Normal"/>
    <w:uiPriority w:val="2"/>
    <w:qFormat/>
    <w:rsid w:val="007F6DFA"/>
    <w:pPr>
      <w:keepNext/>
      <w:keepLines/>
      <w:spacing w:after="170" w:line="280" w:lineRule="atLeast"/>
    </w:pPr>
    <w:rPr>
      <w:rFonts w:ascii="Verdana" w:hAnsi="Verdana"/>
      <w:color w:val="A5A5A5" w:themeColor="accent3"/>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877">
      <w:bodyDiv w:val="1"/>
      <w:marLeft w:val="0"/>
      <w:marRight w:val="0"/>
      <w:marTop w:val="0"/>
      <w:marBottom w:val="0"/>
      <w:divBdr>
        <w:top w:val="none" w:sz="0" w:space="0" w:color="auto"/>
        <w:left w:val="none" w:sz="0" w:space="0" w:color="auto"/>
        <w:bottom w:val="none" w:sz="0" w:space="0" w:color="auto"/>
        <w:right w:val="none" w:sz="0" w:space="0" w:color="auto"/>
      </w:divBdr>
    </w:div>
    <w:div w:id="384914705">
      <w:bodyDiv w:val="1"/>
      <w:marLeft w:val="0"/>
      <w:marRight w:val="0"/>
      <w:marTop w:val="0"/>
      <w:marBottom w:val="0"/>
      <w:divBdr>
        <w:top w:val="none" w:sz="0" w:space="0" w:color="auto"/>
        <w:left w:val="none" w:sz="0" w:space="0" w:color="auto"/>
        <w:bottom w:val="none" w:sz="0" w:space="0" w:color="auto"/>
        <w:right w:val="none" w:sz="0" w:space="0" w:color="auto"/>
      </w:divBdr>
    </w:div>
    <w:div w:id="404765931">
      <w:bodyDiv w:val="1"/>
      <w:marLeft w:val="0"/>
      <w:marRight w:val="0"/>
      <w:marTop w:val="0"/>
      <w:marBottom w:val="0"/>
      <w:divBdr>
        <w:top w:val="none" w:sz="0" w:space="0" w:color="auto"/>
        <w:left w:val="none" w:sz="0" w:space="0" w:color="auto"/>
        <w:bottom w:val="none" w:sz="0" w:space="0" w:color="auto"/>
        <w:right w:val="none" w:sz="0" w:space="0" w:color="auto"/>
      </w:divBdr>
    </w:div>
    <w:div w:id="799960790">
      <w:bodyDiv w:val="1"/>
      <w:marLeft w:val="0"/>
      <w:marRight w:val="0"/>
      <w:marTop w:val="0"/>
      <w:marBottom w:val="0"/>
      <w:divBdr>
        <w:top w:val="none" w:sz="0" w:space="0" w:color="auto"/>
        <w:left w:val="none" w:sz="0" w:space="0" w:color="auto"/>
        <w:bottom w:val="none" w:sz="0" w:space="0" w:color="auto"/>
        <w:right w:val="none" w:sz="0" w:space="0" w:color="auto"/>
      </w:divBdr>
    </w:div>
    <w:div w:id="1087068811">
      <w:bodyDiv w:val="1"/>
      <w:marLeft w:val="0"/>
      <w:marRight w:val="0"/>
      <w:marTop w:val="0"/>
      <w:marBottom w:val="0"/>
      <w:divBdr>
        <w:top w:val="none" w:sz="0" w:space="0" w:color="auto"/>
        <w:left w:val="none" w:sz="0" w:space="0" w:color="auto"/>
        <w:bottom w:val="none" w:sz="0" w:space="0" w:color="auto"/>
        <w:right w:val="none" w:sz="0" w:space="0" w:color="auto"/>
      </w:divBdr>
    </w:div>
    <w:div w:id="1330448446">
      <w:bodyDiv w:val="1"/>
      <w:marLeft w:val="0"/>
      <w:marRight w:val="0"/>
      <w:marTop w:val="0"/>
      <w:marBottom w:val="0"/>
      <w:divBdr>
        <w:top w:val="none" w:sz="0" w:space="0" w:color="auto"/>
        <w:left w:val="none" w:sz="0" w:space="0" w:color="auto"/>
        <w:bottom w:val="none" w:sz="0" w:space="0" w:color="auto"/>
        <w:right w:val="none" w:sz="0" w:space="0" w:color="auto"/>
      </w:divBdr>
    </w:div>
    <w:div w:id="1394812412">
      <w:bodyDiv w:val="1"/>
      <w:marLeft w:val="0"/>
      <w:marRight w:val="0"/>
      <w:marTop w:val="0"/>
      <w:marBottom w:val="0"/>
      <w:divBdr>
        <w:top w:val="none" w:sz="0" w:space="0" w:color="auto"/>
        <w:left w:val="none" w:sz="0" w:space="0" w:color="auto"/>
        <w:bottom w:val="none" w:sz="0" w:space="0" w:color="auto"/>
        <w:right w:val="none" w:sz="0" w:space="0" w:color="auto"/>
      </w:divBdr>
    </w:div>
    <w:div w:id="1481996337">
      <w:bodyDiv w:val="1"/>
      <w:marLeft w:val="0"/>
      <w:marRight w:val="0"/>
      <w:marTop w:val="0"/>
      <w:marBottom w:val="0"/>
      <w:divBdr>
        <w:top w:val="none" w:sz="0" w:space="0" w:color="auto"/>
        <w:left w:val="none" w:sz="0" w:space="0" w:color="auto"/>
        <w:bottom w:val="none" w:sz="0" w:space="0" w:color="auto"/>
        <w:right w:val="none" w:sz="0" w:space="0" w:color="auto"/>
      </w:divBdr>
    </w:div>
    <w:div w:id="1550804630">
      <w:bodyDiv w:val="1"/>
      <w:marLeft w:val="0"/>
      <w:marRight w:val="0"/>
      <w:marTop w:val="0"/>
      <w:marBottom w:val="0"/>
      <w:divBdr>
        <w:top w:val="none" w:sz="0" w:space="0" w:color="auto"/>
        <w:left w:val="none" w:sz="0" w:space="0" w:color="auto"/>
        <w:bottom w:val="none" w:sz="0" w:space="0" w:color="auto"/>
        <w:right w:val="none" w:sz="0" w:space="0" w:color="auto"/>
      </w:divBdr>
    </w:div>
    <w:div w:id="1894122008">
      <w:bodyDiv w:val="1"/>
      <w:marLeft w:val="0"/>
      <w:marRight w:val="0"/>
      <w:marTop w:val="0"/>
      <w:marBottom w:val="0"/>
      <w:divBdr>
        <w:top w:val="none" w:sz="0" w:space="0" w:color="auto"/>
        <w:left w:val="none" w:sz="0" w:space="0" w:color="auto"/>
        <w:bottom w:val="none" w:sz="0" w:space="0" w:color="auto"/>
        <w:right w:val="none" w:sz="0" w:space="0" w:color="auto"/>
      </w:divBdr>
    </w:div>
    <w:div w:id="2078164633">
      <w:bodyDiv w:val="1"/>
      <w:marLeft w:val="0"/>
      <w:marRight w:val="0"/>
      <w:marTop w:val="0"/>
      <w:marBottom w:val="0"/>
      <w:divBdr>
        <w:top w:val="none" w:sz="0" w:space="0" w:color="auto"/>
        <w:left w:val="none" w:sz="0" w:space="0" w:color="auto"/>
        <w:bottom w:val="none" w:sz="0" w:space="0" w:color="auto"/>
        <w:right w:val="none" w:sz="0" w:space="0" w:color="auto"/>
      </w:divBdr>
      <w:divsChild>
        <w:div w:id="17213925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52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pyright@dese.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education.gov.au/recurrent-funding-schools/schooling-resource-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creativecommons.Org/licenses/by/4.0/"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74910-0EA4-4006-A1B2-5CE7BB6DB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36F869-575E-42E4-80A2-C228729D7076}">
  <ds:schemaRefs>
    <ds:schemaRef ds:uri="http://schemas.microsoft.com/sharepoint/v3/contenttype/forms"/>
  </ds:schemaRefs>
</ds:datastoreItem>
</file>

<file path=customXml/itemProps3.xml><?xml version="1.0" encoding="utf-8"?>
<ds:datastoreItem xmlns:ds="http://schemas.openxmlformats.org/officeDocument/2006/customXml" ds:itemID="{A6DA93DF-1C45-465C-836A-B907FDE3A41D}">
  <ds:schemaRefs>
    <ds:schemaRef ds:uri="http://schemas.openxmlformats.org/officeDocument/2006/bibliography"/>
  </ds:schemaRefs>
</ds:datastoreItem>
</file>

<file path=customXml/itemProps4.xml><?xml version="1.0" encoding="utf-8"?>
<ds:datastoreItem xmlns:ds="http://schemas.openxmlformats.org/officeDocument/2006/customXml" ds:itemID="{39355262-3C89-48AC-9BCC-23BF9C7D826E}">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Issues Paper - Review of the regional Schooling Resource Standard loadings</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Review of the regional Schooling Resource Standard loadings</dc:title>
  <dc:subject/>
  <dc:creator/>
  <cp:keywords/>
  <dc:description/>
  <cp:lastModifiedBy/>
  <cp:revision>1</cp:revision>
  <dcterms:created xsi:type="dcterms:W3CDTF">2024-02-23T04:07:00Z</dcterms:created>
  <dcterms:modified xsi:type="dcterms:W3CDTF">2024-02-26T05:36:00Z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2024-02-21T23:35:07Z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221e0bbe-b75a-4a5c-8357-8bd009bdef5d</vt:lpwstr>
  </property>
  <property fmtid="{D5CDD505-2E9C-101B-9397-08002B2CF9AE}" pid="8" name="MSIP_Label_79d889eb-932f-4752-8739-64d25806ef64_ContentBits">
    <vt:lpwstr>0</vt:lpwstr>
  </property>
</Properties>
</file>