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68832" w14:textId="3B38BBBD" w:rsidR="007722A4" w:rsidRPr="00AB3B90" w:rsidRDefault="007722A4" w:rsidP="00CB37D3">
      <w:bookmarkStart w:id="0" w:name="_Toc61510458"/>
      <w:bookmarkStart w:id="1" w:name="_Toc61695722"/>
      <w:bookmarkStart w:id="2" w:name="_Toc65225294"/>
      <w:bookmarkStart w:id="3" w:name="_Toc65236027"/>
      <w:bookmarkStart w:id="4" w:name="_Toc65246046"/>
      <w:bookmarkStart w:id="5" w:name="_Toc66187258"/>
      <w:r w:rsidRPr="00AB3B90">
        <w:rPr>
          <w:noProof/>
          <w:lang w:eastAsia="en-AU"/>
        </w:rPr>
        <w:drawing>
          <wp:anchor distT="0" distB="0" distL="114300" distR="114300" simplePos="0" relativeHeight="251653632" behindDoc="1" locked="1" layoutInCell="1" allowOverlap="1" wp14:anchorId="0E9F8E6F" wp14:editId="3EBED5C1">
            <wp:simplePos x="0" y="0"/>
            <wp:positionH relativeFrom="margin">
              <wp:posOffset>-679450</wp:posOffset>
            </wp:positionH>
            <wp:positionV relativeFrom="page">
              <wp:posOffset>26670</wp:posOffset>
            </wp:positionV>
            <wp:extent cx="7492365" cy="10669905"/>
            <wp:effectExtent l="0" t="0" r="825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92365" cy="10669905"/>
                    </a:xfrm>
                    <a:prstGeom prst="rect">
                      <a:avLst/>
                    </a:prstGeom>
                  </pic:spPr>
                </pic:pic>
              </a:graphicData>
            </a:graphic>
            <wp14:sizeRelH relativeFrom="page">
              <wp14:pctWidth>0</wp14:pctWidth>
            </wp14:sizeRelH>
            <wp14:sizeRelV relativeFrom="page">
              <wp14:pctHeight>0</wp14:pctHeight>
            </wp14:sizeRelV>
          </wp:anchor>
        </w:drawing>
      </w:r>
      <w:r w:rsidRPr="00AB3B90">
        <w:rPr>
          <w:noProof/>
          <w:lang w:eastAsia="en-AU"/>
        </w:rPr>
        <w:drawing>
          <wp:inline distT="0" distB="0" distL="0" distR="0" wp14:anchorId="0951605B" wp14:editId="4D6F37DC">
            <wp:extent cx="2280920" cy="574040"/>
            <wp:effectExtent l="0" t="0" r="508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280920" cy="574040"/>
                    </a:xfrm>
                    <a:prstGeom prst="rect">
                      <a:avLst/>
                    </a:prstGeom>
                  </pic:spPr>
                </pic:pic>
              </a:graphicData>
            </a:graphic>
          </wp:inline>
        </w:drawing>
      </w:r>
      <w:bookmarkStart w:id="6" w:name="_Ref67045129"/>
      <w:bookmarkEnd w:id="0"/>
      <w:bookmarkEnd w:id="1"/>
      <w:bookmarkEnd w:id="2"/>
      <w:bookmarkEnd w:id="3"/>
      <w:bookmarkEnd w:id="4"/>
      <w:bookmarkEnd w:id="5"/>
      <w:bookmarkEnd w:id="6"/>
    </w:p>
    <w:p w14:paraId="25DFE687" w14:textId="77777777" w:rsidR="00D718B3" w:rsidRPr="00AB3B90" w:rsidRDefault="00982574" w:rsidP="00D718B3">
      <w:pPr>
        <w:pStyle w:val="Title"/>
        <w:spacing w:before="1600"/>
        <w:ind w:left="0" w:firstLine="0"/>
      </w:pPr>
      <w:r w:rsidRPr="00AB3B90">
        <w:t>National School Resourcing Board</w:t>
      </w:r>
    </w:p>
    <w:p w14:paraId="0F1F1289" w14:textId="4554F4AE" w:rsidR="00D718B3" w:rsidRPr="00AB3B90" w:rsidRDefault="56E9FA95" w:rsidP="00EB6117">
      <w:pPr>
        <w:pStyle w:val="Title"/>
        <w:rPr>
          <w:rStyle w:val="Subtitle-Black"/>
        </w:rPr>
      </w:pPr>
      <w:r w:rsidRPr="00AB3B90">
        <w:rPr>
          <w:rStyle w:val="Subtitle-Black"/>
          <w:sz w:val="36"/>
          <w:szCs w:val="36"/>
        </w:rPr>
        <w:t xml:space="preserve">Review of </w:t>
      </w:r>
      <w:r w:rsidR="4BF775F5" w:rsidRPr="00AB3B90">
        <w:rPr>
          <w:rStyle w:val="Subtitle-Black"/>
          <w:sz w:val="36"/>
          <w:szCs w:val="36"/>
        </w:rPr>
        <w:t>the Schooling Resource Standard (SRS)</w:t>
      </w:r>
      <w:r w:rsidR="30CD4F08" w:rsidRPr="00AB3B90">
        <w:br/>
      </w:r>
      <w:r w:rsidR="00732952" w:rsidRPr="00AB3B90">
        <w:rPr>
          <w:rStyle w:val="Subtitle-Black"/>
          <w:sz w:val="36"/>
          <w:szCs w:val="36"/>
        </w:rPr>
        <w:t>indexation arrangements</w:t>
      </w:r>
    </w:p>
    <w:p w14:paraId="102ED066" w14:textId="67F07756" w:rsidR="007722A4" w:rsidRPr="00AB3B90" w:rsidRDefault="004E2BBD" w:rsidP="00EB6117">
      <w:pPr>
        <w:pStyle w:val="Title"/>
        <w:rPr>
          <w:rStyle w:val="Subtitle-Black"/>
        </w:rPr>
      </w:pPr>
      <w:r w:rsidRPr="00AB3B90">
        <w:rPr>
          <w:rStyle w:val="Subtitle-Black"/>
        </w:rPr>
        <w:t>March 2024</w:t>
      </w:r>
    </w:p>
    <w:p w14:paraId="263E3A35" w14:textId="1B84DFAA" w:rsidR="002C590D" w:rsidRPr="00AB3B90" w:rsidRDefault="002C590D" w:rsidP="002C590D">
      <w:pPr>
        <w:jc w:val="center"/>
      </w:pPr>
    </w:p>
    <w:p w14:paraId="672A6659" w14:textId="19399F4A" w:rsidR="007722A4" w:rsidRPr="00AB3B90" w:rsidRDefault="007722A4" w:rsidP="007722A4"/>
    <w:p w14:paraId="0A37501D" w14:textId="77777777" w:rsidR="007722A4" w:rsidRPr="00AB3B90" w:rsidRDefault="007722A4" w:rsidP="007722A4">
      <w:pPr>
        <w:sectPr w:rsidR="007722A4" w:rsidRPr="00AB3B90" w:rsidSect="00DA031A">
          <w:headerReference w:type="default" r:id="rId13"/>
          <w:footerReference w:type="even" r:id="rId14"/>
          <w:footerReference w:type="default" r:id="rId15"/>
          <w:headerReference w:type="first" r:id="rId16"/>
          <w:footerReference w:type="first" r:id="rId17"/>
          <w:type w:val="continuous"/>
          <w:pgSz w:w="11906" w:h="16838"/>
          <w:pgMar w:top="1134" w:right="1134" w:bottom="1134" w:left="1134" w:header="709" w:footer="709" w:gutter="0"/>
          <w:cols w:space="708"/>
          <w:titlePg/>
          <w:docGrid w:linePitch="360"/>
        </w:sectPr>
      </w:pPr>
    </w:p>
    <w:p w14:paraId="3B966555" w14:textId="77777777" w:rsidR="00042C0F" w:rsidRPr="00AB3B90" w:rsidRDefault="00042C0F" w:rsidP="00ED1C28">
      <w:pPr>
        <w:pStyle w:val="BoardMembers-Heading"/>
      </w:pPr>
      <w:r w:rsidRPr="00AB3B90">
        <w:t xml:space="preserve">Board </w:t>
      </w:r>
      <w:proofErr w:type="gramStart"/>
      <w:r w:rsidRPr="00AB3B90">
        <w:t>members</w:t>
      </w:r>
      <w:proofErr w:type="gramEnd"/>
    </w:p>
    <w:p w14:paraId="01ADDB60" w14:textId="77777777" w:rsidR="00B15B5E" w:rsidRPr="00AB3B90" w:rsidRDefault="00B15B5E" w:rsidP="00F55F54">
      <w:pPr>
        <w:pStyle w:val="Copyright"/>
        <w:rPr>
          <w:rFonts w:asciiTheme="minorHAnsi" w:hAnsiTheme="minorHAnsi" w:cstheme="minorHAnsi"/>
          <w:sz w:val="22"/>
          <w:szCs w:val="24"/>
        </w:rPr>
      </w:pPr>
    </w:p>
    <w:p w14:paraId="403940C5" w14:textId="18B3D270" w:rsidR="00416074" w:rsidRPr="00AB3B90" w:rsidRDefault="1C7D7B76" w:rsidP="2B132BE8">
      <w:pPr>
        <w:pStyle w:val="Copyright"/>
        <w:rPr>
          <w:rFonts w:asciiTheme="minorHAnsi" w:hAnsiTheme="minorHAnsi"/>
          <w:sz w:val="22"/>
        </w:rPr>
      </w:pPr>
      <w:r w:rsidRPr="00AB3B90">
        <w:rPr>
          <w:rFonts w:asciiTheme="minorHAnsi" w:hAnsiTheme="minorHAnsi"/>
          <w:sz w:val="22"/>
        </w:rPr>
        <w:t>Professor Bronwyn Fredericks (</w:t>
      </w:r>
      <w:r w:rsidR="42E272F2" w:rsidRPr="00AB3B90">
        <w:rPr>
          <w:rFonts w:asciiTheme="minorHAnsi" w:hAnsiTheme="minorHAnsi"/>
          <w:sz w:val="22"/>
        </w:rPr>
        <w:t>Chair</w:t>
      </w:r>
      <w:r w:rsidRPr="00AB3B90">
        <w:rPr>
          <w:rFonts w:asciiTheme="minorHAnsi" w:hAnsiTheme="minorHAnsi"/>
          <w:sz w:val="22"/>
        </w:rPr>
        <w:t>)</w:t>
      </w:r>
      <w:r w:rsidRPr="00AB3B90">
        <w:br/>
      </w:r>
      <w:r w:rsidRPr="00AB3B90">
        <w:rPr>
          <w:rFonts w:asciiTheme="minorHAnsi" w:hAnsiTheme="minorHAnsi"/>
          <w:sz w:val="22"/>
        </w:rPr>
        <w:t>Professor Janet Clinton</w:t>
      </w:r>
      <w:r w:rsidRPr="00AB3B90">
        <w:br/>
      </w:r>
      <w:r w:rsidRPr="00AB3B90">
        <w:rPr>
          <w:rFonts w:asciiTheme="minorHAnsi" w:hAnsiTheme="minorHAnsi"/>
          <w:sz w:val="22"/>
        </w:rPr>
        <w:t>Ms Valerie Gould</w:t>
      </w:r>
      <w:r w:rsidRPr="00AB3B90">
        <w:br/>
      </w:r>
      <w:r w:rsidRPr="00AB3B90">
        <w:rPr>
          <w:rFonts w:asciiTheme="minorHAnsi" w:hAnsiTheme="minorHAnsi"/>
          <w:sz w:val="22"/>
        </w:rPr>
        <w:t>Professor Andrew Whitehouse</w:t>
      </w:r>
      <w:r w:rsidRPr="00AB3B90">
        <w:br/>
      </w:r>
      <w:r w:rsidRPr="00AB3B90">
        <w:rPr>
          <w:rFonts w:asciiTheme="minorHAnsi" w:hAnsiTheme="minorHAnsi"/>
          <w:sz w:val="22"/>
        </w:rPr>
        <w:t>Professor John Firth</w:t>
      </w:r>
      <w:r w:rsidRPr="00AB3B90">
        <w:br/>
      </w:r>
      <w:r w:rsidR="1F5B4FD2" w:rsidRPr="00AB3B90">
        <w:rPr>
          <w:rFonts w:asciiTheme="minorHAnsi" w:hAnsiTheme="minorHAnsi"/>
          <w:sz w:val="22"/>
        </w:rPr>
        <w:t>Professor Lee Anne Perry</w:t>
      </w:r>
      <w:r w:rsidR="7FA316FA" w:rsidRPr="00AB3B90">
        <w:rPr>
          <w:rFonts w:asciiTheme="minorHAnsi" w:hAnsiTheme="minorHAnsi"/>
          <w:sz w:val="22"/>
        </w:rPr>
        <w:t xml:space="preserve"> AM</w:t>
      </w:r>
      <w:r w:rsidR="22406F67" w:rsidRPr="00AB3B90">
        <w:rPr>
          <w:rFonts w:asciiTheme="minorHAnsi" w:hAnsiTheme="minorHAnsi"/>
          <w:sz w:val="22"/>
        </w:rPr>
        <w:t xml:space="preserve"> </w:t>
      </w:r>
      <w:r w:rsidR="22406F67" w:rsidRPr="00AB3B90">
        <w:rPr>
          <w:rFonts w:ascii="Calibri" w:eastAsia="Calibri" w:hAnsi="Calibri" w:cs="Calibri"/>
          <w:sz w:val="22"/>
        </w:rPr>
        <w:t>was appointed on 15 March 2024 and assisted with the finalisation of this review.</w:t>
      </w:r>
      <w:r w:rsidR="00146C98" w:rsidRPr="00AB3B90">
        <w:rPr>
          <w:rFonts w:ascii="Calibri" w:eastAsia="Calibri" w:hAnsi="Calibri" w:cs="Calibri"/>
          <w:sz w:val="22"/>
        </w:rPr>
        <w:t xml:space="preserve"> </w:t>
      </w:r>
      <w:r w:rsidR="00F07C8B">
        <w:rPr>
          <w:rFonts w:ascii="Calibri" w:eastAsia="Calibri" w:hAnsi="Calibri" w:cs="Calibri"/>
          <w:sz w:val="22"/>
        </w:rPr>
        <w:br/>
      </w:r>
      <w:r w:rsidR="34E1A79C" w:rsidRPr="00AB3B90">
        <w:rPr>
          <w:rFonts w:asciiTheme="minorHAnsi" w:hAnsiTheme="minorHAnsi"/>
          <w:sz w:val="22"/>
        </w:rPr>
        <w:t xml:space="preserve">Professor Elizabeth </w:t>
      </w:r>
      <w:proofErr w:type="spellStart"/>
      <w:r w:rsidR="65F242ED" w:rsidRPr="00AB3B90">
        <w:rPr>
          <w:rFonts w:asciiTheme="minorHAnsi" w:hAnsiTheme="minorHAnsi"/>
          <w:sz w:val="22"/>
        </w:rPr>
        <w:t>Labone</w:t>
      </w:r>
      <w:proofErr w:type="spellEnd"/>
      <w:r w:rsidR="65F242ED" w:rsidRPr="00AB3B90">
        <w:rPr>
          <w:rFonts w:asciiTheme="minorHAnsi" w:hAnsiTheme="minorHAnsi"/>
          <w:sz w:val="22"/>
        </w:rPr>
        <w:t xml:space="preserve">, who resigned on </w:t>
      </w:r>
      <w:r w:rsidR="1FFC989A" w:rsidRPr="00AB3B90">
        <w:rPr>
          <w:rFonts w:asciiTheme="minorHAnsi" w:hAnsiTheme="minorHAnsi"/>
          <w:sz w:val="22"/>
        </w:rPr>
        <w:t>6</w:t>
      </w:r>
      <w:r w:rsidR="65F242ED" w:rsidRPr="00AB3B90">
        <w:rPr>
          <w:rFonts w:asciiTheme="minorHAnsi" w:hAnsiTheme="minorHAnsi"/>
          <w:sz w:val="22"/>
        </w:rPr>
        <w:t xml:space="preserve"> March 2024,</w:t>
      </w:r>
      <w:r w:rsidR="139D01F4" w:rsidRPr="00AB3B90">
        <w:rPr>
          <w:rFonts w:asciiTheme="minorHAnsi" w:hAnsiTheme="minorHAnsi"/>
          <w:sz w:val="22"/>
        </w:rPr>
        <w:t xml:space="preserve"> </w:t>
      </w:r>
      <w:r w:rsidR="65F242ED" w:rsidRPr="00AB3B90">
        <w:rPr>
          <w:rFonts w:asciiTheme="minorHAnsi" w:hAnsiTheme="minorHAnsi"/>
          <w:sz w:val="22"/>
        </w:rPr>
        <w:t>also contributed to this re</w:t>
      </w:r>
      <w:r w:rsidR="318FDE10" w:rsidRPr="00AB3B90">
        <w:rPr>
          <w:rFonts w:asciiTheme="minorHAnsi" w:hAnsiTheme="minorHAnsi"/>
          <w:sz w:val="22"/>
        </w:rPr>
        <w:t>view</w:t>
      </w:r>
      <w:r w:rsidR="7AB72697" w:rsidRPr="00AB3B90">
        <w:rPr>
          <w:rFonts w:asciiTheme="minorHAnsi" w:hAnsiTheme="minorHAnsi"/>
          <w:sz w:val="22"/>
        </w:rPr>
        <w:t>.</w:t>
      </w:r>
    </w:p>
    <w:p w14:paraId="7B2C528D" w14:textId="0162DC11" w:rsidR="006779CC" w:rsidRPr="00AB3B90" w:rsidRDefault="00B15B5E" w:rsidP="006C2810">
      <w:pPr>
        <w:pStyle w:val="Copyright-Largebefore"/>
      </w:pPr>
      <w:r w:rsidRPr="00AB3B90">
        <w:t>Review of the Schooling Resource Standard (SRS) indexation arrangements</w:t>
      </w:r>
      <w:r w:rsidR="006779CC" w:rsidRPr="00AB3B90">
        <w:t> </w:t>
      </w:r>
      <w:r w:rsidR="006779CC" w:rsidRPr="00AB3B90">
        <w:br/>
        <w:t xml:space="preserve">© Commonwealth of Australia </w:t>
      </w:r>
      <w:r w:rsidR="00584BC7" w:rsidRPr="00AB3B90">
        <w:t>202</w:t>
      </w:r>
      <w:r w:rsidR="004E2BBD" w:rsidRPr="00AB3B90">
        <w:t>4</w:t>
      </w:r>
    </w:p>
    <w:p w14:paraId="556A0273" w14:textId="0EEB5DA2" w:rsidR="006779CC" w:rsidRPr="00AB3B90" w:rsidRDefault="00B15B5E" w:rsidP="006779CC">
      <w:pPr>
        <w:pStyle w:val="Copyright"/>
      </w:pPr>
      <w:r w:rsidRPr="00AB3B90">
        <w:rPr>
          <w:b/>
          <w:bCs/>
          <w:lang w:eastAsia="en-AU"/>
        </w:rPr>
        <w:br/>
      </w:r>
      <w:proofErr w:type="gramStart"/>
      <w:r w:rsidR="006779CC" w:rsidRPr="00AB3B90">
        <w:t>With the exception of</w:t>
      </w:r>
      <w:proofErr w:type="gramEnd"/>
      <w:r w:rsidR="006779CC" w:rsidRPr="00AB3B90">
        <w:t xml:space="preserve"> the Commonwealth Coat of Arms, the department's logo, any material protected by a trade mark and where otherwise noted, all material presented in this document is provided under a Creative Commons Attribution 4.0 International </w:t>
      </w:r>
      <w:r w:rsidR="00D906F3" w:rsidRPr="00AB3B90">
        <w:t>L</w:t>
      </w:r>
      <w:r w:rsidR="006779CC" w:rsidRPr="00AB3B90">
        <w:t>icence.</w:t>
      </w:r>
    </w:p>
    <w:p w14:paraId="5BE81F4C" w14:textId="2A07945C" w:rsidR="006779CC" w:rsidRPr="00AB3B90" w:rsidRDefault="006779CC" w:rsidP="006779CC">
      <w:pPr>
        <w:pStyle w:val="Copyright"/>
      </w:pPr>
      <w:r w:rsidRPr="00AB3B90">
        <w:t>The details of the relevant licence conditions are available on the Creative Commons website (</w:t>
      </w:r>
      <w:hyperlink r:id="rId18" w:history="1">
        <w:r w:rsidRPr="00AB3B90">
          <w:rPr>
            <w:rStyle w:val="Hyperlink"/>
          </w:rPr>
          <w:t>https://creativecommons.Org/licenses/by/4.0/</w:t>
        </w:r>
      </w:hyperlink>
      <w:r w:rsidRPr="00AB3B90">
        <w:t>) as is the full legal code (</w:t>
      </w:r>
      <w:hyperlink r:id="rId19" w:tooltip="https://creativecommons.org/licenses/by/4.0/legalcode" w:history="1">
        <w:r w:rsidRPr="00AB3B90">
          <w:rPr>
            <w:rStyle w:val="Hyperlink"/>
          </w:rPr>
          <w:t>https://creativecommons.org/licenses/by/4.0/legalcode</w:t>
        </w:r>
      </w:hyperlink>
      <w:r w:rsidRPr="00AB3B90">
        <w:t>)</w:t>
      </w:r>
      <w:r w:rsidR="00D665F9" w:rsidRPr="00AB3B90">
        <w:t>.</w:t>
      </w:r>
    </w:p>
    <w:p w14:paraId="14DDB3BA" w14:textId="77777777" w:rsidR="006779CC" w:rsidRPr="00AB3B90" w:rsidRDefault="006779CC" w:rsidP="006779CC">
      <w:pPr>
        <w:pStyle w:val="Copyright"/>
      </w:pPr>
      <w:r w:rsidRPr="00AB3B90">
        <w:t>As far as practicable, material for which the copyright is owned by a third party will be clearly labelled. The National School Resourcing Board has made all reasonable efforts to ensure that this material has been reproduced in this document with the full consent of the copyright owners.</w:t>
      </w:r>
    </w:p>
    <w:p w14:paraId="7B855E9D" w14:textId="77777777" w:rsidR="006779CC" w:rsidRPr="00AB3B90" w:rsidRDefault="006779CC" w:rsidP="001809ED">
      <w:pPr>
        <w:pStyle w:val="Copyright"/>
        <w:shd w:val="clear" w:color="auto" w:fill="FFFFFF" w:themeFill="background1"/>
      </w:pPr>
      <w:r w:rsidRPr="00AB3B90">
        <w:t>Copyright requests and enquiries concerning further authorisation should be addressed to:</w:t>
      </w:r>
    </w:p>
    <w:p w14:paraId="44F29307" w14:textId="1065C408" w:rsidR="00FC0162" w:rsidRPr="00AB3B90" w:rsidRDefault="006779CC" w:rsidP="001809ED">
      <w:pPr>
        <w:pStyle w:val="Copyright-Indent"/>
        <w:shd w:val="clear" w:color="auto" w:fill="FFFFFF" w:themeFill="background1"/>
      </w:pPr>
      <w:r w:rsidRPr="00AB3B90">
        <w:t>The Copyright Officer</w:t>
      </w:r>
      <w:r w:rsidR="00FC0162" w:rsidRPr="00AB3B90">
        <w:br/>
      </w:r>
      <w:r w:rsidRPr="00AB3B90">
        <w:t>Department of Education</w:t>
      </w:r>
      <w:r w:rsidR="001809ED" w:rsidRPr="00AB3B90">
        <w:br/>
      </w:r>
      <w:r w:rsidRPr="00AB3B90">
        <w:t xml:space="preserve">Location </w:t>
      </w:r>
      <w:r w:rsidR="00357AD7" w:rsidRPr="00AB3B90">
        <w:t>C</w:t>
      </w:r>
      <w:r w:rsidRPr="00AB3B90">
        <w:t>ode C50MA10</w:t>
      </w:r>
      <w:r w:rsidRPr="00AB3B90">
        <w:br/>
        <w:t xml:space="preserve">GPO Box 9880 </w:t>
      </w:r>
      <w:r w:rsidR="007B7B8E" w:rsidRPr="00AB3B90">
        <w:br/>
      </w:r>
      <w:r w:rsidRPr="00AB3B90">
        <w:t xml:space="preserve">Canberra ACT 2601 </w:t>
      </w:r>
    </w:p>
    <w:p w14:paraId="04F9E18C" w14:textId="696D06B2" w:rsidR="006779CC" w:rsidRPr="00AB3B90" w:rsidRDefault="006779CC" w:rsidP="00F55F54">
      <w:pPr>
        <w:pStyle w:val="Copyright"/>
      </w:pPr>
      <w:r w:rsidRPr="00AB3B90">
        <w:t>or emailed to</w:t>
      </w:r>
      <w:r w:rsidR="00FC0162" w:rsidRPr="00AB3B90">
        <w:t>:</w:t>
      </w:r>
      <w:r w:rsidRPr="00AB3B90">
        <w:t xml:space="preserve"> </w:t>
      </w:r>
      <w:hyperlink r:id="rId20" w:history="1">
        <w:r w:rsidR="00E72453" w:rsidRPr="00AB3B90">
          <w:rPr>
            <w:rStyle w:val="Hyperlink"/>
          </w:rPr>
          <w:t>copyright@education.gov.au</w:t>
        </w:r>
      </w:hyperlink>
      <w:r w:rsidRPr="00AB3B90">
        <w:t>.</w:t>
      </w:r>
    </w:p>
    <w:p w14:paraId="1E586835" w14:textId="77777777" w:rsidR="006779CC" w:rsidRPr="00AB3B90" w:rsidRDefault="006779CC" w:rsidP="006779CC">
      <w:pPr>
        <w:pStyle w:val="Copyright"/>
      </w:pPr>
      <w:r w:rsidRPr="00AB3B90">
        <w:t>Where a copyright owner, other than the Commonwealth, is identified with respect to this material, please contact that third party copyright owner directly to seek permission.</w:t>
      </w:r>
    </w:p>
    <w:p w14:paraId="13436AE0" w14:textId="77777777" w:rsidR="007722A4" w:rsidRPr="00AB3B90" w:rsidRDefault="007722A4" w:rsidP="006779CC">
      <w:pPr>
        <w:pStyle w:val="Copyright"/>
        <w:rPr>
          <w:rStyle w:val="Strong"/>
        </w:rPr>
      </w:pPr>
      <w:r w:rsidRPr="00AB3B90">
        <w:rPr>
          <w:rStyle w:val="Strong"/>
        </w:rPr>
        <w:t>Disclaimer</w:t>
      </w:r>
    </w:p>
    <w:p w14:paraId="411F44C7" w14:textId="77777777" w:rsidR="006779CC" w:rsidRPr="00AB3B90" w:rsidRDefault="006779CC" w:rsidP="006779CC">
      <w:pPr>
        <w:pStyle w:val="Copyright"/>
      </w:pPr>
      <w:r w:rsidRPr="00AB3B90">
        <w:t>As this is an independent review authored by the National School Resourcing Board, the report does not necessarily reflect the views of the Australian Government.</w:t>
      </w:r>
    </w:p>
    <w:p w14:paraId="3E02C99C" w14:textId="76070079" w:rsidR="004212F5" w:rsidRPr="00AB3B90" w:rsidRDefault="006779CC" w:rsidP="006779CC">
      <w:pPr>
        <w:pStyle w:val="Copyright"/>
        <w:rPr>
          <w:rStyle w:val="Emphasis"/>
        </w:rPr>
        <w:sectPr w:rsidR="004212F5" w:rsidRPr="00AB3B90" w:rsidSect="00DA031A">
          <w:headerReference w:type="even" r:id="rId21"/>
          <w:headerReference w:type="default" r:id="rId22"/>
          <w:footerReference w:type="even" r:id="rId23"/>
          <w:footerReference w:type="default" r:id="rId24"/>
          <w:headerReference w:type="first" r:id="rId25"/>
          <w:pgSz w:w="11906" w:h="16838"/>
          <w:pgMar w:top="1985" w:right="1418" w:bottom="1134" w:left="1418" w:header="680" w:footer="0" w:gutter="0"/>
          <w:pgNumType w:fmt="lowerRoman"/>
          <w:cols w:space="708"/>
          <w:docGrid w:linePitch="360"/>
        </w:sectPr>
      </w:pPr>
      <w:r w:rsidRPr="00AB3B90">
        <w:t>This document, when attributed, must be titled as</w:t>
      </w:r>
      <w:r w:rsidR="007E754C" w:rsidRPr="00AB3B90">
        <w:t>:</w:t>
      </w:r>
      <w:r w:rsidRPr="00AB3B90">
        <w:t xml:space="preserve"> </w:t>
      </w:r>
      <w:r w:rsidR="00B15B5E" w:rsidRPr="00AB3B90">
        <w:t>Review of the Schooling Resource Standard (SRS) indexation arrangements</w:t>
      </w:r>
      <w:r w:rsidR="00D665F9" w:rsidRPr="00AB3B90">
        <w:t>.</w:t>
      </w:r>
    </w:p>
    <w:p w14:paraId="7D0EBA12" w14:textId="459CC4F7" w:rsidR="00AC1198" w:rsidRPr="00AB3B90" w:rsidRDefault="002F5F15" w:rsidP="00B96344">
      <w:pPr>
        <w:pStyle w:val="Body"/>
        <w:rPr>
          <w:rFonts w:asciiTheme="minorHAnsi" w:hAnsiTheme="minorHAnsi" w:cstheme="minorHAnsi"/>
          <w:color w:val="auto"/>
          <w:lang w:val="en-US"/>
        </w:rPr>
      </w:pPr>
      <w:r w:rsidRPr="00AB3B90">
        <w:rPr>
          <w:noProof/>
        </w:rPr>
        <w:t xml:space="preserve"> </w:t>
      </w:r>
      <w:r w:rsidRPr="00AB3B90">
        <w:rPr>
          <w:rFonts w:asciiTheme="minorHAnsi" w:hAnsiTheme="minorHAnsi" w:cstheme="minorHAnsi"/>
          <w:noProof/>
          <w:color w:val="auto"/>
          <w:lang w:val="en-US"/>
        </w:rPr>
        <w:drawing>
          <wp:inline distT="0" distB="0" distL="0" distR="0" wp14:anchorId="71B34EA8" wp14:editId="13158ABB">
            <wp:extent cx="5759450" cy="8168640"/>
            <wp:effectExtent l="0" t="0" r="0" b="3810"/>
            <wp:docPr id="308199464" name="Picture 1" descr="Transmittal letter from the Chair of the National School Resourcing Board, Professor Bronwyn Fredericks, to The Hon Jason Clare MP, Minister for Education&#10;&#10;The Hon Jason Clare MP&#10;Minister for Education&#10;PO Box 6022&#10;Parliament House&#10;CANBERRA ACT 2600&#10;&#10;Dear Minister&#10;&#10;On 1 February 2024, you commissioned the National School Resourcing Board (the Board) to undertake a review of the Schooling Resource Standard (SRS) indexation arrangements.&#10;&#10;The terms of reference required the Board to consider and provide advice on the appropriateness of current SRS indexation arrangements; the suitability of the current SRS indexation floor; the appropriateness of the composite index; and the timing of the SRS indexation.&#10;&#10;Given the technical nature of the review, the Board sought stakeholder and expert advice to inform its deliberations. The Board commissioned Deloitte Access Economics to provide an independent assessment of the current indexation arrangements. This included undertaking macro-economic modelling and analysis of the indexation arrangements that are currently being applied to the SRS.&#10;&#10;The Board also undertook targeted consultations with stakeholders including state and territory governments, Independent Schools Australia and the National Catholic Education Commission. Stakeholders provided wage and school expenditure data to validate the economic modelling. Eighty per cent of stakeholders provided a written submission and all stakeholders had an opportunity to submit feedback on the draft report.&#10;&#10;The Board has made seven findings and four recommendations to the Australian Government, including finding that current indexation arrangements are considered to be appropriate. Constrained timeframes and limited data availability during this review restricted the Board's ability to undertake deep analysis. Therefore, findings and recommendations have been made on-balance, noting the need for further consultation to gather relevant and quality data to support changes.&#10;&#10;I would like to thank my Board colleagues and the Secretariat for their support in delivering this review within seven weeks.&#10;&#10;Yours sincerely&#10;Professor Bronwyn Fredericks&#10;Chair, National School Resourcing Board&#10;&#10;27 March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99464" name="Picture 1" descr="Transmittal letter from the Chair of the National School Resourcing Board, Professor Bronwyn Fredericks, to The Hon Jason Clare MP, Minister for Education&#10;&#10;The Hon Jason Clare MP&#10;Minister for Education&#10;PO Box 6022&#10;Parliament House&#10;CANBERRA ACT 2600&#10;&#10;Dear Minister&#10;&#10;On 1 February 2024, you commissioned the National School Resourcing Board (the Board) to undertake a review of the Schooling Resource Standard (SRS) indexation arrangements.&#10;&#10;The terms of reference required the Board to consider and provide advice on the appropriateness of current SRS indexation arrangements; the suitability of the current SRS indexation floor; the appropriateness of the composite index; and the timing of the SRS indexation.&#10;&#10;Given the technical nature of the review, the Board sought stakeholder and expert advice to inform its deliberations. The Board commissioned Deloitte Access Economics to provide an independent assessment of the current indexation arrangements. This included undertaking macro-economic modelling and analysis of the indexation arrangements that are currently being applied to the SRS.&#10;&#10;The Board also undertook targeted consultations with stakeholders including state and territory governments, Independent Schools Australia and the National Catholic Education Commission. Stakeholders provided wage and school expenditure data to validate the economic modelling. Eighty per cent of stakeholders provided a written submission and all stakeholders had an opportunity to submit feedback on the draft report.&#10;&#10;The Board has made seven findings and four recommendations to the Australian Government, including finding that current indexation arrangements are considered to be appropriate. Constrained timeframes and limited data availability during this review restricted the Board's ability to undertake deep analysis. Therefore, findings and recommendations have been made on-balance, noting the need for further consultation to gather relevant and quality data to support changes.&#10;&#10;I would like to thank my Board colleagues and the Secretariat for their support in delivering this review within seven weeks.&#10;&#10;Yours sincerely&#10;Professor Bronwyn Fredericks&#10;Chair, National School Resourcing Board&#10;&#10;27 March 2024"/>
                    <pic:cNvPicPr/>
                  </pic:nvPicPr>
                  <pic:blipFill>
                    <a:blip r:embed="rId26"/>
                    <a:stretch>
                      <a:fillRect/>
                    </a:stretch>
                  </pic:blipFill>
                  <pic:spPr>
                    <a:xfrm>
                      <a:off x="0" y="0"/>
                      <a:ext cx="5759450" cy="8168640"/>
                    </a:xfrm>
                    <a:prstGeom prst="rect">
                      <a:avLst/>
                    </a:prstGeom>
                  </pic:spPr>
                </pic:pic>
              </a:graphicData>
            </a:graphic>
          </wp:inline>
        </w:drawing>
      </w:r>
    </w:p>
    <w:p w14:paraId="50F47875" w14:textId="11F816A5" w:rsidR="00265D7F" w:rsidRPr="00AB3B90" w:rsidRDefault="00265D7F">
      <w:pPr>
        <w:spacing w:before="0" w:after="160"/>
      </w:pPr>
      <w:r w:rsidRPr="00AB3B90">
        <w:br w:type="page"/>
      </w:r>
    </w:p>
    <w:p w14:paraId="75896233" w14:textId="77777777" w:rsidR="008A5A6D" w:rsidRPr="00AB3B90" w:rsidRDefault="008A5A6D" w:rsidP="00C06F25">
      <w:pPr>
        <w:sectPr w:rsidR="008A5A6D" w:rsidRPr="00AB3B90" w:rsidSect="00DA031A">
          <w:headerReference w:type="even" r:id="rId27"/>
          <w:headerReference w:type="default" r:id="rId28"/>
          <w:footerReference w:type="even" r:id="rId29"/>
          <w:footerReference w:type="default" r:id="rId30"/>
          <w:headerReference w:type="first" r:id="rId31"/>
          <w:pgSz w:w="11906" w:h="16838"/>
          <w:pgMar w:top="1134" w:right="1418" w:bottom="1701" w:left="1418" w:header="680" w:footer="357" w:gutter="0"/>
          <w:pgNumType w:fmt="lowerRoman" w:start="1"/>
          <w:cols w:space="708"/>
          <w:docGrid w:linePitch="360"/>
        </w:sectPr>
      </w:pPr>
    </w:p>
    <w:sdt>
      <w:sdtPr>
        <w:rPr>
          <w:rFonts w:asciiTheme="minorHAnsi" w:eastAsiaTheme="minorEastAsia" w:hAnsiTheme="minorHAnsi" w:cstheme="minorBidi"/>
          <w:b/>
          <w:bCs/>
          <w:color w:val="auto"/>
          <w:sz w:val="22"/>
          <w:szCs w:val="22"/>
        </w:rPr>
        <w:id w:val="-304939935"/>
        <w:docPartObj>
          <w:docPartGallery w:val="Table of Contents"/>
          <w:docPartUnique/>
        </w:docPartObj>
      </w:sdtPr>
      <w:sdtEndPr>
        <w:rPr>
          <w:b w:val="0"/>
          <w:bCs w:val="0"/>
          <w:color w:val="32375D"/>
          <w:sz w:val="28"/>
          <w:szCs w:val="28"/>
        </w:rPr>
      </w:sdtEndPr>
      <w:sdtContent>
        <w:p w14:paraId="406425CA" w14:textId="77777777" w:rsidR="007722A4" w:rsidRPr="00AB3B90" w:rsidRDefault="007722A4" w:rsidP="007722A4">
          <w:pPr>
            <w:pStyle w:val="TOCHeading"/>
          </w:pPr>
          <w:r w:rsidRPr="00AB3B90">
            <w:t>Contents</w:t>
          </w:r>
        </w:p>
        <w:p w14:paraId="75E7985B" w14:textId="0C9D1450" w:rsidR="007C6E64" w:rsidRDefault="0045624B">
          <w:pPr>
            <w:pStyle w:val="TOC1"/>
            <w:rPr>
              <w:rFonts w:asciiTheme="minorHAnsi" w:eastAsiaTheme="minorEastAsia" w:hAnsiTheme="minorHAnsi"/>
              <w:noProof/>
              <w:color w:val="auto"/>
              <w:kern w:val="2"/>
              <w:sz w:val="22"/>
              <w:lang w:eastAsia="en-AU"/>
              <w14:ligatures w14:val="standardContextual"/>
            </w:rPr>
          </w:pPr>
          <w:r w:rsidRPr="00AB3B90">
            <w:fldChar w:fldCharType="begin"/>
          </w:r>
          <w:r w:rsidRPr="00AB3B90">
            <w:instrText xml:space="preserve"> TOC \h \z \t "Heading 1,1,Heading 2,2,Heading 1 - Numbered,1,Heading 2 - Numbered,2" </w:instrText>
          </w:r>
          <w:r w:rsidRPr="00AB3B90">
            <w:fldChar w:fldCharType="separate"/>
          </w:r>
          <w:hyperlink w:anchor="_Toc163650423" w:history="1">
            <w:r w:rsidR="007C6E64" w:rsidRPr="001503DD">
              <w:rPr>
                <w:rStyle w:val="Hyperlink"/>
              </w:rPr>
              <w:t>List of figures</w:t>
            </w:r>
            <w:r w:rsidR="007C6E64">
              <w:rPr>
                <w:noProof/>
                <w:webHidden/>
              </w:rPr>
              <w:tab/>
            </w:r>
            <w:r w:rsidR="007C6E64">
              <w:rPr>
                <w:noProof/>
                <w:webHidden/>
              </w:rPr>
              <w:fldChar w:fldCharType="begin"/>
            </w:r>
            <w:r w:rsidR="007C6E64">
              <w:rPr>
                <w:noProof/>
                <w:webHidden/>
              </w:rPr>
              <w:instrText xml:space="preserve"> PAGEREF _Toc163650423 \h </w:instrText>
            </w:r>
            <w:r w:rsidR="007C6E64">
              <w:rPr>
                <w:noProof/>
                <w:webHidden/>
              </w:rPr>
            </w:r>
            <w:r w:rsidR="007C6E64">
              <w:rPr>
                <w:noProof/>
                <w:webHidden/>
              </w:rPr>
              <w:fldChar w:fldCharType="separate"/>
            </w:r>
            <w:r w:rsidR="007C6E64">
              <w:rPr>
                <w:noProof/>
                <w:webHidden/>
              </w:rPr>
              <w:t>iii</w:t>
            </w:r>
            <w:r w:rsidR="007C6E64">
              <w:rPr>
                <w:noProof/>
                <w:webHidden/>
              </w:rPr>
              <w:fldChar w:fldCharType="end"/>
            </w:r>
          </w:hyperlink>
        </w:p>
        <w:p w14:paraId="50CCC216" w14:textId="00F49223"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24" w:history="1">
            <w:r w:rsidRPr="001503DD">
              <w:rPr>
                <w:rStyle w:val="Hyperlink"/>
              </w:rPr>
              <w:t>List of tables</w:t>
            </w:r>
            <w:r>
              <w:rPr>
                <w:noProof/>
                <w:webHidden/>
              </w:rPr>
              <w:tab/>
            </w:r>
            <w:r>
              <w:rPr>
                <w:noProof/>
                <w:webHidden/>
              </w:rPr>
              <w:fldChar w:fldCharType="begin"/>
            </w:r>
            <w:r>
              <w:rPr>
                <w:noProof/>
                <w:webHidden/>
              </w:rPr>
              <w:instrText xml:space="preserve"> PAGEREF _Toc163650424 \h </w:instrText>
            </w:r>
            <w:r>
              <w:rPr>
                <w:noProof/>
                <w:webHidden/>
              </w:rPr>
            </w:r>
            <w:r>
              <w:rPr>
                <w:noProof/>
                <w:webHidden/>
              </w:rPr>
              <w:fldChar w:fldCharType="separate"/>
            </w:r>
            <w:r>
              <w:rPr>
                <w:noProof/>
                <w:webHidden/>
              </w:rPr>
              <w:t>iii</w:t>
            </w:r>
            <w:r>
              <w:rPr>
                <w:noProof/>
                <w:webHidden/>
              </w:rPr>
              <w:fldChar w:fldCharType="end"/>
            </w:r>
          </w:hyperlink>
        </w:p>
        <w:p w14:paraId="5A3E968A" w14:textId="1853A291"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25" w:history="1">
            <w:r w:rsidRPr="001503DD">
              <w:rPr>
                <w:rStyle w:val="Hyperlink"/>
              </w:rPr>
              <w:t>Glossary</w:t>
            </w:r>
            <w:r>
              <w:rPr>
                <w:noProof/>
                <w:webHidden/>
              </w:rPr>
              <w:tab/>
            </w:r>
            <w:r>
              <w:rPr>
                <w:noProof/>
                <w:webHidden/>
              </w:rPr>
              <w:fldChar w:fldCharType="begin"/>
            </w:r>
            <w:r>
              <w:rPr>
                <w:noProof/>
                <w:webHidden/>
              </w:rPr>
              <w:instrText xml:space="preserve"> PAGEREF _Toc163650425 \h </w:instrText>
            </w:r>
            <w:r>
              <w:rPr>
                <w:noProof/>
                <w:webHidden/>
              </w:rPr>
            </w:r>
            <w:r>
              <w:rPr>
                <w:noProof/>
                <w:webHidden/>
              </w:rPr>
              <w:fldChar w:fldCharType="separate"/>
            </w:r>
            <w:r>
              <w:rPr>
                <w:noProof/>
                <w:webHidden/>
              </w:rPr>
              <w:t>v</w:t>
            </w:r>
            <w:r>
              <w:rPr>
                <w:noProof/>
                <w:webHidden/>
              </w:rPr>
              <w:fldChar w:fldCharType="end"/>
            </w:r>
          </w:hyperlink>
        </w:p>
        <w:p w14:paraId="2E221017" w14:textId="5D6DE4E6"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26" w:history="1">
            <w:r w:rsidRPr="001503DD">
              <w:rPr>
                <w:rStyle w:val="Hyperlink"/>
              </w:rPr>
              <w:t>Executive Summary</w:t>
            </w:r>
            <w:r>
              <w:rPr>
                <w:noProof/>
                <w:webHidden/>
              </w:rPr>
              <w:tab/>
            </w:r>
            <w:r>
              <w:rPr>
                <w:noProof/>
                <w:webHidden/>
              </w:rPr>
              <w:fldChar w:fldCharType="begin"/>
            </w:r>
            <w:r>
              <w:rPr>
                <w:noProof/>
                <w:webHidden/>
              </w:rPr>
              <w:instrText xml:space="preserve"> PAGEREF _Toc163650426 \h </w:instrText>
            </w:r>
            <w:r>
              <w:rPr>
                <w:noProof/>
                <w:webHidden/>
              </w:rPr>
            </w:r>
            <w:r>
              <w:rPr>
                <w:noProof/>
                <w:webHidden/>
              </w:rPr>
              <w:fldChar w:fldCharType="separate"/>
            </w:r>
            <w:r>
              <w:rPr>
                <w:noProof/>
                <w:webHidden/>
              </w:rPr>
              <w:t>vi</w:t>
            </w:r>
            <w:r>
              <w:rPr>
                <w:noProof/>
                <w:webHidden/>
              </w:rPr>
              <w:fldChar w:fldCharType="end"/>
            </w:r>
          </w:hyperlink>
        </w:p>
        <w:p w14:paraId="6BD001AB" w14:textId="4FA3A52B"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27" w:history="1">
            <w:r w:rsidRPr="001503DD">
              <w:rPr>
                <w:rStyle w:val="Hyperlink"/>
              </w:rPr>
              <w:t>Findings</w:t>
            </w:r>
            <w:r>
              <w:rPr>
                <w:noProof/>
                <w:webHidden/>
              </w:rPr>
              <w:tab/>
            </w:r>
            <w:r>
              <w:rPr>
                <w:noProof/>
                <w:webHidden/>
              </w:rPr>
              <w:fldChar w:fldCharType="begin"/>
            </w:r>
            <w:r>
              <w:rPr>
                <w:noProof/>
                <w:webHidden/>
              </w:rPr>
              <w:instrText xml:space="preserve"> PAGEREF _Toc163650427 \h </w:instrText>
            </w:r>
            <w:r>
              <w:rPr>
                <w:noProof/>
                <w:webHidden/>
              </w:rPr>
            </w:r>
            <w:r>
              <w:rPr>
                <w:noProof/>
                <w:webHidden/>
              </w:rPr>
              <w:fldChar w:fldCharType="separate"/>
            </w:r>
            <w:r>
              <w:rPr>
                <w:noProof/>
                <w:webHidden/>
              </w:rPr>
              <w:t>ix</w:t>
            </w:r>
            <w:r>
              <w:rPr>
                <w:noProof/>
                <w:webHidden/>
              </w:rPr>
              <w:fldChar w:fldCharType="end"/>
            </w:r>
          </w:hyperlink>
        </w:p>
        <w:p w14:paraId="25DCE99F" w14:textId="773C4D65"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28" w:history="1">
            <w:r w:rsidRPr="001503DD">
              <w:rPr>
                <w:rStyle w:val="Hyperlink"/>
              </w:rPr>
              <w:t>Recommendations</w:t>
            </w:r>
            <w:r>
              <w:rPr>
                <w:noProof/>
                <w:webHidden/>
              </w:rPr>
              <w:tab/>
            </w:r>
            <w:r>
              <w:rPr>
                <w:noProof/>
                <w:webHidden/>
              </w:rPr>
              <w:fldChar w:fldCharType="begin"/>
            </w:r>
            <w:r>
              <w:rPr>
                <w:noProof/>
                <w:webHidden/>
              </w:rPr>
              <w:instrText xml:space="preserve"> PAGEREF _Toc163650428 \h </w:instrText>
            </w:r>
            <w:r>
              <w:rPr>
                <w:noProof/>
                <w:webHidden/>
              </w:rPr>
            </w:r>
            <w:r>
              <w:rPr>
                <w:noProof/>
                <w:webHidden/>
              </w:rPr>
              <w:fldChar w:fldCharType="separate"/>
            </w:r>
            <w:r>
              <w:rPr>
                <w:noProof/>
                <w:webHidden/>
              </w:rPr>
              <w:t>x</w:t>
            </w:r>
            <w:r>
              <w:rPr>
                <w:noProof/>
                <w:webHidden/>
              </w:rPr>
              <w:fldChar w:fldCharType="end"/>
            </w:r>
          </w:hyperlink>
        </w:p>
        <w:p w14:paraId="26FB2CD7" w14:textId="26413902"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29" w:history="1">
            <w:r w:rsidRPr="001503DD">
              <w:rPr>
                <w:rStyle w:val="Hyperlink"/>
              </w:rPr>
              <w:t>Introduction</w:t>
            </w:r>
            <w:r>
              <w:rPr>
                <w:noProof/>
                <w:webHidden/>
              </w:rPr>
              <w:tab/>
            </w:r>
            <w:r>
              <w:rPr>
                <w:noProof/>
                <w:webHidden/>
              </w:rPr>
              <w:fldChar w:fldCharType="begin"/>
            </w:r>
            <w:r>
              <w:rPr>
                <w:noProof/>
                <w:webHidden/>
              </w:rPr>
              <w:instrText xml:space="preserve"> PAGEREF _Toc163650429 \h </w:instrText>
            </w:r>
            <w:r>
              <w:rPr>
                <w:noProof/>
                <w:webHidden/>
              </w:rPr>
            </w:r>
            <w:r>
              <w:rPr>
                <w:noProof/>
                <w:webHidden/>
              </w:rPr>
              <w:fldChar w:fldCharType="separate"/>
            </w:r>
            <w:r>
              <w:rPr>
                <w:noProof/>
                <w:webHidden/>
              </w:rPr>
              <w:t>1</w:t>
            </w:r>
            <w:r>
              <w:rPr>
                <w:noProof/>
                <w:webHidden/>
              </w:rPr>
              <w:fldChar w:fldCharType="end"/>
            </w:r>
          </w:hyperlink>
        </w:p>
        <w:p w14:paraId="0CF3F0CD" w14:textId="7B109F4F" w:rsidR="007C6E64" w:rsidRDefault="007C6E64">
          <w:pPr>
            <w:pStyle w:val="TOC2"/>
            <w:rPr>
              <w:rFonts w:asciiTheme="minorHAnsi" w:eastAsiaTheme="minorEastAsia" w:hAnsiTheme="minorHAnsi"/>
              <w:kern w:val="2"/>
              <w:lang w:val="en-AU" w:eastAsia="en-AU"/>
              <w14:ligatures w14:val="standardContextual"/>
            </w:rPr>
          </w:pPr>
          <w:hyperlink w:anchor="_Toc163650430" w:history="1">
            <w:r w:rsidRPr="001503DD">
              <w:rPr>
                <w:rStyle w:val="Hyperlink"/>
              </w:rPr>
              <w:t>The task</w:t>
            </w:r>
            <w:r>
              <w:rPr>
                <w:webHidden/>
              </w:rPr>
              <w:tab/>
            </w:r>
            <w:r>
              <w:rPr>
                <w:webHidden/>
              </w:rPr>
              <w:fldChar w:fldCharType="begin"/>
            </w:r>
            <w:r>
              <w:rPr>
                <w:webHidden/>
              </w:rPr>
              <w:instrText xml:space="preserve"> PAGEREF _Toc163650430 \h </w:instrText>
            </w:r>
            <w:r>
              <w:rPr>
                <w:webHidden/>
              </w:rPr>
            </w:r>
            <w:r>
              <w:rPr>
                <w:webHidden/>
              </w:rPr>
              <w:fldChar w:fldCharType="separate"/>
            </w:r>
            <w:r>
              <w:rPr>
                <w:webHidden/>
              </w:rPr>
              <w:t>1</w:t>
            </w:r>
            <w:r>
              <w:rPr>
                <w:webHidden/>
              </w:rPr>
              <w:fldChar w:fldCharType="end"/>
            </w:r>
          </w:hyperlink>
        </w:p>
        <w:p w14:paraId="0569A0E6" w14:textId="0F567BEB"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31" w:history="1">
            <w:r w:rsidRPr="001503DD">
              <w:rPr>
                <w:rStyle w:val="Hyperlink"/>
              </w:rPr>
              <w:t>Part 1: Background</w:t>
            </w:r>
            <w:r>
              <w:rPr>
                <w:noProof/>
                <w:webHidden/>
              </w:rPr>
              <w:tab/>
            </w:r>
            <w:r>
              <w:rPr>
                <w:noProof/>
                <w:webHidden/>
              </w:rPr>
              <w:fldChar w:fldCharType="begin"/>
            </w:r>
            <w:r>
              <w:rPr>
                <w:noProof/>
                <w:webHidden/>
              </w:rPr>
              <w:instrText xml:space="preserve"> PAGEREF _Toc163650431 \h </w:instrText>
            </w:r>
            <w:r>
              <w:rPr>
                <w:noProof/>
                <w:webHidden/>
              </w:rPr>
            </w:r>
            <w:r>
              <w:rPr>
                <w:noProof/>
                <w:webHidden/>
              </w:rPr>
              <w:fldChar w:fldCharType="separate"/>
            </w:r>
            <w:r>
              <w:rPr>
                <w:noProof/>
                <w:webHidden/>
              </w:rPr>
              <w:t>2</w:t>
            </w:r>
            <w:r>
              <w:rPr>
                <w:noProof/>
                <w:webHidden/>
              </w:rPr>
              <w:fldChar w:fldCharType="end"/>
            </w:r>
          </w:hyperlink>
        </w:p>
        <w:p w14:paraId="404E426A" w14:textId="29F82DD9" w:rsidR="007C6E64" w:rsidRDefault="007C6E64">
          <w:pPr>
            <w:pStyle w:val="TOC2"/>
            <w:rPr>
              <w:rFonts w:asciiTheme="minorHAnsi" w:eastAsiaTheme="minorEastAsia" w:hAnsiTheme="minorHAnsi"/>
              <w:kern w:val="2"/>
              <w:lang w:val="en-AU" w:eastAsia="en-AU"/>
              <w14:ligatures w14:val="standardContextual"/>
            </w:rPr>
          </w:pPr>
          <w:hyperlink w:anchor="_Toc163650432" w:history="1">
            <w:r w:rsidRPr="001503DD">
              <w:rPr>
                <w:rStyle w:val="Hyperlink"/>
              </w:rPr>
              <w:t>1.1</w:t>
            </w:r>
            <w:r>
              <w:rPr>
                <w:rFonts w:asciiTheme="minorHAnsi" w:eastAsiaTheme="minorEastAsia" w:hAnsiTheme="minorHAnsi"/>
                <w:kern w:val="2"/>
                <w:lang w:val="en-AU" w:eastAsia="en-AU"/>
                <w14:ligatures w14:val="standardContextual"/>
              </w:rPr>
              <w:tab/>
            </w:r>
            <w:r w:rsidRPr="001503DD">
              <w:rPr>
                <w:rStyle w:val="Hyperlink"/>
              </w:rPr>
              <w:t>What is indexation?</w:t>
            </w:r>
            <w:r>
              <w:rPr>
                <w:webHidden/>
              </w:rPr>
              <w:tab/>
            </w:r>
            <w:r>
              <w:rPr>
                <w:webHidden/>
              </w:rPr>
              <w:fldChar w:fldCharType="begin"/>
            </w:r>
            <w:r>
              <w:rPr>
                <w:webHidden/>
              </w:rPr>
              <w:instrText xml:space="preserve"> PAGEREF _Toc163650432 \h </w:instrText>
            </w:r>
            <w:r>
              <w:rPr>
                <w:webHidden/>
              </w:rPr>
            </w:r>
            <w:r>
              <w:rPr>
                <w:webHidden/>
              </w:rPr>
              <w:fldChar w:fldCharType="separate"/>
            </w:r>
            <w:r>
              <w:rPr>
                <w:webHidden/>
              </w:rPr>
              <w:t>2</w:t>
            </w:r>
            <w:r>
              <w:rPr>
                <w:webHidden/>
              </w:rPr>
              <w:fldChar w:fldCharType="end"/>
            </w:r>
          </w:hyperlink>
        </w:p>
        <w:p w14:paraId="1556B274" w14:textId="3B48C4D4" w:rsidR="007C6E64" w:rsidRDefault="007C6E64">
          <w:pPr>
            <w:pStyle w:val="TOC2"/>
            <w:rPr>
              <w:rFonts w:asciiTheme="minorHAnsi" w:eastAsiaTheme="minorEastAsia" w:hAnsiTheme="minorHAnsi"/>
              <w:kern w:val="2"/>
              <w:lang w:val="en-AU" w:eastAsia="en-AU"/>
              <w14:ligatures w14:val="standardContextual"/>
            </w:rPr>
          </w:pPr>
          <w:hyperlink w:anchor="_Toc163650433" w:history="1">
            <w:r w:rsidRPr="001503DD">
              <w:rPr>
                <w:rStyle w:val="Hyperlink"/>
              </w:rPr>
              <w:t>1.2</w:t>
            </w:r>
            <w:r>
              <w:rPr>
                <w:rFonts w:asciiTheme="minorHAnsi" w:eastAsiaTheme="minorEastAsia" w:hAnsiTheme="minorHAnsi"/>
                <w:kern w:val="2"/>
                <w:lang w:val="en-AU" w:eastAsia="en-AU"/>
                <w14:ligatures w14:val="standardContextual"/>
              </w:rPr>
              <w:tab/>
            </w:r>
            <w:r w:rsidRPr="001503DD">
              <w:rPr>
                <w:rStyle w:val="Hyperlink"/>
              </w:rPr>
              <w:t>The role of indexation in the SRS</w:t>
            </w:r>
            <w:r>
              <w:rPr>
                <w:webHidden/>
              </w:rPr>
              <w:tab/>
            </w:r>
            <w:r>
              <w:rPr>
                <w:webHidden/>
              </w:rPr>
              <w:fldChar w:fldCharType="begin"/>
            </w:r>
            <w:r>
              <w:rPr>
                <w:webHidden/>
              </w:rPr>
              <w:instrText xml:space="preserve"> PAGEREF _Toc163650433 \h </w:instrText>
            </w:r>
            <w:r>
              <w:rPr>
                <w:webHidden/>
              </w:rPr>
            </w:r>
            <w:r>
              <w:rPr>
                <w:webHidden/>
              </w:rPr>
              <w:fldChar w:fldCharType="separate"/>
            </w:r>
            <w:r>
              <w:rPr>
                <w:webHidden/>
              </w:rPr>
              <w:t>2</w:t>
            </w:r>
            <w:r>
              <w:rPr>
                <w:webHidden/>
              </w:rPr>
              <w:fldChar w:fldCharType="end"/>
            </w:r>
          </w:hyperlink>
        </w:p>
        <w:p w14:paraId="3A08CCBB" w14:textId="41C9EA8A"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34" w:history="1">
            <w:r w:rsidRPr="001503DD">
              <w:rPr>
                <w:rStyle w:val="Hyperlink"/>
              </w:rPr>
              <w:t>Part 2: Issues paper</w:t>
            </w:r>
            <w:r>
              <w:rPr>
                <w:noProof/>
                <w:webHidden/>
              </w:rPr>
              <w:tab/>
            </w:r>
            <w:r>
              <w:rPr>
                <w:noProof/>
                <w:webHidden/>
              </w:rPr>
              <w:fldChar w:fldCharType="begin"/>
            </w:r>
            <w:r>
              <w:rPr>
                <w:noProof/>
                <w:webHidden/>
              </w:rPr>
              <w:instrText xml:space="preserve"> PAGEREF _Toc163650434 \h </w:instrText>
            </w:r>
            <w:r>
              <w:rPr>
                <w:noProof/>
                <w:webHidden/>
              </w:rPr>
            </w:r>
            <w:r>
              <w:rPr>
                <w:noProof/>
                <w:webHidden/>
              </w:rPr>
              <w:fldChar w:fldCharType="separate"/>
            </w:r>
            <w:r>
              <w:rPr>
                <w:noProof/>
                <w:webHidden/>
              </w:rPr>
              <w:t>5</w:t>
            </w:r>
            <w:r>
              <w:rPr>
                <w:noProof/>
                <w:webHidden/>
              </w:rPr>
              <w:fldChar w:fldCharType="end"/>
            </w:r>
          </w:hyperlink>
        </w:p>
        <w:p w14:paraId="7EA2EB6F" w14:textId="5D4B63DE"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35" w:history="1">
            <w:r w:rsidRPr="001503DD">
              <w:rPr>
                <w:rStyle w:val="Hyperlink"/>
              </w:rPr>
              <w:t>Part 3: Consultations</w:t>
            </w:r>
            <w:r>
              <w:rPr>
                <w:noProof/>
                <w:webHidden/>
              </w:rPr>
              <w:tab/>
            </w:r>
            <w:r>
              <w:rPr>
                <w:noProof/>
                <w:webHidden/>
              </w:rPr>
              <w:fldChar w:fldCharType="begin"/>
            </w:r>
            <w:r>
              <w:rPr>
                <w:noProof/>
                <w:webHidden/>
              </w:rPr>
              <w:instrText xml:space="preserve"> PAGEREF _Toc163650435 \h </w:instrText>
            </w:r>
            <w:r>
              <w:rPr>
                <w:noProof/>
                <w:webHidden/>
              </w:rPr>
            </w:r>
            <w:r>
              <w:rPr>
                <w:noProof/>
                <w:webHidden/>
              </w:rPr>
              <w:fldChar w:fldCharType="separate"/>
            </w:r>
            <w:r>
              <w:rPr>
                <w:noProof/>
                <w:webHidden/>
              </w:rPr>
              <w:t>6</w:t>
            </w:r>
            <w:r>
              <w:rPr>
                <w:noProof/>
                <w:webHidden/>
              </w:rPr>
              <w:fldChar w:fldCharType="end"/>
            </w:r>
          </w:hyperlink>
        </w:p>
        <w:p w14:paraId="4B2F08CB" w14:textId="6F5102EB" w:rsidR="007C6E64" w:rsidRDefault="007C6E64">
          <w:pPr>
            <w:pStyle w:val="TOC2"/>
            <w:rPr>
              <w:rFonts w:asciiTheme="minorHAnsi" w:eastAsiaTheme="minorEastAsia" w:hAnsiTheme="minorHAnsi"/>
              <w:kern w:val="2"/>
              <w:lang w:val="en-AU" w:eastAsia="en-AU"/>
              <w14:ligatures w14:val="standardContextual"/>
            </w:rPr>
          </w:pPr>
          <w:hyperlink w:anchor="_Toc163650436" w:history="1">
            <w:r w:rsidRPr="001503DD">
              <w:rPr>
                <w:rStyle w:val="Hyperlink"/>
              </w:rPr>
              <w:t>3.1</w:t>
            </w:r>
            <w:r>
              <w:rPr>
                <w:rFonts w:asciiTheme="minorHAnsi" w:eastAsiaTheme="minorEastAsia" w:hAnsiTheme="minorHAnsi"/>
                <w:kern w:val="2"/>
                <w:lang w:val="en-AU" w:eastAsia="en-AU"/>
                <w14:ligatures w14:val="standardContextual"/>
              </w:rPr>
              <w:tab/>
            </w:r>
            <w:r w:rsidRPr="001503DD">
              <w:rPr>
                <w:rStyle w:val="Hyperlink"/>
              </w:rPr>
              <w:t>Consultation methodology</w:t>
            </w:r>
            <w:r>
              <w:rPr>
                <w:webHidden/>
              </w:rPr>
              <w:tab/>
            </w:r>
            <w:r>
              <w:rPr>
                <w:webHidden/>
              </w:rPr>
              <w:fldChar w:fldCharType="begin"/>
            </w:r>
            <w:r>
              <w:rPr>
                <w:webHidden/>
              </w:rPr>
              <w:instrText xml:space="preserve"> PAGEREF _Toc163650436 \h </w:instrText>
            </w:r>
            <w:r>
              <w:rPr>
                <w:webHidden/>
              </w:rPr>
            </w:r>
            <w:r>
              <w:rPr>
                <w:webHidden/>
              </w:rPr>
              <w:fldChar w:fldCharType="separate"/>
            </w:r>
            <w:r>
              <w:rPr>
                <w:webHidden/>
              </w:rPr>
              <w:t>6</w:t>
            </w:r>
            <w:r>
              <w:rPr>
                <w:webHidden/>
              </w:rPr>
              <w:fldChar w:fldCharType="end"/>
            </w:r>
          </w:hyperlink>
        </w:p>
        <w:p w14:paraId="66713D2B" w14:textId="55E0B08D" w:rsidR="007C6E64" w:rsidRDefault="007C6E64">
          <w:pPr>
            <w:pStyle w:val="TOC2"/>
            <w:rPr>
              <w:rFonts w:asciiTheme="minorHAnsi" w:eastAsiaTheme="minorEastAsia" w:hAnsiTheme="minorHAnsi"/>
              <w:kern w:val="2"/>
              <w:lang w:val="en-AU" w:eastAsia="en-AU"/>
              <w14:ligatures w14:val="standardContextual"/>
            </w:rPr>
          </w:pPr>
          <w:hyperlink w:anchor="_Toc163650437" w:history="1">
            <w:r w:rsidRPr="001503DD">
              <w:rPr>
                <w:rStyle w:val="Hyperlink"/>
              </w:rPr>
              <w:t>3.2</w:t>
            </w:r>
            <w:r>
              <w:rPr>
                <w:rFonts w:asciiTheme="minorHAnsi" w:eastAsiaTheme="minorEastAsia" w:hAnsiTheme="minorHAnsi"/>
                <w:kern w:val="2"/>
                <w:lang w:val="en-AU" w:eastAsia="en-AU"/>
                <w14:ligatures w14:val="standardContextual"/>
              </w:rPr>
              <w:tab/>
            </w:r>
            <w:r w:rsidRPr="001503DD">
              <w:rPr>
                <w:rStyle w:val="Hyperlink"/>
              </w:rPr>
              <w:t>Consultation summary</w:t>
            </w:r>
            <w:r>
              <w:rPr>
                <w:webHidden/>
              </w:rPr>
              <w:tab/>
            </w:r>
            <w:r>
              <w:rPr>
                <w:webHidden/>
              </w:rPr>
              <w:fldChar w:fldCharType="begin"/>
            </w:r>
            <w:r>
              <w:rPr>
                <w:webHidden/>
              </w:rPr>
              <w:instrText xml:space="preserve"> PAGEREF _Toc163650437 \h </w:instrText>
            </w:r>
            <w:r>
              <w:rPr>
                <w:webHidden/>
              </w:rPr>
            </w:r>
            <w:r>
              <w:rPr>
                <w:webHidden/>
              </w:rPr>
              <w:fldChar w:fldCharType="separate"/>
            </w:r>
            <w:r>
              <w:rPr>
                <w:webHidden/>
              </w:rPr>
              <w:t>6</w:t>
            </w:r>
            <w:r>
              <w:rPr>
                <w:webHidden/>
              </w:rPr>
              <w:fldChar w:fldCharType="end"/>
            </w:r>
          </w:hyperlink>
        </w:p>
        <w:p w14:paraId="21448A44" w14:textId="79B54972"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38" w:history="1">
            <w:r w:rsidRPr="001503DD">
              <w:rPr>
                <w:rStyle w:val="Hyperlink"/>
              </w:rPr>
              <w:t>Part 4: The appropriateness of current SRS indexation arrangements</w:t>
            </w:r>
            <w:r>
              <w:rPr>
                <w:noProof/>
                <w:webHidden/>
              </w:rPr>
              <w:tab/>
            </w:r>
            <w:r>
              <w:rPr>
                <w:noProof/>
                <w:webHidden/>
              </w:rPr>
              <w:fldChar w:fldCharType="begin"/>
            </w:r>
            <w:r>
              <w:rPr>
                <w:noProof/>
                <w:webHidden/>
              </w:rPr>
              <w:instrText xml:space="preserve"> PAGEREF _Toc163650438 \h </w:instrText>
            </w:r>
            <w:r>
              <w:rPr>
                <w:noProof/>
                <w:webHidden/>
              </w:rPr>
            </w:r>
            <w:r>
              <w:rPr>
                <w:noProof/>
                <w:webHidden/>
              </w:rPr>
              <w:fldChar w:fldCharType="separate"/>
            </w:r>
            <w:r>
              <w:rPr>
                <w:noProof/>
                <w:webHidden/>
              </w:rPr>
              <w:t>8</w:t>
            </w:r>
            <w:r>
              <w:rPr>
                <w:noProof/>
                <w:webHidden/>
              </w:rPr>
              <w:fldChar w:fldCharType="end"/>
            </w:r>
          </w:hyperlink>
        </w:p>
        <w:p w14:paraId="5D791EE7" w14:textId="06D5F4E2" w:rsidR="007C6E64" w:rsidRDefault="007C6E64">
          <w:pPr>
            <w:pStyle w:val="TOC2"/>
            <w:rPr>
              <w:rFonts w:asciiTheme="minorHAnsi" w:eastAsiaTheme="minorEastAsia" w:hAnsiTheme="minorHAnsi"/>
              <w:kern w:val="2"/>
              <w:lang w:val="en-AU" w:eastAsia="en-AU"/>
              <w14:ligatures w14:val="standardContextual"/>
            </w:rPr>
          </w:pPr>
          <w:hyperlink w:anchor="_Toc163650439" w:history="1">
            <w:r w:rsidRPr="001503DD">
              <w:rPr>
                <w:rStyle w:val="Hyperlink"/>
              </w:rPr>
              <w:t>4.1</w:t>
            </w:r>
            <w:r>
              <w:rPr>
                <w:rFonts w:asciiTheme="minorHAnsi" w:eastAsiaTheme="minorEastAsia" w:hAnsiTheme="minorHAnsi"/>
                <w:kern w:val="2"/>
                <w:lang w:val="en-AU" w:eastAsia="en-AU"/>
                <w14:ligatures w14:val="standardContextual"/>
              </w:rPr>
              <w:tab/>
            </w:r>
            <w:r w:rsidRPr="001503DD">
              <w:rPr>
                <w:rStyle w:val="Hyperlink"/>
              </w:rPr>
              <w:t>Introduction</w:t>
            </w:r>
            <w:r>
              <w:rPr>
                <w:webHidden/>
              </w:rPr>
              <w:tab/>
            </w:r>
            <w:r>
              <w:rPr>
                <w:webHidden/>
              </w:rPr>
              <w:fldChar w:fldCharType="begin"/>
            </w:r>
            <w:r>
              <w:rPr>
                <w:webHidden/>
              </w:rPr>
              <w:instrText xml:space="preserve"> PAGEREF _Toc163650439 \h </w:instrText>
            </w:r>
            <w:r>
              <w:rPr>
                <w:webHidden/>
              </w:rPr>
            </w:r>
            <w:r>
              <w:rPr>
                <w:webHidden/>
              </w:rPr>
              <w:fldChar w:fldCharType="separate"/>
            </w:r>
            <w:r>
              <w:rPr>
                <w:webHidden/>
              </w:rPr>
              <w:t>8</w:t>
            </w:r>
            <w:r>
              <w:rPr>
                <w:webHidden/>
              </w:rPr>
              <w:fldChar w:fldCharType="end"/>
            </w:r>
          </w:hyperlink>
        </w:p>
        <w:p w14:paraId="0AA379B5" w14:textId="3E2458CB" w:rsidR="007C6E64" w:rsidRDefault="007C6E64">
          <w:pPr>
            <w:pStyle w:val="TOC2"/>
            <w:rPr>
              <w:rFonts w:asciiTheme="minorHAnsi" w:eastAsiaTheme="minorEastAsia" w:hAnsiTheme="minorHAnsi"/>
              <w:kern w:val="2"/>
              <w:lang w:val="en-AU" w:eastAsia="en-AU"/>
              <w14:ligatures w14:val="standardContextual"/>
            </w:rPr>
          </w:pPr>
          <w:hyperlink w:anchor="_Toc163650440" w:history="1">
            <w:r w:rsidRPr="001503DD">
              <w:rPr>
                <w:rStyle w:val="Hyperlink"/>
              </w:rPr>
              <w:t>4.2</w:t>
            </w:r>
            <w:r>
              <w:rPr>
                <w:rFonts w:asciiTheme="minorHAnsi" w:eastAsiaTheme="minorEastAsia" w:hAnsiTheme="minorHAnsi"/>
                <w:kern w:val="2"/>
                <w:lang w:val="en-AU" w:eastAsia="en-AU"/>
                <w14:ligatures w14:val="standardContextual"/>
              </w:rPr>
              <w:tab/>
            </w:r>
            <w:r w:rsidRPr="001503DD">
              <w:rPr>
                <w:rStyle w:val="Hyperlink"/>
              </w:rPr>
              <w:t>Schooling inputs</w:t>
            </w:r>
            <w:r>
              <w:rPr>
                <w:webHidden/>
              </w:rPr>
              <w:tab/>
            </w:r>
            <w:r>
              <w:rPr>
                <w:webHidden/>
              </w:rPr>
              <w:fldChar w:fldCharType="begin"/>
            </w:r>
            <w:r>
              <w:rPr>
                <w:webHidden/>
              </w:rPr>
              <w:instrText xml:space="preserve"> PAGEREF _Toc163650440 \h </w:instrText>
            </w:r>
            <w:r>
              <w:rPr>
                <w:webHidden/>
              </w:rPr>
            </w:r>
            <w:r>
              <w:rPr>
                <w:webHidden/>
              </w:rPr>
              <w:fldChar w:fldCharType="separate"/>
            </w:r>
            <w:r>
              <w:rPr>
                <w:webHidden/>
              </w:rPr>
              <w:t>9</w:t>
            </w:r>
            <w:r>
              <w:rPr>
                <w:webHidden/>
              </w:rPr>
              <w:fldChar w:fldCharType="end"/>
            </w:r>
          </w:hyperlink>
        </w:p>
        <w:p w14:paraId="3C80DCE9" w14:textId="4EF8A230" w:rsidR="007C6E64" w:rsidRDefault="007C6E64">
          <w:pPr>
            <w:pStyle w:val="TOC2"/>
            <w:rPr>
              <w:rFonts w:asciiTheme="minorHAnsi" w:eastAsiaTheme="minorEastAsia" w:hAnsiTheme="minorHAnsi"/>
              <w:kern w:val="2"/>
              <w:lang w:val="en-AU" w:eastAsia="en-AU"/>
              <w14:ligatures w14:val="standardContextual"/>
            </w:rPr>
          </w:pPr>
          <w:hyperlink w:anchor="_Toc163650441" w:history="1">
            <w:r w:rsidRPr="001503DD">
              <w:rPr>
                <w:rStyle w:val="Hyperlink"/>
              </w:rPr>
              <w:t>4.3</w:t>
            </w:r>
            <w:r>
              <w:rPr>
                <w:rFonts w:asciiTheme="minorHAnsi" w:eastAsiaTheme="minorEastAsia" w:hAnsiTheme="minorHAnsi"/>
                <w:kern w:val="2"/>
                <w:lang w:val="en-AU" w:eastAsia="en-AU"/>
                <w14:ligatures w14:val="standardContextual"/>
              </w:rPr>
              <w:tab/>
            </w:r>
            <w:r w:rsidRPr="001503DD">
              <w:rPr>
                <w:rStyle w:val="Hyperlink"/>
              </w:rPr>
              <w:t>Measuring schooling input prices over time</w:t>
            </w:r>
            <w:r>
              <w:rPr>
                <w:webHidden/>
              </w:rPr>
              <w:tab/>
            </w:r>
            <w:r>
              <w:rPr>
                <w:webHidden/>
              </w:rPr>
              <w:fldChar w:fldCharType="begin"/>
            </w:r>
            <w:r>
              <w:rPr>
                <w:webHidden/>
              </w:rPr>
              <w:instrText xml:space="preserve"> PAGEREF _Toc163650441 \h </w:instrText>
            </w:r>
            <w:r>
              <w:rPr>
                <w:webHidden/>
              </w:rPr>
            </w:r>
            <w:r>
              <w:rPr>
                <w:webHidden/>
              </w:rPr>
              <w:fldChar w:fldCharType="separate"/>
            </w:r>
            <w:r>
              <w:rPr>
                <w:webHidden/>
              </w:rPr>
              <w:t>16</w:t>
            </w:r>
            <w:r>
              <w:rPr>
                <w:webHidden/>
              </w:rPr>
              <w:fldChar w:fldCharType="end"/>
            </w:r>
          </w:hyperlink>
        </w:p>
        <w:p w14:paraId="36A7AD6A" w14:textId="61655E50" w:rsidR="007C6E64" w:rsidRDefault="007C6E64">
          <w:pPr>
            <w:pStyle w:val="TOC2"/>
            <w:rPr>
              <w:rFonts w:asciiTheme="minorHAnsi" w:eastAsiaTheme="minorEastAsia" w:hAnsiTheme="minorHAnsi"/>
              <w:kern w:val="2"/>
              <w:lang w:val="en-AU" w:eastAsia="en-AU"/>
              <w14:ligatures w14:val="standardContextual"/>
            </w:rPr>
          </w:pPr>
          <w:hyperlink w:anchor="_Toc163650442" w:history="1">
            <w:r w:rsidRPr="001503DD">
              <w:rPr>
                <w:rStyle w:val="Hyperlink"/>
              </w:rPr>
              <w:t>4.4</w:t>
            </w:r>
            <w:r>
              <w:rPr>
                <w:rFonts w:asciiTheme="minorHAnsi" w:eastAsiaTheme="minorEastAsia" w:hAnsiTheme="minorHAnsi"/>
                <w:kern w:val="2"/>
                <w:lang w:val="en-AU" w:eastAsia="en-AU"/>
                <w14:ligatures w14:val="standardContextual"/>
              </w:rPr>
              <w:tab/>
            </w:r>
            <w:r w:rsidRPr="001503DD">
              <w:rPr>
                <w:rStyle w:val="Hyperlink"/>
              </w:rPr>
              <w:t>Comparison of schooling input prices with historical SRS indexation rates and its components</w:t>
            </w:r>
            <w:r>
              <w:rPr>
                <w:webHidden/>
              </w:rPr>
              <w:tab/>
            </w:r>
            <w:r>
              <w:rPr>
                <w:webHidden/>
              </w:rPr>
              <w:fldChar w:fldCharType="begin"/>
            </w:r>
            <w:r>
              <w:rPr>
                <w:webHidden/>
              </w:rPr>
              <w:instrText xml:space="preserve"> PAGEREF _Toc163650442 \h </w:instrText>
            </w:r>
            <w:r>
              <w:rPr>
                <w:webHidden/>
              </w:rPr>
            </w:r>
            <w:r>
              <w:rPr>
                <w:webHidden/>
              </w:rPr>
              <w:fldChar w:fldCharType="separate"/>
            </w:r>
            <w:r>
              <w:rPr>
                <w:webHidden/>
              </w:rPr>
              <w:t>24</w:t>
            </w:r>
            <w:r>
              <w:rPr>
                <w:webHidden/>
              </w:rPr>
              <w:fldChar w:fldCharType="end"/>
            </w:r>
          </w:hyperlink>
        </w:p>
        <w:p w14:paraId="59B47C05" w14:textId="6DD9ACA6" w:rsidR="007C6E64" w:rsidRDefault="007C6E64">
          <w:pPr>
            <w:pStyle w:val="TOC2"/>
            <w:rPr>
              <w:rFonts w:asciiTheme="minorHAnsi" w:eastAsiaTheme="minorEastAsia" w:hAnsiTheme="minorHAnsi"/>
              <w:kern w:val="2"/>
              <w:lang w:val="en-AU" w:eastAsia="en-AU"/>
              <w14:ligatures w14:val="standardContextual"/>
            </w:rPr>
          </w:pPr>
          <w:hyperlink w:anchor="_Toc163650443" w:history="1">
            <w:r w:rsidRPr="001503DD">
              <w:rPr>
                <w:rStyle w:val="Hyperlink"/>
              </w:rPr>
              <w:t>4.5</w:t>
            </w:r>
            <w:r>
              <w:rPr>
                <w:rFonts w:asciiTheme="minorHAnsi" w:eastAsiaTheme="minorEastAsia" w:hAnsiTheme="minorHAnsi"/>
                <w:kern w:val="2"/>
                <w:lang w:val="en-AU" w:eastAsia="en-AU"/>
                <w14:ligatures w14:val="standardContextual"/>
              </w:rPr>
              <w:tab/>
            </w:r>
            <w:r w:rsidRPr="001503DD">
              <w:rPr>
                <w:rStyle w:val="Hyperlink"/>
              </w:rPr>
              <w:t>Drivers of WPI and CPI and their relevance to schooling</w:t>
            </w:r>
            <w:r>
              <w:rPr>
                <w:webHidden/>
              </w:rPr>
              <w:tab/>
            </w:r>
            <w:r>
              <w:rPr>
                <w:webHidden/>
              </w:rPr>
              <w:fldChar w:fldCharType="begin"/>
            </w:r>
            <w:r>
              <w:rPr>
                <w:webHidden/>
              </w:rPr>
              <w:instrText xml:space="preserve"> PAGEREF _Toc163650443 \h </w:instrText>
            </w:r>
            <w:r>
              <w:rPr>
                <w:webHidden/>
              </w:rPr>
            </w:r>
            <w:r>
              <w:rPr>
                <w:webHidden/>
              </w:rPr>
              <w:fldChar w:fldCharType="separate"/>
            </w:r>
            <w:r>
              <w:rPr>
                <w:webHidden/>
              </w:rPr>
              <w:t>27</w:t>
            </w:r>
            <w:r>
              <w:rPr>
                <w:webHidden/>
              </w:rPr>
              <w:fldChar w:fldCharType="end"/>
            </w:r>
          </w:hyperlink>
        </w:p>
        <w:p w14:paraId="7C06B4B6" w14:textId="7379DCB4"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44" w:history="1">
            <w:r w:rsidRPr="001503DD">
              <w:rPr>
                <w:rStyle w:val="Hyperlink"/>
              </w:rPr>
              <w:t>Part 5: The suitability of the current SRS indexation floor</w:t>
            </w:r>
            <w:r>
              <w:rPr>
                <w:noProof/>
                <w:webHidden/>
              </w:rPr>
              <w:tab/>
            </w:r>
            <w:r>
              <w:rPr>
                <w:noProof/>
                <w:webHidden/>
              </w:rPr>
              <w:fldChar w:fldCharType="begin"/>
            </w:r>
            <w:r>
              <w:rPr>
                <w:noProof/>
                <w:webHidden/>
              </w:rPr>
              <w:instrText xml:space="preserve"> PAGEREF _Toc163650444 \h </w:instrText>
            </w:r>
            <w:r>
              <w:rPr>
                <w:noProof/>
                <w:webHidden/>
              </w:rPr>
            </w:r>
            <w:r>
              <w:rPr>
                <w:noProof/>
                <w:webHidden/>
              </w:rPr>
              <w:fldChar w:fldCharType="separate"/>
            </w:r>
            <w:r>
              <w:rPr>
                <w:noProof/>
                <w:webHidden/>
              </w:rPr>
              <w:t>28</w:t>
            </w:r>
            <w:r>
              <w:rPr>
                <w:noProof/>
                <w:webHidden/>
              </w:rPr>
              <w:fldChar w:fldCharType="end"/>
            </w:r>
          </w:hyperlink>
        </w:p>
        <w:p w14:paraId="284FB5B6" w14:textId="04574F94" w:rsidR="007C6E64" w:rsidRDefault="007C6E64">
          <w:pPr>
            <w:pStyle w:val="TOC2"/>
            <w:rPr>
              <w:rFonts w:asciiTheme="minorHAnsi" w:eastAsiaTheme="minorEastAsia" w:hAnsiTheme="minorHAnsi"/>
              <w:kern w:val="2"/>
              <w:lang w:val="en-AU" w:eastAsia="en-AU"/>
              <w14:ligatures w14:val="standardContextual"/>
            </w:rPr>
          </w:pPr>
          <w:hyperlink w:anchor="_Toc163650445" w:history="1">
            <w:r w:rsidRPr="001503DD">
              <w:rPr>
                <w:rStyle w:val="Hyperlink"/>
              </w:rPr>
              <w:t>5.1</w:t>
            </w:r>
            <w:r>
              <w:rPr>
                <w:rFonts w:asciiTheme="minorHAnsi" w:eastAsiaTheme="minorEastAsia" w:hAnsiTheme="minorHAnsi"/>
                <w:kern w:val="2"/>
                <w:lang w:val="en-AU" w:eastAsia="en-AU"/>
                <w14:ligatures w14:val="standardContextual"/>
              </w:rPr>
              <w:tab/>
            </w:r>
            <w:r w:rsidRPr="001503DD">
              <w:rPr>
                <w:rStyle w:val="Hyperlink"/>
              </w:rPr>
              <w:t>Overview</w:t>
            </w:r>
            <w:r>
              <w:rPr>
                <w:webHidden/>
              </w:rPr>
              <w:tab/>
            </w:r>
            <w:r>
              <w:rPr>
                <w:webHidden/>
              </w:rPr>
              <w:fldChar w:fldCharType="begin"/>
            </w:r>
            <w:r>
              <w:rPr>
                <w:webHidden/>
              </w:rPr>
              <w:instrText xml:space="preserve"> PAGEREF _Toc163650445 \h </w:instrText>
            </w:r>
            <w:r>
              <w:rPr>
                <w:webHidden/>
              </w:rPr>
            </w:r>
            <w:r>
              <w:rPr>
                <w:webHidden/>
              </w:rPr>
              <w:fldChar w:fldCharType="separate"/>
            </w:r>
            <w:r>
              <w:rPr>
                <w:webHidden/>
              </w:rPr>
              <w:t>28</w:t>
            </w:r>
            <w:r>
              <w:rPr>
                <w:webHidden/>
              </w:rPr>
              <w:fldChar w:fldCharType="end"/>
            </w:r>
          </w:hyperlink>
        </w:p>
        <w:p w14:paraId="14FAC9E2" w14:textId="29A4FB07" w:rsidR="007C6E64" w:rsidRDefault="007C6E64">
          <w:pPr>
            <w:pStyle w:val="TOC2"/>
            <w:rPr>
              <w:rFonts w:asciiTheme="minorHAnsi" w:eastAsiaTheme="minorEastAsia" w:hAnsiTheme="minorHAnsi"/>
              <w:kern w:val="2"/>
              <w:lang w:val="en-AU" w:eastAsia="en-AU"/>
              <w14:ligatures w14:val="standardContextual"/>
            </w:rPr>
          </w:pPr>
          <w:hyperlink w:anchor="_Toc163650446" w:history="1">
            <w:r w:rsidRPr="001503DD">
              <w:rPr>
                <w:rStyle w:val="Hyperlink"/>
              </w:rPr>
              <w:t>5.2</w:t>
            </w:r>
            <w:r>
              <w:rPr>
                <w:rFonts w:asciiTheme="minorHAnsi" w:eastAsiaTheme="minorEastAsia" w:hAnsiTheme="minorHAnsi"/>
                <w:kern w:val="2"/>
                <w:lang w:val="en-AU" w:eastAsia="en-AU"/>
                <w14:ligatures w14:val="standardContextual"/>
              </w:rPr>
              <w:tab/>
            </w:r>
            <w:r w:rsidRPr="001503DD">
              <w:rPr>
                <w:rStyle w:val="Hyperlink"/>
              </w:rPr>
              <w:t>Rationale for an indexation floor</w:t>
            </w:r>
            <w:r>
              <w:rPr>
                <w:webHidden/>
              </w:rPr>
              <w:tab/>
            </w:r>
            <w:r>
              <w:rPr>
                <w:webHidden/>
              </w:rPr>
              <w:fldChar w:fldCharType="begin"/>
            </w:r>
            <w:r>
              <w:rPr>
                <w:webHidden/>
              </w:rPr>
              <w:instrText xml:space="preserve"> PAGEREF _Toc163650446 \h </w:instrText>
            </w:r>
            <w:r>
              <w:rPr>
                <w:webHidden/>
              </w:rPr>
            </w:r>
            <w:r>
              <w:rPr>
                <w:webHidden/>
              </w:rPr>
              <w:fldChar w:fldCharType="separate"/>
            </w:r>
            <w:r>
              <w:rPr>
                <w:webHidden/>
              </w:rPr>
              <w:t>29</w:t>
            </w:r>
            <w:r>
              <w:rPr>
                <w:webHidden/>
              </w:rPr>
              <w:fldChar w:fldCharType="end"/>
            </w:r>
          </w:hyperlink>
        </w:p>
        <w:p w14:paraId="741F9081" w14:textId="555986FF" w:rsidR="007C6E64" w:rsidRDefault="007C6E64">
          <w:pPr>
            <w:pStyle w:val="TOC2"/>
            <w:rPr>
              <w:rFonts w:asciiTheme="minorHAnsi" w:eastAsiaTheme="minorEastAsia" w:hAnsiTheme="minorHAnsi"/>
              <w:kern w:val="2"/>
              <w:lang w:val="en-AU" w:eastAsia="en-AU"/>
              <w14:ligatures w14:val="standardContextual"/>
            </w:rPr>
          </w:pPr>
          <w:hyperlink w:anchor="_Toc163650447" w:history="1">
            <w:r w:rsidRPr="001503DD">
              <w:rPr>
                <w:rStyle w:val="Hyperlink"/>
              </w:rPr>
              <w:t>5.3</w:t>
            </w:r>
            <w:r>
              <w:rPr>
                <w:rFonts w:asciiTheme="minorHAnsi" w:eastAsiaTheme="minorEastAsia" w:hAnsiTheme="minorHAnsi"/>
                <w:kern w:val="2"/>
                <w:lang w:val="en-AU" w:eastAsia="en-AU"/>
                <w14:ligatures w14:val="standardContextual"/>
              </w:rPr>
              <w:tab/>
            </w:r>
            <w:r w:rsidRPr="001503DD">
              <w:rPr>
                <w:rStyle w:val="Hyperlink"/>
              </w:rPr>
              <w:t>Setting an indexation floor</w:t>
            </w:r>
            <w:r>
              <w:rPr>
                <w:webHidden/>
              </w:rPr>
              <w:tab/>
            </w:r>
            <w:r>
              <w:rPr>
                <w:webHidden/>
              </w:rPr>
              <w:fldChar w:fldCharType="begin"/>
            </w:r>
            <w:r>
              <w:rPr>
                <w:webHidden/>
              </w:rPr>
              <w:instrText xml:space="preserve"> PAGEREF _Toc163650447 \h </w:instrText>
            </w:r>
            <w:r>
              <w:rPr>
                <w:webHidden/>
              </w:rPr>
            </w:r>
            <w:r>
              <w:rPr>
                <w:webHidden/>
              </w:rPr>
              <w:fldChar w:fldCharType="separate"/>
            </w:r>
            <w:r>
              <w:rPr>
                <w:webHidden/>
              </w:rPr>
              <w:t>31</w:t>
            </w:r>
            <w:r>
              <w:rPr>
                <w:webHidden/>
              </w:rPr>
              <w:fldChar w:fldCharType="end"/>
            </w:r>
          </w:hyperlink>
        </w:p>
        <w:p w14:paraId="79F7A7E9" w14:textId="0CD2968F"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48" w:history="1">
            <w:r w:rsidRPr="001503DD">
              <w:rPr>
                <w:rStyle w:val="Hyperlink"/>
              </w:rPr>
              <w:t>Part 6: The appropriateness of the composite index</w:t>
            </w:r>
            <w:r>
              <w:rPr>
                <w:noProof/>
                <w:webHidden/>
              </w:rPr>
              <w:tab/>
            </w:r>
            <w:r>
              <w:rPr>
                <w:noProof/>
                <w:webHidden/>
              </w:rPr>
              <w:fldChar w:fldCharType="begin"/>
            </w:r>
            <w:r>
              <w:rPr>
                <w:noProof/>
                <w:webHidden/>
              </w:rPr>
              <w:instrText xml:space="preserve"> PAGEREF _Toc163650448 \h </w:instrText>
            </w:r>
            <w:r>
              <w:rPr>
                <w:noProof/>
                <w:webHidden/>
              </w:rPr>
            </w:r>
            <w:r>
              <w:rPr>
                <w:noProof/>
                <w:webHidden/>
              </w:rPr>
              <w:fldChar w:fldCharType="separate"/>
            </w:r>
            <w:r>
              <w:rPr>
                <w:noProof/>
                <w:webHidden/>
              </w:rPr>
              <w:t>34</w:t>
            </w:r>
            <w:r>
              <w:rPr>
                <w:noProof/>
                <w:webHidden/>
              </w:rPr>
              <w:fldChar w:fldCharType="end"/>
            </w:r>
          </w:hyperlink>
        </w:p>
        <w:p w14:paraId="2CF18A02" w14:textId="31AC26DC" w:rsidR="007C6E64" w:rsidRDefault="007C6E64">
          <w:pPr>
            <w:pStyle w:val="TOC2"/>
            <w:rPr>
              <w:rFonts w:asciiTheme="minorHAnsi" w:eastAsiaTheme="minorEastAsia" w:hAnsiTheme="minorHAnsi"/>
              <w:kern w:val="2"/>
              <w:lang w:val="en-AU" w:eastAsia="en-AU"/>
              <w14:ligatures w14:val="standardContextual"/>
            </w:rPr>
          </w:pPr>
          <w:hyperlink w:anchor="_Toc163650449" w:history="1">
            <w:r w:rsidRPr="001503DD">
              <w:rPr>
                <w:rStyle w:val="Hyperlink"/>
              </w:rPr>
              <w:t>6.1</w:t>
            </w:r>
            <w:r>
              <w:rPr>
                <w:rFonts w:asciiTheme="minorHAnsi" w:eastAsiaTheme="minorEastAsia" w:hAnsiTheme="minorHAnsi"/>
                <w:kern w:val="2"/>
                <w:lang w:val="en-AU" w:eastAsia="en-AU"/>
                <w14:ligatures w14:val="standardContextual"/>
              </w:rPr>
              <w:tab/>
            </w:r>
            <w:r w:rsidRPr="001503DD">
              <w:rPr>
                <w:rStyle w:val="Hyperlink"/>
              </w:rPr>
              <w:t>Alternative data sources for the composite index</w:t>
            </w:r>
            <w:r>
              <w:rPr>
                <w:webHidden/>
              </w:rPr>
              <w:tab/>
            </w:r>
            <w:r>
              <w:rPr>
                <w:webHidden/>
              </w:rPr>
              <w:fldChar w:fldCharType="begin"/>
            </w:r>
            <w:r>
              <w:rPr>
                <w:webHidden/>
              </w:rPr>
              <w:instrText xml:space="preserve"> PAGEREF _Toc163650449 \h </w:instrText>
            </w:r>
            <w:r>
              <w:rPr>
                <w:webHidden/>
              </w:rPr>
            </w:r>
            <w:r>
              <w:rPr>
                <w:webHidden/>
              </w:rPr>
              <w:fldChar w:fldCharType="separate"/>
            </w:r>
            <w:r>
              <w:rPr>
                <w:webHidden/>
              </w:rPr>
              <w:t>34</w:t>
            </w:r>
            <w:r>
              <w:rPr>
                <w:webHidden/>
              </w:rPr>
              <w:fldChar w:fldCharType="end"/>
            </w:r>
          </w:hyperlink>
        </w:p>
        <w:p w14:paraId="49484C03" w14:textId="3C62CED7" w:rsidR="007C6E64" w:rsidRDefault="007C6E64">
          <w:pPr>
            <w:pStyle w:val="TOC2"/>
            <w:rPr>
              <w:rFonts w:asciiTheme="minorHAnsi" w:eastAsiaTheme="minorEastAsia" w:hAnsiTheme="minorHAnsi"/>
              <w:kern w:val="2"/>
              <w:lang w:val="en-AU" w:eastAsia="en-AU"/>
              <w14:ligatures w14:val="standardContextual"/>
            </w:rPr>
          </w:pPr>
          <w:hyperlink w:anchor="_Toc163650450" w:history="1">
            <w:r w:rsidRPr="001503DD">
              <w:rPr>
                <w:rStyle w:val="Hyperlink"/>
              </w:rPr>
              <w:t>6.2</w:t>
            </w:r>
            <w:r>
              <w:rPr>
                <w:rFonts w:asciiTheme="minorHAnsi" w:eastAsiaTheme="minorEastAsia" w:hAnsiTheme="minorHAnsi"/>
                <w:kern w:val="2"/>
                <w:lang w:val="en-AU" w:eastAsia="en-AU"/>
                <w14:ligatures w14:val="standardContextual"/>
              </w:rPr>
              <w:tab/>
            </w:r>
            <w:r w:rsidRPr="001503DD">
              <w:rPr>
                <w:rStyle w:val="Hyperlink"/>
              </w:rPr>
              <w:t>Weighting of the composite index</w:t>
            </w:r>
            <w:r>
              <w:rPr>
                <w:webHidden/>
              </w:rPr>
              <w:tab/>
            </w:r>
            <w:r>
              <w:rPr>
                <w:webHidden/>
              </w:rPr>
              <w:fldChar w:fldCharType="begin"/>
            </w:r>
            <w:r>
              <w:rPr>
                <w:webHidden/>
              </w:rPr>
              <w:instrText xml:space="preserve"> PAGEREF _Toc163650450 \h </w:instrText>
            </w:r>
            <w:r>
              <w:rPr>
                <w:webHidden/>
              </w:rPr>
            </w:r>
            <w:r>
              <w:rPr>
                <w:webHidden/>
              </w:rPr>
              <w:fldChar w:fldCharType="separate"/>
            </w:r>
            <w:r>
              <w:rPr>
                <w:webHidden/>
              </w:rPr>
              <w:t>38</w:t>
            </w:r>
            <w:r>
              <w:rPr>
                <w:webHidden/>
              </w:rPr>
              <w:fldChar w:fldCharType="end"/>
            </w:r>
          </w:hyperlink>
        </w:p>
        <w:p w14:paraId="7598EE65" w14:textId="5C759D35"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51" w:history="1">
            <w:r w:rsidRPr="001503DD">
              <w:rPr>
                <w:rStyle w:val="Hyperlink"/>
              </w:rPr>
              <w:t>Part 7: Timing of SRS indexation rates</w:t>
            </w:r>
            <w:r>
              <w:rPr>
                <w:noProof/>
                <w:webHidden/>
              </w:rPr>
              <w:tab/>
            </w:r>
            <w:r>
              <w:rPr>
                <w:noProof/>
                <w:webHidden/>
              </w:rPr>
              <w:fldChar w:fldCharType="begin"/>
            </w:r>
            <w:r>
              <w:rPr>
                <w:noProof/>
                <w:webHidden/>
              </w:rPr>
              <w:instrText xml:space="preserve"> PAGEREF _Toc163650451 \h </w:instrText>
            </w:r>
            <w:r>
              <w:rPr>
                <w:noProof/>
                <w:webHidden/>
              </w:rPr>
            </w:r>
            <w:r>
              <w:rPr>
                <w:noProof/>
                <w:webHidden/>
              </w:rPr>
              <w:fldChar w:fldCharType="separate"/>
            </w:r>
            <w:r>
              <w:rPr>
                <w:noProof/>
                <w:webHidden/>
              </w:rPr>
              <w:t>42</w:t>
            </w:r>
            <w:r>
              <w:rPr>
                <w:noProof/>
                <w:webHidden/>
              </w:rPr>
              <w:fldChar w:fldCharType="end"/>
            </w:r>
          </w:hyperlink>
        </w:p>
        <w:p w14:paraId="06FE9AB2" w14:textId="0401E551" w:rsidR="007C6E64" w:rsidRDefault="007C6E64">
          <w:pPr>
            <w:pStyle w:val="TOC2"/>
            <w:rPr>
              <w:rFonts w:asciiTheme="minorHAnsi" w:eastAsiaTheme="minorEastAsia" w:hAnsiTheme="minorHAnsi"/>
              <w:kern w:val="2"/>
              <w:lang w:val="en-AU" w:eastAsia="en-AU"/>
              <w14:ligatures w14:val="standardContextual"/>
            </w:rPr>
          </w:pPr>
          <w:hyperlink w:anchor="_Toc163650452" w:history="1">
            <w:r w:rsidRPr="001503DD">
              <w:rPr>
                <w:rStyle w:val="Hyperlink"/>
              </w:rPr>
              <w:t>7.1</w:t>
            </w:r>
            <w:r>
              <w:rPr>
                <w:rFonts w:asciiTheme="minorHAnsi" w:eastAsiaTheme="minorEastAsia" w:hAnsiTheme="minorHAnsi"/>
                <w:kern w:val="2"/>
                <w:lang w:val="en-AU" w:eastAsia="en-AU"/>
                <w14:ligatures w14:val="standardContextual"/>
              </w:rPr>
              <w:tab/>
            </w:r>
            <w:r w:rsidRPr="001503DD">
              <w:rPr>
                <w:rStyle w:val="Hyperlink"/>
              </w:rPr>
              <w:t>Current timing of indexation and payments</w:t>
            </w:r>
            <w:r>
              <w:rPr>
                <w:webHidden/>
              </w:rPr>
              <w:tab/>
            </w:r>
            <w:r>
              <w:rPr>
                <w:webHidden/>
              </w:rPr>
              <w:fldChar w:fldCharType="begin"/>
            </w:r>
            <w:r>
              <w:rPr>
                <w:webHidden/>
              </w:rPr>
              <w:instrText xml:space="preserve"> PAGEREF _Toc163650452 \h </w:instrText>
            </w:r>
            <w:r>
              <w:rPr>
                <w:webHidden/>
              </w:rPr>
            </w:r>
            <w:r>
              <w:rPr>
                <w:webHidden/>
              </w:rPr>
              <w:fldChar w:fldCharType="separate"/>
            </w:r>
            <w:r>
              <w:rPr>
                <w:webHidden/>
              </w:rPr>
              <w:t>42</w:t>
            </w:r>
            <w:r>
              <w:rPr>
                <w:webHidden/>
              </w:rPr>
              <w:fldChar w:fldCharType="end"/>
            </w:r>
          </w:hyperlink>
        </w:p>
        <w:p w14:paraId="708157D5" w14:textId="37E7AF2A" w:rsidR="007C6E64" w:rsidRDefault="007C6E64">
          <w:pPr>
            <w:pStyle w:val="TOC2"/>
            <w:rPr>
              <w:rFonts w:asciiTheme="minorHAnsi" w:eastAsiaTheme="minorEastAsia" w:hAnsiTheme="minorHAnsi"/>
              <w:kern w:val="2"/>
              <w:lang w:val="en-AU" w:eastAsia="en-AU"/>
              <w14:ligatures w14:val="standardContextual"/>
            </w:rPr>
          </w:pPr>
          <w:hyperlink w:anchor="_Toc163650453" w:history="1">
            <w:r w:rsidRPr="001503DD">
              <w:rPr>
                <w:rStyle w:val="Hyperlink"/>
              </w:rPr>
              <w:t>7.2</w:t>
            </w:r>
            <w:r>
              <w:rPr>
                <w:rFonts w:asciiTheme="minorHAnsi" w:eastAsiaTheme="minorEastAsia" w:hAnsiTheme="minorHAnsi"/>
                <w:kern w:val="2"/>
                <w:lang w:val="en-AU" w:eastAsia="en-AU"/>
                <w14:ligatures w14:val="standardContextual"/>
              </w:rPr>
              <w:tab/>
            </w:r>
            <w:r w:rsidRPr="001503DD">
              <w:rPr>
                <w:rStyle w:val="Hyperlink"/>
              </w:rPr>
              <w:t>Alternative indexation and payment timing arrangements</w:t>
            </w:r>
            <w:r>
              <w:rPr>
                <w:webHidden/>
              </w:rPr>
              <w:tab/>
            </w:r>
            <w:r>
              <w:rPr>
                <w:webHidden/>
              </w:rPr>
              <w:fldChar w:fldCharType="begin"/>
            </w:r>
            <w:r>
              <w:rPr>
                <w:webHidden/>
              </w:rPr>
              <w:instrText xml:space="preserve"> PAGEREF _Toc163650453 \h </w:instrText>
            </w:r>
            <w:r>
              <w:rPr>
                <w:webHidden/>
              </w:rPr>
            </w:r>
            <w:r>
              <w:rPr>
                <w:webHidden/>
              </w:rPr>
              <w:fldChar w:fldCharType="separate"/>
            </w:r>
            <w:r>
              <w:rPr>
                <w:webHidden/>
              </w:rPr>
              <w:t>44</w:t>
            </w:r>
            <w:r>
              <w:rPr>
                <w:webHidden/>
              </w:rPr>
              <w:fldChar w:fldCharType="end"/>
            </w:r>
          </w:hyperlink>
        </w:p>
        <w:p w14:paraId="2D1376EC" w14:textId="16742713"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54" w:history="1">
            <w:r w:rsidRPr="001503DD">
              <w:rPr>
                <w:rStyle w:val="Hyperlink"/>
              </w:rPr>
              <w:t>Appendix A – Terms of reference</w:t>
            </w:r>
            <w:r>
              <w:rPr>
                <w:noProof/>
                <w:webHidden/>
              </w:rPr>
              <w:tab/>
            </w:r>
            <w:r>
              <w:rPr>
                <w:noProof/>
                <w:webHidden/>
              </w:rPr>
              <w:fldChar w:fldCharType="begin"/>
            </w:r>
            <w:r>
              <w:rPr>
                <w:noProof/>
                <w:webHidden/>
              </w:rPr>
              <w:instrText xml:space="preserve"> PAGEREF _Toc163650454 \h </w:instrText>
            </w:r>
            <w:r>
              <w:rPr>
                <w:noProof/>
                <w:webHidden/>
              </w:rPr>
            </w:r>
            <w:r>
              <w:rPr>
                <w:noProof/>
                <w:webHidden/>
              </w:rPr>
              <w:fldChar w:fldCharType="separate"/>
            </w:r>
            <w:r>
              <w:rPr>
                <w:noProof/>
                <w:webHidden/>
              </w:rPr>
              <w:t>48</w:t>
            </w:r>
            <w:r>
              <w:rPr>
                <w:noProof/>
                <w:webHidden/>
              </w:rPr>
              <w:fldChar w:fldCharType="end"/>
            </w:r>
          </w:hyperlink>
        </w:p>
        <w:p w14:paraId="5EC60EFA" w14:textId="00DC3FCE"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55" w:history="1">
            <w:r w:rsidRPr="001503DD">
              <w:rPr>
                <w:rStyle w:val="Hyperlink"/>
              </w:rPr>
              <w:t>Appendix B – Review process</w:t>
            </w:r>
            <w:r>
              <w:rPr>
                <w:noProof/>
                <w:webHidden/>
              </w:rPr>
              <w:tab/>
            </w:r>
            <w:r>
              <w:rPr>
                <w:noProof/>
                <w:webHidden/>
              </w:rPr>
              <w:fldChar w:fldCharType="begin"/>
            </w:r>
            <w:r>
              <w:rPr>
                <w:noProof/>
                <w:webHidden/>
              </w:rPr>
              <w:instrText xml:space="preserve"> PAGEREF _Toc163650455 \h </w:instrText>
            </w:r>
            <w:r>
              <w:rPr>
                <w:noProof/>
                <w:webHidden/>
              </w:rPr>
            </w:r>
            <w:r>
              <w:rPr>
                <w:noProof/>
                <w:webHidden/>
              </w:rPr>
              <w:fldChar w:fldCharType="separate"/>
            </w:r>
            <w:r>
              <w:rPr>
                <w:noProof/>
                <w:webHidden/>
              </w:rPr>
              <w:t>50</w:t>
            </w:r>
            <w:r>
              <w:rPr>
                <w:noProof/>
                <w:webHidden/>
              </w:rPr>
              <w:fldChar w:fldCharType="end"/>
            </w:r>
          </w:hyperlink>
        </w:p>
        <w:p w14:paraId="6F398574" w14:textId="2217763C"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56" w:history="1">
            <w:r w:rsidRPr="001503DD">
              <w:rPr>
                <w:rStyle w:val="Hyperlink"/>
              </w:rPr>
              <w:t>Appendix C – Issues Paper</w:t>
            </w:r>
            <w:r>
              <w:rPr>
                <w:noProof/>
                <w:webHidden/>
              </w:rPr>
              <w:tab/>
            </w:r>
            <w:r>
              <w:rPr>
                <w:noProof/>
                <w:webHidden/>
              </w:rPr>
              <w:fldChar w:fldCharType="begin"/>
            </w:r>
            <w:r>
              <w:rPr>
                <w:noProof/>
                <w:webHidden/>
              </w:rPr>
              <w:instrText xml:space="preserve"> PAGEREF _Toc163650456 \h </w:instrText>
            </w:r>
            <w:r>
              <w:rPr>
                <w:noProof/>
                <w:webHidden/>
              </w:rPr>
            </w:r>
            <w:r>
              <w:rPr>
                <w:noProof/>
                <w:webHidden/>
              </w:rPr>
              <w:fldChar w:fldCharType="separate"/>
            </w:r>
            <w:r>
              <w:rPr>
                <w:noProof/>
                <w:webHidden/>
              </w:rPr>
              <w:t>51</w:t>
            </w:r>
            <w:r>
              <w:rPr>
                <w:noProof/>
                <w:webHidden/>
              </w:rPr>
              <w:fldChar w:fldCharType="end"/>
            </w:r>
          </w:hyperlink>
        </w:p>
        <w:p w14:paraId="0CC19DEB" w14:textId="168E86C9"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57" w:history="1">
            <w:r w:rsidRPr="001503DD">
              <w:rPr>
                <w:rStyle w:val="Hyperlink"/>
              </w:rPr>
              <w:t>Appendix D – Stakeholder submissions</w:t>
            </w:r>
            <w:r>
              <w:rPr>
                <w:noProof/>
                <w:webHidden/>
              </w:rPr>
              <w:tab/>
            </w:r>
            <w:r>
              <w:rPr>
                <w:noProof/>
                <w:webHidden/>
              </w:rPr>
              <w:fldChar w:fldCharType="begin"/>
            </w:r>
            <w:r>
              <w:rPr>
                <w:noProof/>
                <w:webHidden/>
              </w:rPr>
              <w:instrText xml:space="preserve"> PAGEREF _Toc163650457 \h </w:instrText>
            </w:r>
            <w:r>
              <w:rPr>
                <w:noProof/>
                <w:webHidden/>
              </w:rPr>
            </w:r>
            <w:r>
              <w:rPr>
                <w:noProof/>
                <w:webHidden/>
              </w:rPr>
              <w:fldChar w:fldCharType="separate"/>
            </w:r>
            <w:r>
              <w:rPr>
                <w:noProof/>
                <w:webHidden/>
              </w:rPr>
              <w:t>62</w:t>
            </w:r>
            <w:r>
              <w:rPr>
                <w:noProof/>
                <w:webHidden/>
              </w:rPr>
              <w:fldChar w:fldCharType="end"/>
            </w:r>
          </w:hyperlink>
        </w:p>
        <w:p w14:paraId="7AD3EDB3" w14:textId="22453BC1"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58" w:history="1">
            <w:r w:rsidRPr="001503DD">
              <w:rPr>
                <w:rStyle w:val="Hyperlink"/>
              </w:rPr>
              <w:t>Appendix E – Consultations</w:t>
            </w:r>
            <w:r>
              <w:rPr>
                <w:noProof/>
                <w:webHidden/>
              </w:rPr>
              <w:tab/>
            </w:r>
            <w:r>
              <w:rPr>
                <w:noProof/>
                <w:webHidden/>
              </w:rPr>
              <w:fldChar w:fldCharType="begin"/>
            </w:r>
            <w:r>
              <w:rPr>
                <w:noProof/>
                <w:webHidden/>
              </w:rPr>
              <w:instrText xml:space="preserve"> PAGEREF _Toc163650458 \h </w:instrText>
            </w:r>
            <w:r>
              <w:rPr>
                <w:noProof/>
                <w:webHidden/>
              </w:rPr>
            </w:r>
            <w:r>
              <w:rPr>
                <w:noProof/>
                <w:webHidden/>
              </w:rPr>
              <w:fldChar w:fldCharType="separate"/>
            </w:r>
            <w:r>
              <w:rPr>
                <w:noProof/>
                <w:webHidden/>
              </w:rPr>
              <w:t>63</w:t>
            </w:r>
            <w:r>
              <w:rPr>
                <w:noProof/>
                <w:webHidden/>
              </w:rPr>
              <w:fldChar w:fldCharType="end"/>
            </w:r>
          </w:hyperlink>
        </w:p>
        <w:p w14:paraId="2F52E81C" w14:textId="70AB6F9B"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59" w:history="1">
            <w:r w:rsidRPr="001503DD">
              <w:rPr>
                <w:rStyle w:val="Hyperlink"/>
              </w:rPr>
              <w:t>Appendix F – Additional data</w:t>
            </w:r>
            <w:r>
              <w:rPr>
                <w:noProof/>
                <w:webHidden/>
              </w:rPr>
              <w:tab/>
            </w:r>
            <w:r>
              <w:rPr>
                <w:noProof/>
                <w:webHidden/>
              </w:rPr>
              <w:fldChar w:fldCharType="begin"/>
            </w:r>
            <w:r>
              <w:rPr>
                <w:noProof/>
                <w:webHidden/>
              </w:rPr>
              <w:instrText xml:space="preserve"> PAGEREF _Toc163650459 \h </w:instrText>
            </w:r>
            <w:r>
              <w:rPr>
                <w:noProof/>
                <w:webHidden/>
              </w:rPr>
            </w:r>
            <w:r>
              <w:rPr>
                <w:noProof/>
                <w:webHidden/>
              </w:rPr>
              <w:fldChar w:fldCharType="separate"/>
            </w:r>
            <w:r>
              <w:rPr>
                <w:noProof/>
                <w:webHidden/>
              </w:rPr>
              <w:t>64</w:t>
            </w:r>
            <w:r>
              <w:rPr>
                <w:noProof/>
                <w:webHidden/>
              </w:rPr>
              <w:fldChar w:fldCharType="end"/>
            </w:r>
          </w:hyperlink>
        </w:p>
        <w:p w14:paraId="1A9F4C39" w14:textId="22FB1A7C"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60" w:history="1">
            <w:r w:rsidRPr="001503DD">
              <w:rPr>
                <w:rStyle w:val="Hyperlink"/>
              </w:rPr>
              <w:t>Appendix G – Methodology and data sources</w:t>
            </w:r>
            <w:r>
              <w:rPr>
                <w:noProof/>
                <w:webHidden/>
              </w:rPr>
              <w:tab/>
            </w:r>
            <w:r>
              <w:rPr>
                <w:noProof/>
                <w:webHidden/>
              </w:rPr>
              <w:fldChar w:fldCharType="begin"/>
            </w:r>
            <w:r>
              <w:rPr>
                <w:noProof/>
                <w:webHidden/>
              </w:rPr>
              <w:instrText xml:space="preserve"> PAGEREF _Toc163650460 \h </w:instrText>
            </w:r>
            <w:r>
              <w:rPr>
                <w:noProof/>
                <w:webHidden/>
              </w:rPr>
            </w:r>
            <w:r>
              <w:rPr>
                <w:noProof/>
                <w:webHidden/>
              </w:rPr>
              <w:fldChar w:fldCharType="separate"/>
            </w:r>
            <w:r>
              <w:rPr>
                <w:noProof/>
                <w:webHidden/>
              </w:rPr>
              <w:t>67</w:t>
            </w:r>
            <w:r>
              <w:rPr>
                <w:noProof/>
                <w:webHidden/>
              </w:rPr>
              <w:fldChar w:fldCharType="end"/>
            </w:r>
          </w:hyperlink>
        </w:p>
        <w:p w14:paraId="6C3BD636" w14:textId="7C0E5EF1" w:rsidR="007C6E64" w:rsidRDefault="007C6E64">
          <w:pPr>
            <w:pStyle w:val="TOC1"/>
            <w:rPr>
              <w:rFonts w:asciiTheme="minorHAnsi" w:eastAsiaTheme="minorEastAsia" w:hAnsiTheme="minorHAnsi"/>
              <w:noProof/>
              <w:color w:val="auto"/>
              <w:kern w:val="2"/>
              <w:sz w:val="22"/>
              <w:lang w:eastAsia="en-AU"/>
              <w14:ligatures w14:val="standardContextual"/>
            </w:rPr>
          </w:pPr>
          <w:hyperlink w:anchor="_Toc163650461" w:history="1">
            <w:r w:rsidRPr="001503DD">
              <w:rPr>
                <w:rStyle w:val="Hyperlink"/>
              </w:rPr>
              <w:t>Appendix H – References</w:t>
            </w:r>
            <w:r>
              <w:rPr>
                <w:noProof/>
                <w:webHidden/>
              </w:rPr>
              <w:tab/>
            </w:r>
            <w:r>
              <w:rPr>
                <w:noProof/>
                <w:webHidden/>
              </w:rPr>
              <w:fldChar w:fldCharType="begin"/>
            </w:r>
            <w:r>
              <w:rPr>
                <w:noProof/>
                <w:webHidden/>
              </w:rPr>
              <w:instrText xml:space="preserve"> PAGEREF _Toc163650461 \h </w:instrText>
            </w:r>
            <w:r>
              <w:rPr>
                <w:noProof/>
                <w:webHidden/>
              </w:rPr>
            </w:r>
            <w:r>
              <w:rPr>
                <w:noProof/>
                <w:webHidden/>
              </w:rPr>
              <w:fldChar w:fldCharType="separate"/>
            </w:r>
            <w:r>
              <w:rPr>
                <w:noProof/>
                <w:webHidden/>
              </w:rPr>
              <w:t>72</w:t>
            </w:r>
            <w:r>
              <w:rPr>
                <w:noProof/>
                <w:webHidden/>
              </w:rPr>
              <w:fldChar w:fldCharType="end"/>
            </w:r>
          </w:hyperlink>
        </w:p>
        <w:p w14:paraId="3461D779" w14:textId="4E95B59A" w:rsidR="00C13137" w:rsidRPr="00AB3B90" w:rsidRDefault="0045624B" w:rsidP="000A436C">
          <w:pPr>
            <w:pStyle w:val="TOC1"/>
          </w:pPr>
          <w:r w:rsidRPr="00AB3B90">
            <w:fldChar w:fldCharType="end"/>
          </w:r>
        </w:p>
      </w:sdtContent>
    </w:sdt>
    <w:bookmarkStart w:id="7" w:name="_Toc23856988" w:displacedByCustomXml="prev"/>
    <w:bookmarkStart w:id="8" w:name="_Toc23857230" w:displacedByCustomXml="prev"/>
    <w:p w14:paraId="459FAD9D" w14:textId="77777777" w:rsidR="005231DB" w:rsidRPr="00AB3B90" w:rsidRDefault="005231DB">
      <w:pPr>
        <w:spacing w:before="0" w:after="160"/>
        <w:rPr>
          <w:rFonts w:eastAsiaTheme="majorEastAsia" w:cstheme="majorBidi"/>
          <w:color w:val="0F294C"/>
          <w:sz w:val="60"/>
          <w:szCs w:val="32"/>
        </w:rPr>
      </w:pPr>
      <w:bookmarkStart w:id="9" w:name="_Ref68173281"/>
      <w:bookmarkStart w:id="10" w:name="_Toc71021769"/>
      <w:r w:rsidRPr="00AB3B90">
        <w:br w:type="page"/>
      </w:r>
    </w:p>
    <w:p w14:paraId="60D52E91" w14:textId="57B13DE0" w:rsidR="00E430AE" w:rsidRPr="00AB3B90" w:rsidRDefault="00BF080A" w:rsidP="00E430AE">
      <w:pPr>
        <w:pStyle w:val="Heading1"/>
      </w:pPr>
      <w:bookmarkStart w:id="11" w:name="_Toc161304648"/>
      <w:bookmarkStart w:id="12" w:name="_Toc163650423"/>
      <w:r w:rsidRPr="00AB3B90">
        <w:t xml:space="preserve">List of </w:t>
      </w:r>
      <w:r w:rsidR="00FC6564" w:rsidRPr="00AB3B90">
        <w:t>figures</w:t>
      </w:r>
      <w:bookmarkEnd w:id="9"/>
      <w:bookmarkEnd w:id="10"/>
      <w:bookmarkEnd w:id="11"/>
      <w:bookmarkEnd w:id="12"/>
    </w:p>
    <w:p w14:paraId="4F4DD916" w14:textId="766539DC" w:rsidR="00A63DEE" w:rsidRDefault="004B586C">
      <w:pPr>
        <w:pStyle w:val="TableofFigures"/>
        <w:tabs>
          <w:tab w:val="right" w:leader="dot" w:pos="9016"/>
        </w:tabs>
        <w:rPr>
          <w:rFonts w:asciiTheme="minorHAnsi" w:eastAsiaTheme="minorEastAsia" w:hAnsiTheme="minorHAnsi"/>
          <w:noProof/>
          <w:kern w:val="2"/>
          <w:lang w:eastAsia="en-AU"/>
          <w14:ligatures w14:val="standardContextual"/>
        </w:rPr>
      </w:pPr>
      <w:r w:rsidRPr="00AB3B90">
        <w:fldChar w:fldCharType="begin"/>
      </w:r>
      <w:r w:rsidRPr="00AB3B90">
        <w:instrText xml:space="preserve"> TOC \h \z \c "Figure" </w:instrText>
      </w:r>
      <w:r w:rsidRPr="00AB3B90">
        <w:fldChar w:fldCharType="separate"/>
      </w:r>
      <w:hyperlink w:anchor="_Toc163650462" w:history="1">
        <w:r w:rsidR="00A63DEE" w:rsidRPr="00AB4921">
          <w:rPr>
            <w:rStyle w:val="Hyperlink"/>
          </w:rPr>
          <w:t>Figure 1 Government sector recurrent expenditure, salary and non-salary by state and territory, 2019–20</w:t>
        </w:r>
        <w:r w:rsidR="00A63DEE">
          <w:rPr>
            <w:noProof/>
            <w:webHidden/>
          </w:rPr>
          <w:tab/>
        </w:r>
        <w:r w:rsidR="00A63DEE">
          <w:rPr>
            <w:noProof/>
            <w:webHidden/>
          </w:rPr>
          <w:fldChar w:fldCharType="begin"/>
        </w:r>
        <w:r w:rsidR="00A63DEE">
          <w:rPr>
            <w:noProof/>
            <w:webHidden/>
          </w:rPr>
          <w:instrText xml:space="preserve"> PAGEREF _Toc163650462 \h </w:instrText>
        </w:r>
        <w:r w:rsidR="00A63DEE">
          <w:rPr>
            <w:noProof/>
            <w:webHidden/>
          </w:rPr>
        </w:r>
        <w:r w:rsidR="00A63DEE">
          <w:rPr>
            <w:noProof/>
            <w:webHidden/>
          </w:rPr>
          <w:fldChar w:fldCharType="separate"/>
        </w:r>
        <w:r w:rsidR="00A63DEE">
          <w:rPr>
            <w:noProof/>
            <w:webHidden/>
          </w:rPr>
          <w:t>12</w:t>
        </w:r>
        <w:r w:rsidR="00A63DEE">
          <w:rPr>
            <w:noProof/>
            <w:webHidden/>
          </w:rPr>
          <w:fldChar w:fldCharType="end"/>
        </w:r>
      </w:hyperlink>
    </w:p>
    <w:p w14:paraId="788E0F49" w14:textId="198A4315"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63" w:history="1">
        <w:r w:rsidRPr="00AB4921">
          <w:rPr>
            <w:rStyle w:val="Hyperlink"/>
          </w:rPr>
          <w:t>Figure 2 Non-government sector recurrent expenditure, salary and non-salary by state and territory, 2019</w:t>
        </w:r>
        <w:r>
          <w:rPr>
            <w:noProof/>
            <w:webHidden/>
          </w:rPr>
          <w:tab/>
        </w:r>
        <w:r>
          <w:rPr>
            <w:noProof/>
            <w:webHidden/>
          </w:rPr>
          <w:fldChar w:fldCharType="begin"/>
        </w:r>
        <w:r>
          <w:rPr>
            <w:noProof/>
            <w:webHidden/>
          </w:rPr>
          <w:instrText xml:space="preserve"> PAGEREF _Toc163650463 \h </w:instrText>
        </w:r>
        <w:r>
          <w:rPr>
            <w:noProof/>
            <w:webHidden/>
          </w:rPr>
        </w:r>
        <w:r>
          <w:rPr>
            <w:noProof/>
            <w:webHidden/>
          </w:rPr>
          <w:fldChar w:fldCharType="separate"/>
        </w:r>
        <w:r>
          <w:rPr>
            <w:noProof/>
            <w:webHidden/>
          </w:rPr>
          <w:t>13</w:t>
        </w:r>
        <w:r>
          <w:rPr>
            <w:noProof/>
            <w:webHidden/>
          </w:rPr>
          <w:fldChar w:fldCharType="end"/>
        </w:r>
      </w:hyperlink>
    </w:p>
    <w:p w14:paraId="7CED4BBE" w14:textId="0D189D70"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64" w:history="1">
        <w:r w:rsidRPr="00AB4921">
          <w:rPr>
            <w:rStyle w:val="Hyperlink"/>
          </w:rPr>
          <w:t>Figure 3 Government school sector staff, staff function by state and territory, 2019</w:t>
        </w:r>
        <w:r>
          <w:rPr>
            <w:noProof/>
            <w:webHidden/>
          </w:rPr>
          <w:tab/>
        </w:r>
        <w:r>
          <w:rPr>
            <w:noProof/>
            <w:webHidden/>
          </w:rPr>
          <w:fldChar w:fldCharType="begin"/>
        </w:r>
        <w:r>
          <w:rPr>
            <w:noProof/>
            <w:webHidden/>
          </w:rPr>
          <w:instrText xml:space="preserve"> PAGEREF _Toc163650464 \h </w:instrText>
        </w:r>
        <w:r>
          <w:rPr>
            <w:noProof/>
            <w:webHidden/>
          </w:rPr>
        </w:r>
        <w:r>
          <w:rPr>
            <w:noProof/>
            <w:webHidden/>
          </w:rPr>
          <w:fldChar w:fldCharType="separate"/>
        </w:r>
        <w:r>
          <w:rPr>
            <w:noProof/>
            <w:webHidden/>
          </w:rPr>
          <w:t>15</w:t>
        </w:r>
        <w:r>
          <w:rPr>
            <w:noProof/>
            <w:webHidden/>
          </w:rPr>
          <w:fldChar w:fldCharType="end"/>
        </w:r>
      </w:hyperlink>
    </w:p>
    <w:p w14:paraId="367FAB57" w14:textId="3F0600EA"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65" w:history="1">
        <w:r w:rsidRPr="00AB4921">
          <w:rPr>
            <w:rStyle w:val="Hyperlink"/>
          </w:rPr>
          <w:t>Figure 4 Non-government school sector staff, staff function by state and territory, 2019</w:t>
        </w:r>
        <w:r>
          <w:rPr>
            <w:noProof/>
            <w:webHidden/>
          </w:rPr>
          <w:tab/>
        </w:r>
        <w:r>
          <w:rPr>
            <w:noProof/>
            <w:webHidden/>
          </w:rPr>
          <w:fldChar w:fldCharType="begin"/>
        </w:r>
        <w:r>
          <w:rPr>
            <w:noProof/>
            <w:webHidden/>
          </w:rPr>
          <w:instrText xml:space="preserve"> PAGEREF _Toc163650465 \h </w:instrText>
        </w:r>
        <w:r>
          <w:rPr>
            <w:noProof/>
            <w:webHidden/>
          </w:rPr>
        </w:r>
        <w:r>
          <w:rPr>
            <w:noProof/>
            <w:webHidden/>
          </w:rPr>
          <w:fldChar w:fldCharType="separate"/>
        </w:r>
        <w:r>
          <w:rPr>
            <w:noProof/>
            <w:webHidden/>
          </w:rPr>
          <w:t>15</w:t>
        </w:r>
        <w:r>
          <w:rPr>
            <w:noProof/>
            <w:webHidden/>
          </w:rPr>
          <w:fldChar w:fldCharType="end"/>
        </w:r>
      </w:hyperlink>
    </w:p>
    <w:p w14:paraId="5ADCF10F" w14:textId="2201E76A"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66" w:history="1">
        <w:r w:rsidRPr="00AB4921">
          <w:rPr>
            <w:rStyle w:val="Hyperlink"/>
          </w:rPr>
          <w:t>Figure 5 Result of indexation formula over the past two decades</w:t>
        </w:r>
        <w:r>
          <w:rPr>
            <w:noProof/>
            <w:webHidden/>
          </w:rPr>
          <w:tab/>
        </w:r>
        <w:r>
          <w:rPr>
            <w:noProof/>
            <w:webHidden/>
          </w:rPr>
          <w:fldChar w:fldCharType="begin"/>
        </w:r>
        <w:r>
          <w:rPr>
            <w:noProof/>
            <w:webHidden/>
          </w:rPr>
          <w:instrText xml:space="preserve"> PAGEREF _Toc163650466 \h </w:instrText>
        </w:r>
        <w:r>
          <w:rPr>
            <w:noProof/>
            <w:webHidden/>
          </w:rPr>
        </w:r>
        <w:r>
          <w:rPr>
            <w:noProof/>
            <w:webHidden/>
          </w:rPr>
          <w:fldChar w:fldCharType="separate"/>
        </w:r>
        <w:r>
          <w:rPr>
            <w:noProof/>
            <w:webHidden/>
          </w:rPr>
          <w:t>28</w:t>
        </w:r>
        <w:r>
          <w:rPr>
            <w:noProof/>
            <w:webHidden/>
          </w:rPr>
          <w:fldChar w:fldCharType="end"/>
        </w:r>
      </w:hyperlink>
    </w:p>
    <w:p w14:paraId="6918BF16" w14:textId="5718FFC3"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67" w:history="1">
        <w:r w:rsidRPr="00AB4921">
          <w:rPr>
            <w:rStyle w:val="Hyperlink"/>
          </w:rPr>
          <w:t>Figure 6 WPI and CPI forecasts</w:t>
        </w:r>
        <w:r>
          <w:rPr>
            <w:noProof/>
            <w:webHidden/>
          </w:rPr>
          <w:tab/>
        </w:r>
        <w:r>
          <w:rPr>
            <w:noProof/>
            <w:webHidden/>
          </w:rPr>
          <w:fldChar w:fldCharType="begin"/>
        </w:r>
        <w:r>
          <w:rPr>
            <w:noProof/>
            <w:webHidden/>
          </w:rPr>
          <w:instrText xml:space="preserve"> PAGEREF _Toc163650467 \h </w:instrText>
        </w:r>
        <w:r>
          <w:rPr>
            <w:noProof/>
            <w:webHidden/>
          </w:rPr>
        </w:r>
        <w:r>
          <w:rPr>
            <w:noProof/>
            <w:webHidden/>
          </w:rPr>
          <w:fldChar w:fldCharType="separate"/>
        </w:r>
        <w:r>
          <w:rPr>
            <w:noProof/>
            <w:webHidden/>
          </w:rPr>
          <w:t>31</w:t>
        </w:r>
        <w:r>
          <w:rPr>
            <w:noProof/>
            <w:webHidden/>
          </w:rPr>
          <w:fldChar w:fldCharType="end"/>
        </w:r>
      </w:hyperlink>
    </w:p>
    <w:p w14:paraId="7567ABBF" w14:textId="24052C00"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68" w:history="1">
        <w:r w:rsidRPr="00AB4921">
          <w:rPr>
            <w:rStyle w:val="Hyperlink"/>
          </w:rPr>
          <w:t>Figure 7 Cumulative difference in funding with and without an indexation floor</w:t>
        </w:r>
        <w:r>
          <w:rPr>
            <w:noProof/>
            <w:webHidden/>
          </w:rPr>
          <w:tab/>
        </w:r>
        <w:r>
          <w:rPr>
            <w:noProof/>
            <w:webHidden/>
          </w:rPr>
          <w:fldChar w:fldCharType="begin"/>
        </w:r>
        <w:r>
          <w:rPr>
            <w:noProof/>
            <w:webHidden/>
          </w:rPr>
          <w:instrText xml:space="preserve"> PAGEREF _Toc163650468 \h </w:instrText>
        </w:r>
        <w:r>
          <w:rPr>
            <w:noProof/>
            <w:webHidden/>
          </w:rPr>
        </w:r>
        <w:r>
          <w:rPr>
            <w:noProof/>
            <w:webHidden/>
          </w:rPr>
          <w:fldChar w:fldCharType="separate"/>
        </w:r>
        <w:r>
          <w:rPr>
            <w:noProof/>
            <w:webHidden/>
          </w:rPr>
          <w:t>32</w:t>
        </w:r>
        <w:r>
          <w:rPr>
            <w:noProof/>
            <w:webHidden/>
          </w:rPr>
          <w:fldChar w:fldCharType="end"/>
        </w:r>
      </w:hyperlink>
    </w:p>
    <w:p w14:paraId="2534A8C9" w14:textId="5149C1A2"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69" w:history="1">
        <w:r w:rsidRPr="00AB4921">
          <w:rPr>
            <w:rStyle w:val="Hyperlink"/>
          </w:rPr>
          <w:t>Figure 8 Education and training WPI - comparisons</w:t>
        </w:r>
        <w:r>
          <w:rPr>
            <w:noProof/>
            <w:webHidden/>
          </w:rPr>
          <w:tab/>
        </w:r>
        <w:r>
          <w:rPr>
            <w:noProof/>
            <w:webHidden/>
          </w:rPr>
          <w:fldChar w:fldCharType="begin"/>
        </w:r>
        <w:r>
          <w:rPr>
            <w:noProof/>
            <w:webHidden/>
          </w:rPr>
          <w:instrText xml:space="preserve"> PAGEREF _Toc163650469 \h </w:instrText>
        </w:r>
        <w:r>
          <w:rPr>
            <w:noProof/>
            <w:webHidden/>
          </w:rPr>
        </w:r>
        <w:r>
          <w:rPr>
            <w:noProof/>
            <w:webHidden/>
          </w:rPr>
          <w:fldChar w:fldCharType="separate"/>
        </w:r>
        <w:r>
          <w:rPr>
            <w:noProof/>
            <w:webHidden/>
          </w:rPr>
          <w:t>35</w:t>
        </w:r>
        <w:r>
          <w:rPr>
            <w:noProof/>
            <w:webHidden/>
          </w:rPr>
          <w:fldChar w:fldCharType="end"/>
        </w:r>
      </w:hyperlink>
    </w:p>
    <w:p w14:paraId="703BFE29" w14:textId="45ED0815"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70" w:history="1">
        <w:r w:rsidRPr="00AB4921">
          <w:rPr>
            <w:rStyle w:val="Hyperlink"/>
          </w:rPr>
          <w:t>Figure 9 Education and training WPI</w:t>
        </w:r>
        <w:r>
          <w:rPr>
            <w:noProof/>
            <w:webHidden/>
          </w:rPr>
          <w:tab/>
        </w:r>
        <w:r>
          <w:rPr>
            <w:noProof/>
            <w:webHidden/>
          </w:rPr>
          <w:fldChar w:fldCharType="begin"/>
        </w:r>
        <w:r>
          <w:rPr>
            <w:noProof/>
            <w:webHidden/>
          </w:rPr>
          <w:instrText xml:space="preserve"> PAGEREF _Toc163650470 \h </w:instrText>
        </w:r>
        <w:r>
          <w:rPr>
            <w:noProof/>
            <w:webHidden/>
          </w:rPr>
        </w:r>
        <w:r>
          <w:rPr>
            <w:noProof/>
            <w:webHidden/>
          </w:rPr>
          <w:fldChar w:fldCharType="separate"/>
        </w:r>
        <w:r>
          <w:rPr>
            <w:noProof/>
            <w:webHidden/>
          </w:rPr>
          <w:t>35</w:t>
        </w:r>
        <w:r>
          <w:rPr>
            <w:noProof/>
            <w:webHidden/>
          </w:rPr>
          <w:fldChar w:fldCharType="end"/>
        </w:r>
      </w:hyperlink>
    </w:p>
    <w:p w14:paraId="48924E40" w14:textId="226B9C3A"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71" w:history="1">
        <w:r w:rsidRPr="00AB4921">
          <w:rPr>
            <w:rStyle w:val="Hyperlink"/>
          </w:rPr>
          <w:t>Figure 10 Composite WPI/CPI measure with overall WPI and Education and training WPI</w:t>
        </w:r>
        <w:r>
          <w:rPr>
            <w:noProof/>
            <w:webHidden/>
          </w:rPr>
          <w:tab/>
        </w:r>
        <w:r>
          <w:rPr>
            <w:noProof/>
            <w:webHidden/>
          </w:rPr>
          <w:fldChar w:fldCharType="begin"/>
        </w:r>
        <w:r>
          <w:rPr>
            <w:noProof/>
            <w:webHidden/>
          </w:rPr>
          <w:instrText xml:space="preserve"> PAGEREF _Toc163650471 \h </w:instrText>
        </w:r>
        <w:r>
          <w:rPr>
            <w:noProof/>
            <w:webHidden/>
          </w:rPr>
        </w:r>
        <w:r>
          <w:rPr>
            <w:noProof/>
            <w:webHidden/>
          </w:rPr>
          <w:fldChar w:fldCharType="separate"/>
        </w:r>
        <w:r>
          <w:rPr>
            <w:noProof/>
            <w:webHidden/>
          </w:rPr>
          <w:t>36</w:t>
        </w:r>
        <w:r>
          <w:rPr>
            <w:noProof/>
            <w:webHidden/>
          </w:rPr>
          <w:fldChar w:fldCharType="end"/>
        </w:r>
      </w:hyperlink>
    </w:p>
    <w:p w14:paraId="2FD0C1B2" w14:textId="68E1A462"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72" w:history="1">
        <w:r w:rsidRPr="00AB4921">
          <w:rPr>
            <w:rStyle w:val="Hyperlink"/>
          </w:rPr>
          <w:t>Figure 11 Timeline of key ABS releases and schooling dates</w:t>
        </w:r>
        <w:r>
          <w:rPr>
            <w:noProof/>
            <w:webHidden/>
          </w:rPr>
          <w:tab/>
        </w:r>
        <w:r>
          <w:rPr>
            <w:noProof/>
            <w:webHidden/>
          </w:rPr>
          <w:fldChar w:fldCharType="begin"/>
        </w:r>
        <w:r>
          <w:rPr>
            <w:noProof/>
            <w:webHidden/>
          </w:rPr>
          <w:instrText xml:space="preserve"> PAGEREF _Toc163650472 \h </w:instrText>
        </w:r>
        <w:r>
          <w:rPr>
            <w:noProof/>
            <w:webHidden/>
          </w:rPr>
        </w:r>
        <w:r>
          <w:rPr>
            <w:noProof/>
            <w:webHidden/>
          </w:rPr>
          <w:fldChar w:fldCharType="separate"/>
        </w:r>
        <w:r>
          <w:rPr>
            <w:noProof/>
            <w:webHidden/>
          </w:rPr>
          <w:t>42</w:t>
        </w:r>
        <w:r>
          <w:rPr>
            <w:noProof/>
            <w:webHidden/>
          </w:rPr>
          <w:fldChar w:fldCharType="end"/>
        </w:r>
      </w:hyperlink>
    </w:p>
    <w:p w14:paraId="76A39856" w14:textId="69FCF23D"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73" w:history="1">
        <w:r w:rsidRPr="00AB4921">
          <w:rPr>
            <w:rStyle w:val="Hyperlink"/>
          </w:rPr>
          <w:t>Figure 12 SRS indexation and payment timings for government and non-government schools under current arrangements</w:t>
        </w:r>
        <w:r>
          <w:rPr>
            <w:noProof/>
            <w:webHidden/>
          </w:rPr>
          <w:tab/>
        </w:r>
        <w:r>
          <w:rPr>
            <w:noProof/>
            <w:webHidden/>
          </w:rPr>
          <w:fldChar w:fldCharType="begin"/>
        </w:r>
        <w:r>
          <w:rPr>
            <w:noProof/>
            <w:webHidden/>
          </w:rPr>
          <w:instrText xml:space="preserve"> PAGEREF _Toc163650473 \h </w:instrText>
        </w:r>
        <w:r>
          <w:rPr>
            <w:noProof/>
            <w:webHidden/>
          </w:rPr>
        </w:r>
        <w:r>
          <w:rPr>
            <w:noProof/>
            <w:webHidden/>
          </w:rPr>
          <w:fldChar w:fldCharType="separate"/>
        </w:r>
        <w:r>
          <w:rPr>
            <w:noProof/>
            <w:webHidden/>
          </w:rPr>
          <w:t>43</w:t>
        </w:r>
        <w:r>
          <w:rPr>
            <w:noProof/>
            <w:webHidden/>
          </w:rPr>
          <w:fldChar w:fldCharType="end"/>
        </w:r>
      </w:hyperlink>
    </w:p>
    <w:p w14:paraId="7D1810CD" w14:textId="14CFBCF7"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74" w:history="1">
        <w:r w:rsidRPr="00AB4921">
          <w:rPr>
            <w:rStyle w:val="Hyperlink"/>
          </w:rPr>
          <w:t>Figure 13 Salary increases for government sector teachers stipulated in state and territory Enterprise Bargaining Agreements. 2018–2024</w:t>
        </w:r>
        <w:r>
          <w:rPr>
            <w:noProof/>
            <w:webHidden/>
          </w:rPr>
          <w:tab/>
        </w:r>
        <w:r>
          <w:rPr>
            <w:noProof/>
            <w:webHidden/>
          </w:rPr>
          <w:fldChar w:fldCharType="begin"/>
        </w:r>
        <w:r>
          <w:rPr>
            <w:noProof/>
            <w:webHidden/>
          </w:rPr>
          <w:instrText xml:space="preserve"> PAGEREF _Toc163650474 \h </w:instrText>
        </w:r>
        <w:r>
          <w:rPr>
            <w:noProof/>
            <w:webHidden/>
          </w:rPr>
        </w:r>
        <w:r>
          <w:rPr>
            <w:noProof/>
            <w:webHidden/>
          </w:rPr>
          <w:fldChar w:fldCharType="separate"/>
        </w:r>
        <w:r>
          <w:rPr>
            <w:noProof/>
            <w:webHidden/>
          </w:rPr>
          <w:t>64</w:t>
        </w:r>
        <w:r>
          <w:rPr>
            <w:noProof/>
            <w:webHidden/>
          </w:rPr>
          <w:fldChar w:fldCharType="end"/>
        </w:r>
      </w:hyperlink>
    </w:p>
    <w:p w14:paraId="1F498887" w14:textId="5A3FADD5"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75" w:history="1">
        <w:r w:rsidRPr="00AB4921">
          <w:rPr>
            <w:rStyle w:val="Hyperlink"/>
          </w:rPr>
          <w:t>Figure 14 Salary increases for non-government sector teachers stipulated in relevant Enterprise Bargaining Agreements, 2018–2024</w:t>
        </w:r>
        <w:r>
          <w:rPr>
            <w:noProof/>
            <w:webHidden/>
          </w:rPr>
          <w:tab/>
        </w:r>
        <w:r>
          <w:rPr>
            <w:noProof/>
            <w:webHidden/>
          </w:rPr>
          <w:fldChar w:fldCharType="begin"/>
        </w:r>
        <w:r>
          <w:rPr>
            <w:noProof/>
            <w:webHidden/>
          </w:rPr>
          <w:instrText xml:space="preserve"> PAGEREF _Toc163650475 \h </w:instrText>
        </w:r>
        <w:r>
          <w:rPr>
            <w:noProof/>
            <w:webHidden/>
          </w:rPr>
        </w:r>
        <w:r>
          <w:rPr>
            <w:noProof/>
            <w:webHidden/>
          </w:rPr>
          <w:fldChar w:fldCharType="separate"/>
        </w:r>
        <w:r>
          <w:rPr>
            <w:noProof/>
            <w:webHidden/>
          </w:rPr>
          <w:t>65</w:t>
        </w:r>
        <w:r>
          <w:rPr>
            <w:noProof/>
            <w:webHidden/>
          </w:rPr>
          <w:fldChar w:fldCharType="end"/>
        </w:r>
      </w:hyperlink>
    </w:p>
    <w:p w14:paraId="630766DA" w14:textId="1F77B3C9"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76" w:history="1">
        <w:r w:rsidRPr="00AB4921">
          <w:rPr>
            <w:rStyle w:val="Hyperlink"/>
          </w:rPr>
          <w:t>Figure 15 Salary increases for Government sector administrative &amp; clerical staff stipulated in relevant state and territory Enterprise Bargaining Agreements, 2018–2024</w:t>
        </w:r>
        <w:r>
          <w:rPr>
            <w:noProof/>
            <w:webHidden/>
          </w:rPr>
          <w:tab/>
        </w:r>
        <w:r>
          <w:rPr>
            <w:noProof/>
            <w:webHidden/>
          </w:rPr>
          <w:fldChar w:fldCharType="begin"/>
        </w:r>
        <w:r>
          <w:rPr>
            <w:noProof/>
            <w:webHidden/>
          </w:rPr>
          <w:instrText xml:space="preserve"> PAGEREF _Toc163650476 \h </w:instrText>
        </w:r>
        <w:r>
          <w:rPr>
            <w:noProof/>
            <w:webHidden/>
          </w:rPr>
        </w:r>
        <w:r>
          <w:rPr>
            <w:noProof/>
            <w:webHidden/>
          </w:rPr>
          <w:fldChar w:fldCharType="separate"/>
        </w:r>
        <w:r>
          <w:rPr>
            <w:noProof/>
            <w:webHidden/>
          </w:rPr>
          <w:t>66</w:t>
        </w:r>
        <w:r>
          <w:rPr>
            <w:noProof/>
            <w:webHidden/>
          </w:rPr>
          <w:fldChar w:fldCharType="end"/>
        </w:r>
      </w:hyperlink>
    </w:p>
    <w:p w14:paraId="0FB78278" w14:textId="2E01A1CC" w:rsidR="00E430AE" w:rsidRPr="00AB3B90" w:rsidRDefault="004B586C" w:rsidP="00FA1F71">
      <w:pPr>
        <w:pStyle w:val="TableofFigures"/>
        <w:tabs>
          <w:tab w:val="right" w:leader="dot" w:pos="9016"/>
        </w:tabs>
      </w:pPr>
      <w:r w:rsidRPr="00AB3B90">
        <w:fldChar w:fldCharType="end"/>
      </w:r>
    </w:p>
    <w:p w14:paraId="766AE069" w14:textId="77777777" w:rsidR="00BF080A" w:rsidRPr="00AB3B90" w:rsidRDefault="00BF080A" w:rsidP="00BF080A">
      <w:pPr>
        <w:pStyle w:val="Heading1"/>
      </w:pPr>
      <w:bookmarkStart w:id="13" w:name="_Toc71021770"/>
      <w:bookmarkStart w:id="14" w:name="_Toc161304649"/>
      <w:bookmarkStart w:id="15" w:name="_Toc163650424"/>
      <w:r w:rsidRPr="00AB3B90">
        <w:t>List of</w:t>
      </w:r>
      <w:r w:rsidR="00E430AE" w:rsidRPr="00AB3B90">
        <w:t xml:space="preserve"> tables</w:t>
      </w:r>
      <w:bookmarkEnd w:id="13"/>
      <w:bookmarkEnd w:id="14"/>
      <w:bookmarkEnd w:id="15"/>
      <w:r w:rsidRPr="00AB3B90">
        <w:t xml:space="preserve"> </w:t>
      </w:r>
    </w:p>
    <w:bookmarkEnd w:id="8"/>
    <w:bookmarkEnd w:id="7"/>
    <w:p w14:paraId="1147FB07" w14:textId="10FDEAE1" w:rsidR="00A63DEE" w:rsidRDefault="00437E48">
      <w:pPr>
        <w:pStyle w:val="TableofFigures"/>
        <w:tabs>
          <w:tab w:val="right" w:leader="dot" w:pos="9016"/>
        </w:tabs>
        <w:rPr>
          <w:rFonts w:asciiTheme="minorHAnsi" w:eastAsiaTheme="minorEastAsia" w:hAnsiTheme="minorHAnsi"/>
          <w:noProof/>
          <w:kern w:val="2"/>
          <w:lang w:eastAsia="en-AU"/>
          <w14:ligatures w14:val="standardContextual"/>
        </w:rPr>
      </w:pPr>
      <w:r w:rsidRPr="00AB3B90">
        <w:fldChar w:fldCharType="begin"/>
      </w:r>
      <w:r w:rsidRPr="00AB3B90">
        <w:instrText xml:space="preserve"> TOC \h \z \c "Table" </w:instrText>
      </w:r>
      <w:r w:rsidRPr="00AB3B90">
        <w:fldChar w:fldCharType="separate"/>
      </w:r>
      <w:hyperlink w:anchor="_Toc163650477" w:history="1">
        <w:r w:rsidR="00A63DEE" w:rsidRPr="00685038">
          <w:rPr>
            <w:rStyle w:val="Hyperlink"/>
          </w:rPr>
          <w:t>Table 1 Recurrent expenditure on government school sector by financial year</w:t>
        </w:r>
        <w:r w:rsidR="00A63DEE">
          <w:rPr>
            <w:noProof/>
            <w:webHidden/>
          </w:rPr>
          <w:tab/>
        </w:r>
        <w:r w:rsidR="00A63DEE">
          <w:rPr>
            <w:noProof/>
            <w:webHidden/>
          </w:rPr>
          <w:fldChar w:fldCharType="begin"/>
        </w:r>
        <w:r w:rsidR="00A63DEE">
          <w:rPr>
            <w:noProof/>
            <w:webHidden/>
          </w:rPr>
          <w:instrText xml:space="preserve"> PAGEREF _Toc163650477 \h </w:instrText>
        </w:r>
        <w:r w:rsidR="00A63DEE">
          <w:rPr>
            <w:noProof/>
            <w:webHidden/>
          </w:rPr>
        </w:r>
        <w:r w:rsidR="00A63DEE">
          <w:rPr>
            <w:noProof/>
            <w:webHidden/>
          </w:rPr>
          <w:fldChar w:fldCharType="separate"/>
        </w:r>
        <w:r w:rsidR="00A63DEE">
          <w:rPr>
            <w:noProof/>
            <w:webHidden/>
          </w:rPr>
          <w:t>9</w:t>
        </w:r>
        <w:r w:rsidR="00A63DEE">
          <w:rPr>
            <w:noProof/>
            <w:webHidden/>
          </w:rPr>
          <w:fldChar w:fldCharType="end"/>
        </w:r>
      </w:hyperlink>
    </w:p>
    <w:p w14:paraId="1175E462" w14:textId="5E0A24B5"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78" w:history="1">
        <w:r w:rsidRPr="00685038">
          <w:rPr>
            <w:rStyle w:val="Hyperlink"/>
          </w:rPr>
          <w:t>Table 2 Recurrent expenditure on non-government school sector by calendar year</w:t>
        </w:r>
        <w:r>
          <w:rPr>
            <w:noProof/>
            <w:webHidden/>
          </w:rPr>
          <w:tab/>
        </w:r>
        <w:r>
          <w:rPr>
            <w:noProof/>
            <w:webHidden/>
          </w:rPr>
          <w:fldChar w:fldCharType="begin"/>
        </w:r>
        <w:r>
          <w:rPr>
            <w:noProof/>
            <w:webHidden/>
          </w:rPr>
          <w:instrText xml:space="preserve"> PAGEREF _Toc163650478 \h </w:instrText>
        </w:r>
        <w:r>
          <w:rPr>
            <w:noProof/>
            <w:webHidden/>
          </w:rPr>
        </w:r>
        <w:r>
          <w:rPr>
            <w:noProof/>
            <w:webHidden/>
          </w:rPr>
          <w:fldChar w:fldCharType="separate"/>
        </w:r>
        <w:r>
          <w:rPr>
            <w:noProof/>
            <w:webHidden/>
          </w:rPr>
          <w:t>10</w:t>
        </w:r>
        <w:r>
          <w:rPr>
            <w:noProof/>
            <w:webHidden/>
          </w:rPr>
          <w:fldChar w:fldCharType="end"/>
        </w:r>
      </w:hyperlink>
    </w:p>
    <w:p w14:paraId="72C736DA" w14:textId="10C07256"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79" w:history="1">
        <w:r w:rsidRPr="00685038">
          <w:rPr>
            <w:rStyle w:val="Hyperlink"/>
          </w:rPr>
          <w:t>Table 3 FTE staff by school sector and function, Australia, 2017–2022</w:t>
        </w:r>
        <w:r>
          <w:rPr>
            <w:noProof/>
            <w:webHidden/>
          </w:rPr>
          <w:tab/>
        </w:r>
        <w:r>
          <w:rPr>
            <w:noProof/>
            <w:webHidden/>
          </w:rPr>
          <w:fldChar w:fldCharType="begin"/>
        </w:r>
        <w:r>
          <w:rPr>
            <w:noProof/>
            <w:webHidden/>
          </w:rPr>
          <w:instrText xml:space="preserve"> PAGEREF _Toc163650479 \h </w:instrText>
        </w:r>
        <w:r>
          <w:rPr>
            <w:noProof/>
            <w:webHidden/>
          </w:rPr>
        </w:r>
        <w:r>
          <w:rPr>
            <w:noProof/>
            <w:webHidden/>
          </w:rPr>
          <w:fldChar w:fldCharType="separate"/>
        </w:r>
        <w:r>
          <w:rPr>
            <w:noProof/>
            <w:webHidden/>
          </w:rPr>
          <w:t>14</w:t>
        </w:r>
        <w:r>
          <w:rPr>
            <w:noProof/>
            <w:webHidden/>
          </w:rPr>
          <w:fldChar w:fldCharType="end"/>
        </w:r>
      </w:hyperlink>
    </w:p>
    <w:p w14:paraId="5F902C53" w14:textId="3E8315DB"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80" w:history="1">
        <w:r w:rsidRPr="00685038">
          <w:rPr>
            <w:rStyle w:val="Hyperlink"/>
          </w:rPr>
          <w:t>Table 4 Estimated growth in government sector teacher wages and salaries, by state and territory</w:t>
        </w:r>
        <w:r>
          <w:rPr>
            <w:noProof/>
            <w:webHidden/>
          </w:rPr>
          <w:tab/>
        </w:r>
        <w:r>
          <w:rPr>
            <w:noProof/>
            <w:webHidden/>
          </w:rPr>
          <w:fldChar w:fldCharType="begin"/>
        </w:r>
        <w:r>
          <w:rPr>
            <w:noProof/>
            <w:webHidden/>
          </w:rPr>
          <w:instrText xml:space="preserve"> PAGEREF _Toc163650480 \h </w:instrText>
        </w:r>
        <w:r>
          <w:rPr>
            <w:noProof/>
            <w:webHidden/>
          </w:rPr>
        </w:r>
        <w:r>
          <w:rPr>
            <w:noProof/>
            <w:webHidden/>
          </w:rPr>
          <w:fldChar w:fldCharType="separate"/>
        </w:r>
        <w:r>
          <w:rPr>
            <w:noProof/>
            <w:webHidden/>
          </w:rPr>
          <w:t>18</w:t>
        </w:r>
        <w:r>
          <w:rPr>
            <w:noProof/>
            <w:webHidden/>
          </w:rPr>
          <w:fldChar w:fldCharType="end"/>
        </w:r>
      </w:hyperlink>
    </w:p>
    <w:p w14:paraId="390151FB" w14:textId="14420468"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81" w:history="1">
        <w:r w:rsidRPr="00685038">
          <w:rPr>
            <w:rStyle w:val="Hyperlink"/>
          </w:rPr>
          <w:t>Table 5 Estimated growth in government sector non-teacher wages and salaries by jurisdiction, 2019–2024</w:t>
        </w:r>
        <w:r>
          <w:rPr>
            <w:noProof/>
            <w:webHidden/>
          </w:rPr>
          <w:tab/>
        </w:r>
        <w:r>
          <w:rPr>
            <w:noProof/>
            <w:webHidden/>
          </w:rPr>
          <w:fldChar w:fldCharType="begin"/>
        </w:r>
        <w:r>
          <w:rPr>
            <w:noProof/>
            <w:webHidden/>
          </w:rPr>
          <w:instrText xml:space="preserve"> PAGEREF _Toc163650481 \h </w:instrText>
        </w:r>
        <w:r>
          <w:rPr>
            <w:noProof/>
            <w:webHidden/>
          </w:rPr>
        </w:r>
        <w:r>
          <w:rPr>
            <w:noProof/>
            <w:webHidden/>
          </w:rPr>
          <w:fldChar w:fldCharType="separate"/>
        </w:r>
        <w:r>
          <w:rPr>
            <w:noProof/>
            <w:webHidden/>
          </w:rPr>
          <w:t>21</w:t>
        </w:r>
        <w:r>
          <w:rPr>
            <w:noProof/>
            <w:webHidden/>
          </w:rPr>
          <w:fldChar w:fldCharType="end"/>
        </w:r>
      </w:hyperlink>
    </w:p>
    <w:p w14:paraId="02B2DE42" w14:textId="7E6FFDEA"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82" w:history="1">
        <w:r w:rsidRPr="00685038">
          <w:rPr>
            <w:rStyle w:val="Hyperlink"/>
          </w:rPr>
          <w:t>Table 6 Growth in the WPI, original, year to June quarter</w:t>
        </w:r>
        <w:r>
          <w:rPr>
            <w:noProof/>
            <w:webHidden/>
          </w:rPr>
          <w:tab/>
        </w:r>
        <w:r>
          <w:rPr>
            <w:noProof/>
            <w:webHidden/>
          </w:rPr>
          <w:fldChar w:fldCharType="begin"/>
        </w:r>
        <w:r>
          <w:rPr>
            <w:noProof/>
            <w:webHidden/>
          </w:rPr>
          <w:instrText xml:space="preserve"> PAGEREF _Toc163650482 \h </w:instrText>
        </w:r>
        <w:r>
          <w:rPr>
            <w:noProof/>
            <w:webHidden/>
          </w:rPr>
        </w:r>
        <w:r>
          <w:rPr>
            <w:noProof/>
            <w:webHidden/>
          </w:rPr>
          <w:fldChar w:fldCharType="separate"/>
        </w:r>
        <w:r>
          <w:rPr>
            <w:noProof/>
            <w:webHidden/>
          </w:rPr>
          <w:t>25</w:t>
        </w:r>
        <w:r>
          <w:rPr>
            <w:noProof/>
            <w:webHidden/>
          </w:rPr>
          <w:fldChar w:fldCharType="end"/>
        </w:r>
      </w:hyperlink>
    </w:p>
    <w:p w14:paraId="230535D0" w14:textId="1D415110"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83" w:history="1">
        <w:r w:rsidRPr="00685038">
          <w:rPr>
            <w:rStyle w:val="Hyperlink"/>
          </w:rPr>
          <w:t>Table 7 Consumer Price Index, original, year to June quarter, 2019–2023</w:t>
        </w:r>
        <w:r>
          <w:rPr>
            <w:noProof/>
            <w:webHidden/>
          </w:rPr>
          <w:tab/>
        </w:r>
        <w:r>
          <w:rPr>
            <w:noProof/>
            <w:webHidden/>
          </w:rPr>
          <w:fldChar w:fldCharType="begin"/>
        </w:r>
        <w:r>
          <w:rPr>
            <w:noProof/>
            <w:webHidden/>
          </w:rPr>
          <w:instrText xml:space="preserve"> PAGEREF _Toc163650483 \h </w:instrText>
        </w:r>
        <w:r>
          <w:rPr>
            <w:noProof/>
            <w:webHidden/>
          </w:rPr>
        </w:r>
        <w:r>
          <w:rPr>
            <w:noProof/>
            <w:webHidden/>
          </w:rPr>
          <w:fldChar w:fldCharType="separate"/>
        </w:r>
        <w:r>
          <w:rPr>
            <w:noProof/>
            <w:webHidden/>
          </w:rPr>
          <w:t>26</w:t>
        </w:r>
        <w:r>
          <w:rPr>
            <w:noProof/>
            <w:webHidden/>
          </w:rPr>
          <w:fldChar w:fldCharType="end"/>
        </w:r>
      </w:hyperlink>
    </w:p>
    <w:p w14:paraId="19EE2A02" w14:textId="1C2D4433"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84" w:history="1">
        <w:r w:rsidRPr="00685038">
          <w:rPr>
            <w:rStyle w:val="Hyperlink"/>
          </w:rPr>
          <w:t>Table 8 Alternative data inputs for the composite index</w:t>
        </w:r>
        <w:r>
          <w:rPr>
            <w:noProof/>
            <w:webHidden/>
          </w:rPr>
          <w:tab/>
        </w:r>
        <w:r>
          <w:rPr>
            <w:noProof/>
            <w:webHidden/>
          </w:rPr>
          <w:fldChar w:fldCharType="begin"/>
        </w:r>
        <w:r>
          <w:rPr>
            <w:noProof/>
            <w:webHidden/>
          </w:rPr>
          <w:instrText xml:space="preserve"> PAGEREF _Toc163650484 \h </w:instrText>
        </w:r>
        <w:r>
          <w:rPr>
            <w:noProof/>
            <w:webHidden/>
          </w:rPr>
        </w:r>
        <w:r>
          <w:rPr>
            <w:noProof/>
            <w:webHidden/>
          </w:rPr>
          <w:fldChar w:fldCharType="separate"/>
        </w:r>
        <w:r>
          <w:rPr>
            <w:noProof/>
            <w:webHidden/>
          </w:rPr>
          <w:t>39</w:t>
        </w:r>
        <w:r>
          <w:rPr>
            <w:noProof/>
            <w:webHidden/>
          </w:rPr>
          <w:fldChar w:fldCharType="end"/>
        </w:r>
      </w:hyperlink>
    </w:p>
    <w:p w14:paraId="60CE571B" w14:textId="0629D3B7"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85" w:history="1">
        <w:r w:rsidRPr="00685038">
          <w:rPr>
            <w:rStyle w:val="Hyperlink"/>
          </w:rPr>
          <w:t>Table 9 Alternative CPI/WPI quarters impact on non-government school payments - 2024 example</w:t>
        </w:r>
        <w:r>
          <w:rPr>
            <w:noProof/>
            <w:webHidden/>
          </w:rPr>
          <w:tab/>
        </w:r>
        <w:r>
          <w:rPr>
            <w:noProof/>
            <w:webHidden/>
          </w:rPr>
          <w:fldChar w:fldCharType="begin"/>
        </w:r>
        <w:r>
          <w:rPr>
            <w:noProof/>
            <w:webHidden/>
          </w:rPr>
          <w:instrText xml:space="preserve"> PAGEREF _Toc163650485 \h </w:instrText>
        </w:r>
        <w:r>
          <w:rPr>
            <w:noProof/>
            <w:webHidden/>
          </w:rPr>
        </w:r>
        <w:r>
          <w:rPr>
            <w:noProof/>
            <w:webHidden/>
          </w:rPr>
          <w:fldChar w:fldCharType="separate"/>
        </w:r>
        <w:r>
          <w:rPr>
            <w:noProof/>
            <w:webHidden/>
          </w:rPr>
          <w:t>44</w:t>
        </w:r>
        <w:r>
          <w:rPr>
            <w:noProof/>
            <w:webHidden/>
          </w:rPr>
          <w:fldChar w:fldCharType="end"/>
        </w:r>
      </w:hyperlink>
    </w:p>
    <w:p w14:paraId="66F0927A" w14:textId="2316506E"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86" w:history="1">
        <w:r w:rsidRPr="00685038">
          <w:rPr>
            <w:rStyle w:val="Hyperlink"/>
          </w:rPr>
          <w:t>Table 10 Final indexation rates for the 2019–2023 funding years using earlier WPI and CPI quarters</w:t>
        </w:r>
        <w:r>
          <w:rPr>
            <w:noProof/>
            <w:webHidden/>
          </w:rPr>
          <w:tab/>
        </w:r>
        <w:r>
          <w:rPr>
            <w:noProof/>
            <w:webHidden/>
          </w:rPr>
          <w:fldChar w:fldCharType="begin"/>
        </w:r>
        <w:r>
          <w:rPr>
            <w:noProof/>
            <w:webHidden/>
          </w:rPr>
          <w:instrText xml:space="preserve"> PAGEREF _Toc163650486 \h </w:instrText>
        </w:r>
        <w:r>
          <w:rPr>
            <w:noProof/>
            <w:webHidden/>
          </w:rPr>
        </w:r>
        <w:r>
          <w:rPr>
            <w:noProof/>
            <w:webHidden/>
          </w:rPr>
          <w:fldChar w:fldCharType="separate"/>
        </w:r>
        <w:r>
          <w:rPr>
            <w:noProof/>
            <w:webHidden/>
          </w:rPr>
          <w:t>46</w:t>
        </w:r>
        <w:r>
          <w:rPr>
            <w:noProof/>
            <w:webHidden/>
          </w:rPr>
          <w:fldChar w:fldCharType="end"/>
        </w:r>
      </w:hyperlink>
    </w:p>
    <w:p w14:paraId="36305333" w14:textId="26294BB8"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87" w:history="1">
        <w:r w:rsidRPr="00685038">
          <w:rPr>
            <w:rStyle w:val="Hyperlink"/>
          </w:rPr>
          <w:t>Table 11 Government sector teaching staff Enterprise Bargaining Agreements</w:t>
        </w:r>
        <w:r>
          <w:rPr>
            <w:noProof/>
            <w:webHidden/>
          </w:rPr>
          <w:tab/>
        </w:r>
        <w:r>
          <w:rPr>
            <w:noProof/>
            <w:webHidden/>
          </w:rPr>
          <w:fldChar w:fldCharType="begin"/>
        </w:r>
        <w:r>
          <w:rPr>
            <w:noProof/>
            <w:webHidden/>
          </w:rPr>
          <w:instrText xml:space="preserve"> PAGEREF _Toc163650487 \h </w:instrText>
        </w:r>
        <w:r>
          <w:rPr>
            <w:noProof/>
            <w:webHidden/>
          </w:rPr>
        </w:r>
        <w:r>
          <w:rPr>
            <w:noProof/>
            <w:webHidden/>
          </w:rPr>
          <w:fldChar w:fldCharType="separate"/>
        </w:r>
        <w:r>
          <w:rPr>
            <w:noProof/>
            <w:webHidden/>
          </w:rPr>
          <w:t>68</w:t>
        </w:r>
        <w:r>
          <w:rPr>
            <w:noProof/>
            <w:webHidden/>
          </w:rPr>
          <w:fldChar w:fldCharType="end"/>
        </w:r>
      </w:hyperlink>
    </w:p>
    <w:p w14:paraId="76F48F2F" w14:textId="144F8EAD"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88" w:history="1">
        <w:r w:rsidRPr="00685038">
          <w:rPr>
            <w:rStyle w:val="Hyperlink"/>
          </w:rPr>
          <w:t>Table 12 Government sector non-teaching staff Enterprise Bargaining Agreements</w:t>
        </w:r>
        <w:r>
          <w:rPr>
            <w:noProof/>
            <w:webHidden/>
          </w:rPr>
          <w:tab/>
        </w:r>
        <w:r>
          <w:rPr>
            <w:noProof/>
            <w:webHidden/>
          </w:rPr>
          <w:fldChar w:fldCharType="begin"/>
        </w:r>
        <w:r>
          <w:rPr>
            <w:noProof/>
            <w:webHidden/>
          </w:rPr>
          <w:instrText xml:space="preserve"> PAGEREF _Toc163650488 \h </w:instrText>
        </w:r>
        <w:r>
          <w:rPr>
            <w:noProof/>
            <w:webHidden/>
          </w:rPr>
        </w:r>
        <w:r>
          <w:rPr>
            <w:noProof/>
            <w:webHidden/>
          </w:rPr>
          <w:fldChar w:fldCharType="separate"/>
        </w:r>
        <w:r>
          <w:rPr>
            <w:noProof/>
            <w:webHidden/>
          </w:rPr>
          <w:t>69</w:t>
        </w:r>
        <w:r>
          <w:rPr>
            <w:noProof/>
            <w:webHidden/>
          </w:rPr>
          <w:fldChar w:fldCharType="end"/>
        </w:r>
      </w:hyperlink>
    </w:p>
    <w:p w14:paraId="1F25FF1A" w14:textId="1E76C207"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89" w:history="1">
        <w:r w:rsidRPr="00685038">
          <w:rPr>
            <w:rStyle w:val="Hyperlink"/>
          </w:rPr>
          <w:t>Table 13 Non-government sector teaching staff Enterprise Bargaining Agreements</w:t>
        </w:r>
        <w:r>
          <w:rPr>
            <w:noProof/>
            <w:webHidden/>
          </w:rPr>
          <w:tab/>
        </w:r>
        <w:r>
          <w:rPr>
            <w:noProof/>
            <w:webHidden/>
          </w:rPr>
          <w:fldChar w:fldCharType="begin"/>
        </w:r>
        <w:r>
          <w:rPr>
            <w:noProof/>
            <w:webHidden/>
          </w:rPr>
          <w:instrText xml:space="preserve"> PAGEREF _Toc163650489 \h </w:instrText>
        </w:r>
        <w:r>
          <w:rPr>
            <w:noProof/>
            <w:webHidden/>
          </w:rPr>
        </w:r>
        <w:r>
          <w:rPr>
            <w:noProof/>
            <w:webHidden/>
          </w:rPr>
          <w:fldChar w:fldCharType="separate"/>
        </w:r>
        <w:r>
          <w:rPr>
            <w:noProof/>
            <w:webHidden/>
          </w:rPr>
          <w:t>70</w:t>
        </w:r>
        <w:r>
          <w:rPr>
            <w:noProof/>
            <w:webHidden/>
          </w:rPr>
          <w:fldChar w:fldCharType="end"/>
        </w:r>
      </w:hyperlink>
    </w:p>
    <w:p w14:paraId="0FB85A32" w14:textId="42D1D9B0" w:rsidR="00A63DEE" w:rsidRDefault="00A63DEE">
      <w:pPr>
        <w:pStyle w:val="TableofFigures"/>
        <w:tabs>
          <w:tab w:val="right" w:leader="dot" w:pos="9016"/>
        </w:tabs>
        <w:rPr>
          <w:rFonts w:asciiTheme="minorHAnsi" w:eastAsiaTheme="minorEastAsia" w:hAnsiTheme="minorHAnsi"/>
          <w:noProof/>
          <w:kern w:val="2"/>
          <w:lang w:eastAsia="en-AU"/>
          <w14:ligatures w14:val="standardContextual"/>
        </w:rPr>
      </w:pPr>
      <w:hyperlink w:anchor="_Toc163650490" w:history="1">
        <w:r w:rsidRPr="00685038">
          <w:rPr>
            <w:rStyle w:val="Hyperlink"/>
          </w:rPr>
          <w:t>Table 14 Other data sources used throughout the issues paper for analysis</w:t>
        </w:r>
        <w:r>
          <w:rPr>
            <w:noProof/>
            <w:webHidden/>
          </w:rPr>
          <w:tab/>
        </w:r>
        <w:r>
          <w:rPr>
            <w:noProof/>
            <w:webHidden/>
          </w:rPr>
          <w:fldChar w:fldCharType="begin"/>
        </w:r>
        <w:r>
          <w:rPr>
            <w:noProof/>
            <w:webHidden/>
          </w:rPr>
          <w:instrText xml:space="preserve"> PAGEREF _Toc163650490 \h </w:instrText>
        </w:r>
        <w:r>
          <w:rPr>
            <w:noProof/>
            <w:webHidden/>
          </w:rPr>
        </w:r>
        <w:r>
          <w:rPr>
            <w:noProof/>
            <w:webHidden/>
          </w:rPr>
          <w:fldChar w:fldCharType="separate"/>
        </w:r>
        <w:r>
          <w:rPr>
            <w:noProof/>
            <w:webHidden/>
          </w:rPr>
          <w:t>71</w:t>
        </w:r>
        <w:r>
          <w:rPr>
            <w:noProof/>
            <w:webHidden/>
          </w:rPr>
          <w:fldChar w:fldCharType="end"/>
        </w:r>
      </w:hyperlink>
    </w:p>
    <w:p w14:paraId="0562CB0E" w14:textId="2E68EA29" w:rsidR="001555F4" w:rsidRPr="00AB3B90" w:rsidRDefault="00437E48" w:rsidP="00437E48">
      <w:r w:rsidRPr="00AB3B90">
        <w:fldChar w:fldCharType="end"/>
      </w:r>
      <w:r w:rsidR="00DE17E7" w:rsidRPr="00AB3B90">
        <w:br w:type="page"/>
      </w:r>
    </w:p>
    <w:p w14:paraId="6757833A" w14:textId="6B22624E" w:rsidR="006D02AD" w:rsidRPr="00AB3B90" w:rsidRDefault="006D02AD" w:rsidP="006D02AD">
      <w:pPr>
        <w:pStyle w:val="Heading1"/>
      </w:pPr>
      <w:bookmarkStart w:id="16" w:name="_Ref69131183"/>
      <w:bookmarkStart w:id="17" w:name="_Ref69131198"/>
      <w:bookmarkStart w:id="18" w:name="_Toc71021771"/>
      <w:bookmarkStart w:id="19" w:name="_Toc161304650"/>
      <w:bookmarkStart w:id="20" w:name="_Toc163650425"/>
      <w:r w:rsidRPr="00AB3B90">
        <w:t>Glossary</w:t>
      </w:r>
      <w:bookmarkEnd w:id="16"/>
      <w:bookmarkEnd w:id="17"/>
      <w:bookmarkEnd w:id="18"/>
      <w:bookmarkEnd w:id="19"/>
      <w:bookmarkEnd w:id="20"/>
      <w:r w:rsidRPr="00AB3B90">
        <w:t xml:space="preserve"> </w:t>
      </w:r>
    </w:p>
    <w:tbl>
      <w:tblPr>
        <w:tblStyle w:val="TableGrid"/>
        <w:tblW w:w="5025" w:type="pct"/>
        <w:tblLook w:val="04E0" w:firstRow="1" w:lastRow="1" w:firstColumn="1" w:lastColumn="0" w:noHBand="0" w:noVBand="1"/>
      </w:tblPr>
      <w:tblGrid>
        <w:gridCol w:w="2819"/>
        <w:gridCol w:w="6252"/>
      </w:tblGrid>
      <w:tr w:rsidR="006D02AD" w:rsidRPr="00AB3B90" w14:paraId="6187428C" w14:textId="77777777" w:rsidTr="747ECDC0">
        <w:trPr>
          <w:cnfStyle w:val="100000000000" w:firstRow="1" w:lastRow="0" w:firstColumn="0" w:lastColumn="0" w:oddVBand="0" w:evenVBand="0" w:oddHBand="0" w:evenHBand="0" w:firstRowFirstColumn="0" w:firstRowLastColumn="0" w:lastRowFirstColumn="0" w:lastRowLastColumn="0"/>
          <w:tblHeader/>
        </w:trPr>
        <w:tc>
          <w:tcPr>
            <w:tcW w:w="1554" w:type="pct"/>
          </w:tcPr>
          <w:p w14:paraId="0CEB4B25" w14:textId="77777777" w:rsidR="006D02AD" w:rsidRPr="00AB3B90" w:rsidRDefault="006D02AD" w:rsidP="0079532C">
            <w:pPr>
              <w:spacing w:before="48" w:after="48"/>
              <w:rPr>
                <w:b w:val="0"/>
                <w:sz w:val="22"/>
                <w:szCs w:val="24"/>
              </w:rPr>
            </w:pPr>
            <w:r w:rsidRPr="00AB3B90">
              <w:rPr>
                <w:b w:val="0"/>
                <w:sz w:val="22"/>
                <w:szCs w:val="24"/>
              </w:rPr>
              <w:t>Term</w:t>
            </w:r>
          </w:p>
        </w:tc>
        <w:tc>
          <w:tcPr>
            <w:tcW w:w="3446" w:type="pct"/>
          </w:tcPr>
          <w:p w14:paraId="26B3A6B9" w14:textId="77777777" w:rsidR="006D02AD" w:rsidRPr="00AB3B90" w:rsidRDefault="006D02AD" w:rsidP="0079532C">
            <w:pPr>
              <w:spacing w:before="48" w:after="48"/>
              <w:rPr>
                <w:b w:val="0"/>
                <w:sz w:val="22"/>
                <w:szCs w:val="24"/>
              </w:rPr>
            </w:pPr>
            <w:r w:rsidRPr="00AB3B90">
              <w:rPr>
                <w:b w:val="0"/>
                <w:sz w:val="22"/>
                <w:szCs w:val="24"/>
              </w:rPr>
              <w:t xml:space="preserve">Definition </w:t>
            </w:r>
          </w:p>
        </w:tc>
      </w:tr>
      <w:tr w:rsidR="00EE39FF" w:rsidRPr="00AB3B90" w14:paraId="7A13942C" w14:textId="77777777" w:rsidTr="747ECDC0">
        <w:trPr>
          <w:cnfStyle w:val="000000100000" w:firstRow="0" w:lastRow="0" w:firstColumn="0" w:lastColumn="0" w:oddVBand="0" w:evenVBand="0" w:oddHBand="1" w:evenHBand="0" w:firstRowFirstColumn="0" w:firstRowLastColumn="0" w:lastRowFirstColumn="0" w:lastRowLastColumn="0"/>
        </w:trPr>
        <w:tc>
          <w:tcPr>
            <w:tcW w:w="1554" w:type="pct"/>
          </w:tcPr>
          <w:p w14:paraId="40B42285" w14:textId="5DC0A6ED" w:rsidR="00EE39FF" w:rsidRPr="00AB3B90" w:rsidRDefault="00695B25" w:rsidP="00EE39FF">
            <w:pPr>
              <w:rPr>
                <w:rStyle w:val="Strong"/>
                <w:sz w:val="22"/>
              </w:rPr>
            </w:pPr>
            <w:r w:rsidRPr="00AB3B90">
              <w:rPr>
                <w:rStyle w:val="Strong"/>
                <w:sz w:val="22"/>
              </w:rPr>
              <w:t>Australian Curriculum, Assessment and Reporting Authority (ACARA)</w:t>
            </w:r>
          </w:p>
        </w:tc>
        <w:tc>
          <w:tcPr>
            <w:tcW w:w="3446" w:type="pct"/>
          </w:tcPr>
          <w:p w14:paraId="2F1FEB47" w14:textId="5924D641" w:rsidR="00EE39FF" w:rsidRPr="00AB3B90" w:rsidRDefault="00695B25" w:rsidP="00EE39FF">
            <w:pPr>
              <w:rPr>
                <w:rStyle w:val="Strong"/>
                <w:b w:val="0"/>
                <w:bCs w:val="0"/>
              </w:rPr>
            </w:pPr>
            <w:r w:rsidRPr="00AB3B90">
              <w:rPr>
                <w:rStyle w:val="Strong"/>
                <w:b w:val="0"/>
                <w:bCs w:val="0"/>
              </w:rPr>
              <w:t>A</w:t>
            </w:r>
            <w:r w:rsidRPr="00AB3B90">
              <w:rPr>
                <w:rStyle w:val="Strong"/>
                <w:b w:val="0"/>
                <w:bCs w:val="0"/>
                <w:sz w:val="22"/>
              </w:rPr>
              <w:t>n independent statutory authority which provides advice on national curriculum, assessment and reporting to all Australian education ministers</w:t>
            </w:r>
          </w:p>
        </w:tc>
      </w:tr>
      <w:tr w:rsidR="00DF0D4D" w:rsidRPr="00AB3B90" w14:paraId="3112366C" w14:textId="77777777" w:rsidTr="747ECDC0">
        <w:tc>
          <w:tcPr>
            <w:tcW w:w="1554" w:type="pct"/>
          </w:tcPr>
          <w:p w14:paraId="4D2A70C3" w14:textId="106D05BC" w:rsidR="00DF0D4D" w:rsidRPr="008B5C06" w:rsidRDefault="008E2CB4" w:rsidP="00EE39FF">
            <w:pPr>
              <w:rPr>
                <w:rStyle w:val="Strong"/>
                <w:sz w:val="22"/>
              </w:rPr>
            </w:pPr>
            <w:r w:rsidRPr="008B5C06">
              <w:rPr>
                <w:rStyle w:val="Strong"/>
                <w:sz w:val="22"/>
              </w:rPr>
              <w:t>CAGR</w:t>
            </w:r>
          </w:p>
        </w:tc>
        <w:tc>
          <w:tcPr>
            <w:tcW w:w="3446" w:type="pct"/>
            <w:vAlign w:val="top"/>
          </w:tcPr>
          <w:p w14:paraId="7034B50A" w14:textId="2A2079A2" w:rsidR="00DF0D4D" w:rsidRPr="008B5C06" w:rsidRDefault="008265A4" w:rsidP="00EE39FF">
            <w:pPr>
              <w:rPr>
                <w:rStyle w:val="Strong"/>
                <w:b w:val="0"/>
                <w:bCs w:val="0"/>
                <w:sz w:val="22"/>
              </w:rPr>
            </w:pPr>
            <w:r w:rsidRPr="008B5C06">
              <w:rPr>
                <w:rStyle w:val="Strong"/>
                <w:b w:val="0"/>
                <w:bCs w:val="0"/>
                <w:sz w:val="22"/>
              </w:rPr>
              <w:t xml:space="preserve">Compound Annual Growth Rate is </w:t>
            </w:r>
            <w:r w:rsidR="006C7E1D" w:rsidRPr="008B5C06">
              <w:rPr>
                <w:rStyle w:val="Strong"/>
                <w:b w:val="0"/>
                <w:bCs w:val="0"/>
                <w:sz w:val="22"/>
              </w:rPr>
              <w:t xml:space="preserve">the annualised average rate of growth over time, with the effect of compounding </w:t>
            </w:r>
            <w:proofErr w:type="gramStart"/>
            <w:r w:rsidR="006C7E1D" w:rsidRPr="008B5C06">
              <w:rPr>
                <w:rStyle w:val="Strong"/>
                <w:b w:val="0"/>
                <w:bCs w:val="0"/>
                <w:sz w:val="22"/>
              </w:rPr>
              <w:t>taken into account</w:t>
            </w:r>
            <w:proofErr w:type="gramEnd"/>
            <w:r w:rsidR="006C7E1D" w:rsidRPr="008B5C06">
              <w:rPr>
                <w:rStyle w:val="Strong"/>
                <w:b w:val="0"/>
                <w:bCs w:val="0"/>
                <w:sz w:val="22"/>
              </w:rPr>
              <w:t>.</w:t>
            </w:r>
          </w:p>
        </w:tc>
      </w:tr>
      <w:tr w:rsidR="00EE39FF" w:rsidRPr="00AB3B90" w14:paraId="67784202" w14:textId="77777777" w:rsidTr="747ECDC0">
        <w:trPr>
          <w:cnfStyle w:val="000000100000" w:firstRow="0" w:lastRow="0" w:firstColumn="0" w:lastColumn="0" w:oddVBand="0" w:evenVBand="0" w:oddHBand="1" w:evenHBand="0" w:firstRowFirstColumn="0" w:firstRowLastColumn="0" w:lastRowFirstColumn="0" w:lastRowLastColumn="0"/>
        </w:trPr>
        <w:tc>
          <w:tcPr>
            <w:tcW w:w="1554" w:type="pct"/>
          </w:tcPr>
          <w:p w14:paraId="1D3E594A" w14:textId="1AC6FD1D" w:rsidR="00EE39FF" w:rsidRPr="00AB3B90" w:rsidRDefault="00696966" w:rsidP="00EE39FF">
            <w:pPr>
              <w:rPr>
                <w:rStyle w:val="Strong"/>
                <w:sz w:val="22"/>
              </w:rPr>
            </w:pPr>
            <w:r w:rsidRPr="00AB3B90">
              <w:rPr>
                <w:rStyle w:val="Strong"/>
                <w:sz w:val="22"/>
              </w:rPr>
              <w:t>CPI</w:t>
            </w:r>
          </w:p>
        </w:tc>
        <w:tc>
          <w:tcPr>
            <w:tcW w:w="3446" w:type="pct"/>
            <w:vAlign w:val="top"/>
          </w:tcPr>
          <w:p w14:paraId="64658464" w14:textId="6706E72B" w:rsidR="00EE39FF" w:rsidRPr="00AB3B90" w:rsidRDefault="00696966" w:rsidP="00EE39FF">
            <w:pPr>
              <w:rPr>
                <w:sz w:val="22"/>
              </w:rPr>
            </w:pPr>
            <w:r w:rsidRPr="00AB3B90">
              <w:rPr>
                <w:sz w:val="22"/>
              </w:rPr>
              <w:t>Consumer Price Index</w:t>
            </w:r>
          </w:p>
        </w:tc>
      </w:tr>
      <w:tr w:rsidR="00EE39FF" w:rsidRPr="00AB3B90" w14:paraId="28FA2C0E" w14:textId="77777777" w:rsidTr="747ECDC0">
        <w:tc>
          <w:tcPr>
            <w:tcW w:w="1554" w:type="pct"/>
          </w:tcPr>
          <w:p w14:paraId="73C4FA7E" w14:textId="08A338AE" w:rsidR="00EE39FF" w:rsidRPr="00AB3B90" w:rsidRDefault="00551F37" w:rsidP="00EE39FF">
            <w:pPr>
              <w:rPr>
                <w:rStyle w:val="Strong"/>
                <w:sz w:val="22"/>
              </w:rPr>
            </w:pPr>
            <w:r w:rsidRPr="00AB3B90">
              <w:rPr>
                <w:rStyle w:val="Strong"/>
                <w:sz w:val="22"/>
              </w:rPr>
              <w:t>Enterprise Bargaining Agreement (EBA)</w:t>
            </w:r>
            <w:r w:rsidRPr="00AB3B90">
              <w:rPr>
                <w:rStyle w:val="Strong"/>
              </w:rPr>
              <w:t xml:space="preserve"> </w:t>
            </w:r>
          </w:p>
        </w:tc>
        <w:tc>
          <w:tcPr>
            <w:tcW w:w="3446" w:type="pct"/>
            <w:vAlign w:val="top"/>
          </w:tcPr>
          <w:p w14:paraId="66257342" w14:textId="3170F61A" w:rsidR="00EE39FF" w:rsidRPr="00AB3B90" w:rsidRDefault="00CB1134" w:rsidP="00EE39FF">
            <w:pPr>
              <w:rPr>
                <w:sz w:val="22"/>
              </w:rPr>
            </w:pPr>
            <w:r w:rsidRPr="00AB3B90">
              <w:rPr>
                <w:sz w:val="22"/>
              </w:rPr>
              <w:t xml:space="preserve">An </w:t>
            </w:r>
            <w:r w:rsidR="00696966" w:rsidRPr="00AB3B90">
              <w:rPr>
                <w:sz w:val="22"/>
              </w:rPr>
              <w:t>Enterprise Bargaining Agreement</w:t>
            </w:r>
            <w:r w:rsidRPr="00AB3B90">
              <w:rPr>
                <w:sz w:val="22"/>
              </w:rPr>
              <w:t xml:space="preserve"> is a legal document that covers certain employers and employees and sets out minimum employment terms and conditions.</w:t>
            </w:r>
          </w:p>
        </w:tc>
      </w:tr>
      <w:tr w:rsidR="00EE39FF" w:rsidRPr="00AB3B90" w14:paraId="7AD96E47" w14:textId="77777777" w:rsidTr="007731C5">
        <w:trPr>
          <w:cnfStyle w:val="000000100000" w:firstRow="0" w:lastRow="0" w:firstColumn="0" w:lastColumn="0" w:oddVBand="0" w:evenVBand="0" w:oddHBand="1" w:evenHBand="0" w:firstRowFirstColumn="0" w:firstRowLastColumn="0" w:lastRowFirstColumn="0" w:lastRowLastColumn="0"/>
        </w:trPr>
        <w:tc>
          <w:tcPr>
            <w:tcW w:w="1554" w:type="pct"/>
          </w:tcPr>
          <w:p w14:paraId="042F1801" w14:textId="04335888" w:rsidR="00EE39FF" w:rsidRPr="00AB3B90" w:rsidRDefault="001519B8" w:rsidP="00EE39FF">
            <w:pPr>
              <w:rPr>
                <w:rStyle w:val="Strong"/>
                <w:sz w:val="22"/>
              </w:rPr>
            </w:pPr>
            <w:r w:rsidRPr="00AB3B90">
              <w:rPr>
                <w:rStyle w:val="Strong"/>
                <w:sz w:val="22"/>
              </w:rPr>
              <w:t>Indexation</w:t>
            </w:r>
          </w:p>
        </w:tc>
        <w:tc>
          <w:tcPr>
            <w:tcW w:w="3446" w:type="pct"/>
            <w:vAlign w:val="top"/>
          </w:tcPr>
          <w:p w14:paraId="7AC97120" w14:textId="301FDB71" w:rsidR="00EE39FF" w:rsidRPr="00AB3B90" w:rsidRDefault="001519B8" w:rsidP="00EE39FF">
            <w:pPr>
              <w:rPr>
                <w:sz w:val="22"/>
              </w:rPr>
            </w:pPr>
            <w:r w:rsidRPr="00AB3B90">
              <w:rPr>
                <w:sz w:val="22"/>
              </w:rPr>
              <w:t xml:space="preserve">Indexation adjusts the value of government programs for changes in the level of prices, living costs or wages. </w:t>
            </w:r>
            <w:r w:rsidR="00A76649" w:rsidRPr="00AB3B90">
              <w:rPr>
                <w:sz w:val="22"/>
              </w:rPr>
              <w:t>Generally,</w:t>
            </w:r>
            <w:r w:rsidRPr="00AB3B90">
              <w:rPr>
                <w:sz w:val="22"/>
              </w:rPr>
              <w:t xml:space="preserve"> indexation aims to maintain the relative value or level of policy settings over time</w:t>
            </w:r>
          </w:p>
        </w:tc>
      </w:tr>
      <w:tr w:rsidR="008A7A8F" w:rsidRPr="00AB3B90" w14:paraId="19B14DF6" w14:textId="77777777" w:rsidTr="007731C5">
        <w:tc>
          <w:tcPr>
            <w:tcW w:w="1554" w:type="pct"/>
            <w:shd w:val="clear" w:color="auto" w:fill="D9E2F3" w:themeFill="accent5" w:themeFillTint="33"/>
          </w:tcPr>
          <w:p w14:paraId="4D8066E0" w14:textId="22708CB6" w:rsidR="008A7A8F" w:rsidRPr="00AB3B90" w:rsidRDefault="008A7A8F" w:rsidP="008A7A8F">
            <w:pPr>
              <w:rPr>
                <w:rStyle w:val="Strong"/>
                <w:sz w:val="22"/>
              </w:rPr>
            </w:pPr>
            <w:r w:rsidRPr="00AB3B90">
              <w:rPr>
                <w:rStyle w:val="Strong"/>
                <w:sz w:val="22"/>
              </w:rPr>
              <w:t>National School Reform Agreement</w:t>
            </w:r>
            <w:r w:rsidR="006A1013" w:rsidRPr="00AB3B90">
              <w:rPr>
                <w:rStyle w:val="Strong"/>
                <w:sz w:val="22"/>
              </w:rPr>
              <w:t xml:space="preserve"> (NSRA)</w:t>
            </w:r>
          </w:p>
        </w:tc>
        <w:tc>
          <w:tcPr>
            <w:tcW w:w="3446" w:type="pct"/>
            <w:shd w:val="clear" w:color="auto" w:fill="D9E2F3" w:themeFill="accent5" w:themeFillTint="33"/>
            <w:vAlign w:val="top"/>
          </w:tcPr>
          <w:p w14:paraId="04153F9D" w14:textId="1BFA9494" w:rsidR="008A7A8F" w:rsidRPr="00AB3B90" w:rsidRDefault="008A7A8F" w:rsidP="00A76649">
            <w:pPr>
              <w:rPr>
                <w:sz w:val="22"/>
              </w:rPr>
            </w:pPr>
            <w:r w:rsidRPr="00AB3B90">
              <w:rPr>
                <w:sz w:val="22"/>
              </w:rPr>
              <w:t>A joint agreement between the Australian Government and states and territories to lift student outcomes across Australian schools.</w:t>
            </w:r>
          </w:p>
        </w:tc>
      </w:tr>
      <w:tr w:rsidR="00183936" w:rsidRPr="00AB3B90" w14:paraId="63F95061" w14:textId="77777777" w:rsidTr="00183936">
        <w:trPr>
          <w:cnfStyle w:val="000000100000" w:firstRow="0" w:lastRow="0" w:firstColumn="0" w:lastColumn="0" w:oddVBand="0" w:evenVBand="0" w:oddHBand="1" w:evenHBand="0" w:firstRowFirstColumn="0" w:firstRowLastColumn="0" w:lastRowFirstColumn="0" w:lastRowLastColumn="0"/>
        </w:trPr>
        <w:tc>
          <w:tcPr>
            <w:tcW w:w="1554" w:type="pct"/>
            <w:shd w:val="clear" w:color="auto" w:fill="FFFFFF" w:themeFill="background1"/>
          </w:tcPr>
          <w:p w14:paraId="5D343B66" w14:textId="0B791108" w:rsidR="00183936" w:rsidRPr="00AB3B90" w:rsidRDefault="00183936" w:rsidP="00183936">
            <w:pPr>
              <w:rPr>
                <w:rStyle w:val="Strong"/>
              </w:rPr>
            </w:pPr>
            <w:r w:rsidRPr="00AB3B90">
              <w:rPr>
                <w:rStyle w:val="Strong"/>
                <w:sz w:val="22"/>
              </w:rPr>
              <w:t>National Schools Statistics Collection (NSSC) data</w:t>
            </w:r>
          </w:p>
        </w:tc>
        <w:tc>
          <w:tcPr>
            <w:tcW w:w="3446" w:type="pct"/>
            <w:shd w:val="clear" w:color="auto" w:fill="FFFFFF" w:themeFill="background1"/>
            <w:vAlign w:val="top"/>
          </w:tcPr>
          <w:p w14:paraId="37D79198" w14:textId="59865CA3" w:rsidR="00183936" w:rsidRPr="00AB3B90" w:rsidRDefault="00183936" w:rsidP="007B41D7">
            <w:r w:rsidRPr="00AB3B90">
              <w:rPr>
                <w:rStyle w:val="Strong"/>
                <w:b w:val="0"/>
                <w:bCs w:val="0"/>
                <w:sz w:val="22"/>
              </w:rPr>
              <w:t xml:space="preserve">This data set collected by ACARA is a census, conducted annually as a collaborative arrangement between State, Territory and Commonwealth education authorities and the </w:t>
            </w:r>
            <w:r w:rsidR="00642DA1">
              <w:rPr>
                <w:rStyle w:val="Strong"/>
                <w:b w:val="0"/>
                <w:bCs w:val="0"/>
                <w:sz w:val="22"/>
              </w:rPr>
              <w:t>Australian Bureau of Statistics</w:t>
            </w:r>
            <w:r w:rsidRPr="00AB3B90">
              <w:rPr>
                <w:rStyle w:val="Strong"/>
                <w:b w:val="0"/>
                <w:bCs w:val="0"/>
                <w:sz w:val="22"/>
              </w:rPr>
              <w:t>, which collects data on a range of schooling issues. This includes government school expenditure, non-government schools’ income and expenditure and staff numbers</w:t>
            </w:r>
            <w:r w:rsidR="007B41D7" w:rsidRPr="00AB3B90">
              <w:rPr>
                <w:rStyle w:val="Strong"/>
                <w:b w:val="0"/>
                <w:bCs w:val="0"/>
                <w:sz w:val="22"/>
              </w:rPr>
              <w:t>.</w:t>
            </w:r>
          </w:p>
        </w:tc>
      </w:tr>
      <w:tr w:rsidR="00183936" w:rsidRPr="00AB3B90" w14:paraId="0E89B248" w14:textId="77777777" w:rsidTr="007731C5">
        <w:tc>
          <w:tcPr>
            <w:tcW w:w="1554" w:type="pct"/>
            <w:shd w:val="clear" w:color="auto" w:fill="D9E2F3" w:themeFill="accent5" w:themeFillTint="33"/>
          </w:tcPr>
          <w:p w14:paraId="5B012767" w14:textId="111B5175" w:rsidR="00183936" w:rsidRPr="00AB3B90" w:rsidRDefault="00183936" w:rsidP="00183936">
            <w:pPr>
              <w:rPr>
                <w:rStyle w:val="Strong"/>
              </w:rPr>
            </w:pPr>
            <w:r w:rsidRPr="00AB3B90">
              <w:rPr>
                <w:rStyle w:val="Strong"/>
                <w:sz w:val="22"/>
              </w:rPr>
              <w:t>Schooling Resource Standard (SRS)</w:t>
            </w:r>
          </w:p>
        </w:tc>
        <w:tc>
          <w:tcPr>
            <w:tcW w:w="3446" w:type="pct"/>
            <w:shd w:val="clear" w:color="auto" w:fill="D9E2F3" w:themeFill="accent5" w:themeFillTint="33"/>
            <w:vAlign w:val="top"/>
          </w:tcPr>
          <w:p w14:paraId="56517887" w14:textId="6010C095" w:rsidR="00183936" w:rsidRPr="00AB3B90" w:rsidRDefault="00183936" w:rsidP="00183936">
            <w:r w:rsidRPr="00AB3B90">
              <w:rPr>
                <w:rFonts w:eastAsia="CIDFont+F1" w:cs="CIDFont+F1"/>
                <w:sz w:val="22"/>
                <w:lang w:val="en"/>
              </w:rPr>
              <w:t xml:space="preserve">An estimate of how much total public funding a school needs to meet its students’ educational needs. It is made up of a base amount for all primary and secondary students plus six </w:t>
            </w:r>
            <w:r w:rsidRPr="00AB3B90">
              <w:rPr>
                <w:rFonts w:eastAsia="CIDFont+F1" w:cs="CIDFont+F1"/>
                <w:sz w:val="22"/>
                <w:lang w:val="en"/>
              </w:rPr>
              <w:br/>
              <w:t xml:space="preserve">needs-based loadings. </w:t>
            </w:r>
            <w:r w:rsidRPr="00AB3B90">
              <w:rPr>
                <w:rFonts w:eastAsia="CIDFont+F1" w:cs="CIDFont+F1"/>
                <w:sz w:val="22"/>
              </w:rPr>
              <w:t xml:space="preserve"> </w:t>
            </w:r>
          </w:p>
        </w:tc>
      </w:tr>
      <w:tr w:rsidR="00183936" w:rsidRPr="00AB3B90" w14:paraId="035540E8" w14:textId="77777777" w:rsidTr="00183936">
        <w:trPr>
          <w:cnfStyle w:val="000000100000" w:firstRow="0" w:lastRow="0" w:firstColumn="0" w:lastColumn="0" w:oddVBand="0" w:evenVBand="0" w:oddHBand="1" w:evenHBand="0" w:firstRowFirstColumn="0" w:firstRowLastColumn="0" w:lastRowFirstColumn="0" w:lastRowLastColumn="0"/>
        </w:trPr>
        <w:tc>
          <w:tcPr>
            <w:tcW w:w="1554" w:type="pct"/>
            <w:shd w:val="clear" w:color="auto" w:fill="FFFFFF" w:themeFill="background1"/>
          </w:tcPr>
          <w:p w14:paraId="0D8F3F23" w14:textId="7DB8EE1D" w:rsidR="00183936" w:rsidRPr="00AB3B90" w:rsidRDefault="00183936" w:rsidP="00183936">
            <w:pPr>
              <w:rPr>
                <w:rStyle w:val="Strong"/>
              </w:rPr>
            </w:pPr>
            <w:r w:rsidRPr="00AB3B90">
              <w:rPr>
                <w:b/>
                <w:sz w:val="22"/>
              </w:rPr>
              <w:t>Student</w:t>
            </w:r>
          </w:p>
        </w:tc>
        <w:tc>
          <w:tcPr>
            <w:tcW w:w="3446" w:type="pct"/>
            <w:shd w:val="clear" w:color="auto" w:fill="FFFFFF" w:themeFill="background1"/>
          </w:tcPr>
          <w:p w14:paraId="4B75DABC" w14:textId="3A93D482" w:rsidR="00183936" w:rsidRPr="00AB3B90" w:rsidRDefault="00183936" w:rsidP="00183936">
            <w:r w:rsidRPr="00AB3B90">
              <w:rPr>
                <w:rStyle w:val="Strong"/>
                <w:b w:val="0"/>
                <w:sz w:val="22"/>
              </w:rPr>
              <w:t>A person who</w:t>
            </w:r>
            <w:r w:rsidRPr="00AB3B90">
              <w:t>, at</w:t>
            </w:r>
            <w:r w:rsidRPr="00AB3B90">
              <w:rPr>
                <w:sz w:val="22"/>
              </w:rPr>
              <w:t xml:space="preserve"> the school’s</w:t>
            </w:r>
            <w:r w:rsidRPr="00AB3B90">
              <w:rPr>
                <w:rStyle w:val="Strong"/>
                <w:b w:val="0"/>
                <w:sz w:val="22"/>
              </w:rPr>
              <w:t xml:space="preserve"> Census date, is formally enrolled in a school and active in a primary, secondary and/or special education program at that school. Students may be enrolled at more than one school.</w:t>
            </w:r>
          </w:p>
        </w:tc>
      </w:tr>
      <w:tr w:rsidR="00183936" w:rsidRPr="00AB3B90" w14:paraId="5E534402" w14:textId="77777777" w:rsidTr="00183936">
        <w:trPr>
          <w:cnfStyle w:val="010000000000" w:firstRow="0" w:lastRow="1" w:firstColumn="0" w:lastColumn="0" w:oddVBand="0" w:evenVBand="0" w:oddHBand="0" w:evenHBand="0" w:firstRowFirstColumn="0" w:firstRowLastColumn="0" w:lastRowFirstColumn="0" w:lastRowLastColumn="0"/>
        </w:trPr>
        <w:tc>
          <w:tcPr>
            <w:tcW w:w="1554" w:type="pct"/>
            <w:shd w:val="clear" w:color="auto" w:fill="D9E2F3" w:themeFill="accent5" w:themeFillTint="33"/>
          </w:tcPr>
          <w:p w14:paraId="64396426" w14:textId="544C505F" w:rsidR="00183936" w:rsidRPr="00AB3B90" w:rsidRDefault="00183936" w:rsidP="00183936">
            <w:pPr>
              <w:rPr>
                <w:rStyle w:val="Strong"/>
              </w:rPr>
            </w:pPr>
            <w:r w:rsidRPr="00AB3B90">
              <w:rPr>
                <w:b/>
                <w:bCs/>
                <w:sz w:val="22"/>
              </w:rPr>
              <w:t>WPI</w:t>
            </w:r>
          </w:p>
        </w:tc>
        <w:tc>
          <w:tcPr>
            <w:tcW w:w="3446" w:type="pct"/>
            <w:shd w:val="clear" w:color="auto" w:fill="D9E2F3" w:themeFill="accent5" w:themeFillTint="33"/>
          </w:tcPr>
          <w:p w14:paraId="08C3E5CB" w14:textId="0EB441DA" w:rsidR="00183936" w:rsidRPr="00AB3B90" w:rsidRDefault="00183936" w:rsidP="00183936">
            <w:r w:rsidRPr="00AB3B90">
              <w:rPr>
                <w:rStyle w:val="Strong"/>
                <w:b w:val="0"/>
                <w:bCs w:val="0"/>
                <w:sz w:val="22"/>
              </w:rPr>
              <w:t>Wage Price Index</w:t>
            </w:r>
          </w:p>
        </w:tc>
      </w:tr>
    </w:tbl>
    <w:p w14:paraId="75E69919" w14:textId="435AA369" w:rsidR="002660E4" w:rsidRPr="00AB3B90" w:rsidRDefault="002660E4"/>
    <w:p w14:paraId="6410E6DE" w14:textId="77777777" w:rsidR="00B15B5E" w:rsidRPr="00AB3B90" w:rsidRDefault="00B15B5E">
      <w:pPr>
        <w:spacing w:before="0" w:after="160"/>
        <w:rPr>
          <w:rFonts w:eastAsiaTheme="majorEastAsia" w:cstheme="majorBidi"/>
          <w:color w:val="0F294C"/>
          <w:sz w:val="60"/>
          <w:szCs w:val="32"/>
        </w:rPr>
      </w:pPr>
      <w:bookmarkStart w:id="21" w:name="_Toc71021772"/>
      <w:r w:rsidRPr="00AB3B90">
        <w:br w:type="page"/>
      </w:r>
    </w:p>
    <w:p w14:paraId="5AFB387A" w14:textId="24E3C7F4" w:rsidR="00C13137" w:rsidRPr="00AB3B90" w:rsidRDefault="00B15B5E" w:rsidP="00C13137">
      <w:pPr>
        <w:pStyle w:val="Heading1"/>
      </w:pPr>
      <w:bookmarkStart w:id="22" w:name="_Toc161304651"/>
      <w:bookmarkStart w:id="23" w:name="_Toc163650426"/>
      <w:bookmarkEnd w:id="21"/>
      <w:r w:rsidRPr="00AB3B90">
        <w:t>Executive Summary</w:t>
      </w:r>
      <w:bookmarkEnd w:id="22"/>
      <w:bookmarkEnd w:id="23"/>
      <w:r w:rsidRPr="00AB3B90">
        <w:t xml:space="preserve"> </w:t>
      </w:r>
    </w:p>
    <w:p w14:paraId="1040D952" w14:textId="1893B6F8" w:rsidR="422CA225" w:rsidRPr="00AB3B90" w:rsidRDefault="422CA225" w:rsidP="50754209">
      <w:pPr>
        <w:rPr>
          <w:lang w:eastAsia="en-AU"/>
        </w:rPr>
      </w:pPr>
      <w:r w:rsidRPr="00AB3B90">
        <w:rPr>
          <w:lang w:eastAsia="en-AU"/>
        </w:rPr>
        <w:t xml:space="preserve">The </w:t>
      </w:r>
      <w:r w:rsidR="61298603" w:rsidRPr="00AB3B90">
        <w:rPr>
          <w:lang w:eastAsia="en-AU"/>
        </w:rPr>
        <w:t>Schooling Resource Standard (</w:t>
      </w:r>
      <w:r w:rsidRPr="00AB3B90">
        <w:rPr>
          <w:lang w:eastAsia="en-AU"/>
        </w:rPr>
        <w:t>SRS</w:t>
      </w:r>
      <w:r w:rsidR="34E49273" w:rsidRPr="00AB3B90">
        <w:rPr>
          <w:lang w:eastAsia="en-AU"/>
        </w:rPr>
        <w:t>)</w:t>
      </w:r>
      <w:r w:rsidRPr="00AB3B90">
        <w:rPr>
          <w:lang w:eastAsia="en-AU"/>
        </w:rPr>
        <w:t xml:space="preserve"> estimates how much total public funding a school needs to meet its students’ educational needs. It is made up of a base amount and up to six needs-based loadings. </w:t>
      </w:r>
    </w:p>
    <w:p w14:paraId="69DCD98C" w14:textId="0B2767FD" w:rsidR="422CA225" w:rsidRPr="00AB3B90" w:rsidRDefault="422CA225" w:rsidP="50754209">
      <w:r w:rsidRPr="00AB3B90">
        <w:rPr>
          <w:lang w:eastAsia="en-AU"/>
        </w:rPr>
        <w:t xml:space="preserve">Each year, the SRS base amount and </w:t>
      </w:r>
      <w:r w:rsidR="00DA1619" w:rsidRPr="00AB3B90">
        <w:rPr>
          <w:lang w:eastAsia="en-AU"/>
        </w:rPr>
        <w:t xml:space="preserve">size </w:t>
      </w:r>
      <w:r w:rsidRPr="00AB3B90">
        <w:rPr>
          <w:lang w:eastAsia="en-AU"/>
        </w:rPr>
        <w:t xml:space="preserve">loading are indexed to reflect changes in prices which affect the cost of providing schooling. Indexation is a critical component of the SRS as it ensures that funding is responsive to changes in the prices of salary and non-salary inputs, allowing the real value of funding to be maintained over time. </w:t>
      </w:r>
    </w:p>
    <w:p w14:paraId="661F5C0E" w14:textId="5E19C5F9" w:rsidR="422CA225" w:rsidRPr="00AB3B90" w:rsidRDefault="422CA225" w:rsidP="50754209">
      <w:r w:rsidRPr="00AB3B90">
        <w:rPr>
          <w:lang w:eastAsia="en-AU"/>
        </w:rPr>
        <w:t xml:space="preserve">Current SRS indexation arrangements have been in place since 2019 and are outlined in the </w:t>
      </w:r>
      <w:r w:rsidRPr="00AB3B90">
        <w:rPr>
          <w:i/>
          <w:lang w:eastAsia="en-AU"/>
        </w:rPr>
        <w:t>Australian Education Act 2013</w:t>
      </w:r>
      <w:r w:rsidR="50BBFE65" w:rsidRPr="00AB3B90">
        <w:rPr>
          <w:i/>
          <w:iCs/>
          <w:lang w:eastAsia="en-AU"/>
        </w:rPr>
        <w:t xml:space="preserve"> </w:t>
      </w:r>
      <w:r w:rsidR="009F56D8" w:rsidRPr="009F56D8">
        <w:rPr>
          <w:lang w:eastAsia="en-AU"/>
        </w:rPr>
        <w:t>(</w:t>
      </w:r>
      <w:proofErr w:type="spellStart"/>
      <w:r w:rsidR="009F56D8" w:rsidRPr="009F56D8">
        <w:rPr>
          <w:lang w:eastAsia="en-AU"/>
        </w:rPr>
        <w:t>Cth</w:t>
      </w:r>
      <w:proofErr w:type="spellEnd"/>
      <w:r w:rsidR="009F56D8" w:rsidRPr="009F56D8">
        <w:rPr>
          <w:lang w:eastAsia="en-AU"/>
        </w:rPr>
        <w:t>)</w:t>
      </w:r>
      <w:r w:rsidR="009F56D8">
        <w:rPr>
          <w:i/>
          <w:iCs/>
          <w:lang w:eastAsia="en-AU"/>
        </w:rPr>
        <w:t xml:space="preserve"> </w:t>
      </w:r>
      <w:r w:rsidR="50BBFE65" w:rsidRPr="00AB3B90">
        <w:rPr>
          <w:lang w:eastAsia="en-AU"/>
        </w:rPr>
        <w:t>(the Act)</w:t>
      </w:r>
      <w:r w:rsidRPr="00AB3B90">
        <w:rPr>
          <w:lang w:eastAsia="en-AU"/>
        </w:rPr>
        <w:t xml:space="preserve">. The final indexation rate is determined as either: </w:t>
      </w:r>
    </w:p>
    <w:p w14:paraId="53407A8C" w14:textId="56910359" w:rsidR="422CA225" w:rsidRPr="00AB3B90" w:rsidRDefault="422CA225" w:rsidP="00162852">
      <w:pPr>
        <w:pStyle w:val="ListBullet"/>
      </w:pPr>
      <w:r w:rsidRPr="00AB3B90">
        <w:rPr>
          <w:lang w:eastAsia="en-AU"/>
        </w:rPr>
        <w:t xml:space="preserve">A rate calculated as the higher of: </w:t>
      </w:r>
    </w:p>
    <w:p w14:paraId="19F98D56" w14:textId="6B6C3197" w:rsidR="422CA225" w:rsidRPr="00AB3B90" w:rsidRDefault="422CA225" w:rsidP="00B56A9D">
      <w:pPr>
        <w:pStyle w:val="ListBullet2"/>
        <w:numPr>
          <w:ilvl w:val="0"/>
          <w:numId w:val="20"/>
        </w:numPr>
      </w:pPr>
      <w:r w:rsidRPr="00AB3B90">
        <w:rPr>
          <w:lang w:eastAsia="en-AU"/>
        </w:rPr>
        <w:t>3 per cent (the indexation ‘floor’), or</w:t>
      </w:r>
    </w:p>
    <w:p w14:paraId="0984C416" w14:textId="75DF0190" w:rsidR="422CA225" w:rsidRPr="00AB3B90" w:rsidRDefault="422CA225" w:rsidP="00B56A9D">
      <w:pPr>
        <w:pStyle w:val="ListBullet2"/>
        <w:numPr>
          <w:ilvl w:val="0"/>
          <w:numId w:val="20"/>
        </w:numPr>
      </w:pPr>
      <w:r w:rsidRPr="00AB3B90">
        <w:rPr>
          <w:lang w:eastAsia="en-AU"/>
        </w:rPr>
        <w:t xml:space="preserve">A percentage derived from a composite index, comprising of 75 per cent of the change of the Wage Price Index (WPI) </w:t>
      </w:r>
      <w:r w:rsidR="00243C4D" w:rsidRPr="00AB3B90">
        <w:rPr>
          <w:lang w:eastAsia="en-AU"/>
        </w:rPr>
        <w:t xml:space="preserve">and </w:t>
      </w:r>
      <w:r w:rsidRPr="00AB3B90">
        <w:rPr>
          <w:lang w:eastAsia="en-AU"/>
        </w:rPr>
        <w:t>25 per cent of the Consumer Price Index (CPI); or</w:t>
      </w:r>
    </w:p>
    <w:p w14:paraId="2A6B3C77" w14:textId="7D806F36" w:rsidR="422CA225" w:rsidRPr="00AB3B90" w:rsidRDefault="422CA225" w:rsidP="00162852">
      <w:pPr>
        <w:pStyle w:val="ListBullet"/>
      </w:pPr>
      <w:r w:rsidRPr="00AB3B90">
        <w:rPr>
          <w:lang w:eastAsia="en-AU"/>
        </w:rPr>
        <w:t xml:space="preserve">A rate prescribed by the Minister for Education. </w:t>
      </w:r>
    </w:p>
    <w:p w14:paraId="0B60107C" w14:textId="537A15E8" w:rsidR="422CA225" w:rsidRPr="00AB3B90" w:rsidRDefault="422CA225" w:rsidP="50754209">
      <w:r w:rsidRPr="00AB3B90">
        <w:rPr>
          <w:lang w:eastAsia="en-AU"/>
        </w:rPr>
        <w:t>To date, the indexation factor has been prescribed (in 2019 and 2020), set to the indexation floor (in 2021), and set at the composite index (in 2022 and 2023).</w:t>
      </w:r>
    </w:p>
    <w:p w14:paraId="4E2884A9" w14:textId="3EBF4399" w:rsidR="00900F78" w:rsidRPr="00AB3B90" w:rsidRDefault="0F6FC5B6" w:rsidP="77A9E2B3">
      <w:pPr>
        <w:rPr>
          <w:lang w:eastAsia="en-AU"/>
        </w:rPr>
      </w:pPr>
      <w:bookmarkStart w:id="24" w:name="_Toc72849825"/>
      <w:r w:rsidRPr="00AB3B90">
        <w:rPr>
          <w:lang w:eastAsia="en-AU"/>
        </w:rPr>
        <w:t>Th</w:t>
      </w:r>
      <w:r w:rsidR="566B5900" w:rsidRPr="00AB3B90">
        <w:rPr>
          <w:lang w:eastAsia="en-AU"/>
        </w:rPr>
        <w:t>is</w:t>
      </w:r>
      <w:r w:rsidRPr="00AB3B90">
        <w:rPr>
          <w:lang w:eastAsia="en-AU"/>
        </w:rPr>
        <w:t xml:space="preserve"> </w:t>
      </w:r>
      <w:r w:rsidR="709E2F9E" w:rsidRPr="00AB3B90">
        <w:rPr>
          <w:lang w:eastAsia="en-AU"/>
        </w:rPr>
        <w:t>r</w:t>
      </w:r>
      <w:r w:rsidRPr="00AB3B90">
        <w:rPr>
          <w:lang w:eastAsia="en-AU"/>
        </w:rPr>
        <w:t xml:space="preserve">eview of the SRS </w:t>
      </w:r>
      <w:r w:rsidR="00E81DFB" w:rsidRPr="00AB3B90">
        <w:rPr>
          <w:lang w:eastAsia="en-AU"/>
        </w:rPr>
        <w:t>i</w:t>
      </w:r>
      <w:r w:rsidRPr="00AB3B90">
        <w:rPr>
          <w:lang w:eastAsia="en-AU"/>
        </w:rPr>
        <w:t xml:space="preserve">ndexation </w:t>
      </w:r>
      <w:r w:rsidR="00E81DFB" w:rsidRPr="00AB3B90">
        <w:rPr>
          <w:lang w:eastAsia="en-AU"/>
        </w:rPr>
        <w:t>a</w:t>
      </w:r>
      <w:r w:rsidRPr="00AB3B90">
        <w:rPr>
          <w:lang w:eastAsia="en-AU"/>
        </w:rPr>
        <w:t xml:space="preserve">rrangements (the </w:t>
      </w:r>
      <w:r w:rsidR="008031B1" w:rsidRPr="00AB3B90">
        <w:rPr>
          <w:lang w:eastAsia="en-AU"/>
        </w:rPr>
        <w:t>r</w:t>
      </w:r>
      <w:r w:rsidRPr="00AB3B90">
        <w:rPr>
          <w:lang w:eastAsia="en-AU"/>
        </w:rPr>
        <w:t xml:space="preserve">eview) is a commitment arising from the National School Reform Agreement (NSRA). In the extension of the NSRA, Ministers committed to completing the </w:t>
      </w:r>
      <w:r w:rsidR="008031B1" w:rsidRPr="00AB3B90">
        <w:rPr>
          <w:lang w:eastAsia="en-AU"/>
        </w:rPr>
        <w:t>r</w:t>
      </w:r>
      <w:r w:rsidRPr="00AB3B90">
        <w:rPr>
          <w:lang w:eastAsia="en-AU"/>
        </w:rPr>
        <w:t>eview in 2024, and several jurisdictions requested it be completed in early 2024 to inform negotiations for the next NSRA.</w:t>
      </w:r>
    </w:p>
    <w:p w14:paraId="151EB5BD" w14:textId="4808C015" w:rsidR="00900F78" w:rsidRPr="00AB3B90" w:rsidRDefault="0F6FC5B6" w:rsidP="77A9E2B3">
      <w:pPr>
        <w:rPr>
          <w:lang w:eastAsia="en-AU"/>
        </w:rPr>
      </w:pPr>
      <w:r w:rsidRPr="00AB3B90">
        <w:rPr>
          <w:lang w:eastAsia="en-AU"/>
        </w:rPr>
        <w:t xml:space="preserve">In accordance with Section 128 (8) of the </w:t>
      </w:r>
      <w:r w:rsidR="7C9A58C5" w:rsidRPr="00AB3B90">
        <w:rPr>
          <w:lang w:eastAsia="en-AU"/>
        </w:rPr>
        <w:t>Act</w:t>
      </w:r>
      <w:r w:rsidRPr="00AB3B90">
        <w:rPr>
          <w:lang w:eastAsia="en-AU"/>
        </w:rPr>
        <w:t>, in developing the Terms of Reference (</w:t>
      </w:r>
      <w:r w:rsidRPr="00AB3B90">
        <w:rPr>
          <w:u w:val="single"/>
          <w:lang w:eastAsia="en-AU"/>
        </w:rPr>
        <w:t>Appendix A</w:t>
      </w:r>
      <w:r w:rsidRPr="00AB3B90">
        <w:rPr>
          <w:lang w:eastAsia="en-AU"/>
        </w:rPr>
        <w:t xml:space="preserve">) for </w:t>
      </w:r>
      <w:r w:rsidR="00D718B3" w:rsidRPr="00AB3B90">
        <w:rPr>
          <w:lang w:eastAsia="en-AU"/>
        </w:rPr>
        <w:t>the</w:t>
      </w:r>
      <w:r w:rsidRPr="00AB3B90">
        <w:rPr>
          <w:lang w:eastAsia="en-AU"/>
        </w:rPr>
        <w:t xml:space="preserve"> </w:t>
      </w:r>
      <w:r w:rsidR="008031B1" w:rsidRPr="00AB3B90">
        <w:rPr>
          <w:lang w:eastAsia="en-AU"/>
        </w:rPr>
        <w:t>r</w:t>
      </w:r>
      <w:r w:rsidRPr="00AB3B90">
        <w:rPr>
          <w:lang w:eastAsia="en-AU"/>
        </w:rPr>
        <w:t xml:space="preserve">eview, </w:t>
      </w:r>
      <w:r w:rsidR="015226BB" w:rsidRPr="00AB3B90">
        <w:rPr>
          <w:lang w:eastAsia="en-AU"/>
        </w:rPr>
        <w:t xml:space="preserve">the Hon Jason Clare MP, </w:t>
      </w:r>
      <w:r w:rsidR="005B1504" w:rsidRPr="00AB3B90">
        <w:rPr>
          <w:lang w:eastAsia="en-AU"/>
        </w:rPr>
        <w:t xml:space="preserve">Australian Government </w:t>
      </w:r>
      <w:r w:rsidRPr="00AB3B90">
        <w:rPr>
          <w:lang w:eastAsia="en-AU"/>
        </w:rPr>
        <w:t>Minister</w:t>
      </w:r>
      <w:r w:rsidR="3CF173D4" w:rsidRPr="00AB3B90">
        <w:rPr>
          <w:lang w:eastAsia="en-AU"/>
        </w:rPr>
        <w:t xml:space="preserve"> for Education</w:t>
      </w:r>
      <w:r w:rsidRPr="00AB3B90">
        <w:rPr>
          <w:lang w:eastAsia="en-AU"/>
        </w:rPr>
        <w:t xml:space="preserve"> consulted with the Education Ministers Meeting</w:t>
      </w:r>
      <w:r w:rsidR="6645697A" w:rsidRPr="00AB3B90">
        <w:rPr>
          <w:lang w:eastAsia="en-AU"/>
        </w:rPr>
        <w:t xml:space="preserve"> (EMM)</w:t>
      </w:r>
      <w:r w:rsidRPr="00AB3B90">
        <w:rPr>
          <w:lang w:eastAsia="en-AU"/>
        </w:rPr>
        <w:t>, Independent Schools Australia</w:t>
      </w:r>
      <w:r w:rsidR="38A68ECE" w:rsidRPr="00AB3B90">
        <w:rPr>
          <w:lang w:eastAsia="en-AU"/>
        </w:rPr>
        <w:t xml:space="preserve"> (ISA)</w:t>
      </w:r>
      <w:r w:rsidRPr="00AB3B90">
        <w:rPr>
          <w:lang w:eastAsia="en-AU"/>
        </w:rPr>
        <w:t xml:space="preserve"> and the National Catholic Education Commission</w:t>
      </w:r>
      <w:r w:rsidR="56AC4ED5" w:rsidRPr="00AB3B90">
        <w:rPr>
          <w:lang w:eastAsia="en-AU"/>
        </w:rPr>
        <w:t xml:space="preserve"> (NCEC)</w:t>
      </w:r>
      <w:r w:rsidRPr="00AB3B90">
        <w:rPr>
          <w:lang w:eastAsia="en-AU"/>
        </w:rPr>
        <w:t>. Following this consultation, on 1 February 2024, Minister</w:t>
      </w:r>
      <w:r w:rsidR="008554BA" w:rsidRPr="00AB3B90">
        <w:rPr>
          <w:lang w:eastAsia="en-AU"/>
        </w:rPr>
        <w:t> </w:t>
      </w:r>
      <w:r w:rsidRPr="00AB3B90">
        <w:rPr>
          <w:lang w:eastAsia="en-AU"/>
        </w:rPr>
        <w:t xml:space="preserve">Clare commissioned the National School Resourcing Board (the Board) to undertake </w:t>
      </w:r>
      <w:r w:rsidR="00D718B3" w:rsidRPr="00AB3B90">
        <w:rPr>
          <w:lang w:eastAsia="en-AU"/>
        </w:rPr>
        <w:t>the</w:t>
      </w:r>
      <w:r w:rsidRPr="00AB3B90">
        <w:rPr>
          <w:lang w:eastAsia="en-AU"/>
        </w:rPr>
        <w:t xml:space="preserve"> </w:t>
      </w:r>
      <w:r w:rsidR="008031B1" w:rsidRPr="00AB3B90">
        <w:rPr>
          <w:lang w:eastAsia="en-AU"/>
        </w:rPr>
        <w:t>r</w:t>
      </w:r>
      <w:r w:rsidRPr="00AB3B90">
        <w:rPr>
          <w:lang w:eastAsia="en-AU"/>
        </w:rPr>
        <w:t>eview and deliver its final report by 28</w:t>
      </w:r>
      <w:r w:rsidR="000309D6" w:rsidRPr="00AB3B90">
        <w:rPr>
          <w:lang w:eastAsia="en-AU"/>
        </w:rPr>
        <w:t> </w:t>
      </w:r>
      <w:r w:rsidRPr="00AB3B90">
        <w:rPr>
          <w:lang w:eastAsia="en-AU"/>
        </w:rPr>
        <w:t>March</w:t>
      </w:r>
      <w:r w:rsidR="000309D6" w:rsidRPr="00AB3B90">
        <w:rPr>
          <w:lang w:eastAsia="en-AU"/>
        </w:rPr>
        <w:t> </w:t>
      </w:r>
      <w:r w:rsidRPr="00AB3B90">
        <w:rPr>
          <w:lang w:eastAsia="en-AU"/>
        </w:rPr>
        <w:t xml:space="preserve">2024. </w:t>
      </w:r>
    </w:p>
    <w:p w14:paraId="1AB3FA0C" w14:textId="6ABD2E4B" w:rsidR="00C75E4E" w:rsidRPr="00AB3B90" w:rsidRDefault="00900F78" w:rsidP="003E5C0C">
      <w:pPr>
        <w:rPr>
          <w:lang w:eastAsia="en-AU"/>
        </w:rPr>
      </w:pPr>
      <w:r w:rsidRPr="00AB3B90">
        <w:t xml:space="preserve">The </w:t>
      </w:r>
      <w:r w:rsidR="4442807D" w:rsidRPr="00AB3B90">
        <w:t xml:space="preserve">Terms of Reference outline the </w:t>
      </w:r>
      <w:r w:rsidR="009E6F2B" w:rsidRPr="00AB3B90">
        <w:t>r</w:t>
      </w:r>
      <w:r w:rsidR="4442807D" w:rsidRPr="00AB3B90">
        <w:t>eview will</w:t>
      </w:r>
      <w:r w:rsidRPr="00AB3B90">
        <w:t xml:space="preserve"> consider </w:t>
      </w:r>
      <w:r w:rsidR="004048CD" w:rsidRPr="00AB3B90">
        <w:t>and provide advice on</w:t>
      </w:r>
      <w:r w:rsidR="00C75E4E" w:rsidRPr="00AB3B90">
        <w:t>:</w:t>
      </w:r>
    </w:p>
    <w:p w14:paraId="245E2487" w14:textId="55693FAF" w:rsidR="00C75E4E" w:rsidRPr="00AB3B90" w:rsidRDefault="00C75E4E" w:rsidP="00DF626D">
      <w:pPr>
        <w:pStyle w:val="ListBullet"/>
        <w:rPr>
          <w:lang w:eastAsia="en-AU"/>
        </w:rPr>
      </w:pPr>
      <w:r w:rsidRPr="00AB3B90">
        <w:t>The</w:t>
      </w:r>
      <w:r w:rsidR="004048CD" w:rsidRPr="00AB3B90">
        <w:t xml:space="preserve"> appropriateness of current indexation arrangements</w:t>
      </w:r>
      <w:r w:rsidRPr="00AB3B90">
        <w:t>, including whether</w:t>
      </w:r>
      <w:r w:rsidR="004048CD" w:rsidRPr="00AB3B90">
        <w:t xml:space="preserve"> </w:t>
      </w:r>
      <w:r w:rsidR="00900F78" w:rsidRPr="00AB3B90">
        <w:t xml:space="preserve">the </w:t>
      </w:r>
      <w:r w:rsidRPr="00AB3B90">
        <w:t>operation</w:t>
      </w:r>
      <w:r w:rsidR="00900F78" w:rsidRPr="00AB3B90">
        <w:t xml:space="preserve"> of the SRS indexation arrangements </w:t>
      </w:r>
      <w:r w:rsidRPr="00AB3B90">
        <w:t>has kept pace with average schooling cost increases since 2018.</w:t>
      </w:r>
    </w:p>
    <w:p w14:paraId="54EC7782" w14:textId="77777777" w:rsidR="00C0465D" w:rsidRPr="00AB3B90" w:rsidRDefault="00C75E4E" w:rsidP="00DF626D">
      <w:pPr>
        <w:pStyle w:val="ListBullet"/>
        <w:rPr>
          <w:lang w:eastAsia="en-AU"/>
        </w:rPr>
      </w:pPr>
      <w:r w:rsidRPr="00AB3B90">
        <w:t>The suitability of the current SRS indexation floor of 3 per cent</w:t>
      </w:r>
      <w:r w:rsidR="00C0465D" w:rsidRPr="00AB3B90">
        <w:t>.</w:t>
      </w:r>
    </w:p>
    <w:p w14:paraId="1A0EE17B" w14:textId="7C0B0F04" w:rsidR="00671C4F" w:rsidRPr="00AB3B90" w:rsidRDefault="00C0465D" w:rsidP="00DF626D">
      <w:pPr>
        <w:pStyle w:val="ListBullet"/>
        <w:rPr>
          <w:lang w:eastAsia="en-AU"/>
        </w:rPr>
      </w:pPr>
      <w:r w:rsidRPr="00AB3B90">
        <w:t>The appropriateness of the composite index, including its structure, weighting and possible alternatives to the current composite</w:t>
      </w:r>
      <w:r w:rsidR="00D808D3" w:rsidRPr="00AB3B90">
        <w:t xml:space="preserve"> index – currently set as 75 per cent WPI and 25 per cent </w:t>
      </w:r>
      <w:r w:rsidR="00671C4F" w:rsidRPr="00AB3B90">
        <w:t>CPI.</w:t>
      </w:r>
    </w:p>
    <w:p w14:paraId="777A1AE9" w14:textId="7501D32B" w:rsidR="008156D4" w:rsidRPr="00AB3B90" w:rsidRDefault="008156D4" w:rsidP="00DF626D">
      <w:pPr>
        <w:pStyle w:val="ListBullet"/>
      </w:pPr>
      <w:r w:rsidRPr="00AB3B90">
        <w:t xml:space="preserve">The </w:t>
      </w:r>
      <w:r w:rsidR="00162254" w:rsidRPr="00AB3B90">
        <w:t>timing of SRS indexation rates, including:</w:t>
      </w:r>
    </w:p>
    <w:p w14:paraId="3DD16719" w14:textId="14F94741" w:rsidR="00162254" w:rsidRPr="00AB3B90" w:rsidRDefault="00162254" w:rsidP="00DF626D">
      <w:pPr>
        <w:pStyle w:val="ListBullet2"/>
        <w:numPr>
          <w:ilvl w:val="0"/>
          <w:numId w:val="23"/>
        </w:numPr>
        <w:rPr>
          <w:lang w:eastAsia="en-AU"/>
        </w:rPr>
      </w:pPr>
      <w:r w:rsidRPr="00AB3B90">
        <w:t>the reference period for source WPI and CPI data,</w:t>
      </w:r>
    </w:p>
    <w:p w14:paraId="5CD0B805" w14:textId="095B7F0E" w:rsidR="007035E1" w:rsidRPr="00AB3B90" w:rsidRDefault="00162254" w:rsidP="00DF626D">
      <w:pPr>
        <w:pStyle w:val="ListBullet2"/>
        <w:numPr>
          <w:ilvl w:val="0"/>
          <w:numId w:val="23"/>
        </w:numPr>
        <w:rPr>
          <w:lang w:eastAsia="en-AU"/>
        </w:rPr>
      </w:pPr>
      <w:r w:rsidRPr="00AB3B90">
        <w:t xml:space="preserve">the date at which the indexation rate is confirmed for the school year, and its impact on </w:t>
      </w:r>
      <w:r w:rsidR="00B43C95" w:rsidRPr="00AB3B90">
        <w:t>systems and schools’ ability to effectively budget.</w:t>
      </w:r>
    </w:p>
    <w:p w14:paraId="2077BB72" w14:textId="1DDB7637" w:rsidR="6CBB20AE" w:rsidRPr="00AB3B90" w:rsidRDefault="6CBB20AE" w:rsidP="009F66CD">
      <w:pPr>
        <w:pStyle w:val="Heading3"/>
      </w:pPr>
      <w:r w:rsidRPr="00AB3B90">
        <w:t>The review was informed by a macro-economic analysis</w:t>
      </w:r>
      <w:r w:rsidR="3389CA61" w:rsidRPr="00AB3B90">
        <w:t xml:space="preserve"> and </w:t>
      </w:r>
      <w:proofErr w:type="gramStart"/>
      <w:r w:rsidR="3389CA61" w:rsidRPr="00AB3B90">
        <w:t>consultation</w:t>
      </w:r>
      <w:proofErr w:type="gramEnd"/>
    </w:p>
    <w:p w14:paraId="7B701DBE" w14:textId="076B9118" w:rsidR="00BD391B" w:rsidRPr="00AB3B90" w:rsidRDefault="6CBB20AE" w:rsidP="00BD391B">
      <w:r w:rsidRPr="30DEBB0A">
        <w:rPr>
          <w:lang w:eastAsia="en-AU"/>
        </w:rPr>
        <w:t xml:space="preserve">Given the technical nature of the review terms of reference, the Board </w:t>
      </w:r>
      <w:r>
        <w:t xml:space="preserve">commissioned Deloitte </w:t>
      </w:r>
      <w:r w:rsidR="00005066">
        <w:t>Access Economi</w:t>
      </w:r>
      <w:r w:rsidR="006848AB">
        <w:t>cs</w:t>
      </w:r>
      <w:r>
        <w:t xml:space="preserve"> to provide an independent assessment of the current indexation arrangements. This included undertaking modelling and analysis of the indexation arrangements that are currently applied to the SRS. </w:t>
      </w:r>
      <w:r w:rsidR="5C11A7F3">
        <w:t>Extracts of Deloitte</w:t>
      </w:r>
      <w:r w:rsidR="009F66CD">
        <w:t xml:space="preserve"> Access Economic</w:t>
      </w:r>
      <w:r w:rsidR="5C11A7F3">
        <w:t>s</w:t>
      </w:r>
      <w:r w:rsidR="2F6733B0">
        <w:t>’</w:t>
      </w:r>
      <w:r w:rsidR="5C11A7F3">
        <w:t xml:space="preserve"> work </w:t>
      </w:r>
      <w:proofErr w:type="gramStart"/>
      <w:r w:rsidR="5C11A7F3">
        <w:t>are</w:t>
      </w:r>
      <w:proofErr w:type="gramEnd"/>
      <w:r w:rsidR="5C11A7F3">
        <w:t xml:space="preserve"> included in this report</w:t>
      </w:r>
      <w:r w:rsidR="007C2D31">
        <w:t>.</w:t>
      </w:r>
      <w:r w:rsidR="5C11A7F3">
        <w:t xml:space="preserve"> </w:t>
      </w:r>
      <w:r>
        <w:t xml:space="preserve">This was a rapid review of the current arrangements, with the analysis completed at a high level given timing and data constraints. </w:t>
      </w:r>
    </w:p>
    <w:p w14:paraId="1731F484" w14:textId="003D39E5" w:rsidR="00BD391B" w:rsidRPr="00AB3B90" w:rsidRDefault="6CBB20AE" w:rsidP="00BD391B">
      <w:r w:rsidRPr="00AB3B90">
        <w:t>The data underpinning the analysis</w:t>
      </w:r>
      <w:r w:rsidR="5775DACD" w:rsidRPr="00AB3B90">
        <w:t>,</w:t>
      </w:r>
      <w:r w:rsidRPr="00AB3B90">
        <w:t xml:space="preserve"> </w:t>
      </w:r>
      <w:r w:rsidR="5775DACD" w:rsidRPr="00AB3B90">
        <w:t>provided in the format of</w:t>
      </w:r>
      <w:r w:rsidRPr="00AB3B90">
        <w:t xml:space="preserve"> an Issues Paper</w:t>
      </w:r>
      <w:r w:rsidR="5775DACD" w:rsidRPr="00AB3B90">
        <w:t>,</w:t>
      </w:r>
      <w:r w:rsidRPr="00AB3B90">
        <w:t xml:space="preserve"> w</w:t>
      </w:r>
      <w:r w:rsidR="732A898D" w:rsidRPr="00AB3B90">
        <w:t>as</w:t>
      </w:r>
      <w:r w:rsidRPr="00AB3B90">
        <w:t xml:space="preserve"> largely derived from publicly available sources. </w:t>
      </w:r>
      <w:r w:rsidR="5775DACD" w:rsidRPr="00AB3B90">
        <w:t>Subsequently, d</w:t>
      </w:r>
      <w:r w:rsidRPr="00AB3B90">
        <w:t xml:space="preserve">ata received from state and territory governments, </w:t>
      </w:r>
      <w:r w:rsidR="00737347" w:rsidRPr="00AB3B90">
        <w:t xml:space="preserve">the NCEC, </w:t>
      </w:r>
      <w:r w:rsidRPr="00AB3B90">
        <w:t xml:space="preserve">ISA and data for non-government schools provided </w:t>
      </w:r>
      <w:r w:rsidR="5775DACD" w:rsidRPr="00AB3B90">
        <w:t>by</w:t>
      </w:r>
      <w:r w:rsidRPr="00AB3B90">
        <w:t xml:space="preserve"> the Australia</w:t>
      </w:r>
      <w:r w:rsidR="5775DACD" w:rsidRPr="00AB3B90">
        <w:t>n</w:t>
      </w:r>
      <w:r w:rsidRPr="00AB3B90">
        <w:t xml:space="preserve"> Government Department of Education were </w:t>
      </w:r>
      <w:r w:rsidR="5775DACD" w:rsidRPr="00AB3B90">
        <w:t xml:space="preserve">then </w:t>
      </w:r>
      <w:r w:rsidRPr="00AB3B90">
        <w:t>used to verify the publicly available data.</w:t>
      </w:r>
    </w:p>
    <w:p w14:paraId="727E3468" w14:textId="2EBB6973" w:rsidR="00BD391B" w:rsidRPr="00AB3B90" w:rsidRDefault="6CBB20AE" w:rsidP="00BD391B">
      <w:r w:rsidRPr="00AB3B90">
        <w:t xml:space="preserve">Following the </w:t>
      </w:r>
      <w:r w:rsidR="5775DACD" w:rsidRPr="00AB3B90">
        <w:t xml:space="preserve">Board’s targeted consultations with </w:t>
      </w:r>
      <w:r w:rsidR="63413E4B" w:rsidRPr="00AB3B90">
        <w:t>s</w:t>
      </w:r>
      <w:r w:rsidR="5775DACD" w:rsidRPr="00AB3B90">
        <w:t xml:space="preserve">tate and </w:t>
      </w:r>
      <w:r w:rsidR="4C17EC04" w:rsidRPr="00AB3B90">
        <w:t>t</w:t>
      </w:r>
      <w:r w:rsidR="5775DACD" w:rsidRPr="00AB3B90">
        <w:t xml:space="preserve">erritory governments, and </w:t>
      </w:r>
      <w:r w:rsidR="00BD391B" w:rsidRPr="00AB3B90">
        <w:br/>
      </w:r>
      <w:r w:rsidR="5775DACD" w:rsidRPr="00AB3B90">
        <w:t>ISA and the NCEC via consultation meetings</w:t>
      </w:r>
      <w:r w:rsidR="0877BF1E" w:rsidRPr="00AB3B90">
        <w:t xml:space="preserve"> (</w:t>
      </w:r>
      <w:r w:rsidR="5775DACD" w:rsidRPr="00AB3B90">
        <w:t xml:space="preserve">supported </w:t>
      </w:r>
      <w:r w:rsidRPr="00AB3B90">
        <w:t>by the Issues Paper</w:t>
      </w:r>
      <w:r w:rsidR="1F224E8D" w:rsidRPr="00AB3B90">
        <w:t>),</w:t>
      </w:r>
      <w:r w:rsidRPr="00AB3B90">
        <w:t xml:space="preserve"> </w:t>
      </w:r>
      <w:r w:rsidR="7EAD470F" w:rsidRPr="00AB3B90">
        <w:t>8</w:t>
      </w:r>
      <w:r w:rsidRPr="00AB3B90">
        <w:t xml:space="preserve"> stakeholders provided </w:t>
      </w:r>
      <w:r w:rsidR="5775DACD" w:rsidRPr="00AB3B90">
        <w:t xml:space="preserve">written submissions </w:t>
      </w:r>
      <w:r w:rsidR="58FB0369" w:rsidRPr="00AB3B90">
        <w:t xml:space="preserve">in response </w:t>
      </w:r>
      <w:r w:rsidR="5775DACD" w:rsidRPr="00AB3B90">
        <w:t>to the Issues Paper.</w:t>
      </w:r>
    </w:p>
    <w:p w14:paraId="403B36B2" w14:textId="1501EA20" w:rsidR="00BD391B" w:rsidRPr="00AB3B90" w:rsidRDefault="5775DACD" w:rsidP="2B132BE8">
      <w:r w:rsidRPr="00AB3B90">
        <w:t>These stakeholders were also offered the opportunity to provide feedback on the draft</w:t>
      </w:r>
      <w:r w:rsidR="3B3CA2B2" w:rsidRPr="00AB3B90">
        <w:t xml:space="preserve"> </w:t>
      </w:r>
      <w:r w:rsidRPr="00AB3B90">
        <w:t>report.</w:t>
      </w:r>
    </w:p>
    <w:p w14:paraId="15FC4CD8" w14:textId="19791D92" w:rsidR="5F226E13" w:rsidRPr="00AB3B90" w:rsidRDefault="5F226E13" w:rsidP="2B132BE8">
      <w:r w:rsidRPr="00AB3B90">
        <w:t>Constrained timeframes and limited data availability during this review restricted the Board's ability to undertake deep analysis. Therefore, findings and recommendations have been made on-balance, noting the need for further consultation to gather relevant and quality data to support changes</w:t>
      </w:r>
      <w:r w:rsidR="2A7A3FB7" w:rsidRPr="00AB3B90">
        <w:t>.</w:t>
      </w:r>
    </w:p>
    <w:p w14:paraId="2AD0E9DA" w14:textId="5810AD19" w:rsidR="00665AF1" w:rsidRPr="00AB3B90" w:rsidRDefault="1874B942" w:rsidP="009F66CD">
      <w:pPr>
        <w:pStyle w:val="Heading3"/>
      </w:pPr>
      <w:r w:rsidRPr="00AB3B90">
        <w:t xml:space="preserve">Current SRS indexation arrangements are considered to be </w:t>
      </w:r>
      <w:proofErr w:type="gramStart"/>
      <w:r w:rsidRPr="00AB3B90">
        <w:t>appropriate</w:t>
      </w:r>
      <w:proofErr w:type="gramEnd"/>
    </w:p>
    <w:p w14:paraId="118C1284" w14:textId="495E30F1" w:rsidR="00B34497" w:rsidRPr="00AB3B90" w:rsidRDefault="616BA419" w:rsidP="006B2461">
      <w:r w:rsidRPr="00AB3B90">
        <w:t xml:space="preserve">The Board found that current indexation arrangements are considered </w:t>
      </w:r>
      <w:r w:rsidR="0D2934C3" w:rsidRPr="00AB3B90">
        <w:t>appropriate</w:t>
      </w:r>
      <w:r w:rsidRPr="00AB3B90">
        <w:t xml:space="preserve">. </w:t>
      </w:r>
      <w:r w:rsidR="50312E5C" w:rsidRPr="00AB3B90">
        <w:t xml:space="preserve">Overall, the evidence gathered by the Board </w:t>
      </w:r>
      <w:r w:rsidR="2A5A2E56" w:rsidRPr="00AB3B90">
        <w:t>was not definitive enough to recomm</w:t>
      </w:r>
      <w:r w:rsidR="563FFC39" w:rsidRPr="00AB3B90">
        <w:t>end changes to the current SRS indexation arrangements at this time</w:t>
      </w:r>
      <w:r w:rsidR="5A518A97" w:rsidRPr="00AB3B90">
        <w:t xml:space="preserve">. </w:t>
      </w:r>
    </w:p>
    <w:p w14:paraId="67206557" w14:textId="44A9F6A6" w:rsidR="005438D4" w:rsidRPr="00AB3B90" w:rsidRDefault="5B62FB7F" w:rsidP="006B2461">
      <w:r w:rsidRPr="00AB3B90">
        <w:t>During stakeholder consultations</w:t>
      </w:r>
      <w:r w:rsidR="59240302" w:rsidRPr="00AB3B90">
        <w:t>,</w:t>
      </w:r>
      <w:r w:rsidRPr="00AB3B90">
        <w:t xml:space="preserve"> the Board hear</w:t>
      </w:r>
      <w:r w:rsidR="65144713" w:rsidRPr="00AB3B90">
        <w:t>d</w:t>
      </w:r>
      <w:r w:rsidRPr="00AB3B90">
        <w:t xml:space="preserve"> </w:t>
      </w:r>
      <w:r w:rsidR="3ED06A88" w:rsidRPr="00AB3B90">
        <w:t>issues related to structural changes to the delivery of school education</w:t>
      </w:r>
      <w:r w:rsidR="65144713" w:rsidRPr="00AB3B90">
        <w:t xml:space="preserve"> </w:t>
      </w:r>
      <w:r w:rsidR="010943BA" w:rsidRPr="00AB3B90">
        <w:t>which would require</w:t>
      </w:r>
      <w:r w:rsidR="74F37898" w:rsidRPr="00AB3B90">
        <w:t xml:space="preserve"> </w:t>
      </w:r>
      <w:r w:rsidR="18D47120" w:rsidRPr="00AB3B90">
        <w:t xml:space="preserve">future analysis of the design of the SRS (including base and loadings). </w:t>
      </w:r>
      <w:r w:rsidR="010943BA" w:rsidRPr="00AB3B90">
        <w:t>However, as this matter was not within scope of the review’s terms of reference, the Board did not make any recommendations in relation to this aspect o</w:t>
      </w:r>
      <w:r w:rsidR="3898CA4C" w:rsidRPr="00AB3B90">
        <w:t>f the SRS.</w:t>
      </w:r>
      <w:r w:rsidR="219142F2" w:rsidRPr="00AB3B90">
        <w:t xml:space="preserve"> Additionally,</w:t>
      </w:r>
      <w:r w:rsidR="363C6CB5" w:rsidRPr="00AB3B90">
        <w:t xml:space="preserve"> </w:t>
      </w:r>
      <w:r w:rsidR="219142F2" w:rsidRPr="00AB3B90">
        <w:t>Western Australia’s unique early childhood education settin</w:t>
      </w:r>
      <w:r w:rsidR="383A5776" w:rsidRPr="00AB3B90">
        <w:t xml:space="preserve">g was </w:t>
      </w:r>
      <w:r w:rsidR="104B1C1A" w:rsidRPr="00AB3B90">
        <w:t>raised</w:t>
      </w:r>
      <w:r w:rsidR="383A5776" w:rsidRPr="00AB3B90">
        <w:t xml:space="preserve"> however, the SRS does not apply to</w:t>
      </w:r>
      <w:r w:rsidR="7231B9BE" w:rsidRPr="00AB3B90">
        <w:t xml:space="preserve"> children attending</w:t>
      </w:r>
      <w:r w:rsidR="383A5776" w:rsidRPr="00AB3B90">
        <w:t xml:space="preserve"> </w:t>
      </w:r>
      <w:r w:rsidR="62BCB2F6" w:rsidRPr="00AB3B90">
        <w:t>kindergarten in the state and is therefore, out of scope for this review.</w:t>
      </w:r>
    </w:p>
    <w:p w14:paraId="72A02DFA" w14:textId="74AD54DD" w:rsidR="000B03B8" w:rsidRPr="00AB3B90" w:rsidRDefault="005D034D" w:rsidP="009F66CD">
      <w:pPr>
        <w:pStyle w:val="Heading3"/>
      </w:pPr>
      <w:r w:rsidRPr="00AB3B90">
        <w:t xml:space="preserve">Current </w:t>
      </w:r>
      <w:r w:rsidR="004373E0" w:rsidRPr="00AB3B90">
        <w:t>i</w:t>
      </w:r>
      <w:r w:rsidRPr="00AB3B90">
        <w:t xml:space="preserve">ndexation </w:t>
      </w:r>
      <w:r w:rsidR="005B3596" w:rsidRPr="00AB3B90">
        <w:t>f</w:t>
      </w:r>
      <w:r w:rsidRPr="00AB3B90">
        <w:t xml:space="preserve">loor arrangements </w:t>
      </w:r>
      <w:r w:rsidR="004548EA" w:rsidRPr="00AB3B90">
        <w:t xml:space="preserve">are considered </w:t>
      </w:r>
      <w:proofErr w:type="gramStart"/>
      <w:r w:rsidR="004548EA" w:rsidRPr="00AB3B90">
        <w:t>appropriate</w:t>
      </w:r>
      <w:proofErr w:type="gramEnd"/>
    </w:p>
    <w:p w14:paraId="7455105F" w14:textId="4768093C" w:rsidR="004548EA" w:rsidRPr="00AB3B90" w:rsidRDefault="00FD5D6A" w:rsidP="00AC0011">
      <w:pPr>
        <w:rPr>
          <w:lang w:eastAsia="en-AU"/>
        </w:rPr>
      </w:pPr>
      <w:r w:rsidRPr="00AB3B90">
        <w:t xml:space="preserve">The rationale for an indexation floor is to provide funding certainty and protect the system </w:t>
      </w:r>
      <w:r w:rsidR="007B4194" w:rsidRPr="00AB3B90">
        <w:t xml:space="preserve">by maintaining </w:t>
      </w:r>
      <w:r w:rsidR="00417588" w:rsidRPr="00AB3B90">
        <w:t>a minimum level of indexation during times of low inflation or</w:t>
      </w:r>
      <w:r w:rsidR="007B4194" w:rsidRPr="00AB3B90">
        <w:t xml:space="preserve"> </w:t>
      </w:r>
      <w:r w:rsidRPr="00AB3B90">
        <w:t xml:space="preserve">deflation. </w:t>
      </w:r>
      <w:r w:rsidR="00376217" w:rsidRPr="00AB3B90">
        <w:rPr>
          <w:lang w:eastAsia="en-AU"/>
        </w:rPr>
        <w:t>The Board found current</w:t>
      </w:r>
      <w:r w:rsidR="00035BB6" w:rsidRPr="00AB3B90">
        <w:rPr>
          <w:lang w:eastAsia="en-AU"/>
        </w:rPr>
        <w:t xml:space="preserve"> floor arrangements to</w:t>
      </w:r>
      <w:r w:rsidR="007C3653" w:rsidRPr="00AB3B90">
        <w:rPr>
          <w:lang w:eastAsia="en-AU"/>
        </w:rPr>
        <w:t xml:space="preserve"> be appropriate, given the strong preference for stability </w:t>
      </w:r>
      <w:r w:rsidR="00E00C2F" w:rsidRPr="00AB3B90">
        <w:rPr>
          <w:lang w:eastAsia="en-AU"/>
        </w:rPr>
        <w:t>and certainty by the sector, and evidence regarding the way that jurisdictions typically deter</w:t>
      </w:r>
      <w:r w:rsidR="00F87BCE" w:rsidRPr="00AB3B90">
        <w:rPr>
          <w:lang w:eastAsia="en-AU"/>
        </w:rPr>
        <w:t>mine salary increases over time.</w:t>
      </w:r>
    </w:p>
    <w:p w14:paraId="04D31D73" w14:textId="0F6CDD3E" w:rsidR="00F87BCE" w:rsidRPr="00AB3B90" w:rsidRDefault="00AC0011" w:rsidP="00597B50">
      <w:pPr>
        <w:rPr>
          <w:lang w:eastAsia="en-AU"/>
        </w:rPr>
      </w:pPr>
      <w:r w:rsidRPr="00AB3B90">
        <w:rPr>
          <w:lang w:eastAsia="en-AU"/>
        </w:rPr>
        <w:t xml:space="preserve">The Board recommends that </w:t>
      </w:r>
      <w:r w:rsidR="00CD553B" w:rsidRPr="00AB3B90">
        <w:rPr>
          <w:lang w:eastAsia="en-AU"/>
        </w:rPr>
        <w:t>a floor should be maintained as a feature of indexation arrangements</w:t>
      </w:r>
      <w:r w:rsidR="00674CD8" w:rsidRPr="00AB3B90">
        <w:rPr>
          <w:lang w:eastAsia="en-AU"/>
        </w:rPr>
        <w:t xml:space="preserve">. Given the </w:t>
      </w:r>
      <w:r w:rsidR="00091A57" w:rsidRPr="00AB3B90">
        <w:rPr>
          <w:lang w:eastAsia="en-AU"/>
        </w:rPr>
        <w:t>on-</w:t>
      </w:r>
      <w:r w:rsidR="00674CD8" w:rsidRPr="00AB3B90">
        <w:rPr>
          <w:lang w:eastAsia="en-AU"/>
        </w:rPr>
        <w:t xml:space="preserve">balance </w:t>
      </w:r>
      <w:r w:rsidR="00091A57" w:rsidRPr="00AB3B90">
        <w:rPr>
          <w:lang w:eastAsia="en-AU"/>
        </w:rPr>
        <w:t xml:space="preserve">views of jurisdictions, </w:t>
      </w:r>
      <w:r w:rsidR="00674CD8" w:rsidRPr="00AB3B90">
        <w:rPr>
          <w:lang w:eastAsia="en-AU"/>
        </w:rPr>
        <w:t xml:space="preserve">the </w:t>
      </w:r>
      <w:r w:rsidR="00091A57" w:rsidRPr="00AB3B90">
        <w:rPr>
          <w:lang w:eastAsia="en-AU"/>
        </w:rPr>
        <w:t>indexation floor should be maintained at 3 per cent</w:t>
      </w:r>
      <w:r w:rsidR="00597B50" w:rsidRPr="00AB3B90">
        <w:rPr>
          <w:lang w:eastAsia="en-AU"/>
        </w:rPr>
        <w:t>.</w:t>
      </w:r>
    </w:p>
    <w:p w14:paraId="2AF6FEF8" w14:textId="4F4C1127" w:rsidR="003105FD" w:rsidRPr="00AB3B90" w:rsidRDefault="00577333" w:rsidP="00250C3B">
      <w:pPr>
        <w:rPr>
          <w:lang w:eastAsia="en-AU"/>
        </w:rPr>
      </w:pPr>
      <w:r w:rsidRPr="00AB3B90">
        <w:rPr>
          <w:lang w:eastAsia="en-AU"/>
        </w:rPr>
        <w:t xml:space="preserve">Most </w:t>
      </w:r>
      <w:r w:rsidR="00E320B6" w:rsidRPr="00AB3B90">
        <w:rPr>
          <w:lang w:eastAsia="en-AU"/>
        </w:rPr>
        <w:t>state and territory education departments</w:t>
      </w:r>
      <w:r w:rsidRPr="00AB3B90">
        <w:rPr>
          <w:lang w:eastAsia="en-AU"/>
        </w:rPr>
        <w:t xml:space="preserve"> </w:t>
      </w:r>
      <w:r w:rsidR="003105FD" w:rsidRPr="00AB3B90">
        <w:rPr>
          <w:lang w:eastAsia="en-AU"/>
        </w:rPr>
        <w:t>considered the 3</w:t>
      </w:r>
      <w:r w:rsidRPr="00AB3B90">
        <w:rPr>
          <w:lang w:eastAsia="en-AU"/>
        </w:rPr>
        <w:t> </w:t>
      </w:r>
      <w:r w:rsidR="003105FD" w:rsidRPr="00AB3B90">
        <w:rPr>
          <w:lang w:eastAsia="en-AU"/>
        </w:rPr>
        <w:t>per</w:t>
      </w:r>
      <w:r w:rsidRPr="00AB3B90">
        <w:rPr>
          <w:lang w:eastAsia="en-AU"/>
        </w:rPr>
        <w:t> </w:t>
      </w:r>
      <w:r w:rsidR="003105FD" w:rsidRPr="00AB3B90">
        <w:rPr>
          <w:lang w:eastAsia="en-AU"/>
        </w:rPr>
        <w:t>cent level of the floor to be appropriate</w:t>
      </w:r>
      <w:r w:rsidRPr="00AB3B90">
        <w:rPr>
          <w:lang w:eastAsia="en-AU"/>
        </w:rPr>
        <w:t xml:space="preserve"> with the</w:t>
      </w:r>
      <w:r w:rsidR="003105FD" w:rsidRPr="00AB3B90">
        <w:rPr>
          <w:lang w:eastAsia="en-AU"/>
        </w:rPr>
        <w:t xml:space="preserve"> non-government school </w:t>
      </w:r>
      <w:r w:rsidR="007D2271" w:rsidRPr="00AB3B90">
        <w:rPr>
          <w:lang w:eastAsia="en-AU"/>
        </w:rPr>
        <w:t xml:space="preserve">sector </w:t>
      </w:r>
      <w:r w:rsidR="003105FD" w:rsidRPr="00AB3B90">
        <w:rPr>
          <w:lang w:eastAsia="en-AU"/>
        </w:rPr>
        <w:t>noting the 3</w:t>
      </w:r>
      <w:r w:rsidR="00FE1914" w:rsidRPr="00AB3B90">
        <w:rPr>
          <w:lang w:eastAsia="en-AU"/>
        </w:rPr>
        <w:t> </w:t>
      </w:r>
      <w:r w:rsidR="003105FD" w:rsidRPr="00AB3B90">
        <w:rPr>
          <w:lang w:eastAsia="en-AU"/>
        </w:rPr>
        <w:t>per</w:t>
      </w:r>
      <w:r w:rsidR="00FE1914" w:rsidRPr="00AB3B90">
        <w:rPr>
          <w:lang w:eastAsia="en-AU"/>
        </w:rPr>
        <w:t> </w:t>
      </w:r>
      <w:r w:rsidR="003105FD" w:rsidRPr="00AB3B90">
        <w:rPr>
          <w:lang w:eastAsia="en-AU"/>
        </w:rPr>
        <w:t xml:space="preserve">cent funding floor </w:t>
      </w:r>
      <w:r w:rsidR="00E320B6" w:rsidRPr="00AB3B90">
        <w:rPr>
          <w:lang w:eastAsia="en-AU"/>
        </w:rPr>
        <w:t>was a</w:t>
      </w:r>
      <w:r w:rsidR="003105FD" w:rsidRPr="00AB3B90">
        <w:rPr>
          <w:lang w:eastAsia="en-AU"/>
        </w:rPr>
        <w:t xml:space="preserve"> necessary safeguard for all schools and particularly for non-systemic schools.</w:t>
      </w:r>
    </w:p>
    <w:p w14:paraId="42E0610A" w14:textId="77777777" w:rsidR="00AB3B90" w:rsidRPr="00AB3B90" w:rsidRDefault="00AB3B90">
      <w:pPr>
        <w:spacing w:before="0" w:after="160"/>
        <w:rPr>
          <w:lang w:eastAsia="en-AU"/>
        </w:rPr>
      </w:pPr>
      <w:r w:rsidRPr="00AB3B90">
        <w:rPr>
          <w:lang w:eastAsia="en-AU"/>
        </w:rPr>
        <w:br w:type="page"/>
      </w:r>
    </w:p>
    <w:p w14:paraId="60A03793" w14:textId="3ED66B55" w:rsidR="003105FD" w:rsidRPr="00AB3B90" w:rsidRDefault="003105FD" w:rsidP="00250C3B">
      <w:pPr>
        <w:rPr>
          <w:lang w:eastAsia="en-AU"/>
        </w:rPr>
      </w:pPr>
      <w:r w:rsidRPr="00AB3B90">
        <w:rPr>
          <w:lang w:eastAsia="en-AU"/>
        </w:rPr>
        <w:t>Several jurisdictions, whil</w:t>
      </w:r>
      <w:r w:rsidR="00B345BF" w:rsidRPr="00AB3B90">
        <w:rPr>
          <w:lang w:eastAsia="en-AU"/>
        </w:rPr>
        <w:t>e</w:t>
      </w:r>
      <w:r w:rsidRPr="00AB3B90">
        <w:rPr>
          <w:lang w:eastAsia="en-AU"/>
        </w:rPr>
        <w:t xml:space="preserve"> not expressing strong views on the need for changing of the 3</w:t>
      </w:r>
      <w:r w:rsidR="00250C3B" w:rsidRPr="00AB3B90">
        <w:rPr>
          <w:lang w:eastAsia="en-AU"/>
        </w:rPr>
        <w:t> </w:t>
      </w:r>
      <w:r w:rsidRPr="00AB3B90">
        <w:rPr>
          <w:lang w:eastAsia="en-AU"/>
        </w:rPr>
        <w:t>per cent level, suggested that a lower level of 2.5</w:t>
      </w:r>
      <w:r w:rsidR="00250C3B" w:rsidRPr="00AB3B90">
        <w:rPr>
          <w:lang w:eastAsia="en-AU"/>
        </w:rPr>
        <w:t> </w:t>
      </w:r>
      <w:r w:rsidRPr="00AB3B90">
        <w:rPr>
          <w:lang w:eastAsia="en-AU"/>
        </w:rPr>
        <w:t>per</w:t>
      </w:r>
      <w:r w:rsidR="00250C3B" w:rsidRPr="00AB3B90">
        <w:rPr>
          <w:lang w:eastAsia="en-AU"/>
        </w:rPr>
        <w:t> </w:t>
      </w:r>
      <w:r w:rsidRPr="00AB3B90">
        <w:rPr>
          <w:lang w:eastAsia="en-AU"/>
        </w:rPr>
        <w:t xml:space="preserve">cent be explored in the context of the </w:t>
      </w:r>
      <w:r w:rsidR="00EA2964" w:rsidRPr="00AB3B90">
        <w:t>Reserve Bank of Australia’s (RBA)</w:t>
      </w:r>
      <w:r w:rsidRPr="00AB3B90">
        <w:rPr>
          <w:lang w:eastAsia="en-AU"/>
        </w:rPr>
        <w:t xml:space="preserve"> 2-3</w:t>
      </w:r>
      <w:r w:rsidR="00250C3B" w:rsidRPr="00AB3B90">
        <w:rPr>
          <w:lang w:eastAsia="en-AU"/>
        </w:rPr>
        <w:t> </w:t>
      </w:r>
      <w:r w:rsidRPr="00AB3B90">
        <w:rPr>
          <w:lang w:eastAsia="en-AU"/>
        </w:rPr>
        <w:t>per</w:t>
      </w:r>
      <w:r w:rsidR="00250C3B" w:rsidRPr="00AB3B90">
        <w:rPr>
          <w:lang w:eastAsia="en-AU"/>
        </w:rPr>
        <w:t> </w:t>
      </w:r>
      <w:r w:rsidRPr="00AB3B90">
        <w:rPr>
          <w:lang w:eastAsia="en-AU"/>
        </w:rPr>
        <w:t>cent target band for inflation and wage setting in the public sector more broadly.</w:t>
      </w:r>
    </w:p>
    <w:p w14:paraId="1B5CAE06" w14:textId="0CB64EC2" w:rsidR="003105FD" w:rsidRPr="00AB3B90" w:rsidRDefault="00460609" w:rsidP="009F66CD">
      <w:pPr>
        <w:pStyle w:val="Heading3"/>
      </w:pPr>
      <w:r w:rsidRPr="00AB3B90">
        <w:t>Structure and weigh</w:t>
      </w:r>
      <w:r w:rsidR="00A27F96" w:rsidRPr="00AB3B90">
        <w:t xml:space="preserve">ting of the composite index are considered </w:t>
      </w:r>
      <w:proofErr w:type="gramStart"/>
      <w:r w:rsidR="00A27F96" w:rsidRPr="00AB3B90">
        <w:t>appropriate</w:t>
      </w:r>
      <w:proofErr w:type="gramEnd"/>
    </w:p>
    <w:p w14:paraId="55613217" w14:textId="73EAB050" w:rsidR="00FC2263" w:rsidRPr="00AB3B90" w:rsidRDefault="00A27F96" w:rsidP="00FC2263">
      <w:pPr>
        <w:spacing w:before="0" w:after="170" w:line="240" w:lineRule="atLeast"/>
      </w:pPr>
      <w:r w:rsidRPr="00AB3B90">
        <w:rPr>
          <w:lang w:eastAsia="en-AU"/>
        </w:rPr>
        <w:t xml:space="preserve">The Board </w:t>
      </w:r>
      <w:r w:rsidR="00F54DC2" w:rsidRPr="00AB3B90">
        <w:rPr>
          <w:lang w:eastAsia="en-AU"/>
        </w:rPr>
        <w:t xml:space="preserve">did </w:t>
      </w:r>
      <w:r w:rsidR="00DA3567" w:rsidRPr="00AB3B90">
        <w:rPr>
          <w:lang w:eastAsia="en-AU"/>
        </w:rPr>
        <w:t xml:space="preserve">not find </w:t>
      </w:r>
      <w:r w:rsidRPr="00AB3B90">
        <w:rPr>
          <w:lang w:eastAsia="en-AU"/>
        </w:rPr>
        <w:t xml:space="preserve">a strong case for the use of an education specific WPI index, given that would </w:t>
      </w:r>
      <w:r w:rsidR="00FC2263" w:rsidRPr="00AB3B90">
        <w:t xml:space="preserve">typically closely align with </w:t>
      </w:r>
      <w:proofErr w:type="gramStart"/>
      <w:r w:rsidR="00FC2263" w:rsidRPr="00AB3B90">
        <w:t>economy-wide</w:t>
      </w:r>
      <w:proofErr w:type="gramEnd"/>
      <w:r w:rsidR="00FC2263" w:rsidRPr="00AB3B90">
        <w:t xml:space="preserve"> WPI measures, and it is not clear that all instances of material divergence between the indices would be ‘policy independent’.</w:t>
      </w:r>
    </w:p>
    <w:p w14:paraId="0CCB73CD" w14:textId="074048EA" w:rsidR="00FC2263" w:rsidRPr="00AB3B90" w:rsidRDefault="00FC2263" w:rsidP="7718843E">
      <w:pPr>
        <w:spacing w:before="0" w:after="160" w:line="240" w:lineRule="atLeast"/>
      </w:pPr>
      <w:r w:rsidRPr="00AB3B90">
        <w:t xml:space="preserve">There may be a case for an education specific CPI measure, utilising a combination of </w:t>
      </w:r>
      <w:r w:rsidRPr="00AB3B90">
        <w:br/>
        <w:t xml:space="preserve">sub-components of the CPI that best align with non-staff school costs. However, there is incomplete evidence upon which to develop this index and it is not clear that the benefits from the use of this index would outweigh the costs of collecting the necessary data. Further, the index may be more volatile than the general CPI measure. </w:t>
      </w:r>
      <w:r w:rsidR="00C72CC8" w:rsidRPr="00AB3B90">
        <w:t>Moreover, CPI is a survey measure relating to household</w:t>
      </w:r>
      <w:r w:rsidR="00D75444" w:rsidRPr="00AB3B90">
        <w:t xml:space="preserve"> expenditure rather than school expenditure, so it is not clear how a combination of </w:t>
      </w:r>
      <w:r w:rsidR="003E557D" w:rsidRPr="00AB3B90">
        <w:t>CPI su</w:t>
      </w:r>
      <w:r w:rsidR="00A94C93" w:rsidRPr="00AB3B90">
        <w:t>b</w:t>
      </w:r>
      <w:r w:rsidR="003E557D" w:rsidRPr="00AB3B90">
        <w:t xml:space="preserve">-components could be constructed </w:t>
      </w:r>
      <w:r w:rsidR="00BF2C83" w:rsidRPr="00AB3B90">
        <w:t>to provide an accurate measure of price growth for schools’ expenditure.</w:t>
      </w:r>
    </w:p>
    <w:p w14:paraId="742631F9" w14:textId="77777777" w:rsidR="00FC2263" w:rsidRPr="00AB3B90" w:rsidRDefault="00FC2263" w:rsidP="002108BE">
      <w:pPr>
        <w:spacing w:before="0" w:after="170" w:line="240" w:lineRule="atLeast"/>
      </w:pPr>
      <w:r w:rsidRPr="00AB3B90">
        <w:t>On balance, there is not a compelling case for materially changing the weighting of the composite index. However, the views heard through consultation suggest that the composition of recurrent expenditure be closely monitored against the changing nature of schooling input costs.</w:t>
      </w:r>
    </w:p>
    <w:p w14:paraId="0D529572" w14:textId="14620D05" w:rsidR="00BF0E7D" w:rsidRPr="00AB3B90" w:rsidRDefault="002108BE" w:rsidP="00BF0E7D">
      <w:r w:rsidRPr="00AB3B90">
        <w:rPr>
          <w:lang w:eastAsia="en-AU"/>
        </w:rPr>
        <w:t xml:space="preserve">The Board </w:t>
      </w:r>
      <w:r w:rsidR="003C40D7" w:rsidRPr="00AB3B90">
        <w:rPr>
          <w:lang w:eastAsia="en-AU"/>
        </w:rPr>
        <w:t xml:space="preserve">recommends that </w:t>
      </w:r>
      <w:r w:rsidR="00BF0E7D" w:rsidRPr="00AB3B90">
        <w:t xml:space="preserve">general WPI and CPI measures should continue to be used as the basis of indexation arrangements for the SRS. The current 75 </w:t>
      </w:r>
      <w:r w:rsidR="3C67F6C7" w:rsidRPr="00AB3B90">
        <w:t xml:space="preserve">per cent </w:t>
      </w:r>
      <w:r w:rsidR="00BF0E7D" w:rsidRPr="00AB3B90">
        <w:t>WPI and</w:t>
      </w:r>
      <w:r w:rsidR="002C18BA" w:rsidRPr="00AB3B90">
        <w:t xml:space="preserve"> </w:t>
      </w:r>
      <w:r w:rsidR="00BF0E7D" w:rsidRPr="00AB3B90">
        <w:t xml:space="preserve">25 </w:t>
      </w:r>
      <w:r w:rsidR="3B832919" w:rsidRPr="00AB3B90">
        <w:t>per cent</w:t>
      </w:r>
      <w:r w:rsidR="1A2AB2C4" w:rsidRPr="00AB3B90">
        <w:t xml:space="preserve"> </w:t>
      </w:r>
      <w:r w:rsidR="00BF0E7D" w:rsidRPr="00AB3B90">
        <w:t>CPI split should continue to be used as the basis for determining the composite indexation rate.</w:t>
      </w:r>
    </w:p>
    <w:p w14:paraId="2CBDA893" w14:textId="54A56896" w:rsidR="00D67BAB" w:rsidRPr="00AB3B90" w:rsidRDefault="00DA3973" w:rsidP="009F66CD">
      <w:pPr>
        <w:pStyle w:val="Heading3"/>
      </w:pPr>
      <w:r w:rsidRPr="00AB3B90">
        <w:t>The t</w:t>
      </w:r>
      <w:r w:rsidR="00356BE8" w:rsidRPr="00AB3B90">
        <w:t>iming of SRS</w:t>
      </w:r>
      <w:r w:rsidR="00150AB2" w:rsidRPr="00AB3B90">
        <w:t xml:space="preserve"> indexation rates</w:t>
      </w:r>
      <w:r w:rsidRPr="00AB3B90">
        <w:t xml:space="preserve"> is </w:t>
      </w:r>
      <w:proofErr w:type="gramStart"/>
      <w:r w:rsidRPr="00AB3B90">
        <w:t>appropriate</w:t>
      </w:r>
      <w:proofErr w:type="gramEnd"/>
    </w:p>
    <w:p w14:paraId="215414AC" w14:textId="004F4CE6" w:rsidR="002F79F0" w:rsidRPr="00AB3B90" w:rsidRDefault="002F79F0" w:rsidP="002F79F0">
      <w:pPr>
        <w:spacing w:before="240"/>
        <w:ind w:right="227"/>
      </w:pPr>
      <w:r w:rsidRPr="00AB3B90">
        <w:t>While there is some support for a change to the current arrangements, the Board found no conclusive evidence in support of a specific alternative approach.</w:t>
      </w:r>
    </w:p>
    <w:p w14:paraId="35FB2C94" w14:textId="2A971731" w:rsidR="005C5A2C" w:rsidRPr="00AB3B90" w:rsidRDefault="005C5A2C" w:rsidP="00685F62">
      <w:pPr>
        <w:spacing w:before="0" w:after="170" w:line="240" w:lineRule="atLeast"/>
        <w:rPr>
          <w:lang w:eastAsia="en-AU"/>
        </w:rPr>
      </w:pPr>
      <w:r w:rsidRPr="00AB3B90">
        <w:rPr>
          <w:lang w:eastAsia="en-AU"/>
        </w:rPr>
        <w:t xml:space="preserve">On balance, </w:t>
      </w:r>
      <w:r w:rsidR="00A74B1C" w:rsidRPr="00AB3B90">
        <w:rPr>
          <w:lang w:eastAsia="en-AU"/>
        </w:rPr>
        <w:t xml:space="preserve">the Board found </w:t>
      </w:r>
      <w:r w:rsidRPr="00AB3B90">
        <w:rPr>
          <w:lang w:eastAsia="en-AU"/>
        </w:rPr>
        <w:t>a case to change current indexation arrangements to rely on an earlier measure of indexation, given the preference that jurisdictions have towards funding certainty. However, further analysis is required to determine the most appropriate timing for the application of indexation, and to understand the implications of such a change.</w:t>
      </w:r>
    </w:p>
    <w:p w14:paraId="7FE9F464" w14:textId="77777777" w:rsidR="005C5A2C" w:rsidRPr="00AB3B90" w:rsidRDefault="005C5A2C" w:rsidP="00685F62">
      <w:pPr>
        <w:spacing w:before="0" w:after="170" w:line="240" w:lineRule="atLeast"/>
        <w:rPr>
          <w:lang w:eastAsia="en-AU"/>
        </w:rPr>
      </w:pPr>
      <w:r w:rsidRPr="00AB3B90">
        <w:rPr>
          <w:lang w:eastAsia="en-AU"/>
        </w:rPr>
        <w:t xml:space="preserve">Indexation arrangements lagged by 12 months may be an appropriate alternative approach, as this best aligns with the approach that schools and systems take to budget planning and reflects the typical lags observed between general inflation in the economy and wage increases in the education sector. The application of a funding floor also helps to mitigate the risks associated with this change. </w:t>
      </w:r>
    </w:p>
    <w:p w14:paraId="39F63218" w14:textId="77777777" w:rsidR="00733AAA" w:rsidRPr="00AB3B90" w:rsidRDefault="00733AAA" w:rsidP="00733AAA">
      <w:pPr>
        <w:spacing w:before="0" w:after="170" w:line="240" w:lineRule="atLeast"/>
        <w:rPr>
          <w:lang w:eastAsia="en-AU"/>
        </w:rPr>
      </w:pPr>
      <w:r w:rsidRPr="00AB3B90">
        <w:rPr>
          <w:lang w:eastAsia="en-AU"/>
        </w:rPr>
        <w:t xml:space="preserve">To better support school and system planning, alternative timing of indexation arrangements (such that the final composite indexation measure is known earlier than is the case under current arrangements) should be further examined. </w:t>
      </w:r>
    </w:p>
    <w:p w14:paraId="0E4CC70D" w14:textId="6BC2AD19" w:rsidR="007325E8" w:rsidRPr="00AB3B90" w:rsidRDefault="007325E8">
      <w:pPr>
        <w:spacing w:before="0" w:after="160"/>
        <w:rPr>
          <w:rFonts w:eastAsiaTheme="majorEastAsia" w:cstheme="majorBidi"/>
          <w:color w:val="0F294C"/>
          <w:sz w:val="60"/>
          <w:szCs w:val="60"/>
        </w:rPr>
      </w:pPr>
      <w:bookmarkStart w:id="25" w:name="_Toc71021773"/>
      <w:bookmarkStart w:id="26" w:name="_Toc24447234"/>
      <w:bookmarkStart w:id="27" w:name="_Toc24447248"/>
      <w:bookmarkEnd w:id="24"/>
      <w:r w:rsidRPr="00AB3B90">
        <w:br w:type="page"/>
      </w:r>
    </w:p>
    <w:p w14:paraId="78D3A3A3" w14:textId="76EB7803" w:rsidR="0829AB42" w:rsidRPr="00AB3B90" w:rsidRDefault="0829AB42" w:rsidP="13F8DD49">
      <w:pPr>
        <w:pStyle w:val="Heading1"/>
      </w:pPr>
      <w:bookmarkStart w:id="28" w:name="_Toc163650427"/>
      <w:r w:rsidRPr="00AB3B90">
        <w:t>Findings</w:t>
      </w:r>
      <w:bookmarkEnd w:id="28"/>
    </w:p>
    <w:p w14:paraId="40CB44C2" w14:textId="0F5F7DE9" w:rsidR="0829AB42" w:rsidRPr="00AB3B90" w:rsidRDefault="0829AB42" w:rsidP="13F8DD49">
      <w:pPr>
        <w:pStyle w:val="Heading2-RecommendationsFindings"/>
      </w:pPr>
      <w:r w:rsidRPr="00AB3B90">
        <w:t>Finding 1</w:t>
      </w:r>
    </w:p>
    <w:p w14:paraId="198D39FD" w14:textId="309C27FB" w:rsidR="0829AB42" w:rsidRPr="00AB3B90" w:rsidRDefault="0829AB42" w:rsidP="13F8DD49">
      <w:pPr>
        <w:keepNext/>
        <w:keepLines/>
        <w:spacing w:before="0" w:after="170" w:line="240" w:lineRule="atLeast"/>
      </w:pPr>
      <w:r w:rsidRPr="00AB3B90">
        <w:t>Current indexation arrangements are considered appropriate.</w:t>
      </w:r>
    </w:p>
    <w:p w14:paraId="1009290C" w14:textId="5A3E0EC7" w:rsidR="0829AB42" w:rsidRPr="00AB3B90" w:rsidRDefault="0829AB42" w:rsidP="13F8DD49">
      <w:pPr>
        <w:pStyle w:val="Heading2-RecommendationsFindings"/>
      </w:pPr>
      <w:r w:rsidRPr="00AB3B90">
        <w:t>Finding 2</w:t>
      </w:r>
    </w:p>
    <w:p w14:paraId="08BFE36D" w14:textId="69287E04" w:rsidR="0829AB42" w:rsidRPr="00AB3B90" w:rsidRDefault="0829AB42" w:rsidP="13F8DD49">
      <w:pPr>
        <w:rPr>
          <w:rFonts w:eastAsia="CIDFont+F1" w:cs="CIDFont+F1"/>
        </w:rPr>
      </w:pPr>
      <w:r w:rsidRPr="00AB3B90">
        <w:t>Current indexation floor arrangements are considered appropriate, given the strong preference for stability and certainty by the sector, and evidence regarding the way that jurisdictions typically determine salary increases over time.  </w:t>
      </w:r>
    </w:p>
    <w:p w14:paraId="02AC5487" w14:textId="7FBE6D69" w:rsidR="0829AB42" w:rsidRPr="00AB3B90" w:rsidRDefault="0829AB42" w:rsidP="13F8DD49">
      <w:pPr>
        <w:pStyle w:val="Heading2-RecommendationsFindings"/>
      </w:pPr>
      <w:r w:rsidRPr="00AB3B90">
        <w:t>Finding 3</w:t>
      </w:r>
    </w:p>
    <w:p w14:paraId="66060651" w14:textId="4001C335" w:rsidR="0829AB42" w:rsidRPr="00AB3B90" w:rsidRDefault="1BAEA0E2">
      <w:r w:rsidRPr="00AB3B90">
        <w:t xml:space="preserve">There is </w:t>
      </w:r>
      <w:r w:rsidR="21676620" w:rsidRPr="00AB3B90">
        <w:t xml:space="preserve">currently </w:t>
      </w:r>
      <w:r w:rsidRPr="00AB3B90">
        <w:t xml:space="preserve">not a strong case for the use of an education specific WPI index, given this would typically closely align with </w:t>
      </w:r>
      <w:proofErr w:type="gramStart"/>
      <w:r w:rsidRPr="00AB3B90">
        <w:t>economy-wide</w:t>
      </w:r>
      <w:proofErr w:type="gramEnd"/>
      <w:r w:rsidRPr="00AB3B90">
        <w:t xml:space="preserve"> WPI measures, and it is not clear that all instances of material divergence between the indices would be ‘policy independent’.   </w:t>
      </w:r>
    </w:p>
    <w:p w14:paraId="0D45E90A" w14:textId="74061C03" w:rsidR="0829AB42" w:rsidRPr="00AB3B90" w:rsidRDefault="0829AB42" w:rsidP="13F8DD49">
      <w:pPr>
        <w:pStyle w:val="Heading2-RecommendationsFindings"/>
      </w:pPr>
      <w:r w:rsidRPr="00AB3B90">
        <w:t>Finding 4</w:t>
      </w:r>
    </w:p>
    <w:p w14:paraId="77DF4B41" w14:textId="68C34DA2" w:rsidR="0829AB42" w:rsidRPr="00AB3B90" w:rsidRDefault="0829AB42">
      <w:r w:rsidRPr="00AB3B90">
        <w:t xml:space="preserve">There may be a case for an education specific CPI measure, utilising a combination of sub-components of the CPI that best align with non-staff school costs. However, there is incomplete evidence upon which to develop this index and it is not clear that the benefits from the use of this index would outweigh the costs of collecting the necessary data. Further, the index may be more volatile than the general CPI measure.    </w:t>
      </w:r>
    </w:p>
    <w:p w14:paraId="689E35B9" w14:textId="1A9D5414" w:rsidR="0829AB42" w:rsidRPr="00AB3B90" w:rsidRDefault="0829AB42" w:rsidP="13F8DD49">
      <w:pPr>
        <w:pStyle w:val="Heading2-RecommendationsFindings"/>
      </w:pPr>
      <w:r w:rsidRPr="00AB3B90">
        <w:t>Finding 5</w:t>
      </w:r>
    </w:p>
    <w:p w14:paraId="6DB53217" w14:textId="4667D465" w:rsidR="0829AB42" w:rsidRPr="00AB3B90" w:rsidRDefault="0829AB42" w:rsidP="13F8DD49">
      <w:pPr>
        <w:rPr>
          <w:rFonts w:eastAsia="CIDFont+F1" w:cs="CIDFont+F1"/>
        </w:rPr>
      </w:pPr>
      <w:r w:rsidRPr="00AB3B90">
        <w:t>On balance, there is not a compelling case for materially changing the weighting of the SRS composite index. However, the views heard through consultation suggest that the composition of recurrent expenditure be closely monitored against the changing nature of schooling input costs. </w:t>
      </w:r>
    </w:p>
    <w:p w14:paraId="537EBD39" w14:textId="79E4E120" w:rsidR="0829AB42" w:rsidRPr="00AB3B90" w:rsidRDefault="0829AB42" w:rsidP="13F8DD49">
      <w:pPr>
        <w:pStyle w:val="Heading2-RecommendationsFindings"/>
      </w:pPr>
      <w:r w:rsidRPr="00AB3B90">
        <w:t>Finding 6</w:t>
      </w:r>
    </w:p>
    <w:p w14:paraId="2BB11A06" w14:textId="1BE17FFB" w:rsidR="0829AB42" w:rsidRPr="00AB3B90" w:rsidRDefault="0829AB42">
      <w:r w:rsidRPr="00AB3B90">
        <w:t xml:space="preserve">In relation to the timing of SRS indexation rates, on balance, there is a case to change current indexation arrangements to rely on an earlier measure of indexation, given the preference that jurisdictions have towards funding certainty. However, further analysis is required to determine the most appropriate timing for the application of indexation, and to understand the implications of such a change.   </w:t>
      </w:r>
    </w:p>
    <w:p w14:paraId="0B1BCFCA" w14:textId="6E244CEF" w:rsidR="0829AB42" w:rsidRPr="00AB3B90" w:rsidRDefault="0829AB42" w:rsidP="13F8DD49">
      <w:pPr>
        <w:pStyle w:val="Heading2-RecommendationsFindings"/>
      </w:pPr>
      <w:r w:rsidRPr="00AB3B90">
        <w:t>Finding 7</w:t>
      </w:r>
    </w:p>
    <w:p w14:paraId="0839B111" w14:textId="3A4CBC2C" w:rsidR="0829AB42" w:rsidRPr="00AB3B90" w:rsidRDefault="0829AB42">
      <w:r w:rsidRPr="00AB3B90">
        <w:t>Timing of SRS indexation rates lagged by 12 months may be an appropriate alternative approach, as this best aligns with the approach that schools and systems take to budget planning and reflects the typical lags observed between general inflation in the economy and wage increases in the education sector. The application of a funding floor also helps to mitigate the risks associated with this change.  </w:t>
      </w:r>
    </w:p>
    <w:p w14:paraId="53A68F4B" w14:textId="2DA953BF" w:rsidR="13F8DD49" w:rsidRPr="00AB3B90" w:rsidRDefault="13F8DD49" w:rsidP="13F8DD49"/>
    <w:p w14:paraId="564C3588" w14:textId="4B261051" w:rsidR="00694591" w:rsidRPr="00AB3B90" w:rsidRDefault="00694591" w:rsidP="00694591">
      <w:pPr>
        <w:pStyle w:val="Heading1"/>
      </w:pPr>
      <w:bookmarkStart w:id="29" w:name="_Toc161304652"/>
      <w:bookmarkStart w:id="30" w:name="_Toc163650428"/>
      <w:r w:rsidRPr="00AB3B90">
        <w:t>Recommendations</w:t>
      </w:r>
      <w:bookmarkEnd w:id="25"/>
      <w:bookmarkEnd w:id="29"/>
      <w:bookmarkEnd w:id="30"/>
    </w:p>
    <w:p w14:paraId="3E0BABB3" w14:textId="131AE783" w:rsidR="00694591" w:rsidRPr="00AB3B90" w:rsidRDefault="00694591" w:rsidP="00694591">
      <w:pPr>
        <w:pStyle w:val="Heading2-RecommendationsFindings"/>
      </w:pPr>
      <w:r w:rsidRPr="00AB3B90">
        <w:t>Recommendation 1</w:t>
      </w:r>
      <w:bookmarkStart w:id="31" w:name="_Toc37260838"/>
      <w:bookmarkStart w:id="32" w:name="_Toc37335773"/>
    </w:p>
    <w:p w14:paraId="17D1D0EB" w14:textId="56895B60" w:rsidR="00AB4FCB" w:rsidRPr="00AB3B90" w:rsidRDefault="7242DADA" w:rsidP="00694591">
      <w:r w:rsidRPr="00AB3B90">
        <w:t>The Australian Government should maintain an</w:t>
      </w:r>
      <w:r w:rsidR="00AB4FCB" w:rsidRPr="00AB3B90">
        <w:t xml:space="preserve"> SRS indexation floor as a feature of SRS indexation arrangements</w:t>
      </w:r>
      <w:r w:rsidR="00357E9B" w:rsidRPr="00AB3B90">
        <w:t>.</w:t>
      </w:r>
      <w:r w:rsidRPr="00AB3B90">
        <w:t xml:space="preserve">   </w:t>
      </w:r>
    </w:p>
    <w:p w14:paraId="42CD54BF" w14:textId="25AB52FD" w:rsidR="00694591" w:rsidRPr="00AB3B90" w:rsidRDefault="00694591" w:rsidP="00694591">
      <w:pPr>
        <w:pStyle w:val="Heading2-RecommendationsFindings"/>
      </w:pPr>
      <w:r w:rsidRPr="00AB3B90">
        <w:t xml:space="preserve">Recommendation </w:t>
      </w:r>
      <w:r w:rsidR="3E871016" w:rsidRPr="00AB3B90">
        <w:t>2</w:t>
      </w:r>
    </w:p>
    <w:bookmarkEnd w:id="31"/>
    <w:bookmarkEnd w:id="32"/>
    <w:p w14:paraId="7EAB19D7" w14:textId="194BB588" w:rsidR="3E871016" w:rsidRPr="00AB3B90" w:rsidRDefault="2106DD42" w:rsidP="6677C68B">
      <w:r w:rsidRPr="00AB3B90">
        <w:t>In the current environment, t</w:t>
      </w:r>
      <w:r w:rsidR="49C3CE7B" w:rsidRPr="00AB3B90">
        <w:t>he Australian Government should maintain the indexation floor at 3</w:t>
      </w:r>
      <w:r w:rsidR="009578D5" w:rsidRPr="00AB3B90">
        <w:t> </w:t>
      </w:r>
      <w:r w:rsidR="49C3CE7B" w:rsidRPr="00AB3B90">
        <w:t>per cent</w:t>
      </w:r>
      <w:r w:rsidR="005242BC" w:rsidRPr="00AB3B90">
        <w:t>.</w:t>
      </w:r>
      <w:r w:rsidR="7B8EB4DF" w:rsidRPr="00AB3B90">
        <w:t xml:space="preserve"> </w:t>
      </w:r>
      <w:r w:rsidR="005242BC" w:rsidRPr="00AB3B90">
        <w:t>I</w:t>
      </w:r>
      <w:r w:rsidR="7694F34A" w:rsidRPr="00AB3B90">
        <w:t>n a low inflation environment, the Australian Government,</w:t>
      </w:r>
      <w:r w:rsidR="7B8EB4DF" w:rsidRPr="00AB3B90">
        <w:t xml:space="preserve"> in consult</w:t>
      </w:r>
      <w:r w:rsidR="63EF3C2C" w:rsidRPr="00AB3B90">
        <w:t xml:space="preserve">ation with jurisdictions and sectors, should consider the risks associated with potential over-compensation for price changes and – </w:t>
      </w:r>
      <w:r w:rsidR="005242BC" w:rsidRPr="00AB3B90">
        <w:t>if</w:t>
      </w:r>
      <w:r w:rsidR="63EF3C2C" w:rsidRPr="00AB3B90">
        <w:t xml:space="preserve"> necess</w:t>
      </w:r>
      <w:r w:rsidR="46EB5D61" w:rsidRPr="00AB3B90">
        <w:t>ary – re-evaluate the setting of the indexation floor.</w:t>
      </w:r>
    </w:p>
    <w:p w14:paraId="208D8FF6" w14:textId="469C57E8" w:rsidR="00863A55" w:rsidRPr="00AB3B90" w:rsidRDefault="00671F96" w:rsidP="00694591">
      <w:pPr>
        <w:pStyle w:val="Heading2-RecommendationsFindings"/>
      </w:pPr>
      <w:r w:rsidRPr="00AB3B90">
        <w:t xml:space="preserve">Recommendation </w:t>
      </w:r>
      <w:r w:rsidR="005242BC" w:rsidRPr="00AB3B90">
        <w:t>3</w:t>
      </w:r>
    </w:p>
    <w:p w14:paraId="5EF81243" w14:textId="51CD5771" w:rsidR="002D5D63" w:rsidRPr="00AB3B90" w:rsidRDefault="112DAD2A" w:rsidP="2B132BE8">
      <w:r w:rsidRPr="00AB3B90">
        <w:t xml:space="preserve">The </w:t>
      </w:r>
      <w:r w:rsidR="660EF9DC" w:rsidRPr="00AB3B90">
        <w:t xml:space="preserve">Australian Government should continue to use the </w:t>
      </w:r>
      <w:r w:rsidRPr="00AB3B90">
        <w:t>current composite index split of 75</w:t>
      </w:r>
      <w:r w:rsidR="660EF9DC" w:rsidRPr="00AB3B90">
        <w:t xml:space="preserve"> </w:t>
      </w:r>
      <w:r w:rsidR="1F82E7B9" w:rsidRPr="00AB3B90">
        <w:t>per</w:t>
      </w:r>
      <w:r w:rsidR="660EF9DC" w:rsidRPr="00AB3B90">
        <w:t xml:space="preserve"> </w:t>
      </w:r>
      <w:r w:rsidR="1F82E7B9" w:rsidRPr="00AB3B90">
        <w:t>cent</w:t>
      </w:r>
      <w:r w:rsidRPr="00AB3B90">
        <w:t xml:space="preserve"> WPI and 25</w:t>
      </w:r>
      <w:r w:rsidR="660EF9DC" w:rsidRPr="00AB3B90">
        <w:t xml:space="preserve"> </w:t>
      </w:r>
      <w:r w:rsidR="1F82E7B9" w:rsidRPr="00AB3B90">
        <w:t>per</w:t>
      </w:r>
      <w:r w:rsidR="660EF9DC" w:rsidRPr="00AB3B90">
        <w:t xml:space="preserve"> </w:t>
      </w:r>
      <w:r w:rsidR="1F82E7B9" w:rsidRPr="00AB3B90">
        <w:t>cent</w:t>
      </w:r>
      <w:r w:rsidRPr="00AB3B90">
        <w:t xml:space="preserve"> CPI as the basis for determining the composite indexation rate</w:t>
      </w:r>
      <w:r w:rsidR="005242BC" w:rsidRPr="00AB3B90">
        <w:t>. A</w:t>
      </w:r>
      <w:r w:rsidR="6ADC109C" w:rsidRPr="00AB3B90">
        <w:t xml:space="preserve">s time constraints during this </w:t>
      </w:r>
      <w:r w:rsidR="487E222F" w:rsidRPr="00AB3B90">
        <w:t>review</w:t>
      </w:r>
      <w:r w:rsidR="6ADC109C" w:rsidRPr="00AB3B90">
        <w:t xml:space="preserve"> did not allow </w:t>
      </w:r>
      <w:r w:rsidR="64B38C6F" w:rsidRPr="00AB3B90">
        <w:t xml:space="preserve">for </w:t>
      </w:r>
      <w:r w:rsidR="6ADC109C" w:rsidRPr="00AB3B90">
        <w:t xml:space="preserve">deep analysis, </w:t>
      </w:r>
      <w:r w:rsidR="7853F581" w:rsidRPr="00AB3B90">
        <w:t xml:space="preserve">future </w:t>
      </w:r>
      <w:r w:rsidR="4F58C0D9" w:rsidRPr="00AB3B90">
        <w:t xml:space="preserve">consultation should be undertaken to examine alternative </w:t>
      </w:r>
      <w:r w:rsidR="4AB65F3C" w:rsidRPr="00AB3B90">
        <w:t>indices.</w:t>
      </w:r>
    </w:p>
    <w:p w14:paraId="4833342D" w14:textId="4DA07905" w:rsidR="00C607D4" w:rsidRPr="00AB3B90" w:rsidRDefault="2A2F4E06" w:rsidP="00694591">
      <w:pPr>
        <w:pStyle w:val="Heading2-RecommendationsFindings"/>
      </w:pPr>
      <w:r w:rsidRPr="00AB3B90">
        <w:t xml:space="preserve">Recommendation </w:t>
      </w:r>
      <w:r w:rsidR="005242BC" w:rsidRPr="00AB3B90">
        <w:t>4</w:t>
      </w:r>
    </w:p>
    <w:p w14:paraId="58A06F2D" w14:textId="36565BCE" w:rsidR="00384069" w:rsidRPr="00AB3B90" w:rsidRDefault="4382780C" w:rsidP="6677C68B">
      <w:r w:rsidRPr="00AB3B90">
        <w:t>On balance, there is insufficient evidence to support a specific</w:t>
      </w:r>
      <w:r w:rsidR="07A5D040" w:rsidRPr="00AB3B90">
        <w:t xml:space="preserve"> change</w:t>
      </w:r>
      <w:r w:rsidRPr="00AB3B90">
        <w:t xml:space="preserve"> </w:t>
      </w:r>
      <w:r w:rsidR="4038E1BE" w:rsidRPr="00AB3B90">
        <w:t xml:space="preserve">to the indexation timing arrangements </w:t>
      </w:r>
      <w:r w:rsidRPr="00AB3B90">
        <w:t>at this point</w:t>
      </w:r>
      <w:r w:rsidR="5528D743" w:rsidRPr="00AB3B90">
        <w:t>.</w:t>
      </w:r>
      <w:r w:rsidR="2A2F4E06" w:rsidRPr="00AB3B90">
        <w:t xml:space="preserve"> Further consultation should be undertaken to </w:t>
      </w:r>
      <w:r w:rsidR="5B87EE6F" w:rsidRPr="00AB3B90">
        <w:t>examine</w:t>
      </w:r>
      <w:r w:rsidR="2A2F4E06" w:rsidRPr="00AB3B90">
        <w:t xml:space="preserve"> alternative timing and transition arrangements.</w:t>
      </w:r>
      <w:r w:rsidR="53760382" w:rsidRPr="00AB3B90">
        <w:t> </w:t>
      </w:r>
    </w:p>
    <w:p w14:paraId="53979796" w14:textId="77777777" w:rsidR="001D7923" w:rsidRPr="00AB3B90" w:rsidRDefault="001D7923" w:rsidP="13F8DD49">
      <w:pPr>
        <w:spacing w:before="0" w:after="160"/>
        <w:rPr>
          <w:rFonts w:eastAsiaTheme="majorEastAsia" w:cstheme="majorBidi"/>
          <w:color w:val="0F294C"/>
          <w:sz w:val="60"/>
          <w:szCs w:val="60"/>
        </w:rPr>
        <w:sectPr w:rsidR="001D7923" w:rsidRPr="00AB3B90" w:rsidSect="00DA031A">
          <w:headerReference w:type="even" r:id="rId32"/>
          <w:headerReference w:type="default" r:id="rId33"/>
          <w:footerReference w:type="default" r:id="rId34"/>
          <w:headerReference w:type="first" r:id="rId35"/>
          <w:pgSz w:w="11906" w:h="16838"/>
          <w:pgMar w:top="1440" w:right="1440" w:bottom="1440" w:left="1440" w:header="709" w:footer="709" w:gutter="0"/>
          <w:pgNumType w:fmt="lowerRoman" w:start="1"/>
          <w:cols w:space="708"/>
          <w:docGrid w:linePitch="360"/>
        </w:sectPr>
      </w:pPr>
      <w:bookmarkStart w:id="33" w:name="_Toc71021774"/>
      <w:r w:rsidRPr="00AB3B90">
        <w:br w:type="page"/>
      </w:r>
      <w:bookmarkEnd w:id="33"/>
    </w:p>
    <w:p w14:paraId="3E7A9F1C" w14:textId="07E1D33D" w:rsidR="000449B0" w:rsidRPr="00AB3B90" w:rsidRDefault="000449B0" w:rsidP="00C90533">
      <w:pPr>
        <w:pStyle w:val="Heading1"/>
      </w:pPr>
      <w:bookmarkStart w:id="34" w:name="_Toc37253824"/>
      <w:bookmarkStart w:id="35" w:name="_Toc40351091"/>
      <w:bookmarkStart w:id="36" w:name="_Toc71021775"/>
      <w:bookmarkStart w:id="37" w:name="_Toc163650429"/>
      <w:r w:rsidRPr="00AB3B90">
        <w:t>Introduction</w:t>
      </w:r>
      <w:bookmarkEnd w:id="34"/>
      <w:bookmarkEnd w:id="35"/>
      <w:bookmarkEnd w:id="36"/>
      <w:bookmarkEnd w:id="37"/>
      <w:r w:rsidR="00B15B5E" w:rsidRPr="00AB3B90">
        <w:t xml:space="preserve"> </w:t>
      </w:r>
    </w:p>
    <w:p w14:paraId="06572BBA" w14:textId="2109C4E7" w:rsidR="00EF749C" w:rsidRPr="00AB3B90" w:rsidRDefault="00EF749C" w:rsidP="00C90533">
      <w:pPr>
        <w:pStyle w:val="Heading2"/>
      </w:pPr>
      <w:bookmarkStart w:id="38" w:name="_Toc37253825"/>
      <w:bookmarkStart w:id="39" w:name="_Toc40351092"/>
      <w:bookmarkStart w:id="40" w:name="_Toc71021776"/>
      <w:bookmarkStart w:id="41" w:name="_Toc99015299"/>
      <w:bookmarkStart w:id="42" w:name="_Toc127348380"/>
      <w:bookmarkStart w:id="43" w:name="_Toc163650430"/>
      <w:r w:rsidRPr="00AB3B90">
        <w:t>The task</w:t>
      </w:r>
      <w:bookmarkEnd w:id="38"/>
      <w:bookmarkEnd w:id="39"/>
      <w:bookmarkEnd w:id="40"/>
      <w:bookmarkEnd w:id="41"/>
      <w:bookmarkEnd w:id="42"/>
      <w:bookmarkEnd w:id="43"/>
      <w:r w:rsidR="00B15B5E" w:rsidRPr="00AB3B90">
        <w:t xml:space="preserve"> </w:t>
      </w:r>
    </w:p>
    <w:p w14:paraId="21AEF4DF" w14:textId="624FC609" w:rsidR="264AFE2D" w:rsidRPr="00AB3B90" w:rsidRDefault="264AFE2D" w:rsidP="00FB52B3">
      <w:r w:rsidRPr="00AB3B90">
        <w:t xml:space="preserve">The Board is responsible for reviewing different </w:t>
      </w:r>
      <w:r w:rsidR="00032729" w:rsidRPr="00AB3B90">
        <w:t>aspects</w:t>
      </w:r>
      <w:r w:rsidRPr="00AB3B90">
        <w:t xml:space="preserve"> of the Australian Government school funding model under the </w:t>
      </w:r>
      <w:r w:rsidRPr="00AB3B90">
        <w:rPr>
          <w:rStyle w:val="Emphasis"/>
        </w:rPr>
        <w:t>Australian Education Act 2013</w:t>
      </w:r>
      <w:r w:rsidRPr="00AB3B90">
        <w:t xml:space="preserve"> </w:t>
      </w:r>
      <w:r w:rsidR="02EA91FD" w:rsidRPr="00AB3B90">
        <w:t>(</w:t>
      </w:r>
      <w:proofErr w:type="spellStart"/>
      <w:r w:rsidR="02EA91FD" w:rsidRPr="00AB3B90">
        <w:t>Cth</w:t>
      </w:r>
      <w:proofErr w:type="spellEnd"/>
      <w:r w:rsidR="02EA91FD" w:rsidRPr="00AB3B90">
        <w:t xml:space="preserve">) </w:t>
      </w:r>
      <w:r w:rsidRPr="00AB3B90">
        <w:t>(the Act). These reviews help ensure public confidence in the funding model.</w:t>
      </w:r>
    </w:p>
    <w:p w14:paraId="42C006B1" w14:textId="357A6405" w:rsidR="00DC4908" w:rsidRPr="00AB3B90" w:rsidRDefault="58C90E2A" w:rsidP="00DC4908">
      <w:bookmarkStart w:id="44" w:name="_Hlk159584042"/>
      <w:r w:rsidRPr="00AB3B90">
        <w:t xml:space="preserve">The Review of the </w:t>
      </w:r>
      <w:r w:rsidR="4FCB6A3D" w:rsidRPr="00AB3B90">
        <w:t>School</w:t>
      </w:r>
      <w:r w:rsidR="6942D39D" w:rsidRPr="00AB3B90">
        <w:t>ing</w:t>
      </w:r>
      <w:r w:rsidRPr="00AB3B90">
        <w:t xml:space="preserve"> Resourcing Standard (SRS) </w:t>
      </w:r>
      <w:r w:rsidR="5B4FE1D6" w:rsidRPr="00AB3B90">
        <w:t>i</w:t>
      </w:r>
      <w:r w:rsidRPr="00AB3B90">
        <w:t xml:space="preserve">ndexation </w:t>
      </w:r>
      <w:r w:rsidR="20659C00" w:rsidRPr="00AB3B90">
        <w:t>a</w:t>
      </w:r>
      <w:r w:rsidRPr="00AB3B90">
        <w:t xml:space="preserve">rrangements </w:t>
      </w:r>
      <w:r w:rsidR="26CC1E07" w:rsidRPr="00AB3B90">
        <w:t>is</w:t>
      </w:r>
      <w:r w:rsidRPr="00AB3B90">
        <w:t xml:space="preserve"> a commitment arising from the National School Reform Agreement (NSRA). </w:t>
      </w:r>
      <w:r w:rsidR="13971DAC" w:rsidRPr="00AB3B90">
        <w:t xml:space="preserve">According to clause 33 of the NSRA, </w:t>
      </w:r>
      <w:r w:rsidR="4E75834D" w:rsidRPr="00AB3B90">
        <w:t>‘</w:t>
      </w:r>
      <w:r w:rsidR="13971DAC" w:rsidRPr="00AB3B90">
        <w:t xml:space="preserve">The Commonwealth will commission the National School Resourcing Board to review the SRS indexation arrangements. The terms of reference for the review are to be agreed by the Education Council. The </w:t>
      </w:r>
      <w:r w:rsidR="18A57045" w:rsidRPr="00AB3B90">
        <w:t>r</w:t>
      </w:r>
      <w:r w:rsidR="13971DAC" w:rsidRPr="00AB3B90">
        <w:t>eview will be completed and presented to Education Council in 2023.</w:t>
      </w:r>
      <w:r w:rsidR="4E75834D" w:rsidRPr="00AB3B90">
        <w:t>’</w:t>
      </w:r>
      <w:r w:rsidR="00DC4908" w:rsidRPr="00AB3B90">
        <w:rPr>
          <w:rStyle w:val="FootnoteReference"/>
        </w:rPr>
        <w:footnoteReference w:id="2"/>
      </w:r>
    </w:p>
    <w:p w14:paraId="5E7BB43A" w14:textId="50EE29DB" w:rsidR="00301B99" w:rsidRPr="00AB3B90" w:rsidRDefault="004F77CA" w:rsidP="00FB52B3">
      <w:r w:rsidRPr="00AB3B90">
        <w:t xml:space="preserve">A one-year extension to the NSRA was agreed by Education Ministers (subject to approval from First Ministers), taking the current agreement to 31 December 2024. </w:t>
      </w:r>
      <w:r w:rsidR="009A2E5B" w:rsidRPr="00AB3B90">
        <w:t xml:space="preserve">In the extension, Ministers committed to completing the Review </w:t>
      </w:r>
      <w:r w:rsidR="00FE6BE5" w:rsidRPr="00AB3B90">
        <w:t xml:space="preserve">of SRS </w:t>
      </w:r>
      <w:r w:rsidR="00D42785" w:rsidRPr="00AB3B90">
        <w:t>i</w:t>
      </w:r>
      <w:r w:rsidR="00FE6BE5" w:rsidRPr="00AB3B90">
        <w:t xml:space="preserve">ndexation arrangements </w:t>
      </w:r>
      <w:r w:rsidR="009A2E5B" w:rsidRPr="00AB3B90">
        <w:t>in 2024</w:t>
      </w:r>
      <w:r w:rsidR="00FE6BE5" w:rsidRPr="00AB3B90">
        <w:t>.</w:t>
      </w:r>
      <w:r w:rsidR="009A2E5B" w:rsidRPr="00AB3B90">
        <w:t xml:space="preserve"> </w:t>
      </w:r>
      <w:r w:rsidR="00FE6BE5" w:rsidRPr="00AB3B90">
        <w:t>S</w:t>
      </w:r>
      <w:r w:rsidR="009A2E5B" w:rsidRPr="00AB3B90">
        <w:t>everal jurisdictions requested it be completed in early 2024 to inform negotiations for the next NSRA.</w:t>
      </w:r>
    </w:p>
    <w:p w14:paraId="2EFCA652" w14:textId="2F2F3E19" w:rsidR="009A2E5B" w:rsidRPr="00AB3B90" w:rsidRDefault="009A2E5B" w:rsidP="00FB52B3">
      <w:r w:rsidRPr="00AB3B90">
        <w:t>In accordance with Section 128 (8) of the Act, Minister Clare consulted with the Education Ministers Meeting</w:t>
      </w:r>
      <w:r w:rsidR="1AC5EEEB" w:rsidRPr="00AB3B90">
        <w:t xml:space="preserve"> (EMM)</w:t>
      </w:r>
      <w:r w:rsidRPr="00AB3B90">
        <w:t xml:space="preserve">, </w:t>
      </w:r>
      <w:r w:rsidR="54823BCE" w:rsidRPr="00AB3B90">
        <w:t>Independent Schools Australia (</w:t>
      </w:r>
      <w:r w:rsidRPr="00AB3B90">
        <w:t>ISA</w:t>
      </w:r>
      <w:r w:rsidR="318FDB7D" w:rsidRPr="00AB3B90">
        <w:t>)</w:t>
      </w:r>
      <w:r w:rsidRPr="00AB3B90">
        <w:t xml:space="preserve"> and the </w:t>
      </w:r>
      <w:r w:rsidR="04628A26" w:rsidRPr="00AB3B90">
        <w:t>National Catholic Education Commission (</w:t>
      </w:r>
      <w:r w:rsidRPr="00AB3B90">
        <w:t>NCEC</w:t>
      </w:r>
      <w:r w:rsidR="6410BCBF" w:rsidRPr="00AB3B90">
        <w:t>)</w:t>
      </w:r>
      <w:r w:rsidR="00AE2284" w:rsidRPr="00AB3B90">
        <w:t xml:space="preserve"> in developing the </w:t>
      </w:r>
      <w:r w:rsidR="00DD4556" w:rsidRPr="00AB3B90">
        <w:t>t</w:t>
      </w:r>
      <w:r w:rsidR="00AE2284" w:rsidRPr="00AB3B90">
        <w:t xml:space="preserve">erms of </w:t>
      </w:r>
      <w:r w:rsidR="00DD4556" w:rsidRPr="00AB3B90">
        <w:t>r</w:t>
      </w:r>
      <w:r w:rsidR="00AE2284" w:rsidRPr="00AB3B90">
        <w:t xml:space="preserve">eference for this </w:t>
      </w:r>
      <w:r w:rsidR="008031B1" w:rsidRPr="00AB3B90">
        <w:t>r</w:t>
      </w:r>
      <w:r w:rsidR="00AE2284" w:rsidRPr="00AB3B90">
        <w:t>eview</w:t>
      </w:r>
      <w:r w:rsidRPr="00AB3B90">
        <w:t xml:space="preserve">. Following this consultation, on 1 February 2024, Minister Clare commissioned the Board to undertake this </w:t>
      </w:r>
      <w:r w:rsidR="008031B1" w:rsidRPr="00AB3B90">
        <w:t>r</w:t>
      </w:r>
      <w:r w:rsidRPr="00AB3B90">
        <w:t xml:space="preserve">eview and deliver </w:t>
      </w:r>
      <w:r w:rsidR="09E398B8" w:rsidRPr="00AB3B90">
        <w:t>a</w:t>
      </w:r>
      <w:r w:rsidRPr="00AB3B90">
        <w:t xml:space="preserve"> final report by 28 March 2024.</w:t>
      </w:r>
    </w:p>
    <w:bookmarkEnd w:id="44"/>
    <w:p w14:paraId="7FA48459" w14:textId="4F2DF0F0" w:rsidR="264AFE2D" w:rsidRPr="00AB3B90" w:rsidRDefault="264AFE2D" w:rsidP="00FB52B3">
      <w:r w:rsidRPr="00AB3B90">
        <w:t xml:space="preserve">The terms of reference for the </w:t>
      </w:r>
      <w:r w:rsidR="008031B1" w:rsidRPr="00AB3B90">
        <w:t>r</w:t>
      </w:r>
      <w:r w:rsidRPr="00AB3B90">
        <w:t xml:space="preserve">eview </w:t>
      </w:r>
      <w:r w:rsidR="3F1818F0" w:rsidRPr="00AB3B90">
        <w:t xml:space="preserve">ask the </w:t>
      </w:r>
      <w:r w:rsidRPr="00AB3B90">
        <w:t xml:space="preserve">Board </w:t>
      </w:r>
      <w:r w:rsidR="05CACE7C" w:rsidRPr="00AB3B90">
        <w:t>to</w:t>
      </w:r>
      <w:r w:rsidRPr="00AB3B90">
        <w:t xml:space="preserve"> consider </w:t>
      </w:r>
      <w:r w:rsidR="00F409FE" w:rsidRPr="00AB3B90">
        <w:t>and provide advice on the appropriateness of current SRS indexation arrangements, the suitability of the current SRS indexation floor, the appropriateness of the composite index (currently set as 75</w:t>
      </w:r>
      <w:r w:rsidR="00FE1914" w:rsidRPr="00AB3B90">
        <w:t> </w:t>
      </w:r>
      <w:r w:rsidR="00F409FE" w:rsidRPr="00AB3B90">
        <w:t>per</w:t>
      </w:r>
      <w:r w:rsidR="00FE1914" w:rsidRPr="00AB3B90">
        <w:t> </w:t>
      </w:r>
      <w:r w:rsidR="00F409FE" w:rsidRPr="00AB3B90">
        <w:t xml:space="preserve">cent </w:t>
      </w:r>
      <w:r w:rsidR="00C04779" w:rsidRPr="00AB3B90">
        <w:t>WPI</w:t>
      </w:r>
      <w:r w:rsidR="00F409FE" w:rsidRPr="00AB3B90">
        <w:t xml:space="preserve"> and 25</w:t>
      </w:r>
      <w:r w:rsidR="00FE1914" w:rsidRPr="00AB3B90">
        <w:t> </w:t>
      </w:r>
      <w:r w:rsidR="00F409FE" w:rsidRPr="00AB3B90">
        <w:t>per</w:t>
      </w:r>
      <w:r w:rsidR="00FE1914" w:rsidRPr="00AB3B90">
        <w:t> </w:t>
      </w:r>
      <w:r w:rsidR="00F409FE" w:rsidRPr="00AB3B90">
        <w:t xml:space="preserve">cent </w:t>
      </w:r>
      <w:r w:rsidR="00C04779" w:rsidRPr="00AB3B90">
        <w:t>CPI</w:t>
      </w:r>
      <w:r w:rsidR="00F409FE" w:rsidRPr="00AB3B90">
        <w:t>) and the timing of SRS indexation rates.</w:t>
      </w:r>
    </w:p>
    <w:p w14:paraId="7BE771BC" w14:textId="4F2A6AC7" w:rsidR="264AFE2D" w:rsidRPr="00AB3B90" w:rsidRDefault="264AFE2D" w:rsidP="009A1565">
      <w:pPr>
        <w:spacing w:before="0" w:after="160"/>
      </w:pPr>
      <w:r w:rsidRPr="00AB3B90">
        <w:t xml:space="preserve">The full terms of reference are </w:t>
      </w:r>
      <w:r w:rsidR="007B2492" w:rsidRPr="00AB3B90">
        <w:t xml:space="preserve">at </w:t>
      </w:r>
      <w:r w:rsidR="003B09F5" w:rsidRPr="00AB3B90">
        <w:fldChar w:fldCharType="begin"/>
      </w:r>
      <w:r w:rsidR="003B09F5" w:rsidRPr="00AB3B90">
        <w:instrText xml:space="preserve"> REF _Ref161296442 \h </w:instrText>
      </w:r>
      <w:r w:rsidR="00065A8C" w:rsidRPr="00AB3B90">
        <w:instrText xml:space="preserve"> \* MERGEFORMAT </w:instrText>
      </w:r>
      <w:r w:rsidR="003B09F5" w:rsidRPr="00AB3B90">
        <w:fldChar w:fldCharType="separate"/>
      </w:r>
      <w:r w:rsidR="00FF6847" w:rsidRPr="00AB3B90">
        <w:t>Appendix A – Terms of reference</w:t>
      </w:r>
      <w:r w:rsidR="003B09F5" w:rsidRPr="00AB3B90">
        <w:fldChar w:fldCharType="end"/>
      </w:r>
      <w:r w:rsidR="00625B1A" w:rsidRPr="00AB3B90">
        <w:t>.</w:t>
      </w:r>
      <w:r w:rsidR="007B2492" w:rsidRPr="00AB3B90">
        <w:t xml:space="preserve"> </w:t>
      </w:r>
    </w:p>
    <w:p w14:paraId="69104303" w14:textId="0B7E7372" w:rsidR="000A6AE4" w:rsidRPr="00AB3B90" w:rsidRDefault="000A6AE4">
      <w:pPr>
        <w:spacing w:before="0" w:after="160"/>
      </w:pPr>
      <w:r w:rsidRPr="00AB3B90">
        <w:br w:type="page"/>
      </w:r>
    </w:p>
    <w:p w14:paraId="7071A62D" w14:textId="1C93A1F0" w:rsidR="00EF419F" w:rsidRPr="00AB3B90" w:rsidRDefault="00CD533C" w:rsidP="008A7AC6">
      <w:pPr>
        <w:pStyle w:val="Heading1-Numbered"/>
        <w:ind w:left="1843" w:hanging="1843"/>
      </w:pPr>
      <w:bookmarkStart w:id="45" w:name="_Hlk70514864"/>
      <w:bookmarkStart w:id="46" w:name="_Toc163650431"/>
      <w:r w:rsidRPr="00AB3B90">
        <w:t>Background</w:t>
      </w:r>
      <w:bookmarkEnd w:id="46"/>
    </w:p>
    <w:p w14:paraId="65AE33AA" w14:textId="05F24E8B" w:rsidR="005F5F38" w:rsidRPr="00AB3B90" w:rsidRDefault="005F5F38" w:rsidP="0003709D">
      <w:pPr>
        <w:pStyle w:val="Heading2-Numbered"/>
      </w:pPr>
      <w:bookmarkStart w:id="47" w:name="_Toc163650432"/>
      <w:bookmarkEnd w:id="45"/>
      <w:r w:rsidRPr="00AB3B90">
        <w:t>What is indexation?</w:t>
      </w:r>
      <w:bookmarkEnd w:id="47"/>
    </w:p>
    <w:p w14:paraId="0EE7F28E" w14:textId="77777777" w:rsidR="00BD2C6D" w:rsidRPr="00AB3B90" w:rsidRDefault="00BD2C6D" w:rsidP="00BD2C6D">
      <w:pPr>
        <w:rPr>
          <w:rFonts w:eastAsiaTheme="minorEastAsia"/>
        </w:rPr>
      </w:pPr>
      <w:r w:rsidRPr="00AB3B90">
        <w:rPr>
          <w:rFonts w:eastAsiaTheme="minorEastAsia"/>
        </w:rPr>
        <w:t xml:space="preserve">Indexation is a standard process used to adjust the value of government programs for changes in the level of prices, living costs or wages. In general, indexation aims to maintain the relative value or level of policy settings over time. For </w:t>
      </w:r>
      <w:proofErr w:type="gramStart"/>
      <w:r w:rsidRPr="00AB3B90">
        <w:rPr>
          <w:rFonts w:eastAsiaTheme="minorEastAsia"/>
        </w:rPr>
        <w:t>a number of</w:t>
      </w:r>
      <w:proofErr w:type="gramEnd"/>
      <w:r w:rsidRPr="00AB3B90">
        <w:rPr>
          <w:rFonts w:eastAsiaTheme="minorEastAsia"/>
        </w:rPr>
        <w:t xml:space="preserve"> the largest expenditure programs, the choice of indexation parameter and the frequency of its use is established in the program’s enabling legislation and is not easily changed.</w:t>
      </w:r>
      <w:r w:rsidRPr="00AB3B90">
        <w:rPr>
          <w:rFonts w:eastAsiaTheme="minorEastAsia"/>
          <w:vertAlign w:val="superscript"/>
        </w:rPr>
        <w:footnoteReference w:id="3"/>
      </w:r>
      <w:r w:rsidRPr="00AB3B90">
        <w:rPr>
          <w:rFonts w:eastAsiaTheme="minorEastAsia"/>
          <w:vertAlign w:val="superscript"/>
        </w:rPr>
        <w:t xml:space="preserve"> </w:t>
      </w:r>
      <w:r w:rsidRPr="00AB3B90">
        <w:rPr>
          <w:rFonts w:eastAsiaTheme="minorEastAsia"/>
        </w:rPr>
        <w:t>The enabling legislation will typically specify indexation arrangements, such as the payment and threshold values subject to indexation, the indexation parameters used and the frequency of adjustments.</w:t>
      </w:r>
      <w:r w:rsidRPr="00AB3B90">
        <w:rPr>
          <w:rFonts w:eastAsiaTheme="minorEastAsia"/>
          <w:vertAlign w:val="superscript"/>
        </w:rPr>
        <w:footnoteReference w:id="4"/>
      </w:r>
    </w:p>
    <w:p w14:paraId="7350E9EE" w14:textId="5ED9288D" w:rsidR="00BD2C6D" w:rsidRPr="00AB3B90" w:rsidRDefault="00BD2C6D" w:rsidP="00BD2C6D">
      <w:pPr>
        <w:rPr>
          <w:rFonts w:eastAsiaTheme="minorEastAsia"/>
        </w:rPr>
      </w:pPr>
      <w:r w:rsidRPr="00AB3B90">
        <w:rPr>
          <w:rFonts w:eastAsiaTheme="minorEastAsia"/>
        </w:rPr>
        <w:t xml:space="preserve">Indexation arrangements are included in a broad range of government programs, especially those related to health and social welfare. Common indexation parameters include the CPI and the </w:t>
      </w:r>
      <w:r w:rsidR="001D7923" w:rsidRPr="00AB3B90">
        <w:rPr>
          <w:rFonts w:eastAsiaTheme="minorEastAsia"/>
        </w:rPr>
        <w:t>WPI</w:t>
      </w:r>
      <w:r w:rsidRPr="00AB3B90">
        <w:rPr>
          <w:rFonts w:eastAsiaTheme="minorEastAsia"/>
        </w:rPr>
        <w:t>. The choice of index, and the frequency with which it is applied is a key driver of changes in the costs of programs over time, especially in a high-inflation environment.</w:t>
      </w:r>
      <w:r w:rsidRPr="00AB3B90">
        <w:rPr>
          <w:rFonts w:eastAsiaTheme="minorEastAsia"/>
          <w:vertAlign w:val="superscript"/>
        </w:rPr>
        <w:footnoteReference w:id="5"/>
      </w:r>
    </w:p>
    <w:p w14:paraId="2824BC34" w14:textId="14790F2D" w:rsidR="00E041A8" w:rsidRPr="00AB3B90" w:rsidRDefault="57E6A201" w:rsidP="002F6910">
      <w:pPr>
        <w:pStyle w:val="Heading2-Numbered"/>
      </w:pPr>
      <w:bookmarkStart w:id="48" w:name="_Toc163650433"/>
      <w:r w:rsidRPr="00AB3B90">
        <w:t>The role of indexation in the SRS</w:t>
      </w:r>
      <w:bookmarkEnd w:id="48"/>
    </w:p>
    <w:p w14:paraId="4D38E215" w14:textId="38B93E5D" w:rsidR="00CD533C" w:rsidRPr="00AB3B90" w:rsidRDefault="00CD533C" w:rsidP="00CD533C">
      <w:pPr>
        <w:rPr>
          <w:rFonts w:eastAsiaTheme="minorEastAsia"/>
        </w:rPr>
      </w:pPr>
      <w:bookmarkStart w:id="49" w:name="_Ref68006714"/>
      <w:bookmarkStart w:id="50" w:name="_Toc70425246"/>
      <w:bookmarkStart w:id="51" w:name="_Toc70425277"/>
      <w:r w:rsidRPr="00AB3B90">
        <w:rPr>
          <w:rFonts w:eastAsiaTheme="minorEastAsia"/>
        </w:rPr>
        <w:t xml:space="preserve">The SRS </w:t>
      </w:r>
      <w:r w:rsidR="291E31C7" w:rsidRPr="00AB3B90">
        <w:rPr>
          <w:rFonts w:eastAsiaTheme="minorEastAsia"/>
        </w:rPr>
        <w:t xml:space="preserve">is an estimate of how much total public funding a school needs to meet its students’ educational needs. It is based on recommendations made in the 2011 </w:t>
      </w:r>
      <w:r w:rsidR="291E31C7" w:rsidRPr="00AB3B90">
        <w:rPr>
          <w:rFonts w:eastAsiaTheme="minorEastAsia"/>
          <w:i/>
        </w:rPr>
        <w:t>Review of Funding for Schooling</w:t>
      </w:r>
      <w:r w:rsidR="291E31C7" w:rsidRPr="00AB3B90">
        <w:rPr>
          <w:rFonts w:eastAsiaTheme="minorEastAsia"/>
        </w:rPr>
        <w:t xml:space="preserve"> led by Mr David Gonski AC.</w:t>
      </w:r>
      <w:r w:rsidR="00E426C0" w:rsidRPr="00AB3B90">
        <w:rPr>
          <w:rStyle w:val="FootnoteReference"/>
          <w:rFonts w:eastAsiaTheme="minorEastAsia"/>
        </w:rPr>
        <w:footnoteReference w:id="6"/>
      </w:r>
      <w:r w:rsidR="291E31C7" w:rsidRPr="00AB3B90">
        <w:rPr>
          <w:rFonts w:eastAsiaTheme="minorEastAsia"/>
        </w:rPr>
        <w:t xml:space="preserve"> It is made up of a base amount and up to 6 needs-based loadings</w:t>
      </w:r>
      <w:r w:rsidR="003B09F5" w:rsidRPr="00AB3B90">
        <w:rPr>
          <w:rFonts w:eastAsiaTheme="minorEastAsia"/>
        </w:rPr>
        <w:t>.</w:t>
      </w:r>
      <w:r w:rsidRPr="00AB3B90">
        <w:rPr>
          <w:rStyle w:val="FootnoteReference"/>
          <w:rFonts w:eastAsiaTheme="minorEastAsia"/>
        </w:rPr>
        <w:footnoteReference w:id="7"/>
      </w:r>
      <w:r w:rsidRPr="00AB3B90">
        <w:rPr>
          <w:rFonts w:eastAsiaTheme="minorEastAsia"/>
        </w:rPr>
        <w:t xml:space="preserve"> </w:t>
      </w:r>
    </w:p>
    <w:p w14:paraId="74A27ACF" w14:textId="204F8F08" w:rsidR="21E321D9" w:rsidRPr="00AB3B90" w:rsidRDefault="21E321D9" w:rsidP="18F76849">
      <w:pPr>
        <w:rPr>
          <w:rFonts w:eastAsiaTheme="minorEastAsia"/>
        </w:rPr>
      </w:pPr>
      <w:r w:rsidRPr="00AB3B90">
        <w:rPr>
          <w:rFonts w:eastAsiaTheme="minorEastAsia"/>
        </w:rPr>
        <w:t xml:space="preserve">Each year, the SRS </w:t>
      </w:r>
      <w:r w:rsidR="00B3786A" w:rsidRPr="00AB3B90">
        <w:rPr>
          <w:rFonts w:eastAsiaTheme="minorEastAsia"/>
        </w:rPr>
        <w:t xml:space="preserve">funding amounts </w:t>
      </w:r>
      <w:r w:rsidR="00B34769" w:rsidRPr="00AB3B90">
        <w:rPr>
          <w:rFonts w:eastAsiaTheme="minorEastAsia"/>
        </w:rPr>
        <w:t xml:space="preserve">per </w:t>
      </w:r>
      <w:r w:rsidR="00601214" w:rsidRPr="00AB3B90">
        <w:rPr>
          <w:rFonts w:eastAsiaTheme="minorEastAsia"/>
        </w:rPr>
        <w:t xml:space="preserve">student, maximum </w:t>
      </w:r>
      <w:r w:rsidR="00DA1619" w:rsidRPr="00AB3B90">
        <w:rPr>
          <w:rFonts w:eastAsiaTheme="minorEastAsia"/>
        </w:rPr>
        <w:t xml:space="preserve">size </w:t>
      </w:r>
      <w:r w:rsidRPr="00AB3B90">
        <w:rPr>
          <w:rFonts w:eastAsiaTheme="minorEastAsia"/>
        </w:rPr>
        <w:t xml:space="preserve">loading </w:t>
      </w:r>
      <w:r w:rsidR="00601214" w:rsidRPr="00AB3B90">
        <w:rPr>
          <w:rFonts w:eastAsiaTheme="minorEastAsia"/>
        </w:rPr>
        <w:t xml:space="preserve">amounts </w:t>
      </w:r>
      <w:r w:rsidR="0014030F" w:rsidRPr="00AB3B90">
        <w:rPr>
          <w:rFonts w:eastAsiaTheme="minorEastAsia"/>
        </w:rPr>
        <w:t xml:space="preserve">and starting amounts </w:t>
      </w:r>
      <w:r w:rsidRPr="00AB3B90">
        <w:rPr>
          <w:rFonts w:eastAsiaTheme="minorEastAsia"/>
        </w:rPr>
        <w:t xml:space="preserve">are indexed to reflect changes in prices which affect the cost of providing schooling. Indexation is a critical component of the SRS as it ensures that funding is responsive to changes in the prices of inputs to school education delivery, allowing the real value of funding to be maintained over time. </w:t>
      </w:r>
    </w:p>
    <w:p w14:paraId="03F5CE95" w14:textId="5E2B4616" w:rsidR="009F66CD" w:rsidRDefault="21E321D9" w:rsidP="18F76849">
      <w:pPr>
        <w:rPr>
          <w:rFonts w:eastAsiaTheme="minorEastAsia"/>
        </w:rPr>
      </w:pPr>
      <w:r w:rsidRPr="00AB3B90">
        <w:rPr>
          <w:rFonts w:eastAsiaTheme="minorEastAsia"/>
        </w:rPr>
        <w:t>Indexation aims to ensure schools can continue to afford the same inputs each year, to deliver a comparable standard of schooling services. Importantly, indexation is not intended to compensate for changes in the quality of schooling resources or compositional changes to schooling costs (which may be affected by changes in policy). These matters are most appropriately considered through the determination of the SRS base and loadings calculations.</w:t>
      </w:r>
    </w:p>
    <w:p w14:paraId="068BCA3C" w14:textId="2F59AFCF" w:rsidR="00DC7C3D" w:rsidRDefault="00DC7C3D">
      <w:pPr>
        <w:spacing w:before="0" w:after="160"/>
        <w:rPr>
          <w:rFonts w:eastAsiaTheme="minorEastAsia"/>
        </w:rPr>
      </w:pPr>
      <w:r>
        <w:rPr>
          <w:rFonts w:eastAsiaTheme="minorEastAsia"/>
        </w:rPr>
        <w:br w:type="page"/>
      </w:r>
    </w:p>
    <w:p w14:paraId="13E704B0" w14:textId="77777777" w:rsidR="00DC7C3D" w:rsidRPr="00AB3B90" w:rsidRDefault="00DC7C3D" w:rsidP="00DC7C3D">
      <w:pPr>
        <w:rPr>
          <w:rFonts w:eastAsiaTheme="minorEastAsia"/>
        </w:rPr>
      </w:pPr>
      <w:r w:rsidRPr="00AB3B90">
        <w:rPr>
          <w:rFonts w:eastAsiaTheme="minorEastAsia"/>
        </w:rPr>
        <w:t>This approach provides a minimum indexation rate and certainty for schools, while ensuring that funding reflects changes in wages and other costs. Indexation is weighted towards changes in wage costs reflecting that teachers’ and staff salaries are a significant driver of schools' costs.</w:t>
      </w:r>
      <w:r w:rsidRPr="00AB3B90">
        <w:rPr>
          <w:rFonts w:eastAsiaTheme="minorEastAsia"/>
          <w:vertAlign w:val="superscript"/>
        </w:rPr>
        <w:footnoteReference w:id="8"/>
      </w:r>
    </w:p>
    <w:p w14:paraId="48A8E394" w14:textId="30A31B67" w:rsidR="004132FE" w:rsidRPr="00AB3B90" w:rsidRDefault="004132FE" w:rsidP="009F66CD">
      <w:pPr>
        <w:pStyle w:val="Heading3"/>
      </w:pPr>
      <w:r w:rsidRPr="00AB3B90">
        <w:t>Current arrangements</w:t>
      </w:r>
    </w:p>
    <w:p w14:paraId="623925FD" w14:textId="77777777" w:rsidR="00604952" w:rsidRPr="00AB3B90" w:rsidRDefault="00604952" w:rsidP="00604952">
      <w:r w:rsidRPr="00AB3B90">
        <w:t>In 2018, the SRS funding amounts were prescribed in section 34 of the Act.</w:t>
      </w:r>
    </w:p>
    <w:p w14:paraId="45734D53" w14:textId="27AE9B9A" w:rsidR="00604952" w:rsidRPr="00AB3B90" w:rsidRDefault="00604952" w:rsidP="00604952">
      <w:pPr>
        <w:rPr>
          <w:i/>
        </w:rPr>
      </w:pPr>
      <w:r w:rsidRPr="00AB3B90">
        <w:t xml:space="preserve">The indexation factor for the SRS is defined in the </w:t>
      </w:r>
      <w:r w:rsidR="001D7923" w:rsidRPr="00AB3B90">
        <w:t>Act</w:t>
      </w:r>
      <w:r w:rsidRPr="00AB3B90">
        <w:rPr>
          <w:i/>
          <w:iCs/>
        </w:rPr>
        <w:t>:</w:t>
      </w:r>
    </w:p>
    <w:p w14:paraId="736A5100" w14:textId="77777777" w:rsidR="00604952" w:rsidRPr="00AB3B90" w:rsidRDefault="00604952" w:rsidP="00604952">
      <w:r w:rsidRPr="00AB3B90">
        <w:rPr>
          <w:i/>
          <w:iCs/>
        </w:rPr>
        <w:tab/>
      </w:r>
      <w:r w:rsidRPr="00AB3B90">
        <w:t>11A Definition of SRS indexation factor</w:t>
      </w:r>
    </w:p>
    <w:p w14:paraId="50B263C3" w14:textId="77777777" w:rsidR="00604952" w:rsidRPr="00AB3B90" w:rsidRDefault="00604952" w:rsidP="00604952">
      <w:pPr>
        <w:pStyle w:val="ListParagraph"/>
        <w:numPr>
          <w:ilvl w:val="3"/>
          <w:numId w:val="13"/>
        </w:numPr>
      </w:pPr>
      <w:r w:rsidRPr="00AB3B90">
        <w:t xml:space="preserve">The </w:t>
      </w:r>
      <w:r w:rsidRPr="00AB3B90">
        <w:rPr>
          <w:i/>
          <w:iCs/>
        </w:rPr>
        <w:t>SRS indexation factor</w:t>
      </w:r>
      <w:r w:rsidRPr="00AB3B90">
        <w:rPr>
          <w:b/>
          <w:bCs/>
        </w:rPr>
        <w:t xml:space="preserve"> </w:t>
      </w:r>
      <w:r w:rsidRPr="00AB3B90">
        <w:t>for a year is the higher of the following:</w:t>
      </w:r>
    </w:p>
    <w:p w14:paraId="66AA05EE" w14:textId="77777777" w:rsidR="00604952" w:rsidRPr="00AB3B90" w:rsidRDefault="00604952" w:rsidP="00B56A9D">
      <w:pPr>
        <w:pStyle w:val="ListParagraph"/>
        <w:numPr>
          <w:ilvl w:val="0"/>
          <w:numId w:val="18"/>
        </w:numPr>
      </w:pPr>
      <w:proofErr w:type="gramStart"/>
      <w:r w:rsidRPr="00AB3B90">
        <w:t>1.03;</w:t>
      </w:r>
      <w:proofErr w:type="gramEnd"/>
    </w:p>
    <w:p w14:paraId="23B2705A" w14:textId="77777777" w:rsidR="00604952" w:rsidRPr="00AB3B90" w:rsidRDefault="00604952" w:rsidP="00B56A9D">
      <w:pPr>
        <w:pStyle w:val="ListParagraph"/>
        <w:numPr>
          <w:ilvl w:val="0"/>
          <w:numId w:val="18"/>
        </w:numPr>
      </w:pPr>
      <w:r w:rsidRPr="00AB3B90">
        <w:t>The number worked out under subsection (2) for the year.</w:t>
      </w:r>
    </w:p>
    <w:p w14:paraId="0F8CEDF6" w14:textId="77777777" w:rsidR="00604952" w:rsidRPr="00AB3B90" w:rsidRDefault="00604952" w:rsidP="00604952">
      <w:pPr>
        <w:pStyle w:val="ListParagraph"/>
        <w:numPr>
          <w:ilvl w:val="3"/>
          <w:numId w:val="13"/>
        </w:numPr>
      </w:pPr>
      <w:r w:rsidRPr="00AB3B90">
        <w:t>The number is worked out using the following formula:</w:t>
      </w:r>
    </w:p>
    <w:p w14:paraId="2429FD1C" w14:textId="6DA54E12" w:rsidR="00810BC6" w:rsidRPr="00810BC6" w:rsidRDefault="00604952" w:rsidP="00810BC6">
      <w:pPr>
        <w:pStyle w:val="NormalWeb"/>
        <w:ind w:left="1080"/>
        <w:rPr>
          <w:rFonts w:ascii="Times New Roman" w:eastAsia="Times New Roman" w:hAnsi="Times New Roman" w:cs="Times New Roman"/>
          <w:lang w:eastAsia="en-AU"/>
        </w:rPr>
      </w:pPr>
      <w:r w:rsidRPr="00AB3B90">
        <w:tab/>
      </w:r>
      <w:r w:rsidR="00810BC6" w:rsidRPr="00810BC6">
        <w:rPr>
          <w:rFonts w:ascii="Times New Roman" w:eastAsia="Times New Roman" w:hAnsi="Times New Roman" w:cs="Times New Roman"/>
          <w:noProof/>
          <w:lang w:eastAsia="en-AU"/>
        </w:rPr>
        <w:drawing>
          <wp:inline distT="0" distB="0" distL="0" distR="0" wp14:anchorId="5297C9EA" wp14:editId="55FFE737">
            <wp:extent cx="3596128" cy="613963"/>
            <wp:effectExtent l="0" t="0" r="4445" b="0"/>
            <wp:docPr id="1922802631" name="Picture 17" descr="Formula is (0.75 multiplied by wage index number for the reference quarter divided by wage index for the base quarter) plus (0.25 multiplied by consumer index number for the reference quarter divided by consumer index number for the base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02631" name="Picture 17" descr="Formula is (0.75 multiplied by wage index number for the reference quarter divided by wage index for the base quarter) plus (0.25 multiplied by consumer index number for the reference quarter divided by consumer index number for the base quarte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53886" cy="623824"/>
                    </a:xfrm>
                    <a:prstGeom prst="rect">
                      <a:avLst/>
                    </a:prstGeom>
                    <a:noFill/>
                    <a:ln>
                      <a:noFill/>
                    </a:ln>
                  </pic:spPr>
                </pic:pic>
              </a:graphicData>
            </a:graphic>
          </wp:inline>
        </w:drawing>
      </w:r>
    </w:p>
    <w:p w14:paraId="6C61274D" w14:textId="77777777" w:rsidR="00604952" w:rsidRPr="00AB3B90" w:rsidRDefault="00604952" w:rsidP="00604952">
      <w:pPr>
        <w:pStyle w:val="ListParagraph"/>
        <w:ind w:left="1440"/>
      </w:pPr>
      <w:r w:rsidRPr="00AB3B90">
        <w:tab/>
        <w:t>Where:</w:t>
      </w:r>
    </w:p>
    <w:p w14:paraId="662DA1C4" w14:textId="77777777" w:rsidR="00604952" w:rsidRPr="00AB3B90" w:rsidRDefault="00604952" w:rsidP="00604952">
      <w:pPr>
        <w:pStyle w:val="ListParagraph"/>
        <w:ind w:left="1440"/>
      </w:pPr>
    </w:p>
    <w:p w14:paraId="7FA3D283" w14:textId="77777777" w:rsidR="00604952" w:rsidRPr="00AB3B90" w:rsidRDefault="00604952" w:rsidP="00FF115D">
      <w:pPr>
        <w:pStyle w:val="ListParagraph"/>
        <w:spacing w:after="240"/>
        <w:ind w:left="1440"/>
      </w:pPr>
      <w:r w:rsidRPr="00AB3B90">
        <w:tab/>
      </w:r>
      <w:r w:rsidRPr="00AB3B90">
        <w:rPr>
          <w:i/>
          <w:iCs/>
        </w:rPr>
        <w:t>base quarter</w:t>
      </w:r>
      <w:r w:rsidRPr="00AB3B90">
        <w:t xml:space="preserve"> means the June quarter in the previous year.</w:t>
      </w:r>
    </w:p>
    <w:p w14:paraId="4ACFE486" w14:textId="77777777" w:rsidR="00604952" w:rsidRPr="00AB3B90" w:rsidRDefault="00604952" w:rsidP="00FF115D">
      <w:pPr>
        <w:pStyle w:val="ListParagraph"/>
        <w:spacing w:after="240"/>
        <w:ind w:left="1440"/>
      </w:pPr>
      <w:r w:rsidRPr="00AB3B90">
        <w:rPr>
          <w:b/>
          <w:bCs/>
        </w:rPr>
        <w:tab/>
      </w:r>
      <w:r w:rsidRPr="00AB3B90">
        <w:rPr>
          <w:i/>
          <w:iCs/>
        </w:rPr>
        <w:t>consumer index number</w:t>
      </w:r>
      <w:r w:rsidRPr="00AB3B90">
        <w:t xml:space="preserve">, for a quarter, means the All Groups Consumer </w:t>
      </w:r>
      <w:r w:rsidRPr="00AB3B90">
        <w:tab/>
        <w:t xml:space="preserve">Price Index number (being the weighted average of the 8 capital cities) </w:t>
      </w:r>
      <w:r w:rsidRPr="00AB3B90">
        <w:tab/>
        <w:t>published by the Australian Statistician for that quarter.</w:t>
      </w:r>
    </w:p>
    <w:p w14:paraId="247EC91D" w14:textId="77777777" w:rsidR="00604952" w:rsidRPr="00AB3B90" w:rsidRDefault="00604952" w:rsidP="00FF115D">
      <w:pPr>
        <w:pStyle w:val="ListParagraph"/>
        <w:spacing w:after="240"/>
        <w:ind w:left="1440"/>
      </w:pPr>
      <w:r w:rsidRPr="00AB3B90">
        <w:rPr>
          <w:b/>
          <w:bCs/>
          <w:i/>
          <w:iCs/>
        </w:rPr>
        <w:tab/>
      </w:r>
      <w:r w:rsidRPr="00AB3B90">
        <w:rPr>
          <w:i/>
          <w:iCs/>
        </w:rPr>
        <w:t>reference quarter</w:t>
      </w:r>
      <w:r w:rsidRPr="00AB3B90">
        <w:rPr>
          <w:b/>
          <w:bCs/>
          <w:i/>
          <w:iCs/>
        </w:rPr>
        <w:t xml:space="preserve"> </w:t>
      </w:r>
      <w:r w:rsidRPr="00AB3B90">
        <w:t>means the June quarter in the year.</w:t>
      </w:r>
    </w:p>
    <w:p w14:paraId="2EF62E9C" w14:textId="77777777" w:rsidR="00604952" w:rsidRPr="00AB3B90" w:rsidRDefault="00604952" w:rsidP="00FF115D">
      <w:pPr>
        <w:pStyle w:val="ListParagraph"/>
        <w:spacing w:after="240"/>
        <w:ind w:left="1440"/>
      </w:pPr>
      <w:r w:rsidRPr="00AB3B90">
        <w:rPr>
          <w:b/>
          <w:bCs/>
          <w:i/>
          <w:iCs/>
        </w:rPr>
        <w:tab/>
      </w:r>
      <w:r w:rsidRPr="00AB3B90">
        <w:rPr>
          <w:i/>
          <w:iCs/>
        </w:rPr>
        <w:t>Wage index number</w:t>
      </w:r>
      <w:r w:rsidRPr="00AB3B90">
        <w:t xml:space="preserve">, for a quarter, means the Wage Price Index (total </w:t>
      </w:r>
      <w:r w:rsidRPr="00AB3B90">
        <w:tab/>
        <w:t xml:space="preserve">hourly rates of pay excluding bonuses/all sectors/all Australia/original) </w:t>
      </w:r>
      <w:r w:rsidRPr="00AB3B90">
        <w:tab/>
        <w:t>number published by the Australian Statistician for that quarter.</w:t>
      </w:r>
    </w:p>
    <w:p w14:paraId="3566DEAE" w14:textId="342C0FF1" w:rsidR="00604952" w:rsidRPr="00AB3B90" w:rsidRDefault="00604952" w:rsidP="00604952">
      <w:pPr>
        <w:pStyle w:val="ListParagraph"/>
        <w:numPr>
          <w:ilvl w:val="3"/>
          <w:numId w:val="13"/>
        </w:numPr>
      </w:pPr>
      <w:r w:rsidRPr="00AB3B90">
        <w:t>An SRS indexation factor worked out under subsection (2) is to be calculated to 3</w:t>
      </w:r>
      <w:r w:rsidR="001D7923" w:rsidRPr="00AB3B90">
        <w:t> </w:t>
      </w:r>
      <w:r w:rsidRPr="00AB3B90">
        <w:t>decimal places (rounding up if the fourth decimal place is 5 or more).</w:t>
      </w:r>
    </w:p>
    <w:p w14:paraId="4679820B" w14:textId="77777777" w:rsidR="00604952" w:rsidRPr="00AB3B90" w:rsidRDefault="00604952" w:rsidP="00604952">
      <w:pPr>
        <w:pStyle w:val="ListParagraph"/>
        <w:numPr>
          <w:ilvl w:val="3"/>
          <w:numId w:val="13"/>
        </w:numPr>
      </w:pPr>
      <w:r w:rsidRPr="00AB3B90">
        <w:t>Calculations under subsection (2):</w:t>
      </w:r>
    </w:p>
    <w:p w14:paraId="3E7EA8C0" w14:textId="77777777" w:rsidR="00604952" w:rsidRPr="00AB3B90" w:rsidRDefault="00604952" w:rsidP="00B56A9D">
      <w:pPr>
        <w:pStyle w:val="ListParagraph"/>
        <w:numPr>
          <w:ilvl w:val="0"/>
          <w:numId w:val="19"/>
        </w:numPr>
      </w:pPr>
      <w:r w:rsidRPr="00AB3B90">
        <w:t>are to be made using only the index numbers published in terms of the most recently published index reference period; and</w:t>
      </w:r>
    </w:p>
    <w:p w14:paraId="1C1CB5E7" w14:textId="77777777" w:rsidR="00604952" w:rsidRPr="00AB3B90" w:rsidRDefault="00604952" w:rsidP="00B56A9D">
      <w:pPr>
        <w:pStyle w:val="ListParagraph"/>
        <w:numPr>
          <w:ilvl w:val="0"/>
          <w:numId w:val="19"/>
        </w:numPr>
      </w:pPr>
      <w:r w:rsidRPr="00AB3B90">
        <w:t>are to be made disregarding index numbers that are published in substitution for previously published index numbers (except where the substituted numbers are published to take account of changes in the index reference period).</w:t>
      </w:r>
    </w:p>
    <w:p w14:paraId="147B24D4" w14:textId="77777777" w:rsidR="00604952" w:rsidRPr="00AB3B90" w:rsidRDefault="00604952" w:rsidP="00604952">
      <w:pPr>
        <w:pStyle w:val="ListParagraph"/>
        <w:numPr>
          <w:ilvl w:val="3"/>
          <w:numId w:val="13"/>
        </w:numPr>
      </w:pPr>
      <w:r w:rsidRPr="00AB3B90">
        <w:t xml:space="preserve">The regulations may prescribe the </w:t>
      </w:r>
      <w:r w:rsidRPr="00AB3B90">
        <w:rPr>
          <w:i/>
          <w:iCs/>
        </w:rPr>
        <w:t>SRS indexation factor</w:t>
      </w:r>
      <w:r w:rsidRPr="00AB3B90">
        <w:rPr>
          <w:b/>
          <w:bCs/>
        </w:rPr>
        <w:t xml:space="preserve"> </w:t>
      </w:r>
      <w:r w:rsidRPr="00AB3B90">
        <w:t>for a year.</w:t>
      </w:r>
    </w:p>
    <w:p w14:paraId="53409E8C" w14:textId="77777777" w:rsidR="00604952" w:rsidRPr="00AB3B90" w:rsidRDefault="00604952" w:rsidP="00604952">
      <w:pPr>
        <w:pStyle w:val="ListParagraph"/>
        <w:numPr>
          <w:ilvl w:val="3"/>
          <w:numId w:val="13"/>
        </w:numPr>
      </w:pPr>
      <w:r w:rsidRPr="00AB3B90">
        <w:t xml:space="preserve">If the regulations prescribe the SRS indexation factor for a year, subsections (1) </w:t>
      </w:r>
      <w:r w:rsidRPr="00AB3B90">
        <w:br/>
        <w:t>to (4) do not apply in relation to the year.</w:t>
      </w:r>
    </w:p>
    <w:p w14:paraId="3C4FEB99" w14:textId="1AF8FD42" w:rsidR="009F66CD" w:rsidRDefault="00604952" w:rsidP="00653470">
      <w:pPr>
        <w:pStyle w:val="ListParagraph"/>
        <w:numPr>
          <w:ilvl w:val="3"/>
          <w:numId w:val="13"/>
        </w:numPr>
        <w:spacing w:before="0" w:after="160"/>
      </w:pPr>
      <w:r w:rsidRPr="00AB3B90">
        <w:t>Amounts worked out using an SRS indexation factor are to be rounded to the nearest whole collar (rounding 50 cents upwards).</w:t>
      </w:r>
      <w:r w:rsidR="00BF6C82">
        <w:t xml:space="preserve"> </w:t>
      </w:r>
      <w:r w:rsidR="009F66CD">
        <w:br w:type="page"/>
      </w:r>
    </w:p>
    <w:p w14:paraId="73879173" w14:textId="0A6769BB" w:rsidR="00604952" w:rsidRPr="00AB3B90" w:rsidRDefault="00604952" w:rsidP="00604952">
      <w:r w:rsidRPr="00AB3B90">
        <w:t xml:space="preserve">The indexation factor for 2019 and 2020 is specified in the </w:t>
      </w:r>
      <w:r w:rsidRPr="00AB3B90">
        <w:rPr>
          <w:i/>
          <w:iCs/>
        </w:rPr>
        <w:t>Australian Education Regulations 2023</w:t>
      </w:r>
      <w:r w:rsidRPr="00AB3B90">
        <w:t>:</w:t>
      </w:r>
    </w:p>
    <w:p w14:paraId="32E3EB14" w14:textId="7F0D25A9" w:rsidR="00604952" w:rsidRPr="00AB3B90" w:rsidRDefault="00604952" w:rsidP="00604952">
      <w:pPr>
        <w:ind w:left="720"/>
      </w:pPr>
      <w:r w:rsidRPr="00AB3B90">
        <w:t>For the purposes of subsection 11A(5) of the Act, the SRS indexation factor for 2019 and 2020 is 1.0356.</w:t>
      </w:r>
      <w:r w:rsidRPr="00AB3B90">
        <w:rPr>
          <w:rStyle w:val="FootnoteReference"/>
        </w:rPr>
        <w:footnoteReference w:id="9"/>
      </w:r>
    </w:p>
    <w:p w14:paraId="122F729F" w14:textId="6757CB73" w:rsidR="00594DFB" w:rsidRPr="00AB3B90" w:rsidRDefault="00594DFB" w:rsidP="00594DFB">
      <w:r w:rsidRPr="00AB3B90">
        <w:t>The two current components of the SRS indexation factor, as described in the</w:t>
      </w:r>
      <w:r w:rsidR="001D7923" w:rsidRPr="00AB3B90">
        <w:t xml:space="preserve"> Act</w:t>
      </w:r>
      <w:r w:rsidRPr="00AB3B90">
        <w:rPr>
          <w:i/>
          <w:iCs/>
        </w:rPr>
        <w:t>,</w:t>
      </w:r>
      <w:r w:rsidRPr="00AB3B90">
        <w:t xml:space="preserve"> are the CPI and WPI.</w:t>
      </w:r>
    </w:p>
    <w:p w14:paraId="414CE6AC" w14:textId="77777777" w:rsidR="00594DFB" w:rsidRPr="00AB3B90" w:rsidRDefault="00594DFB" w:rsidP="00594DFB">
      <w:r w:rsidRPr="00AB3B90">
        <w:t>The CPI measures price inflation for the household sector as a whole; the changes in the price of a fixed ‘basket’ of goods and services over time, measured through surveys administered by the Australian Bureau of Statistics (ABS).</w:t>
      </w:r>
      <w:r w:rsidRPr="00AB3B90">
        <w:rPr>
          <w:rStyle w:val="FootnoteReference"/>
        </w:rPr>
        <w:footnoteReference w:id="10"/>
      </w:r>
      <w:r w:rsidRPr="00AB3B90">
        <w:t xml:space="preserve"> This component of the indexation factor was intended to compensate for increasing costs related to non-salary items such as educational materials and utilities.</w:t>
      </w:r>
    </w:p>
    <w:p w14:paraId="3E3A3511" w14:textId="77777777" w:rsidR="00594DFB" w:rsidRPr="00AB3B90" w:rsidRDefault="00594DFB" w:rsidP="00594DFB">
      <w:r w:rsidRPr="00AB3B90">
        <w:t>The WPI compares the cost of wages over time for the same work level and output. This means it excludes the effects of changes in the composition of the labour force, the hours worked, employee characteristics, or the quality or quantity of work performed. The data relates to total hourly rates of pay excluding bonuses in all industries in the private and public sectors.</w:t>
      </w:r>
      <w:r w:rsidRPr="00AB3B90">
        <w:rPr>
          <w:rStyle w:val="FootnoteReference"/>
        </w:rPr>
        <w:footnoteReference w:id="11"/>
      </w:r>
    </w:p>
    <w:p w14:paraId="159C8026" w14:textId="6C2DBB15" w:rsidR="002A3CA2" w:rsidRPr="00AB3B90" w:rsidRDefault="002A3CA2" w:rsidP="002A3CA2">
      <w:pPr>
        <w:rPr>
          <w:rStyle w:val="FootnoteReference"/>
          <w:rFonts w:asciiTheme="minorHAnsi" w:eastAsiaTheme="minorEastAsia" w:hAnsiTheme="minorHAnsi"/>
        </w:rPr>
      </w:pPr>
      <w:r w:rsidRPr="00AB3B90">
        <w:t xml:space="preserve">The SRS indexation factor for 2023 </w:t>
      </w:r>
      <w:r w:rsidR="71195853" w:rsidRPr="00AB3B90">
        <w:t>was</w:t>
      </w:r>
      <w:r w:rsidRPr="00AB3B90">
        <w:t xml:space="preserve"> </w:t>
      </w:r>
      <w:r w:rsidR="00DF28A9" w:rsidRPr="00AB3B90">
        <w:t>1.042</w:t>
      </w:r>
      <w:r w:rsidRPr="00AB3B90">
        <w:t>. The indexation rate for 2024 is expected to be available after 13</w:t>
      </w:r>
      <w:r w:rsidR="00D56231" w:rsidRPr="00AB3B90">
        <w:t> </w:t>
      </w:r>
      <w:r w:rsidRPr="00AB3B90">
        <w:t>August</w:t>
      </w:r>
      <w:r w:rsidR="00D56231" w:rsidRPr="00AB3B90">
        <w:t> </w:t>
      </w:r>
      <w:r w:rsidRPr="00AB3B90">
        <w:t>2024.</w:t>
      </w:r>
      <w:r w:rsidRPr="00AB3B90">
        <w:rPr>
          <w:vertAlign w:val="superscript"/>
        </w:rPr>
        <w:footnoteReference w:id="12"/>
      </w:r>
      <w:r w:rsidRPr="00AB3B90">
        <w:t xml:space="preserve"> </w:t>
      </w:r>
    </w:p>
    <w:p w14:paraId="6533949B" w14:textId="28DB62B9" w:rsidR="00594DFB" w:rsidRPr="00AB3B90" w:rsidRDefault="00594DFB">
      <w:pPr>
        <w:spacing w:before="0" w:after="160"/>
        <w:rPr>
          <w:lang w:eastAsia="en-AU"/>
        </w:rPr>
      </w:pPr>
      <w:r w:rsidRPr="00AB3B90">
        <w:rPr>
          <w:lang w:eastAsia="en-AU"/>
        </w:rPr>
        <w:br w:type="page"/>
      </w:r>
    </w:p>
    <w:p w14:paraId="57504B05" w14:textId="3D0F2621" w:rsidR="009C6E4F" w:rsidRPr="00AB3B90" w:rsidRDefault="001E2288" w:rsidP="008256CD">
      <w:pPr>
        <w:pStyle w:val="Heading1-Numbered"/>
        <w:ind w:left="1843" w:hanging="1843"/>
      </w:pPr>
      <w:bookmarkStart w:id="52" w:name="_Toc163650434"/>
      <w:r w:rsidRPr="00AB3B90">
        <w:t>Issues paper</w:t>
      </w:r>
      <w:bookmarkEnd w:id="52"/>
    </w:p>
    <w:p w14:paraId="31DD66DC" w14:textId="6886B36E" w:rsidR="009C6E4F" w:rsidRPr="00AB3B90" w:rsidRDefault="7B9F81BA" w:rsidP="00C40972">
      <w:r w:rsidRPr="00AB3B90">
        <w:t xml:space="preserve">The Board commissioned </w:t>
      </w:r>
      <w:r w:rsidR="00ED2ED1" w:rsidRPr="00AB3B90">
        <w:t>Deloitte</w:t>
      </w:r>
      <w:r w:rsidR="009F66CD">
        <w:t xml:space="preserve"> Access Economics</w:t>
      </w:r>
      <w:r w:rsidR="00ED2ED1" w:rsidRPr="00AB3B90">
        <w:t xml:space="preserve"> to</w:t>
      </w:r>
      <w:r w:rsidR="009128E8" w:rsidRPr="00AB3B90">
        <w:t xml:space="preserve"> provide </w:t>
      </w:r>
      <w:r w:rsidR="005D246B" w:rsidRPr="00AB3B90">
        <w:t>an independent assessment of the current indexation arrangements</w:t>
      </w:r>
      <w:r w:rsidR="096785DB" w:rsidRPr="00AB3B90">
        <w:t>.</w:t>
      </w:r>
      <w:r w:rsidR="005D246B" w:rsidRPr="00AB3B90">
        <w:t xml:space="preserve"> </w:t>
      </w:r>
      <w:r w:rsidR="00687CF3" w:rsidRPr="00AB3B90">
        <w:t>This included</w:t>
      </w:r>
      <w:r w:rsidR="00ED2ED1" w:rsidRPr="00AB3B90">
        <w:t xml:space="preserve"> undertak</w:t>
      </w:r>
      <w:r w:rsidR="00687CF3" w:rsidRPr="00AB3B90">
        <w:t>ing</w:t>
      </w:r>
      <w:r w:rsidR="00ED2ED1" w:rsidRPr="00AB3B90">
        <w:t xml:space="preserve"> </w:t>
      </w:r>
      <w:r w:rsidR="1FA1429C" w:rsidRPr="00AB3B90">
        <w:t xml:space="preserve">macro-economic </w:t>
      </w:r>
      <w:r w:rsidR="00B47848" w:rsidRPr="00AB3B90">
        <w:t xml:space="preserve">modelling and analysis </w:t>
      </w:r>
      <w:r w:rsidR="00ED2ED1" w:rsidRPr="00AB3B90">
        <w:t>of the indexation arrangements that are currently being applied to the SRS.</w:t>
      </w:r>
      <w:r w:rsidR="00EF156A" w:rsidRPr="00AB3B90">
        <w:t xml:space="preserve"> This was a rapid review of the current arrangements</w:t>
      </w:r>
      <w:r w:rsidR="00387FEE" w:rsidRPr="00AB3B90">
        <w:t>, with the analysis</w:t>
      </w:r>
      <w:r w:rsidR="00DC3589" w:rsidRPr="00AB3B90">
        <w:t xml:space="preserve"> completed at a high level </w:t>
      </w:r>
      <w:r w:rsidR="002E069F" w:rsidRPr="00AB3B90">
        <w:t xml:space="preserve">given timing and data </w:t>
      </w:r>
      <w:r w:rsidR="00853B20" w:rsidRPr="00AB3B90">
        <w:t xml:space="preserve">constraints. </w:t>
      </w:r>
    </w:p>
    <w:p w14:paraId="6BA61444" w14:textId="067C8118" w:rsidR="00BE240D" w:rsidRPr="00AB3B90" w:rsidRDefault="722145D3" w:rsidP="00C40972">
      <w:r w:rsidRPr="00AB3B90">
        <w:t xml:space="preserve">The </w:t>
      </w:r>
      <w:r w:rsidR="6E4DC5B2" w:rsidRPr="00AB3B90">
        <w:t>Issues Paper</w:t>
      </w:r>
      <w:r w:rsidRPr="00AB3B90">
        <w:t xml:space="preserve"> </w:t>
      </w:r>
      <w:r w:rsidR="33437AE4" w:rsidRPr="00AB3B90">
        <w:t xml:space="preserve">explored </w:t>
      </w:r>
      <w:r w:rsidR="4FDEF4D1" w:rsidRPr="00AB3B90">
        <w:t>four aspects of the current indexation arrangements</w:t>
      </w:r>
      <w:r w:rsidR="0373ADAB" w:rsidRPr="00AB3B90">
        <w:t xml:space="preserve"> </w:t>
      </w:r>
      <w:r w:rsidR="5D45E0EF" w:rsidRPr="00AB3B90">
        <w:t xml:space="preserve">as outlined in the </w:t>
      </w:r>
      <w:r w:rsidR="18A57045" w:rsidRPr="00AB3B90">
        <w:t>r</w:t>
      </w:r>
      <w:r w:rsidR="0373ADAB" w:rsidRPr="00AB3B90">
        <w:t xml:space="preserve">eview’s </w:t>
      </w:r>
      <w:r w:rsidR="06059CA5" w:rsidRPr="00AB3B90">
        <w:t>t</w:t>
      </w:r>
      <w:r w:rsidR="0373ADAB" w:rsidRPr="00AB3B90">
        <w:t xml:space="preserve">erms of </w:t>
      </w:r>
      <w:r w:rsidR="24B929F9" w:rsidRPr="00AB3B90">
        <w:t>r</w:t>
      </w:r>
      <w:r w:rsidR="0373ADAB" w:rsidRPr="00AB3B90">
        <w:t>eference</w:t>
      </w:r>
      <w:r w:rsidR="3066A9BD" w:rsidRPr="00AB3B90">
        <w:t xml:space="preserve"> and included </w:t>
      </w:r>
      <w:r w:rsidR="54A284B4" w:rsidRPr="00AB3B90">
        <w:t>discussion questions</w:t>
      </w:r>
      <w:r w:rsidR="07470C18" w:rsidRPr="00AB3B90">
        <w:t>.</w:t>
      </w:r>
      <w:r w:rsidR="54A284B4" w:rsidRPr="00AB3B90">
        <w:t xml:space="preserve"> </w:t>
      </w:r>
      <w:r w:rsidR="7B5CAA3C" w:rsidRPr="00AB3B90">
        <w:t xml:space="preserve">The data underpinning the analysis in the </w:t>
      </w:r>
      <w:r w:rsidR="6DA64D09" w:rsidRPr="00AB3B90">
        <w:t>p</w:t>
      </w:r>
      <w:r w:rsidR="7B5CAA3C" w:rsidRPr="00AB3B90">
        <w:t>aper was largely derived from publicly available sources</w:t>
      </w:r>
      <w:r w:rsidR="5D43E3DF" w:rsidRPr="00AB3B90">
        <w:t xml:space="preserve">. Data referred to in the </w:t>
      </w:r>
      <w:r w:rsidR="18A57045" w:rsidRPr="00AB3B90">
        <w:t>r</w:t>
      </w:r>
      <w:r w:rsidR="5D43E3DF" w:rsidRPr="00AB3B90">
        <w:t xml:space="preserve">eview </w:t>
      </w:r>
      <w:r w:rsidR="320638D4" w:rsidRPr="00AB3B90">
        <w:t>t</w:t>
      </w:r>
      <w:r w:rsidR="5D43E3DF" w:rsidRPr="00AB3B90">
        <w:t xml:space="preserve">erms of </w:t>
      </w:r>
      <w:r w:rsidR="06E73B60" w:rsidRPr="00AB3B90">
        <w:t>r</w:t>
      </w:r>
      <w:r w:rsidR="5D43E3DF" w:rsidRPr="00AB3B90">
        <w:t>eference was not used in th</w:t>
      </w:r>
      <w:r w:rsidR="0F9B2B5B" w:rsidRPr="00AB3B90">
        <w:t xml:space="preserve">is </w:t>
      </w:r>
      <w:r w:rsidR="007B19DF" w:rsidRPr="00AB3B90">
        <w:t>initial</w:t>
      </w:r>
      <w:r w:rsidR="5D43E3DF" w:rsidRPr="00AB3B90">
        <w:t xml:space="preserve"> analysis </w:t>
      </w:r>
      <w:r w:rsidR="3133AD79" w:rsidRPr="00AB3B90">
        <w:t>due to timeframes and availability.</w:t>
      </w:r>
    </w:p>
    <w:p w14:paraId="1ED5DB33" w14:textId="770AB72A" w:rsidR="008D29DC" w:rsidRPr="00AB3B90" w:rsidRDefault="00A04241" w:rsidP="00C40972">
      <w:r w:rsidRPr="00AB3B90">
        <w:t xml:space="preserve">The </w:t>
      </w:r>
      <w:r w:rsidR="008A680B" w:rsidRPr="00AB3B90">
        <w:t>Issues Paper</w:t>
      </w:r>
      <w:r w:rsidRPr="00AB3B90">
        <w:t xml:space="preserve"> was circulated to </w:t>
      </w:r>
      <w:r w:rsidR="00AE3941" w:rsidRPr="00AB3B90">
        <w:t>state and territory governments, ISA and the NCEC</w:t>
      </w:r>
      <w:r w:rsidR="00FA355D" w:rsidRPr="00AB3B90">
        <w:t xml:space="preserve"> on </w:t>
      </w:r>
      <w:r w:rsidR="00E80F9B" w:rsidRPr="00AB3B90">
        <w:t>26</w:t>
      </w:r>
      <w:r w:rsidR="00FA355D" w:rsidRPr="00AB3B90">
        <w:t> February 2024</w:t>
      </w:r>
      <w:r w:rsidR="00AE3941" w:rsidRPr="00AB3B90">
        <w:t xml:space="preserve"> to form the basis for stakeholder consultation discussions held </w:t>
      </w:r>
      <w:r w:rsidR="00093386" w:rsidRPr="00AB3B90">
        <w:t>from 27</w:t>
      </w:r>
      <w:r w:rsidR="00C13CA2" w:rsidRPr="00AB3B90">
        <w:t> February 2024 to 4 March 2024.</w:t>
      </w:r>
      <w:r w:rsidR="0092394A" w:rsidRPr="00AB3B90">
        <w:t xml:space="preserve"> </w:t>
      </w:r>
      <w:r w:rsidR="0054611C" w:rsidRPr="00AB3B90">
        <w:t>(</w:t>
      </w:r>
      <w:r w:rsidR="0054611C" w:rsidRPr="00AB3B90">
        <w:fldChar w:fldCharType="begin"/>
      </w:r>
      <w:r w:rsidR="0054611C" w:rsidRPr="00AB3B90">
        <w:instrText xml:space="preserve"> REF _Ref161150540 \h </w:instrText>
      </w:r>
      <w:r w:rsidR="00065A8C" w:rsidRPr="00AB3B90">
        <w:instrText xml:space="preserve"> \* MERGEFORMAT </w:instrText>
      </w:r>
      <w:r w:rsidR="0054611C" w:rsidRPr="00AB3B90">
        <w:fldChar w:fldCharType="separate"/>
      </w:r>
      <w:r w:rsidR="00FF6847" w:rsidRPr="00AB3B90">
        <w:t>Appendix C – Issues Paper</w:t>
      </w:r>
      <w:r w:rsidR="0054611C" w:rsidRPr="00AB3B90">
        <w:fldChar w:fldCharType="end"/>
      </w:r>
      <w:r w:rsidR="0054611C" w:rsidRPr="00AB3B90">
        <w:t>)</w:t>
      </w:r>
      <w:r w:rsidR="00686A12" w:rsidRPr="00AB3B90">
        <w:t>.</w:t>
      </w:r>
    </w:p>
    <w:bookmarkEnd w:id="49"/>
    <w:bookmarkEnd w:id="50"/>
    <w:bookmarkEnd w:id="51"/>
    <w:p w14:paraId="20FDA6A9" w14:textId="77777777" w:rsidR="00980002" w:rsidRPr="00AB3B90" w:rsidRDefault="00980002">
      <w:pPr>
        <w:spacing w:before="0" w:after="160"/>
      </w:pPr>
      <w:r w:rsidRPr="00AB3B90">
        <w:br w:type="page"/>
      </w:r>
    </w:p>
    <w:p w14:paraId="40904AC3" w14:textId="6D9158E7" w:rsidR="00747A49" w:rsidRPr="00AB3B90" w:rsidRDefault="001E2288" w:rsidP="002F73B8">
      <w:pPr>
        <w:pStyle w:val="Heading1-Numbered"/>
        <w:ind w:left="1843" w:hanging="1843"/>
      </w:pPr>
      <w:bookmarkStart w:id="53" w:name="_Toc24447236"/>
      <w:bookmarkStart w:id="54" w:name="_Ref67671716"/>
      <w:bookmarkStart w:id="55" w:name="_Toc163650435"/>
      <w:bookmarkEnd w:id="26"/>
      <w:r w:rsidRPr="00AB3B90">
        <w:t>Consultations</w:t>
      </w:r>
      <w:bookmarkEnd w:id="55"/>
    </w:p>
    <w:p w14:paraId="6959CDD0" w14:textId="77777777" w:rsidR="00491600" w:rsidRPr="00AB3B90" w:rsidRDefault="00491600" w:rsidP="00491600">
      <w:pPr>
        <w:pStyle w:val="Heading2-Numbered"/>
      </w:pPr>
      <w:bookmarkStart w:id="56" w:name="_Toc163650436"/>
      <w:bookmarkEnd w:id="53"/>
      <w:r w:rsidRPr="00AB3B90">
        <w:t>Consultation methodology</w:t>
      </w:r>
      <w:bookmarkEnd w:id="56"/>
    </w:p>
    <w:p w14:paraId="67754FB7" w14:textId="7B19ADF5" w:rsidR="004E2A09" w:rsidRPr="00AB3B90" w:rsidRDefault="00FA0B06" w:rsidP="004E2A09">
      <w:r w:rsidRPr="00AB3B90">
        <w:t>Due to timing con</w:t>
      </w:r>
      <w:r w:rsidR="00EE4C36" w:rsidRPr="00AB3B90">
        <w:t xml:space="preserve">straints, the Board </w:t>
      </w:r>
      <w:r w:rsidR="00E74FF3" w:rsidRPr="00AB3B90">
        <w:t xml:space="preserve">undertook </w:t>
      </w:r>
      <w:r w:rsidR="008B2410" w:rsidRPr="00AB3B90">
        <w:t xml:space="preserve">targeted consultations with </w:t>
      </w:r>
      <w:r w:rsidR="003B51D4" w:rsidRPr="00AB3B90">
        <w:t xml:space="preserve">state and territory Departments </w:t>
      </w:r>
      <w:r w:rsidR="00C54314" w:rsidRPr="00AB3B90">
        <w:t>of Education, ISA and the NCEC</w:t>
      </w:r>
      <w:r w:rsidR="024D7535" w:rsidRPr="00AB3B90">
        <w:t>.</w:t>
      </w:r>
      <w:r w:rsidR="00C20FD1" w:rsidRPr="00AB3B90">
        <w:t xml:space="preserve"> The list of stakeholder</w:t>
      </w:r>
      <w:r w:rsidR="00E2425A" w:rsidRPr="00AB3B90">
        <w:t xml:space="preserve"> consultations</w:t>
      </w:r>
      <w:r w:rsidR="00C20FD1" w:rsidRPr="00AB3B90">
        <w:t xml:space="preserve"> </w:t>
      </w:r>
      <w:r w:rsidR="666A84CA" w:rsidRPr="00AB3B90">
        <w:t>is</w:t>
      </w:r>
      <w:r w:rsidR="00C20FD1" w:rsidRPr="00AB3B90">
        <w:t xml:space="preserve"> at </w:t>
      </w:r>
      <w:r w:rsidRPr="00AB3B90">
        <w:fldChar w:fldCharType="begin"/>
      </w:r>
      <w:r w:rsidRPr="00AB3B90">
        <w:instrText xml:space="preserve"> REF _Ref66348132 \h </w:instrText>
      </w:r>
      <w:r w:rsidR="00065A8C" w:rsidRPr="00AB3B90">
        <w:instrText xml:space="preserve"> \* MERGEFORMAT </w:instrText>
      </w:r>
      <w:r w:rsidRPr="00AB3B90">
        <w:fldChar w:fldCharType="separate"/>
      </w:r>
      <w:r w:rsidR="00FF6847" w:rsidRPr="00AB3B90">
        <w:t>Appendix E – Consultations</w:t>
      </w:r>
      <w:r w:rsidRPr="00AB3B90">
        <w:fldChar w:fldCharType="end"/>
      </w:r>
      <w:r w:rsidR="00744157" w:rsidRPr="00AB3B90">
        <w:t>.</w:t>
      </w:r>
    </w:p>
    <w:p w14:paraId="25D0DA72" w14:textId="41EB1BA9" w:rsidR="00EA0389" w:rsidRPr="00AB3B90" w:rsidRDefault="003D3BA4" w:rsidP="004E2A09">
      <w:r w:rsidRPr="00AB3B90">
        <w:t>On 15 February 2024, the Board sough</w:t>
      </w:r>
      <w:r w:rsidR="00075CA1" w:rsidRPr="00AB3B90">
        <w:t>t</w:t>
      </w:r>
      <w:r w:rsidRPr="00AB3B90">
        <w:t xml:space="preserve"> </w:t>
      </w:r>
      <w:r w:rsidR="00075CA1" w:rsidRPr="00AB3B90">
        <w:t xml:space="preserve">data from the above stakeholders </w:t>
      </w:r>
      <w:r w:rsidR="0045568C" w:rsidRPr="00AB3B90">
        <w:t xml:space="preserve">to capture teaching and non-teaching school expenditure </w:t>
      </w:r>
      <w:r w:rsidR="00157AA1" w:rsidRPr="00AB3B90">
        <w:t xml:space="preserve">as well as information on wage increases over time and funding indexation </w:t>
      </w:r>
      <w:r w:rsidR="00D936FE" w:rsidRPr="00AB3B90">
        <w:t>policy specific to their jurisdictions.</w:t>
      </w:r>
    </w:p>
    <w:p w14:paraId="1C6E585E" w14:textId="4BAE179D" w:rsidR="00D936FE" w:rsidRPr="00AB3B90" w:rsidRDefault="00D936FE" w:rsidP="004E2A09">
      <w:r w:rsidRPr="00AB3B90">
        <w:t xml:space="preserve">On 26 February 2024 </w:t>
      </w:r>
      <w:r w:rsidR="009960BF" w:rsidRPr="00AB3B90">
        <w:t xml:space="preserve">the Board circulated an </w:t>
      </w:r>
      <w:r w:rsidR="008A680B" w:rsidRPr="00AB3B90">
        <w:t>Issues Paper</w:t>
      </w:r>
      <w:r w:rsidRPr="00AB3B90">
        <w:t xml:space="preserve"> for discuss</w:t>
      </w:r>
      <w:r w:rsidR="00726DD7" w:rsidRPr="00AB3B90">
        <w:t>ion</w:t>
      </w:r>
      <w:r w:rsidR="00F37099" w:rsidRPr="00AB3B90">
        <w:t xml:space="preserve"> during consultations</w:t>
      </w:r>
      <w:r w:rsidR="00A66C52" w:rsidRPr="00AB3B90">
        <w:t>.</w:t>
      </w:r>
      <w:r w:rsidR="000D22A2" w:rsidRPr="00AB3B90">
        <w:t xml:space="preserve"> </w:t>
      </w:r>
      <w:r w:rsidR="00987B2F" w:rsidRPr="00AB3B90">
        <w:t>The consultation meetings</w:t>
      </w:r>
      <w:r w:rsidR="00F37099" w:rsidRPr="00AB3B90">
        <w:t>, held from 27 February 2024 to 4 March 2024,</w:t>
      </w:r>
      <w:r w:rsidR="00987B2F" w:rsidRPr="00AB3B90">
        <w:t xml:space="preserve"> were attended by </w:t>
      </w:r>
      <w:r w:rsidR="005A2DD6" w:rsidRPr="00AB3B90">
        <w:t>jurisdictional and sector representatives, various Board representatives; and were</w:t>
      </w:r>
      <w:r w:rsidR="00987B2F" w:rsidRPr="00AB3B90">
        <w:t xml:space="preserve"> supported by Deloitte</w:t>
      </w:r>
      <w:r w:rsidR="009F66CD">
        <w:t xml:space="preserve"> Access Economics</w:t>
      </w:r>
      <w:r w:rsidR="080E0C45" w:rsidRPr="00AB3B90">
        <w:t xml:space="preserve"> and</w:t>
      </w:r>
      <w:r w:rsidR="00987B2F" w:rsidRPr="00AB3B90">
        <w:t xml:space="preserve"> the </w:t>
      </w:r>
      <w:r w:rsidR="005A2DD6" w:rsidRPr="00AB3B90">
        <w:t xml:space="preserve">Board Secretariat. </w:t>
      </w:r>
    </w:p>
    <w:p w14:paraId="62CF5A13" w14:textId="708B69BB" w:rsidR="00A66C52" w:rsidRPr="00AB3B90" w:rsidRDefault="00834543" w:rsidP="004E2A09">
      <w:r w:rsidRPr="00AB3B90">
        <w:t xml:space="preserve">Following the </w:t>
      </w:r>
      <w:r w:rsidR="0059235D" w:rsidRPr="00AB3B90">
        <w:t xml:space="preserve">individual </w:t>
      </w:r>
      <w:r w:rsidRPr="00AB3B90">
        <w:t xml:space="preserve">consultation </w:t>
      </w:r>
      <w:r w:rsidR="0059235D" w:rsidRPr="00AB3B90">
        <w:t>meetings,</w:t>
      </w:r>
      <w:r w:rsidR="00E54585" w:rsidRPr="00AB3B90">
        <w:t xml:space="preserve"> the Board received written submission</w:t>
      </w:r>
      <w:r w:rsidR="00C5754D" w:rsidRPr="00AB3B90">
        <w:t xml:space="preserve">s from </w:t>
      </w:r>
      <w:r w:rsidR="00F02469" w:rsidRPr="00AB3B90">
        <w:t>8</w:t>
      </w:r>
      <w:r w:rsidR="00C5754D" w:rsidRPr="00AB3B90">
        <w:t xml:space="preserve"> stakeholders.</w:t>
      </w:r>
    </w:p>
    <w:p w14:paraId="62A6D270" w14:textId="0F4713F9" w:rsidR="003457E5" w:rsidRPr="00AB3B90" w:rsidRDefault="09380EBB" w:rsidP="004E2A09">
      <w:r w:rsidRPr="00AB3B90">
        <w:t>S</w:t>
      </w:r>
      <w:r w:rsidR="003457E5" w:rsidRPr="00AB3B90">
        <w:t>takeholders</w:t>
      </w:r>
      <w:r w:rsidR="00C90C5C" w:rsidRPr="00AB3B90">
        <w:t xml:space="preserve"> were </w:t>
      </w:r>
      <w:r w:rsidR="0D4DE8F4" w:rsidRPr="00AB3B90">
        <w:t xml:space="preserve">also </w:t>
      </w:r>
      <w:r w:rsidR="00C90C5C" w:rsidRPr="00AB3B90">
        <w:t>offered the opportunity to provide feedback on the draft report.</w:t>
      </w:r>
    </w:p>
    <w:p w14:paraId="1AA24438" w14:textId="3CCCCA81" w:rsidR="000A3DC9" w:rsidRPr="00AB3B90" w:rsidRDefault="00377330" w:rsidP="0000492F">
      <w:pPr>
        <w:pStyle w:val="Heading2-Numbered"/>
      </w:pPr>
      <w:bookmarkStart w:id="57" w:name="_Toc163650437"/>
      <w:r w:rsidRPr="00AB3B90">
        <w:t xml:space="preserve">Consultation </w:t>
      </w:r>
      <w:r w:rsidR="00C364A6" w:rsidRPr="00AB3B90">
        <w:t>summary</w:t>
      </w:r>
      <w:bookmarkEnd w:id="57"/>
    </w:p>
    <w:p w14:paraId="6E012342" w14:textId="77777777" w:rsidR="00C20FD1" w:rsidRPr="00AB3B90" w:rsidRDefault="00F87B3A" w:rsidP="000A3DC9">
      <w:pPr>
        <w:spacing w:after="160"/>
      </w:pPr>
      <w:r w:rsidRPr="00AB3B90">
        <w:t>Key themes and implications from the stakeholder consultations are outlined below</w:t>
      </w:r>
      <w:r w:rsidR="00C20FD1" w:rsidRPr="00AB3B90">
        <w:t>:</w:t>
      </w:r>
    </w:p>
    <w:p w14:paraId="47B98AA8" w14:textId="6A005628" w:rsidR="00AF5C63" w:rsidRPr="00AB3B90" w:rsidRDefault="006F4C12" w:rsidP="009F66CD">
      <w:pPr>
        <w:pStyle w:val="Heading3"/>
      </w:pPr>
      <w:r w:rsidRPr="00AB3B90">
        <w:t>Appropriateness of current indexation arrangements</w:t>
      </w:r>
    </w:p>
    <w:p w14:paraId="69F4D512" w14:textId="50BE5CFE" w:rsidR="006F4C12" w:rsidRPr="00AB3B90" w:rsidRDefault="089245A9" w:rsidP="2B132BE8">
      <w:pPr>
        <w:pStyle w:val="ListBullet"/>
      </w:pPr>
      <w:r w:rsidRPr="00AB3B90">
        <w:t>Overall, jurisdictions did not express a strong case for change to the current in</w:t>
      </w:r>
      <w:r w:rsidR="2191CF07" w:rsidRPr="00AB3B90">
        <w:t xml:space="preserve">dexation arrangements. Most jurisdictions agree that wage growth </w:t>
      </w:r>
      <w:r w:rsidR="372A9A48" w:rsidRPr="00AB3B90">
        <w:t xml:space="preserve">has aligned well with </w:t>
      </w:r>
      <w:r w:rsidR="40D061FB" w:rsidRPr="00AB3B90">
        <w:t xml:space="preserve">indexation rates over time, notwithstanding </w:t>
      </w:r>
      <w:r w:rsidR="1FCAA155" w:rsidRPr="00AB3B90">
        <w:t>the potential for divergence in wage growth in recent times</w:t>
      </w:r>
      <w:r w:rsidR="3D4C82B0" w:rsidRPr="00AB3B90">
        <w:t>.</w:t>
      </w:r>
    </w:p>
    <w:p w14:paraId="489C22C8" w14:textId="03653398" w:rsidR="00411FF0" w:rsidRPr="00AB3B90" w:rsidRDefault="1FCAA155" w:rsidP="00CA0826">
      <w:pPr>
        <w:pStyle w:val="ListBullet"/>
      </w:pPr>
      <w:r w:rsidRPr="00AB3B90">
        <w:t>Some consultees</w:t>
      </w:r>
      <w:r w:rsidR="3D4C82B0" w:rsidRPr="00AB3B90">
        <w:t xml:space="preserve"> </w:t>
      </w:r>
      <w:r w:rsidRPr="00AB3B90">
        <w:t xml:space="preserve">emphasised that with the new National </w:t>
      </w:r>
      <w:r w:rsidR="6522C6C9" w:rsidRPr="00AB3B90">
        <w:t xml:space="preserve">School </w:t>
      </w:r>
      <w:r w:rsidRPr="00AB3B90">
        <w:t xml:space="preserve">Reform </w:t>
      </w:r>
      <w:r w:rsidR="6522C6C9" w:rsidRPr="00AB3B90">
        <w:t>Agreement (NSRA) currently under negotiation, it would be prudent to</w:t>
      </w:r>
      <w:r w:rsidR="00B7027E" w:rsidRPr="00AB3B90">
        <w:t xml:space="preserve"> consider the arrangements </w:t>
      </w:r>
      <w:r w:rsidR="00CA0826" w:rsidRPr="00AB3B90">
        <w:t>for the SRS base funding amount and loadings</w:t>
      </w:r>
      <w:r w:rsidR="0E562856" w:rsidRPr="00AB3B90">
        <w:t>.</w:t>
      </w:r>
    </w:p>
    <w:p w14:paraId="29212731" w14:textId="19B6A685" w:rsidR="00D71FF8" w:rsidRPr="00AB3B90" w:rsidRDefault="00D71FF8" w:rsidP="50754209">
      <w:pPr>
        <w:pStyle w:val="ListBullet"/>
        <w:numPr>
          <w:ilvl w:val="0"/>
          <w:numId w:val="0"/>
        </w:numPr>
        <w:rPr>
          <w:b/>
        </w:rPr>
      </w:pPr>
      <w:r w:rsidRPr="00AB3B90">
        <w:rPr>
          <w:b/>
        </w:rPr>
        <w:t>The most significant non-staff related operating expenses closely align with those outlined in the Issues Paper</w:t>
      </w:r>
      <w:r w:rsidR="00B710D6" w:rsidRPr="00AB3B90">
        <w:rPr>
          <w:b/>
        </w:rPr>
        <w:t>.</w:t>
      </w:r>
    </w:p>
    <w:p w14:paraId="34DA8569" w14:textId="08914629" w:rsidR="00DC1617" w:rsidRPr="00AB3B90" w:rsidRDefault="2F0B9CFB" w:rsidP="001C48CB">
      <w:pPr>
        <w:pStyle w:val="ListBullet"/>
      </w:pPr>
      <w:r w:rsidRPr="00AB3B90">
        <w:t xml:space="preserve">Cost increases in the areas of IT/software, maintenance and utilities were cited by all jurisdictions. </w:t>
      </w:r>
      <w:r w:rsidR="7D968F7D" w:rsidRPr="00AB3B90">
        <w:t>Two states</w:t>
      </w:r>
      <w:r w:rsidRPr="00AB3B90">
        <w:t xml:space="preserve"> also noted substantial increases in natural disaster and recovery costs as exceptional costs during the last five years.</w:t>
      </w:r>
    </w:p>
    <w:p w14:paraId="231CCFC0" w14:textId="5B10B08F" w:rsidR="00DC1617" w:rsidRPr="00AB3B90" w:rsidRDefault="2F0B9CFB" w:rsidP="001C48CB">
      <w:pPr>
        <w:pStyle w:val="ListBullet"/>
      </w:pPr>
      <w:r w:rsidRPr="00AB3B90">
        <w:t>However, it was noted that centralised whole-of-state purchasing (e.g., software licen</w:t>
      </w:r>
      <w:r w:rsidR="1799768F" w:rsidRPr="00AB3B90">
        <w:t xml:space="preserve">sing and electricity) occurs in </w:t>
      </w:r>
      <w:r w:rsidR="7D968F7D" w:rsidRPr="00AB3B90">
        <w:t>three states</w:t>
      </w:r>
      <w:r w:rsidR="1799768F" w:rsidRPr="00AB3B90">
        <w:t xml:space="preserve"> and has provided cost savings and insulated school sys</w:t>
      </w:r>
      <w:r w:rsidR="06DD7774" w:rsidRPr="00AB3B90">
        <w:t>tems from price shocks in these areas.</w:t>
      </w:r>
    </w:p>
    <w:p w14:paraId="4A0FF0DD" w14:textId="7BFC0874" w:rsidR="009B2EBA" w:rsidRPr="00AB3B90" w:rsidRDefault="009B2EBA" w:rsidP="009F66CD">
      <w:pPr>
        <w:pStyle w:val="Heading3"/>
      </w:pPr>
      <w:r w:rsidRPr="00AB3B90">
        <w:t>Suitability of the current indexation floor</w:t>
      </w:r>
    </w:p>
    <w:p w14:paraId="3A05D905" w14:textId="04AF87BF" w:rsidR="006F4C12" w:rsidRPr="00AB3B90" w:rsidRDefault="00CC04A9" w:rsidP="2B132BE8">
      <w:pPr>
        <w:pStyle w:val="ListBullet"/>
      </w:pPr>
      <w:r w:rsidRPr="00AB3B90">
        <w:t xml:space="preserve">There is broad </w:t>
      </w:r>
      <w:r w:rsidR="0A062FCF" w:rsidRPr="00AB3B90">
        <w:t>agreement that the 3 per cent indexation floor is appropriate, as it provides significant funding certainty.</w:t>
      </w:r>
    </w:p>
    <w:p w14:paraId="216D17B1" w14:textId="77777777" w:rsidR="00130871" w:rsidRPr="00AB3B90" w:rsidRDefault="00130871">
      <w:pPr>
        <w:spacing w:before="0" w:after="160"/>
      </w:pPr>
      <w:r w:rsidRPr="00AB3B90">
        <w:br w:type="page"/>
      </w:r>
    </w:p>
    <w:p w14:paraId="177CE89C" w14:textId="6BA4841C" w:rsidR="00470C36" w:rsidRPr="00AB3B90" w:rsidRDefault="0A062FCF" w:rsidP="2B132BE8">
      <w:pPr>
        <w:pStyle w:val="ListBullet"/>
      </w:pPr>
      <w:r w:rsidRPr="00AB3B90">
        <w:t xml:space="preserve">Several jurisdictions (state and territory government departments) noted that the starting point for wage setting in the school sector </w:t>
      </w:r>
      <w:r w:rsidR="1C1545F5" w:rsidRPr="00AB3B90">
        <w:t>is the baseline pay increase provided to all public sector employees (e.g., nurses, paramedics etc.)</w:t>
      </w:r>
      <w:r w:rsidR="7AD76A6A" w:rsidRPr="00AB3B90">
        <w:t xml:space="preserve">. This is generally set at around 2–2.5 per cent, with a further allowance for productivity growth </w:t>
      </w:r>
      <w:r w:rsidR="26BBA05B" w:rsidRPr="00AB3B90">
        <w:t xml:space="preserve">(generally around 0.5 per cent). Starting points for pay increases have been higher in recent times </w:t>
      </w:r>
      <w:proofErr w:type="gramStart"/>
      <w:r w:rsidR="26BBA05B" w:rsidRPr="00AB3B90">
        <w:t>due t</w:t>
      </w:r>
      <w:r w:rsidR="734BDC69" w:rsidRPr="00AB3B90">
        <w:t>o</w:t>
      </w:r>
      <w:r w:rsidR="26BBA05B" w:rsidRPr="00AB3B90">
        <w:t xml:space="preserve"> the effects</w:t>
      </w:r>
      <w:proofErr w:type="gramEnd"/>
      <w:r w:rsidR="26BBA05B" w:rsidRPr="00AB3B90">
        <w:t xml:space="preserve"> of higher levels of inflation </w:t>
      </w:r>
      <w:r w:rsidR="3D7CDB67" w:rsidRPr="00AB3B90">
        <w:t>in the economy.</w:t>
      </w:r>
    </w:p>
    <w:p w14:paraId="2C2A52B6" w14:textId="5C7904D7" w:rsidR="00394DF4" w:rsidRPr="00AB3B90" w:rsidRDefault="62ECA646" w:rsidP="2B132BE8">
      <w:pPr>
        <w:pStyle w:val="ListBullet"/>
      </w:pPr>
      <w:r w:rsidRPr="00AB3B90">
        <w:t xml:space="preserve">A common theme expressed by consultees </w:t>
      </w:r>
      <w:r w:rsidR="0FD23801" w:rsidRPr="00AB3B90">
        <w:t>was that the 3 per cent floor provides desirable security and protection from low-</w:t>
      </w:r>
      <w:r w:rsidR="0080051E" w:rsidRPr="00AB3B90">
        <w:t xml:space="preserve">inflation </w:t>
      </w:r>
      <w:r w:rsidR="0FD23801" w:rsidRPr="00AB3B90">
        <w:t xml:space="preserve">years </w:t>
      </w:r>
      <w:r w:rsidR="0086528F" w:rsidRPr="00AB3B90">
        <w:t>as well as significant policy changes and economic volatility (such as COVID-19, and its impacts on the composition of schooling inputs</w:t>
      </w:r>
      <w:r w:rsidR="008F262B" w:rsidRPr="00AB3B90">
        <w:t>)</w:t>
      </w:r>
      <w:r w:rsidR="5440E257" w:rsidRPr="00AB3B90">
        <w:t>. It should be noted that this rationale is</w:t>
      </w:r>
      <w:r w:rsidR="58195945" w:rsidRPr="00AB3B90">
        <w:t>, arguably</w:t>
      </w:r>
      <w:r w:rsidR="6B22C120" w:rsidRPr="00AB3B90">
        <w:t>, in opposition to the purpose of SRS i</w:t>
      </w:r>
      <w:r w:rsidR="7287865D" w:rsidRPr="00AB3B90">
        <w:t xml:space="preserve">ndexation to deal </w:t>
      </w:r>
      <w:r w:rsidR="373C9AC9" w:rsidRPr="00AB3B90">
        <w:t xml:space="preserve">only with the effects of inflation </w:t>
      </w:r>
      <w:r w:rsidR="5468A676" w:rsidRPr="00AB3B90">
        <w:t>on the purchasing power of the SRS.</w:t>
      </w:r>
    </w:p>
    <w:p w14:paraId="362D3AB2" w14:textId="6A780B54" w:rsidR="00DC69B4" w:rsidRPr="00AB3B90" w:rsidRDefault="00DC69B4" w:rsidP="009F66CD">
      <w:pPr>
        <w:pStyle w:val="Heading3"/>
      </w:pPr>
      <w:bookmarkStart w:id="58" w:name="_Ref161144757"/>
      <w:r w:rsidRPr="00AB3B90">
        <w:t xml:space="preserve">Structure and weighting </w:t>
      </w:r>
      <w:r w:rsidR="00307038" w:rsidRPr="00AB3B90">
        <w:t xml:space="preserve">of the composite </w:t>
      </w:r>
      <w:proofErr w:type="gramStart"/>
      <w:r w:rsidR="00307038" w:rsidRPr="00AB3B90">
        <w:t>index</w:t>
      </w:r>
      <w:bookmarkEnd w:id="58"/>
      <w:proofErr w:type="gramEnd"/>
    </w:p>
    <w:p w14:paraId="07A37656" w14:textId="6B81EB88" w:rsidR="00DC69B4" w:rsidRPr="00AB3B90" w:rsidRDefault="10CA70A5" w:rsidP="2B132BE8">
      <w:pPr>
        <w:pStyle w:val="ListBullet"/>
      </w:pPr>
      <w:r w:rsidRPr="00AB3B90">
        <w:t>Most jur</w:t>
      </w:r>
      <w:r w:rsidR="7598708D" w:rsidRPr="00AB3B90">
        <w:t>isdictions agreed that both the use and weighting of the current composite measures are appropriate.</w:t>
      </w:r>
    </w:p>
    <w:p w14:paraId="12FFD449" w14:textId="5FCC23E6" w:rsidR="00755964" w:rsidRPr="00AB3B90" w:rsidRDefault="7598708D" w:rsidP="2B132BE8">
      <w:pPr>
        <w:pStyle w:val="ListBullet"/>
      </w:pPr>
      <w:r w:rsidRPr="00AB3B90">
        <w:t xml:space="preserve">However, </w:t>
      </w:r>
      <w:r w:rsidR="7D968F7D" w:rsidRPr="00AB3B90">
        <w:t>one state</w:t>
      </w:r>
      <w:r w:rsidRPr="00AB3B90">
        <w:t xml:space="preserve"> viewed the CPI </w:t>
      </w:r>
      <w:r w:rsidR="0B04D803" w:rsidRPr="00AB3B90">
        <w:t xml:space="preserve">as not fit for purpose to reflect price changes in education, and that </w:t>
      </w:r>
      <w:r w:rsidR="2CE3B446" w:rsidRPr="00AB3B90">
        <w:t>an</w:t>
      </w:r>
      <w:r w:rsidR="0B04D803" w:rsidRPr="00AB3B90">
        <w:t xml:space="preserve"> </w:t>
      </w:r>
      <w:proofErr w:type="gramStart"/>
      <w:r w:rsidR="0B04D803" w:rsidRPr="00AB3B90">
        <w:t>education-specific</w:t>
      </w:r>
      <w:proofErr w:type="gramEnd"/>
      <w:r w:rsidR="0B04D803" w:rsidRPr="00AB3B90">
        <w:t xml:space="preserve"> WPI would be preferred, noting that they believe there would be limited risk of circularity for government schools.</w:t>
      </w:r>
    </w:p>
    <w:p w14:paraId="14523396" w14:textId="201A0B07" w:rsidR="004673FF" w:rsidRPr="00AB3B90" w:rsidRDefault="3D4C82B0" w:rsidP="2B132BE8">
      <w:pPr>
        <w:pStyle w:val="ListBullet"/>
      </w:pPr>
      <w:r w:rsidRPr="00AB3B90">
        <w:t>Three stakeholders</w:t>
      </w:r>
      <w:r w:rsidR="0B04D803" w:rsidRPr="00AB3B90">
        <w:t xml:space="preserve"> indicated there was no preference </w:t>
      </w:r>
      <w:r w:rsidR="617AD5FC" w:rsidRPr="00AB3B90">
        <w:t>for an education-specific price index</w:t>
      </w:r>
      <w:r w:rsidR="2CE3B446" w:rsidRPr="00AB3B90">
        <w:t>, and that historically the CPI</w:t>
      </w:r>
      <w:r w:rsidR="617AD5FC" w:rsidRPr="00AB3B90">
        <w:t xml:space="preserve"> </w:t>
      </w:r>
      <w:r w:rsidR="3150E3D8" w:rsidRPr="00AB3B90">
        <w:t>has not caused any issues related to cost increases.</w:t>
      </w:r>
    </w:p>
    <w:p w14:paraId="42C511F1" w14:textId="3FA8407E" w:rsidR="00D70B7B" w:rsidRPr="00AB3B90" w:rsidRDefault="3D4C82B0" w:rsidP="2B132BE8">
      <w:pPr>
        <w:pStyle w:val="ListBullet"/>
      </w:pPr>
      <w:r w:rsidRPr="00AB3B90">
        <w:t>A jurisdiction</w:t>
      </w:r>
      <w:r w:rsidR="3150E3D8" w:rsidRPr="00AB3B90">
        <w:t xml:space="preserve"> </w:t>
      </w:r>
      <w:r w:rsidR="4E83245D" w:rsidRPr="00AB3B90">
        <w:t xml:space="preserve">noted that they support the use of the </w:t>
      </w:r>
      <w:proofErr w:type="gramStart"/>
      <w:r w:rsidR="4E83245D" w:rsidRPr="00AB3B90">
        <w:t>economy-wide</w:t>
      </w:r>
      <w:proofErr w:type="gramEnd"/>
      <w:r w:rsidR="4E83245D" w:rsidRPr="00AB3B90">
        <w:t xml:space="preserve"> WPI as it factors in private sector </w:t>
      </w:r>
      <w:r w:rsidR="75F6F833" w:rsidRPr="00AB3B90">
        <w:t xml:space="preserve">salaries and therefore supports teacher retention </w:t>
      </w:r>
      <w:r w:rsidR="6ABC2E07" w:rsidRPr="00AB3B90">
        <w:t>in the broader job market.</w:t>
      </w:r>
    </w:p>
    <w:p w14:paraId="27919756" w14:textId="05483A2D" w:rsidR="005B359A" w:rsidRPr="00AB3B90" w:rsidRDefault="3D4C82B0" w:rsidP="2B132BE8">
      <w:pPr>
        <w:pStyle w:val="ListBullet"/>
      </w:pPr>
      <w:r w:rsidRPr="00AB3B90">
        <w:t>Three jurisdictions</w:t>
      </w:r>
      <w:r w:rsidR="6ABC2E07" w:rsidRPr="00AB3B90">
        <w:t xml:space="preserve"> were of the view that the indexation rate is unlikely to d</w:t>
      </w:r>
      <w:r w:rsidR="408E1AF3" w:rsidRPr="00AB3B90">
        <w:t xml:space="preserve">rive policy decisions as salary increases occur with consideration </w:t>
      </w:r>
      <w:r w:rsidR="0BA9E50D" w:rsidRPr="00AB3B90">
        <w:t xml:space="preserve">to many different inputs. </w:t>
      </w:r>
      <w:r w:rsidRPr="00AB3B90">
        <w:t xml:space="preserve">One jurisdiction </w:t>
      </w:r>
      <w:r w:rsidR="0BA9E50D" w:rsidRPr="00AB3B90">
        <w:t xml:space="preserve">noted that all government salary negotiations </w:t>
      </w:r>
      <w:r w:rsidR="00544368" w:rsidRPr="00AB3B90">
        <w:t>follow</w:t>
      </w:r>
      <w:r w:rsidR="0BA9E50D" w:rsidRPr="00AB3B90">
        <w:t xml:space="preserve"> a structured industrial relations process managed by Treasury and the industrial relations areas.</w:t>
      </w:r>
    </w:p>
    <w:p w14:paraId="78D0D543" w14:textId="0C18208B" w:rsidR="00AC503C" w:rsidRPr="00AB3B90" w:rsidRDefault="009B3CEF" w:rsidP="009F66CD">
      <w:pPr>
        <w:pStyle w:val="Heading3"/>
      </w:pPr>
      <w:r w:rsidRPr="00AB3B90">
        <w:t>Timing of SRS Indexation</w:t>
      </w:r>
    </w:p>
    <w:p w14:paraId="4437E991" w14:textId="29BBA167" w:rsidR="004673FF" w:rsidRPr="00AB3B90" w:rsidRDefault="1C53097E" w:rsidP="2B132BE8">
      <w:pPr>
        <w:pStyle w:val="ListBullet"/>
      </w:pPr>
      <w:r w:rsidRPr="00AB3B90">
        <w:t>On balance, consultees</w:t>
      </w:r>
      <w:r w:rsidR="69859316" w:rsidRPr="00AB3B90">
        <w:t xml:space="preserve"> expressed a preference for </w:t>
      </w:r>
      <w:r w:rsidR="00985864" w:rsidRPr="00AB3B90">
        <w:t xml:space="preserve">budgeting </w:t>
      </w:r>
      <w:r w:rsidR="69859316" w:rsidRPr="00AB3B90">
        <w:t xml:space="preserve">certainty over </w:t>
      </w:r>
      <w:r w:rsidR="00CB13F2" w:rsidRPr="00AB3B90">
        <w:t>contempo</w:t>
      </w:r>
      <w:r w:rsidR="00745725" w:rsidRPr="00AB3B90">
        <w:t>raneity</w:t>
      </w:r>
      <w:r w:rsidR="00CB13F2" w:rsidRPr="00AB3B90">
        <w:t xml:space="preserve"> </w:t>
      </w:r>
      <w:r w:rsidR="69859316" w:rsidRPr="00AB3B90">
        <w:t>of indexation</w:t>
      </w:r>
      <w:r w:rsidR="00E7425B" w:rsidRPr="00AB3B90">
        <w:t xml:space="preserve"> with inflation</w:t>
      </w:r>
      <w:r w:rsidR="69859316" w:rsidRPr="00AB3B90">
        <w:t>, and that earlier timing would be beneficial</w:t>
      </w:r>
      <w:r w:rsidR="22108167" w:rsidRPr="00AB3B90">
        <w:t>.</w:t>
      </w:r>
    </w:p>
    <w:p w14:paraId="2E95C716" w14:textId="1EB3825F" w:rsidR="00476E57" w:rsidRPr="00AB3B90" w:rsidRDefault="22108167" w:rsidP="2B132BE8">
      <w:pPr>
        <w:pStyle w:val="ListBullet"/>
      </w:pPr>
      <w:r w:rsidRPr="00AB3B90">
        <w:t xml:space="preserve">However, this perspective was not shared by all consultees, with some jurisdictions </w:t>
      </w:r>
      <w:r w:rsidR="2596E7B9" w:rsidRPr="00AB3B90">
        <w:t xml:space="preserve">noting that other inputs to the SRS (in particular, student enrolment numbers) are a much more significant contributor </w:t>
      </w:r>
      <w:r w:rsidR="09B07C9A" w:rsidRPr="00AB3B90">
        <w:t>to funding certainty as opposed to the timing of indexation arrangements.</w:t>
      </w:r>
    </w:p>
    <w:p w14:paraId="1854478D" w14:textId="6D2F3275" w:rsidR="00006806" w:rsidRPr="00AB3B90" w:rsidRDefault="09B07C9A" w:rsidP="2B132BE8">
      <w:pPr>
        <w:pStyle w:val="ListBullet"/>
      </w:pPr>
      <w:r w:rsidRPr="00AB3B90">
        <w:t xml:space="preserve">Of the jurisdictions that expressed </w:t>
      </w:r>
      <w:r w:rsidR="63C333AD" w:rsidRPr="00AB3B90">
        <w:t>a preference for greater funding certainty, consultees noted that school budget planning processes generally occur within Term 3 and 4 of the calendar year prior</w:t>
      </w:r>
      <w:r w:rsidR="66C8D595" w:rsidRPr="00AB3B90">
        <w:t>.</w:t>
      </w:r>
    </w:p>
    <w:p w14:paraId="5E02D484" w14:textId="6C720FED" w:rsidR="009C72A8" w:rsidRPr="00AB3B90" w:rsidRDefault="66C8D595" w:rsidP="2B132BE8">
      <w:pPr>
        <w:pStyle w:val="ListBullet"/>
      </w:pPr>
      <w:r w:rsidRPr="00AB3B90">
        <w:t xml:space="preserve">These jurisdictions also noted that they have limited capacity to expend additional funding </w:t>
      </w:r>
      <w:r w:rsidR="5C77DF36" w:rsidRPr="00AB3B90">
        <w:t>late in the calendar year in which it is provided, under current arrangements. In some cases, this has the pote</w:t>
      </w:r>
      <w:r w:rsidR="28000905" w:rsidRPr="00AB3B90">
        <w:t>ntial to impact jurisdictions to comply with the Section 22</w:t>
      </w:r>
      <w:r w:rsidR="00CB052F">
        <w:t>A</w:t>
      </w:r>
      <w:r w:rsidR="28000905" w:rsidRPr="00AB3B90">
        <w:t xml:space="preserve"> obligations under the Act.</w:t>
      </w:r>
    </w:p>
    <w:p w14:paraId="772F3349" w14:textId="11F7D06D" w:rsidR="00A82569" w:rsidRPr="00AB3B90" w:rsidRDefault="0052317F" w:rsidP="0052317F">
      <w:pPr>
        <w:pStyle w:val="Heading1-Numbered"/>
        <w:ind w:left="1843" w:hanging="1843"/>
      </w:pPr>
      <w:bookmarkStart w:id="59" w:name="_Toc163650438"/>
      <w:bookmarkEnd w:id="54"/>
      <w:r w:rsidRPr="00AB3B90">
        <w:t>The appropriateness of current SRS indexation arrangements</w:t>
      </w:r>
      <w:bookmarkEnd w:id="59"/>
    </w:p>
    <w:p w14:paraId="57D16BA1" w14:textId="06091418" w:rsidR="005E0C15" w:rsidRPr="00AB3B90" w:rsidRDefault="00831F77" w:rsidP="0000492F">
      <w:pPr>
        <w:pStyle w:val="Heading2-Numbered"/>
      </w:pPr>
      <w:bookmarkStart w:id="60" w:name="_Toc163650439"/>
      <w:r w:rsidRPr="00AB3B90">
        <w:t>Introduction</w:t>
      </w:r>
      <w:bookmarkEnd w:id="60"/>
    </w:p>
    <w:p w14:paraId="4773F3E6" w14:textId="4DFED81E" w:rsidR="00A05FAC" w:rsidRPr="00AB3B90" w:rsidRDefault="00A05FAC" w:rsidP="00A05FAC">
      <w:pPr>
        <w:rPr>
          <w:lang w:eastAsia="en-AU"/>
        </w:rPr>
      </w:pPr>
      <w:r w:rsidRPr="00AB3B90">
        <w:rPr>
          <w:lang w:eastAsia="en-AU"/>
        </w:rPr>
        <w:t>Indexation is intended to ensure that the SRS maintains its purchasing power so that schools can provide consistent, high-quality education over time. The purpose of the SRS indexation is to compensate schools (and schooling systems) for changes in input prices which affect schooling costs, not changes in the quantity or mix of inputs (for example, gr</w:t>
      </w:r>
      <w:r w:rsidR="003C193B" w:rsidRPr="00AB3B90">
        <w:rPr>
          <w:lang w:eastAsia="en-AU"/>
        </w:rPr>
        <w:t>e</w:t>
      </w:r>
      <w:r w:rsidRPr="00AB3B90">
        <w:rPr>
          <w:lang w:eastAsia="en-AU"/>
        </w:rPr>
        <w:t>ater utilisation of different types of staff), which has the potential to impact the quality or standard of education that is delivered. The intention is that indexation will enable the same resources to be purchased as the previous year, in line with the SRS funding model.</w:t>
      </w:r>
    </w:p>
    <w:p w14:paraId="7BC3499E" w14:textId="4FEB55C6" w:rsidR="00E4398D" w:rsidRPr="00AB3B90" w:rsidRDefault="00E4398D" w:rsidP="00E4398D">
      <w:r w:rsidRPr="00AB3B90">
        <w:t>To assess whether current SRS indexation arrangements are appropriate, the Board assessed:</w:t>
      </w:r>
    </w:p>
    <w:p w14:paraId="0DEC31EE" w14:textId="213585EC" w:rsidR="00E4398D" w:rsidRPr="00AB3B90" w:rsidRDefault="6AD1F56A" w:rsidP="0075286E">
      <w:pPr>
        <w:pStyle w:val="ListBullet"/>
      </w:pPr>
      <w:r w:rsidRPr="00AB3B90">
        <w:t>T</w:t>
      </w:r>
      <w:r w:rsidR="14C3C0F0" w:rsidRPr="00AB3B90">
        <w:t>he inputs required to deliver schooling, in what proportion, and how have the prices associated with these inputs changed over time</w:t>
      </w:r>
      <w:r w:rsidRPr="00AB3B90">
        <w:t>?</w:t>
      </w:r>
    </w:p>
    <w:p w14:paraId="394430EF" w14:textId="1AE78AC8" w:rsidR="00E4398D" w:rsidRPr="00AB3B90" w:rsidRDefault="6AD1F56A" w:rsidP="0075286E">
      <w:pPr>
        <w:pStyle w:val="ListBullet"/>
      </w:pPr>
      <w:r w:rsidRPr="00AB3B90">
        <w:t>H</w:t>
      </w:r>
      <w:r w:rsidR="14C3C0F0" w:rsidRPr="00AB3B90">
        <w:t>ow changes in input prices compare with the indexation outcomes and the relevant components of the indexation, CPI and WPI</w:t>
      </w:r>
      <w:r w:rsidR="005531ED">
        <w:t>.</w:t>
      </w:r>
    </w:p>
    <w:p w14:paraId="08160084" w14:textId="26481B3A" w:rsidR="00E4398D" w:rsidRPr="00AB3B90" w:rsidRDefault="005531ED" w:rsidP="0075286E">
      <w:pPr>
        <w:pStyle w:val="ListBullet"/>
      </w:pPr>
      <w:r>
        <w:t>T</w:t>
      </w:r>
      <w:r w:rsidR="14C3C0F0" w:rsidRPr="00AB3B90">
        <w:t xml:space="preserve">he drivers of CPI and </w:t>
      </w:r>
      <w:proofErr w:type="gramStart"/>
      <w:r w:rsidR="14C3C0F0" w:rsidRPr="00AB3B90">
        <w:t>WPI, and</w:t>
      </w:r>
      <w:proofErr w:type="gramEnd"/>
      <w:r w:rsidR="14C3C0F0" w:rsidRPr="00AB3B90">
        <w:t xml:space="preserve"> are these components relevant for schools</w:t>
      </w:r>
      <w:r>
        <w:t>.</w:t>
      </w:r>
    </w:p>
    <w:p w14:paraId="4F1E8A90" w14:textId="0ED54D54" w:rsidR="00E4398D" w:rsidRPr="00AB3B90" w:rsidRDefault="005531ED" w:rsidP="0075286E">
      <w:pPr>
        <w:pStyle w:val="ListBullet"/>
      </w:pPr>
      <w:r>
        <w:t>B</w:t>
      </w:r>
      <w:r w:rsidR="14C3C0F0" w:rsidRPr="00AB3B90">
        <w:t>ased on the above, have the indexation arrangements since 2019 appropriately compensated schools for price-related increases in cost?</w:t>
      </w:r>
    </w:p>
    <w:p w14:paraId="29772F38" w14:textId="24F091E1" w:rsidR="007E35B7" w:rsidRPr="00AB3B90" w:rsidRDefault="00A05FAC" w:rsidP="006959FE">
      <w:pPr>
        <w:rPr>
          <w:rFonts w:ascii="Segoe UI" w:hAnsi="Segoe UI"/>
          <w:lang w:eastAsia="en-AU"/>
        </w:rPr>
      </w:pPr>
      <w:r w:rsidRPr="00AB3B90">
        <w:rPr>
          <w:lang w:eastAsia="en-AU"/>
        </w:rPr>
        <w:t>In addition to maintaining purchasing power, the broader intentions of indexation must also be considered. Building on the principles set out by Gonski (noted above), these include:</w:t>
      </w:r>
    </w:p>
    <w:p w14:paraId="0F4AED79" w14:textId="25E4B393" w:rsidR="007E35B7" w:rsidRPr="00AB3B90" w:rsidRDefault="00822E8B" w:rsidP="00552637">
      <w:pPr>
        <w:pStyle w:val="ListBullet"/>
      </w:pPr>
      <w:r>
        <w:t>t</w:t>
      </w:r>
      <w:r w:rsidR="1546693F" w:rsidRPr="00AB3B90">
        <w:t>he need to balance funding stability and certainty (to provide schools and systems with certainty for budget planning) with responsiveness and accuracy (the ability for indexation to respond dynamically to price changes in the schooling sector)</w:t>
      </w:r>
    </w:p>
    <w:p w14:paraId="4AB1027F" w14:textId="4433C581" w:rsidR="007E35B7" w:rsidRPr="00AB3B90" w:rsidRDefault="00822E8B" w:rsidP="00552637">
      <w:pPr>
        <w:pStyle w:val="ListBullet"/>
      </w:pPr>
      <w:r>
        <w:t>a</w:t>
      </w:r>
      <w:r w:rsidR="1546693F" w:rsidRPr="00AB3B90">
        <w:t xml:space="preserve"> preference for simple and transparent policy, and</w:t>
      </w:r>
    </w:p>
    <w:p w14:paraId="307B3D26" w14:textId="7E1EFE69" w:rsidR="002660E4" w:rsidRPr="00AB3B90" w:rsidRDefault="00822E8B" w:rsidP="00552637">
      <w:pPr>
        <w:pStyle w:val="ListBullet"/>
      </w:pPr>
      <w:r>
        <w:t>t</w:t>
      </w:r>
      <w:r w:rsidR="1546693F" w:rsidRPr="00AB3B90">
        <w:t>he potential for circularity of schooling input prices and funding (arising from the ‘the revenue theory of cost</w:t>
      </w:r>
      <w:r w:rsidR="6414F39F" w:rsidRPr="00AB3B90">
        <w:t>’</w:t>
      </w:r>
      <w:r w:rsidR="00CC7915" w:rsidRPr="00E37ADA">
        <w:rPr>
          <w:rStyle w:val="FootnoteReference"/>
        </w:rPr>
        <w:footnoteReference w:id="13"/>
      </w:r>
      <w:r w:rsidR="1546693F" w:rsidRPr="00AB3B90">
        <w:t>) and macroeconomic issues associated with embedding prices into wages (‘wage-price spirals</w:t>
      </w:r>
      <w:r w:rsidR="543DF401" w:rsidRPr="00AB3B90">
        <w:t>’</w:t>
      </w:r>
      <w:r w:rsidR="00DC07A7" w:rsidRPr="00E37ADA">
        <w:rPr>
          <w:vertAlign w:val="superscript"/>
        </w:rPr>
        <w:footnoteReference w:id="14"/>
      </w:r>
      <w:r w:rsidR="1546693F" w:rsidRPr="00AB3B90">
        <w:t>).</w:t>
      </w:r>
    </w:p>
    <w:p w14:paraId="2E697BF6" w14:textId="77777777" w:rsidR="002660E4" w:rsidRPr="00AB3B90" w:rsidRDefault="002660E4">
      <w:pPr>
        <w:spacing w:before="0" w:after="160"/>
        <w:rPr>
          <w:lang w:eastAsia="en-AU"/>
        </w:rPr>
      </w:pPr>
      <w:r w:rsidRPr="00AB3B90">
        <w:rPr>
          <w:lang w:eastAsia="en-AU"/>
        </w:rPr>
        <w:br w:type="page"/>
      </w:r>
    </w:p>
    <w:p w14:paraId="60B2D522" w14:textId="7B35507B" w:rsidR="00A13E8B" w:rsidRPr="00AB3B90" w:rsidRDefault="000F61E7" w:rsidP="0000492F">
      <w:pPr>
        <w:pStyle w:val="Heading2-Numbered"/>
      </w:pPr>
      <w:bookmarkStart w:id="61" w:name="_Toc163650440"/>
      <w:r w:rsidRPr="00AB3B90">
        <w:t>Schooling inputs</w:t>
      </w:r>
      <w:bookmarkEnd w:id="61"/>
    </w:p>
    <w:p w14:paraId="51854A14" w14:textId="77777777" w:rsidR="00F4070D" w:rsidRPr="00AB3B90" w:rsidRDefault="00F4070D" w:rsidP="00F4070D">
      <w:r w:rsidRPr="00AB3B90">
        <w:t>Excluding capital (which falls outside the scope of the SRS, which seeks to cover the costs of recurrent expenditure), the primary inputs used in the provision of schooling services are:</w:t>
      </w:r>
    </w:p>
    <w:p w14:paraId="0177BC9B" w14:textId="180BE04D" w:rsidR="00F4070D" w:rsidRPr="00AB3B90" w:rsidRDefault="000E3E27" w:rsidP="006B4307">
      <w:pPr>
        <w:pStyle w:val="ListBullet"/>
      </w:pPr>
      <w:r>
        <w:t>s</w:t>
      </w:r>
      <w:r w:rsidR="30FE29FA" w:rsidRPr="00AB3B90">
        <w:t>taff, including teaching and non-teaching staff</w:t>
      </w:r>
      <w:r>
        <w:t>, and</w:t>
      </w:r>
      <w:r w:rsidR="30FE29FA" w:rsidRPr="00AB3B90">
        <w:t xml:space="preserve"> </w:t>
      </w:r>
    </w:p>
    <w:p w14:paraId="698B49E4" w14:textId="5298CBD8" w:rsidR="00F4070D" w:rsidRPr="00AB3B90" w:rsidRDefault="000E3E27" w:rsidP="006B4307">
      <w:pPr>
        <w:pStyle w:val="ListBullet"/>
      </w:pPr>
      <w:r>
        <w:t>o</w:t>
      </w:r>
      <w:r w:rsidR="30FE29FA" w:rsidRPr="00AB3B90">
        <w:t xml:space="preserve">ther (non-staff) inputs such as stationery and materials, utilities, property and building maintenance, and computers and information technology. </w:t>
      </w:r>
    </w:p>
    <w:p w14:paraId="2AE0045C" w14:textId="18F3F7B9" w:rsidR="002660E4" w:rsidRPr="00AB3B90" w:rsidRDefault="19BDAAAB" w:rsidP="002660E4">
      <w:r w:rsidRPr="00AB3B90">
        <w:t xml:space="preserve">The Board commissioned Deloitte </w:t>
      </w:r>
      <w:r w:rsidR="009F66CD">
        <w:t xml:space="preserve">Access Economics </w:t>
      </w:r>
      <w:r w:rsidRPr="00AB3B90">
        <w:t>t</w:t>
      </w:r>
      <w:r w:rsidR="7CE8DD8C" w:rsidRPr="00AB3B90">
        <w:t>o analyse schooling inputs</w:t>
      </w:r>
      <w:r w:rsidR="28290759" w:rsidRPr="00AB3B90">
        <w:t>. Their work</w:t>
      </w:r>
      <w:r w:rsidR="7CE8DD8C" w:rsidRPr="00AB3B90">
        <w:t xml:space="preserve"> uses publicly available National Schools Statistics Collection (NSSC data) retrieved from the Australian Curriculum Assessment and Reporting Authority (ACARA). The NSSC is a census, conducted annually as a collaborative arrangement between State, Territory and Commonwealth education authorities and the ABS, which collects data on a range of schooling issues. This includes government school expenditure, non-government schools’ income and expenditure and staff numbers. Box </w:t>
      </w:r>
      <w:r w:rsidR="1673C86C" w:rsidRPr="00AB3B90">
        <w:t>1</w:t>
      </w:r>
      <w:r w:rsidR="7CE8DD8C" w:rsidRPr="00AB3B90">
        <w:t xml:space="preserve"> below discusses how NSSC data differs to data received by stakeholders. </w:t>
      </w:r>
    </w:p>
    <w:p w14:paraId="0B7EF756" w14:textId="527CFBEA" w:rsidR="003F08FA" w:rsidRPr="00AB3B90" w:rsidRDefault="008D7B86" w:rsidP="009F66CD">
      <w:pPr>
        <w:pStyle w:val="Heading3"/>
      </w:pPr>
      <w:r w:rsidRPr="00AB3B90">
        <w:t>Staffing inputs</w:t>
      </w:r>
    </w:p>
    <w:p w14:paraId="29218049" w14:textId="6F34034B" w:rsidR="000B789F" w:rsidRPr="00AB3B90" w:rsidRDefault="000B789F" w:rsidP="000B789F">
      <w:r w:rsidRPr="00AB3B90">
        <w:t xml:space="preserve">Staff make up </w:t>
      </w:r>
      <w:proofErr w:type="gramStart"/>
      <w:r w:rsidRPr="00AB3B90">
        <w:t>the majority of</w:t>
      </w:r>
      <w:proofErr w:type="gramEnd"/>
      <w:r w:rsidRPr="00AB3B90">
        <w:t xml:space="preserve"> schooling inputs, measured in terms of their contribution to total recurrent expenditure. Since 2018, school staff salaries have consistently represented 74 to 76</w:t>
      </w:r>
      <w:r w:rsidR="00C174EB" w:rsidRPr="00AB3B90">
        <w:t> </w:t>
      </w:r>
      <w:r w:rsidRPr="00AB3B90">
        <w:t>per</w:t>
      </w:r>
      <w:r w:rsidR="00C174EB" w:rsidRPr="00AB3B90">
        <w:t> </w:t>
      </w:r>
      <w:r w:rsidRPr="00AB3B90">
        <w:t>cent of total recurrent school expenditure across Australian schools (</w:t>
      </w:r>
      <w:r w:rsidR="003C5482" w:rsidRPr="00AB3B90">
        <w:fldChar w:fldCharType="begin"/>
      </w:r>
      <w:r w:rsidR="003C5482" w:rsidRPr="00AB3B90">
        <w:instrText xml:space="preserve"> REF _Ref160779885 \h </w:instrText>
      </w:r>
      <w:r w:rsidR="006F1C07" w:rsidRPr="00AB3B90">
        <w:instrText xml:space="preserve"> \* MERGEFORMAT </w:instrText>
      </w:r>
      <w:r w:rsidR="003C5482" w:rsidRPr="00AB3B90">
        <w:fldChar w:fldCharType="separate"/>
      </w:r>
      <w:r w:rsidR="00FF6847" w:rsidRPr="00AB3B90">
        <w:t xml:space="preserve">Table </w:t>
      </w:r>
      <w:r w:rsidR="00FF6847" w:rsidRPr="00AB3B90">
        <w:rPr>
          <w:noProof/>
        </w:rPr>
        <w:t>1</w:t>
      </w:r>
      <w:r w:rsidR="003C5482" w:rsidRPr="00AB3B90">
        <w:fldChar w:fldCharType="end"/>
      </w:r>
      <w:r w:rsidRPr="00AB3B90">
        <w:t xml:space="preserve">, </w:t>
      </w:r>
      <w:r w:rsidR="006F1C07" w:rsidRPr="00AB3B90">
        <w:fldChar w:fldCharType="begin"/>
      </w:r>
      <w:r w:rsidR="006F1C07" w:rsidRPr="00AB3B90">
        <w:instrText xml:space="preserve"> REF _Ref160790816 \h  \* MERGEFORMAT </w:instrText>
      </w:r>
      <w:r w:rsidR="006F1C07" w:rsidRPr="00AB3B90">
        <w:fldChar w:fldCharType="separate"/>
      </w:r>
      <w:r w:rsidR="00FF6847" w:rsidRPr="00AB3B90">
        <w:t xml:space="preserve">Table </w:t>
      </w:r>
      <w:r w:rsidR="00FF6847" w:rsidRPr="00AB3B90">
        <w:rPr>
          <w:noProof/>
        </w:rPr>
        <w:t>2</w:t>
      </w:r>
      <w:r w:rsidR="006F1C07" w:rsidRPr="00AB3B90">
        <w:fldChar w:fldCharType="end"/>
      </w:r>
      <w:r w:rsidRPr="00AB3B90">
        <w:t>). A substantial part of this expenditure is attributed to the salaries of teaching staff, accounting for between 48 and 58</w:t>
      </w:r>
      <w:r w:rsidR="00C174EB" w:rsidRPr="00AB3B90">
        <w:t> </w:t>
      </w:r>
      <w:r w:rsidRPr="00AB3B90">
        <w:t>per</w:t>
      </w:r>
      <w:r w:rsidR="00C174EB" w:rsidRPr="00AB3B90">
        <w:t> </w:t>
      </w:r>
      <w:r w:rsidRPr="00AB3B90">
        <w:t xml:space="preserve">cent of overall recurrent expenses in schools. </w:t>
      </w:r>
    </w:p>
    <w:p w14:paraId="054335D5" w14:textId="3763512D" w:rsidR="000B789F" w:rsidRPr="00AB3B90" w:rsidRDefault="000B789F" w:rsidP="000B789F">
      <w:r w:rsidRPr="00AB3B90">
        <w:t xml:space="preserve">In government schools, the proportion of expenditure dedicated to </w:t>
      </w:r>
      <w:r w:rsidR="003F4E40" w:rsidRPr="00AB3B90">
        <w:t xml:space="preserve">staff </w:t>
      </w:r>
      <w:r w:rsidRPr="00AB3B90">
        <w:t xml:space="preserve">salaries </w:t>
      </w:r>
      <w:r w:rsidR="00105852" w:rsidRPr="00AB3B90">
        <w:t xml:space="preserve">has decreased slightly </w:t>
      </w:r>
      <w:r w:rsidRPr="00AB3B90">
        <w:t xml:space="preserve">since 2018. Conversely, non-government schools have experienced a modest upward trend in the proportion of expenditure allocated to </w:t>
      </w:r>
      <w:r w:rsidR="00B87793" w:rsidRPr="00AB3B90">
        <w:t xml:space="preserve">staff </w:t>
      </w:r>
      <w:r w:rsidRPr="00AB3B90">
        <w:t>salaries.</w:t>
      </w:r>
    </w:p>
    <w:p w14:paraId="54856315" w14:textId="76C3565F" w:rsidR="00B42B37" w:rsidRPr="00AB3B90" w:rsidRDefault="00B42B37" w:rsidP="00B42B37">
      <w:pPr>
        <w:pStyle w:val="Caption"/>
        <w:keepNext/>
      </w:pPr>
      <w:bookmarkStart w:id="62" w:name="_Ref160779885"/>
      <w:bookmarkStart w:id="63" w:name="_Toc161150698"/>
      <w:bookmarkStart w:id="64" w:name="_Toc163650477"/>
      <w:r w:rsidRPr="00AB3B90">
        <w:t xml:space="preserve">Table </w:t>
      </w:r>
      <w:r w:rsidRPr="00AB3B90">
        <w:fldChar w:fldCharType="begin"/>
      </w:r>
      <w:r w:rsidRPr="00AB3B90">
        <w:instrText>SEQ Table \* ARABIC</w:instrText>
      </w:r>
      <w:r w:rsidRPr="00AB3B90">
        <w:fldChar w:fldCharType="separate"/>
      </w:r>
      <w:r w:rsidR="00FF6847" w:rsidRPr="00AB3B90">
        <w:rPr>
          <w:noProof/>
        </w:rPr>
        <w:t>1</w:t>
      </w:r>
      <w:r w:rsidRPr="00AB3B90">
        <w:fldChar w:fldCharType="end"/>
      </w:r>
      <w:bookmarkEnd w:id="62"/>
      <w:r w:rsidRPr="00AB3B90">
        <w:t xml:space="preserve"> </w:t>
      </w:r>
      <w:r w:rsidR="00013F7C" w:rsidRPr="00AB3B90">
        <w:t xml:space="preserve">Recurrent </w:t>
      </w:r>
      <w:r w:rsidR="00E2337D" w:rsidRPr="00AB3B90">
        <w:t xml:space="preserve">expenditure </w:t>
      </w:r>
      <w:r w:rsidR="00FB1A3D" w:rsidRPr="00AB3B90">
        <w:t>on g</w:t>
      </w:r>
      <w:r w:rsidRPr="00AB3B90">
        <w:t>overnment school sector by financial year</w:t>
      </w:r>
      <w:bookmarkEnd w:id="63"/>
      <w:bookmarkEnd w:id="64"/>
    </w:p>
    <w:tbl>
      <w:tblPr>
        <w:tblStyle w:val="Deloittetable"/>
        <w:tblW w:w="5011" w:type="pct"/>
        <w:tblLayout w:type="fixed"/>
        <w:tblLook w:val="04A0" w:firstRow="1" w:lastRow="0" w:firstColumn="1" w:lastColumn="0" w:noHBand="0" w:noVBand="1"/>
      </w:tblPr>
      <w:tblGrid>
        <w:gridCol w:w="3554"/>
        <w:gridCol w:w="1099"/>
        <w:gridCol w:w="1099"/>
        <w:gridCol w:w="1098"/>
        <w:gridCol w:w="1098"/>
        <w:gridCol w:w="1098"/>
      </w:tblGrid>
      <w:tr w:rsidR="000E7C15" w:rsidRPr="00AB3B90" w14:paraId="059049B4" w14:textId="77777777" w:rsidTr="000E7C15">
        <w:trPr>
          <w:cnfStyle w:val="100000000000" w:firstRow="1" w:lastRow="0" w:firstColumn="0" w:lastColumn="0" w:oddVBand="0" w:evenVBand="0" w:oddHBand="0" w:evenHBand="0" w:firstRowFirstColumn="0" w:firstRowLastColumn="0" w:lastRowFirstColumn="0" w:lastRowLastColumn="0"/>
        </w:trPr>
        <w:tc>
          <w:tcPr>
            <w:tcW w:w="1964" w:type="pct"/>
          </w:tcPr>
          <w:p w14:paraId="0B036C60" w14:textId="7574DBCB" w:rsidR="000E7C15" w:rsidRPr="00AB3B90" w:rsidRDefault="008A7746" w:rsidP="004A0646">
            <w:pPr>
              <w:keepNext/>
              <w:spacing w:line="240" w:lineRule="auto"/>
              <w:rPr>
                <w:rFonts w:asciiTheme="majorHAnsi" w:hAnsiTheme="majorHAnsi"/>
                <w:b/>
                <w:sz w:val="16"/>
                <w:szCs w:val="16"/>
              </w:rPr>
            </w:pPr>
            <w:bookmarkStart w:id="65" w:name="_Hlk162436946"/>
            <w:r>
              <w:rPr>
                <w:rFonts w:asciiTheme="majorHAnsi" w:hAnsiTheme="majorHAnsi"/>
                <w:b/>
                <w:sz w:val="16"/>
                <w:szCs w:val="16"/>
              </w:rPr>
              <w:t>Re</w:t>
            </w:r>
            <w:r w:rsidR="00930E18">
              <w:rPr>
                <w:rFonts w:asciiTheme="majorHAnsi" w:hAnsiTheme="majorHAnsi"/>
                <w:b/>
                <w:sz w:val="16"/>
                <w:szCs w:val="16"/>
              </w:rPr>
              <w:t>current expenditure category</w:t>
            </w:r>
          </w:p>
        </w:tc>
        <w:tc>
          <w:tcPr>
            <w:tcW w:w="607" w:type="pct"/>
          </w:tcPr>
          <w:p w14:paraId="1D616622" w14:textId="114FF503"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b/>
                <w:sz w:val="16"/>
                <w:szCs w:val="16"/>
              </w:rPr>
              <w:t>2017</w:t>
            </w:r>
            <w:r w:rsidR="006B050D">
              <w:rPr>
                <w:rFonts w:asciiTheme="majorHAnsi" w:hAnsiTheme="majorHAnsi"/>
                <w:b/>
                <w:sz w:val="16"/>
                <w:szCs w:val="16"/>
              </w:rPr>
              <w:t>–</w:t>
            </w:r>
            <w:r w:rsidRPr="00AB3B90">
              <w:rPr>
                <w:rFonts w:asciiTheme="majorHAnsi" w:hAnsiTheme="majorHAnsi"/>
                <w:b/>
                <w:sz w:val="16"/>
                <w:szCs w:val="16"/>
              </w:rPr>
              <w:t>18</w:t>
            </w:r>
          </w:p>
        </w:tc>
        <w:tc>
          <w:tcPr>
            <w:tcW w:w="607" w:type="pct"/>
          </w:tcPr>
          <w:p w14:paraId="3C97F63A" w14:textId="50D90D72"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b/>
                <w:sz w:val="16"/>
                <w:szCs w:val="16"/>
              </w:rPr>
              <w:t>2018</w:t>
            </w:r>
            <w:r w:rsidR="006B050D">
              <w:rPr>
                <w:rFonts w:asciiTheme="majorHAnsi" w:hAnsiTheme="majorHAnsi"/>
                <w:b/>
                <w:sz w:val="16"/>
                <w:szCs w:val="16"/>
              </w:rPr>
              <w:t>–</w:t>
            </w:r>
            <w:r w:rsidRPr="00AB3B90">
              <w:rPr>
                <w:rFonts w:asciiTheme="majorHAnsi" w:hAnsiTheme="majorHAnsi"/>
                <w:b/>
                <w:sz w:val="16"/>
                <w:szCs w:val="16"/>
              </w:rPr>
              <w:t>19</w:t>
            </w:r>
          </w:p>
        </w:tc>
        <w:tc>
          <w:tcPr>
            <w:tcW w:w="607" w:type="pct"/>
          </w:tcPr>
          <w:p w14:paraId="2CCDDAAD" w14:textId="5382CB21"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b/>
                <w:sz w:val="16"/>
                <w:szCs w:val="16"/>
              </w:rPr>
              <w:t>2019</w:t>
            </w:r>
            <w:r w:rsidR="006B050D">
              <w:rPr>
                <w:rFonts w:asciiTheme="majorHAnsi" w:hAnsiTheme="majorHAnsi"/>
                <w:b/>
                <w:sz w:val="16"/>
                <w:szCs w:val="16"/>
              </w:rPr>
              <w:t>–</w:t>
            </w:r>
            <w:r w:rsidRPr="00AB3B90">
              <w:rPr>
                <w:rFonts w:asciiTheme="majorHAnsi" w:hAnsiTheme="majorHAnsi"/>
                <w:b/>
                <w:sz w:val="16"/>
                <w:szCs w:val="16"/>
              </w:rPr>
              <w:t>20</w:t>
            </w:r>
          </w:p>
        </w:tc>
        <w:tc>
          <w:tcPr>
            <w:tcW w:w="607" w:type="pct"/>
          </w:tcPr>
          <w:p w14:paraId="704ADCE3" w14:textId="2AB4BFEE"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b/>
                <w:sz w:val="16"/>
                <w:szCs w:val="16"/>
              </w:rPr>
              <w:t>2020</w:t>
            </w:r>
            <w:r w:rsidR="006B050D">
              <w:rPr>
                <w:rFonts w:asciiTheme="majorHAnsi" w:hAnsiTheme="majorHAnsi"/>
                <w:b/>
                <w:sz w:val="16"/>
                <w:szCs w:val="16"/>
              </w:rPr>
              <w:t>–</w:t>
            </w:r>
            <w:r w:rsidRPr="00AB3B90">
              <w:rPr>
                <w:rFonts w:asciiTheme="majorHAnsi" w:hAnsiTheme="majorHAnsi"/>
                <w:b/>
                <w:sz w:val="16"/>
                <w:szCs w:val="16"/>
              </w:rPr>
              <w:t>21</w:t>
            </w:r>
          </w:p>
        </w:tc>
        <w:tc>
          <w:tcPr>
            <w:tcW w:w="607" w:type="pct"/>
          </w:tcPr>
          <w:p w14:paraId="0308D998" w14:textId="29430663"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b/>
                <w:sz w:val="16"/>
                <w:szCs w:val="16"/>
              </w:rPr>
              <w:t>2021</w:t>
            </w:r>
            <w:r w:rsidR="006B050D">
              <w:rPr>
                <w:rFonts w:asciiTheme="majorHAnsi" w:hAnsiTheme="majorHAnsi"/>
                <w:b/>
                <w:sz w:val="16"/>
                <w:szCs w:val="16"/>
              </w:rPr>
              <w:t>–</w:t>
            </w:r>
            <w:r w:rsidRPr="00AB3B90">
              <w:rPr>
                <w:rFonts w:asciiTheme="majorHAnsi" w:hAnsiTheme="majorHAnsi"/>
                <w:b/>
                <w:sz w:val="16"/>
                <w:szCs w:val="16"/>
              </w:rPr>
              <w:t>22</w:t>
            </w:r>
          </w:p>
        </w:tc>
      </w:tr>
      <w:tr w:rsidR="000E7C15" w:rsidRPr="00AB3B90" w14:paraId="37779919" w14:textId="77777777" w:rsidTr="000E7C15">
        <w:tc>
          <w:tcPr>
            <w:tcW w:w="1964" w:type="pct"/>
          </w:tcPr>
          <w:p w14:paraId="0B683BB0" w14:textId="77777777" w:rsidR="000E7C15" w:rsidRPr="00AB3B90" w:rsidRDefault="000E7C15" w:rsidP="004A0646">
            <w:pPr>
              <w:keepNext/>
              <w:spacing w:line="240" w:lineRule="auto"/>
              <w:rPr>
                <w:rFonts w:asciiTheme="majorHAnsi" w:hAnsiTheme="majorHAnsi"/>
                <w:b/>
                <w:sz w:val="16"/>
                <w:szCs w:val="16"/>
              </w:rPr>
            </w:pPr>
            <w:r w:rsidRPr="00AB3B90">
              <w:rPr>
                <w:rFonts w:asciiTheme="majorHAnsi" w:hAnsiTheme="majorHAnsi"/>
                <w:b/>
                <w:sz w:val="16"/>
                <w:szCs w:val="16"/>
              </w:rPr>
              <w:t>Salary related expenditure (%)</w:t>
            </w:r>
          </w:p>
        </w:tc>
        <w:tc>
          <w:tcPr>
            <w:tcW w:w="607" w:type="pct"/>
          </w:tcPr>
          <w:p w14:paraId="38C6895F" w14:textId="77777777"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cs="Calibri"/>
                <w:b/>
                <w:color w:val="000000"/>
                <w:sz w:val="16"/>
                <w:szCs w:val="16"/>
              </w:rPr>
              <w:t>75.7</w:t>
            </w:r>
          </w:p>
        </w:tc>
        <w:tc>
          <w:tcPr>
            <w:tcW w:w="607" w:type="pct"/>
          </w:tcPr>
          <w:p w14:paraId="3390E62B" w14:textId="77777777"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cs="Calibri"/>
                <w:b/>
                <w:color w:val="000000"/>
                <w:sz w:val="16"/>
                <w:szCs w:val="16"/>
              </w:rPr>
              <w:t>75.5</w:t>
            </w:r>
          </w:p>
        </w:tc>
        <w:tc>
          <w:tcPr>
            <w:tcW w:w="607" w:type="pct"/>
          </w:tcPr>
          <w:p w14:paraId="58DADEB4" w14:textId="77777777"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cs="Calibri"/>
                <w:b/>
                <w:color w:val="000000"/>
                <w:sz w:val="16"/>
                <w:szCs w:val="16"/>
              </w:rPr>
              <w:t>75.1</w:t>
            </w:r>
          </w:p>
        </w:tc>
        <w:tc>
          <w:tcPr>
            <w:tcW w:w="607" w:type="pct"/>
          </w:tcPr>
          <w:p w14:paraId="5F9E8C7C" w14:textId="77777777"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cs="Calibri"/>
                <w:b/>
                <w:color w:val="000000"/>
                <w:sz w:val="16"/>
                <w:szCs w:val="16"/>
              </w:rPr>
              <w:t>75.6</w:t>
            </w:r>
          </w:p>
        </w:tc>
        <w:tc>
          <w:tcPr>
            <w:tcW w:w="607" w:type="pct"/>
          </w:tcPr>
          <w:p w14:paraId="60805CDE" w14:textId="77777777"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cs="Calibri"/>
                <w:b/>
                <w:color w:val="000000"/>
                <w:sz w:val="16"/>
                <w:szCs w:val="16"/>
              </w:rPr>
              <w:t>73.9</w:t>
            </w:r>
          </w:p>
        </w:tc>
      </w:tr>
      <w:tr w:rsidR="000E7C15" w:rsidRPr="00AB3B90" w14:paraId="2F7002EA" w14:textId="77777777" w:rsidTr="000E7C15">
        <w:tc>
          <w:tcPr>
            <w:tcW w:w="1964" w:type="pct"/>
          </w:tcPr>
          <w:p w14:paraId="023935DE" w14:textId="77777777" w:rsidR="000E7C15" w:rsidRPr="00AB3B90" w:rsidRDefault="000E7C15" w:rsidP="004A0646">
            <w:pPr>
              <w:keepNext/>
              <w:spacing w:line="240" w:lineRule="auto"/>
              <w:ind w:left="720"/>
              <w:rPr>
                <w:rFonts w:asciiTheme="majorHAnsi" w:hAnsiTheme="majorHAnsi"/>
                <w:sz w:val="16"/>
                <w:szCs w:val="16"/>
              </w:rPr>
            </w:pPr>
            <w:r w:rsidRPr="00AB3B90">
              <w:rPr>
                <w:rFonts w:asciiTheme="majorHAnsi" w:hAnsiTheme="majorHAnsi"/>
                <w:sz w:val="16"/>
                <w:szCs w:val="16"/>
              </w:rPr>
              <w:t>Teaching staff salaries (%)</w:t>
            </w:r>
          </w:p>
        </w:tc>
        <w:tc>
          <w:tcPr>
            <w:tcW w:w="607" w:type="pct"/>
          </w:tcPr>
          <w:p w14:paraId="67D43AB2"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58.3</w:t>
            </w:r>
          </w:p>
        </w:tc>
        <w:tc>
          <w:tcPr>
            <w:tcW w:w="607" w:type="pct"/>
          </w:tcPr>
          <w:p w14:paraId="53DCAF95"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58.1</w:t>
            </w:r>
          </w:p>
        </w:tc>
        <w:tc>
          <w:tcPr>
            <w:tcW w:w="607" w:type="pct"/>
          </w:tcPr>
          <w:p w14:paraId="5448CDB4"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57.3</w:t>
            </w:r>
          </w:p>
        </w:tc>
        <w:tc>
          <w:tcPr>
            <w:tcW w:w="607" w:type="pct"/>
          </w:tcPr>
          <w:p w14:paraId="080865C9"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57.3</w:t>
            </w:r>
          </w:p>
        </w:tc>
        <w:tc>
          <w:tcPr>
            <w:tcW w:w="607" w:type="pct"/>
          </w:tcPr>
          <w:p w14:paraId="45357901"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56.0</w:t>
            </w:r>
          </w:p>
        </w:tc>
      </w:tr>
      <w:tr w:rsidR="000E7C15" w:rsidRPr="00AB3B90" w14:paraId="60FEF399" w14:textId="77777777" w:rsidTr="000E7C15">
        <w:tc>
          <w:tcPr>
            <w:tcW w:w="1964" w:type="pct"/>
          </w:tcPr>
          <w:p w14:paraId="772CA5E5" w14:textId="77777777" w:rsidR="000E7C15" w:rsidRPr="00AB3B90" w:rsidRDefault="000E7C15" w:rsidP="004A0646">
            <w:pPr>
              <w:keepNext/>
              <w:spacing w:line="240" w:lineRule="auto"/>
              <w:ind w:left="720"/>
              <w:rPr>
                <w:rFonts w:asciiTheme="majorHAnsi" w:hAnsiTheme="majorHAnsi"/>
                <w:sz w:val="16"/>
                <w:szCs w:val="16"/>
              </w:rPr>
            </w:pPr>
            <w:r w:rsidRPr="00AB3B90">
              <w:rPr>
                <w:rFonts w:asciiTheme="majorHAnsi" w:hAnsiTheme="majorHAnsi"/>
                <w:sz w:val="16"/>
                <w:szCs w:val="16"/>
              </w:rPr>
              <w:t>Non-teaching staff salaries (%)</w:t>
            </w:r>
          </w:p>
        </w:tc>
        <w:tc>
          <w:tcPr>
            <w:tcW w:w="607" w:type="pct"/>
          </w:tcPr>
          <w:p w14:paraId="06E528B2"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17.5</w:t>
            </w:r>
          </w:p>
        </w:tc>
        <w:tc>
          <w:tcPr>
            <w:tcW w:w="607" w:type="pct"/>
          </w:tcPr>
          <w:p w14:paraId="2056FAB9"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17.5</w:t>
            </w:r>
          </w:p>
        </w:tc>
        <w:tc>
          <w:tcPr>
            <w:tcW w:w="607" w:type="pct"/>
          </w:tcPr>
          <w:p w14:paraId="43DD5EAD"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17.9</w:t>
            </w:r>
          </w:p>
        </w:tc>
        <w:tc>
          <w:tcPr>
            <w:tcW w:w="607" w:type="pct"/>
          </w:tcPr>
          <w:p w14:paraId="1E85FA07"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18.3</w:t>
            </w:r>
          </w:p>
        </w:tc>
        <w:tc>
          <w:tcPr>
            <w:tcW w:w="607" w:type="pct"/>
          </w:tcPr>
          <w:p w14:paraId="14D59698"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17.9</w:t>
            </w:r>
          </w:p>
        </w:tc>
      </w:tr>
      <w:tr w:rsidR="000E7C15" w:rsidRPr="00AB3B90" w14:paraId="686F933C" w14:textId="77777777" w:rsidTr="000E7C15">
        <w:tc>
          <w:tcPr>
            <w:tcW w:w="1964" w:type="pct"/>
          </w:tcPr>
          <w:p w14:paraId="2FD41F22" w14:textId="77777777" w:rsidR="000E7C15" w:rsidRPr="00AB3B90" w:rsidRDefault="000E7C15" w:rsidP="004A0646">
            <w:pPr>
              <w:keepNext/>
              <w:spacing w:line="240" w:lineRule="auto"/>
              <w:ind w:left="720"/>
              <w:rPr>
                <w:rFonts w:asciiTheme="majorHAnsi" w:hAnsiTheme="majorHAnsi"/>
                <w:sz w:val="16"/>
                <w:szCs w:val="16"/>
              </w:rPr>
            </w:pPr>
            <w:r w:rsidRPr="00AB3B90">
              <w:rPr>
                <w:rFonts w:asciiTheme="majorHAnsi" w:hAnsiTheme="majorHAnsi"/>
                <w:sz w:val="16"/>
                <w:szCs w:val="16"/>
              </w:rPr>
              <w:t>Redundancies (%)</w:t>
            </w:r>
          </w:p>
        </w:tc>
        <w:tc>
          <w:tcPr>
            <w:tcW w:w="607" w:type="pct"/>
          </w:tcPr>
          <w:p w14:paraId="77BB1A10"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0.1</w:t>
            </w:r>
          </w:p>
        </w:tc>
        <w:tc>
          <w:tcPr>
            <w:tcW w:w="607" w:type="pct"/>
          </w:tcPr>
          <w:p w14:paraId="5FE3D949"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0.1</w:t>
            </w:r>
          </w:p>
        </w:tc>
        <w:tc>
          <w:tcPr>
            <w:tcW w:w="607" w:type="pct"/>
          </w:tcPr>
          <w:p w14:paraId="4313C0ED"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0.0</w:t>
            </w:r>
          </w:p>
        </w:tc>
        <w:tc>
          <w:tcPr>
            <w:tcW w:w="607" w:type="pct"/>
          </w:tcPr>
          <w:p w14:paraId="67DD2427"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0.0</w:t>
            </w:r>
          </w:p>
        </w:tc>
        <w:tc>
          <w:tcPr>
            <w:tcW w:w="607" w:type="pct"/>
          </w:tcPr>
          <w:p w14:paraId="29C0E721" w14:textId="77777777" w:rsidR="000E7C15" w:rsidRPr="00AB3B90" w:rsidRDefault="000E7C15"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0.1</w:t>
            </w:r>
          </w:p>
        </w:tc>
      </w:tr>
      <w:tr w:rsidR="000E7C15" w:rsidRPr="00AB3B90" w14:paraId="7C6FBE52" w14:textId="77777777" w:rsidTr="000E7C15">
        <w:trPr>
          <w:trHeight w:val="66"/>
        </w:trPr>
        <w:tc>
          <w:tcPr>
            <w:tcW w:w="1964" w:type="pct"/>
          </w:tcPr>
          <w:p w14:paraId="1B70521F" w14:textId="77777777" w:rsidR="000E7C15" w:rsidRPr="00AB3B90" w:rsidRDefault="000E7C15" w:rsidP="004A0646">
            <w:pPr>
              <w:keepNext/>
              <w:spacing w:line="240" w:lineRule="auto"/>
              <w:rPr>
                <w:rFonts w:asciiTheme="majorHAnsi" w:hAnsiTheme="majorHAnsi"/>
                <w:b/>
                <w:sz w:val="16"/>
                <w:szCs w:val="16"/>
              </w:rPr>
            </w:pPr>
            <w:r w:rsidRPr="00AB3B90">
              <w:rPr>
                <w:rFonts w:asciiTheme="majorHAnsi" w:hAnsiTheme="majorHAnsi"/>
                <w:b/>
                <w:sz w:val="16"/>
                <w:szCs w:val="16"/>
              </w:rPr>
              <w:t xml:space="preserve">Non-salary related expenditure (%) </w:t>
            </w:r>
          </w:p>
        </w:tc>
        <w:tc>
          <w:tcPr>
            <w:tcW w:w="607" w:type="pct"/>
          </w:tcPr>
          <w:p w14:paraId="3F0B2343" w14:textId="77777777"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cs="Calibri"/>
                <w:b/>
                <w:color w:val="000000"/>
                <w:sz w:val="16"/>
                <w:szCs w:val="16"/>
              </w:rPr>
              <w:t>24.2</w:t>
            </w:r>
          </w:p>
        </w:tc>
        <w:tc>
          <w:tcPr>
            <w:tcW w:w="607" w:type="pct"/>
          </w:tcPr>
          <w:p w14:paraId="29549D6E" w14:textId="77777777"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cs="Calibri"/>
                <w:b/>
                <w:color w:val="000000"/>
                <w:sz w:val="16"/>
                <w:szCs w:val="16"/>
              </w:rPr>
              <w:t>24.4</w:t>
            </w:r>
          </w:p>
        </w:tc>
        <w:tc>
          <w:tcPr>
            <w:tcW w:w="607" w:type="pct"/>
          </w:tcPr>
          <w:p w14:paraId="2E284181" w14:textId="77777777"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cs="Calibri"/>
                <w:b/>
                <w:color w:val="000000"/>
                <w:sz w:val="16"/>
                <w:szCs w:val="16"/>
              </w:rPr>
              <w:t>24.8</w:t>
            </w:r>
          </w:p>
        </w:tc>
        <w:tc>
          <w:tcPr>
            <w:tcW w:w="607" w:type="pct"/>
          </w:tcPr>
          <w:p w14:paraId="5965C2B6" w14:textId="77777777"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cs="Calibri"/>
                <w:b/>
                <w:color w:val="000000"/>
                <w:sz w:val="16"/>
                <w:szCs w:val="16"/>
              </w:rPr>
              <w:t>24.4</w:t>
            </w:r>
          </w:p>
        </w:tc>
        <w:tc>
          <w:tcPr>
            <w:tcW w:w="607" w:type="pct"/>
          </w:tcPr>
          <w:p w14:paraId="2FEB9995" w14:textId="77777777" w:rsidR="000E7C15" w:rsidRPr="00AB3B90" w:rsidRDefault="000E7C15" w:rsidP="004A0646">
            <w:pPr>
              <w:keepNext/>
              <w:spacing w:line="240" w:lineRule="auto"/>
              <w:jc w:val="right"/>
              <w:rPr>
                <w:rFonts w:asciiTheme="majorHAnsi" w:hAnsiTheme="majorHAnsi"/>
                <w:b/>
                <w:sz w:val="16"/>
                <w:szCs w:val="16"/>
              </w:rPr>
            </w:pPr>
            <w:r w:rsidRPr="00AB3B90">
              <w:rPr>
                <w:rFonts w:asciiTheme="majorHAnsi" w:hAnsiTheme="majorHAnsi" w:cs="Calibri"/>
                <w:b/>
                <w:color w:val="000000"/>
                <w:sz w:val="16"/>
                <w:szCs w:val="16"/>
              </w:rPr>
              <w:t>25.9</w:t>
            </w:r>
          </w:p>
        </w:tc>
      </w:tr>
    </w:tbl>
    <w:bookmarkEnd w:id="65"/>
    <w:p w14:paraId="02C577B8" w14:textId="5CD5A961" w:rsidR="00F814BF" w:rsidRPr="00AB3B90" w:rsidRDefault="00F814BF" w:rsidP="00E37ADA">
      <w:pPr>
        <w:pStyle w:val="Source"/>
        <w:spacing w:before="0" w:after="0"/>
      </w:pPr>
      <w:r w:rsidRPr="00AB3B90">
        <w:t xml:space="preserve">Note: The above analysis excludes user cost of capital. </w:t>
      </w:r>
    </w:p>
    <w:p w14:paraId="0F69E41C" w14:textId="55D90C9B" w:rsidR="009B1236" w:rsidRPr="00AB3B90" w:rsidRDefault="00B42B37" w:rsidP="00E37ADA">
      <w:pPr>
        <w:pStyle w:val="Source"/>
        <w:spacing w:before="0" w:after="0"/>
        <w:rPr>
          <w:lang w:eastAsia="en-AU"/>
        </w:rPr>
      </w:pPr>
      <w:r w:rsidRPr="00AB3B90">
        <w:rPr>
          <w:lang w:eastAsia="en-AU"/>
        </w:rPr>
        <w:t xml:space="preserve">Source: </w:t>
      </w:r>
      <w:r w:rsidR="00382637" w:rsidRPr="00AB3B90">
        <w:t xml:space="preserve">Deloitte Access Economics (2024), Australian Curriculum Assessment and Reporting Authority, </w:t>
      </w:r>
      <w:r w:rsidR="00382637" w:rsidRPr="00AB3B90">
        <w:rPr>
          <w:i/>
        </w:rPr>
        <w:t>School expenditure</w:t>
      </w:r>
      <w:r w:rsidR="00382637" w:rsidRPr="00AB3B90">
        <w:t xml:space="preserve"> &lt; https://www.acara.edu.au/reporting/national-report-on-schooling-in-australia/school-expenditure&gt;.</w:t>
      </w:r>
    </w:p>
    <w:p w14:paraId="1BD1669B" w14:textId="77777777" w:rsidR="00DA4EB1" w:rsidRPr="00AB3B90" w:rsidRDefault="00DA4EB1">
      <w:pPr>
        <w:spacing w:before="0" w:after="160"/>
        <w:rPr>
          <w:sz w:val="24"/>
        </w:rPr>
      </w:pPr>
      <w:bookmarkStart w:id="66" w:name="_Ref160790816"/>
      <w:bookmarkStart w:id="67" w:name="_Toc161150699"/>
      <w:r w:rsidRPr="00AB3B90">
        <w:br w:type="page"/>
      </w:r>
    </w:p>
    <w:p w14:paraId="74E2CA4B" w14:textId="32A7F31C" w:rsidR="00C00E74" w:rsidRPr="00AB3B90" w:rsidRDefault="00C00E74" w:rsidP="00C00E74">
      <w:pPr>
        <w:pStyle w:val="Caption"/>
        <w:keepNext/>
      </w:pPr>
      <w:bookmarkStart w:id="68" w:name="_Toc163650478"/>
      <w:r w:rsidRPr="00AB3B90">
        <w:t xml:space="preserve">Table </w:t>
      </w:r>
      <w:r w:rsidRPr="00AB3B90">
        <w:fldChar w:fldCharType="begin"/>
      </w:r>
      <w:r w:rsidRPr="00AB3B90">
        <w:instrText>SEQ Table \* ARABIC</w:instrText>
      </w:r>
      <w:r w:rsidRPr="00AB3B90">
        <w:fldChar w:fldCharType="separate"/>
      </w:r>
      <w:r w:rsidR="00FF6847" w:rsidRPr="00AB3B90">
        <w:rPr>
          <w:noProof/>
        </w:rPr>
        <w:t>2</w:t>
      </w:r>
      <w:r w:rsidRPr="00AB3B90">
        <w:fldChar w:fldCharType="end"/>
      </w:r>
      <w:bookmarkEnd w:id="66"/>
      <w:r w:rsidRPr="00AB3B90">
        <w:t xml:space="preserve"> </w:t>
      </w:r>
      <w:r w:rsidR="00FF77EE" w:rsidRPr="00AB3B90">
        <w:t>Recurrent expenditure on n</w:t>
      </w:r>
      <w:r w:rsidRPr="00AB3B90">
        <w:t>on-government school sector by calendar year</w:t>
      </w:r>
      <w:bookmarkEnd w:id="67"/>
      <w:bookmarkEnd w:id="68"/>
    </w:p>
    <w:tbl>
      <w:tblPr>
        <w:tblStyle w:val="Deloittetable"/>
        <w:tblW w:w="5000" w:type="pct"/>
        <w:tblLook w:val="04A0" w:firstRow="1" w:lastRow="0" w:firstColumn="1" w:lastColumn="0" w:noHBand="0" w:noVBand="1"/>
      </w:tblPr>
      <w:tblGrid>
        <w:gridCol w:w="3434"/>
        <w:gridCol w:w="934"/>
        <w:gridCol w:w="933"/>
        <w:gridCol w:w="933"/>
        <w:gridCol w:w="933"/>
        <w:gridCol w:w="931"/>
        <w:gridCol w:w="928"/>
      </w:tblGrid>
      <w:tr w:rsidR="00142AD8" w:rsidRPr="00AB3B90" w14:paraId="7BC898BE" w14:textId="77777777" w:rsidTr="00E37ADA">
        <w:trPr>
          <w:cnfStyle w:val="100000000000" w:firstRow="1" w:lastRow="0" w:firstColumn="0" w:lastColumn="0" w:oddVBand="0" w:evenVBand="0" w:oddHBand="0" w:evenHBand="0" w:firstRowFirstColumn="0" w:firstRowLastColumn="0" w:lastRowFirstColumn="0" w:lastRowLastColumn="0"/>
          <w:trHeight w:val="57"/>
        </w:trPr>
        <w:tc>
          <w:tcPr>
            <w:tcW w:w="1902" w:type="pct"/>
          </w:tcPr>
          <w:p w14:paraId="3DDC0CDF" w14:textId="4E4559AA" w:rsidR="00142AD8" w:rsidRPr="00AB3B90" w:rsidRDefault="00930E18" w:rsidP="004A0646">
            <w:pPr>
              <w:spacing w:before="100" w:beforeAutospacing="1" w:line="240" w:lineRule="auto"/>
              <w:rPr>
                <w:rFonts w:asciiTheme="majorHAnsi" w:hAnsiTheme="majorHAnsi"/>
                <w:b/>
                <w:sz w:val="16"/>
                <w:szCs w:val="16"/>
              </w:rPr>
            </w:pPr>
            <w:bookmarkStart w:id="69" w:name="_Hlk162437190"/>
            <w:r>
              <w:rPr>
                <w:rFonts w:asciiTheme="majorHAnsi" w:hAnsiTheme="majorHAnsi"/>
                <w:b/>
                <w:sz w:val="16"/>
                <w:szCs w:val="16"/>
              </w:rPr>
              <w:t>Recurrent expenditure category</w:t>
            </w:r>
          </w:p>
        </w:tc>
        <w:tc>
          <w:tcPr>
            <w:tcW w:w="517" w:type="pct"/>
          </w:tcPr>
          <w:p w14:paraId="3DE69E87"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asciiTheme="majorHAnsi" w:hAnsiTheme="majorHAnsi"/>
                <w:b/>
                <w:bCs/>
                <w:sz w:val="16"/>
                <w:szCs w:val="16"/>
              </w:rPr>
              <w:t>2017</w:t>
            </w:r>
          </w:p>
        </w:tc>
        <w:tc>
          <w:tcPr>
            <w:tcW w:w="517" w:type="pct"/>
          </w:tcPr>
          <w:p w14:paraId="535C80E0"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asciiTheme="majorHAnsi" w:hAnsiTheme="majorHAnsi"/>
                <w:b/>
                <w:bCs/>
                <w:sz w:val="16"/>
                <w:szCs w:val="16"/>
              </w:rPr>
              <w:t>2018</w:t>
            </w:r>
          </w:p>
        </w:tc>
        <w:tc>
          <w:tcPr>
            <w:tcW w:w="517" w:type="pct"/>
          </w:tcPr>
          <w:p w14:paraId="1EC8F76E"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asciiTheme="majorHAnsi" w:hAnsiTheme="majorHAnsi"/>
                <w:b/>
                <w:bCs/>
                <w:sz w:val="16"/>
                <w:szCs w:val="16"/>
              </w:rPr>
              <w:t>2019</w:t>
            </w:r>
          </w:p>
        </w:tc>
        <w:tc>
          <w:tcPr>
            <w:tcW w:w="517" w:type="pct"/>
          </w:tcPr>
          <w:p w14:paraId="1EC8F993"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asciiTheme="majorHAnsi" w:hAnsiTheme="majorHAnsi"/>
                <w:b/>
                <w:bCs/>
                <w:sz w:val="16"/>
                <w:szCs w:val="16"/>
              </w:rPr>
              <w:t>2020</w:t>
            </w:r>
          </w:p>
        </w:tc>
        <w:tc>
          <w:tcPr>
            <w:tcW w:w="516" w:type="pct"/>
          </w:tcPr>
          <w:p w14:paraId="1F1B423D" w14:textId="77777777" w:rsidR="00142AD8" w:rsidRPr="00AB3B90" w:rsidRDefault="00142AD8" w:rsidP="004A0646">
            <w:pPr>
              <w:spacing w:before="100" w:beforeAutospacing="1" w:line="240" w:lineRule="auto"/>
              <w:jc w:val="right"/>
              <w:rPr>
                <w:rFonts w:asciiTheme="majorHAnsi" w:hAnsiTheme="majorHAnsi"/>
                <w:b/>
                <w:bCs/>
                <w:sz w:val="16"/>
                <w:szCs w:val="16"/>
              </w:rPr>
            </w:pPr>
            <w:r w:rsidRPr="00AB3B90">
              <w:rPr>
                <w:rFonts w:asciiTheme="majorHAnsi" w:hAnsiTheme="majorHAnsi"/>
                <w:b/>
                <w:bCs/>
                <w:sz w:val="16"/>
                <w:szCs w:val="16"/>
              </w:rPr>
              <w:t>2021</w:t>
            </w:r>
          </w:p>
        </w:tc>
        <w:tc>
          <w:tcPr>
            <w:tcW w:w="514" w:type="pct"/>
          </w:tcPr>
          <w:p w14:paraId="73C8DCB9" w14:textId="77777777" w:rsidR="00142AD8" w:rsidRPr="00AB3B90" w:rsidRDefault="00142AD8" w:rsidP="004A0646">
            <w:pPr>
              <w:spacing w:before="100" w:beforeAutospacing="1" w:line="240" w:lineRule="auto"/>
              <w:jc w:val="right"/>
              <w:rPr>
                <w:rFonts w:asciiTheme="majorHAnsi" w:hAnsiTheme="majorHAnsi"/>
                <w:b/>
                <w:bCs/>
                <w:sz w:val="16"/>
                <w:szCs w:val="16"/>
              </w:rPr>
            </w:pPr>
            <w:r w:rsidRPr="00E37ADA">
              <w:rPr>
                <w:rFonts w:asciiTheme="majorHAnsi" w:hAnsiTheme="majorHAnsi"/>
                <w:b/>
                <w:bCs/>
                <w:sz w:val="16"/>
                <w:szCs w:val="16"/>
              </w:rPr>
              <w:t>2022</w:t>
            </w:r>
          </w:p>
        </w:tc>
      </w:tr>
      <w:tr w:rsidR="00142AD8" w:rsidRPr="00AB3B90" w14:paraId="4A7919D4" w14:textId="77777777" w:rsidTr="00E37ADA">
        <w:trPr>
          <w:trHeight w:val="57"/>
        </w:trPr>
        <w:tc>
          <w:tcPr>
            <w:tcW w:w="1902" w:type="pct"/>
          </w:tcPr>
          <w:p w14:paraId="5998B4D2" w14:textId="77777777" w:rsidR="00142AD8" w:rsidRPr="00AB3B90" w:rsidRDefault="00142AD8" w:rsidP="004A0646">
            <w:pPr>
              <w:spacing w:before="100" w:beforeAutospacing="1" w:line="240" w:lineRule="auto"/>
              <w:rPr>
                <w:rFonts w:asciiTheme="majorHAnsi" w:hAnsiTheme="majorHAnsi"/>
                <w:b/>
                <w:sz w:val="16"/>
                <w:szCs w:val="16"/>
              </w:rPr>
            </w:pPr>
            <w:r w:rsidRPr="00AB3B90">
              <w:rPr>
                <w:rFonts w:asciiTheme="majorHAnsi" w:hAnsiTheme="majorHAnsi"/>
                <w:b/>
                <w:sz w:val="16"/>
                <w:szCs w:val="16"/>
              </w:rPr>
              <w:t>Salary related expenditure (%)</w:t>
            </w:r>
          </w:p>
        </w:tc>
        <w:tc>
          <w:tcPr>
            <w:tcW w:w="517" w:type="pct"/>
            <w:vAlign w:val="center"/>
          </w:tcPr>
          <w:p w14:paraId="525DC99C"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cs="Calibri"/>
                <w:b/>
                <w:bCs/>
                <w:color w:val="000000"/>
                <w:sz w:val="16"/>
                <w:szCs w:val="16"/>
              </w:rPr>
              <w:t xml:space="preserve">      </w:t>
            </w:r>
            <w:r w:rsidRPr="00AB3B90">
              <w:rPr>
                <w:rFonts w:cs="Calibri"/>
                <w:b/>
                <w:color w:val="000000"/>
                <w:sz w:val="16"/>
                <w:szCs w:val="16"/>
              </w:rPr>
              <w:t>74.8</w:t>
            </w:r>
            <w:r w:rsidRPr="00AB3B90">
              <w:rPr>
                <w:rFonts w:cs="Calibri"/>
                <w:b/>
                <w:bCs/>
                <w:color w:val="000000"/>
                <w:sz w:val="16"/>
                <w:szCs w:val="16"/>
              </w:rPr>
              <w:t xml:space="preserve"> </w:t>
            </w:r>
          </w:p>
        </w:tc>
        <w:tc>
          <w:tcPr>
            <w:tcW w:w="517" w:type="pct"/>
            <w:vAlign w:val="center"/>
          </w:tcPr>
          <w:p w14:paraId="730C4008"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cs="Calibri"/>
                <w:b/>
                <w:bCs/>
                <w:color w:val="000000"/>
                <w:sz w:val="16"/>
                <w:szCs w:val="16"/>
              </w:rPr>
              <w:t xml:space="preserve">      </w:t>
            </w:r>
            <w:r w:rsidRPr="00AB3B90">
              <w:rPr>
                <w:rFonts w:cs="Calibri"/>
                <w:b/>
                <w:color w:val="000000"/>
                <w:sz w:val="16"/>
                <w:szCs w:val="16"/>
              </w:rPr>
              <w:t>74.7</w:t>
            </w:r>
            <w:r w:rsidRPr="00AB3B90">
              <w:rPr>
                <w:rFonts w:cs="Calibri"/>
                <w:b/>
                <w:bCs/>
                <w:color w:val="000000"/>
                <w:sz w:val="16"/>
                <w:szCs w:val="16"/>
              </w:rPr>
              <w:t xml:space="preserve"> </w:t>
            </w:r>
          </w:p>
        </w:tc>
        <w:tc>
          <w:tcPr>
            <w:tcW w:w="517" w:type="pct"/>
            <w:vAlign w:val="center"/>
          </w:tcPr>
          <w:p w14:paraId="3801755B"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cs="Calibri"/>
                <w:b/>
                <w:bCs/>
                <w:color w:val="000000"/>
                <w:sz w:val="16"/>
                <w:szCs w:val="16"/>
              </w:rPr>
              <w:t xml:space="preserve">      </w:t>
            </w:r>
            <w:r w:rsidRPr="00AB3B90">
              <w:rPr>
                <w:rFonts w:cs="Calibri"/>
                <w:b/>
                <w:color w:val="000000"/>
                <w:sz w:val="16"/>
                <w:szCs w:val="16"/>
              </w:rPr>
              <w:t>74.6</w:t>
            </w:r>
            <w:r w:rsidRPr="00AB3B90">
              <w:rPr>
                <w:rFonts w:cs="Calibri"/>
                <w:b/>
                <w:bCs/>
                <w:color w:val="000000"/>
                <w:sz w:val="16"/>
                <w:szCs w:val="16"/>
              </w:rPr>
              <w:t xml:space="preserve"> </w:t>
            </w:r>
          </w:p>
        </w:tc>
        <w:tc>
          <w:tcPr>
            <w:tcW w:w="517" w:type="pct"/>
            <w:vAlign w:val="center"/>
          </w:tcPr>
          <w:p w14:paraId="2B00070A"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cs="Calibri"/>
                <w:b/>
                <w:bCs/>
                <w:color w:val="000000"/>
                <w:sz w:val="16"/>
                <w:szCs w:val="16"/>
              </w:rPr>
              <w:t xml:space="preserve">      </w:t>
            </w:r>
            <w:r w:rsidRPr="00AB3B90">
              <w:rPr>
                <w:rFonts w:cs="Calibri"/>
                <w:b/>
                <w:color w:val="000000"/>
                <w:sz w:val="16"/>
                <w:szCs w:val="16"/>
              </w:rPr>
              <w:t>76.8</w:t>
            </w:r>
            <w:r w:rsidRPr="00AB3B90">
              <w:rPr>
                <w:rFonts w:cs="Calibri"/>
                <w:b/>
                <w:bCs/>
                <w:color w:val="000000"/>
                <w:sz w:val="16"/>
                <w:szCs w:val="16"/>
              </w:rPr>
              <w:t xml:space="preserve"> </w:t>
            </w:r>
          </w:p>
        </w:tc>
        <w:tc>
          <w:tcPr>
            <w:tcW w:w="516" w:type="pct"/>
            <w:vAlign w:val="center"/>
          </w:tcPr>
          <w:p w14:paraId="3B1AE273"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cs="Calibri"/>
                <w:b/>
                <w:bCs/>
                <w:color w:val="000000"/>
                <w:sz w:val="16"/>
                <w:szCs w:val="16"/>
              </w:rPr>
              <w:t xml:space="preserve">      </w:t>
            </w:r>
            <w:r w:rsidRPr="00AB3B90">
              <w:rPr>
                <w:rFonts w:cs="Calibri"/>
                <w:b/>
                <w:color w:val="000000"/>
                <w:sz w:val="16"/>
                <w:szCs w:val="16"/>
              </w:rPr>
              <w:t>76.4</w:t>
            </w:r>
            <w:r w:rsidRPr="00AB3B90">
              <w:rPr>
                <w:rFonts w:cs="Calibri"/>
                <w:b/>
                <w:bCs/>
                <w:color w:val="000000"/>
                <w:sz w:val="16"/>
                <w:szCs w:val="16"/>
              </w:rPr>
              <w:t xml:space="preserve"> </w:t>
            </w:r>
          </w:p>
        </w:tc>
        <w:tc>
          <w:tcPr>
            <w:tcW w:w="514" w:type="pct"/>
            <w:vAlign w:val="center"/>
          </w:tcPr>
          <w:p w14:paraId="116E2B20" w14:textId="77777777" w:rsidR="00142AD8" w:rsidRPr="00AB3B90" w:rsidRDefault="00142AD8" w:rsidP="004A0646">
            <w:pPr>
              <w:spacing w:before="100" w:beforeAutospacing="1" w:line="240" w:lineRule="auto"/>
              <w:jc w:val="right"/>
              <w:rPr>
                <w:rFonts w:asciiTheme="majorHAnsi" w:hAnsiTheme="majorHAnsi" w:cs="Calibri"/>
                <w:b/>
                <w:bCs/>
                <w:color w:val="000000"/>
                <w:sz w:val="16"/>
                <w:szCs w:val="16"/>
              </w:rPr>
            </w:pPr>
            <w:r w:rsidRPr="00E37ADA">
              <w:rPr>
                <w:rFonts w:cs="Calibri"/>
                <w:b/>
                <w:bCs/>
                <w:color w:val="000000"/>
                <w:sz w:val="16"/>
                <w:szCs w:val="16"/>
              </w:rPr>
              <w:t xml:space="preserve">      74.6 </w:t>
            </w:r>
          </w:p>
        </w:tc>
      </w:tr>
      <w:tr w:rsidR="00142AD8" w:rsidRPr="00AB3B90" w14:paraId="143DE231" w14:textId="77777777" w:rsidTr="00E37ADA">
        <w:trPr>
          <w:trHeight w:val="57"/>
        </w:trPr>
        <w:tc>
          <w:tcPr>
            <w:tcW w:w="1902" w:type="pct"/>
          </w:tcPr>
          <w:p w14:paraId="22E0C47E" w14:textId="77777777" w:rsidR="00142AD8" w:rsidRPr="00AB3B90" w:rsidRDefault="00142AD8" w:rsidP="004A0646">
            <w:pPr>
              <w:spacing w:before="100" w:beforeAutospacing="1" w:line="240" w:lineRule="auto"/>
              <w:ind w:left="720"/>
              <w:rPr>
                <w:rFonts w:asciiTheme="majorHAnsi" w:hAnsiTheme="majorHAnsi"/>
                <w:sz w:val="16"/>
                <w:szCs w:val="16"/>
              </w:rPr>
            </w:pPr>
            <w:r w:rsidRPr="00AB3B90">
              <w:rPr>
                <w:rFonts w:asciiTheme="majorHAnsi" w:hAnsiTheme="majorHAnsi"/>
                <w:sz w:val="16"/>
                <w:szCs w:val="16"/>
              </w:rPr>
              <w:t>Teaching staff salaries (%)</w:t>
            </w:r>
          </w:p>
        </w:tc>
        <w:tc>
          <w:tcPr>
            <w:tcW w:w="517" w:type="pct"/>
            <w:vAlign w:val="center"/>
          </w:tcPr>
          <w:p w14:paraId="23DECD86"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48.7 </w:t>
            </w:r>
          </w:p>
        </w:tc>
        <w:tc>
          <w:tcPr>
            <w:tcW w:w="517" w:type="pct"/>
            <w:vAlign w:val="center"/>
          </w:tcPr>
          <w:p w14:paraId="357F468D"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48.0 </w:t>
            </w:r>
          </w:p>
        </w:tc>
        <w:tc>
          <w:tcPr>
            <w:tcW w:w="517" w:type="pct"/>
            <w:vAlign w:val="center"/>
          </w:tcPr>
          <w:p w14:paraId="6EC263E4"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47.5 </w:t>
            </w:r>
          </w:p>
        </w:tc>
        <w:tc>
          <w:tcPr>
            <w:tcW w:w="517" w:type="pct"/>
            <w:vAlign w:val="center"/>
          </w:tcPr>
          <w:p w14:paraId="327F0569"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48.3 </w:t>
            </w:r>
          </w:p>
        </w:tc>
        <w:tc>
          <w:tcPr>
            <w:tcW w:w="516" w:type="pct"/>
            <w:vAlign w:val="center"/>
          </w:tcPr>
          <w:p w14:paraId="4DFF500E"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48.3 </w:t>
            </w:r>
          </w:p>
        </w:tc>
        <w:tc>
          <w:tcPr>
            <w:tcW w:w="514" w:type="pct"/>
            <w:vAlign w:val="center"/>
          </w:tcPr>
          <w:p w14:paraId="56AF0ACB" w14:textId="77777777" w:rsidR="00142AD8" w:rsidRPr="00AB3B90" w:rsidRDefault="00142AD8" w:rsidP="004A0646">
            <w:pPr>
              <w:spacing w:before="100" w:beforeAutospacing="1" w:line="240" w:lineRule="auto"/>
              <w:jc w:val="right"/>
              <w:rPr>
                <w:rFonts w:asciiTheme="majorHAnsi" w:hAnsiTheme="majorHAnsi" w:cs="Calibri"/>
                <w:color w:val="000000"/>
                <w:sz w:val="16"/>
                <w:szCs w:val="16"/>
              </w:rPr>
            </w:pPr>
            <w:r w:rsidRPr="00E37ADA">
              <w:rPr>
                <w:rFonts w:cs="Calibri"/>
                <w:color w:val="000000"/>
                <w:sz w:val="16"/>
                <w:szCs w:val="16"/>
              </w:rPr>
              <w:t xml:space="preserve">       46.6 </w:t>
            </w:r>
          </w:p>
        </w:tc>
      </w:tr>
      <w:tr w:rsidR="00142AD8" w:rsidRPr="00AB3B90" w14:paraId="13F22C1A" w14:textId="77777777" w:rsidTr="00E37ADA">
        <w:trPr>
          <w:trHeight w:val="57"/>
        </w:trPr>
        <w:tc>
          <w:tcPr>
            <w:tcW w:w="1902" w:type="pct"/>
          </w:tcPr>
          <w:p w14:paraId="251B407A" w14:textId="77777777" w:rsidR="00142AD8" w:rsidRPr="00AB3B90" w:rsidRDefault="00142AD8" w:rsidP="004A0646">
            <w:pPr>
              <w:spacing w:before="100" w:beforeAutospacing="1" w:line="240" w:lineRule="auto"/>
              <w:ind w:left="663"/>
              <w:rPr>
                <w:rFonts w:asciiTheme="majorHAnsi" w:hAnsiTheme="majorHAnsi"/>
                <w:sz w:val="16"/>
                <w:szCs w:val="16"/>
              </w:rPr>
            </w:pPr>
            <w:r w:rsidRPr="00AB3B90">
              <w:rPr>
                <w:rFonts w:asciiTheme="majorHAnsi" w:hAnsiTheme="majorHAnsi"/>
                <w:sz w:val="16"/>
                <w:szCs w:val="16"/>
              </w:rPr>
              <w:t>Non-teaching staff salaries (%)</w:t>
            </w:r>
          </w:p>
        </w:tc>
        <w:tc>
          <w:tcPr>
            <w:tcW w:w="517" w:type="pct"/>
            <w:vAlign w:val="center"/>
          </w:tcPr>
          <w:p w14:paraId="21855786"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16.0 </w:t>
            </w:r>
          </w:p>
        </w:tc>
        <w:tc>
          <w:tcPr>
            <w:tcW w:w="517" w:type="pct"/>
            <w:vAlign w:val="center"/>
          </w:tcPr>
          <w:p w14:paraId="137B62EF"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16.3 </w:t>
            </w:r>
          </w:p>
        </w:tc>
        <w:tc>
          <w:tcPr>
            <w:tcW w:w="517" w:type="pct"/>
            <w:vAlign w:val="center"/>
          </w:tcPr>
          <w:p w14:paraId="7F8F2796"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16.5 </w:t>
            </w:r>
          </w:p>
        </w:tc>
        <w:tc>
          <w:tcPr>
            <w:tcW w:w="517" w:type="pct"/>
            <w:vAlign w:val="center"/>
          </w:tcPr>
          <w:p w14:paraId="31EEB19C"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17.4 </w:t>
            </w:r>
          </w:p>
        </w:tc>
        <w:tc>
          <w:tcPr>
            <w:tcW w:w="516" w:type="pct"/>
            <w:vAlign w:val="center"/>
          </w:tcPr>
          <w:p w14:paraId="2D207AED"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17.4 </w:t>
            </w:r>
          </w:p>
        </w:tc>
        <w:tc>
          <w:tcPr>
            <w:tcW w:w="514" w:type="pct"/>
            <w:vAlign w:val="center"/>
          </w:tcPr>
          <w:p w14:paraId="521893FD" w14:textId="77777777" w:rsidR="00142AD8" w:rsidRPr="00AB3B90" w:rsidRDefault="00142AD8" w:rsidP="004A0646">
            <w:pPr>
              <w:spacing w:before="100" w:beforeAutospacing="1" w:line="240" w:lineRule="auto"/>
              <w:jc w:val="right"/>
              <w:rPr>
                <w:rFonts w:asciiTheme="majorHAnsi" w:hAnsiTheme="majorHAnsi" w:cs="Calibri"/>
                <w:color w:val="000000"/>
                <w:sz w:val="16"/>
                <w:szCs w:val="16"/>
              </w:rPr>
            </w:pPr>
            <w:r w:rsidRPr="00E37ADA">
              <w:rPr>
                <w:rFonts w:cs="Calibri"/>
                <w:color w:val="000000"/>
                <w:sz w:val="16"/>
                <w:szCs w:val="16"/>
              </w:rPr>
              <w:t xml:space="preserve">       17.4 </w:t>
            </w:r>
          </w:p>
        </w:tc>
      </w:tr>
      <w:tr w:rsidR="00142AD8" w:rsidRPr="00AB3B90" w14:paraId="20B1CF8A" w14:textId="77777777" w:rsidTr="00E37ADA">
        <w:trPr>
          <w:trHeight w:val="57"/>
        </w:trPr>
        <w:tc>
          <w:tcPr>
            <w:tcW w:w="1902" w:type="pct"/>
          </w:tcPr>
          <w:p w14:paraId="4C929718" w14:textId="77777777" w:rsidR="00142AD8" w:rsidRPr="00AB3B90" w:rsidRDefault="00142AD8" w:rsidP="004A0646">
            <w:pPr>
              <w:spacing w:before="100" w:beforeAutospacing="1" w:line="240" w:lineRule="auto"/>
              <w:ind w:left="663"/>
              <w:rPr>
                <w:rFonts w:asciiTheme="majorHAnsi" w:hAnsiTheme="majorHAnsi"/>
                <w:sz w:val="16"/>
                <w:szCs w:val="16"/>
              </w:rPr>
            </w:pPr>
            <w:r w:rsidRPr="00AB3B90">
              <w:rPr>
                <w:rFonts w:asciiTheme="majorHAnsi" w:hAnsiTheme="majorHAnsi"/>
                <w:sz w:val="16"/>
                <w:szCs w:val="16"/>
              </w:rPr>
              <w:t>Staff related expenditure (%)</w:t>
            </w:r>
          </w:p>
        </w:tc>
        <w:tc>
          <w:tcPr>
            <w:tcW w:w="517" w:type="pct"/>
            <w:vAlign w:val="center"/>
          </w:tcPr>
          <w:p w14:paraId="2EBB4FA8"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10.2 </w:t>
            </w:r>
          </w:p>
        </w:tc>
        <w:tc>
          <w:tcPr>
            <w:tcW w:w="517" w:type="pct"/>
            <w:vAlign w:val="center"/>
          </w:tcPr>
          <w:p w14:paraId="62EBB500"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10.4 </w:t>
            </w:r>
          </w:p>
        </w:tc>
        <w:tc>
          <w:tcPr>
            <w:tcW w:w="517" w:type="pct"/>
            <w:vAlign w:val="center"/>
          </w:tcPr>
          <w:p w14:paraId="078B9A18"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10.6 </w:t>
            </w:r>
          </w:p>
        </w:tc>
        <w:tc>
          <w:tcPr>
            <w:tcW w:w="517" w:type="pct"/>
            <w:vAlign w:val="center"/>
          </w:tcPr>
          <w:p w14:paraId="11A33D13"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11.1 </w:t>
            </w:r>
          </w:p>
        </w:tc>
        <w:tc>
          <w:tcPr>
            <w:tcW w:w="516" w:type="pct"/>
            <w:vAlign w:val="center"/>
          </w:tcPr>
          <w:p w14:paraId="3E6AB7C7"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10.7 </w:t>
            </w:r>
          </w:p>
        </w:tc>
        <w:tc>
          <w:tcPr>
            <w:tcW w:w="514" w:type="pct"/>
            <w:vAlign w:val="center"/>
          </w:tcPr>
          <w:p w14:paraId="1F1917C6" w14:textId="77777777" w:rsidR="00142AD8" w:rsidRPr="00AB3B90" w:rsidRDefault="00142AD8" w:rsidP="004A0646">
            <w:pPr>
              <w:spacing w:before="100" w:beforeAutospacing="1" w:line="240" w:lineRule="auto"/>
              <w:jc w:val="right"/>
              <w:rPr>
                <w:rFonts w:asciiTheme="majorHAnsi" w:hAnsiTheme="majorHAnsi" w:cs="Calibri"/>
                <w:color w:val="000000"/>
                <w:sz w:val="16"/>
                <w:szCs w:val="16"/>
              </w:rPr>
            </w:pPr>
            <w:r w:rsidRPr="00E37ADA">
              <w:rPr>
                <w:rFonts w:cs="Calibri"/>
                <w:color w:val="000000"/>
                <w:sz w:val="16"/>
                <w:szCs w:val="16"/>
              </w:rPr>
              <w:t xml:space="preserve">       10.6 </w:t>
            </w:r>
          </w:p>
        </w:tc>
      </w:tr>
      <w:tr w:rsidR="00142AD8" w:rsidRPr="00AB3B90" w14:paraId="32E24A06" w14:textId="77777777" w:rsidTr="00E37ADA">
        <w:trPr>
          <w:trHeight w:val="57"/>
        </w:trPr>
        <w:tc>
          <w:tcPr>
            <w:tcW w:w="1902" w:type="pct"/>
          </w:tcPr>
          <w:p w14:paraId="607394FB" w14:textId="77777777" w:rsidR="00142AD8" w:rsidRPr="00AB3B90" w:rsidRDefault="00142AD8" w:rsidP="004A0646">
            <w:pPr>
              <w:spacing w:before="100" w:beforeAutospacing="1" w:line="240" w:lineRule="auto"/>
              <w:rPr>
                <w:rFonts w:asciiTheme="majorHAnsi" w:hAnsiTheme="majorHAnsi"/>
                <w:b/>
                <w:sz w:val="16"/>
                <w:szCs w:val="16"/>
              </w:rPr>
            </w:pPr>
            <w:r w:rsidRPr="00AB3B90">
              <w:rPr>
                <w:rFonts w:asciiTheme="majorHAnsi" w:hAnsiTheme="majorHAnsi"/>
                <w:b/>
                <w:sz w:val="16"/>
                <w:szCs w:val="16"/>
              </w:rPr>
              <w:t>Non-salary related expenditure (%)</w:t>
            </w:r>
          </w:p>
        </w:tc>
        <w:tc>
          <w:tcPr>
            <w:tcW w:w="517" w:type="pct"/>
            <w:vAlign w:val="center"/>
          </w:tcPr>
          <w:p w14:paraId="4D2755B2"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cs="Calibri"/>
                <w:b/>
                <w:bCs/>
                <w:color w:val="000000"/>
                <w:sz w:val="16"/>
                <w:szCs w:val="16"/>
              </w:rPr>
              <w:t xml:space="preserve">      </w:t>
            </w:r>
            <w:r w:rsidRPr="00AB3B90">
              <w:rPr>
                <w:rFonts w:cs="Calibri"/>
                <w:b/>
                <w:color w:val="000000"/>
                <w:sz w:val="16"/>
                <w:szCs w:val="16"/>
              </w:rPr>
              <w:t>25.2</w:t>
            </w:r>
            <w:r w:rsidRPr="00AB3B90">
              <w:rPr>
                <w:rFonts w:cs="Calibri"/>
                <w:b/>
                <w:bCs/>
                <w:color w:val="000000"/>
                <w:sz w:val="16"/>
                <w:szCs w:val="16"/>
              </w:rPr>
              <w:t xml:space="preserve"> </w:t>
            </w:r>
          </w:p>
        </w:tc>
        <w:tc>
          <w:tcPr>
            <w:tcW w:w="517" w:type="pct"/>
            <w:vAlign w:val="center"/>
          </w:tcPr>
          <w:p w14:paraId="790F78CF"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cs="Calibri"/>
                <w:b/>
                <w:bCs/>
                <w:color w:val="000000"/>
                <w:sz w:val="16"/>
                <w:szCs w:val="16"/>
              </w:rPr>
              <w:t xml:space="preserve">      </w:t>
            </w:r>
            <w:r w:rsidRPr="00AB3B90">
              <w:rPr>
                <w:rFonts w:cs="Calibri"/>
                <w:b/>
                <w:color w:val="000000"/>
                <w:sz w:val="16"/>
                <w:szCs w:val="16"/>
              </w:rPr>
              <w:t>25.3</w:t>
            </w:r>
            <w:r w:rsidRPr="00AB3B90">
              <w:rPr>
                <w:rFonts w:cs="Calibri"/>
                <w:b/>
                <w:bCs/>
                <w:color w:val="000000"/>
                <w:sz w:val="16"/>
                <w:szCs w:val="16"/>
              </w:rPr>
              <w:t xml:space="preserve"> </w:t>
            </w:r>
          </w:p>
        </w:tc>
        <w:tc>
          <w:tcPr>
            <w:tcW w:w="517" w:type="pct"/>
            <w:vAlign w:val="center"/>
          </w:tcPr>
          <w:p w14:paraId="619A93A9"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cs="Calibri"/>
                <w:b/>
                <w:bCs/>
                <w:color w:val="000000"/>
                <w:sz w:val="16"/>
                <w:szCs w:val="16"/>
              </w:rPr>
              <w:t xml:space="preserve">      </w:t>
            </w:r>
            <w:r w:rsidRPr="00AB3B90">
              <w:rPr>
                <w:rFonts w:cs="Calibri"/>
                <w:b/>
                <w:color w:val="000000"/>
                <w:sz w:val="16"/>
                <w:szCs w:val="16"/>
              </w:rPr>
              <w:t>25.4</w:t>
            </w:r>
            <w:r w:rsidRPr="00AB3B90">
              <w:rPr>
                <w:rFonts w:cs="Calibri"/>
                <w:b/>
                <w:bCs/>
                <w:color w:val="000000"/>
                <w:sz w:val="16"/>
                <w:szCs w:val="16"/>
              </w:rPr>
              <w:t xml:space="preserve"> </w:t>
            </w:r>
          </w:p>
        </w:tc>
        <w:tc>
          <w:tcPr>
            <w:tcW w:w="517" w:type="pct"/>
            <w:vAlign w:val="center"/>
          </w:tcPr>
          <w:p w14:paraId="021F9AFB"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cs="Calibri"/>
                <w:b/>
                <w:bCs/>
                <w:color w:val="000000"/>
                <w:sz w:val="16"/>
                <w:szCs w:val="16"/>
              </w:rPr>
              <w:t xml:space="preserve">      </w:t>
            </w:r>
            <w:r w:rsidRPr="00AB3B90">
              <w:rPr>
                <w:rFonts w:cs="Calibri"/>
                <w:b/>
                <w:color w:val="000000"/>
                <w:sz w:val="16"/>
                <w:szCs w:val="16"/>
              </w:rPr>
              <w:t>23.2</w:t>
            </w:r>
            <w:r w:rsidRPr="00AB3B90">
              <w:rPr>
                <w:rFonts w:cs="Calibri"/>
                <w:b/>
                <w:bCs/>
                <w:color w:val="000000"/>
                <w:sz w:val="16"/>
                <w:szCs w:val="16"/>
              </w:rPr>
              <w:t xml:space="preserve"> </w:t>
            </w:r>
          </w:p>
        </w:tc>
        <w:tc>
          <w:tcPr>
            <w:tcW w:w="516" w:type="pct"/>
            <w:vAlign w:val="center"/>
          </w:tcPr>
          <w:p w14:paraId="118947D5" w14:textId="77777777" w:rsidR="00142AD8" w:rsidRPr="00AB3B90" w:rsidRDefault="00142AD8" w:rsidP="004A0646">
            <w:pPr>
              <w:spacing w:before="100" w:beforeAutospacing="1" w:line="240" w:lineRule="auto"/>
              <w:jc w:val="right"/>
              <w:rPr>
                <w:rFonts w:asciiTheme="majorHAnsi" w:hAnsiTheme="majorHAnsi"/>
                <w:b/>
                <w:sz w:val="16"/>
                <w:szCs w:val="16"/>
              </w:rPr>
            </w:pPr>
            <w:r w:rsidRPr="00AB3B90">
              <w:rPr>
                <w:rFonts w:cs="Calibri"/>
                <w:b/>
                <w:bCs/>
                <w:color w:val="000000"/>
                <w:sz w:val="16"/>
                <w:szCs w:val="16"/>
              </w:rPr>
              <w:t xml:space="preserve">      </w:t>
            </w:r>
            <w:r w:rsidRPr="00AB3B90">
              <w:rPr>
                <w:rFonts w:cs="Calibri"/>
                <w:b/>
                <w:color w:val="000000"/>
                <w:sz w:val="16"/>
                <w:szCs w:val="16"/>
              </w:rPr>
              <w:t>23.6</w:t>
            </w:r>
            <w:r w:rsidRPr="00AB3B90">
              <w:rPr>
                <w:rFonts w:cs="Calibri"/>
                <w:b/>
                <w:bCs/>
                <w:color w:val="000000"/>
                <w:sz w:val="16"/>
                <w:szCs w:val="16"/>
              </w:rPr>
              <w:t xml:space="preserve"> </w:t>
            </w:r>
          </w:p>
        </w:tc>
        <w:tc>
          <w:tcPr>
            <w:tcW w:w="514" w:type="pct"/>
            <w:vAlign w:val="center"/>
          </w:tcPr>
          <w:p w14:paraId="5A957625" w14:textId="77777777" w:rsidR="00142AD8" w:rsidRPr="00AB3B90" w:rsidRDefault="00142AD8" w:rsidP="004A0646">
            <w:pPr>
              <w:spacing w:before="100" w:beforeAutospacing="1" w:line="240" w:lineRule="auto"/>
              <w:jc w:val="right"/>
              <w:rPr>
                <w:rFonts w:asciiTheme="majorHAnsi" w:hAnsiTheme="majorHAnsi" w:cs="Calibri"/>
                <w:b/>
                <w:bCs/>
                <w:color w:val="000000"/>
                <w:sz w:val="16"/>
                <w:szCs w:val="16"/>
              </w:rPr>
            </w:pPr>
            <w:r w:rsidRPr="00E37ADA">
              <w:rPr>
                <w:rFonts w:cs="Calibri"/>
                <w:b/>
                <w:bCs/>
                <w:color w:val="000000"/>
                <w:sz w:val="16"/>
                <w:szCs w:val="16"/>
              </w:rPr>
              <w:t xml:space="preserve">      25.4 </w:t>
            </w:r>
          </w:p>
        </w:tc>
      </w:tr>
      <w:tr w:rsidR="00142AD8" w:rsidRPr="00AB3B90" w14:paraId="03CC9E84" w14:textId="77777777" w:rsidTr="00E37ADA">
        <w:trPr>
          <w:trHeight w:val="57"/>
        </w:trPr>
        <w:tc>
          <w:tcPr>
            <w:tcW w:w="1902" w:type="pct"/>
          </w:tcPr>
          <w:p w14:paraId="2E3EA731" w14:textId="77777777" w:rsidR="00142AD8" w:rsidRPr="00AB3B90" w:rsidRDefault="00142AD8" w:rsidP="004A0646">
            <w:pPr>
              <w:spacing w:before="100" w:beforeAutospacing="1" w:line="240" w:lineRule="auto"/>
              <w:ind w:left="720"/>
              <w:rPr>
                <w:rFonts w:asciiTheme="majorHAnsi" w:hAnsiTheme="majorHAnsi"/>
                <w:sz w:val="16"/>
                <w:szCs w:val="16"/>
              </w:rPr>
            </w:pPr>
            <w:r w:rsidRPr="00AB3B90">
              <w:rPr>
                <w:rFonts w:asciiTheme="majorHAnsi" w:hAnsiTheme="majorHAnsi"/>
                <w:sz w:val="16"/>
                <w:szCs w:val="16"/>
              </w:rPr>
              <w:t>Other operating expenditure (%)</w:t>
            </w:r>
          </w:p>
        </w:tc>
        <w:tc>
          <w:tcPr>
            <w:tcW w:w="517" w:type="pct"/>
            <w:vAlign w:val="center"/>
          </w:tcPr>
          <w:p w14:paraId="34A0C291"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24.0 </w:t>
            </w:r>
          </w:p>
        </w:tc>
        <w:tc>
          <w:tcPr>
            <w:tcW w:w="517" w:type="pct"/>
            <w:vAlign w:val="center"/>
          </w:tcPr>
          <w:p w14:paraId="1654FE42"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24.1 </w:t>
            </w:r>
          </w:p>
        </w:tc>
        <w:tc>
          <w:tcPr>
            <w:tcW w:w="517" w:type="pct"/>
            <w:vAlign w:val="center"/>
          </w:tcPr>
          <w:p w14:paraId="55AAEBB0"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24.1 </w:t>
            </w:r>
          </w:p>
        </w:tc>
        <w:tc>
          <w:tcPr>
            <w:tcW w:w="517" w:type="pct"/>
            <w:vAlign w:val="center"/>
          </w:tcPr>
          <w:p w14:paraId="1920A43E"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22.0 </w:t>
            </w:r>
          </w:p>
        </w:tc>
        <w:tc>
          <w:tcPr>
            <w:tcW w:w="516" w:type="pct"/>
            <w:vAlign w:val="center"/>
          </w:tcPr>
          <w:p w14:paraId="1449A82E"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22.6 </w:t>
            </w:r>
          </w:p>
        </w:tc>
        <w:tc>
          <w:tcPr>
            <w:tcW w:w="514" w:type="pct"/>
            <w:vAlign w:val="center"/>
          </w:tcPr>
          <w:p w14:paraId="68C5B564" w14:textId="77777777" w:rsidR="00142AD8" w:rsidRPr="00AB3B90" w:rsidRDefault="00142AD8" w:rsidP="004A0646">
            <w:pPr>
              <w:spacing w:before="100" w:beforeAutospacing="1" w:line="240" w:lineRule="auto"/>
              <w:jc w:val="right"/>
              <w:rPr>
                <w:rFonts w:asciiTheme="majorHAnsi" w:hAnsiTheme="majorHAnsi" w:cs="Calibri"/>
                <w:color w:val="000000"/>
                <w:sz w:val="16"/>
                <w:szCs w:val="16"/>
              </w:rPr>
            </w:pPr>
            <w:r w:rsidRPr="00E37ADA">
              <w:rPr>
                <w:rFonts w:cs="Calibri"/>
                <w:color w:val="000000"/>
                <w:sz w:val="16"/>
                <w:szCs w:val="16"/>
              </w:rPr>
              <w:t xml:space="preserve">       24.3 </w:t>
            </w:r>
          </w:p>
        </w:tc>
      </w:tr>
      <w:tr w:rsidR="00142AD8" w:rsidRPr="00AB3B90" w14:paraId="07C52DA9" w14:textId="77777777" w:rsidTr="00E37ADA">
        <w:trPr>
          <w:trHeight w:val="57"/>
        </w:trPr>
        <w:tc>
          <w:tcPr>
            <w:tcW w:w="1902" w:type="pct"/>
          </w:tcPr>
          <w:p w14:paraId="5BE9D19E" w14:textId="77777777" w:rsidR="00142AD8" w:rsidRPr="00AB3B90" w:rsidRDefault="00142AD8" w:rsidP="004A0646">
            <w:pPr>
              <w:spacing w:before="100" w:beforeAutospacing="1" w:line="240" w:lineRule="auto"/>
              <w:ind w:left="720"/>
              <w:rPr>
                <w:rFonts w:asciiTheme="majorHAnsi" w:hAnsiTheme="majorHAnsi"/>
                <w:sz w:val="16"/>
                <w:szCs w:val="16"/>
              </w:rPr>
            </w:pPr>
            <w:r w:rsidRPr="00AB3B90">
              <w:rPr>
                <w:rFonts w:asciiTheme="majorHAnsi" w:hAnsiTheme="majorHAnsi"/>
                <w:sz w:val="16"/>
                <w:szCs w:val="16"/>
              </w:rPr>
              <w:t>Debt servicing (%)</w:t>
            </w:r>
          </w:p>
        </w:tc>
        <w:tc>
          <w:tcPr>
            <w:tcW w:w="517" w:type="pct"/>
            <w:vAlign w:val="center"/>
          </w:tcPr>
          <w:p w14:paraId="341B85EC"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1.3 </w:t>
            </w:r>
          </w:p>
        </w:tc>
        <w:tc>
          <w:tcPr>
            <w:tcW w:w="517" w:type="pct"/>
            <w:vAlign w:val="center"/>
          </w:tcPr>
          <w:p w14:paraId="1EED7B50"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1.2 </w:t>
            </w:r>
          </w:p>
        </w:tc>
        <w:tc>
          <w:tcPr>
            <w:tcW w:w="517" w:type="pct"/>
            <w:vAlign w:val="center"/>
          </w:tcPr>
          <w:p w14:paraId="17A077F8"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1.3 </w:t>
            </w:r>
          </w:p>
        </w:tc>
        <w:tc>
          <w:tcPr>
            <w:tcW w:w="517" w:type="pct"/>
            <w:vAlign w:val="center"/>
          </w:tcPr>
          <w:p w14:paraId="022718A6"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1.1 </w:t>
            </w:r>
          </w:p>
        </w:tc>
        <w:tc>
          <w:tcPr>
            <w:tcW w:w="516" w:type="pct"/>
            <w:vAlign w:val="center"/>
          </w:tcPr>
          <w:p w14:paraId="30E94A95" w14:textId="77777777" w:rsidR="00142AD8" w:rsidRPr="00AB3B90" w:rsidRDefault="00142AD8" w:rsidP="004A0646">
            <w:pPr>
              <w:spacing w:before="100" w:beforeAutospacing="1" w:line="240" w:lineRule="auto"/>
              <w:jc w:val="right"/>
              <w:rPr>
                <w:rFonts w:asciiTheme="majorHAnsi" w:hAnsiTheme="majorHAnsi"/>
                <w:sz w:val="16"/>
                <w:szCs w:val="16"/>
              </w:rPr>
            </w:pPr>
            <w:r w:rsidRPr="00AB3B90">
              <w:rPr>
                <w:rFonts w:cs="Calibri"/>
                <w:color w:val="000000"/>
                <w:sz w:val="16"/>
                <w:szCs w:val="16"/>
              </w:rPr>
              <w:t xml:space="preserve">         1.0 </w:t>
            </w:r>
          </w:p>
        </w:tc>
        <w:tc>
          <w:tcPr>
            <w:tcW w:w="514" w:type="pct"/>
            <w:vAlign w:val="center"/>
          </w:tcPr>
          <w:p w14:paraId="00DF0B67" w14:textId="77777777" w:rsidR="00142AD8" w:rsidRPr="00AB3B90" w:rsidRDefault="00142AD8" w:rsidP="004A0646">
            <w:pPr>
              <w:spacing w:before="100" w:beforeAutospacing="1" w:line="240" w:lineRule="auto"/>
              <w:jc w:val="right"/>
              <w:rPr>
                <w:rFonts w:asciiTheme="majorHAnsi" w:hAnsiTheme="majorHAnsi" w:cs="Calibri"/>
                <w:color w:val="000000"/>
                <w:sz w:val="16"/>
                <w:szCs w:val="16"/>
              </w:rPr>
            </w:pPr>
            <w:r w:rsidRPr="00E37ADA">
              <w:rPr>
                <w:rFonts w:cs="Calibri"/>
                <w:color w:val="000000"/>
                <w:sz w:val="16"/>
                <w:szCs w:val="16"/>
              </w:rPr>
              <w:t xml:space="preserve">         1.1 </w:t>
            </w:r>
          </w:p>
        </w:tc>
      </w:tr>
    </w:tbl>
    <w:bookmarkEnd w:id="69"/>
    <w:p w14:paraId="3D0D39AE" w14:textId="77777777" w:rsidR="00AE22E7" w:rsidRPr="00AB3B90" w:rsidRDefault="00C00E74" w:rsidP="00AE22E7">
      <w:pPr>
        <w:pStyle w:val="Source"/>
        <w:spacing w:line="240" w:lineRule="auto"/>
      </w:pPr>
      <w:r w:rsidRPr="00AB3B90">
        <w:rPr>
          <w:lang w:eastAsia="en-AU"/>
        </w:rPr>
        <w:t xml:space="preserve">Source: </w:t>
      </w:r>
      <w:r w:rsidR="0036254A" w:rsidRPr="00AB3B90">
        <w:t xml:space="preserve">Deloitte Access Economics (2024) and Australian Curriculum Assessment and Reporting Authority, </w:t>
      </w:r>
      <w:r w:rsidR="0036254A" w:rsidRPr="00AB3B90">
        <w:rPr>
          <w:i/>
        </w:rPr>
        <w:t xml:space="preserve">Non-government schools’ income and expenditure </w:t>
      </w:r>
      <w:r w:rsidR="00AE22E7" w:rsidRPr="00E37ADA">
        <w:t>2022)</w:t>
      </w:r>
      <w:r w:rsidR="00AE22E7" w:rsidRPr="00AB3B90">
        <w:t xml:space="preserve"> &lt;</w:t>
      </w:r>
      <w:r w:rsidR="00AE22E7" w:rsidRPr="00E37ADA">
        <w:t>https://www.acara.edu.au/reporting/national-report-on-schooling-in-australia/school-expenditure</w:t>
      </w:r>
      <w:r w:rsidR="00AE22E7" w:rsidRPr="00AB3B90">
        <w:t>&gt;.</w:t>
      </w:r>
    </w:p>
    <w:p w14:paraId="331F540D" w14:textId="1DA1E1CA" w:rsidR="002660E4" w:rsidRPr="00AB3B90" w:rsidRDefault="00900BD8" w:rsidP="002660E4">
      <w:r w:rsidRPr="00AB3B90">
        <w:rPr>
          <w:noProof/>
        </w:rPr>
        <mc:AlternateContent>
          <mc:Choice Requires="wps">
            <w:drawing>
              <wp:inline distT="0" distB="0" distL="0" distR="0" wp14:anchorId="1530904E" wp14:editId="403813D3">
                <wp:extent cx="5657850" cy="3552825"/>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552825"/>
                        </a:xfrm>
                        <a:prstGeom prst="rect">
                          <a:avLst/>
                        </a:prstGeom>
                        <a:solidFill>
                          <a:srgbClr val="FFFFFF"/>
                        </a:solidFill>
                        <a:ln w="9525">
                          <a:solidFill>
                            <a:srgbClr val="000000"/>
                          </a:solidFill>
                          <a:miter lim="800000"/>
                          <a:headEnd/>
                          <a:tailEnd/>
                        </a:ln>
                      </wps:spPr>
                      <wps:txbx>
                        <w:txbxContent>
                          <w:p w14:paraId="5E66F463" w14:textId="77777777" w:rsidR="00900BD8" w:rsidRDefault="00900BD8" w:rsidP="009F66CD">
                            <w:pPr>
                              <w:pStyle w:val="Heading3"/>
                            </w:pPr>
                            <w:r>
                              <w:t xml:space="preserve">Box 1: Comparison </w:t>
                            </w:r>
                            <w:r w:rsidDel="0032252D">
                              <w:t xml:space="preserve">of </w:t>
                            </w:r>
                            <w:r>
                              <w:t>NSSC data and stakeholder data</w:t>
                            </w:r>
                          </w:p>
                          <w:p w14:paraId="2EBA6DF5" w14:textId="77777777" w:rsidR="00900BD8" w:rsidRDefault="00900BD8" w:rsidP="00DE248A">
                            <w:r>
                              <w:t xml:space="preserve">Stakeholder </w:t>
                            </w:r>
                            <w:r w:rsidRPr="00522145">
                              <w:t xml:space="preserve">data from states and territories reveals differences in the ratio of salary-related and non-salary-related expenses compared to publicly available </w:t>
                            </w:r>
                            <w:r>
                              <w:t xml:space="preserve">NSSC </w:t>
                            </w:r>
                            <w:r w:rsidRPr="00522145">
                              <w:t>data</w:t>
                            </w:r>
                            <w:r>
                              <w:t xml:space="preserve"> retrieved from ACARA</w:t>
                            </w:r>
                            <w:r w:rsidRPr="00522145">
                              <w:t xml:space="preserve">. </w:t>
                            </w:r>
                            <w:r>
                              <w:t>S</w:t>
                            </w:r>
                            <w:r w:rsidRPr="00522145">
                              <w:t>takeholder-provided data</w:t>
                            </w:r>
                            <w:r>
                              <w:t xml:space="preserve"> are b</w:t>
                            </w:r>
                            <w:r w:rsidRPr="00522145">
                              <w:t xml:space="preserve">ased on calendar years, </w:t>
                            </w:r>
                            <w:r>
                              <w:t xml:space="preserve">while NSSC publishes </w:t>
                            </w:r>
                            <w:r w:rsidRPr="00522145">
                              <w:t>financial</w:t>
                            </w:r>
                            <w:r>
                              <w:t>-</w:t>
                            </w:r>
                            <w:r w:rsidRPr="00522145">
                              <w:t xml:space="preserve">year data, contributing to observed variations in expenditure shares. </w:t>
                            </w:r>
                          </w:p>
                          <w:p w14:paraId="2AC5A549" w14:textId="298B5711" w:rsidR="00900BD8" w:rsidRDefault="00900BD8" w:rsidP="00DE248A">
                            <w:r>
                              <w:t xml:space="preserve">A request for clarification to states and territories was made to better understand these discrepancies. </w:t>
                            </w:r>
                            <w:r w:rsidRPr="00E408A3">
                              <w:t xml:space="preserve">Stakeholders emphasised that there is a different collection method for stakeholder data (based on </w:t>
                            </w:r>
                            <w:r w:rsidRPr="00A31722">
                              <w:rPr>
                                <w:i/>
                                <w:iCs/>
                              </w:rPr>
                              <w:t>MySchool</w:t>
                            </w:r>
                            <w:r w:rsidRPr="00E408A3">
                              <w:t xml:space="preserve"> </w:t>
                            </w:r>
                            <w:r w:rsidR="00C26DBB" w:rsidRPr="00C26DBB">
                              <w:t xml:space="preserve">full-time equivalent (FTE) </w:t>
                            </w:r>
                            <w:r w:rsidRPr="00E408A3">
                              <w:t>data) and NSSC, and therefore data from the two sources are not directly comparable. One stakeholder provided a table which outlines the main differences with how costs are captured between stakeholder data and NSSC</w:t>
                            </w:r>
                            <w:r w:rsidR="00B53D67">
                              <w:t xml:space="preserve"> (detailed on </w:t>
                            </w:r>
                            <w:r w:rsidR="00AA0FA3">
                              <w:t xml:space="preserve">next </w:t>
                            </w:r>
                            <w:r w:rsidR="00B53D67">
                              <w:t>page).</w:t>
                            </w:r>
                          </w:p>
                          <w:p w14:paraId="039B54D1" w14:textId="77777777" w:rsidR="00B53D67" w:rsidRPr="00B53D67" w:rsidRDefault="00B53D67" w:rsidP="00B53D67">
                            <w:r w:rsidRPr="00B53D67">
                              <w:t xml:space="preserve">Despite variations in expenditure distribution for individual states and territories between different data sources, the average across all states and territories that provided data remains generally consistent, with variances of less than 2 per cent between data sources. </w:t>
                            </w:r>
                          </w:p>
                          <w:p w14:paraId="791194B6" w14:textId="77777777" w:rsidR="00B53D67" w:rsidRPr="00B53D67" w:rsidRDefault="00B53D67" w:rsidP="00B53D67">
                            <w:r w:rsidRPr="00B53D67">
                              <w:t xml:space="preserve">NSSC data is therefore the primary basis for expenditure proportions in this Report, for consistency and because it is publicly available.  </w:t>
                            </w:r>
                          </w:p>
                          <w:p w14:paraId="0BA08DF6" w14:textId="77777777" w:rsidR="00B53D67" w:rsidRDefault="00B53D67" w:rsidP="00DE248A"/>
                        </w:txbxContent>
                      </wps:txbx>
                      <wps:bodyPr rot="0" vert="horz" wrap="square" lIns="91440" tIns="45720" rIns="91440" bIns="45720" anchor="t" anchorCtr="0">
                        <a:noAutofit/>
                      </wps:bodyPr>
                    </wps:wsp>
                  </a:graphicData>
                </a:graphic>
              </wp:inline>
            </w:drawing>
          </mc:Choice>
          <mc:Fallback>
            <w:pict>
              <v:shapetype w14:anchorId="1530904E" id="_x0000_t202" coordsize="21600,21600" o:spt="202" path="m,l,21600r21600,l21600,xe">
                <v:stroke joinstyle="miter"/>
                <v:path gradientshapeok="t" o:connecttype="rect"/>
              </v:shapetype>
              <v:shape id="Text Box 2" o:spid="_x0000_s1026" type="#_x0000_t202" style="width:445.5pt;height:27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4uVDwIAACAEAAAOAAAAZHJzL2Uyb0RvYy54bWysU9tu2zAMfR+wfxD0vjjJ4jY14hRdugwD&#10;ugvQ7QNoWY6FyaImKbG7ry+luGl2wR6G6UEgReqQPCRX10On2UE6r9CUfDaZciaNwFqZXcm/ftm+&#10;WnLmA5gaNBpZ8gfp+fX65YtVbws5xxZ1LR0jEOOL3pa8DcEWWeZFKzvwE7TSkLFB10Eg1e2y2kFP&#10;6J3O5tPpRdajq61DIb2n19ujka8TftNIET41jZeB6ZJTbiHdLt1VvLP1CoqdA9sqMaYB/5BFB8pQ&#10;0BPULQRge6d+g+qUcOixCROBXYZNo4RMNVA1s+kv1dy3YGWqhcjx9kST/3+w4uPh3n52LAxvcKAG&#10;piK8vUPxzTODmxbMTt44h30roabAs0hZ1ltfjF8j1b7wEaTqP2BNTYZ9wAQ0NK6LrFCdjNCpAQ8n&#10;0uUQmKDH/CK/XOZkEmR7nefz5TxPMaB4+m6dD+8kdiwKJXfU1QQPhzsfYjpQPLnEaB61qrdK66S4&#10;XbXRjh2AJmCbzoj+k5s2rC/5VU6x/w4xTedPEJ0KNMpadSVfnpygiLy9NXUatABKH2VKWZuRyMjd&#10;kcUwVAM5RkIrrB+IUofHkaUVI6FF94Oznsa15P77HpzkTL831Jar2WIR5zspi/xyToo7t1TnFjCC&#10;oEoeODuKm5B2IpZu8Iba16hE7HMmY640honvcWXinJ/ryet5sdePAAAA//8DAFBLAwQUAAYACAAA&#10;ACEADqfNIdwAAAAFAQAADwAAAGRycy9kb3ducmV2LnhtbEyPwU7DMBBE70j8g7VIXFDrFEhJQpwK&#10;IYHoDVoEVzfeJhHxOthuGv6ehQtcRhrNauZtuZpsL0b0oXOkYDFPQCDVznTUKHjdPswyECFqMrp3&#10;hAq+MMCqOj0pdWHckV5w3MRGcAmFQitoYxwKKUPdotVh7gYkzvbOWx3Z+kYar49cbnt5mSRLaXVH&#10;vNDqAe9brD82B6sgu34a38P66vmtXu77PF7cjI+fXqnzs+nuFkTEKf4dww8+o0PFTDt3IBNEr4Af&#10;ib/KWZYv2O4UpGmegqxK+Z+++gYAAP//AwBQSwECLQAUAAYACAAAACEAtoM4kv4AAADhAQAAEwAA&#10;AAAAAAAAAAAAAAAAAAAAW0NvbnRlbnRfVHlwZXNdLnhtbFBLAQItABQABgAIAAAAIQA4/SH/1gAA&#10;AJQBAAALAAAAAAAAAAAAAAAAAC8BAABfcmVscy8ucmVsc1BLAQItABQABgAIAAAAIQAkt4uVDwIA&#10;ACAEAAAOAAAAAAAAAAAAAAAAAC4CAABkcnMvZTJvRG9jLnhtbFBLAQItABQABgAIAAAAIQAOp80h&#10;3AAAAAUBAAAPAAAAAAAAAAAAAAAAAGkEAABkcnMvZG93bnJldi54bWxQSwUGAAAAAAQABADzAAAA&#10;cgUAAAAA&#10;">
                <v:textbox>
                  <w:txbxContent>
                    <w:p w14:paraId="5E66F463" w14:textId="77777777" w:rsidR="00900BD8" w:rsidRDefault="00900BD8" w:rsidP="009F66CD">
                      <w:pPr>
                        <w:pStyle w:val="Heading3"/>
                      </w:pPr>
                      <w:r>
                        <w:t xml:space="preserve">Box 1: Comparison </w:t>
                      </w:r>
                      <w:r w:rsidDel="0032252D">
                        <w:t xml:space="preserve">of </w:t>
                      </w:r>
                      <w:r>
                        <w:t>NSSC data and stakeholder data</w:t>
                      </w:r>
                    </w:p>
                    <w:p w14:paraId="2EBA6DF5" w14:textId="77777777" w:rsidR="00900BD8" w:rsidRDefault="00900BD8" w:rsidP="00DE248A">
                      <w:r>
                        <w:t xml:space="preserve">Stakeholder </w:t>
                      </w:r>
                      <w:r w:rsidRPr="00522145">
                        <w:t xml:space="preserve">data from states and territories reveals differences in the ratio of salary-related and non-salary-related expenses compared to publicly available </w:t>
                      </w:r>
                      <w:r>
                        <w:t xml:space="preserve">NSSC </w:t>
                      </w:r>
                      <w:r w:rsidRPr="00522145">
                        <w:t>data</w:t>
                      </w:r>
                      <w:r>
                        <w:t xml:space="preserve"> retrieved from ACARA</w:t>
                      </w:r>
                      <w:r w:rsidRPr="00522145">
                        <w:t xml:space="preserve">. </w:t>
                      </w:r>
                      <w:r>
                        <w:t>S</w:t>
                      </w:r>
                      <w:r w:rsidRPr="00522145">
                        <w:t>takeholder-provided data</w:t>
                      </w:r>
                      <w:r>
                        <w:t xml:space="preserve"> are b</w:t>
                      </w:r>
                      <w:r w:rsidRPr="00522145">
                        <w:t xml:space="preserve">ased on calendar years, </w:t>
                      </w:r>
                      <w:r>
                        <w:t xml:space="preserve">while NSSC publishes </w:t>
                      </w:r>
                      <w:r w:rsidRPr="00522145">
                        <w:t>financial</w:t>
                      </w:r>
                      <w:r>
                        <w:t>-</w:t>
                      </w:r>
                      <w:r w:rsidRPr="00522145">
                        <w:t xml:space="preserve">year data, contributing to observed variations in expenditure shares. </w:t>
                      </w:r>
                    </w:p>
                    <w:p w14:paraId="2AC5A549" w14:textId="298B5711" w:rsidR="00900BD8" w:rsidRDefault="00900BD8" w:rsidP="00DE248A">
                      <w:r>
                        <w:t xml:space="preserve">A request for clarification to states and territories was made to better understand these discrepancies. </w:t>
                      </w:r>
                      <w:r w:rsidRPr="00E408A3">
                        <w:t xml:space="preserve">Stakeholders emphasised that there is a different collection method for stakeholder data (based on </w:t>
                      </w:r>
                      <w:r w:rsidRPr="00A31722">
                        <w:rPr>
                          <w:i/>
                          <w:iCs/>
                        </w:rPr>
                        <w:t>MySchool</w:t>
                      </w:r>
                      <w:r w:rsidRPr="00E408A3">
                        <w:t xml:space="preserve"> </w:t>
                      </w:r>
                      <w:r w:rsidR="00C26DBB" w:rsidRPr="00C26DBB">
                        <w:t xml:space="preserve">full-time equivalent (FTE) </w:t>
                      </w:r>
                      <w:r w:rsidRPr="00E408A3">
                        <w:t>data) and NSSC, and therefore data from the two sources are not directly comparable. One stakeholder provided a table which outlines the main differences with how costs are captured between stakeholder data and NSSC</w:t>
                      </w:r>
                      <w:r w:rsidR="00B53D67">
                        <w:t xml:space="preserve"> (detailed on </w:t>
                      </w:r>
                      <w:r w:rsidR="00AA0FA3">
                        <w:t xml:space="preserve">next </w:t>
                      </w:r>
                      <w:r w:rsidR="00B53D67">
                        <w:t>page).</w:t>
                      </w:r>
                    </w:p>
                    <w:p w14:paraId="039B54D1" w14:textId="77777777" w:rsidR="00B53D67" w:rsidRPr="00B53D67" w:rsidRDefault="00B53D67" w:rsidP="00B53D67">
                      <w:r w:rsidRPr="00B53D67">
                        <w:t xml:space="preserve">Despite variations in expenditure distribution for individual states and territories between different data sources, the average across all states and territories that provided data remains generally consistent, with variances of less than 2 per cent between data sources. </w:t>
                      </w:r>
                    </w:p>
                    <w:p w14:paraId="791194B6" w14:textId="77777777" w:rsidR="00B53D67" w:rsidRPr="00B53D67" w:rsidRDefault="00B53D67" w:rsidP="00B53D67">
                      <w:r w:rsidRPr="00B53D67">
                        <w:t xml:space="preserve">NSSC data is therefore the primary basis for expenditure proportions in this Report, for consistency and because it is publicly available.  </w:t>
                      </w:r>
                    </w:p>
                    <w:p w14:paraId="0BA08DF6" w14:textId="77777777" w:rsidR="00B53D67" w:rsidRDefault="00B53D67" w:rsidP="00DE248A"/>
                  </w:txbxContent>
                </v:textbox>
                <w10:anchorlock/>
              </v:shape>
            </w:pict>
          </mc:Fallback>
        </mc:AlternateContent>
      </w:r>
      <w:proofErr w:type="gramStart"/>
      <w:r w:rsidR="002660E4" w:rsidRPr="00AB3B90">
        <w:t>In order to</w:t>
      </w:r>
      <w:proofErr w:type="gramEnd"/>
      <w:r w:rsidR="002660E4" w:rsidRPr="00AB3B90">
        <w:t xml:space="preserve"> validate analysis of publicly available</w:t>
      </w:r>
      <w:r w:rsidR="002660E4" w:rsidRPr="00AB3B90" w:rsidDel="00EE1F4A">
        <w:t xml:space="preserve"> </w:t>
      </w:r>
      <w:r w:rsidR="002660E4" w:rsidRPr="00AB3B90">
        <w:t xml:space="preserve">NSSC data, stakeholders were asked to submit high-level information about recurrent expenditure and the ratio of </w:t>
      </w:r>
      <w:r w:rsidR="007E4F28" w:rsidRPr="00AB3B90">
        <w:t>salary</w:t>
      </w:r>
      <w:r w:rsidR="002660E4" w:rsidRPr="00AB3B90">
        <w:t xml:space="preserve"> to non-</w:t>
      </w:r>
      <w:r w:rsidR="006F5EFA" w:rsidRPr="00AB3B90">
        <w:t>salary</w:t>
      </w:r>
      <w:r w:rsidR="002660E4" w:rsidRPr="00AB3B90">
        <w:t xml:space="preserve"> expenditure from 2019 to 2023. Stakeholders were asked to provide data on expenditure on a calendar year basis, including expenditure consistent with what is captured in the </w:t>
      </w:r>
      <w:r w:rsidR="002660E4" w:rsidRPr="00AB3B90">
        <w:rPr>
          <w:i/>
          <w:iCs/>
        </w:rPr>
        <w:t>MySchool</w:t>
      </w:r>
      <w:r w:rsidR="002660E4" w:rsidRPr="00AB3B90">
        <w:t xml:space="preserve"> data collection. As outlined below, this differs in nature to the NSSC and there</w:t>
      </w:r>
      <w:r w:rsidR="002660E4" w:rsidRPr="00AB3B90" w:rsidDel="00FA5546">
        <w:t xml:space="preserve"> </w:t>
      </w:r>
      <w:r w:rsidR="002660E4" w:rsidRPr="00AB3B90">
        <w:t xml:space="preserve">was some variance at the jurisdictional level in the proportions of salary- and non-salary-related expenditure across the two data sets. Further details are discussed in Box </w:t>
      </w:r>
      <w:r w:rsidR="00A31722" w:rsidRPr="00AB3B90">
        <w:t>1</w:t>
      </w:r>
      <w:r w:rsidR="002660E4" w:rsidRPr="00AB3B90">
        <w:t xml:space="preserve"> below.</w:t>
      </w:r>
    </w:p>
    <w:p w14:paraId="53E83BF5" w14:textId="77777777" w:rsidR="002660E4" w:rsidRPr="00AB3B90" w:rsidRDefault="002660E4" w:rsidP="002660E4">
      <w:r w:rsidRPr="00AB3B90">
        <w:rPr>
          <w:noProof/>
        </w:rPr>
        <mc:AlternateContent>
          <mc:Choice Requires="wps">
            <w:drawing>
              <wp:inline distT="0" distB="0" distL="0" distR="0" wp14:anchorId="30825E01" wp14:editId="364D292F">
                <wp:extent cx="5433848" cy="5495925"/>
                <wp:effectExtent l="0" t="0" r="14605" b="28575"/>
                <wp:docPr id="21" name="Rectangle 21"/>
                <wp:cNvGraphicFramePr/>
                <a:graphic xmlns:a="http://schemas.openxmlformats.org/drawingml/2006/main">
                  <a:graphicData uri="http://schemas.microsoft.com/office/word/2010/wordprocessingShape">
                    <wps:wsp>
                      <wps:cNvSpPr/>
                      <wps:spPr bwMode="gray">
                        <a:xfrm>
                          <a:off x="0" y="0"/>
                          <a:ext cx="5433848" cy="5495925"/>
                        </a:xfrm>
                        <a:prstGeom prst="rect">
                          <a:avLst/>
                        </a:prstGeom>
                        <a:solidFill>
                          <a:schemeClr val="bg1">
                            <a:lumMod val="95000"/>
                          </a:schemeClr>
                        </a:solidFill>
                        <a:ln w="12700" algn="ctr">
                          <a:solidFill>
                            <a:schemeClr val="tx1"/>
                          </a:solidFill>
                          <a:miter lim="800000"/>
                          <a:headEnd/>
                          <a:tailEnd/>
                        </a:ln>
                      </wps:spPr>
                      <wps:txbx>
                        <w:txbxContent>
                          <w:p w14:paraId="75465604" w14:textId="5B9FFF83" w:rsidR="002660E4" w:rsidRDefault="002660E4" w:rsidP="00900BD8">
                            <w:pPr>
                              <w:pStyle w:val="BoxHeading-Box"/>
                            </w:pPr>
                            <w:r>
                              <w:t xml:space="preserve"> </w:t>
                            </w:r>
                            <w:r w:rsidR="00900BD8">
                              <w:t>(continued)</w:t>
                            </w:r>
                          </w:p>
                          <w:tbl>
                            <w:tblPr>
                              <w:tblW w:w="8215" w:type="dxa"/>
                              <w:tblInd w:w="-3" w:type="dxa"/>
                              <w:tblCellMar>
                                <w:left w:w="0" w:type="dxa"/>
                                <w:right w:w="0" w:type="dxa"/>
                              </w:tblCellMar>
                              <w:tblLook w:val="04A0" w:firstRow="1" w:lastRow="0" w:firstColumn="1" w:lastColumn="0" w:noHBand="0" w:noVBand="1"/>
                            </w:tblPr>
                            <w:tblGrid>
                              <w:gridCol w:w="2689"/>
                              <w:gridCol w:w="2549"/>
                              <w:gridCol w:w="2977"/>
                            </w:tblGrid>
                            <w:tr w:rsidR="002660E4" w:rsidRPr="001638AE" w14:paraId="2F0FDAF6" w14:textId="77777777" w:rsidTr="001638AE">
                              <w:trPr>
                                <w:trHeight w:val="900"/>
                              </w:trPr>
                              <w:tc>
                                <w:tcPr>
                                  <w:tcW w:w="2689"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vAlign w:val="center"/>
                                  <w:hideMark/>
                                </w:tcPr>
                                <w:p w14:paraId="265ED75C" w14:textId="77777777" w:rsidR="002660E4" w:rsidRPr="001638AE" w:rsidRDefault="002660E4">
                                  <w:pPr>
                                    <w:jc w:val="center"/>
                                    <w:rPr>
                                      <w:sz w:val="20"/>
                                      <w:szCs w:val="20"/>
                                    </w:rPr>
                                  </w:pPr>
                                  <w:r w:rsidRPr="001638AE">
                                    <w:rPr>
                                      <w:b/>
                                      <w:bCs/>
                                      <w:color w:val="000000"/>
                                      <w:sz w:val="20"/>
                                      <w:szCs w:val="20"/>
                                    </w:rPr>
                                    <w:t>Costs</w:t>
                                  </w:r>
                                </w:p>
                              </w:tc>
                              <w:tc>
                                <w:tcPr>
                                  <w:tcW w:w="2549"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1F789A4C" w14:textId="77777777" w:rsidR="002660E4" w:rsidRPr="001638AE" w:rsidRDefault="002660E4">
                                  <w:pPr>
                                    <w:jc w:val="center"/>
                                    <w:rPr>
                                      <w:sz w:val="20"/>
                                      <w:szCs w:val="20"/>
                                    </w:rPr>
                                  </w:pPr>
                                  <w:r w:rsidRPr="001638AE">
                                    <w:rPr>
                                      <w:b/>
                                      <w:bCs/>
                                      <w:color w:val="000000"/>
                                      <w:sz w:val="20"/>
                                      <w:szCs w:val="20"/>
                                    </w:rPr>
                                    <w:t>MySchool Financial Data Collection</w:t>
                                  </w:r>
                                </w:p>
                              </w:tc>
                              <w:tc>
                                <w:tcPr>
                                  <w:tcW w:w="2977"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70C42016" w14:textId="77777777" w:rsidR="002660E4" w:rsidRPr="001638AE" w:rsidRDefault="002660E4">
                                  <w:pPr>
                                    <w:jc w:val="center"/>
                                    <w:rPr>
                                      <w:sz w:val="20"/>
                                      <w:szCs w:val="20"/>
                                    </w:rPr>
                                  </w:pPr>
                                  <w:r w:rsidRPr="001638AE">
                                    <w:rPr>
                                      <w:b/>
                                      <w:bCs/>
                                      <w:color w:val="000000"/>
                                      <w:sz w:val="20"/>
                                      <w:szCs w:val="20"/>
                                    </w:rPr>
                                    <w:t>National Schools Statistic Collection (NSSC)</w:t>
                                  </w:r>
                                </w:p>
                              </w:tc>
                            </w:tr>
                            <w:tr w:rsidR="002660E4" w:rsidRPr="001638AE" w14:paraId="526712DA"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4FE9A9" w14:textId="77777777" w:rsidR="002660E4" w:rsidRPr="001638AE" w:rsidRDefault="002660E4">
                                  <w:pPr>
                                    <w:rPr>
                                      <w:sz w:val="20"/>
                                      <w:szCs w:val="20"/>
                                    </w:rPr>
                                  </w:pPr>
                                  <w:r w:rsidRPr="001638AE">
                                    <w:rPr>
                                      <w:color w:val="000000"/>
                                      <w:sz w:val="20"/>
                                      <w:szCs w:val="20"/>
                                    </w:rPr>
                                    <w:t>Collection data set:</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C3A727" w14:textId="77777777" w:rsidR="002660E4" w:rsidRPr="001638AE" w:rsidRDefault="002660E4">
                                  <w:pPr>
                                    <w:jc w:val="center"/>
                                    <w:rPr>
                                      <w:sz w:val="20"/>
                                      <w:szCs w:val="20"/>
                                    </w:rPr>
                                  </w:pPr>
                                  <w:r w:rsidRPr="001638AE">
                                    <w:rPr>
                                      <w:color w:val="000000"/>
                                      <w:sz w:val="20"/>
                                      <w:szCs w:val="20"/>
                                    </w:rPr>
                                    <w:t>Calendar year data</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043D5" w14:textId="77777777" w:rsidR="002660E4" w:rsidRPr="001638AE" w:rsidRDefault="002660E4">
                                  <w:pPr>
                                    <w:jc w:val="center"/>
                                    <w:rPr>
                                      <w:sz w:val="20"/>
                                      <w:szCs w:val="20"/>
                                    </w:rPr>
                                  </w:pPr>
                                  <w:r w:rsidRPr="001638AE">
                                    <w:rPr>
                                      <w:color w:val="000000"/>
                                      <w:sz w:val="20"/>
                                      <w:szCs w:val="20"/>
                                    </w:rPr>
                                    <w:t>Financial year data</w:t>
                                  </w:r>
                                </w:p>
                              </w:tc>
                            </w:tr>
                            <w:tr w:rsidR="002660E4" w:rsidRPr="001638AE" w14:paraId="0953B75F"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4B122E" w14:textId="77777777" w:rsidR="002660E4" w:rsidRPr="001638AE" w:rsidRDefault="002660E4">
                                  <w:pPr>
                                    <w:rPr>
                                      <w:sz w:val="20"/>
                                      <w:szCs w:val="20"/>
                                    </w:rPr>
                                  </w:pPr>
                                  <w:r w:rsidRPr="001638AE">
                                    <w:rPr>
                                      <w:color w:val="000000"/>
                                      <w:sz w:val="20"/>
                                      <w:szCs w:val="20"/>
                                    </w:rPr>
                                    <w:t>Primary Education</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055882"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215F59" w14:textId="77777777" w:rsidR="002660E4" w:rsidRPr="001638AE" w:rsidRDefault="002660E4">
                                  <w:pPr>
                                    <w:jc w:val="center"/>
                                    <w:rPr>
                                      <w:sz w:val="20"/>
                                      <w:szCs w:val="20"/>
                                    </w:rPr>
                                  </w:pPr>
                                  <w:r w:rsidRPr="001638AE">
                                    <w:rPr>
                                      <w:color w:val="000000"/>
                                      <w:sz w:val="20"/>
                                      <w:szCs w:val="20"/>
                                    </w:rPr>
                                    <w:t>Included</w:t>
                                  </w:r>
                                </w:p>
                              </w:tc>
                            </w:tr>
                            <w:tr w:rsidR="002660E4" w:rsidRPr="001638AE" w14:paraId="79724627"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AE6969" w14:textId="77777777" w:rsidR="002660E4" w:rsidRPr="001638AE" w:rsidRDefault="002660E4">
                                  <w:pPr>
                                    <w:rPr>
                                      <w:sz w:val="20"/>
                                      <w:szCs w:val="20"/>
                                    </w:rPr>
                                  </w:pPr>
                                  <w:r w:rsidRPr="001638AE">
                                    <w:rPr>
                                      <w:color w:val="000000"/>
                                      <w:sz w:val="20"/>
                                      <w:szCs w:val="20"/>
                                    </w:rPr>
                                    <w:t>Secondary Education</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0EE04D"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BFA6E3" w14:textId="77777777" w:rsidR="002660E4" w:rsidRPr="001638AE" w:rsidRDefault="002660E4">
                                  <w:pPr>
                                    <w:jc w:val="center"/>
                                    <w:rPr>
                                      <w:sz w:val="20"/>
                                      <w:szCs w:val="20"/>
                                    </w:rPr>
                                  </w:pPr>
                                  <w:r w:rsidRPr="001638AE">
                                    <w:rPr>
                                      <w:color w:val="000000"/>
                                      <w:sz w:val="20"/>
                                      <w:szCs w:val="20"/>
                                    </w:rPr>
                                    <w:t>Included</w:t>
                                  </w:r>
                                </w:p>
                              </w:tc>
                            </w:tr>
                            <w:tr w:rsidR="002660E4" w:rsidRPr="001638AE" w14:paraId="14268493"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FA3164" w14:textId="77777777" w:rsidR="002660E4" w:rsidRPr="001638AE" w:rsidRDefault="002660E4">
                                  <w:pPr>
                                    <w:rPr>
                                      <w:sz w:val="20"/>
                                      <w:szCs w:val="20"/>
                                    </w:rPr>
                                  </w:pPr>
                                  <w:r w:rsidRPr="001638AE">
                                    <w:rPr>
                                      <w:color w:val="000000"/>
                                      <w:sz w:val="20"/>
                                      <w:szCs w:val="20"/>
                                    </w:rPr>
                                    <w:t>Vet in schools</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45A079"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29FEF4" w14:textId="77777777" w:rsidR="002660E4" w:rsidRPr="001638AE" w:rsidRDefault="002660E4">
                                  <w:pPr>
                                    <w:jc w:val="center"/>
                                    <w:rPr>
                                      <w:sz w:val="20"/>
                                      <w:szCs w:val="20"/>
                                    </w:rPr>
                                  </w:pPr>
                                  <w:r w:rsidRPr="001638AE">
                                    <w:rPr>
                                      <w:color w:val="000000"/>
                                      <w:sz w:val="20"/>
                                      <w:szCs w:val="20"/>
                                    </w:rPr>
                                    <w:t>Included</w:t>
                                  </w:r>
                                </w:p>
                              </w:tc>
                            </w:tr>
                            <w:tr w:rsidR="002660E4" w:rsidRPr="001638AE" w14:paraId="4D9EE1E2" w14:textId="77777777" w:rsidTr="001638AE">
                              <w:trPr>
                                <w:trHeight w:val="300"/>
                              </w:trPr>
                              <w:tc>
                                <w:tcPr>
                                  <w:tcW w:w="2689" w:type="dxa"/>
                                  <w:tcBorders>
                                    <w:top w:val="nil"/>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24B8BC24" w14:textId="77777777" w:rsidR="002660E4" w:rsidRPr="001638AE" w:rsidRDefault="002660E4">
                                  <w:pPr>
                                    <w:rPr>
                                      <w:sz w:val="20"/>
                                      <w:szCs w:val="20"/>
                                    </w:rPr>
                                  </w:pPr>
                                  <w:r w:rsidRPr="001638AE">
                                    <w:rPr>
                                      <w:color w:val="000000"/>
                                      <w:sz w:val="20"/>
                                      <w:szCs w:val="20"/>
                                    </w:rPr>
                                    <w:t>Teacher housing</w:t>
                                  </w:r>
                                </w:p>
                              </w:tc>
                              <w:tc>
                                <w:tcPr>
                                  <w:tcW w:w="2549"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5E168885"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21802F2F" w14:textId="77777777" w:rsidR="002660E4" w:rsidRPr="001638AE" w:rsidRDefault="002660E4">
                                  <w:pPr>
                                    <w:jc w:val="center"/>
                                    <w:rPr>
                                      <w:sz w:val="20"/>
                                      <w:szCs w:val="20"/>
                                    </w:rPr>
                                  </w:pPr>
                                  <w:r w:rsidRPr="001638AE">
                                    <w:rPr>
                                      <w:color w:val="000000"/>
                                      <w:sz w:val="20"/>
                                      <w:szCs w:val="20"/>
                                    </w:rPr>
                                    <w:t>Excluded</w:t>
                                  </w:r>
                                </w:p>
                              </w:tc>
                            </w:tr>
                            <w:tr w:rsidR="002660E4" w:rsidRPr="001638AE" w14:paraId="3A648441" w14:textId="77777777" w:rsidTr="001638AE">
                              <w:trPr>
                                <w:trHeight w:val="300"/>
                              </w:trPr>
                              <w:tc>
                                <w:tcPr>
                                  <w:tcW w:w="2689" w:type="dxa"/>
                                  <w:tcBorders>
                                    <w:top w:val="nil"/>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634C83B3" w14:textId="77777777" w:rsidR="002660E4" w:rsidRPr="001638AE" w:rsidRDefault="002660E4">
                                  <w:pPr>
                                    <w:rPr>
                                      <w:sz w:val="20"/>
                                      <w:szCs w:val="20"/>
                                    </w:rPr>
                                  </w:pPr>
                                  <w:r w:rsidRPr="001638AE">
                                    <w:rPr>
                                      <w:color w:val="000000"/>
                                      <w:sz w:val="20"/>
                                      <w:szCs w:val="20"/>
                                    </w:rPr>
                                    <w:t xml:space="preserve">Payroll tax </w:t>
                                  </w:r>
                                </w:p>
                              </w:tc>
                              <w:tc>
                                <w:tcPr>
                                  <w:tcW w:w="2549"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096559C0"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1030C78F" w14:textId="77777777" w:rsidR="002660E4" w:rsidRPr="001638AE" w:rsidRDefault="002660E4">
                                  <w:pPr>
                                    <w:jc w:val="center"/>
                                    <w:rPr>
                                      <w:sz w:val="20"/>
                                      <w:szCs w:val="20"/>
                                    </w:rPr>
                                  </w:pPr>
                                  <w:r w:rsidRPr="001638AE">
                                    <w:rPr>
                                      <w:color w:val="000000"/>
                                      <w:sz w:val="20"/>
                                      <w:szCs w:val="20"/>
                                    </w:rPr>
                                    <w:t>Included</w:t>
                                  </w:r>
                                </w:p>
                              </w:tc>
                            </w:tr>
                            <w:tr w:rsidR="002660E4" w:rsidRPr="001638AE" w14:paraId="6BDC3606" w14:textId="77777777" w:rsidTr="001638AE">
                              <w:trPr>
                                <w:trHeight w:val="300"/>
                              </w:trPr>
                              <w:tc>
                                <w:tcPr>
                                  <w:tcW w:w="2689" w:type="dxa"/>
                                  <w:tcBorders>
                                    <w:top w:val="nil"/>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3D327A25" w14:textId="77777777" w:rsidR="002660E4" w:rsidRPr="001638AE" w:rsidRDefault="002660E4">
                                  <w:pPr>
                                    <w:rPr>
                                      <w:sz w:val="20"/>
                                      <w:szCs w:val="20"/>
                                    </w:rPr>
                                  </w:pPr>
                                  <w:r w:rsidRPr="001638AE">
                                    <w:rPr>
                                      <w:color w:val="000000"/>
                                      <w:sz w:val="20"/>
                                      <w:szCs w:val="20"/>
                                    </w:rPr>
                                    <w:t>Depreciation</w:t>
                                  </w:r>
                                </w:p>
                              </w:tc>
                              <w:tc>
                                <w:tcPr>
                                  <w:tcW w:w="2549"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5484B0B0"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017B2237" w14:textId="77777777" w:rsidR="002660E4" w:rsidRPr="001638AE" w:rsidRDefault="002660E4">
                                  <w:pPr>
                                    <w:jc w:val="center"/>
                                    <w:rPr>
                                      <w:sz w:val="20"/>
                                      <w:szCs w:val="20"/>
                                    </w:rPr>
                                  </w:pPr>
                                  <w:r w:rsidRPr="001638AE">
                                    <w:rPr>
                                      <w:color w:val="000000"/>
                                      <w:sz w:val="20"/>
                                      <w:szCs w:val="20"/>
                                    </w:rPr>
                                    <w:t>Included</w:t>
                                  </w:r>
                                </w:p>
                              </w:tc>
                            </w:tr>
                            <w:tr w:rsidR="002660E4" w:rsidRPr="001638AE" w14:paraId="6157F3B7" w14:textId="77777777" w:rsidTr="001638AE">
                              <w:trPr>
                                <w:trHeight w:val="300"/>
                              </w:trPr>
                              <w:tc>
                                <w:tcPr>
                                  <w:tcW w:w="2689" w:type="dxa"/>
                                  <w:tcBorders>
                                    <w:top w:val="nil"/>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7A117E29" w14:textId="77777777" w:rsidR="002660E4" w:rsidRPr="001638AE" w:rsidRDefault="002660E4">
                                  <w:pPr>
                                    <w:rPr>
                                      <w:sz w:val="20"/>
                                      <w:szCs w:val="20"/>
                                    </w:rPr>
                                  </w:pPr>
                                  <w:r w:rsidRPr="001638AE">
                                    <w:rPr>
                                      <w:color w:val="000000"/>
                                      <w:sz w:val="20"/>
                                      <w:szCs w:val="20"/>
                                    </w:rPr>
                                    <w:t>Regulatory Expenses</w:t>
                                  </w:r>
                                </w:p>
                              </w:tc>
                              <w:tc>
                                <w:tcPr>
                                  <w:tcW w:w="2549"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0C21EB8D"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0C562F0E" w14:textId="77777777" w:rsidR="002660E4" w:rsidRPr="001638AE" w:rsidRDefault="002660E4">
                                  <w:pPr>
                                    <w:jc w:val="center"/>
                                    <w:rPr>
                                      <w:sz w:val="20"/>
                                      <w:szCs w:val="20"/>
                                    </w:rPr>
                                  </w:pPr>
                                  <w:r w:rsidRPr="001638AE">
                                    <w:rPr>
                                      <w:color w:val="000000"/>
                                      <w:sz w:val="20"/>
                                      <w:szCs w:val="20"/>
                                    </w:rPr>
                                    <w:t>Included</w:t>
                                  </w:r>
                                </w:p>
                              </w:tc>
                            </w:tr>
                            <w:tr w:rsidR="002660E4" w:rsidRPr="001638AE" w14:paraId="25071186"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2DA633" w14:textId="77777777" w:rsidR="002660E4" w:rsidRPr="001638AE" w:rsidRDefault="002660E4">
                                  <w:pPr>
                                    <w:rPr>
                                      <w:sz w:val="20"/>
                                      <w:szCs w:val="20"/>
                                    </w:rPr>
                                  </w:pPr>
                                  <w:r w:rsidRPr="001638AE">
                                    <w:rPr>
                                      <w:color w:val="000000"/>
                                      <w:sz w:val="20"/>
                                      <w:szCs w:val="20"/>
                                    </w:rPr>
                                    <w:t>Boarding</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4DA987"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6D5FF5" w14:textId="77777777" w:rsidR="002660E4" w:rsidRPr="001638AE" w:rsidRDefault="002660E4">
                                  <w:pPr>
                                    <w:jc w:val="center"/>
                                    <w:rPr>
                                      <w:sz w:val="20"/>
                                      <w:szCs w:val="20"/>
                                    </w:rPr>
                                  </w:pPr>
                                  <w:r w:rsidRPr="001638AE">
                                    <w:rPr>
                                      <w:color w:val="000000"/>
                                      <w:sz w:val="20"/>
                                      <w:szCs w:val="20"/>
                                    </w:rPr>
                                    <w:t>Excluded</w:t>
                                  </w:r>
                                </w:p>
                              </w:tc>
                            </w:tr>
                            <w:tr w:rsidR="002660E4" w:rsidRPr="001638AE" w14:paraId="0D9D559B"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37FB27" w14:textId="77777777" w:rsidR="002660E4" w:rsidRPr="001638AE" w:rsidRDefault="002660E4">
                                  <w:pPr>
                                    <w:rPr>
                                      <w:sz w:val="20"/>
                                      <w:szCs w:val="20"/>
                                    </w:rPr>
                                  </w:pPr>
                                  <w:r w:rsidRPr="001638AE">
                                    <w:rPr>
                                      <w:color w:val="000000"/>
                                      <w:sz w:val="20"/>
                                      <w:szCs w:val="20"/>
                                    </w:rPr>
                                    <w:t>Tertiary</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AAC6DB"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9BA889" w14:textId="77777777" w:rsidR="002660E4" w:rsidRPr="001638AE" w:rsidRDefault="002660E4">
                                  <w:pPr>
                                    <w:jc w:val="center"/>
                                    <w:rPr>
                                      <w:sz w:val="20"/>
                                      <w:szCs w:val="20"/>
                                    </w:rPr>
                                  </w:pPr>
                                  <w:r w:rsidRPr="001638AE">
                                    <w:rPr>
                                      <w:color w:val="000000"/>
                                      <w:sz w:val="20"/>
                                      <w:szCs w:val="20"/>
                                    </w:rPr>
                                    <w:t>Excluded</w:t>
                                  </w:r>
                                </w:p>
                              </w:tc>
                            </w:tr>
                            <w:tr w:rsidR="002660E4" w:rsidRPr="001638AE" w14:paraId="4B14AB89" w14:textId="77777777" w:rsidTr="001638AE">
                              <w:trPr>
                                <w:trHeight w:val="300"/>
                              </w:trPr>
                              <w:tc>
                                <w:tcPr>
                                  <w:tcW w:w="2689" w:type="dxa"/>
                                  <w:tcBorders>
                                    <w:top w:val="nil"/>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67E9D9DF" w14:textId="77777777" w:rsidR="002660E4" w:rsidRPr="001638AE" w:rsidRDefault="002660E4">
                                  <w:pPr>
                                    <w:rPr>
                                      <w:sz w:val="20"/>
                                      <w:szCs w:val="20"/>
                                    </w:rPr>
                                  </w:pPr>
                                  <w:r w:rsidRPr="001638AE">
                                    <w:rPr>
                                      <w:color w:val="000000"/>
                                      <w:sz w:val="20"/>
                                      <w:szCs w:val="20"/>
                                    </w:rPr>
                                    <w:t>Student transport</w:t>
                                  </w:r>
                                </w:p>
                              </w:tc>
                              <w:tc>
                                <w:tcPr>
                                  <w:tcW w:w="2549"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1158338E"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7FBE8581" w14:textId="77777777" w:rsidR="002660E4" w:rsidRPr="001638AE" w:rsidRDefault="002660E4">
                                  <w:pPr>
                                    <w:jc w:val="center"/>
                                    <w:rPr>
                                      <w:sz w:val="20"/>
                                      <w:szCs w:val="20"/>
                                    </w:rPr>
                                  </w:pPr>
                                  <w:r w:rsidRPr="001638AE">
                                    <w:rPr>
                                      <w:color w:val="000000"/>
                                      <w:sz w:val="20"/>
                                      <w:szCs w:val="20"/>
                                    </w:rPr>
                                    <w:t>Included</w:t>
                                  </w:r>
                                </w:p>
                              </w:tc>
                            </w:tr>
                            <w:tr w:rsidR="002660E4" w:rsidRPr="001638AE" w14:paraId="0183E342"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058267" w14:textId="77777777" w:rsidR="002660E4" w:rsidRPr="001638AE" w:rsidRDefault="002660E4">
                                  <w:pPr>
                                    <w:rPr>
                                      <w:sz w:val="20"/>
                                      <w:szCs w:val="20"/>
                                    </w:rPr>
                                  </w:pPr>
                                  <w:r w:rsidRPr="001638AE">
                                    <w:rPr>
                                      <w:color w:val="000000"/>
                                      <w:sz w:val="20"/>
                                      <w:szCs w:val="20"/>
                                    </w:rPr>
                                    <w:t>Long Service Leave</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68AF3E"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17A0E3" w14:textId="77777777" w:rsidR="002660E4" w:rsidRPr="001638AE" w:rsidRDefault="002660E4">
                                  <w:pPr>
                                    <w:jc w:val="center"/>
                                    <w:rPr>
                                      <w:sz w:val="20"/>
                                      <w:szCs w:val="20"/>
                                    </w:rPr>
                                  </w:pPr>
                                  <w:r w:rsidRPr="001638AE">
                                    <w:rPr>
                                      <w:color w:val="000000"/>
                                      <w:sz w:val="20"/>
                                      <w:szCs w:val="20"/>
                                    </w:rPr>
                                    <w:t>Included</w:t>
                                  </w:r>
                                </w:p>
                              </w:tc>
                            </w:tr>
                            <w:tr w:rsidR="002660E4" w:rsidRPr="001638AE" w14:paraId="62106662"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B216B2" w14:textId="77777777" w:rsidR="002660E4" w:rsidRPr="001638AE" w:rsidRDefault="002660E4">
                                  <w:pPr>
                                    <w:rPr>
                                      <w:sz w:val="20"/>
                                      <w:szCs w:val="20"/>
                                    </w:rPr>
                                  </w:pPr>
                                  <w:r w:rsidRPr="001638AE">
                                    <w:rPr>
                                      <w:color w:val="000000"/>
                                      <w:sz w:val="20"/>
                                      <w:szCs w:val="20"/>
                                    </w:rPr>
                                    <w:t>Repairs and maintenance</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1D7B97"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1B1564" w14:textId="77777777" w:rsidR="002660E4" w:rsidRPr="001638AE" w:rsidRDefault="002660E4">
                                  <w:pPr>
                                    <w:jc w:val="center"/>
                                    <w:rPr>
                                      <w:sz w:val="20"/>
                                      <w:szCs w:val="20"/>
                                    </w:rPr>
                                  </w:pPr>
                                  <w:r w:rsidRPr="001638AE">
                                    <w:rPr>
                                      <w:color w:val="000000"/>
                                      <w:sz w:val="20"/>
                                      <w:szCs w:val="20"/>
                                    </w:rPr>
                                    <w:t>Included</w:t>
                                  </w:r>
                                </w:p>
                              </w:tc>
                            </w:tr>
                          </w:tbl>
                          <w:p w14:paraId="2A349B43" w14:textId="3AEB9BFA" w:rsidR="002660E4" w:rsidRPr="00845556" w:rsidRDefault="001638AE" w:rsidP="00B53D67">
                            <w:bookmarkStart w:id="70" w:name="_Hlk162440756"/>
                            <w:bookmarkStart w:id="71" w:name="_Hlk162440757"/>
                            <w:r>
                              <w:t xml:space="preserve"> </w:t>
                            </w:r>
                            <w:bookmarkEnd w:id="70"/>
                            <w:bookmarkEnd w:id="71"/>
                          </w:p>
                        </w:txbxContent>
                      </wps:txbx>
                      <wps:bodyPr rot="0" spcFirstLastPara="0" vertOverflow="overflow" horzOverflow="overflow" vert="horz" wrap="square" lIns="88900" tIns="88900" rIns="88900" bIns="88900" numCol="1" spcCol="0" rtlCol="0" fromWordArt="0" anchor="t" anchorCtr="0" forceAA="0" compatLnSpc="1">
                        <a:prstTxWarp prst="textNoShape">
                          <a:avLst/>
                        </a:prstTxWarp>
                        <a:noAutofit/>
                      </wps:bodyPr>
                    </wps:wsp>
                  </a:graphicData>
                </a:graphic>
              </wp:inline>
            </w:drawing>
          </mc:Choice>
          <mc:Fallback>
            <w:pict>
              <v:rect w14:anchorId="30825E01" id="Rectangle 21" o:spid="_x0000_s1027" style="width:427.85pt;height:432.75pt;visibility:visible;mso-wrap-style:square;mso-left-percent:-10001;mso-top-percent:-10001;mso-position-horizontal:absolute;mso-position-horizontal-relative:char;mso-position-vertical:absolute;mso-position-vertical-relative:line;mso-left-percent:-10001;mso-top-percent:-10001;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74LbQIAAOcEAAAOAAAAZHJzL2Uyb0RvYy54bWysVMFu2zAMvQ/YPwi6r07SZkuMOkXQrsOA&#10;ri3QDj0rshwLkERNYmJnXz9KTtJ022nYRSAl+pF8fPTlVW8N26oQNbiKj89GnCknodZuXfHvz7cf&#10;ZpxFFK4WBpyq+E5FfrV4/+6y86WaQAumVoERiItl5yveIvqyKKJslRXxDLxy9NhAsALJDeuiDqIj&#10;dGuKyWj0segg1D6AVDHS7c3wyBcZv2mUxIemiQqZqTjVhvkM+Vyls1hcinIdhG+13Jch/qEKK7Sj&#10;pEeoG4GCbYL+A8pqGSBCg2cSbAFNo6XKPVA349Fv3Ty1wqvcC5ET/ZGm+P9g5f32yT8GoqHzsYxk&#10;slX3DWoaFbGyyz31TbCpN6qW9Zm63ZE61SOTdDm9OD+fXdCwJb1NL+bT+WSayC1Eefjch4hfFFiW&#10;jIoHmk2GF9u7iEPoISRli2B0fauNyU7Sg7o2gW0FTXK1HudPzcZSrcPdfDoa5XlSyiyfFJ4LeINk&#10;HOtIqJNPFMyEWZNqJYaM9ibuCDGgYz/et/Mmymok+RptKz6j9EMBomyVqD+7OosLhTaDTYUZRxUd&#10;mB44x37VM11TTSlBeltBvaM5BBjUGr281UTZnYj4KALJkyqnlcMHOhoD1A7sLc5aCD//dp/iSTX0&#10;yllHcq94/LERQXFmvjrS02w2T4TgqRNOndWp4zb2GmgOY1puL7NJHwc0B7MJYF9oM5cpayLaScpd&#10;cTyY1zgsIW22VMtlDqKN8ALv3JOXCTrNPQniuX8Rwe9VgyS4ezgshih/E88Qm750sNwgNDor65XV&#10;Pf20TVka+81P63rq56jX/9PiFwAAAP//AwBQSwMEFAAGAAgAAAAhAK8Fnm7cAAAABQEAAA8AAABk&#10;cnMvZG93bnJldi54bWxMj0FPwzAMhe9I/IfISNxYOlDKVppOgMSBIU2wIe2aNV5a0ThVk23l32N2&#10;gYv1rGe997lcjL4TRxxiG0jDdJKBQKqDbclp+Ny83MxAxGTImi4QavjGCIvq8qI0hQ0n+sDjOjnB&#10;IRQLo6FJqS+kjHWD3sRJ6JHY24fBm8Tr4KQdzInDfSdvsyyX3rTEDY3p8bnB+mt98BpW8/c3t8mU&#10;28sVLaevy+1TfkdaX1+Njw8gEo7p7xh+8RkdKmbahQPZKDoN/Eg6T/ZmSt2D2LHIlQJZlfI/ffUD&#10;AAD//wMAUEsBAi0AFAAGAAgAAAAhALaDOJL+AAAA4QEAABMAAAAAAAAAAAAAAAAAAAAAAFtDb250&#10;ZW50X1R5cGVzXS54bWxQSwECLQAUAAYACAAAACEAOP0h/9YAAACUAQAACwAAAAAAAAAAAAAAAAAv&#10;AQAAX3JlbHMvLnJlbHNQSwECLQAUAAYACAAAACEAnxu+C20CAADnBAAADgAAAAAAAAAAAAAAAAAu&#10;AgAAZHJzL2Uyb0RvYy54bWxQSwECLQAUAAYACAAAACEArwWebtwAAAAFAQAADwAAAAAAAAAAAAAA&#10;AADHBAAAZHJzL2Rvd25yZXYueG1sUEsFBgAAAAAEAAQA8wAAANAFAAAAAA==&#10;" fillcolor="#f2f2f2 [3052]" strokecolor="black [3213]" strokeweight="1pt">
                <v:textbox inset="7pt,7pt,7pt,7pt">
                  <w:txbxContent>
                    <w:p w14:paraId="75465604" w14:textId="5B9FFF83" w:rsidR="002660E4" w:rsidRDefault="002660E4" w:rsidP="00900BD8">
                      <w:pPr>
                        <w:pStyle w:val="BoxHeading-Box"/>
                      </w:pPr>
                      <w:r>
                        <w:t xml:space="preserve"> </w:t>
                      </w:r>
                      <w:r w:rsidR="00900BD8">
                        <w:t>(continued)</w:t>
                      </w:r>
                    </w:p>
                    <w:tbl>
                      <w:tblPr>
                        <w:tblW w:w="8215" w:type="dxa"/>
                        <w:tblInd w:w="-3" w:type="dxa"/>
                        <w:tblCellMar>
                          <w:left w:w="0" w:type="dxa"/>
                          <w:right w:w="0" w:type="dxa"/>
                        </w:tblCellMar>
                        <w:tblLook w:val="04A0" w:firstRow="1" w:lastRow="0" w:firstColumn="1" w:lastColumn="0" w:noHBand="0" w:noVBand="1"/>
                      </w:tblPr>
                      <w:tblGrid>
                        <w:gridCol w:w="2689"/>
                        <w:gridCol w:w="2549"/>
                        <w:gridCol w:w="2977"/>
                      </w:tblGrid>
                      <w:tr w:rsidR="002660E4" w:rsidRPr="001638AE" w14:paraId="2F0FDAF6" w14:textId="77777777" w:rsidTr="001638AE">
                        <w:trPr>
                          <w:trHeight w:val="900"/>
                        </w:trPr>
                        <w:tc>
                          <w:tcPr>
                            <w:tcW w:w="2689"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vAlign w:val="center"/>
                            <w:hideMark/>
                          </w:tcPr>
                          <w:p w14:paraId="265ED75C" w14:textId="77777777" w:rsidR="002660E4" w:rsidRPr="001638AE" w:rsidRDefault="002660E4">
                            <w:pPr>
                              <w:jc w:val="center"/>
                              <w:rPr>
                                <w:sz w:val="20"/>
                                <w:szCs w:val="20"/>
                              </w:rPr>
                            </w:pPr>
                            <w:r w:rsidRPr="001638AE">
                              <w:rPr>
                                <w:b/>
                                <w:bCs/>
                                <w:color w:val="000000"/>
                                <w:sz w:val="20"/>
                                <w:szCs w:val="20"/>
                              </w:rPr>
                              <w:t>Costs</w:t>
                            </w:r>
                          </w:p>
                        </w:tc>
                        <w:tc>
                          <w:tcPr>
                            <w:tcW w:w="2549"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1F789A4C" w14:textId="77777777" w:rsidR="002660E4" w:rsidRPr="001638AE" w:rsidRDefault="002660E4">
                            <w:pPr>
                              <w:jc w:val="center"/>
                              <w:rPr>
                                <w:sz w:val="20"/>
                                <w:szCs w:val="20"/>
                              </w:rPr>
                            </w:pPr>
                            <w:r w:rsidRPr="001638AE">
                              <w:rPr>
                                <w:b/>
                                <w:bCs/>
                                <w:color w:val="000000"/>
                                <w:sz w:val="20"/>
                                <w:szCs w:val="20"/>
                              </w:rPr>
                              <w:t>MySchool Financial Data Collection</w:t>
                            </w:r>
                          </w:p>
                        </w:tc>
                        <w:tc>
                          <w:tcPr>
                            <w:tcW w:w="2977"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70C42016" w14:textId="77777777" w:rsidR="002660E4" w:rsidRPr="001638AE" w:rsidRDefault="002660E4">
                            <w:pPr>
                              <w:jc w:val="center"/>
                              <w:rPr>
                                <w:sz w:val="20"/>
                                <w:szCs w:val="20"/>
                              </w:rPr>
                            </w:pPr>
                            <w:r w:rsidRPr="001638AE">
                              <w:rPr>
                                <w:b/>
                                <w:bCs/>
                                <w:color w:val="000000"/>
                                <w:sz w:val="20"/>
                                <w:szCs w:val="20"/>
                              </w:rPr>
                              <w:t>National Schools Statistic Collection (NSSC)</w:t>
                            </w:r>
                          </w:p>
                        </w:tc>
                      </w:tr>
                      <w:tr w:rsidR="002660E4" w:rsidRPr="001638AE" w14:paraId="526712DA"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4FE9A9" w14:textId="77777777" w:rsidR="002660E4" w:rsidRPr="001638AE" w:rsidRDefault="002660E4">
                            <w:pPr>
                              <w:rPr>
                                <w:sz w:val="20"/>
                                <w:szCs w:val="20"/>
                              </w:rPr>
                            </w:pPr>
                            <w:r w:rsidRPr="001638AE">
                              <w:rPr>
                                <w:color w:val="000000"/>
                                <w:sz w:val="20"/>
                                <w:szCs w:val="20"/>
                              </w:rPr>
                              <w:t>Collection data set:</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C3A727" w14:textId="77777777" w:rsidR="002660E4" w:rsidRPr="001638AE" w:rsidRDefault="002660E4">
                            <w:pPr>
                              <w:jc w:val="center"/>
                              <w:rPr>
                                <w:sz w:val="20"/>
                                <w:szCs w:val="20"/>
                              </w:rPr>
                            </w:pPr>
                            <w:r w:rsidRPr="001638AE">
                              <w:rPr>
                                <w:color w:val="000000"/>
                                <w:sz w:val="20"/>
                                <w:szCs w:val="20"/>
                              </w:rPr>
                              <w:t>Calendar year data</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043D5" w14:textId="77777777" w:rsidR="002660E4" w:rsidRPr="001638AE" w:rsidRDefault="002660E4">
                            <w:pPr>
                              <w:jc w:val="center"/>
                              <w:rPr>
                                <w:sz w:val="20"/>
                                <w:szCs w:val="20"/>
                              </w:rPr>
                            </w:pPr>
                            <w:r w:rsidRPr="001638AE">
                              <w:rPr>
                                <w:color w:val="000000"/>
                                <w:sz w:val="20"/>
                                <w:szCs w:val="20"/>
                              </w:rPr>
                              <w:t>Financial year data</w:t>
                            </w:r>
                          </w:p>
                        </w:tc>
                      </w:tr>
                      <w:tr w:rsidR="002660E4" w:rsidRPr="001638AE" w14:paraId="0953B75F"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4B122E" w14:textId="77777777" w:rsidR="002660E4" w:rsidRPr="001638AE" w:rsidRDefault="002660E4">
                            <w:pPr>
                              <w:rPr>
                                <w:sz w:val="20"/>
                                <w:szCs w:val="20"/>
                              </w:rPr>
                            </w:pPr>
                            <w:r w:rsidRPr="001638AE">
                              <w:rPr>
                                <w:color w:val="000000"/>
                                <w:sz w:val="20"/>
                                <w:szCs w:val="20"/>
                              </w:rPr>
                              <w:t>Primary Education</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055882"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215F59" w14:textId="77777777" w:rsidR="002660E4" w:rsidRPr="001638AE" w:rsidRDefault="002660E4">
                            <w:pPr>
                              <w:jc w:val="center"/>
                              <w:rPr>
                                <w:sz w:val="20"/>
                                <w:szCs w:val="20"/>
                              </w:rPr>
                            </w:pPr>
                            <w:r w:rsidRPr="001638AE">
                              <w:rPr>
                                <w:color w:val="000000"/>
                                <w:sz w:val="20"/>
                                <w:szCs w:val="20"/>
                              </w:rPr>
                              <w:t>Included</w:t>
                            </w:r>
                          </w:p>
                        </w:tc>
                      </w:tr>
                      <w:tr w:rsidR="002660E4" w:rsidRPr="001638AE" w14:paraId="79724627"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AE6969" w14:textId="77777777" w:rsidR="002660E4" w:rsidRPr="001638AE" w:rsidRDefault="002660E4">
                            <w:pPr>
                              <w:rPr>
                                <w:sz w:val="20"/>
                                <w:szCs w:val="20"/>
                              </w:rPr>
                            </w:pPr>
                            <w:r w:rsidRPr="001638AE">
                              <w:rPr>
                                <w:color w:val="000000"/>
                                <w:sz w:val="20"/>
                                <w:szCs w:val="20"/>
                              </w:rPr>
                              <w:t>Secondary Education</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0EE04D"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BFA6E3" w14:textId="77777777" w:rsidR="002660E4" w:rsidRPr="001638AE" w:rsidRDefault="002660E4">
                            <w:pPr>
                              <w:jc w:val="center"/>
                              <w:rPr>
                                <w:sz w:val="20"/>
                                <w:szCs w:val="20"/>
                              </w:rPr>
                            </w:pPr>
                            <w:r w:rsidRPr="001638AE">
                              <w:rPr>
                                <w:color w:val="000000"/>
                                <w:sz w:val="20"/>
                                <w:szCs w:val="20"/>
                              </w:rPr>
                              <w:t>Included</w:t>
                            </w:r>
                          </w:p>
                        </w:tc>
                      </w:tr>
                      <w:tr w:rsidR="002660E4" w:rsidRPr="001638AE" w14:paraId="14268493"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FA3164" w14:textId="77777777" w:rsidR="002660E4" w:rsidRPr="001638AE" w:rsidRDefault="002660E4">
                            <w:pPr>
                              <w:rPr>
                                <w:sz w:val="20"/>
                                <w:szCs w:val="20"/>
                              </w:rPr>
                            </w:pPr>
                            <w:r w:rsidRPr="001638AE">
                              <w:rPr>
                                <w:color w:val="000000"/>
                                <w:sz w:val="20"/>
                                <w:szCs w:val="20"/>
                              </w:rPr>
                              <w:t>Vet in schools</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45A079"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29FEF4" w14:textId="77777777" w:rsidR="002660E4" w:rsidRPr="001638AE" w:rsidRDefault="002660E4">
                            <w:pPr>
                              <w:jc w:val="center"/>
                              <w:rPr>
                                <w:sz w:val="20"/>
                                <w:szCs w:val="20"/>
                              </w:rPr>
                            </w:pPr>
                            <w:r w:rsidRPr="001638AE">
                              <w:rPr>
                                <w:color w:val="000000"/>
                                <w:sz w:val="20"/>
                                <w:szCs w:val="20"/>
                              </w:rPr>
                              <w:t>Included</w:t>
                            </w:r>
                          </w:p>
                        </w:tc>
                      </w:tr>
                      <w:tr w:rsidR="002660E4" w:rsidRPr="001638AE" w14:paraId="4D9EE1E2" w14:textId="77777777" w:rsidTr="001638AE">
                        <w:trPr>
                          <w:trHeight w:val="300"/>
                        </w:trPr>
                        <w:tc>
                          <w:tcPr>
                            <w:tcW w:w="2689" w:type="dxa"/>
                            <w:tcBorders>
                              <w:top w:val="nil"/>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24B8BC24" w14:textId="77777777" w:rsidR="002660E4" w:rsidRPr="001638AE" w:rsidRDefault="002660E4">
                            <w:pPr>
                              <w:rPr>
                                <w:sz w:val="20"/>
                                <w:szCs w:val="20"/>
                              </w:rPr>
                            </w:pPr>
                            <w:r w:rsidRPr="001638AE">
                              <w:rPr>
                                <w:color w:val="000000"/>
                                <w:sz w:val="20"/>
                                <w:szCs w:val="20"/>
                              </w:rPr>
                              <w:t>Teacher housing</w:t>
                            </w:r>
                          </w:p>
                        </w:tc>
                        <w:tc>
                          <w:tcPr>
                            <w:tcW w:w="2549"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5E168885"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21802F2F" w14:textId="77777777" w:rsidR="002660E4" w:rsidRPr="001638AE" w:rsidRDefault="002660E4">
                            <w:pPr>
                              <w:jc w:val="center"/>
                              <w:rPr>
                                <w:sz w:val="20"/>
                                <w:szCs w:val="20"/>
                              </w:rPr>
                            </w:pPr>
                            <w:r w:rsidRPr="001638AE">
                              <w:rPr>
                                <w:color w:val="000000"/>
                                <w:sz w:val="20"/>
                                <w:szCs w:val="20"/>
                              </w:rPr>
                              <w:t>Excluded</w:t>
                            </w:r>
                          </w:p>
                        </w:tc>
                      </w:tr>
                      <w:tr w:rsidR="002660E4" w:rsidRPr="001638AE" w14:paraId="3A648441" w14:textId="77777777" w:rsidTr="001638AE">
                        <w:trPr>
                          <w:trHeight w:val="300"/>
                        </w:trPr>
                        <w:tc>
                          <w:tcPr>
                            <w:tcW w:w="2689" w:type="dxa"/>
                            <w:tcBorders>
                              <w:top w:val="nil"/>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634C83B3" w14:textId="77777777" w:rsidR="002660E4" w:rsidRPr="001638AE" w:rsidRDefault="002660E4">
                            <w:pPr>
                              <w:rPr>
                                <w:sz w:val="20"/>
                                <w:szCs w:val="20"/>
                              </w:rPr>
                            </w:pPr>
                            <w:r w:rsidRPr="001638AE">
                              <w:rPr>
                                <w:color w:val="000000"/>
                                <w:sz w:val="20"/>
                                <w:szCs w:val="20"/>
                              </w:rPr>
                              <w:t xml:space="preserve">Payroll tax </w:t>
                            </w:r>
                          </w:p>
                        </w:tc>
                        <w:tc>
                          <w:tcPr>
                            <w:tcW w:w="2549"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096559C0"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1030C78F" w14:textId="77777777" w:rsidR="002660E4" w:rsidRPr="001638AE" w:rsidRDefault="002660E4">
                            <w:pPr>
                              <w:jc w:val="center"/>
                              <w:rPr>
                                <w:sz w:val="20"/>
                                <w:szCs w:val="20"/>
                              </w:rPr>
                            </w:pPr>
                            <w:r w:rsidRPr="001638AE">
                              <w:rPr>
                                <w:color w:val="000000"/>
                                <w:sz w:val="20"/>
                                <w:szCs w:val="20"/>
                              </w:rPr>
                              <w:t>Included</w:t>
                            </w:r>
                          </w:p>
                        </w:tc>
                      </w:tr>
                      <w:tr w:rsidR="002660E4" w:rsidRPr="001638AE" w14:paraId="6BDC3606" w14:textId="77777777" w:rsidTr="001638AE">
                        <w:trPr>
                          <w:trHeight w:val="300"/>
                        </w:trPr>
                        <w:tc>
                          <w:tcPr>
                            <w:tcW w:w="2689" w:type="dxa"/>
                            <w:tcBorders>
                              <w:top w:val="nil"/>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3D327A25" w14:textId="77777777" w:rsidR="002660E4" w:rsidRPr="001638AE" w:rsidRDefault="002660E4">
                            <w:pPr>
                              <w:rPr>
                                <w:sz w:val="20"/>
                                <w:szCs w:val="20"/>
                              </w:rPr>
                            </w:pPr>
                            <w:r w:rsidRPr="001638AE">
                              <w:rPr>
                                <w:color w:val="000000"/>
                                <w:sz w:val="20"/>
                                <w:szCs w:val="20"/>
                              </w:rPr>
                              <w:t>Depreciation</w:t>
                            </w:r>
                          </w:p>
                        </w:tc>
                        <w:tc>
                          <w:tcPr>
                            <w:tcW w:w="2549"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5484B0B0"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017B2237" w14:textId="77777777" w:rsidR="002660E4" w:rsidRPr="001638AE" w:rsidRDefault="002660E4">
                            <w:pPr>
                              <w:jc w:val="center"/>
                              <w:rPr>
                                <w:sz w:val="20"/>
                                <w:szCs w:val="20"/>
                              </w:rPr>
                            </w:pPr>
                            <w:r w:rsidRPr="001638AE">
                              <w:rPr>
                                <w:color w:val="000000"/>
                                <w:sz w:val="20"/>
                                <w:szCs w:val="20"/>
                              </w:rPr>
                              <w:t>Included</w:t>
                            </w:r>
                          </w:p>
                        </w:tc>
                      </w:tr>
                      <w:tr w:rsidR="002660E4" w:rsidRPr="001638AE" w14:paraId="6157F3B7" w14:textId="77777777" w:rsidTr="001638AE">
                        <w:trPr>
                          <w:trHeight w:val="300"/>
                        </w:trPr>
                        <w:tc>
                          <w:tcPr>
                            <w:tcW w:w="2689" w:type="dxa"/>
                            <w:tcBorders>
                              <w:top w:val="nil"/>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7A117E29" w14:textId="77777777" w:rsidR="002660E4" w:rsidRPr="001638AE" w:rsidRDefault="002660E4">
                            <w:pPr>
                              <w:rPr>
                                <w:sz w:val="20"/>
                                <w:szCs w:val="20"/>
                              </w:rPr>
                            </w:pPr>
                            <w:r w:rsidRPr="001638AE">
                              <w:rPr>
                                <w:color w:val="000000"/>
                                <w:sz w:val="20"/>
                                <w:szCs w:val="20"/>
                              </w:rPr>
                              <w:t>Regulatory Expenses</w:t>
                            </w:r>
                          </w:p>
                        </w:tc>
                        <w:tc>
                          <w:tcPr>
                            <w:tcW w:w="2549"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0C21EB8D"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0C562F0E" w14:textId="77777777" w:rsidR="002660E4" w:rsidRPr="001638AE" w:rsidRDefault="002660E4">
                            <w:pPr>
                              <w:jc w:val="center"/>
                              <w:rPr>
                                <w:sz w:val="20"/>
                                <w:szCs w:val="20"/>
                              </w:rPr>
                            </w:pPr>
                            <w:r w:rsidRPr="001638AE">
                              <w:rPr>
                                <w:color w:val="000000"/>
                                <w:sz w:val="20"/>
                                <w:szCs w:val="20"/>
                              </w:rPr>
                              <w:t>Included</w:t>
                            </w:r>
                          </w:p>
                        </w:tc>
                      </w:tr>
                      <w:tr w:rsidR="002660E4" w:rsidRPr="001638AE" w14:paraId="25071186"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2DA633" w14:textId="77777777" w:rsidR="002660E4" w:rsidRPr="001638AE" w:rsidRDefault="002660E4">
                            <w:pPr>
                              <w:rPr>
                                <w:sz w:val="20"/>
                                <w:szCs w:val="20"/>
                              </w:rPr>
                            </w:pPr>
                            <w:r w:rsidRPr="001638AE">
                              <w:rPr>
                                <w:color w:val="000000"/>
                                <w:sz w:val="20"/>
                                <w:szCs w:val="20"/>
                              </w:rPr>
                              <w:t>Boarding</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4DA987"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6D5FF5" w14:textId="77777777" w:rsidR="002660E4" w:rsidRPr="001638AE" w:rsidRDefault="002660E4">
                            <w:pPr>
                              <w:jc w:val="center"/>
                              <w:rPr>
                                <w:sz w:val="20"/>
                                <w:szCs w:val="20"/>
                              </w:rPr>
                            </w:pPr>
                            <w:r w:rsidRPr="001638AE">
                              <w:rPr>
                                <w:color w:val="000000"/>
                                <w:sz w:val="20"/>
                                <w:szCs w:val="20"/>
                              </w:rPr>
                              <w:t>Excluded</w:t>
                            </w:r>
                          </w:p>
                        </w:tc>
                      </w:tr>
                      <w:tr w:rsidR="002660E4" w:rsidRPr="001638AE" w14:paraId="0D9D559B"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37FB27" w14:textId="77777777" w:rsidR="002660E4" w:rsidRPr="001638AE" w:rsidRDefault="002660E4">
                            <w:pPr>
                              <w:rPr>
                                <w:sz w:val="20"/>
                                <w:szCs w:val="20"/>
                              </w:rPr>
                            </w:pPr>
                            <w:r w:rsidRPr="001638AE">
                              <w:rPr>
                                <w:color w:val="000000"/>
                                <w:sz w:val="20"/>
                                <w:szCs w:val="20"/>
                              </w:rPr>
                              <w:t>Tertiary</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AAC6DB"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9BA889" w14:textId="77777777" w:rsidR="002660E4" w:rsidRPr="001638AE" w:rsidRDefault="002660E4">
                            <w:pPr>
                              <w:jc w:val="center"/>
                              <w:rPr>
                                <w:sz w:val="20"/>
                                <w:szCs w:val="20"/>
                              </w:rPr>
                            </w:pPr>
                            <w:r w:rsidRPr="001638AE">
                              <w:rPr>
                                <w:color w:val="000000"/>
                                <w:sz w:val="20"/>
                                <w:szCs w:val="20"/>
                              </w:rPr>
                              <w:t>Excluded</w:t>
                            </w:r>
                          </w:p>
                        </w:tc>
                      </w:tr>
                      <w:tr w:rsidR="002660E4" w:rsidRPr="001638AE" w14:paraId="4B14AB89" w14:textId="77777777" w:rsidTr="001638AE">
                        <w:trPr>
                          <w:trHeight w:val="300"/>
                        </w:trPr>
                        <w:tc>
                          <w:tcPr>
                            <w:tcW w:w="2689" w:type="dxa"/>
                            <w:tcBorders>
                              <w:top w:val="nil"/>
                              <w:left w:val="single" w:sz="8" w:space="0" w:color="auto"/>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67E9D9DF" w14:textId="77777777" w:rsidR="002660E4" w:rsidRPr="001638AE" w:rsidRDefault="002660E4">
                            <w:pPr>
                              <w:rPr>
                                <w:sz w:val="20"/>
                                <w:szCs w:val="20"/>
                              </w:rPr>
                            </w:pPr>
                            <w:r w:rsidRPr="001638AE">
                              <w:rPr>
                                <w:color w:val="000000"/>
                                <w:sz w:val="20"/>
                                <w:szCs w:val="20"/>
                              </w:rPr>
                              <w:t>Student transport</w:t>
                            </w:r>
                          </w:p>
                        </w:tc>
                        <w:tc>
                          <w:tcPr>
                            <w:tcW w:w="2549"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1158338E" w14:textId="77777777" w:rsidR="002660E4" w:rsidRPr="001638AE" w:rsidRDefault="002660E4">
                            <w:pPr>
                              <w:jc w:val="center"/>
                              <w:rPr>
                                <w:sz w:val="20"/>
                                <w:szCs w:val="20"/>
                              </w:rPr>
                            </w:pPr>
                            <w:r w:rsidRPr="001638AE">
                              <w:rPr>
                                <w:color w:val="000000"/>
                                <w:sz w:val="20"/>
                                <w:szCs w:val="20"/>
                              </w:rPr>
                              <w:t>Excluded</w:t>
                            </w:r>
                          </w:p>
                        </w:tc>
                        <w:tc>
                          <w:tcPr>
                            <w:tcW w:w="2977" w:type="dxa"/>
                            <w:tcBorders>
                              <w:top w:val="nil"/>
                              <w:left w:val="nil"/>
                              <w:bottom w:val="single" w:sz="8" w:space="0" w:color="auto"/>
                              <w:right w:val="single" w:sz="8" w:space="0" w:color="auto"/>
                            </w:tcBorders>
                            <w:shd w:val="clear" w:color="auto" w:fill="FFF2CC"/>
                            <w:noWrap/>
                            <w:tcMar>
                              <w:top w:w="0" w:type="dxa"/>
                              <w:left w:w="108" w:type="dxa"/>
                              <w:bottom w:w="0" w:type="dxa"/>
                              <w:right w:w="108" w:type="dxa"/>
                            </w:tcMar>
                            <w:vAlign w:val="bottom"/>
                            <w:hideMark/>
                          </w:tcPr>
                          <w:p w14:paraId="7FBE8581" w14:textId="77777777" w:rsidR="002660E4" w:rsidRPr="001638AE" w:rsidRDefault="002660E4">
                            <w:pPr>
                              <w:jc w:val="center"/>
                              <w:rPr>
                                <w:sz w:val="20"/>
                                <w:szCs w:val="20"/>
                              </w:rPr>
                            </w:pPr>
                            <w:r w:rsidRPr="001638AE">
                              <w:rPr>
                                <w:color w:val="000000"/>
                                <w:sz w:val="20"/>
                                <w:szCs w:val="20"/>
                              </w:rPr>
                              <w:t>Included</w:t>
                            </w:r>
                          </w:p>
                        </w:tc>
                      </w:tr>
                      <w:tr w:rsidR="002660E4" w:rsidRPr="001638AE" w14:paraId="0183E342"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058267" w14:textId="77777777" w:rsidR="002660E4" w:rsidRPr="001638AE" w:rsidRDefault="002660E4">
                            <w:pPr>
                              <w:rPr>
                                <w:sz w:val="20"/>
                                <w:szCs w:val="20"/>
                              </w:rPr>
                            </w:pPr>
                            <w:r w:rsidRPr="001638AE">
                              <w:rPr>
                                <w:color w:val="000000"/>
                                <w:sz w:val="20"/>
                                <w:szCs w:val="20"/>
                              </w:rPr>
                              <w:t>Long Service Leave</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68AF3E"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17A0E3" w14:textId="77777777" w:rsidR="002660E4" w:rsidRPr="001638AE" w:rsidRDefault="002660E4">
                            <w:pPr>
                              <w:jc w:val="center"/>
                              <w:rPr>
                                <w:sz w:val="20"/>
                                <w:szCs w:val="20"/>
                              </w:rPr>
                            </w:pPr>
                            <w:r w:rsidRPr="001638AE">
                              <w:rPr>
                                <w:color w:val="000000"/>
                                <w:sz w:val="20"/>
                                <w:szCs w:val="20"/>
                              </w:rPr>
                              <w:t>Included</w:t>
                            </w:r>
                          </w:p>
                        </w:tc>
                      </w:tr>
                      <w:tr w:rsidR="002660E4" w:rsidRPr="001638AE" w14:paraId="62106662" w14:textId="77777777" w:rsidTr="001638AE">
                        <w:trPr>
                          <w:trHeight w:val="300"/>
                        </w:trPr>
                        <w:tc>
                          <w:tcPr>
                            <w:tcW w:w="268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B216B2" w14:textId="77777777" w:rsidR="002660E4" w:rsidRPr="001638AE" w:rsidRDefault="002660E4">
                            <w:pPr>
                              <w:rPr>
                                <w:sz w:val="20"/>
                                <w:szCs w:val="20"/>
                              </w:rPr>
                            </w:pPr>
                            <w:r w:rsidRPr="001638AE">
                              <w:rPr>
                                <w:color w:val="000000"/>
                                <w:sz w:val="20"/>
                                <w:szCs w:val="20"/>
                              </w:rPr>
                              <w:t>Repairs and maintenance</w:t>
                            </w:r>
                          </w:p>
                        </w:tc>
                        <w:tc>
                          <w:tcPr>
                            <w:tcW w:w="25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1D7B97" w14:textId="77777777" w:rsidR="002660E4" w:rsidRPr="001638AE" w:rsidRDefault="002660E4">
                            <w:pPr>
                              <w:jc w:val="center"/>
                              <w:rPr>
                                <w:sz w:val="20"/>
                                <w:szCs w:val="20"/>
                              </w:rPr>
                            </w:pPr>
                            <w:r w:rsidRPr="001638AE">
                              <w:rPr>
                                <w:color w:val="000000"/>
                                <w:sz w:val="20"/>
                                <w:szCs w:val="20"/>
                              </w:rPr>
                              <w:t>Included</w:t>
                            </w:r>
                          </w:p>
                        </w:tc>
                        <w:tc>
                          <w:tcPr>
                            <w:tcW w:w="29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1B1564" w14:textId="77777777" w:rsidR="002660E4" w:rsidRPr="001638AE" w:rsidRDefault="002660E4">
                            <w:pPr>
                              <w:jc w:val="center"/>
                              <w:rPr>
                                <w:sz w:val="20"/>
                                <w:szCs w:val="20"/>
                              </w:rPr>
                            </w:pPr>
                            <w:r w:rsidRPr="001638AE">
                              <w:rPr>
                                <w:color w:val="000000"/>
                                <w:sz w:val="20"/>
                                <w:szCs w:val="20"/>
                              </w:rPr>
                              <w:t>Included</w:t>
                            </w:r>
                          </w:p>
                        </w:tc>
                      </w:tr>
                    </w:tbl>
                    <w:p w14:paraId="2A349B43" w14:textId="3AEB9BFA" w:rsidR="002660E4" w:rsidRPr="00845556" w:rsidRDefault="001638AE" w:rsidP="00B53D67">
                      <w:bookmarkStart w:id="72" w:name="_Hlk162440756"/>
                      <w:bookmarkStart w:id="73" w:name="_Hlk162440757"/>
                      <w:r>
                        <w:t xml:space="preserve"> </w:t>
                      </w:r>
                      <w:bookmarkEnd w:id="72"/>
                      <w:bookmarkEnd w:id="73"/>
                    </w:p>
                  </w:txbxContent>
                </v:textbox>
                <w10:anchorlock/>
              </v:rect>
            </w:pict>
          </mc:Fallback>
        </mc:AlternateContent>
      </w:r>
    </w:p>
    <w:p w14:paraId="510FDC1D" w14:textId="6BA03D1B" w:rsidR="00A31722" w:rsidRPr="00AB3B90" w:rsidRDefault="00A31722" w:rsidP="00A31722">
      <w:r w:rsidRPr="00AB3B90">
        <w:t>When considering</w:t>
      </w:r>
      <w:r w:rsidRPr="00AB3B90" w:rsidDel="002D6F6D">
        <w:t xml:space="preserve"> </w:t>
      </w:r>
      <w:r w:rsidRPr="00AB3B90">
        <w:t xml:space="preserve">NSSC school expenditure data across jurisdictions, the percentage of recurrent expenditure allocated to salary related costs varies. In 2019–20, salary related expenditure ranged from 62 to 79 per cent of the total expenditure for government sector schools. This percentage was notably higher in the Australian Capital Territory (79 per cent), Queensland (78 per cent), and Western Australia (77 per cent). Conversely, the Northern Territory had the lowest proportion of expenditure on salary related expenses (62 per cent), followed by New South Wales and Victoria (both at 74 per cent) (see </w:t>
      </w:r>
      <w:r w:rsidRPr="00AB3B90">
        <w:fldChar w:fldCharType="begin"/>
      </w:r>
      <w:r w:rsidRPr="00AB3B90">
        <w:instrText xml:space="preserve"> REF _Ref160781534 \h </w:instrText>
      </w:r>
      <w:r w:rsidR="00065A8C" w:rsidRPr="00AB3B90">
        <w:instrText xml:space="preserve"> \* MERGEFORMAT </w:instrText>
      </w:r>
      <w:r w:rsidRPr="00AB3B90">
        <w:fldChar w:fldCharType="separate"/>
      </w:r>
      <w:r w:rsidR="00FF6847" w:rsidRPr="00AB3B90">
        <w:t xml:space="preserve">Figure </w:t>
      </w:r>
      <w:r w:rsidR="00FF6847" w:rsidRPr="00AB3B90">
        <w:rPr>
          <w:noProof/>
        </w:rPr>
        <w:t>1</w:t>
      </w:r>
      <w:r w:rsidRPr="00AB3B90">
        <w:fldChar w:fldCharType="end"/>
      </w:r>
      <w:r w:rsidRPr="00AB3B90">
        <w:t>).</w:t>
      </w:r>
    </w:p>
    <w:p w14:paraId="27CB490A" w14:textId="4AA71993" w:rsidR="00392703" w:rsidRPr="00AB3B90" w:rsidRDefault="00392703" w:rsidP="00392703">
      <w:pPr>
        <w:pStyle w:val="Caption"/>
        <w:keepNext/>
      </w:pPr>
      <w:bookmarkStart w:id="74" w:name="_Ref160781534"/>
      <w:bookmarkStart w:id="75" w:name="_Toc163650462"/>
      <w:r w:rsidRPr="00AB3B90">
        <w:t xml:space="preserve">Figure </w:t>
      </w:r>
      <w:r w:rsidRPr="00AB3B90">
        <w:fldChar w:fldCharType="begin"/>
      </w:r>
      <w:r w:rsidRPr="00AB3B90">
        <w:instrText>SEQ Figure \* ARABIC</w:instrText>
      </w:r>
      <w:r w:rsidRPr="00AB3B90">
        <w:fldChar w:fldCharType="separate"/>
      </w:r>
      <w:r w:rsidR="00FF6847" w:rsidRPr="00AB3B90">
        <w:rPr>
          <w:noProof/>
        </w:rPr>
        <w:t>1</w:t>
      </w:r>
      <w:r w:rsidRPr="00AB3B90">
        <w:fldChar w:fldCharType="end"/>
      </w:r>
      <w:bookmarkEnd w:id="74"/>
      <w:r w:rsidRPr="00AB3B90">
        <w:t xml:space="preserve"> Government sector recurrent expenditure, salary and non-salary by state</w:t>
      </w:r>
      <w:r w:rsidR="00642DA1">
        <w:t xml:space="preserve"> and </w:t>
      </w:r>
      <w:r w:rsidRPr="00AB3B90">
        <w:t>territory, 2019</w:t>
      </w:r>
      <w:r w:rsidR="00456B52" w:rsidRPr="00AB3B90">
        <w:t>–</w:t>
      </w:r>
      <w:proofErr w:type="gramStart"/>
      <w:r w:rsidRPr="00AB3B90">
        <w:t>20</w:t>
      </w:r>
      <w:bookmarkEnd w:id="75"/>
      <w:proofErr w:type="gramEnd"/>
    </w:p>
    <w:p w14:paraId="593CC52D" w14:textId="4FE9D51F" w:rsidR="00F777EC" w:rsidRPr="00F777EC" w:rsidRDefault="00F777EC" w:rsidP="00F777EC">
      <w:pPr>
        <w:spacing w:before="100" w:beforeAutospacing="1" w:after="100" w:afterAutospacing="1" w:line="240" w:lineRule="auto"/>
        <w:rPr>
          <w:rFonts w:ascii="Times New Roman" w:eastAsia="Times New Roman" w:hAnsi="Times New Roman" w:cs="Times New Roman"/>
          <w:sz w:val="24"/>
          <w:szCs w:val="24"/>
          <w:lang w:eastAsia="en-AU"/>
        </w:rPr>
      </w:pPr>
      <w:r w:rsidRPr="00F777EC">
        <w:rPr>
          <w:rFonts w:ascii="Times New Roman" w:eastAsia="Times New Roman" w:hAnsi="Times New Roman" w:cs="Times New Roman"/>
          <w:noProof/>
          <w:sz w:val="24"/>
          <w:szCs w:val="24"/>
          <w:lang w:eastAsia="en-AU"/>
        </w:rPr>
        <w:drawing>
          <wp:inline distT="0" distB="0" distL="0" distR="0" wp14:anchorId="5C699317" wp14:editId="5C99B07C">
            <wp:extent cx="5731510" cy="2167890"/>
            <wp:effectExtent l="0" t="0" r="2540" b="3810"/>
            <wp:docPr id="509594371" name="Picture 1" descr="Figure 1 is a bar chart depicting government sector recurrent expenditure, salary and non-salary by state and territory for the period 2019–20,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94371" name="Picture 1" descr="Figure 1 is a bar chart depicting government sector recurrent expenditure, salary and non-salary by state and territory for the period 2019–20, as described in the text abov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2167890"/>
                    </a:xfrm>
                    <a:prstGeom prst="rect">
                      <a:avLst/>
                    </a:prstGeom>
                    <a:noFill/>
                    <a:ln>
                      <a:noFill/>
                    </a:ln>
                  </pic:spPr>
                </pic:pic>
              </a:graphicData>
            </a:graphic>
          </wp:inline>
        </w:drawing>
      </w:r>
    </w:p>
    <w:p w14:paraId="231A2DA5" w14:textId="60FBD582" w:rsidR="00272D9A" w:rsidRPr="00AB3B90" w:rsidRDefault="009542BC" w:rsidP="009542BC">
      <w:pPr>
        <w:pStyle w:val="Source"/>
        <w:spacing w:line="240" w:lineRule="auto"/>
      </w:pPr>
      <w:r w:rsidRPr="00AB3B90">
        <w:t xml:space="preserve">Source: Deloitte Access Economics (2024), Australian Curriculum Assessment and Reporting Authority, </w:t>
      </w:r>
      <w:r w:rsidRPr="00AB3B90">
        <w:rPr>
          <w:i/>
        </w:rPr>
        <w:t>School expenditure</w:t>
      </w:r>
      <w:r w:rsidRPr="00AB3B90">
        <w:t xml:space="preserve"> &lt; https://www.acara.edu.au/reporting/national-report-on-schooling-in-australia/school-expenditure&gt;. </w:t>
      </w:r>
    </w:p>
    <w:p w14:paraId="11334E04" w14:textId="55292F17" w:rsidR="000446A0" w:rsidRPr="00AB3B90" w:rsidRDefault="00A31722" w:rsidP="000446A0">
      <w:r w:rsidRPr="00AB3B90">
        <w:t xml:space="preserve">As an input to the </w:t>
      </w:r>
      <w:r w:rsidR="009E6F2B" w:rsidRPr="00AB3B90">
        <w:t>r</w:t>
      </w:r>
      <w:r w:rsidRPr="00AB3B90">
        <w:t xml:space="preserve">eview, the Australian Government Department of Education supplied expenditure data for the non-government school sector for the years 2019 and 2022. This information allows for a state/territory breakdown of total recurrent expenditure, categorised into teaching, non-teaching, non-aggregated teaching, and non-staff amounts. Variances in the 2019 distribution of salary and non-salary-related expenses were observed in the provided data when compared to the publicly available NSSC data, see Box 1 above, but were broadly aligned. </w:t>
      </w:r>
    </w:p>
    <w:p w14:paraId="4CBF2055" w14:textId="5106DACB" w:rsidR="00B71B5D" w:rsidRPr="00AB3B90" w:rsidRDefault="008A30E1" w:rsidP="00A42AC3">
      <w:pPr>
        <w:spacing w:before="0" w:after="160"/>
      </w:pPr>
      <w:r w:rsidRPr="00AB3B90">
        <w:t>In the case of non-government schools, the proportion of recurrent expenditure on salary related expenses displayed less variability in the 2019 calendar year compared to government sector schools. Across jurisdictions, salary related expenditure constituted between 72 and 76</w:t>
      </w:r>
      <w:r w:rsidR="00A07C91" w:rsidRPr="00AB3B90">
        <w:t> </w:t>
      </w:r>
      <w:r w:rsidRPr="00AB3B90">
        <w:t>per</w:t>
      </w:r>
      <w:r w:rsidR="00A07C91" w:rsidRPr="00AB3B90">
        <w:t> </w:t>
      </w:r>
      <w:r w:rsidRPr="00AB3B90">
        <w:t xml:space="preserve">cent. </w:t>
      </w:r>
      <w:proofErr w:type="gramStart"/>
      <w:r w:rsidRPr="00AB3B90">
        <w:t>Similar to</w:t>
      </w:r>
      <w:proofErr w:type="gramEnd"/>
      <w:r w:rsidRPr="00AB3B90">
        <w:t xml:space="preserve"> government sector schools, the highest share of total expenditure allocated to salary related expenses was observed in the Australian Capital Territory (76</w:t>
      </w:r>
      <w:r w:rsidR="00A07C91" w:rsidRPr="00AB3B90">
        <w:t> </w:t>
      </w:r>
      <w:r w:rsidRPr="00AB3B90">
        <w:t>per</w:t>
      </w:r>
      <w:r w:rsidR="00A07C91" w:rsidRPr="00AB3B90">
        <w:t> </w:t>
      </w:r>
      <w:r w:rsidRPr="00AB3B90">
        <w:t>cent), while the Northern Territory recorded the lowest proportion (72</w:t>
      </w:r>
      <w:r w:rsidR="00A07C91" w:rsidRPr="00AB3B90">
        <w:t> </w:t>
      </w:r>
      <w:r w:rsidRPr="00AB3B90">
        <w:t>per</w:t>
      </w:r>
      <w:r w:rsidR="00A07C91" w:rsidRPr="00AB3B90">
        <w:t> </w:t>
      </w:r>
      <w:r w:rsidRPr="00AB3B90">
        <w:t>cent) (</w:t>
      </w:r>
      <w:r w:rsidR="00A42AC3" w:rsidRPr="00AB3B90">
        <w:fldChar w:fldCharType="begin"/>
      </w:r>
      <w:r w:rsidR="00A42AC3" w:rsidRPr="00AB3B90">
        <w:instrText xml:space="preserve"> REF _Ref161235327 \h </w:instrText>
      </w:r>
      <w:r w:rsidR="000A3D08" w:rsidRPr="00AB3B90">
        <w:instrText xml:space="preserve"> \* MERGEFORMAT </w:instrText>
      </w:r>
      <w:r w:rsidR="00A42AC3" w:rsidRPr="00AB3B90">
        <w:fldChar w:fldCharType="separate"/>
      </w:r>
      <w:r w:rsidR="00FF6847" w:rsidRPr="00AB3B90">
        <w:t>Figure 2</w:t>
      </w:r>
      <w:r w:rsidR="00A42AC3" w:rsidRPr="00AB3B90">
        <w:fldChar w:fldCharType="end"/>
      </w:r>
      <w:r w:rsidR="00A42AC3" w:rsidRPr="00AB3B90">
        <w:t>)</w:t>
      </w:r>
      <w:r w:rsidR="00B71B5D" w:rsidRPr="00AB3B90">
        <w:t>.</w:t>
      </w:r>
    </w:p>
    <w:p w14:paraId="3782A62E" w14:textId="65FF4C4E" w:rsidR="00A42AC3" w:rsidRPr="00AB3B90" w:rsidRDefault="00B71B5D" w:rsidP="00A42AC3">
      <w:pPr>
        <w:spacing w:before="0" w:after="160"/>
      </w:pPr>
      <w:r w:rsidRPr="00AB3B90">
        <w:br w:type="page"/>
      </w:r>
    </w:p>
    <w:p w14:paraId="76082554" w14:textId="1788F52A" w:rsidR="00A2730F" w:rsidRPr="00AB3B90" w:rsidRDefault="00A2730F" w:rsidP="00601541">
      <w:pPr>
        <w:pStyle w:val="Caption"/>
      </w:pPr>
      <w:bookmarkStart w:id="76" w:name="_Ref160785681"/>
      <w:bookmarkStart w:id="77" w:name="_Ref161235327"/>
      <w:bookmarkStart w:id="78" w:name="_Toc163650463"/>
      <w:r w:rsidRPr="00AB3B90">
        <w:t>Figure</w:t>
      </w:r>
      <w:r w:rsidR="00CE69E0" w:rsidRPr="00AB3B90">
        <w:t> </w:t>
      </w:r>
      <w:r w:rsidRPr="00AB3B90">
        <w:fldChar w:fldCharType="begin"/>
      </w:r>
      <w:r w:rsidRPr="00AB3B90">
        <w:instrText>SEQ Figure \* ARABIC</w:instrText>
      </w:r>
      <w:r w:rsidRPr="00AB3B90">
        <w:fldChar w:fldCharType="separate"/>
      </w:r>
      <w:r w:rsidR="00FF6847" w:rsidRPr="00AB3B90">
        <w:rPr>
          <w:noProof/>
        </w:rPr>
        <w:t>2</w:t>
      </w:r>
      <w:r w:rsidRPr="00AB3B90">
        <w:fldChar w:fldCharType="end"/>
      </w:r>
      <w:bookmarkEnd w:id="76"/>
      <w:bookmarkEnd w:id="77"/>
      <w:r w:rsidRPr="00AB3B90">
        <w:t xml:space="preserve"> Non-government sector recurrent expenditure, salary and non-salary by state</w:t>
      </w:r>
      <w:r w:rsidR="00C150FB">
        <w:t xml:space="preserve"> and </w:t>
      </w:r>
      <w:r w:rsidRPr="00AB3B90">
        <w:t xml:space="preserve">territory, </w:t>
      </w:r>
      <w:proofErr w:type="gramStart"/>
      <w:r w:rsidRPr="00AB3B90">
        <w:t>2019</w:t>
      </w:r>
      <w:bookmarkEnd w:id="78"/>
      <w:proofErr w:type="gramEnd"/>
    </w:p>
    <w:p w14:paraId="3B92AFE0" w14:textId="1ED77D83" w:rsidR="00554840" w:rsidRPr="00554840" w:rsidRDefault="00554840" w:rsidP="00554840">
      <w:pPr>
        <w:spacing w:before="100" w:beforeAutospacing="1" w:after="100" w:afterAutospacing="1" w:line="240" w:lineRule="auto"/>
        <w:rPr>
          <w:rFonts w:ascii="Times New Roman" w:eastAsia="Times New Roman" w:hAnsi="Times New Roman" w:cs="Times New Roman"/>
          <w:sz w:val="24"/>
          <w:szCs w:val="24"/>
          <w:lang w:eastAsia="en-AU"/>
        </w:rPr>
      </w:pPr>
      <w:r w:rsidRPr="00554840">
        <w:rPr>
          <w:rFonts w:ascii="Times New Roman" w:eastAsia="Times New Roman" w:hAnsi="Times New Roman" w:cs="Times New Roman"/>
          <w:noProof/>
          <w:sz w:val="24"/>
          <w:szCs w:val="24"/>
          <w:lang w:eastAsia="en-AU"/>
        </w:rPr>
        <w:drawing>
          <wp:inline distT="0" distB="0" distL="0" distR="0" wp14:anchorId="02F2E6F3" wp14:editId="01F2D9C9">
            <wp:extent cx="5731510" cy="2167890"/>
            <wp:effectExtent l="0" t="0" r="2540" b="3810"/>
            <wp:docPr id="985993932" name="Picture 2" descr="Figure 2 is a bar chart depicting non-government sector recurrent expenditure, salary and non-salary by state and territory, 2019,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93932" name="Picture 2" descr="Figure 2 is a bar chart depicting non-government sector recurrent expenditure, salary and non-salary by state and territory, 2019, as described in the text abov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2167890"/>
                    </a:xfrm>
                    <a:prstGeom prst="rect">
                      <a:avLst/>
                    </a:prstGeom>
                    <a:noFill/>
                    <a:ln>
                      <a:noFill/>
                    </a:ln>
                  </pic:spPr>
                </pic:pic>
              </a:graphicData>
            </a:graphic>
          </wp:inline>
        </w:drawing>
      </w:r>
    </w:p>
    <w:p w14:paraId="5521894F" w14:textId="24CBEA19" w:rsidR="00A26DD3" w:rsidRPr="00AB3B90" w:rsidRDefault="004B64E9" w:rsidP="004B64E9">
      <w:pPr>
        <w:pStyle w:val="Source"/>
        <w:spacing w:line="240" w:lineRule="auto"/>
      </w:pPr>
      <w:r w:rsidRPr="00AB3B90">
        <w:t xml:space="preserve">Source: Deloitte Access Economics (2024) and Australian Curriculum Assessment and Reporting Authority, </w:t>
      </w:r>
      <w:r w:rsidRPr="00AB3B90">
        <w:rPr>
          <w:i/>
        </w:rPr>
        <w:t xml:space="preserve">Non-government schools’ income and expenditure </w:t>
      </w:r>
      <w:r w:rsidRPr="00AB3B90">
        <w:t>(2021) &lt;</w:t>
      </w:r>
      <w:hyperlink r:id="rId39" w:history="1">
        <w:r w:rsidR="000F62EE">
          <w:rPr>
            <w:rStyle w:val="Hyperlink"/>
          </w:rPr>
          <w:t>https://www.acara.edu.au/reporting/national-report-on-schooling-in-australia/school-expenditure</w:t>
        </w:r>
      </w:hyperlink>
      <w:r w:rsidRPr="00AB3B90">
        <w:t>&gt;.</w:t>
      </w:r>
    </w:p>
    <w:p w14:paraId="0E3A38AD" w14:textId="21D656BB" w:rsidR="006D5B80" w:rsidRPr="00AB3B90" w:rsidRDefault="006D5B80" w:rsidP="006D5B80">
      <w:r w:rsidRPr="00AB3B90">
        <w:t xml:space="preserve">The distribution of salary related expenditure between teaching and non-teaching staff aligns closely with the proportional representation of these staff in schools. Teaching staff constitute </w:t>
      </w:r>
      <w:proofErr w:type="gramStart"/>
      <w:r w:rsidRPr="00AB3B90">
        <w:t>the majority of</w:t>
      </w:r>
      <w:proofErr w:type="gramEnd"/>
      <w:r w:rsidRPr="00AB3B90">
        <w:t xml:space="preserve"> FTE staff. </w:t>
      </w:r>
    </w:p>
    <w:p w14:paraId="2A0E4665" w14:textId="77777777" w:rsidR="000A3D08" w:rsidRPr="00AB3B90" w:rsidRDefault="000A3D08" w:rsidP="000A3D08">
      <w:r w:rsidRPr="00AB3B90">
        <w:t>As part of the data request, stakeholders were asked to provide details regarding the count of FTE teaching and non-teaching staff from 2019 to 2023. In most submissions, the ratios of teaching and non-teaching staff closely match those derived from publicly available NSSC data. There was some variation:</w:t>
      </w:r>
    </w:p>
    <w:p w14:paraId="288AB1D0" w14:textId="12C3442A" w:rsidR="000A3D08" w:rsidRPr="00AB3B90" w:rsidRDefault="1F444EC6" w:rsidP="005065C9">
      <w:pPr>
        <w:pStyle w:val="ListBullet"/>
      </w:pPr>
      <w:r w:rsidRPr="00AB3B90">
        <w:t>Data submitted by one stakeholder demonstrated a lower proportion of teaching staff constituting 67 per cent of FTE staff in 2019, decreasing to 62 per cent in 2022. In contrast, publicly available data records teaching staff as comprising 72 per cent in 2019, declining to 70 per cent in 2022.</w:t>
      </w:r>
    </w:p>
    <w:p w14:paraId="6BD44A3B" w14:textId="0819AB50" w:rsidR="000A3D08" w:rsidRPr="00AB3B90" w:rsidRDefault="1F444EC6" w:rsidP="005065C9">
      <w:pPr>
        <w:pStyle w:val="ListBullet"/>
      </w:pPr>
      <w:r w:rsidRPr="00AB3B90">
        <w:t xml:space="preserve">The data submitted by another stakeholder shows a small decrease in the proportion of teaching staff from 68 per cent in 2019 to 67 per cent in 2022. In contrast, this proportion remains consistent at 69 per cent in the publicly available NSSC data. </w:t>
      </w:r>
    </w:p>
    <w:p w14:paraId="77308C80" w14:textId="44AB276A" w:rsidR="000A3D08" w:rsidRPr="00AB3B90" w:rsidRDefault="000A3D08" w:rsidP="000A3D08">
      <w:r w:rsidRPr="00AB3B90">
        <w:t xml:space="preserve">Since 2017, there has been a consistent decline in the proportion of teaching staff observed in both government and non-government schools </w:t>
      </w:r>
      <w:r w:rsidR="00C50413" w:rsidRPr="00AB3B90">
        <w:t>(</w:t>
      </w:r>
      <w:r w:rsidR="00B21E8A" w:rsidRPr="00AB3B90">
        <w:fldChar w:fldCharType="begin"/>
      </w:r>
      <w:r w:rsidR="00B21E8A" w:rsidRPr="00AB3B90">
        <w:instrText xml:space="preserve"> REF _Ref160786261 \h </w:instrText>
      </w:r>
      <w:r w:rsidR="00065A8C" w:rsidRPr="00AB3B90">
        <w:instrText xml:space="preserve"> \* MERGEFORMAT </w:instrText>
      </w:r>
      <w:r w:rsidR="00B21E8A" w:rsidRPr="00AB3B90">
        <w:fldChar w:fldCharType="separate"/>
      </w:r>
      <w:r w:rsidR="00FF6847" w:rsidRPr="00AB3B90">
        <w:t xml:space="preserve">Table </w:t>
      </w:r>
      <w:r w:rsidR="00FF6847" w:rsidRPr="00AB3B90">
        <w:rPr>
          <w:noProof/>
        </w:rPr>
        <w:t>3</w:t>
      </w:r>
      <w:r w:rsidR="00B21E8A" w:rsidRPr="00AB3B90">
        <w:fldChar w:fldCharType="end"/>
      </w:r>
      <w:r w:rsidR="00C50413" w:rsidRPr="00AB3B90">
        <w:t>)</w:t>
      </w:r>
      <w:r w:rsidRPr="00AB3B90">
        <w:t>, and a steady rise in the proportion of staff in schools which are non-teaching.</w:t>
      </w:r>
    </w:p>
    <w:p w14:paraId="2890DB81" w14:textId="77777777" w:rsidR="000A3D08" w:rsidRPr="00AB3B90" w:rsidRDefault="000A3D08" w:rsidP="000A3D08">
      <w:r w:rsidRPr="00AB3B90">
        <w:t xml:space="preserve">The categories of non-teaching staff include: </w:t>
      </w:r>
    </w:p>
    <w:p w14:paraId="5841A4AD" w14:textId="77777777" w:rsidR="000A3D08" w:rsidRPr="00AB3B90" w:rsidRDefault="1F444EC6" w:rsidP="005065C9">
      <w:pPr>
        <w:pStyle w:val="ListBullet"/>
      </w:pPr>
      <w:r w:rsidRPr="00AB3B90">
        <w:t xml:space="preserve">administrative and clerical staff, including teacher aides and assistants (forming </w:t>
      </w:r>
      <w:proofErr w:type="gramStart"/>
      <w:r w:rsidRPr="00AB3B90">
        <w:t>the majority of</w:t>
      </w:r>
      <w:proofErr w:type="gramEnd"/>
      <w:r w:rsidRPr="00AB3B90">
        <w:t xml:space="preserve"> non-teaching staff),</w:t>
      </w:r>
    </w:p>
    <w:p w14:paraId="69575F41" w14:textId="77777777" w:rsidR="000A3D08" w:rsidRPr="00AB3B90" w:rsidRDefault="1F444EC6" w:rsidP="005065C9">
      <w:pPr>
        <w:pStyle w:val="ListBullet"/>
      </w:pPr>
      <w:r w:rsidRPr="00AB3B90">
        <w:t>building operations, general maintenance and other staff, and</w:t>
      </w:r>
    </w:p>
    <w:p w14:paraId="57EE3BB8" w14:textId="3761BFC1" w:rsidR="00DC7C3D" w:rsidRDefault="1F444EC6" w:rsidP="005065C9">
      <w:pPr>
        <w:pStyle w:val="ListBullet"/>
      </w:pPr>
      <w:r w:rsidRPr="00AB3B90">
        <w:t>specialist support staff.</w:t>
      </w:r>
    </w:p>
    <w:p w14:paraId="3C06182B" w14:textId="77777777" w:rsidR="00DC7C3D" w:rsidRDefault="00DC7C3D">
      <w:pPr>
        <w:spacing w:before="0" w:after="160"/>
      </w:pPr>
      <w:r>
        <w:br w:type="page"/>
      </w:r>
    </w:p>
    <w:p w14:paraId="795793FC" w14:textId="158506F7" w:rsidR="00F53577" w:rsidRPr="00AB3B90" w:rsidRDefault="000A3D08" w:rsidP="000A3D08">
      <w:r w:rsidRPr="00AB3B90">
        <w:t>Through consultations, some stakeholders affirmed the rising proportion of non-teaching staff in schools, linked in part to the growing demand for allied health professionals and well-being staff. This trend is attributed to an enhanced emphasis on assisting students facing disadvantage and prioritising student health and well-being.</w:t>
      </w:r>
    </w:p>
    <w:p w14:paraId="1D35C926" w14:textId="1EFC204C" w:rsidR="00822DFF" w:rsidRPr="00AB3B90" w:rsidRDefault="00822DFF" w:rsidP="00822DFF">
      <w:pPr>
        <w:pStyle w:val="Caption"/>
        <w:keepNext/>
      </w:pPr>
      <w:bookmarkStart w:id="79" w:name="_Ref160786261"/>
      <w:bookmarkStart w:id="80" w:name="_Toc161150700"/>
      <w:bookmarkStart w:id="81" w:name="_Toc163650479"/>
      <w:r w:rsidRPr="00AB3B90">
        <w:t xml:space="preserve">Table </w:t>
      </w:r>
      <w:r w:rsidRPr="00AB3B90">
        <w:fldChar w:fldCharType="begin"/>
      </w:r>
      <w:r w:rsidRPr="00AB3B90">
        <w:instrText>SEQ Table \* ARABIC</w:instrText>
      </w:r>
      <w:r w:rsidRPr="00AB3B90">
        <w:fldChar w:fldCharType="separate"/>
      </w:r>
      <w:r w:rsidR="00FF6847" w:rsidRPr="00AB3B90">
        <w:rPr>
          <w:noProof/>
        </w:rPr>
        <w:t>3</w:t>
      </w:r>
      <w:r w:rsidRPr="00AB3B90">
        <w:fldChar w:fldCharType="end"/>
      </w:r>
      <w:bookmarkEnd w:id="79"/>
      <w:r w:rsidRPr="00AB3B90">
        <w:t xml:space="preserve"> FTE staff by school sector and function, Australia, 2017</w:t>
      </w:r>
      <w:r w:rsidR="00500C21" w:rsidRPr="00AB3B90">
        <w:t>–</w:t>
      </w:r>
      <w:r w:rsidRPr="00AB3B90">
        <w:t>2022</w:t>
      </w:r>
      <w:bookmarkEnd w:id="80"/>
      <w:bookmarkEnd w:id="81"/>
    </w:p>
    <w:tbl>
      <w:tblPr>
        <w:tblStyle w:val="Deloittetable"/>
        <w:tblW w:w="5000" w:type="pct"/>
        <w:tblLook w:val="04A0" w:firstRow="1" w:lastRow="0" w:firstColumn="1" w:lastColumn="0" w:noHBand="0" w:noVBand="1"/>
      </w:tblPr>
      <w:tblGrid>
        <w:gridCol w:w="3406"/>
        <w:gridCol w:w="937"/>
        <w:gridCol w:w="937"/>
        <w:gridCol w:w="937"/>
        <w:gridCol w:w="937"/>
        <w:gridCol w:w="937"/>
        <w:gridCol w:w="935"/>
      </w:tblGrid>
      <w:tr w:rsidR="00F058A2" w:rsidRPr="00AB3B90" w14:paraId="28434772" w14:textId="77777777">
        <w:trPr>
          <w:cnfStyle w:val="100000000000" w:firstRow="1" w:lastRow="0" w:firstColumn="0" w:lastColumn="0" w:oddVBand="0" w:evenVBand="0" w:oddHBand="0" w:evenHBand="0" w:firstRowFirstColumn="0" w:firstRowLastColumn="0" w:lastRowFirstColumn="0" w:lastRowLastColumn="0"/>
        </w:trPr>
        <w:tc>
          <w:tcPr>
            <w:tcW w:w="1887" w:type="pct"/>
          </w:tcPr>
          <w:p w14:paraId="267E59AF" w14:textId="779D56A7" w:rsidR="00F058A2" w:rsidRPr="00AB3B90" w:rsidRDefault="004A3277">
            <w:pPr>
              <w:spacing w:line="240" w:lineRule="auto"/>
              <w:rPr>
                <w:rFonts w:asciiTheme="majorHAnsi" w:hAnsiTheme="majorHAnsi"/>
                <w:b/>
                <w:sz w:val="16"/>
                <w:szCs w:val="16"/>
              </w:rPr>
            </w:pPr>
            <w:r>
              <w:rPr>
                <w:rFonts w:asciiTheme="majorHAnsi" w:hAnsiTheme="majorHAnsi"/>
                <w:b/>
                <w:sz w:val="16"/>
                <w:szCs w:val="16"/>
              </w:rPr>
              <w:t>FTE Staff</w:t>
            </w:r>
          </w:p>
        </w:tc>
        <w:tc>
          <w:tcPr>
            <w:tcW w:w="519" w:type="pct"/>
          </w:tcPr>
          <w:p w14:paraId="58435F1F"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b/>
                <w:bCs/>
                <w:sz w:val="16"/>
                <w:szCs w:val="16"/>
              </w:rPr>
              <w:t>2017</w:t>
            </w:r>
          </w:p>
        </w:tc>
        <w:tc>
          <w:tcPr>
            <w:tcW w:w="519" w:type="pct"/>
          </w:tcPr>
          <w:p w14:paraId="2BA50C38" w14:textId="77777777" w:rsidR="00F058A2" w:rsidRPr="00AB3B90" w:rsidRDefault="00F058A2">
            <w:pPr>
              <w:spacing w:line="240" w:lineRule="auto"/>
              <w:jc w:val="right"/>
              <w:rPr>
                <w:rFonts w:asciiTheme="majorHAnsi" w:hAnsiTheme="majorHAnsi"/>
                <w:b/>
                <w:sz w:val="16"/>
                <w:szCs w:val="16"/>
              </w:rPr>
            </w:pPr>
            <w:r w:rsidRPr="00AB3B90">
              <w:rPr>
                <w:rFonts w:asciiTheme="majorHAnsi" w:hAnsiTheme="majorHAnsi"/>
                <w:b/>
                <w:sz w:val="16"/>
                <w:szCs w:val="16"/>
              </w:rPr>
              <w:t>2018</w:t>
            </w:r>
          </w:p>
        </w:tc>
        <w:tc>
          <w:tcPr>
            <w:tcW w:w="519" w:type="pct"/>
          </w:tcPr>
          <w:p w14:paraId="75D27FA8" w14:textId="77777777" w:rsidR="00F058A2" w:rsidRPr="00AB3B90" w:rsidRDefault="00F058A2">
            <w:pPr>
              <w:spacing w:line="240" w:lineRule="auto"/>
              <w:jc w:val="right"/>
              <w:rPr>
                <w:rFonts w:asciiTheme="majorHAnsi" w:hAnsiTheme="majorHAnsi"/>
                <w:b/>
                <w:sz w:val="16"/>
                <w:szCs w:val="16"/>
              </w:rPr>
            </w:pPr>
            <w:r w:rsidRPr="00AB3B90">
              <w:rPr>
                <w:rFonts w:asciiTheme="majorHAnsi" w:hAnsiTheme="majorHAnsi"/>
                <w:b/>
                <w:sz w:val="16"/>
                <w:szCs w:val="16"/>
              </w:rPr>
              <w:t>2019</w:t>
            </w:r>
          </w:p>
        </w:tc>
        <w:tc>
          <w:tcPr>
            <w:tcW w:w="519" w:type="pct"/>
          </w:tcPr>
          <w:p w14:paraId="27783C87" w14:textId="77777777" w:rsidR="00F058A2" w:rsidRPr="00AB3B90" w:rsidRDefault="00F058A2">
            <w:pPr>
              <w:spacing w:line="240" w:lineRule="auto"/>
              <w:jc w:val="right"/>
              <w:rPr>
                <w:rFonts w:asciiTheme="majorHAnsi" w:hAnsiTheme="majorHAnsi"/>
                <w:b/>
                <w:sz w:val="16"/>
                <w:szCs w:val="16"/>
              </w:rPr>
            </w:pPr>
            <w:r w:rsidRPr="00AB3B90">
              <w:rPr>
                <w:rFonts w:asciiTheme="majorHAnsi" w:hAnsiTheme="majorHAnsi"/>
                <w:b/>
                <w:sz w:val="16"/>
                <w:szCs w:val="16"/>
              </w:rPr>
              <w:t>2020</w:t>
            </w:r>
          </w:p>
        </w:tc>
        <w:tc>
          <w:tcPr>
            <w:tcW w:w="519" w:type="pct"/>
          </w:tcPr>
          <w:p w14:paraId="4AB6E17B" w14:textId="77777777" w:rsidR="00F058A2" w:rsidRPr="00AB3B90" w:rsidRDefault="00F058A2">
            <w:pPr>
              <w:spacing w:line="240" w:lineRule="auto"/>
              <w:jc w:val="right"/>
              <w:rPr>
                <w:rFonts w:asciiTheme="majorHAnsi" w:hAnsiTheme="majorHAnsi"/>
                <w:b/>
                <w:sz w:val="16"/>
                <w:szCs w:val="16"/>
              </w:rPr>
            </w:pPr>
            <w:r w:rsidRPr="00AB3B90">
              <w:rPr>
                <w:rFonts w:asciiTheme="majorHAnsi" w:hAnsiTheme="majorHAnsi"/>
                <w:b/>
                <w:sz w:val="16"/>
                <w:szCs w:val="16"/>
              </w:rPr>
              <w:t>2021</w:t>
            </w:r>
          </w:p>
        </w:tc>
        <w:tc>
          <w:tcPr>
            <w:tcW w:w="518" w:type="pct"/>
          </w:tcPr>
          <w:p w14:paraId="64F50EBD" w14:textId="77777777" w:rsidR="00F058A2" w:rsidRPr="00AB3B90" w:rsidRDefault="00F058A2">
            <w:pPr>
              <w:spacing w:line="240" w:lineRule="auto"/>
              <w:jc w:val="right"/>
              <w:rPr>
                <w:rFonts w:asciiTheme="majorHAnsi" w:hAnsiTheme="majorHAnsi"/>
                <w:b/>
                <w:sz w:val="16"/>
                <w:szCs w:val="16"/>
              </w:rPr>
            </w:pPr>
            <w:r w:rsidRPr="00AB3B90">
              <w:rPr>
                <w:rFonts w:asciiTheme="majorHAnsi" w:hAnsiTheme="majorHAnsi"/>
                <w:b/>
                <w:sz w:val="16"/>
                <w:szCs w:val="16"/>
              </w:rPr>
              <w:t>2022</w:t>
            </w:r>
          </w:p>
        </w:tc>
      </w:tr>
      <w:tr w:rsidR="00F058A2" w:rsidRPr="00AB3B90" w14:paraId="0345FAEF" w14:textId="77777777">
        <w:tc>
          <w:tcPr>
            <w:tcW w:w="1887" w:type="pct"/>
          </w:tcPr>
          <w:p w14:paraId="409C848E" w14:textId="35C033C8" w:rsidR="00F058A2" w:rsidRPr="00AB3B90" w:rsidRDefault="00F058A2">
            <w:pPr>
              <w:spacing w:line="240" w:lineRule="auto"/>
              <w:rPr>
                <w:rFonts w:asciiTheme="majorHAnsi" w:hAnsiTheme="majorHAnsi"/>
                <w:b/>
                <w:bCs/>
                <w:sz w:val="16"/>
                <w:szCs w:val="16"/>
              </w:rPr>
            </w:pPr>
            <w:r w:rsidRPr="00AB3B90">
              <w:rPr>
                <w:rFonts w:asciiTheme="majorHAnsi" w:hAnsiTheme="majorHAnsi"/>
                <w:b/>
                <w:bCs/>
                <w:sz w:val="16"/>
                <w:szCs w:val="16"/>
              </w:rPr>
              <w:t>Teaching staff</w:t>
            </w:r>
            <w:r w:rsidR="00CF7111">
              <w:rPr>
                <w:rFonts w:asciiTheme="majorHAnsi" w:hAnsiTheme="majorHAnsi"/>
                <w:b/>
                <w:bCs/>
                <w:sz w:val="16"/>
                <w:szCs w:val="16"/>
              </w:rPr>
              <w:t xml:space="preserve"> – Government sector</w:t>
            </w:r>
            <w:r w:rsidRPr="00AB3B90">
              <w:rPr>
                <w:rFonts w:asciiTheme="majorHAnsi" w:hAnsiTheme="majorHAnsi"/>
                <w:b/>
                <w:bCs/>
                <w:sz w:val="16"/>
                <w:szCs w:val="16"/>
              </w:rPr>
              <w:t xml:space="preserve"> (%)</w:t>
            </w:r>
          </w:p>
        </w:tc>
        <w:tc>
          <w:tcPr>
            <w:tcW w:w="519" w:type="pct"/>
          </w:tcPr>
          <w:p w14:paraId="4F961ABF"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70.6</w:t>
            </w:r>
          </w:p>
        </w:tc>
        <w:tc>
          <w:tcPr>
            <w:tcW w:w="519" w:type="pct"/>
          </w:tcPr>
          <w:p w14:paraId="4C8CDF16"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70.6</w:t>
            </w:r>
          </w:p>
        </w:tc>
        <w:tc>
          <w:tcPr>
            <w:tcW w:w="519" w:type="pct"/>
          </w:tcPr>
          <w:p w14:paraId="535736B1"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69.4</w:t>
            </w:r>
          </w:p>
        </w:tc>
        <w:tc>
          <w:tcPr>
            <w:tcW w:w="519" w:type="pct"/>
          </w:tcPr>
          <w:p w14:paraId="53DA0D20"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68.9</w:t>
            </w:r>
          </w:p>
        </w:tc>
        <w:tc>
          <w:tcPr>
            <w:tcW w:w="519" w:type="pct"/>
          </w:tcPr>
          <w:p w14:paraId="6F3662E2"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68.7</w:t>
            </w:r>
          </w:p>
        </w:tc>
        <w:tc>
          <w:tcPr>
            <w:tcW w:w="518" w:type="pct"/>
          </w:tcPr>
          <w:p w14:paraId="147C6546"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68.3</w:t>
            </w:r>
          </w:p>
        </w:tc>
      </w:tr>
      <w:tr w:rsidR="00F058A2" w:rsidRPr="00AB3B90" w14:paraId="37B87B9A" w14:textId="77777777">
        <w:tc>
          <w:tcPr>
            <w:tcW w:w="1887" w:type="pct"/>
          </w:tcPr>
          <w:p w14:paraId="2EB867C2" w14:textId="3626ED92" w:rsidR="00F058A2" w:rsidRPr="00AB3B90" w:rsidRDefault="00F058A2">
            <w:pPr>
              <w:spacing w:line="240" w:lineRule="auto"/>
              <w:rPr>
                <w:rFonts w:asciiTheme="majorHAnsi" w:hAnsiTheme="majorHAnsi"/>
                <w:b/>
                <w:bCs/>
                <w:sz w:val="16"/>
                <w:szCs w:val="16"/>
              </w:rPr>
            </w:pPr>
            <w:r w:rsidRPr="00AB3B90">
              <w:rPr>
                <w:rFonts w:asciiTheme="majorHAnsi" w:hAnsiTheme="majorHAnsi"/>
                <w:b/>
                <w:bCs/>
                <w:sz w:val="16"/>
                <w:szCs w:val="16"/>
              </w:rPr>
              <w:t xml:space="preserve">Non-teaching staff </w:t>
            </w:r>
            <w:r w:rsidR="002B4D7C">
              <w:rPr>
                <w:rFonts w:asciiTheme="majorHAnsi" w:hAnsiTheme="majorHAnsi"/>
                <w:b/>
                <w:bCs/>
                <w:sz w:val="16"/>
                <w:szCs w:val="16"/>
              </w:rPr>
              <w:t>– Government sector</w:t>
            </w:r>
            <w:r w:rsidR="002B4D7C" w:rsidRPr="00AB3B90">
              <w:rPr>
                <w:rFonts w:asciiTheme="majorHAnsi" w:hAnsiTheme="majorHAnsi"/>
                <w:b/>
                <w:bCs/>
                <w:sz w:val="16"/>
                <w:szCs w:val="16"/>
              </w:rPr>
              <w:t xml:space="preserve"> </w:t>
            </w:r>
            <w:r w:rsidRPr="00AB3B90">
              <w:rPr>
                <w:rFonts w:asciiTheme="majorHAnsi" w:hAnsiTheme="majorHAnsi"/>
                <w:b/>
                <w:bCs/>
                <w:sz w:val="16"/>
                <w:szCs w:val="16"/>
              </w:rPr>
              <w:t>(%)</w:t>
            </w:r>
          </w:p>
        </w:tc>
        <w:tc>
          <w:tcPr>
            <w:tcW w:w="519" w:type="pct"/>
          </w:tcPr>
          <w:p w14:paraId="73715B83"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29.4</w:t>
            </w:r>
          </w:p>
        </w:tc>
        <w:tc>
          <w:tcPr>
            <w:tcW w:w="519" w:type="pct"/>
          </w:tcPr>
          <w:p w14:paraId="5ED09FDB"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29.4</w:t>
            </w:r>
          </w:p>
        </w:tc>
        <w:tc>
          <w:tcPr>
            <w:tcW w:w="519" w:type="pct"/>
          </w:tcPr>
          <w:p w14:paraId="04918AB9"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30.6</w:t>
            </w:r>
          </w:p>
        </w:tc>
        <w:tc>
          <w:tcPr>
            <w:tcW w:w="519" w:type="pct"/>
          </w:tcPr>
          <w:p w14:paraId="5E839FD7"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31.1</w:t>
            </w:r>
          </w:p>
        </w:tc>
        <w:tc>
          <w:tcPr>
            <w:tcW w:w="519" w:type="pct"/>
          </w:tcPr>
          <w:p w14:paraId="7A97E3A1"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31.3</w:t>
            </w:r>
          </w:p>
        </w:tc>
        <w:tc>
          <w:tcPr>
            <w:tcW w:w="518" w:type="pct"/>
          </w:tcPr>
          <w:p w14:paraId="3004803D" w14:textId="77777777" w:rsidR="00F058A2" w:rsidRPr="00AB3B90" w:rsidRDefault="00F058A2">
            <w:pPr>
              <w:spacing w:line="240" w:lineRule="auto"/>
              <w:jc w:val="right"/>
              <w:rPr>
                <w:rFonts w:asciiTheme="majorHAnsi" w:hAnsiTheme="majorHAnsi"/>
                <w:b/>
                <w:bCs/>
                <w:sz w:val="16"/>
                <w:szCs w:val="16"/>
              </w:rPr>
            </w:pPr>
            <w:r w:rsidRPr="00AB3B90">
              <w:rPr>
                <w:rFonts w:asciiTheme="majorHAnsi" w:hAnsiTheme="majorHAnsi" w:cs="Calibri"/>
                <w:b/>
                <w:bCs/>
                <w:color w:val="000000"/>
                <w:sz w:val="16"/>
                <w:szCs w:val="16"/>
              </w:rPr>
              <w:t>31.7</w:t>
            </w:r>
          </w:p>
        </w:tc>
      </w:tr>
      <w:tr w:rsidR="00F058A2" w:rsidRPr="00AB3B90" w14:paraId="69119918" w14:textId="77777777">
        <w:tc>
          <w:tcPr>
            <w:tcW w:w="1887" w:type="pct"/>
          </w:tcPr>
          <w:p w14:paraId="3B6A9BD0" w14:textId="77777777" w:rsidR="00F058A2" w:rsidRPr="00AB3B90" w:rsidRDefault="00F058A2">
            <w:pPr>
              <w:spacing w:line="240" w:lineRule="auto"/>
              <w:rPr>
                <w:rFonts w:asciiTheme="majorHAnsi" w:hAnsiTheme="majorHAnsi"/>
                <w:sz w:val="16"/>
                <w:szCs w:val="16"/>
              </w:rPr>
            </w:pPr>
            <w:r w:rsidRPr="00AB3B90">
              <w:rPr>
                <w:rFonts w:asciiTheme="majorHAnsi" w:hAnsiTheme="majorHAnsi"/>
                <w:sz w:val="16"/>
                <w:szCs w:val="16"/>
              </w:rPr>
              <w:t>Administrative &amp; clerical staff (incl. teacher aides/assistants) (%)</w:t>
            </w:r>
          </w:p>
        </w:tc>
        <w:tc>
          <w:tcPr>
            <w:tcW w:w="519" w:type="pct"/>
          </w:tcPr>
          <w:p w14:paraId="03E83E60"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25.1</w:t>
            </w:r>
          </w:p>
        </w:tc>
        <w:tc>
          <w:tcPr>
            <w:tcW w:w="519" w:type="pct"/>
          </w:tcPr>
          <w:p w14:paraId="7FADAB1C"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25.3</w:t>
            </w:r>
          </w:p>
        </w:tc>
        <w:tc>
          <w:tcPr>
            <w:tcW w:w="519" w:type="pct"/>
          </w:tcPr>
          <w:p w14:paraId="448A40E4"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26.2</w:t>
            </w:r>
          </w:p>
        </w:tc>
        <w:tc>
          <w:tcPr>
            <w:tcW w:w="519" w:type="pct"/>
          </w:tcPr>
          <w:p w14:paraId="06E83E14"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26.7</w:t>
            </w:r>
          </w:p>
        </w:tc>
        <w:tc>
          <w:tcPr>
            <w:tcW w:w="519" w:type="pct"/>
          </w:tcPr>
          <w:p w14:paraId="16A2312D"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26.9</w:t>
            </w:r>
          </w:p>
        </w:tc>
        <w:tc>
          <w:tcPr>
            <w:tcW w:w="518" w:type="pct"/>
          </w:tcPr>
          <w:p w14:paraId="67454FC1"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27.5</w:t>
            </w:r>
          </w:p>
        </w:tc>
      </w:tr>
      <w:tr w:rsidR="00F058A2" w:rsidRPr="00AB3B90" w14:paraId="300C2551" w14:textId="77777777">
        <w:tc>
          <w:tcPr>
            <w:tcW w:w="1887" w:type="pct"/>
          </w:tcPr>
          <w:p w14:paraId="632B22D4" w14:textId="77777777" w:rsidR="00F058A2" w:rsidRPr="00AB3B90" w:rsidRDefault="00F058A2">
            <w:pPr>
              <w:spacing w:line="240" w:lineRule="auto"/>
              <w:rPr>
                <w:rFonts w:asciiTheme="majorHAnsi" w:hAnsiTheme="majorHAnsi"/>
                <w:sz w:val="16"/>
                <w:szCs w:val="16"/>
              </w:rPr>
            </w:pPr>
            <w:r w:rsidRPr="00AB3B90">
              <w:rPr>
                <w:rFonts w:asciiTheme="majorHAnsi" w:hAnsiTheme="majorHAnsi"/>
                <w:sz w:val="16"/>
                <w:szCs w:val="16"/>
              </w:rPr>
              <w:t>Building operations, general maintenance, and other staff (%)</w:t>
            </w:r>
          </w:p>
        </w:tc>
        <w:tc>
          <w:tcPr>
            <w:tcW w:w="519" w:type="pct"/>
          </w:tcPr>
          <w:p w14:paraId="08E41B8D"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1.9</w:t>
            </w:r>
          </w:p>
        </w:tc>
        <w:tc>
          <w:tcPr>
            <w:tcW w:w="519" w:type="pct"/>
          </w:tcPr>
          <w:p w14:paraId="32019F5B"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1.9</w:t>
            </w:r>
          </w:p>
        </w:tc>
        <w:tc>
          <w:tcPr>
            <w:tcW w:w="519" w:type="pct"/>
          </w:tcPr>
          <w:p w14:paraId="034B2334"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1.8</w:t>
            </w:r>
          </w:p>
        </w:tc>
        <w:tc>
          <w:tcPr>
            <w:tcW w:w="519" w:type="pct"/>
          </w:tcPr>
          <w:p w14:paraId="74923DC1"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1.8</w:t>
            </w:r>
          </w:p>
        </w:tc>
        <w:tc>
          <w:tcPr>
            <w:tcW w:w="519" w:type="pct"/>
          </w:tcPr>
          <w:p w14:paraId="29581A57"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1.8</w:t>
            </w:r>
          </w:p>
        </w:tc>
        <w:tc>
          <w:tcPr>
            <w:tcW w:w="518" w:type="pct"/>
          </w:tcPr>
          <w:p w14:paraId="33F74483"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1.8</w:t>
            </w:r>
          </w:p>
        </w:tc>
      </w:tr>
      <w:tr w:rsidR="00F058A2" w:rsidRPr="00AB3B90" w14:paraId="6A9B1144" w14:textId="77777777">
        <w:tc>
          <w:tcPr>
            <w:tcW w:w="1887" w:type="pct"/>
          </w:tcPr>
          <w:p w14:paraId="5D005217" w14:textId="77777777" w:rsidR="00F058A2" w:rsidRPr="00AB3B90" w:rsidRDefault="00F058A2">
            <w:pPr>
              <w:spacing w:line="240" w:lineRule="auto"/>
              <w:rPr>
                <w:rFonts w:asciiTheme="majorHAnsi" w:hAnsiTheme="majorHAnsi"/>
                <w:sz w:val="16"/>
                <w:szCs w:val="16"/>
              </w:rPr>
            </w:pPr>
            <w:r w:rsidRPr="00AB3B90">
              <w:rPr>
                <w:rFonts w:asciiTheme="majorHAnsi" w:hAnsiTheme="majorHAnsi"/>
                <w:sz w:val="16"/>
                <w:szCs w:val="16"/>
              </w:rPr>
              <w:t>Specialist support staff (%)</w:t>
            </w:r>
          </w:p>
        </w:tc>
        <w:tc>
          <w:tcPr>
            <w:tcW w:w="519" w:type="pct"/>
          </w:tcPr>
          <w:p w14:paraId="705A2900"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2.3</w:t>
            </w:r>
          </w:p>
        </w:tc>
        <w:tc>
          <w:tcPr>
            <w:tcW w:w="519" w:type="pct"/>
          </w:tcPr>
          <w:p w14:paraId="4DE3CD60"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2.2</w:t>
            </w:r>
          </w:p>
        </w:tc>
        <w:tc>
          <w:tcPr>
            <w:tcW w:w="519" w:type="pct"/>
          </w:tcPr>
          <w:p w14:paraId="374AB6C4"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2.5</w:t>
            </w:r>
          </w:p>
        </w:tc>
        <w:tc>
          <w:tcPr>
            <w:tcW w:w="519" w:type="pct"/>
          </w:tcPr>
          <w:p w14:paraId="48523D57"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2.5</w:t>
            </w:r>
          </w:p>
        </w:tc>
        <w:tc>
          <w:tcPr>
            <w:tcW w:w="519" w:type="pct"/>
          </w:tcPr>
          <w:p w14:paraId="16081F08"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2.6</w:t>
            </w:r>
          </w:p>
        </w:tc>
        <w:tc>
          <w:tcPr>
            <w:tcW w:w="518" w:type="pct"/>
          </w:tcPr>
          <w:p w14:paraId="509B2303"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2.5</w:t>
            </w:r>
          </w:p>
        </w:tc>
      </w:tr>
      <w:tr w:rsidR="00F058A2" w:rsidRPr="00AB3B90" w14:paraId="067D3D96" w14:textId="77777777">
        <w:tc>
          <w:tcPr>
            <w:tcW w:w="1887" w:type="pct"/>
          </w:tcPr>
          <w:p w14:paraId="50B2BC82" w14:textId="71C5A9FE" w:rsidR="00F058A2" w:rsidRPr="00AB3B90" w:rsidRDefault="00F058A2">
            <w:pPr>
              <w:spacing w:line="240" w:lineRule="auto"/>
              <w:rPr>
                <w:rFonts w:asciiTheme="majorHAnsi" w:hAnsiTheme="majorHAnsi"/>
                <w:b/>
                <w:bCs/>
                <w:sz w:val="16"/>
                <w:szCs w:val="16"/>
              </w:rPr>
            </w:pPr>
            <w:r w:rsidRPr="00AB3B90">
              <w:rPr>
                <w:rFonts w:asciiTheme="majorHAnsi" w:hAnsiTheme="majorHAnsi"/>
                <w:b/>
                <w:bCs/>
                <w:sz w:val="16"/>
                <w:szCs w:val="16"/>
              </w:rPr>
              <w:t xml:space="preserve">Teaching staff </w:t>
            </w:r>
            <w:r w:rsidR="002B4D7C">
              <w:rPr>
                <w:rFonts w:asciiTheme="majorHAnsi" w:hAnsiTheme="majorHAnsi"/>
                <w:b/>
                <w:bCs/>
                <w:sz w:val="16"/>
                <w:szCs w:val="16"/>
              </w:rPr>
              <w:t xml:space="preserve">– </w:t>
            </w:r>
            <w:proofErr w:type="gramStart"/>
            <w:r w:rsidR="002B4D7C">
              <w:rPr>
                <w:rFonts w:asciiTheme="majorHAnsi" w:hAnsiTheme="majorHAnsi"/>
                <w:b/>
                <w:bCs/>
                <w:sz w:val="16"/>
                <w:szCs w:val="16"/>
              </w:rPr>
              <w:t>Non-g</w:t>
            </w:r>
            <w:r w:rsidR="002B4D7C">
              <w:rPr>
                <w:rFonts w:asciiTheme="majorHAnsi" w:hAnsiTheme="majorHAnsi"/>
                <w:b/>
                <w:bCs/>
                <w:sz w:val="16"/>
                <w:szCs w:val="16"/>
              </w:rPr>
              <w:t>overnment</w:t>
            </w:r>
            <w:proofErr w:type="gramEnd"/>
            <w:r w:rsidR="002B4D7C">
              <w:rPr>
                <w:rFonts w:asciiTheme="majorHAnsi" w:hAnsiTheme="majorHAnsi"/>
                <w:b/>
                <w:bCs/>
                <w:sz w:val="16"/>
                <w:szCs w:val="16"/>
              </w:rPr>
              <w:t xml:space="preserve"> sector</w:t>
            </w:r>
            <w:r w:rsidR="002B4D7C" w:rsidRPr="00AB3B90">
              <w:rPr>
                <w:rFonts w:asciiTheme="majorHAnsi" w:hAnsiTheme="majorHAnsi"/>
                <w:b/>
                <w:bCs/>
                <w:sz w:val="16"/>
                <w:szCs w:val="16"/>
              </w:rPr>
              <w:t xml:space="preserve"> </w:t>
            </w:r>
            <w:r w:rsidRPr="00AB3B90">
              <w:rPr>
                <w:rFonts w:asciiTheme="majorHAnsi" w:hAnsiTheme="majorHAnsi"/>
                <w:b/>
                <w:bCs/>
                <w:sz w:val="16"/>
                <w:szCs w:val="16"/>
              </w:rPr>
              <w:t>(%)</w:t>
            </w:r>
          </w:p>
        </w:tc>
        <w:tc>
          <w:tcPr>
            <w:tcW w:w="519" w:type="pct"/>
          </w:tcPr>
          <w:p w14:paraId="73F6B48B"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68.0</w:t>
            </w:r>
          </w:p>
        </w:tc>
        <w:tc>
          <w:tcPr>
            <w:tcW w:w="519" w:type="pct"/>
          </w:tcPr>
          <w:p w14:paraId="5A793939"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67.7</w:t>
            </w:r>
          </w:p>
        </w:tc>
        <w:tc>
          <w:tcPr>
            <w:tcW w:w="519" w:type="pct"/>
          </w:tcPr>
          <w:p w14:paraId="77951BF1"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67.0</w:t>
            </w:r>
          </w:p>
        </w:tc>
        <w:tc>
          <w:tcPr>
            <w:tcW w:w="519" w:type="pct"/>
          </w:tcPr>
          <w:p w14:paraId="2E5DDD65"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66.6</w:t>
            </w:r>
          </w:p>
        </w:tc>
        <w:tc>
          <w:tcPr>
            <w:tcW w:w="519" w:type="pct"/>
          </w:tcPr>
          <w:p w14:paraId="62033472"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66.1</w:t>
            </w:r>
          </w:p>
        </w:tc>
        <w:tc>
          <w:tcPr>
            <w:tcW w:w="518" w:type="pct"/>
          </w:tcPr>
          <w:p w14:paraId="2FFFE191"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65.5</w:t>
            </w:r>
          </w:p>
        </w:tc>
      </w:tr>
      <w:tr w:rsidR="00F058A2" w:rsidRPr="00AB3B90" w14:paraId="41FFA238" w14:textId="77777777">
        <w:tc>
          <w:tcPr>
            <w:tcW w:w="1887" w:type="pct"/>
          </w:tcPr>
          <w:p w14:paraId="0DB06907" w14:textId="2A69CE29" w:rsidR="00F058A2" w:rsidRPr="00AB3B90" w:rsidRDefault="00F058A2">
            <w:pPr>
              <w:spacing w:line="240" w:lineRule="auto"/>
              <w:rPr>
                <w:rFonts w:asciiTheme="majorHAnsi" w:hAnsiTheme="majorHAnsi"/>
                <w:b/>
                <w:bCs/>
                <w:sz w:val="16"/>
                <w:szCs w:val="16"/>
              </w:rPr>
            </w:pPr>
            <w:r w:rsidRPr="00AB3B90">
              <w:rPr>
                <w:rFonts w:asciiTheme="majorHAnsi" w:hAnsiTheme="majorHAnsi"/>
                <w:b/>
                <w:bCs/>
                <w:sz w:val="16"/>
                <w:szCs w:val="16"/>
              </w:rPr>
              <w:t xml:space="preserve">Non-teaching staff </w:t>
            </w:r>
            <w:r w:rsidR="002B4D7C">
              <w:rPr>
                <w:rFonts w:asciiTheme="majorHAnsi" w:hAnsiTheme="majorHAnsi"/>
                <w:b/>
                <w:bCs/>
                <w:sz w:val="16"/>
                <w:szCs w:val="16"/>
              </w:rPr>
              <w:t xml:space="preserve">– </w:t>
            </w:r>
            <w:proofErr w:type="gramStart"/>
            <w:r w:rsidR="002B4D7C">
              <w:rPr>
                <w:rFonts w:asciiTheme="majorHAnsi" w:hAnsiTheme="majorHAnsi"/>
                <w:b/>
                <w:bCs/>
                <w:sz w:val="16"/>
                <w:szCs w:val="16"/>
              </w:rPr>
              <w:t>Non-government</w:t>
            </w:r>
            <w:proofErr w:type="gramEnd"/>
            <w:r w:rsidR="002B4D7C">
              <w:rPr>
                <w:rFonts w:asciiTheme="majorHAnsi" w:hAnsiTheme="majorHAnsi"/>
                <w:b/>
                <w:bCs/>
                <w:sz w:val="16"/>
                <w:szCs w:val="16"/>
              </w:rPr>
              <w:t xml:space="preserve"> sector</w:t>
            </w:r>
            <w:r w:rsidR="002B4D7C" w:rsidRPr="00AB3B90">
              <w:rPr>
                <w:rFonts w:asciiTheme="majorHAnsi" w:hAnsiTheme="majorHAnsi"/>
                <w:b/>
                <w:bCs/>
                <w:sz w:val="16"/>
                <w:szCs w:val="16"/>
              </w:rPr>
              <w:t xml:space="preserve"> </w:t>
            </w:r>
            <w:r w:rsidRPr="00AB3B90">
              <w:rPr>
                <w:rFonts w:asciiTheme="majorHAnsi" w:hAnsiTheme="majorHAnsi"/>
                <w:b/>
                <w:bCs/>
                <w:sz w:val="16"/>
                <w:szCs w:val="16"/>
              </w:rPr>
              <w:t>(%)</w:t>
            </w:r>
          </w:p>
        </w:tc>
        <w:tc>
          <w:tcPr>
            <w:tcW w:w="519" w:type="pct"/>
          </w:tcPr>
          <w:p w14:paraId="43B9FA99"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32.0</w:t>
            </w:r>
          </w:p>
        </w:tc>
        <w:tc>
          <w:tcPr>
            <w:tcW w:w="519" w:type="pct"/>
          </w:tcPr>
          <w:p w14:paraId="50CF9D3E"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32.3</w:t>
            </w:r>
          </w:p>
        </w:tc>
        <w:tc>
          <w:tcPr>
            <w:tcW w:w="519" w:type="pct"/>
          </w:tcPr>
          <w:p w14:paraId="47D02F4F"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33.0</w:t>
            </w:r>
          </w:p>
        </w:tc>
        <w:tc>
          <w:tcPr>
            <w:tcW w:w="519" w:type="pct"/>
          </w:tcPr>
          <w:p w14:paraId="18B3D719"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33.4</w:t>
            </w:r>
          </w:p>
        </w:tc>
        <w:tc>
          <w:tcPr>
            <w:tcW w:w="519" w:type="pct"/>
          </w:tcPr>
          <w:p w14:paraId="464F950D"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33.9</w:t>
            </w:r>
          </w:p>
        </w:tc>
        <w:tc>
          <w:tcPr>
            <w:tcW w:w="518" w:type="pct"/>
          </w:tcPr>
          <w:p w14:paraId="7615EBAF" w14:textId="77777777" w:rsidR="00F058A2" w:rsidRPr="00AB3B90" w:rsidRDefault="00F058A2">
            <w:pPr>
              <w:spacing w:line="240" w:lineRule="auto"/>
              <w:jc w:val="right"/>
              <w:rPr>
                <w:rFonts w:asciiTheme="majorHAnsi" w:hAnsiTheme="majorHAnsi" w:cs="Calibri"/>
                <w:b/>
                <w:bCs/>
                <w:color w:val="000000"/>
                <w:sz w:val="16"/>
                <w:szCs w:val="16"/>
              </w:rPr>
            </w:pPr>
            <w:r w:rsidRPr="00AB3B90">
              <w:rPr>
                <w:rFonts w:asciiTheme="majorHAnsi" w:hAnsiTheme="majorHAnsi" w:cs="Calibri"/>
                <w:b/>
                <w:bCs/>
                <w:color w:val="000000"/>
                <w:sz w:val="16"/>
                <w:szCs w:val="16"/>
              </w:rPr>
              <w:t>34.5</w:t>
            </w:r>
          </w:p>
        </w:tc>
      </w:tr>
      <w:tr w:rsidR="00F058A2" w:rsidRPr="00AB3B90" w14:paraId="090ED51A" w14:textId="77777777">
        <w:tc>
          <w:tcPr>
            <w:tcW w:w="1887" w:type="pct"/>
          </w:tcPr>
          <w:p w14:paraId="06FF0BC0" w14:textId="77777777" w:rsidR="00F058A2" w:rsidRPr="00AB3B90" w:rsidRDefault="00F058A2">
            <w:pPr>
              <w:spacing w:line="240" w:lineRule="auto"/>
              <w:rPr>
                <w:rFonts w:asciiTheme="majorHAnsi" w:hAnsiTheme="majorHAnsi"/>
                <w:sz w:val="16"/>
                <w:szCs w:val="16"/>
              </w:rPr>
            </w:pPr>
            <w:r w:rsidRPr="00AB3B90">
              <w:rPr>
                <w:rFonts w:asciiTheme="majorHAnsi" w:hAnsiTheme="majorHAnsi"/>
                <w:sz w:val="16"/>
                <w:szCs w:val="16"/>
              </w:rPr>
              <w:t>Administrative &amp; clerical staff (incl. teacher aides/assistants) (%)</w:t>
            </w:r>
          </w:p>
        </w:tc>
        <w:tc>
          <w:tcPr>
            <w:tcW w:w="519" w:type="pct"/>
          </w:tcPr>
          <w:p w14:paraId="01726A38"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23.5</w:t>
            </w:r>
          </w:p>
        </w:tc>
        <w:tc>
          <w:tcPr>
            <w:tcW w:w="519" w:type="pct"/>
          </w:tcPr>
          <w:p w14:paraId="1D6192EE"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23.8</w:t>
            </w:r>
          </w:p>
        </w:tc>
        <w:tc>
          <w:tcPr>
            <w:tcW w:w="519" w:type="pct"/>
          </w:tcPr>
          <w:p w14:paraId="434E6ADC"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24.3</w:t>
            </w:r>
          </w:p>
        </w:tc>
        <w:tc>
          <w:tcPr>
            <w:tcW w:w="519" w:type="pct"/>
          </w:tcPr>
          <w:p w14:paraId="32665A51"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23.1</w:t>
            </w:r>
          </w:p>
        </w:tc>
        <w:tc>
          <w:tcPr>
            <w:tcW w:w="519" w:type="pct"/>
          </w:tcPr>
          <w:p w14:paraId="1BA3B63C"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23.1</w:t>
            </w:r>
          </w:p>
        </w:tc>
        <w:tc>
          <w:tcPr>
            <w:tcW w:w="518" w:type="pct"/>
          </w:tcPr>
          <w:p w14:paraId="7292E958"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23.6</w:t>
            </w:r>
          </w:p>
        </w:tc>
      </w:tr>
      <w:tr w:rsidR="00F058A2" w:rsidRPr="00AB3B90" w14:paraId="125028E4" w14:textId="77777777">
        <w:tc>
          <w:tcPr>
            <w:tcW w:w="1887" w:type="pct"/>
          </w:tcPr>
          <w:p w14:paraId="1911EAF0" w14:textId="77777777" w:rsidR="00F058A2" w:rsidRPr="00AB3B90" w:rsidRDefault="00F058A2">
            <w:pPr>
              <w:spacing w:line="240" w:lineRule="auto"/>
              <w:rPr>
                <w:rFonts w:asciiTheme="majorHAnsi" w:hAnsiTheme="majorHAnsi"/>
                <w:sz w:val="16"/>
                <w:szCs w:val="16"/>
              </w:rPr>
            </w:pPr>
            <w:r w:rsidRPr="00AB3B90">
              <w:rPr>
                <w:rFonts w:asciiTheme="majorHAnsi" w:hAnsiTheme="majorHAnsi"/>
                <w:sz w:val="16"/>
                <w:szCs w:val="16"/>
              </w:rPr>
              <w:t>Building operations, general maintenance, and other staff (%)</w:t>
            </w:r>
          </w:p>
        </w:tc>
        <w:tc>
          <w:tcPr>
            <w:tcW w:w="519" w:type="pct"/>
          </w:tcPr>
          <w:p w14:paraId="5F6EBE45"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5.0</w:t>
            </w:r>
          </w:p>
        </w:tc>
        <w:tc>
          <w:tcPr>
            <w:tcW w:w="519" w:type="pct"/>
          </w:tcPr>
          <w:p w14:paraId="3686490A"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4.9</w:t>
            </w:r>
          </w:p>
        </w:tc>
        <w:tc>
          <w:tcPr>
            <w:tcW w:w="519" w:type="pct"/>
          </w:tcPr>
          <w:p w14:paraId="58ACD4A8"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4.9</w:t>
            </w:r>
          </w:p>
        </w:tc>
        <w:tc>
          <w:tcPr>
            <w:tcW w:w="519" w:type="pct"/>
          </w:tcPr>
          <w:p w14:paraId="79670A91"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5.7</w:t>
            </w:r>
          </w:p>
        </w:tc>
        <w:tc>
          <w:tcPr>
            <w:tcW w:w="519" w:type="pct"/>
          </w:tcPr>
          <w:p w14:paraId="010D5F34"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5.8</w:t>
            </w:r>
          </w:p>
        </w:tc>
        <w:tc>
          <w:tcPr>
            <w:tcW w:w="518" w:type="pct"/>
          </w:tcPr>
          <w:p w14:paraId="790A118C"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5.8</w:t>
            </w:r>
          </w:p>
        </w:tc>
      </w:tr>
      <w:tr w:rsidR="00F058A2" w:rsidRPr="00AB3B90" w14:paraId="253D5C7F" w14:textId="77777777">
        <w:tc>
          <w:tcPr>
            <w:tcW w:w="1887" w:type="pct"/>
          </w:tcPr>
          <w:p w14:paraId="283D699A" w14:textId="77777777" w:rsidR="00F058A2" w:rsidRPr="00AB3B90" w:rsidRDefault="00F058A2">
            <w:pPr>
              <w:spacing w:line="240" w:lineRule="auto"/>
              <w:rPr>
                <w:rFonts w:asciiTheme="majorHAnsi" w:hAnsiTheme="majorHAnsi"/>
                <w:sz w:val="16"/>
                <w:szCs w:val="16"/>
              </w:rPr>
            </w:pPr>
            <w:r w:rsidRPr="00AB3B90">
              <w:rPr>
                <w:rFonts w:asciiTheme="majorHAnsi" w:hAnsiTheme="majorHAnsi"/>
                <w:sz w:val="16"/>
                <w:szCs w:val="16"/>
              </w:rPr>
              <w:t>Specialist support staff (%)</w:t>
            </w:r>
          </w:p>
        </w:tc>
        <w:tc>
          <w:tcPr>
            <w:tcW w:w="519" w:type="pct"/>
          </w:tcPr>
          <w:p w14:paraId="57090A51"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3.4</w:t>
            </w:r>
          </w:p>
        </w:tc>
        <w:tc>
          <w:tcPr>
            <w:tcW w:w="519" w:type="pct"/>
          </w:tcPr>
          <w:p w14:paraId="10DDA94F"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3.6</w:t>
            </w:r>
          </w:p>
        </w:tc>
        <w:tc>
          <w:tcPr>
            <w:tcW w:w="519" w:type="pct"/>
          </w:tcPr>
          <w:p w14:paraId="22B4F40C"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3.8</w:t>
            </w:r>
          </w:p>
        </w:tc>
        <w:tc>
          <w:tcPr>
            <w:tcW w:w="519" w:type="pct"/>
          </w:tcPr>
          <w:p w14:paraId="13033A9E"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4.6</w:t>
            </w:r>
          </w:p>
        </w:tc>
        <w:tc>
          <w:tcPr>
            <w:tcW w:w="519" w:type="pct"/>
          </w:tcPr>
          <w:p w14:paraId="7DEC7318"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5.0</w:t>
            </w:r>
          </w:p>
        </w:tc>
        <w:tc>
          <w:tcPr>
            <w:tcW w:w="518" w:type="pct"/>
          </w:tcPr>
          <w:p w14:paraId="73086CA8" w14:textId="77777777" w:rsidR="00F058A2" w:rsidRPr="00AB3B90" w:rsidRDefault="00F058A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5.2</w:t>
            </w:r>
          </w:p>
        </w:tc>
      </w:tr>
    </w:tbl>
    <w:p w14:paraId="1C29BB94" w14:textId="77777777" w:rsidR="00835A35" w:rsidRPr="00AB3B90" w:rsidRDefault="00835A35" w:rsidP="00835A35">
      <w:pPr>
        <w:pStyle w:val="Source"/>
        <w:spacing w:line="240" w:lineRule="auto"/>
      </w:pPr>
      <w:r w:rsidRPr="00AB3B90">
        <w:t xml:space="preserve">Source: Deloitte Access Economics (2024) and Australian Curriculum Assessment and Reporting Authority, </w:t>
      </w:r>
      <w:r w:rsidRPr="00AB3B90">
        <w:rPr>
          <w:i/>
        </w:rPr>
        <w:t xml:space="preserve">Staff numbers </w:t>
      </w:r>
      <w:r w:rsidRPr="00AB3B90">
        <w:t>(2022) &lt;https://www.acara.edu.au/reporting/national-report-on-schooling-in-australia/staff-numbers&gt;.</w:t>
      </w:r>
    </w:p>
    <w:p w14:paraId="197CA2C6" w14:textId="1DE84742" w:rsidR="004B64E9" w:rsidRPr="00AB3B90" w:rsidRDefault="0093594C" w:rsidP="004B64E9">
      <w:r w:rsidRPr="00AB3B90">
        <w:t xml:space="preserve">The </w:t>
      </w:r>
      <w:r w:rsidR="00455399" w:rsidRPr="00AB3B90">
        <w:t xml:space="preserve">approximate </w:t>
      </w:r>
      <w:r w:rsidRPr="00AB3B90">
        <w:t>percentage of FTE staff dedicated to teaching varies across jurisdictions. In 2019, among government sector schools, the Australian Capital Territory exhibited the highest proportion of teaching staff (72</w:t>
      </w:r>
      <w:r w:rsidR="00CE69E0" w:rsidRPr="00AB3B90">
        <w:t> </w:t>
      </w:r>
      <w:r w:rsidRPr="00AB3B90">
        <w:t>per</w:t>
      </w:r>
      <w:r w:rsidR="00CE69E0" w:rsidRPr="00AB3B90">
        <w:t> </w:t>
      </w:r>
      <w:r w:rsidRPr="00AB3B90">
        <w:t xml:space="preserve">cent), followed by </w:t>
      </w:r>
      <w:r w:rsidR="00255283" w:rsidRPr="00AB3B90">
        <w:t>New South Wales</w:t>
      </w:r>
      <w:r w:rsidRPr="00AB3B90">
        <w:t xml:space="preserve"> (72</w:t>
      </w:r>
      <w:r w:rsidR="00CE69E0" w:rsidRPr="00AB3B90">
        <w:t> </w:t>
      </w:r>
      <w:r w:rsidRPr="00AB3B90">
        <w:t>per</w:t>
      </w:r>
      <w:r w:rsidR="00CE69E0" w:rsidRPr="00AB3B90">
        <w:t> </w:t>
      </w:r>
      <w:r w:rsidRPr="00AB3B90">
        <w:t xml:space="preserve">cent) and </w:t>
      </w:r>
      <w:r w:rsidR="00042EDC" w:rsidRPr="00AB3B90">
        <w:t>Victoria</w:t>
      </w:r>
      <w:r w:rsidRPr="00AB3B90">
        <w:t xml:space="preserve"> (71</w:t>
      </w:r>
      <w:r w:rsidR="00CE69E0" w:rsidRPr="00AB3B90">
        <w:t> </w:t>
      </w:r>
      <w:r w:rsidRPr="00AB3B90">
        <w:t>per</w:t>
      </w:r>
      <w:r w:rsidR="00CE69E0" w:rsidRPr="00AB3B90">
        <w:t> </w:t>
      </w:r>
      <w:r w:rsidRPr="00AB3B90">
        <w:t>cent). Conversely, this percentage was lowest for Western Australia (62</w:t>
      </w:r>
      <w:r w:rsidR="00CE69E0" w:rsidRPr="00AB3B90">
        <w:t> </w:t>
      </w:r>
      <w:r w:rsidRPr="00AB3B90">
        <w:t>per</w:t>
      </w:r>
      <w:r w:rsidR="00CE69E0" w:rsidRPr="00AB3B90">
        <w:t> </w:t>
      </w:r>
      <w:r w:rsidRPr="00AB3B90">
        <w:t>cent), the Northern Territory (65</w:t>
      </w:r>
      <w:r w:rsidR="00CE69E0" w:rsidRPr="00AB3B90">
        <w:t> </w:t>
      </w:r>
      <w:r w:rsidRPr="00AB3B90">
        <w:t>per</w:t>
      </w:r>
      <w:r w:rsidR="00CE69E0" w:rsidRPr="00AB3B90">
        <w:t> </w:t>
      </w:r>
      <w:r w:rsidRPr="00AB3B90">
        <w:t>cent) and South Australia (66</w:t>
      </w:r>
      <w:r w:rsidR="00CE69E0" w:rsidRPr="00AB3B90">
        <w:t> </w:t>
      </w:r>
      <w:r w:rsidRPr="00AB3B90">
        <w:t>per</w:t>
      </w:r>
      <w:r w:rsidR="00CE69E0" w:rsidRPr="00AB3B90">
        <w:t> </w:t>
      </w:r>
      <w:r w:rsidRPr="00AB3B90">
        <w:t>cent) (</w:t>
      </w:r>
      <w:r w:rsidR="009776DC" w:rsidRPr="00AB3B90">
        <w:fldChar w:fldCharType="begin"/>
      </w:r>
      <w:r w:rsidR="009776DC" w:rsidRPr="00AB3B90">
        <w:instrText xml:space="preserve"> REF _Ref160787917 \h </w:instrText>
      </w:r>
      <w:r w:rsidR="00F53577" w:rsidRPr="00AB3B90">
        <w:instrText xml:space="preserve"> \* MERGEFORMAT </w:instrText>
      </w:r>
      <w:r w:rsidR="009776DC" w:rsidRPr="00AB3B90">
        <w:fldChar w:fldCharType="separate"/>
      </w:r>
      <w:r w:rsidR="00FF6847" w:rsidRPr="00AB3B90">
        <w:t xml:space="preserve">Figure </w:t>
      </w:r>
      <w:r w:rsidR="00FF6847" w:rsidRPr="00AB3B90">
        <w:rPr>
          <w:noProof/>
        </w:rPr>
        <w:t>3</w:t>
      </w:r>
      <w:r w:rsidR="009776DC" w:rsidRPr="00AB3B90">
        <w:fldChar w:fldCharType="end"/>
      </w:r>
      <w:r w:rsidRPr="00AB3B90">
        <w:t>).</w:t>
      </w:r>
    </w:p>
    <w:p w14:paraId="0ADB5C20" w14:textId="06153E7D" w:rsidR="00DC7C3D" w:rsidRDefault="00DC7C3D">
      <w:pPr>
        <w:spacing w:before="0" w:after="160"/>
      </w:pPr>
      <w:r>
        <w:br w:type="page"/>
      </w:r>
    </w:p>
    <w:p w14:paraId="5582F45E" w14:textId="5324B4E9" w:rsidR="003F73B9" w:rsidRPr="00AB3B90" w:rsidRDefault="003F73B9" w:rsidP="003F73B9">
      <w:pPr>
        <w:pStyle w:val="Caption"/>
        <w:keepNext/>
      </w:pPr>
      <w:bookmarkStart w:id="82" w:name="_Ref160787917"/>
      <w:bookmarkStart w:id="83" w:name="_Ref160787899"/>
      <w:bookmarkStart w:id="84" w:name="_Toc163650464"/>
      <w:r w:rsidRPr="00AB3B90">
        <w:t xml:space="preserve">Figure </w:t>
      </w:r>
      <w:r w:rsidRPr="00AB3B90">
        <w:fldChar w:fldCharType="begin"/>
      </w:r>
      <w:r w:rsidRPr="00AB3B90">
        <w:instrText>SEQ Figure \* ARABIC</w:instrText>
      </w:r>
      <w:r w:rsidRPr="00AB3B90">
        <w:fldChar w:fldCharType="separate"/>
      </w:r>
      <w:r w:rsidR="00FF6847" w:rsidRPr="00AB3B90">
        <w:rPr>
          <w:noProof/>
        </w:rPr>
        <w:t>3</w:t>
      </w:r>
      <w:r w:rsidRPr="00AB3B90">
        <w:fldChar w:fldCharType="end"/>
      </w:r>
      <w:bookmarkEnd w:id="82"/>
      <w:r w:rsidRPr="00AB3B90">
        <w:t xml:space="preserve"> Government school sector staff, staff function by state and territory, </w:t>
      </w:r>
      <w:proofErr w:type="gramStart"/>
      <w:r w:rsidRPr="00AB3B90">
        <w:t>2019</w:t>
      </w:r>
      <w:bookmarkEnd w:id="83"/>
      <w:bookmarkEnd w:id="84"/>
      <w:proofErr w:type="gramEnd"/>
    </w:p>
    <w:p w14:paraId="13722B6F" w14:textId="3C0EF7CD" w:rsidR="006F3D23" w:rsidRPr="006F3D23" w:rsidRDefault="006F3D23" w:rsidP="006F3D23">
      <w:pPr>
        <w:spacing w:before="100" w:beforeAutospacing="1" w:after="100" w:afterAutospacing="1" w:line="240" w:lineRule="auto"/>
        <w:rPr>
          <w:rFonts w:ascii="Times New Roman" w:eastAsia="Times New Roman" w:hAnsi="Times New Roman" w:cs="Times New Roman"/>
          <w:sz w:val="24"/>
          <w:szCs w:val="24"/>
          <w:lang w:eastAsia="en-AU"/>
        </w:rPr>
      </w:pPr>
      <w:r w:rsidRPr="006F3D23">
        <w:rPr>
          <w:rFonts w:ascii="Times New Roman" w:eastAsia="Times New Roman" w:hAnsi="Times New Roman" w:cs="Times New Roman"/>
          <w:noProof/>
          <w:sz w:val="24"/>
          <w:szCs w:val="24"/>
          <w:lang w:eastAsia="en-AU"/>
        </w:rPr>
        <w:drawing>
          <wp:inline distT="0" distB="0" distL="0" distR="0" wp14:anchorId="1B61D697" wp14:editId="1266846C">
            <wp:extent cx="5731510" cy="2167890"/>
            <wp:effectExtent l="0" t="0" r="2540" b="3810"/>
            <wp:docPr id="1893550098" name="Picture 3" descr="Figure 3 is a bar chart depicting government school sector staff, staff function by state and territory, 2019,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50098" name="Picture 3" descr="Figure 3 is a bar chart depicting government school sector staff, staff function by state and territory, 2019, as described in the text abov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2167890"/>
                    </a:xfrm>
                    <a:prstGeom prst="rect">
                      <a:avLst/>
                    </a:prstGeom>
                    <a:noFill/>
                    <a:ln>
                      <a:noFill/>
                    </a:ln>
                  </pic:spPr>
                </pic:pic>
              </a:graphicData>
            </a:graphic>
          </wp:inline>
        </w:drawing>
      </w:r>
    </w:p>
    <w:p w14:paraId="0C5D799E" w14:textId="77777777" w:rsidR="00B1329D" w:rsidRPr="00AB3B90" w:rsidRDefault="00B1329D" w:rsidP="00B1329D">
      <w:pPr>
        <w:pStyle w:val="Source"/>
        <w:spacing w:after="0" w:line="240" w:lineRule="auto"/>
      </w:pPr>
      <w:r w:rsidRPr="00AB3B90">
        <w:t xml:space="preserve">Notes: ACARA staff data is available by calendar year only. Expenditure data for government schools is by financial year while non-government </w:t>
      </w:r>
      <w:proofErr w:type="gramStart"/>
      <w:r w:rsidRPr="00AB3B90">
        <w:t>schools</w:t>
      </w:r>
      <w:proofErr w:type="gramEnd"/>
      <w:r w:rsidRPr="00AB3B90">
        <w:t xml:space="preserve"> data is published for calendar years. </w:t>
      </w:r>
    </w:p>
    <w:p w14:paraId="61738115" w14:textId="179E672B" w:rsidR="003F73B9" w:rsidRPr="00AB3B90" w:rsidRDefault="00B1329D" w:rsidP="00B1329D">
      <w:pPr>
        <w:pStyle w:val="Source"/>
        <w:spacing w:before="0" w:line="240" w:lineRule="auto"/>
      </w:pPr>
      <w:r w:rsidRPr="00AB3B90">
        <w:t xml:space="preserve">Source: Deloitte Access Economics (2024) and Australian Curriculum Assessment and Reporting Authority, </w:t>
      </w:r>
      <w:r w:rsidRPr="00AB3B90">
        <w:rPr>
          <w:i/>
        </w:rPr>
        <w:t xml:space="preserve">Staff numbers </w:t>
      </w:r>
      <w:r w:rsidRPr="00AB3B90">
        <w:t>(2022) &lt;https://www.acara.edu.au/reporting/national-report-on-schooling-in-australia/staff-numbers&gt;.</w:t>
      </w:r>
    </w:p>
    <w:p w14:paraId="4C8E41F2" w14:textId="1107A8A6" w:rsidR="003F73B9" w:rsidRPr="00AB3B90" w:rsidRDefault="00C8531B" w:rsidP="004B64E9">
      <w:r w:rsidRPr="00AB3B90">
        <w:t>In 2019, among non-government schools, the proportion of FTE teaching staff ranged from 52</w:t>
      </w:r>
      <w:r w:rsidR="00486E43" w:rsidRPr="00AB3B90">
        <w:t> </w:t>
      </w:r>
      <w:r w:rsidRPr="00AB3B90">
        <w:t>per</w:t>
      </w:r>
      <w:r w:rsidR="00486E43" w:rsidRPr="00AB3B90">
        <w:t> </w:t>
      </w:r>
      <w:r w:rsidRPr="00AB3B90">
        <w:t>cent to 71</w:t>
      </w:r>
      <w:r w:rsidR="00486E43" w:rsidRPr="00AB3B90">
        <w:t> </w:t>
      </w:r>
      <w:r w:rsidRPr="00AB3B90">
        <w:t>per</w:t>
      </w:r>
      <w:r w:rsidR="00486E43" w:rsidRPr="00AB3B90">
        <w:t> </w:t>
      </w:r>
      <w:r w:rsidRPr="00AB3B90">
        <w:t xml:space="preserve">cent, mirroring the variability seen in the government sector. Like government sector schools, the highest proportions of teaching staff were noted in </w:t>
      </w:r>
      <w:r w:rsidR="00B64053" w:rsidRPr="00AB3B90">
        <w:t>New South Wales</w:t>
      </w:r>
      <w:r w:rsidRPr="00AB3B90">
        <w:t xml:space="preserve"> (71</w:t>
      </w:r>
      <w:r w:rsidR="00486E43" w:rsidRPr="00AB3B90">
        <w:t> </w:t>
      </w:r>
      <w:r w:rsidRPr="00AB3B90">
        <w:t>per</w:t>
      </w:r>
      <w:r w:rsidR="00486E43" w:rsidRPr="00AB3B90">
        <w:t> </w:t>
      </w:r>
      <w:r w:rsidRPr="00AB3B90">
        <w:t>cent), the Australian Capital Territory (71</w:t>
      </w:r>
      <w:r w:rsidR="00486E43" w:rsidRPr="00AB3B90">
        <w:t> </w:t>
      </w:r>
      <w:r w:rsidRPr="00AB3B90">
        <w:t>per</w:t>
      </w:r>
      <w:r w:rsidR="00486E43" w:rsidRPr="00AB3B90">
        <w:t> </w:t>
      </w:r>
      <w:r w:rsidRPr="00AB3B90">
        <w:t xml:space="preserve">cent) and </w:t>
      </w:r>
      <w:r w:rsidR="001E3E3C" w:rsidRPr="00AB3B90">
        <w:t>Victoria</w:t>
      </w:r>
      <w:r w:rsidRPr="00AB3B90">
        <w:t xml:space="preserve"> (68</w:t>
      </w:r>
      <w:r w:rsidR="00486E43" w:rsidRPr="00AB3B90">
        <w:t> </w:t>
      </w:r>
      <w:r w:rsidRPr="00AB3B90">
        <w:t>per</w:t>
      </w:r>
      <w:r w:rsidR="00486E43" w:rsidRPr="00AB3B90">
        <w:t> </w:t>
      </w:r>
      <w:r w:rsidRPr="00AB3B90">
        <w:t>cent). Conversely, the lowest share was observed in the Northern Territory (51</w:t>
      </w:r>
      <w:r w:rsidR="00486E43" w:rsidRPr="00AB3B90">
        <w:t> </w:t>
      </w:r>
      <w:r w:rsidRPr="00AB3B90">
        <w:t>per</w:t>
      </w:r>
      <w:r w:rsidR="00486E43" w:rsidRPr="00AB3B90">
        <w:t> </w:t>
      </w:r>
      <w:r w:rsidRPr="00AB3B90">
        <w:t>cent) (</w:t>
      </w:r>
      <w:r w:rsidR="000F732A" w:rsidRPr="00AB3B90">
        <w:fldChar w:fldCharType="begin"/>
      </w:r>
      <w:r w:rsidR="000F732A" w:rsidRPr="00AB3B90">
        <w:instrText xml:space="preserve"> REF _Ref160787117 \h </w:instrText>
      </w:r>
      <w:r w:rsidR="00F53577" w:rsidRPr="00AB3B90">
        <w:instrText xml:space="preserve"> \* MERGEFORMAT </w:instrText>
      </w:r>
      <w:r w:rsidR="000F732A" w:rsidRPr="00AB3B90">
        <w:fldChar w:fldCharType="separate"/>
      </w:r>
      <w:r w:rsidR="00FF6847" w:rsidRPr="00AB3B90">
        <w:t xml:space="preserve">Figure </w:t>
      </w:r>
      <w:r w:rsidR="00FF6847" w:rsidRPr="00AB3B90">
        <w:rPr>
          <w:noProof/>
        </w:rPr>
        <w:t>4</w:t>
      </w:r>
      <w:r w:rsidR="000F732A" w:rsidRPr="00AB3B90">
        <w:fldChar w:fldCharType="end"/>
      </w:r>
      <w:r w:rsidRPr="00AB3B90">
        <w:t>). Relative to the government sector, non-government schools tend to have a higher proportion of non-teaching staff.</w:t>
      </w:r>
    </w:p>
    <w:p w14:paraId="539993AD" w14:textId="0FFE56E6" w:rsidR="000F732A" w:rsidRPr="00AB3B90" w:rsidRDefault="000F732A" w:rsidP="000F732A">
      <w:pPr>
        <w:pStyle w:val="Caption"/>
        <w:keepNext/>
      </w:pPr>
      <w:bookmarkStart w:id="85" w:name="_Ref160787117"/>
      <w:bookmarkStart w:id="86" w:name="_Toc163650465"/>
      <w:r w:rsidRPr="00AB3B90">
        <w:t xml:space="preserve">Figure </w:t>
      </w:r>
      <w:r w:rsidRPr="00AB3B90">
        <w:fldChar w:fldCharType="begin"/>
      </w:r>
      <w:r w:rsidRPr="00AB3B90">
        <w:instrText>SEQ Figure \* ARABIC</w:instrText>
      </w:r>
      <w:r w:rsidRPr="00AB3B90">
        <w:fldChar w:fldCharType="separate"/>
      </w:r>
      <w:r w:rsidR="00FF6847" w:rsidRPr="00AB3B90">
        <w:rPr>
          <w:noProof/>
        </w:rPr>
        <w:t>4</w:t>
      </w:r>
      <w:r w:rsidRPr="00AB3B90">
        <w:fldChar w:fldCharType="end"/>
      </w:r>
      <w:bookmarkEnd w:id="85"/>
      <w:r w:rsidRPr="00AB3B90">
        <w:t xml:space="preserve"> Non-government school sector staff, staff function by state and territory, </w:t>
      </w:r>
      <w:proofErr w:type="gramStart"/>
      <w:r w:rsidRPr="00AB3B90">
        <w:t>2019</w:t>
      </w:r>
      <w:bookmarkEnd w:id="86"/>
      <w:proofErr w:type="gramEnd"/>
    </w:p>
    <w:p w14:paraId="5477F8FD" w14:textId="05B595AD" w:rsidR="007D7426" w:rsidRPr="007D7426" w:rsidRDefault="007D7426" w:rsidP="007D7426">
      <w:pPr>
        <w:spacing w:before="100" w:beforeAutospacing="1" w:after="100" w:afterAutospacing="1" w:line="240" w:lineRule="auto"/>
        <w:rPr>
          <w:rFonts w:ascii="Times New Roman" w:eastAsia="Times New Roman" w:hAnsi="Times New Roman" w:cs="Times New Roman"/>
          <w:sz w:val="24"/>
          <w:szCs w:val="24"/>
          <w:lang w:eastAsia="en-AU"/>
        </w:rPr>
      </w:pPr>
      <w:r w:rsidRPr="007D7426">
        <w:rPr>
          <w:rFonts w:ascii="Times New Roman" w:eastAsia="Times New Roman" w:hAnsi="Times New Roman" w:cs="Times New Roman"/>
          <w:noProof/>
          <w:sz w:val="24"/>
          <w:szCs w:val="24"/>
          <w:lang w:eastAsia="en-AU"/>
        </w:rPr>
        <w:drawing>
          <wp:inline distT="0" distB="0" distL="0" distR="0" wp14:anchorId="5ABE600F" wp14:editId="23B92FAB">
            <wp:extent cx="5731510" cy="2167890"/>
            <wp:effectExtent l="0" t="0" r="2540" b="3810"/>
            <wp:docPr id="1244924558" name="Picture 4" descr="Figure 4 is a bar chart depicting non-government school sector staff, staff function by state and territory, 2019,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24558" name="Picture 4" descr="Figure 4 is a bar chart depicting non-government school sector staff, staff function by state and territory, 2019, as described in the text abov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2167890"/>
                    </a:xfrm>
                    <a:prstGeom prst="rect">
                      <a:avLst/>
                    </a:prstGeom>
                    <a:noFill/>
                    <a:ln>
                      <a:noFill/>
                    </a:ln>
                  </pic:spPr>
                </pic:pic>
              </a:graphicData>
            </a:graphic>
          </wp:inline>
        </w:drawing>
      </w:r>
    </w:p>
    <w:p w14:paraId="4E2573E0" w14:textId="1B12F186" w:rsidR="003F73B9" w:rsidRPr="00AB3B90" w:rsidRDefault="00C641E1" w:rsidP="005C12E9">
      <w:pPr>
        <w:pStyle w:val="Source"/>
      </w:pPr>
      <w:r w:rsidRPr="00AB3B90">
        <w:t xml:space="preserve">Source: Deloitte Access Economics (2024) and Australian Curriculum Assessment and Reporting Authority, </w:t>
      </w:r>
      <w:r w:rsidRPr="00AB3B90">
        <w:rPr>
          <w:i/>
        </w:rPr>
        <w:t xml:space="preserve">Staff numbers </w:t>
      </w:r>
      <w:r w:rsidRPr="00AB3B90">
        <w:t>(2022) &lt;https://www.acara.edu.au/reporting/national-report-on-schooling-in-australia/staff-numbers&gt;.</w:t>
      </w:r>
    </w:p>
    <w:p w14:paraId="2F0F02D5" w14:textId="1CC2C76E" w:rsidR="00C641E1" w:rsidRPr="00AB3B90" w:rsidRDefault="00EE6792" w:rsidP="009F66CD">
      <w:pPr>
        <w:pStyle w:val="Heading3"/>
      </w:pPr>
      <w:r w:rsidRPr="00AB3B90">
        <w:t>Non-staffing inputs</w:t>
      </w:r>
    </w:p>
    <w:p w14:paraId="6E67C487" w14:textId="2B653ADB" w:rsidR="00F53577" w:rsidRPr="00AB3B90" w:rsidRDefault="00A4729D" w:rsidP="00F53577">
      <w:r w:rsidRPr="00AB3B90">
        <w:t>Limited</w:t>
      </w:r>
      <w:r w:rsidR="00F53577" w:rsidRPr="00AB3B90">
        <w:t xml:space="preserve"> information </w:t>
      </w:r>
      <w:r w:rsidRPr="00AB3B90">
        <w:t xml:space="preserve">is </w:t>
      </w:r>
      <w:r w:rsidR="00F53577" w:rsidRPr="00AB3B90">
        <w:t xml:space="preserve">publicly available on the components of non-salary related school expenditure. The information that does exist suggests non-salary related school expenditure likely encompasses: </w:t>
      </w:r>
    </w:p>
    <w:p w14:paraId="1DEB5925" w14:textId="77777777" w:rsidR="00F53577" w:rsidRPr="00AB3B90" w:rsidRDefault="690BA058" w:rsidP="00F0593F">
      <w:pPr>
        <w:pStyle w:val="ListBullet"/>
      </w:pPr>
      <w:r w:rsidRPr="00AB3B90">
        <w:t>general operating expenses, such as utility bills and insurance costs,</w:t>
      </w:r>
    </w:p>
    <w:p w14:paraId="68C79BB5" w14:textId="77777777" w:rsidR="00F53577" w:rsidRPr="00AB3B90" w:rsidRDefault="690BA058" w:rsidP="00F0593F">
      <w:pPr>
        <w:pStyle w:val="ListBullet"/>
      </w:pPr>
      <w:r w:rsidRPr="00AB3B90">
        <w:t>maintenance costs for school land and buildings, and</w:t>
      </w:r>
    </w:p>
    <w:p w14:paraId="4CAD6298" w14:textId="77777777" w:rsidR="00F53577" w:rsidRPr="00AB3B90" w:rsidRDefault="690BA058" w:rsidP="00F0593F">
      <w:pPr>
        <w:pStyle w:val="ListBullet"/>
      </w:pPr>
      <w:r w:rsidRPr="00AB3B90">
        <w:t>materials and supplies including textbooks, art supplies, or sporting equipment.</w:t>
      </w:r>
      <w:r w:rsidR="00F53577" w:rsidRPr="00AB3B90">
        <w:rPr>
          <w:rStyle w:val="FootnoteReference"/>
        </w:rPr>
        <w:footnoteReference w:id="15"/>
      </w:r>
    </w:p>
    <w:p w14:paraId="32AC3404" w14:textId="77777777" w:rsidR="00F53577" w:rsidRPr="00AB3B90" w:rsidRDefault="00F53577" w:rsidP="00F53577">
      <w:r w:rsidRPr="00AB3B90">
        <w:t>Discussions with stakeholders and the subsequent written feedback predominantly affirmed these elements as crucial components of non-staffing inputs. Stakeholders emphasised the importance of:</w:t>
      </w:r>
    </w:p>
    <w:p w14:paraId="13544C48" w14:textId="26E9B401" w:rsidR="00F53577" w:rsidRPr="00AB3B90" w:rsidRDefault="690BA058" w:rsidP="00F0593F">
      <w:pPr>
        <w:pStyle w:val="ListBullet"/>
      </w:pPr>
      <w:r w:rsidRPr="00AB3B90">
        <w:t>software, information, and communications technology,</w:t>
      </w:r>
    </w:p>
    <w:p w14:paraId="23FF1CEE" w14:textId="14A7C9AC" w:rsidR="00F53577" w:rsidRPr="00AB3B90" w:rsidRDefault="690BA058" w:rsidP="00F0593F">
      <w:pPr>
        <w:pStyle w:val="ListBullet"/>
      </w:pPr>
      <w:r w:rsidRPr="00AB3B90">
        <w:t>property management, including cleaning,</w:t>
      </w:r>
    </w:p>
    <w:p w14:paraId="0D05A7D6" w14:textId="77777777" w:rsidR="00F53577" w:rsidRPr="00AB3B90" w:rsidRDefault="690BA058" w:rsidP="00F0593F">
      <w:pPr>
        <w:pStyle w:val="ListBullet"/>
      </w:pPr>
      <w:r w:rsidRPr="00AB3B90">
        <w:t>psychology and allied health services,</w:t>
      </w:r>
    </w:p>
    <w:p w14:paraId="2D047A43" w14:textId="77777777" w:rsidR="00F53577" w:rsidRPr="00AB3B90" w:rsidRDefault="690BA058" w:rsidP="00F0593F">
      <w:pPr>
        <w:pStyle w:val="ListBullet"/>
      </w:pPr>
      <w:r w:rsidRPr="00AB3B90">
        <w:t>casual relief teachers (sourced through third parties), and</w:t>
      </w:r>
    </w:p>
    <w:p w14:paraId="1FD314B0" w14:textId="03F078AC" w:rsidR="00F53577" w:rsidRPr="00AB3B90" w:rsidRDefault="690BA058" w:rsidP="00F0593F">
      <w:pPr>
        <w:pStyle w:val="ListBullet"/>
      </w:pPr>
      <w:r w:rsidRPr="00AB3B90">
        <w:t>insurance.</w:t>
      </w:r>
    </w:p>
    <w:p w14:paraId="7FCD6E30" w14:textId="22814A2E" w:rsidR="00F53577" w:rsidRPr="00AB3B90" w:rsidRDefault="00F53577" w:rsidP="00F53577">
      <w:r w:rsidRPr="00AB3B90">
        <w:t xml:space="preserve">It was noted by some stakeholders that the composition of non-staffing inputs for </w:t>
      </w:r>
      <w:proofErr w:type="gramStart"/>
      <w:r w:rsidRPr="00AB3B90">
        <w:t>particular jurisdictions</w:t>
      </w:r>
      <w:proofErr w:type="gramEnd"/>
      <w:r w:rsidRPr="00AB3B90">
        <w:t xml:space="preserve"> differs quite substantially, in particular:</w:t>
      </w:r>
    </w:p>
    <w:p w14:paraId="070927DE" w14:textId="07D1E77D" w:rsidR="00F53577" w:rsidRPr="00AB3B90" w:rsidRDefault="007D0D3F" w:rsidP="00F0593F">
      <w:pPr>
        <w:pStyle w:val="ListBullet"/>
      </w:pPr>
      <w:r w:rsidRPr="00AB3B90">
        <w:t xml:space="preserve">higher </w:t>
      </w:r>
      <w:r w:rsidR="690BA058" w:rsidRPr="00AB3B90">
        <w:t>natural disaster and recovery spending,</w:t>
      </w:r>
    </w:p>
    <w:p w14:paraId="054B3004" w14:textId="65E99E77" w:rsidR="00F53577" w:rsidRPr="00AB3B90" w:rsidRDefault="690BA058" w:rsidP="00F0593F">
      <w:pPr>
        <w:pStyle w:val="ListBullet"/>
      </w:pPr>
      <w:r w:rsidRPr="00AB3B90">
        <w:t xml:space="preserve">disproportionate maintenance and transport </w:t>
      </w:r>
      <w:r w:rsidR="00682663" w:rsidRPr="00AB3B90">
        <w:t>spending</w:t>
      </w:r>
      <w:r w:rsidRPr="00AB3B90">
        <w:t xml:space="preserve"> due to high numbers of regional and remote schools, </w:t>
      </w:r>
    </w:p>
    <w:p w14:paraId="6AF722F3" w14:textId="77777777" w:rsidR="00F27F7A" w:rsidRPr="00AB3B90" w:rsidRDefault="690BA058" w:rsidP="00F0593F">
      <w:pPr>
        <w:pStyle w:val="ListBullet"/>
      </w:pPr>
      <w:r w:rsidRPr="00AB3B90">
        <w:t>higher proportions of expenditure on insurance premiums for non-government schools</w:t>
      </w:r>
      <w:r w:rsidR="003A43F7" w:rsidRPr="00AB3B90">
        <w:t xml:space="preserve"> </w:t>
      </w:r>
      <w:r w:rsidR="00F27F7A" w:rsidRPr="00AB3B90">
        <w:t>and</w:t>
      </w:r>
    </w:p>
    <w:p w14:paraId="307DBE0E" w14:textId="24228C1B" w:rsidR="00F53577" w:rsidRPr="00AB3B90" w:rsidRDefault="00F27F7A" w:rsidP="31AC8158">
      <w:pPr>
        <w:pStyle w:val="ListBullet"/>
        <w:numPr>
          <w:ilvl w:val="0"/>
          <w:numId w:val="0"/>
        </w:numPr>
      </w:pPr>
      <w:r w:rsidRPr="00AB3B90">
        <w:t>costs for housing and transportation to attract and retain staff in regional and remote areas</w:t>
      </w:r>
      <w:r w:rsidR="690BA058" w:rsidRPr="00AB3B90">
        <w:t xml:space="preserve">.  </w:t>
      </w:r>
    </w:p>
    <w:p w14:paraId="0B21AEEC" w14:textId="445EEFCC" w:rsidR="003970A1" w:rsidRPr="00AB3B90" w:rsidRDefault="003970A1" w:rsidP="003970A1">
      <w:r w:rsidRPr="00AB3B90">
        <w:t xml:space="preserve">Analysis of the price movements experienced by jurisdictions in these areas of non-staffing inputs is provided </w:t>
      </w:r>
      <w:r w:rsidR="007F7E44" w:rsidRPr="00AB3B90">
        <w:t xml:space="preserve">later in this </w:t>
      </w:r>
      <w:r w:rsidR="00750857" w:rsidRPr="00AB3B90">
        <w:t>part of the report</w:t>
      </w:r>
      <w:r w:rsidRPr="00AB3B90">
        <w:t>.</w:t>
      </w:r>
    </w:p>
    <w:p w14:paraId="10CD461D" w14:textId="38761FED" w:rsidR="009A61D1" w:rsidRPr="00AB3B90" w:rsidRDefault="00F40995" w:rsidP="0000492F">
      <w:pPr>
        <w:pStyle w:val="Heading2-Numbered"/>
      </w:pPr>
      <w:bookmarkStart w:id="87" w:name="_Ref160806064"/>
      <w:bookmarkStart w:id="88" w:name="_Toc163650441"/>
      <w:r w:rsidRPr="00AB3B90">
        <w:t>Measuring schooling input prices over time</w:t>
      </w:r>
      <w:bookmarkEnd w:id="87"/>
      <w:bookmarkEnd w:id="88"/>
    </w:p>
    <w:p w14:paraId="3B3A9E2C" w14:textId="07355CD4" w:rsidR="00C16A5F" w:rsidRPr="00AB3B90" w:rsidRDefault="00A22D01" w:rsidP="009F66CD">
      <w:pPr>
        <w:pStyle w:val="Heading3"/>
      </w:pPr>
      <w:r w:rsidRPr="00AB3B90">
        <w:t>Teacher wages and salaries</w:t>
      </w:r>
    </w:p>
    <w:p w14:paraId="0732E70D" w14:textId="580EAB24" w:rsidR="00CC3710" w:rsidRPr="00AB3B90" w:rsidRDefault="00680691" w:rsidP="00680691">
      <w:r w:rsidRPr="00AB3B90">
        <w:t xml:space="preserve">In the case of government schools, the responsibility of setting salaries for teachers and school staff rests with state and territory governments. The specific details of these salaries are outlined in respective </w:t>
      </w:r>
      <w:r w:rsidR="003010A1" w:rsidRPr="00AB3B90">
        <w:t>Enterprise Bargaining Agreements (</w:t>
      </w:r>
      <w:r w:rsidRPr="00AB3B90">
        <w:t>EBAs</w:t>
      </w:r>
      <w:r w:rsidR="003010A1" w:rsidRPr="00AB3B90">
        <w:t>)</w:t>
      </w:r>
      <w:r w:rsidRPr="00AB3B90">
        <w:t xml:space="preserve"> that cover teaching and non-teaching staff collectively or separately, depending on the jurisdiction. </w:t>
      </w:r>
    </w:p>
    <w:p w14:paraId="46D69F0F" w14:textId="5EA30A88" w:rsidR="00DC7C3D" w:rsidRDefault="00D42930" w:rsidP="00680691">
      <w:r w:rsidRPr="00AB3B90">
        <w:fldChar w:fldCharType="begin"/>
      </w:r>
      <w:r w:rsidRPr="00AB3B90">
        <w:instrText xml:space="preserve"> REF _Ref160802016 \h  \* MERGEFORMAT </w:instrText>
      </w:r>
      <w:r w:rsidRPr="00AB3B90">
        <w:fldChar w:fldCharType="separate"/>
      </w:r>
      <w:r w:rsidR="7060B193" w:rsidRPr="00AB3B90">
        <w:t xml:space="preserve">Figure </w:t>
      </w:r>
      <w:r w:rsidR="7060B193" w:rsidRPr="00AB3B90">
        <w:rPr>
          <w:noProof/>
        </w:rPr>
        <w:t>13</w:t>
      </w:r>
      <w:r w:rsidRPr="00AB3B90">
        <w:fldChar w:fldCharType="end"/>
      </w:r>
      <w:r w:rsidR="025E4F4F" w:rsidRPr="00AB3B90">
        <w:t xml:space="preserve"> in </w:t>
      </w:r>
      <w:r w:rsidRPr="00AB3B90">
        <w:fldChar w:fldCharType="begin"/>
      </w:r>
      <w:r w:rsidRPr="00AB3B90">
        <w:instrText xml:space="preserve"> REF _Ref160802044 \h  \* MERGEFORMAT </w:instrText>
      </w:r>
      <w:r w:rsidRPr="00AB3B90">
        <w:fldChar w:fldCharType="separate"/>
      </w:r>
      <w:r w:rsidR="7060B193" w:rsidRPr="00AB3B90">
        <w:t>Appendix F – Additional data</w:t>
      </w:r>
      <w:r w:rsidRPr="00AB3B90">
        <w:fldChar w:fldCharType="end"/>
      </w:r>
      <w:r w:rsidR="025E4F4F" w:rsidRPr="00AB3B90">
        <w:t xml:space="preserve"> presents an overview of the EBAs for government sector teachers in each state and territory based on publicly available EBAs. It delineates the salary increase, specifying the amount, whether it is a percentage increase, flat rate increase, or a combination of both, and provides information on the timing of these increases. Using this data, along with additional information on the actual wages of teaching staff from the EBAs, estimat</w:t>
      </w:r>
      <w:r w:rsidR="00317189" w:rsidRPr="00AB3B90">
        <w:t>es</w:t>
      </w:r>
      <w:r w:rsidR="025E4F4F" w:rsidRPr="00AB3B90">
        <w:t xml:space="preserve"> of wage changes from 2018</w:t>
      </w:r>
      <w:r w:rsidR="55F49947" w:rsidRPr="00AB3B90">
        <w:t>–</w:t>
      </w:r>
      <w:r w:rsidR="025E4F4F" w:rsidRPr="00AB3B90">
        <w:t>19 to 2023</w:t>
      </w:r>
      <w:r w:rsidR="55F49947" w:rsidRPr="00AB3B90">
        <w:t>–</w:t>
      </w:r>
      <w:r w:rsidR="025E4F4F" w:rsidRPr="00AB3B90">
        <w:t>24</w:t>
      </w:r>
      <w:r w:rsidR="005622E5" w:rsidRPr="00AB3B90">
        <w:t xml:space="preserve"> </w:t>
      </w:r>
      <w:proofErr w:type="gramStart"/>
      <w:r w:rsidR="005622E5" w:rsidRPr="00AB3B90">
        <w:t>were</w:t>
      </w:r>
      <w:proofErr w:type="gramEnd"/>
      <w:r w:rsidR="005622E5" w:rsidRPr="00AB3B90">
        <w:t xml:space="preserve"> produced</w:t>
      </w:r>
      <w:r w:rsidR="025E4F4F" w:rsidRPr="00AB3B90">
        <w:t xml:space="preserve">. Subsequently, </w:t>
      </w:r>
      <w:r w:rsidR="0052514E" w:rsidRPr="00AB3B90">
        <w:t xml:space="preserve">estimates of </w:t>
      </w:r>
      <w:r w:rsidR="025E4F4F" w:rsidRPr="00AB3B90">
        <w:t>annual salary growth rates across jurisdictions</w:t>
      </w:r>
      <w:r w:rsidR="00515938" w:rsidRPr="00AB3B90">
        <w:t xml:space="preserve"> were calculated</w:t>
      </w:r>
      <w:r w:rsidR="025E4F4F" w:rsidRPr="00AB3B90">
        <w:t>, as summarised</w:t>
      </w:r>
      <w:r w:rsidR="3AA791EE" w:rsidRPr="00AB3B90">
        <w:t xml:space="preserve"> by Deloitte</w:t>
      </w:r>
      <w:r w:rsidR="009F66CD">
        <w:t xml:space="preserve"> Access Economics</w:t>
      </w:r>
      <w:r w:rsidR="025E4F4F" w:rsidRPr="00AB3B90">
        <w:t xml:space="preserve"> in </w:t>
      </w:r>
      <w:r w:rsidRPr="00AB3B90">
        <w:fldChar w:fldCharType="begin"/>
      </w:r>
      <w:r w:rsidRPr="00AB3B90">
        <w:instrText xml:space="preserve"> REF _Ref160789072 \h  \* MERGEFORMAT </w:instrText>
      </w:r>
      <w:r w:rsidRPr="00AB3B90">
        <w:fldChar w:fldCharType="separate"/>
      </w:r>
      <w:r w:rsidR="7060B193" w:rsidRPr="00AB3B90">
        <w:t xml:space="preserve">Table </w:t>
      </w:r>
      <w:r w:rsidR="7060B193" w:rsidRPr="00AB3B90">
        <w:rPr>
          <w:noProof/>
        </w:rPr>
        <w:t>4</w:t>
      </w:r>
      <w:r w:rsidRPr="00AB3B90">
        <w:fldChar w:fldCharType="end"/>
      </w:r>
      <w:r w:rsidR="025E4F4F" w:rsidRPr="00AB3B90">
        <w:t xml:space="preserve">. </w:t>
      </w:r>
    </w:p>
    <w:p w14:paraId="439B41F5" w14:textId="6B19551F" w:rsidR="00A22D01" w:rsidRPr="00AB3B90" w:rsidRDefault="00077F17" w:rsidP="00680691">
      <w:pPr>
        <w:rPr>
          <w:lang w:eastAsia="en-AU"/>
        </w:rPr>
      </w:pPr>
      <w:r w:rsidRPr="00AB3B90">
        <w:rPr>
          <w:noProof/>
        </w:rPr>
        <mc:AlternateContent>
          <mc:Choice Requires="wps">
            <w:drawing>
              <wp:inline distT="0" distB="0" distL="0" distR="0" wp14:anchorId="26FC8EE4" wp14:editId="2FF1A38A">
                <wp:extent cx="5724525" cy="1404620"/>
                <wp:effectExtent l="0" t="0" r="28575" b="23495"/>
                <wp:docPr id="839880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404620"/>
                        </a:xfrm>
                        <a:prstGeom prst="rect">
                          <a:avLst/>
                        </a:prstGeom>
                        <a:solidFill>
                          <a:srgbClr val="FFFFFF"/>
                        </a:solidFill>
                        <a:ln w="9525">
                          <a:solidFill>
                            <a:srgbClr val="000000"/>
                          </a:solidFill>
                          <a:miter lim="800000"/>
                          <a:headEnd/>
                          <a:tailEnd/>
                        </a:ln>
                      </wps:spPr>
                      <wps:txbx>
                        <w:txbxContent>
                          <w:p w14:paraId="6F65A456" w14:textId="525923E8" w:rsidR="00946CE7" w:rsidRDefault="00CC3710" w:rsidP="00CC3710">
                            <w:pPr>
                              <w:pStyle w:val="BoxHeading-Box"/>
                              <w:numPr>
                                <w:ilvl w:val="0"/>
                                <w:numId w:val="0"/>
                              </w:numPr>
                            </w:pPr>
                            <w:r>
                              <w:t xml:space="preserve">Box 2. </w:t>
                            </w:r>
                            <w:r w:rsidR="00D906DD">
                              <w:t>Salary on-costs</w:t>
                            </w:r>
                          </w:p>
                          <w:p w14:paraId="49672457" w14:textId="77777777" w:rsidR="00D906DD" w:rsidRDefault="00D906DD" w:rsidP="00D906DD">
                            <w:r w:rsidRPr="009547AA">
                              <w:t xml:space="preserve">On-costs related to salaries, covering superannuation, employer taxes (including payroll tax), and workers' compensation, represent expenses for employers that do not generate productive returns. </w:t>
                            </w:r>
                          </w:p>
                          <w:p w14:paraId="26BA4C5D" w14:textId="77777777" w:rsidR="00CC3710" w:rsidRDefault="00CC3710" w:rsidP="00CC3710">
                            <w:r w:rsidRPr="009547AA">
                              <w:t>During</w:t>
                            </w:r>
                            <w:r>
                              <w:t xml:space="preserve"> consultations, two stakeholders </w:t>
                            </w:r>
                            <w:r w:rsidRPr="009547AA">
                              <w:t>highlighted</w:t>
                            </w:r>
                            <w:r>
                              <w:t xml:space="preserve"> these costs</w:t>
                            </w:r>
                            <w:r w:rsidRPr="009547AA">
                              <w:t xml:space="preserve">. </w:t>
                            </w:r>
                            <w:r>
                              <w:t xml:space="preserve">One stakeholder </w:t>
                            </w:r>
                            <w:r w:rsidRPr="009547AA">
                              <w:t xml:space="preserve">pointed out that the </w:t>
                            </w:r>
                            <w:r>
                              <w:t xml:space="preserve">higher </w:t>
                            </w:r>
                            <w:r w:rsidRPr="009547AA">
                              <w:t>superannuation</w:t>
                            </w:r>
                            <w:r>
                              <w:t xml:space="preserve"> benefits </w:t>
                            </w:r>
                            <w:r w:rsidRPr="009547AA">
                              <w:t>for their employees contribute to</w:t>
                            </w:r>
                            <w:r>
                              <w:t xml:space="preserve"> a </w:t>
                            </w:r>
                            <w:r w:rsidRPr="009547AA">
                              <w:t>larger portion</w:t>
                            </w:r>
                            <w:r>
                              <w:t xml:space="preserve"> of SRS expenditure</w:t>
                            </w:r>
                            <w:r w:rsidRPr="009547AA">
                              <w:t xml:space="preserve"> being related to salaries. </w:t>
                            </w:r>
                          </w:p>
                          <w:p w14:paraId="683B638E" w14:textId="0559BC93" w:rsidR="00D906DD" w:rsidRDefault="00D906DD">
                            <w:r w:rsidRPr="009547AA">
                              <w:t xml:space="preserve">These salary on-costs are not factored into WPI calculations, or </w:t>
                            </w:r>
                            <w:r>
                              <w:t xml:space="preserve">the </w:t>
                            </w:r>
                            <w:r w:rsidRPr="009547AA">
                              <w:t xml:space="preserve">salary increases </w:t>
                            </w:r>
                            <w:r>
                              <w:t>calculated using publicly available</w:t>
                            </w:r>
                            <w:r w:rsidRPr="009547AA">
                              <w:t xml:space="preserve"> EBAs. </w:t>
                            </w:r>
                            <w:r>
                              <w:t>It is not typical for these costs to be factored into indexation arrangements for funding of public services, c</w:t>
                            </w:r>
                            <w:r w:rsidRPr="009547AA">
                              <w:t xml:space="preserve">onsequently, they have been excluded from the subsequent analysis. Unless there </w:t>
                            </w:r>
                            <w:r>
                              <w:t>are material</w:t>
                            </w:r>
                            <w:r w:rsidRPr="009547AA">
                              <w:t xml:space="preserve"> modification</w:t>
                            </w:r>
                            <w:r>
                              <w:t>s</w:t>
                            </w:r>
                            <w:r w:rsidRPr="009547AA">
                              <w:t xml:space="preserve"> to these costs</w:t>
                            </w:r>
                            <w:r>
                              <w:t xml:space="preserve"> over time</w:t>
                            </w:r>
                            <w:r w:rsidRPr="009547AA">
                              <w:t xml:space="preserve">, such as a change in the </w:t>
                            </w:r>
                            <w:r>
                              <w:t>national</w:t>
                            </w:r>
                            <w:r w:rsidRPr="009547AA">
                              <w:t xml:space="preserve"> superannuation guarantee amount, indexation arrangements should not address these expenses.</w:t>
                            </w:r>
                            <w:r>
                              <w:t xml:space="preserve"> In such cases, it may be that these cost changes are best addressed through adjustments to other aspects of the design of the SRS, or through a one-off adjustment, potentially made through the legislative provision for an indexation rate prescribed by the</w:t>
                            </w:r>
                            <w:r w:rsidR="008E3855">
                              <w:t xml:space="preserve"> Australian Government </w:t>
                            </w:r>
                            <w:r>
                              <w:t>Minister for Education.</w:t>
                            </w:r>
                          </w:p>
                        </w:txbxContent>
                      </wps:txbx>
                      <wps:bodyPr rot="0" vert="horz" wrap="square" lIns="91440" tIns="45720" rIns="91440" bIns="45720" anchor="t" anchorCtr="0">
                        <a:spAutoFit/>
                      </wps:bodyPr>
                    </wps:wsp>
                  </a:graphicData>
                </a:graphic>
              </wp:inline>
            </w:drawing>
          </mc:Choice>
          <mc:Fallback>
            <w:pict>
              <v:shape w14:anchorId="26FC8EE4" id="_x0000_s1028" type="#_x0000_t202" style="width:450.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r0EgIAACcEAAAOAAAAZHJzL2Uyb0RvYy54bWysU8Fu2zAMvQ/YPwi6L3YMp2uNOEWXLsOA&#10;rhvQ7QNoWY6FyaImKbG7rx+lpGnQDTsM00EgReqRfCSX19Og2V46r9DUfD7LOZNGYKvMtubfvm7e&#10;XHLmA5gWNBpZ80fp+fXq9avlaCtZYI+6lY4RiPHVaGveh2CrLPOilwP4GVppyNihGyCQ6rZZ62Ak&#10;9EFnRZ5fZCO61joU0nt6vT0Y+Srhd50U4XPXeRmYrjnlFtLt0t3EO1stodo6sL0SxzTgH7IYQBkK&#10;eoK6hQBs59RvUIMSDj12YSZwyLDrlJCpBqpmnr+o5qEHK1MtRI63J5r8/4MV9/sH+8WxML3DiRqY&#10;ivD2DsV3zwyuezBbeeMcjr2ElgLPI2XZaH11/Bqp9pWPIM34CVtqMuwCJqCpc0NkhepkhE4NeDyR&#10;LqfABD0u3hblolhwJsg2L/PyokhtyaB6+m6dDx8kDiwKNXfU1QQP+zsfYjpQPbnEaB61ajdK66S4&#10;bbPWju2BJmCTTqrghZs2bKz5VUzk7xB5On+CGFSgUdZqqPnlyQmqyNt706ZBC6D0QaaUtTkSGbk7&#10;sBimZmKqrXkRA0ReG2wfiVmHh8mlTSOhR/eTs5Gmtub+xw6c5Ex/NNSdq3lZxjFPSknUkuLOLc25&#10;BYwgqJoHzg7iOqTVSAzYG+riRiV+nzM5pkzTmGg/bk4c93M9eT3v9+oXAAAA//8DAFBLAwQUAAYA&#10;CAAAACEA2csP89sAAAAFAQAADwAAAGRycy9kb3ducmV2LnhtbEyPwU7DMBBE70j8g7VI3KiTSEUQ&#10;4lSIqmdKQULcHHsbR43XIXbTlK9n4QKXlUYzmnlbrWbfiwnH2AVSkC8yEEgm2I5aBW+vm5s7EDFp&#10;sroPhArOGGFVX15UurThRC847VIruIRiqRW4lIZSymgceh0XYUBibx9GrxPLsZV21Ccu970ssuxW&#10;et0RLzg94JNDc9gdvYK43n4OZr9tDs6ev57X09K8bz6Uur6aHx9AJJzTXxh+8BkdamZqwpFsFL0C&#10;fiT9Xvbus3wJolFQFHkBsq7kf/r6GwAA//8DAFBLAQItABQABgAIAAAAIQC2gziS/gAAAOEBAAAT&#10;AAAAAAAAAAAAAAAAAAAAAABbQ29udGVudF9UeXBlc10ueG1sUEsBAi0AFAAGAAgAAAAhADj9If/W&#10;AAAAlAEAAAsAAAAAAAAAAAAAAAAALwEAAF9yZWxzLy5yZWxzUEsBAi0AFAAGAAgAAAAhAFUN6vQS&#10;AgAAJwQAAA4AAAAAAAAAAAAAAAAALgIAAGRycy9lMm9Eb2MueG1sUEsBAi0AFAAGAAgAAAAhANnL&#10;D/PbAAAABQEAAA8AAAAAAAAAAAAAAAAAbAQAAGRycy9kb3ducmV2LnhtbFBLBQYAAAAABAAEAPMA&#10;AAB0BQAAAAA=&#10;">
                <v:textbox style="mso-fit-shape-to-text:t">
                  <w:txbxContent>
                    <w:p w14:paraId="6F65A456" w14:textId="525923E8" w:rsidR="00946CE7" w:rsidRDefault="00CC3710" w:rsidP="00CC3710">
                      <w:pPr>
                        <w:pStyle w:val="BoxHeading-Box"/>
                        <w:numPr>
                          <w:ilvl w:val="0"/>
                          <w:numId w:val="0"/>
                        </w:numPr>
                      </w:pPr>
                      <w:r>
                        <w:t xml:space="preserve">Box 2. </w:t>
                      </w:r>
                      <w:r w:rsidR="00D906DD">
                        <w:t>Salary on-costs</w:t>
                      </w:r>
                    </w:p>
                    <w:p w14:paraId="49672457" w14:textId="77777777" w:rsidR="00D906DD" w:rsidRDefault="00D906DD" w:rsidP="00D906DD">
                      <w:r w:rsidRPr="009547AA">
                        <w:t xml:space="preserve">On-costs related to salaries, covering superannuation, employer taxes (including payroll tax), and workers' compensation, represent expenses for employers that do not generate productive returns. </w:t>
                      </w:r>
                    </w:p>
                    <w:p w14:paraId="26BA4C5D" w14:textId="77777777" w:rsidR="00CC3710" w:rsidRDefault="00CC3710" w:rsidP="00CC3710">
                      <w:r w:rsidRPr="009547AA">
                        <w:t>During</w:t>
                      </w:r>
                      <w:r>
                        <w:t xml:space="preserve"> consultations, two stakeholders </w:t>
                      </w:r>
                      <w:r w:rsidRPr="009547AA">
                        <w:t>highlighted</w:t>
                      </w:r>
                      <w:r>
                        <w:t xml:space="preserve"> these costs</w:t>
                      </w:r>
                      <w:r w:rsidRPr="009547AA">
                        <w:t xml:space="preserve">. </w:t>
                      </w:r>
                      <w:r>
                        <w:t xml:space="preserve">One stakeholder </w:t>
                      </w:r>
                      <w:r w:rsidRPr="009547AA">
                        <w:t xml:space="preserve">pointed out that the </w:t>
                      </w:r>
                      <w:r>
                        <w:t xml:space="preserve">higher </w:t>
                      </w:r>
                      <w:r w:rsidRPr="009547AA">
                        <w:t>superannuation</w:t>
                      </w:r>
                      <w:r>
                        <w:t xml:space="preserve"> benefits </w:t>
                      </w:r>
                      <w:r w:rsidRPr="009547AA">
                        <w:t>for their employees contribute to</w:t>
                      </w:r>
                      <w:r>
                        <w:t xml:space="preserve"> a </w:t>
                      </w:r>
                      <w:r w:rsidRPr="009547AA">
                        <w:t>larger portion</w:t>
                      </w:r>
                      <w:r>
                        <w:t xml:space="preserve"> of SRS expenditure</w:t>
                      </w:r>
                      <w:r w:rsidRPr="009547AA">
                        <w:t xml:space="preserve"> being related to salaries. </w:t>
                      </w:r>
                    </w:p>
                    <w:p w14:paraId="683B638E" w14:textId="0559BC93" w:rsidR="00D906DD" w:rsidRDefault="00D906DD">
                      <w:r w:rsidRPr="009547AA">
                        <w:t xml:space="preserve">These salary on-costs are not factored into WPI calculations, or </w:t>
                      </w:r>
                      <w:r>
                        <w:t xml:space="preserve">the </w:t>
                      </w:r>
                      <w:r w:rsidRPr="009547AA">
                        <w:t xml:space="preserve">salary increases </w:t>
                      </w:r>
                      <w:r>
                        <w:t>calculated using publicly available</w:t>
                      </w:r>
                      <w:r w:rsidRPr="009547AA">
                        <w:t xml:space="preserve"> EBAs. </w:t>
                      </w:r>
                      <w:r>
                        <w:t>It is not typical for these costs to be factored into indexation arrangements for funding of public services, c</w:t>
                      </w:r>
                      <w:r w:rsidRPr="009547AA">
                        <w:t xml:space="preserve">onsequently, they have been excluded from the subsequent analysis. Unless there </w:t>
                      </w:r>
                      <w:r>
                        <w:t>are material</w:t>
                      </w:r>
                      <w:r w:rsidRPr="009547AA">
                        <w:t xml:space="preserve"> modification</w:t>
                      </w:r>
                      <w:r>
                        <w:t>s</w:t>
                      </w:r>
                      <w:r w:rsidRPr="009547AA">
                        <w:t xml:space="preserve"> to these costs</w:t>
                      </w:r>
                      <w:r>
                        <w:t xml:space="preserve"> over time</w:t>
                      </w:r>
                      <w:r w:rsidRPr="009547AA">
                        <w:t xml:space="preserve">, such as a change in the </w:t>
                      </w:r>
                      <w:r>
                        <w:t>national</w:t>
                      </w:r>
                      <w:r w:rsidRPr="009547AA">
                        <w:t xml:space="preserve"> superannuation guarantee amount, indexation arrangements should not address these expenses.</w:t>
                      </w:r>
                      <w:r>
                        <w:t xml:space="preserve"> In such cases, it may be that these cost changes are best addressed through adjustments to other aspects of the design of the SRS, or through a one-off adjustment, potentially made through the legislative provision for an indexation rate prescribed by the</w:t>
                      </w:r>
                      <w:r w:rsidR="008E3855">
                        <w:t xml:space="preserve"> Australian Government </w:t>
                      </w:r>
                      <w:r>
                        <w:t>Minister for Education.</w:t>
                      </w:r>
                    </w:p>
                  </w:txbxContent>
                </v:textbox>
                <w10:anchorlock/>
              </v:shape>
            </w:pict>
          </mc:Fallback>
        </mc:AlternateContent>
      </w:r>
      <w:r w:rsidR="00680691" w:rsidRPr="00AB3B90">
        <w:t xml:space="preserve">In addition, stakeholders were asked to provide data on salary increases in their jurisdiction as part of the data request. This is discussed </w:t>
      </w:r>
      <w:r w:rsidR="00F2733F" w:rsidRPr="00AB3B90">
        <w:t xml:space="preserve">later in this </w:t>
      </w:r>
      <w:r w:rsidR="00AD2051" w:rsidRPr="00AB3B90">
        <w:t>part of the report</w:t>
      </w:r>
      <w:r w:rsidR="00680691" w:rsidRPr="00AB3B90">
        <w:t>.</w:t>
      </w:r>
    </w:p>
    <w:p w14:paraId="6CFFB2F8" w14:textId="46DE4BB0" w:rsidR="00C16A5F" w:rsidRPr="00AB3B90" w:rsidRDefault="0028468D" w:rsidP="0028468D">
      <w:pPr>
        <w:pStyle w:val="Heading4"/>
      </w:pPr>
      <w:r w:rsidRPr="00AB3B90">
        <w:t xml:space="preserve">Analysis based on publicly available </w:t>
      </w:r>
      <w:proofErr w:type="gramStart"/>
      <w:r w:rsidRPr="00AB3B90">
        <w:t>EBAs</w:t>
      </w:r>
      <w:proofErr w:type="gramEnd"/>
    </w:p>
    <w:p w14:paraId="23B66617" w14:textId="533308C3" w:rsidR="00AA5A96" w:rsidRPr="00AB3B90" w:rsidRDefault="00AA5A96" w:rsidP="00AA5A96">
      <w:r w:rsidRPr="00AB3B90">
        <w:t xml:space="preserve">Publicly available EBA data reveals notable variations in teacher salaries and growth rates across jurisdictions and over different years. When considering a weighted average, with weights determined by the relative proportion of FTE teaching staff in government schools within each jurisdiction, the annual salary </w:t>
      </w:r>
      <w:proofErr w:type="gramStart"/>
      <w:r w:rsidRPr="00AB3B90">
        <w:t>increase</w:t>
      </w:r>
      <w:proofErr w:type="gramEnd"/>
      <w:r w:rsidRPr="00AB3B90">
        <w:t xml:space="preserve"> ranges between 2 and 6</w:t>
      </w:r>
      <w:r w:rsidR="00E80578" w:rsidRPr="00AB3B90">
        <w:t> </w:t>
      </w:r>
      <w:r w:rsidRPr="00AB3B90">
        <w:t>per</w:t>
      </w:r>
      <w:r w:rsidR="00E80578" w:rsidRPr="00AB3B90">
        <w:t> </w:t>
      </w:r>
      <w:r w:rsidRPr="00AB3B90">
        <w:t>cent from 2018</w:t>
      </w:r>
      <w:r w:rsidR="00E80578" w:rsidRPr="00AB3B90">
        <w:t>–</w:t>
      </w:r>
      <w:r w:rsidRPr="00AB3B90">
        <w:t>19 to 2023</w:t>
      </w:r>
      <w:r w:rsidR="00E80578" w:rsidRPr="00AB3B90">
        <w:t>–</w:t>
      </w:r>
      <w:r w:rsidRPr="00AB3B90">
        <w:t>24. Particularly noteworthy are the substantial salary increases in 2022</w:t>
      </w:r>
      <w:r w:rsidR="00E80578" w:rsidRPr="00AB3B90">
        <w:t>–</w:t>
      </w:r>
      <w:r w:rsidRPr="00AB3B90">
        <w:t>23 and 2023</w:t>
      </w:r>
      <w:r w:rsidR="00E80578" w:rsidRPr="00AB3B90">
        <w:t>–</w:t>
      </w:r>
      <w:r w:rsidRPr="00AB3B90">
        <w:t>24, including:</w:t>
      </w:r>
    </w:p>
    <w:p w14:paraId="277736D5" w14:textId="574DC02D" w:rsidR="00AA5A96" w:rsidRPr="00AB3B90" w:rsidRDefault="0D096D84" w:rsidP="00E37ADA">
      <w:pPr>
        <w:pStyle w:val="ListBullet"/>
      </w:pPr>
      <w:r w:rsidRPr="00AB3B90">
        <w:t>An average increase of 10.7</w:t>
      </w:r>
      <w:r w:rsidR="57C2D196" w:rsidRPr="00AB3B90">
        <w:t> </w:t>
      </w:r>
      <w:r w:rsidRPr="00AB3B90">
        <w:t>per</w:t>
      </w:r>
      <w:r w:rsidR="57C2D196" w:rsidRPr="00AB3B90">
        <w:t> </w:t>
      </w:r>
      <w:r w:rsidRPr="00AB3B90">
        <w:t>cent for New South Wales teachers, attributed predominately to the implementation of a new classification structure that elevated all teachers’ salaries in November 2023</w:t>
      </w:r>
    </w:p>
    <w:p w14:paraId="237F3EE1" w14:textId="1DDED7E3" w:rsidR="00AA5A96" w:rsidRPr="00AB3B90" w:rsidRDefault="0D096D84" w:rsidP="00E37ADA">
      <w:pPr>
        <w:pStyle w:val="ListBullet"/>
      </w:pPr>
      <w:r w:rsidRPr="00AB3B90">
        <w:t>Three separate increases across 2023 and 2024 for Australian Capital Territory teachers: an increase of $1,750 in January, a 1</w:t>
      </w:r>
      <w:r w:rsidR="57C2D196" w:rsidRPr="00AB3B90">
        <w:t> </w:t>
      </w:r>
      <w:r w:rsidRPr="00AB3B90">
        <w:t>per</w:t>
      </w:r>
      <w:r w:rsidR="57C2D196" w:rsidRPr="00AB3B90">
        <w:t> </w:t>
      </w:r>
      <w:r w:rsidRPr="00AB3B90">
        <w:t>cent increase in June, and an additional increase of $1,750 in December</w:t>
      </w:r>
    </w:p>
    <w:p w14:paraId="639C0BBD" w14:textId="6435FD12" w:rsidR="00AA5A96" w:rsidRPr="00AB3B90" w:rsidRDefault="0D096D84" w:rsidP="00E37ADA">
      <w:pPr>
        <w:pStyle w:val="ListBullet"/>
      </w:pPr>
      <w:r w:rsidRPr="00AB3B90">
        <w:t>A 3.5</w:t>
      </w:r>
      <w:r w:rsidR="57C2D196" w:rsidRPr="00AB3B90">
        <w:t> </w:t>
      </w:r>
      <w:r w:rsidRPr="00AB3B90">
        <w:t>per</w:t>
      </w:r>
      <w:r w:rsidR="57C2D196" w:rsidRPr="00AB3B90">
        <w:t> </w:t>
      </w:r>
      <w:r w:rsidRPr="00AB3B90">
        <w:t>cent increase accompanied by a flat rate $1,000 cost of living adjustment for teachers in Tasmania in 2023</w:t>
      </w:r>
    </w:p>
    <w:p w14:paraId="747B2EDE" w14:textId="34C86463" w:rsidR="00AA5A96" w:rsidRPr="00AB3B90" w:rsidRDefault="0D096D84" w:rsidP="00E37ADA">
      <w:pPr>
        <w:pStyle w:val="ListBullet"/>
      </w:pPr>
      <w:r w:rsidRPr="00AB3B90">
        <w:t>A 4.0</w:t>
      </w:r>
      <w:r w:rsidR="57C2D196" w:rsidRPr="00AB3B90">
        <w:t> </w:t>
      </w:r>
      <w:r w:rsidRPr="00AB3B90">
        <w:t>per</w:t>
      </w:r>
      <w:r w:rsidR="57C2D196" w:rsidRPr="00AB3B90">
        <w:t> </w:t>
      </w:r>
      <w:r w:rsidRPr="00AB3B90">
        <w:t>cent salary increase for Queensland teachers per year (</w:t>
      </w:r>
      <w:r w:rsidRPr="00AB3B90">
        <w:fldChar w:fldCharType="begin"/>
      </w:r>
      <w:r w:rsidRPr="00AB3B90">
        <w:instrText xml:space="preserve"> REF _Ref160802016 \h  \* MERGEFORMAT </w:instrText>
      </w:r>
      <w:r w:rsidRPr="00AB3B90">
        <w:fldChar w:fldCharType="separate"/>
      </w:r>
      <w:r w:rsidR="00FF6847" w:rsidRPr="00AB3B90">
        <w:t>Figure 13</w:t>
      </w:r>
      <w:r w:rsidRPr="00AB3B90">
        <w:fldChar w:fldCharType="end"/>
      </w:r>
      <w:r w:rsidRPr="00AB3B90">
        <w:t>).</w:t>
      </w:r>
      <w:r w:rsidR="003506C9" w:rsidRPr="00AB3B90">
        <w:t xml:space="preserve"> In addition to the annual salary </w:t>
      </w:r>
      <w:r w:rsidR="004B5213" w:rsidRPr="00AB3B90">
        <w:t xml:space="preserve">increase, in 2023 Queensland teachers received a lump sum cost of living adjustment </w:t>
      </w:r>
      <w:r w:rsidR="00AF49B5" w:rsidRPr="00AB3B90">
        <w:t>(COLA) payment equal to 3 per cent of base wage</w:t>
      </w:r>
      <w:r w:rsidR="00EE4487" w:rsidRPr="00AB3B90">
        <w:t>s (note COLA does not increase base salary).</w:t>
      </w:r>
    </w:p>
    <w:p w14:paraId="34C1F95A" w14:textId="77777777" w:rsidR="00AA5A96" w:rsidRPr="00AB3B90" w:rsidRDefault="00AA5A96" w:rsidP="00AA5A96">
      <w:pPr>
        <w:pStyle w:val="ListBullet"/>
        <w:numPr>
          <w:ilvl w:val="0"/>
          <w:numId w:val="0"/>
        </w:numPr>
      </w:pPr>
    </w:p>
    <w:p w14:paraId="1087D188" w14:textId="12523015" w:rsidR="00AA5A96" w:rsidRPr="00AB3B90" w:rsidRDefault="00AA5A96" w:rsidP="00AA5A96">
      <w:pPr>
        <w:pStyle w:val="ListBullet"/>
        <w:numPr>
          <w:ilvl w:val="0"/>
          <w:numId w:val="0"/>
        </w:numPr>
      </w:pPr>
      <w:r w:rsidRPr="00AB3B90">
        <w:t>The timing of salary increases also varies. Typically, jurisdictions implement a single annual increase, often occurring in the first half of the year. However, instances of multiple increases distributed throughout the year are not uncommon, especially in more recent years.</w:t>
      </w:r>
      <w:r w:rsidR="00465834" w:rsidRPr="00AB3B90">
        <w:t xml:space="preserve"> </w:t>
      </w:r>
    </w:p>
    <w:p w14:paraId="4531DB69" w14:textId="1387487D" w:rsidR="003E4C26" w:rsidRPr="00AB3B90" w:rsidRDefault="003E4C26" w:rsidP="003E4C26">
      <w:pPr>
        <w:pStyle w:val="Caption"/>
        <w:keepNext/>
      </w:pPr>
      <w:bookmarkStart w:id="89" w:name="_Ref160789072"/>
      <w:bookmarkStart w:id="90" w:name="_Toc161150701"/>
      <w:bookmarkStart w:id="91" w:name="_Toc163650480"/>
      <w:r w:rsidRPr="00AB3B90">
        <w:t xml:space="preserve">Table </w:t>
      </w:r>
      <w:r w:rsidRPr="00AB3B90">
        <w:fldChar w:fldCharType="begin"/>
      </w:r>
      <w:r w:rsidRPr="00AB3B90">
        <w:instrText>SEQ Table \* ARABIC</w:instrText>
      </w:r>
      <w:r w:rsidRPr="00AB3B90">
        <w:fldChar w:fldCharType="separate"/>
      </w:r>
      <w:r w:rsidR="00FF6847" w:rsidRPr="00AB3B90">
        <w:rPr>
          <w:noProof/>
        </w:rPr>
        <w:t>4</w:t>
      </w:r>
      <w:r w:rsidRPr="00AB3B90">
        <w:fldChar w:fldCharType="end"/>
      </w:r>
      <w:bookmarkEnd w:id="89"/>
      <w:r w:rsidRPr="00AB3B90">
        <w:t xml:space="preserve"> Estimated growth in government sector teacher wages and salaries, by state</w:t>
      </w:r>
      <w:r w:rsidR="00BB79C5" w:rsidRPr="00AB3B90">
        <w:t xml:space="preserve"> and </w:t>
      </w:r>
      <w:proofErr w:type="gramStart"/>
      <w:r w:rsidR="00BB79C5" w:rsidRPr="00AB3B90">
        <w:t>territory</w:t>
      </w:r>
      <w:bookmarkEnd w:id="90"/>
      <w:bookmarkEnd w:id="91"/>
      <w:proofErr w:type="gramEnd"/>
    </w:p>
    <w:tbl>
      <w:tblPr>
        <w:tblStyle w:val="Deloittetable"/>
        <w:tblW w:w="5000" w:type="pct"/>
        <w:tblLayout w:type="fixed"/>
        <w:tblLook w:val="04A0" w:firstRow="1" w:lastRow="0" w:firstColumn="1" w:lastColumn="0" w:noHBand="0" w:noVBand="1"/>
      </w:tblPr>
      <w:tblGrid>
        <w:gridCol w:w="2778"/>
        <w:gridCol w:w="1042"/>
        <w:gridCol w:w="1042"/>
        <w:gridCol w:w="1042"/>
        <w:gridCol w:w="1042"/>
        <w:gridCol w:w="1042"/>
        <w:gridCol w:w="1038"/>
      </w:tblGrid>
      <w:tr w:rsidR="003E4C26" w:rsidRPr="00AB3B90" w14:paraId="4115E311" w14:textId="77777777">
        <w:trPr>
          <w:cnfStyle w:val="100000000000" w:firstRow="1" w:lastRow="0" w:firstColumn="0" w:lastColumn="0" w:oddVBand="0" w:evenVBand="0" w:oddHBand="0" w:evenHBand="0" w:firstRowFirstColumn="0" w:firstRowLastColumn="0" w:lastRowFirstColumn="0" w:lastRowLastColumn="0"/>
        </w:trPr>
        <w:tc>
          <w:tcPr>
            <w:tcW w:w="1539" w:type="pct"/>
          </w:tcPr>
          <w:p w14:paraId="47776887" w14:textId="3D026C8F" w:rsidR="003E4C26" w:rsidRPr="00AB3B90" w:rsidRDefault="00223A7E">
            <w:pPr>
              <w:keepNext/>
              <w:keepLines/>
              <w:spacing w:line="240" w:lineRule="auto"/>
              <w:ind w:left="0"/>
              <w:rPr>
                <w:rFonts w:asciiTheme="majorHAnsi" w:hAnsiTheme="majorHAnsi"/>
                <w:b/>
                <w:sz w:val="16"/>
                <w:szCs w:val="16"/>
              </w:rPr>
            </w:pPr>
            <w:r>
              <w:rPr>
                <w:rFonts w:asciiTheme="majorHAnsi" w:hAnsiTheme="majorHAnsi"/>
                <w:b/>
                <w:sz w:val="16"/>
                <w:szCs w:val="16"/>
              </w:rPr>
              <w:t>State or territory</w:t>
            </w:r>
          </w:p>
        </w:tc>
        <w:tc>
          <w:tcPr>
            <w:tcW w:w="577" w:type="pct"/>
          </w:tcPr>
          <w:p w14:paraId="4AF1D191" w14:textId="18CA6352" w:rsidR="003E4C26" w:rsidRPr="00AB3B90" w:rsidRDefault="003E4C26">
            <w:pPr>
              <w:keepNext/>
              <w:keepLines/>
              <w:spacing w:line="240" w:lineRule="auto"/>
              <w:jc w:val="right"/>
              <w:rPr>
                <w:rFonts w:asciiTheme="majorHAnsi" w:hAnsiTheme="majorHAnsi"/>
                <w:b/>
                <w:sz w:val="16"/>
                <w:szCs w:val="16"/>
              </w:rPr>
            </w:pPr>
            <w:r w:rsidRPr="00AB3B90">
              <w:rPr>
                <w:rFonts w:asciiTheme="majorHAnsi" w:hAnsiTheme="majorHAnsi"/>
                <w:b/>
                <w:sz w:val="16"/>
                <w:szCs w:val="16"/>
              </w:rPr>
              <w:t>2018</w:t>
            </w:r>
            <w:r w:rsidR="00432B77" w:rsidRPr="00AB3B90">
              <w:rPr>
                <w:rFonts w:asciiTheme="majorHAnsi" w:hAnsiTheme="majorHAnsi"/>
                <w:b/>
                <w:sz w:val="16"/>
                <w:szCs w:val="16"/>
              </w:rPr>
              <w:t>–</w:t>
            </w:r>
            <w:r w:rsidRPr="00AB3B90">
              <w:rPr>
                <w:rFonts w:asciiTheme="majorHAnsi" w:hAnsiTheme="majorHAnsi"/>
                <w:b/>
                <w:sz w:val="16"/>
                <w:szCs w:val="16"/>
              </w:rPr>
              <w:t>19</w:t>
            </w:r>
          </w:p>
        </w:tc>
        <w:tc>
          <w:tcPr>
            <w:tcW w:w="577" w:type="pct"/>
          </w:tcPr>
          <w:p w14:paraId="3A018F4D" w14:textId="5E631FE9" w:rsidR="003E4C26" w:rsidRPr="00AB3B90" w:rsidRDefault="003E4C26">
            <w:pPr>
              <w:keepNext/>
              <w:keepLines/>
              <w:spacing w:line="240" w:lineRule="auto"/>
              <w:jc w:val="right"/>
              <w:rPr>
                <w:rFonts w:asciiTheme="majorHAnsi" w:hAnsiTheme="majorHAnsi"/>
                <w:b/>
                <w:sz w:val="16"/>
                <w:szCs w:val="16"/>
              </w:rPr>
            </w:pPr>
            <w:r w:rsidRPr="00AB3B90">
              <w:rPr>
                <w:rFonts w:asciiTheme="majorHAnsi" w:hAnsiTheme="majorHAnsi"/>
                <w:b/>
                <w:sz w:val="16"/>
                <w:szCs w:val="16"/>
              </w:rPr>
              <w:t>2019</w:t>
            </w:r>
            <w:r w:rsidR="00432B77" w:rsidRPr="00AB3B90">
              <w:rPr>
                <w:rFonts w:asciiTheme="majorHAnsi" w:hAnsiTheme="majorHAnsi"/>
                <w:b/>
                <w:sz w:val="16"/>
                <w:szCs w:val="16"/>
              </w:rPr>
              <w:t>–</w:t>
            </w:r>
            <w:r w:rsidRPr="00AB3B90">
              <w:rPr>
                <w:rFonts w:asciiTheme="majorHAnsi" w:hAnsiTheme="majorHAnsi"/>
                <w:b/>
                <w:sz w:val="16"/>
                <w:szCs w:val="16"/>
              </w:rPr>
              <w:t>20</w:t>
            </w:r>
          </w:p>
        </w:tc>
        <w:tc>
          <w:tcPr>
            <w:tcW w:w="577" w:type="pct"/>
          </w:tcPr>
          <w:p w14:paraId="68E35ED4" w14:textId="775FDDCC" w:rsidR="003E4C26" w:rsidRPr="00AB3B90" w:rsidRDefault="003E4C26">
            <w:pPr>
              <w:keepNext/>
              <w:keepLines/>
              <w:spacing w:line="240" w:lineRule="auto"/>
              <w:jc w:val="right"/>
              <w:rPr>
                <w:rFonts w:asciiTheme="majorHAnsi" w:hAnsiTheme="majorHAnsi"/>
                <w:b/>
                <w:sz w:val="16"/>
                <w:szCs w:val="16"/>
              </w:rPr>
            </w:pPr>
            <w:r w:rsidRPr="00AB3B90">
              <w:rPr>
                <w:rFonts w:asciiTheme="majorHAnsi" w:hAnsiTheme="majorHAnsi"/>
                <w:b/>
                <w:sz w:val="16"/>
                <w:szCs w:val="16"/>
              </w:rPr>
              <w:t>2020</w:t>
            </w:r>
            <w:r w:rsidR="00432B77" w:rsidRPr="00AB3B90">
              <w:rPr>
                <w:rFonts w:asciiTheme="majorHAnsi" w:hAnsiTheme="majorHAnsi"/>
                <w:b/>
                <w:sz w:val="16"/>
                <w:szCs w:val="16"/>
              </w:rPr>
              <w:t>–</w:t>
            </w:r>
            <w:r w:rsidRPr="00AB3B90">
              <w:rPr>
                <w:rFonts w:asciiTheme="majorHAnsi" w:hAnsiTheme="majorHAnsi"/>
                <w:b/>
                <w:sz w:val="16"/>
                <w:szCs w:val="16"/>
              </w:rPr>
              <w:t>21</w:t>
            </w:r>
          </w:p>
        </w:tc>
        <w:tc>
          <w:tcPr>
            <w:tcW w:w="577" w:type="pct"/>
          </w:tcPr>
          <w:p w14:paraId="75B9CD65" w14:textId="39989A2B" w:rsidR="003E4C26" w:rsidRPr="00AB3B90" w:rsidRDefault="003E4C26">
            <w:pPr>
              <w:keepNext/>
              <w:keepLines/>
              <w:spacing w:line="240" w:lineRule="auto"/>
              <w:jc w:val="right"/>
              <w:rPr>
                <w:rFonts w:asciiTheme="majorHAnsi" w:hAnsiTheme="majorHAnsi"/>
                <w:b/>
                <w:sz w:val="16"/>
                <w:szCs w:val="16"/>
              </w:rPr>
            </w:pPr>
            <w:r w:rsidRPr="00AB3B90">
              <w:rPr>
                <w:rFonts w:asciiTheme="majorHAnsi" w:hAnsiTheme="majorHAnsi"/>
                <w:b/>
                <w:sz w:val="16"/>
                <w:szCs w:val="16"/>
              </w:rPr>
              <w:t>2021</w:t>
            </w:r>
            <w:r w:rsidR="00432B77" w:rsidRPr="00AB3B90">
              <w:rPr>
                <w:rFonts w:asciiTheme="majorHAnsi" w:hAnsiTheme="majorHAnsi"/>
                <w:b/>
                <w:sz w:val="16"/>
                <w:szCs w:val="16"/>
              </w:rPr>
              <w:t>–</w:t>
            </w:r>
            <w:r w:rsidRPr="00AB3B90">
              <w:rPr>
                <w:rFonts w:asciiTheme="majorHAnsi" w:hAnsiTheme="majorHAnsi"/>
                <w:b/>
                <w:sz w:val="16"/>
                <w:szCs w:val="16"/>
              </w:rPr>
              <w:t>22</w:t>
            </w:r>
          </w:p>
        </w:tc>
        <w:tc>
          <w:tcPr>
            <w:tcW w:w="577" w:type="pct"/>
          </w:tcPr>
          <w:p w14:paraId="7409887C" w14:textId="60091509" w:rsidR="003E4C26" w:rsidRPr="00AB3B90" w:rsidRDefault="003E4C26">
            <w:pPr>
              <w:keepNext/>
              <w:keepLines/>
              <w:spacing w:line="240" w:lineRule="auto"/>
              <w:jc w:val="right"/>
              <w:rPr>
                <w:rFonts w:asciiTheme="majorHAnsi" w:hAnsiTheme="majorHAnsi"/>
                <w:b/>
                <w:sz w:val="16"/>
                <w:szCs w:val="16"/>
              </w:rPr>
            </w:pPr>
            <w:r w:rsidRPr="00AB3B90">
              <w:rPr>
                <w:rFonts w:asciiTheme="majorHAnsi" w:hAnsiTheme="majorHAnsi"/>
                <w:b/>
                <w:sz w:val="16"/>
                <w:szCs w:val="16"/>
              </w:rPr>
              <w:t>2022</w:t>
            </w:r>
            <w:r w:rsidR="00432B77" w:rsidRPr="00AB3B90">
              <w:rPr>
                <w:rFonts w:asciiTheme="majorHAnsi" w:hAnsiTheme="majorHAnsi"/>
                <w:b/>
                <w:sz w:val="16"/>
                <w:szCs w:val="16"/>
              </w:rPr>
              <w:t>–</w:t>
            </w:r>
            <w:r w:rsidRPr="00AB3B90">
              <w:rPr>
                <w:rFonts w:asciiTheme="majorHAnsi" w:hAnsiTheme="majorHAnsi"/>
                <w:b/>
                <w:sz w:val="16"/>
                <w:szCs w:val="16"/>
              </w:rPr>
              <w:t>23</w:t>
            </w:r>
          </w:p>
        </w:tc>
        <w:tc>
          <w:tcPr>
            <w:tcW w:w="575" w:type="pct"/>
          </w:tcPr>
          <w:p w14:paraId="2CC5F35C" w14:textId="27B1A8F0" w:rsidR="003E4C26" w:rsidRPr="00AB3B90" w:rsidRDefault="003E4C26">
            <w:pPr>
              <w:keepNext/>
              <w:keepLines/>
              <w:spacing w:line="240" w:lineRule="auto"/>
              <w:jc w:val="right"/>
              <w:rPr>
                <w:rFonts w:asciiTheme="majorHAnsi" w:hAnsiTheme="majorHAnsi"/>
                <w:b/>
                <w:sz w:val="16"/>
                <w:szCs w:val="16"/>
              </w:rPr>
            </w:pPr>
            <w:r w:rsidRPr="00AB3B90">
              <w:rPr>
                <w:rFonts w:asciiTheme="majorHAnsi" w:hAnsiTheme="majorHAnsi"/>
                <w:b/>
                <w:sz w:val="16"/>
                <w:szCs w:val="16"/>
              </w:rPr>
              <w:t>2023</w:t>
            </w:r>
            <w:r w:rsidR="00432B77" w:rsidRPr="00AB3B90">
              <w:rPr>
                <w:rFonts w:asciiTheme="majorHAnsi" w:hAnsiTheme="majorHAnsi"/>
                <w:b/>
                <w:sz w:val="16"/>
                <w:szCs w:val="16"/>
              </w:rPr>
              <w:t>–</w:t>
            </w:r>
            <w:r w:rsidRPr="00AB3B90">
              <w:rPr>
                <w:rFonts w:asciiTheme="majorHAnsi" w:hAnsiTheme="majorHAnsi"/>
                <w:b/>
                <w:sz w:val="16"/>
                <w:szCs w:val="16"/>
              </w:rPr>
              <w:t>24</w:t>
            </w:r>
          </w:p>
        </w:tc>
      </w:tr>
      <w:tr w:rsidR="003E4C26" w:rsidRPr="00AB3B90" w14:paraId="0E56B6E1" w14:textId="77777777">
        <w:tc>
          <w:tcPr>
            <w:tcW w:w="1539" w:type="pct"/>
          </w:tcPr>
          <w:p w14:paraId="7FB4EA6C" w14:textId="77777777" w:rsidR="003E4C26" w:rsidRPr="00AB3B90" w:rsidRDefault="003E4C26">
            <w:pPr>
              <w:keepNext/>
              <w:keepLines/>
              <w:spacing w:line="240" w:lineRule="auto"/>
              <w:rPr>
                <w:rFonts w:asciiTheme="majorHAnsi" w:hAnsiTheme="majorHAnsi"/>
                <w:sz w:val="16"/>
                <w:szCs w:val="16"/>
              </w:rPr>
            </w:pPr>
            <w:r w:rsidRPr="00AB3B90">
              <w:rPr>
                <w:rFonts w:asciiTheme="majorHAnsi" w:hAnsiTheme="majorHAnsi"/>
                <w:sz w:val="16"/>
                <w:szCs w:val="16"/>
              </w:rPr>
              <w:t>Victoria (%)</w:t>
            </w:r>
          </w:p>
        </w:tc>
        <w:tc>
          <w:tcPr>
            <w:tcW w:w="577" w:type="pct"/>
            <w:shd w:val="clear" w:color="auto" w:fill="auto"/>
          </w:tcPr>
          <w:p w14:paraId="5A923CF9" w14:textId="77777777" w:rsidR="003E4C26" w:rsidRPr="00AB3B90" w:rsidRDefault="003E4C26">
            <w:pPr>
              <w:keepNext/>
              <w:keepLines/>
              <w:spacing w:line="240" w:lineRule="auto"/>
              <w:jc w:val="right"/>
              <w:rPr>
                <w:rFonts w:asciiTheme="majorHAnsi" w:hAnsiTheme="majorHAnsi"/>
                <w:sz w:val="16"/>
                <w:szCs w:val="16"/>
              </w:rPr>
            </w:pPr>
            <w:r w:rsidRPr="00AB3B90">
              <w:rPr>
                <w:rFonts w:asciiTheme="majorHAnsi" w:hAnsiTheme="majorHAnsi" w:cs="Calibri"/>
                <w:sz w:val="16"/>
                <w:szCs w:val="16"/>
              </w:rPr>
              <w:t>3.3</w:t>
            </w:r>
          </w:p>
        </w:tc>
        <w:tc>
          <w:tcPr>
            <w:tcW w:w="577" w:type="pct"/>
            <w:shd w:val="clear" w:color="auto" w:fill="auto"/>
          </w:tcPr>
          <w:p w14:paraId="373A1385" w14:textId="77777777" w:rsidR="003E4C26" w:rsidRPr="00AB3B90" w:rsidRDefault="003E4C26">
            <w:pPr>
              <w:keepNext/>
              <w:keepLines/>
              <w:spacing w:line="240" w:lineRule="auto"/>
              <w:jc w:val="right"/>
              <w:rPr>
                <w:rFonts w:asciiTheme="majorHAnsi" w:hAnsiTheme="majorHAnsi"/>
                <w:sz w:val="16"/>
                <w:szCs w:val="16"/>
              </w:rPr>
            </w:pPr>
            <w:r w:rsidRPr="00AB3B90">
              <w:rPr>
                <w:rFonts w:asciiTheme="majorHAnsi" w:hAnsiTheme="majorHAnsi" w:cs="Calibri"/>
                <w:sz w:val="16"/>
                <w:szCs w:val="16"/>
              </w:rPr>
              <w:t>3.3</w:t>
            </w:r>
          </w:p>
        </w:tc>
        <w:tc>
          <w:tcPr>
            <w:tcW w:w="577" w:type="pct"/>
            <w:shd w:val="clear" w:color="auto" w:fill="auto"/>
          </w:tcPr>
          <w:p w14:paraId="4A0BA0D8" w14:textId="77777777" w:rsidR="003E4C26" w:rsidRPr="00AB3B90" w:rsidRDefault="003E4C26">
            <w:pPr>
              <w:keepNext/>
              <w:keepLines/>
              <w:spacing w:line="240" w:lineRule="auto"/>
              <w:jc w:val="right"/>
              <w:rPr>
                <w:rFonts w:asciiTheme="majorHAnsi" w:hAnsiTheme="majorHAnsi"/>
                <w:sz w:val="16"/>
                <w:szCs w:val="16"/>
              </w:rPr>
            </w:pPr>
            <w:r w:rsidRPr="00AB3B90">
              <w:rPr>
                <w:rFonts w:asciiTheme="majorHAnsi" w:hAnsiTheme="majorHAnsi" w:cs="Calibri"/>
                <w:sz w:val="16"/>
                <w:szCs w:val="16"/>
              </w:rPr>
              <w:t>1.8</w:t>
            </w:r>
          </w:p>
        </w:tc>
        <w:tc>
          <w:tcPr>
            <w:tcW w:w="577" w:type="pct"/>
            <w:shd w:val="clear" w:color="auto" w:fill="auto"/>
          </w:tcPr>
          <w:p w14:paraId="3B265BE8" w14:textId="77777777" w:rsidR="003E4C26" w:rsidRPr="00AB3B90" w:rsidRDefault="003E4C26">
            <w:pPr>
              <w:keepNext/>
              <w:keepLines/>
              <w:spacing w:line="240" w:lineRule="auto"/>
              <w:jc w:val="right"/>
              <w:rPr>
                <w:rFonts w:asciiTheme="majorHAnsi" w:hAnsiTheme="majorHAnsi"/>
                <w:sz w:val="16"/>
                <w:szCs w:val="16"/>
              </w:rPr>
            </w:pPr>
            <w:r w:rsidRPr="00AB3B90">
              <w:rPr>
                <w:rFonts w:asciiTheme="majorHAnsi" w:hAnsiTheme="majorHAnsi" w:cs="Calibri"/>
                <w:sz w:val="16"/>
                <w:szCs w:val="16"/>
              </w:rPr>
              <w:t>2.1</w:t>
            </w:r>
          </w:p>
        </w:tc>
        <w:tc>
          <w:tcPr>
            <w:tcW w:w="577" w:type="pct"/>
            <w:shd w:val="clear" w:color="auto" w:fill="auto"/>
          </w:tcPr>
          <w:p w14:paraId="49A09A2A"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2.0</w:t>
            </w:r>
          </w:p>
        </w:tc>
        <w:tc>
          <w:tcPr>
            <w:tcW w:w="575" w:type="pct"/>
            <w:shd w:val="clear" w:color="auto" w:fill="auto"/>
          </w:tcPr>
          <w:p w14:paraId="314710A7"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2.0</w:t>
            </w:r>
          </w:p>
        </w:tc>
      </w:tr>
      <w:tr w:rsidR="003E4C26" w:rsidRPr="00AB3B90" w14:paraId="7CE000B0" w14:textId="77777777">
        <w:tc>
          <w:tcPr>
            <w:tcW w:w="1539" w:type="pct"/>
          </w:tcPr>
          <w:p w14:paraId="2FB291E8" w14:textId="77777777" w:rsidR="003E4C26" w:rsidRPr="00AB3B90" w:rsidRDefault="003E4C26">
            <w:pPr>
              <w:keepNext/>
              <w:keepLines/>
              <w:spacing w:line="240" w:lineRule="auto"/>
              <w:rPr>
                <w:rFonts w:asciiTheme="majorHAnsi" w:hAnsiTheme="majorHAnsi"/>
                <w:sz w:val="16"/>
                <w:szCs w:val="16"/>
              </w:rPr>
            </w:pPr>
            <w:r w:rsidRPr="00AB3B90">
              <w:rPr>
                <w:rFonts w:asciiTheme="majorHAnsi" w:hAnsiTheme="majorHAnsi"/>
                <w:sz w:val="16"/>
                <w:szCs w:val="16"/>
              </w:rPr>
              <w:t>New South Wales (%)</w:t>
            </w:r>
          </w:p>
        </w:tc>
        <w:tc>
          <w:tcPr>
            <w:tcW w:w="577" w:type="pct"/>
            <w:shd w:val="clear" w:color="auto" w:fill="auto"/>
          </w:tcPr>
          <w:p w14:paraId="709445A6"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2.5</w:t>
            </w:r>
          </w:p>
        </w:tc>
        <w:tc>
          <w:tcPr>
            <w:tcW w:w="577" w:type="pct"/>
            <w:shd w:val="clear" w:color="auto" w:fill="auto"/>
          </w:tcPr>
          <w:p w14:paraId="0340DF61"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2.5</w:t>
            </w:r>
          </w:p>
        </w:tc>
        <w:tc>
          <w:tcPr>
            <w:tcW w:w="577" w:type="pct"/>
            <w:shd w:val="clear" w:color="auto" w:fill="auto"/>
          </w:tcPr>
          <w:p w14:paraId="6AC63945"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2.3</w:t>
            </w:r>
          </w:p>
        </w:tc>
        <w:tc>
          <w:tcPr>
            <w:tcW w:w="577" w:type="pct"/>
            <w:shd w:val="clear" w:color="auto" w:fill="auto"/>
          </w:tcPr>
          <w:p w14:paraId="518FEC47"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2.0</w:t>
            </w:r>
          </w:p>
        </w:tc>
        <w:tc>
          <w:tcPr>
            <w:tcW w:w="577" w:type="pct"/>
            <w:shd w:val="clear" w:color="auto" w:fill="auto"/>
          </w:tcPr>
          <w:p w14:paraId="1968330A"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2.8</w:t>
            </w:r>
          </w:p>
        </w:tc>
        <w:tc>
          <w:tcPr>
            <w:tcW w:w="575" w:type="pct"/>
            <w:shd w:val="clear" w:color="auto" w:fill="auto"/>
          </w:tcPr>
          <w:p w14:paraId="4D7AD8E7"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10.7</w:t>
            </w:r>
          </w:p>
        </w:tc>
      </w:tr>
      <w:tr w:rsidR="003E4C26" w:rsidRPr="00AB3B90" w14:paraId="43A11BBE" w14:textId="77777777">
        <w:tc>
          <w:tcPr>
            <w:tcW w:w="1539" w:type="pct"/>
          </w:tcPr>
          <w:p w14:paraId="388759EC" w14:textId="77777777" w:rsidR="003E4C26" w:rsidRPr="00AB3B90" w:rsidRDefault="003E4C26">
            <w:pPr>
              <w:keepNext/>
              <w:keepLines/>
              <w:spacing w:line="240" w:lineRule="auto"/>
              <w:rPr>
                <w:rFonts w:asciiTheme="majorHAnsi" w:hAnsiTheme="majorHAnsi"/>
                <w:sz w:val="16"/>
                <w:szCs w:val="16"/>
              </w:rPr>
            </w:pPr>
            <w:r w:rsidRPr="00AB3B90">
              <w:rPr>
                <w:rFonts w:asciiTheme="majorHAnsi" w:hAnsiTheme="majorHAnsi"/>
                <w:sz w:val="16"/>
                <w:szCs w:val="16"/>
              </w:rPr>
              <w:t>Queensland (%)</w:t>
            </w:r>
          </w:p>
        </w:tc>
        <w:tc>
          <w:tcPr>
            <w:tcW w:w="577" w:type="pct"/>
            <w:shd w:val="clear" w:color="auto" w:fill="auto"/>
          </w:tcPr>
          <w:p w14:paraId="3B91817C"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3.2</w:t>
            </w:r>
          </w:p>
        </w:tc>
        <w:tc>
          <w:tcPr>
            <w:tcW w:w="577" w:type="pct"/>
            <w:shd w:val="clear" w:color="auto" w:fill="auto"/>
          </w:tcPr>
          <w:p w14:paraId="58214837"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0.0 </w:t>
            </w:r>
          </w:p>
        </w:tc>
        <w:tc>
          <w:tcPr>
            <w:tcW w:w="577" w:type="pct"/>
            <w:shd w:val="clear" w:color="auto" w:fill="auto"/>
          </w:tcPr>
          <w:p w14:paraId="0FDC3B7A"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2.5</w:t>
            </w:r>
          </w:p>
        </w:tc>
        <w:tc>
          <w:tcPr>
            <w:tcW w:w="577" w:type="pct"/>
            <w:shd w:val="clear" w:color="auto" w:fill="auto"/>
          </w:tcPr>
          <w:p w14:paraId="0EE27477"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5.0</w:t>
            </w:r>
          </w:p>
        </w:tc>
        <w:tc>
          <w:tcPr>
            <w:tcW w:w="577" w:type="pct"/>
            <w:shd w:val="clear" w:color="auto" w:fill="auto"/>
          </w:tcPr>
          <w:p w14:paraId="209AB51A"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4.0</w:t>
            </w:r>
          </w:p>
        </w:tc>
        <w:tc>
          <w:tcPr>
            <w:tcW w:w="575" w:type="pct"/>
            <w:shd w:val="clear" w:color="auto" w:fill="auto"/>
          </w:tcPr>
          <w:p w14:paraId="6A225EF0"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4.0</w:t>
            </w:r>
          </w:p>
        </w:tc>
      </w:tr>
      <w:tr w:rsidR="003E4C26" w:rsidRPr="00AB3B90" w14:paraId="22F5C0A3" w14:textId="77777777">
        <w:tc>
          <w:tcPr>
            <w:tcW w:w="1539" w:type="pct"/>
          </w:tcPr>
          <w:p w14:paraId="16B219D9" w14:textId="77777777" w:rsidR="003E4C26" w:rsidRPr="00AB3B90" w:rsidRDefault="003E4C26">
            <w:pPr>
              <w:keepNext/>
              <w:keepLines/>
              <w:spacing w:line="240" w:lineRule="auto"/>
              <w:rPr>
                <w:rFonts w:asciiTheme="majorHAnsi" w:hAnsiTheme="majorHAnsi"/>
                <w:sz w:val="16"/>
                <w:szCs w:val="16"/>
              </w:rPr>
            </w:pPr>
            <w:r w:rsidRPr="00AB3B90">
              <w:rPr>
                <w:rFonts w:asciiTheme="majorHAnsi" w:hAnsiTheme="majorHAnsi"/>
                <w:sz w:val="16"/>
                <w:szCs w:val="16"/>
              </w:rPr>
              <w:t>Western Australia (%)</w:t>
            </w:r>
          </w:p>
        </w:tc>
        <w:tc>
          <w:tcPr>
            <w:tcW w:w="577" w:type="pct"/>
            <w:shd w:val="clear" w:color="auto" w:fill="auto"/>
          </w:tcPr>
          <w:p w14:paraId="49965ACB"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n/a</w:t>
            </w:r>
          </w:p>
        </w:tc>
        <w:tc>
          <w:tcPr>
            <w:tcW w:w="577" w:type="pct"/>
            <w:shd w:val="clear" w:color="auto" w:fill="auto"/>
          </w:tcPr>
          <w:p w14:paraId="28260A18"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1.1</w:t>
            </w:r>
          </w:p>
        </w:tc>
        <w:tc>
          <w:tcPr>
            <w:tcW w:w="577" w:type="pct"/>
            <w:shd w:val="clear" w:color="auto" w:fill="auto"/>
          </w:tcPr>
          <w:p w14:paraId="565E0738"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1.1</w:t>
            </w:r>
          </w:p>
        </w:tc>
        <w:tc>
          <w:tcPr>
            <w:tcW w:w="577" w:type="pct"/>
            <w:shd w:val="clear" w:color="auto" w:fill="auto"/>
          </w:tcPr>
          <w:p w14:paraId="7047DAA3"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3.5</w:t>
            </w:r>
          </w:p>
        </w:tc>
        <w:tc>
          <w:tcPr>
            <w:tcW w:w="577" w:type="pct"/>
            <w:shd w:val="clear" w:color="auto" w:fill="auto"/>
          </w:tcPr>
          <w:p w14:paraId="0F9BA39E"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3.4</w:t>
            </w:r>
          </w:p>
        </w:tc>
        <w:tc>
          <w:tcPr>
            <w:tcW w:w="575" w:type="pct"/>
            <w:shd w:val="clear" w:color="auto" w:fill="auto"/>
          </w:tcPr>
          <w:p w14:paraId="60E09660"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n/a</w:t>
            </w:r>
          </w:p>
        </w:tc>
      </w:tr>
      <w:tr w:rsidR="003E4C26" w:rsidRPr="00AB3B90" w14:paraId="4C488DD7" w14:textId="77777777">
        <w:tc>
          <w:tcPr>
            <w:tcW w:w="1539" w:type="pct"/>
          </w:tcPr>
          <w:p w14:paraId="48EBE5EF" w14:textId="77777777" w:rsidR="003E4C26" w:rsidRPr="00AB3B90" w:rsidRDefault="003E4C26">
            <w:pPr>
              <w:keepNext/>
              <w:keepLines/>
              <w:spacing w:line="240" w:lineRule="auto"/>
              <w:rPr>
                <w:rFonts w:asciiTheme="majorHAnsi" w:hAnsiTheme="majorHAnsi"/>
                <w:sz w:val="16"/>
                <w:szCs w:val="16"/>
              </w:rPr>
            </w:pPr>
            <w:r w:rsidRPr="00AB3B90">
              <w:rPr>
                <w:rFonts w:asciiTheme="majorHAnsi" w:hAnsiTheme="majorHAnsi"/>
                <w:sz w:val="16"/>
                <w:szCs w:val="16"/>
              </w:rPr>
              <w:t>South Australia (%)</w:t>
            </w:r>
          </w:p>
        </w:tc>
        <w:tc>
          <w:tcPr>
            <w:tcW w:w="577" w:type="pct"/>
            <w:shd w:val="clear" w:color="auto" w:fill="auto"/>
          </w:tcPr>
          <w:p w14:paraId="1CE0EEEC"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2.0</w:t>
            </w:r>
          </w:p>
        </w:tc>
        <w:tc>
          <w:tcPr>
            <w:tcW w:w="577" w:type="pct"/>
            <w:shd w:val="clear" w:color="auto" w:fill="auto"/>
          </w:tcPr>
          <w:p w14:paraId="7C3A9931"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1.9</w:t>
            </w:r>
          </w:p>
        </w:tc>
        <w:tc>
          <w:tcPr>
            <w:tcW w:w="577" w:type="pct"/>
            <w:shd w:val="clear" w:color="auto" w:fill="auto"/>
          </w:tcPr>
          <w:p w14:paraId="6F13D540"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2.3</w:t>
            </w:r>
          </w:p>
        </w:tc>
        <w:tc>
          <w:tcPr>
            <w:tcW w:w="577" w:type="pct"/>
            <w:shd w:val="clear" w:color="auto" w:fill="auto"/>
          </w:tcPr>
          <w:p w14:paraId="66E8DA2E"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2.4</w:t>
            </w:r>
          </w:p>
        </w:tc>
        <w:tc>
          <w:tcPr>
            <w:tcW w:w="577" w:type="pct"/>
            <w:shd w:val="clear" w:color="auto" w:fill="auto"/>
          </w:tcPr>
          <w:p w14:paraId="0E070023"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n/a</w:t>
            </w:r>
          </w:p>
        </w:tc>
        <w:tc>
          <w:tcPr>
            <w:tcW w:w="575" w:type="pct"/>
            <w:shd w:val="clear" w:color="auto" w:fill="auto"/>
          </w:tcPr>
          <w:p w14:paraId="3D9D07FF"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n/a</w:t>
            </w:r>
          </w:p>
        </w:tc>
      </w:tr>
      <w:tr w:rsidR="003E4C26" w:rsidRPr="00AB3B90" w14:paraId="2C44FCD1" w14:textId="77777777">
        <w:tc>
          <w:tcPr>
            <w:tcW w:w="1539" w:type="pct"/>
          </w:tcPr>
          <w:p w14:paraId="16764088" w14:textId="77777777" w:rsidR="003E4C26" w:rsidRPr="00AB3B90" w:rsidRDefault="003E4C26">
            <w:pPr>
              <w:keepNext/>
              <w:keepLines/>
              <w:spacing w:line="240" w:lineRule="auto"/>
              <w:rPr>
                <w:rFonts w:asciiTheme="majorHAnsi" w:hAnsiTheme="majorHAnsi"/>
                <w:sz w:val="16"/>
                <w:szCs w:val="16"/>
              </w:rPr>
            </w:pPr>
            <w:r w:rsidRPr="00AB3B90">
              <w:rPr>
                <w:rFonts w:asciiTheme="majorHAnsi" w:hAnsiTheme="majorHAnsi"/>
                <w:sz w:val="16"/>
                <w:szCs w:val="16"/>
              </w:rPr>
              <w:t>Tasmania (%)</w:t>
            </w:r>
          </w:p>
        </w:tc>
        <w:tc>
          <w:tcPr>
            <w:tcW w:w="577" w:type="pct"/>
            <w:shd w:val="clear" w:color="auto" w:fill="auto"/>
          </w:tcPr>
          <w:p w14:paraId="51966990" w14:textId="77777777" w:rsidR="003E4C26" w:rsidRPr="00AB3B90" w:rsidRDefault="003E4C26">
            <w:pPr>
              <w:keepNext/>
              <w:keepLines/>
              <w:spacing w:line="240" w:lineRule="auto"/>
              <w:jc w:val="right"/>
              <w:rPr>
                <w:rFonts w:asciiTheme="majorHAnsi" w:hAnsiTheme="majorHAnsi"/>
                <w:sz w:val="16"/>
                <w:szCs w:val="16"/>
              </w:rPr>
            </w:pPr>
            <w:r w:rsidRPr="00AB3B90">
              <w:rPr>
                <w:rFonts w:asciiTheme="majorHAnsi" w:hAnsiTheme="majorHAnsi" w:cs="Calibri"/>
                <w:sz w:val="16"/>
                <w:szCs w:val="16"/>
              </w:rPr>
              <w:t>2.4</w:t>
            </w:r>
          </w:p>
        </w:tc>
        <w:tc>
          <w:tcPr>
            <w:tcW w:w="577" w:type="pct"/>
            <w:shd w:val="clear" w:color="auto" w:fill="auto"/>
          </w:tcPr>
          <w:p w14:paraId="125C9015" w14:textId="77777777" w:rsidR="003E4C26" w:rsidRPr="00AB3B90" w:rsidRDefault="003E4C26">
            <w:pPr>
              <w:keepNext/>
              <w:keepLines/>
              <w:spacing w:line="240" w:lineRule="auto"/>
              <w:jc w:val="right"/>
              <w:rPr>
                <w:rFonts w:asciiTheme="majorHAnsi" w:hAnsiTheme="majorHAnsi"/>
                <w:sz w:val="16"/>
                <w:szCs w:val="16"/>
              </w:rPr>
            </w:pPr>
            <w:r w:rsidRPr="00AB3B90">
              <w:rPr>
                <w:rFonts w:asciiTheme="majorHAnsi" w:hAnsiTheme="majorHAnsi" w:cs="Calibri"/>
                <w:sz w:val="16"/>
                <w:szCs w:val="16"/>
              </w:rPr>
              <w:t>2.1</w:t>
            </w:r>
          </w:p>
        </w:tc>
        <w:tc>
          <w:tcPr>
            <w:tcW w:w="577" w:type="pct"/>
            <w:shd w:val="clear" w:color="auto" w:fill="auto"/>
          </w:tcPr>
          <w:p w14:paraId="04103625" w14:textId="77777777" w:rsidR="003E4C26" w:rsidRPr="00AB3B90" w:rsidRDefault="003E4C26">
            <w:pPr>
              <w:keepNext/>
              <w:keepLines/>
              <w:spacing w:line="240" w:lineRule="auto"/>
              <w:jc w:val="right"/>
              <w:rPr>
                <w:rFonts w:asciiTheme="majorHAnsi" w:hAnsiTheme="majorHAnsi"/>
                <w:sz w:val="16"/>
                <w:szCs w:val="16"/>
              </w:rPr>
            </w:pPr>
            <w:r w:rsidRPr="00AB3B90">
              <w:rPr>
                <w:rFonts w:asciiTheme="majorHAnsi" w:hAnsiTheme="majorHAnsi" w:cs="Calibri"/>
                <w:sz w:val="16"/>
                <w:szCs w:val="16"/>
              </w:rPr>
              <w:t>2.1</w:t>
            </w:r>
          </w:p>
        </w:tc>
        <w:tc>
          <w:tcPr>
            <w:tcW w:w="577" w:type="pct"/>
            <w:shd w:val="clear" w:color="auto" w:fill="auto"/>
          </w:tcPr>
          <w:p w14:paraId="7CF9EBF9" w14:textId="77777777" w:rsidR="003E4C26" w:rsidRPr="00AB3B90" w:rsidRDefault="003E4C26">
            <w:pPr>
              <w:keepNext/>
              <w:keepLines/>
              <w:spacing w:line="240" w:lineRule="auto"/>
              <w:jc w:val="right"/>
              <w:rPr>
                <w:rFonts w:asciiTheme="majorHAnsi" w:hAnsiTheme="majorHAnsi"/>
                <w:sz w:val="16"/>
                <w:szCs w:val="16"/>
              </w:rPr>
            </w:pPr>
            <w:r w:rsidRPr="00AB3B90">
              <w:rPr>
                <w:rFonts w:asciiTheme="majorHAnsi" w:hAnsiTheme="majorHAnsi" w:cs="Calibri"/>
                <w:sz w:val="16"/>
                <w:szCs w:val="16"/>
              </w:rPr>
              <w:t>2.3</w:t>
            </w:r>
          </w:p>
        </w:tc>
        <w:tc>
          <w:tcPr>
            <w:tcW w:w="577" w:type="pct"/>
            <w:shd w:val="clear" w:color="auto" w:fill="auto"/>
          </w:tcPr>
          <w:p w14:paraId="1ADEBB0D"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5.0</w:t>
            </w:r>
          </w:p>
        </w:tc>
        <w:tc>
          <w:tcPr>
            <w:tcW w:w="575" w:type="pct"/>
            <w:shd w:val="clear" w:color="auto" w:fill="auto"/>
          </w:tcPr>
          <w:p w14:paraId="6DBAA47B"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3.0</w:t>
            </w:r>
          </w:p>
        </w:tc>
      </w:tr>
      <w:tr w:rsidR="003E4C26" w:rsidRPr="00AB3B90" w14:paraId="75EBE7A0" w14:textId="77777777">
        <w:tc>
          <w:tcPr>
            <w:tcW w:w="1539" w:type="pct"/>
          </w:tcPr>
          <w:p w14:paraId="6DA3BAC2" w14:textId="77777777" w:rsidR="003E4C26" w:rsidRPr="00AB3B90" w:rsidRDefault="003E4C26">
            <w:pPr>
              <w:keepNext/>
              <w:keepLines/>
              <w:spacing w:line="240" w:lineRule="auto"/>
              <w:rPr>
                <w:rFonts w:asciiTheme="majorHAnsi" w:hAnsiTheme="majorHAnsi"/>
                <w:sz w:val="16"/>
                <w:szCs w:val="16"/>
              </w:rPr>
            </w:pPr>
            <w:r w:rsidRPr="00AB3B90">
              <w:rPr>
                <w:rFonts w:asciiTheme="majorHAnsi" w:hAnsiTheme="majorHAnsi"/>
                <w:sz w:val="16"/>
                <w:szCs w:val="16"/>
              </w:rPr>
              <w:t>Australian Capital Territory (%)</w:t>
            </w:r>
          </w:p>
        </w:tc>
        <w:tc>
          <w:tcPr>
            <w:tcW w:w="577" w:type="pct"/>
            <w:shd w:val="clear" w:color="auto" w:fill="auto"/>
          </w:tcPr>
          <w:p w14:paraId="3D40A6B4"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1.5</w:t>
            </w:r>
          </w:p>
        </w:tc>
        <w:tc>
          <w:tcPr>
            <w:tcW w:w="577" w:type="pct"/>
            <w:shd w:val="clear" w:color="auto" w:fill="auto"/>
          </w:tcPr>
          <w:p w14:paraId="7448158A"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3.0</w:t>
            </w:r>
          </w:p>
        </w:tc>
        <w:tc>
          <w:tcPr>
            <w:tcW w:w="577" w:type="pct"/>
            <w:shd w:val="clear" w:color="auto" w:fill="auto"/>
          </w:tcPr>
          <w:p w14:paraId="0C6F3A49"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3.0</w:t>
            </w:r>
          </w:p>
        </w:tc>
        <w:tc>
          <w:tcPr>
            <w:tcW w:w="577" w:type="pct"/>
            <w:shd w:val="clear" w:color="auto" w:fill="auto"/>
          </w:tcPr>
          <w:p w14:paraId="221BAC68"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3.0</w:t>
            </w:r>
          </w:p>
        </w:tc>
        <w:tc>
          <w:tcPr>
            <w:tcW w:w="577" w:type="pct"/>
            <w:shd w:val="clear" w:color="auto" w:fill="auto"/>
          </w:tcPr>
          <w:p w14:paraId="1AB1D9DD"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3.8</w:t>
            </w:r>
          </w:p>
        </w:tc>
        <w:tc>
          <w:tcPr>
            <w:tcW w:w="575" w:type="pct"/>
            <w:shd w:val="clear" w:color="auto" w:fill="auto"/>
          </w:tcPr>
          <w:p w14:paraId="33FFC316"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4.1</w:t>
            </w:r>
          </w:p>
        </w:tc>
      </w:tr>
      <w:tr w:rsidR="003E4C26" w:rsidRPr="00AB3B90" w14:paraId="28E4E28D" w14:textId="77777777">
        <w:tc>
          <w:tcPr>
            <w:tcW w:w="1539" w:type="pct"/>
          </w:tcPr>
          <w:p w14:paraId="7621CDA6" w14:textId="77777777" w:rsidR="003E4C26" w:rsidRPr="00AB3B90" w:rsidRDefault="003E4C26">
            <w:pPr>
              <w:keepNext/>
              <w:keepLines/>
              <w:spacing w:line="240" w:lineRule="auto"/>
              <w:rPr>
                <w:rFonts w:asciiTheme="majorHAnsi" w:hAnsiTheme="majorHAnsi"/>
                <w:sz w:val="16"/>
                <w:szCs w:val="16"/>
              </w:rPr>
            </w:pPr>
            <w:r w:rsidRPr="00AB3B90">
              <w:rPr>
                <w:rFonts w:asciiTheme="majorHAnsi" w:hAnsiTheme="majorHAnsi"/>
                <w:sz w:val="16"/>
                <w:szCs w:val="16"/>
              </w:rPr>
              <w:t>Northern Territory (%)</w:t>
            </w:r>
          </w:p>
        </w:tc>
        <w:tc>
          <w:tcPr>
            <w:tcW w:w="577" w:type="pct"/>
            <w:shd w:val="clear" w:color="auto" w:fill="auto"/>
          </w:tcPr>
          <w:p w14:paraId="09DB4222"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2.5</w:t>
            </w:r>
          </w:p>
        </w:tc>
        <w:tc>
          <w:tcPr>
            <w:tcW w:w="577" w:type="pct"/>
            <w:shd w:val="clear" w:color="auto" w:fill="auto"/>
          </w:tcPr>
          <w:p w14:paraId="3B84CA53"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2.5</w:t>
            </w:r>
          </w:p>
        </w:tc>
        <w:tc>
          <w:tcPr>
            <w:tcW w:w="577" w:type="pct"/>
            <w:shd w:val="clear" w:color="auto" w:fill="auto"/>
          </w:tcPr>
          <w:p w14:paraId="70529FED"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2.5</w:t>
            </w:r>
          </w:p>
        </w:tc>
        <w:tc>
          <w:tcPr>
            <w:tcW w:w="577" w:type="pct"/>
            <w:shd w:val="clear" w:color="auto" w:fill="auto"/>
          </w:tcPr>
          <w:p w14:paraId="2CCE35C5"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3.0</w:t>
            </w:r>
          </w:p>
        </w:tc>
        <w:tc>
          <w:tcPr>
            <w:tcW w:w="577" w:type="pct"/>
            <w:shd w:val="clear" w:color="auto" w:fill="auto"/>
          </w:tcPr>
          <w:p w14:paraId="7DF184FA"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3.0</w:t>
            </w:r>
          </w:p>
        </w:tc>
        <w:tc>
          <w:tcPr>
            <w:tcW w:w="575" w:type="pct"/>
            <w:shd w:val="clear" w:color="auto" w:fill="auto"/>
          </w:tcPr>
          <w:p w14:paraId="358776CA" w14:textId="77777777" w:rsidR="003E4C26" w:rsidRPr="00AB3B90" w:rsidRDefault="003E4C26">
            <w:pPr>
              <w:keepNext/>
              <w:keepLines/>
              <w:spacing w:line="240" w:lineRule="auto"/>
              <w:jc w:val="right"/>
              <w:rPr>
                <w:rFonts w:asciiTheme="majorHAnsi" w:hAnsiTheme="majorHAnsi" w:cs="Calibri"/>
                <w:sz w:val="16"/>
                <w:szCs w:val="16"/>
              </w:rPr>
            </w:pPr>
            <w:r w:rsidRPr="00AB3B90">
              <w:rPr>
                <w:rFonts w:asciiTheme="majorHAnsi" w:hAnsiTheme="majorHAnsi" w:cs="Calibri"/>
                <w:sz w:val="16"/>
                <w:szCs w:val="16"/>
              </w:rPr>
              <w:t>3.0</w:t>
            </w:r>
          </w:p>
        </w:tc>
      </w:tr>
      <w:tr w:rsidR="003E4C26" w:rsidRPr="00AB3B90" w14:paraId="32BDD027" w14:textId="77777777" w:rsidTr="003E4C26">
        <w:tc>
          <w:tcPr>
            <w:tcW w:w="1539" w:type="pct"/>
            <w:shd w:val="clear" w:color="auto" w:fill="E7E6E6" w:themeFill="background2"/>
          </w:tcPr>
          <w:p w14:paraId="6FD3F36B" w14:textId="77777777" w:rsidR="003E4C26" w:rsidRPr="00AB3B90" w:rsidRDefault="003E4C26">
            <w:pPr>
              <w:keepNext/>
              <w:keepLines/>
              <w:spacing w:line="240" w:lineRule="auto"/>
              <w:rPr>
                <w:rFonts w:asciiTheme="majorHAnsi" w:hAnsiTheme="majorHAnsi"/>
                <w:b/>
                <w:sz w:val="16"/>
                <w:szCs w:val="16"/>
              </w:rPr>
            </w:pPr>
            <w:r w:rsidRPr="00AB3B90">
              <w:rPr>
                <w:rFonts w:asciiTheme="majorHAnsi" w:hAnsiTheme="majorHAnsi"/>
                <w:b/>
                <w:sz w:val="16"/>
                <w:szCs w:val="16"/>
              </w:rPr>
              <w:t>Weighted average</w:t>
            </w:r>
            <w:r w:rsidRPr="00AB3B90">
              <w:rPr>
                <w:rFonts w:asciiTheme="majorHAnsi" w:hAnsiTheme="majorHAnsi"/>
                <w:b/>
                <w:bCs/>
                <w:sz w:val="16"/>
                <w:szCs w:val="16"/>
              </w:rPr>
              <w:t xml:space="preserve"> (%)</w:t>
            </w:r>
          </w:p>
        </w:tc>
        <w:tc>
          <w:tcPr>
            <w:tcW w:w="577" w:type="pct"/>
            <w:shd w:val="clear" w:color="auto" w:fill="E7E6E6" w:themeFill="background2"/>
          </w:tcPr>
          <w:p w14:paraId="312E328E" w14:textId="77777777" w:rsidR="003E4C26" w:rsidRPr="00AB3B90" w:rsidRDefault="003E4C26">
            <w:pPr>
              <w:keepNext/>
              <w:keepLines/>
              <w:spacing w:line="240" w:lineRule="auto"/>
              <w:jc w:val="right"/>
              <w:rPr>
                <w:rFonts w:asciiTheme="majorHAnsi" w:hAnsiTheme="majorHAnsi" w:cs="Calibri"/>
                <w:b/>
                <w:color w:val="000000"/>
                <w:sz w:val="16"/>
                <w:szCs w:val="16"/>
              </w:rPr>
            </w:pPr>
            <w:r w:rsidRPr="00AB3B90">
              <w:rPr>
                <w:rFonts w:asciiTheme="majorHAnsi" w:hAnsiTheme="majorHAnsi" w:cs="Calibri"/>
                <w:b/>
                <w:bCs/>
                <w:color w:val="000000"/>
                <w:sz w:val="16"/>
                <w:szCs w:val="16"/>
              </w:rPr>
              <w:t>2.7</w:t>
            </w:r>
          </w:p>
        </w:tc>
        <w:tc>
          <w:tcPr>
            <w:tcW w:w="577" w:type="pct"/>
            <w:shd w:val="clear" w:color="auto" w:fill="E7E6E6" w:themeFill="background2"/>
          </w:tcPr>
          <w:p w14:paraId="54562D9A" w14:textId="77777777" w:rsidR="003E4C26" w:rsidRPr="00AB3B90" w:rsidRDefault="003E4C26">
            <w:pPr>
              <w:keepNext/>
              <w:keepLines/>
              <w:spacing w:line="240" w:lineRule="auto"/>
              <w:jc w:val="right"/>
              <w:rPr>
                <w:rFonts w:asciiTheme="majorHAnsi" w:hAnsiTheme="majorHAnsi" w:cs="Calibri"/>
                <w:b/>
                <w:color w:val="000000"/>
                <w:sz w:val="16"/>
                <w:szCs w:val="16"/>
              </w:rPr>
            </w:pPr>
            <w:r w:rsidRPr="00AB3B90">
              <w:rPr>
                <w:rFonts w:asciiTheme="majorHAnsi" w:hAnsiTheme="majorHAnsi" w:cs="Calibri"/>
                <w:b/>
                <w:bCs/>
                <w:color w:val="000000"/>
                <w:sz w:val="16"/>
                <w:szCs w:val="16"/>
              </w:rPr>
              <w:t>2.0</w:t>
            </w:r>
          </w:p>
        </w:tc>
        <w:tc>
          <w:tcPr>
            <w:tcW w:w="577" w:type="pct"/>
            <w:shd w:val="clear" w:color="auto" w:fill="E7E6E6" w:themeFill="background2"/>
          </w:tcPr>
          <w:p w14:paraId="092059BF" w14:textId="77777777" w:rsidR="003E4C26" w:rsidRPr="00AB3B90" w:rsidRDefault="003E4C26">
            <w:pPr>
              <w:keepNext/>
              <w:keepLines/>
              <w:spacing w:line="240" w:lineRule="auto"/>
              <w:jc w:val="right"/>
              <w:rPr>
                <w:rFonts w:asciiTheme="majorHAnsi" w:hAnsiTheme="majorHAnsi" w:cs="Calibri"/>
                <w:b/>
                <w:color w:val="000000"/>
                <w:sz w:val="16"/>
                <w:szCs w:val="16"/>
              </w:rPr>
            </w:pPr>
            <w:r w:rsidRPr="00AB3B90">
              <w:rPr>
                <w:rFonts w:asciiTheme="majorHAnsi" w:hAnsiTheme="majorHAnsi" w:cs="Calibri"/>
                <w:b/>
                <w:bCs/>
                <w:color w:val="000000"/>
                <w:sz w:val="16"/>
                <w:szCs w:val="16"/>
              </w:rPr>
              <w:t>2.1</w:t>
            </w:r>
          </w:p>
        </w:tc>
        <w:tc>
          <w:tcPr>
            <w:tcW w:w="577" w:type="pct"/>
            <w:shd w:val="clear" w:color="auto" w:fill="E7E6E6" w:themeFill="background2"/>
          </w:tcPr>
          <w:p w14:paraId="391F9DF9" w14:textId="77777777" w:rsidR="003E4C26" w:rsidRPr="00AB3B90" w:rsidRDefault="003E4C26">
            <w:pPr>
              <w:keepNext/>
              <w:keepLines/>
              <w:spacing w:line="240" w:lineRule="auto"/>
              <w:jc w:val="right"/>
              <w:rPr>
                <w:rFonts w:asciiTheme="majorHAnsi" w:hAnsiTheme="majorHAnsi" w:cs="Calibri"/>
                <w:b/>
                <w:color w:val="000000"/>
                <w:sz w:val="16"/>
                <w:szCs w:val="16"/>
              </w:rPr>
            </w:pPr>
            <w:r w:rsidRPr="00AB3B90">
              <w:rPr>
                <w:rFonts w:asciiTheme="majorHAnsi" w:hAnsiTheme="majorHAnsi" w:cs="Calibri"/>
                <w:b/>
                <w:bCs/>
                <w:color w:val="000000"/>
                <w:sz w:val="16"/>
                <w:szCs w:val="16"/>
              </w:rPr>
              <w:t>2.9</w:t>
            </w:r>
          </w:p>
        </w:tc>
        <w:tc>
          <w:tcPr>
            <w:tcW w:w="577" w:type="pct"/>
            <w:shd w:val="clear" w:color="auto" w:fill="E7E6E6" w:themeFill="background2"/>
          </w:tcPr>
          <w:p w14:paraId="0CFC2C08" w14:textId="77777777" w:rsidR="003E4C26" w:rsidRPr="00AB3B90" w:rsidRDefault="003E4C26">
            <w:pPr>
              <w:keepNext/>
              <w:keepLines/>
              <w:spacing w:line="240" w:lineRule="auto"/>
              <w:jc w:val="right"/>
              <w:rPr>
                <w:rFonts w:asciiTheme="majorHAnsi" w:hAnsiTheme="majorHAnsi" w:cs="Calibri"/>
                <w:b/>
                <w:color w:val="000000"/>
                <w:sz w:val="16"/>
                <w:szCs w:val="16"/>
              </w:rPr>
            </w:pPr>
            <w:r w:rsidRPr="00AB3B90">
              <w:rPr>
                <w:rFonts w:asciiTheme="majorHAnsi" w:hAnsiTheme="majorHAnsi" w:cs="Calibri"/>
                <w:b/>
                <w:bCs/>
                <w:color w:val="000000"/>
                <w:sz w:val="16"/>
                <w:szCs w:val="16"/>
              </w:rPr>
              <w:t>2</w:t>
            </w:r>
            <w:r w:rsidRPr="00AB3B90">
              <w:rPr>
                <w:rFonts w:asciiTheme="majorHAnsi" w:hAnsiTheme="majorHAnsi" w:cs="Calibri"/>
                <w:b/>
                <w:color w:val="000000"/>
                <w:sz w:val="16"/>
                <w:szCs w:val="16"/>
              </w:rPr>
              <w:t>.7</w:t>
            </w:r>
          </w:p>
        </w:tc>
        <w:tc>
          <w:tcPr>
            <w:tcW w:w="575" w:type="pct"/>
            <w:shd w:val="clear" w:color="auto" w:fill="E7E6E6" w:themeFill="background2"/>
          </w:tcPr>
          <w:p w14:paraId="4131E8D3" w14:textId="77777777" w:rsidR="003E4C26" w:rsidRPr="00AB3B90" w:rsidRDefault="003E4C26">
            <w:pPr>
              <w:keepNext/>
              <w:keepLines/>
              <w:spacing w:line="240" w:lineRule="auto"/>
              <w:jc w:val="right"/>
              <w:rPr>
                <w:rFonts w:asciiTheme="majorHAnsi" w:hAnsiTheme="majorHAnsi" w:cs="Calibri"/>
                <w:b/>
                <w:color w:val="000000"/>
                <w:sz w:val="16"/>
                <w:szCs w:val="16"/>
              </w:rPr>
            </w:pPr>
            <w:r w:rsidRPr="00AB3B90">
              <w:rPr>
                <w:rFonts w:asciiTheme="majorHAnsi" w:hAnsiTheme="majorHAnsi" w:cs="Calibri"/>
                <w:b/>
                <w:bCs/>
                <w:color w:val="000000"/>
                <w:sz w:val="16"/>
                <w:szCs w:val="16"/>
              </w:rPr>
              <w:t>5.6</w:t>
            </w:r>
          </w:p>
        </w:tc>
      </w:tr>
    </w:tbl>
    <w:p w14:paraId="52CB4286" w14:textId="784F86F1" w:rsidR="003016E0" w:rsidRPr="00AB3B90" w:rsidRDefault="003016E0" w:rsidP="003016E0">
      <w:pPr>
        <w:pStyle w:val="Source"/>
        <w:keepNext/>
        <w:keepLines/>
        <w:spacing w:after="0" w:line="240" w:lineRule="auto"/>
      </w:pPr>
      <w:r w:rsidRPr="00AB3B90">
        <w:t xml:space="preserve">Notes: Estimated growth rates are through the year growth to the June quarter. n/a denotes cases where the EBA is either not publicly available or is presently in negotiation. The weighted average is calculated by applying weights that consider the proportion of FTE government sector teaching staff in each state/territory in the calendar year. For 2024, the FTE staff count from 2023 is utilised due to data availability. More information is available in </w:t>
      </w:r>
      <w:r w:rsidR="001204A5" w:rsidRPr="00AB3B90">
        <w:fldChar w:fldCharType="begin"/>
      </w:r>
      <w:r w:rsidR="001204A5" w:rsidRPr="00AB3B90">
        <w:instrText xml:space="preserve"> REF _Ref160802353 \h </w:instrText>
      </w:r>
      <w:r w:rsidR="00065A8C" w:rsidRPr="00AB3B90">
        <w:instrText xml:space="preserve"> \* MERGEFORMAT </w:instrText>
      </w:r>
      <w:r w:rsidR="001204A5" w:rsidRPr="00AB3B90">
        <w:fldChar w:fldCharType="separate"/>
      </w:r>
      <w:r w:rsidR="00FF6847" w:rsidRPr="00AB3B90">
        <w:t>Appendix G – Methodology and data sources</w:t>
      </w:r>
      <w:r w:rsidR="001204A5" w:rsidRPr="00AB3B90">
        <w:fldChar w:fldCharType="end"/>
      </w:r>
      <w:r w:rsidRPr="00AB3B90">
        <w:t>.</w:t>
      </w:r>
    </w:p>
    <w:p w14:paraId="5AC3E61F" w14:textId="77777777" w:rsidR="003016E0" w:rsidRPr="00AB3B90" w:rsidRDefault="003016E0" w:rsidP="003016E0">
      <w:pPr>
        <w:pStyle w:val="Source"/>
        <w:keepNext/>
        <w:keepLines/>
        <w:spacing w:before="0" w:line="240" w:lineRule="auto"/>
      </w:pPr>
      <w:r w:rsidRPr="00AB3B90">
        <w:t>Source: Deloitte Access Economics (2024)</w:t>
      </w:r>
    </w:p>
    <w:p w14:paraId="376B9818" w14:textId="2F997DBE" w:rsidR="004D191D" w:rsidRPr="00AB3B90" w:rsidRDefault="004D191D" w:rsidP="004D191D">
      <w:r w:rsidRPr="00AB3B90">
        <w:t xml:space="preserve">In non-government schools, the responsibility for setting salaries for teachers and school staff lies with non-government school approved authorities. These authorities may encompass Catholic school approved authorities and independent school approved system authorities. Unlike government schools, which are typically bound by a uniform EBA within jurisdictions, </w:t>
      </w:r>
      <w:r w:rsidR="006624AD" w:rsidRPr="00AB3B90">
        <w:br/>
      </w:r>
      <w:r w:rsidRPr="00AB3B90">
        <w:t>non-government schools often exhibit a greater diversity in EBAs, reflecting the varied agreements negotiated by different approved authorities.</w:t>
      </w:r>
    </w:p>
    <w:p w14:paraId="35B6B041" w14:textId="0BB35B9C" w:rsidR="004D191D" w:rsidRPr="00AB3B90" w:rsidRDefault="100D0B15" w:rsidP="004D191D">
      <w:r w:rsidRPr="00AB3B90">
        <w:t xml:space="preserve">To understand the changes in salaries for non-government teaching staff, </w:t>
      </w:r>
      <w:r w:rsidR="313D04D4" w:rsidRPr="00AB3B90">
        <w:t>Deloitte</w:t>
      </w:r>
      <w:r w:rsidR="009F66CD">
        <w:t xml:space="preserve"> Access Economics</w:t>
      </w:r>
      <w:r w:rsidR="313D04D4" w:rsidRPr="00AB3B90">
        <w:t xml:space="preserve"> undertook an</w:t>
      </w:r>
      <w:r w:rsidRPr="00AB3B90">
        <w:t xml:space="preserve"> analysis of selected EBAs in the non-government sector </w:t>
      </w:r>
      <w:r w:rsidR="490211ED" w:rsidRPr="00AB3B90">
        <w:t>for the Board</w:t>
      </w:r>
      <w:r w:rsidRPr="00AB3B90">
        <w:t>, specifically concentrating on agreements spanning multiple schools rather than those designed for individual schools. The findings reveal that salary increases tend to align closely, or slightly surpass, the increases stipulated in the government-sector EBAs for teaching staff in their respective states:</w:t>
      </w:r>
    </w:p>
    <w:p w14:paraId="3C9477CB" w14:textId="702B077A" w:rsidR="004D191D" w:rsidRPr="00AB3B90" w:rsidRDefault="3275F85D" w:rsidP="00E37ADA">
      <w:pPr>
        <w:pStyle w:val="ListBullet"/>
      </w:pPr>
      <w:r w:rsidRPr="00AB3B90">
        <w:t xml:space="preserve">Teachers under the Victorian Catholic Education Multi-enterprise agreement, </w:t>
      </w:r>
      <w:proofErr w:type="gramStart"/>
      <w:r w:rsidRPr="00AB3B90">
        <w:t>similar to</w:t>
      </w:r>
      <w:proofErr w:type="gramEnd"/>
      <w:r w:rsidRPr="00AB3B90">
        <w:t xml:space="preserve"> their counterparts in Victorian government schools, receive a 1</w:t>
      </w:r>
      <w:r w:rsidR="66CAF06B" w:rsidRPr="00AB3B90">
        <w:t> </w:t>
      </w:r>
      <w:r w:rsidRPr="00AB3B90">
        <w:t>per</w:t>
      </w:r>
      <w:r w:rsidR="66CAF06B" w:rsidRPr="00AB3B90">
        <w:t> </w:t>
      </w:r>
      <w:r w:rsidRPr="00AB3B90">
        <w:t>cent increase in January and July from 2022 to 2024</w:t>
      </w:r>
    </w:p>
    <w:p w14:paraId="26C479D8" w14:textId="2C260272" w:rsidR="004D191D" w:rsidRPr="00AB3B90" w:rsidRDefault="3275F85D" w:rsidP="00E37ADA">
      <w:pPr>
        <w:pStyle w:val="ListBullet"/>
      </w:pPr>
      <w:r w:rsidRPr="00AB3B90">
        <w:t>The Catholic Schools (Northern Territory) Collective Enterprise Agreement outlines a 3.5</w:t>
      </w:r>
      <w:r w:rsidR="7D8BB7B0" w:rsidRPr="00AB3B90">
        <w:t> </w:t>
      </w:r>
      <w:r w:rsidRPr="00AB3B90">
        <w:t>per</w:t>
      </w:r>
      <w:r w:rsidR="7D8BB7B0" w:rsidRPr="00AB3B90">
        <w:t> </w:t>
      </w:r>
      <w:r w:rsidRPr="00AB3B90">
        <w:t>cent increase in March 2022 and a 3.3</w:t>
      </w:r>
      <w:r w:rsidR="7D8BB7B0" w:rsidRPr="00AB3B90">
        <w:t> </w:t>
      </w:r>
      <w:r w:rsidRPr="00AB3B90">
        <w:t>per</w:t>
      </w:r>
      <w:r w:rsidR="7D8BB7B0" w:rsidRPr="00AB3B90">
        <w:t> </w:t>
      </w:r>
      <w:r w:rsidRPr="00AB3B90">
        <w:t>cent increase in March</w:t>
      </w:r>
      <w:r w:rsidR="7D8BB7B0" w:rsidRPr="00AB3B90">
        <w:t> </w:t>
      </w:r>
      <w:r w:rsidRPr="00AB3B90">
        <w:t>2023, slightly exceeding the specified annual increase of 3</w:t>
      </w:r>
      <w:r w:rsidR="7D8BB7B0" w:rsidRPr="00AB3B90">
        <w:t> </w:t>
      </w:r>
      <w:r w:rsidRPr="00AB3B90">
        <w:t>per</w:t>
      </w:r>
      <w:r w:rsidR="7D8BB7B0" w:rsidRPr="00AB3B90">
        <w:t> </w:t>
      </w:r>
      <w:r w:rsidRPr="00AB3B90">
        <w:t>cent for teachers in Northern Territory government schools.</w:t>
      </w:r>
    </w:p>
    <w:p w14:paraId="5A8317CD" w14:textId="77777777" w:rsidR="004D191D" w:rsidRPr="00AB3B90" w:rsidRDefault="004D191D" w:rsidP="004D191D">
      <w:pPr>
        <w:spacing w:before="240"/>
      </w:pPr>
      <w:r w:rsidRPr="00AB3B90">
        <w:t>Certain EBAs establish specific conditions for the implementation of salary increases:</w:t>
      </w:r>
    </w:p>
    <w:p w14:paraId="7235067C" w14:textId="77777777" w:rsidR="004D191D" w:rsidRPr="00AB3B90" w:rsidRDefault="3275F85D" w:rsidP="00E37ADA">
      <w:pPr>
        <w:pStyle w:val="ListBullet"/>
      </w:pPr>
      <w:r w:rsidRPr="00AB3B90">
        <w:t xml:space="preserve">In the South Australia Catholic Schools Enterprise Agreement, the increase is contingent upon the existence of a discrepancy in pay with Department </w:t>
      </w:r>
      <w:proofErr w:type="gramStart"/>
      <w:r w:rsidRPr="00AB3B90">
        <w:t>teachers</w:t>
      </w:r>
      <w:proofErr w:type="gramEnd"/>
    </w:p>
    <w:p w14:paraId="7746BC47" w14:textId="77777777" w:rsidR="004D191D" w:rsidRPr="00AB3B90" w:rsidRDefault="3275F85D" w:rsidP="00E37ADA">
      <w:pPr>
        <w:pStyle w:val="ListBullet"/>
      </w:pPr>
      <w:r w:rsidRPr="00AB3B90">
        <w:t xml:space="preserve">In the Catholic Employing Authorities Single Enterprise Collective Agreement - Diocesan Schools of Queensland, the increase in 2022 was to align with that experienced by Queensland Department of Education </w:t>
      </w:r>
      <w:proofErr w:type="gramStart"/>
      <w:r w:rsidRPr="00AB3B90">
        <w:t>teachers</w:t>
      </w:r>
      <w:proofErr w:type="gramEnd"/>
    </w:p>
    <w:p w14:paraId="6FB1EC19" w14:textId="5A44AC1E" w:rsidR="004D191D" w:rsidRPr="00AB3B90" w:rsidRDefault="3275F85D" w:rsidP="00E37ADA">
      <w:pPr>
        <w:pStyle w:val="ListBullet"/>
      </w:pPr>
      <w:r w:rsidRPr="00AB3B90">
        <w:t>In the Tasmanian Independent Catholic School Multi-enterprise agreement, the specified increase for 2022 to 2024 is linked to the salary per</w:t>
      </w:r>
      <w:r w:rsidR="66CAF06B" w:rsidRPr="00AB3B90">
        <w:t> </w:t>
      </w:r>
      <w:r w:rsidRPr="00AB3B90">
        <w:t xml:space="preserve">cent increase experienced by Tasmanian Department of Education </w:t>
      </w:r>
      <w:r w:rsidR="39732C6D" w:rsidRPr="00AB3B90">
        <w:t>t</w:t>
      </w:r>
      <w:r w:rsidRPr="00AB3B90">
        <w:t>eachers plus an additional 0.5</w:t>
      </w:r>
      <w:r w:rsidR="7291B77A" w:rsidRPr="00AB3B90">
        <w:t> </w:t>
      </w:r>
      <w:r w:rsidRPr="00AB3B90">
        <w:t>per</w:t>
      </w:r>
      <w:r w:rsidR="7291B77A" w:rsidRPr="00AB3B90">
        <w:t> </w:t>
      </w:r>
      <w:r w:rsidRPr="00AB3B90">
        <w:t>cent, capped at a maximum of 2.5</w:t>
      </w:r>
      <w:r w:rsidR="7291B77A" w:rsidRPr="00AB3B90">
        <w:t> </w:t>
      </w:r>
      <w:r w:rsidRPr="00AB3B90">
        <w:t>per</w:t>
      </w:r>
      <w:r w:rsidR="7291B77A" w:rsidRPr="00AB3B90">
        <w:t> </w:t>
      </w:r>
      <w:r w:rsidRPr="00AB3B90">
        <w:t>cent (</w:t>
      </w:r>
      <w:r w:rsidRPr="00AB3B90">
        <w:fldChar w:fldCharType="begin"/>
      </w:r>
      <w:r w:rsidRPr="00AB3B90">
        <w:instrText xml:space="preserve"> REF _Ref160802225 \h  \* MERGEFORMAT </w:instrText>
      </w:r>
      <w:r w:rsidRPr="00AB3B90">
        <w:fldChar w:fldCharType="separate"/>
      </w:r>
      <w:r w:rsidR="00FF6847" w:rsidRPr="00AB3B90">
        <w:t xml:space="preserve">Figure </w:t>
      </w:r>
      <w:r w:rsidR="00FF6847" w:rsidRPr="00E37ADA">
        <w:t>14</w:t>
      </w:r>
      <w:r w:rsidRPr="00AB3B90">
        <w:fldChar w:fldCharType="end"/>
      </w:r>
      <w:r w:rsidRPr="00AB3B90">
        <w:t>).</w:t>
      </w:r>
    </w:p>
    <w:p w14:paraId="23223689" w14:textId="234DC867" w:rsidR="00C1548A" w:rsidRPr="00AB3B90" w:rsidRDefault="00C1548A" w:rsidP="00C1548A">
      <w:pPr>
        <w:pStyle w:val="Heading4"/>
      </w:pPr>
      <w:r w:rsidRPr="00AB3B90">
        <w:t>Analysis of stakeholder data</w:t>
      </w:r>
    </w:p>
    <w:p w14:paraId="070A73B5" w14:textId="1CF86335" w:rsidR="00C1548A" w:rsidRPr="00AB3B90" w:rsidRDefault="00C1548A" w:rsidP="00C1548A">
      <w:r w:rsidRPr="00AB3B90">
        <w:t>Information regarding the yearly growth in salaries for government sector teachers between 2019 and 2023 was obtained from most state and territory government stakeholders.</w:t>
      </w:r>
      <w:r w:rsidRPr="00AB3B90" w:rsidDel="00C11378">
        <w:t xml:space="preserve"> </w:t>
      </w:r>
      <w:r w:rsidRPr="00AB3B90">
        <w:t xml:space="preserve">Where data was provided, a weighted average annual salary increase from 2019 to 2023 was calculated. For states and territories without supplied data, estimates are derived using publicly available EBA information. The weights were determined as the ratio of FTE government sector teaching staff in each state/territory to the overall count in the states/territories during the specified period. </w:t>
      </w:r>
    </w:p>
    <w:p w14:paraId="3705A3D2" w14:textId="1B94A2F6" w:rsidR="00C1548A" w:rsidRPr="00AB3B90" w:rsidRDefault="00C1548A" w:rsidP="00C1548A">
      <w:r w:rsidRPr="00AB3B90">
        <w:t xml:space="preserve">Overall, stakeholder data broadly aligns with the publicly available EBA data. From 2019 to 2023, the weighted average salary increases calculated from stakeholder data generally align with those calculated using publicly available EBA data. There is some variability observed from 2021 to 2023, with variations </w:t>
      </w:r>
      <w:r w:rsidR="008F6998" w:rsidRPr="00AB3B90">
        <w:t xml:space="preserve">of </w:t>
      </w:r>
      <w:r w:rsidRPr="00AB3B90">
        <w:t>around 0.5 percent</w:t>
      </w:r>
      <w:r w:rsidR="008F6998" w:rsidRPr="00AB3B90">
        <w:t>age</w:t>
      </w:r>
      <w:r w:rsidR="00D712AA" w:rsidRPr="00AB3B90">
        <w:t> </w:t>
      </w:r>
      <w:r w:rsidR="008F6998" w:rsidRPr="00AB3B90">
        <w:t>points</w:t>
      </w:r>
      <w:r w:rsidRPr="00AB3B90">
        <w:t>. This divergence can be attributed to:</w:t>
      </w:r>
    </w:p>
    <w:p w14:paraId="3F8E859E" w14:textId="0BF75575" w:rsidR="00C1548A" w:rsidRPr="00AB3B90" w:rsidRDefault="6AB5C248" w:rsidP="00E37ADA">
      <w:pPr>
        <w:pStyle w:val="ListBullet"/>
      </w:pPr>
      <w:r w:rsidRPr="00AB3B90">
        <w:t xml:space="preserve">Differences in timing: publicly available EBA </w:t>
      </w:r>
      <w:r w:rsidR="00D0700F" w:rsidRPr="00AB3B90">
        <w:t>derived</w:t>
      </w:r>
      <w:r w:rsidRPr="00AB3B90">
        <w:t xml:space="preserve"> estimates consider the salary change in the year to June for that specific year, whereas the precise timing adopted by each stakeholder is unclear (i.e.</w:t>
      </w:r>
      <w:r w:rsidR="00A73352">
        <w:t>,</w:t>
      </w:r>
      <w:r w:rsidRPr="00AB3B90">
        <w:t xml:space="preserve"> could be calculated for the year to December, or take an average across the calendar year). This is likely to have caused some disparities, capturing early or delayed effects in average increases. </w:t>
      </w:r>
    </w:p>
    <w:p w14:paraId="08522635" w14:textId="69A68822" w:rsidR="00C1548A" w:rsidRPr="00AB3B90" w:rsidRDefault="6AB5C248" w:rsidP="00E37ADA">
      <w:pPr>
        <w:pStyle w:val="ListBullet"/>
      </w:pPr>
      <w:r w:rsidRPr="00AB3B90">
        <w:t xml:space="preserve">Weightings: in the calculations utilising EBA data, increases for </w:t>
      </w:r>
      <w:r w:rsidR="0022653B" w:rsidRPr="00AB3B90">
        <w:t xml:space="preserve">different levels of </w:t>
      </w:r>
      <w:r w:rsidRPr="00AB3B90">
        <w:t xml:space="preserve">teachers </w:t>
      </w:r>
      <w:r w:rsidR="0001143A" w:rsidRPr="00AB3B90">
        <w:t>were averaged</w:t>
      </w:r>
      <w:r w:rsidRPr="00AB3B90">
        <w:t xml:space="preserve">. However, it is unclear if stakeholder data is weighted based on position representation, potentially leading to variations when different levels of teachers experience disparate increases, or a uniform dollar amount increase is implemented. </w:t>
      </w:r>
    </w:p>
    <w:p w14:paraId="06C48EC9" w14:textId="7596D1CD" w:rsidR="00C1548A" w:rsidRPr="00AB3B90" w:rsidRDefault="00C1548A" w:rsidP="00C1548A">
      <w:r w:rsidRPr="00AB3B90">
        <w:t xml:space="preserve">Given these differences, the weighted average calculated using publicly available EBAs is preferred for further analysis to ensure a consistent approach is taken in estimating salary increases (discussed below). </w:t>
      </w:r>
    </w:p>
    <w:p w14:paraId="3DA65D08" w14:textId="22B6BD6C" w:rsidR="00C1548A" w:rsidRPr="00AB3B90" w:rsidRDefault="00C1548A" w:rsidP="00C1548A">
      <w:r w:rsidRPr="00AB3B90">
        <w:t>Finally, input from consultations and written submissions provided by non-government stakeholders affirmed that wage increases for teachers in the non-government sector under EBAs often mirror the wage increases established in EBAs by the government sector.</w:t>
      </w:r>
    </w:p>
    <w:p w14:paraId="4E5631EA" w14:textId="77777777" w:rsidR="00F92751" w:rsidRPr="00AB3B90" w:rsidRDefault="00F92751">
      <w:pPr>
        <w:spacing w:before="0" w:after="160"/>
        <w:rPr>
          <w:rFonts w:eastAsiaTheme="majorEastAsia" w:cstheme="majorBidi"/>
          <w:b/>
          <w:iCs/>
          <w:sz w:val="26"/>
          <w:szCs w:val="24"/>
          <w:lang w:eastAsia="en-AU"/>
        </w:rPr>
      </w:pPr>
      <w:r w:rsidRPr="00AB3B90">
        <w:br w:type="page"/>
      </w:r>
    </w:p>
    <w:p w14:paraId="7F716216" w14:textId="3F5FD5A2" w:rsidR="00C12F68" w:rsidRPr="00AB3B90" w:rsidRDefault="00C12F68" w:rsidP="009F66CD">
      <w:pPr>
        <w:pStyle w:val="Heading3"/>
      </w:pPr>
      <w:r w:rsidRPr="00AB3B90">
        <w:t>Non-teacher wages and salaries over time</w:t>
      </w:r>
    </w:p>
    <w:p w14:paraId="4423233C" w14:textId="77777777" w:rsidR="00C12F68" w:rsidRPr="00AB3B90" w:rsidRDefault="00C12F68" w:rsidP="00C12F68">
      <w:r w:rsidRPr="00AB3B90">
        <w:t xml:space="preserve">Since 2017, there has been a rise in expenditure on non-teaching salaries, alongside an increase in number (and proportion) of non-teaching staff employed by schools and schooling systems. Considering that administration and clerical staff (including teaching aides and assistants) constitute </w:t>
      </w:r>
      <w:proofErr w:type="gramStart"/>
      <w:r w:rsidRPr="00AB3B90">
        <w:t>the majority of</w:t>
      </w:r>
      <w:proofErr w:type="gramEnd"/>
      <w:r w:rsidRPr="00AB3B90">
        <w:t xml:space="preserve"> non-teaching staff, the examination of the corresponding government sector EBAs for non-teaching roles across various jurisdictions largely focuses on these roles. The extent of coverage for these staff members under EBAs varies, with some falling under the same agreement as teachers, some having a distinct EBA, and others being encompassed by the general agreement for the public sector.</w:t>
      </w:r>
    </w:p>
    <w:p w14:paraId="47CEACD3" w14:textId="77777777" w:rsidR="00C12F68" w:rsidRPr="00AB3B90" w:rsidRDefault="00C12F68" w:rsidP="00C12F68">
      <w:pPr>
        <w:pStyle w:val="Heading4"/>
      </w:pPr>
      <w:r w:rsidRPr="00AB3B90">
        <w:t xml:space="preserve">Analysis based on publicly available </w:t>
      </w:r>
      <w:proofErr w:type="gramStart"/>
      <w:r w:rsidRPr="00AB3B90">
        <w:t>EBAs</w:t>
      </w:r>
      <w:proofErr w:type="gramEnd"/>
    </w:p>
    <w:p w14:paraId="36143FCE" w14:textId="77777777" w:rsidR="0084300F" w:rsidRPr="00AB3B90" w:rsidRDefault="00C12F68" w:rsidP="00B91658">
      <w:r w:rsidRPr="00AB3B90">
        <w:t xml:space="preserve">On a weighted average basis, the annual salary </w:t>
      </w:r>
      <w:proofErr w:type="gramStart"/>
      <w:r w:rsidRPr="00AB3B90">
        <w:t>increase</w:t>
      </w:r>
      <w:proofErr w:type="gramEnd"/>
      <w:r w:rsidRPr="00AB3B90">
        <w:t xml:space="preserve"> across jurisdictions ranged from 2 to 3 per cent over 2018–19 to 2023–24. Particularly noteworthy is the higher salary increases averages observed in 2022–23, with increases in some jurisdictions exceeding 6 per cent and with the weighted increase exceeding 3 per cent. This contrasts with the other periods, where the weighted average annual increase remained below 3 per cent (</w:t>
      </w:r>
      <w:r w:rsidR="00EE6184" w:rsidRPr="00AB3B90">
        <w:t>Table 5</w:t>
      </w:r>
      <w:r w:rsidRPr="00AB3B90">
        <w:t>). The recent upswing in the average salary increase can be partly attributed to</w:t>
      </w:r>
      <w:r w:rsidR="0084300F" w:rsidRPr="00AB3B90">
        <w:t>:</w:t>
      </w:r>
    </w:p>
    <w:p w14:paraId="60E1FA37" w14:textId="26858A39" w:rsidR="00C12F68" w:rsidRPr="00AB3B90" w:rsidRDefault="5FBC1359" w:rsidP="00E37ADA">
      <w:pPr>
        <w:pStyle w:val="ListBullet"/>
      </w:pPr>
      <w:r w:rsidRPr="00AB3B90">
        <w:t>an increase in the annual increment for Teachers Aides in Queensland from 2.5 per cent per annum in 2018–2020 to</w:t>
      </w:r>
      <w:r w:rsidR="00BF40F0" w:rsidRPr="00AB3B90">
        <w:t xml:space="preserve"> headline wage increase of 11 per </w:t>
      </w:r>
      <w:r w:rsidR="00686338" w:rsidRPr="00AB3B90">
        <w:t>cent</w:t>
      </w:r>
      <w:r w:rsidR="005A4AEE" w:rsidRPr="00AB3B90">
        <w:t xml:space="preserve"> per annum spanning </w:t>
      </w:r>
      <w:r w:rsidR="00C739E8" w:rsidRPr="00AB3B90">
        <w:t>2022–20</w:t>
      </w:r>
      <w:r w:rsidR="00E27517" w:rsidRPr="00AB3B90">
        <w:t xml:space="preserve">24 </w:t>
      </w:r>
      <w:r w:rsidR="00B50F69" w:rsidRPr="00AB3B90">
        <w:t>(</w:t>
      </w:r>
      <w:r w:rsidR="0019049C" w:rsidRPr="00AB3B90">
        <w:t>i.e.,</w:t>
      </w:r>
      <w:r w:rsidRPr="00AB3B90">
        <w:t xml:space="preserve"> 4 per cent </w:t>
      </w:r>
      <w:r w:rsidR="004E14AF" w:rsidRPr="00AB3B90">
        <w:t xml:space="preserve">in 2022, </w:t>
      </w:r>
      <w:r w:rsidR="00AA3C1A" w:rsidRPr="00AB3B90">
        <w:t xml:space="preserve">4 per cent in </w:t>
      </w:r>
      <w:r w:rsidR="00C54A52" w:rsidRPr="00AB3B90">
        <w:t xml:space="preserve">2023 and </w:t>
      </w:r>
      <w:r w:rsidR="00AE5BB9" w:rsidRPr="00AB3B90">
        <w:t>3 </w:t>
      </w:r>
      <w:r w:rsidRPr="00AB3B90">
        <w:t>pe</w:t>
      </w:r>
      <w:r w:rsidR="59FD9F83" w:rsidRPr="00AB3B90">
        <w:t>r</w:t>
      </w:r>
      <w:r w:rsidRPr="00AB3B90">
        <w:t> </w:t>
      </w:r>
      <w:r w:rsidR="00AE5BB9" w:rsidRPr="00AB3B90">
        <w:t>cent</w:t>
      </w:r>
      <w:r w:rsidR="00995F9F" w:rsidRPr="00AB3B90">
        <w:t xml:space="preserve"> in 2024</w:t>
      </w:r>
      <w:r w:rsidR="00C12F68" w:rsidRPr="005C0AF0">
        <w:rPr>
          <w:rStyle w:val="FootnoteReference"/>
        </w:rPr>
        <w:footnoteReference w:id="16"/>
      </w:r>
      <w:r w:rsidR="005C0AF0">
        <w:t>)</w:t>
      </w:r>
    </w:p>
    <w:p w14:paraId="58490518" w14:textId="6E6F5F58" w:rsidR="00C12F68" w:rsidRPr="00AB3B90" w:rsidRDefault="5FBC1359" w:rsidP="00E37ADA">
      <w:pPr>
        <w:pStyle w:val="ListBullet"/>
      </w:pPr>
      <w:r w:rsidRPr="00AB3B90">
        <w:t>the introduction of a $60 per week annual increase for Education Assistants in Western Australia, leading to an approximate 6 per cent average increase in 2023 and 2024</w:t>
      </w:r>
    </w:p>
    <w:p w14:paraId="04553FE4" w14:textId="33875B3A" w:rsidR="00C12F68" w:rsidRPr="00AB3B90" w:rsidRDefault="2562A177" w:rsidP="00E37ADA">
      <w:pPr>
        <w:pStyle w:val="ListBullet"/>
      </w:pPr>
      <w:r w:rsidRPr="00AB3B90">
        <w:t>the adoption of three yearly increases in the EBA for School Assistants in the Australian Capital Territory ($1,750 increase in January, 1 per cent in June, and $1,750 in December)</w:t>
      </w:r>
    </w:p>
    <w:p w14:paraId="5580BCF5" w14:textId="77777777" w:rsidR="00C12F68" w:rsidRPr="00AB3B90" w:rsidRDefault="2562A177" w:rsidP="00E37ADA">
      <w:pPr>
        <w:pStyle w:val="ListBullet"/>
      </w:pPr>
      <w:r w:rsidRPr="00AB3B90">
        <w:t>the implementation of a new classification structure for staff under the Teaching Agreement in New South Wales, resulting in an average annual increase for Education Officers exceeding 6 per cent for in 2023</w:t>
      </w:r>
    </w:p>
    <w:p w14:paraId="46DDE682" w14:textId="42B51F3F" w:rsidR="00C12F68" w:rsidRPr="00AB3B90" w:rsidRDefault="2562A177" w:rsidP="00E37ADA">
      <w:pPr>
        <w:pStyle w:val="ListBullet"/>
      </w:pPr>
      <w:r w:rsidRPr="00AB3B90">
        <w:t xml:space="preserve">increases for Victorian Education Support staff of levels 1–1 and 1–2 of 11 and 6 per cent respectively in the 2021–22 financial year, </w:t>
      </w:r>
      <w:proofErr w:type="gramStart"/>
      <w:r w:rsidRPr="00AB3B90">
        <w:t>in an effort to</w:t>
      </w:r>
      <w:proofErr w:type="gramEnd"/>
      <w:r w:rsidRPr="00AB3B90">
        <w:t xml:space="preserve"> close the gender pay gap (</w:t>
      </w:r>
      <w:r w:rsidRPr="00AB3B90">
        <w:fldChar w:fldCharType="begin"/>
      </w:r>
      <w:r w:rsidRPr="00AB3B90">
        <w:instrText xml:space="preserve"> REF _Ref160802290 \h  \* MERGEFORMAT </w:instrText>
      </w:r>
      <w:r w:rsidRPr="00AB3B90">
        <w:fldChar w:fldCharType="separate"/>
      </w:r>
      <w:r w:rsidR="00FF6847" w:rsidRPr="00AB3B90">
        <w:t xml:space="preserve">Figure </w:t>
      </w:r>
      <w:r w:rsidR="00FF6847" w:rsidRPr="00AB3B90">
        <w:rPr>
          <w:noProof/>
        </w:rPr>
        <w:t>15</w:t>
      </w:r>
      <w:r w:rsidRPr="00AB3B90">
        <w:fldChar w:fldCharType="end"/>
      </w:r>
      <w:r w:rsidRPr="00AB3B90">
        <w:t>).</w:t>
      </w:r>
    </w:p>
    <w:p w14:paraId="54B5C65D" w14:textId="77777777" w:rsidR="00C12F68" w:rsidRPr="00AB3B90" w:rsidRDefault="00C12F68" w:rsidP="008C231B">
      <w:pPr>
        <w:pStyle w:val="ListBullet"/>
        <w:numPr>
          <w:ilvl w:val="0"/>
          <w:numId w:val="0"/>
        </w:numPr>
        <w:contextualSpacing w:val="0"/>
      </w:pPr>
      <w:proofErr w:type="gramStart"/>
      <w:r w:rsidRPr="00AB3B90">
        <w:t>Similar to</w:t>
      </w:r>
      <w:proofErr w:type="gramEnd"/>
      <w:r w:rsidRPr="00AB3B90">
        <w:t xml:space="preserve"> the EBAs for government sector teachers, those for non-teaching staff predominantly establish fixed percentage increases. However, there are instances of dollar increases or a combination of both approaches. Often, the specified annual salary increase remains consistent throughout the duration covered by the EBA. Generally, these EBAs outline one annual increase, occasionally two, with the timing of the first (or sole) increase varying from January to December.</w:t>
      </w:r>
    </w:p>
    <w:p w14:paraId="5C87B5F9" w14:textId="41FC6444" w:rsidR="00C12F68" w:rsidRPr="00AB3B90" w:rsidRDefault="00C12F68" w:rsidP="00C12F68">
      <w:pPr>
        <w:pStyle w:val="Caption"/>
        <w:keepNext/>
      </w:pPr>
      <w:bookmarkStart w:id="92" w:name="_Ref160789929"/>
      <w:bookmarkStart w:id="93" w:name="_Toc161150703"/>
      <w:bookmarkStart w:id="94" w:name="_Toc163650481"/>
      <w:r w:rsidRPr="00AB3B90">
        <w:t xml:space="preserve">Table </w:t>
      </w:r>
      <w:r w:rsidRPr="00AB3B90">
        <w:fldChar w:fldCharType="begin"/>
      </w:r>
      <w:r w:rsidRPr="00AB3B90">
        <w:instrText>SEQ Table \* ARABIC</w:instrText>
      </w:r>
      <w:r w:rsidRPr="00AB3B90">
        <w:fldChar w:fldCharType="separate"/>
      </w:r>
      <w:r w:rsidR="00FF6847" w:rsidRPr="00AB3B90">
        <w:rPr>
          <w:noProof/>
        </w:rPr>
        <w:t>5</w:t>
      </w:r>
      <w:r w:rsidRPr="00AB3B90">
        <w:fldChar w:fldCharType="end"/>
      </w:r>
      <w:bookmarkEnd w:id="92"/>
      <w:r w:rsidRPr="00AB3B90">
        <w:t xml:space="preserve"> Estimated growth in government sector non-teacher wages and salaries by jurisdiction</w:t>
      </w:r>
      <w:r w:rsidR="00642DA1">
        <w:t>,</w:t>
      </w:r>
      <w:r w:rsidRPr="00AB3B90">
        <w:t xml:space="preserve"> 2019–</w:t>
      </w:r>
      <w:proofErr w:type="gramStart"/>
      <w:r w:rsidRPr="00AB3B90">
        <w:t>2024</w:t>
      </w:r>
      <w:bookmarkEnd w:id="93"/>
      <w:bookmarkEnd w:id="94"/>
      <w:proofErr w:type="gramEnd"/>
    </w:p>
    <w:tbl>
      <w:tblPr>
        <w:tblStyle w:val="Deloittetable"/>
        <w:tblW w:w="5022" w:type="pct"/>
        <w:tblLayout w:type="fixed"/>
        <w:tblLook w:val="04A0" w:firstRow="1" w:lastRow="0" w:firstColumn="1" w:lastColumn="0" w:noHBand="0" w:noVBand="1"/>
      </w:tblPr>
      <w:tblGrid>
        <w:gridCol w:w="2890"/>
        <w:gridCol w:w="1028"/>
        <w:gridCol w:w="1028"/>
        <w:gridCol w:w="1032"/>
        <w:gridCol w:w="1030"/>
        <w:gridCol w:w="1030"/>
        <w:gridCol w:w="1028"/>
      </w:tblGrid>
      <w:tr w:rsidR="00417DFD" w:rsidRPr="00AB3B90" w14:paraId="1FE7D570" w14:textId="77777777" w:rsidTr="00417DFD">
        <w:trPr>
          <w:cnfStyle w:val="100000000000" w:firstRow="1" w:lastRow="0" w:firstColumn="0" w:lastColumn="0" w:oddVBand="0" w:evenVBand="0" w:oddHBand="0" w:evenHBand="0" w:firstRowFirstColumn="0" w:firstRowLastColumn="0" w:lastRowFirstColumn="0" w:lastRowLastColumn="0"/>
          <w:trHeight w:val="170"/>
        </w:trPr>
        <w:tc>
          <w:tcPr>
            <w:tcW w:w="1594" w:type="pct"/>
          </w:tcPr>
          <w:p w14:paraId="7ACD0C4F" w14:textId="386E1BEF" w:rsidR="00417DFD" w:rsidRPr="00AB3B90" w:rsidRDefault="007F7BE2" w:rsidP="004A0646">
            <w:pPr>
              <w:keepNext/>
              <w:spacing w:line="240" w:lineRule="auto"/>
              <w:rPr>
                <w:rFonts w:asciiTheme="majorHAnsi" w:hAnsiTheme="majorHAnsi"/>
                <w:b/>
                <w:sz w:val="16"/>
                <w:szCs w:val="16"/>
              </w:rPr>
            </w:pPr>
            <w:bookmarkStart w:id="95" w:name="_Hlk162437488"/>
            <w:r>
              <w:rPr>
                <w:rFonts w:asciiTheme="majorHAnsi" w:hAnsiTheme="majorHAnsi"/>
                <w:b/>
                <w:sz w:val="16"/>
                <w:szCs w:val="16"/>
              </w:rPr>
              <w:t>State or territory</w:t>
            </w:r>
          </w:p>
        </w:tc>
        <w:tc>
          <w:tcPr>
            <w:tcW w:w="567" w:type="pct"/>
          </w:tcPr>
          <w:p w14:paraId="275E2438" w14:textId="721C044F" w:rsidR="00417DFD" w:rsidRPr="00AB3B90" w:rsidRDefault="00417DFD" w:rsidP="004A0646">
            <w:pPr>
              <w:keepNext/>
              <w:spacing w:line="240" w:lineRule="auto"/>
              <w:jc w:val="right"/>
              <w:rPr>
                <w:rFonts w:asciiTheme="majorHAnsi" w:hAnsiTheme="majorHAnsi"/>
                <w:b/>
                <w:sz w:val="16"/>
                <w:szCs w:val="16"/>
              </w:rPr>
            </w:pPr>
            <w:r w:rsidRPr="00AB3B90">
              <w:rPr>
                <w:rFonts w:asciiTheme="majorHAnsi" w:hAnsiTheme="majorHAnsi"/>
                <w:b/>
                <w:sz w:val="16"/>
                <w:szCs w:val="16"/>
              </w:rPr>
              <w:t>2018</w:t>
            </w:r>
            <w:r w:rsidR="007F7BE2">
              <w:rPr>
                <w:rFonts w:asciiTheme="majorHAnsi" w:hAnsiTheme="majorHAnsi"/>
                <w:b/>
                <w:sz w:val="16"/>
                <w:szCs w:val="16"/>
              </w:rPr>
              <w:t>–</w:t>
            </w:r>
            <w:r w:rsidRPr="00AB3B90">
              <w:rPr>
                <w:rFonts w:asciiTheme="majorHAnsi" w:hAnsiTheme="majorHAnsi"/>
                <w:b/>
                <w:sz w:val="16"/>
                <w:szCs w:val="16"/>
              </w:rPr>
              <w:t>19</w:t>
            </w:r>
          </w:p>
        </w:tc>
        <w:tc>
          <w:tcPr>
            <w:tcW w:w="567" w:type="pct"/>
          </w:tcPr>
          <w:p w14:paraId="61A03303" w14:textId="616305E9" w:rsidR="00417DFD" w:rsidRPr="00AB3B90" w:rsidRDefault="00417DFD" w:rsidP="004A0646">
            <w:pPr>
              <w:keepNext/>
              <w:spacing w:line="240" w:lineRule="auto"/>
              <w:jc w:val="right"/>
              <w:rPr>
                <w:rFonts w:asciiTheme="majorHAnsi" w:hAnsiTheme="majorHAnsi"/>
                <w:b/>
                <w:sz w:val="16"/>
                <w:szCs w:val="16"/>
              </w:rPr>
            </w:pPr>
            <w:r w:rsidRPr="00AB3B90">
              <w:rPr>
                <w:rFonts w:asciiTheme="majorHAnsi" w:hAnsiTheme="majorHAnsi"/>
                <w:b/>
                <w:sz w:val="16"/>
                <w:szCs w:val="16"/>
              </w:rPr>
              <w:t>2019</w:t>
            </w:r>
            <w:r w:rsidR="007F7BE2">
              <w:rPr>
                <w:rFonts w:asciiTheme="majorHAnsi" w:hAnsiTheme="majorHAnsi"/>
                <w:b/>
                <w:sz w:val="16"/>
                <w:szCs w:val="16"/>
              </w:rPr>
              <w:t>–</w:t>
            </w:r>
            <w:r w:rsidRPr="00AB3B90">
              <w:rPr>
                <w:rFonts w:asciiTheme="majorHAnsi" w:hAnsiTheme="majorHAnsi"/>
                <w:b/>
                <w:sz w:val="16"/>
                <w:szCs w:val="16"/>
              </w:rPr>
              <w:t>20</w:t>
            </w:r>
          </w:p>
        </w:tc>
        <w:tc>
          <w:tcPr>
            <w:tcW w:w="569" w:type="pct"/>
          </w:tcPr>
          <w:p w14:paraId="59D1DC8B" w14:textId="62460215" w:rsidR="00417DFD" w:rsidRPr="00AB3B90" w:rsidRDefault="00417DFD" w:rsidP="004A0646">
            <w:pPr>
              <w:keepNext/>
              <w:spacing w:line="240" w:lineRule="auto"/>
              <w:jc w:val="right"/>
              <w:rPr>
                <w:rFonts w:asciiTheme="majorHAnsi" w:hAnsiTheme="majorHAnsi"/>
                <w:b/>
                <w:sz w:val="16"/>
                <w:szCs w:val="16"/>
              </w:rPr>
            </w:pPr>
            <w:r w:rsidRPr="00AB3B90">
              <w:rPr>
                <w:rFonts w:asciiTheme="majorHAnsi" w:hAnsiTheme="majorHAnsi"/>
                <w:b/>
                <w:sz w:val="16"/>
                <w:szCs w:val="16"/>
              </w:rPr>
              <w:t>2020</w:t>
            </w:r>
            <w:r w:rsidR="007F7BE2">
              <w:rPr>
                <w:rFonts w:asciiTheme="majorHAnsi" w:hAnsiTheme="majorHAnsi"/>
                <w:b/>
                <w:sz w:val="16"/>
                <w:szCs w:val="16"/>
              </w:rPr>
              <w:t>–</w:t>
            </w:r>
            <w:r w:rsidRPr="00AB3B90">
              <w:rPr>
                <w:rFonts w:asciiTheme="majorHAnsi" w:hAnsiTheme="majorHAnsi"/>
                <w:b/>
                <w:sz w:val="16"/>
                <w:szCs w:val="16"/>
              </w:rPr>
              <w:t>21</w:t>
            </w:r>
          </w:p>
        </w:tc>
        <w:tc>
          <w:tcPr>
            <w:tcW w:w="568" w:type="pct"/>
          </w:tcPr>
          <w:p w14:paraId="6306B442" w14:textId="2A6A3207" w:rsidR="00417DFD" w:rsidRPr="00AB3B90" w:rsidRDefault="00417DFD" w:rsidP="004A0646">
            <w:pPr>
              <w:keepNext/>
              <w:spacing w:line="240" w:lineRule="auto"/>
              <w:jc w:val="right"/>
              <w:rPr>
                <w:rFonts w:asciiTheme="majorHAnsi" w:hAnsiTheme="majorHAnsi"/>
                <w:b/>
                <w:sz w:val="16"/>
                <w:szCs w:val="16"/>
              </w:rPr>
            </w:pPr>
            <w:r w:rsidRPr="00AB3B90">
              <w:rPr>
                <w:rFonts w:asciiTheme="majorHAnsi" w:hAnsiTheme="majorHAnsi"/>
                <w:b/>
                <w:sz w:val="16"/>
                <w:szCs w:val="16"/>
              </w:rPr>
              <w:t>2021</w:t>
            </w:r>
            <w:r w:rsidR="007F7BE2">
              <w:rPr>
                <w:rFonts w:asciiTheme="majorHAnsi" w:hAnsiTheme="majorHAnsi"/>
                <w:b/>
                <w:sz w:val="16"/>
                <w:szCs w:val="16"/>
              </w:rPr>
              <w:t>–</w:t>
            </w:r>
            <w:r w:rsidRPr="00AB3B90">
              <w:rPr>
                <w:rFonts w:asciiTheme="majorHAnsi" w:hAnsiTheme="majorHAnsi"/>
                <w:b/>
                <w:sz w:val="16"/>
                <w:szCs w:val="16"/>
              </w:rPr>
              <w:t>22</w:t>
            </w:r>
          </w:p>
        </w:tc>
        <w:tc>
          <w:tcPr>
            <w:tcW w:w="568" w:type="pct"/>
          </w:tcPr>
          <w:p w14:paraId="133E3A2C" w14:textId="01217694" w:rsidR="00417DFD" w:rsidRPr="00AB3B90" w:rsidRDefault="00417DFD" w:rsidP="004A0646">
            <w:pPr>
              <w:keepNext/>
              <w:spacing w:line="240" w:lineRule="auto"/>
              <w:jc w:val="right"/>
              <w:rPr>
                <w:rFonts w:asciiTheme="majorHAnsi" w:hAnsiTheme="majorHAnsi"/>
                <w:b/>
                <w:sz w:val="16"/>
                <w:szCs w:val="16"/>
              </w:rPr>
            </w:pPr>
            <w:r w:rsidRPr="00AB3B90">
              <w:rPr>
                <w:rFonts w:asciiTheme="majorHAnsi" w:hAnsiTheme="majorHAnsi"/>
                <w:b/>
                <w:sz w:val="16"/>
                <w:szCs w:val="16"/>
              </w:rPr>
              <w:t>2022</w:t>
            </w:r>
            <w:r w:rsidR="007F7BE2">
              <w:rPr>
                <w:rFonts w:asciiTheme="majorHAnsi" w:hAnsiTheme="majorHAnsi"/>
                <w:b/>
                <w:sz w:val="16"/>
                <w:szCs w:val="16"/>
              </w:rPr>
              <w:t>–</w:t>
            </w:r>
            <w:r w:rsidRPr="00AB3B90">
              <w:rPr>
                <w:rFonts w:asciiTheme="majorHAnsi" w:hAnsiTheme="majorHAnsi"/>
                <w:b/>
                <w:sz w:val="16"/>
                <w:szCs w:val="16"/>
              </w:rPr>
              <w:t>23</w:t>
            </w:r>
          </w:p>
        </w:tc>
        <w:tc>
          <w:tcPr>
            <w:tcW w:w="567" w:type="pct"/>
          </w:tcPr>
          <w:p w14:paraId="554A5691" w14:textId="47CD4534" w:rsidR="00417DFD" w:rsidRPr="00AB3B90" w:rsidRDefault="00417DFD" w:rsidP="004A0646">
            <w:pPr>
              <w:keepNext/>
              <w:spacing w:line="240" w:lineRule="auto"/>
              <w:jc w:val="right"/>
              <w:rPr>
                <w:rFonts w:asciiTheme="majorHAnsi" w:hAnsiTheme="majorHAnsi"/>
                <w:b/>
                <w:sz w:val="16"/>
                <w:szCs w:val="16"/>
              </w:rPr>
            </w:pPr>
            <w:r w:rsidRPr="00AB3B90">
              <w:rPr>
                <w:rFonts w:asciiTheme="majorHAnsi" w:hAnsiTheme="majorHAnsi"/>
                <w:b/>
                <w:sz w:val="16"/>
                <w:szCs w:val="16"/>
              </w:rPr>
              <w:t>2023</w:t>
            </w:r>
            <w:r w:rsidR="007F7BE2">
              <w:rPr>
                <w:rFonts w:asciiTheme="majorHAnsi" w:hAnsiTheme="majorHAnsi"/>
                <w:b/>
                <w:sz w:val="16"/>
                <w:szCs w:val="16"/>
              </w:rPr>
              <w:t>–</w:t>
            </w:r>
            <w:r w:rsidRPr="00AB3B90">
              <w:rPr>
                <w:rFonts w:asciiTheme="majorHAnsi" w:hAnsiTheme="majorHAnsi"/>
                <w:b/>
                <w:sz w:val="16"/>
                <w:szCs w:val="16"/>
              </w:rPr>
              <w:t>24</w:t>
            </w:r>
          </w:p>
        </w:tc>
      </w:tr>
      <w:tr w:rsidR="00417DFD" w:rsidRPr="00AB3B90" w14:paraId="012162EE" w14:textId="77777777" w:rsidTr="00417DFD">
        <w:trPr>
          <w:trHeight w:val="170"/>
        </w:trPr>
        <w:tc>
          <w:tcPr>
            <w:tcW w:w="1594" w:type="pct"/>
          </w:tcPr>
          <w:p w14:paraId="1BF3FE95" w14:textId="77777777" w:rsidR="00417DFD" w:rsidRPr="00AB3B90" w:rsidRDefault="00417DFD" w:rsidP="004A0646">
            <w:pPr>
              <w:keepNext/>
              <w:spacing w:line="240" w:lineRule="auto"/>
              <w:rPr>
                <w:rFonts w:asciiTheme="majorHAnsi" w:hAnsiTheme="majorHAnsi"/>
                <w:sz w:val="16"/>
                <w:szCs w:val="16"/>
                <w:vertAlign w:val="superscript"/>
              </w:rPr>
            </w:pPr>
            <w:r w:rsidRPr="00AB3B90">
              <w:rPr>
                <w:rFonts w:asciiTheme="majorHAnsi" w:hAnsiTheme="majorHAnsi"/>
                <w:sz w:val="16"/>
                <w:szCs w:val="16"/>
              </w:rPr>
              <w:t>Victoria* (%)</w:t>
            </w:r>
          </w:p>
        </w:tc>
        <w:tc>
          <w:tcPr>
            <w:tcW w:w="567" w:type="pct"/>
          </w:tcPr>
          <w:p w14:paraId="7A7A6C3F" w14:textId="77777777" w:rsidR="00417DFD" w:rsidRPr="00AB3B90" w:rsidRDefault="00417DFD"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3.3</w:t>
            </w:r>
          </w:p>
        </w:tc>
        <w:tc>
          <w:tcPr>
            <w:tcW w:w="567" w:type="pct"/>
          </w:tcPr>
          <w:p w14:paraId="4597B016" w14:textId="77777777" w:rsidR="00417DFD" w:rsidRPr="00AB3B90" w:rsidRDefault="00417DFD"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3.3</w:t>
            </w:r>
          </w:p>
        </w:tc>
        <w:tc>
          <w:tcPr>
            <w:tcW w:w="569" w:type="pct"/>
          </w:tcPr>
          <w:p w14:paraId="674B17ED" w14:textId="77777777" w:rsidR="00417DFD" w:rsidRPr="00AB3B90" w:rsidRDefault="00417DFD"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1.0</w:t>
            </w:r>
          </w:p>
        </w:tc>
        <w:tc>
          <w:tcPr>
            <w:tcW w:w="568" w:type="pct"/>
          </w:tcPr>
          <w:p w14:paraId="46E1DA6E" w14:textId="77777777" w:rsidR="00417DFD" w:rsidRPr="00AB3B90" w:rsidRDefault="00417DFD"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2.0</w:t>
            </w:r>
          </w:p>
        </w:tc>
        <w:tc>
          <w:tcPr>
            <w:tcW w:w="568" w:type="pct"/>
          </w:tcPr>
          <w:p w14:paraId="6185870D"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2.0</w:t>
            </w:r>
          </w:p>
        </w:tc>
        <w:tc>
          <w:tcPr>
            <w:tcW w:w="567" w:type="pct"/>
          </w:tcPr>
          <w:p w14:paraId="5A9AD670"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2.0</w:t>
            </w:r>
          </w:p>
        </w:tc>
      </w:tr>
      <w:tr w:rsidR="00417DFD" w:rsidRPr="00AB3B90" w14:paraId="16F09D5C" w14:textId="77777777" w:rsidTr="00417DFD">
        <w:trPr>
          <w:trHeight w:val="170"/>
        </w:trPr>
        <w:tc>
          <w:tcPr>
            <w:tcW w:w="1594" w:type="pct"/>
          </w:tcPr>
          <w:p w14:paraId="78DCE893" w14:textId="77777777" w:rsidR="00417DFD" w:rsidRPr="00AB3B90" w:rsidRDefault="00417DFD" w:rsidP="004A0646">
            <w:pPr>
              <w:keepNext/>
              <w:spacing w:line="240" w:lineRule="auto"/>
              <w:rPr>
                <w:rFonts w:asciiTheme="majorHAnsi" w:hAnsiTheme="majorHAnsi"/>
                <w:sz w:val="16"/>
                <w:szCs w:val="16"/>
              </w:rPr>
            </w:pPr>
            <w:r w:rsidRPr="00AB3B90">
              <w:rPr>
                <w:rFonts w:asciiTheme="majorHAnsi" w:hAnsiTheme="majorHAnsi"/>
                <w:sz w:val="16"/>
                <w:szCs w:val="16"/>
              </w:rPr>
              <w:t>New South Wales* (%)</w:t>
            </w:r>
          </w:p>
        </w:tc>
        <w:tc>
          <w:tcPr>
            <w:tcW w:w="567" w:type="pct"/>
          </w:tcPr>
          <w:p w14:paraId="4DD33E5F"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2.5</w:t>
            </w:r>
          </w:p>
        </w:tc>
        <w:tc>
          <w:tcPr>
            <w:tcW w:w="567" w:type="pct"/>
          </w:tcPr>
          <w:p w14:paraId="3C0CA857"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2.5</w:t>
            </w:r>
          </w:p>
        </w:tc>
        <w:tc>
          <w:tcPr>
            <w:tcW w:w="569" w:type="pct"/>
          </w:tcPr>
          <w:p w14:paraId="4CA2E5AD"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2.3</w:t>
            </w:r>
          </w:p>
        </w:tc>
        <w:tc>
          <w:tcPr>
            <w:tcW w:w="568" w:type="pct"/>
          </w:tcPr>
          <w:p w14:paraId="2051F00C"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2.0</w:t>
            </w:r>
          </w:p>
        </w:tc>
        <w:tc>
          <w:tcPr>
            <w:tcW w:w="568" w:type="pct"/>
          </w:tcPr>
          <w:p w14:paraId="0272B9CE"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2.8</w:t>
            </w:r>
          </w:p>
        </w:tc>
        <w:tc>
          <w:tcPr>
            <w:tcW w:w="567" w:type="pct"/>
          </w:tcPr>
          <w:p w14:paraId="064EC538"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4.0</w:t>
            </w:r>
          </w:p>
        </w:tc>
      </w:tr>
      <w:tr w:rsidR="00417DFD" w:rsidRPr="00AB3B90" w14:paraId="1190C7B3" w14:textId="77777777" w:rsidTr="00417DFD">
        <w:trPr>
          <w:trHeight w:val="170"/>
        </w:trPr>
        <w:tc>
          <w:tcPr>
            <w:tcW w:w="1594" w:type="pct"/>
          </w:tcPr>
          <w:p w14:paraId="27D19CBE" w14:textId="77777777" w:rsidR="00417DFD" w:rsidRPr="00AB3B90" w:rsidRDefault="00417DFD" w:rsidP="004A0646">
            <w:pPr>
              <w:keepNext/>
              <w:spacing w:line="240" w:lineRule="auto"/>
              <w:rPr>
                <w:rFonts w:asciiTheme="majorHAnsi" w:hAnsiTheme="majorHAnsi"/>
                <w:sz w:val="16"/>
                <w:szCs w:val="16"/>
              </w:rPr>
            </w:pPr>
            <w:r w:rsidRPr="00AB3B90">
              <w:rPr>
                <w:rFonts w:asciiTheme="majorHAnsi" w:hAnsiTheme="majorHAnsi"/>
                <w:sz w:val="16"/>
                <w:szCs w:val="16"/>
              </w:rPr>
              <w:t>Queensland (%)</w:t>
            </w:r>
          </w:p>
        </w:tc>
        <w:tc>
          <w:tcPr>
            <w:tcW w:w="567" w:type="pct"/>
          </w:tcPr>
          <w:p w14:paraId="2F76F6CF"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3.1</w:t>
            </w:r>
          </w:p>
        </w:tc>
        <w:tc>
          <w:tcPr>
            <w:tcW w:w="567" w:type="pct"/>
          </w:tcPr>
          <w:p w14:paraId="01E733DD"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0.0</w:t>
            </w:r>
          </w:p>
        </w:tc>
        <w:tc>
          <w:tcPr>
            <w:tcW w:w="569" w:type="pct"/>
          </w:tcPr>
          <w:p w14:paraId="1DBD5A26"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2.5</w:t>
            </w:r>
          </w:p>
        </w:tc>
        <w:tc>
          <w:tcPr>
            <w:tcW w:w="568" w:type="pct"/>
          </w:tcPr>
          <w:p w14:paraId="04383020" w14:textId="77777777" w:rsidR="00417DFD" w:rsidRPr="00E37ADA" w:rsidRDefault="00417DFD" w:rsidP="004A0646">
            <w:pPr>
              <w:keepNext/>
              <w:spacing w:line="240" w:lineRule="auto"/>
              <w:jc w:val="right"/>
              <w:rPr>
                <w:rFonts w:asciiTheme="majorHAnsi" w:hAnsiTheme="majorHAnsi" w:cs="Calibri"/>
                <w:color w:val="000000"/>
                <w:sz w:val="16"/>
                <w:szCs w:val="16"/>
              </w:rPr>
            </w:pPr>
            <w:r w:rsidRPr="00E37ADA">
              <w:rPr>
                <w:rFonts w:asciiTheme="majorHAnsi" w:hAnsiTheme="majorHAnsi" w:cs="Calibri"/>
                <w:color w:val="000000"/>
                <w:sz w:val="16"/>
                <w:szCs w:val="16"/>
              </w:rPr>
              <w:t>5.0</w:t>
            </w:r>
          </w:p>
        </w:tc>
        <w:tc>
          <w:tcPr>
            <w:tcW w:w="568" w:type="pct"/>
          </w:tcPr>
          <w:p w14:paraId="7A9AF2F5" w14:textId="77777777" w:rsidR="00417DFD" w:rsidRPr="00E37ADA" w:rsidRDefault="00417DFD" w:rsidP="004A0646">
            <w:pPr>
              <w:keepNext/>
              <w:spacing w:line="240" w:lineRule="auto"/>
              <w:jc w:val="right"/>
              <w:rPr>
                <w:rFonts w:asciiTheme="majorHAnsi" w:hAnsiTheme="majorHAnsi" w:cs="Calibri"/>
                <w:color w:val="000000"/>
                <w:sz w:val="16"/>
                <w:szCs w:val="16"/>
              </w:rPr>
            </w:pPr>
            <w:r w:rsidRPr="00E37ADA">
              <w:rPr>
                <w:rFonts w:asciiTheme="majorHAnsi" w:hAnsiTheme="majorHAnsi" w:cs="Calibri"/>
                <w:color w:val="000000"/>
                <w:sz w:val="16"/>
                <w:szCs w:val="16"/>
              </w:rPr>
              <w:t>4.0</w:t>
            </w:r>
          </w:p>
        </w:tc>
        <w:tc>
          <w:tcPr>
            <w:tcW w:w="567" w:type="pct"/>
          </w:tcPr>
          <w:p w14:paraId="25679375"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4.0</w:t>
            </w:r>
          </w:p>
        </w:tc>
      </w:tr>
      <w:tr w:rsidR="00417DFD" w:rsidRPr="00AB3B90" w14:paraId="029EFF7F" w14:textId="77777777" w:rsidTr="00417DFD">
        <w:trPr>
          <w:trHeight w:val="170"/>
        </w:trPr>
        <w:tc>
          <w:tcPr>
            <w:tcW w:w="1594" w:type="pct"/>
          </w:tcPr>
          <w:p w14:paraId="7A49C97C" w14:textId="77777777" w:rsidR="00417DFD" w:rsidRPr="00AB3B90" w:rsidRDefault="00417DFD" w:rsidP="004A0646">
            <w:pPr>
              <w:keepNext/>
              <w:spacing w:line="240" w:lineRule="auto"/>
              <w:rPr>
                <w:rFonts w:asciiTheme="majorHAnsi" w:hAnsiTheme="majorHAnsi"/>
                <w:sz w:val="16"/>
                <w:szCs w:val="16"/>
              </w:rPr>
            </w:pPr>
            <w:r w:rsidRPr="00AB3B90">
              <w:rPr>
                <w:rFonts w:asciiTheme="majorHAnsi" w:hAnsiTheme="majorHAnsi"/>
                <w:sz w:val="16"/>
                <w:szCs w:val="16"/>
              </w:rPr>
              <w:t>Western Australia (%)</w:t>
            </w:r>
          </w:p>
        </w:tc>
        <w:tc>
          <w:tcPr>
            <w:tcW w:w="567" w:type="pct"/>
          </w:tcPr>
          <w:p w14:paraId="7BC3815F"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2.2</w:t>
            </w:r>
          </w:p>
        </w:tc>
        <w:tc>
          <w:tcPr>
            <w:tcW w:w="567" w:type="pct"/>
          </w:tcPr>
          <w:p w14:paraId="164705F0"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2.2</w:t>
            </w:r>
          </w:p>
        </w:tc>
        <w:tc>
          <w:tcPr>
            <w:tcW w:w="569" w:type="pct"/>
          </w:tcPr>
          <w:p w14:paraId="3DBB755F"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2.1</w:t>
            </w:r>
          </w:p>
        </w:tc>
        <w:tc>
          <w:tcPr>
            <w:tcW w:w="568" w:type="pct"/>
          </w:tcPr>
          <w:p w14:paraId="5B92854B"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2.1</w:t>
            </w:r>
          </w:p>
        </w:tc>
        <w:tc>
          <w:tcPr>
            <w:tcW w:w="568" w:type="pct"/>
          </w:tcPr>
          <w:p w14:paraId="1F106889"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6.3</w:t>
            </w:r>
          </w:p>
        </w:tc>
        <w:tc>
          <w:tcPr>
            <w:tcW w:w="567" w:type="pct"/>
          </w:tcPr>
          <w:p w14:paraId="538724E3"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5.9</w:t>
            </w:r>
          </w:p>
        </w:tc>
      </w:tr>
      <w:tr w:rsidR="00417DFD" w:rsidRPr="00AB3B90" w14:paraId="7211302C" w14:textId="77777777" w:rsidTr="00417DFD">
        <w:trPr>
          <w:trHeight w:val="170"/>
        </w:trPr>
        <w:tc>
          <w:tcPr>
            <w:tcW w:w="1594" w:type="pct"/>
          </w:tcPr>
          <w:p w14:paraId="28BC5540" w14:textId="77777777" w:rsidR="00417DFD" w:rsidRPr="00AB3B90" w:rsidRDefault="00417DFD" w:rsidP="004A0646">
            <w:pPr>
              <w:keepNext/>
              <w:spacing w:line="240" w:lineRule="auto"/>
              <w:rPr>
                <w:rFonts w:asciiTheme="majorHAnsi" w:hAnsiTheme="majorHAnsi"/>
                <w:sz w:val="16"/>
                <w:szCs w:val="16"/>
              </w:rPr>
            </w:pPr>
            <w:r w:rsidRPr="00AB3B90">
              <w:rPr>
                <w:rFonts w:asciiTheme="majorHAnsi" w:hAnsiTheme="majorHAnsi"/>
                <w:sz w:val="16"/>
                <w:szCs w:val="16"/>
              </w:rPr>
              <w:t>South Australia* (%)</w:t>
            </w:r>
          </w:p>
        </w:tc>
        <w:tc>
          <w:tcPr>
            <w:tcW w:w="567" w:type="pct"/>
          </w:tcPr>
          <w:p w14:paraId="5C1F2EE0"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2.0</w:t>
            </w:r>
          </w:p>
        </w:tc>
        <w:tc>
          <w:tcPr>
            <w:tcW w:w="567" w:type="pct"/>
          </w:tcPr>
          <w:p w14:paraId="335621D1"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1.9</w:t>
            </w:r>
          </w:p>
        </w:tc>
        <w:tc>
          <w:tcPr>
            <w:tcW w:w="569" w:type="pct"/>
          </w:tcPr>
          <w:p w14:paraId="0A5C0B9F"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2.3</w:t>
            </w:r>
          </w:p>
        </w:tc>
        <w:tc>
          <w:tcPr>
            <w:tcW w:w="568" w:type="pct"/>
          </w:tcPr>
          <w:p w14:paraId="08368B30"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2.4</w:t>
            </w:r>
          </w:p>
        </w:tc>
        <w:tc>
          <w:tcPr>
            <w:tcW w:w="568" w:type="pct"/>
          </w:tcPr>
          <w:p w14:paraId="2F865B4C"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n/a</w:t>
            </w:r>
          </w:p>
        </w:tc>
        <w:tc>
          <w:tcPr>
            <w:tcW w:w="567" w:type="pct"/>
          </w:tcPr>
          <w:p w14:paraId="5069488D"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n/a</w:t>
            </w:r>
          </w:p>
        </w:tc>
      </w:tr>
      <w:tr w:rsidR="00417DFD" w:rsidRPr="00AB3B90" w14:paraId="63900821" w14:textId="77777777" w:rsidTr="00417DFD">
        <w:trPr>
          <w:trHeight w:val="170"/>
        </w:trPr>
        <w:tc>
          <w:tcPr>
            <w:tcW w:w="1594" w:type="pct"/>
          </w:tcPr>
          <w:p w14:paraId="1871F7DB" w14:textId="77777777" w:rsidR="00417DFD" w:rsidRPr="00AB3B90" w:rsidRDefault="00417DFD" w:rsidP="004A0646">
            <w:pPr>
              <w:keepNext/>
              <w:spacing w:line="240" w:lineRule="auto"/>
              <w:rPr>
                <w:rFonts w:asciiTheme="majorHAnsi" w:hAnsiTheme="majorHAnsi"/>
                <w:sz w:val="16"/>
                <w:szCs w:val="16"/>
              </w:rPr>
            </w:pPr>
            <w:r w:rsidRPr="00AB3B90">
              <w:rPr>
                <w:rFonts w:asciiTheme="majorHAnsi" w:hAnsiTheme="majorHAnsi"/>
                <w:sz w:val="16"/>
                <w:szCs w:val="16"/>
              </w:rPr>
              <w:t>Tasmania (%)</w:t>
            </w:r>
          </w:p>
        </w:tc>
        <w:tc>
          <w:tcPr>
            <w:tcW w:w="567" w:type="pct"/>
          </w:tcPr>
          <w:p w14:paraId="673E4760" w14:textId="77777777" w:rsidR="00417DFD" w:rsidRPr="00AB3B90" w:rsidRDefault="00417DFD"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2.4</w:t>
            </w:r>
          </w:p>
        </w:tc>
        <w:tc>
          <w:tcPr>
            <w:tcW w:w="567" w:type="pct"/>
          </w:tcPr>
          <w:p w14:paraId="5B451E44" w14:textId="77777777" w:rsidR="00417DFD" w:rsidRPr="00AB3B90" w:rsidRDefault="00417DFD"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2.3</w:t>
            </w:r>
          </w:p>
        </w:tc>
        <w:tc>
          <w:tcPr>
            <w:tcW w:w="569" w:type="pct"/>
          </w:tcPr>
          <w:p w14:paraId="05A7023B" w14:textId="77777777" w:rsidR="00417DFD" w:rsidRPr="00AB3B90" w:rsidRDefault="00417DFD"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2.3</w:t>
            </w:r>
          </w:p>
        </w:tc>
        <w:tc>
          <w:tcPr>
            <w:tcW w:w="568" w:type="pct"/>
          </w:tcPr>
          <w:p w14:paraId="730D37A5" w14:textId="77777777" w:rsidR="00417DFD" w:rsidRPr="00AB3B90" w:rsidRDefault="00417DFD" w:rsidP="004A0646">
            <w:pPr>
              <w:keepNext/>
              <w:spacing w:line="240" w:lineRule="auto"/>
              <w:jc w:val="right"/>
              <w:rPr>
                <w:rFonts w:asciiTheme="majorHAnsi" w:hAnsiTheme="majorHAnsi"/>
                <w:sz w:val="16"/>
                <w:szCs w:val="16"/>
              </w:rPr>
            </w:pPr>
            <w:r w:rsidRPr="00AB3B90">
              <w:rPr>
                <w:rFonts w:asciiTheme="majorHAnsi" w:hAnsiTheme="majorHAnsi" w:cs="Calibri"/>
                <w:color w:val="000000"/>
                <w:sz w:val="16"/>
                <w:szCs w:val="16"/>
              </w:rPr>
              <w:t>2.4</w:t>
            </w:r>
          </w:p>
        </w:tc>
        <w:tc>
          <w:tcPr>
            <w:tcW w:w="568" w:type="pct"/>
          </w:tcPr>
          <w:p w14:paraId="5D1CA735"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6.0</w:t>
            </w:r>
          </w:p>
        </w:tc>
        <w:tc>
          <w:tcPr>
            <w:tcW w:w="567" w:type="pct"/>
          </w:tcPr>
          <w:p w14:paraId="2F47763E"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3.0</w:t>
            </w:r>
          </w:p>
        </w:tc>
      </w:tr>
      <w:tr w:rsidR="00417DFD" w:rsidRPr="00AB3B90" w14:paraId="76E0D758" w14:textId="77777777" w:rsidTr="00417DFD">
        <w:trPr>
          <w:trHeight w:val="170"/>
        </w:trPr>
        <w:tc>
          <w:tcPr>
            <w:tcW w:w="1594" w:type="pct"/>
          </w:tcPr>
          <w:p w14:paraId="2794D180" w14:textId="77777777" w:rsidR="00417DFD" w:rsidRPr="00AB3B90" w:rsidRDefault="00417DFD" w:rsidP="004A0646">
            <w:pPr>
              <w:keepNext/>
              <w:spacing w:line="240" w:lineRule="auto"/>
              <w:rPr>
                <w:rFonts w:asciiTheme="majorHAnsi" w:hAnsiTheme="majorHAnsi"/>
                <w:sz w:val="16"/>
                <w:szCs w:val="16"/>
              </w:rPr>
            </w:pPr>
            <w:r w:rsidRPr="00AB3B90">
              <w:rPr>
                <w:rFonts w:asciiTheme="majorHAnsi" w:hAnsiTheme="majorHAnsi"/>
                <w:sz w:val="16"/>
                <w:szCs w:val="16"/>
              </w:rPr>
              <w:t>Australian Capital Territory (%)</w:t>
            </w:r>
          </w:p>
        </w:tc>
        <w:tc>
          <w:tcPr>
            <w:tcW w:w="567" w:type="pct"/>
          </w:tcPr>
          <w:p w14:paraId="1335EA7A"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2.1</w:t>
            </w:r>
          </w:p>
        </w:tc>
        <w:tc>
          <w:tcPr>
            <w:tcW w:w="567" w:type="pct"/>
          </w:tcPr>
          <w:p w14:paraId="16710F08"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2.7</w:t>
            </w:r>
          </w:p>
        </w:tc>
        <w:tc>
          <w:tcPr>
            <w:tcW w:w="569" w:type="pct"/>
          </w:tcPr>
          <w:p w14:paraId="0A5A6F0A"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2.7</w:t>
            </w:r>
          </w:p>
        </w:tc>
        <w:tc>
          <w:tcPr>
            <w:tcW w:w="568" w:type="pct"/>
          </w:tcPr>
          <w:p w14:paraId="4A6290E6"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2.7</w:t>
            </w:r>
          </w:p>
        </w:tc>
        <w:tc>
          <w:tcPr>
            <w:tcW w:w="568" w:type="pct"/>
          </w:tcPr>
          <w:p w14:paraId="425D9F39"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3.9</w:t>
            </w:r>
          </w:p>
        </w:tc>
        <w:tc>
          <w:tcPr>
            <w:tcW w:w="567" w:type="pct"/>
          </w:tcPr>
          <w:p w14:paraId="1CB2151E"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3.7</w:t>
            </w:r>
          </w:p>
        </w:tc>
      </w:tr>
      <w:tr w:rsidR="00417DFD" w:rsidRPr="00AB3B90" w14:paraId="0679073E" w14:textId="77777777" w:rsidTr="00417DFD">
        <w:trPr>
          <w:trHeight w:val="170"/>
        </w:trPr>
        <w:tc>
          <w:tcPr>
            <w:tcW w:w="1594" w:type="pct"/>
          </w:tcPr>
          <w:p w14:paraId="2AB234B2" w14:textId="77777777" w:rsidR="00417DFD" w:rsidRPr="00AB3B90" w:rsidRDefault="00417DFD" w:rsidP="004A0646">
            <w:pPr>
              <w:keepNext/>
              <w:spacing w:line="240" w:lineRule="auto"/>
              <w:rPr>
                <w:rFonts w:asciiTheme="majorHAnsi" w:hAnsiTheme="majorHAnsi"/>
                <w:sz w:val="16"/>
                <w:szCs w:val="16"/>
              </w:rPr>
            </w:pPr>
            <w:r w:rsidRPr="00AB3B90">
              <w:rPr>
                <w:rFonts w:asciiTheme="majorHAnsi" w:hAnsiTheme="majorHAnsi"/>
                <w:sz w:val="16"/>
                <w:szCs w:val="16"/>
              </w:rPr>
              <w:t>Northern Territory* (%)</w:t>
            </w:r>
          </w:p>
        </w:tc>
        <w:tc>
          <w:tcPr>
            <w:tcW w:w="567" w:type="pct"/>
          </w:tcPr>
          <w:p w14:paraId="119C4F88"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2.5</w:t>
            </w:r>
          </w:p>
        </w:tc>
        <w:tc>
          <w:tcPr>
            <w:tcW w:w="567" w:type="pct"/>
          </w:tcPr>
          <w:p w14:paraId="34A3D718"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2.5</w:t>
            </w:r>
          </w:p>
        </w:tc>
        <w:tc>
          <w:tcPr>
            <w:tcW w:w="569" w:type="pct"/>
          </w:tcPr>
          <w:p w14:paraId="0C7F8086"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2.5</w:t>
            </w:r>
          </w:p>
        </w:tc>
        <w:tc>
          <w:tcPr>
            <w:tcW w:w="568" w:type="pct"/>
          </w:tcPr>
          <w:p w14:paraId="12724F20"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3.0</w:t>
            </w:r>
          </w:p>
        </w:tc>
        <w:tc>
          <w:tcPr>
            <w:tcW w:w="568" w:type="pct"/>
          </w:tcPr>
          <w:p w14:paraId="46524C2D"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3.0</w:t>
            </w:r>
          </w:p>
        </w:tc>
        <w:tc>
          <w:tcPr>
            <w:tcW w:w="567" w:type="pct"/>
          </w:tcPr>
          <w:p w14:paraId="5E41341C" w14:textId="77777777" w:rsidR="00417DFD" w:rsidRPr="00AB3B90" w:rsidRDefault="00417DFD" w:rsidP="004A0646">
            <w:pPr>
              <w:keepNext/>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3.0</w:t>
            </w:r>
          </w:p>
        </w:tc>
      </w:tr>
      <w:tr w:rsidR="00417DFD" w:rsidRPr="00AB3B90" w14:paraId="218BC68C" w14:textId="77777777" w:rsidTr="00417DFD">
        <w:trPr>
          <w:trHeight w:val="170"/>
        </w:trPr>
        <w:tc>
          <w:tcPr>
            <w:tcW w:w="1594" w:type="pct"/>
          </w:tcPr>
          <w:p w14:paraId="6C178CAB" w14:textId="77777777" w:rsidR="00417DFD" w:rsidRPr="00AB3B90" w:rsidRDefault="00417DFD" w:rsidP="004A0646">
            <w:pPr>
              <w:keepNext/>
              <w:spacing w:line="240" w:lineRule="auto"/>
              <w:rPr>
                <w:rFonts w:asciiTheme="majorHAnsi" w:hAnsiTheme="majorHAnsi"/>
                <w:b/>
                <w:sz w:val="16"/>
                <w:szCs w:val="16"/>
              </w:rPr>
            </w:pPr>
            <w:r w:rsidRPr="00AB3B90">
              <w:rPr>
                <w:rFonts w:asciiTheme="majorHAnsi" w:hAnsiTheme="majorHAnsi"/>
                <w:b/>
                <w:sz w:val="16"/>
                <w:szCs w:val="16"/>
              </w:rPr>
              <w:t>Weighted average</w:t>
            </w:r>
            <w:r w:rsidRPr="00AB3B90">
              <w:rPr>
                <w:rFonts w:asciiTheme="majorHAnsi" w:hAnsiTheme="majorHAnsi"/>
                <w:sz w:val="16"/>
                <w:szCs w:val="16"/>
              </w:rPr>
              <w:t xml:space="preserve"> (%)</w:t>
            </w:r>
          </w:p>
        </w:tc>
        <w:tc>
          <w:tcPr>
            <w:tcW w:w="567" w:type="pct"/>
          </w:tcPr>
          <w:p w14:paraId="5E7C7055" w14:textId="77777777" w:rsidR="00417DFD" w:rsidRPr="00AB3B90" w:rsidRDefault="00417DFD" w:rsidP="004A0646">
            <w:pPr>
              <w:keepNext/>
              <w:spacing w:line="240" w:lineRule="auto"/>
              <w:jc w:val="right"/>
              <w:rPr>
                <w:rFonts w:asciiTheme="majorHAnsi" w:hAnsiTheme="majorHAnsi" w:cs="Calibri"/>
                <w:b/>
                <w:color w:val="000000"/>
                <w:sz w:val="16"/>
                <w:szCs w:val="16"/>
              </w:rPr>
            </w:pPr>
            <w:r w:rsidRPr="00AB3B90">
              <w:rPr>
                <w:rFonts w:asciiTheme="majorHAnsi" w:hAnsiTheme="majorHAnsi" w:cs="Calibri"/>
                <w:b/>
                <w:bCs/>
                <w:color w:val="000000"/>
                <w:sz w:val="16"/>
                <w:szCs w:val="16"/>
              </w:rPr>
              <w:t>2.7</w:t>
            </w:r>
          </w:p>
        </w:tc>
        <w:tc>
          <w:tcPr>
            <w:tcW w:w="567" w:type="pct"/>
          </w:tcPr>
          <w:p w14:paraId="66EE6297" w14:textId="77777777" w:rsidR="00417DFD" w:rsidRPr="00AB3B90" w:rsidRDefault="00417DFD" w:rsidP="004A0646">
            <w:pPr>
              <w:keepNext/>
              <w:spacing w:line="240" w:lineRule="auto"/>
              <w:jc w:val="right"/>
              <w:rPr>
                <w:rFonts w:asciiTheme="majorHAnsi" w:hAnsiTheme="majorHAnsi" w:cs="Calibri"/>
                <w:b/>
                <w:color w:val="000000"/>
                <w:sz w:val="16"/>
                <w:szCs w:val="16"/>
              </w:rPr>
            </w:pPr>
            <w:r w:rsidRPr="00AB3B90">
              <w:rPr>
                <w:rFonts w:asciiTheme="majorHAnsi" w:hAnsiTheme="majorHAnsi" w:cs="Calibri"/>
                <w:b/>
                <w:bCs/>
                <w:color w:val="000000"/>
                <w:sz w:val="16"/>
                <w:szCs w:val="16"/>
              </w:rPr>
              <w:t>2.0</w:t>
            </w:r>
          </w:p>
        </w:tc>
        <w:tc>
          <w:tcPr>
            <w:tcW w:w="569" w:type="pct"/>
          </w:tcPr>
          <w:p w14:paraId="62492268" w14:textId="77777777" w:rsidR="00417DFD" w:rsidRPr="00AB3B90" w:rsidRDefault="00417DFD" w:rsidP="004A0646">
            <w:pPr>
              <w:keepNext/>
              <w:spacing w:line="240" w:lineRule="auto"/>
              <w:jc w:val="right"/>
              <w:rPr>
                <w:rFonts w:asciiTheme="majorHAnsi" w:hAnsiTheme="majorHAnsi" w:cs="Calibri"/>
                <w:b/>
                <w:color w:val="000000"/>
                <w:sz w:val="16"/>
                <w:szCs w:val="16"/>
              </w:rPr>
            </w:pPr>
            <w:r w:rsidRPr="00AB3B90">
              <w:rPr>
                <w:rFonts w:asciiTheme="majorHAnsi" w:hAnsiTheme="majorHAnsi" w:cs="Calibri"/>
                <w:b/>
                <w:bCs/>
                <w:color w:val="000000"/>
                <w:sz w:val="16"/>
                <w:szCs w:val="16"/>
              </w:rPr>
              <w:t>2.0</w:t>
            </w:r>
          </w:p>
        </w:tc>
        <w:tc>
          <w:tcPr>
            <w:tcW w:w="568" w:type="pct"/>
          </w:tcPr>
          <w:p w14:paraId="2AB9CAAC" w14:textId="77777777" w:rsidR="00417DFD" w:rsidRPr="00E37ADA" w:rsidRDefault="00417DFD" w:rsidP="004A0646">
            <w:pPr>
              <w:keepNext/>
              <w:spacing w:line="240" w:lineRule="auto"/>
              <w:jc w:val="right"/>
              <w:rPr>
                <w:rFonts w:asciiTheme="majorHAnsi" w:hAnsiTheme="majorHAnsi" w:cs="Calibri"/>
                <w:b/>
                <w:color w:val="000000"/>
                <w:sz w:val="16"/>
                <w:szCs w:val="16"/>
              </w:rPr>
            </w:pPr>
            <w:r w:rsidRPr="00E37ADA">
              <w:rPr>
                <w:rFonts w:asciiTheme="majorHAnsi" w:hAnsiTheme="majorHAnsi" w:cs="Calibri"/>
                <w:b/>
                <w:color w:val="000000"/>
                <w:sz w:val="16"/>
                <w:szCs w:val="16"/>
              </w:rPr>
              <w:t>2.</w:t>
            </w:r>
            <w:r w:rsidRPr="00E37ADA">
              <w:rPr>
                <w:rFonts w:asciiTheme="majorHAnsi" w:hAnsiTheme="majorHAnsi" w:cs="Calibri"/>
                <w:b/>
                <w:bCs/>
                <w:color w:val="000000"/>
                <w:sz w:val="16"/>
                <w:szCs w:val="16"/>
              </w:rPr>
              <w:t>7</w:t>
            </w:r>
          </w:p>
        </w:tc>
        <w:tc>
          <w:tcPr>
            <w:tcW w:w="568" w:type="pct"/>
          </w:tcPr>
          <w:p w14:paraId="34A0E8A0" w14:textId="77777777" w:rsidR="00417DFD" w:rsidRPr="00E37ADA" w:rsidRDefault="00417DFD" w:rsidP="004A0646">
            <w:pPr>
              <w:keepNext/>
              <w:spacing w:line="240" w:lineRule="auto"/>
              <w:jc w:val="right"/>
              <w:rPr>
                <w:rFonts w:asciiTheme="majorHAnsi" w:hAnsiTheme="majorHAnsi" w:cs="Calibri"/>
                <w:b/>
                <w:color w:val="000000"/>
                <w:sz w:val="16"/>
                <w:szCs w:val="16"/>
              </w:rPr>
            </w:pPr>
            <w:r w:rsidRPr="00E37ADA">
              <w:rPr>
                <w:rFonts w:asciiTheme="majorHAnsi" w:hAnsiTheme="majorHAnsi" w:cs="Calibri"/>
                <w:b/>
                <w:bCs/>
                <w:color w:val="000000"/>
                <w:sz w:val="16"/>
                <w:szCs w:val="16"/>
              </w:rPr>
              <w:t>3.5</w:t>
            </w:r>
          </w:p>
        </w:tc>
        <w:tc>
          <w:tcPr>
            <w:tcW w:w="567" w:type="pct"/>
          </w:tcPr>
          <w:p w14:paraId="1C09082F" w14:textId="77777777" w:rsidR="00417DFD" w:rsidRPr="00AB3B90" w:rsidRDefault="00417DFD" w:rsidP="004A0646">
            <w:pPr>
              <w:keepNext/>
              <w:spacing w:line="240" w:lineRule="auto"/>
              <w:jc w:val="right"/>
              <w:rPr>
                <w:rFonts w:asciiTheme="majorHAnsi" w:hAnsiTheme="majorHAnsi" w:cs="Calibri"/>
                <w:b/>
                <w:color w:val="000000"/>
                <w:sz w:val="16"/>
                <w:szCs w:val="16"/>
              </w:rPr>
            </w:pPr>
            <w:r w:rsidRPr="00AB3B90">
              <w:rPr>
                <w:rFonts w:asciiTheme="majorHAnsi" w:hAnsiTheme="majorHAnsi" w:cs="Calibri"/>
                <w:b/>
                <w:bCs/>
                <w:color w:val="000000"/>
                <w:sz w:val="16"/>
                <w:szCs w:val="16"/>
              </w:rPr>
              <w:t>3.7</w:t>
            </w:r>
          </w:p>
        </w:tc>
      </w:tr>
    </w:tbl>
    <w:bookmarkEnd w:id="95"/>
    <w:p w14:paraId="54103180" w14:textId="148D542C" w:rsidR="008266C9" w:rsidRPr="00AB3B90" w:rsidRDefault="00C12F68" w:rsidP="008266C9">
      <w:pPr>
        <w:pStyle w:val="Source"/>
        <w:spacing w:after="0" w:line="240" w:lineRule="auto"/>
      </w:pPr>
      <w:r w:rsidRPr="00AB3B90">
        <w:t xml:space="preserve">Notes: </w:t>
      </w:r>
      <w:r w:rsidR="001250B7">
        <w:t xml:space="preserve"> </w:t>
      </w:r>
      <w:r w:rsidR="008266C9" w:rsidRPr="00AB3B90">
        <w:t xml:space="preserve">Estimated growth rates are through the year growth to the June quarter. n/a denotes cases where the EBA is not publicly available or is in negotiation. </w:t>
      </w:r>
      <w:r w:rsidR="008266C9" w:rsidRPr="00AB3B90">
        <w:rPr>
          <w:vertAlign w:val="superscript"/>
        </w:rPr>
        <w:t>*</w:t>
      </w:r>
      <w:r w:rsidR="008266C9" w:rsidRPr="00AB3B90">
        <w:t xml:space="preserve">Roles are governed by the same EBA as teaching staff. </w:t>
      </w:r>
      <w:r w:rsidR="008266C9" w:rsidRPr="00E37ADA">
        <w:t xml:space="preserve">The specific </w:t>
      </w:r>
      <w:r w:rsidR="002344F1" w:rsidRPr="00E37ADA">
        <w:br/>
      </w:r>
      <w:r w:rsidR="008266C9" w:rsidRPr="00E37ADA">
        <w:t xml:space="preserve">non-teaching roles covered in the analysis differ between </w:t>
      </w:r>
      <w:proofErr w:type="gramStart"/>
      <w:r w:rsidR="008266C9" w:rsidRPr="00E37ADA">
        <w:t>jurisdictions, and</w:t>
      </w:r>
      <w:proofErr w:type="gramEnd"/>
      <w:r w:rsidR="008266C9" w:rsidRPr="00E37ADA">
        <w:t xml:space="preserve"> are outlined in Figure</w:t>
      </w:r>
      <w:r w:rsidR="006234C8" w:rsidRPr="00E37ADA">
        <w:t> 15</w:t>
      </w:r>
      <w:r w:rsidR="008266C9" w:rsidRPr="00E37ADA">
        <w:t>.</w:t>
      </w:r>
      <w:r w:rsidR="008266C9" w:rsidRPr="00AB3B90">
        <w:t xml:space="preserve"> </w:t>
      </w:r>
      <w:r w:rsidR="008266C9" w:rsidRPr="00AB3B90">
        <w:rPr>
          <w:vertAlign w:val="superscript"/>
        </w:rPr>
        <w:t>*</w:t>
      </w:r>
      <w:r w:rsidR="008266C9" w:rsidRPr="00AB3B90">
        <w:t xml:space="preserve">Roles are governed by the same EBA as teaching staff. The weighted average is calculated by applying weights that consider the proportion of FTE government sector non-teaching staff in each state/territory in the calendar year. For 2024, the FTE staff count from 2023 is utilised due to data availability. More information is available in </w:t>
      </w:r>
      <w:r w:rsidR="00765CE4" w:rsidRPr="00AB3B90">
        <w:t>Appendix G</w:t>
      </w:r>
      <w:r w:rsidR="008266C9" w:rsidRPr="00AB3B90">
        <w:t>.</w:t>
      </w:r>
    </w:p>
    <w:p w14:paraId="6BA9F73B" w14:textId="77777777" w:rsidR="00C12F68" w:rsidRPr="00AB3B90" w:rsidRDefault="00C12F68" w:rsidP="00C12F68">
      <w:pPr>
        <w:pStyle w:val="Source"/>
        <w:spacing w:before="0" w:line="240" w:lineRule="auto"/>
      </w:pPr>
      <w:r w:rsidRPr="00AB3B90">
        <w:t>Source: Deloitte Access Economics (2024) and State and territory Departments of Education (2017–2024)</w:t>
      </w:r>
    </w:p>
    <w:p w14:paraId="4E8E5FDC" w14:textId="77777777" w:rsidR="00ED7933" w:rsidRPr="00AB3B90" w:rsidRDefault="00ED7933" w:rsidP="00ED7933">
      <w:pPr>
        <w:pStyle w:val="Heading4"/>
      </w:pPr>
      <w:r w:rsidRPr="00AB3B90">
        <w:t>Analysis of stakeholder data</w:t>
      </w:r>
    </w:p>
    <w:p w14:paraId="47006BC4" w14:textId="2D6A25AE" w:rsidR="00ED7933" w:rsidRPr="00AB3B90" w:rsidRDefault="10913D37" w:rsidP="00ED7933">
      <w:r w:rsidRPr="00AB3B90">
        <w:t>Data on annual government sector non-teacher wage growth for 2019 to 2023 was received from most state and territory government stakeholders. Based on this data, a weighted average for annual salary increases for this period was calculated</w:t>
      </w:r>
      <w:r w:rsidR="319F2716" w:rsidRPr="00AB3B90">
        <w:t xml:space="preserve"> by Deloitte</w:t>
      </w:r>
      <w:r w:rsidR="009F66CD">
        <w:t xml:space="preserve"> Access Economics</w:t>
      </w:r>
      <w:r w:rsidRPr="00AB3B90">
        <w:t>, incorporating data received from state and territory stakeholders where available, and where not available, estimates for states and territories were derived using publicly available EBA information. The weights consider the ratio of FTE government sector non-teaching staff in each state/territory to the overall count.</w:t>
      </w:r>
    </w:p>
    <w:p w14:paraId="763306CE" w14:textId="36E4DC39" w:rsidR="00ED7933" w:rsidRPr="00AB3B90" w:rsidRDefault="00ED7933" w:rsidP="00ED7933">
      <w:r w:rsidRPr="00AB3B90">
        <w:t>Stakeholder data broadly aligns with the publicly available EBA data. In 2019 to 2020, the weighted measure calculated from stakeholder data aligns with data collected through publicly available EBAs, but there is divergence in 2021 to 2023, likely due to specific factors:</w:t>
      </w:r>
    </w:p>
    <w:p w14:paraId="47D4CCBC" w14:textId="77777777" w:rsidR="00E14862" w:rsidRPr="00AB3B90" w:rsidRDefault="00E14862">
      <w:pPr>
        <w:spacing w:before="0" w:after="160"/>
      </w:pPr>
      <w:r w:rsidRPr="00AB3B90">
        <w:br w:type="page"/>
      </w:r>
    </w:p>
    <w:p w14:paraId="1E990D6A" w14:textId="1BCDF8F7" w:rsidR="00ED7933" w:rsidRPr="00AB3B90" w:rsidRDefault="3B830B71" w:rsidP="00E37ADA">
      <w:pPr>
        <w:pStyle w:val="ListBullet"/>
      </w:pPr>
      <w:r w:rsidRPr="00AB3B90">
        <w:t>In one jurisdiction, the stakeholder data covers reported salary increases for Education Support staff, whereas the EBA-calculated increases additionally include Paraprofessional staff. Stakeholder consultations noted a deliberate government decision to increase the salaries of some Education Support staff over this period. While EBA data reflects this for lower classifications, the increase across other Education Support and Paraprofessional levels was much less. The absence of data breakdown for non-teaching staff by positions likely contributes to the disparity as EBA-calculated increases are unweighted averages across all positions.</w:t>
      </w:r>
    </w:p>
    <w:p w14:paraId="70A469A8" w14:textId="2DEEB22B" w:rsidR="00ED7933" w:rsidRPr="00AB3B90" w:rsidRDefault="3B830B71" w:rsidP="00E37ADA">
      <w:pPr>
        <w:pStyle w:val="ListBullet"/>
      </w:pPr>
      <w:r w:rsidRPr="00AB3B90">
        <w:t>In another jurisdiction, the reported increase for 2023 is notably lower than the EBA-calculated figure. The EBA-calculated figures only consider a small number of teaching assistant positions. The new EBA includes an additional payment for lower classified staff, potentially explaining the higher total increase compared to reported figures if those figures account for staff at higher levels.</w:t>
      </w:r>
    </w:p>
    <w:p w14:paraId="6E763D2D" w14:textId="092F62F7" w:rsidR="00ED7933" w:rsidRPr="00AB3B90" w:rsidRDefault="3B830B71" w:rsidP="00E37ADA">
      <w:pPr>
        <w:pStyle w:val="ListBullet"/>
      </w:pPr>
      <w:r w:rsidRPr="00AB3B90">
        <w:t>In another jurisdiction, government non-teaching staff reported no salary increase in 2021 and 2022, in contrast to the 2.5 and 3</w:t>
      </w:r>
      <w:r w:rsidR="261E4DC1" w:rsidRPr="00AB3B90">
        <w:t> </w:t>
      </w:r>
      <w:r w:rsidRPr="00AB3B90">
        <w:t>per</w:t>
      </w:r>
      <w:r w:rsidR="261E4DC1" w:rsidRPr="00AB3B90">
        <w:t> </w:t>
      </w:r>
      <w:r w:rsidRPr="00AB3B90">
        <w:t>cent increase calculated using publicly available EBAs during these years. This disparity arises from variations in the positions considered, as the stakeholder-provided data accounts for the administrative EBA</w:t>
      </w:r>
      <w:r w:rsidR="008A1298" w:rsidRPr="00AB3B90">
        <w:t xml:space="preserve"> for staff such as special education officers </w:t>
      </w:r>
      <w:r w:rsidR="008D3659" w:rsidRPr="00AB3B90">
        <w:t>who are covered by the administrative EBA</w:t>
      </w:r>
      <w:r w:rsidRPr="00AB3B90">
        <w:t xml:space="preserve">, while the EBA-calculated positions focus on teaching assistants.  </w:t>
      </w:r>
    </w:p>
    <w:p w14:paraId="4915DDF5" w14:textId="0CBA909C" w:rsidR="00ED7933" w:rsidRPr="00AB3B90" w:rsidRDefault="10913D37" w:rsidP="00ED7933">
      <w:proofErr w:type="gramStart"/>
      <w:r w:rsidRPr="00AB3B90">
        <w:t>Similar to</w:t>
      </w:r>
      <w:proofErr w:type="gramEnd"/>
      <w:r w:rsidRPr="00AB3B90">
        <w:t xml:space="preserve"> the data received for stakeholder teacher salaries, different approaches may have been used to calculate the provided non-teacher salary data. For consistency of calculation, </w:t>
      </w:r>
      <w:r w:rsidR="6F0ABE9C" w:rsidRPr="00AB3B90">
        <w:t xml:space="preserve">Deloitte </w:t>
      </w:r>
      <w:r w:rsidR="009F66CD">
        <w:t xml:space="preserve">Access Economics </w:t>
      </w:r>
      <w:r w:rsidR="6F0ABE9C" w:rsidRPr="00AB3B90">
        <w:t xml:space="preserve">used </w:t>
      </w:r>
      <w:r w:rsidRPr="00AB3B90">
        <w:t xml:space="preserve">the weighted average calculated using publicly available EBAs  for further analysis (discussed </w:t>
      </w:r>
      <w:r w:rsidR="1A3C0714" w:rsidRPr="00AB3B90">
        <w:t xml:space="preserve">further </w:t>
      </w:r>
      <w:r w:rsidRPr="00AB3B90">
        <w:t>below).</w:t>
      </w:r>
    </w:p>
    <w:p w14:paraId="22279D16" w14:textId="77777777" w:rsidR="00EC613C" w:rsidRPr="00AB3B90" w:rsidRDefault="00EC613C" w:rsidP="009F66CD">
      <w:pPr>
        <w:pStyle w:val="Heading3"/>
      </w:pPr>
      <w:bookmarkStart w:id="96" w:name="_Ref161297461"/>
      <w:r w:rsidRPr="00AB3B90">
        <w:t>Other operating input prices over time</w:t>
      </w:r>
      <w:bookmarkEnd w:id="96"/>
    </w:p>
    <w:p w14:paraId="2FE2A88A" w14:textId="0F52D8A6" w:rsidR="0035120D" w:rsidRPr="00AB3B90" w:rsidRDefault="0035120D" w:rsidP="0035120D">
      <w:r w:rsidRPr="00AB3B90">
        <w:t xml:space="preserve">Noting the limited publicly available data on non-salary-related recurrent expenditure, information from consultations and written responses indicated that major non-staff schooling inputs are: </w:t>
      </w:r>
    </w:p>
    <w:p w14:paraId="25688C01" w14:textId="77777777" w:rsidR="0035120D" w:rsidRPr="00AB3B90" w:rsidRDefault="0035120D" w:rsidP="00E37ADA">
      <w:pPr>
        <w:pStyle w:val="ListBullet"/>
      </w:pPr>
      <w:r w:rsidRPr="00AB3B90">
        <w:t>general operating inputs, such as utilities and insurance,</w:t>
      </w:r>
    </w:p>
    <w:p w14:paraId="36CFBBFC" w14:textId="77777777" w:rsidR="0035120D" w:rsidRPr="00AB3B90" w:rsidRDefault="0035120D" w:rsidP="00E37ADA">
      <w:pPr>
        <w:pStyle w:val="ListBullet"/>
      </w:pPr>
      <w:r w:rsidRPr="00AB3B90">
        <w:t>maintenance on school land and buildings,</w:t>
      </w:r>
    </w:p>
    <w:p w14:paraId="5A6B802C" w14:textId="77777777" w:rsidR="0035120D" w:rsidRPr="00AB3B90" w:rsidRDefault="0035120D" w:rsidP="00E37ADA">
      <w:pPr>
        <w:pStyle w:val="ListBullet"/>
      </w:pPr>
      <w:r w:rsidRPr="00AB3B90">
        <w:t>materials and supplies including textbooks, art supplies, or sporting equipment,</w:t>
      </w:r>
    </w:p>
    <w:p w14:paraId="6920F8B7" w14:textId="77777777" w:rsidR="0035120D" w:rsidRPr="00AB3B90" w:rsidRDefault="0035120D" w:rsidP="00E37ADA">
      <w:pPr>
        <w:pStyle w:val="ListBullet"/>
      </w:pPr>
      <w:r w:rsidRPr="00AB3B90">
        <w:t>software, information, and communications technology, and</w:t>
      </w:r>
    </w:p>
    <w:p w14:paraId="30F2716D" w14:textId="77777777" w:rsidR="0035120D" w:rsidRPr="00AB3B90" w:rsidRDefault="0035120D" w:rsidP="00E37ADA">
      <w:pPr>
        <w:pStyle w:val="ListBullet"/>
      </w:pPr>
      <w:r w:rsidRPr="00AB3B90">
        <w:t>casual relief teachers (sourced through third parties).</w:t>
      </w:r>
    </w:p>
    <w:p w14:paraId="5D2CC51A" w14:textId="6D967865" w:rsidR="00C11B30" w:rsidRPr="00AB3B90" w:rsidRDefault="00C11B30" w:rsidP="00C11B30">
      <w:r w:rsidRPr="00AB3B90">
        <w:t>The CPI subcategories identified by stakeholders to be most</w:t>
      </w:r>
      <w:r w:rsidR="00362E71" w:rsidRPr="00AB3B90">
        <w:t xml:space="preserve"> </w:t>
      </w:r>
      <w:r w:rsidRPr="00AB3B90">
        <w:t xml:space="preserve">relevant for schooling, outlined in </w:t>
      </w:r>
      <w:r w:rsidR="007C591E" w:rsidRPr="00AB3B90">
        <w:t xml:space="preserve">Table 7 </w:t>
      </w:r>
      <w:r w:rsidRPr="00AB3B90">
        <w:t>of Section</w:t>
      </w:r>
      <w:r w:rsidR="00A7400F" w:rsidRPr="00AB3B90">
        <w:t> </w:t>
      </w:r>
      <w:r w:rsidR="007C591E" w:rsidRPr="00AB3B90">
        <w:t>4.4</w:t>
      </w:r>
      <w:r w:rsidRPr="00AB3B90">
        <w:t>, provide evidence of how prices of the above inputs may have changed for school systems in recent years.</w:t>
      </w:r>
    </w:p>
    <w:p w14:paraId="19924E7E" w14:textId="3F17DC8B" w:rsidR="00C11B30" w:rsidRPr="00AB3B90" w:rsidRDefault="00C11B30" w:rsidP="00E37ADA">
      <w:pPr>
        <w:pStyle w:val="ListBullet"/>
      </w:pPr>
      <w:r w:rsidRPr="00AB3B90">
        <w:t xml:space="preserve">Transport, </w:t>
      </w:r>
      <w:r w:rsidR="00754574">
        <w:t>c</w:t>
      </w:r>
      <w:r w:rsidRPr="00AB3B90">
        <w:t xml:space="preserve">leaning and maintenance products, and </w:t>
      </w:r>
      <w:r w:rsidR="00754574">
        <w:t>m</w:t>
      </w:r>
      <w:r w:rsidRPr="00AB3B90">
        <w:t>aintenance and repair of the dwelling saw the highest average price growth over the analysis period of 2018</w:t>
      </w:r>
      <w:r w:rsidR="00A7400F" w:rsidRPr="00AB3B90">
        <w:t>–</w:t>
      </w:r>
      <w:r w:rsidRPr="00AB3B90">
        <w:t>19 to 2022</w:t>
      </w:r>
      <w:r w:rsidR="00A7400F" w:rsidRPr="00AB3B90">
        <w:t>–</w:t>
      </w:r>
      <w:r w:rsidRPr="00AB3B90">
        <w:t>23, recording increases between 4.1 and 5.4</w:t>
      </w:r>
      <w:r w:rsidR="00A7400F" w:rsidRPr="00AB3B90">
        <w:t> </w:t>
      </w:r>
      <w:r w:rsidRPr="00AB3B90">
        <w:t>per</w:t>
      </w:r>
      <w:r w:rsidR="00A7400F" w:rsidRPr="00AB3B90">
        <w:t> </w:t>
      </w:r>
      <w:r w:rsidRPr="00AB3B90">
        <w:t>cent.</w:t>
      </w:r>
    </w:p>
    <w:p w14:paraId="1CD9EC4D" w14:textId="77F303CB" w:rsidR="00C11B30" w:rsidRPr="00AB3B90" w:rsidRDefault="00C11B30" w:rsidP="00E37ADA">
      <w:pPr>
        <w:pStyle w:val="ListBullet"/>
      </w:pPr>
      <w:r w:rsidRPr="00AB3B90">
        <w:t xml:space="preserve">Utilities, </w:t>
      </w:r>
      <w:r w:rsidR="007E0580">
        <w:t>n</w:t>
      </w:r>
      <w:r w:rsidRPr="00AB3B90">
        <w:t>ewspaper, books and stationery, and Insurance and financial services saw moderate price growth of between 2.4 and 3.5</w:t>
      </w:r>
      <w:r w:rsidR="00A7400F" w:rsidRPr="00AB3B90">
        <w:t> </w:t>
      </w:r>
      <w:r w:rsidRPr="00AB3B90">
        <w:t>per</w:t>
      </w:r>
      <w:r w:rsidR="00A7400F" w:rsidRPr="00AB3B90">
        <w:t> </w:t>
      </w:r>
      <w:r w:rsidRPr="00AB3B90">
        <w:t xml:space="preserve">cent. </w:t>
      </w:r>
    </w:p>
    <w:p w14:paraId="6F4B061C" w14:textId="7B844598" w:rsidR="00C11B30" w:rsidRPr="00AB3B90" w:rsidRDefault="00C11B30" w:rsidP="00E37ADA">
      <w:pPr>
        <w:pStyle w:val="ListBullet"/>
      </w:pPr>
      <w:r w:rsidRPr="00AB3B90">
        <w:t>Audio, visual and computing equipment and services saw modest growth of 0.8</w:t>
      </w:r>
      <w:r w:rsidR="007A60C3" w:rsidRPr="00AB3B90">
        <w:t> </w:t>
      </w:r>
      <w:r w:rsidRPr="00AB3B90">
        <w:t>per</w:t>
      </w:r>
      <w:r w:rsidR="007A60C3" w:rsidRPr="00AB3B90">
        <w:t> </w:t>
      </w:r>
      <w:r w:rsidRPr="00AB3B90">
        <w:t>cent on average, following three years of negative growth between 2018</w:t>
      </w:r>
      <w:r w:rsidR="007A60C3" w:rsidRPr="00AB3B90">
        <w:t>–</w:t>
      </w:r>
      <w:r w:rsidRPr="00AB3B90">
        <w:t>19 and 2020</w:t>
      </w:r>
      <w:r w:rsidR="007A60C3" w:rsidRPr="00AB3B90">
        <w:t>–</w:t>
      </w:r>
      <w:r w:rsidRPr="00AB3B90">
        <w:t>21.</w:t>
      </w:r>
    </w:p>
    <w:p w14:paraId="2C364C98" w14:textId="513559BA" w:rsidR="00C11B30" w:rsidRPr="00AB3B90" w:rsidRDefault="00C11B30" w:rsidP="00C11B30">
      <w:r w:rsidRPr="00AB3B90">
        <w:t>The Review has provided an analysis of how the price growth of these CPI categories has compared to overall CPI in Section</w:t>
      </w:r>
      <w:r w:rsidR="00615163" w:rsidRPr="00AB3B90">
        <w:t> 4.4</w:t>
      </w:r>
      <w:r w:rsidRPr="00AB3B90">
        <w:t>.</w:t>
      </w:r>
    </w:p>
    <w:p w14:paraId="3A2536C4" w14:textId="4FEA462C" w:rsidR="002F04BF" w:rsidRPr="00AB3B90" w:rsidRDefault="00C11B30" w:rsidP="00C11B30">
      <w:r w:rsidRPr="00AB3B90">
        <w:t>In addition to the evidence from CPI subcategories, stakeholders described experiencing material increases in expenditure related to the following non-staff categories in consultations and written responses. However, they were often unable to disentangle the impact of price increases from increases in quantities purchased:</w:t>
      </w:r>
    </w:p>
    <w:p w14:paraId="024C8797" w14:textId="0BDEE7D2" w:rsidR="00EC613C" w:rsidRPr="00AB3B90" w:rsidRDefault="101B3C63" w:rsidP="00E37ADA">
      <w:pPr>
        <w:pStyle w:val="ListBullet"/>
      </w:pPr>
      <w:r w:rsidRPr="00AB3B90">
        <w:t xml:space="preserve">Software, IT and licencing related costs are understood to have increased across all jurisdictions, with stakeholders noting a mix of both composition and pure price changes being seen. </w:t>
      </w:r>
      <w:r w:rsidR="002F04BF" w:rsidRPr="00AB3B90">
        <w:t>One</w:t>
      </w:r>
      <w:r w:rsidRPr="00AB3B90">
        <w:t xml:space="preserve"> stakeholder emphasised that costs in this area have risen over 100 per cent in recent years. This increase, and similar increases in this area mentioned by other stakeholders, can largely be attributed to the change in technology demands and remote learning delivery models seen since the start of the COVID-19 period. Notably, one stakeholder highlighted that whil</w:t>
      </w:r>
      <w:r w:rsidR="662D8567" w:rsidRPr="00AB3B90">
        <w:t>e</w:t>
      </w:r>
      <w:r w:rsidRPr="00AB3B90">
        <w:t xml:space="preserve"> the central licencing of software from large providers has decreased provision costs for Departments (through wholesale pricing), these arrangements have led to substantial price rises once widely in use. </w:t>
      </w:r>
    </w:p>
    <w:p w14:paraId="2002EEDF" w14:textId="5DC1D5CD" w:rsidR="00D42428" w:rsidRPr="00AB3B90" w:rsidRDefault="00D42428" w:rsidP="00E37ADA">
      <w:pPr>
        <w:pStyle w:val="ListBullet"/>
      </w:pPr>
      <w:r w:rsidRPr="00AB3B90">
        <w:t xml:space="preserve">Increased expenditure on maintenance was cited by all stakeholders, while expenditure on natural disaster recovery has seen significant and atypical increases across some jurisdictions. The </w:t>
      </w:r>
      <w:r w:rsidR="006949F1" w:rsidRPr="00AB3B90">
        <w:t>Board</w:t>
      </w:r>
      <w:r w:rsidRPr="00AB3B90">
        <w:t xml:space="preserve"> heard that these areas alongside cleaning and COVID-19</w:t>
      </w:r>
      <w:r w:rsidR="006949F1" w:rsidRPr="00AB3B90">
        <w:t xml:space="preserve"> </w:t>
      </w:r>
      <w:r w:rsidRPr="00AB3B90">
        <w:t xml:space="preserve">associated expenditure accounted for the most significant changes in non-staff expenditure over the last five years. Some stakeholders noted maintenance of ageing infrastructure as the largest increase in non-staffing expenses, however one stakeholder cited volume increases as a driver in this area (as opposed to prices). Another stakeholder stated that maintenance price increases have been incurred disproportionately due to the high proportion of regional and remote schools, however the </w:t>
      </w:r>
      <w:r w:rsidR="003F59F2" w:rsidRPr="00AB3B90">
        <w:t>r</w:t>
      </w:r>
      <w:r w:rsidRPr="00AB3B90">
        <w:t>eview was unable to substantiate this in other consultations.</w:t>
      </w:r>
    </w:p>
    <w:p w14:paraId="283389B4" w14:textId="39229740" w:rsidR="00E43BDD" w:rsidRPr="00AB3B90" w:rsidRDefault="00E43BDD" w:rsidP="00E37ADA">
      <w:pPr>
        <w:pStyle w:val="ListBullet"/>
      </w:pPr>
      <w:r w:rsidRPr="00AB3B90">
        <w:t>Insurance premiums for schools have increased significantly, with one stakeholder noting in consultation that prices have increased over 100</w:t>
      </w:r>
      <w:r w:rsidR="00D233A0" w:rsidRPr="00AB3B90">
        <w:t> </w:t>
      </w:r>
      <w:r w:rsidRPr="00AB3B90">
        <w:t>per</w:t>
      </w:r>
      <w:r w:rsidR="00D233A0" w:rsidRPr="00AB3B90">
        <w:t> </w:t>
      </w:r>
      <w:r w:rsidRPr="00AB3B90">
        <w:t xml:space="preserve">cent in some instances for independent schools since the Royal Commission into Institutionalised Child Abuse in 2017. They stated that government schools are more capable of aggregating these price increases across the school system, whilst non-government schools experience a higher cost impact at the individual level. One stakeholder noted a significant increase in work cover expenses. </w:t>
      </w:r>
    </w:p>
    <w:p w14:paraId="607B9140" w14:textId="77777777" w:rsidR="00EC613C" w:rsidRPr="00AB3B90" w:rsidRDefault="00EC613C" w:rsidP="00EC613C">
      <w:r w:rsidRPr="00AB3B90">
        <w:t>It is important to consider these operating input price changes over time against the presence of compositional changes to schooling cost structures. As mentioned, one stakeholder outlined that the increases in maintenance prices are volume-based and may not purely reflect price changes.</w:t>
      </w:r>
    </w:p>
    <w:p w14:paraId="7F803889" w14:textId="7CA6F3BD" w:rsidR="00EC613C" w:rsidRPr="00AB3B90" w:rsidRDefault="00EC613C" w:rsidP="00EC613C">
      <w:r w:rsidRPr="00AB3B90">
        <w:t xml:space="preserve">One stakeholder raised in its consultation and written response that consideration should be given to the </w:t>
      </w:r>
      <w:proofErr w:type="gramStart"/>
      <w:r w:rsidRPr="00AB3B90">
        <w:t>future outlook</w:t>
      </w:r>
      <w:proofErr w:type="gramEnd"/>
      <w:r w:rsidRPr="00AB3B90">
        <w:t xml:space="preserve"> of schooling delivery methods and the changes expected in the non-staffing cost base, and the appropriateness of using historical data to inform future SRS indexation policy decisions. Further, they raised to the </w:t>
      </w:r>
      <w:r w:rsidR="009E6F2B" w:rsidRPr="00AB3B90">
        <w:t>r</w:t>
      </w:r>
      <w:r w:rsidRPr="00AB3B90">
        <w:t xml:space="preserve">eview that the original 2011 Gonski Review of Funding for Schooling envisaged that reviews of the SRS indexation rates would refer to only current </w:t>
      </w:r>
      <w:r w:rsidR="00DC2D1C" w:rsidRPr="00AB3B90">
        <w:t>‘</w:t>
      </w:r>
      <w:r w:rsidRPr="00AB3B90">
        <w:t>reference</w:t>
      </w:r>
      <w:r w:rsidR="00DC2D1C" w:rsidRPr="00AB3B90">
        <w:t>’</w:t>
      </w:r>
      <w:r w:rsidRPr="00AB3B90">
        <w:t xml:space="preserve"> schools.</w:t>
      </w:r>
    </w:p>
    <w:p w14:paraId="7505DC5F" w14:textId="5DD33DBE" w:rsidR="00EC613C" w:rsidRPr="00AB3B90" w:rsidRDefault="00EC613C" w:rsidP="00EC613C">
      <w:r w:rsidRPr="00AB3B90">
        <w:t xml:space="preserve">These points lead to a discussion of whether CPI accurately reflects costs facing schools, which is discussed later in this </w:t>
      </w:r>
      <w:r w:rsidR="00AA7313" w:rsidRPr="00AB3B90">
        <w:t>part</w:t>
      </w:r>
      <w:r w:rsidRPr="00AB3B90">
        <w:t>.</w:t>
      </w:r>
    </w:p>
    <w:p w14:paraId="15E1A422" w14:textId="77777777" w:rsidR="00EC613C" w:rsidRPr="00AB3B90" w:rsidRDefault="00EC613C" w:rsidP="00EC613C">
      <w:pPr>
        <w:pStyle w:val="Heading2-Numbered"/>
      </w:pPr>
      <w:bookmarkStart w:id="97" w:name="_Ref161153907"/>
      <w:bookmarkStart w:id="98" w:name="_Toc163650442"/>
      <w:r w:rsidRPr="00AB3B90">
        <w:t>Comparison of schooling input prices with historical SRS indexation rates and its components</w:t>
      </w:r>
      <w:bookmarkEnd w:id="97"/>
      <w:bookmarkEnd w:id="98"/>
    </w:p>
    <w:p w14:paraId="0C625C16" w14:textId="77777777" w:rsidR="00EC613C" w:rsidRPr="00AB3B90" w:rsidRDefault="00EC613C" w:rsidP="009F66CD">
      <w:pPr>
        <w:pStyle w:val="Heading3"/>
      </w:pPr>
      <w:r w:rsidRPr="00AB3B90">
        <w:t>The Wage Price Index and schooling wages and salaries</w:t>
      </w:r>
    </w:p>
    <w:p w14:paraId="34736028" w14:textId="77777777" w:rsidR="00EC613C" w:rsidRPr="00AB3B90" w:rsidRDefault="00EC613C" w:rsidP="00EC613C">
      <w:r w:rsidRPr="00AB3B90">
        <w:t xml:space="preserve">The ABS WPI measure captures changes to the price of wages and salaries in the Australian labour market over time. It measures pure price changes by removing the effect of compositional factors such as quality or quantity of work or the composition of the workforce. It reflects wages and salaries of employers across all employing organisations in Australia (public and private sectors) except: </w:t>
      </w:r>
    </w:p>
    <w:p w14:paraId="493C9FCB" w14:textId="7448608E" w:rsidR="00EC613C" w:rsidRPr="00AB3B90" w:rsidRDefault="101B3C63" w:rsidP="00E37ADA">
      <w:pPr>
        <w:pStyle w:val="ListBullet"/>
      </w:pPr>
      <w:r w:rsidRPr="00AB3B90">
        <w:t xml:space="preserve">enterprises primarily engaged in agriculture, forestry or </w:t>
      </w:r>
      <w:proofErr w:type="gramStart"/>
      <w:r w:rsidRPr="00AB3B90">
        <w:t>fishing</w:t>
      </w:r>
      <w:proofErr w:type="gramEnd"/>
    </w:p>
    <w:p w14:paraId="35CB109A" w14:textId="7C738AFF" w:rsidR="00EC613C" w:rsidRPr="00AB3B90" w:rsidRDefault="101B3C63" w:rsidP="00E37ADA">
      <w:pPr>
        <w:pStyle w:val="ListBullet"/>
      </w:pPr>
      <w:r w:rsidRPr="00AB3B90">
        <w:t>foreign embassies, consulates, etc</w:t>
      </w:r>
      <w:r w:rsidR="00B963F2">
        <w:t>.</w:t>
      </w:r>
    </w:p>
    <w:p w14:paraId="4A48C653" w14:textId="0F8F020B" w:rsidR="00EC613C" w:rsidRPr="00AB3B90" w:rsidRDefault="101B3C63" w:rsidP="00E37ADA">
      <w:pPr>
        <w:pStyle w:val="ListBullet"/>
      </w:pPr>
      <w:r w:rsidRPr="00AB3B90">
        <w:t>private households employing staff.</w:t>
      </w:r>
    </w:p>
    <w:p w14:paraId="64ED4AF2" w14:textId="6ED439D4" w:rsidR="00EC613C" w:rsidRPr="00AB3B90" w:rsidRDefault="00EC613C" w:rsidP="00EC613C">
      <w:r w:rsidRPr="00AB3B90">
        <w:t>The WPI has increased by an average of 2.4 per cent over the period 2018–19 to 2022–23. Throughout this timeframe, publicly available EBA data indicates teacher and non-teacher salaries in the government sector have, on a weighted average basis, increased by 2.5 and 2.4 per cent (</w:t>
      </w:r>
      <w:r w:rsidR="008918F8" w:rsidRPr="00AB3B90">
        <w:fldChar w:fldCharType="begin"/>
      </w:r>
      <w:r w:rsidR="008918F8" w:rsidRPr="00AB3B90">
        <w:instrText xml:space="preserve"> REF _Ref160791141 \h </w:instrText>
      </w:r>
      <w:r w:rsidR="00065A8C" w:rsidRPr="00AB3B90">
        <w:instrText xml:space="preserve"> \* MERGEFORMAT </w:instrText>
      </w:r>
      <w:r w:rsidR="008918F8" w:rsidRPr="00AB3B90">
        <w:fldChar w:fldCharType="separate"/>
      </w:r>
      <w:r w:rsidR="00FF6847" w:rsidRPr="00AB3B90">
        <w:t xml:space="preserve">Table </w:t>
      </w:r>
      <w:r w:rsidR="00FF6847" w:rsidRPr="00AB3B90">
        <w:rPr>
          <w:noProof/>
        </w:rPr>
        <w:t>6</w:t>
      </w:r>
      <w:r w:rsidR="008918F8" w:rsidRPr="00AB3B90">
        <w:fldChar w:fldCharType="end"/>
      </w:r>
      <w:r w:rsidRPr="00AB3B90">
        <w:t xml:space="preserve">). </w:t>
      </w:r>
    </w:p>
    <w:p w14:paraId="7E611C39" w14:textId="77777777" w:rsidR="00EC613C" w:rsidRPr="00AB3B90" w:rsidRDefault="00EC613C" w:rsidP="00EC613C">
      <w:r w:rsidRPr="00AB3B90">
        <w:t>There is variation across jurisdictions over the period 2018–19 to 2022–2023:</w:t>
      </w:r>
    </w:p>
    <w:p w14:paraId="6E84AFA4" w14:textId="77777777" w:rsidR="00EC613C" w:rsidRPr="00AB3B90" w:rsidRDefault="101B3C63" w:rsidP="00E37ADA">
      <w:pPr>
        <w:pStyle w:val="ListBullet"/>
      </w:pPr>
      <w:r w:rsidRPr="00AB3B90">
        <w:t xml:space="preserve">Growth in the WPI has surpassed teacher salaries in Western Australia and South Australia, kept pace with Victoria and New South Wales, but </w:t>
      </w:r>
      <w:proofErr w:type="gramStart"/>
      <w:r w:rsidRPr="00AB3B90">
        <w:t>lagged behind</w:t>
      </w:r>
      <w:proofErr w:type="gramEnd"/>
      <w:r w:rsidRPr="00AB3B90">
        <w:t xml:space="preserve"> the other states and territories. </w:t>
      </w:r>
    </w:p>
    <w:p w14:paraId="73530702" w14:textId="77777777" w:rsidR="00EC613C" w:rsidRPr="00AB3B90" w:rsidRDefault="101B3C63" w:rsidP="00E37ADA">
      <w:pPr>
        <w:pStyle w:val="ListBullet"/>
      </w:pPr>
      <w:r w:rsidRPr="00AB3B90">
        <w:t xml:space="preserve">Growth in the WPI has been consistent with non-teacher salaries in Victoria and New South Wales, surpassed growth in Tasmania and the Northern Territory, but </w:t>
      </w:r>
      <w:proofErr w:type="gramStart"/>
      <w:r w:rsidRPr="00AB3B90">
        <w:t>lagged behind</w:t>
      </w:r>
      <w:proofErr w:type="gramEnd"/>
      <w:r w:rsidRPr="00AB3B90">
        <w:t xml:space="preserve"> the other states and territories. </w:t>
      </w:r>
    </w:p>
    <w:p w14:paraId="5340CF3D" w14:textId="0AEB5B70" w:rsidR="00AB3B90" w:rsidRDefault="0AC6C3B4" w:rsidP="00EC613C">
      <w:r w:rsidRPr="00AB3B90">
        <w:t xml:space="preserve">Consequently, </w:t>
      </w:r>
      <w:r w:rsidR="2B6BD587" w:rsidRPr="00AB3B90">
        <w:t xml:space="preserve">Deloitte </w:t>
      </w:r>
      <w:r w:rsidR="009F66CD">
        <w:t xml:space="preserve">Access Economics </w:t>
      </w:r>
      <w:r w:rsidR="2B6BD587" w:rsidRPr="00AB3B90">
        <w:t xml:space="preserve">showed </w:t>
      </w:r>
      <w:r w:rsidRPr="00AB3B90">
        <w:t xml:space="preserve">the growth in the WPI appears to have been consistent with the </w:t>
      </w:r>
      <w:r w:rsidR="00D43FD9" w:rsidRPr="00AB3B90">
        <w:t xml:space="preserve">weighted </w:t>
      </w:r>
      <w:r w:rsidRPr="00AB3B90">
        <w:t xml:space="preserve">average growth in both teacher and non-teacher salaries across Australia in recent years. As such, current indexation arrangements </w:t>
      </w:r>
      <w:proofErr w:type="gramStart"/>
      <w:r w:rsidRPr="00AB3B90">
        <w:t>are considered to be</w:t>
      </w:r>
      <w:proofErr w:type="gramEnd"/>
      <w:r w:rsidRPr="00AB3B90">
        <w:t xml:space="preserve"> broadly appropriate, noting that further consideration relating to the design of the floor and composition of the index are discussed in subsequent sections of this report.</w:t>
      </w:r>
    </w:p>
    <w:p w14:paraId="3EE21B74" w14:textId="77777777" w:rsidR="00AB3B90" w:rsidRDefault="00AB3B90">
      <w:pPr>
        <w:spacing w:before="0" w:after="160"/>
      </w:pPr>
      <w:r>
        <w:br w:type="page"/>
      </w:r>
    </w:p>
    <w:p w14:paraId="785B2635" w14:textId="54E32E4F" w:rsidR="00EC613C" w:rsidRPr="00AB3B90" w:rsidRDefault="00EC613C" w:rsidP="00EC613C">
      <w:pPr>
        <w:pStyle w:val="Caption"/>
        <w:keepNext/>
      </w:pPr>
      <w:bookmarkStart w:id="99" w:name="_Ref160791141"/>
      <w:bookmarkStart w:id="100" w:name="_Ref160806413"/>
      <w:bookmarkStart w:id="101" w:name="_Toc161150705"/>
      <w:bookmarkStart w:id="102" w:name="_Toc163650482"/>
      <w:r w:rsidRPr="00AB3B90">
        <w:t xml:space="preserve">Table </w:t>
      </w:r>
      <w:r w:rsidRPr="00AB3B90">
        <w:fldChar w:fldCharType="begin"/>
      </w:r>
      <w:r w:rsidRPr="00AB3B90">
        <w:instrText>SEQ Table \* ARABIC</w:instrText>
      </w:r>
      <w:r w:rsidRPr="00AB3B90">
        <w:fldChar w:fldCharType="separate"/>
      </w:r>
      <w:r w:rsidR="00FF6847" w:rsidRPr="00AB3B90">
        <w:rPr>
          <w:noProof/>
        </w:rPr>
        <w:t>6</w:t>
      </w:r>
      <w:r w:rsidRPr="00AB3B90">
        <w:fldChar w:fldCharType="end"/>
      </w:r>
      <w:bookmarkEnd w:id="99"/>
      <w:r w:rsidRPr="00AB3B90">
        <w:t xml:space="preserve"> Growth in the WPI, original, year to June quarter</w:t>
      </w:r>
      <w:bookmarkEnd w:id="100"/>
      <w:bookmarkEnd w:id="101"/>
      <w:bookmarkEnd w:id="102"/>
    </w:p>
    <w:tbl>
      <w:tblPr>
        <w:tblStyle w:val="Deloittetable"/>
        <w:tblW w:w="5000" w:type="pct"/>
        <w:tblLayout w:type="fixed"/>
        <w:tblLook w:val="04A0" w:firstRow="1" w:lastRow="0" w:firstColumn="1" w:lastColumn="0" w:noHBand="0" w:noVBand="1"/>
      </w:tblPr>
      <w:tblGrid>
        <w:gridCol w:w="3386"/>
        <w:gridCol w:w="940"/>
        <w:gridCol w:w="940"/>
        <w:gridCol w:w="941"/>
        <w:gridCol w:w="941"/>
        <w:gridCol w:w="941"/>
        <w:gridCol w:w="937"/>
      </w:tblGrid>
      <w:tr w:rsidR="00C715A0" w:rsidRPr="00AB3B90" w14:paraId="05960294" w14:textId="77777777" w:rsidTr="005F7BB2">
        <w:trPr>
          <w:cnfStyle w:val="100000000000" w:firstRow="1" w:lastRow="0" w:firstColumn="0" w:lastColumn="0" w:oddVBand="0" w:evenVBand="0" w:oddHBand="0" w:evenHBand="0" w:firstRowFirstColumn="0" w:firstRowLastColumn="0" w:lastRowFirstColumn="0" w:lastRowLastColumn="0"/>
          <w:trHeight w:val="454"/>
        </w:trPr>
        <w:tc>
          <w:tcPr>
            <w:tcW w:w="1876" w:type="pct"/>
          </w:tcPr>
          <w:p w14:paraId="44FCC306" w14:textId="19BBBE80" w:rsidR="00C715A0" w:rsidRPr="00AB3B90" w:rsidRDefault="000E76E9" w:rsidP="005F7BB2">
            <w:pPr>
              <w:spacing w:line="240" w:lineRule="auto"/>
              <w:rPr>
                <w:rFonts w:asciiTheme="majorHAnsi" w:hAnsiTheme="majorHAnsi"/>
                <w:b/>
                <w:bCs/>
                <w:sz w:val="16"/>
                <w:szCs w:val="16"/>
              </w:rPr>
            </w:pPr>
            <w:r>
              <w:rPr>
                <w:rFonts w:asciiTheme="majorHAnsi" w:hAnsiTheme="majorHAnsi"/>
                <w:b/>
                <w:bCs/>
                <w:sz w:val="16"/>
                <w:szCs w:val="16"/>
              </w:rPr>
              <w:t>Growth</w:t>
            </w:r>
          </w:p>
        </w:tc>
        <w:tc>
          <w:tcPr>
            <w:tcW w:w="521" w:type="pct"/>
          </w:tcPr>
          <w:p w14:paraId="2FD28CC1" w14:textId="081002C0" w:rsidR="00C715A0" w:rsidRPr="00AB3B90" w:rsidRDefault="00C715A0" w:rsidP="005F7BB2">
            <w:pPr>
              <w:spacing w:line="240" w:lineRule="auto"/>
              <w:jc w:val="right"/>
              <w:rPr>
                <w:rFonts w:asciiTheme="majorHAnsi" w:hAnsiTheme="majorHAnsi"/>
                <w:b/>
                <w:bCs/>
                <w:sz w:val="16"/>
                <w:szCs w:val="16"/>
              </w:rPr>
            </w:pPr>
            <w:r w:rsidRPr="00AB3B90">
              <w:rPr>
                <w:rFonts w:asciiTheme="majorHAnsi" w:hAnsiTheme="majorHAnsi"/>
                <w:b/>
                <w:bCs/>
                <w:sz w:val="16"/>
                <w:szCs w:val="16"/>
              </w:rPr>
              <w:t>2018</w:t>
            </w:r>
            <w:r w:rsidR="000E76E9">
              <w:rPr>
                <w:rFonts w:asciiTheme="majorHAnsi" w:hAnsiTheme="majorHAnsi"/>
                <w:b/>
                <w:bCs/>
                <w:sz w:val="16"/>
                <w:szCs w:val="16"/>
              </w:rPr>
              <w:t>–</w:t>
            </w:r>
            <w:r w:rsidRPr="00AB3B90">
              <w:rPr>
                <w:rFonts w:asciiTheme="majorHAnsi" w:hAnsiTheme="majorHAnsi"/>
                <w:b/>
                <w:bCs/>
                <w:sz w:val="16"/>
                <w:szCs w:val="16"/>
              </w:rPr>
              <w:t>19</w:t>
            </w:r>
          </w:p>
        </w:tc>
        <w:tc>
          <w:tcPr>
            <w:tcW w:w="521" w:type="pct"/>
          </w:tcPr>
          <w:p w14:paraId="3B6E9E35" w14:textId="47641002" w:rsidR="00C715A0" w:rsidRPr="00AB3B90" w:rsidRDefault="00C715A0" w:rsidP="005F7BB2">
            <w:pPr>
              <w:spacing w:line="240" w:lineRule="auto"/>
              <w:jc w:val="right"/>
              <w:rPr>
                <w:rFonts w:asciiTheme="majorHAnsi" w:hAnsiTheme="majorHAnsi"/>
                <w:b/>
                <w:bCs/>
                <w:sz w:val="16"/>
                <w:szCs w:val="16"/>
              </w:rPr>
            </w:pPr>
            <w:r w:rsidRPr="00AB3B90">
              <w:rPr>
                <w:rFonts w:asciiTheme="majorHAnsi" w:hAnsiTheme="majorHAnsi"/>
                <w:b/>
                <w:bCs/>
                <w:sz w:val="16"/>
                <w:szCs w:val="16"/>
              </w:rPr>
              <w:t>2019</w:t>
            </w:r>
            <w:r w:rsidR="000E76E9">
              <w:rPr>
                <w:rFonts w:asciiTheme="majorHAnsi" w:hAnsiTheme="majorHAnsi"/>
                <w:b/>
                <w:bCs/>
                <w:sz w:val="16"/>
                <w:szCs w:val="16"/>
              </w:rPr>
              <w:t>–</w:t>
            </w:r>
            <w:r w:rsidRPr="00AB3B90">
              <w:rPr>
                <w:rFonts w:asciiTheme="majorHAnsi" w:hAnsiTheme="majorHAnsi"/>
                <w:b/>
                <w:bCs/>
                <w:sz w:val="16"/>
                <w:szCs w:val="16"/>
              </w:rPr>
              <w:t>20</w:t>
            </w:r>
          </w:p>
        </w:tc>
        <w:tc>
          <w:tcPr>
            <w:tcW w:w="521" w:type="pct"/>
          </w:tcPr>
          <w:p w14:paraId="1DB825C8" w14:textId="3DB1E415" w:rsidR="00C715A0" w:rsidRPr="00AB3B90" w:rsidRDefault="00C715A0" w:rsidP="005F7BB2">
            <w:pPr>
              <w:spacing w:line="240" w:lineRule="auto"/>
              <w:jc w:val="right"/>
              <w:rPr>
                <w:rFonts w:asciiTheme="majorHAnsi" w:hAnsiTheme="majorHAnsi"/>
                <w:b/>
                <w:bCs/>
                <w:sz w:val="16"/>
                <w:szCs w:val="16"/>
              </w:rPr>
            </w:pPr>
            <w:r w:rsidRPr="00AB3B90">
              <w:rPr>
                <w:rFonts w:asciiTheme="majorHAnsi" w:hAnsiTheme="majorHAnsi"/>
                <w:b/>
                <w:bCs/>
                <w:sz w:val="16"/>
                <w:szCs w:val="16"/>
              </w:rPr>
              <w:t>2020</w:t>
            </w:r>
            <w:r w:rsidR="000E76E9">
              <w:rPr>
                <w:rFonts w:asciiTheme="majorHAnsi" w:hAnsiTheme="majorHAnsi"/>
                <w:b/>
                <w:bCs/>
                <w:sz w:val="16"/>
                <w:szCs w:val="16"/>
              </w:rPr>
              <w:t>–</w:t>
            </w:r>
            <w:r w:rsidRPr="00AB3B90">
              <w:rPr>
                <w:rFonts w:asciiTheme="majorHAnsi" w:hAnsiTheme="majorHAnsi"/>
                <w:b/>
                <w:bCs/>
                <w:sz w:val="16"/>
                <w:szCs w:val="16"/>
              </w:rPr>
              <w:t>21</w:t>
            </w:r>
          </w:p>
        </w:tc>
        <w:tc>
          <w:tcPr>
            <w:tcW w:w="521" w:type="pct"/>
          </w:tcPr>
          <w:p w14:paraId="3C8E2AEB" w14:textId="33E1FC15" w:rsidR="00C715A0" w:rsidRPr="00AB3B90" w:rsidRDefault="00C715A0" w:rsidP="005F7BB2">
            <w:pPr>
              <w:spacing w:line="240" w:lineRule="auto"/>
              <w:jc w:val="right"/>
              <w:rPr>
                <w:rFonts w:asciiTheme="majorHAnsi" w:hAnsiTheme="majorHAnsi"/>
                <w:b/>
                <w:bCs/>
                <w:sz w:val="16"/>
                <w:szCs w:val="16"/>
              </w:rPr>
            </w:pPr>
            <w:r w:rsidRPr="00AB3B90">
              <w:rPr>
                <w:rFonts w:asciiTheme="majorHAnsi" w:hAnsiTheme="majorHAnsi"/>
                <w:b/>
                <w:bCs/>
                <w:sz w:val="16"/>
                <w:szCs w:val="16"/>
              </w:rPr>
              <w:t>2021</w:t>
            </w:r>
            <w:r w:rsidR="000E76E9">
              <w:rPr>
                <w:rFonts w:asciiTheme="majorHAnsi" w:hAnsiTheme="majorHAnsi"/>
                <w:b/>
                <w:bCs/>
                <w:sz w:val="16"/>
                <w:szCs w:val="16"/>
              </w:rPr>
              <w:t>–</w:t>
            </w:r>
            <w:r w:rsidRPr="00AB3B90">
              <w:rPr>
                <w:rFonts w:asciiTheme="majorHAnsi" w:hAnsiTheme="majorHAnsi"/>
                <w:b/>
                <w:bCs/>
                <w:sz w:val="16"/>
                <w:szCs w:val="16"/>
              </w:rPr>
              <w:t>22</w:t>
            </w:r>
          </w:p>
        </w:tc>
        <w:tc>
          <w:tcPr>
            <w:tcW w:w="521" w:type="pct"/>
          </w:tcPr>
          <w:p w14:paraId="35115B3A" w14:textId="66B392BB" w:rsidR="00C715A0" w:rsidRPr="00AB3B90" w:rsidRDefault="00C715A0" w:rsidP="005F7BB2">
            <w:pPr>
              <w:spacing w:line="240" w:lineRule="auto"/>
              <w:jc w:val="right"/>
              <w:rPr>
                <w:rFonts w:asciiTheme="majorHAnsi" w:hAnsiTheme="majorHAnsi"/>
                <w:b/>
                <w:bCs/>
                <w:sz w:val="16"/>
                <w:szCs w:val="16"/>
              </w:rPr>
            </w:pPr>
            <w:r w:rsidRPr="00AB3B90">
              <w:rPr>
                <w:rFonts w:asciiTheme="majorHAnsi" w:hAnsiTheme="majorHAnsi"/>
                <w:b/>
                <w:bCs/>
                <w:sz w:val="16"/>
                <w:szCs w:val="16"/>
              </w:rPr>
              <w:t>2022</w:t>
            </w:r>
            <w:r w:rsidR="000E76E9">
              <w:rPr>
                <w:rFonts w:asciiTheme="majorHAnsi" w:hAnsiTheme="majorHAnsi"/>
                <w:b/>
                <w:bCs/>
                <w:sz w:val="16"/>
                <w:szCs w:val="16"/>
              </w:rPr>
              <w:t>–</w:t>
            </w:r>
            <w:r w:rsidRPr="00AB3B90">
              <w:rPr>
                <w:rFonts w:asciiTheme="majorHAnsi" w:hAnsiTheme="majorHAnsi"/>
                <w:b/>
                <w:bCs/>
                <w:sz w:val="16"/>
                <w:szCs w:val="16"/>
              </w:rPr>
              <w:t>23</w:t>
            </w:r>
          </w:p>
        </w:tc>
        <w:tc>
          <w:tcPr>
            <w:tcW w:w="521" w:type="pct"/>
            <w:shd w:val="clear" w:color="auto" w:fill="E7E6E6" w:themeFill="background2"/>
          </w:tcPr>
          <w:p w14:paraId="75E5A273" w14:textId="77777777" w:rsidR="00C715A0" w:rsidRPr="00AB3B90" w:rsidRDefault="00C715A0" w:rsidP="005F7BB2">
            <w:pPr>
              <w:spacing w:line="240" w:lineRule="auto"/>
              <w:jc w:val="right"/>
              <w:rPr>
                <w:rFonts w:asciiTheme="majorHAnsi" w:hAnsiTheme="majorHAnsi"/>
                <w:b/>
                <w:bCs/>
                <w:sz w:val="16"/>
                <w:szCs w:val="16"/>
              </w:rPr>
            </w:pPr>
            <w:r w:rsidRPr="00AB3B90">
              <w:rPr>
                <w:rFonts w:asciiTheme="majorHAnsi" w:hAnsiTheme="majorHAnsi"/>
                <w:b/>
                <w:bCs/>
                <w:sz w:val="16"/>
                <w:szCs w:val="16"/>
              </w:rPr>
              <w:t>CAGR</w:t>
            </w:r>
          </w:p>
        </w:tc>
      </w:tr>
      <w:tr w:rsidR="00C715A0" w:rsidRPr="00AB3B90" w14:paraId="7740E1A4" w14:textId="77777777" w:rsidTr="005F7BB2">
        <w:trPr>
          <w:trHeight w:val="454"/>
        </w:trPr>
        <w:tc>
          <w:tcPr>
            <w:tcW w:w="1876" w:type="pct"/>
            <w:vAlign w:val="center"/>
          </w:tcPr>
          <w:p w14:paraId="66ED9159" w14:textId="77777777" w:rsidR="00C715A0" w:rsidRPr="00AB3B90" w:rsidRDefault="00C715A0" w:rsidP="005F7BB2">
            <w:pPr>
              <w:spacing w:line="240" w:lineRule="auto"/>
              <w:rPr>
                <w:rFonts w:asciiTheme="majorHAnsi" w:hAnsiTheme="majorHAnsi"/>
                <w:sz w:val="16"/>
                <w:szCs w:val="16"/>
              </w:rPr>
            </w:pPr>
            <w:r w:rsidRPr="00AB3B90">
              <w:rPr>
                <w:rFonts w:asciiTheme="majorHAnsi" w:hAnsiTheme="majorHAnsi"/>
                <w:sz w:val="16"/>
                <w:szCs w:val="16"/>
              </w:rPr>
              <w:t>WPI growth (y/y%)</w:t>
            </w:r>
          </w:p>
        </w:tc>
        <w:tc>
          <w:tcPr>
            <w:tcW w:w="521" w:type="pct"/>
            <w:vAlign w:val="center"/>
          </w:tcPr>
          <w:p w14:paraId="42EDFC44" w14:textId="77777777" w:rsidR="00C715A0" w:rsidRPr="00AB3B90" w:rsidRDefault="00C715A0" w:rsidP="005F7BB2">
            <w:pPr>
              <w:spacing w:line="240" w:lineRule="auto"/>
              <w:jc w:val="right"/>
              <w:rPr>
                <w:rFonts w:asciiTheme="majorHAnsi" w:hAnsiTheme="majorHAnsi"/>
                <w:sz w:val="16"/>
                <w:szCs w:val="16"/>
              </w:rPr>
            </w:pPr>
            <w:r w:rsidRPr="00AB3B90">
              <w:rPr>
                <w:rFonts w:asciiTheme="majorHAnsi" w:hAnsiTheme="majorHAnsi" w:cs="Calibri"/>
                <w:color w:val="000000"/>
                <w:sz w:val="16"/>
                <w:szCs w:val="16"/>
              </w:rPr>
              <w:t>2.4</w:t>
            </w:r>
          </w:p>
        </w:tc>
        <w:tc>
          <w:tcPr>
            <w:tcW w:w="521" w:type="pct"/>
            <w:vAlign w:val="center"/>
          </w:tcPr>
          <w:p w14:paraId="3EF39CFD" w14:textId="77777777" w:rsidR="00C715A0" w:rsidRPr="00AB3B90" w:rsidRDefault="00C715A0" w:rsidP="005F7BB2">
            <w:pPr>
              <w:spacing w:line="240" w:lineRule="auto"/>
              <w:jc w:val="right"/>
              <w:rPr>
                <w:rFonts w:asciiTheme="majorHAnsi" w:hAnsiTheme="majorHAnsi"/>
                <w:sz w:val="16"/>
                <w:szCs w:val="16"/>
              </w:rPr>
            </w:pPr>
            <w:r w:rsidRPr="00AB3B90">
              <w:rPr>
                <w:rFonts w:asciiTheme="majorHAnsi" w:hAnsiTheme="majorHAnsi" w:cs="Calibri"/>
                <w:color w:val="000000"/>
                <w:sz w:val="16"/>
                <w:szCs w:val="16"/>
              </w:rPr>
              <w:t>1.7</w:t>
            </w:r>
          </w:p>
        </w:tc>
        <w:tc>
          <w:tcPr>
            <w:tcW w:w="521" w:type="pct"/>
            <w:vAlign w:val="center"/>
          </w:tcPr>
          <w:p w14:paraId="22DA590C" w14:textId="77777777" w:rsidR="00C715A0" w:rsidRPr="00AB3B90" w:rsidRDefault="00C715A0" w:rsidP="005F7BB2">
            <w:pPr>
              <w:spacing w:line="240" w:lineRule="auto"/>
              <w:jc w:val="right"/>
              <w:rPr>
                <w:rFonts w:asciiTheme="majorHAnsi" w:hAnsiTheme="majorHAnsi"/>
                <w:sz w:val="16"/>
                <w:szCs w:val="16"/>
              </w:rPr>
            </w:pPr>
            <w:r w:rsidRPr="00AB3B90">
              <w:rPr>
                <w:rFonts w:asciiTheme="majorHAnsi" w:hAnsiTheme="majorHAnsi" w:cs="Calibri"/>
                <w:color w:val="000000"/>
                <w:sz w:val="16"/>
                <w:szCs w:val="16"/>
              </w:rPr>
              <w:t>1.8</w:t>
            </w:r>
          </w:p>
        </w:tc>
        <w:tc>
          <w:tcPr>
            <w:tcW w:w="521" w:type="pct"/>
            <w:vAlign w:val="center"/>
          </w:tcPr>
          <w:p w14:paraId="2D96F19C" w14:textId="77777777" w:rsidR="00C715A0" w:rsidRPr="00AB3B90" w:rsidRDefault="00C715A0" w:rsidP="005F7BB2">
            <w:pPr>
              <w:spacing w:line="240" w:lineRule="auto"/>
              <w:jc w:val="right"/>
              <w:rPr>
                <w:rFonts w:asciiTheme="majorHAnsi" w:hAnsiTheme="majorHAnsi"/>
                <w:sz w:val="16"/>
                <w:szCs w:val="16"/>
              </w:rPr>
            </w:pPr>
            <w:r w:rsidRPr="00AB3B90">
              <w:rPr>
                <w:rFonts w:asciiTheme="majorHAnsi" w:hAnsiTheme="majorHAnsi" w:cs="Calibri"/>
                <w:color w:val="000000"/>
                <w:sz w:val="16"/>
                <w:szCs w:val="16"/>
              </w:rPr>
              <w:t>2.6</w:t>
            </w:r>
          </w:p>
        </w:tc>
        <w:tc>
          <w:tcPr>
            <w:tcW w:w="521" w:type="pct"/>
            <w:vAlign w:val="center"/>
          </w:tcPr>
          <w:p w14:paraId="12BFB5C2" w14:textId="77777777" w:rsidR="00C715A0" w:rsidRPr="00AB3B90" w:rsidRDefault="00C715A0" w:rsidP="005F7BB2">
            <w:pPr>
              <w:spacing w:line="240" w:lineRule="auto"/>
              <w:jc w:val="right"/>
              <w:rPr>
                <w:rFonts w:asciiTheme="majorHAnsi" w:hAnsiTheme="majorHAnsi"/>
                <w:sz w:val="16"/>
                <w:szCs w:val="16"/>
              </w:rPr>
            </w:pPr>
            <w:r w:rsidRPr="00AB3B90">
              <w:rPr>
                <w:rFonts w:asciiTheme="majorHAnsi" w:hAnsiTheme="majorHAnsi" w:cs="Calibri"/>
                <w:color w:val="000000"/>
                <w:sz w:val="16"/>
                <w:szCs w:val="16"/>
              </w:rPr>
              <w:t>3.6</w:t>
            </w:r>
          </w:p>
        </w:tc>
        <w:tc>
          <w:tcPr>
            <w:tcW w:w="521" w:type="pct"/>
            <w:shd w:val="clear" w:color="auto" w:fill="E7E6E6" w:themeFill="background2"/>
            <w:vAlign w:val="center"/>
          </w:tcPr>
          <w:p w14:paraId="5FAC7CE9" w14:textId="77777777" w:rsidR="00C715A0" w:rsidRPr="00AB3B90" w:rsidRDefault="00C715A0" w:rsidP="005F7BB2">
            <w:pPr>
              <w:spacing w:line="240" w:lineRule="auto"/>
              <w:jc w:val="right"/>
              <w:rPr>
                <w:rFonts w:asciiTheme="majorHAnsi" w:hAnsiTheme="majorHAnsi"/>
                <w:sz w:val="16"/>
              </w:rPr>
            </w:pPr>
            <w:r w:rsidRPr="00AB3B90">
              <w:rPr>
                <w:rFonts w:asciiTheme="majorHAnsi" w:hAnsiTheme="majorHAnsi" w:cs="Calibri"/>
                <w:color w:val="000000"/>
                <w:sz w:val="16"/>
                <w:szCs w:val="16"/>
              </w:rPr>
              <w:t>2.4</w:t>
            </w:r>
          </w:p>
        </w:tc>
      </w:tr>
      <w:tr w:rsidR="00C715A0" w:rsidRPr="00AB3B90" w14:paraId="70428100" w14:textId="77777777" w:rsidTr="005F7BB2">
        <w:trPr>
          <w:trHeight w:val="516"/>
        </w:trPr>
        <w:tc>
          <w:tcPr>
            <w:tcW w:w="1876" w:type="pct"/>
            <w:shd w:val="clear" w:color="auto" w:fill="auto"/>
            <w:vAlign w:val="center"/>
          </w:tcPr>
          <w:p w14:paraId="0F1D391B" w14:textId="77777777" w:rsidR="00C715A0" w:rsidRPr="00AB3B90" w:rsidRDefault="00C715A0" w:rsidP="005F7BB2">
            <w:pPr>
              <w:spacing w:line="240" w:lineRule="auto"/>
              <w:rPr>
                <w:rFonts w:asciiTheme="majorHAnsi" w:hAnsiTheme="majorHAnsi"/>
                <w:sz w:val="16"/>
                <w:szCs w:val="16"/>
              </w:rPr>
            </w:pPr>
            <w:r w:rsidRPr="00AB3B90">
              <w:rPr>
                <w:rFonts w:asciiTheme="majorHAnsi" w:hAnsiTheme="majorHAnsi"/>
                <w:sz w:val="16"/>
                <w:szCs w:val="16"/>
              </w:rPr>
              <w:t>Weighted average government sector teaching wages growth calculated using publicly available EBAs (%)</w:t>
            </w:r>
          </w:p>
        </w:tc>
        <w:tc>
          <w:tcPr>
            <w:tcW w:w="521" w:type="pct"/>
            <w:shd w:val="clear" w:color="auto" w:fill="auto"/>
            <w:vAlign w:val="center"/>
          </w:tcPr>
          <w:p w14:paraId="6F248344" w14:textId="77777777" w:rsidR="00C715A0" w:rsidRPr="00AB3B90" w:rsidRDefault="00C715A0" w:rsidP="005F7BB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2.8</w:t>
            </w:r>
          </w:p>
        </w:tc>
        <w:tc>
          <w:tcPr>
            <w:tcW w:w="521" w:type="pct"/>
            <w:shd w:val="clear" w:color="auto" w:fill="auto"/>
            <w:vAlign w:val="center"/>
          </w:tcPr>
          <w:p w14:paraId="66CCCC53" w14:textId="77777777" w:rsidR="00C715A0" w:rsidRPr="00AB3B90" w:rsidRDefault="00C715A0" w:rsidP="005F7BB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1.9</w:t>
            </w:r>
          </w:p>
        </w:tc>
        <w:tc>
          <w:tcPr>
            <w:tcW w:w="521" w:type="pct"/>
            <w:shd w:val="clear" w:color="auto" w:fill="auto"/>
            <w:vAlign w:val="center"/>
          </w:tcPr>
          <w:p w14:paraId="59C77979" w14:textId="77777777" w:rsidR="00C715A0" w:rsidRPr="00AB3B90" w:rsidRDefault="00C715A0" w:rsidP="005F7BB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2.1</w:t>
            </w:r>
          </w:p>
        </w:tc>
        <w:tc>
          <w:tcPr>
            <w:tcW w:w="521" w:type="pct"/>
            <w:shd w:val="clear" w:color="auto" w:fill="auto"/>
            <w:vAlign w:val="center"/>
          </w:tcPr>
          <w:p w14:paraId="548BF152" w14:textId="77777777" w:rsidR="00C715A0" w:rsidRPr="00AB3B90" w:rsidRDefault="00C715A0" w:rsidP="005F7BB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2.9</w:t>
            </w:r>
          </w:p>
        </w:tc>
        <w:tc>
          <w:tcPr>
            <w:tcW w:w="521" w:type="pct"/>
            <w:shd w:val="clear" w:color="auto" w:fill="auto"/>
            <w:vAlign w:val="center"/>
          </w:tcPr>
          <w:p w14:paraId="17B5B2E1" w14:textId="77777777" w:rsidR="00C715A0" w:rsidRPr="00AB3B90" w:rsidRDefault="00C715A0" w:rsidP="005F7BB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3.0</w:t>
            </w:r>
          </w:p>
        </w:tc>
        <w:tc>
          <w:tcPr>
            <w:tcW w:w="521" w:type="pct"/>
            <w:shd w:val="clear" w:color="auto" w:fill="E7E6E6" w:themeFill="background2"/>
            <w:vAlign w:val="center"/>
          </w:tcPr>
          <w:p w14:paraId="309C1E48" w14:textId="77777777" w:rsidR="00C715A0" w:rsidRPr="00AB3B90" w:rsidRDefault="00C715A0" w:rsidP="005F7BB2">
            <w:pPr>
              <w:spacing w:line="240" w:lineRule="auto"/>
              <w:jc w:val="right"/>
              <w:rPr>
                <w:rFonts w:asciiTheme="majorHAnsi" w:hAnsiTheme="majorHAnsi"/>
                <w:sz w:val="16"/>
              </w:rPr>
            </w:pPr>
            <w:r w:rsidRPr="00AB3B90">
              <w:rPr>
                <w:rFonts w:asciiTheme="majorHAnsi" w:hAnsiTheme="majorHAnsi" w:cs="Calibri"/>
                <w:color w:val="000000"/>
                <w:sz w:val="16"/>
                <w:szCs w:val="16"/>
              </w:rPr>
              <w:t>2.6</w:t>
            </w:r>
          </w:p>
        </w:tc>
      </w:tr>
      <w:tr w:rsidR="00C715A0" w:rsidRPr="00AB3B90" w14:paraId="11977E85" w14:textId="77777777" w:rsidTr="005F7BB2">
        <w:trPr>
          <w:trHeight w:val="516"/>
        </w:trPr>
        <w:tc>
          <w:tcPr>
            <w:tcW w:w="1876" w:type="pct"/>
            <w:shd w:val="clear" w:color="auto" w:fill="auto"/>
            <w:vAlign w:val="center"/>
          </w:tcPr>
          <w:p w14:paraId="425BDCD4" w14:textId="77777777" w:rsidR="00C715A0" w:rsidRPr="00AB3B90" w:rsidRDefault="00C715A0" w:rsidP="005F7BB2">
            <w:pPr>
              <w:spacing w:line="240" w:lineRule="auto"/>
              <w:rPr>
                <w:rFonts w:asciiTheme="majorHAnsi" w:hAnsiTheme="majorHAnsi"/>
                <w:sz w:val="16"/>
                <w:szCs w:val="16"/>
              </w:rPr>
            </w:pPr>
            <w:r w:rsidRPr="00AB3B90">
              <w:rPr>
                <w:rFonts w:asciiTheme="majorHAnsi" w:hAnsiTheme="majorHAnsi"/>
                <w:sz w:val="16"/>
                <w:szCs w:val="16"/>
              </w:rPr>
              <w:t xml:space="preserve">Weighted average government sector non-teaching wages growth calculated using publicly available EBAs </w:t>
            </w:r>
            <w:r w:rsidRPr="00AB3B90">
              <w:rPr>
                <w:rFonts w:asciiTheme="majorHAnsi" w:hAnsiTheme="majorHAnsi"/>
                <w:bCs/>
                <w:sz w:val="16"/>
                <w:szCs w:val="16"/>
              </w:rPr>
              <w:t>(%)</w:t>
            </w:r>
          </w:p>
        </w:tc>
        <w:tc>
          <w:tcPr>
            <w:tcW w:w="521" w:type="pct"/>
            <w:shd w:val="clear" w:color="auto" w:fill="auto"/>
            <w:vAlign w:val="center"/>
          </w:tcPr>
          <w:p w14:paraId="5933865C" w14:textId="77777777" w:rsidR="00C715A0" w:rsidRPr="00AB3B90" w:rsidRDefault="00C715A0" w:rsidP="005F7BB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2.7</w:t>
            </w:r>
          </w:p>
        </w:tc>
        <w:tc>
          <w:tcPr>
            <w:tcW w:w="521" w:type="pct"/>
            <w:shd w:val="clear" w:color="auto" w:fill="auto"/>
            <w:vAlign w:val="center"/>
          </w:tcPr>
          <w:p w14:paraId="28B64CFE" w14:textId="77777777" w:rsidR="00C715A0" w:rsidRPr="00AB3B90" w:rsidRDefault="00C715A0" w:rsidP="005F7BB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2.0</w:t>
            </w:r>
          </w:p>
        </w:tc>
        <w:tc>
          <w:tcPr>
            <w:tcW w:w="521" w:type="pct"/>
            <w:shd w:val="clear" w:color="auto" w:fill="auto"/>
            <w:vAlign w:val="center"/>
          </w:tcPr>
          <w:p w14:paraId="74B47061" w14:textId="77777777" w:rsidR="00C715A0" w:rsidRPr="00AB3B90" w:rsidRDefault="00C715A0" w:rsidP="005F7BB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2.0</w:t>
            </w:r>
          </w:p>
        </w:tc>
        <w:tc>
          <w:tcPr>
            <w:tcW w:w="521" w:type="pct"/>
            <w:shd w:val="clear" w:color="auto" w:fill="auto"/>
            <w:vAlign w:val="center"/>
          </w:tcPr>
          <w:p w14:paraId="49483DB6" w14:textId="77777777" w:rsidR="00C715A0" w:rsidRPr="00AB3B90" w:rsidRDefault="00C715A0" w:rsidP="005F7BB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2.2</w:t>
            </w:r>
          </w:p>
        </w:tc>
        <w:tc>
          <w:tcPr>
            <w:tcW w:w="521" w:type="pct"/>
            <w:shd w:val="clear" w:color="auto" w:fill="auto"/>
            <w:vAlign w:val="center"/>
          </w:tcPr>
          <w:p w14:paraId="73744E59" w14:textId="77777777" w:rsidR="00C715A0" w:rsidRPr="00AB3B90" w:rsidRDefault="00C715A0" w:rsidP="005F7BB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4.2</w:t>
            </w:r>
          </w:p>
        </w:tc>
        <w:tc>
          <w:tcPr>
            <w:tcW w:w="521" w:type="pct"/>
            <w:shd w:val="clear" w:color="auto" w:fill="E7E6E6" w:themeFill="background2"/>
            <w:vAlign w:val="center"/>
          </w:tcPr>
          <w:p w14:paraId="4FEEA75D" w14:textId="77777777" w:rsidR="00C715A0" w:rsidRPr="00AB3B90" w:rsidRDefault="00C715A0" w:rsidP="005F7BB2">
            <w:pPr>
              <w:spacing w:line="240" w:lineRule="auto"/>
              <w:jc w:val="right"/>
              <w:rPr>
                <w:rFonts w:asciiTheme="majorHAnsi" w:hAnsiTheme="majorHAnsi" w:cs="Calibri"/>
                <w:color w:val="000000"/>
                <w:sz w:val="16"/>
                <w:szCs w:val="16"/>
              </w:rPr>
            </w:pPr>
            <w:r w:rsidRPr="00AB3B90">
              <w:rPr>
                <w:rFonts w:asciiTheme="majorHAnsi" w:hAnsiTheme="majorHAnsi" w:cs="Calibri"/>
                <w:color w:val="000000"/>
                <w:sz w:val="16"/>
                <w:szCs w:val="16"/>
              </w:rPr>
              <w:t>2.6</w:t>
            </w:r>
          </w:p>
        </w:tc>
      </w:tr>
    </w:tbl>
    <w:p w14:paraId="06430B3F" w14:textId="0207F7BC" w:rsidR="00EC613C" w:rsidRPr="00AB3B90" w:rsidRDefault="00EC613C" w:rsidP="00EC613C">
      <w:pPr>
        <w:pStyle w:val="Source"/>
        <w:spacing w:after="0" w:line="240" w:lineRule="auto"/>
      </w:pPr>
      <w:r w:rsidRPr="00AB3B90">
        <w:t xml:space="preserve">Notes: Growth rates are through the year growth to the June quarter. The weighted averages reported are those calculated using the publicly available EBAs, as the specific details regarding stakeholder salary increase calculations are unclear, and therefore not directly comparable to WPI. </w:t>
      </w:r>
      <w:r w:rsidR="00D37492" w:rsidRPr="00E37ADA">
        <w:t xml:space="preserve">CAGR is the annualised average rate of growth over time, with the effect of compounding </w:t>
      </w:r>
      <w:proofErr w:type="gramStart"/>
      <w:r w:rsidR="00D37492" w:rsidRPr="00E37ADA">
        <w:t>taken into account</w:t>
      </w:r>
      <w:proofErr w:type="gramEnd"/>
      <w:r w:rsidR="00D37492" w:rsidRPr="00AB3B90">
        <w:t>.</w:t>
      </w:r>
    </w:p>
    <w:p w14:paraId="551327EF" w14:textId="77777777" w:rsidR="00EC613C" w:rsidRPr="00AB3B90" w:rsidRDefault="00EC613C" w:rsidP="00EC613C">
      <w:pPr>
        <w:pStyle w:val="Source"/>
        <w:spacing w:before="0" w:line="240" w:lineRule="auto"/>
      </w:pPr>
      <w:r w:rsidRPr="00AB3B90">
        <w:t>Source: Australian Bureau of Statistics (2024) and Deloitte Access Economics (2024).</w:t>
      </w:r>
    </w:p>
    <w:p w14:paraId="2D25365C" w14:textId="77777777" w:rsidR="00EC613C" w:rsidRPr="00AB3B90" w:rsidRDefault="00EC613C" w:rsidP="009F66CD">
      <w:pPr>
        <w:pStyle w:val="Heading3"/>
      </w:pPr>
      <w:r w:rsidRPr="00AB3B90">
        <w:t>The Consumer Price Index and other schooling input prices</w:t>
      </w:r>
    </w:p>
    <w:p w14:paraId="07A332BB" w14:textId="0132CD19" w:rsidR="00EC613C" w:rsidRPr="00AB3B90" w:rsidRDefault="00EC613C" w:rsidP="00EC613C">
      <w:r w:rsidRPr="00AB3B90">
        <w:t xml:space="preserve">The ABS CPI measures changes in the price of a basket of goods and services over time. The goods and services within the basket represent the expenditure patterns of metropolitan households. The 87 expenditure classes within the CPI are weighted according to their relative importance (in terms of contribution to total expenditure). These weights are updated annually and as such, the CPI reflects the price of a typical basket of goods and services, </w:t>
      </w:r>
      <w:proofErr w:type="gramStart"/>
      <w:r w:rsidRPr="00AB3B90">
        <w:t>taking into account</w:t>
      </w:r>
      <w:proofErr w:type="gramEnd"/>
      <w:r w:rsidRPr="00AB3B90">
        <w:t xml:space="preserve"> how that changes over time as households respond to changes in relative prices and incomes.</w:t>
      </w:r>
    </w:p>
    <w:p w14:paraId="1ADDD21A" w14:textId="52A64EB4" w:rsidR="00EC613C" w:rsidRPr="00AB3B90" w:rsidRDefault="000D5E48" w:rsidP="00EC613C">
      <w:r w:rsidRPr="00AB3B90">
        <w:t>The</w:t>
      </w:r>
      <w:r w:rsidR="00EC613C" w:rsidRPr="00AB3B90">
        <w:t xml:space="preserve"> CPI categories </w:t>
      </w:r>
      <w:r w:rsidRPr="00AB3B90">
        <w:t>which have been</w:t>
      </w:r>
      <w:r w:rsidR="00EC613C" w:rsidRPr="00AB3B90">
        <w:t xml:space="preserve"> identified </w:t>
      </w:r>
      <w:r w:rsidR="00D60E12" w:rsidRPr="00AB3B90">
        <w:t xml:space="preserve">by stakeholders in consultation and written responses </w:t>
      </w:r>
      <w:r w:rsidR="00EC613C" w:rsidRPr="00AB3B90">
        <w:t xml:space="preserve">as being </w:t>
      </w:r>
      <w:r w:rsidR="00D710CF" w:rsidRPr="00AB3B90">
        <w:t xml:space="preserve">highly </w:t>
      </w:r>
      <w:r w:rsidR="00EC613C" w:rsidRPr="00AB3B90">
        <w:t xml:space="preserve">relevant to schooling, </w:t>
      </w:r>
      <w:r w:rsidR="000D2BAB" w:rsidRPr="00AB3B90">
        <w:t>as previously discussed</w:t>
      </w:r>
      <w:r w:rsidR="00A97D3A" w:rsidRPr="00AB3B90">
        <w:t xml:space="preserve">, </w:t>
      </w:r>
      <w:r w:rsidR="00EC613C" w:rsidRPr="00AB3B90">
        <w:t xml:space="preserve">are outlined in </w:t>
      </w:r>
      <w:r w:rsidR="00EC613C" w:rsidRPr="00AB3B90">
        <w:rPr>
          <w:shd w:val="clear" w:color="auto" w:fill="FFFFFF" w:themeFill="background1"/>
        </w:rPr>
        <w:fldChar w:fldCharType="begin"/>
      </w:r>
      <w:r w:rsidR="00EC613C" w:rsidRPr="00AB3B90">
        <w:rPr>
          <w:shd w:val="clear" w:color="auto" w:fill="FFFFFF" w:themeFill="background1"/>
        </w:rPr>
        <w:instrText xml:space="preserve"> REF _Ref160791328 \h  \* MERGEFORMAT </w:instrText>
      </w:r>
      <w:r w:rsidR="00EC613C" w:rsidRPr="00AB3B90">
        <w:rPr>
          <w:shd w:val="clear" w:color="auto" w:fill="FFFFFF" w:themeFill="background1"/>
        </w:rPr>
      </w:r>
      <w:r w:rsidR="00EC613C" w:rsidRPr="00AB3B90">
        <w:rPr>
          <w:shd w:val="clear" w:color="auto" w:fill="FFFFFF" w:themeFill="background1"/>
        </w:rPr>
        <w:fldChar w:fldCharType="separate"/>
      </w:r>
      <w:r w:rsidR="00FF6847" w:rsidRPr="00AB3B90">
        <w:rPr>
          <w:shd w:val="clear" w:color="auto" w:fill="FFFFFF" w:themeFill="background1"/>
        </w:rPr>
        <w:t>Table</w:t>
      </w:r>
      <w:r w:rsidR="00FF6847" w:rsidRPr="00AB3B90">
        <w:t xml:space="preserve"> </w:t>
      </w:r>
      <w:r w:rsidR="00FF6847" w:rsidRPr="00AB3B90">
        <w:rPr>
          <w:noProof/>
        </w:rPr>
        <w:t>7</w:t>
      </w:r>
      <w:r w:rsidR="00EC613C" w:rsidRPr="00AB3B90">
        <w:rPr>
          <w:shd w:val="clear" w:color="auto" w:fill="FFFFFF" w:themeFill="background1"/>
        </w:rPr>
        <w:fldChar w:fldCharType="end"/>
      </w:r>
      <w:r w:rsidR="00EC613C" w:rsidRPr="00AB3B90">
        <w:rPr>
          <w:shd w:val="clear" w:color="auto" w:fill="FFFFFF" w:themeFill="background1"/>
        </w:rPr>
        <w:t xml:space="preserve">. </w:t>
      </w:r>
      <w:r w:rsidR="00EC613C" w:rsidRPr="00AB3B90">
        <w:t xml:space="preserve">As there is no broadly applicable data available on the breakdown of non-salary </w:t>
      </w:r>
      <w:r w:rsidR="00D932D1" w:rsidRPr="00AB3B90">
        <w:t>expenditure</w:t>
      </w:r>
      <w:r w:rsidR="00EC613C" w:rsidRPr="00AB3B90">
        <w:t xml:space="preserve"> within schools, the relevant CPI categories could not be weighted</w:t>
      </w:r>
      <w:r w:rsidR="00D932D1" w:rsidRPr="00AB3B90">
        <w:t xml:space="preserve"> to inform a weighted average price </w:t>
      </w:r>
      <w:r w:rsidR="00621167" w:rsidRPr="00AB3B90">
        <w:t>increase across non-staff inputs</w:t>
      </w:r>
      <w:r w:rsidR="00EC613C" w:rsidRPr="00AB3B90">
        <w:t xml:space="preserve">. </w:t>
      </w:r>
      <w:r w:rsidR="00477C98" w:rsidRPr="00AB3B90">
        <w:t xml:space="preserve">Whilst </w:t>
      </w:r>
      <w:r w:rsidR="00C4093E" w:rsidRPr="00AB3B90">
        <w:t>one stakeholder</w:t>
      </w:r>
      <w:r w:rsidR="00EC613C" w:rsidRPr="00AB3B90">
        <w:t xml:space="preserve"> provided a breakdown of non-staffing </w:t>
      </w:r>
      <w:r w:rsidR="00C4093E" w:rsidRPr="00AB3B90">
        <w:t>expenses</w:t>
      </w:r>
      <w:r w:rsidR="00EC613C" w:rsidRPr="00AB3B90">
        <w:t>, they were not able to be categorised in</w:t>
      </w:r>
      <w:r w:rsidR="00F82EDA" w:rsidRPr="00AB3B90">
        <w:t>to</w:t>
      </w:r>
      <w:r w:rsidR="00EC613C" w:rsidRPr="00AB3B90">
        <w:t xml:space="preserve"> CPI </w:t>
      </w:r>
      <w:r w:rsidR="0032687A" w:rsidRPr="00AB3B90">
        <w:t>categories</w:t>
      </w:r>
      <w:r w:rsidR="00EC613C" w:rsidRPr="00AB3B90">
        <w:t xml:space="preserve">. </w:t>
      </w:r>
      <w:r w:rsidR="0032687A" w:rsidRPr="00AB3B90">
        <w:t>Another stakeholder</w:t>
      </w:r>
      <w:r w:rsidR="00EC613C" w:rsidRPr="00AB3B90">
        <w:t xml:space="preserve"> provided percentage allocations for its three major non-staffing </w:t>
      </w:r>
      <w:r w:rsidR="00870638" w:rsidRPr="00AB3B90">
        <w:t>expense</w:t>
      </w:r>
      <w:r w:rsidR="00EC613C" w:rsidRPr="00AB3B90">
        <w:t xml:space="preserve"> categories, however a full breakdown across jurisdictions would be required to inform a rigorous analysis. </w:t>
      </w:r>
    </w:p>
    <w:p w14:paraId="4AD202B1" w14:textId="435E8E58" w:rsidR="00EC613C" w:rsidRPr="00AB3B90" w:rsidRDefault="00EC613C" w:rsidP="00EC613C">
      <w:bookmarkStart w:id="103" w:name="_Ref160791511"/>
      <w:r w:rsidRPr="00AB3B90">
        <w:t xml:space="preserve">Over the analysis period, growth in the CPI tended to outpace growth in </w:t>
      </w:r>
      <w:proofErr w:type="gramStart"/>
      <w:r w:rsidR="00E959F3" w:rsidRPr="00AB3B90">
        <w:t>the majority of</w:t>
      </w:r>
      <w:proofErr w:type="gramEnd"/>
      <w:r w:rsidR="00E959F3" w:rsidRPr="00AB3B90">
        <w:t xml:space="preserve"> </w:t>
      </w:r>
      <w:r w:rsidRPr="00AB3B90">
        <w:t xml:space="preserve">CPI categories </w:t>
      </w:r>
      <w:r w:rsidR="0077799C" w:rsidRPr="00AB3B90">
        <w:t>that were noted by stakeholders as highly relevant</w:t>
      </w:r>
      <w:r w:rsidRPr="00AB3B90">
        <w:t>. The key exception</w:t>
      </w:r>
      <w:r w:rsidR="00401E47" w:rsidRPr="00AB3B90">
        <w:t>s are seen in</w:t>
      </w:r>
      <w:r w:rsidRPr="00AB3B90">
        <w:t xml:space="preserve"> transport, </w:t>
      </w:r>
      <w:r w:rsidR="00836A33" w:rsidRPr="00AB3B90">
        <w:t xml:space="preserve">cleaning and </w:t>
      </w:r>
      <w:r w:rsidR="00105A1D" w:rsidRPr="00AB3B90">
        <w:t xml:space="preserve">maintenance </w:t>
      </w:r>
      <w:r w:rsidR="00836A33" w:rsidRPr="00AB3B90">
        <w:t>p</w:t>
      </w:r>
      <w:r w:rsidR="004605CD" w:rsidRPr="00AB3B90">
        <w:t>roducts and main</w:t>
      </w:r>
      <w:r w:rsidR="00C81BF7" w:rsidRPr="00AB3B90">
        <w:t>tenance and repair of the dwelling</w:t>
      </w:r>
      <w:r w:rsidRPr="00AB3B90">
        <w:t xml:space="preserve">. </w:t>
      </w:r>
    </w:p>
    <w:p w14:paraId="44F5656F" w14:textId="690EAD1E" w:rsidR="00206DE5" w:rsidRPr="00AB3B90" w:rsidRDefault="00206DE5" w:rsidP="00E37ADA">
      <w:pPr>
        <w:pStyle w:val="ListBullet"/>
      </w:pPr>
      <w:r w:rsidRPr="00AB3B90">
        <w:t>Transport price shocks seen in 2020</w:t>
      </w:r>
      <w:r w:rsidR="00287FB0" w:rsidRPr="00AB3B90">
        <w:t>–</w:t>
      </w:r>
      <w:r w:rsidRPr="00AB3B90">
        <w:t>21 and 2021</w:t>
      </w:r>
      <w:r w:rsidR="00287FB0" w:rsidRPr="00AB3B90">
        <w:t>–</w:t>
      </w:r>
      <w:r w:rsidRPr="00AB3B90">
        <w:t xml:space="preserve">22 (as </w:t>
      </w:r>
      <w:r w:rsidR="000D79CF" w:rsidRPr="00AB3B90">
        <w:t xml:space="preserve">previously </w:t>
      </w:r>
      <w:r w:rsidRPr="00AB3B90">
        <w:t xml:space="preserve">discussed) </w:t>
      </w:r>
      <w:proofErr w:type="gramStart"/>
      <w:r w:rsidRPr="00AB3B90">
        <w:t>are</w:t>
      </w:r>
      <w:proofErr w:type="gramEnd"/>
      <w:r w:rsidRPr="00AB3B90">
        <w:t xml:space="preserve"> responsible for its higher average growth rate compared to CPI. Increases slowed significantly in 2022</w:t>
      </w:r>
      <w:r w:rsidR="000D79CF" w:rsidRPr="00AB3B90">
        <w:t>–</w:t>
      </w:r>
      <w:r w:rsidRPr="00AB3B90">
        <w:t>23 with the category more than 4</w:t>
      </w:r>
      <w:r w:rsidR="00FC438F" w:rsidRPr="00AB3B90">
        <w:t> </w:t>
      </w:r>
      <w:r w:rsidRPr="00AB3B90">
        <w:t>percentage</w:t>
      </w:r>
      <w:r w:rsidR="00FC438F" w:rsidRPr="00AB3B90">
        <w:t> </w:t>
      </w:r>
      <w:r w:rsidRPr="00AB3B90">
        <w:t xml:space="preserve">points lower than CPI growth. </w:t>
      </w:r>
    </w:p>
    <w:p w14:paraId="15413D20" w14:textId="77777777" w:rsidR="00206DE5" w:rsidRPr="00AB3B90" w:rsidRDefault="00206DE5" w:rsidP="00E37ADA">
      <w:pPr>
        <w:pStyle w:val="ListBullet"/>
      </w:pPr>
      <w:r w:rsidRPr="00AB3B90">
        <w:t>Cleaning and maintenance products have on average outpaced CPI, with significantly higher rates of growth in three out of five years over the analysis period.</w:t>
      </w:r>
    </w:p>
    <w:p w14:paraId="1E5CB991" w14:textId="77777777" w:rsidR="00AB3B90" w:rsidRDefault="00AB3B90">
      <w:pPr>
        <w:spacing w:before="0" w:after="160"/>
      </w:pPr>
      <w:r>
        <w:br w:type="page"/>
      </w:r>
    </w:p>
    <w:p w14:paraId="02D2BA63" w14:textId="7661E6F3" w:rsidR="00206DE5" w:rsidRPr="00AB3B90" w:rsidRDefault="00206DE5" w:rsidP="00E37ADA">
      <w:pPr>
        <w:pStyle w:val="ListBullet"/>
      </w:pPr>
      <w:r w:rsidRPr="00AB3B90">
        <w:t xml:space="preserve">The </w:t>
      </w:r>
      <w:r w:rsidR="00822E8B">
        <w:t>m</w:t>
      </w:r>
      <w:r w:rsidRPr="00AB3B90">
        <w:t xml:space="preserve">aintenance and repair of the dwelling category modestly outpaced CPI over the analysis </w:t>
      </w:r>
      <w:proofErr w:type="gramStart"/>
      <w:r w:rsidRPr="00AB3B90">
        <w:t>period, and</w:t>
      </w:r>
      <w:proofErr w:type="gramEnd"/>
      <w:r w:rsidRPr="00AB3B90">
        <w:t xml:space="preserve"> has closely tracked CPI since 2021</w:t>
      </w:r>
      <w:r w:rsidR="00D52558" w:rsidRPr="00AB3B90">
        <w:t>–</w:t>
      </w:r>
      <w:r w:rsidRPr="00AB3B90">
        <w:t xml:space="preserve">22. As </w:t>
      </w:r>
      <w:r w:rsidR="00D52558" w:rsidRPr="00AB3B90">
        <w:t xml:space="preserve">previously </w:t>
      </w:r>
      <w:r w:rsidRPr="00AB3B90">
        <w:t>mentioned, several stakeholders noted in consultations and written responses that maintenance of their ageing infrastructure has represented rising costs for their schools, with one stakeholder stating that prices have outpaced CPI.</w:t>
      </w:r>
    </w:p>
    <w:p w14:paraId="75BE1292" w14:textId="4BC3E74B" w:rsidR="00EC613C" w:rsidRPr="00AB3B90" w:rsidRDefault="00EC613C" w:rsidP="00EC613C">
      <w:pPr>
        <w:pStyle w:val="Caption"/>
        <w:keepNext/>
      </w:pPr>
      <w:bookmarkStart w:id="104" w:name="_Ref160791328"/>
      <w:bookmarkStart w:id="105" w:name="_Toc161150706"/>
      <w:bookmarkStart w:id="106" w:name="_Toc163650483"/>
      <w:r w:rsidRPr="00AB3B90">
        <w:t xml:space="preserve">Table </w:t>
      </w:r>
      <w:r w:rsidRPr="00AB3B90">
        <w:fldChar w:fldCharType="begin"/>
      </w:r>
      <w:r w:rsidRPr="00AB3B90">
        <w:instrText>SEQ Table \* ARABIC</w:instrText>
      </w:r>
      <w:r w:rsidRPr="00AB3B90">
        <w:fldChar w:fldCharType="separate"/>
      </w:r>
      <w:r w:rsidR="00FF6847" w:rsidRPr="00AB3B90">
        <w:rPr>
          <w:noProof/>
        </w:rPr>
        <w:t>7</w:t>
      </w:r>
      <w:r w:rsidRPr="00AB3B90">
        <w:fldChar w:fldCharType="end"/>
      </w:r>
      <w:bookmarkEnd w:id="103"/>
      <w:bookmarkEnd w:id="104"/>
      <w:r w:rsidRPr="00AB3B90">
        <w:t xml:space="preserve"> Consumer Price Index, original, year to June quarter, 2019–2023</w:t>
      </w:r>
      <w:bookmarkEnd w:id="105"/>
      <w:bookmarkEnd w:id="106"/>
    </w:p>
    <w:tbl>
      <w:tblPr>
        <w:tblStyle w:val="Deloittetable"/>
        <w:tblW w:w="5118" w:type="pct"/>
        <w:tblLook w:val="04A0" w:firstRow="1" w:lastRow="0" w:firstColumn="1" w:lastColumn="0" w:noHBand="0" w:noVBand="1"/>
      </w:tblPr>
      <w:tblGrid>
        <w:gridCol w:w="4254"/>
        <w:gridCol w:w="992"/>
        <w:gridCol w:w="852"/>
        <w:gridCol w:w="852"/>
        <w:gridCol w:w="848"/>
        <w:gridCol w:w="835"/>
        <w:gridCol w:w="606"/>
      </w:tblGrid>
      <w:tr w:rsidR="00C16897" w:rsidRPr="001D526D" w14:paraId="78092855" w14:textId="77777777" w:rsidTr="00C16897">
        <w:trPr>
          <w:cnfStyle w:val="100000000000" w:firstRow="1" w:lastRow="0" w:firstColumn="0" w:lastColumn="0" w:oddVBand="0" w:evenVBand="0" w:oddHBand="0" w:evenHBand="0" w:firstRowFirstColumn="0" w:firstRowLastColumn="0" w:lastRowFirstColumn="0" w:lastRowLastColumn="0"/>
          <w:trHeight w:val="178"/>
        </w:trPr>
        <w:tc>
          <w:tcPr>
            <w:tcW w:w="2302" w:type="pct"/>
          </w:tcPr>
          <w:p w14:paraId="51DE50A1" w14:textId="292AAC78" w:rsidR="001D526D" w:rsidRPr="007D6813" w:rsidRDefault="00C45A71" w:rsidP="004A0646">
            <w:pPr>
              <w:keepNext/>
              <w:spacing w:line="240" w:lineRule="auto"/>
              <w:rPr>
                <w:rFonts w:asciiTheme="majorHAnsi" w:hAnsiTheme="majorHAnsi"/>
                <w:b/>
                <w:bCs/>
                <w:sz w:val="16"/>
                <w:szCs w:val="16"/>
              </w:rPr>
            </w:pPr>
            <w:bookmarkStart w:id="107" w:name="_Hlk162438160"/>
            <w:bookmarkStart w:id="108" w:name="_Hlk162444205"/>
            <w:r>
              <w:rPr>
                <w:rFonts w:asciiTheme="majorHAnsi" w:hAnsiTheme="majorHAnsi"/>
                <w:b/>
                <w:bCs/>
                <w:sz w:val="16"/>
                <w:szCs w:val="16"/>
              </w:rPr>
              <w:t>Consumer Price Index</w:t>
            </w:r>
          </w:p>
        </w:tc>
        <w:tc>
          <w:tcPr>
            <w:tcW w:w="537" w:type="pct"/>
          </w:tcPr>
          <w:p w14:paraId="58C818CA" w14:textId="43778FA6" w:rsidR="001D526D" w:rsidRPr="001D526D" w:rsidRDefault="001D526D" w:rsidP="004A0646">
            <w:pPr>
              <w:keepNext/>
              <w:spacing w:line="240" w:lineRule="auto"/>
              <w:jc w:val="right"/>
              <w:rPr>
                <w:rFonts w:asciiTheme="majorHAnsi" w:hAnsiTheme="majorHAnsi"/>
                <w:b/>
                <w:bCs/>
                <w:sz w:val="16"/>
                <w:szCs w:val="16"/>
              </w:rPr>
            </w:pPr>
            <w:r w:rsidRPr="001D526D">
              <w:rPr>
                <w:rFonts w:asciiTheme="majorHAnsi" w:hAnsiTheme="majorHAnsi"/>
                <w:b/>
                <w:bCs/>
                <w:sz w:val="16"/>
                <w:szCs w:val="16"/>
              </w:rPr>
              <w:t>2018</w:t>
            </w:r>
            <w:r w:rsidR="005E6BD3">
              <w:rPr>
                <w:rFonts w:asciiTheme="majorHAnsi" w:hAnsiTheme="majorHAnsi"/>
                <w:b/>
                <w:bCs/>
                <w:sz w:val="16"/>
                <w:szCs w:val="16"/>
              </w:rPr>
              <w:t>–</w:t>
            </w:r>
            <w:r w:rsidRPr="001D526D">
              <w:rPr>
                <w:rFonts w:asciiTheme="majorHAnsi" w:hAnsiTheme="majorHAnsi"/>
                <w:b/>
                <w:bCs/>
                <w:sz w:val="16"/>
                <w:szCs w:val="16"/>
              </w:rPr>
              <w:t>19</w:t>
            </w:r>
          </w:p>
        </w:tc>
        <w:tc>
          <w:tcPr>
            <w:tcW w:w="461" w:type="pct"/>
          </w:tcPr>
          <w:p w14:paraId="0F6BD13B" w14:textId="7DD86D00" w:rsidR="001D526D" w:rsidRPr="001D526D" w:rsidRDefault="001D526D" w:rsidP="004A0646">
            <w:pPr>
              <w:keepNext/>
              <w:spacing w:line="240" w:lineRule="auto"/>
              <w:jc w:val="right"/>
              <w:rPr>
                <w:rFonts w:asciiTheme="majorHAnsi" w:hAnsiTheme="majorHAnsi"/>
                <w:b/>
                <w:bCs/>
                <w:sz w:val="16"/>
                <w:szCs w:val="16"/>
              </w:rPr>
            </w:pPr>
            <w:r w:rsidRPr="001D526D">
              <w:rPr>
                <w:rFonts w:asciiTheme="majorHAnsi" w:hAnsiTheme="majorHAnsi"/>
                <w:b/>
                <w:bCs/>
                <w:sz w:val="16"/>
                <w:szCs w:val="16"/>
              </w:rPr>
              <w:t>2019</w:t>
            </w:r>
            <w:r w:rsidR="005E6BD3">
              <w:rPr>
                <w:rFonts w:asciiTheme="majorHAnsi" w:hAnsiTheme="majorHAnsi"/>
                <w:b/>
                <w:bCs/>
                <w:sz w:val="16"/>
                <w:szCs w:val="16"/>
              </w:rPr>
              <w:t>–</w:t>
            </w:r>
            <w:r w:rsidRPr="001D526D">
              <w:rPr>
                <w:rFonts w:asciiTheme="majorHAnsi" w:hAnsiTheme="majorHAnsi"/>
                <w:b/>
                <w:bCs/>
                <w:sz w:val="16"/>
                <w:szCs w:val="16"/>
              </w:rPr>
              <w:t>20</w:t>
            </w:r>
          </w:p>
        </w:tc>
        <w:tc>
          <w:tcPr>
            <w:tcW w:w="461" w:type="pct"/>
          </w:tcPr>
          <w:p w14:paraId="364681BA" w14:textId="4737116F" w:rsidR="001D526D" w:rsidRPr="001D526D" w:rsidRDefault="001D526D" w:rsidP="004A0646">
            <w:pPr>
              <w:keepNext/>
              <w:spacing w:line="240" w:lineRule="auto"/>
              <w:jc w:val="right"/>
              <w:rPr>
                <w:rFonts w:asciiTheme="majorHAnsi" w:hAnsiTheme="majorHAnsi"/>
                <w:b/>
                <w:bCs/>
                <w:sz w:val="16"/>
                <w:szCs w:val="16"/>
              </w:rPr>
            </w:pPr>
            <w:r w:rsidRPr="001D526D">
              <w:rPr>
                <w:rFonts w:asciiTheme="majorHAnsi" w:hAnsiTheme="majorHAnsi"/>
                <w:b/>
                <w:bCs/>
                <w:sz w:val="16"/>
                <w:szCs w:val="16"/>
              </w:rPr>
              <w:t>2020</w:t>
            </w:r>
            <w:r w:rsidR="005E6BD3">
              <w:rPr>
                <w:rFonts w:asciiTheme="majorHAnsi" w:hAnsiTheme="majorHAnsi"/>
                <w:b/>
                <w:bCs/>
                <w:sz w:val="16"/>
                <w:szCs w:val="16"/>
              </w:rPr>
              <w:t>–</w:t>
            </w:r>
            <w:r w:rsidRPr="001D526D">
              <w:rPr>
                <w:rFonts w:asciiTheme="majorHAnsi" w:hAnsiTheme="majorHAnsi"/>
                <w:b/>
                <w:bCs/>
                <w:sz w:val="16"/>
                <w:szCs w:val="16"/>
              </w:rPr>
              <w:t>21</w:t>
            </w:r>
          </w:p>
        </w:tc>
        <w:tc>
          <w:tcPr>
            <w:tcW w:w="459" w:type="pct"/>
          </w:tcPr>
          <w:p w14:paraId="49EB8660" w14:textId="154E09B1" w:rsidR="001D526D" w:rsidRPr="001D526D" w:rsidRDefault="001D526D" w:rsidP="004A0646">
            <w:pPr>
              <w:keepNext/>
              <w:spacing w:line="240" w:lineRule="auto"/>
              <w:jc w:val="right"/>
              <w:rPr>
                <w:rFonts w:asciiTheme="majorHAnsi" w:hAnsiTheme="majorHAnsi"/>
                <w:b/>
                <w:bCs/>
                <w:sz w:val="16"/>
                <w:szCs w:val="16"/>
              </w:rPr>
            </w:pPr>
            <w:r w:rsidRPr="001D526D">
              <w:rPr>
                <w:rFonts w:asciiTheme="majorHAnsi" w:hAnsiTheme="majorHAnsi"/>
                <w:b/>
                <w:bCs/>
                <w:sz w:val="16"/>
                <w:szCs w:val="16"/>
              </w:rPr>
              <w:t>2021</w:t>
            </w:r>
            <w:r w:rsidR="005E6BD3">
              <w:rPr>
                <w:rFonts w:asciiTheme="majorHAnsi" w:hAnsiTheme="majorHAnsi"/>
                <w:b/>
                <w:bCs/>
                <w:sz w:val="16"/>
                <w:szCs w:val="16"/>
              </w:rPr>
              <w:t>–</w:t>
            </w:r>
            <w:r w:rsidRPr="001D526D">
              <w:rPr>
                <w:rFonts w:asciiTheme="majorHAnsi" w:hAnsiTheme="majorHAnsi"/>
                <w:b/>
                <w:bCs/>
                <w:sz w:val="16"/>
                <w:szCs w:val="16"/>
              </w:rPr>
              <w:t>22</w:t>
            </w:r>
          </w:p>
        </w:tc>
        <w:tc>
          <w:tcPr>
            <w:tcW w:w="452" w:type="pct"/>
          </w:tcPr>
          <w:p w14:paraId="6B8EE77D" w14:textId="5B488D41" w:rsidR="001D526D" w:rsidRPr="001D526D" w:rsidRDefault="001D526D" w:rsidP="004A0646">
            <w:pPr>
              <w:keepNext/>
              <w:spacing w:line="240" w:lineRule="auto"/>
              <w:jc w:val="right"/>
              <w:rPr>
                <w:rFonts w:asciiTheme="majorHAnsi" w:hAnsiTheme="majorHAnsi"/>
                <w:b/>
                <w:bCs/>
                <w:sz w:val="16"/>
                <w:szCs w:val="16"/>
              </w:rPr>
            </w:pPr>
            <w:r w:rsidRPr="001D526D">
              <w:rPr>
                <w:rFonts w:asciiTheme="majorHAnsi" w:hAnsiTheme="majorHAnsi"/>
                <w:b/>
                <w:bCs/>
                <w:sz w:val="16"/>
                <w:szCs w:val="16"/>
              </w:rPr>
              <w:t>2022</w:t>
            </w:r>
            <w:r w:rsidR="005E6BD3">
              <w:rPr>
                <w:rFonts w:asciiTheme="majorHAnsi" w:hAnsiTheme="majorHAnsi"/>
                <w:b/>
                <w:bCs/>
                <w:sz w:val="16"/>
                <w:szCs w:val="16"/>
              </w:rPr>
              <w:t>–</w:t>
            </w:r>
            <w:r w:rsidRPr="001D526D">
              <w:rPr>
                <w:rFonts w:asciiTheme="majorHAnsi" w:hAnsiTheme="majorHAnsi"/>
                <w:b/>
                <w:bCs/>
                <w:sz w:val="16"/>
                <w:szCs w:val="16"/>
              </w:rPr>
              <w:t>23</w:t>
            </w:r>
          </w:p>
        </w:tc>
        <w:tc>
          <w:tcPr>
            <w:tcW w:w="328" w:type="pct"/>
          </w:tcPr>
          <w:p w14:paraId="6453A5B6" w14:textId="77777777" w:rsidR="001D526D" w:rsidRPr="001D526D" w:rsidRDefault="001D526D" w:rsidP="004A0646">
            <w:pPr>
              <w:keepNext/>
              <w:spacing w:line="240" w:lineRule="auto"/>
              <w:jc w:val="right"/>
              <w:rPr>
                <w:rFonts w:asciiTheme="majorHAnsi" w:hAnsiTheme="majorHAnsi"/>
                <w:b/>
                <w:bCs/>
                <w:sz w:val="16"/>
                <w:szCs w:val="16"/>
              </w:rPr>
            </w:pPr>
            <w:r w:rsidRPr="001D526D">
              <w:rPr>
                <w:rFonts w:asciiTheme="majorHAnsi" w:hAnsiTheme="majorHAnsi"/>
                <w:b/>
                <w:bCs/>
                <w:sz w:val="16"/>
                <w:szCs w:val="16"/>
              </w:rPr>
              <w:t>CAGR</w:t>
            </w:r>
          </w:p>
        </w:tc>
      </w:tr>
      <w:tr w:rsidR="00C16897" w:rsidRPr="001D526D" w14:paraId="499BB7BD" w14:textId="77777777" w:rsidTr="00C16897">
        <w:trPr>
          <w:trHeight w:val="284"/>
        </w:trPr>
        <w:tc>
          <w:tcPr>
            <w:tcW w:w="2302" w:type="pct"/>
          </w:tcPr>
          <w:p w14:paraId="125D3054" w14:textId="77777777" w:rsidR="001D526D" w:rsidRPr="001D526D" w:rsidRDefault="001D526D" w:rsidP="004A0646">
            <w:pPr>
              <w:keepNext/>
              <w:spacing w:line="240" w:lineRule="auto"/>
              <w:rPr>
                <w:rFonts w:asciiTheme="majorHAnsi" w:hAnsiTheme="majorHAnsi"/>
                <w:sz w:val="16"/>
                <w:szCs w:val="16"/>
              </w:rPr>
            </w:pPr>
            <w:r w:rsidRPr="001D526D">
              <w:rPr>
                <w:rFonts w:asciiTheme="majorHAnsi" w:hAnsiTheme="majorHAnsi"/>
                <w:sz w:val="16"/>
                <w:szCs w:val="16"/>
              </w:rPr>
              <w:t>Consumer Price Index (%)</w:t>
            </w:r>
          </w:p>
        </w:tc>
        <w:tc>
          <w:tcPr>
            <w:tcW w:w="537" w:type="pct"/>
          </w:tcPr>
          <w:p w14:paraId="1C13CC47"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1.6</w:t>
            </w:r>
          </w:p>
        </w:tc>
        <w:tc>
          <w:tcPr>
            <w:tcW w:w="461" w:type="pct"/>
          </w:tcPr>
          <w:p w14:paraId="3E907764"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-0.3</w:t>
            </w:r>
          </w:p>
        </w:tc>
        <w:tc>
          <w:tcPr>
            <w:tcW w:w="461" w:type="pct"/>
          </w:tcPr>
          <w:p w14:paraId="474108A0"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3.8</w:t>
            </w:r>
          </w:p>
        </w:tc>
        <w:tc>
          <w:tcPr>
            <w:tcW w:w="459" w:type="pct"/>
          </w:tcPr>
          <w:p w14:paraId="24F4BF0A"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6.1</w:t>
            </w:r>
          </w:p>
        </w:tc>
        <w:tc>
          <w:tcPr>
            <w:tcW w:w="452" w:type="pct"/>
          </w:tcPr>
          <w:p w14:paraId="5C519F19"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6.0</w:t>
            </w:r>
          </w:p>
        </w:tc>
        <w:tc>
          <w:tcPr>
            <w:tcW w:w="328" w:type="pct"/>
          </w:tcPr>
          <w:p w14:paraId="42517253"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3.9</w:t>
            </w:r>
          </w:p>
        </w:tc>
      </w:tr>
      <w:tr w:rsidR="00C16897" w:rsidRPr="001D526D" w14:paraId="43E21E9E" w14:textId="77777777" w:rsidTr="00C16897">
        <w:trPr>
          <w:trHeight w:val="353"/>
        </w:trPr>
        <w:tc>
          <w:tcPr>
            <w:tcW w:w="2302" w:type="pct"/>
          </w:tcPr>
          <w:p w14:paraId="5217D9C6" w14:textId="77777777" w:rsidR="001D526D" w:rsidRPr="00E37ADA" w:rsidRDefault="001D526D" w:rsidP="004A0646">
            <w:pPr>
              <w:keepNext/>
              <w:spacing w:line="240" w:lineRule="auto"/>
              <w:ind w:left="720"/>
              <w:rPr>
                <w:rFonts w:asciiTheme="majorHAnsi" w:hAnsiTheme="majorHAnsi"/>
                <w:sz w:val="16"/>
                <w:szCs w:val="16"/>
              </w:rPr>
            </w:pPr>
            <w:r w:rsidRPr="001D526D">
              <w:rPr>
                <w:rFonts w:asciiTheme="majorHAnsi" w:hAnsiTheme="majorHAnsi" w:cs="Calibri"/>
                <w:color w:val="000000"/>
                <w:sz w:val="16"/>
                <w:szCs w:val="16"/>
              </w:rPr>
              <w:t>Utilities</w:t>
            </w:r>
          </w:p>
        </w:tc>
        <w:tc>
          <w:tcPr>
            <w:tcW w:w="537" w:type="pct"/>
          </w:tcPr>
          <w:p w14:paraId="780A6362"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-0.2 </w:t>
            </w:r>
          </w:p>
        </w:tc>
        <w:tc>
          <w:tcPr>
            <w:tcW w:w="461" w:type="pct"/>
          </w:tcPr>
          <w:p w14:paraId="41939A5E"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-0.8 </w:t>
            </w:r>
          </w:p>
        </w:tc>
        <w:tc>
          <w:tcPr>
            <w:tcW w:w="461" w:type="pct"/>
          </w:tcPr>
          <w:p w14:paraId="5695D40D"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-4.2 </w:t>
            </w:r>
          </w:p>
        </w:tc>
        <w:tc>
          <w:tcPr>
            <w:tcW w:w="459" w:type="pct"/>
          </w:tcPr>
          <w:p w14:paraId="4CF4D0A3"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1.6 </w:t>
            </w:r>
          </w:p>
        </w:tc>
        <w:tc>
          <w:tcPr>
            <w:tcW w:w="452" w:type="pct"/>
          </w:tcPr>
          <w:p w14:paraId="66F4D5DA"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13.8 </w:t>
            </w:r>
          </w:p>
        </w:tc>
        <w:tc>
          <w:tcPr>
            <w:tcW w:w="328" w:type="pct"/>
          </w:tcPr>
          <w:p w14:paraId="59BD07D3"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2.4 </w:t>
            </w:r>
          </w:p>
        </w:tc>
      </w:tr>
      <w:tr w:rsidR="00C16897" w:rsidRPr="001D526D" w14:paraId="4B90C817" w14:textId="77777777" w:rsidTr="00C16897">
        <w:trPr>
          <w:trHeight w:val="353"/>
        </w:trPr>
        <w:tc>
          <w:tcPr>
            <w:tcW w:w="2302" w:type="pct"/>
          </w:tcPr>
          <w:p w14:paraId="54BD5BA1" w14:textId="77777777" w:rsidR="001D526D" w:rsidRPr="00E37ADA" w:rsidRDefault="001D526D" w:rsidP="004A0646">
            <w:pPr>
              <w:keepNext/>
              <w:spacing w:line="240" w:lineRule="auto"/>
              <w:ind w:left="720"/>
              <w:rPr>
                <w:rFonts w:asciiTheme="majorHAnsi" w:hAnsiTheme="majorHAnsi"/>
                <w:sz w:val="16"/>
                <w:szCs w:val="16"/>
              </w:rPr>
            </w:pPr>
            <w:r w:rsidRPr="001D526D">
              <w:rPr>
                <w:rFonts w:asciiTheme="majorHAnsi" w:hAnsiTheme="majorHAnsi" w:cs="Calibri"/>
                <w:color w:val="000000"/>
                <w:sz w:val="16"/>
                <w:szCs w:val="16"/>
              </w:rPr>
              <w:t>Transport</w:t>
            </w:r>
          </w:p>
        </w:tc>
        <w:tc>
          <w:tcPr>
            <w:tcW w:w="537" w:type="pct"/>
          </w:tcPr>
          <w:p w14:paraId="7F710D38"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1.7 </w:t>
            </w:r>
          </w:p>
        </w:tc>
        <w:tc>
          <w:tcPr>
            <w:tcW w:w="461" w:type="pct"/>
          </w:tcPr>
          <w:p w14:paraId="2F152677"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-7.5 </w:t>
            </w:r>
          </w:p>
        </w:tc>
        <w:tc>
          <w:tcPr>
            <w:tcW w:w="461" w:type="pct"/>
          </w:tcPr>
          <w:p w14:paraId="5971664A"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10.7 </w:t>
            </w:r>
          </w:p>
        </w:tc>
        <w:tc>
          <w:tcPr>
            <w:tcW w:w="459" w:type="pct"/>
          </w:tcPr>
          <w:p w14:paraId="6E6E1486"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13.1 </w:t>
            </w:r>
          </w:p>
        </w:tc>
        <w:tc>
          <w:tcPr>
            <w:tcW w:w="452" w:type="pct"/>
          </w:tcPr>
          <w:p w14:paraId="10164B40"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1.9 </w:t>
            </w:r>
          </w:p>
        </w:tc>
        <w:tc>
          <w:tcPr>
            <w:tcW w:w="328" w:type="pct"/>
          </w:tcPr>
          <w:p w14:paraId="42517F63"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4.2 </w:t>
            </w:r>
          </w:p>
        </w:tc>
      </w:tr>
      <w:tr w:rsidR="00C16897" w:rsidRPr="001D526D" w14:paraId="33FD34C8" w14:textId="77777777" w:rsidTr="00C16897">
        <w:trPr>
          <w:trHeight w:val="353"/>
        </w:trPr>
        <w:tc>
          <w:tcPr>
            <w:tcW w:w="2302" w:type="pct"/>
          </w:tcPr>
          <w:p w14:paraId="0C58ED01" w14:textId="77777777" w:rsidR="001D526D" w:rsidRPr="00E37ADA" w:rsidRDefault="001D526D" w:rsidP="004A0646">
            <w:pPr>
              <w:keepNext/>
              <w:spacing w:line="240" w:lineRule="auto"/>
              <w:ind w:left="720"/>
              <w:rPr>
                <w:rFonts w:asciiTheme="majorHAnsi" w:hAnsiTheme="majorHAnsi"/>
                <w:sz w:val="16"/>
                <w:szCs w:val="16"/>
              </w:rPr>
            </w:pPr>
            <w:r w:rsidRPr="001D526D">
              <w:rPr>
                <w:rFonts w:asciiTheme="majorHAnsi" w:hAnsiTheme="majorHAnsi" w:cs="Calibri"/>
                <w:color w:val="000000"/>
                <w:sz w:val="16"/>
                <w:szCs w:val="16"/>
              </w:rPr>
              <w:t xml:space="preserve">Audio, </w:t>
            </w:r>
            <w:proofErr w:type="gramStart"/>
            <w:r w:rsidRPr="001D526D">
              <w:rPr>
                <w:rFonts w:asciiTheme="majorHAnsi" w:hAnsiTheme="majorHAnsi" w:cs="Calibri"/>
                <w:color w:val="000000"/>
                <w:sz w:val="16"/>
                <w:szCs w:val="16"/>
              </w:rPr>
              <w:t>visual</w:t>
            </w:r>
            <w:proofErr w:type="gramEnd"/>
            <w:r w:rsidRPr="001D526D">
              <w:rPr>
                <w:rFonts w:asciiTheme="majorHAnsi" w:hAnsiTheme="majorHAnsi" w:cs="Calibri"/>
                <w:color w:val="000000"/>
                <w:sz w:val="16"/>
                <w:szCs w:val="16"/>
              </w:rPr>
              <w:t xml:space="preserve"> and computing equipment and services</w:t>
            </w:r>
          </w:p>
        </w:tc>
        <w:tc>
          <w:tcPr>
            <w:tcW w:w="537" w:type="pct"/>
          </w:tcPr>
          <w:p w14:paraId="4A890040"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-4.0 </w:t>
            </w:r>
          </w:p>
        </w:tc>
        <w:tc>
          <w:tcPr>
            <w:tcW w:w="461" w:type="pct"/>
          </w:tcPr>
          <w:p w14:paraId="04DB7CA2"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-1.3 </w:t>
            </w:r>
          </w:p>
        </w:tc>
        <w:tc>
          <w:tcPr>
            <w:tcW w:w="461" w:type="pct"/>
          </w:tcPr>
          <w:p w14:paraId="7348FD1C"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-0.4 </w:t>
            </w:r>
          </w:p>
        </w:tc>
        <w:tc>
          <w:tcPr>
            <w:tcW w:w="459" w:type="pct"/>
          </w:tcPr>
          <w:p w14:paraId="52230618"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2.9 </w:t>
            </w:r>
          </w:p>
        </w:tc>
        <w:tc>
          <w:tcPr>
            <w:tcW w:w="452" w:type="pct"/>
          </w:tcPr>
          <w:p w14:paraId="24ADA85A"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2.0 </w:t>
            </w:r>
          </w:p>
        </w:tc>
        <w:tc>
          <w:tcPr>
            <w:tcW w:w="328" w:type="pct"/>
          </w:tcPr>
          <w:p w14:paraId="3520522C"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0.8 </w:t>
            </w:r>
          </w:p>
        </w:tc>
      </w:tr>
      <w:tr w:rsidR="00C16897" w:rsidRPr="001D526D" w14:paraId="32060B21" w14:textId="77777777" w:rsidTr="00C16897">
        <w:trPr>
          <w:trHeight w:val="353"/>
        </w:trPr>
        <w:tc>
          <w:tcPr>
            <w:tcW w:w="2302" w:type="pct"/>
          </w:tcPr>
          <w:p w14:paraId="13DEAB7C" w14:textId="77777777" w:rsidR="001D526D" w:rsidRPr="00E37ADA" w:rsidRDefault="001D526D" w:rsidP="004A0646">
            <w:pPr>
              <w:keepNext/>
              <w:spacing w:line="240" w:lineRule="auto"/>
              <w:ind w:left="720"/>
              <w:rPr>
                <w:rFonts w:asciiTheme="majorHAnsi" w:hAnsiTheme="majorHAnsi"/>
                <w:sz w:val="16"/>
                <w:szCs w:val="16"/>
              </w:rPr>
            </w:pPr>
            <w:r w:rsidRPr="001D526D">
              <w:rPr>
                <w:rFonts w:asciiTheme="majorHAnsi" w:hAnsiTheme="majorHAnsi" w:cs="Calibri"/>
                <w:color w:val="000000"/>
                <w:sz w:val="16"/>
                <w:szCs w:val="16"/>
              </w:rPr>
              <w:t xml:space="preserve">Newspapers, </w:t>
            </w:r>
            <w:proofErr w:type="gramStart"/>
            <w:r w:rsidRPr="001D526D">
              <w:rPr>
                <w:rFonts w:asciiTheme="majorHAnsi" w:hAnsiTheme="majorHAnsi" w:cs="Calibri"/>
                <w:color w:val="000000"/>
                <w:sz w:val="16"/>
                <w:szCs w:val="16"/>
              </w:rPr>
              <w:t>books</w:t>
            </w:r>
            <w:proofErr w:type="gramEnd"/>
            <w:r w:rsidRPr="001D526D">
              <w:rPr>
                <w:rFonts w:asciiTheme="majorHAnsi" w:hAnsiTheme="majorHAnsi" w:cs="Calibri"/>
                <w:color w:val="000000"/>
                <w:sz w:val="16"/>
                <w:szCs w:val="16"/>
              </w:rPr>
              <w:t xml:space="preserve"> and stationery</w:t>
            </w:r>
          </w:p>
        </w:tc>
        <w:tc>
          <w:tcPr>
            <w:tcW w:w="537" w:type="pct"/>
          </w:tcPr>
          <w:p w14:paraId="60656AD1"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-0.2 </w:t>
            </w:r>
          </w:p>
        </w:tc>
        <w:tc>
          <w:tcPr>
            <w:tcW w:w="461" w:type="pct"/>
          </w:tcPr>
          <w:p w14:paraId="2DBFCBAA"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2.5 </w:t>
            </w:r>
          </w:p>
        </w:tc>
        <w:tc>
          <w:tcPr>
            <w:tcW w:w="461" w:type="pct"/>
          </w:tcPr>
          <w:p w14:paraId="31F4F646"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0.9 </w:t>
            </w:r>
          </w:p>
        </w:tc>
        <w:tc>
          <w:tcPr>
            <w:tcW w:w="459" w:type="pct"/>
          </w:tcPr>
          <w:p w14:paraId="1D98BA24"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2.2 </w:t>
            </w:r>
          </w:p>
        </w:tc>
        <w:tc>
          <w:tcPr>
            <w:tcW w:w="452" w:type="pct"/>
          </w:tcPr>
          <w:p w14:paraId="0729C156"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6.7 </w:t>
            </w:r>
          </w:p>
        </w:tc>
        <w:tc>
          <w:tcPr>
            <w:tcW w:w="328" w:type="pct"/>
          </w:tcPr>
          <w:p w14:paraId="67EAB3F1" w14:textId="77777777" w:rsidR="001D526D" w:rsidRPr="00E37ADA"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3.0 </w:t>
            </w:r>
          </w:p>
        </w:tc>
      </w:tr>
      <w:tr w:rsidR="00C16897" w:rsidRPr="001D526D" w14:paraId="2CEB9AD2" w14:textId="77777777" w:rsidTr="00C16897">
        <w:trPr>
          <w:trHeight w:val="353"/>
        </w:trPr>
        <w:tc>
          <w:tcPr>
            <w:tcW w:w="2302" w:type="pct"/>
          </w:tcPr>
          <w:p w14:paraId="2CE5BE04" w14:textId="77777777" w:rsidR="001D526D" w:rsidRPr="001D526D" w:rsidRDefault="001D526D" w:rsidP="004A0646">
            <w:pPr>
              <w:keepNext/>
              <w:spacing w:line="240" w:lineRule="auto"/>
              <w:ind w:left="720"/>
              <w:rPr>
                <w:rFonts w:asciiTheme="majorHAnsi" w:hAnsiTheme="majorHAnsi" w:cs="Calibri"/>
                <w:color w:val="000000"/>
                <w:sz w:val="16"/>
                <w:szCs w:val="16"/>
              </w:rPr>
            </w:pPr>
            <w:r w:rsidRPr="001D526D">
              <w:rPr>
                <w:rFonts w:asciiTheme="majorHAnsi" w:hAnsiTheme="majorHAnsi" w:cs="Calibri"/>
                <w:color w:val="000000"/>
                <w:sz w:val="16"/>
                <w:szCs w:val="16"/>
              </w:rPr>
              <w:t>Insurance and financial services</w:t>
            </w:r>
          </w:p>
        </w:tc>
        <w:tc>
          <w:tcPr>
            <w:tcW w:w="537" w:type="pct"/>
          </w:tcPr>
          <w:p w14:paraId="04B76ECE"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0.9 </w:t>
            </w:r>
          </w:p>
        </w:tc>
        <w:tc>
          <w:tcPr>
            <w:tcW w:w="461" w:type="pct"/>
          </w:tcPr>
          <w:p w14:paraId="0C229607"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1.7 </w:t>
            </w:r>
          </w:p>
        </w:tc>
        <w:tc>
          <w:tcPr>
            <w:tcW w:w="461" w:type="pct"/>
          </w:tcPr>
          <w:p w14:paraId="25E23F12"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0.6 </w:t>
            </w:r>
          </w:p>
        </w:tc>
        <w:tc>
          <w:tcPr>
            <w:tcW w:w="459" w:type="pct"/>
          </w:tcPr>
          <w:p w14:paraId="739A55AD"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3.4 </w:t>
            </w:r>
          </w:p>
        </w:tc>
        <w:tc>
          <w:tcPr>
            <w:tcW w:w="452" w:type="pct"/>
          </w:tcPr>
          <w:p w14:paraId="02D5BA46"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8.5 </w:t>
            </w:r>
          </w:p>
        </w:tc>
        <w:tc>
          <w:tcPr>
            <w:tcW w:w="328" w:type="pct"/>
          </w:tcPr>
          <w:p w14:paraId="5C57BC9C" w14:textId="77777777" w:rsidR="001D526D" w:rsidRPr="001D526D" w:rsidRDefault="001D526D" w:rsidP="004A0646">
            <w:pPr>
              <w:keepNext/>
              <w:spacing w:line="240" w:lineRule="auto"/>
              <w:jc w:val="right"/>
              <w:rPr>
                <w:rFonts w:asciiTheme="majorHAnsi" w:hAnsiTheme="majorHAnsi"/>
                <w:sz w:val="16"/>
                <w:szCs w:val="16"/>
              </w:rPr>
            </w:pPr>
            <w:r w:rsidRPr="001D526D">
              <w:rPr>
                <w:rFonts w:asciiTheme="majorHAnsi" w:hAnsiTheme="majorHAnsi"/>
                <w:sz w:val="16"/>
                <w:szCs w:val="16"/>
              </w:rPr>
              <w:t xml:space="preserve"> 3.5 </w:t>
            </w:r>
          </w:p>
        </w:tc>
      </w:tr>
      <w:tr w:rsidR="00C16897" w:rsidRPr="001D526D" w14:paraId="59A3D79E" w14:textId="77777777" w:rsidTr="00C16897">
        <w:trPr>
          <w:trHeight w:val="353"/>
        </w:trPr>
        <w:tc>
          <w:tcPr>
            <w:tcW w:w="2302" w:type="pct"/>
          </w:tcPr>
          <w:p w14:paraId="659F3537" w14:textId="77777777" w:rsidR="001D526D" w:rsidRPr="001D526D" w:rsidRDefault="001D526D" w:rsidP="004A0646">
            <w:pPr>
              <w:keepNext/>
              <w:spacing w:line="240" w:lineRule="auto"/>
              <w:ind w:left="720"/>
              <w:rPr>
                <w:rFonts w:asciiTheme="majorHAnsi" w:hAnsiTheme="majorHAnsi" w:cs="Calibri"/>
                <w:color w:val="000000"/>
                <w:sz w:val="16"/>
                <w:szCs w:val="16"/>
              </w:rPr>
            </w:pPr>
            <w:r w:rsidRPr="00E37ADA">
              <w:rPr>
                <w:rFonts w:asciiTheme="majorHAnsi" w:hAnsiTheme="majorHAnsi" w:cs="Calibri"/>
                <w:color w:val="000000"/>
                <w:sz w:val="16"/>
                <w:szCs w:val="16"/>
              </w:rPr>
              <w:t>Cleaning and maintenance products</w:t>
            </w:r>
          </w:p>
        </w:tc>
        <w:tc>
          <w:tcPr>
            <w:tcW w:w="537" w:type="pct"/>
          </w:tcPr>
          <w:p w14:paraId="27C97166" w14:textId="77777777" w:rsidR="001D526D" w:rsidRPr="001D526D"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1.0</w:t>
            </w:r>
          </w:p>
        </w:tc>
        <w:tc>
          <w:tcPr>
            <w:tcW w:w="461" w:type="pct"/>
          </w:tcPr>
          <w:p w14:paraId="7610178A" w14:textId="77777777" w:rsidR="001D526D" w:rsidRPr="001D526D"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9.6</w:t>
            </w:r>
          </w:p>
        </w:tc>
        <w:tc>
          <w:tcPr>
            <w:tcW w:w="461" w:type="pct"/>
          </w:tcPr>
          <w:p w14:paraId="6263FFE4" w14:textId="77777777" w:rsidR="001D526D" w:rsidRPr="001D526D"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-4.6</w:t>
            </w:r>
          </w:p>
        </w:tc>
        <w:tc>
          <w:tcPr>
            <w:tcW w:w="459" w:type="pct"/>
          </w:tcPr>
          <w:p w14:paraId="315CCA49" w14:textId="77777777" w:rsidR="001D526D" w:rsidRPr="001D526D"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8.0</w:t>
            </w:r>
          </w:p>
        </w:tc>
        <w:tc>
          <w:tcPr>
            <w:tcW w:w="452" w:type="pct"/>
          </w:tcPr>
          <w:p w14:paraId="4FC9210B" w14:textId="77777777" w:rsidR="001D526D" w:rsidRPr="001D526D"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9.2</w:t>
            </w:r>
          </w:p>
        </w:tc>
        <w:tc>
          <w:tcPr>
            <w:tcW w:w="328" w:type="pct"/>
          </w:tcPr>
          <w:p w14:paraId="72058A9F" w14:textId="77777777" w:rsidR="001D526D" w:rsidRPr="001D526D"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5.4</w:t>
            </w:r>
          </w:p>
        </w:tc>
      </w:tr>
      <w:tr w:rsidR="00C16897" w:rsidRPr="00DC6DB8" w14:paraId="2D84304E" w14:textId="77777777" w:rsidTr="00C16897">
        <w:trPr>
          <w:trHeight w:val="353"/>
        </w:trPr>
        <w:tc>
          <w:tcPr>
            <w:tcW w:w="2302" w:type="pct"/>
          </w:tcPr>
          <w:p w14:paraId="7D93AAED" w14:textId="77777777" w:rsidR="001D526D" w:rsidRPr="001D526D" w:rsidRDefault="001D526D" w:rsidP="004A0646">
            <w:pPr>
              <w:keepNext/>
              <w:spacing w:line="240" w:lineRule="auto"/>
              <w:ind w:left="720"/>
              <w:rPr>
                <w:rFonts w:asciiTheme="majorHAnsi" w:hAnsiTheme="majorHAnsi" w:cs="Calibri"/>
                <w:color w:val="000000"/>
                <w:sz w:val="16"/>
                <w:szCs w:val="16"/>
              </w:rPr>
            </w:pPr>
            <w:r w:rsidRPr="00E37ADA">
              <w:rPr>
                <w:rFonts w:asciiTheme="majorHAnsi" w:hAnsiTheme="majorHAnsi" w:cs="Calibri"/>
                <w:color w:val="000000"/>
                <w:sz w:val="16"/>
                <w:szCs w:val="16"/>
              </w:rPr>
              <w:t>Maintenance and repair of the dwelling</w:t>
            </w:r>
          </w:p>
        </w:tc>
        <w:tc>
          <w:tcPr>
            <w:tcW w:w="537" w:type="pct"/>
          </w:tcPr>
          <w:p w14:paraId="251140D5" w14:textId="77777777" w:rsidR="001D526D" w:rsidRPr="001D526D"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3.1</w:t>
            </w:r>
          </w:p>
        </w:tc>
        <w:tc>
          <w:tcPr>
            <w:tcW w:w="461" w:type="pct"/>
          </w:tcPr>
          <w:p w14:paraId="21F0F33D" w14:textId="77777777" w:rsidR="001D526D" w:rsidRPr="001D526D"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1.9</w:t>
            </w:r>
          </w:p>
        </w:tc>
        <w:tc>
          <w:tcPr>
            <w:tcW w:w="461" w:type="pct"/>
          </w:tcPr>
          <w:p w14:paraId="33B0260E" w14:textId="77777777" w:rsidR="001D526D" w:rsidRPr="001D526D"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2.9</w:t>
            </w:r>
          </w:p>
        </w:tc>
        <w:tc>
          <w:tcPr>
            <w:tcW w:w="459" w:type="pct"/>
          </w:tcPr>
          <w:p w14:paraId="07B0B816" w14:textId="77777777" w:rsidR="001D526D" w:rsidRPr="001D526D"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5.9</w:t>
            </w:r>
          </w:p>
        </w:tc>
        <w:tc>
          <w:tcPr>
            <w:tcW w:w="452" w:type="pct"/>
          </w:tcPr>
          <w:p w14:paraId="2192E508" w14:textId="77777777" w:rsidR="001D526D" w:rsidRPr="001D526D"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5.7</w:t>
            </w:r>
          </w:p>
        </w:tc>
        <w:tc>
          <w:tcPr>
            <w:tcW w:w="328" w:type="pct"/>
          </w:tcPr>
          <w:p w14:paraId="1B6930DC" w14:textId="77777777" w:rsidR="001D526D" w:rsidRPr="00DC6DB8" w:rsidRDefault="001D526D" w:rsidP="004A0646">
            <w:pPr>
              <w:keepNext/>
              <w:spacing w:line="240" w:lineRule="auto"/>
              <w:jc w:val="right"/>
              <w:rPr>
                <w:rFonts w:asciiTheme="majorHAnsi" w:hAnsiTheme="majorHAnsi"/>
                <w:sz w:val="16"/>
                <w:szCs w:val="16"/>
              </w:rPr>
            </w:pPr>
            <w:r w:rsidRPr="00E37ADA">
              <w:rPr>
                <w:rFonts w:asciiTheme="majorHAnsi" w:hAnsiTheme="majorHAnsi"/>
                <w:sz w:val="16"/>
                <w:szCs w:val="16"/>
              </w:rPr>
              <w:t>4.1</w:t>
            </w:r>
          </w:p>
        </w:tc>
      </w:tr>
    </w:tbl>
    <w:bookmarkEnd w:id="108"/>
    <w:p w14:paraId="4EEA4A03" w14:textId="77777777" w:rsidR="002E7E80" w:rsidRPr="00AB3B90" w:rsidRDefault="002E7E80" w:rsidP="00E37ADA">
      <w:pPr>
        <w:pStyle w:val="Source"/>
        <w:spacing w:before="0" w:after="0" w:line="240" w:lineRule="auto"/>
      </w:pPr>
      <w:r w:rsidRPr="00E37ADA">
        <w:t xml:space="preserve">Notes: CAGR is the annualised average rate of growth over time, with the effect of compounding </w:t>
      </w:r>
      <w:proofErr w:type="gramStart"/>
      <w:r w:rsidRPr="00E37ADA">
        <w:t>taken into account</w:t>
      </w:r>
      <w:proofErr w:type="gramEnd"/>
      <w:r w:rsidRPr="00E37ADA">
        <w:t>.</w:t>
      </w:r>
      <w:r w:rsidRPr="00AB3B90">
        <w:t xml:space="preserve">  </w:t>
      </w:r>
    </w:p>
    <w:bookmarkEnd w:id="107"/>
    <w:p w14:paraId="293C0E60" w14:textId="77777777" w:rsidR="00AE1701" w:rsidRPr="00AB3B90" w:rsidRDefault="00AE1701" w:rsidP="00E37ADA">
      <w:pPr>
        <w:pStyle w:val="Source"/>
        <w:spacing w:before="0" w:after="0"/>
      </w:pPr>
      <w:r w:rsidRPr="00AB3B90">
        <w:t>Source: Australian Bureau of Statistics (2024).</w:t>
      </w:r>
    </w:p>
    <w:p w14:paraId="3C2638A6" w14:textId="5FEFC586" w:rsidR="00EC613C" w:rsidRPr="00AB3B90" w:rsidRDefault="00EC613C" w:rsidP="00EC613C">
      <w:r w:rsidRPr="00AB3B90">
        <w:t xml:space="preserve">As mentioned, without an accurate breakdown of non-staff expenditure data provided for jurisdictions that aligns with CPI categories, evidence </w:t>
      </w:r>
      <w:r w:rsidR="00931E0D" w:rsidRPr="00AB3B90">
        <w:t xml:space="preserve">of actual non-staff input prices </w:t>
      </w:r>
      <w:r w:rsidRPr="00AB3B90">
        <w:t xml:space="preserve">cannot be validated. However, the qualitative evidence set out by stakeholders during consultation summarised </w:t>
      </w:r>
      <w:r w:rsidR="000E5D4C" w:rsidRPr="00AB3B90">
        <w:t xml:space="preserve">earlier </w:t>
      </w:r>
      <w:r w:rsidRPr="00AB3B90">
        <w:t xml:space="preserve">confirms that price increases are being seen broadly throughout </w:t>
      </w:r>
      <w:r w:rsidR="00644957" w:rsidRPr="00AB3B90">
        <w:t>the school systems</w:t>
      </w:r>
      <w:r w:rsidRPr="00AB3B90">
        <w:t>.</w:t>
      </w:r>
    </w:p>
    <w:p w14:paraId="2B69F94A" w14:textId="3096782C" w:rsidR="00A951DA" w:rsidRDefault="00EC613C" w:rsidP="00EC613C">
      <w:r w:rsidRPr="00AB3B90">
        <w:t xml:space="preserve">Finally, this analysis, in conjunction with the movements in prices detailed </w:t>
      </w:r>
      <w:r w:rsidR="0044638D" w:rsidRPr="00AB3B90">
        <w:t>at ‘Other operating input prices over time’</w:t>
      </w:r>
      <w:r w:rsidRPr="00AB3B90">
        <w:t>, feeds into an analysis of the appropriateness of CPI to reflect the underlying non-staffing costs facing the education sector. This is discussed further in Part 6.</w:t>
      </w:r>
    </w:p>
    <w:p w14:paraId="178CEB41" w14:textId="77777777" w:rsidR="00A951DA" w:rsidRDefault="00A951DA">
      <w:pPr>
        <w:spacing w:before="0" w:after="160"/>
      </w:pPr>
      <w:r>
        <w:br w:type="page"/>
      </w:r>
    </w:p>
    <w:p w14:paraId="1756E976" w14:textId="77777777" w:rsidR="00B43E6E" w:rsidRPr="00AB3B90" w:rsidRDefault="00B43E6E" w:rsidP="00B43E6E">
      <w:pPr>
        <w:pStyle w:val="Heading2-Numbered"/>
      </w:pPr>
      <w:bookmarkStart w:id="109" w:name="_Toc162447824"/>
      <w:bookmarkStart w:id="110" w:name="_Toc162448759"/>
      <w:bookmarkStart w:id="111" w:name="_Toc163650443"/>
      <w:bookmarkEnd w:id="109"/>
      <w:bookmarkEnd w:id="110"/>
      <w:r w:rsidRPr="00AB3B90">
        <w:t>Drivers of WPI and CPI and their relevance to schooling</w:t>
      </w:r>
      <w:bookmarkEnd w:id="111"/>
    </w:p>
    <w:p w14:paraId="7C4716C6" w14:textId="77777777" w:rsidR="00B43E6E" w:rsidRPr="00AB3B90" w:rsidRDefault="00B43E6E" w:rsidP="00B43E6E">
      <w:r w:rsidRPr="00AB3B90">
        <w:t>Both WPI and CPI are affected by a range of drivers, not all of which are relevant to schooling inputs. This is an important distinction during the elevated inflationary environment Australia has experienced in recent years.</w:t>
      </w:r>
    </w:p>
    <w:p w14:paraId="4E41B200" w14:textId="77777777" w:rsidR="00B43E6E" w:rsidRPr="00AB3B90" w:rsidRDefault="00B43E6E" w:rsidP="00B43E6E">
      <w:r w:rsidRPr="00AB3B90">
        <w:t>CPI reflects price growth across a broad basket of consumer goods. Between 2021 and 2023, key drivers of CPI included:</w:t>
      </w:r>
    </w:p>
    <w:p w14:paraId="49567E72" w14:textId="6194AB71" w:rsidR="00B43E6E" w:rsidRPr="00AB3B90" w:rsidRDefault="2129D1E9" w:rsidP="00E37ADA">
      <w:pPr>
        <w:pStyle w:val="ListBullet"/>
      </w:pPr>
      <w:r w:rsidRPr="00AB3B90">
        <w:t>n</w:t>
      </w:r>
      <w:r w:rsidR="7967132F" w:rsidRPr="00AB3B90">
        <w:t>ew dwellings by owner-occupiers (with year-to price growth peaking in September 2022 at 20.7</w:t>
      </w:r>
      <w:bookmarkStart w:id="112" w:name="_Hlk159572599"/>
      <w:r w:rsidR="7967132F" w:rsidRPr="00AB3B90">
        <w:t> per cent</w:t>
      </w:r>
      <w:bookmarkEnd w:id="112"/>
      <w:r w:rsidR="7967132F" w:rsidRPr="00AB3B90">
        <w:t xml:space="preserve">, due to construction material and worker shortages through much of 2022) </w:t>
      </w:r>
    </w:p>
    <w:p w14:paraId="163DAA17" w14:textId="56E05988" w:rsidR="00B43E6E" w:rsidRPr="00AB3B90" w:rsidRDefault="2129D1E9" w:rsidP="00E37ADA">
      <w:pPr>
        <w:pStyle w:val="ListBullet"/>
      </w:pPr>
      <w:r w:rsidRPr="00AB3B90">
        <w:t>a</w:t>
      </w:r>
      <w:r w:rsidR="7967132F" w:rsidRPr="00AB3B90">
        <w:t xml:space="preserve">utomotive fuel (peaking in the March quarter of 2022 at 35.1 per cent during the onset of the Ukraine War) </w:t>
      </w:r>
    </w:p>
    <w:p w14:paraId="56B3038E" w14:textId="25FEB8F4" w:rsidR="00B43E6E" w:rsidRPr="00AB3B90" w:rsidRDefault="2129D1E9" w:rsidP="00E37ADA">
      <w:pPr>
        <w:pStyle w:val="ListBullet"/>
      </w:pPr>
      <w:r w:rsidRPr="00AB3B90">
        <w:t>u</w:t>
      </w:r>
      <w:r w:rsidR="7967132F" w:rsidRPr="00AB3B90">
        <w:t>tilities (peaking in the March quarter of 2023 at 14.9 per cent from global energy disruptions)</w:t>
      </w:r>
    </w:p>
    <w:p w14:paraId="2C9C3834" w14:textId="7B074CFA" w:rsidR="00B43E6E" w:rsidRPr="00AB3B90" w:rsidRDefault="2129D1E9" w:rsidP="00E37ADA">
      <w:pPr>
        <w:pStyle w:val="ListBullet"/>
      </w:pPr>
      <w:r w:rsidRPr="00AB3B90">
        <w:t>h</w:t>
      </w:r>
      <w:r w:rsidR="7967132F" w:rsidRPr="00AB3B90">
        <w:t>oliday travel and accommodation (peaking in the December quarter of 2022 at 17.2 per cent following the removal of border restrictions)</w:t>
      </w:r>
    </w:p>
    <w:p w14:paraId="0024DFA9" w14:textId="26C482E2" w:rsidR="00B43E6E" w:rsidRPr="00AB3B90" w:rsidRDefault="2129D1E9" w:rsidP="00E37ADA">
      <w:pPr>
        <w:pStyle w:val="ListBullet"/>
      </w:pPr>
      <w:r w:rsidRPr="00AB3B90">
        <w:t>r</w:t>
      </w:r>
      <w:r w:rsidR="7967132F" w:rsidRPr="00AB3B90">
        <w:t>ents (peaking in the September quarter of 2023 at 7.6 per cent following a surge in rental demand in 2023).</w:t>
      </w:r>
    </w:p>
    <w:p w14:paraId="21A515C9" w14:textId="7D07ED6F" w:rsidR="00B43E6E" w:rsidRPr="00AB3B90" w:rsidRDefault="00B43E6E" w:rsidP="00B43E6E">
      <w:r w:rsidRPr="00AB3B90">
        <w:t xml:space="preserve">As outlined previously, utilities are a key non-salary expense for schools (though the weighting of this is uncertain). Automotive fuel prices may also be relevant for schools with vehicles, but otherwise most of these key drivers of inflation were not relevant for schools. </w:t>
      </w:r>
      <w:r w:rsidR="00F46418" w:rsidRPr="00AB3B90">
        <w:t xml:space="preserve">The cost of construction materials and worker shortages are also relevant to </w:t>
      </w:r>
      <w:r w:rsidR="00B91D1C" w:rsidRPr="00AB3B90">
        <w:t>non-government</w:t>
      </w:r>
      <w:r w:rsidR="00F46418" w:rsidRPr="00AB3B90">
        <w:t xml:space="preserve"> schools who are responsible for their own capital infrastructure building and maintenance costs.</w:t>
      </w:r>
    </w:p>
    <w:p w14:paraId="42129EB9" w14:textId="194D0333" w:rsidR="00B43E6E" w:rsidRPr="00AB3B90" w:rsidRDefault="00B43E6E" w:rsidP="00B43E6E">
      <w:r w:rsidRPr="00AB3B90">
        <w:t xml:space="preserve">Strong wages growth has emerged since the COVID-19 pandemic due to high inflation and widespread worker shortages. Education and training </w:t>
      </w:r>
      <w:proofErr w:type="gramStart"/>
      <w:r w:rsidRPr="00AB3B90">
        <w:t>is</w:t>
      </w:r>
      <w:proofErr w:type="gramEnd"/>
      <w:r w:rsidRPr="00AB3B90">
        <w:t xml:space="preserve"> only one of the industries covered by the headline WPI measure, and has not been a key driver of overall wage price growth in recent years (as EBAs have not reacted as quickly to labour market pressures). Education and training WPI rose 2.3 per cent compared to overall WPI of 2.6 per cent in the year to June 2022, and similarly tracked below overall WPI in the year</w:t>
      </w:r>
      <w:r w:rsidR="0081757B" w:rsidRPr="00AB3B90">
        <w:t xml:space="preserve"> </w:t>
      </w:r>
      <w:r w:rsidRPr="00AB3B90">
        <w:t>to June</w:t>
      </w:r>
      <w:r w:rsidR="00ED50FA" w:rsidRPr="00AB3B90">
        <w:t> </w:t>
      </w:r>
      <w:r w:rsidRPr="00AB3B90">
        <w:t>2023 (3.2 per cent vs 3.6 per cent respectively).</w:t>
      </w:r>
    </w:p>
    <w:p w14:paraId="47E5E2BD" w14:textId="59FF4D1A" w:rsidR="00282C1B" w:rsidRPr="00AB3B90" w:rsidRDefault="00282C1B" w:rsidP="00282C1B">
      <w:r w:rsidRPr="00AB3B90">
        <w:t>Instead, sectors like construction (which outpaced overall WPI for mid-2022 to mid-2023, in response to significant sector worker shortages) were dominant. Going forward, Education and training may become larger contributors to overall WPI movements as EBAs are renegotiated to reflect higher overall WPI and persistently high inflation. Recently released December 2023 WPI data shows that the Education and training WPI is now 4.8 per cent, higher than overall WPI at 4.3 per cent.</w:t>
      </w:r>
    </w:p>
    <w:p w14:paraId="0992E798" w14:textId="3CC6AF67" w:rsidR="00282C1B" w:rsidRPr="00AB3B90" w:rsidRDefault="00282C1B" w:rsidP="00282C1B">
      <w:pPr>
        <w:spacing w:after="0"/>
      </w:pPr>
      <w:r w:rsidRPr="00AB3B90">
        <w:t xml:space="preserve">These factors, and their implications for the design of the composition and weighting of indexation arrangements for the SRS, are discussed further in </w:t>
      </w:r>
      <w:r w:rsidR="00AA7313" w:rsidRPr="00AB3B90">
        <w:t>Part</w:t>
      </w:r>
      <w:r w:rsidRPr="00AB3B90">
        <w:t xml:space="preserve"> 6 of this report. Most stakeholders noted that they were broadly satisfied with using headline CPI despite differences in drivers relative to schooling. This is discussed in more detail in </w:t>
      </w:r>
      <w:r w:rsidR="004E00E8" w:rsidRPr="00AB3B90">
        <w:t>Part</w:t>
      </w:r>
      <w:r w:rsidRPr="00AB3B90">
        <w:t> 6.</w:t>
      </w:r>
      <w:r w:rsidR="0016196E" w:rsidRPr="00AB3B90">
        <w:br/>
      </w:r>
    </w:p>
    <w:p w14:paraId="7BB79181" w14:textId="77777777" w:rsidR="00B43E6E" w:rsidRPr="00AB3B90" w:rsidRDefault="00B43E6E" w:rsidP="00B43E6E">
      <w:pPr>
        <w:pBdr>
          <w:top w:val="single" w:sz="4" w:space="1" w:color="auto"/>
          <w:left w:val="single" w:sz="4" w:space="4" w:color="auto"/>
          <w:bottom w:val="single" w:sz="4" w:space="1" w:color="auto"/>
          <w:right w:val="single" w:sz="4" w:space="4" w:color="auto"/>
        </w:pBdr>
        <w:spacing w:before="0" w:after="160"/>
        <w:rPr>
          <w:b/>
        </w:rPr>
      </w:pPr>
      <w:r w:rsidRPr="00AB3B90">
        <w:rPr>
          <w:b/>
        </w:rPr>
        <w:t>Finding 1</w:t>
      </w:r>
    </w:p>
    <w:p w14:paraId="4C560E6E" w14:textId="77777777" w:rsidR="00B43E6E" w:rsidRPr="00AB3B90" w:rsidRDefault="00B43E6E" w:rsidP="00B43E6E">
      <w:pPr>
        <w:pBdr>
          <w:top w:val="single" w:sz="4" w:space="1" w:color="auto"/>
          <w:left w:val="single" w:sz="4" w:space="4" w:color="auto"/>
          <w:bottom w:val="single" w:sz="4" w:space="1" w:color="auto"/>
          <w:right w:val="single" w:sz="4" w:space="4" w:color="auto"/>
        </w:pBdr>
        <w:spacing w:before="0" w:after="160"/>
      </w:pPr>
      <w:r w:rsidRPr="00AB3B90">
        <w:t xml:space="preserve">Current indexation arrangements are considered appropriate.  </w:t>
      </w:r>
    </w:p>
    <w:p w14:paraId="28DE1F90" w14:textId="77777777" w:rsidR="009F760F" w:rsidRPr="00AB3B90" w:rsidRDefault="009F760F">
      <w:pPr>
        <w:spacing w:before="0" w:after="160"/>
      </w:pPr>
      <w:r w:rsidRPr="00AB3B90">
        <w:br w:type="page"/>
      </w:r>
    </w:p>
    <w:p w14:paraId="6A36F682" w14:textId="55047211" w:rsidR="00733B16" w:rsidRPr="00AB3B90" w:rsidRDefault="0052317F" w:rsidP="0052317F">
      <w:pPr>
        <w:pStyle w:val="Heading1-Numbered"/>
        <w:ind w:left="1843" w:hanging="1843"/>
      </w:pPr>
      <w:bookmarkStart w:id="113" w:name="_Toc68190456"/>
      <w:bookmarkStart w:id="114" w:name="_Hlk68190613"/>
      <w:bookmarkStart w:id="115" w:name="_Toc163650444"/>
      <w:r w:rsidRPr="00AB3B90">
        <w:t>The suitability of the current SRS indexation floor</w:t>
      </w:r>
      <w:bookmarkEnd w:id="115"/>
      <w:r w:rsidRPr="00AB3B90">
        <w:t xml:space="preserve"> </w:t>
      </w:r>
    </w:p>
    <w:p w14:paraId="30212020" w14:textId="6508C4A0" w:rsidR="002C3F6E" w:rsidRPr="00AB3B90" w:rsidRDefault="00883CF8" w:rsidP="004D36EA">
      <w:pPr>
        <w:pStyle w:val="Heading2-Numbered"/>
      </w:pPr>
      <w:bookmarkStart w:id="116" w:name="_Toc163650445"/>
      <w:r w:rsidRPr="00AB3B90">
        <w:t>Overview</w:t>
      </w:r>
      <w:bookmarkEnd w:id="116"/>
    </w:p>
    <w:p w14:paraId="04006033" w14:textId="33171800" w:rsidR="00E67E4C" w:rsidRPr="00AB3B90" w:rsidRDefault="00627873" w:rsidP="00E67E4C">
      <w:r w:rsidRPr="00AB3B90">
        <w:t>Current</w:t>
      </w:r>
      <w:r w:rsidR="00E67E4C" w:rsidRPr="00AB3B90">
        <w:t xml:space="preserve"> indexation arrangements specify that a minimum indexation rate of 3</w:t>
      </w:r>
      <w:r w:rsidR="004F7B93" w:rsidRPr="00AB3B90">
        <w:t> </w:t>
      </w:r>
      <w:r w:rsidR="00E67E4C" w:rsidRPr="00AB3B90">
        <w:t>per</w:t>
      </w:r>
      <w:r w:rsidR="004F7B93" w:rsidRPr="00AB3B90">
        <w:t> </w:t>
      </w:r>
      <w:r w:rsidR="00E67E4C" w:rsidRPr="00AB3B90">
        <w:t>cent (an indexation floor) is applied if the calculated composite WPI/CPI measure is lower than 3</w:t>
      </w:r>
      <w:r w:rsidR="004F7B93" w:rsidRPr="00AB3B90">
        <w:t> </w:t>
      </w:r>
      <w:r w:rsidR="00E67E4C" w:rsidRPr="00AB3B90">
        <w:t>per</w:t>
      </w:r>
      <w:r w:rsidR="004F7B93" w:rsidRPr="00AB3B90">
        <w:t> </w:t>
      </w:r>
      <w:r w:rsidR="00E67E4C" w:rsidRPr="00AB3B90">
        <w:t xml:space="preserve">cent. </w:t>
      </w:r>
      <w:r w:rsidR="00C60E2D" w:rsidRPr="00AB3B90">
        <w:t>T</w:t>
      </w:r>
      <w:r w:rsidR="00E67E4C" w:rsidRPr="00AB3B90">
        <w:t xml:space="preserve">he </w:t>
      </w:r>
      <w:r w:rsidR="004F7B93" w:rsidRPr="00AB3B90">
        <w:t xml:space="preserve">Australian Government </w:t>
      </w:r>
      <w:r w:rsidR="00E67E4C" w:rsidRPr="00AB3B90">
        <w:t xml:space="preserve">Minister for Education may alternatively prescribe an indexation rate which takes precedence over the indexation floor, as was the case in 2019 and 2020 to facilitate the transition to current indexation arrangements. </w:t>
      </w:r>
    </w:p>
    <w:p w14:paraId="6DEC6A06" w14:textId="7E4FD41E" w:rsidR="00CA6EE3" w:rsidRPr="00AB3B90" w:rsidRDefault="00E67E4C" w:rsidP="00E67E4C">
      <w:r w:rsidRPr="00AB3B90">
        <w:rPr>
          <w:bCs/>
        </w:rPr>
        <w:t>One method for considering the suitability of the 3</w:t>
      </w:r>
      <w:r w:rsidR="004F7B93" w:rsidRPr="00AB3B90">
        <w:rPr>
          <w:bCs/>
        </w:rPr>
        <w:t> </w:t>
      </w:r>
      <w:r w:rsidRPr="00AB3B90">
        <w:rPr>
          <w:bCs/>
        </w:rPr>
        <w:t>per</w:t>
      </w:r>
      <w:r w:rsidR="004F7B93" w:rsidRPr="00AB3B90">
        <w:rPr>
          <w:bCs/>
        </w:rPr>
        <w:t> </w:t>
      </w:r>
      <w:r w:rsidRPr="00AB3B90">
        <w:rPr>
          <w:bCs/>
        </w:rPr>
        <w:t xml:space="preserve">cent floor, is by understanding how the index would have performed over time had it been in place prior to 2019. This is demonstrated in </w:t>
      </w:r>
      <w:r w:rsidR="008D5B6F" w:rsidRPr="00AB3B90">
        <w:rPr>
          <w:bCs/>
        </w:rPr>
        <w:fldChar w:fldCharType="begin"/>
      </w:r>
      <w:r w:rsidR="008D5B6F" w:rsidRPr="00AB3B90">
        <w:rPr>
          <w:bCs/>
        </w:rPr>
        <w:instrText xml:space="preserve"> REF _Ref160804525 \h </w:instrText>
      </w:r>
      <w:r w:rsidR="00065A8C" w:rsidRPr="00AB3B90">
        <w:rPr>
          <w:bCs/>
        </w:rPr>
        <w:instrText xml:space="preserve"> \* MERGEFORMAT </w:instrText>
      </w:r>
      <w:r w:rsidR="008D5B6F" w:rsidRPr="00AB3B90">
        <w:rPr>
          <w:bCs/>
        </w:rPr>
      </w:r>
      <w:r w:rsidR="008D5B6F" w:rsidRPr="00AB3B90">
        <w:rPr>
          <w:bCs/>
        </w:rPr>
        <w:fldChar w:fldCharType="separate"/>
      </w:r>
      <w:r w:rsidR="00FF6847" w:rsidRPr="00AB3B90">
        <w:t xml:space="preserve">Figure </w:t>
      </w:r>
      <w:r w:rsidR="00FF6847" w:rsidRPr="00AB3B90">
        <w:rPr>
          <w:noProof/>
        </w:rPr>
        <w:t>5</w:t>
      </w:r>
      <w:r w:rsidR="008D5B6F" w:rsidRPr="00AB3B90">
        <w:rPr>
          <w:bCs/>
        </w:rPr>
        <w:fldChar w:fldCharType="end"/>
      </w:r>
      <w:r w:rsidR="008D5B6F" w:rsidRPr="00AB3B90">
        <w:rPr>
          <w:bCs/>
        </w:rPr>
        <w:t xml:space="preserve"> </w:t>
      </w:r>
      <w:r w:rsidRPr="00AB3B90">
        <w:rPr>
          <w:bCs/>
        </w:rPr>
        <w:t>which considers the result of a hypothetical scenario where the indexation formula has been in place since 2002. Between 2002 and 2023, the SRS indexation formula would have returned a maximum escalation factor of 4.3</w:t>
      </w:r>
      <w:r w:rsidR="004F7B93" w:rsidRPr="00AB3B90">
        <w:rPr>
          <w:bCs/>
        </w:rPr>
        <w:t> </w:t>
      </w:r>
      <w:r w:rsidRPr="00AB3B90">
        <w:rPr>
          <w:bCs/>
        </w:rPr>
        <w:t>per</w:t>
      </w:r>
      <w:r w:rsidR="004F7B93" w:rsidRPr="00AB3B90">
        <w:rPr>
          <w:bCs/>
        </w:rPr>
        <w:t> </w:t>
      </w:r>
      <w:r w:rsidRPr="00AB3B90">
        <w:rPr>
          <w:bCs/>
        </w:rPr>
        <w:t>cent (in 2008) and a minimum of 1.2</w:t>
      </w:r>
      <w:r w:rsidR="004F7B93" w:rsidRPr="00AB3B90">
        <w:rPr>
          <w:bCs/>
        </w:rPr>
        <w:t> </w:t>
      </w:r>
      <w:r w:rsidRPr="00AB3B90">
        <w:rPr>
          <w:bCs/>
        </w:rPr>
        <w:t>per</w:t>
      </w:r>
      <w:r w:rsidR="004F7B93" w:rsidRPr="00AB3B90">
        <w:rPr>
          <w:bCs/>
        </w:rPr>
        <w:t> </w:t>
      </w:r>
      <w:r w:rsidRPr="00AB3B90">
        <w:rPr>
          <w:bCs/>
        </w:rPr>
        <w:t xml:space="preserve">cent (in 2020). </w:t>
      </w:r>
      <w:r w:rsidRPr="00AB3B90">
        <w:t>Notably, the result of the indexation formula would have been below the 3</w:t>
      </w:r>
      <w:r w:rsidR="001600B0" w:rsidRPr="00AB3B90">
        <w:t> </w:t>
      </w:r>
      <w:r w:rsidRPr="00AB3B90">
        <w:t>per</w:t>
      </w:r>
      <w:r w:rsidR="001600B0" w:rsidRPr="00AB3B90">
        <w:t> </w:t>
      </w:r>
      <w:r w:rsidRPr="00AB3B90">
        <w:t>cent floor for nine consecutive years between 2013 and 2021.</w:t>
      </w:r>
    </w:p>
    <w:p w14:paraId="6D989C50" w14:textId="0CF4E55F" w:rsidR="00CB2286" w:rsidRPr="00AB3B90" w:rsidRDefault="00CB2286" w:rsidP="0016196E">
      <w:pPr>
        <w:pStyle w:val="Caption"/>
      </w:pPr>
      <w:bookmarkStart w:id="117" w:name="_Ref160804525"/>
      <w:bookmarkStart w:id="118" w:name="_Toc163650466"/>
      <w:r w:rsidRPr="00AB3B90">
        <w:t xml:space="preserve">Figure </w:t>
      </w:r>
      <w:r w:rsidRPr="00AB3B90">
        <w:fldChar w:fldCharType="begin"/>
      </w:r>
      <w:r w:rsidRPr="00AB3B90">
        <w:instrText>SEQ Figure \* ARABIC</w:instrText>
      </w:r>
      <w:r w:rsidRPr="00AB3B90">
        <w:fldChar w:fldCharType="separate"/>
      </w:r>
      <w:r w:rsidR="00FF6847" w:rsidRPr="00AB3B90">
        <w:rPr>
          <w:noProof/>
        </w:rPr>
        <w:t>5</w:t>
      </w:r>
      <w:r w:rsidRPr="00AB3B90">
        <w:fldChar w:fldCharType="end"/>
      </w:r>
      <w:bookmarkEnd w:id="117"/>
      <w:r w:rsidRPr="00AB3B90">
        <w:t xml:space="preserve"> Result of indexation formula over the past two </w:t>
      </w:r>
      <w:proofErr w:type="gramStart"/>
      <w:r w:rsidRPr="00AB3B90">
        <w:t>decades</w:t>
      </w:r>
      <w:bookmarkEnd w:id="118"/>
      <w:proofErr w:type="gramEnd"/>
    </w:p>
    <w:p w14:paraId="53B57CFE" w14:textId="67D9A499" w:rsidR="00246FE3" w:rsidRPr="00246FE3" w:rsidRDefault="00246FE3" w:rsidP="00246FE3">
      <w:pPr>
        <w:spacing w:before="100" w:beforeAutospacing="1" w:after="100" w:afterAutospacing="1" w:line="240" w:lineRule="auto"/>
        <w:rPr>
          <w:rFonts w:ascii="Times New Roman" w:eastAsia="Times New Roman" w:hAnsi="Times New Roman" w:cs="Times New Roman"/>
          <w:sz w:val="24"/>
          <w:szCs w:val="24"/>
          <w:lang w:eastAsia="en-AU"/>
        </w:rPr>
      </w:pPr>
      <w:r w:rsidRPr="00246FE3">
        <w:rPr>
          <w:rFonts w:ascii="Times New Roman" w:eastAsia="Times New Roman" w:hAnsi="Times New Roman" w:cs="Times New Roman"/>
          <w:noProof/>
          <w:sz w:val="24"/>
          <w:szCs w:val="24"/>
          <w:lang w:eastAsia="en-AU"/>
        </w:rPr>
        <w:drawing>
          <wp:inline distT="0" distB="0" distL="0" distR="0" wp14:anchorId="1A80A137" wp14:editId="0E88733A">
            <wp:extent cx="5731510" cy="2425065"/>
            <wp:effectExtent l="0" t="0" r="2540" b="0"/>
            <wp:docPr id="1005685577" name="Picture 18" descr="Figure 5 is a line chart depicting the results of indexation formula over the past two decades,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85577" name="Picture 18" descr="Figure 5 is a line chart depicting the results of indexation formula over the past two decades, as described in the text abov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2425065"/>
                    </a:xfrm>
                    <a:prstGeom prst="rect">
                      <a:avLst/>
                    </a:prstGeom>
                    <a:noFill/>
                    <a:ln>
                      <a:noFill/>
                    </a:ln>
                  </pic:spPr>
                </pic:pic>
              </a:graphicData>
            </a:graphic>
          </wp:inline>
        </w:drawing>
      </w:r>
    </w:p>
    <w:p w14:paraId="0C8713F9" w14:textId="77777777" w:rsidR="007F0FD9" w:rsidRDefault="005603CD" w:rsidP="005603CD">
      <w:pPr>
        <w:pStyle w:val="Source"/>
      </w:pPr>
      <w:r w:rsidRPr="00AB3B90">
        <w:t>Note: This chart shows the hypothetical application of the SRS indexation formula from 2002. The result of the indexation formula (the solid blue line) is the prescribed weighted average of the CPI and WPI. The forecast (shown as a dashed blue line) is sourced from the Australian Government Department of Education and is based on the CPI and WPI forecasts contained in the 2023-24 Mid-Year Economic and Fiscal Outlook. The effect of the floor is calculated based on the cumulative result of the indexation formula including the use of the 3</w:t>
      </w:r>
      <w:r w:rsidR="002E544E" w:rsidRPr="00AB3B90">
        <w:t> </w:t>
      </w:r>
      <w:r w:rsidRPr="00AB3B90">
        <w:t>per</w:t>
      </w:r>
      <w:r w:rsidR="002E544E" w:rsidRPr="00AB3B90">
        <w:t> </w:t>
      </w:r>
      <w:r w:rsidRPr="00AB3B90">
        <w:t>cent floor, compared to a scenario where the floor does not apply. Note that 2002 was chosen for illustrative purposes only, and any earlier would include impacts of the introduction of GST.</w:t>
      </w:r>
    </w:p>
    <w:p w14:paraId="75B12D76" w14:textId="77582B6E" w:rsidR="00AE316F" w:rsidRPr="00AB3B90" w:rsidRDefault="005603CD" w:rsidP="005603CD">
      <w:pPr>
        <w:pStyle w:val="Source"/>
      </w:pPr>
      <w:r w:rsidRPr="00AB3B90">
        <w:t xml:space="preserve">Source: Deloitte Access Economics (2024) and Australian Government Department of Education (2023). </w:t>
      </w:r>
    </w:p>
    <w:p w14:paraId="4144EBC2" w14:textId="6BC1C6C9" w:rsidR="005603CD" w:rsidRPr="00AB3B90" w:rsidRDefault="00E87059" w:rsidP="00E87059">
      <w:bookmarkStart w:id="119" w:name="_Hlk70256775"/>
      <w:r w:rsidRPr="00AB3B90">
        <w:t>The suitability of the indexation floor depends on the rationale for the floor and how that compares with the objectives of indexation itself. These considerations are discussed in the sections below.</w:t>
      </w:r>
    </w:p>
    <w:p w14:paraId="25BE0DB5" w14:textId="63131293" w:rsidR="005603CD" w:rsidRPr="00AB3B90" w:rsidRDefault="000C430A" w:rsidP="00C84959">
      <w:pPr>
        <w:pStyle w:val="Heading2-Numbered"/>
      </w:pPr>
      <w:bookmarkStart w:id="120" w:name="_Toc163650446"/>
      <w:r w:rsidRPr="00AB3B90">
        <w:t>Rationale for an indexation floor</w:t>
      </w:r>
      <w:bookmarkEnd w:id="120"/>
    </w:p>
    <w:p w14:paraId="50F10CCA" w14:textId="567F98C8" w:rsidR="0089119D" w:rsidRPr="00AB3B90" w:rsidRDefault="0089119D" w:rsidP="0089119D">
      <w:r w:rsidRPr="00AB3B90">
        <w:t xml:space="preserve">While the rationale for the floor is not clearly stated in government policy, one key rationale may be to protect the system from transitory variability in inflation and provide a level of funding certainty. </w:t>
      </w:r>
      <w:proofErr w:type="gramStart"/>
      <w:r w:rsidRPr="00AB3B90">
        <w:t>In particular, this</w:t>
      </w:r>
      <w:proofErr w:type="gramEnd"/>
      <w:r w:rsidRPr="00AB3B90">
        <w:t xml:space="preserve"> may relate to protecting the system from deflation (that is, a decrease in nominal funding). This primary purpose was generally supported by stakeholders consulted as part of this </w:t>
      </w:r>
      <w:r w:rsidR="00555861" w:rsidRPr="00AB3B90">
        <w:t>r</w:t>
      </w:r>
      <w:r w:rsidRPr="00AB3B90">
        <w:t xml:space="preserve">eview. </w:t>
      </w:r>
    </w:p>
    <w:p w14:paraId="082BF40A" w14:textId="18DD060C" w:rsidR="005603CD" w:rsidRPr="00AB3B90" w:rsidRDefault="00077E11" w:rsidP="009F66CD">
      <w:pPr>
        <w:pStyle w:val="Heading3"/>
      </w:pPr>
      <w:r w:rsidRPr="00AB3B90">
        <w:t>Funding certainty</w:t>
      </w:r>
    </w:p>
    <w:p w14:paraId="029F05B4" w14:textId="35C6B68A" w:rsidR="00884F5A" w:rsidRPr="00AB3B90" w:rsidRDefault="00884F5A" w:rsidP="00884F5A">
      <w:pPr>
        <w:rPr>
          <w:bCs/>
        </w:rPr>
      </w:pPr>
      <w:r w:rsidRPr="00AB3B90">
        <w:rPr>
          <w:bCs/>
        </w:rPr>
        <w:t>The current SRS indexation floor of 3</w:t>
      </w:r>
      <w:r w:rsidR="001A6173" w:rsidRPr="00AB3B90">
        <w:rPr>
          <w:bCs/>
        </w:rPr>
        <w:t> </w:t>
      </w:r>
      <w:r w:rsidRPr="00AB3B90">
        <w:rPr>
          <w:bCs/>
        </w:rPr>
        <w:t>per</w:t>
      </w:r>
      <w:r w:rsidR="001A6173" w:rsidRPr="00AB3B90">
        <w:rPr>
          <w:bCs/>
        </w:rPr>
        <w:t> </w:t>
      </w:r>
      <w:r w:rsidRPr="00AB3B90">
        <w:rPr>
          <w:bCs/>
        </w:rPr>
        <w:t>cent provides certainty to systems and schools about the minimum increase via indexation. From 2013 to 2021, which can be characterised as a relatively low inflationary environment, the composite WPI/CPI measure averaged 2.1</w:t>
      </w:r>
      <w:r w:rsidR="00EF14BF" w:rsidRPr="00AB3B90">
        <w:rPr>
          <w:bCs/>
        </w:rPr>
        <w:t> </w:t>
      </w:r>
      <w:r w:rsidRPr="00AB3B90">
        <w:rPr>
          <w:bCs/>
        </w:rPr>
        <w:t>per</w:t>
      </w:r>
      <w:r w:rsidR="00EF14BF" w:rsidRPr="00AB3B90">
        <w:rPr>
          <w:bCs/>
        </w:rPr>
        <w:t> </w:t>
      </w:r>
      <w:r w:rsidRPr="00AB3B90">
        <w:rPr>
          <w:bCs/>
        </w:rPr>
        <w:t>cent (ranging from 1.2</w:t>
      </w:r>
      <w:r w:rsidR="001A6173" w:rsidRPr="00AB3B90">
        <w:rPr>
          <w:bCs/>
        </w:rPr>
        <w:t> </w:t>
      </w:r>
      <w:r w:rsidRPr="00AB3B90">
        <w:rPr>
          <w:bCs/>
        </w:rPr>
        <w:t>per</w:t>
      </w:r>
      <w:r w:rsidR="001A6173" w:rsidRPr="00AB3B90">
        <w:rPr>
          <w:bCs/>
        </w:rPr>
        <w:t> </w:t>
      </w:r>
      <w:r w:rsidRPr="00AB3B90">
        <w:rPr>
          <w:bCs/>
        </w:rPr>
        <w:t>cent in 2020 to 2.8</w:t>
      </w:r>
      <w:r w:rsidR="001A6173" w:rsidRPr="00AB3B90">
        <w:rPr>
          <w:bCs/>
        </w:rPr>
        <w:t> </w:t>
      </w:r>
      <w:r w:rsidRPr="00AB3B90">
        <w:rPr>
          <w:bCs/>
        </w:rPr>
        <w:t>per</w:t>
      </w:r>
      <w:r w:rsidR="001A6173" w:rsidRPr="00AB3B90">
        <w:rPr>
          <w:bCs/>
        </w:rPr>
        <w:t> </w:t>
      </w:r>
      <w:r w:rsidRPr="00AB3B90">
        <w:rPr>
          <w:bCs/>
        </w:rPr>
        <w:t>cent in 2013). Despite the spread of composite measure results, indexation would have been set to 3</w:t>
      </w:r>
      <w:r w:rsidR="001A6173" w:rsidRPr="00AB3B90">
        <w:rPr>
          <w:bCs/>
        </w:rPr>
        <w:t> </w:t>
      </w:r>
      <w:r w:rsidRPr="00AB3B90">
        <w:rPr>
          <w:bCs/>
        </w:rPr>
        <w:t>per</w:t>
      </w:r>
      <w:r w:rsidR="001A6173" w:rsidRPr="00AB3B90">
        <w:rPr>
          <w:bCs/>
        </w:rPr>
        <w:t> </w:t>
      </w:r>
      <w:r w:rsidRPr="00AB3B90">
        <w:rPr>
          <w:bCs/>
        </w:rPr>
        <w:t xml:space="preserve">cent because of the indexation floor, providing certainty around the SRS increase. </w:t>
      </w:r>
    </w:p>
    <w:p w14:paraId="29AA7EEB" w14:textId="0C613A22" w:rsidR="00884F5A" w:rsidRPr="00AB3B90" w:rsidRDefault="00884F5A" w:rsidP="00884F5A">
      <w:r w:rsidRPr="00AB3B90">
        <w:t>Stakeholders broadly agree</w:t>
      </w:r>
      <w:r w:rsidR="00C61B89" w:rsidRPr="00AB3B90">
        <w:t>d</w:t>
      </w:r>
      <w:r w:rsidRPr="00AB3B90">
        <w:t xml:space="preserve"> that the use of a floor is an appropriate feature of indexation. The certainty and stability provided by the floor is seen as largely positive by stakeholders, including playing an important role in supporting budget planning at a school and system level.</w:t>
      </w:r>
    </w:p>
    <w:p w14:paraId="0CD3BD84" w14:textId="77777777" w:rsidR="00884F5A" w:rsidRPr="00AB3B90" w:rsidRDefault="00884F5A" w:rsidP="00884F5A">
      <w:r w:rsidRPr="00AB3B90">
        <w:t>Common themes observed through written submissions and consultations were:</w:t>
      </w:r>
    </w:p>
    <w:p w14:paraId="321A27A7" w14:textId="4A1C6328" w:rsidR="001600B0" w:rsidRPr="0041629C" w:rsidRDefault="6DC1B699" w:rsidP="0041629C">
      <w:pPr>
        <w:pStyle w:val="ListBullet"/>
      </w:pPr>
      <w:r w:rsidRPr="0041629C">
        <w:t>The floor is effective in protecting against potentially low indexation years and supports jurisdictions in adjusting to significant policy changes and economic volatility (such as COVID-19, and its impacts on the composition of schooling inputs).</w:t>
      </w:r>
    </w:p>
    <w:p w14:paraId="08E87AAD" w14:textId="6A2EBDC6" w:rsidR="001600B0" w:rsidRPr="0041629C" w:rsidRDefault="6DC1B699" w:rsidP="0041629C">
      <w:pPr>
        <w:pStyle w:val="ListBullet"/>
      </w:pPr>
      <w:r w:rsidRPr="0041629C">
        <w:t>Confirmation of the floor’s usefulness as a planning tool in absence of knowing the final indexation rate, with one stakeholder noting it is used as a starting point for budgetary planning with required adjustments from the level of the floor made later in the year.</w:t>
      </w:r>
    </w:p>
    <w:p w14:paraId="59B6F4CB" w14:textId="7E0C8AD4" w:rsidR="001600B0" w:rsidRPr="0041629C" w:rsidRDefault="6DC1B699" w:rsidP="0041629C">
      <w:pPr>
        <w:pStyle w:val="ListBullet"/>
      </w:pPr>
      <w:r w:rsidRPr="0041629C">
        <w:t xml:space="preserve">From a non-government </w:t>
      </w:r>
      <w:proofErr w:type="gramStart"/>
      <w:r w:rsidRPr="0041629C">
        <w:t>schools</w:t>
      </w:r>
      <w:proofErr w:type="gramEnd"/>
      <w:r w:rsidRPr="0041629C">
        <w:t xml:space="preserve"> perspective, it was emphasised that the floor provides necessary protection against certain costs that impact independent schools more than government schools, such as higher insurance premiums following the Royal Commission into Institutionalised Child Abuse (as discussed in </w:t>
      </w:r>
      <w:r w:rsidR="5AEF6AD5" w:rsidRPr="0041629C">
        <w:t>Part 4</w:t>
      </w:r>
      <w:r w:rsidRPr="0041629C">
        <w:t>).</w:t>
      </w:r>
    </w:p>
    <w:p w14:paraId="73586B84" w14:textId="42C61AFD" w:rsidR="005603CD" w:rsidRPr="00AB3B90" w:rsidRDefault="00A646C8" w:rsidP="009F66CD">
      <w:pPr>
        <w:pStyle w:val="Heading3"/>
      </w:pPr>
      <w:r w:rsidRPr="00AB3B90">
        <w:t>Funding accuracy and the risks of over-compensation for price increases</w:t>
      </w:r>
    </w:p>
    <w:p w14:paraId="63E6D167" w14:textId="303D5D28" w:rsidR="009979C2" w:rsidRPr="00AB3B90" w:rsidRDefault="009979C2" w:rsidP="009979C2">
      <w:r w:rsidRPr="00AB3B90">
        <w:t xml:space="preserve">Notwithstanding the benefits outlined above, there is a trade-off between certainty and </w:t>
      </w:r>
      <w:r w:rsidR="00966E39" w:rsidRPr="00AB3B90">
        <w:t>contempo</w:t>
      </w:r>
      <w:r w:rsidR="0019120D" w:rsidRPr="00AB3B90">
        <w:t>raneity</w:t>
      </w:r>
      <w:r w:rsidRPr="00AB3B90">
        <w:t xml:space="preserve">. By stipulating an indexation floor, indexation cannot as accurately respond to price changes. By definition, a floor will be engaged in relatively low inflationary environments. This can mean that, over time, indexation will increase SRS by more than required to maintain purchasing power, which is the primary objective of indexation. This is not costless to the schooling sector, as real increases in the purchasing power of systems and schools have the potential to put further pressure on the teacher workforce through an increase in workforce demand, where there is already a lack of sufficient supply and salaries are set by government across schooling systems. To the extent that staffing shortages are experienced disproportionally by disadvantaged schools and systems, this can contribute towards inequitable outcomes for students. </w:t>
      </w:r>
    </w:p>
    <w:p w14:paraId="469FDCCA" w14:textId="470FE397" w:rsidR="001600B0" w:rsidRPr="00AB3B90" w:rsidRDefault="001600B0">
      <w:pPr>
        <w:spacing w:before="0" w:after="160"/>
      </w:pPr>
      <w:r w:rsidRPr="00AB3B90">
        <w:br w:type="page"/>
      </w:r>
    </w:p>
    <w:p w14:paraId="442FC4D3" w14:textId="169EC403" w:rsidR="001600B0" w:rsidRPr="00AB3B90" w:rsidRDefault="001600B0" w:rsidP="001600B0">
      <w:r w:rsidRPr="00AB3B90">
        <w:t xml:space="preserve">The possibility of addressing extra funding, or ‘overcompensation’, provided in some years by an indexation floor was also raised by one stakeholder. </w:t>
      </w:r>
      <w:r w:rsidR="005624CA" w:rsidRPr="00AB3B90">
        <w:t>It was</w:t>
      </w:r>
      <w:r w:rsidRPr="00AB3B90">
        <w:t xml:space="preserve"> suggested that that in years where the floor is engaged where indexation would have otherwise been, for example, 2 per cent, the 1 per cent of additional indexation should be offset (subtracted from the future year(s) funding targets). Whil</w:t>
      </w:r>
      <w:r w:rsidR="008A343A" w:rsidRPr="00AB3B90">
        <w:t>e</w:t>
      </w:r>
      <w:r w:rsidRPr="00AB3B90">
        <w:t xml:space="preserve"> the Board acknowledges this may be a desirable mechanism for jurisdictions to meet SRS funding targets</w:t>
      </w:r>
      <w:r w:rsidR="008A343A" w:rsidRPr="00AB3B90">
        <w:t xml:space="preserve"> more easily</w:t>
      </w:r>
      <w:r w:rsidR="00F60E4F" w:rsidRPr="00AB3B90">
        <w:t xml:space="preserve"> and would more accurately reflect the intent of the indexation floor</w:t>
      </w:r>
      <w:r w:rsidRPr="00AB3B90">
        <w:t xml:space="preserve">, it would be complex to implement in practice. </w:t>
      </w:r>
    </w:p>
    <w:p w14:paraId="6EC01363" w14:textId="0EADE3A4" w:rsidR="009979C2" w:rsidRPr="00AB3B90" w:rsidRDefault="009979C2" w:rsidP="009979C2">
      <w:r w:rsidRPr="00AB3B90">
        <w:t xml:space="preserve">Importantly, when questioning the rationale for a floor and the conditions under which it is engaged it is important to note that </w:t>
      </w:r>
      <w:r w:rsidR="004C5E6A" w:rsidRPr="00AB3B90">
        <w:t xml:space="preserve">Australian Government </w:t>
      </w:r>
      <w:r w:rsidRPr="00AB3B90">
        <w:t xml:space="preserve">Ministerial discretion of the indexation rate is maintained as a policy feature. In any given year, the </w:t>
      </w:r>
      <w:r w:rsidR="004C5E6A" w:rsidRPr="00AB3B90">
        <w:t xml:space="preserve">Australian Government </w:t>
      </w:r>
      <w:r w:rsidRPr="00AB3B90">
        <w:t xml:space="preserve">Minister maintains the ability to set an indexation rate that aims to maintain the purchasing power of the SRS if the composite index is seen to under-provide against policy-related wage shocks, for example. </w:t>
      </w:r>
      <w:r w:rsidR="00351460" w:rsidRPr="00AB3B90">
        <w:t>While</w:t>
      </w:r>
      <w:r w:rsidRPr="00AB3B90">
        <w:t xml:space="preserve"> this strays from the intended ‘policy independence’ of indexation, it </w:t>
      </w:r>
      <w:r w:rsidR="00351460" w:rsidRPr="00AB3B90">
        <w:t>could be</w:t>
      </w:r>
      <w:r w:rsidRPr="00AB3B90">
        <w:t xml:space="preserve"> an available fall-back measure if required.</w:t>
      </w:r>
    </w:p>
    <w:p w14:paraId="10038140" w14:textId="602BCD92" w:rsidR="00351460" w:rsidRPr="00AB3B90" w:rsidRDefault="00F15130" w:rsidP="009F66CD">
      <w:pPr>
        <w:pStyle w:val="Heading3"/>
      </w:pPr>
      <w:r w:rsidRPr="00AB3B90">
        <w:t>Future inflation</w:t>
      </w:r>
    </w:p>
    <w:p w14:paraId="4C736A04" w14:textId="4FEE572F" w:rsidR="007E6ECF" w:rsidRPr="00AB3B90" w:rsidRDefault="00AC44D9" w:rsidP="007E6ECF">
      <w:r w:rsidRPr="00AB3B90">
        <w:t>The</w:t>
      </w:r>
      <w:r w:rsidR="007E6ECF" w:rsidRPr="00AB3B90">
        <w:t xml:space="preserve"> inflationary environment </w:t>
      </w:r>
      <w:r w:rsidRPr="00AB3B90">
        <w:t xml:space="preserve">has </w:t>
      </w:r>
      <w:r w:rsidR="007E6ECF" w:rsidRPr="00AB3B90">
        <w:t>change</w:t>
      </w:r>
      <w:r w:rsidR="003C193B" w:rsidRPr="00AB3B90">
        <w:t>d</w:t>
      </w:r>
      <w:r w:rsidR="007E6ECF" w:rsidRPr="00AB3B90">
        <w:t xml:space="preserve"> substantially</w:t>
      </w:r>
      <w:r w:rsidRPr="00AB3B90">
        <w:t xml:space="preserve"> in the past two years</w:t>
      </w:r>
      <w:r w:rsidR="007E6ECF" w:rsidRPr="00AB3B90">
        <w:t xml:space="preserve">. Both annual WPI and CPI growth have peaked in the recent past, </w:t>
      </w:r>
      <w:r w:rsidRPr="00AB3B90">
        <w:t>meaning</w:t>
      </w:r>
      <w:r w:rsidR="007E6ECF" w:rsidRPr="00AB3B90">
        <w:t xml:space="preserve"> that the indexation floor was not engaged in 2022 and 2023</w:t>
      </w:r>
      <w:r w:rsidR="00BF2CE9" w:rsidRPr="00AB3B90">
        <w:t>. Instead, the</w:t>
      </w:r>
      <w:r w:rsidR="007E6ECF" w:rsidRPr="00AB3B90">
        <w:t xml:space="preserve"> WPI/CPI composite measure </w:t>
      </w:r>
      <w:r w:rsidR="00BF2CE9" w:rsidRPr="00AB3B90">
        <w:t xml:space="preserve">was </w:t>
      </w:r>
      <w:r w:rsidR="007E6ECF" w:rsidRPr="00AB3B90">
        <w:t>used</w:t>
      </w:r>
      <w:r w:rsidR="00BF2CE9" w:rsidRPr="00AB3B90">
        <w:t xml:space="preserve"> </w:t>
      </w:r>
      <w:r w:rsidR="007E6ECF" w:rsidRPr="00AB3B90">
        <w:t>(3.5</w:t>
      </w:r>
      <w:r w:rsidR="00771B89" w:rsidRPr="00AB3B90">
        <w:t> </w:t>
      </w:r>
      <w:r w:rsidR="007E6ECF" w:rsidRPr="00AB3B90">
        <w:t>per</w:t>
      </w:r>
      <w:r w:rsidR="00771B89" w:rsidRPr="00AB3B90">
        <w:t> </w:t>
      </w:r>
      <w:r w:rsidR="007E6ECF" w:rsidRPr="00AB3B90">
        <w:t>cent and 4.2</w:t>
      </w:r>
      <w:r w:rsidR="00771B89" w:rsidRPr="00AB3B90">
        <w:t> </w:t>
      </w:r>
      <w:r w:rsidR="007E6ECF" w:rsidRPr="00AB3B90">
        <w:t>per</w:t>
      </w:r>
      <w:r w:rsidR="00771B89" w:rsidRPr="00AB3B90">
        <w:t> </w:t>
      </w:r>
      <w:r w:rsidR="007E6ECF" w:rsidRPr="00AB3B90">
        <w:t xml:space="preserve">cent for the respective years). </w:t>
      </w:r>
    </w:p>
    <w:p w14:paraId="02B6F6A5" w14:textId="3D2B9CF3" w:rsidR="009F66CD" w:rsidRDefault="293AC72B" w:rsidP="007E6ECF">
      <w:r w:rsidRPr="00AB3B90">
        <w:t>The Board</w:t>
      </w:r>
      <w:r w:rsidR="4F5BECA5" w:rsidRPr="00AB3B90">
        <w:t xml:space="preserve"> </w:t>
      </w:r>
      <w:r w:rsidR="618DA0B2" w:rsidRPr="00AB3B90">
        <w:t xml:space="preserve">heard from Deloitte </w:t>
      </w:r>
      <w:r w:rsidR="009F66CD">
        <w:t>Access Economics</w:t>
      </w:r>
      <w:r w:rsidR="4F5BECA5" w:rsidRPr="00AB3B90">
        <w:t xml:space="preserve"> that </w:t>
      </w:r>
      <w:r w:rsidR="060FEE0D" w:rsidRPr="00AB3B90">
        <w:t xml:space="preserve">growth in the CPI </w:t>
      </w:r>
      <w:r w:rsidR="2D814311" w:rsidRPr="00AB3B90">
        <w:t>will</w:t>
      </w:r>
      <w:r w:rsidR="060FEE0D" w:rsidRPr="00AB3B90">
        <w:t xml:space="preserve"> continue to slow from its peak in late 2022, reaching the upper limit of the </w:t>
      </w:r>
      <w:r w:rsidR="27CEEC92" w:rsidRPr="00AB3B90">
        <w:t>RBA</w:t>
      </w:r>
      <w:r w:rsidR="3D2D23E6" w:rsidRPr="00AB3B90">
        <w:t>’s</w:t>
      </w:r>
      <w:r w:rsidR="060FEE0D" w:rsidRPr="00AB3B90">
        <w:t xml:space="preserve"> target band of 2-3</w:t>
      </w:r>
      <w:r w:rsidR="04DD8FBE" w:rsidRPr="00AB3B90">
        <w:t> </w:t>
      </w:r>
      <w:r w:rsidR="060FEE0D" w:rsidRPr="00AB3B90">
        <w:t>per</w:t>
      </w:r>
      <w:r w:rsidR="04DD8FBE" w:rsidRPr="00AB3B90">
        <w:t> </w:t>
      </w:r>
      <w:r w:rsidR="060FEE0D" w:rsidRPr="00AB3B90">
        <w:t>cent in 2025. CPI is expected to slow further reaching 2.3</w:t>
      </w:r>
      <w:r w:rsidR="04DD8FBE" w:rsidRPr="00AB3B90">
        <w:t> </w:t>
      </w:r>
      <w:r w:rsidR="060FEE0D" w:rsidRPr="00AB3B90">
        <w:t>per</w:t>
      </w:r>
      <w:r w:rsidR="04DD8FBE" w:rsidRPr="00AB3B90">
        <w:t> </w:t>
      </w:r>
      <w:r w:rsidR="060FEE0D" w:rsidRPr="00AB3B90">
        <w:t>cent in mid-2030, and stabilising at an average of 2.5</w:t>
      </w:r>
      <w:r w:rsidR="04DD8FBE" w:rsidRPr="00AB3B90">
        <w:t> </w:t>
      </w:r>
      <w:r w:rsidR="060FEE0D" w:rsidRPr="00AB3B90">
        <w:t>per</w:t>
      </w:r>
      <w:r w:rsidR="04DD8FBE" w:rsidRPr="00AB3B90">
        <w:t> </w:t>
      </w:r>
      <w:r w:rsidR="060FEE0D" w:rsidRPr="00AB3B90">
        <w:t>cent in the long term. Growth in the WPI, which lags CPI growth as it is reactive to changes in cost of living, is expected to increase in the short term and peak at 4.1</w:t>
      </w:r>
      <w:r w:rsidR="04DD8FBE" w:rsidRPr="00AB3B90">
        <w:t> </w:t>
      </w:r>
      <w:r w:rsidR="060FEE0D" w:rsidRPr="00AB3B90">
        <w:t>per</w:t>
      </w:r>
      <w:r w:rsidR="04DD8FBE" w:rsidRPr="00AB3B90">
        <w:t> </w:t>
      </w:r>
      <w:r w:rsidR="060FEE0D" w:rsidRPr="00AB3B90">
        <w:t>cent in mid-2024, before slowing. WPI is expected to be relatively stable at 3.1</w:t>
      </w:r>
      <w:r w:rsidR="04DD8FBE" w:rsidRPr="00AB3B90">
        <w:t> </w:t>
      </w:r>
      <w:r w:rsidR="060FEE0D" w:rsidRPr="00AB3B90">
        <w:t>per</w:t>
      </w:r>
      <w:r w:rsidR="04DD8FBE" w:rsidRPr="00AB3B90">
        <w:t> </w:t>
      </w:r>
      <w:r w:rsidR="060FEE0D" w:rsidRPr="00AB3B90">
        <w:t>cent between mid-2025 and mid-2030 (</w:t>
      </w:r>
      <w:r w:rsidR="00E9076E" w:rsidRPr="00AB3B90">
        <w:fldChar w:fldCharType="begin"/>
      </w:r>
      <w:r w:rsidR="00E9076E" w:rsidRPr="00AB3B90">
        <w:instrText xml:space="preserve"> REF _Ref160805504 \h  \* MERGEFORMAT </w:instrText>
      </w:r>
      <w:r w:rsidR="00E9076E" w:rsidRPr="00AB3B90">
        <w:fldChar w:fldCharType="separate"/>
      </w:r>
      <w:r w:rsidR="7060B193" w:rsidRPr="00AB3B90">
        <w:t xml:space="preserve">Figure </w:t>
      </w:r>
      <w:r w:rsidR="7060B193" w:rsidRPr="00AB3B90">
        <w:rPr>
          <w:noProof/>
        </w:rPr>
        <w:t>6</w:t>
      </w:r>
      <w:r w:rsidR="00E9076E" w:rsidRPr="00AB3B90">
        <w:fldChar w:fldCharType="end"/>
      </w:r>
      <w:r w:rsidR="060FEE0D" w:rsidRPr="00AB3B90">
        <w:t xml:space="preserve">). </w:t>
      </w:r>
    </w:p>
    <w:p w14:paraId="4C6FA4D8" w14:textId="77777777" w:rsidR="009F66CD" w:rsidRDefault="009F66CD">
      <w:pPr>
        <w:spacing w:before="0" w:after="160"/>
      </w:pPr>
      <w:r>
        <w:br w:type="page"/>
      </w:r>
    </w:p>
    <w:p w14:paraId="07957285" w14:textId="52A92A0A" w:rsidR="00AA1A57" w:rsidRPr="00AB3B90" w:rsidRDefault="00AA1A57" w:rsidP="00AA1A57">
      <w:pPr>
        <w:pStyle w:val="Caption"/>
        <w:keepNext/>
      </w:pPr>
      <w:bookmarkStart w:id="121" w:name="_Ref160805504"/>
      <w:bookmarkStart w:id="122" w:name="_Ref161303976"/>
      <w:bookmarkStart w:id="123" w:name="_Toc163650467"/>
      <w:r w:rsidRPr="00AB3B90">
        <w:t xml:space="preserve">Figure </w:t>
      </w:r>
      <w:r w:rsidRPr="00AB3B90">
        <w:fldChar w:fldCharType="begin"/>
      </w:r>
      <w:r w:rsidRPr="00AB3B90">
        <w:instrText>SEQ Figure \* ARABIC</w:instrText>
      </w:r>
      <w:r w:rsidRPr="00AB3B90">
        <w:fldChar w:fldCharType="separate"/>
      </w:r>
      <w:r w:rsidR="00FF6847" w:rsidRPr="00AB3B90">
        <w:rPr>
          <w:noProof/>
        </w:rPr>
        <w:t>6</w:t>
      </w:r>
      <w:r w:rsidRPr="00AB3B90">
        <w:fldChar w:fldCharType="end"/>
      </w:r>
      <w:bookmarkEnd w:id="121"/>
      <w:r w:rsidRPr="00AB3B90">
        <w:t xml:space="preserve"> WPI and CPI </w:t>
      </w:r>
      <w:proofErr w:type="gramStart"/>
      <w:r w:rsidRPr="00AB3B90">
        <w:t>forecasts</w:t>
      </w:r>
      <w:bookmarkEnd w:id="122"/>
      <w:bookmarkEnd w:id="123"/>
      <w:proofErr w:type="gramEnd"/>
    </w:p>
    <w:p w14:paraId="4B93C996" w14:textId="4203A07C" w:rsidR="00781DAF" w:rsidRPr="00781DAF" w:rsidRDefault="00781DAF" w:rsidP="00781DAF">
      <w:pPr>
        <w:spacing w:before="100" w:beforeAutospacing="1" w:after="100" w:afterAutospacing="1" w:line="240" w:lineRule="auto"/>
        <w:rPr>
          <w:rFonts w:ascii="Times New Roman" w:eastAsia="Times New Roman" w:hAnsi="Times New Roman" w:cs="Times New Roman"/>
          <w:sz w:val="24"/>
          <w:szCs w:val="24"/>
          <w:lang w:eastAsia="en-AU"/>
        </w:rPr>
      </w:pPr>
      <w:r w:rsidRPr="00781DAF">
        <w:rPr>
          <w:rFonts w:ascii="Times New Roman" w:eastAsia="Times New Roman" w:hAnsi="Times New Roman" w:cs="Times New Roman"/>
          <w:noProof/>
          <w:sz w:val="24"/>
          <w:szCs w:val="24"/>
          <w:lang w:eastAsia="en-AU"/>
        </w:rPr>
        <w:drawing>
          <wp:inline distT="0" distB="0" distL="0" distR="0" wp14:anchorId="6BD4537D" wp14:editId="54B3BDE2">
            <wp:extent cx="5731510" cy="1873250"/>
            <wp:effectExtent l="0" t="0" r="2540" b="0"/>
            <wp:docPr id="1557780135" name="Picture 6" descr="Figure 6 is a line chart depicting WPI and CPI forecasts,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80135" name="Picture 6" descr="Figure 6 is a line chart depicting WPI and CPI forecasts, as described in the text abov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1873250"/>
                    </a:xfrm>
                    <a:prstGeom prst="rect">
                      <a:avLst/>
                    </a:prstGeom>
                    <a:noFill/>
                    <a:ln>
                      <a:noFill/>
                    </a:ln>
                  </pic:spPr>
                </pic:pic>
              </a:graphicData>
            </a:graphic>
          </wp:inline>
        </w:drawing>
      </w:r>
    </w:p>
    <w:p w14:paraId="7098E41A" w14:textId="0DC0E523" w:rsidR="00261C3D" w:rsidRPr="00AB3B90" w:rsidRDefault="00261C3D" w:rsidP="00261C3D">
      <w:pPr>
        <w:pStyle w:val="Source"/>
      </w:pPr>
      <w:r w:rsidRPr="00AB3B90">
        <w:t>Source: ABS (2024) and Deloitte Access Economics (2024)</w:t>
      </w:r>
    </w:p>
    <w:p w14:paraId="6AB1A037" w14:textId="08346ABC" w:rsidR="001600B0" w:rsidRPr="00AB3B90" w:rsidRDefault="001600B0" w:rsidP="001600B0">
      <w:r w:rsidRPr="00AB3B90">
        <w:t>While difficult to predict with certainty, there are reasons to consider that the inflationary environment may be more variable in the future than was the case over recent decades prior to the pandemic. Climate change, energy transition and geopolitical disruption all have the potential to generate volatility in prices in the future. This potentially strengthens the argument for an indexation floor to guard against future deflationary (and inflationary) shocks.</w:t>
      </w:r>
    </w:p>
    <w:p w14:paraId="65C161CB" w14:textId="6C877205" w:rsidR="00F15130" w:rsidRPr="00AB3B90" w:rsidRDefault="00F358B5" w:rsidP="00075A82">
      <w:pPr>
        <w:pStyle w:val="Heading2-Numbered"/>
      </w:pPr>
      <w:bookmarkStart w:id="124" w:name="_Toc163650447"/>
      <w:r w:rsidRPr="00AB3B90">
        <w:t>Setting an indexation floor</w:t>
      </w:r>
      <w:bookmarkEnd w:id="124"/>
    </w:p>
    <w:p w14:paraId="1BC3710A" w14:textId="44C5B169" w:rsidR="001600B0" w:rsidRPr="00AB3B90" w:rsidRDefault="009D6F18" w:rsidP="001600B0">
      <w:r w:rsidRPr="00AB3B90">
        <w:t xml:space="preserve">The </w:t>
      </w:r>
      <w:r w:rsidR="001600B0" w:rsidRPr="00AB3B90">
        <w:t>concept of a floor is a desirable feature of an indexation formula</w:t>
      </w:r>
      <w:r w:rsidR="003B773E" w:rsidRPr="00AB3B90">
        <w:t>. It does however</w:t>
      </w:r>
      <w:r w:rsidR="001600B0" w:rsidRPr="00AB3B90">
        <w:t xml:space="preserve"> raise question</w:t>
      </w:r>
      <w:r w:rsidR="003B773E" w:rsidRPr="00AB3B90">
        <w:t>s</w:t>
      </w:r>
      <w:r w:rsidR="001600B0" w:rsidRPr="00AB3B90">
        <w:t xml:space="preserve"> </w:t>
      </w:r>
      <w:r w:rsidR="00B91D1C" w:rsidRPr="00AB3B90">
        <w:t xml:space="preserve">as </w:t>
      </w:r>
      <w:r w:rsidR="003B773E" w:rsidRPr="00AB3B90">
        <w:t xml:space="preserve">to </w:t>
      </w:r>
      <w:r w:rsidR="001600B0" w:rsidRPr="00AB3B90">
        <w:t>the level at which the floor should be set.</w:t>
      </w:r>
    </w:p>
    <w:p w14:paraId="5D72FE0A" w14:textId="5A1C9D61" w:rsidR="000D4B15" w:rsidRPr="00AB3B90" w:rsidRDefault="000D4B15" w:rsidP="001600B0">
      <w:r w:rsidRPr="00AB3B90">
        <w:t xml:space="preserve">The purpose of the floor for the SRS is to impose a degree of stability in indexation over time. It is in place to reflect </w:t>
      </w:r>
      <w:r w:rsidR="00870353" w:rsidRPr="00AB3B90">
        <w:t>changes in prices and, therefore, the costs faced by schools. This approach provides certaint</w:t>
      </w:r>
      <w:r w:rsidR="004D4416" w:rsidRPr="00AB3B90">
        <w:t>y for schools with a minimum increase in the SRS base amount and loadings each year</w:t>
      </w:r>
      <w:r w:rsidR="00381DC3" w:rsidRPr="00AB3B90">
        <w:t>, as well as ensuring funding keeps up with changes in wages and other costs</w:t>
      </w:r>
      <w:r w:rsidR="00185920" w:rsidRPr="00AB3B90">
        <w:t>.</w:t>
      </w:r>
    </w:p>
    <w:p w14:paraId="274259C8" w14:textId="39A37320" w:rsidR="001600B0" w:rsidRPr="00AB3B90" w:rsidRDefault="001600B0" w:rsidP="001600B0">
      <w:pPr>
        <w:rPr>
          <w:bCs/>
        </w:rPr>
      </w:pPr>
      <w:r w:rsidRPr="00AB3B90">
        <w:rPr>
          <w:bCs/>
        </w:rPr>
        <w:t>The fact that the composite measure has been below the 3 per cent floor for much of the past decade</w:t>
      </w:r>
      <w:r w:rsidR="00E460CF" w:rsidRPr="00AB3B90">
        <w:rPr>
          <w:bCs/>
        </w:rPr>
        <w:t xml:space="preserve"> has</w:t>
      </w:r>
      <w:r w:rsidRPr="00AB3B90">
        <w:rPr>
          <w:bCs/>
        </w:rPr>
        <w:t xml:space="preserve"> raise</w:t>
      </w:r>
      <w:r w:rsidR="00E460CF" w:rsidRPr="00AB3B90">
        <w:rPr>
          <w:bCs/>
        </w:rPr>
        <w:t>d</w:t>
      </w:r>
      <w:r w:rsidRPr="00AB3B90">
        <w:rPr>
          <w:bCs/>
        </w:rPr>
        <w:t xml:space="preserve"> questions of the </w:t>
      </w:r>
      <w:r w:rsidR="00E460CF" w:rsidRPr="00AB3B90">
        <w:rPr>
          <w:bCs/>
        </w:rPr>
        <w:t xml:space="preserve">appropriateness of the </w:t>
      </w:r>
      <w:r w:rsidRPr="00AB3B90">
        <w:rPr>
          <w:bCs/>
        </w:rPr>
        <w:t xml:space="preserve">floor, as discussed above. </w:t>
      </w:r>
    </w:p>
    <w:p w14:paraId="2F4B0024" w14:textId="35E0B90C" w:rsidR="00FD1F92" w:rsidRPr="00AB3B90" w:rsidRDefault="00C10D6F" w:rsidP="00C10D6F">
      <w:pPr>
        <w:rPr>
          <w:bCs/>
        </w:rPr>
      </w:pPr>
      <w:r w:rsidRPr="00AB3B90">
        <w:rPr>
          <w:bCs/>
        </w:rPr>
        <w:t>For example, had the SRS indexation formula been in place from 2002 (and funding escalated according to the formula over that time), the total funding provided in 2023 would be 8.2</w:t>
      </w:r>
      <w:r w:rsidR="00F1387D" w:rsidRPr="00AB3B90">
        <w:rPr>
          <w:bCs/>
        </w:rPr>
        <w:t> </w:t>
      </w:r>
      <w:r w:rsidRPr="00AB3B90">
        <w:rPr>
          <w:bCs/>
        </w:rPr>
        <w:t>per</w:t>
      </w:r>
      <w:r w:rsidR="00F1387D" w:rsidRPr="00AB3B90">
        <w:rPr>
          <w:bCs/>
        </w:rPr>
        <w:t> </w:t>
      </w:r>
      <w:r w:rsidRPr="00AB3B90">
        <w:rPr>
          <w:bCs/>
        </w:rPr>
        <w:t>cent lower than with the use of the 3</w:t>
      </w:r>
      <w:r w:rsidR="00F1387D" w:rsidRPr="00AB3B90">
        <w:rPr>
          <w:bCs/>
        </w:rPr>
        <w:t> </w:t>
      </w:r>
      <w:r w:rsidRPr="00AB3B90">
        <w:rPr>
          <w:bCs/>
        </w:rPr>
        <w:t>per</w:t>
      </w:r>
      <w:r w:rsidR="00F1387D" w:rsidRPr="00AB3B90">
        <w:rPr>
          <w:bCs/>
        </w:rPr>
        <w:t> </w:t>
      </w:r>
      <w:r w:rsidRPr="00AB3B90">
        <w:rPr>
          <w:bCs/>
        </w:rPr>
        <w:t xml:space="preserve">cent floor. </w:t>
      </w:r>
      <w:r w:rsidR="001B441A" w:rsidRPr="00AB3B90">
        <w:rPr>
          <w:bCs/>
        </w:rPr>
        <w:t>However</w:t>
      </w:r>
      <w:r w:rsidR="00186855" w:rsidRPr="00AB3B90">
        <w:rPr>
          <w:bCs/>
        </w:rPr>
        <w:t xml:space="preserve">, it should be noted that this recent period of inflation (pre-COVID-19) had an unusually </w:t>
      </w:r>
      <w:r w:rsidR="00AE262E" w:rsidRPr="00AB3B90">
        <w:rPr>
          <w:bCs/>
        </w:rPr>
        <w:t>sustained period of low inflation that is not likely to repeat itself any time soon. The Board i</w:t>
      </w:r>
      <w:r w:rsidR="00C31683" w:rsidRPr="00AB3B90">
        <w:rPr>
          <w:bCs/>
        </w:rPr>
        <w:t>s aware that only looking at past data does not reflect current trends or future rates of indexation and growth.</w:t>
      </w:r>
    </w:p>
    <w:p w14:paraId="318CC8F0" w14:textId="50B4D417" w:rsidR="00FD1F92" w:rsidRPr="00AB3B90" w:rsidRDefault="007C58C8" w:rsidP="00C10D6F">
      <w:pPr>
        <w:rPr>
          <w:bCs/>
        </w:rPr>
      </w:pPr>
      <w:proofErr w:type="gramStart"/>
      <w:r w:rsidRPr="00AB3B90">
        <w:rPr>
          <w:bCs/>
        </w:rPr>
        <w:t>The majority of</w:t>
      </w:r>
      <w:proofErr w:type="gramEnd"/>
      <w:r w:rsidRPr="00AB3B90">
        <w:rPr>
          <w:bCs/>
        </w:rPr>
        <w:t xml:space="preserve"> stakeholders </w:t>
      </w:r>
      <w:r w:rsidR="0018423F" w:rsidRPr="00AB3B90">
        <w:rPr>
          <w:bCs/>
        </w:rPr>
        <w:t xml:space="preserve">considered the </w:t>
      </w:r>
      <w:r w:rsidR="00FD1F92" w:rsidRPr="00AB3B90">
        <w:rPr>
          <w:bCs/>
        </w:rPr>
        <w:t xml:space="preserve">3 per cent </w:t>
      </w:r>
      <w:r w:rsidR="0018423F" w:rsidRPr="00AB3B90">
        <w:rPr>
          <w:bCs/>
        </w:rPr>
        <w:t>level of the floor to be appropriate</w:t>
      </w:r>
      <w:r w:rsidR="00AB35C3" w:rsidRPr="00AB3B90">
        <w:rPr>
          <w:bCs/>
        </w:rPr>
        <w:t xml:space="preserve">, to </w:t>
      </w:r>
      <w:r w:rsidR="00FA3D9F" w:rsidRPr="00AB3B90">
        <w:rPr>
          <w:bCs/>
        </w:rPr>
        <w:t xml:space="preserve">support </w:t>
      </w:r>
      <w:r w:rsidR="00045BD2" w:rsidRPr="00AB3B90">
        <w:rPr>
          <w:bCs/>
        </w:rPr>
        <w:t>forward planning certainty</w:t>
      </w:r>
      <w:r w:rsidR="00D70F31" w:rsidRPr="00AB3B90">
        <w:rPr>
          <w:bCs/>
        </w:rPr>
        <w:t xml:space="preserve">. </w:t>
      </w:r>
      <w:r w:rsidR="00EE3B50" w:rsidRPr="00AB3B90">
        <w:rPr>
          <w:bCs/>
        </w:rPr>
        <w:t>N</w:t>
      </w:r>
      <w:r w:rsidR="00301AB2" w:rsidRPr="00AB3B90">
        <w:rPr>
          <w:bCs/>
        </w:rPr>
        <w:t xml:space="preserve">on-government </w:t>
      </w:r>
      <w:proofErr w:type="gramStart"/>
      <w:r w:rsidR="00301AB2" w:rsidRPr="00AB3B90">
        <w:rPr>
          <w:bCs/>
        </w:rPr>
        <w:t>schools’</w:t>
      </w:r>
      <w:proofErr w:type="gramEnd"/>
      <w:r w:rsidR="00301AB2" w:rsidRPr="00AB3B90">
        <w:rPr>
          <w:bCs/>
        </w:rPr>
        <w:t xml:space="preserve"> </w:t>
      </w:r>
      <w:r w:rsidR="00EE3B50" w:rsidRPr="00AB3B90">
        <w:rPr>
          <w:bCs/>
        </w:rPr>
        <w:t>noted</w:t>
      </w:r>
      <w:r w:rsidR="00301AB2" w:rsidRPr="00AB3B90">
        <w:rPr>
          <w:bCs/>
        </w:rPr>
        <w:t xml:space="preserve"> that the 3 per cent </w:t>
      </w:r>
      <w:r w:rsidR="00155B60" w:rsidRPr="00AB3B90">
        <w:rPr>
          <w:bCs/>
        </w:rPr>
        <w:t xml:space="preserve">indexation floor is a necessary safeguard for all schools and particularly </w:t>
      </w:r>
      <w:r w:rsidR="00EE3B50" w:rsidRPr="00AB3B90">
        <w:rPr>
          <w:bCs/>
        </w:rPr>
        <w:t>for non-systemic schools where funding certainty is imperative.</w:t>
      </w:r>
      <w:r w:rsidR="00F3437C" w:rsidRPr="00AB3B90">
        <w:rPr>
          <w:bCs/>
        </w:rPr>
        <w:t xml:space="preserve"> </w:t>
      </w:r>
      <w:r w:rsidR="00FD1F92" w:rsidRPr="00AB3B90">
        <w:rPr>
          <w:bCs/>
        </w:rPr>
        <w:t xml:space="preserve"> </w:t>
      </w:r>
    </w:p>
    <w:p w14:paraId="3B69E444" w14:textId="7FC3C587" w:rsidR="005A0DA7" w:rsidRPr="00AB3B90" w:rsidRDefault="005A0DA7" w:rsidP="005A0DA7">
      <w:pPr>
        <w:pStyle w:val="Caption"/>
        <w:keepNext/>
      </w:pPr>
      <w:bookmarkStart w:id="125" w:name="_Toc163650468"/>
      <w:r w:rsidRPr="00AB3B90">
        <w:t xml:space="preserve">Figure </w:t>
      </w:r>
      <w:r w:rsidRPr="00AB3B90">
        <w:fldChar w:fldCharType="begin"/>
      </w:r>
      <w:r w:rsidRPr="00AB3B90">
        <w:instrText>SEQ Figure \* ARABIC</w:instrText>
      </w:r>
      <w:r w:rsidRPr="00AB3B90">
        <w:fldChar w:fldCharType="separate"/>
      </w:r>
      <w:r w:rsidR="00FF6847" w:rsidRPr="00AB3B90">
        <w:rPr>
          <w:noProof/>
        </w:rPr>
        <w:t>7</w:t>
      </w:r>
      <w:r w:rsidRPr="00AB3B90">
        <w:fldChar w:fldCharType="end"/>
      </w:r>
      <w:r w:rsidRPr="00AB3B90">
        <w:t xml:space="preserve"> Cumulative difference in funding with and without an indexation </w:t>
      </w:r>
      <w:proofErr w:type="gramStart"/>
      <w:r w:rsidRPr="00AB3B90">
        <w:t>floor</w:t>
      </w:r>
      <w:bookmarkEnd w:id="125"/>
      <w:proofErr w:type="gramEnd"/>
    </w:p>
    <w:p w14:paraId="100AE5D2" w14:textId="045AA9A5" w:rsidR="00B5312C" w:rsidRPr="00B5312C" w:rsidRDefault="00B5312C" w:rsidP="00B5312C">
      <w:pPr>
        <w:spacing w:before="100" w:beforeAutospacing="1" w:after="100" w:afterAutospacing="1" w:line="240" w:lineRule="auto"/>
        <w:rPr>
          <w:rFonts w:ascii="Times New Roman" w:eastAsia="Times New Roman" w:hAnsi="Times New Roman" w:cs="Times New Roman"/>
          <w:sz w:val="24"/>
          <w:szCs w:val="24"/>
          <w:lang w:eastAsia="en-AU"/>
        </w:rPr>
      </w:pPr>
      <w:r w:rsidRPr="00B5312C">
        <w:rPr>
          <w:rFonts w:ascii="Times New Roman" w:eastAsia="Times New Roman" w:hAnsi="Times New Roman" w:cs="Times New Roman"/>
          <w:noProof/>
          <w:sz w:val="24"/>
          <w:szCs w:val="24"/>
          <w:lang w:eastAsia="en-AU"/>
        </w:rPr>
        <w:drawing>
          <wp:inline distT="0" distB="0" distL="0" distR="0" wp14:anchorId="3A05EABB" wp14:editId="74C21530">
            <wp:extent cx="5731510" cy="2298065"/>
            <wp:effectExtent l="0" t="0" r="2540" b="6985"/>
            <wp:docPr id="1790994544" name="Picture 7" descr="Figure 7 is line chart depicting the cumulative difference in funding with and without an indexation floor,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994544" name="Picture 7" descr="Figure 7 is line chart depicting the cumulative difference in funding with and without an indexation floor, as described in the text abov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1510" cy="2298065"/>
                    </a:xfrm>
                    <a:prstGeom prst="rect">
                      <a:avLst/>
                    </a:prstGeom>
                    <a:noFill/>
                    <a:ln>
                      <a:noFill/>
                    </a:ln>
                  </pic:spPr>
                </pic:pic>
              </a:graphicData>
            </a:graphic>
          </wp:inline>
        </w:drawing>
      </w:r>
    </w:p>
    <w:p w14:paraId="2F36B33D" w14:textId="77777777" w:rsidR="007F0FD9" w:rsidRPr="00AB3B90" w:rsidRDefault="007F0FD9" w:rsidP="007F0FD9">
      <w:pPr>
        <w:pStyle w:val="Source"/>
      </w:pPr>
      <w:r w:rsidRPr="00AB3B90">
        <w:t>Note: The above chart shows the level of funding (assuming a base of 100 in 2002) if current indexation arrangements would have been in place since 2002.</w:t>
      </w:r>
    </w:p>
    <w:p w14:paraId="017421A9" w14:textId="77777777" w:rsidR="00EF3246" w:rsidRPr="00AB3B90" w:rsidRDefault="00EF3246" w:rsidP="00EF3246">
      <w:pPr>
        <w:pStyle w:val="Source"/>
      </w:pPr>
      <w:r w:rsidRPr="00AB3B90">
        <w:t>Source: Australian Bureau of Statistics (2024), Deloitte Access Economics (2024), Australian Government Department of Education (2024).</w:t>
      </w:r>
    </w:p>
    <w:p w14:paraId="21E2B774" w14:textId="77777777" w:rsidR="001600B0" w:rsidRPr="00AB3B90" w:rsidRDefault="001600B0" w:rsidP="001600B0">
      <w:pPr>
        <w:rPr>
          <w:bCs/>
        </w:rPr>
      </w:pPr>
      <w:r w:rsidRPr="00AB3B90">
        <w:rPr>
          <w:bCs/>
        </w:rPr>
        <w:t>It should be noted that indexation is used widely across government programs to maintain the relative value or level of policy settings over time.</w:t>
      </w:r>
      <w:r w:rsidRPr="00AB3B90">
        <w:rPr>
          <w:rStyle w:val="FootnoteReference"/>
          <w:bCs/>
        </w:rPr>
        <w:footnoteReference w:id="17"/>
      </w:r>
      <w:r w:rsidRPr="00AB3B90">
        <w:rPr>
          <w:bCs/>
        </w:rPr>
        <w:t xml:space="preserve"> Generally speaking, the intention of indexation is to compensate for inflation and, in the case of indexation on wages, productivity changes over time. </w:t>
      </w:r>
    </w:p>
    <w:p w14:paraId="641E82A7" w14:textId="71047485" w:rsidR="008F071A" w:rsidRPr="00AB3B90" w:rsidRDefault="008F071A" w:rsidP="008F071A">
      <w:pPr>
        <w:rPr>
          <w:bCs/>
        </w:rPr>
      </w:pPr>
      <w:r w:rsidRPr="00AB3B90">
        <w:rPr>
          <w:bCs/>
        </w:rPr>
        <w:t xml:space="preserve">A possible reference point for such a range may be the RBA’s target band for inflation of 2-3 per cent over the medium term, with some allowance for productivity growth reflected in wages growth (noting that productivity growth in the education sector is very difficult to measure). This would represent a very conservative range, and alternative ranges may be appropriate, depending on the extent of stability that is desired for the sector. </w:t>
      </w:r>
    </w:p>
    <w:p w14:paraId="0D635468" w14:textId="37B86E27" w:rsidR="007F45C3" w:rsidRPr="00AB3B90" w:rsidRDefault="007F45C3" w:rsidP="007F45C3">
      <w:pPr>
        <w:rPr>
          <w:bCs/>
        </w:rPr>
      </w:pPr>
      <w:r w:rsidRPr="00AB3B90">
        <w:rPr>
          <w:bCs/>
        </w:rPr>
        <w:t>In this context, it is notable that it is relatively uncommon for wage growth in the school education sector to fall below 2-3</w:t>
      </w:r>
      <w:r w:rsidR="00D42EB5" w:rsidRPr="00AB3B90">
        <w:rPr>
          <w:bCs/>
        </w:rPr>
        <w:t> </w:t>
      </w:r>
      <w:r w:rsidRPr="00AB3B90">
        <w:rPr>
          <w:bCs/>
        </w:rPr>
        <w:t>per</w:t>
      </w:r>
      <w:r w:rsidR="00D42EB5" w:rsidRPr="00AB3B90">
        <w:rPr>
          <w:bCs/>
        </w:rPr>
        <w:t> </w:t>
      </w:r>
      <w:r w:rsidRPr="00AB3B90">
        <w:rPr>
          <w:bCs/>
        </w:rPr>
        <w:t>cent (as shown in</w:t>
      </w:r>
      <w:r w:rsidR="0036633C" w:rsidRPr="00AB3B90">
        <w:rPr>
          <w:bCs/>
        </w:rPr>
        <w:t xml:space="preserve"> Sectio</w:t>
      </w:r>
      <w:r w:rsidR="00C658B8" w:rsidRPr="00AB3B90">
        <w:rPr>
          <w:bCs/>
        </w:rPr>
        <w:t xml:space="preserve">n </w:t>
      </w:r>
      <w:r w:rsidR="00D42EB5" w:rsidRPr="00AB3B90">
        <w:rPr>
          <w:bCs/>
        </w:rPr>
        <w:t> </w:t>
      </w:r>
      <w:r w:rsidR="0036633C" w:rsidRPr="00AB3B90">
        <w:rPr>
          <w:bCs/>
        </w:rPr>
        <w:fldChar w:fldCharType="begin"/>
      </w:r>
      <w:r w:rsidR="0036633C" w:rsidRPr="00AB3B90">
        <w:rPr>
          <w:bCs/>
        </w:rPr>
        <w:instrText xml:space="preserve"> REF _Ref160806064 \r \h </w:instrText>
      </w:r>
      <w:r w:rsidR="00065A8C" w:rsidRPr="00AB3B90">
        <w:rPr>
          <w:bCs/>
        </w:rPr>
        <w:instrText xml:space="preserve"> \* MERGEFORMAT </w:instrText>
      </w:r>
      <w:r w:rsidR="0036633C" w:rsidRPr="00AB3B90">
        <w:rPr>
          <w:bCs/>
        </w:rPr>
      </w:r>
      <w:r w:rsidR="0036633C" w:rsidRPr="00AB3B90">
        <w:rPr>
          <w:bCs/>
        </w:rPr>
        <w:fldChar w:fldCharType="separate"/>
      </w:r>
      <w:r w:rsidR="00FF6847" w:rsidRPr="00AB3B90">
        <w:rPr>
          <w:bCs/>
        </w:rPr>
        <w:t>4.3</w:t>
      </w:r>
      <w:r w:rsidR="0036633C" w:rsidRPr="00AB3B90">
        <w:rPr>
          <w:bCs/>
        </w:rPr>
        <w:fldChar w:fldCharType="end"/>
      </w:r>
      <w:r w:rsidRPr="00AB3B90">
        <w:rPr>
          <w:bCs/>
        </w:rPr>
        <w:t xml:space="preserve">), and therefore an indexation floor set in this range may insulate the sector from low levels of inflation that are not reflective of price changes occurring in the schooling sector. </w:t>
      </w:r>
    </w:p>
    <w:p w14:paraId="21194B9A" w14:textId="330777D2" w:rsidR="00207622" w:rsidRPr="00AB3B90" w:rsidRDefault="0074361E" w:rsidP="00207622">
      <w:pPr>
        <w:rPr>
          <w:bCs/>
        </w:rPr>
      </w:pPr>
      <w:r w:rsidRPr="00AB3B90">
        <w:rPr>
          <w:bCs/>
        </w:rPr>
        <w:t>The</w:t>
      </w:r>
      <w:r w:rsidR="00207622" w:rsidRPr="00AB3B90">
        <w:rPr>
          <w:bCs/>
        </w:rPr>
        <w:t xml:space="preserve"> </w:t>
      </w:r>
      <w:r w:rsidR="00D42EB5" w:rsidRPr="00AB3B90">
        <w:rPr>
          <w:bCs/>
        </w:rPr>
        <w:t>Act</w:t>
      </w:r>
      <w:r w:rsidR="00207622" w:rsidRPr="00AB3B90">
        <w:rPr>
          <w:bCs/>
        </w:rPr>
        <w:t xml:space="preserve"> which defines the current indexation arrangements</w:t>
      </w:r>
      <w:r w:rsidRPr="00AB3B90">
        <w:rPr>
          <w:bCs/>
        </w:rPr>
        <w:t xml:space="preserve"> </w:t>
      </w:r>
      <w:r w:rsidR="00207622" w:rsidRPr="00AB3B90">
        <w:rPr>
          <w:bCs/>
        </w:rPr>
        <w:t xml:space="preserve">provides the </w:t>
      </w:r>
      <w:r w:rsidR="00E16B97" w:rsidRPr="00AB3B90">
        <w:rPr>
          <w:bCs/>
        </w:rPr>
        <w:t>Australian Government</w:t>
      </w:r>
      <w:r w:rsidR="00207622" w:rsidRPr="00AB3B90">
        <w:rPr>
          <w:bCs/>
        </w:rPr>
        <w:t xml:space="preserve"> Minister for Education with the ability to set the indexation rate at any level they deem appropriate. This offers another opportunity for protection against volatility over time. </w:t>
      </w:r>
    </w:p>
    <w:p w14:paraId="62761C26" w14:textId="467B4E6C" w:rsidR="00207622" w:rsidRPr="00AB3B90" w:rsidRDefault="00207622" w:rsidP="00207622">
      <w:r w:rsidRPr="00AB3B90">
        <w:t xml:space="preserve">Notwithstanding these economic observations, responses from </w:t>
      </w:r>
      <w:r w:rsidR="005624CA" w:rsidRPr="00AB3B90">
        <w:t xml:space="preserve">many </w:t>
      </w:r>
      <w:r w:rsidRPr="00AB3B90">
        <w:t>stakeholders through consultation indicated that the current 3</w:t>
      </w:r>
      <w:r w:rsidR="00E16B97" w:rsidRPr="00AB3B90">
        <w:t> </w:t>
      </w:r>
      <w:r w:rsidRPr="00AB3B90">
        <w:t>per</w:t>
      </w:r>
      <w:r w:rsidR="00E16B97" w:rsidRPr="00AB3B90">
        <w:t> </w:t>
      </w:r>
      <w:r w:rsidRPr="00AB3B90">
        <w:t>cent level of the indexation floor is considered broadly appropriate.</w:t>
      </w:r>
    </w:p>
    <w:p w14:paraId="7A04B3F9" w14:textId="218CAEFE" w:rsidR="008F071A" w:rsidRPr="00AB3B90" w:rsidRDefault="4A9065BD" w:rsidP="00E37ADA">
      <w:pPr>
        <w:pStyle w:val="ListBullet"/>
      </w:pPr>
      <w:r w:rsidRPr="00AB3B90">
        <w:t xml:space="preserve">The majority of stakeholders considered the 3 per cent level of the floor to be </w:t>
      </w:r>
      <w:proofErr w:type="gramStart"/>
      <w:r w:rsidRPr="00AB3B90">
        <w:t>appropriate, or</w:t>
      </w:r>
      <w:proofErr w:type="gramEnd"/>
      <w:r w:rsidRPr="00AB3B90">
        <w:t xml:space="preserve"> were neutral on the matter. </w:t>
      </w:r>
    </w:p>
    <w:p w14:paraId="217953FD" w14:textId="1F2E9F7B" w:rsidR="008F071A" w:rsidRPr="00AB3B90" w:rsidRDefault="4A9065BD" w:rsidP="00E37ADA">
      <w:pPr>
        <w:pStyle w:val="ListBullet"/>
      </w:pPr>
      <w:r w:rsidRPr="00AB3B90">
        <w:t>One stakeholder noted that whil</w:t>
      </w:r>
      <w:r w:rsidR="662D8567" w:rsidRPr="00AB3B90">
        <w:t>e</w:t>
      </w:r>
      <w:r w:rsidRPr="00AB3B90">
        <w:t xml:space="preserve"> they also consider the level to be appropriate given the current high wage-growth environment, 3 per cent may become excessive in periods of low wage growth.</w:t>
      </w:r>
    </w:p>
    <w:p w14:paraId="4697E68E" w14:textId="2F257717" w:rsidR="008F071A" w:rsidRPr="00AB3B90" w:rsidRDefault="4A9065BD" w:rsidP="00E37ADA">
      <w:pPr>
        <w:pStyle w:val="ListBullet"/>
      </w:pPr>
      <w:r w:rsidRPr="00AB3B90">
        <w:t xml:space="preserve">There was strong support for the 3 per cent level from a non-government </w:t>
      </w:r>
      <w:proofErr w:type="gramStart"/>
      <w:r w:rsidRPr="00AB3B90">
        <w:t>schools</w:t>
      </w:r>
      <w:proofErr w:type="gramEnd"/>
      <w:r w:rsidRPr="00AB3B90">
        <w:t xml:space="preserve"> perspective, noting that the 3 per cent funding floor is considered a necessary safeguard for all schools and particularly for non-systemic schools.</w:t>
      </w:r>
    </w:p>
    <w:p w14:paraId="7E05AD1A" w14:textId="1E40B27D" w:rsidR="008F071A" w:rsidRPr="00AB3B90" w:rsidRDefault="008F071A" w:rsidP="008F071A">
      <w:r w:rsidRPr="00AB3B90">
        <w:t>It should be noted that some stakeholders, whil</w:t>
      </w:r>
      <w:r w:rsidR="008A343A" w:rsidRPr="00AB3B90">
        <w:t>e</w:t>
      </w:r>
      <w:r w:rsidRPr="00AB3B90">
        <w:t xml:space="preserve"> not expressing strong views on the need for changing of the 3 per cent level, suggested that a lower level of 2.5 per cent be explored in the context of the RBA’s 2-3 per cent target band for inflation and wage setting in the public sector more broadly.</w:t>
      </w:r>
    </w:p>
    <w:p w14:paraId="7E9701DA" w14:textId="5C87F0D3" w:rsidR="00207622" w:rsidRPr="00AB3B90" w:rsidRDefault="4A9065BD" w:rsidP="00E37ADA">
      <w:pPr>
        <w:pStyle w:val="ListBullet"/>
      </w:pPr>
      <w:r w:rsidRPr="00AB3B90">
        <w:t xml:space="preserve">One stakeholder noted that this level would be consistent with the average WPI increase over the period 2019 to 2023 </w:t>
      </w:r>
      <w:r w:rsidR="74562597" w:rsidRPr="00AB3B90">
        <w:t xml:space="preserve">(as outlined in </w:t>
      </w:r>
      <w:r w:rsidRPr="00AB3B90">
        <w:fldChar w:fldCharType="begin"/>
      </w:r>
      <w:r w:rsidRPr="00AB3B90">
        <w:instrText xml:space="preserve"> REF _Ref160791141 \h  \* MERGEFORMAT </w:instrText>
      </w:r>
      <w:r w:rsidRPr="00AB3B90">
        <w:fldChar w:fldCharType="separate"/>
      </w:r>
      <w:r w:rsidR="00FF6847" w:rsidRPr="00AB3B90">
        <w:t>Table 6</w:t>
      </w:r>
      <w:r w:rsidRPr="00AB3B90">
        <w:fldChar w:fldCharType="end"/>
      </w:r>
      <w:r w:rsidR="74562597" w:rsidRPr="00AB3B90">
        <w:t>).</w:t>
      </w:r>
    </w:p>
    <w:p w14:paraId="316B9603" w14:textId="0FF46511" w:rsidR="00AC30CC" w:rsidRDefault="4A9065BD" w:rsidP="004A24F8">
      <w:pPr>
        <w:pStyle w:val="ListBullet"/>
      </w:pPr>
      <w:r w:rsidRPr="00AB3B90">
        <w:t>Several stakeholders noted that the starting point for wage setting in the schooling sector is the baseline pay increase provided to all public sector employees (e.g., nurses, paramedics, etc.). This is generally set at around 2-2.5</w:t>
      </w:r>
      <w:r w:rsidR="0459EB8B" w:rsidRPr="00AB3B90">
        <w:t> per cent</w:t>
      </w:r>
      <w:r w:rsidRPr="00AB3B90">
        <w:t>, with a further allowance for productivity growth (generally of around 0.5</w:t>
      </w:r>
      <w:r w:rsidR="0459EB8B" w:rsidRPr="00AB3B90">
        <w:t> per cent</w:t>
      </w:r>
      <w:r w:rsidRPr="00AB3B90">
        <w:t xml:space="preserve">). The </w:t>
      </w:r>
      <w:r w:rsidR="0459EB8B" w:rsidRPr="00AB3B90">
        <w:t>Board</w:t>
      </w:r>
      <w:r w:rsidRPr="00AB3B90">
        <w:t xml:space="preserve"> heard that starting points for pay increases have been higher in recent times </w:t>
      </w:r>
      <w:proofErr w:type="gramStart"/>
      <w:r w:rsidRPr="00AB3B90">
        <w:t>due to the effects</w:t>
      </w:r>
      <w:proofErr w:type="gramEnd"/>
      <w:r w:rsidRPr="00AB3B90">
        <w:t xml:space="preserve"> of higher levels of inflation in the economy.</w:t>
      </w:r>
    </w:p>
    <w:p w14:paraId="24920FAF" w14:textId="7A8B1A6A" w:rsidR="004A43E4" w:rsidRPr="00AB3B90" w:rsidRDefault="00E047D7" w:rsidP="00D71316">
      <w:pPr>
        <w:pBdr>
          <w:top w:val="single" w:sz="4" w:space="1" w:color="auto"/>
          <w:left w:val="single" w:sz="4" w:space="4" w:color="auto"/>
          <w:bottom w:val="single" w:sz="4" w:space="1" w:color="auto"/>
          <w:right w:val="single" w:sz="4" w:space="4" w:color="auto"/>
        </w:pBdr>
        <w:spacing w:before="0" w:after="160"/>
        <w:rPr>
          <w:b/>
        </w:rPr>
      </w:pPr>
      <w:r w:rsidRPr="00AB3B90">
        <w:rPr>
          <w:b/>
        </w:rPr>
        <w:t>Finding</w:t>
      </w:r>
      <w:r w:rsidR="00D71316" w:rsidRPr="00AB3B90">
        <w:rPr>
          <w:b/>
        </w:rPr>
        <w:t xml:space="preserve"> 2</w:t>
      </w:r>
    </w:p>
    <w:p w14:paraId="7C0FAFF2" w14:textId="1CE460BA" w:rsidR="3825C000" w:rsidRPr="00AB3B90" w:rsidRDefault="3825C000" w:rsidP="6677C68B">
      <w:pPr>
        <w:pBdr>
          <w:top w:val="single" w:sz="4" w:space="1" w:color="auto"/>
          <w:left w:val="single" w:sz="4" w:space="4" w:color="auto"/>
          <w:bottom w:val="single" w:sz="4" w:space="1" w:color="auto"/>
          <w:right w:val="single" w:sz="4" w:space="4" w:color="auto"/>
        </w:pBdr>
        <w:spacing w:before="0" w:after="160"/>
      </w:pPr>
      <w:r w:rsidRPr="00AB3B90">
        <w:t xml:space="preserve">Current indexation floor arrangements are considered appropriate, given the strong preference for stability and certainty by the sector, and evidence regarding the way that jurisdictions typically determine salary increases over time.    </w:t>
      </w:r>
    </w:p>
    <w:p w14:paraId="56ABEE75" w14:textId="77777777" w:rsidR="00E047D7" w:rsidRPr="00AB3B90" w:rsidRDefault="00E047D7">
      <w:pPr>
        <w:spacing w:before="0" w:after="160"/>
      </w:pPr>
    </w:p>
    <w:p w14:paraId="6E69AB76" w14:textId="5E08B5E6" w:rsidR="00F72E52" w:rsidRPr="00AB3B90" w:rsidRDefault="00F72E52" w:rsidP="00F72E52">
      <w:pPr>
        <w:pBdr>
          <w:top w:val="single" w:sz="4" w:space="1" w:color="auto"/>
          <w:left w:val="single" w:sz="4" w:space="4" w:color="auto"/>
          <w:bottom w:val="single" w:sz="4" w:space="1" w:color="auto"/>
          <w:right w:val="single" w:sz="4" w:space="4" w:color="auto"/>
        </w:pBdr>
        <w:spacing w:before="0" w:after="160"/>
        <w:rPr>
          <w:b/>
        </w:rPr>
      </w:pPr>
      <w:r w:rsidRPr="00AB3B90">
        <w:rPr>
          <w:b/>
        </w:rPr>
        <w:t xml:space="preserve">Recommendation </w:t>
      </w:r>
      <w:r w:rsidRPr="00AB3B90">
        <w:rPr>
          <w:b/>
          <w:bCs/>
        </w:rPr>
        <w:t>1</w:t>
      </w:r>
    </w:p>
    <w:p w14:paraId="66E3AE73" w14:textId="3F83F719" w:rsidR="00F72E52" w:rsidRPr="00AB3B90" w:rsidRDefault="00F72E52" w:rsidP="00F72E52">
      <w:pPr>
        <w:pBdr>
          <w:top w:val="single" w:sz="4" w:space="1" w:color="auto"/>
          <w:left w:val="single" w:sz="4" w:space="4" w:color="auto"/>
          <w:bottom w:val="single" w:sz="4" w:space="1" w:color="auto"/>
          <w:right w:val="single" w:sz="4" w:space="4" w:color="auto"/>
        </w:pBdr>
      </w:pPr>
      <w:r w:rsidRPr="00AB3B90">
        <w:t>The Australian Government should maintain an SRS indexation floor as a feature of SRS indexation arrangements.</w:t>
      </w:r>
    </w:p>
    <w:p w14:paraId="1FBE7E83" w14:textId="77777777" w:rsidR="00F72E52" w:rsidRPr="00AB3B90" w:rsidRDefault="00F72E52">
      <w:pPr>
        <w:spacing w:before="0" w:after="160"/>
      </w:pPr>
    </w:p>
    <w:p w14:paraId="5C3DDCE2" w14:textId="22566C3F" w:rsidR="00E047D7" w:rsidRPr="00AB3B90" w:rsidRDefault="00E047D7" w:rsidP="00AD607B">
      <w:pPr>
        <w:pBdr>
          <w:top w:val="single" w:sz="4" w:space="1" w:color="auto"/>
          <w:left w:val="single" w:sz="4" w:space="4" w:color="auto"/>
          <w:bottom w:val="single" w:sz="4" w:space="1" w:color="auto"/>
          <w:right w:val="single" w:sz="4" w:space="4" w:color="auto"/>
        </w:pBdr>
        <w:spacing w:before="0" w:after="160"/>
        <w:rPr>
          <w:b/>
        </w:rPr>
      </w:pPr>
      <w:r w:rsidRPr="00AB3B90">
        <w:rPr>
          <w:b/>
        </w:rPr>
        <w:t>Recommendation</w:t>
      </w:r>
      <w:r w:rsidR="00D71316" w:rsidRPr="00AB3B90">
        <w:rPr>
          <w:b/>
        </w:rPr>
        <w:t xml:space="preserve"> </w:t>
      </w:r>
      <w:r w:rsidR="672FA000" w:rsidRPr="00AB3B90">
        <w:rPr>
          <w:b/>
          <w:bCs/>
        </w:rPr>
        <w:t>2</w:t>
      </w:r>
    </w:p>
    <w:p w14:paraId="6CD68510" w14:textId="77777777" w:rsidR="00AD607B" w:rsidRPr="00AB3B90" w:rsidRDefault="00AD607B" w:rsidP="00E37ADA">
      <w:pPr>
        <w:pBdr>
          <w:top w:val="single" w:sz="4" w:space="1" w:color="auto"/>
          <w:left w:val="single" w:sz="4" w:space="4" w:color="auto"/>
          <w:bottom w:val="single" w:sz="4" w:space="1" w:color="auto"/>
          <w:right w:val="single" w:sz="4" w:space="4" w:color="auto"/>
        </w:pBdr>
      </w:pPr>
      <w:r w:rsidRPr="00AB3B90">
        <w:t>In the current environment, the Australian Government should maintain the indexation floor at 3 per cent. In a low inflation environment, the Australian Government, in consultation with jurisdictions and sectors, should consider the risks associated with potential over-compensation for price changes and – if necessary – re-evaluate the setting of the indexation floor.</w:t>
      </w:r>
    </w:p>
    <w:p w14:paraId="4089C57A" w14:textId="77777777" w:rsidR="00D71316" w:rsidRPr="00AB3B90" w:rsidRDefault="00D71316">
      <w:pPr>
        <w:spacing w:before="0" w:after="160"/>
      </w:pPr>
    </w:p>
    <w:p w14:paraId="6D58ED93" w14:textId="77777777" w:rsidR="005C2708" w:rsidRPr="00AB3B90" w:rsidRDefault="005C2708">
      <w:pPr>
        <w:spacing w:before="0" w:after="160"/>
      </w:pPr>
      <w:r w:rsidRPr="00AB3B90">
        <w:br w:type="page"/>
      </w:r>
    </w:p>
    <w:p w14:paraId="7DBCA26A" w14:textId="2B6DFE8E" w:rsidR="160FA727" w:rsidRPr="00AB3B90" w:rsidRDefault="160FA727" w:rsidP="2B132BE8">
      <w:pPr>
        <w:pStyle w:val="Heading1-Numbered"/>
        <w:ind w:left="1843" w:hanging="1843"/>
      </w:pPr>
      <w:bookmarkStart w:id="126" w:name="_Toc160695928"/>
      <w:bookmarkStart w:id="127" w:name="_Toc163650448"/>
      <w:bookmarkEnd w:id="113"/>
      <w:bookmarkEnd w:id="119"/>
      <w:r w:rsidRPr="00AB3B90">
        <w:t>The appropriateness of the composite index</w:t>
      </w:r>
      <w:bookmarkEnd w:id="127"/>
    </w:p>
    <w:p w14:paraId="3017C15F" w14:textId="217769B4" w:rsidR="006E5E8A" w:rsidRPr="00AB3B90" w:rsidRDefault="0F3C91C4" w:rsidP="001C48CB">
      <w:pPr>
        <w:pStyle w:val="Heading2-Numbered"/>
      </w:pPr>
      <w:bookmarkStart w:id="128" w:name="_Ref161153980"/>
      <w:bookmarkStart w:id="129" w:name="_Toc163650449"/>
      <w:r w:rsidRPr="00AB3B90">
        <w:t>Alternative data sources for the composite index</w:t>
      </w:r>
      <w:bookmarkEnd w:id="126"/>
      <w:bookmarkEnd w:id="128"/>
      <w:bookmarkEnd w:id="129"/>
    </w:p>
    <w:p w14:paraId="5BE46B3F" w14:textId="15D2BE4B" w:rsidR="009672FE" w:rsidRPr="00AB3B90" w:rsidRDefault="009672FE" w:rsidP="009672FE">
      <w:r w:rsidRPr="00AB3B90">
        <w:t>The current SRS composite index is based on the WPI and CPI and is weighted more heavily towards wages growth (75</w:t>
      </w:r>
      <w:r w:rsidR="00C701D6" w:rsidRPr="00AB3B90">
        <w:t> </w:t>
      </w:r>
      <w:r w:rsidRPr="00AB3B90">
        <w:t>per</w:t>
      </w:r>
      <w:r w:rsidR="00C701D6" w:rsidRPr="00AB3B90">
        <w:t> </w:t>
      </w:r>
      <w:r w:rsidRPr="00AB3B90">
        <w:t xml:space="preserve">cent) to reflect the dominance of salaries in schooling expenditure. </w:t>
      </w:r>
    </w:p>
    <w:p w14:paraId="64F33B68" w14:textId="417C32E5" w:rsidR="009672FE" w:rsidRPr="00AB3B90" w:rsidRDefault="009672FE" w:rsidP="009672FE">
      <w:r w:rsidRPr="00AB3B90">
        <w:t xml:space="preserve">By using broad-based data series, the index is simple to follow and based on data that is relatively timely. Aggregate measures are less likely to be significantly influenced by education related policy decisions, reducing risks of circularity (as </w:t>
      </w:r>
      <w:r w:rsidR="009B2704" w:rsidRPr="00AB3B90">
        <w:t>previously</w:t>
      </w:r>
      <w:r w:rsidRPr="00AB3B90">
        <w:t xml:space="preserve"> </w:t>
      </w:r>
      <w:r w:rsidR="009B2704" w:rsidRPr="00AB3B90">
        <w:t>discussed</w:t>
      </w:r>
      <w:r w:rsidRPr="00AB3B90">
        <w:t>). However, the composite index reflects changes in the price of a broader set of goods, services and labour that are not all relevant to schooling inputs.</w:t>
      </w:r>
    </w:p>
    <w:p w14:paraId="623AF7B8" w14:textId="77777777" w:rsidR="009672FE" w:rsidRPr="00AB3B90" w:rsidRDefault="009672FE" w:rsidP="009672FE">
      <w:r w:rsidRPr="00AB3B90">
        <w:t xml:space="preserve">An alternative measure which is more detailed would similarly trade off important principles: in particular, accuracy and simplicity. </w:t>
      </w:r>
    </w:p>
    <w:p w14:paraId="0B3E401D" w14:textId="44C77924" w:rsidR="009672FE" w:rsidRPr="00AB3B90" w:rsidRDefault="009672FE" w:rsidP="009672FE">
      <w:r w:rsidRPr="00AB3B90">
        <w:t xml:space="preserve">Alternative data inputs for the composite index are considered in </w:t>
      </w:r>
      <w:r w:rsidR="00797221" w:rsidRPr="00AB3B90">
        <w:fldChar w:fldCharType="begin"/>
      </w:r>
      <w:r w:rsidR="00797221" w:rsidRPr="00AB3B90">
        <w:instrText xml:space="preserve"> REF _Ref160807281 \h  \* MERGEFORMAT </w:instrText>
      </w:r>
      <w:r w:rsidR="00797221" w:rsidRPr="00AB3B90">
        <w:fldChar w:fldCharType="separate"/>
      </w:r>
      <w:r w:rsidR="00FF6847" w:rsidRPr="00AB3B90">
        <w:t xml:space="preserve">Figure </w:t>
      </w:r>
      <w:r w:rsidR="00FF6847" w:rsidRPr="00AB3B90">
        <w:rPr>
          <w:noProof/>
        </w:rPr>
        <w:t>8</w:t>
      </w:r>
      <w:r w:rsidR="00797221" w:rsidRPr="00AB3B90">
        <w:fldChar w:fldCharType="end"/>
      </w:r>
      <w:r w:rsidRPr="00AB3B90">
        <w:t>, assessed against the following principles:</w:t>
      </w:r>
    </w:p>
    <w:p w14:paraId="6E2E4C15" w14:textId="77777777" w:rsidR="009672FE" w:rsidRPr="00AB3B90" w:rsidRDefault="6996B10B" w:rsidP="00E37ADA">
      <w:pPr>
        <w:pStyle w:val="ListBullet"/>
      </w:pPr>
      <w:r w:rsidRPr="00AB3B90">
        <w:t xml:space="preserve">Frequency and timing – </w:t>
      </w:r>
      <w:proofErr w:type="gramStart"/>
      <w:r w:rsidRPr="00AB3B90">
        <w:t>is</w:t>
      </w:r>
      <w:proofErr w:type="gramEnd"/>
      <w:r w:rsidRPr="00AB3B90">
        <w:t xml:space="preserve"> there timely data available? </w:t>
      </w:r>
    </w:p>
    <w:p w14:paraId="0129C0A3" w14:textId="77777777" w:rsidR="009672FE" w:rsidRPr="00AB3B90" w:rsidRDefault="6996B10B" w:rsidP="00E37ADA">
      <w:pPr>
        <w:pStyle w:val="ListBullet"/>
      </w:pPr>
      <w:r w:rsidRPr="00AB3B90">
        <w:t xml:space="preserve">Specific to education – is the data series a broad-based economy-wide measure or specifically related to education wages or costs? </w:t>
      </w:r>
    </w:p>
    <w:p w14:paraId="39CFDC32" w14:textId="77777777" w:rsidR="009672FE" w:rsidRPr="00AB3B90" w:rsidRDefault="6996B10B" w:rsidP="00E37ADA">
      <w:pPr>
        <w:pStyle w:val="ListBullet"/>
      </w:pPr>
      <w:r w:rsidRPr="00AB3B90">
        <w:t xml:space="preserve">Reflective of </w:t>
      </w:r>
      <w:proofErr w:type="gramStart"/>
      <w:r w:rsidRPr="00AB3B90">
        <w:t>schools</w:t>
      </w:r>
      <w:proofErr w:type="gramEnd"/>
      <w:r w:rsidRPr="00AB3B90">
        <w:t xml:space="preserve"> costs – is the data an appropriate proxy of schooling costs? </w:t>
      </w:r>
    </w:p>
    <w:p w14:paraId="763F3FBB" w14:textId="77777777" w:rsidR="009672FE" w:rsidRPr="00AB3B90" w:rsidRDefault="6996B10B" w:rsidP="00E37ADA">
      <w:pPr>
        <w:pStyle w:val="ListBullet"/>
      </w:pPr>
      <w:r w:rsidRPr="00AB3B90">
        <w:t xml:space="preserve">Policy independence– does the data avoid circularity issues where policy changes influence rates of indexation (and vice versa)? </w:t>
      </w:r>
    </w:p>
    <w:p w14:paraId="3BDA55CE" w14:textId="0271AEA7" w:rsidR="00534A45" w:rsidRPr="00AB3B90" w:rsidRDefault="00534A45" w:rsidP="009F66CD">
      <w:pPr>
        <w:pStyle w:val="Heading3"/>
      </w:pPr>
      <w:r w:rsidRPr="00AB3B90">
        <w:t>Education specific measure of WPI</w:t>
      </w:r>
    </w:p>
    <w:p w14:paraId="7250E24D" w14:textId="3868EA88" w:rsidR="00B64FD3" w:rsidRPr="00AB3B90" w:rsidRDefault="00B64FD3" w:rsidP="00B64FD3">
      <w:r w:rsidRPr="00AB3B90">
        <w:t xml:space="preserve">Of the data sources considered, the most relevant alternative data source is the Education and </w:t>
      </w:r>
      <w:r w:rsidR="009D4BA9" w:rsidRPr="00AB3B90">
        <w:t>t</w:t>
      </w:r>
      <w:r w:rsidRPr="00AB3B90">
        <w:t>raining WPI as it could provide a more accurate gauge of wage increases within the school sector. However, the index also measures preschool, tertiary and other education sector wages not relevant to the SRS.</w:t>
      </w:r>
    </w:p>
    <w:p w14:paraId="24069A83" w14:textId="62DD2D62" w:rsidR="00B64FD3" w:rsidRPr="00AB3B90" w:rsidRDefault="00B64FD3" w:rsidP="00B64FD3">
      <w:r w:rsidRPr="00AB3B90">
        <w:t xml:space="preserve">An important consideration of whether the Education and </w:t>
      </w:r>
      <w:r w:rsidR="009D4BA9" w:rsidRPr="00AB3B90">
        <w:t>t</w:t>
      </w:r>
      <w:r w:rsidRPr="00AB3B90">
        <w:t xml:space="preserve">raining WPI is appropriate for the composite index is looking at how it has compared to overall WPI over time. In the past five years, Education and </w:t>
      </w:r>
      <w:r w:rsidR="009D4BA9" w:rsidRPr="00AB3B90">
        <w:t>t</w:t>
      </w:r>
      <w:r w:rsidRPr="00AB3B90">
        <w:t>raining WPI has trended above overall WPI in 2020 and mid</w:t>
      </w:r>
      <w:r w:rsidR="00C701D6" w:rsidRPr="00AB3B90">
        <w:t>-</w:t>
      </w:r>
      <w:r w:rsidRPr="00AB3B90">
        <w:t>2021 (when inflation was still low), before falling below overall WPI from December</w:t>
      </w:r>
      <w:r w:rsidR="00C701D6" w:rsidRPr="00AB3B90">
        <w:t> </w:t>
      </w:r>
      <w:r w:rsidRPr="00AB3B90">
        <w:t>2021 to September</w:t>
      </w:r>
      <w:r w:rsidR="00C701D6" w:rsidRPr="00AB3B90">
        <w:t> </w:t>
      </w:r>
      <w:r w:rsidRPr="00AB3B90">
        <w:t xml:space="preserve">2023 (when inflationary pressures were elevated). The public and private Education and </w:t>
      </w:r>
      <w:r w:rsidR="009D4BA9" w:rsidRPr="00AB3B90">
        <w:t>t</w:t>
      </w:r>
      <w:r w:rsidRPr="00AB3B90">
        <w:t>raining WPIs have been largely similar in the past five years (</w:t>
      </w:r>
      <w:r w:rsidR="00A76CEB" w:rsidRPr="00AB3B90">
        <w:fldChar w:fldCharType="begin"/>
      </w:r>
      <w:r w:rsidR="00A76CEB" w:rsidRPr="00AB3B90">
        <w:instrText xml:space="preserve"> REF _Ref160807281 \h </w:instrText>
      </w:r>
      <w:r w:rsidR="00065A8C" w:rsidRPr="00AB3B90">
        <w:instrText xml:space="preserve"> \* MERGEFORMAT </w:instrText>
      </w:r>
      <w:r w:rsidR="00A76CEB" w:rsidRPr="00AB3B90">
        <w:fldChar w:fldCharType="separate"/>
      </w:r>
      <w:r w:rsidR="00FF6847" w:rsidRPr="00AB3B90">
        <w:t xml:space="preserve">Figure </w:t>
      </w:r>
      <w:r w:rsidR="00FF6847" w:rsidRPr="00AB3B90">
        <w:rPr>
          <w:noProof/>
        </w:rPr>
        <w:t>8</w:t>
      </w:r>
      <w:r w:rsidR="00A76CEB" w:rsidRPr="00AB3B90">
        <w:fldChar w:fldCharType="end"/>
      </w:r>
      <w:r w:rsidRPr="00AB3B90">
        <w:t>).</w:t>
      </w:r>
    </w:p>
    <w:p w14:paraId="601AFA38" w14:textId="7499934B" w:rsidR="00F04238" w:rsidRPr="00AB3B90" w:rsidRDefault="00F04238" w:rsidP="00F04238">
      <w:pPr>
        <w:pStyle w:val="Caption"/>
        <w:keepNext/>
      </w:pPr>
      <w:bookmarkStart w:id="130" w:name="_Ref160807281"/>
      <w:bookmarkStart w:id="131" w:name="_Ref160807277"/>
      <w:bookmarkStart w:id="132" w:name="_Toc163650469"/>
      <w:r w:rsidRPr="00AB3B90">
        <w:t xml:space="preserve">Figure </w:t>
      </w:r>
      <w:r w:rsidRPr="00AB3B90">
        <w:fldChar w:fldCharType="begin"/>
      </w:r>
      <w:r w:rsidRPr="00AB3B90">
        <w:instrText>SEQ Figure \* ARABIC</w:instrText>
      </w:r>
      <w:r w:rsidRPr="00AB3B90">
        <w:fldChar w:fldCharType="separate"/>
      </w:r>
      <w:r w:rsidR="00FF6847" w:rsidRPr="00AB3B90">
        <w:rPr>
          <w:noProof/>
        </w:rPr>
        <w:t>8</w:t>
      </w:r>
      <w:r w:rsidRPr="00AB3B90">
        <w:fldChar w:fldCharType="end"/>
      </w:r>
      <w:bookmarkEnd w:id="130"/>
      <w:r w:rsidRPr="00AB3B90">
        <w:t xml:space="preserve"> </w:t>
      </w:r>
      <w:bookmarkEnd w:id="131"/>
      <w:r w:rsidR="00B80335" w:rsidRPr="00AB3B90">
        <w:t xml:space="preserve">Education and </w:t>
      </w:r>
      <w:r w:rsidR="009D4BA9" w:rsidRPr="00AB3B90">
        <w:t>t</w:t>
      </w:r>
      <w:r w:rsidR="00B80335" w:rsidRPr="00AB3B90">
        <w:t xml:space="preserve">raining WPI - </w:t>
      </w:r>
      <w:proofErr w:type="gramStart"/>
      <w:r w:rsidR="00B80335" w:rsidRPr="00AB3B90">
        <w:t>comparisons</w:t>
      </w:r>
      <w:bookmarkEnd w:id="132"/>
      <w:proofErr w:type="gramEnd"/>
    </w:p>
    <w:p w14:paraId="5DACD85B" w14:textId="5D9DFDEC" w:rsidR="003375AF" w:rsidRPr="003375AF" w:rsidRDefault="003375AF" w:rsidP="003375AF">
      <w:pPr>
        <w:spacing w:before="100" w:beforeAutospacing="1" w:after="100" w:afterAutospacing="1" w:line="240" w:lineRule="auto"/>
        <w:rPr>
          <w:rFonts w:ascii="Times New Roman" w:eastAsia="Times New Roman" w:hAnsi="Times New Roman" w:cs="Times New Roman"/>
          <w:sz w:val="24"/>
          <w:szCs w:val="24"/>
          <w:lang w:eastAsia="en-AU"/>
        </w:rPr>
      </w:pPr>
      <w:r w:rsidRPr="003375AF">
        <w:rPr>
          <w:rFonts w:ascii="Times New Roman" w:eastAsia="Times New Roman" w:hAnsi="Times New Roman" w:cs="Times New Roman"/>
          <w:noProof/>
          <w:sz w:val="24"/>
          <w:szCs w:val="24"/>
          <w:lang w:eastAsia="en-AU"/>
        </w:rPr>
        <w:drawing>
          <wp:inline distT="0" distB="0" distL="0" distR="0" wp14:anchorId="75E7EE46" wp14:editId="1342624E">
            <wp:extent cx="5731510" cy="2631440"/>
            <wp:effectExtent l="0" t="0" r="2540" b="0"/>
            <wp:docPr id="1565846676" name="Picture 8" descr="Figure 8 is a line chart comparing Education and training WPI,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46676" name="Picture 8" descr="Figure 8 is a line chart comparing Education and training WPI, as described in the text abov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1510" cy="2631440"/>
                    </a:xfrm>
                    <a:prstGeom prst="rect">
                      <a:avLst/>
                    </a:prstGeom>
                    <a:noFill/>
                    <a:ln>
                      <a:noFill/>
                    </a:ln>
                  </pic:spPr>
                </pic:pic>
              </a:graphicData>
            </a:graphic>
          </wp:inline>
        </w:drawing>
      </w:r>
    </w:p>
    <w:p w14:paraId="5E6F5683" w14:textId="77777777" w:rsidR="00D1727F" w:rsidRPr="00AB3B90" w:rsidRDefault="00D1727F" w:rsidP="00D1727F">
      <w:pPr>
        <w:pStyle w:val="Source"/>
      </w:pPr>
      <w:r w:rsidRPr="00AB3B90">
        <w:t>Source: Australian Bureau of Statistics (2024).</w:t>
      </w:r>
    </w:p>
    <w:p w14:paraId="32674F07" w14:textId="0AAAA836" w:rsidR="00A61999" w:rsidRPr="00AB3B90" w:rsidRDefault="00A61999" w:rsidP="00A61999">
      <w:r w:rsidRPr="00AB3B90">
        <w:t xml:space="preserve">This is also supported when looking at the longer historical series back to 2007 (chosen for illustrative purposes only). Education and </w:t>
      </w:r>
      <w:r w:rsidR="009D4BA9" w:rsidRPr="00AB3B90">
        <w:t>t</w:t>
      </w:r>
      <w:r w:rsidRPr="00AB3B90">
        <w:t>raining WPI consistently ran about 0.5</w:t>
      </w:r>
      <w:r w:rsidR="00987640" w:rsidRPr="00AB3B90">
        <w:t> </w:t>
      </w:r>
      <w:r w:rsidRPr="00AB3B90">
        <w:t>p</w:t>
      </w:r>
      <w:r w:rsidR="00987640" w:rsidRPr="00AB3B90">
        <w:t>ercentage </w:t>
      </w:r>
      <w:r w:rsidRPr="00AB3B90">
        <w:t>p</w:t>
      </w:r>
      <w:r w:rsidR="00987640" w:rsidRPr="00AB3B90">
        <w:t>oints</w:t>
      </w:r>
      <w:r w:rsidRPr="00AB3B90">
        <w:t xml:space="preserve"> to 1</w:t>
      </w:r>
      <w:r w:rsidR="00987640" w:rsidRPr="00AB3B90">
        <w:t xml:space="preserve"> </w:t>
      </w:r>
      <w:r w:rsidRPr="00AB3B90">
        <w:t>p</w:t>
      </w:r>
      <w:r w:rsidR="00987640" w:rsidRPr="00AB3B90">
        <w:t>ercentage </w:t>
      </w:r>
      <w:r w:rsidRPr="00AB3B90">
        <w:t>p</w:t>
      </w:r>
      <w:r w:rsidR="00987640" w:rsidRPr="00AB3B90">
        <w:t>oints</w:t>
      </w:r>
      <w:r w:rsidRPr="00AB3B90">
        <w:t xml:space="preserve"> higher than headline WPI since December</w:t>
      </w:r>
      <w:r w:rsidR="00987640" w:rsidRPr="00AB3B90">
        <w:t> </w:t>
      </w:r>
      <w:r w:rsidRPr="00AB3B90">
        <w:t>2013. This is likely driven by EBAs (which inherently ensure there is wage growth) even if the broader economy is seeing weaker wage growth, a phenomen</w:t>
      </w:r>
      <w:r w:rsidR="009B5066" w:rsidRPr="00AB3B90">
        <w:t>on</w:t>
      </w:r>
      <w:r w:rsidRPr="00AB3B90">
        <w:t xml:space="preserve"> that is largely protected from through the application of an indexation floor (as discussed in </w:t>
      </w:r>
      <w:r w:rsidR="00AA7313" w:rsidRPr="00AB3B90">
        <w:t>Part 5</w:t>
      </w:r>
      <w:r w:rsidRPr="00AB3B90">
        <w:t xml:space="preserve">). Even with this difference, the general direction and movements of WPI are similar, though sometimes lagged for the Education and </w:t>
      </w:r>
      <w:r w:rsidR="009D4BA9" w:rsidRPr="00AB3B90">
        <w:t>t</w:t>
      </w:r>
      <w:r w:rsidRPr="00AB3B90">
        <w:t xml:space="preserve">raining WPI as EBAs are multi-years and take time to flow through (a relevant consideration for the determination of the timing of indexation rates, discussed in </w:t>
      </w:r>
      <w:r w:rsidR="002D369B" w:rsidRPr="00AB3B90">
        <w:t>Part 7</w:t>
      </w:r>
      <w:r w:rsidRPr="00AB3B90">
        <w:t>).</w:t>
      </w:r>
    </w:p>
    <w:p w14:paraId="5237C05C" w14:textId="4C109B2F" w:rsidR="00C80B08" w:rsidRPr="00AB3B90" w:rsidRDefault="00C80B08" w:rsidP="00C80B08">
      <w:pPr>
        <w:pStyle w:val="Caption"/>
        <w:keepNext/>
      </w:pPr>
      <w:bookmarkStart w:id="133" w:name="_Ref160809172"/>
      <w:bookmarkStart w:id="134" w:name="_Toc163650470"/>
      <w:r w:rsidRPr="00AB3B90">
        <w:t xml:space="preserve">Figure </w:t>
      </w:r>
      <w:r w:rsidRPr="00AB3B90">
        <w:fldChar w:fldCharType="begin"/>
      </w:r>
      <w:r w:rsidRPr="00AB3B90">
        <w:instrText>SEQ Figure \* ARABIC</w:instrText>
      </w:r>
      <w:r w:rsidRPr="00AB3B90">
        <w:fldChar w:fldCharType="separate"/>
      </w:r>
      <w:r w:rsidR="00FF6847" w:rsidRPr="00AB3B90">
        <w:rPr>
          <w:noProof/>
        </w:rPr>
        <w:t>9</w:t>
      </w:r>
      <w:r w:rsidRPr="00AB3B90">
        <w:fldChar w:fldCharType="end"/>
      </w:r>
      <w:bookmarkEnd w:id="133"/>
      <w:r w:rsidRPr="00AB3B90">
        <w:t xml:space="preserve"> Education and training </w:t>
      </w:r>
      <w:proofErr w:type="gramStart"/>
      <w:r w:rsidRPr="00AB3B90">
        <w:t>WPI</w:t>
      </w:r>
      <w:bookmarkEnd w:id="134"/>
      <w:proofErr w:type="gramEnd"/>
    </w:p>
    <w:p w14:paraId="02C099E1" w14:textId="6FC0B3DC" w:rsidR="00BA603E" w:rsidRPr="00BA603E" w:rsidRDefault="00BA603E" w:rsidP="00BA603E">
      <w:pPr>
        <w:spacing w:before="100" w:beforeAutospacing="1" w:after="100" w:afterAutospacing="1" w:line="240" w:lineRule="auto"/>
        <w:rPr>
          <w:rFonts w:ascii="Times New Roman" w:eastAsia="Times New Roman" w:hAnsi="Times New Roman" w:cs="Times New Roman"/>
          <w:sz w:val="24"/>
          <w:szCs w:val="24"/>
          <w:lang w:eastAsia="en-AU"/>
        </w:rPr>
      </w:pPr>
      <w:r w:rsidRPr="00BA603E">
        <w:rPr>
          <w:rFonts w:ascii="Times New Roman" w:eastAsia="Times New Roman" w:hAnsi="Times New Roman" w:cs="Times New Roman"/>
          <w:noProof/>
          <w:sz w:val="24"/>
          <w:szCs w:val="24"/>
          <w:lang w:eastAsia="en-AU"/>
        </w:rPr>
        <w:drawing>
          <wp:inline distT="0" distB="0" distL="0" distR="0" wp14:anchorId="52E05242" wp14:editId="1E508D1D">
            <wp:extent cx="5731510" cy="2400935"/>
            <wp:effectExtent l="0" t="0" r="2540" b="0"/>
            <wp:docPr id="698687707" name="Picture 9" descr="Figure 9 is a line chart depicting growth in the Education and training WPI over time,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87707" name="Picture 9" descr="Figure 9 is a line chart depicting growth in the Education and training WPI over time, as described in the text abov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1510" cy="2400935"/>
                    </a:xfrm>
                    <a:prstGeom prst="rect">
                      <a:avLst/>
                    </a:prstGeom>
                    <a:noFill/>
                    <a:ln>
                      <a:noFill/>
                    </a:ln>
                  </pic:spPr>
                </pic:pic>
              </a:graphicData>
            </a:graphic>
          </wp:inline>
        </w:drawing>
      </w:r>
    </w:p>
    <w:p w14:paraId="7F5F0185" w14:textId="77777777" w:rsidR="00C56F06" w:rsidRPr="00AB3B90" w:rsidRDefault="00C56F06" w:rsidP="00C56F06">
      <w:pPr>
        <w:pStyle w:val="Source"/>
      </w:pPr>
      <w:r w:rsidRPr="00AB3B90">
        <w:t>Source: Australian Bureau of Statistics (2024).</w:t>
      </w:r>
    </w:p>
    <w:p w14:paraId="1ED9191C" w14:textId="5B405EEF" w:rsidR="005E083B" w:rsidRPr="00AB3B90" w:rsidRDefault="005E083B" w:rsidP="005E083B">
      <w:pPr>
        <w:pStyle w:val="Caption"/>
        <w:keepNext/>
      </w:pPr>
      <w:bookmarkStart w:id="135" w:name="_Toc163650471"/>
      <w:r w:rsidRPr="00AB3B90">
        <w:t xml:space="preserve">Figure </w:t>
      </w:r>
      <w:r w:rsidRPr="00AB3B90">
        <w:fldChar w:fldCharType="begin"/>
      </w:r>
      <w:r w:rsidRPr="00AB3B90">
        <w:instrText>SEQ Figure \* ARABIC</w:instrText>
      </w:r>
      <w:r w:rsidRPr="00AB3B90">
        <w:fldChar w:fldCharType="separate"/>
      </w:r>
      <w:r w:rsidR="00FF6847" w:rsidRPr="00AB3B90">
        <w:rPr>
          <w:noProof/>
        </w:rPr>
        <w:t>10</w:t>
      </w:r>
      <w:r w:rsidRPr="00AB3B90">
        <w:fldChar w:fldCharType="end"/>
      </w:r>
      <w:r w:rsidRPr="00AB3B90">
        <w:t xml:space="preserve"> Composite WPI/CPI measure with overall WPI and Education and training </w:t>
      </w:r>
      <w:proofErr w:type="gramStart"/>
      <w:r w:rsidRPr="00AB3B90">
        <w:t>WPI</w:t>
      </w:r>
      <w:bookmarkEnd w:id="135"/>
      <w:proofErr w:type="gramEnd"/>
    </w:p>
    <w:p w14:paraId="4BC927C8" w14:textId="0DD819F6" w:rsidR="00B44589" w:rsidRPr="00B44589" w:rsidRDefault="00B44589" w:rsidP="00B44589">
      <w:pPr>
        <w:spacing w:before="100" w:beforeAutospacing="1" w:after="100" w:afterAutospacing="1" w:line="240" w:lineRule="auto"/>
        <w:rPr>
          <w:rFonts w:ascii="Times New Roman" w:eastAsia="Times New Roman" w:hAnsi="Times New Roman" w:cs="Times New Roman"/>
          <w:sz w:val="24"/>
          <w:szCs w:val="24"/>
          <w:lang w:eastAsia="en-AU"/>
        </w:rPr>
      </w:pPr>
      <w:r w:rsidRPr="00B44589">
        <w:rPr>
          <w:rFonts w:ascii="Times New Roman" w:eastAsia="Times New Roman" w:hAnsi="Times New Roman" w:cs="Times New Roman"/>
          <w:noProof/>
          <w:sz w:val="24"/>
          <w:szCs w:val="24"/>
          <w:lang w:eastAsia="en-AU"/>
        </w:rPr>
        <w:drawing>
          <wp:inline distT="0" distB="0" distL="0" distR="0" wp14:anchorId="6DEA2CE4" wp14:editId="02D0C635">
            <wp:extent cx="5731510" cy="2400935"/>
            <wp:effectExtent l="0" t="0" r="2540" b="0"/>
            <wp:docPr id="2119955007" name="Picture 10" descr="Figure 10 is a line chart depicting comparing composite WPI/CPI measure with overall WPI and Education and training WPI, over time,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55007" name="Picture 10" descr="Figure 10 is a line chart depicting comparing composite WPI/CPI measure with overall WPI and Education and training WPI, over time, as described in the text abov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1510" cy="2400935"/>
                    </a:xfrm>
                    <a:prstGeom prst="rect">
                      <a:avLst/>
                    </a:prstGeom>
                    <a:noFill/>
                    <a:ln>
                      <a:noFill/>
                    </a:ln>
                  </pic:spPr>
                </pic:pic>
              </a:graphicData>
            </a:graphic>
          </wp:inline>
        </w:drawing>
      </w:r>
    </w:p>
    <w:p w14:paraId="4EFA39D2" w14:textId="77777777" w:rsidR="002B4431" w:rsidRPr="00AB3B90" w:rsidRDefault="002B4431" w:rsidP="002B4431">
      <w:pPr>
        <w:pStyle w:val="Source"/>
      </w:pPr>
      <w:r w:rsidRPr="00AB3B90">
        <w:t>Source: Australian Bureau of Statistics (2024).</w:t>
      </w:r>
    </w:p>
    <w:p w14:paraId="112E47D1" w14:textId="3A1218D4" w:rsidR="00E84428" w:rsidRPr="00AB3B90" w:rsidRDefault="7DF273B5" w:rsidP="00E84428">
      <w:r w:rsidRPr="00AB3B90">
        <w:t xml:space="preserve">With these points in mind, consultations with stakeholders indicated a general preference or indifference towards retaining the current WPI measure. The current approach is well known by stakeholders and as no significant benefits or differences are expected from switching to an education specific measure, there is a preference to retain the same measure –particularly given the timing of upcoming NSRA discussions and education reforms. </w:t>
      </w:r>
      <w:r w:rsidR="7520173A" w:rsidRPr="00AB3B90">
        <w:t>One stakeholder</w:t>
      </w:r>
      <w:r w:rsidRPr="00AB3B90">
        <w:t xml:space="preserve"> was a key exception who noted a preference for the education specific WPI. </w:t>
      </w:r>
    </w:p>
    <w:p w14:paraId="3785CD55" w14:textId="77777777" w:rsidR="00E84428" w:rsidRPr="00AB3B90" w:rsidRDefault="00E84428" w:rsidP="00E84428">
      <w:r w:rsidRPr="00AB3B90">
        <w:t xml:space="preserve">It should also be noted that more sector specific data, including data from EBA agreements, would not be an appropriate basis for determining indexation. Such an approach would be subject to issues of policy independence (as discussed below), and EBA salary increases are not always representative of pure inflationary changes. EBAs often include trade-offs between salary changes and other measures that may impact productivity and the work value for teaching staff, for example, changes to face-to-face teaching requirements or class size guidelines alongside changes to salaries. </w:t>
      </w:r>
    </w:p>
    <w:p w14:paraId="22034C3B" w14:textId="4D5E099B" w:rsidR="00C56F06" w:rsidRPr="00AB3B90" w:rsidRDefault="00E84428" w:rsidP="00E84428">
      <w:pPr>
        <w:pStyle w:val="Heading4"/>
      </w:pPr>
      <w:r w:rsidRPr="00AB3B90">
        <w:t>Policy independence</w:t>
      </w:r>
    </w:p>
    <w:p w14:paraId="7B34887C" w14:textId="712C2DF9" w:rsidR="004878AF" w:rsidRPr="00AB3B90" w:rsidRDefault="1078ABD3" w:rsidP="004878AF">
      <w:r w:rsidRPr="00AB3B90">
        <w:t xml:space="preserve">As previously outlined, policy independence and circularity are important considerations when determining an appropriate indexation measure. The ‘revenue theory of cost’ </w:t>
      </w:r>
      <w:r w:rsidR="53351F81" w:rsidRPr="00AB3B90">
        <w:t>outlined by Deloitte</w:t>
      </w:r>
      <w:r w:rsidR="009F66CD">
        <w:t xml:space="preserve"> Access Economics</w:t>
      </w:r>
      <w:r w:rsidR="53351F81" w:rsidRPr="00AB3B90">
        <w:t xml:space="preserve"> </w:t>
      </w:r>
      <w:r w:rsidRPr="00AB3B90">
        <w:t xml:space="preserve">suggests that an increase in revenue (funding) will typically lead to an increase in total costs (expenditure), even if underlying cost drivers have remained constant. Using the Education and training WPI would present a risk of circularity, in that the index could reflect education policy decisions and final funding amounts rather than changes in the price of underlying inputs. </w:t>
      </w:r>
    </w:p>
    <w:p w14:paraId="5947955A" w14:textId="77777777" w:rsidR="00B80335" w:rsidRPr="00AB3B90" w:rsidRDefault="00B80335" w:rsidP="00B80335">
      <w:r w:rsidRPr="00AB3B90">
        <w:t xml:space="preserve">Two stakeholders believed that the risk of circularity of using the education specific measure of WPI was low. While the indexation rate is referenced by unions during EBA negotiations, it is overall not a key driver of EBAs. Instead, there is established ‘leapfrogging’ between whole of government policy (i.e., nurses, paramedics, and other wages). Catholic schools tend to follow state EBAs a sentiment that was echoed across </w:t>
      </w:r>
      <w:proofErr w:type="gramStart"/>
      <w:r w:rsidRPr="00AB3B90">
        <w:t>a number of</w:t>
      </w:r>
      <w:proofErr w:type="gramEnd"/>
      <w:r w:rsidRPr="00AB3B90">
        <w:t xml:space="preserve"> consultations. </w:t>
      </w:r>
    </w:p>
    <w:p w14:paraId="205788F7" w14:textId="5E043095" w:rsidR="004878AF" w:rsidRPr="00AB3B90" w:rsidRDefault="004878AF" w:rsidP="004878AF">
      <w:r w:rsidRPr="00AB3B90">
        <w:t>While it may be the case that indexation arrangements are not a driver of wage-setting policy, the setting of wages has the potential to feed</w:t>
      </w:r>
      <w:r w:rsidR="0009316A" w:rsidRPr="00AB3B90">
        <w:t xml:space="preserve"> </w:t>
      </w:r>
      <w:r w:rsidRPr="00AB3B90">
        <w:t xml:space="preserve">back through to indexation </w:t>
      </w:r>
      <w:proofErr w:type="gramStart"/>
      <w:r w:rsidRPr="00AB3B90">
        <w:t>arrangements, if</w:t>
      </w:r>
      <w:proofErr w:type="gramEnd"/>
      <w:r w:rsidRPr="00AB3B90">
        <w:t xml:space="preserve"> a sector</w:t>
      </w:r>
      <w:r w:rsidR="00760CB3" w:rsidRPr="00AB3B90">
        <w:t>-</w:t>
      </w:r>
      <w:r w:rsidRPr="00AB3B90">
        <w:t>specific index is used.</w:t>
      </w:r>
    </w:p>
    <w:p w14:paraId="592E2D37" w14:textId="77777777" w:rsidR="004878AF" w:rsidRPr="00AB3B90" w:rsidRDefault="004878AF" w:rsidP="004878AF">
      <w:r w:rsidRPr="00AB3B90">
        <w:t xml:space="preserve">In this context, it is important to understand the circumstances that might result in salary increases in the schooling sector exceeding increases in the general economy. This may occur where jurisdictions are seeking to improve the relative value proposition of teaching as a profession, seeking to boost attraction and retention in the sector. </w:t>
      </w:r>
    </w:p>
    <w:p w14:paraId="5B898DBE" w14:textId="77777777" w:rsidR="004878AF" w:rsidRPr="00AB3B90" w:rsidRDefault="004878AF" w:rsidP="004878AF">
      <w:r w:rsidRPr="00AB3B90">
        <w:t>On the one hand, such a change may occur in response to underlying pressures in the labour market (including significant teacher shortages), and therefore represent a form of general input price increase that would be appropriately reflected in indexation arrangements.</w:t>
      </w:r>
    </w:p>
    <w:p w14:paraId="470F880A" w14:textId="0A15D08E" w:rsidR="00854BFE" w:rsidRPr="00AB3B90" w:rsidRDefault="00854BFE" w:rsidP="00854BFE">
      <w:r w:rsidRPr="00AB3B90">
        <w:t>On the other hand, investments in teacher salaries may be interpreted as a form of policy decision that reflects the changing nature or quality of education delivery. Above market salary increases have the potential to increase the supply of effective teachers in the workforce and may be provided in recognition of changes to the work value of teachers’ roles, as schools become more complex and student needs change over time. Under these circumstances, it would not be appropriate for price changes to flow through to indexation</w:t>
      </w:r>
      <w:r w:rsidR="00F635A0" w:rsidRPr="00AB3B90">
        <w:t>, but rather, to an adjustment to the underlying base of the SRS</w:t>
      </w:r>
      <w:r w:rsidR="005B1AB0" w:rsidRPr="00AB3B90">
        <w:t>.</w:t>
      </w:r>
    </w:p>
    <w:p w14:paraId="39E2D58E" w14:textId="1DF021EA" w:rsidR="004878AF" w:rsidRPr="00AB3B90" w:rsidRDefault="004878AF" w:rsidP="004878AF">
      <w:r w:rsidRPr="00AB3B90">
        <w:t>Further, recent teacher salary increases in the government system have occurred in a context where most states and territories have not achieved funding levels at 100</w:t>
      </w:r>
      <w:r w:rsidR="00EE6663" w:rsidRPr="00AB3B90">
        <w:t> per cent</w:t>
      </w:r>
      <w:r w:rsidRPr="00AB3B90">
        <w:t xml:space="preserve"> of the SRS. Given the national focus on teacher attraction and retention, investments in teacher salaries may be a valid, policy-based, investment made by jurisdictions to achieve funding at 100</w:t>
      </w:r>
      <w:r w:rsidR="00CA677F" w:rsidRPr="00AB3B90">
        <w:t> per cent</w:t>
      </w:r>
      <w:r w:rsidRPr="00AB3B90">
        <w:t xml:space="preserve"> of the SRS benchmark. Having these salary increases </w:t>
      </w:r>
      <w:proofErr w:type="spellStart"/>
      <w:r w:rsidRPr="00AB3B90">
        <w:t>feed</w:t>
      </w:r>
      <w:r w:rsidR="000F300A" w:rsidRPr="00AB3B90">
        <w:t xml:space="preserve"> </w:t>
      </w:r>
      <w:r w:rsidRPr="00AB3B90">
        <w:t>back</w:t>
      </w:r>
      <w:proofErr w:type="spellEnd"/>
      <w:r w:rsidRPr="00AB3B90">
        <w:t xml:space="preserve"> through to the SRS benchmark through indexation may be counterproductive to this goal.</w:t>
      </w:r>
    </w:p>
    <w:p w14:paraId="4E276DF8" w14:textId="01277F0D" w:rsidR="004878AF" w:rsidRPr="00AB3B90" w:rsidRDefault="004878AF" w:rsidP="004878AF">
      <w:r w:rsidRPr="00AB3B90">
        <w:t xml:space="preserve">Finally, </w:t>
      </w:r>
      <w:r w:rsidR="00E6523B" w:rsidRPr="00AB3B90">
        <w:t>the Board</w:t>
      </w:r>
      <w:r w:rsidRPr="00AB3B90">
        <w:t xml:space="preserve"> is not aware of another government funded sector where indexation is based on a measure of price increases drawn specifically from that sector. While price increases in areas like health can be based on evidence of specific underlying cost increases in the sector, these are not interpreted as indexation in an equivalent way to the arrangements used for the SRS (i.e., they are more akin to revisions in the cost inputs to the base funding model). </w:t>
      </w:r>
    </w:p>
    <w:p w14:paraId="7DDC68D2" w14:textId="12C400B1" w:rsidR="00C56F06" w:rsidRPr="00AB3B90" w:rsidRDefault="000757E7" w:rsidP="009F66CD">
      <w:pPr>
        <w:pStyle w:val="Heading3"/>
      </w:pPr>
      <w:r w:rsidRPr="00AB3B90">
        <w:t>Education specific measure of CPI</w:t>
      </w:r>
    </w:p>
    <w:p w14:paraId="62E463FA" w14:textId="634F4D43" w:rsidR="00241709" w:rsidRPr="00AB3B90" w:rsidRDefault="093A3A76" w:rsidP="00241709">
      <w:r w:rsidRPr="00AB3B90">
        <w:t>It is possible that a combination of certain components of the CPI would be a better measure of non-</w:t>
      </w:r>
      <w:r w:rsidR="000F300A" w:rsidRPr="00AB3B90">
        <w:t>staff</w:t>
      </w:r>
      <w:r w:rsidRPr="00AB3B90">
        <w:t xml:space="preserve"> schooling price increases. A more detailed understanding of these expenditure items would enable a more robust analysis of how well the CPI (or subcomponents of CPI) reflects the true price increases being faced by schools.</w:t>
      </w:r>
    </w:p>
    <w:p w14:paraId="54588DFF" w14:textId="1564B9DE" w:rsidR="00EC2B30" w:rsidRPr="00AB3B90" w:rsidRDefault="00EC2B30" w:rsidP="00EC2B30">
      <w:r w:rsidRPr="00AB3B90">
        <w:t xml:space="preserve">During consultations, all stakeholders except one were broadly comfortable using headline CPI and did not think there was a strong need to switch to a measure </w:t>
      </w:r>
      <w:r w:rsidR="00BF3333" w:rsidRPr="00AB3B90">
        <w:t>that is</w:t>
      </w:r>
      <w:r w:rsidRPr="00AB3B90">
        <w:t xml:space="preserve"> education specific. Many stakeholders noted that they were unsure that it was possible to construct a more appropriate </w:t>
      </w:r>
      <w:proofErr w:type="gramStart"/>
      <w:r w:rsidRPr="00AB3B90">
        <w:t>measure, and</w:t>
      </w:r>
      <w:proofErr w:type="gramEnd"/>
      <w:r w:rsidRPr="00AB3B90">
        <w:t xml:space="preserve"> felt that it was unlikely that the benefit of transitioning to a more specific measure would outweigh the costs, especially if it relied on the provision of additional data by jurisdictions. Another stakeholder noted that they have their own ‘education price index’, which is primarily based on utilities and maintenance costs, </w:t>
      </w:r>
      <w:proofErr w:type="gramStart"/>
      <w:r w:rsidRPr="00AB3B90">
        <w:t>and also</w:t>
      </w:r>
      <w:proofErr w:type="gramEnd"/>
      <w:r w:rsidRPr="00AB3B90">
        <w:t xml:space="preserve"> raised the likely price impacts of upcoming reforms such as the disability/NDIS reform and university reform for acknowledgement by the </w:t>
      </w:r>
      <w:r w:rsidR="00963D5A" w:rsidRPr="00AB3B90">
        <w:t>Board</w:t>
      </w:r>
      <w:r w:rsidRPr="00AB3B90">
        <w:t xml:space="preserve">. </w:t>
      </w:r>
    </w:p>
    <w:p w14:paraId="4ACFF9D4" w14:textId="77777777" w:rsidR="00EC2B30" w:rsidRPr="00AB3B90" w:rsidRDefault="00EC2B30" w:rsidP="00EC2B30">
      <w:r w:rsidRPr="00AB3B90">
        <w:t>One stakeholder noted a strong preference to use an education specific measure as headline CPI is driven by categories with limited relevance to schooling, such as housing. They suggested that a more relevant index would ideally reflect a combination of IT and professional services input prices.</w:t>
      </w:r>
    </w:p>
    <w:p w14:paraId="2C151808" w14:textId="06E7CA76" w:rsidR="00241709" w:rsidRPr="00AB3B90" w:rsidRDefault="00241709" w:rsidP="00241709">
      <w:r w:rsidRPr="00AB3B90">
        <w:t xml:space="preserve">Overall, it would be difficult to develop a measure of non-staffing prices relevant to education. Firstly, there is limited information about the weighting of different non-staffing categories, and consultations confirmed that these weightings would differ substantially between different jurisdictions and school types. This would make arriving at a robust national measure </w:t>
      </w:r>
      <w:proofErr w:type="gramStart"/>
      <w:r w:rsidRPr="00AB3B90">
        <w:t>difficult, and</w:t>
      </w:r>
      <w:proofErr w:type="gramEnd"/>
      <w:r w:rsidRPr="00AB3B90">
        <w:t xml:space="preserve"> reduce the simplicity and transparency of indexation arrangements. </w:t>
      </w:r>
    </w:p>
    <w:p w14:paraId="4047B430" w14:textId="0AA94261" w:rsidR="00241709" w:rsidRPr="00AB3B90" w:rsidRDefault="00241709" w:rsidP="00241709">
      <w:r w:rsidRPr="00AB3B90">
        <w:t xml:space="preserve">For government schools, there is also difficulty measuring exact price changes and weighting categories because schooling costs are incurred both centrally (via state and territory governments) and by schools directly. This means that there could </w:t>
      </w:r>
      <w:r w:rsidR="00C44929" w:rsidRPr="00AB3B90">
        <w:t xml:space="preserve">be </w:t>
      </w:r>
      <w:r w:rsidRPr="00AB3B90">
        <w:t xml:space="preserve">substantial differences in both the price changes and weightings faced between two schools in the same jurisdiction, on top of jurisdictional differences. </w:t>
      </w:r>
    </w:p>
    <w:p w14:paraId="66971FB5" w14:textId="7FAB92AE" w:rsidR="00EC2B30" w:rsidRPr="00AB3B90" w:rsidRDefault="00EC2B30" w:rsidP="00EC2B30">
      <w:r w:rsidRPr="00AB3B90">
        <w:t xml:space="preserve">One stakeholder noted examples </w:t>
      </w:r>
      <w:r w:rsidR="005B2D71" w:rsidRPr="00AB3B90">
        <w:t xml:space="preserve">of </w:t>
      </w:r>
      <w:r w:rsidRPr="00AB3B90">
        <w:t>where the state centrally fund</w:t>
      </w:r>
      <w:r w:rsidR="00986B3E" w:rsidRPr="00AB3B90">
        <w:t xml:space="preserve">s </w:t>
      </w:r>
      <w:r w:rsidRPr="00AB3B90">
        <w:t>non-staff categories differently to other jurisdictions (such as cleaning and maintenance and software costs</w:t>
      </w:r>
      <w:r w:rsidR="00144CD3" w:rsidRPr="00AB3B90">
        <w:t>)</w:t>
      </w:r>
      <w:r w:rsidR="00B975C9" w:rsidRPr="00AB3B90">
        <w:t xml:space="preserve">. </w:t>
      </w:r>
      <w:r w:rsidRPr="00AB3B90">
        <w:t>They also noted that the actual price changes for different categories could behave differently depending on whether it was centrally funded or on the procurement method – for example, their government schools were largely shielded from electricity volatility due to whole of state contracts which were locked in for multiple years.</w:t>
      </w:r>
    </w:p>
    <w:p w14:paraId="1A78DA53" w14:textId="1119200D" w:rsidR="00EC2B30" w:rsidRPr="00AB3B90" w:rsidRDefault="00EC2B30" w:rsidP="00EC2B30">
      <w:r w:rsidRPr="00AB3B90">
        <w:t xml:space="preserve">For non-government schools, the challenge of inconsistent categorisation of non-staff </w:t>
      </w:r>
      <w:r w:rsidR="008666C1" w:rsidRPr="00AB3B90">
        <w:t>inputs</w:t>
      </w:r>
      <w:r w:rsidRPr="00AB3B90">
        <w:t xml:space="preserve"> was raised during consultation, where it was highlighted that due to inconsistencies across independent schools’ accounting practices the data would be limited and may not be useful to reliably measure changes in operating expenses over time.</w:t>
      </w:r>
    </w:p>
    <w:p w14:paraId="3E95ACFF" w14:textId="02FFE134" w:rsidR="000757E7" w:rsidRPr="00AB3B90" w:rsidRDefault="7C06AFB4" w:rsidP="001C48CB">
      <w:pPr>
        <w:pStyle w:val="Heading2-Numbered"/>
      </w:pPr>
      <w:bookmarkStart w:id="136" w:name="_Toc163650450"/>
      <w:r w:rsidRPr="00AB3B90">
        <w:t>Weighting of the composite index</w:t>
      </w:r>
      <w:bookmarkEnd w:id="136"/>
    </w:p>
    <w:p w14:paraId="2C0E8D55" w14:textId="3AC26A88" w:rsidR="00D71A64" w:rsidRPr="00AB3B90" w:rsidRDefault="00D71A64" w:rsidP="00D71A64">
      <w:r w:rsidRPr="00AB3B90">
        <w:t>Expenditure on salaries and wages has consistently represented around 74 to 76</w:t>
      </w:r>
      <w:r w:rsidR="005C4602" w:rsidRPr="00AB3B90">
        <w:t> </w:t>
      </w:r>
      <w:r w:rsidRPr="00AB3B90">
        <w:t>per</w:t>
      </w:r>
      <w:r w:rsidR="005C4602" w:rsidRPr="00AB3B90">
        <w:t> </w:t>
      </w:r>
      <w:r w:rsidRPr="00AB3B90">
        <w:t xml:space="preserve">cent of total recurrent school expenditure, across both government and non-government sectors. This suggests that the current weighting remains relevant and consistent in reflecting the composition of school expenditure. </w:t>
      </w:r>
    </w:p>
    <w:p w14:paraId="73188D06" w14:textId="637B2CB4" w:rsidR="00EC2B30" w:rsidRPr="00AB3B90" w:rsidRDefault="00EC2B30" w:rsidP="00EC2B30">
      <w:r w:rsidRPr="00AB3B90">
        <w:t xml:space="preserve">This is a view supported by all stakeholders, </w:t>
      </w:r>
      <w:proofErr w:type="gramStart"/>
      <w:r w:rsidRPr="00AB3B90">
        <w:t>with the exception of</w:t>
      </w:r>
      <w:proofErr w:type="gramEnd"/>
      <w:r w:rsidRPr="00AB3B90">
        <w:t xml:space="preserve"> one stakeholder.</w:t>
      </w:r>
    </w:p>
    <w:p w14:paraId="0FE70B74" w14:textId="3E2D619A" w:rsidR="00EC2B30" w:rsidRPr="00AB3B90" w:rsidRDefault="6B20636F" w:rsidP="00E37ADA">
      <w:pPr>
        <w:pStyle w:val="ListBullet"/>
      </w:pPr>
      <w:r w:rsidRPr="00AB3B90">
        <w:t>Notably, one stakeholder was of the view that there is benefit in using widely understood, easily calculated, and consistently published indices such as the CPI and WPI. The proportions of the composite index are viewed as appropriate and reflective of the fact that approximately 75 per cent of operating costs for schools are salary costs.</w:t>
      </w:r>
    </w:p>
    <w:p w14:paraId="2DAF26C0" w14:textId="40A75C17" w:rsidR="00EC2B30" w:rsidRPr="00AB3B90" w:rsidRDefault="6B20636F" w:rsidP="00E37ADA">
      <w:pPr>
        <w:pStyle w:val="ListBullet"/>
      </w:pPr>
      <w:r w:rsidRPr="00AB3B90">
        <w:t xml:space="preserve">Conversely, another stakeholder was of the view that the current weightings of CPI and WPI should be reconsidered against universally established definitions of employee and </w:t>
      </w:r>
      <w:r w:rsidRPr="00AB3B90">
        <w:br/>
        <w:t xml:space="preserve">non-employee costs. Noting the limitations of nationally consistent available data, this issue has not been able to be addressed as part of this </w:t>
      </w:r>
      <w:r w:rsidR="67A1F75C" w:rsidRPr="00AB3B90">
        <w:t>r</w:t>
      </w:r>
      <w:r w:rsidRPr="00AB3B90">
        <w:t xml:space="preserve">eview. </w:t>
      </w:r>
    </w:p>
    <w:p w14:paraId="32694F04" w14:textId="77777777" w:rsidR="00AA3B12" w:rsidRPr="00AB3B90" w:rsidRDefault="00D71A64" w:rsidP="00D71A64">
      <w:pPr>
        <w:sectPr w:rsidR="00AA3B12" w:rsidRPr="00AB3B90" w:rsidSect="00DA031A">
          <w:headerReference w:type="even" r:id="rId48"/>
          <w:headerReference w:type="default" r:id="rId49"/>
          <w:footerReference w:type="default" r:id="rId50"/>
          <w:headerReference w:type="first" r:id="rId51"/>
          <w:pgSz w:w="11906" w:h="16838"/>
          <w:pgMar w:top="1440" w:right="1440" w:bottom="1440" w:left="1440" w:header="709" w:footer="709" w:gutter="0"/>
          <w:pgNumType w:start="1"/>
          <w:cols w:space="708"/>
          <w:docGrid w:linePitch="360"/>
        </w:sectPr>
      </w:pPr>
      <w:r w:rsidRPr="00AB3B90">
        <w:t>On balance, there is not a compelling case for materially changing the weighting of the composite index. However, the views heard through consultation suggest that the composition of recurrent expenditure be closely monitored against the changing nature of schooling input costs</w:t>
      </w:r>
      <w:r w:rsidR="00AA3B12" w:rsidRPr="00AB3B90">
        <w:t>.</w:t>
      </w:r>
    </w:p>
    <w:p w14:paraId="26FC974C" w14:textId="19D45601" w:rsidR="00206034" w:rsidRDefault="00206034" w:rsidP="00206034">
      <w:pPr>
        <w:pStyle w:val="Caption"/>
        <w:keepNext/>
      </w:pPr>
      <w:bookmarkStart w:id="137" w:name="_Toc161150707"/>
      <w:bookmarkStart w:id="138" w:name="_Toc163650484"/>
      <w:r w:rsidRPr="00AB3B90">
        <w:t xml:space="preserve">Table </w:t>
      </w:r>
      <w:r w:rsidRPr="00AB3B90">
        <w:fldChar w:fldCharType="begin"/>
      </w:r>
      <w:r w:rsidRPr="00AB3B90">
        <w:instrText>SEQ Table \* ARABIC</w:instrText>
      </w:r>
      <w:r w:rsidRPr="00AB3B90">
        <w:fldChar w:fldCharType="separate"/>
      </w:r>
      <w:r w:rsidR="00FF6847" w:rsidRPr="00AB3B90">
        <w:rPr>
          <w:noProof/>
        </w:rPr>
        <w:t>8</w:t>
      </w:r>
      <w:r w:rsidRPr="00AB3B90">
        <w:fldChar w:fldCharType="end"/>
      </w:r>
      <w:r w:rsidRPr="00AB3B90">
        <w:t xml:space="preserve"> Alternative data inputs for the composite index</w:t>
      </w:r>
      <w:bookmarkEnd w:id="137"/>
      <w:bookmarkEnd w:id="138"/>
    </w:p>
    <w:p w14:paraId="2BA2FFA6" w14:textId="0CE52536" w:rsidR="006C29A9" w:rsidRPr="000513C5" w:rsidRDefault="0050770E" w:rsidP="006C29A9">
      <w:pPr>
        <w:rPr>
          <w:sz w:val="20"/>
          <w:szCs w:val="20"/>
        </w:rPr>
      </w:pPr>
      <w:r w:rsidRPr="000513C5">
        <w:rPr>
          <w:sz w:val="20"/>
          <w:szCs w:val="20"/>
        </w:rPr>
        <w:t>Price Indices</w:t>
      </w:r>
    </w:p>
    <w:tbl>
      <w:tblPr>
        <w:tblStyle w:val="Deloittetable"/>
        <w:tblW w:w="14984" w:type="dxa"/>
        <w:tblLook w:val="04A0" w:firstRow="1" w:lastRow="0" w:firstColumn="1" w:lastColumn="0" w:noHBand="0" w:noVBand="1"/>
      </w:tblPr>
      <w:tblGrid>
        <w:gridCol w:w="2497"/>
        <w:gridCol w:w="2497"/>
        <w:gridCol w:w="2498"/>
        <w:gridCol w:w="2497"/>
        <w:gridCol w:w="2497"/>
        <w:gridCol w:w="2498"/>
      </w:tblGrid>
      <w:tr w:rsidR="00E52C06" w:rsidRPr="00AB3B90" w14:paraId="32D4554B" w14:textId="77777777" w:rsidTr="008F4388">
        <w:trPr>
          <w:cnfStyle w:val="100000000000" w:firstRow="1" w:lastRow="0" w:firstColumn="0" w:lastColumn="0" w:oddVBand="0" w:evenVBand="0" w:oddHBand="0" w:evenHBand="0" w:firstRowFirstColumn="0" w:firstRowLastColumn="0" w:lastRowFirstColumn="0" w:lastRowLastColumn="0"/>
          <w:trHeight w:val="20"/>
        </w:trPr>
        <w:tc>
          <w:tcPr>
            <w:tcW w:w="2497" w:type="dxa"/>
            <w:shd w:val="clear" w:color="auto" w:fill="E2EFD9" w:themeFill="accent6" w:themeFillTint="33"/>
          </w:tcPr>
          <w:p w14:paraId="5229BEC9" w14:textId="77777777" w:rsidR="00AA3B12" w:rsidRPr="00AB3B90" w:rsidRDefault="00AA3B12">
            <w:pPr>
              <w:rPr>
                <w:rFonts w:asciiTheme="majorHAnsi" w:hAnsiTheme="majorHAnsi"/>
                <w:b/>
                <w:bCs/>
                <w:sz w:val="16"/>
                <w:szCs w:val="16"/>
              </w:rPr>
            </w:pPr>
            <w:r w:rsidRPr="00AB3B90">
              <w:rPr>
                <w:rFonts w:asciiTheme="majorHAnsi" w:hAnsiTheme="majorHAnsi"/>
                <w:b/>
                <w:bCs/>
                <w:sz w:val="16"/>
                <w:szCs w:val="16"/>
              </w:rPr>
              <w:t>Data source</w:t>
            </w:r>
          </w:p>
        </w:tc>
        <w:tc>
          <w:tcPr>
            <w:tcW w:w="2497" w:type="dxa"/>
            <w:shd w:val="clear" w:color="auto" w:fill="E2EFD9" w:themeFill="accent6" w:themeFillTint="33"/>
          </w:tcPr>
          <w:p w14:paraId="2688F4AC" w14:textId="77777777" w:rsidR="00AA3B12" w:rsidRPr="00AB3B90" w:rsidRDefault="00AA3B12">
            <w:pPr>
              <w:rPr>
                <w:rFonts w:asciiTheme="majorHAnsi" w:hAnsiTheme="majorHAnsi"/>
                <w:b/>
                <w:sz w:val="16"/>
                <w:szCs w:val="16"/>
              </w:rPr>
            </w:pPr>
            <w:r w:rsidRPr="00AB3B90">
              <w:rPr>
                <w:rFonts w:asciiTheme="majorHAnsi" w:hAnsiTheme="majorHAnsi"/>
                <w:b/>
                <w:sz w:val="16"/>
                <w:szCs w:val="16"/>
              </w:rPr>
              <w:t xml:space="preserve">Definition </w:t>
            </w:r>
          </w:p>
        </w:tc>
        <w:tc>
          <w:tcPr>
            <w:tcW w:w="2498" w:type="dxa"/>
          </w:tcPr>
          <w:p w14:paraId="6F1F212E" w14:textId="097AFD26" w:rsidR="00AA3B12" w:rsidRPr="00AB3B90" w:rsidRDefault="00AA3B12">
            <w:pPr>
              <w:rPr>
                <w:rFonts w:asciiTheme="majorHAnsi" w:hAnsiTheme="majorHAnsi"/>
                <w:b/>
                <w:bCs/>
                <w:sz w:val="16"/>
                <w:szCs w:val="16"/>
              </w:rPr>
            </w:pPr>
            <w:r w:rsidRPr="00AB3B90">
              <w:rPr>
                <w:rFonts w:asciiTheme="majorHAnsi" w:hAnsiTheme="majorHAnsi"/>
                <w:b/>
                <w:bCs/>
                <w:sz w:val="16"/>
                <w:szCs w:val="16"/>
              </w:rPr>
              <w:t xml:space="preserve">Frequency and timing </w:t>
            </w:r>
          </w:p>
        </w:tc>
        <w:tc>
          <w:tcPr>
            <w:tcW w:w="2497" w:type="dxa"/>
          </w:tcPr>
          <w:p w14:paraId="1848D27B" w14:textId="77777777" w:rsidR="00AA3B12" w:rsidRPr="00AB3B90" w:rsidRDefault="00AA3B12">
            <w:pPr>
              <w:rPr>
                <w:rFonts w:asciiTheme="majorHAnsi" w:hAnsiTheme="majorHAnsi"/>
                <w:b/>
                <w:sz w:val="16"/>
                <w:szCs w:val="16"/>
              </w:rPr>
            </w:pPr>
            <w:r w:rsidRPr="00AB3B90">
              <w:rPr>
                <w:rFonts w:asciiTheme="majorHAnsi" w:hAnsiTheme="majorHAnsi"/>
                <w:b/>
                <w:sz w:val="16"/>
                <w:szCs w:val="16"/>
              </w:rPr>
              <w:t>Specific to education</w:t>
            </w:r>
          </w:p>
        </w:tc>
        <w:tc>
          <w:tcPr>
            <w:tcW w:w="2497" w:type="dxa"/>
          </w:tcPr>
          <w:p w14:paraId="3CBF7A65" w14:textId="77777777" w:rsidR="00AA3B12" w:rsidRPr="00AB3B90" w:rsidRDefault="00AA3B12">
            <w:pPr>
              <w:rPr>
                <w:rFonts w:asciiTheme="majorHAnsi" w:hAnsiTheme="majorHAnsi"/>
                <w:b/>
                <w:sz w:val="16"/>
                <w:szCs w:val="16"/>
              </w:rPr>
            </w:pPr>
            <w:r w:rsidRPr="00AB3B90">
              <w:rPr>
                <w:rFonts w:asciiTheme="majorHAnsi" w:hAnsiTheme="majorHAnsi"/>
                <w:b/>
                <w:sz w:val="16"/>
                <w:szCs w:val="16"/>
              </w:rPr>
              <w:t>Reflective of school costs</w:t>
            </w:r>
          </w:p>
        </w:tc>
        <w:tc>
          <w:tcPr>
            <w:tcW w:w="2498" w:type="dxa"/>
          </w:tcPr>
          <w:p w14:paraId="18C759FF" w14:textId="77777777" w:rsidR="00AA3B12" w:rsidRPr="00AB3B90" w:rsidRDefault="00AA3B12">
            <w:pPr>
              <w:rPr>
                <w:rFonts w:asciiTheme="majorHAnsi" w:hAnsiTheme="majorHAnsi"/>
                <w:b/>
                <w:bCs/>
                <w:sz w:val="16"/>
                <w:szCs w:val="16"/>
              </w:rPr>
            </w:pPr>
            <w:r w:rsidRPr="00AB3B90">
              <w:rPr>
                <w:rFonts w:asciiTheme="majorHAnsi" w:hAnsiTheme="majorHAnsi"/>
                <w:b/>
                <w:bCs/>
                <w:sz w:val="16"/>
                <w:szCs w:val="16"/>
              </w:rPr>
              <w:t xml:space="preserve">Policy independence </w:t>
            </w:r>
          </w:p>
        </w:tc>
      </w:tr>
      <w:tr w:rsidR="00AA3B12" w:rsidRPr="00AB3B90" w14:paraId="4748EF4F" w14:textId="77777777" w:rsidTr="008F4388">
        <w:trPr>
          <w:trHeight w:val="20"/>
        </w:trPr>
        <w:tc>
          <w:tcPr>
            <w:tcW w:w="2497" w:type="dxa"/>
            <w:shd w:val="clear" w:color="auto" w:fill="E2EFD9" w:themeFill="accent6" w:themeFillTint="33"/>
          </w:tcPr>
          <w:p w14:paraId="56C4DB2F" w14:textId="77777777" w:rsidR="00AA3B12" w:rsidRPr="00AB3B90" w:rsidRDefault="00AA3B12">
            <w:pPr>
              <w:rPr>
                <w:rFonts w:asciiTheme="majorHAnsi" w:hAnsiTheme="majorHAnsi"/>
                <w:b/>
                <w:bCs/>
                <w:sz w:val="16"/>
                <w:szCs w:val="16"/>
              </w:rPr>
            </w:pPr>
            <w:r w:rsidRPr="00AB3B90">
              <w:rPr>
                <w:rFonts w:asciiTheme="majorHAnsi" w:hAnsiTheme="majorHAnsi"/>
                <w:b/>
                <w:bCs/>
                <w:sz w:val="16"/>
                <w:szCs w:val="16"/>
              </w:rPr>
              <w:t>CPI (current arrangement)</w:t>
            </w:r>
          </w:p>
        </w:tc>
        <w:tc>
          <w:tcPr>
            <w:tcW w:w="2497" w:type="dxa"/>
            <w:shd w:val="clear" w:color="auto" w:fill="E2EFD9" w:themeFill="accent6" w:themeFillTint="33"/>
          </w:tcPr>
          <w:p w14:paraId="59198598"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Changes to the price of a weighted basket of goods and services representative of a typical consumer. </w:t>
            </w:r>
          </w:p>
        </w:tc>
        <w:tc>
          <w:tcPr>
            <w:tcW w:w="2498" w:type="dxa"/>
          </w:tcPr>
          <w:p w14:paraId="43270B29" w14:textId="77777777" w:rsidR="00AA3B12" w:rsidRPr="00AB3B90" w:rsidRDefault="00AA3B12">
            <w:pPr>
              <w:rPr>
                <w:rFonts w:asciiTheme="majorHAnsi" w:hAnsiTheme="majorHAnsi"/>
                <w:sz w:val="16"/>
                <w:szCs w:val="16"/>
              </w:rPr>
            </w:pPr>
            <w:r w:rsidRPr="00AB3B90">
              <w:rPr>
                <w:rFonts w:asciiTheme="majorHAnsi" w:hAnsiTheme="majorHAnsi"/>
                <w:sz w:val="16"/>
                <w:szCs w:val="16"/>
              </w:rPr>
              <w:t>Released quarterly, approximately one month after the end of the quarter.</w:t>
            </w:r>
          </w:p>
          <w:p w14:paraId="4BE3EFCC" w14:textId="77777777" w:rsidR="00AA3B12" w:rsidRPr="00AB3B90" w:rsidRDefault="00AA3B12">
            <w:pPr>
              <w:rPr>
                <w:rFonts w:asciiTheme="majorHAnsi" w:hAnsiTheme="majorHAnsi"/>
                <w:sz w:val="16"/>
                <w:szCs w:val="16"/>
              </w:rPr>
            </w:pPr>
            <w:r w:rsidRPr="00AB3B90">
              <w:rPr>
                <w:rFonts w:asciiTheme="majorHAnsi" w:hAnsiTheme="majorHAnsi"/>
                <w:sz w:val="16"/>
                <w:szCs w:val="16"/>
              </w:rPr>
              <w:t>There is also a monthly series, however it does not cover all sub-categories.</w:t>
            </w:r>
          </w:p>
          <w:p w14:paraId="02733F07" w14:textId="77777777" w:rsidR="00AA3B12" w:rsidRPr="00AB3B90" w:rsidRDefault="00AA3B12">
            <w:pPr>
              <w:rPr>
                <w:rFonts w:asciiTheme="majorHAnsi" w:hAnsiTheme="majorHAnsi"/>
                <w:sz w:val="16"/>
                <w:szCs w:val="16"/>
              </w:rPr>
            </w:pPr>
          </w:p>
        </w:tc>
        <w:tc>
          <w:tcPr>
            <w:tcW w:w="2497" w:type="dxa"/>
          </w:tcPr>
          <w:p w14:paraId="1A45A1D3" w14:textId="77777777" w:rsidR="00AA3B12" w:rsidRPr="00AB3B90" w:rsidRDefault="00AA3B12">
            <w:pPr>
              <w:rPr>
                <w:rFonts w:asciiTheme="majorHAnsi" w:hAnsiTheme="majorHAnsi"/>
                <w:sz w:val="16"/>
                <w:szCs w:val="16"/>
              </w:rPr>
            </w:pPr>
            <w:r w:rsidRPr="00AB3B90">
              <w:rPr>
                <w:rFonts w:asciiTheme="majorHAnsi" w:hAnsiTheme="majorHAnsi"/>
                <w:sz w:val="16"/>
                <w:szCs w:val="16"/>
              </w:rPr>
              <w:t>No, CPI measures changes to prices of a broad basket of goods and services.</w:t>
            </w:r>
          </w:p>
          <w:p w14:paraId="7C5DCA8E" w14:textId="77777777" w:rsidR="00AA3B12" w:rsidRPr="00AB3B90" w:rsidRDefault="00AA3B12">
            <w:pPr>
              <w:rPr>
                <w:rFonts w:asciiTheme="majorHAnsi" w:hAnsiTheme="majorHAnsi"/>
                <w:sz w:val="16"/>
                <w:szCs w:val="16"/>
              </w:rPr>
            </w:pPr>
            <w:r w:rsidRPr="00AB3B90">
              <w:rPr>
                <w:rFonts w:asciiTheme="majorHAnsi" w:hAnsiTheme="majorHAnsi"/>
                <w:sz w:val="16"/>
                <w:szCs w:val="16"/>
              </w:rPr>
              <w:t>Conceptually, certain education-relevant components of the CPI could be combined for a price measure. However, non-salary shares of school expenditure are not readily available.</w:t>
            </w:r>
            <w:r w:rsidRPr="00AB3B90">
              <w:t xml:space="preserve"> </w:t>
            </w:r>
          </w:p>
        </w:tc>
        <w:tc>
          <w:tcPr>
            <w:tcW w:w="2497" w:type="dxa"/>
          </w:tcPr>
          <w:p w14:paraId="3530B58E" w14:textId="77777777" w:rsidR="00AA3B12" w:rsidRPr="00AB3B90" w:rsidRDefault="00AA3B12">
            <w:pPr>
              <w:rPr>
                <w:rFonts w:asciiTheme="majorHAnsi" w:hAnsiTheme="majorHAnsi"/>
                <w:sz w:val="16"/>
                <w:szCs w:val="16"/>
              </w:rPr>
            </w:pPr>
            <w:r w:rsidRPr="00AB3B90">
              <w:rPr>
                <w:rFonts w:asciiTheme="majorHAnsi" w:hAnsiTheme="majorHAnsi"/>
                <w:sz w:val="16"/>
                <w:szCs w:val="16"/>
              </w:rPr>
              <w:t>Partly, but only for the non-salary proportion of school expenditure (approximately 25% of expenditure).</w:t>
            </w:r>
          </w:p>
        </w:tc>
        <w:tc>
          <w:tcPr>
            <w:tcW w:w="2498" w:type="dxa"/>
          </w:tcPr>
          <w:p w14:paraId="28B1C7C1"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Yes. The CPI will not be significantly influenced by education policy. </w:t>
            </w:r>
          </w:p>
        </w:tc>
      </w:tr>
      <w:tr w:rsidR="00AA3B12" w:rsidRPr="00AB3B90" w14:paraId="033866BC" w14:textId="77777777" w:rsidTr="008F4388">
        <w:trPr>
          <w:trHeight w:val="20"/>
        </w:trPr>
        <w:tc>
          <w:tcPr>
            <w:tcW w:w="2497" w:type="dxa"/>
            <w:shd w:val="clear" w:color="auto" w:fill="E2EFD9" w:themeFill="accent6" w:themeFillTint="33"/>
          </w:tcPr>
          <w:p w14:paraId="54118C61" w14:textId="77777777" w:rsidR="00AA3B12" w:rsidRPr="00AB3B90" w:rsidRDefault="00AA3B12">
            <w:pPr>
              <w:rPr>
                <w:rFonts w:asciiTheme="majorHAnsi" w:hAnsiTheme="majorHAnsi"/>
                <w:b/>
                <w:bCs/>
                <w:sz w:val="16"/>
                <w:szCs w:val="16"/>
              </w:rPr>
            </w:pPr>
            <w:r w:rsidRPr="00AB3B90">
              <w:rPr>
                <w:rFonts w:asciiTheme="majorHAnsi" w:hAnsiTheme="majorHAnsi"/>
                <w:b/>
                <w:bCs/>
                <w:sz w:val="16"/>
                <w:szCs w:val="16"/>
              </w:rPr>
              <w:t>Education CPI</w:t>
            </w:r>
          </w:p>
        </w:tc>
        <w:tc>
          <w:tcPr>
            <w:tcW w:w="2497" w:type="dxa"/>
            <w:shd w:val="clear" w:color="auto" w:fill="E2EFD9" w:themeFill="accent6" w:themeFillTint="33"/>
          </w:tcPr>
          <w:p w14:paraId="4043478B"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Changes to the prices of preschool services and primary, </w:t>
            </w:r>
            <w:proofErr w:type="gramStart"/>
            <w:r w:rsidRPr="00AB3B90">
              <w:rPr>
                <w:rFonts w:asciiTheme="majorHAnsi" w:hAnsiTheme="majorHAnsi"/>
                <w:sz w:val="16"/>
                <w:szCs w:val="16"/>
              </w:rPr>
              <w:t>secondary</w:t>
            </w:r>
            <w:proofErr w:type="gramEnd"/>
            <w:r w:rsidRPr="00AB3B90">
              <w:rPr>
                <w:rFonts w:asciiTheme="majorHAnsi" w:hAnsiTheme="majorHAnsi"/>
                <w:sz w:val="16"/>
                <w:szCs w:val="16"/>
              </w:rPr>
              <w:t xml:space="preserve"> and tertiary education, weighted based on historical consumption patterns. </w:t>
            </w:r>
          </w:p>
        </w:tc>
        <w:tc>
          <w:tcPr>
            <w:tcW w:w="2498" w:type="dxa"/>
          </w:tcPr>
          <w:p w14:paraId="701C8552" w14:textId="77777777" w:rsidR="00AA3B12" w:rsidRPr="00AB3B90" w:rsidRDefault="00AA3B12">
            <w:pPr>
              <w:rPr>
                <w:rFonts w:asciiTheme="majorHAnsi" w:hAnsiTheme="majorHAnsi"/>
                <w:sz w:val="16"/>
                <w:szCs w:val="16"/>
              </w:rPr>
            </w:pPr>
            <w:r w:rsidRPr="00AB3B90">
              <w:rPr>
                <w:rFonts w:asciiTheme="majorHAnsi" w:hAnsiTheme="majorHAnsi"/>
                <w:sz w:val="16"/>
                <w:szCs w:val="16"/>
              </w:rPr>
              <w:t>Same as for CPI.</w:t>
            </w:r>
          </w:p>
        </w:tc>
        <w:tc>
          <w:tcPr>
            <w:tcW w:w="2497" w:type="dxa"/>
          </w:tcPr>
          <w:p w14:paraId="1133953A"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Yes. </w:t>
            </w:r>
          </w:p>
        </w:tc>
        <w:tc>
          <w:tcPr>
            <w:tcW w:w="2497" w:type="dxa"/>
          </w:tcPr>
          <w:p w14:paraId="02F07E0F" w14:textId="77777777" w:rsidR="00AA3B12" w:rsidRPr="00AB3B90" w:rsidRDefault="00AA3B12">
            <w:pPr>
              <w:rPr>
                <w:rFonts w:asciiTheme="majorHAnsi" w:hAnsiTheme="majorHAnsi"/>
                <w:sz w:val="16"/>
                <w:szCs w:val="16"/>
              </w:rPr>
            </w:pPr>
            <w:r w:rsidRPr="00AB3B90">
              <w:rPr>
                <w:rFonts w:asciiTheme="majorHAnsi" w:hAnsiTheme="majorHAnsi"/>
                <w:sz w:val="16"/>
                <w:szCs w:val="16"/>
              </w:rPr>
              <w:t>No. Education CPI reflects the cost of education for consumers (such as school fees), not the costs of delivering education for schools.</w:t>
            </w:r>
          </w:p>
        </w:tc>
        <w:tc>
          <w:tcPr>
            <w:tcW w:w="2498" w:type="dxa"/>
          </w:tcPr>
          <w:p w14:paraId="5F20AA76" w14:textId="77777777" w:rsidR="00AA3B12" w:rsidRPr="00AB3B90" w:rsidRDefault="00AA3B12">
            <w:pPr>
              <w:rPr>
                <w:rFonts w:asciiTheme="majorHAnsi" w:hAnsiTheme="majorHAnsi"/>
                <w:sz w:val="16"/>
                <w:szCs w:val="16"/>
              </w:rPr>
            </w:pPr>
            <w:r w:rsidRPr="00AB3B90">
              <w:rPr>
                <w:rFonts w:asciiTheme="majorHAnsi" w:hAnsiTheme="majorHAnsi"/>
                <w:sz w:val="16"/>
                <w:szCs w:val="16"/>
              </w:rPr>
              <w:t>No. Decisions which affect the cost of education for consumers will be visible in this measure of price change.</w:t>
            </w:r>
          </w:p>
        </w:tc>
      </w:tr>
      <w:tr w:rsidR="00AA3B12" w:rsidRPr="00AB3B90" w14:paraId="48DA1C84" w14:textId="77777777" w:rsidTr="008F4388">
        <w:trPr>
          <w:trHeight w:val="513"/>
        </w:trPr>
        <w:tc>
          <w:tcPr>
            <w:tcW w:w="2497" w:type="dxa"/>
            <w:shd w:val="clear" w:color="auto" w:fill="E2EFD9" w:themeFill="accent6" w:themeFillTint="33"/>
          </w:tcPr>
          <w:p w14:paraId="25C9FA10" w14:textId="77777777" w:rsidR="00AA3B12" w:rsidRPr="00AB3B90" w:rsidRDefault="00AA3B12">
            <w:pPr>
              <w:rPr>
                <w:rFonts w:asciiTheme="majorHAnsi" w:hAnsiTheme="majorHAnsi"/>
                <w:b/>
                <w:bCs/>
                <w:sz w:val="16"/>
                <w:szCs w:val="16"/>
              </w:rPr>
            </w:pPr>
            <w:r w:rsidRPr="00AB3B90">
              <w:rPr>
                <w:rFonts w:asciiTheme="majorHAnsi" w:hAnsiTheme="majorHAnsi"/>
                <w:b/>
                <w:bCs/>
                <w:sz w:val="16"/>
                <w:szCs w:val="16"/>
              </w:rPr>
              <w:t>Employee Living Cost Indexes (LCIs)</w:t>
            </w:r>
          </w:p>
        </w:tc>
        <w:tc>
          <w:tcPr>
            <w:tcW w:w="2497" w:type="dxa"/>
            <w:shd w:val="clear" w:color="auto" w:fill="E2EFD9" w:themeFill="accent6" w:themeFillTint="33"/>
          </w:tcPr>
          <w:p w14:paraId="508B0165" w14:textId="40E567D3" w:rsidR="00AA3B12" w:rsidRPr="00AB3B90" w:rsidRDefault="00AA3B12">
            <w:pPr>
              <w:rPr>
                <w:rFonts w:asciiTheme="majorHAnsi" w:hAnsiTheme="majorHAnsi"/>
                <w:sz w:val="16"/>
                <w:szCs w:val="16"/>
              </w:rPr>
            </w:pPr>
            <w:r w:rsidRPr="00AB3B90">
              <w:rPr>
                <w:rFonts w:asciiTheme="majorHAnsi" w:hAnsiTheme="majorHAnsi"/>
                <w:sz w:val="16"/>
                <w:szCs w:val="16"/>
              </w:rPr>
              <w:t>Changes to out-of-pocket living expenses for different household types based on their primary income source (i.e.</w:t>
            </w:r>
            <w:r w:rsidR="007E0580">
              <w:rPr>
                <w:rFonts w:asciiTheme="majorHAnsi" w:hAnsiTheme="majorHAnsi"/>
                <w:sz w:val="16"/>
                <w:szCs w:val="16"/>
              </w:rPr>
              <w:t>,</w:t>
            </w:r>
            <w:r w:rsidRPr="00AB3B90">
              <w:rPr>
                <w:rFonts w:asciiTheme="majorHAnsi" w:hAnsiTheme="majorHAnsi"/>
                <w:sz w:val="16"/>
                <w:szCs w:val="16"/>
              </w:rPr>
              <w:t xml:space="preserve"> ‘employees’). </w:t>
            </w:r>
          </w:p>
        </w:tc>
        <w:tc>
          <w:tcPr>
            <w:tcW w:w="2498" w:type="dxa"/>
          </w:tcPr>
          <w:p w14:paraId="7FC15867" w14:textId="77777777" w:rsidR="00AA3B12" w:rsidRPr="00AB3B90" w:rsidRDefault="00AA3B12">
            <w:pPr>
              <w:rPr>
                <w:rFonts w:asciiTheme="majorHAnsi" w:hAnsiTheme="majorHAnsi"/>
                <w:sz w:val="16"/>
                <w:szCs w:val="16"/>
              </w:rPr>
            </w:pPr>
            <w:r w:rsidRPr="00AB3B90">
              <w:rPr>
                <w:rFonts w:asciiTheme="majorHAnsi" w:hAnsiTheme="majorHAnsi"/>
                <w:sz w:val="16"/>
                <w:szCs w:val="16"/>
              </w:rPr>
              <w:t>Released quarterly, approximately one month after the end of the quarter.</w:t>
            </w:r>
          </w:p>
          <w:p w14:paraId="37696A05" w14:textId="77777777" w:rsidR="00AA3B12" w:rsidRPr="00AB3B90" w:rsidRDefault="00AA3B12">
            <w:pPr>
              <w:rPr>
                <w:rFonts w:asciiTheme="majorHAnsi" w:hAnsiTheme="majorHAnsi"/>
                <w:sz w:val="16"/>
                <w:szCs w:val="16"/>
              </w:rPr>
            </w:pPr>
          </w:p>
        </w:tc>
        <w:tc>
          <w:tcPr>
            <w:tcW w:w="2497" w:type="dxa"/>
          </w:tcPr>
          <w:p w14:paraId="62150C5E"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No. The index applies to employees across all industries. </w:t>
            </w:r>
          </w:p>
        </w:tc>
        <w:tc>
          <w:tcPr>
            <w:tcW w:w="2497" w:type="dxa"/>
          </w:tcPr>
          <w:p w14:paraId="5C886816" w14:textId="77777777" w:rsidR="00AA3B12" w:rsidRPr="00AB3B90" w:rsidRDefault="00AA3B12">
            <w:pPr>
              <w:rPr>
                <w:rFonts w:asciiTheme="majorHAnsi" w:hAnsiTheme="majorHAnsi"/>
                <w:sz w:val="16"/>
                <w:szCs w:val="16"/>
              </w:rPr>
            </w:pPr>
            <w:r w:rsidRPr="00AB3B90">
              <w:rPr>
                <w:rFonts w:asciiTheme="majorHAnsi" w:hAnsiTheme="majorHAnsi"/>
                <w:sz w:val="16"/>
                <w:szCs w:val="16"/>
              </w:rPr>
              <w:t>It would reflect living costs for teachers (through the broader ‘employees’ measure). This is a similar index to the CPI but includes some different factors (such as interest rates).</w:t>
            </w:r>
          </w:p>
        </w:tc>
        <w:tc>
          <w:tcPr>
            <w:tcW w:w="2498" w:type="dxa"/>
          </w:tcPr>
          <w:p w14:paraId="780DEA15" w14:textId="77777777" w:rsidR="00AA3B12" w:rsidRPr="00AB3B90" w:rsidRDefault="00AA3B12">
            <w:pPr>
              <w:rPr>
                <w:rFonts w:asciiTheme="majorHAnsi" w:hAnsiTheme="majorHAnsi"/>
                <w:sz w:val="16"/>
                <w:szCs w:val="16"/>
              </w:rPr>
            </w:pPr>
            <w:r w:rsidRPr="00AB3B90">
              <w:rPr>
                <w:rFonts w:asciiTheme="majorHAnsi" w:hAnsiTheme="majorHAnsi"/>
                <w:sz w:val="16"/>
                <w:szCs w:val="16"/>
              </w:rPr>
              <w:t>Yes. This index will not be significantly influenced by education policy.</w:t>
            </w:r>
          </w:p>
        </w:tc>
      </w:tr>
    </w:tbl>
    <w:p w14:paraId="0493C8B6" w14:textId="7004203D" w:rsidR="00DA5BE4" w:rsidRDefault="00DA5BE4">
      <w:r w:rsidRPr="00AB3B90">
        <w:br w:type="page"/>
      </w:r>
    </w:p>
    <w:p w14:paraId="6FBBEF02" w14:textId="62DBBDBE" w:rsidR="0050770E" w:rsidRPr="000513C5" w:rsidRDefault="0050770E">
      <w:pPr>
        <w:rPr>
          <w:sz w:val="20"/>
          <w:szCs w:val="20"/>
        </w:rPr>
      </w:pPr>
      <w:r w:rsidRPr="000513C5">
        <w:rPr>
          <w:sz w:val="20"/>
          <w:szCs w:val="20"/>
        </w:rPr>
        <w:t>Wage Indices</w:t>
      </w:r>
    </w:p>
    <w:tbl>
      <w:tblPr>
        <w:tblStyle w:val="Deloittetable"/>
        <w:tblW w:w="14954" w:type="dxa"/>
        <w:tblLook w:val="04A0" w:firstRow="1" w:lastRow="0" w:firstColumn="1" w:lastColumn="0" w:noHBand="0" w:noVBand="1"/>
      </w:tblPr>
      <w:tblGrid>
        <w:gridCol w:w="2492"/>
        <w:gridCol w:w="2492"/>
        <w:gridCol w:w="2493"/>
        <w:gridCol w:w="2492"/>
        <w:gridCol w:w="2492"/>
        <w:gridCol w:w="2493"/>
      </w:tblGrid>
      <w:tr w:rsidR="0050770E" w:rsidRPr="00AB3B90" w14:paraId="2916B154" w14:textId="77777777" w:rsidTr="008F4388">
        <w:trPr>
          <w:cnfStyle w:val="100000000000" w:firstRow="1" w:lastRow="0" w:firstColumn="0" w:lastColumn="0" w:oddVBand="0" w:evenVBand="0" w:oddHBand="0" w:evenHBand="0" w:firstRowFirstColumn="0" w:firstRowLastColumn="0" w:lastRowFirstColumn="0" w:lastRowLastColumn="0"/>
          <w:trHeight w:val="20"/>
        </w:trPr>
        <w:tc>
          <w:tcPr>
            <w:tcW w:w="2492" w:type="dxa"/>
            <w:shd w:val="clear" w:color="auto" w:fill="E2EFD9" w:themeFill="accent6" w:themeFillTint="33"/>
          </w:tcPr>
          <w:p w14:paraId="3E99E80E" w14:textId="77777777" w:rsidR="0050770E" w:rsidRPr="00AB3B90" w:rsidRDefault="0050770E" w:rsidP="0074607E">
            <w:pPr>
              <w:rPr>
                <w:rFonts w:asciiTheme="majorHAnsi" w:hAnsiTheme="majorHAnsi"/>
                <w:b/>
                <w:bCs/>
                <w:sz w:val="16"/>
                <w:szCs w:val="16"/>
              </w:rPr>
            </w:pPr>
            <w:r w:rsidRPr="00AB3B90">
              <w:rPr>
                <w:rFonts w:asciiTheme="majorHAnsi" w:hAnsiTheme="majorHAnsi"/>
                <w:b/>
                <w:bCs/>
                <w:sz w:val="16"/>
                <w:szCs w:val="16"/>
              </w:rPr>
              <w:t>Data source</w:t>
            </w:r>
          </w:p>
        </w:tc>
        <w:tc>
          <w:tcPr>
            <w:tcW w:w="2492" w:type="dxa"/>
            <w:shd w:val="clear" w:color="auto" w:fill="E2EFD9" w:themeFill="accent6" w:themeFillTint="33"/>
          </w:tcPr>
          <w:p w14:paraId="31683395" w14:textId="77777777" w:rsidR="0050770E" w:rsidRPr="00AB3B90" w:rsidRDefault="0050770E" w:rsidP="0074607E">
            <w:pPr>
              <w:rPr>
                <w:rFonts w:asciiTheme="majorHAnsi" w:hAnsiTheme="majorHAnsi"/>
                <w:b/>
                <w:sz w:val="16"/>
                <w:szCs w:val="16"/>
              </w:rPr>
            </w:pPr>
            <w:r w:rsidRPr="00AB3B90">
              <w:rPr>
                <w:rFonts w:asciiTheme="majorHAnsi" w:hAnsiTheme="majorHAnsi"/>
                <w:b/>
                <w:sz w:val="16"/>
                <w:szCs w:val="16"/>
              </w:rPr>
              <w:t xml:space="preserve">Definition </w:t>
            </w:r>
          </w:p>
        </w:tc>
        <w:tc>
          <w:tcPr>
            <w:tcW w:w="2493" w:type="dxa"/>
          </w:tcPr>
          <w:p w14:paraId="058FB473" w14:textId="4E4E5DF1" w:rsidR="0050770E" w:rsidRPr="00AB3B90" w:rsidRDefault="0050770E" w:rsidP="0074607E">
            <w:pPr>
              <w:rPr>
                <w:rFonts w:asciiTheme="majorHAnsi" w:hAnsiTheme="majorHAnsi"/>
                <w:b/>
                <w:bCs/>
                <w:sz w:val="16"/>
                <w:szCs w:val="16"/>
              </w:rPr>
            </w:pPr>
            <w:r w:rsidRPr="00AB3B90">
              <w:rPr>
                <w:rFonts w:asciiTheme="majorHAnsi" w:hAnsiTheme="majorHAnsi"/>
                <w:b/>
                <w:bCs/>
                <w:sz w:val="16"/>
                <w:szCs w:val="16"/>
              </w:rPr>
              <w:t xml:space="preserve">Frequency and timing </w:t>
            </w:r>
          </w:p>
        </w:tc>
        <w:tc>
          <w:tcPr>
            <w:tcW w:w="2492" w:type="dxa"/>
          </w:tcPr>
          <w:p w14:paraId="750A40AB" w14:textId="77777777" w:rsidR="0050770E" w:rsidRPr="00AB3B90" w:rsidRDefault="0050770E" w:rsidP="0074607E">
            <w:pPr>
              <w:rPr>
                <w:rFonts w:asciiTheme="majorHAnsi" w:hAnsiTheme="majorHAnsi"/>
                <w:b/>
                <w:sz w:val="16"/>
                <w:szCs w:val="16"/>
              </w:rPr>
            </w:pPr>
            <w:r w:rsidRPr="00AB3B90">
              <w:rPr>
                <w:rFonts w:asciiTheme="majorHAnsi" w:hAnsiTheme="majorHAnsi"/>
                <w:b/>
                <w:sz w:val="16"/>
                <w:szCs w:val="16"/>
              </w:rPr>
              <w:t>Specific to education</w:t>
            </w:r>
          </w:p>
        </w:tc>
        <w:tc>
          <w:tcPr>
            <w:tcW w:w="2492" w:type="dxa"/>
          </w:tcPr>
          <w:p w14:paraId="255FD65C" w14:textId="77777777" w:rsidR="0050770E" w:rsidRPr="00AB3B90" w:rsidRDefault="0050770E" w:rsidP="0074607E">
            <w:pPr>
              <w:rPr>
                <w:rFonts w:asciiTheme="majorHAnsi" w:hAnsiTheme="majorHAnsi"/>
                <w:b/>
                <w:sz w:val="16"/>
                <w:szCs w:val="16"/>
              </w:rPr>
            </w:pPr>
            <w:r w:rsidRPr="00AB3B90">
              <w:rPr>
                <w:rFonts w:asciiTheme="majorHAnsi" w:hAnsiTheme="majorHAnsi"/>
                <w:b/>
                <w:sz w:val="16"/>
                <w:szCs w:val="16"/>
              </w:rPr>
              <w:t>Reflective of school costs</w:t>
            </w:r>
          </w:p>
        </w:tc>
        <w:tc>
          <w:tcPr>
            <w:tcW w:w="2493" w:type="dxa"/>
          </w:tcPr>
          <w:p w14:paraId="68AF532C" w14:textId="77777777" w:rsidR="0050770E" w:rsidRPr="00AB3B90" w:rsidRDefault="0050770E" w:rsidP="0074607E">
            <w:pPr>
              <w:rPr>
                <w:rFonts w:asciiTheme="majorHAnsi" w:hAnsiTheme="majorHAnsi"/>
                <w:b/>
                <w:bCs/>
                <w:sz w:val="16"/>
                <w:szCs w:val="16"/>
              </w:rPr>
            </w:pPr>
            <w:r w:rsidRPr="00AB3B90">
              <w:rPr>
                <w:rFonts w:asciiTheme="majorHAnsi" w:hAnsiTheme="majorHAnsi"/>
                <w:b/>
                <w:bCs/>
                <w:sz w:val="16"/>
                <w:szCs w:val="16"/>
              </w:rPr>
              <w:t xml:space="preserve">Policy independence </w:t>
            </w:r>
          </w:p>
        </w:tc>
      </w:tr>
      <w:tr w:rsidR="00AA3B12" w:rsidRPr="00AB3B90" w14:paraId="228DEB54" w14:textId="77777777" w:rsidTr="008F4388">
        <w:trPr>
          <w:trHeight w:val="20"/>
        </w:trPr>
        <w:tc>
          <w:tcPr>
            <w:tcW w:w="2492" w:type="dxa"/>
            <w:shd w:val="clear" w:color="auto" w:fill="E2EFD9" w:themeFill="accent6" w:themeFillTint="33"/>
          </w:tcPr>
          <w:p w14:paraId="2D885B18" w14:textId="77777777" w:rsidR="00AA3B12" w:rsidRPr="00AB3B90" w:rsidRDefault="00AA3B12">
            <w:pPr>
              <w:rPr>
                <w:rFonts w:asciiTheme="majorHAnsi" w:hAnsiTheme="majorHAnsi"/>
                <w:b/>
                <w:bCs/>
                <w:sz w:val="16"/>
                <w:szCs w:val="16"/>
              </w:rPr>
            </w:pPr>
            <w:r w:rsidRPr="00AB3B90">
              <w:rPr>
                <w:rFonts w:asciiTheme="majorHAnsi" w:hAnsiTheme="majorHAnsi"/>
                <w:b/>
                <w:bCs/>
                <w:sz w:val="16"/>
                <w:szCs w:val="16"/>
              </w:rPr>
              <w:t>WPI (current arrangement)</w:t>
            </w:r>
          </w:p>
        </w:tc>
        <w:tc>
          <w:tcPr>
            <w:tcW w:w="2492" w:type="dxa"/>
            <w:shd w:val="clear" w:color="auto" w:fill="E2EFD9" w:themeFill="accent6" w:themeFillTint="33"/>
          </w:tcPr>
          <w:p w14:paraId="631B672E"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Changes to the price of labour, with compositional factors removed. </w:t>
            </w:r>
          </w:p>
        </w:tc>
        <w:tc>
          <w:tcPr>
            <w:tcW w:w="2493" w:type="dxa"/>
          </w:tcPr>
          <w:p w14:paraId="2D524A25"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Released quarterly, approximately one and a half months after the end of the quarter. </w:t>
            </w:r>
          </w:p>
        </w:tc>
        <w:tc>
          <w:tcPr>
            <w:tcW w:w="2492" w:type="dxa"/>
          </w:tcPr>
          <w:p w14:paraId="48F33FA3"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No, WPI measures changes to wages across the whole economy. </w:t>
            </w:r>
          </w:p>
        </w:tc>
        <w:tc>
          <w:tcPr>
            <w:tcW w:w="2492" w:type="dxa"/>
          </w:tcPr>
          <w:p w14:paraId="36DD3405" w14:textId="35CFF7A8" w:rsidR="00AA3B12" w:rsidRPr="00AB3B90" w:rsidRDefault="00AA3B12">
            <w:pPr>
              <w:rPr>
                <w:rFonts w:asciiTheme="majorHAnsi" w:hAnsiTheme="majorHAnsi"/>
                <w:sz w:val="16"/>
                <w:szCs w:val="16"/>
              </w:rPr>
            </w:pPr>
            <w:r w:rsidRPr="00AB3B90">
              <w:rPr>
                <w:rFonts w:asciiTheme="majorHAnsi" w:hAnsiTheme="majorHAnsi"/>
                <w:sz w:val="16"/>
                <w:szCs w:val="16"/>
              </w:rPr>
              <w:t xml:space="preserve">Does not represent wages specifically in the education sector </w:t>
            </w:r>
          </w:p>
        </w:tc>
        <w:tc>
          <w:tcPr>
            <w:tcW w:w="2493" w:type="dxa"/>
          </w:tcPr>
          <w:p w14:paraId="5F217B8E" w14:textId="77777777" w:rsidR="00AA3B12" w:rsidRPr="00AB3B90" w:rsidRDefault="00AA3B12">
            <w:pPr>
              <w:rPr>
                <w:rFonts w:asciiTheme="majorHAnsi" w:hAnsiTheme="majorHAnsi"/>
                <w:sz w:val="16"/>
                <w:szCs w:val="16"/>
              </w:rPr>
            </w:pPr>
            <w:r w:rsidRPr="00AB3B90">
              <w:rPr>
                <w:rFonts w:asciiTheme="majorHAnsi" w:hAnsiTheme="majorHAnsi"/>
                <w:sz w:val="16"/>
                <w:szCs w:val="16"/>
              </w:rPr>
              <w:t>Yes. The WPI will not be significantly influenced by education policy.</w:t>
            </w:r>
          </w:p>
        </w:tc>
      </w:tr>
      <w:tr w:rsidR="00AA3B12" w:rsidRPr="00AB3B90" w14:paraId="2AE2E9C4" w14:textId="77777777" w:rsidTr="008F4388">
        <w:trPr>
          <w:trHeight w:val="20"/>
        </w:trPr>
        <w:tc>
          <w:tcPr>
            <w:tcW w:w="2492" w:type="dxa"/>
            <w:shd w:val="clear" w:color="auto" w:fill="E2EFD9" w:themeFill="accent6" w:themeFillTint="33"/>
          </w:tcPr>
          <w:p w14:paraId="711F2A34" w14:textId="3B123294" w:rsidR="00AA3B12" w:rsidRPr="00AB3B90" w:rsidRDefault="00AA3B12" w:rsidP="003350BF">
            <w:pPr>
              <w:rPr>
                <w:rFonts w:asciiTheme="majorHAnsi" w:hAnsiTheme="majorHAnsi"/>
                <w:b/>
                <w:bCs/>
                <w:sz w:val="16"/>
                <w:szCs w:val="16"/>
              </w:rPr>
            </w:pPr>
            <w:r w:rsidRPr="00AB3B90">
              <w:rPr>
                <w:rFonts w:asciiTheme="majorHAnsi" w:hAnsiTheme="majorHAnsi"/>
                <w:b/>
                <w:bCs/>
                <w:sz w:val="16"/>
                <w:szCs w:val="16"/>
              </w:rPr>
              <w:t xml:space="preserve">Education and </w:t>
            </w:r>
            <w:r w:rsidR="00075A82" w:rsidRPr="00AB3B90">
              <w:rPr>
                <w:rFonts w:asciiTheme="majorHAnsi" w:hAnsiTheme="majorHAnsi"/>
                <w:b/>
                <w:bCs/>
                <w:sz w:val="16"/>
                <w:szCs w:val="16"/>
              </w:rPr>
              <w:t>t</w:t>
            </w:r>
            <w:r w:rsidRPr="00AB3B90">
              <w:rPr>
                <w:rFonts w:asciiTheme="majorHAnsi" w:hAnsiTheme="majorHAnsi"/>
                <w:b/>
                <w:bCs/>
                <w:sz w:val="16"/>
                <w:szCs w:val="16"/>
              </w:rPr>
              <w:t>raining WPI</w:t>
            </w:r>
          </w:p>
        </w:tc>
        <w:tc>
          <w:tcPr>
            <w:tcW w:w="2492" w:type="dxa"/>
            <w:shd w:val="clear" w:color="auto" w:fill="E2EFD9" w:themeFill="accent6" w:themeFillTint="33"/>
          </w:tcPr>
          <w:p w14:paraId="53A2EE85" w14:textId="065CC88B" w:rsidR="00AA3B12" w:rsidRPr="00AB3B90" w:rsidRDefault="00AA3B12">
            <w:pPr>
              <w:rPr>
                <w:rFonts w:asciiTheme="majorHAnsi" w:hAnsiTheme="majorHAnsi"/>
                <w:sz w:val="16"/>
                <w:szCs w:val="16"/>
              </w:rPr>
            </w:pPr>
            <w:r w:rsidRPr="00AB3B90">
              <w:rPr>
                <w:rFonts w:asciiTheme="majorHAnsi" w:hAnsiTheme="majorHAnsi"/>
                <w:sz w:val="16"/>
                <w:szCs w:val="16"/>
              </w:rPr>
              <w:t xml:space="preserve">Changes to the price of labour in the education and training industry, with compositional factors removed </w:t>
            </w:r>
          </w:p>
        </w:tc>
        <w:tc>
          <w:tcPr>
            <w:tcW w:w="2493" w:type="dxa"/>
          </w:tcPr>
          <w:p w14:paraId="2CA5583B"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Same as for WPI. </w:t>
            </w:r>
          </w:p>
        </w:tc>
        <w:tc>
          <w:tcPr>
            <w:tcW w:w="2492" w:type="dxa"/>
          </w:tcPr>
          <w:p w14:paraId="5E36A932"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Yes. </w:t>
            </w:r>
          </w:p>
        </w:tc>
        <w:tc>
          <w:tcPr>
            <w:tcW w:w="2492" w:type="dxa"/>
          </w:tcPr>
          <w:p w14:paraId="7205D43A" w14:textId="30862E2D" w:rsidR="00AA3B12" w:rsidRPr="00AB3B90" w:rsidRDefault="00AA3B12">
            <w:pPr>
              <w:rPr>
                <w:rFonts w:asciiTheme="majorHAnsi" w:hAnsiTheme="majorHAnsi"/>
                <w:sz w:val="16"/>
                <w:szCs w:val="16"/>
              </w:rPr>
            </w:pPr>
            <w:r w:rsidRPr="00AB3B90">
              <w:rPr>
                <w:rFonts w:asciiTheme="majorHAnsi" w:hAnsiTheme="majorHAnsi"/>
                <w:sz w:val="16"/>
                <w:szCs w:val="16"/>
              </w:rPr>
              <w:t xml:space="preserve">Yes, this will reflect wages costs faced by schools (approximately 75% of expenditure), though it also includes wages in other education institutions such as preschools and universities </w:t>
            </w:r>
          </w:p>
        </w:tc>
        <w:tc>
          <w:tcPr>
            <w:tcW w:w="2493" w:type="dxa"/>
          </w:tcPr>
          <w:p w14:paraId="64ABB8F1" w14:textId="77777777" w:rsidR="00AA3B12" w:rsidRPr="00AB3B90" w:rsidRDefault="00AA3B12">
            <w:pPr>
              <w:rPr>
                <w:rFonts w:asciiTheme="majorHAnsi" w:hAnsiTheme="majorHAnsi"/>
                <w:sz w:val="16"/>
                <w:szCs w:val="16"/>
              </w:rPr>
            </w:pPr>
            <w:r w:rsidRPr="00AB3B90">
              <w:rPr>
                <w:rFonts w:asciiTheme="majorHAnsi" w:hAnsiTheme="majorHAnsi"/>
                <w:sz w:val="16"/>
                <w:szCs w:val="16"/>
              </w:rPr>
              <w:t>No. Education policy and funding decisions have the potential flow through to changes in this index, potentially leading to circularity in prices and funding.</w:t>
            </w:r>
          </w:p>
        </w:tc>
      </w:tr>
      <w:tr w:rsidR="00AA3B12" w:rsidRPr="00AB3B90" w14:paraId="4818DD0B" w14:textId="77777777" w:rsidTr="008F4388">
        <w:trPr>
          <w:trHeight w:val="20"/>
        </w:trPr>
        <w:tc>
          <w:tcPr>
            <w:tcW w:w="2492" w:type="dxa"/>
            <w:shd w:val="clear" w:color="auto" w:fill="E2EFD9" w:themeFill="accent6" w:themeFillTint="33"/>
          </w:tcPr>
          <w:p w14:paraId="5E2ED37A" w14:textId="77777777" w:rsidR="00AA3B12" w:rsidRPr="00AB3B90" w:rsidRDefault="00AA3B12">
            <w:pPr>
              <w:rPr>
                <w:rFonts w:asciiTheme="majorHAnsi" w:hAnsiTheme="majorHAnsi"/>
                <w:b/>
                <w:bCs/>
                <w:sz w:val="16"/>
                <w:szCs w:val="16"/>
              </w:rPr>
            </w:pPr>
            <w:r w:rsidRPr="00AB3B90">
              <w:rPr>
                <w:rFonts w:asciiTheme="majorHAnsi" w:hAnsiTheme="majorHAnsi"/>
                <w:b/>
                <w:bCs/>
                <w:sz w:val="16"/>
                <w:szCs w:val="16"/>
              </w:rPr>
              <w:t>Average weekly earnings</w:t>
            </w:r>
          </w:p>
        </w:tc>
        <w:tc>
          <w:tcPr>
            <w:tcW w:w="2492" w:type="dxa"/>
            <w:shd w:val="clear" w:color="auto" w:fill="E2EFD9" w:themeFill="accent6" w:themeFillTint="33"/>
          </w:tcPr>
          <w:p w14:paraId="4573CFE7"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Average gross weekly earnings associated with employees. </w:t>
            </w:r>
          </w:p>
        </w:tc>
        <w:tc>
          <w:tcPr>
            <w:tcW w:w="2493" w:type="dxa"/>
          </w:tcPr>
          <w:p w14:paraId="06FBAFEE"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Released twice a year, estimates for May and November of each year which are released approximately three months after the end of the month. </w:t>
            </w:r>
          </w:p>
        </w:tc>
        <w:tc>
          <w:tcPr>
            <w:tcW w:w="2492" w:type="dxa"/>
          </w:tcPr>
          <w:p w14:paraId="0098FD3B" w14:textId="391C43BF" w:rsidR="00AA3B12" w:rsidRPr="00AB3B90" w:rsidRDefault="00AA3B12">
            <w:pPr>
              <w:rPr>
                <w:rFonts w:asciiTheme="majorHAnsi" w:hAnsiTheme="majorHAnsi"/>
                <w:sz w:val="16"/>
                <w:szCs w:val="16"/>
              </w:rPr>
            </w:pPr>
            <w:r w:rsidRPr="00AB3B90">
              <w:rPr>
                <w:rFonts w:asciiTheme="majorHAnsi" w:hAnsiTheme="majorHAnsi"/>
                <w:sz w:val="16"/>
                <w:szCs w:val="16"/>
              </w:rPr>
              <w:t xml:space="preserve">No, it applies across all industries but does include an education and training component </w:t>
            </w:r>
          </w:p>
        </w:tc>
        <w:tc>
          <w:tcPr>
            <w:tcW w:w="2492" w:type="dxa"/>
          </w:tcPr>
          <w:p w14:paraId="083763A7"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Does not represent earnings specifically in education in the overall </w:t>
            </w:r>
            <w:proofErr w:type="gramStart"/>
            <w:r w:rsidRPr="00AB3B90">
              <w:rPr>
                <w:rFonts w:asciiTheme="majorHAnsi" w:hAnsiTheme="majorHAnsi"/>
                <w:sz w:val="16"/>
                <w:szCs w:val="16"/>
              </w:rPr>
              <w:t>measure, but</w:t>
            </w:r>
            <w:proofErr w:type="gramEnd"/>
            <w:r w:rsidRPr="00AB3B90">
              <w:rPr>
                <w:rFonts w:asciiTheme="majorHAnsi" w:hAnsiTheme="majorHAnsi"/>
                <w:sz w:val="16"/>
                <w:szCs w:val="16"/>
              </w:rPr>
              <w:t xml:space="preserve"> could break down into education (noting it would also include other educational institutions). </w:t>
            </w:r>
          </w:p>
        </w:tc>
        <w:tc>
          <w:tcPr>
            <w:tcW w:w="2493" w:type="dxa"/>
          </w:tcPr>
          <w:p w14:paraId="4FF6BF61" w14:textId="77777777" w:rsidR="00AA3B12" w:rsidRPr="00AB3B90" w:rsidRDefault="00AA3B12">
            <w:pPr>
              <w:rPr>
                <w:rFonts w:asciiTheme="majorHAnsi" w:hAnsiTheme="majorHAnsi"/>
                <w:sz w:val="16"/>
                <w:szCs w:val="16"/>
              </w:rPr>
            </w:pPr>
            <w:r w:rsidRPr="00AB3B90">
              <w:rPr>
                <w:rFonts w:asciiTheme="majorHAnsi" w:hAnsiTheme="majorHAnsi"/>
                <w:sz w:val="16"/>
                <w:szCs w:val="16"/>
              </w:rPr>
              <w:t>Yes. Average weekly earnings will not be significantly influenced by education policy (unless the education and training component is used).</w:t>
            </w:r>
          </w:p>
        </w:tc>
      </w:tr>
    </w:tbl>
    <w:p w14:paraId="463068F8" w14:textId="34F1ABCC" w:rsidR="00FE6F38" w:rsidRPr="000513C5" w:rsidRDefault="00FE6F38">
      <w:pPr>
        <w:rPr>
          <w:sz w:val="20"/>
          <w:szCs w:val="20"/>
        </w:rPr>
      </w:pPr>
      <w:r w:rsidRPr="000513C5">
        <w:rPr>
          <w:sz w:val="20"/>
          <w:szCs w:val="20"/>
        </w:rPr>
        <w:t>Other</w:t>
      </w:r>
    </w:p>
    <w:tbl>
      <w:tblPr>
        <w:tblStyle w:val="Deloittetable"/>
        <w:tblW w:w="15038" w:type="dxa"/>
        <w:tblLook w:val="04A0" w:firstRow="1" w:lastRow="0" w:firstColumn="1" w:lastColumn="0" w:noHBand="0" w:noVBand="1"/>
      </w:tblPr>
      <w:tblGrid>
        <w:gridCol w:w="2506"/>
        <w:gridCol w:w="2506"/>
        <w:gridCol w:w="2507"/>
        <w:gridCol w:w="2506"/>
        <w:gridCol w:w="2506"/>
        <w:gridCol w:w="2507"/>
      </w:tblGrid>
      <w:tr w:rsidR="00FE6F38" w:rsidRPr="00AB3B90" w14:paraId="78F04827" w14:textId="77777777" w:rsidTr="008F4388">
        <w:trPr>
          <w:cnfStyle w:val="100000000000" w:firstRow="1" w:lastRow="0" w:firstColumn="0" w:lastColumn="0" w:oddVBand="0" w:evenVBand="0" w:oddHBand="0" w:evenHBand="0" w:firstRowFirstColumn="0" w:firstRowLastColumn="0" w:lastRowFirstColumn="0" w:lastRowLastColumn="0"/>
          <w:trHeight w:val="20"/>
        </w:trPr>
        <w:tc>
          <w:tcPr>
            <w:tcW w:w="2506" w:type="dxa"/>
            <w:shd w:val="clear" w:color="auto" w:fill="E2EFD9" w:themeFill="accent6" w:themeFillTint="33"/>
          </w:tcPr>
          <w:p w14:paraId="74332F1F" w14:textId="77777777" w:rsidR="00FE6F38" w:rsidRPr="00AB3B90" w:rsidRDefault="00FE6F38" w:rsidP="0074607E">
            <w:pPr>
              <w:rPr>
                <w:rFonts w:asciiTheme="majorHAnsi" w:hAnsiTheme="majorHAnsi"/>
                <w:b/>
                <w:bCs/>
                <w:sz w:val="16"/>
                <w:szCs w:val="16"/>
              </w:rPr>
            </w:pPr>
            <w:r w:rsidRPr="00AB3B90">
              <w:rPr>
                <w:rFonts w:asciiTheme="majorHAnsi" w:hAnsiTheme="majorHAnsi"/>
                <w:b/>
                <w:bCs/>
                <w:sz w:val="16"/>
                <w:szCs w:val="16"/>
              </w:rPr>
              <w:t>Data source</w:t>
            </w:r>
          </w:p>
        </w:tc>
        <w:tc>
          <w:tcPr>
            <w:tcW w:w="2506" w:type="dxa"/>
            <w:shd w:val="clear" w:color="auto" w:fill="E2EFD9" w:themeFill="accent6" w:themeFillTint="33"/>
          </w:tcPr>
          <w:p w14:paraId="6AA3B3F7" w14:textId="77777777" w:rsidR="00FE6F38" w:rsidRPr="00AB3B90" w:rsidRDefault="00FE6F38" w:rsidP="0074607E">
            <w:pPr>
              <w:rPr>
                <w:rFonts w:asciiTheme="majorHAnsi" w:hAnsiTheme="majorHAnsi"/>
                <w:b/>
                <w:sz w:val="16"/>
                <w:szCs w:val="16"/>
              </w:rPr>
            </w:pPr>
            <w:r w:rsidRPr="00AB3B90">
              <w:rPr>
                <w:rFonts w:asciiTheme="majorHAnsi" w:hAnsiTheme="majorHAnsi"/>
                <w:b/>
                <w:sz w:val="16"/>
                <w:szCs w:val="16"/>
              </w:rPr>
              <w:t xml:space="preserve">Definition </w:t>
            </w:r>
          </w:p>
        </w:tc>
        <w:tc>
          <w:tcPr>
            <w:tcW w:w="2507" w:type="dxa"/>
          </w:tcPr>
          <w:p w14:paraId="253C06BD" w14:textId="2F76B6CD" w:rsidR="00FE6F38" w:rsidRPr="00AB3B90" w:rsidRDefault="00FE6F38" w:rsidP="0074607E">
            <w:pPr>
              <w:rPr>
                <w:rFonts w:asciiTheme="majorHAnsi" w:hAnsiTheme="majorHAnsi"/>
                <w:b/>
                <w:bCs/>
                <w:sz w:val="16"/>
                <w:szCs w:val="16"/>
              </w:rPr>
            </w:pPr>
            <w:r w:rsidRPr="00AB3B90">
              <w:rPr>
                <w:rFonts w:asciiTheme="majorHAnsi" w:hAnsiTheme="majorHAnsi"/>
                <w:b/>
                <w:bCs/>
                <w:sz w:val="16"/>
                <w:szCs w:val="16"/>
              </w:rPr>
              <w:t xml:space="preserve">Frequency and timing </w:t>
            </w:r>
          </w:p>
        </w:tc>
        <w:tc>
          <w:tcPr>
            <w:tcW w:w="2506" w:type="dxa"/>
          </w:tcPr>
          <w:p w14:paraId="0ADB4BBE" w14:textId="77777777" w:rsidR="00FE6F38" w:rsidRPr="00AB3B90" w:rsidRDefault="00FE6F38" w:rsidP="0074607E">
            <w:pPr>
              <w:rPr>
                <w:rFonts w:asciiTheme="majorHAnsi" w:hAnsiTheme="majorHAnsi"/>
                <w:b/>
                <w:sz w:val="16"/>
                <w:szCs w:val="16"/>
              </w:rPr>
            </w:pPr>
            <w:r w:rsidRPr="00AB3B90">
              <w:rPr>
                <w:rFonts w:asciiTheme="majorHAnsi" w:hAnsiTheme="majorHAnsi"/>
                <w:b/>
                <w:sz w:val="16"/>
                <w:szCs w:val="16"/>
              </w:rPr>
              <w:t>Specific to education</w:t>
            </w:r>
          </w:p>
        </w:tc>
        <w:tc>
          <w:tcPr>
            <w:tcW w:w="2506" w:type="dxa"/>
          </w:tcPr>
          <w:p w14:paraId="19F56BA7" w14:textId="77777777" w:rsidR="00FE6F38" w:rsidRPr="00AB3B90" w:rsidRDefault="00FE6F38" w:rsidP="0074607E">
            <w:pPr>
              <w:rPr>
                <w:rFonts w:asciiTheme="majorHAnsi" w:hAnsiTheme="majorHAnsi"/>
                <w:b/>
                <w:sz w:val="16"/>
                <w:szCs w:val="16"/>
              </w:rPr>
            </w:pPr>
            <w:r w:rsidRPr="00AB3B90">
              <w:rPr>
                <w:rFonts w:asciiTheme="majorHAnsi" w:hAnsiTheme="majorHAnsi"/>
                <w:b/>
                <w:sz w:val="16"/>
                <w:szCs w:val="16"/>
              </w:rPr>
              <w:t>Reflective of school costs</w:t>
            </w:r>
          </w:p>
        </w:tc>
        <w:tc>
          <w:tcPr>
            <w:tcW w:w="2507" w:type="dxa"/>
          </w:tcPr>
          <w:p w14:paraId="772F9EE9" w14:textId="77777777" w:rsidR="00FE6F38" w:rsidRPr="00AB3B90" w:rsidRDefault="00FE6F38" w:rsidP="0074607E">
            <w:pPr>
              <w:rPr>
                <w:rFonts w:asciiTheme="majorHAnsi" w:hAnsiTheme="majorHAnsi"/>
                <w:b/>
                <w:bCs/>
                <w:sz w:val="16"/>
                <w:szCs w:val="16"/>
              </w:rPr>
            </w:pPr>
            <w:r w:rsidRPr="00AB3B90">
              <w:rPr>
                <w:rFonts w:asciiTheme="majorHAnsi" w:hAnsiTheme="majorHAnsi"/>
                <w:b/>
                <w:bCs/>
                <w:sz w:val="16"/>
                <w:szCs w:val="16"/>
              </w:rPr>
              <w:t xml:space="preserve">Policy independence </w:t>
            </w:r>
          </w:p>
        </w:tc>
      </w:tr>
      <w:tr w:rsidR="0088612F" w:rsidRPr="00AB3B90" w14:paraId="3DE21C43" w14:textId="77777777" w:rsidTr="008F4388">
        <w:trPr>
          <w:trHeight w:val="20"/>
        </w:trPr>
        <w:tc>
          <w:tcPr>
            <w:tcW w:w="2506" w:type="dxa"/>
            <w:shd w:val="clear" w:color="auto" w:fill="E2EFD9" w:themeFill="accent6" w:themeFillTint="33"/>
          </w:tcPr>
          <w:p w14:paraId="479F8B45" w14:textId="77777777" w:rsidR="00AA3B12" w:rsidRPr="00AB3B90" w:rsidRDefault="00AA3B12">
            <w:pPr>
              <w:rPr>
                <w:rFonts w:asciiTheme="majorHAnsi" w:hAnsiTheme="majorHAnsi"/>
                <w:b/>
                <w:bCs/>
                <w:sz w:val="16"/>
                <w:szCs w:val="16"/>
              </w:rPr>
            </w:pPr>
            <w:r w:rsidRPr="00AB3B90">
              <w:rPr>
                <w:rFonts w:asciiTheme="majorHAnsi" w:hAnsiTheme="majorHAnsi"/>
                <w:b/>
                <w:bCs/>
                <w:sz w:val="16"/>
                <w:szCs w:val="16"/>
              </w:rPr>
              <w:t>Producer Price Index – Final Demand (PPI)</w:t>
            </w:r>
          </w:p>
        </w:tc>
        <w:tc>
          <w:tcPr>
            <w:tcW w:w="2506" w:type="dxa"/>
            <w:shd w:val="clear" w:color="auto" w:fill="E2EFD9" w:themeFill="accent6" w:themeFillTint="33"/>
          </w:tcPr>
          <w:p w14:paraId="4EAEA377" w14:textId="77777777" w:rsidR="00AA3B12" w:rsidRPr="00AB3B90" w:rsidRDefault="00AA3B12">
            <w:pPr>
              <w:rPr>
                <w:rFonts w:asciiTheme="majorHAnsi" w:hAnsiTheme="majorHAnsi"/>
                <w:sz w:val="16"/>
                <w:szCs w:val="16"/>
              </w:rPr>
            </w:pPr>
            <w:r w:rsidRPr="00AB3B90">
              <w:rPr>
                <w:rFonts w:asciiTheme="majorHAnsi" w:hAnsiTheme="majorHAnsi"/>
                <w:sz w:val="16"/>
                <w:szCs w:val="16"/>
              </w:rPr>
              <w:t xml:space="preserve">Price changes of products for final consumption from the perspective of industries that produce goods and services. </w:t>
            </w:r>
          </w:p>
        </w:tc>
        <w:tc>
          <w:tcPr>
            <w:tcW w:w="2507" w:type="dxa"/>
          </w:tcPr>
          <w:p w14:paraId="594A482E" w14:textId="26EDD99A" w:rsidR="00AA3B12" w:rsidRPr="00AB3B90" w:rsidRDefault="00AA3B12" w:rsidP="000513C5">
            <w:pPr>
              <w:rPr>
                <w:rFonts w:asciiTheme="majorHAnsi" w:hAnsiTheme="majorHAnsi"/>
                <w:sz w:val="16"/>
                <w:szCs w:val="16"/>
              </w:rPr>
            </w:pPr>
            <w:r w:rsidRPr="00AB3B90">
              <w:rPr>
                <w:rFonts w:asciiTheme="majorHAnsi" w:hAnsiTheme="majorHAnsi"/>
                <w:sz w:val="16"/>
                <w:szCs w:val="16"/>
              </w:rPr>
              <w:t>Released quarterly, approximately one month after the end of the quarter.</w:t>
            </w:r>
          </w:p>
        </w:tc>
        <w:tc>
          <w:tcPr>
            <w:tcW w:w="2506" w:type="dxa"/>
          </w:tcPr>
          <w:p w14:paraId="11BFE97A" w14:textId="2075BC92" w:rsidR="00AA3B12" w:rsidRPr="00AB3B90" w:rsidRDefault="00AA3B12">
            <w:pPr>
              <w:rPr>
                <w:rFonts w:asciiTheme="majorHAnsi" w:hAnsiTheme="majorHAnsi"/>
                <w:sz w:val="16"/>
                <w:szCs w:val="16"/>
              </w:rPr>
            </w:pPr>
            <w:r w:rsidRPr="00AB3B90">
              <w:rPr>
                <w:rFonts w:asciiTheme="majorHAnsi" w:hAnsiTheme="majorHAnsi"/>
                <w:sz w:val="16"/>
                <w:szCs w:val="16"/>
              </w:rPr>
              <w:t xml:space="preserve">No. The PPI does include higher education (as a component) but does not include primary or secondary schooling </w:t>
            </w:r>
          </w:p>
        </w:tc>
        <w:tc>
          <w:tcPr>
            <w:tcW w:w="2506" w:type="dxa"/>
          </w:tcPr>
          <w:p w14:paraId="0A6C9BDB" w14:textId="5FD00022" w:rsidR="00AA3B12" w:rsidRPr="00AB3B90" w:rsidRDefault="00AA3B12">
            <w:pPr>
              <w:rPr>
                <w:rFonts w:asciiTheme="majorHAnsi" w:hAnsiTheme="majorHAnsi"/>
                <w:sz w:val="16"/>
                <w:szCs w:val="16"/>
              </w:rPr>
            </w:pPr>
            <w:r w:rsidRPr="00AB3B90">
              <w:rPr>
                <w:rFonts w:asciiTheme="majorHAnsi" w:hAnsiTheme="majorHAnsi"/>
                <w:sz w:val="16"/>
                <w:szCs w:val="16"/>
              </w:rPr>
              <w:t xml:space="preserve">No. The PPI reflects the costs of production across the economy, not specifically in schooling </w:t>
            </w:r>
          </w:p>
        </w:tc>
        <w:tc>
          <w:tcPr>
            <w:tcW w:w="2507" w:type="dxa"/>
          </w:tcPr>
          <w:p w14:paraId="03A3CC52" w14:textId="77777777" w:rsidR="00AA3B12" w:rsidRPr="00AB3B90" w:rsidRDefault="00AA3B12">
            <w:pPr>
              <w:rPr>
                <w:rFonts w:asciiTheme="majorHAnsi" w:hAnsiTheme="majorHAnsi"/>
                <w:sz w:val="16"/>
                <w:szCs w:val="16"/>
              </w:rPr>
            </w:pPr>
            <w:r w:rsidRPr="00AB3B90">
              <w:rPr>
                <w:rFonts w:asciiTheme="majorHAnsi" w:hAnsiTheme="majorHAnsi"/>
                <w:sz w:val="16"/>
                <w:szCs w:val="16"/>
              </w:rPr>
              <w:t>Yes. The PPI will not change in any discernible way because of changes to education policy.</w:t>
            </w:r>
          </w:p>
        </w:tc>
      </w:tr>
    </w:tbl>
    <w:p w14:paraId="2C541A6C" w14:textId="6097E568" w:rsidR="0077077E" w:rsidRPr="00AB3B90" w:rsidRDefault="004A3499" w:rsidP="00EF5AC5">
      <w:pPr>
        <w:pStyle w:val="Source"/>
        <w:rPr>
          <w:szCs w:val="17"/>
        </w:rPr>
      </w:pPr>
      <w:r w:rsidRPr="00AB3B90">
        <w:t>Source: Australian Bureau of Statistics (2024).</w:t>
      </w:r>
    </w:p>
    <w:p w14:paraId="3E619206" w14:textId="77777777" w:rsidR="00FA6F7C" w:rsidRPr="00AB3B90" w:rsidRDefault="00FA6F7C" w:rsidP="00D71A64">
      <w:pPr>
        <w:sectPr w:rsidR="00FA6F7C" w:rsidRPr="00AB3B90" w:rsidSect="008F4388">
          <w:pgSz w:w="16838" w:h="11906" w:orient="landscape"/>
          <w:pgMar w:top="1134" w:right="1134" w:bottom="1134" w:left="1134" w:header="709" w:footer="709" w:gutter="0"/>
          <w:cols w:space="708"/>
          <w:docGrid w:linePitch="360"/>
        </w:sectPr>
      </w:pPr>
    </w:p>
    <w:p w14:paraId="58BE656D" w14:textId="322BF5DF" w:rsidR="00D71316" w:rsidRPr="00AB3B90" w:rsidRDefault="00D71316" w:rsidP="00D71316">
      <w:pPr>
        <w:pBdr>
          <w:top w:val="single" w:sz="4" w:space="1" w:color="auto"/>
          <w:left w:val="single" w:sz="4" w:space="4" w:color="auto"/>
          <w:bottom w:val="single" w:sz="4" w:space="1" w:color="auto"/>
          <w:right w:val="single" w:sz="4" w:space="4" w:color="auto"/>
        </w:pBdr>
        <w:rPr>
          <w:b/>
        </w:rPr>
      </w:pPr>
      <w:r w:rsidRPr="00AB3B90">
        <w:rPr>
          <w:b/>
        </w:rPr>
        <w:t xml:space="preserve">Finding </w:t>
      </w:r>
      <w:r w:rsidR="4414106A" w:rsidRPr="00AB3B90">
        <w:rPr>
          <w:b/>
          <w:bCs/>
        </w:rPr>
        <w:t>3</w:t>
      </w:r>
    </w:p>
    <w:p w14:paraId="349D77B1" w14:textId="5F8A820A" w:rsidR="00D71316" w:rsidRPr="00AB3B90" w:rsidRDefault="00D71316" w:rsidP="00D71316">
      <w:pPr>
        <w:pBdr>
          <w:top w:val="single" w:sz="4" w:space="1" w:color="auto"/>
          <w:left w:val="single" w:sz="4" w:space="4" w:color="auto"/>
          <w:bottom w:val="single" w:sz="4" w:space="1" w:color="auto"/>
          <w:right w:val="single" w:sz="4" w:space="4" w:color="auto"/>
        </w:pBdr>
        <w:spacing w:before="0" w:after="170" w:line="240" w:lineRule="atLeast"/>
      </w:pPr>
      <w:r w:rsidRPr="00AB3B90">
        <w:t xml:space="preserve">There is not a strong case for the use of an education specific WPI index, given this would typically closely align with </w:t>
      </w:r>
      <w:proofErr w:type="gramStart"/>
      <w:r w:rsidRPr="00AB3B90">
        <w:t>economy-wide</w:t>
      </w:r>
      <w:proofErr w:type="gramEnd"/>
      <w:r w:rsidRPr="00AB3B90">
        <w:t xml:space="preserve"> WPI measures, and it is not clear that all instances of material divergence between the indices would be ‘policy independent’.</w:t>
      </w:r>
      <w:r w:rsidR="4414106A" w:rsidRPr="00AB3B90">
        <w:t> </w:t>
      </w:r>
    </w:p>
    <w:p w14:paraId="2788A6A2" w14:textId="77777777" w:rsidR="00D71316" w:rsidRPr="00AB3B90" w:rsidRDefault="00D71316" w:rsidP="00D71A64"/>
    <w:p w14:paraId="3BE6EB67" w14:textId="1AC42C96" w:rsidR="00D71316" w:rsidRPr="00AB3B90" w:rsidRDefault="00D71316" w:rsidP="00D71316">
      <w:pPr>
        <w:pBdr>
          <w:top w:val="single" w:sz="4" w:space="1" w:color="auto"/>
          <w:left w:val="single" w:sz="4" w:space="4" w:color="auto"/>
          <w:bottom w:val="single" w:sz="4" w:space="1" w:color="auto"/>
          <w:right w:val="single" w:sz="4" w:space="4" w:color="auto"/>
        </w:pBdr>
        <w:rPr>
          <w:b/>
        </w:rPr>
      </w:pPr>
      <w:r w:rsidRPr="00AB3B90">
        <w:rPr>
          <w:b/>
        </w:rPr>
        <w:t xml:space="preserve">Finding </w:t>
      </w:r>
      <w:r w:rsidR="735FACD0" w:rsidRPr="00AB3B90">
        <w:rPr>
          <w:b/>
          <w:bCs/>
        </w:rPr>
        <w:t>4</w:t>
      </w:r>
    </w:p>
    <w:p w14:paraId="31A7F9AF" w14:textId="69BEE347" w:rsidR="735FACD0" w:rsidRPr="00AB3B90" w:rsidRDefault="735FACD0" w:rsidP="6677C68B">
      <w:pPr>
        <w:pBdr>
          <w:top w:val="single" w:sz="4" w:space="1" w:color="auto"/>
          <w:left w:val="single" w:sz="4" w:space="4" w:color="auto"/>
          <w:bottom w:val="single" w:sz="4" w:space="1" w:color="auto"/>
          <w:right w:val="single" w:sz="4" w:space="4" w:color="auto"/>
        </w:pBdr>
      </w:pPr>
      <w:r w:rsidRPr="00AB3B90">
        <w:t xml:space="preserve">There may be a case for an education specific CPI measure, utilising a combination of sub-components of the CPI that best align with non-staff school costs. However, there is incomplete evidence upon which to develop this index and it is not clear that the benefits from the use of this index would outweigh the costs of collecting the necessary data. Further, the index may be more volatile than the general CPI measure.    </w:t>
      </w:r>
    </w:p>
    <w:p w14:paraId="7DEA6D19" w14:textId="0FA32BB7" w:rsidR="6677C68B" w:rsidRPr="00AB3B90" w:rsidRDefault="6677C68B" w:rsidP="6677C68B"/>
    <w:p w14:paraId="232E6A56" w14:textId="2DD2735A" w:rsidR="20C4A771" w:rsidRPr="00AB3B90" w:rsidRDefault="20C4A771" w:rsidP="6677C68B">
      <w:pPr>
        <w:pBdr>
          <w:top w:val="single" w:sz="4" w:space="1" w:color="auto"/>
          <w:left w:val="single" w:sz="4" w:space="4" w:color="auto"/>
          <w:bottom w:val="single" w:sz="4" w:space="1" w:color="auto"/>
          <w:right w:val="single" w:sz="4" w:space="4" w:color="auto"/>
        </w:pBdr>
        <w:rPr>
          <w:b/>
          <w:bCs/>
        </w:rPr>
      </w:pPr>
      <w:r w:rsidRPr="00AB3B90">
        <w:rPr>
          <w:b/>
          <w:bCs/>
        </w:rPr>
        <w:t>Finding 5</w:t>
      </w:r>
    </w:p>
    <w:p w14:paraId="6BB2D5DD" w14:textId="72FEB98F" w:rsidR="20C4A771" w:rsidRPr="00AB3B90" w:rsidRDefault="20C4A771" w:rsidP="6677C68B">
      <w:pPr>
        <w:pBdr>
          <w:top w:val="single" w:sz="4" w:space="1" w:color="auto"/>
          <w:left w:val="single" w:sz="4" w:space="4" w:color="auto"/>
          <w:bottom w:val="single" w:sz="4" w:space="1" w:color="auto"/>
          <w:right w:val="single" w:sz="4" w:space="4" w:color="auto"/>
        </w:pBdr>
      </w:pPr>
      <w:r w:rsidRPr="00AB3B90">
        <w:t xml:space="preserve">On balance, there is not a compelling case for materially changing the weighting of the SRS composite index. However, the views heard through consultation suggest that the composition of recurrent expenditure be closely monitored against the changing nature of schooling input costs.   </w:t>
      </w:r>
    </w:p>
    <w:p w14:paraId="75CF2F53" w14:textId="1AE228E4" w:rsidR="6677C68B" w:rsidRPr="00AB3B90" w:rsidRDefault="6677C68B" w:rsidP="6677C68B"/>
    <w:p w14:paraId="56C28027" w14:textId="536F7BD1" w:rsidR="00D71316" w:rsidRPr="00AB3B90" w:rsidRDefault="00D71316" w:rsidP="00A267A0">
      <w:pPr>
        <w:pBdr>
          <w:top w:val="single" w:sz="4" w:space="1" w:color="auto"/>
          <w:left w:val="single" w:sz="4" w:space="4" w:color="auto"/>
          <w:bottom w:val="single" w:sz="4" w:space="1" w:color="auto"/>
          <w:right w:val="single" w:sz="4" w:space="4" w:color="auto"/>
        </w:pBdr>
        <w:spacing w:before="0" w:after="170" w:line="240" w:lineRule="atLeast"/>
        <w:rPr>
          <w:b/>
          <w:bCs/>
        </w:rPr>
      </w:pPr>
      <w:r w:rsidRPr="00AB3B90">
        <w:rPr>
          <w:b/>
          <w:bCs/>
        </w:rPr>
        <w:t xml:space="preserve">Recommendation </w:t>
      </w:r>
      <w:r w:rsidR="00A267A0" w:rsidRPr="00AB3B90">
        <w:rPr>
          <w:b/>
          <w:bCs/>
        </w:rPr>
        <w:t>3</w:t>
      </w:r>
    </w:p>
    <w:p w14:paraId="422BD3A4" w14:textId="77777777" w:rsidR="00A267A0" w:rsidRPr="00AB3B90" w:rsidRDefault="00A267A0" w:rsidP="00E37ADA">
      <w:pPr>
        <w:pBdr>
          <w:top w:val="single" w:sz="4" w:space="1" w:color="auto"/>
          <w:left w:val="single" w:sz="4" w:space="4" w:color="auto"/>
          <w:bottom w:val="single" w:sz="4" w:space="1" w:color="auto"/>
          <w:right w:val="single" w:sz="4" w:space="4" w:color="auto"/>
        </w:pBdr>
      </w:pPr>
      <w:r w:rsidRPr="00AB3B90">
        <w:t>The Australian Government should continue to use the current composite index split of 75 per cent WPI and 25 per cent CPI as the basis for determining the composite indexation rate. As time constraints during this review did not allow for deep analysis, future consultation should be undertaken to examine alternative indices.</w:t>
      </w:r>
    </w:p>
    <w:p w14:paraId="0A0C6B6B" w14:textId="77777777" w:rsidR="00D71316" w:rsidRPr="00AB3B90" w:rsidRDefault="00D71316" w:rsidP="00D71A64">
      <w:pPr>
        <w:rPr>
          <w:szCs w:val="17"/>
        </w:rPr>
      </w:pPr>
    </w:p>
    <w:p w14:paraId="5A344D46" w14:textId="77777777" w:rsidR="0077077E" w:rsidRPr="00AB3B90" w:rsidRDefault="0077077E" w:rsidP="00D71A64">
      <w:pPr>
        <w:rPr>
          <w:szCs w:val="17"/>
        </w:rPr>
        <w:sectPr w:rsidR="0077077E" w:rsidRPr="00AB3B90" w:rsidSect="00DA031A">
          <w:pgSz w:w="11906" w:h="16838"/>
          <w:pgMar w:top="1440" w:right="1440" w:bottom="1440" w:left="1440" w:header="709" w:footer="709" w:gutter="0"/>
          <w:cols w:space="708"/>
          <w:docGrid w:linePitch="360"/>
        </w:sectPr>
      </w:pPr>
    </w:p>
    <w:p w14:paraId="626B28B5" w14:textId="3A30FAAF" w:rsidR="005F5BE3" w:rsidRPr="00AB3B90" w:rsidRDefault="005F5BE3" w:rsidP="005F5BE3">
      <w:pPr>
        <w:pStyle w:val="Heading1-Numbered"/>
        <w:ind w:left="1843" w:hanging="1843"/>
      </w:pPr>
      <w:bookmarkStart w:id="139" w:name="_Toc163650451"/>
      <w:r w:rsidRPr="00AB3B90">
        <w:t>Timing of SRS indexation rates</w:t>
      </w:r>
      <w:bookmarkEnd w:id="139"/>
    </w:p>
    <w:p w14:paraId="35955383" w14:textId="76E24B2E" w:rsidR="00A914DD" w:rsidRPr="00AB3B90" w:rsidRDefault="005F5BE3" w:rsidP="005F5BE3">
      <w:pPr>
        <w:pStyle w:val="Heading2-Numbered"/>
      </w:pPr>
      <w:bookmarkStart w:id="140" w:name="_Toc163650452"/>
      <w:r w:rsidRPr="00AB3B90">
        <w:t>Current timing of indexation and payments</w:t>
      </w:r>
      <w:bookmarkEnd w:id="140"/>
    </w:p>
    <w:p w14:paraId="56394839" w14:textId="4B16E5B9" w:rsidR="004D0AFD" w:rsidRPr="00AB3B90" w:rsidRDefault="004D0AFD" w:rsidP="004D0AFD">
      <w:r w:rsidRPr="00AB3B90">
        <w:t xml:space="preserve">Indexation is currently applied using different timing mechanisms for government and </w:t>
      </w:r>
      <w:r w:rsidR="00307AC9" w:rsidRPr="00AB3B90">
        <w:br/>
      </w:r>
      <w:r w:rsidRPr="00AB3B90">
        <w:t xml:space="preserve">non-government SRS payments. </w:t>
      </w:r>
    </w:p>
    <w:p w14:paraId="6E948FD7" w14:textId="309FB539" w:rsidR="004D0AFD" w:rsidRPr="00AB3B90" w:rsidRDefault="004D0AFD" w:rsidP="004D0AFD">
      <w:r w:rsidRPr="00AB3B90">
        <w:t>For non-government schools, the final indexation rate is applied in October following the release of June-quarter CPI and WPI data by the ABS. The final rate is therefore known by late</w:t>
      </w:r>
      <w:r w:rsidR="00307AC9" w:rsidRPr="00AB3B90">
        <w:t> </w:t>
      </w:r>
      <w:r w:rsidRPr="00AB3B90">
        <w:t>August each</w:t>
      </w:r>
      <w:r w:rsidR="00307AC9" w:rsidRPr="00AB3B90">
        <w:t> </w:t>
      </w:r>
      <w:r w:rsidRPr="00AB3B90">
        <w:t xml:space="preserve">year at the earliest, as shown in </w:t>
      </w:r>
      <w:r w:rsidR="00BB6549" w:rsidRPr="00AB3B90">
        <w:fldChar w:fldCharType="begin"/>
      </w:r>
      <w:r w:rsidR="00BB6549" w:rsidRPr="00AB3B90">
        <w:instrText xml:space="preserve"> REF _Ref161142793 \h  \* MERGEFORMAT </w:instrText>
      </w:r>
      <w:r w:rsidR="00BB6549" w:rsidRPr="00AB3B90">
        <w:fldChar w:fldCharType="separate"/>
      </w:r>
      <w:r w:rsidR="00FF6847" w:rsidRPr="00AB3B90">
        <w:t xml:space="preserve">Figure </w:t>
      </w:r>
      <w:r w:rsidR="00FF6847" w:rsidRPr="00AB3B90">
        <w:rPr>
          <w:noProof/>
        </w:rPr>
        <w:t>11</w:t>
      </w:r>
      <w:r w:rsidR="00BB6549" w:rsidRPr="00AB3B90">
        <w:fldChar w:fldCharType="end"/>
      </w:r>
      <w:r w:rsidRPr="00AB3B90">
        <w:t xml:space="preserve"> below. </w:t>
      </w:r>
      <w:r w:rsidR="00307AC9" w:rsidRPr="00AB3B90">
        <w:t xml:space="preserve">Australian Government </w:t>
      </w:r>
      <w:r w:rsidRPr="00AB3B90">
        <w:t>Ministerial approval of the final indexation rate is required and typically received in September, providing states and territories a maximum of four months to plan the remaining expenditure for the year. The short lead time raises questions around the ability to adapt budgets to unexpected changes late in the funding year (especially given school budgets and staffing profiles are planned up to a year in advance).</w:t>
      </w:r>
    </w:p>
    <w:p w14:paraId="2269351F" w14:textId="1B4E0EC1" w:rsidR="00347501" w:rsidRPr="00AB3B90" w:rsidRDefault="00347501" w:rsidP="00347501">
      <w:pPr>
        <w:pStyle w:val="Caption"/>
        <w:keepNext/>
      </w:pPr>
      <w:bookmarkStart w:id="141" w:name="_Ref161142793"/>
      <w:bookmarkStart w:id="142" w:name="_Toc163650472"/>
      <w:r w:rsidRPr="00AB3B90">
        <w:t xml:space="preserve">Figure </w:t>
      </w:r>
      <w:r w:rsidRPr="00AB3B90">
        <w:fldChar w:fldCharType="begin"/>
      </w:r>
      <w:r w:rsidRPr="00AB3B90">
        <w:instrText>SEQ Figure \* ARABIC</w:instrText>
      </w:r>
      <w:r w:rsidRPr="00AB3B90">
        <w:fldChar w:fldCharType="separate"/>
      </w:r>
      <w:r w:rsidR="00FF6847" w:rsidRPr="00AB3B90">
        <w:rPr>
          <w:noProof/>
        </w:rPr>
        <w:t>11</w:t>
      </w:r>
      <w:r w:rsidRPr="00AB3B90">
        <w:fldChar w:fldCharType="end"/>
      </w:r>
      <w:bookmarkEnd w:id="141"/>
      <w:r w:rsidRPr="00AB3B90">
        <w:t xml:space="preserve"> Timeline of key ABS releases and schooling </w:t>
      </w:r>
      <w:proofErr w:type="gramStart"/>
      <w:r w:rsidRPr="00AB3B90">
        <w:t>dates</w:t>
      </w:r>
      <w:bookmarkEnd w:id="142"/>
      <w:proofErr w:type="gramEnd"/>
    </w:p>
    <w:p w14:paraId="2559FC4B" w14:textId="2536839B" w:rsidR="00580747" w:rsidRPr="00580747" w:rsidRDefault="00580747" w:rsidP="00271573">
      <w:pPr>
        <w:spacing w:before="100" w:beforeAutospacing="1" w:after="100" w:afterAutospacing="1" w:line="240" w:lineRule="auto"/>
        <w:rPr>
          <w:rFonts w:ascii="Times New Roman" w:eastAsia="Times New Roman" w:hAnsi="Times New Roman" w:cs="Times New Roman"/>
          <w:sz w:val="24"/>
          <w:szCs w:val="24"/>
          <w:lang w:eastAsia="en-AU"/>
        </w:rPr>
      </w:pPr>
      <w:r w:rsidRPr="00580747">
        <w:rPr>
          <w:rFonts w:ascii="Times New Roman" w:eastAsia="Times New Roman" w:hAnsi="Times New Roman" w:cs="Times New Roman"/>
          <w:noProof/>
          <w:sz w:val="24"/>
          <w:szCs w:val="24"/>
          <w:lang w:eastAsia="en-AU"/>
        </w:rPr>
        <w:drawing>
          <wp:inline distT="0" distB="0" distL="0" distR="0" wp14:anchorId="6075E188" wp14:editId="35DD4777">
            <wp:extent cx="5731510" cy="2531110"/>
            <wp:effectExtent l="0" t="0" r="2540" b="2540"/>
            <wp:docPr id="890262012" name="Picture 11" descr="Figure 11 depicts the timeline of key Australian Bureau of Statistics releases and schooling dates, as described in the text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62012" name="Picture 11" descr="Figure 11 depicts the timeline of key Australian Bureau of Statistics releases and schooling dates, as described in the text abov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1510" cy="2531110"/>
                    </a:xfrm>
                    <a:prstGeom prst="rect">
                      <a:avLst/>
                    </a:prstGeom>
                    <a:noFill/>
                    <a:ln>
                      <a:noFill/>
                    </a:ln>
                  </pic:spPr>
                </pic:pic>
              </a:graphicData>
            </a:graphic>
          </wp:inline>
        </w:drawing>
      </w:r>
    </w:p>
    <w:p w14:paraId="39BF4C81" w14:textId="77777777" w:rsidR="000F4081" w:rsidRPr="00AB3B90" w:rsidRDefault="000F4081" w:rsidP="00E37ADA">
      <w:pPr>
        <w:pStyle w:val="Source"/>
        <w:spacing w:before="0" w:after="0" w:line="240" w:lineRule="auto"/>
      </w:pPr>
      <w:r w:rsidRPr="00E37ADA">
        <w:t>Notes: State Budgets are extremely important for school funding and the timing of State Budget development and approvals differs by jurisdiction.</w:t>
      </w:r>
      <w:r w:rsidRPr="00AB3B90">
        <w:t xml:space="preserve"> </w:t>
      </w:r>
    </w:p>
    <w:p w14:paraId="72DE10E1" w14:textId="77777777" w:rsidR="00C32883" w:rsidRPr="00AB3B90" w:rsidRDefault="00C32883" w:rsidP="00E37ADA">
      <w:pPr>
        <w:pStyle w:val="Source"/>
        <w:spacing w:before="0" w:after="0"/>
      </w:pPr>
      <w:r w:rsidRPr="00AB3B90">
        <w:t xml:space="preserve">Source: Deloitte Access Economics. </w:t>
      </w:r>
    </w:p>
    <w:p w14:paraId="05C5E2D1" w14:textId="42085A31" w:rsidR="00307AC9" w:rsidRPr="00AB3B90" w:rsidRDefault="00774EF8" w:rsidP="00824FF7">
      <w:r w:rsidRPr="00AB3B90">
        <w:t>Indexation for government schools is applied in January using a projected indexation rate for the year, and recurring monthly payments are made to states and territories that each amount to 8.33</w:t>
      </w:r>
      <w:r w:rsidR="00307AC9" w:rsidRPr="00AB3B90">
        <w:t> per cent</w:t>
      </w:r>
      <w:r w:rsidR="002B3331" w:rsidRPr="00AB3B90">
        <w:t xml:space="preserve"> </w:t>
      </w:r>
      <w:r w:rsidRPr="00AB3B90">
        <w:t>of their estimated annual entitlement</w:t>
      </w:r>
      <w:r w:rsidR="003150B5" w:rsidRPr="00AB3B90">
        <w:t>.</w:t>
      </w:r>
      <w:r w:rsidR="00096612" w:rsidRPr="00AB3B90">
        <w:rPr>
          <w:rStyle w:val="FootnoteReference"/>
        </w:rPr>
        <w:footnoteReference w:id="18"/>
      </w:r>
      <w:r w:rsidRPr="00AB3B90">
        <w:t xml:space="preserve"> Importantly, the final monthly payment made in December is based on the final indexation rate, and accounts for the cumulative differences between the estimated payments and actual payments seen throughout the year.</w:t>
      </w:r>
      <w:r w:rsidR="00824FF7">
        <w:t xml:space="preserve"> </w:t>
      </w:r>
      <w:r w:rsidR="00307AC9" w:rsidRPr="00AB3B90">
        <w:br w:type="page"/>
      </w:r>
    </w:p>
    <w:p w14:paraId="770EDDA8" w14:textId="7097279D" w:rsidR="00C47556" w:rsidRPr="00AB3B90" w:rsidRDefault="002E1BAA" w:rsidP="00C47556">
      <w:bookmarkStart w:id="143" w:name="_Ref160808602"/>
      <w:r w:rsidRPr="00AB3B90">
        <w:t>Approved system au</w:t>
      </w:r>
      <w:r w:rsidR="00587A12" w:rsidRPr="00AB3B90">
        <w:t>thorities</w:t>
      </w:r>
      <w:r w:rsidR="00C47556" w:rsidRPr="00AB3B90">
        <w:t xml:space="preserve">  generally allocate funding to schools utilising their own formulas and models, drawing on Commonwealth and State and Territory funding sources. As such, the timing of the application of indexation for these systems would not generally be expected to affect the funding and resource allocation of individual schools. Nonetheless, to the extent that systems must expend their agreed SRS funding allocation at an aggregated level within the year it is allocated, there is a risk that uncertainty over the final funding payment to systems may result in an over or under-utilisation of funding relative to what is required under the terms of each system’s bilateral agreement. The presence of this issue was confirmed throughout consultations, with some smaller jurisdictions with limited fiscal capacity noting that large increases in funding targets due to indexation are difficult to meet when facing challenges such as teacher shortages, which are amplified in systems with high numbers of rural and remote schools.</w:t>
      </w:r>
    </w:p>
    <w:p w14:paraId="6FD70714" w14:textId="493AEA3F" w:rsidR="002F232E" w:rsidRPr="00AB3B90" w:rsidRDefault="002F232E" w:rsidP="002F232E">
      <w:pPr>
        <w:pStyle w:val="Caption"/>
        <w:keepNext/>
      </w:pPr>
      <w:bookmarkStart w:id="144" w:name="_Toc163650473"/>
      <w:r w:rsidRPr="00AB3B90">
        <w:t xml:space="preserve">Figure </w:t>
      </w:r>
      <w:r w:rsidRPr="00AB3B90">
        <w:fldChar w:fldCharType="begin"/>
      </w:r>
      <w:r w:rsidRPr="00AB3B90">
        <w:instrText>SEQ Figure \* ARABIC</w:instrText>
      </w:r>
      <w:r w:rsidRPr="00AB3B90">
        <w:fldChar w:fldCharType="separate"/>
      </w:r>
      <w:r w:rsidR="00FF6847" w:rsidRPr="00AB3B90">
        <w:rPr>
          <w:noProof/>
        </w:rPr>
        <w:t>12</w:t>
      </w:r>
      <w:r w:rsidRPr="00AB3B90">
        <w:fldChar w:fldCharType="end"/>
      </w:r>
      <w:bookmarkEnd w:id="143"/>
      <w:r w:rsidRPr="00AB3B90">
        <w:t xml:space="preserve"> SRS indexation and payment timings for government and non-government</w:t>
      </w:r>
      <w:r w:rsidR="006B7710" w:rsidRPr="00AB3B90">
        <w:t xml:space="preserve"> schools under current </w:t>
      </w:r>
      <w:proofErr w:type="gramStart"/>
      <w:r w:rsidR="006B7710" w:rsidRPr="00AB3B90">
        <w:t>arrangements</w:t>
      </w:r>
      <w:bookmarkEnd w:id="144"/>
      <w:proofErr w:type="gramEnd"/>
    </w:p>
    <w:p w14:paraId="20A13714" w14:textId="639284F0" w:rsidR="00763A36" w:rsidRPr="00763A36" w:rsidRDefault="00763A36" w:rsidP="00763A36">
      <w:pPr>
        <w:spacing w:before="100" w:beforeAutospacing="1" w:after="100" w:afterAutospacing="1" w:line="240" w:lineRule="auto"/>
        <w:rPr>
          <w:rFonts w:ascii="Times New Roman" w:eastAsia="Times New Roman" w:hAnsi="Times New Roman" w:cs="Times New Roman"/>
          <w:sz w:val="24"/>
          <w:szCs w:val="24"/>
          <w:lang w:eastAsia="en-AU"/>
        </w:rPr>
      </w:pPr>
      <w:r w:rsidRPr="00763A36">
        <w:rPr>
          <w:rFonts w:ascii="Times New Roman" w:eastAsia="Times New Roman" w:hAnsi="Times New Roman" w:cs="Times New Roman"/>
          <w:noProof/>
          <w:sz w:val="24"/>
          <w:szCs w:val="24"/>
          <w:lang w:eastAsia="en-AU"/>
        </w:rPr>
        <w:drawing>
          <wp:inline distT="0" distB="0" distL="0" distR="0" wp14:anchorId="0A9C1368" wp14:editId="738D1E1C">
            <wp:extent cx="5286615" cy="3189775"/>
            <wp:effectExtent l="0" t="0" r="0" b="0"/>
            <wp:docPr id="1015967763" name="Picture 12" descr="Figure 12 depicts SRS indexation and payment timings for government and non-government schools under current arrangements, as described in the tex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67763" name="Picture 12" descr="Figure 12 depicts SRS indexation and payment timings for government and non-government schools under current arrangements, as described in the text below."/>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95497" cy="3195134"/>
                    </a:xfrm>
                    <a:prstGeom prst="rect">
                      <a:avLst/>
                    </a:prstGeom>
                    <a:noFill/>
                    <a:ln>
                      <a:noFill/>
                    </a:ln>
                  </pic:spPr>
                </pic:pic>
              </a:graphicData>
            </a:graphic>
          </wp:inline>
        </w:drawing>
      </w:r>
    </w:p>
    <w:p w14:paraId="6BEB2833" w14:textId="77777777" w:rsidR="007652B5" w:rsidRPr="00AB3B90" w:rsidRDefault="007652B5" w:rsidP="007652B5">
      <w:pPr>
        <w:pStyle w:val="Source"/>
      </w:pPr>
      <w:r w:rsidRPr="00AB3B90">
        <w:t xml:space="preserve">Source: Deloitte Access Economics; Australian Government Department of Education 2024, </w:t>
      </w:r>
      <w:r w:rsidRPr="00AB3B90">
        <w:rPr>
          <w:i/>
          <w:iCs/>
        </w:rPr>
        <w:t>2024 Indexation Review Background</w:t>
      </w:r>
      <w:r w:rsidRPr="00AB3B90">
        <w:t>.</w:t>
      </w:r>
    </w:p>
    <w:p w14:paraId="2D962497" w14:textId="3BAA031E" w:rsidR="0080387A" w:rsidRPr="00AB3B90" w:rsidRDefault="0080387A" w:rsidP="0080387A">
      <w:r w:rsidRPr="00AB3B90">
        <w:fldChar w:fldCharType="begin"/>
      </w:r>
      <w:r w:rsidRPr="00AB3B90">
        <w:instrText xml:space="preserve"> REF _Ref160808602 \h </w:instrText>
      </w:r>
      <w:r w:rsidR="00065A8C" w:rsidRPr="00AB3B90">
        <w:instrText xml:space="preserve"> \* MERGEFORMAT </w:instrText>
      </w:r>
      <w:r w:rsidRPr="00AB3B90">
        <w:fldChar w:fldCharType="separate"/>
      </w:r>
      <w:r w:rsidR="00FF6847" w:rsidRPr="00AB3B90">
        <w:t xml:space="preserve">Figure </w:t>
      </w:r>
      <w:r w:rsidR="00FF6847" w:rsidRPr="00AB3B90">
        <w:rPr>
          <w:noProof/>
        </w:rPr>
        <w:t>12</w:t>
      </w:r>
      <w:r w:rsidRPr="00AB3B90">
        <w:fldChar w:fldCharType="end"/>
      </w:r>
      <w:r w:rsidRPr="00AB3B90">
        <w:t xml:space="preserve"> above illustrates the difference in payment and indexation mechanisms for</w:t>
      </w:r>
      <w:r w:rsidR="00636286" w:rsidRPr="00AB3B90">
        <w:t xml:space="preserve"> government and </w:t>
      </w:r>
      <w:r w:rsidRPr="00AB3B90">
        <w:t xml:space="preserve">non-government schools under the current arrangements. Notably, non-government SRS payments are received in larger advances indexed at more ‘timely’ rates that capture in-year price changes, </w:t>
      </w:r>
      <w:r w:rsidR="003069DA" w:rsidRPr="00AB3B90">
        <w:t>while</w:t>
      </w:r>
      <w:r w:rsidRPr="00AB3B90">
        <w:t xml:space="preserve"> smaller monthly payments based on estimates are received for government schools for the entire year until the December instalment. </w:t>
      </w:r>
    </w:p>
    <w:p w14:paraId="74067BCF" w14:textId="71D7B010" w:rsidR="0080387A" w:rsidRPr="00AB3B90" w:rsidRDefault="00B51395" w:rsidP="001C48CB">
      <w:pPr>
        <w:spacing w:before="0" w:after="160"/>
      </w:pPr>
      <w:r w:rsidRPr="00AB3B90">
        <w:t xml:space="preserve">While </w:t>
      </w:r>
      <w:r w:rsidR="0080387A" w:rsidRPr="00AB3B90">
        <w:t xml:space="preserve">the December payment for government schools </w:t>
      </w:r>
      <w:r w:rsidR="00F03279" w:rsidRPr="00AB3B90">
        <w:t xml:space="preserve">is </w:t>
      </w:r>
      <w:r w:rsidR="0080387A" w:rsidRPr="00AB3B90">
        <w:t xml:space="preserve">based on the final indexation rate known in September, a </w:t>
      </w:r>
      <w:proofErr w:type="gramStart"/>
      <w:r w:rsidR="00F03279" w:rsidRPr="00AB3B90">
        <w:t>more timely</w:t>
      </w:r>
      <w:proofErr w:type="gramEnd"/>
      <w:r w:rsidR="0080387A" w:rsidRPr="00AB3B90">
        <w:t xml:space="preserve"> updating of payments based on available data could be beneficial to systems and schools. While not a universally held opinion, a theme from consultations is that timing arrangements could be changed to provide more certainty, and time, for jurisdictions to factor indexation into their budget planning. Evidence for the case for and against a change to the timing of indexation is discussed further below.</w:t>
      </w:r>
    </w:p>
    <w:p w14:paraId="0EB526D9" w14:textId="74737869" w:rsidR="002F232E" w:rsidRPr="00AB3B90" w:rsidRDefault="0080387A" w:rsidP="00534B85">
      <w:pPr>
        <w:pStyle w:val="Heading2-Numbered"/>
      </w:pPr>
      <w:bookmarkStart w:id="145" w:name="_Toc163650453"/>
      <w:r w:rsidRPr="00AB3B90">
        <w:t>Alternative indexation and payment timing arrangements</w:t>
      </w:r>
      <w:bookmarkEnd w:id="145"/>
    </w:p>
    <w:p w14:paraId="55D388C4" w14:textId="7A8A43BB" w:rsidR="00902239" w:rsidRPr="00AB3B90" w:rsidRDefault="00902239" w:rsidP="00902239">
      <w:r w:rsidRPr="00AB3B90">
        <w:t xml:space="preserve">Determining the most appropriate timing for the application of indexation to the allocation of funding requires balancing the trade-off between </w:t>
      </w:r>
      <w:r w:rsidR="009A14D2" w:rsidRPr="00AB3B90">
        <w:t>contempora</w:t>
      </w:r>
      <w:r w:rsidR="00A014A9" w:rsidRPr="00AB3B90">
        <w:t>neity</w:t>
      </w:r>
      <w:r w:rsidR="009A14D2" w:rsidRPr="00AB3B90">
        <w:t xml:space="preserve"> </w:t>
      </w:r>
      <w:r w:rsidRPr="00AB3B90">
        <w:t>of funding to changes in input prices against the need to provide certainty to systems and schools when determining their budgets and allocating resources.</w:t>
      </w:r>
    </w:p>
    <w:p w14:paraId="2F32BB7E" w14:textId="691A8D2D" w:rsidR="00902239" w:rsidRPr="00AB3B90" w:rsidRDefault="00902239" w:rsidP="00902239">
      <w:r w:rsidRPr="00AB3B90">
        <w:t>As discussed above, and from evidence provided during consultations, the Board understands that schools and schooling systems plan their budgets and allocation of resourcing (e.g., staffing models) in advance of funding being expended, and that late changes to the planned allocation of funding can lead to an ineffective allocation of resources.</w:t>
      </w:r>
    </w:p>
    <w:p w14:paraId="1F9DD46C" w14:textId="35E0F88C" w:rsidR="004C616C" w:rsidRPr="00AB3B90" w:rsidRDefault="002A0D77" w:rsidP="001C48CB">
      <w:r w:rsidRPr="00AB3B90">
        <w:fldChar w:fldCharType="begin"/>
      </w:r>
      <w:r w:rsidRPr="00AB3B90">
        <w:instrText xml:space="preserve"> REF _Ref161292622 \h </w:instrText>
      </w:r>
      <w:r w:rsidR="00065A8C" w:rsidRPr="00AB3B90">
        <w:instrText xml:space="preserve"> \* MERGEFORMAT </w:instrText>
      </w:r>
      <w:r w:rsidRPr="00AB3B90">
        <w:fldChar w:fldCharType="separate"/>
      </w:r>
      <w:r w:rsidR="00FF6847" w:rsidRPr="00AB3B90">
        <w:t xml:space="preserve">Table </w:t>
      </w:r>
      <w:r w:rsidR="00FF6847" w:rsidRPr="00AB3B90">
        <w:rPr>
          <w:noProof/>
        </w:rPr>
        <w:t>9</w:t>
      </w:r>
      <w:r w:rsidRPr="00AB3B90">
        <w:fldChar w:fldCharType="end"/>
      </w:r>
      <w:r w:rsidRPr="00AB3B90">
        <w:t xml:space="preserve"> </w:t>
      </w:r>
      <w:r w:rsidR="00902239" w:rsidRPr="00AB3B90">
        <w:t>below shows that using CPI/WPI data from an earlier quarter increases funding certainty, as an ‘actual’ indexation rate is known earlier and applied to more payments throughout the year. However, cost changes have a lagged effect of up to six months on funding allocations, depending on which indexation rate is used.</w:t>
      </w:r>
    </w:p>
    <w:p w14:paraId="19BE0CE4" w14:textId="2533C5B5" w:rsidR="001C27FB" w:rsidRPr="00B625F0" w:rsidRDefault="001C27FB" w:rsidP="00B625F0">
      <w:pPr>
        <w:pStyle w:val="Caption"/>
      </w:pPr>
      <w:bookmarkStart w:id="146" w:name="_Ref161292622"/>
      <w:bookmarkStart w:id="147" w:name="_Toc161150708"/>
      <w:bookmarkStart w:id="148" w:name="_Toc163650485"/>
      <w:r w:rsidRPr="00B625F0">
        <w:t xml:space="preserve">Table </w:t>
      </w:r>
      <w:r w:rsidRPr="00B625F0">
        <w:fldChar w:fldCharType="begin"/>
      </w:r>
      <w:r w:rsidRPr="00B625F0">
        <w:instrText>SEQ Table \* ARABIC</w:instrText>
      </w:r>
      <w:r w:rsidRPr="00B625F0">
        <w:fldChar w:fldCharType="separate"/>
      </w:r>
      <w:r w:rsidR="00FF6847" w:rsidRPr="00B625F0">
        <w:t>9</w:t>
      </w:r>
      <w:r w:rsidRPr="00B625F0">
        <w:fldChar w:fldCharType="end"/>
      </w:r>
      <w:bookmarkEnd w:id="146"/>
      <w:r w:rsidRPr="00B625F0">
        <w:t xml:space="preserve"> Alternative CPI/WPI quarters impact on non-government school payments - 2024 </w:t>
      </w:r>
      <w:proofErr w:type="gramStart"/>
      <w:r w:rsidRPr="00B625F0">
        <w:t>example</w:t>
      </w:r>
      <w:bookmarkEnd w:id="147"/>
      <w:bookmarkEnd w:id="148"/>
      <w:proofErr w:type="gramEnd"/>
    </w:p>
    <w:tbl>
      <w:tblPr>
        <w:tblStyle w:val="Deloittetable"/>
        <w:tblW w:w="8721" w:type="dxa"/>
        <w:tblLook w:val="04A0" w:firstRow="1" w:lastRow="0" w:firstColumn="1" w:lastColumn="0" w:noHBand="0" w:noVBand="1"/>
      </w:tblPr>
      <w:tblGrid>
        <w:gridCol w:w="1541"/>
        <w:gridCol w:w="1276"/>
        <w:gridCol w:w="1291"/>
        <w:gridCol w:w="1757"/>
        <w:gridCol w:w="2856"/>
      </w:tblGrid>
      <w:tr w:rsidR="0073038A" w:rsidRPr="00AB3B90" w14:paraId="5DF21E7D" w14:textId="77777777" w:rsidTr="000E0408">
        <w:trPr>
          <w:cnfStyle w:val="100000000000" w:firstRow="1" w:lastRow="0" w:firstColumn="0" w:lastColumn="0" w:oddVBand="0" w:evenVBand="0" w:oddHBand="0" w:evenHBand="0" w:firstRowFirstColumn="0" w:firstRowLastColumn="0" w:lastRowFirstColumn="0" w:lastRowLastColumn="0"/>
          <w:trHeight w:val="290"/>
        </w:trPr>
        <w:tc>
          <w:tcPr>
            <w:tcW w:w="1541" w:type="dxa"/>
            <w:hideMark/>
          </w:tcPr>
          <w:p w14:paraId="11B3C9E4" w14:textId="38CE4481" w:rsidR="001C27FB" w:rsidRPr="00AB3B90" w:rsidRDefault="007B306C" w:rsidP="001C27FB">
            <w:pPr>
              <w:spacing w:before="0" w:after="170"/>
              <w:jc w:val="center"/>
              <w:rPr>
                <w:rFonts w:ascii="Verdana" w:eastAsia="Verdana" w:hAnsi="Verdana" w:cs="Times New Roman"/>
                <w:b/>
                <w:bCs/>
                <w:sz w:val="16"/>
                <w:szCs w:val="16"/>
                <w:lang w:val="en-AU"/>
              </w:rPr>
            </w:pPr>
            <w:r>
              <w:rPr>
                <w:rFonts w:ascii="Verdana" w:eastAsia="Verdana" w:hAnsi="Verdana" w:cs="Times New Roman"/>
                <w:b/>
                <w:bCs/>
                <w:sz w:val="16"/>
                <w:szCs w:val="16"/>
                <w:lang w:val="en-AU"/>
              </w:rPr>
              <w:t>Quarter</w:t>
            </w:r>
          </w:p>
        </w:tc>
        <w:tc>
          <w:tcPr>
            <w:tcW w:w="1276" w:type="dxa"/>
            <w:hideMark/>
          </w:tcPr>
          <w:p w14:paraId="3954DD3C" w14:textId="77777777" w:rsidR="001C27FB" w:rsidRPr="00AB3B90" w:rsidRDefault="001C27FB" w:rsidP="001C27FB">
            <w:pPr>
              <w:spacing w:before="0" w:after="170"/>
              <w:jc w:val="center"/>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ABS publication date</w:t>
            </w:r>
          </w:p>
        </w:tc>
        <w:tc>
          <w:tcPr>
            <w:tcW w:w="0" w:type="auto"/>
          </w:tcPr>
          <w:p w14:paraId="07B8237D" w14:textId="77777777" w:rsidR="001C27FB" w:rsidRPr="00AB3B90" w:rsidRDefault="001C27FB" w:rsidP="001C27FB">
            <w:pPr>
              <w:spacing w:before="0" w:after="170"/>
              <w:jc w:val="center"/>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Payments using actual index rate</w:t>
            </w:r>
          </w:p>
        </w:tc>
        <w:tc>
          <w:tcPr>
            <w:tcW w:w="1757" w:type="dxa"/>
          </w:tcPr>
          <w:p w14:paraId="3E3619F9" w14:textId="77777777" w:rsidR="001C27FB" w:rsidRPr="00AB3B90" w:rsidRDefault="001C27FB" w:rsidP="001C27FB">
            <w:pPr>
              <w:spacing w:before="0" w:after="170"/>
              <w:jc w:val="center"/>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Timeliness considerations</w:t>
            </w:r>
          </w:p>
        </w:tc>
        <w:tc>
          <w:tcPr>
            <w:tcW w:w="2856" w:type="dxa"/>
          </w:tcPr>
          <w:p w14:paraId="3C8F3BB3" w14:textId="77777777" w:rsidR="001C27FB" w:rsidRPr="00AB3B90" w:rsidDel="00DF34ED" w:rsidRDefault="001C27FB" w:rsidP="001C27FB">
            <w:pPr>
              <w:spacing w:before="0" w:after="170"/>
              <w:jc w:val="center"/>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Certainty considerations</w:t>
            </w:r>
          </w:p>
        </w:tc>
      </w:tr>
      <w:tr w:rsidR="0073038A" w:rsidRPr="00AB3B90" w14:paraId="058A9CEE" w14:textId="77777777" w:rsidTr="000E0408">
        <w:trPr>
          <w:trHeight w:val="290"/>
        </w:trPr>
        <w:tc>
          <w:tcPr>
            <w:tcW w:w="1541" w:type="dxa"/>
          </w:tcPr>
          <w:p w14:paraId="2C8880CC" w14:textId="40F4EB16"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June 2023</w:t>
            </w:r>
          </w:p>
        </w:tc>
        <w:tc>
          <w:tcPr>
            <w:tcW w:w="1276" w:type="dxa"/>
          </w:tcPr>
          <w:p w14:paraId="25162E09" w14:textId="2B53B4A9" w:rsidR="001C27FB" w:rsidRPr="00AB3B90"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WPI: 15/08/2023</w:t>
            </w:r>
            <w:r w:rsidR="0073038A">
              <w:rPr>
                <w:rFonts w:ascii="Verdana" w:eastAsia="Verdana" w:hAnsi="Verdana" w:cs="Times New Roman"/>
                <w:sz w:val="16"/>
                <w:szCs w:val="16"/>
                <w:lang w:val="en-AU"/>
              </w:rPr>
              <w:br/>
            </w:r>
            <w:r w:rsidRPr="00AB3B90">
              <w:rPr>
                <w:rFonts w:ascii="Verdana" w:eastAsia="Verdana" w:hAnsi="Verdana" w:cs="Times New Roman"/>
                <w:sz w:val="16"/>
                <w:szCs w:val="16"/>
                <w:lang w:val="en-AU"/>
              </w:rPr>
              <w:t>CPI: 26/07/2023</w:t>
            </w:r>
          </w:p>
        </w:tc>
        <w:tc>
          <w:tcPr>
            <w:tcW w:w="0" w:type="auto"/>
          </w:tcPr>
          <w:p w14:paraId="5EF0D2DA" w14:textId="77777777"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January, July, October</w:t>
            </w:r>
          </w:p>
        </w:tc>
        <w:tc>
          <w:tcPr>
            <w:tcW w:w="1757" w:type="dxa"/>
          </w:tcPr>
          <w:p w14:paraId="57D5EF41" w14:textId="77777777" w:rsidR="001C27FB" w:rsidRPr="00AB3B90"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Reflects input price changes up to 6 months prior to the funding year.</w:t>
            </w:r>
          </w:p>
        </w:tc>
        <w:tc>
          <w:tcPr>
            <w:tcW w:w="2856" w:type="dxa"/>
          </w:tcPr>
          <w:p w14:paraId="45486655" w14:textId="77777777" w:rsidR="001C27FB" w:rsidRPr="00AB3B90"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Indexation rates known well in advance of the funding year, providing close to complete certainty when school budgets are typically planned.</w:t>
            </w:r>
          </w:p>
        </w:tc>
      </w:tr>
      <w:tr w:rsidR="0073038A" w:rsidRPr="00AB3B90" w14:paraId="6CCBF83C" w14:textId="77777777" w:rsidTr="000E0408">
        <w:trPr>
          <w:trHeight w:val="290"/>
        </w:trPr>
        <w:tc>
          <w:tcPr>
            <w:tcW w:w="1541" w:type="dxa"/>
            <w:hideMark/>
          </w:tcPr>
          <w:p w14:paraId="31B305F7" w14:textId="0EEB941F"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September 2023</w:t>
            </w:r>
          </w:p>
        </w:tc>
        <w:tc>
          <w:tcPr>
            <w:tcW w:w="1276" w:type="dxa"/>
            <w:hideMark/>
          </w:tcPr>
          <w:p w14:paraId="4F399E1B" w14:textId="11D6956D" w:rsidR="001C27FB" w:rsidRPr="00AB3B90"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WPI: 15/11/2023</w:t>
            </w:r>
            <w:r w:rsidR="0073038A">
              <w:rPr>
                <w:rFonts w:ascii="Verdana" w:eastAsia="Verdana" w:hAnsi="Verdana" w:cs="Times New Roman"/>
                <w:sz w:val="16"/>
                <w:szCs w:val="16"/>
                <w:lang w:val="en-AU"/>
              </w:rPr>
              <w:br/>
            </w:r>
            <w:r w:rsidRPr="00AB3B90">
              <w:rPr>
                <w:rFonts w:ascii="Verdana" w:eastAsia="Verdana" w:hAnsi="Verdana" w:cs="Times New Roman"/>
                <w:sz w:val="16"/>
                <w:szCs w:val="16"/>
                <w:lang w:val="en-AU"/>
              </w:rPr>
              <w:t>CPI: 25/10/2023</w:t>
            </w:r>
          </w:p>
        </w:tc>
        <w:tc>
          <w:tcPr>
            <w:tcW w:w="0" w:type="auto"/>
          </w:tcPr>
          <w:p w14:paraId="7073528A" w14:textId="77777777"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January*, July, October</w:t>
            </w:r>
          </w:p>
        </w:tc>
        <w:tc>
          <w:tcPr>
            <w:tcW w:w="1757" w:type="dxa"/>
          </w:tcPr>
          <w:p w14:paraId="13326515" w14:textId="77777777" w:rsidR="001C27FB" w:rsidRPr="00AB3B90"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Reflects input price changes up to 3 months prior to the funding year.</w:t>
            </w:r>
          </w:p>
        </w:tc>
        <w:tc>
          <w:tcPr>
            <w:tcW w:w="2856" w:type="dxa"/>
          </w:tcPr>
          <w:p w14:paraId="0F5C8E4E" w14:textId="77777777" w:rsidR="001C27FB" w:rsidRPr="00AB3B90"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Indexation rates will be known prior to the funding year (even if it does not feed into the January payment*).</w:t>
            </w:r>
          </w:p>
        </w:tc>
      </w:tr>
      <w:tr w:rsidR="0073038A" w:rsidRPr="00AB3B90" w14:paraId="10DFEEFE" w14:textId="77777777" w:rsidTr="000E0408">
        <w:trPr>
          <w:trHeight w:val="290"/>
        </w:trPr>
        <w:tc>
          <w:tcPr>
            <w:tcW w:w="1541" w:type="dxa"/>
          </w:tcPr>
          <w:p w14:paraId="67FF14F3" w14:textId="7E9E16AA"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December 2023</w:t>
            </w:r>
          </w:p>
        </w:tc>
        <w:tc>
          <w:tcPr>
            <w:tcW w:w="1276" w:type="dxa"/>
          </w:tcPr>
          <w:p w14:paraId="3283E847" w14:textId="50A5C3F1"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sz w:val="16"/>
                <w:szCs w:val="16"/>
                <w:lang w:val="en-AU"/>
              </w:rPr>
              <w:t>WPI: 21/02/2024</w:t>
            </w:r>
            <w:r w:rsidR="0073038A">
              <w:rPr>
                <w:rFonts w:ascii="Verdana" w:eastAsia="Verdana" w:hAnsi="Verdana" w:cs="Times New Roman"/>
                <w:sz w:val="16"/>
                <w:szCs w:val="16"/>
                <w:lang w:val="en-AU"/>
              </w:rPr>
              <w:br/>
            </w:r>
            <w:r w:rsidRPr="00AB3B90">
              <w:rPr>
                <w:rFonts w:ascii="Verdana" w:eastAsia="Verdana" w:hAnsi="Verdana" w:cs="Times New Roman"/>
                <w:sz w:val="16"/>
                <w:szCs w:val="16"/>
                <w:lang w:val="en-AU"/>
              </w:rPr>
              <w:t>CPI: 31/01/2024</w:t>
            </w:r>
          </w:p>
        </w:tc>
        <w:tc>
          <w:tcPr>
            <w:tcW w:w="0" w:type="auto"/>
          </w:tcPr>
          <w:p w14:paraId="0972B0A8" w14:textId="77777777"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July, October</w:t>
            </w:r>
          </w:p>
        </w:tc>
        <w:tc>
          <w:tcPr>
            <w:tcW w:w="1757" w:type="dxa"/>
          </w:tcPr>
          <w:p w14:paraId="0FEFCDBD" w14:textId="77777777" w:rsidR="001C27FB" w:rsidRPr="00AB3B90"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Reflects input price changes up to 1 month prior to the funding year.</w:t>
            </w:r>
          </w:p>
        </w:tc>
        <w:tc>
          <w:tcPr>
            <w:tcW w:w="2856" w:type="dxa"/>
          </w:tcPr>
          <w:p w14:paraId="7DB481AE" w14:textId="77777777" w:rsidR="001C27FB" w:rsidRPr="00AB3B90" w:rsidDel="00DF34ED"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Provides greater certainty as indexation rates will be known early in the year.</w:t>
            </w:r>
          </w:p>
        </w:tc>
      </w:tr>
      <w:tr w:rsidR="0073038A" w:rsidRPr="00AB3B90" w14:paraId="5E244914" w14:textId="77777777" w:rsidTr="000E0408">
        <w:trPr>
          <w:trHeight w:val="290"/>
        </w:trPr>
        <w:tc>
          <w:tcPr>
            <w:tcW w:w="1541" w:type="dxa"/>
            <w:hideMark/>
          </w:tcPr>
          <w:p w14:paraId="79E046A2" w14:textId="11D87ACF"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March 2024</w:t>
            </w:r>
          </w:p>
        </w:tc>
        <w:tc>
          <w:tcPr>
            <w:tcW w:w="1276" w:type="dxa"/>
            <w:hideMark/>
          </w:tcPr>
          <w:p w14:paraId="7F13C9F7" w14:textId="41ADD3BD"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sz w:val="16"/>
                <w:szCs w:val="16"/>
                <w:lang w:val="en-AU"/>
              </w:rPr>
              <w:t>WPI: 15/05/2024</w:t>
            </w:r>
            <w:r w:rsidR="0073038A">
              <w:rPr>
                <w:rFonts w:ascii="Verdana" w:eastAsia="Verdana" w:hAnsi="Verdana" w:cs="Times New Roman"/>
                <w:sz w:val="16"/>
                <w:szCs w:val="16"/>
                <w:lang w:val="en-AU"/>
              </w:rPr>
              <w:br/>
            </w:r>
            <w:r w:rsidRPr="00AB3B90">
              <w:rPr>
                <w:rFonts w:ascii="Verdana" w:eastAsia="Verdana" w:hAnsi="Verdana" w:cs="Times New Roman"/>
                <w:sz w:val="16"/>
                <w:szCs w:val="16"/>
                <w:lang w:val="en-AU"/>
              </w:rPr>
              <w:t>CPI: 24/04/2024</w:t>
            </w:r>
          </w:p>
        </w:tc>
        <w:tc>
          <w:tcPr>
            <w:tcW w:w="0" w:type="auto"/>
          </w:tcPr>
          <w:p w14:paraId="3537FEF8" w14:textId="77777777"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July, October</w:t>
            </w:r>
          </w:p>
        </w:tc>
        <w:tc>
          <w:tcPr>
            <w:tcW w:w="1757" w:type="dxa"/>
          </w:tcPr>
          <w:p w14:paraId="403D3BD9" w14:textId="77777777" w:rsidR="001C27FB" w:rsidRPr="00AB3B90"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 xml:space="preserve">Reflects 3 months of input price changes within the funding year. </w:t>
            </w:r>
          </w:p>
        </w:tc>
        <w:tc>
          <w:tcPr>
            <w:tcW w:w="2856" w:type="dxa"/>
          </w:tcPr>
          <w:p w14:paraId="082DBFD0" w14:textId="77777777" w:rsidR="001C27FB" w:rsidRPr="00AB3B90" w:rsidDel="00DF34ED"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Provides time for schools to adjust budgets within the year (e.g., for the second half of the year, relative to the first).</w:t>
            </w:r>
          </w:p>
        </w:tc>
      </w:tr>
      <w:tr w:rsidR="0073038A" w:rsidRPr="00AB3B90" w14:paraId="6568CC72" w14:textId="77777777" w:rsidTr="000E0408">
        <w:trPr>
          <w:trHeight w:val="718"/>
        </w:trPr>
        <w:tc>
          <w:tcPr>
            <w:tcW w:w="1541" w:type="dxa"/>
          </w:tcPr>
          <w:p w14:paraId="31147F26" w14:textId="38EC2533"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June 2024</w:t>
            </w:r>
          </w:p>
          <w:p w14:paraId="7A5EAA72" w14:textId="77777777" w:rsidR="001C27FB" w:rsidRPr="00AB3B90" w:rsidRDefault="001C27FB" w:rsidP="0073038A">
            <w:pPr>
              <w:spacing w:before="0" w:after="170"/>
              <w:rPr>
                <w:rFonts w:ascii="Verdana" w:eastAsia="Verdana" w:hAnsi="Verdana" w:cs="Times New Roman"/>
                <w:b/>
                <w:i/>
                <w:sz w:val="16"/>
                <w:szCs w:val="16"/>
                <w:lang w:val="en-AU"/>
              </w:rPr>
            </w:pPr>
            <w:r w:rsidRPr="00AB3B90">
              <w:rPr>
                <w:rFonts w:ascii="Verdana" w:eastAsia="Verdana" w:hAnsi="Verdana" w:cs="Times New Roman"/>
                <w:b/>
                <w:bCs/>
                <w:i/>
                <w:iCs/>
                <w:sz w:val="16"/>
                <w:szCs w:val="16"/>
                <w:lang w:val="en-AU"/>
              </w:rPr>
              <w:t>(</w:t>
            </w:r>
            <w:r w:rsidRPr="00AB3B90">
              <w:rPr>
                <w:rFonts w:ascii="Verdana" w:eastAsia="Verdana" w:hAnsi="Verdana" w:cs="Times New Roman"/>
                <w:b/>
                <w:i/>
                <w:sz w:val="16"/>
                <w:szCs w:val="16"/>
                <w:lang w:val="en-AU"/>
              </w:rPr>
              <w:t>current arrangement</w:t>
            </w:r>
            <w:r w:rsidRPr="00AB3B90">
              <w:rPr>
                <w:rFonts w:ascii="Verdana" w:eastAsia="Verdana" w:hAnsi="Verdana" w:cs="Times New Roman"/>
                <w:b/>
                <w:bCs/>
                <w:i/>
                <w:iCs/>
                <w:sz w:val="16"/>
                <w:szCs w:val="16"/>
                <w:lang w:val="en-AU"/>
              </w:rPr>
              <w:t>)</w:t>
            </w:r>
          </w:p>
        </w:tc>
        <w:tc>
          <w:tcPr>
            <w:tcW w:w="1276" w:type="dxa"/>
          </w:tcPr>
          <w:p w14:paraId="37CF53B3" w14:textId="693ABA34"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sz w:val="16"/>
                <w:szCs w:val="16"/>
                <w:lang w:val="en-AU"/>
              </w:rPr>
              <w:t>WPI: 13/08/2024</w:t>
            </w:r>
            <w:r w:rsidR="0073038A">
              <w:rPr>
                <w:rFonts w:ascii="Verdana" w:eastAsia="Verdana" w:hAnsi="Verdana" w:cs="Times New Roman"/>
                <w:sz w:val="16"/>
                <w:szCs w:val="16"/>
                <w:lang w:val="en-AU"/>
              </w:rPr>
              <w:br/>
            </w:r>
            <w:r w:rsidRPr="00AB3B90">
              <w:rPr>
                <w:rFonts w:ascii="Verdana" w:eastAsia="Verdana" w:hAnsi="Verdana" w:cs="Times New Roman"/>
                <w:sz w:val="16"/>
                <w:szCs w:val="16"/>
                <w:lang w:val="en-AU"/>
              </w:rPr>
              <w:t>CPI: 31/07/2024</w:t>
            </w:r>
          </w:p>
        </w:tc>
        <w:tc>
          <w:tcPr>
            <w:tcW w:w="0" w:type="auto"/>
          </w:tcPr>
          <w:p w14:paraId="27CAC136" w14:textId="77777777" w:rsidR="001C27FB" w:rsidRPr="00AB3B90" w:rsidRDefault="001C27FB" w:rsidP="0073038A">
            <w:pPr>
              <w:spacing w:before="0" w:after="17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October</w:t>
            </w:r>
          </w:p>
        </w:tc>
        <w:tc>
          <w:tcPr>
            <w:tcW w:w="1757" w:type="dxa"/>
          </w:tcPr>
          <w:p w14:paraId="2862FD86" w14:textId="77777777" w:rsidR="001C27FB" w:rsidRPr="00AB3B90"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Reflects 6 months of input price changes within the funding year.</w:t>
            </w:r>
          </w:p>
        </w:tc>
        <w:tc>
          <w:tcPr>
            <w:tcW w:w="2856" w:type="dxa"/>
          </w:tcPr>
          <w:p w14:paraId="78A4CD66" w14:textId="77777777" w:rsidR="001C27FB" w:rsidRPr="00AB3B90" w:rsidDel="00DF34ED" w:rsidRDefault="001C27FB" w:rsidP="0073038A">
            <w:pPr>
              <w:spacing w:before="0" w:after="170"/>
              <w:rPr>
                <w:rFonts w:ascii="Verdana" w:eastAsia="Verdana" w:hAnsi="Verdana" w:cs="Times New Roman"/>
                <w:sz w:val="16"/>
                <w:szCs w:val="16"/>
                <w:lang w:val="en-AU"/>
              </w:rPr>
            </w:pPr>
            <w:r w:rsidRPr="00AB3B90">
              <w:rPr>
                <w:rFonts w:ascii="Verdana" w:eastAsia="Verdana" w:hAnsi="Verdana" w:cs="Times New Roman"/>
                <w:sz w:val="16"/>
                <w:szCs w:val="16"/>
                <w:lang w:val="en-AU"/>
              </w:rPr>
              <w:t>Provides minimal funding certainty, potentially impacting schools’ and systems’ ability to budget and plan.</w:t>
            </w:r>
          </w:p>
        </w:tc>
      </w:tr>
    </w:tbl>
    <w:p w14:paraId="7C828451" w14:textId="56BCA663" w:rsidR="00E17818" w:rsidRPr="00AB3B90" w:rsidRDefault="00E17818" w:rsidP="00E37ADA">
      <w:pPr>
        <w:pStyle w:val="Source"/>
        <w:tabs>
          <w:tab w:val="clear" w:pos="590"/>
        </w:tabs>
        <w:spacing w:before="0" w:after="0"/>
        <w:ind w:left="0" w:firstLine="0"/>
      </w:pPr>
      <w:r w:rsidRPr="00AB3B90">
        <w:t>*</w:t>
      </w:r>
      <w:r w:rsidR="00E86094">
        <w:t xml:space="preserve"> </w:t>
      </w:r>
      <w:r w:rsidRPr="00AB3B90">
        <w:t>Indexation rates are required in the system in November of the previous year for the January payment. As such, the September quarter may not meet the timeframes for the January payment in some years.</w:t>
      </w:r>
    </w:p>
    <w:p w14:paraId="361B1BD3" w14:textId="77777777" w:rsidR="00E17818" w:rsidRPr="00AB3B90" w:rsidRDefault="00E17818" w:rsidP="00E37ADA">
      <w:pPr>
        <w:pStyle w:val="Source"/>
        <w:spacing w:before="0" w:after="0"/>
      </w:pPr>
      <w:r w:rsidRPr="00AB3B90">
        <w:t xml:space="preserve">Source: Adapted from Australian Government Department of Education 2024, 2024 Indexation Review Background. </w:t>
      </w:r>
    </w:p>
    <w:p w14:paraId="0FAA6007" w14:textId="7C49BBA0" w:rsidR="00CF0DE9" w:rsidRPr="00AB3B90" w:rsidRDefault="00CF0DE9" w:rsidP="00CF0DE9">
      <w:r w:rsidRPr="00AB3B90">
        <w:t>The Board does not envisage that an alternative CPI/WPI quarter that is lagged by more than 12</w:t>
      </w:r>
      <w:r w:rsidR="003B562A" w:rsidRPr="00AB3B90">
        <w:t> </w:t>
      </w:r>
      <w:r w:rsidRPr="00AB3B90">
        <w:t>months would be desirable for schools and systems, as it was understood through consultations that most schools finalise their school budgets and staffing plans during Terms 3 and 4 of the prior year.</w:t>
      </w:r>
    </w:p>
    <w:p w14:paraId="790CF73C" w14:textId="255548C2" w:rsidR="00C47556" w:rsidRPr="00AB3B90" w:rsidRDefault="00C47556" w:rsidP="00C47556">
      <w:r w:rsidRPr="00AB3B90">
        <w:t xml:space="preserve">Further, while government school system budgets are often determined further in advance (e.g., at the start of the financial year that precedes the forthcoming calendar year), jurisdictions have mechanisms in place to adjust budgets for schools </w:t>
      </w:r>
      <w:r w:rsidR="00CE7E63" w:rsidRPr="00AB3B90">
        <w:t>to some exten</w:t>
      </w:r>
      <w:r w:rsidR="00B91D1C" w:rsidRPr="00AB3B90">
        <w:t>t</w:t>
      </w:r>
      <w:r w:rsidR="00765BBC" w:rsidRPr="00E37ADA">
        <w:t xml:space="preserve"> </w:t>
      </w:r>
      <w:r w:rsidRPr="00AB3B90">
        <w:t>in the lead up to (and throughout) the calendar year for which the funding is allocated.</w:t>
      </w:r>
      <w:r w:rsidR="001D01E5" w:rsidRPr="00AB3B90">
        <w:t xml:space="preserve"> However, there are constraints around the ability of systems to a</w:t>
      </w:r>
      <w:r w:rsidR="0097522B" w:rsidRPr="00AB3B90">
        <w:t xml:space="preserve">djust </w:t>
      </w:r>
      <w:r w:rsidR="00196870" w:rsidRPr="00AB3B90">
        <w:t>resourcing to schools late in the year.</w:t>
      </w:r>
      <w:r w:rsidRPr="00AB3B90">
        <w:t xml:space="preserve"> An example of in-year adjustments was provided by a stakeholder during consultation, with the stakeholder noting that adjustment payments have been made to schools to account for differences from earlier advance payments made based on a 3 per cent indexation rate.</w:t>
      </w:r>
    </w:p>
    <w:p w14:paraId="5D24B48B" w14:textId="50537694" w:rsidR="00C47556" w:rsidRPr="00AB3B90" w:rsidRDefault="00C47556" w:rsidP="00C47556">
      <w:r w:rsidRPr="00AB3B90">
        <w:t xml:space="preserve">Stakeholders consulted through the </w:t>
      </w:r>
      <w:r w:rsidR="009E6F2B" w:rsidRPr="00AB3B90">
        <w:t>r</w:t>
      </w:r>
      <w:r w:rsidRPr="00AB3B90">
        <w:t xml:space="preserve">eview indicated a modest, on-balance, preference towards using an earlier reference period to improve certainty for systems. </w:t>
      </w:r>
    </w:p>
    <w:p w14:paraId="11588D75" w14:textId="3E4A43DF" w:rsidR="00C47556" w:rsidRPr="00AB3B90" w:rsidRDefault="00C47556" w:rsidP="00C47556">
      <w:r w:rsidRPr="00AB3B90">
        <w:t>One stakeholder stated in its consultation the preference that the final SRS target should be finalised when the school year starts. The Board heard that in 2023, they</w:t>
      </w:r>
      <w:r w:rsidRPr="00AB3B90" w:rsidDel="0080405B">
        <w:t xml:space="preserve"> </w:t>
      </w:r>
      <w:r w:rsidRPr="00AB3B90">
        <w:t>received significantly more funding from actual indexation than what was forecasted using a projected rate, with stakeholders noting the difference exceeded the buffer for expenditure requirements under the current NSRA. In addition</w:t>
      </w:r>
      <w:r w:rsidRPr="00AB3B90" w:rsidDel="000406CA">
        <w:t>,</w:t>
      </w:r>
      <w:r w:rsidRPr="00AB3B90">
        <w:t xml:space="preserve"> two other stakeholders supported bringing forward the timing (one in a written submission and another in its consultation). </w:t>
      </w:r>
    </w:p>
    <w:p w14:paraId="621EE230" w14:textId="0F3EE9E0" w:rsidR="00C47556" w:rsidRPr="00AB3B90" w:rsidRDefault="00C47556" w:rsidP="00C47556">
      <w:r w:rsidRPr="00AB3B90">
        <w:t>One stakeholder expressed that whil</w:t>
      </w:r>
      <w:r w:rsidR="00F144E6" w:rsidRPr="00AB3B90">
        <w:t>e</w:t>
      </w:r>
      <w:r w:rsidRPr="00AB3B90">
        <w:t xml:space="preserve"> changing timing arrangements would increase certainty for non-government schools, it would be more of a priority to bring forward other funding model adjustments that occur later in the year. Similarly, another stakeholder</w:t>
      </w:r>
      <w:r w:rsidRPr="00AB3B90" w:rsidDel="0043729B">
        <w:t xml:space="preserve"> </w:t>
      </w:r>
      <w:r w:rsidRPr="00AB3B90">
        <w:t>was of the view that several other factors that are determined later in the funding year than indexation (or early the following year) impact the final funding outcome, and that alternative timing must be considered in the wider context of the SRS.</w:t>
      </w:r>
    </w:p>
    <w:p w14:paraId="0033D5B6" w14:textId="16A59806" w:rsidR="00FF6847" w:rsidRPr="00AB3B90" w:rsidRDefault="00C47556" w:rsidP="00CF0DE9">
      <w:r w:rsidRPr="00AB3B90">
        <w:t>One non-government stakeholder opposed a timing change, stating in its written submission that the current reference period functions well and should be maintained without changes. It was noted that other reference periods, i.e., the use of September to September data or March to March data, may result in final adjustments being missed in the October payment data (if September data is used, as the figures are not yet released) or the indexation rate less accurately reflecting the current year prices (if March data is used). Some stakeholders noted in their written submissions that the current reference period allows for partial capture of in-year costs (so is more reflective of actual school cost changes), which may be affected if the reference period was moved forward.</w:t>
      </w:r>
      <w:r w:rsidR="00F421DE" w:rsidRPr="00AB3B90">
        <w:fldChar w:fldCharType="begin"/>
      </w:r>
      <w:r w:rsidR="00F421DE" w:rsidRPr="00AB3B90">
        <w:instrText xml:space="preserve"> REF _Ref160809054 \h </w:instrText>
      </w:r>
      <w:r w:rsidR="00065A8C" w:rsidRPr="00AB3B90">
        <w:instrText xml:space="preserve"> \* MERGEFORMAT </w:instrText>
      </w:r>
      <w:r w:rsidR="00F421DE" w:rsidRPr="00AB3B90">
        <w:fldChar w:fldCharType="separate"/>
      </w:r>
    </w:p>
    <w:p w14:paraId="2AFD77E6" w14:textId="4163F5F1" w:rsidR="00CF0DE9" w:rsidRPr="00AB3B90" w:rsidRDefault="00FF6847" w:rsidP="00CF0DE9">
      <w:r w:rsidRPr="00AB3B90">
        <w:t xml:space="preserve">Table </w:t>
      </w:r>
      <w:r w:rsidRPr="00AB3B90">
        <w:rPr>
          <w:noProof/>
        </w:rPr>
        <w:t>10</w:t>
      </w:r>
      <w:r w:rsidR="00F421DE" w:rsidRPr="00AB3B90">
        <w:fldChar w:fldCharType="end"/>
      </w:r>
      <w:r w:rsidR="008511DC" w:rsidRPr="00AB3B90">
        <w:t>,</w:t>
      </w:r>
      <w:r w:rsidR="00F421DE" w:rsidRPr="00AB3B90">
        <w:t xml:space="preserve"> </w:t>
      </w:r>
      <w:r w:rsidR="00CF0DE9" w:rsidRPr="00AB3B90">
        <w:t>below</w:t>
      </w:r>
      <w:r w:rsidR="008511DC" w:rsidRPr="00AB3B90">
        <w:t>,</w:t>
      </w:r>
      <w:r w:rsidR="00CF0DE9" w:rsidRPr="00AB3B90">
        <w:t xml:space="preserve"> demonstrates the difference in actual rates across the 2019</w:t>
      </w:r>
      <w:r w:rsidR="00282084" w:rsidRPr="00AB3B90">
        <w:t>–</w:t>
      </w:r>
      <w:r w:rsidR="00CF0DE9" w:rsidRPr="00AB3B90">
        <w:t xml:space="preserve">2023 funding years had data from earlier WPI and CPI quarters been used. June-quarter rates varied from December and March quarters between 2020 and 2022, however results were similar between all three sets of data in 2023. </w:t>
      </w:r>
    </w:p>
    <w:p w14:paraId="48A5DDDB" w14:textId="77777777" w:rsidR="00277BC6" w:rsidRPr="00AB3B90" w:rsidRDefault="00277BC6">
      <w:pPr>
        <w:spacing w:before="0" w:after="160"/>
      </w:pPr>
      <w:bookmarkStart w:id="149" w:name="_Ref160809054"/>
      <w:r w:rsidRPr="00AB3B90">
        <w:br w:type="page"/>
      </w:r>
    </w:p>
    <w:p w14:paraId="58ED8593" w14:textId="7F99C19F" w:rsidR="004C616C" w:rsidRPr="00AB3B90" w:rsidRDefault="00CF0DE9" w:rsidP="00CF0DE9">
      <w:r w:rsidRPr="00AB3B90">
        <w:t>The more significant variances between quarters in recent years are likely largely a result of the unprecedented COVID-19 pandemic and high-inflation period that has followed. Importantly, it should be noted that price changes will eventually be reflected in the WPI and CPI, regardless of quarter chosen.</w:t>
      </w:r>
    </w:p>
    <w:p w14:paraId="1CFC7CC0" w14:textId="531EB1AE" w:rsidR="00366077" w:rsidRPr="00AB3B90" w:rsidRDefault="00366077" w:rsidP="00366077">
      <w:pPr>
        <w:pStyle w:val="Caption"/>
        <w:keepNext/>
      </w:pPr>
      <w:bookmarkStart w:id="150" w:name="_Toc161150709"/>
      <w:bookmarkStart w:id="151" w:name="_Toc163650486"/>
      <w:r w:rsidRPr="00AB3B90">
        <w:t xml:space="preserve">Table </w:t>
      </w:r>
      <w:r w:rsidRPr="00AB3B90">
        <w:fldChar w:fldCharType="begin"/>
      </w:r>
      <w:r w:rsidRPr="00AB3B90">
        <w:instrText>SEQ Table \* ARABIC</w:instrText>
      </w:r>
      <w:r w:rsidRPr="00AB3B90">
        <w:fldChar w:fldCharType="separate"/>
      </w:r>
      <w:r w:rsidR="00FF6847" w:rsidRPr="00AB3B90">
        <w:rPr>
          <w:noProof/>
        </w:rPr>
        <w:t>10</w:t>
      </w:r>
      <w:r w:rsidRPr="00AB3B90">
        <w:fldChar w:fldCharType="end"/>
      </w:r>
      <w:bookmarkEnd w:id="149"/>
      <w:r w:rsidRPr="00AB3B90">
        <w:t xml:space="preserve"> Final indexation rates for the 2019</w:t>
      </w:r>
      <w:r w:rsidR="00282084" w:rsidRPr="00AB3B90">
        <w:t>–</w:t>
      </w:r>
      <w:r w:rsidRPr="00AB3B90">
        <w:t>2023 funding years using earlier WPI and CPI</w:t>
      </w:r>
      <w:r w:rsidR="002659A9" w:rsidRPr="00AB3B90">
        <w:t xml:space="preserve"> </w:t>
      </w:r>
      <w:proofErr w:type="gramStart"/>
      <w:r w:rsidR="002659A9" w:rsidRPr="00AB3B90">
        <w:t>quarters</w:t>
      </w:r>
      <w:bookmarkEnd w:id="150"/>
      <w:bookmarkEnd w:id="151"/>
      <w:proofErr w:type="gramEnd"/>
    </w:p>
    <w:tbl>
      <w:tblPr>
        <w:tblStyle w:val="Deloittetable"/>
        <w:tblW w:w="8966" w:type="dxa"/>
        <w:tblLook w:val="04A0" w:firstRow="1" w:lastRow="0" w:firstColumn="1" w:lastColumn="0" w:noHBand="0" w:noVBand="1"/>
      </w:tblPr>
      <w:tblGrid>
        <w:gridCol w:w="4179"/>
        <w:gridCol w:w="984"/>
        <w:gridCol w:w="984"/>
        <w:gridCol w:w="985"/>
        <w:gridCol w:w="989"/>
        <w:gridCol w:w="810"/>
        <w:gridCol w:w="35"/>
      </w:tblGrid>
      <w:tr w:rsidR="00366077" w:rsidRPr="00AB3B90" w14:paraId="5CD0AAA1" w14:textId="77777777">
        <w:trPr>
          <w:cnfStyle w:val="100000000000" w:firstRow="1" w:lastRow="0" w:firstColumn="0" w:lastColumn="0" w:oddVBand="0" w:evenVBand="0" w:oddHBand="0" w:evenHBand="0" w:firstRowFirstColumn="0" w:firstRowLastColumn="0" w:lastRowFirstColumn="0" w:lastRowLastColumn="0"/>
          <w:trHeight w:val="283"/>
        </w:trPr>
        <w:tc>
          <w:tcPr>
            <w:tcW w:w="4179" w:type="dxa"/>
            <w:shd w:val="clear" w:color="auto" w:fill="auto"/>
          </w:tcPr>
          <w:p w14:paraId="6B89ECD4" w14:textId="1BC36390" w:rsidR="00366077" w:rsidRPr="00115BC4" w:rsidRDefault="00115BC4" w:rsidP="00366077">
            <w:pPr>
              <w:spacing w:before="0" w:after="0"/>
              <w:rPr>
                <w:rFonts w:ascii="Verdana" w:eastAsia="Verdana" w:hAnsi="Verdana" w:cs="Times New Roman"/>
                <w:b/>
                <w:bCs/>
                <w:lang w:val="en-AU"/>
              </w:rPr>
            </w:pPr>
            <w:r w:rsidRPr="00115BC4">
              <w:rPr>
                <w:rFonts w:ascii="Verdana" w:eastAsia="Verdana" w:hAnsi="Verdana" w:cs="Times New Roman"/>
                <w:b/>
                <w:bCs/>
                <w:lang w:val="en-AU"/>
              </w:rPr>
              <w:t>Quarter</w:t>
            </w:r>
          </w:p>
        </w:tc>
        <w:tc>
          <w:tcPr>
            <w:tcW w:w="984" w:type="dxa"/>
            <w:shd w:val="clear" w:color="auto" w:fill="auto"/>
          </w:tcPr>
          <w:p w14:paraId="254F7814" w14:textId="77777777" w:rsidR="00366077" w:rsidRPr="00AB3B90" w:rsidRDefault="00366077" w:rsidP="00366077">
            <w:pPr>
              <w:spacing w:before="0" w:after="170"/>
              <w:jc w:val="right"/>
              <w:rPr>
                <w:rFonts w:ascii="Verdana" w:eastAsia="Verdana" w:hAnsi="Verdana" w:cs="Times New Roman"/>
                <w:b/>
                <w:sz w:val="16"/>
                <w:szCs w:val="16"/>
                <w:lang w:val="en-AU"/>
              </w:rPr>
            </w:pPr>
            <w:r w:rsidRPr="00AB3B90">
              <w:rPr>
                <w:rFonts w:ascii="Verdana" w:eastAsia="Verdana" w:hAnsi="Verdana" w:cs="Times New Roman"/>
                <w:b/>
                <w:sz w:val="16"/>
                <w:szCs w:val="16"/>
                <w:lang w:val="en-AU"/>
              </w:rPr>
              <w:t>2019</w:t>
            </w:r>
          </w:p>
        </w:tc>
        <w:tc>
          <w:tcPr>
            <w:tcW w:w="984" w:type="dxa"/>
            <w:shd w:val="clear" w:color="auto" w:fill="auto"/>
          </w:tcPr>
          <w:p w14:paraId="74BE62DE" w14:textId="77777777" w:rsidR="00366077" w:rsidRPr="00AB3B90" w:rsidRDefault="00366077" w:rsidP="00366077">
            <w:pPr>
              <w:spacing w:before="0" w:after="170"/>
              <w:jc w:val="right"/>
              <w:rPr>
                <w:rFonts w:ascii="Verdana" w:eastAsia="Verdana" w:hAnsi="Verdana" w:cs="Times New Roman"/>
                <w:b/>
                <w:sz w:val="16"/>
                <w:szCs w:val="16"/>
                <w:lang w:val="en-AU"/>
              </w:rPr>
            </w:pPr>
            <w:r w:rsidRPr="00AB3B90">
              <w:rPr>
                <w:rFonts w:ascii="Verdana" w:eastAsia="Verdana" w:hAnsi="Verdana" w:cs="Times New Roman"/>
                <w:b/>
                <w:sz w:val="16"/>
                <w:szCs w:val="16"/>
                <w:lang w:val="en-AU"/>
              </w:rPr>
              <w:t>2020</w:t>
            </w:r>
          </w:p>
        </w:tc>
        <w:tc>
          <w:tcPr>
            <w:tcW w:w="985" w:type="dxa"/>
            <w:shd w:val="clear" w:color="auto" w:fill="auto"/>
          </w:tcPr>
          <w:p w14:paraId="46E3C30D" w14:textId="77777777" w:rsidR="00366077" w:rsidRPr="00AB3B90" w:rsidRDefault="00366077" w:rsidP="00366077">
            <w:pPr>
              <w:spacing w:before="0" w:after="170"/>
              <w:jc w:val="right"/>
              <w:rPr>
                <w:rFonts w:ascii="Verdana" w:eastAsia="Verdana" w:hAnsi="Verdana" w:cs="Times New Roman"/>
                <w:b/>
                <w:sz w:val="16"/>
                <w:szCs w:val="16"/>
                <w:lang w:val="en-AU"/>
              </w:rPr>
            </w:pPr>
            <w:r w:rsidRPr="00AB3B90">
              <w:rPr>
                <w:rFonts w:ascii="Verdana" w:eastAsia="Verdana" w:hAnsi="Verdana" w:cs="Times New Roman"/>
                <w:b/>
                <w:sz w:val="16"/>
                <w:szCs w:val="16"/>
                <w:lang w:val="en-AU"/>
              </w:rPr>
              <w:t>2021</w:t>
            </w:r>
          </w:p>
        </w:tc>
        <w:tc>
          <w:tcPr>
            <w:tcW w:w="989" w:type="dxa"/>
            <w:shd w:val="clear" w:color="auto" w:fill="auto"/>
          </w:tcPr>
          <w:p w14:paraId="2ABEB2D9" w14:textId="77777777" w:rsidR="00366077" w:rsidRPr="00AB3B90" w:rsidRDefault="00366077" w:rsidP="00366077">
            <w:pPr>
              <w:spacing w:before="0" w:after="170"/>
              <w:jc w:val="right"/>
              <w:rPr>
                <w:rFonts w:ascii="Verdana" w:eastAsia="Verdana" w:hAnsi="Verdana" w:cs="Times New Roman"/>
                <w:b/>
                <w:sz w:val="16"/>
                <w:szCs w:val="16"/>
                <w:lang w:val="en-AU"/>
              </w:rPr>
            </w:pPr>
            <w:r w:rsidRPr="00AB3B90">
              <w:rPr>
                <w:rFonts w:ascii="Verdana" w:eastAsia="Verdana" w:hAnsi="Verdana" w:cs="Times New Roman"/>
                <w:b/>
                <w:sz w:val="16"/>
                <w:szCs w:val="16"/>
                <w:lang w:val="en-AU"/>
              </w:rPr>
              <w:t>2022</w:t>
            </w:r>
          </w:p>
        </w:tc>
        <w:tc>
          <w:tcPr>
            <w:tcW w:w="845" w:type="dxa"/>
            <w:gridSpan w:val="2"/>
            <w:shd w:val="clear" w:color="auto" w:fill="auto"/>
          </w:tcPr>
          <w:p w14:paraId="70E00299" w14:textId="77777777" w:rsidR="00366077" w:rsidRPr="00AB3B90" w:rsidRDefault="00366077" w:rsidP="00366077">
            <w:pPr>
              <w:spacing w:before="0" w:after="170"/>
              <w:jc w:val="right"/>
              <w:rPr>
                <w:rFonts w:ascii="Verdana" w:eastAsia="Verdana" w:hAnsi="Verdana" w:cs="Times New Roman"/>
                <w:b/>
                <w:sz w:val="16"/>
                <w:szCs w:val="16"/>
                <w:lang w:val="en-AU"/>
              </w:rPr>
            </w:pPr>
            <w:r w:rsidRPr="00AB3B90">
              <w:rPr>
                <w:rFonts w:ascii="Verdana" w:eastAsia="Verdana" w:hAnsi="Verdana" w:cs="Times New Roman"/>
                <w:b/>
                <w:sz w:val="16"/>
                <w:szCs w:val="16"/>
                <w:lang w:val="en-AU"/>
              </w:rPr>
              <w:t>2023</w:t>
            </w:r>
          </w:p>
        </w:tc>
      </w:tr>
      <w:tr w:rsidR="00366077" w:rsidRPr="00AB3B90" w14:paraId="0FBD6321" w14:textId="77777777">
        <w:tc>
          <w:tcPr>
            <w:tcW w:w="4179" w:type="dxa"/>
          </w:tcPr>
          <w:p w14:paraId="4C2ED6DA" w14:textId="77777777" w:rsidR="00366077" w:rsidRPr="00AB3B90" w:rsidRDefault="00366077" w:rsidP="00366077">
            <w:pPr>
              <w:spacing w:before="0" w:afterLines="60" w:after="144"/>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June quarter – previous year (%)</w:t>
            </w:r>
          </w:p>
        </w:tc>
        <w:tc>
          <w:tcPr>
            <w:tcW w:w="984" w:type="dxa"/>
          </w:tcPr>
          <w:p w14:paraId="3BF54668"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2.1</w:t>
            </w:r>
          </w:p>
        </w:tc>
        <w:tc>
          <w:tcPr>
            <w:tcW w:w="984" w:type="dxa"/>
          </w:tcPr>
          <w:p w14:paraId="4B9ADC1F"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2.2</w:t>
            </w:r>
          </w:p>
        </w:tc>
        <w:tc>
          <w:tcPr>
            <w:tcW w:w="985" w:type="dxa"/>
          </w:tcPr>
          <w:p w14:paraId="0EFB7106"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1.2</w:t>
            </w:r>
          </w:p>
        </w:tc>
        <w:tc>
          <w:tcPr>
            <w:tcW w:w="989" w:type="dxa"/>
          </w:tcPr>
          <w:p w14:paraId="5F2BABE6"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2.3</w:t>
            </w:r>
          </w:p>
        </w:tc>
        <w:tc>
          <w:tcPr>
            <w:tcW w:w="845" w:type="dxa"/>
            <w:gridSpan w:val="2"/>
          </w:tcPr>
          <w:p w14:paraId="296E83A7"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3.5</w:t>
            </w:r>
          </w:p>
        </w:tc>
      </w:tr>
      <w:tr w:rsidR="00366077" w:rsidRPr="00AB3B90" w14:paraId="7555355A" w14:textId="77777777">
        <w:tc>
          <w:tcPr>
            <w:tcW w:w="4179" w:type="dxa"/>
          </w:tcPr>
          <w:p w14:paraId="6F90AB13" w14:textId="77777777" w:rsidR="00366077" w:rsidRPr="00AB3B90" w:rsidRDefault="00366077" w:rsidP="00366077">
            <w:pPr>
              <w:spacing w:before="0" w:afterLines="60" w:after="144"/>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September quarter – previous year (%)</w:t>
            </w:r>
          </w:p>
        </w:tc>
        <w:tc>
          <w:tcPr>
            <w:tcW w:w="984" w:type="dxa"/>
          </w:tcPr>
          <w:p w14:paraId="1BFFD9B0"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2.2</w:t>
            </w:r>
          </w:p>
        </w:tc>
        <w:tc>
          <w:tcPr>
            <w:tcW w:w="984" w:type="dxa"/>
          </w:tcPr>
          <w:p w14:paraId="414EEA10"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2.1</w:t>
            </w:r>
          </w:p>
        </w:tc>
        <w:tc>
          <w:tcPr>
            <w:tcW w:w="985" w:type="dxa"/>
          </w:tcPr>
          <w:p w14:paraId="0B763957"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1.2</w:t>
            </w:r>
          </w:p>
        </w:tc>
        <w:tc>
          <w:tcPr>
            <w:tcW w:w="989" w:type="dxa"/>
          </w:tcPr>
          <w:p w14:paraId="518263B2"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2.4</w:t>
            </w:r>
          </w:p>
        </w:tc>
        <w:tc>
          <w:tcPr>
            <w:tcW w:w="845" w:type="dxa"/>
            <w:gridSpan w:val="2"/>
          </w:tcPr>
          <w:p w14:paraId="12377A22"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4.2</w:t>
            </w:r>
          </w:p>
        </w:tc>
      </w:tr>
      <w:tr w:rsidR="00366077" w:rsidRPr="00AB3B90" w14:paraId="33F2C60F" w14:textId="77777777">
        <w:tc>
          <w:tcPr>
            <w:tcW w:w="4179" w:type="dxa"/>
          </w:tcPr>
          <w:p w14:paraId="60ECB714" w14:textId="77777777" w:rsidR="00366077" w:rsidRPr="00AB3B90" w:rsidRDefault="00366077" w:rsidP="00366077">
            <w:pPr>
              <w:spacing w:before="0" w:afterLines="60" w:after="144"/>
              <w:ind w:left="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December quarter – previous year (%)</w:t>
            </w:r>
          </w:p>
        </w:tc>
        <w:tc>
          <w:tcPr>
            <w:tcW w:w="984" w:type="dxa"/>
          </w:tcPr>
          <w:p w14:paraId="74385DFE"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2.1</w:t>
            </w:r>
          </w:p>
        </w:tc>
        <w:tc>
          <w:tcPr>
            <w:tcW w:w="984" w:type="dxa"/>
          </w:tcPr>
          <w:p w14:paraId="317AD069"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2.1</w:t>
            </w:r>
          </w:p>
        </w:tc>
        <w:tc>
          <w:tcPr>
            <w:tcW w:w="985" w:type="dxa"/>
          </w:tcPr>
          <w:p w14:paraId="4F9A1ECA"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1.3</w:t>
            </w:r>
          </w:p>
        </w:tc>
        <w:tc>
          <w:tcPr>
            <w:tcW w:w="989" w:type="dxa"/>
          </w:tcPr>
          <w:p w14:paraId="669C12A2"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2.6</w:t>
            </w:r>
          </w:p>
        </w:tc>
        <w:tc>
          <w:tcPr>
            <w:tcW w:w="845" w:type="dxa"/>
            <w:gridSpan w:val="2"/>
          </w:tcPr>
          <w:p w14:paraId="0C83B63C"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4.5</w:t>
            </w:r>
          </w:p>
        </w:tc>
      </w:tr>
      <w:tr w:rsidR="00366077" w:rsidRPr="00AB3B90" w14:paraId="5349B29B" w14:textId="77777777">
        <w:trPr>
          <w:gridAfter w:val="1"/>
          <w:wAfter w:w="35" w:type="dxa"/>
        </w:trPr>
        <w:tc>
          <w:tcPr>
            <w:tcW w:w="4179" w:type="dxa"/>
            <w:tcBorders>
              <w:top w:val="single" w:sz="4" w:space="0" w:color="000000"/>
              <w:bottom w:val="single" w:sz="4" w:space="0" w:color="000000"/>
            </w:tcBorders>
          </w:tcPr>
          <w:p w14:paraId="03A4F203" w14:textId="77777777" w:rsidR="00366077" w:rsidRPr="00AB3B90" w:rsidRDefault="00366077" w:rsidP="00366077">
            <w:pPr>
              <w:spacing w:before="0" w:afterLines="60" w:after="144"/>
              <w:ind w:left="0"/>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March quarter – current year (%)</w:t>
            </w:r>
          </w:p>
        </w:tc>
        <w:tc>
          <w:tcPr>
            <w:tcW w:w="984" w:type="dxa"/>
            <w:tcBorders>
              <w:top w:val="single" w:sz="4" w:space="0" w:color="000000"/>
              <w:bottom w:val="single" w:sz="4" w:space="0" w:color="000000"/>
            </w:tcBorders>
          </w:tcPr>
          <w:p w14:paraId="69E51848"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2.1</w:t>
            </w:r>
          </w:p>
        </w:tc>
        <w:tc>
          <w:tcPr>
            <w:tcW w:w="984" w:type="dxa"/>
            <w:tcBorders>
              <w:top w:val="single" w:sz="4" w:space="0" w:color="000000"/>
              <w:bottom w:val="single" w:sz="4" w:space="0" w:color="000000"/>
            </w:tcBorders>
          </w:tcPr>
          <w:p w14:paraId="14E16F08"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2.2</w:t>
            </w:r>
          </w:p>
        </w:tc>
        <w:tc>
          <w:tcPr>
            <w:tcW w:w="985" w:type="dxa"/>
            <w:tcBorders>
              <w:top w:val="single" w:sz="4" w:space="0" w:color="000000"/>
              <w:bottom w:val="single" w:sz="4" w:space="0" w:color="000000"/>
            </w:tcBorders>
          </w:tcPr>
          <w:p w14:paraId="276D3676"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1.4</w:t>
            </w:r>
          </w:p>
        </w:tc>
        <w:tc>
          <w:tcPr>
            <w:tcW w:w="989" w:type="dxa"/>
            <w:tcBorders>
              <w:top w:val="single" w:sz="4" w:space="0" w:color="000000"/>
              <w:bottom w:val="single" w:sz="4" w:space="0" w:color="000000"/>
            </w:tcBorders>
          </w:tcPr>
          <w:p w14:paraId="23CF1B52"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3.0</w:t>
            </w:r>
          </w:p>
        </w:tc>
        <w:tc>
          <w:tcPr>
            <w:tcW w:w="810" w:type="dxa"/>
            <w:tcBorders>
              <w:top w:val="single" w:sz="4" w:space="0" w:color="000000"/>
              <w:bottom w:val="single" w:sz="4" w:space="0" w:color="000000"/>
            </w:tcBorders>
          </w:tcPr>
          <w:p w14:paraId="5B57D315"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4.4</w:t>
            </w:r>
          </w:p>
        </w:tc>
      </w:tr>
      <w:tr w:rsidR="00366077" w:rsidRPr="00AB3B90" w14:paraId="5224553D" w14:textId="77777777" w:rsidTr="00366077">
        <w:trPr>
          <w:gridAfter w:val="1"/>
          <w:wAfter w:w="35" w:type="dxa"/>
          <w:trHeight w:val="340"/>
        </w:trPr>
        <w:tc>
          <w:tcPr>
            <w:tcW w:w="4179" w:type="dxa"/>
            <w:tcBorders>
              <w:top w:val="single" w:sz="4" w:space="0" w:color="000000"/>
            </w:tcBorders>
            <w:shd w:val="clear" w:color="auto" w:fill="DFF0F9"/>
          </w:tcPr>
          <w:p w14:paraId="4D55C650" w14:textId="77777777" w:rsidR="00366077" w:rsidRPr="00AB3B90" w:rsidRDefault="00366077" w:rsidP="00366077">
            <w:pPr>
              <w:spacing w:before="0" w:afterLines="60" w:after="144"/>
              <w:rPr>
                <w:rFonts w:ascii="Verdana" w:eastAsia="Verdana" w:hAnsi="Verdana" w:cs="Times New Roman"/>
                <w:b/>
                <w:bCs/>
                <w:sz w:val="16"/>
                <w:szCs w:val="16"/>
                <w:lang w:val="en-AU"/>
              </w:rPr>
            </w:pPr>
            <w:r w:rsidRPr="00AB3B90">
              <w:rPr>
                <w:rFonts w:ascii="Verdana" w:eastAsia="Verdana" w:hAnsi="Verdana" w:cs="Times New Roman"/>
                <w:b/>
                <w:bCs/>
                <w:sz w:val="16"/>
                <w:szCs w:val="16"/>
                <w:lang w:val="en-AU"/>
              </w:rPr>
              <w:t>June quarter – current year</w:t>
            </w:r>
            <w:r w:rsidRPr="00AB3B90">
              <w:rPr>
                <w:rFonts w:ascii="Verdana" w:eastAsia="Verdana" w:hAnsi="Verdana" w:cs="Times New Roman"/>
                <w:b/>
                <w:bCs/>
                <w:sz w:val="16"/>
                <w:szCs w:val="16"/>
                <w:lang w:val="en-AU"/>
              </w:rPr>
              <w:br/>
              <w:t>(current arrangement) (%)</w:t>
            </w:r>
          </w:p>
        </w:tc>
        <w:tc>
          <w:tcPr>
            <w:tcW w:w="984" w:type="dxa"/>
            <w:tcBorders>
              <w:top w:val="single" w:sz="4" w:space="0" w:color="000000"/>
            </w:tcBorders>
            <w:shd w:val="clear" w:color="auto" w:fill="DFF0F9"/>
          </w:tcPr>
          <w:p w14:paraId="6EA5DB61"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2.2</w:t>
            </w:r>
          </w:p>
        </w:tc>
        <w:tc>
          <w:tcPr>
            <w:tcW w:w="984" w:type="dxa"/>
            <w:tcBorders>
              <w:top w:val="single" w:sz="4" w:space="0" w:color="000000"/>
            </w:tcBorders>
            <w:shd w:val="clear" w:color="auto" w:fill="DFF0F9"/>
          </w:tcPr>
          <w:p w14:paraId="6BDDFCCA"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1.2</w:t>
            </w:r>
          </w:p>
        </w:tc>
        <w:tc>
          <w:tcPr>
            <w:tcW w:w="985" w:type="dxa"/>
            <w:tcBorders>
              <w:top w:val="single" w:sz="4" w:space="0" w:color="000000"/>
            </w:tcBorders>
            <w:shd w:val="clear" w:color="auto" w:fill="DFF0F9"/>
          </w:tcPr>
          <w:p w14:paraId="3E37C898"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2.3</w:t>
            </w:r>
          </w:p>
        </w:tc>
        <w:tc>
          <w:tcPr>
            <w:tcW w:w="989" w:type="dxa"/>
            <w:tcBorders>
              <w:top w:val="single" w:sz="4" w:space="0" w:color="000000"/>
            </w:tcBorders>
            <w:shd w:val="clear" w:color="auto" w:fill="DFF0F9"/>
          </w:tcPr>
          <w:p w14:paraId="7D1748C1"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3.5</w:t>
            </w:r>
          </w:p>
        </w:tc>
        <w:tc>
          <w:tcPr>
            <w:tcW w:w="810" w:type="dxa"/>
            <w:tcBorders>
              <w:top w:val="single" w:sz="4" w:space="0" w:color="000000"/>
            </w:tcBorders>
            <w:shd w:val="clear" w:color="auto" w:fill="DFF0F9"/>
          </w:tcPr>
          <w:p w14:paraId="014F16A4" w14:textId="77777777" w:rsidR="00366077" w:rsidRPr="00AB3B90" w:rsidRDefault="00366077" w:rsidP="00366077">
            <w:pPr>
              <w:spacing w:before="0" w:after="170"/>
              <w:jc w:val="right"/>
              <w:rPr>
                <w:rFonts w:ascii="Verdana" w:eastAsia="Verdana" w:hAnsi="Verdana" w:cs="Times New Roman"/>
                <w:lang w:val="en-AU"/>
              </w:rPr>
            </w:pPr>
            <w:r w:rsidRPr="00AB3B90">
              <w:rPr>
                <w:rFonts w:ascii="Verdana" w:eastAsia="Verdana" w:hAnsi="Verdana" w:cs="Times New Roman"/>
                <w:lang w:val="en-AU"/>
              </w:rPr>
              <w:t>4.2</w:t>
            </w:r>
          </w:p>
        </w:tc>
      </w:tr>
    </w:tbl>
    <w:p w14:paraId="00224116" w14:textId="77777777" w:rsidR="006617FD" w:rsidRPr="00AB3B90" w:rsidRDefault="006617FD" w:rsidP="006617FD">
      <w:pPr>
        <w:pStyle w:val="Source"/>
      </w:pPr>
      <w:r w:rsidRPr="00AB3B90">
        <w:t>Source: Australian Bureau of Statistics (2024)</w:t>
      </w:r>
    </w:p>
    <w:p w14:paraId="5CCFD70D" w14:textId="69C5E91B" w:rsidR="0036002D" w:rsidRPr="00AB3B90" w:rsidRDefault="0036002D" w:rsidP="0036002D">
      <w:r w:rsidRPr="00AB3B90">
        <w:t xml:space="preserve">When considering the trade-off between certainty and </w:t>
      </w:r>
      <w:r w:rsidR="00A014A9" w:rsidRPr="00AB3B90">
        <w:t>contemporaneity</w:t>
      </w:r>
      <w:r w:rsidRPr="00AB3B90">
        <w:t>/accuracy of indexation arrangements, three key observations should be noted:</w:t>
      </w:r>
    </w:p>
    <w:p w14:paraId="2C79E65D" w14:textId="77777777" w:rsidR="0036002D" w:rsidRPr="00AB3B90" w:rsidRDefault="75BE6EC3" w:rsidP="00E37ADA">
      <w:pPr>
        <w:pStyle w:val="ListBullet"/>
      </w:pPr>
      <w:r w:rsidRPr="00AB3B90">
        <w:t>Changes to the timing of indexation rates does not impact overall funding provided to systems and schools over time (rather, it shifts funding allocations between periods of time).</w:t>
      </w:r>
    </w:p>
    <w:p w14:paraId="5B87530D" w14:textId="5A41716B" w:rsidR="0036002D" w:rsidRPr="00AB3B90" w:rsidRDefault="75BE6EC3" w:rsidP="00E37ADA">
      <w:pPr>
        <w:pStyle w:val="ListBullet"/>
      </w:pPr>
      <w:r w:rsidRPr="00AB3B90">
        <w:t xml:space="preserve">Lagged indexation arrangements may be appropriate given the general lag that is observed between when general inflation occurs in the economy, and salaries increase in the education sector (as illustrated by </w:t>
      </w:r>
      <w:r w:rsidRPr="00AB3B90">
        <w:fldChar w:fldCharType="begin"/>
      </w:r>
      <w:r w:rsidRPr="00AB3B90">
        <w:instrText xml:space="preserve"> REF _Ref160807281 \h  \* MERGEFORMAT </w:instrText>
      </w:r>
      <w:r w:rsidRPr="00AB3B90">
        <w:fldChar w:fldCharType="separate"/>
      </w:r>
      <w:r w:rsidR="00FF6847" w:rsidRPr="00AB3B90">
        <w:t>Figure 8</w:t>
      </w:r>
      <w:r w:rsidRPr="00AB3B90">
        <w:fldChar w:fldCharType="end"/>
      </w:r>
      <w:r w:rsidR="48CEC0A6" w:rsidRPr="00AB3B90">
        <w:t xml:space="preserve"> </w:t>
      </w:r>
      <w:r w:rsidRPr="00AB3B90">
        <w:t xml:space="preserve">and </w:t>
      </w:r>
      <w:r w:rsidRPr="00AB3B90">
        <w:fldChar w:fldCharType="begin"/>
      </w:r>
      <w:r w:rsidRPr="00AB3B90">
        <w:instrText xml:space="preserve"> REF _Ref160809172 \h  \* MERGEFORMAT </w:instrText>
      </w:r>
      <w:r w:rsidRPr="00AB3B90">
        <w:fldChar w:fldCharType="separate"/>
      </w:r>
      <w:r w:rsidR="00FF6847" w:rsidRPr="00AB3B90">
        <w:t>Figure 9</w:t>
      </w:r>
      <w:r w:rsidRPr="00AB3B90">
        <w:fldChar w:fldCharType="end"/>
      </w:r>
      <w:r w:rsidRPr="00AB3B90">
        <w:t xml:space="preserve">). While schools and jurisdictions do have some capacity to expend additional funding on staff during a school year, changes to salary agreements generally occur over a longer </w:t>
      </w:r>
      <w:proofErr w:type="gramStart"/>
      <w:r w:rsidRPr="00AB3B90">
        <w:t>period of time</w:t>
      </w:r>
      <w:proofErr w:type="gramEnd"/>
      <w:r w:rsidRPr="00AB3B90">
        <w:t>.</w:t>
      </w:r>
    </w:p>
    <w:p w14:paraId="718A0EAF" w14:textId="77777777" w:rsidR="0036002D" w:rsidRPr="00AB3B90" w:rsidRDefault="75BE6EC3" w:rsidP="00E37ADA">
      <w:pPr>
        <w:pStyle w:val="ListBullet"/>
      </w:pPr>
      <w:r w:rsidRPr="00AB3B90">
        <w:t>Any change to indexation timing would need to factor in an appropriate approach to transition, which presents administrative complexities for the sector and potential additional costs (to the extent that there is a desire to hold schools and systems harmless under any change in the short term).</w:t>
      </w:r>
    </w:p>
    <w:p w14:paraId="6B7B743D" w14:textId="51AF3B2F" w:rsidR="009E446F" w:rsidRPr="00AB3B90" w:rsidRDefault="009E446F" w:rsidP="009E446F">
      <w:pPr>
        <w:pBdr>
          <w:top w:val="single" w:sz="4" w:space="1" w:color="auto"/>
          <w:left w:val="single" w:sz="4" w:space="4" w:color="auto"/>
          <w:bottom w:val="single" w:sz="4" w:space="1" w:color="auto"/>
          <w:right w:val="single" w:sz="4" w:space="4" w:color="auto"/>
        </w:pBdr>
        <w:spacing w:before="0" w:after="170" w:line="240" w:lineRule="atLeast"/>
        <w:rPr>
          <w:b/>
        </w:rPr>
      </w:pPr>
      <w:r w:rsidRPr="00AB3B90">
        <w:rPr>
          <w:b/>
        </w:rPr>
        <w:t xml:space="preserve">Finding </w:t>
      </w:r>
      <w:r w:rsidR="3BB55665" w:rsidRPr="00AB3B90">
        <w:rPr>
          <w:b/>
          <w:bCs/>
        </w:rPr>
        <w:t>6</w:t>
      </w:r>
    </w:p>
    <w:p w14:paraId="086BB73E" w14:textId="61ECF46B" w:rsidR="009E446F" w:rsidRPr="00AB3B90" w:rsidRDefault="009E446F" w:rsidP="00AA4CE2">
      <w:pPr>
        <w:pBdr>
          <w:top w:val="single" w:sz="4" w:space="1" w:color="auto"/>
          <w:left w:val="single" w:sz="4" w:space="4" w:color="auto"/>
          <w:bottom w:val="single" w:sz="4" w:space="1" w:color="auto"/>
          <w:right w:val="single" w:sz="4" w:space="4" w:color="auto"/>
        </w:pBdr>
        <w:spacing w:before="0" w:after="170" w:line="240" w:lineRule="atLeast"/>
        <w:rPr>
          <w:b/>
        </w:rPr>
      </w:pPr>
      <w:r w:rsidRPr="00AB3B90">
        <w:t>In relation to the timing of SRS indexation rates, on balance, there is a case to change current indexation arrangements to rely on an earlier measure of indexation, given the preference that jurisdictions have towards funding certainty. However, further analysis is required to determine the most appropriate timing for the application of indexation, and to understand the implications of such a change.</w:t>
      </w:r>
      <w:r w:rsidR="3BB55665" w:rsidRPr="00AB3B90">
        <w:t> </w:t>
      </w:r>
      <w:r w:rsidR="3BB55665" w:rsidRPr="00AB3B90">
        <w:rPr>
          <w:b/>
        </w:rPr>
        <w:t xml:space="preserve">  </w:t>
      </w:r>
    </w:p>
    <w:p w14:paraId="56D815B6" w14:textId="40DEF779" w:rsidR="0010559E" w:rsidRPr="00AB3B90" w:rsidRDefault="0010559E">
      <w:pPr>
        <w:spacing w:before="0" w:after="160"/>
      </w:pPr>
      <w:r w:rsidRPr="00AB3B90">
        <w:br w:type="page"/>
      </w:r>
    </w:p>
    <w:p w14:paraId="11AF8759" w14:textId="30A5F0F5" w:rsidR="00FA6F7C" w:rsidRPr="00AB3B90" w:rsidRDefault="664D9BB0" w:rsidP="009E446F">
      <w:pPr>
        <w:pBdr>
          <w:top w:val="single" w:sz="4" w:space="1" w:color="auto"/>
          <w:left w:val="single" w:sz="4" w:space="4" w:color="auto"/>
          <w:bottom w:val="single" w:sz="4" w:space="1" w:color="auto"/>
          <w:right w:val="single" w:sz="4" w:space="4" w:color="auto"/>
        </w:pBdr>
        <w:spacing w:before="0" w:after="170" w:line="240" w:lineRule="atLeast"/>
        <w:rPr>
          <w:b/>
        </w:rPr>
      </w:pPr>
      <w:r w:rsidRPr="00AB3B90">
        <w:rPr>
          <w:b/>
          <w:bCs/>
        </w:rPr>
        <w:t>Finding 7</w:t>
      </w:r>
    </w:p>
    <w:p w14:paraId="3F7F14C0" w14:textId="17E94F3C" w:rsidR="664D9BB0" w:rsidRPr="00AB3B90" w:rsidRDefault="664D9BB0" w:rsidP="00AA4CE2">
      <w:pPr>
        <w:pBdr>
          <w:top w:val="single" w:sz="4" w:space="1" w:color="auto"/>
          <w:left w:val="single" w:sz="4" w:space="4" w:color="auto"/>
          <w:bottom w:val="single" w:sz="4" w:space="1" w:color="auto"/>
          <w:right w:val="single" w:sz="4" w:space="4" w:color="auto"/>
        </w:pBdr>
        <w:spacing w:before="0" w:after="170" w:line="240" w:lineRule="atLeast"/>
      </w:pPr>
      <w:r w:rsidRPr="00AB3B90">
        <w:t>Timing of SRS indexation rates lagged by 12 months may be an appropriate alternative approach, as this best aligns with the approach that schools and systems take to budget planning and reflects the typical lags observed between general inflation in the economy and wage increases in the education sector. The application of a funding floor also helps to mitigate the risks associated with this change. </w:t>
      </w:r>
    </w:p>
    <w:p w14:paraId="0AC36CC7" w14:textId="77777777" w:rsidR="009E446F" w:rsidRPr="00AB3B90" w:rsidRDefault="009E446F" w:rsidP="00FA6F7C">
      <w:pPr>
        <w:spacing w:before="0" w:after="170" w:line="240" w:lineRule="atLeast"/>
      </w:pPr>
    </w:p>
    <w:p w14:paraId="02B4FECB" w14:textId="688CA339" w:rsidR="009E446F" w:rsidRPr="00AB3B90" w:rsidRDefault="009E446F" w:rsidP="009E446F">
      <w:pPr>
        <w:pBdr>
          <w:top w:val="single" w:sz="4" w:space="1" w:color="auto"/>
          <w:left w:val="single" w:sz="4" w:space="4" w:color="auto"/>
          <w:bottom w:val="single" w:sz="4" w:space="1" w:color="auto"/>
          <w:right w:val="single" w:sz="4" w:space="4" w:color="auto"/>
        </w:pBdr>
        <w:spacing w:before="0" w:after="170" w:line="240" w:lineRule="atLeast"/>
        <w:rPr>
          <w:b/>
        </w:rPr>
      </w:pPr>
      <w:r w:rsidRPr="00AB3B90">
        <w:rPr>
          <w:b/>
        </w:rPr>
        <w:t xml:space="preserve">Recommendation </w:t>
      </w:r>
      <w:r w:rsidR="00BF5B62" w:rsidRPr="00AB3B90">
        <w:rPr>
          <w:b/>
          <w:bCs/>
        </w:rPr>
        <w:t>4</w:t>
      </w:r>
    </w:p>
    <w:p w14:paraId="1395A2E9" w14:textId="525D7FBF" w:rsidR="009E446F" w:rsidRPr="00AB3B90" w:rsidRDefault="00F72E52" w:rsidP="50754209">
      <w:pPr>
        <w:pStyle w:val="ListBullet"/>
        <w:numPr>
          <w:ilvl w:val="0"/>
          <w:numId w:val="0"/>
        </w:numPr>
        <w:pBdr>
          <w:top w:val="single" w:sz="4" w:space="1" w:color="auto"/>
          <w:left w:val="single" w:sz="4" w:space="4" w:color="auto"/>
          <w:bottom w:val="single" w:sz="4" w:space="1" w:color="auto"/>
          <w:right w:val="single" w:sz="4" w:space="4" w:color="auto"/>
        </w:pBdr>
        <w:spacing w:before="0" w:after="170" w:line="240" w:lineRule="auto"/>
      </w:pPr>
      <w:r w:rsidRPr="00AB3B90">
        <w:t>On balance, there is insufficient evidence to support a specific change to the indexation timing arrangements at this point. Further consultation should be undertaken to examine alternative timing and transition arrangements.</w:t>
      </w:r>
    </w:p>
    <w:p w14:paraId="2DDC12E5" w14:textId="77777777" w:rsidR="009E446F" w:rsidRPr="00AB3B90" w:rsidRDefault="009E446F" w:rsidP="00FA6F7C">
      <w:pPr>
        <w:spacing w:before="0" w:after="170" w:line="240" w:lineRule="atLeast"/>
      </w:pPr>
    </w:p>
    <w:p w14:paraId="5D082378" w14:textId="77777777" w:rsidR="00F409FE" w:rsidRPr="00AB3B90" w:rsidRDefault="00F409FE">
      <w:pPr>
        <w:spacing w:before="0" w:after="160"/>
        <w:rPr>
          <w:rFonts w:eastAsiaTheme="majorEastAsia" w:cstheme="majorBidi"/>
          <w:color w:val="0F294C"/>
          <w:sz w:val="60"/>
          <w:szCs w:val="32"/>
        </w:rPr>
      </w:pPr>
      <w:bookmarkStart w:id="152" w:name="_Toc71021817"/>
      <w:bookmarkStart w:id="153" w:name="_Ref66347998"/>
      <w:bookmarkStart w:id="154" w:name="_Ref66348005"/>
      <w:bookmarkStart w:id="155" w:name="_Ref66348010"/>
      <w:bookmarkStart w:id="156" w:name="_Ref66348042"/>
      <w:bookmarkEnd w:id="27"/>
      <w:bookmarkEnd w:id="114"/>
      <w:r w:rsidRPr="00AB3B90">
        <w:br w:type="page"/>
      </w:r>
    </w:p>
    <w:p w14:paraId="788C8684" w14:textId="25F5AD5A" w:rsidR="003656F7" w:rsidRPr="00AB3B90" w:rsidRDefault="003656F7" w:rsidP="00034953">
      <w:pPr>
        <w:pStyle w:val="Heading1"/>
      </w:pPr>
      <w:bookmarkStart w:id="157" w:name="_Ref161296387"/>
      <w:bookmarkStart w:id="158" w:name="_Ref161296403"/>
      <w:bookmarkStart w:id="159" w:name="_Ref161296442"/>
      <w:bookmarkStart w:id="160" w:name="_Toc163650454"/>
      <w:r w:rsidRPr="00AB3B90">
        <w:t>Appendix A – Terms of reference</w:t>
      </w:r>
      <w:bookmarkEnd w:id="152"/>
      <w:bookmarkEnd w:id="157"/>
      <w:bookmarkEnd w:id="158"/>
      <w:bookmarkEnd w:id="159"/>
      <w:bookmarkEnd w:id="160"/>
      <w:r w:rsidRPr="00AB3B90">
        <w:t xml:space="preserve"> </w:t>
      </w:r>
    </w:p>
    <w:p w14:paraId="61D70801" w14:textId="77777777" w:rsidR="00F409FE" w:rsidRPr="00AB3B90" w:rsidRDefault="00F409FE" w:rsidP="00F409FE">
      <w:pPr>
        <w:pStyle w:val="paragraph"/>
        <w:spacing w:before="0" w:beforeAutospacing="0" w:after="0" w:afterAutospacing="0"/>
        <w:textAlignment w:val="baseline"/>
        <w:rPr>
          <w:rFonts w:ascii="Arial Narrow" w:hAnsi="Arial Narrow" w:cs="Segoe UI"/>
          <w:b/>
          <w:bCs/>
          <w:sz w:val="28"/>
          <w:szCs w:val="28"/>
        </w:rPr>
      </w:pPr>
      <w:r w:rsidRPr="00AB3B90">
        <w:rPr>
          <w:rStyle w:val="eop"/>
          <w:rFonts w:ascii="Arial Narrow" w:hAnsi="Arial Narrow" w:cs="Calibri"/>
          <w:b/>
          <w:bCs/>
          <w:sz w:val="28"/>
          <w:szCs w:val="28"/>
        </w:rPr>
        <w:t>Review of the Schooling Resource Standard (SRS) indexation arrangements</w:t>
      </w:r>
    </w:p>
    <w:p w14:paraId="115AEE0D" w14:textId="4375A549" w:rsidR="00F409FE" w:rsidRPr="00AB3B90" w:rsidRDefault="00F409FE" w:rsidP="00F409FE">
      <w:pPr>
        <w:pStyle w:val="paragraph"/>
        <w:spacing w:before="120" w:beforeAutospacing="0" w:after="120" w:afterAutospacing="0"/>
        <w:textAlignment w:val="baseline"/>
        <w:rPr>
          <w:rStyle w:val="normaltextrun"/>
          <w:rFonts w:ascii="Arial Narrow" w:hAnsi="Arial Narrow" w:cs="Calibri"/>
        </w:rPr>
      </w:pPr>
      <w:r w:rsidRPr="00AB3B90">
        <w:rPr>
          <w:rStyle w:val="normaltextrun"/>
          <w:rFonts w:ascii="Arial Narrow" w:hAnsi="Arial Narrow" w:cs="Calibri"/>
        </w:rPr>
        <w:t xml:space="preserve">Commonwealth funding for schools is needs-based and is calculated with reference to the </w:t>
      </w:r>
      <w:hyperlink r:id="rId54" w:tgtFrame="_blank" w:history="1">
        <w:r w:rsidRPr="00AB3B90">
          <w:rPr>
            <w:rStyle w:val="normaltextrun"/>
            <w:rFonts w:ascii="Arial Narrow" w:hAnsi="Arial Narrow" w:cs="Calibri"/>
            <w:color w:val="0000FF"/>
          </w:rPr>
          <w:t>Schooling Resource Standard (SRS)</w:t>
        </w:r>
      </w:hyperlink>
      <w:r w:rsidRPr="00AB3B90">
        <w:rPr>
          <w:rStyle w:val="normaltextrun"/>
          <w:rFonts w:ascii="Arial Narrow" w:hAnsi="Arial Narrow" w:cs="Calibri"/>
        </w:rPr>
        <w:t>. The SRS is an estimate of how much total public recurrent funding a school needs to meet its students’ educational needs and is indexed each year by the SRS indexation factor to reflect changes in prices and wages and therefore costs faced by schools.</w:t>
      </w:r>
    </w:p>
    <w:p w14:paraId="686B1A79" w14:textId="77777777" w:rsidR="00F409FE" w:rsidRPr="00AB3B90" w:rsidRDefault="00F409FE" w:rsidP="00F409FE">
      <w:pPr>
        <w:pStyle w:val="paragraph"/>
        <w:spacing w:before="120" w:beforeAutospacing="0" w:after="120" w:afterAutospacing="0"/>
        <w:textAlignment w:val="baseline"/>
        <w:rPr>
          <w:rStyle w:val="eop"/>
          <w:rFonts w:ascii="Arial Narrow" w:hAnsi="Arial Narrow"/>
        </w:rPr>
      </w:pPr>
      <w:r w:rsidRPr="00AB3B90">
        <w:rPr>
          <w:rStyle w:val="normaltextrun"/>
          <w:rFonts w:ascii="Arial Narrow" w:hAnsi="Arial Narrow" w:cs="Calibri"/>
        </w:rPr>
        <w:t>The purpose of this Review is to consider the appropriateness of the SRS indexation arrangements to ensure arrangements</w:t>
      </w:r>
      <w:r w:rsidRPr="00AB3B90">
        <w:rPr>
          <w:rFonts w:ascii="Arial Narrow" w:hAnsi="Arial Narrow" w:cstheme="minorHAnsi"/>
        </w:rPr>
        <w:t xml:space="preserve"> reflect changes in the costs associated with meeting the educational needs of students</w:t>
      </w:r>
      <w:r w:rsidRPr="00AB3B90">
        <w:rPr>
          <w:rStyle w:val="normaltextrun"/>
          <w:rFonts w:ascii="Arial Narrow" w:hAnsi="Arial Narrow" w:cs="Calibri"/>
        </w:rPr>
        <w:t>. It fulfills a joint commitment from the Australian Government and the State and Territory Governments to review the SRS indexation arrangements in 2024 ahead of the next National School Reform Agreement.</w:t>
      </w:r>
      <w:r w:rsidRPr="00AB3B90">
        <w:rPr>
          <w:rStyle w:val="eop"/>
          <w:rFonts w:ascii="Arial Narrow" w:hAnsi="Arial Narrow" w:cs="Calibri"/>
        </w:rPr>
        <w:t> </w:t>
      </w:r>
    </w:p>
    <w:p w14:paraId="6FE3852C" w14:textId="77777777" w:rsidR="00F409FE" w:rsidRPr="00AB3B90" w:rsidRDefault="00F409FE" w:rsidP="00F409FE">
      <w:pPr>
        <w:pStyle w:val="paragraph"/>
        <w:spacing w:before="120" w:beforeAutospacing="0" w:after="0" w:afterAutospacing="0"/>
        <w:textAlignment w:val="baseline"/>
        <w:rPr>
          <w:rStyle w:val="normaltextrun"/>
          <w:rFonts w:ascii="Arial Narrow" w:hAnsi="Arial Narrow" w:cs="Segoe UI"/>
        </w:rPr>
      </w:pPr>
      <w:r w:rsidRPr="00AB3B90">
        <w:rPr>
          <w:rStyle w:val="normaltextrun"/>
          <w:rFonts w:ascii="Arial Narrow" w:hAnsi="Arial Narrow" w:cs="Calibri"/>
          <w:u w:val="single"/>
        </w:rPr>
        <w:t>Current SRS indexation arrangements</w:t>
      </w:r>
      <w:r w:rsidRPr="00AB3B90">
        <w:rPr>
          <w:rStyle w:val="eop"/>
          <w:rFonts w:ascii="Arial Narrow" w:hAnsi="Arial Narrow" w:cs="Calibri"/>
        </w:rPr>
        <w:t> </w:t>
      </w:r>
    </w:p>
    <w:p w14:paraId="0678D46F" w14:textId="77777777" w:rsidR="00F409FE" w:rsidRPr="00AB3B90" w:rsidRDefault="00F409FE" w:rsidP="00F409FE">
      <w:pPr>
        <w:pStyle w:val="paragraph"/>
        <w:spacing w:before="120" w:beforeAutospacing="0" w:after="120" w:afterAutospacing="0"/>
        <w:textAlignment w:val="baseline"/>
        <w:rPr>
          <w:rStyle w:val="normaltextrun"/>
          <w:rFonts w:ascii="Arial Narrow" w:hAnsi="Arial Narrow" w:cs="Calibri"/>
        </w:rPr>
      </w:pPr>
      <w:r w:rsidRPr="00AB3B90">
        <w:rPr>
          <w:rStyle w:val="normaltextrun"/>
          <w:rFonts w:ascii="Arial Narrow" w:hAnsi="Arial Narrow" w:cs="Calibri"/>
        </w:rPr>
        <w:t>Since 2019, SRS funding has been indexed annually by either:</w:t>
      </w:r>
    </w:p>
    <w:p w14:paraId="647A6C15" w14:textId="77777777" w:rsidR="00F409FE" w:rsidRPr="00AB3B90" w:rsidRDefault="00F409FE" w:rsidP="00F53577">
      <w:pPr>
        <w:pStyle w:val="paragraph"/>
        <w:numPr>
          <w:ilvl w:val="0"/>
          <w:numId w:val="15"/>
        </w:numPr>
        <w:spacing w:before="0" w:beforeAutospacing="0" w:after="0" w:afterAutospacing="0"/>
        <w:ind w:hanging="357"/>
        <w:textAlignment w:val="baseline"/>
        <w:rPr>
          <w:rStyle w:val="normaltextrun"/>
          <w:rFonts w:ascii="Arial Narrow" w:hAnsi="Arial Narrow" w:cs="Calibri"/>
        </w:rPr>
      </w:pPr>
      <w:r w:rsidRPr="00AB3B90">
        <w:rPr>
          <w:rStyle w:val="normaltextrun"/>
          <w:rFonts w:ascii="Arial Narrow" w:hAnsi="Arial Narrow" w:cs="Calibri"/>
        </w:rPr>
        <w:t>a rate calculated as the higher of:</w:t>
      </w:r>
    </w:p>
    <w:p w14:paraId="47913F97" w14:textId="77777777" w:rsidR="00F409FE" w:rsidRPr="00AB3B90" w:rsidRDefault="00F409FE" w:rsidP="00F53577">
      <w:pPr>
        <w:pStyle w:val="paragraph"/>
        <w:numPr>
          <w:ilvl w:val="1"/>
          <w:numId w:val="15"/>
        </w:numPr>
        <w:spacing w:before="0" w:beforeAutospacing="0" w:after="0" w:afterAutospacing="0"/>
        <w:ind w:hanging="357"/>
        <w:textAlignment w:val="baseline"/>
        <w:rPr>
          <w:rStyle w:val="normaltextrun"/>
          <w:rFonts w:ascii="Arial Narrow" w:hAnsi="Arial Narrow" w:cs="Calibri"/>
        </w:rPr>
      </w:pPr>
      <w:r w:rsidRPr="00AB3B90">
        <w:rPr>
          <w:rStyle w:val="normaltextrun"/>
          <w:rFonts w:ascii="Arial Narrow" w:hAnsi="Arial Narrow" w:cs="Calibri"/>
        </w:rPr>
        <w:t xml:space="preserve">3 per cent, or </w:t>
      </w:r>
    </w:p>
    <w:p w14:paraId="2A415528" w14:textId="77777777" w:rsidR="00F409FE" w:rsidRPr="00AB3B90" w:rsidRDefault="00F409FE" w:rsidP="00F53577">
      <w:pPr>
        <w:pStyle w:val="paragraph"/>
        <w:numPr>
          <w:ilvl w:val="1"/>
          <w:numId w:val="15"/>
        </w:numPr>
        <w:spacing w:before="0" w:beforeAutospacing="0" w:after="0" w:afterAutospacing="0"/>
        <w:ind w:hanging="357"/>
        <w:textAlignment w:val="baseline"/>
        <w:rPr>
          <w:rStyle w:val="normaltextrun"/>
          <w:rFonts w:ascii="Arial Narrow" w:hAnsi="Arial Narrow" w:cs="Calibri"/>
        </w:rPr>
      </w:pPr>
      <w:r w:rsidRPr="00AB3B90">
        <w:rPr>
          <w:rStyle w:val="normaltextrun"/>
          <w:rFonts w:ascii="Arial Narrow" w:hAnsi="Arial Narrow" w:cs="Calibri"/>
        </w:rPr>
        <w:t>a percentage derived from 75 per cent of the change of the Wage Price Index (WPI) and 25 per cent of the change of the Consumer Price Index (CPI); or</w:t>
      </w:r>
    </w:p>
    <w:p w14:paraId="276C9615" w14:textId="77777777" w:rsidR="00F409FE" w:rsidRPr="00AB3B90" w:rsidRDefault="00F409FE" w:rsidP="00F53577">
      <w:pPr>
        <w:pStyle w:val="paragraph"/>
        <w:numPr>
          <w:ilvl w:val="0"/>
          <w:numId w:val="15"/>
        </w:numPr>
        <w:spacing w:before="0" w:beforeAutospacing="0" w:after="0" w:afterAutospacing="0"/>
        <w:ind w:hanging="357"/>
        <w:textAlignment w:val="baseline"/>
        <w:rPr>
          <w:rStyle w:val="normaltextrun"/>
          <w:rFonts w:ascii="Arial Narrow" w:hAnsi="Arial Narrow" w:cs="Calibri"/>
        </w:rPr>
      </w:pPr>
      <w:r w:rsidRPr="00AB3B90">
        <w:rPr>
          <w:rStyle w:val="normaltextrun"/>
          <w:rFonts w:ascii="Arial Narrow" w:hAnsi="Arial Narrow" w:cs="Calibri"/>
        </w:rPr>
        <w:t>a rate prescribed by the Minister for Education.</w:t>
      </w:r>
    </w:p>
    <w:p w14:paraId="0BC66019" w14:textId="77777777" w:rsidR="00F409FE" w:rsidRPr="00AB3B90" w:rsidRDefault="00F409FE" w:rsidP="00F409FE">
      <w:pPr>
        <w:pStyle w:val="paragraph"/>
        <w:spacing w:before="120" w:beforeAutospacing="0" w:after="120" w:afterAutospacing="0"/>
        <w:textAlignment w:val="baseline"/>
        <w:rPr>
          <w:rFonts w:ascii="Arial Narrow" w:hAnsi="Arial Narrow" w:cs="Segoe UI"/>
        </w:rPr>
      </w:pPr>
      <w:r w:rsidRPr="00AB3B90">
        <w:rPr>
          <w:rStyle w:val="normaltextrun"/>
          <w:rFonts w:ascii="Arial Narrow" w:hAnsi="Arial Narrow" w:cs="Calibri"/>
        </w:rPr>
        <w:t xml:space="preserve">This approach introduced a minimum increase in funding and certainty for schools. It is weighted towards changes in wage costs reflecting that teachers’ and staff salaries are a significant driver of schools' costs. </w:t>
      </w:r>
    </w:p>
    <w:p w14:paraId="546168F6" w14:textId="77777777" w:rsidR="00F409FE" w:rsidRPr="00AB3B90" w:rsidRDefault="00F409FE" w:rsidP="00F409FE">
      <w:pPr>
        <w:pStyle w:val="paragraph"/>
        <w:spacing w:before="120" w:beforeAutospacing="0" w:after="120" w:afterAutospacing="0"/>
        <w:textAlignment w:val="baseline"/>
        <w:rPr>
          <w:rFonts w:ascii="Arial Narrow" w:hAnsi="Arial Narrow" w:cs="Segoe UI"/>
        </w:rPr>
      </w:pPr>
      <w:r w:rsidRPr="00AB3B90">
        <w:rPr>
          <w:rStyle w:val="normaltextrun"/>
          <w:rFonts w:ascii="Arial Narrow" w:hAnsi="Arial Narrow" w:cs="Calibri"/>
        </w:rPr>
        <w:t>Given the current economic climate, it is prudent to review the SRS indexation arrangements to ensure it remains current and appropriate to ensure the effective delivery of school education.</w:t>
      </w:r>
      <w:r w:rsidRPr="00AB3B90">
        <w:rPr>
          <w:rStyle w:val="eop"/>
          <w:rFonts w:ascii="Arial Narrow" w:hAnsi="Arial Narrow" w:cs="Calibri"/>
        </w:rPr>
        <w:t> </w:t>
      </w:r>
    </w:p>
    <w:p w14:paraId="380482F4" w14:textId="77777777" w:rsidR="00F409FE" w:rsidRPr="00AB3B90" w:rsidRDefault="00F409FE" w:rsidP="00F409FE">
      <w:pPr>
        <w:pStyle w:val="paragraph"/>
        <w:spacing w:before="120" w:beforeAutospacing="0" w:after="0" w:afterAutospacing="0"/>
        <w:textAlignment w:val="baseline"/>
        <w:rPr>
          <w:rStyle w:val="normaltextrun"/>
          <w:rFonts w:ascii="Arial Narrow" w:hAnsi="Arial Narrow"/>
          <w:b/>
          <w:bCs/>
        </w:rPr>
      </w:pPr>
      <w:r w:rsidRPr="00AB3B90">
        <w:rPr>
          <w:rStyle w:val="normaltextrun"/>
          <w:rFonts w:ascii="Arial Narrow" w:hAnsi="Arial Narrow" w:cs="Calibri Light"/>
          <w:b/>
          <w:bCs/>
        </w:rPr>
        <w:t>Scope</w:t>
      </w:r>
    </w:p>
    <w:p w14:paraId="20209F76" w14:textId="77777777" w:rsidR="00F409FE" w:rsidRPr="00AB3B90" w:rsidRDefault="00F409FE" w:rsidP="00F409FE">
      <w:pPr>
        <w:pStyle w:val="paragraph"/>
        <w:spacing w:before="120" w:beforeAutospacing="0" w:after="120" w:afterAutospacing="0"/>
        <w:textAlignment w:val="baseline"/>
        <w:rPr>
          <w:rFonts w:ascii="Arial Narrow" w:hAnsi="Arial Narrow"/>
        </w:rPr>
      </w:pPr>
      <w:r w:rsidRPr="00AB3B90">
        <w:rPr>
          <w:rStyle w:val="normaltextrun"/>
          <w:rFonts w:ascii="Arial Narrow" w:hAnsi="Arial Narrow" w:cs="Calibri"/>
        </w:rPr>
        <w:t>The Review will consider and provide advice on:</w:t>
      </w:r>
      <w:r w:rsidRPr="00AB3B90">
        <w:rPr>
          <w:rStyle w:val="eop"/>
          <w:rFonts w:ascii="Arial Narrow" w:hAnsi="Arial Narrow" w:cs="Calibri"/>
        </w:rPr>
        <w:t> </w:t>
      </w:r>
    </w:p>
    <w:p w14:paraId="1E923D06" w14:textId="77777777" w:rsidR="00F409FE" w:rsidRPr="00AB3B90" w:rsidRDefault="00F409FE" w:rsidP="00F53577">
      <w:pPr>
        <w:pStyle w:val="paragraph"/>
        <w:numPr>
          <w:ilvl w:val="0"/>
          <w:numId w:val="16"/>
        </w:numPr>
        <w:spacing w:before="120" w:beforeAutospacing="0" w:after="120" w:afterAutospacing="0"/>
        <w:textAlignment w:val="baseline"/>
        <w:rPr>
          <w:rFonts w:ascii="Arial Narrow" w:hAnsi="Arial Narrow" w:cs="Calibri"/>
        </w:rPr>
      </w:pPr>
      <w:r w:rsidRPr="00AB3B90">
        <w:rPr>
          <w:rStyle w:val="normaltextrun"/>
          <w:rFonts w:ascii="Arial Narrow" w:hAnsi="Arial Narrow" w:cs="Calibri"/>
        </w:rPr>
        <w:t xml:space="preserve">The </w:t>
      </w:r>
      <w:r w:rsidRPr="00AB3B90">
        <w:rPr>
          <w:rStyle w:val="normaltextrun"/>
          <w:rFonts w:ascii="Arial Narrow" w:hAnsi="Arial Narrow" w:cs="Calibri"/>
          <w:b/>
          <w:bCs/>
        </w:rPr>
        <w:t>appropriateness of current SRS indexation arrangements,</w:t>
      </w:r>
      <w:r w:rsidRPr="00AB3B90">
        <w:rPr>
          <w:rStyle w:val="normaltextrun"/>
          <w:rFonts w:ascii="Arial Narrow" w:hAnsi="Arial Narrow" w:cs="Calibri"/>
        </w:rPr>
        <w:t xml:space="preserve"> including whether the operation of the SRS indexation arrangements has kept pace with average schooling cost increases since 2018. </w:t>
      </w:r>
    </w:p>
    <w:p w14:paraId="6B3BC9C5" w14:textId="77777777" w:rsidR="00F409FE" w:rsidRPr="00AB3B90" w:rsidRDefault="00F409FE" w:rsidP="00F53577">
      <w:pPr>
        <w:pStyle w:val="paragraph"/>
        <w:numPr>
          <w:ilvl w:val="0"/>
          <w:numId w:val="16"/>
        </w:numPr>
        <w:spacing w:before="120" w:beforeAutospacing="0" w:after="120" w:afterAutospacing="0"/>
        <w:textAlignment w:val="baseline"/>
        <w:rPr>
          <w:rFonts w:ascii="Arial Narrow" w:hAnsi="Arial Narrow" w:cs="Calibri"/>
        </w:rPr>
      </w:pPr>
      <w:r w:rsidRPr="00AB3B90">
        <w:rPr>
          <w:rStyle w:val="normaltextrun"/>
          <w:rFonts w:ascii="Arial Narrow" w:hAnsi="Arial Narrow" w:cs="Calibri"/>
        </w:rPr>
        <w:t xml:space="preserve">The </w:t>
      </w:r>
      <w:r w:rsidRPr="00AB3B90">
        <w:rPr>
          <w:rStyle w:val="normaltextrun"/>
          <w:rFonts w:ascii="Arial Narrow" w:hAnsi="Arial Narrow" w:cs="Calibri"/>
          <w:b/>
          <w:bCs/>
        </w:rPr>
        <w:t>suitability of the current SRS indexation floor</w:t>
      </w:r>
      <w:r w:rsidRPr="00AB3B90">
        <w:rPr>
          <w:rStyle w:val="normaltextrun"/>
          <w:rFonts w:ascii="Arial Narrow" w:hAnsi="Arial Narrow" w:cs="Calibri"/>
        </w:rPr>
        <w:t xml:space="preserve"> of 3 per cent.</w:t>
      </w:r>
    </w:p>
    <w:p w14:paraId="6FB88C6A" w14:textId="77777777" w:rsidR="00F409FE" w:rsidRPr="00AB3B90" w:rsidRDefault="00F409FE" w:rsidP="00F53577">
      <w:pPr>
        <w:pStyle w:val="paragraph"/>
        <w:numPr>
          <w:ilvl w:val="0"/>
          <w:numId w:val="16"/>
        </w:numPr>
        <w:spacing w:before="120" w:beforeAutospacing="0" w:after="120" w:afterAutospacing="0"/>
        <w:textAlignment w:val="baseline"/>
        <w:rPr>
          <w:rStyle w:val="eop"/>
          <w:rFonts w:ascii="Arial Narrow" w:hAnsi="Arial Narrow" w:cstheme="minorHAnsi"/>
        </w:rPr>
      </w:pPr>
      <w:r w:rsidRPr="00AB3B90">
        <w:rPr>
          <w:rFonts w:ascii="Arial Narrow" w:hAnsi="Arial Narrow" w:cstheme="minorHAnsi"/>
        </w:rPr>
        <w:t xml:space="preserve">The </w:t>
      </w:r>
      <w:r w:rsidRPr="00AB3B90">
        <w:rPr>
          <w:rFonts w:ascii="Arial Narrow" w:hAnsi="Arial Narrow" w:cstheme="minorHAnsi"/>
          <w:b/>
          <w:bCs/>
        </w:rPr>
        <w:t>appropriateness of the composite index</w:t>
      </w:r>
      <w:r w:rsidRPr="00AB3B90">
        <w:rPr>
          <w:rFonts w:ascii="Arial Narrow" w:hAnsi="Arial Narrow" w:cstheme="minorHAnsi"/>
        </w:rPr>
        <w:t>, including its structure, weighting and possible alternatives to the current composite index – currently set as 75 per cent Wage Price Index and 25 per cent Consumer Price Index.</w:t>
      </w:r>
    </w:p>
    <w:p w14:paraId="15EFB679" w14:textId="77777777" w:rsidR="00F409FE" w:rsidRPr="00AB3B90" w:rsidRDefault="00F409FE" w:rsidP="00F53577">
      <w:pPr>
        <w:pStyle w:val="paragraph"/>
        <w:numPr>
          <w:ilvl w:val="0"/>
          <w:numId w:val="16"/>
        </w:numPr>
        <w:spacing w:after="0"/>
        <w:textAlignment w:val="baseline"/>
        <w:rPr>
          <w:rStyle w:val="eop"/>
          <w:rFonts w:ascii="Arial Narrow" w:hAnsi="Arial Narrow" w:cs="Calibri"/>
        </w:rPr>
      </w:pPr>
      <w:r w:rsidRPr="00AB3B90">
        <w:rPr>
          <w:rStyle w:val="eop"/>
          <w:rFonts w:ascii="Arial Narrow" w:hAnsi="Arial Narrow" w:cs="Calibri"/>
        </w:rPr>
        <w:t xml:space="preserve">The </w:t>
      </w:r>
      <w:r w:rsidRPr="00AB3B90">
        <w:rPr>
          <w:rStyle w:val="eop"/>
          <w:rFonts w:ascii="Arial Narrow" w:hAnsi="Arial Narrow" w:cs="Calibri"/>
          <w:b/>
          <w:bCs/>
        </w:rPr>
        <w:t>timing of SRS indexation</w:t>
      </w:r>
      <w:r w:rsidRPr="00AB3B90">
        <w:rPr>
          <w:rStyle w:val="eop"/>
          <w:rFonts w:ascii="Arial Narrow" w:hAnsi="Arial Narrow" w:cs="Calibri"/>
        </w:rPr>
        <w:t xml:space="preserve"> rates, </w:t>
      </w:r>
      <w:proofErr w:type="gramStart"/>
      <w:r w:rsidRPr="00AB3B90">
        <w:rPr>
          <w:rStyle w:val="eop"/>
          <w:rFonts w:ascii="Arial Narrow" w:hAnsi="Arial Narrow" w:cs="Calibri"/>
        </w:rPr>
        <w:t>including;</w:t>
      </w:r>
      <w:proofErr w:type="gramEnd"/>
    </w:p>
    <w:p w14:paraId="2837EC17" w14:textId="77777777" w:rsidR="00F409FE" w:rsidRPr="00AB3B90" w:rsidRDefault="00F409FE" w:rsidP="00F53577">
      <w:pPr>
        <w:pStyle w:val="paragraph"/>
        <w:numPr>
          <w:ilvl w:val="1"/>
          <w:numId w:val="16"/>
        </w:numPr>
        <w:spacing w:after="0"/>
        <w:textAlignment w:val="baseline"/>
        <w:rPr>
          <w:rStyle w:val="eop"/>
          <w:rFonts w:ascii="Arial Narrow" w:hAnsi="Arial Narrow" w:cs="Calibri"/>
        </w:rPr>
      </w:pPr>
      <w:r w:rsidRPr="00AB3B90">
        <w:rPr>
          <w:rStyle w:val="eop"/>
          <w:rFonts w:ascii="Arial Narrow" w:hAnsi="Arial Narrow" w:cs="Calibri"/>
        </w:rPr>
        <w:t>the reference period for source WPI and CPI data,</w:t>
      </w:r>
    </w:p>
    <w:p w14:paraId="046907AD" w14:textId="77777777" w:rsidR="00F409FE" w:rsidRPr="00AB3B90" w:rsidRDefault="00F409FE" w:rsidP="00F53577">
      <w:pPr>
        <w:pStyle w:val="paragraph"/>
        <w:numPr>
          <w:ilvl w:val="1"/>
          <w:numId w:val="16"/>
        </w:numPr>
        <w:spacing w:after="0"/>
        <w:textAlignment w:val="baseline"/>
        <w:rPr>
          <w:rFonts w:ascii="Arial Narrow" w:hAnsi="Arial Narrow" w:cs="Calibri"/>
        </w:rPr>
      </w:pPr>
      <w:r w:rsidRPr="00AB3B90">
        <w:rPr>
          <w:rStyle w:val="eop"/>
          <w:rFonts w:ascii="Arial Narrow" w:hAnsi="Arial Narrow" w:cs="Calibri"/>
        </w:rPr>
        <w:t>the date at which the indexation rate is confirmed for the school year, and its impact on systems and schools’ ability to effectively budget.</w:t>
      </w:r>
    </w:p>
    <w:p w14:paraId="4C5818BE" w14:textId="77777777" w:rsidR="00F409FE" w:rsidRPr="00AB3B90" w:rsidRDefault="00F409FE" w:rsidP="00F409FE">
      <w:pPr>
        <w:pStyle w:val="paragraph"/>
        <w:spacing w:before="120" w:beforeAutospacing="0" w:after="120" w:afterAutospacing="0"/>
        <w:textAlignment w:val="baseline"/>
        <w:rPr>
          <w:rStyle w:val="normaltextrun"/>
          <w:rFonts w:ascii="Arial Narrow" w:hAnsi="Arial Narrow" w:cs="Calibri"/>
        </w:rPr>
        <w:sectPr w:rsidR="00F409FE" w:rsidRPr="00AB3B90" w:rsidSect="00DA031A">
          <w:pgSz w:w="11906" w:h="16838"/>
          <w:pgMar w:top="1440" w:right="1440" w:bottom="1440" w:left="1440" w:header="709" w:footer="709" w:gutter="0"/>
          <w:cols w:space="708"/>
          <w:docGrid w:linePitch="360"/>
        </w:sectPr>
      </w:pPr>
      <w:r w:rsidRPr="00AB3B90">
        <w:rPr>
          <w:rStyle w:val="normaltextrun"/>
          <w:rFonts w:ascii="Arial Narrow" w:hAnsi="Arial Narrow" w:cs="Calibri"/>
        </w:rPr>
        <w:t>In providing this advice, the Board will engage closely with State and Territory Governments and their relevant departments as well as the non-government sector. This includes seeking financial data to support the Review as required.</w:t>
      </w:r>
    </w:p>
    <w:p w14:paraId="7CC14327" w14:textId="77777777" w:rsidR="00F409FE" w:rsidRPr="00AB3B90" w:rsidRDefault="00F409FE" w:rsidP="00F409FE">
      <w:pPr>
        <w:pStyle w:val="paragraph"/>
        <w:spacing w:before="120" w:beforeAutospacing="0" w:after="0" w:afterAutospacing="0"/>
        <w:textAlignment w:val="baseline"/>
        <w:rPr>
          <w:rStyle w:val="normaltextrun"/>
          <w:rFonts w:ascii="Arial Narrow" w:hAnsi="Arial Narrow" w:cs="Calibri Light"/>
          <w:b/>
          <w:bCs/>
        </w:rPr>
      </w:pPr>
      <w:r w:rsidRPr="00AB3B90">
        <w:rPr>
          <w:rStyle w:val="normaltextrun"/>
          <w:rFonts w:ascii="Arial Narrow" w:hAnsi="Arial Narrow" w:cs="Calibri Light"/>
          <w:b/>
          <w:bCs/>
        </w:rPr>
        <w:t>Timing </w:t>
      </w:r>
      <w:r w:rsidRPr="00AB3B90">
        <w:rPr>
          <w:rStyle w:val="normaltextrun"/>
          <w:rFonts w:ascii="Arial Narrow" w:hAnsi="Arial Narrow"/>
        </w:rPr>
        <w:t> </w:t>
      </w:r>
    </w:p>
    <w:p w14:paraId="1D3A39F0" w14:textId="77777777" w:rsidR="00F409FE" w:rsidRPr="00AB3B90" w:rsidRDefault="00F409FE" w:rsidP="00F409FE">
      <w:pPr>
        <w:pStyle w:val="paragraph"/>
        <w:spacing w:before="120" w:beforeAutospacing="0" w:after="120" w:afterAutospacing="0"/>
        <w:textAlignment w:val="baseline"/>
        <w:rPr>
          <w:rStyle w:val="eop"/>
          <w:rFonts w:ascii="Arial Narrow" w:hAnsi="Arial Narrow" w:cs="Calibri"/>
        </w:rPr>
      </w:pPr>
      <w:r w:rsidRPr="00AB3B90">
        <w:rPr>
          <w:rStyle w:val="normaltextrun"/>
          <w:rFonts w:ascii="Arial Narrow" w:hAnsi="Arial Narrow" w:cs="Calibri"/>
        </w:rPr>
        <w:t>The Board will provide its final report to the Australian Government Minister for Education by</w:t>
      </w:r>
      <w:r w:rsidRPr="00AB3B90" w:rsidDel="0060454B">
        <w:rPr>
          <w:rStyle w:val="normaltextrun"/>
          <w:rFonts w:ascii="Arial Narrow" w:hAnsi="Arial Narrow" w:cs="Calibri"/>
        </w:rPr>
        <w:t xml:space="preserve"> </w:t>
      </w:r>
      <w:r w:rsidRPr="00AB3B90">
        <w:rPr>
          <w:rStyle w:val="normaltextrun"/>
          <w:rFonts w:ascii="Arial Narrow" w:hAnsi="Arial Narrow" w:cs="Calibri"/>
        </w:rPr>
        <w:t>28 March 2024.</w:t>
      </w:r>
      <w:r w:rsidRPr="00AB3B90">
        <w:rPr>
          <w:rStyle w:val="eop"/>
          <w:rFonts w:ascii="Arial Narrow" w:hAnsi="Arial Narrow" w:cs="Calibri"/>
        </w:rPr>
        <w:t xml:space="preserve"> The Minister will share the report with Education Ministers and non-government peak bodies within 5 business days of receiving the </w:t>
      </w:r>
      <w:proofErr w:type="gramStart"/>
      <w:r w:rsidRPr="00AB3B90">
        <w:rPr>
          <w:rStyle w:val="eop"/>
          <w:rFonts w:ascii="Arial Narrow" w:hAnsi="Arial Narrow" w:cs="Calibri"/>
        </w:rPr>
        <w:t>report, and</w:t>
      </w:r>
      <w:proofErr w:type="gramEnd"/>
      <w:r w:rsidRPr="00AB3B90">
        <w:rPr>
          <w:rStyle w:val="eop"/>
          <w:rFonts w:ascii="Arial Narrow" w:hAnsi="Arial Narrow" w:cs="Calibri"/>
        </w:rPr>
        <w:t xml:space="preserve"> will invite the Chair of the Board to present the final report to the Education Ministers Meeting.</w:t>
      </w:r>
    </w:p>
    <w:p w14:paraId="4DE9F269" w14:textId="78DB814D" w:rsidR="003656F7" w:rsidRPr="00AB3B90" w:rsidRDefault="003656F7" w:rsidP="003656F7">
      <w:r w:rsidRPr="00AB3B90">
        <w:br w:type="page"/>
      </w:r>
    </w:p>
    <w:p w14:paraId="16470A1E" w14:textId="093750F3" w:rsidR="0085768B" w:rsidRPr="00AB3B90" w:rsidRDefault="0085768B" w:rsidP="0085768B">
      <w:pPr>
        <w:pStyle w:val="Heading1"/>
      </w:pPr>
      <w:bookmarkStart w:id="161" w:name="_Toc71021818"/>
      <w:bookmarkStart w:id="162" w:name="_Toc163650455"/>
      <w:r w:rsidRPr="00AB3B90">
        <w:t>Appendix B – Review process</w:t>
      </w:r>
      <w:bookmarkEnd w:id="153"/>
      <w:bookmarkEnd w:id="154"/>
      <w:bookmarkEnd w:id="155"/>
      <w:bookmarkEnd w:id="156"/>
      <w:bookmarkEnd w:id="161"/>
      <w:bookmarkEnd w:id="162"/>
      <w:r w:rsidRPr="00AB3B90">
        <w:t xml:space="preserve">  </w:t>
      </w:r>
    </w:p>
    <w:p w14:paraId="2B76DF50" w14:textId="0FB7A6BF" w:rsidR="006D13B0" w:rsidRPr="00AB3B90" w:rsidRDefault="00D05D86" w:rsidP="5144F2C5">
      <w:r w:rsidRPr="00AB3B90">
        <w:t xml:space="preserve">On </w:t>
      </w:r>
      <w:r w:rsidR="00E36375" w:rsidRPr="00AB3B90">
        <w:t>1 February 2024</w:t>
      </w:r>
      <w:r w:rsidRPr="00AB3B90">
        <w:t xml:space="preserve"> date, the Hon Jason Clare MP, Australian Government Minister for Education commissioned the</w:t>
      </w:r>
      <w:r w:rsidR="00E36375" w:rsidRPr="00AB3B90">
        <w:t xml:space="preserve"> Board to undertake the Review of the Schooling Resource Standard (SRS) indexation arrangements. </w:t>
      </w:r>
      <w:r w:rsidRPr="00AB3B90">
        <w:t xml:space="preserve"> </w:t>
      </w:r>
    </w:p>
    <w:p w14:paraId="631344D5" w14:textId="4461E585" w:rsidR="00E36375" w:rsidRPr="00AB3B90" w:rsidRDefault="0D3CE1FB" w:rsidP="5144F2C5">
      <w:r w:rsidRPr="00AB3B90">
        <w:t xml:space="preserve">The Board </w:t>
      </w:r>
      <w:r w:rsidR="0052B9DE" w:rsidRPr="00AB3B90">
        <w:t>commissioned Deloitte</w:t>
      </w:r>
      <w:r w:rsidR="009F66CD">
        <w:t xml:space="preserve"> Access Economics</w:t>
      </w:r>
      <w:r w:rsidR="0052B9DE" w:rsidRPr="00AB3B90">
        <w:t xml:space="preserve"> to provide an independent assessment of the current indexation arrangements, </w:t>
      </w:r>
      <w:r w:rsidRPr="00AB3B90">
        <w:t xml:space="preserve">undertook consultations in response to an </w:t>
      </w:r>
      <w:r w:rsidR="2F3ED597" w:rsidRPr="00AB3B90">
        <w:t>Issues Paper</w:t>
      </w:r>
      <w:r w:rsidRPr="00AB3B90">
        <w:t>, met with stakeholders</w:t>
      </w:r>
      <w:r w:rsidR="0CEB57DB" w:rsidRPr="00AB3B90">
        <w:t xml:space="preserve"> and </w:t>
      </w:r>
      <w:r w:rsidRPr="00AB3B90">
        <w:t>accept</w:t>
      </w:r>
      <w:r w:rsidR="5DB2C083" w:rsidRPr="00AB3B90">
        <w:t>ed</w:t>
      </w:r>
      <w:r w:rsidRPr="00AB3B90">
        <w:t xml:space="preserve"> </w:t>
      </w:r>
      <w:r w:rsidR="68CB495C" w:rsidRPr="00AB3B90">
        <w:t xml:space="preserve">their </w:t>
      </w:r>
      <w:r w:rsidRPr="00AB3B90">
        <w:t>submissions</w:t>
      </w:r>
      <w:r w:rsidR="2C956F88" w:rsidRPr="00AB3B90">
        <w:t>,</w:t>
      </w:r>
      <w:r w:rsidR="69DD1120" w:rsidRPr="00AB3B90">
        <w:t xml:space="preserve"> and provided stakeholders the opportunity to provide feedback on the draft report.</w:t>
      </w:r>
    </w:p>
    <w:p w14:paraId="0C292317" w14:textId="303D6C09" w:rsidR="00E36375" w:rsidRPr="00AB3B90" w:rsidRDefault="00E36375" w:rsidP="5144F2C5">
      <w:r w:rsidRPr="00AB3B90">
        <w:t xml:space="preserve">The Board considered the range of experiences, ideas and insights </w:t>
      </w:r>
      <w:r w:rsidR="00195916" w:rsidRPr="00AB3B90">
        <w:t>raised</w:t>
      </w:r>
      <w:r w:rsidRPr="00AB3B90">
        <w:t xml:space="preserve"> by stakeholders through the</w:t>
      </w:r>
      <w:r w:rsidR="00195916" w:rsidRPr="00AB3B90">
        <w:t>ir</w:t>
      </w:r>
      <w:r w:rsidRPr="00AB3B90">
        <w:t xml:space="preserve"> submissions and </w:t>
      </w:r>
      <w:r w:rsidR="00195916" w:rsidRPr="00AB3B90">
        <w:t xml:space="preserve">the </w:t>
      </w:r>
      <w:r w:rsidRPr="00AB3B90">
        <w:t>consultation process.</w:t>
      </w:r>
    </w:p>
    <w:p w14:paraId="6CA87F18" w14:textId="248D3DB7" w:rsidR="4966D552" w:rsidRPr="00AB3B90" w:rsidRDefault="00D05D86" w:rsidP="5144F2C5">
      <w:pPr>
        <w:rPr>
          <w:b/>
          <w:bCs/>
        </w:rPr>
      </w:pPr>
      <w:r w:rsidRPr="00AB3B90">
        <w:rPr>
          <w:b/>
          <w:bCs/>
        </w:rPr>
        <w:t>National School Resourcing Board members</w:t>
      </w:r>
    </w:p>
    <w:p w14:paraId="39CCAC85" w14:textId="77777777" w:rsidR="00AD62B4" w:rsidRPr="00AB3B90" w:rsidRDefault="02BAA2AB" w:rsidP="00AD62B4">
      <w:pPr>
        <w:pStyle w:val="Copyright"/>
        <w:rPr>
          <w:rFonts w:asciiTheme="minorHAnsi" w:hAnsiTheme="minorHAnsi"/>
          <w:sz w:val="22"/>
        </w:rPr>
      </w:pPr>
      <w:r w:rsidRPr="00AB3B90">
        <w:t>Professor Bronwyn Fredericks (Chair)</w:t>
      </w:r>
      <w:r w:rsidR="00D05D86" w:rsidRPr="00AB3B90">
        <w:br/>
      </w:r>
      <w:r w:rsidRPr="00AB3B90">
        <w:t>Professor Janet Clinton</w:t>
      </w:r>
      <w:r w:rsidR="00D05D86" w:rsidRPr="00AB3B90">
        <w:br/>
      </w:r>
      <w:r w:rsidRPr="00AB3B90">
        <w:t>Ms Valerie Gould</w:t>
      </w:r>
      <w:r w:rsidR="00D05D86" w:rsidRPr="00AB3B90">
        <w:br/>
      </w:r>
      <w:r w:rsidRPr="00AB3B90">
        <w:t>Professor Andrew Whitehouse</w:t>
      </w:r>
      <w:r w:rsidR="00D05D86" w:rsidRPr="00AB3B90">
        <w:br/>
      </w:r>
      <w:r w:rsidRPr="00AB3B90">
        <w:t>Professor John Firth</w:t>
      </w:r>
      <w:r w:rsidR="00D05D86" w:rsidRPr="00AB3B90">
        <w:br/>
      </w:r>
      <w:r w:rsidR="00AD62B4" w:rsidRPr="00AB3B90">
        <w:rPr>
          <w:rFonts w:asciiTheme="minorHAnsi" w:hAnsiTheme="minorHAnsi"/>
          <w:sz w:val="22"/>
        </w:rPr>
        <w:t xml:space="preserve">Professor Lee Anne Perry AM </w:t>
      </w:r>
      <w:r w:rsidR="00AD62B4" w:rsidRPr="00AB3B90">
        <w:rPr>
          <w:rFonts w:ascii="Calibri" w:eastAsia="Calibri" w:hAnsi="Calibri" w:cs="Calibri"/>
          <w:sz w:val="22"/>
        </w:rPr>
        <w:t xml:space="preserve">was appointed on 15 March 2024 and assisted with the finalisation of this review. </w:t>
      </w:r>
      <w:r w:rsidR="00AD62B4">
        <w:rPr>
          <w:rFonts w:ascii="Calibri" w:eastAsia="Calibri" w:hAnsi="Calibri" w:cs="Calibri"/>
          <w:sz w:val="22"/>
        </w:rPr>
        <w:br/>
      </w:r>
      <w:r w:rsidR="00AD62B4" w:rsidRPr="00AB3B90">
        <w:rPr>
          <w:rFonts w:asciiTheme="minorHAnsi" w:hAnsiTheme="minorHAnsi"/>
          <w:sz w:val="22"/>
        </w:rPr>
        <w:t xml:space="preserve">Professor Elizabeth </w:t>
      </w:r>
      <w:proofErr w:type="spellStart"/>
      <w:r w:rsidR="00AD62B4" w:rsidRPr="00AB3B90">
        <w:rPr>
          <w:rFonts w:asciiTheme="minorHAnsi" w:hAnsiTheme="minorHAnsi"/>
          <w:sz w:val="22"/>
        </w:rPr>
        <w:t>Labone</w:t>
      </w:r>
      <w:proofErr w:type="spellEnd"/>
      <w:r w:rsidR="00AD62B4" w:rsidRPr="00AB3B90">
        <w:rPr>
          <w:rFonts w:asciiTheme="minorHAnsi" w:hAnsiTheme="minorHAnsi"/>
          <w:sz w:val="22"/>
        </w:rPr>
        <w:t>, who resigned on 6 March 2024, also contributed to this review.</w:t>
      </w:r>
    </w:p>
    <w:p w14:paraId="357B6FE4" w14:textId="77777777" w:rsidR="00B20927" w:rsidRPr="00AB3B90" w:rsidRDefault="00B20927" w:rsidP="00AD62B4">
      <w:pPr>
        <w:pStyle w:val="Copyright"/>
      </w:pPr>
    </w:p>
    <w:p w14:paraId="0A718945" w14:textId="77777777" w:rsidR="32AFCACB" w:rsidRPr="00AB3B90" w:rsidRDefault="32AFCACB" w:rsidP="5144F2C5">
      <w:r w:rsidRPr="00AB3B90">
        <w:rPr>
          <w:b/>
          <w:bCs/>
        </w:rPr>
        <w:t>Secretariat</w:t>
      </w:r>
    </w:p>
    <w:p w14:paraId="1072DC3B" w14:textId="5EDCB162" w:rsidR="004E2BBD" w:rsidRPr="00AB3B90" w:rsidRDefault="4166341E" w:rsidP="004E2BBD">
      <w:r w:rsidRPr="00AB3B90">
        <w:t xml:space="preserve">A </w:t>
      </w:r>
      <w:r w:rsidR="0CFCBE66" w:rsidRPr="00AB3B90">
        <w:t>s</w:t>
      </w:r>
      <w:r w:rsidRPr="00AB3B90">
        <w:t xml:space="preserve">ecretariat from the Australian Government Department of </w:t>
      </w:r>
      <w:r w:rsidR="6C7CFD93" w:rsidRPr="00AB3B90">
        <w:t xml:space="preserve">Education </w:t>
      </w:r>
      <w:r w:rsidRPr="00AB3B90">
        <w:t xml:space="preserve">supported the Board in the conduct of its business and the review process. The Secretariat operated independently of the </w:t>
      </w:r>
      <w:r w:rsidR="44B3A7A9" w:rsidRPr="00AB3B90">
        <w:t>department</w:t>
      </w:r>
      <w:r w:rsidRPr="00AB3B90">
        <w:t xml:space="preserve"> and reported directly to the Cha</w:t>
      </w:r>
      <w:r w:rsidR="04A8848D" w:rsidRPr="00AB3B90">
        <w:t>ir.</w:t>
      </w:r>
      <w:r w:rsidR="02BAA2AB" w:rsidRPr="00AB3B90">
        <w:t xml:space="preserve"> The members of the Secretariat were:</w:t>
      </w:r>
    </w:p>
    <w:p w14:paraId="3DF01BEC" w14:textId="53CAB397" w:rsidR="003869B5" w:rsidRPr="00AB3B90" w:rsidRDefault="003869B5" w:rsidP="004E2BBD">
      <w:r w:rsidRPr="00AB3B90">
        <w:t>Ms Emma Freeman, Director</w:t>
      </w:r>
      <w:r w:rsidRPr="00AB3B90">
        <w:br/>
        <w:t>Ms Pon Chaleune, Assistant Director</w:t>
      </w:r>
      <w:r w:rsidRPr="00AB3B90">
        <w:br/>
      </w:r>
      <w:r w:rsidR="00E36375" w:rsidRPr="00AB3B90">
        <w:t>Dr June Fan, Assistant Director</w:t>
      </w:r>
      <w:r w:rsidR="00E36375" w:rsidRPr="00AB3B90">
        <w:br/>
      </w:r>
      <w:r w:rsidRPr="00AB3B90">
        <w:t>Ms Jean</w:t>
      </w:r>
      <w:r w:rsidR="00E36375" w:rsidRPr="00AB3B90">
        <w:t>ie</w:t>
      </w:r>
      <w:r w:rsidRPr="00AB3B90">
        <w:t xml:space="preserve"> Mackinder, Assistant Director</w:t>
      </w:r>
      <w:r w:rsidRPr="00AB3B90">
        <w:br/>
        <w:t xml:space="preserve">Ms Rachel Howe, </w:t>
      </w:r>
      <w:r w:rsidR="00D05D86" w:rsidRPr="00AB3B90">
        <w:t>Policy Officer</w:t>
      </w:r>
    </w:p>
    <w:p w14:paraId="5800D542" w14:textId="77777777" w:rsidR="00C24FE8" w:rsidRPr="00AB3B90" w:rsidRDefault="00C24FE8">
      <w:pPr>
        <w:spacing w:before="0" w:after="160"/>
        <w:rPr>
          <w:rFonts w:eastAsiaTheme="majorEastAsia" w:cstheme="majorBidi"/>
          <w:color w:val="0F294C"/>
          <w:sz w:val="60"/>
          <w:szCs w:val="32"/>
        </w:rPr>
      </w:pPr>
      <w:bookmarkStart w:id="163" w:name="_Ref66348106"/>
      <w:bookmarkStart w:id="164" w:name="_Toc71021819"/>
      <w:r w:rsidRPr="00AB3B90">
        <w:br w:type="page"/>
      </w:r>
    </w:p>
    <w:p w14:paraId="26AB6826" w14:textId="671C326D" w:rsidR="008B2C16" w:rsidRPr="00AB3B90" w:rsidRDefault="008B2C16" w:rsidP="0085768B">
      <w:pPr>
        <w:pStyle w:val="Heading1"/>
      </w:pPr>
      <w:bookmarkStart w:id="165" w:name="_Ref161150438"/>
      <w:bookmarkStart w:id="166" w:name="_Ref161150507"/>
      <w:bookmarkStart w:id="167" w:name="_Ref161150532"/>
      <w:bookmarkStart w:id="168" w:name="_Ref161150540"/>
      <w:bookmarkStart w:id="169" w:name="_Toc163650456"/>
      <w:r w:rsidRPr="00AB3B90">
        <w:t>Appendix C – Issues Paper</w:t>
      </w:r>
      <w:bookmarkEnd w:id="165"/>
      <w:bookmarkEnd w:id="166"/>
      <w:bookmarkEnd w:id="167"/>
      <w:bookmarkEnd w:id="168"/>
      <w:bookmarkEnd w:id="169"/>
    </w:p>
    <w:p w14:paraId="6125E82C" w14:textId="75461282" w:rsidR="008B2C16" w:rsidRPr="00AB3B90" w:rsidRDefault="00331740" w:rsidP="008B2C16">
      <w:r w:rsidRPr="00AB3B90">
        <w:rPr>
          <w:noProof/>
        </w:rPr>
        <w:drawing>
          <wp:inline distT="0" distB="0" distL="0" distR="0" wp14:anchorId="1C410668" wp14:editId="135909BE">
            <wp:extent cx="5731510" cy="8178800"/>
            <wp:effectExtent l="0" t="0" r="2540" b="0"/>
            <wp:docPr id="1850793460" name="Picture 1" descr="Appendix C includes a screen shot of the Issues Paper available https://www.education.gov.au/national-school-resourcing-board/resources/national-school-resourcing-boards-review-schooling-resource-standard-indexation-arrangements-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793460" name="Picture 1" descr="Appendix C includes a screen shot of the Issues Paper available https://www.education.gov.au/national-school-resourcing-board/resources/national-school-resourcing-boards-review-schooling-resource-standard-indexation-arrangements-issues."/>
                    <pic:cNvPicPr/>
                  </pic:nvPicPr>
                  <pic:blipFill>
                    <a:blip r:embed="rId55"/>
                    <a:stretch>
                      <a:fillRect/>
                    </a:stretch>
                  </pic:blipFill>
                  <pic:spPr>
                    <a:xfrm>
                      <a:off x="0" y="0"/>
                      <a:ext cx="5731510" cy="8178800"/>
                    </a:xfrm>
                    <a:prstGeom prst="rect">
                      <a:avLst/>
                    </a:prstGeom>
                  </pic:spPr>
                </pic:pic>
              </a:graphicData>
            </a:graphic>
          </wp:inline>
        </w:drawing>
      </w:r>
    </w:p>
    <w:p w14:paraId="758C9F0C" w14:textId="77777777" w:rsidR="004A1B34" w:rsidRPr="00AB3B90" w:rsidRDefault="004A1B34" w:rsidP="008B2C16"/>
    <w:p w14:paraId="5EC1A2A1" w14:textId="37E84E27" w:rsidR="004A1B34" w:rsidRPr="00AB3B90" w:rsidRDefault="000C3DD9" w:rsidP="008B2C16">
      <w:r w:rsidRPr="00AB3B90">
        <w:rPr>
          <w:noProof/>
        </w:rPr>
        <w:drawing>
          <wp:inline distT="0" distB="0" distL="0" distR="0" wp14:anchorId="11C3A05E" wp14:editId="3BA83076">
            <wp:extent cx="5731510" cy="8108315"/>
            <wp:effectExtent l="0" t="0" r="2540" b="6985"/>
            <wp:docPr id="257745638" name="Picture 1" descr="Appendix C includes a screen shot of the Issues Paper available https://www.education.gov.au/national-school-resourcing-board/resources/national-school-resourcing-boards-review-schooling-resource-standard-indexation-arrangements-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45638" name="Picture 1" descr="Appendix C includes a screen shot of the Issues Paper available https://www.education.gov.au/national-school-resourcing-board/resources/national-school-resourcing-boards-review-schooling-resource-standard-indexation-arrangements-issues."/>
                    <pic:cNvPicPr/>
                  </pic:nvPicPr>
                  <pic:blipFill>
                    <a:blip r:embed="rId56"/>
                    <a:stretch>
                      <a:fillRect/>
                    </a:stretch>
                  </pic:blipFill>
                  <pic:spPr>
                    <a:xfrm>
                      <a:off x="0" y="0"/>
                      <a:ext cx="5731510" cy="8108315"/>
                    </a:xfrm>
                    <a:prstGeom prst="rect">
                      <a:avLst/>
                    </a:prstGeom>
                  </pic:spPr>
                </pic:pic>
              </a:graphicData>
            </a:graphic>
          </wp:inline>
        </w:drawing>
      </w:r>
    </w:p>
    <w:p w14:paraId="7A77F6C3" w14:textId="77777777" w:rsidR="00734734" w:rsidRPr="00AB3B90" w:rsidRDefault="00734734" w:rsidP="008B2C16"/>
    <w:p w14:paraId="6E6B997B" w14:textId="77777777" w:rsidR="00734734" w:rsidRPr="00AB3B90" w:rsidRDefault="00734734" w:rsidP="008B2C16"/>
    <w:p w14:paraId="6949CE0A" w14:textId="77777777" w:rsidR="00734734" w:rsidRPr="00AB3B90" w:rsidRDefault="00734734" w:rsidP="008B2C16"/>
    <w:p w14:paraId="2945211B" w14:textId="73E91B64" w:rsidR="00124D68" w:rsidRPr="00AB3B90" w:rsidRDefault="00065BCE" w:rsidP="008B2C16">
      <w:r w:rsidRPr="00AB3B90">
        <w:rPr>
          <w:noProof/>
        </w:rPr>
        <w:drawing>
          <wp:inline distT="0" distB="0" distL="0" distR="0" wp14:anchorId="6E8428FD" wp14:editId="50BC001D">
            <wp:extent cx="5731510" cy="8084185"/>
            <wp:effectExtent l="0" t="0" r="2540" b="0"/>
            <wp:docPr id="473648521" name="Picture 1" descr="Appendix C includes a screen shot of the Issues Paper available https://www.education.gov.au/national-school-resourcing-board/resources/national-school-resourcing-boards-review-schooling-resource-standard-indexation-arrangements-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48521" name="Picture 1" descr="Appendix C includes a screen shot of the Issues Paper available https://www.education.gov.au/national-school-resourcing-board/resources/national-school-resourcing-boards-review-schooling-resource-standard-indexation-arrangements-issues."/>
                    <pic:cNvPicPr/>
                  </pic:nvPicPr>
                  <pic:blipFill>
                    <a:blip r:embed="rId57"/>
                    <a:stretch>
                      <a:fillRect/>
                    </a:stretch>
                  </pic:blipFill>
                  <pic:spPr>
                    <a:xfrm>
                      <a:off x="0" y="0"/>
                      <a:ext cx="5731510" cy="8084185"/>
                    </a:xfrm>
                    <a:prstGeom prst="rect">
                      <a:avLst/>
                    </a:prstGeom>
                  </pic:spPr>
                </pic:pic>
              </a:graphicData>
            </a:graphic>
          </wp:inline>
        </w:drawing>
      </w:r>
    </w:p>
    <w:p w14:paraId="7E9AD220" w14:textId="77777777" w:rsidR="00124D68" w:rsidRPr="00AB3B90" w:rsidRDefault="00124D68" w:rsidP="008B2C16"/>
    <w:p w14:paraId="7583ED2C" w14:textId="77777777" w:rsidR="00124D68" w:rsidRPr="00AB3B90" w:rsidRDefault="00124D68" w:rsidP="008B2C16"/>
    <w:p w14:paraId="57C06B37" w14:textId="50CCC77C" w:rsidR="00124D68" w:rsidRPr="00AB3B90" w:rsidRDefault="00124D68" w:rsidP="008B2C16"/>
    <w:p w14:paraId="1FDE37A0" w14:textId="77777777" w:rsidR="00124D68" w:rsidRPr="00AB3B90" w:rsidRDefault="00124D68" w:rsidP="008B2C16"/>
    <w:p w14:paraId="087AB3A0" w14:textId="6FCE3A35" w:rsidR="00124D68" w:rsidRPr="00AB3B90" w:rsidRDefault="001757F9" w:rsidP="008B2C16">
      <w:r w:rsidRPr="00AB3B90">
        <w:rPr>
          <w:noProof/>
        </w:rPr>
        <w:drawing>
          <wp:inline distT="0" distB="0" distL="0" distR="0" wp14:anchorId="559BE3D6" wp14:editId="2ED80DBC">
            <wp:extent cx="5731510" cy="8138160"/>
            <wp:effectExtent l="0" t="0" r="2540" b="0"/>
            <wp:docPr id="2042596824" name="Picture 1" descr="Appendix C includes a screen shot of the Issues Paper available https://www.education.gov.au/national-school-resourcing-board/resources/national-school-resourcing-boards-review-schooling-resource-standard-indexation-arrangements-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96824" name="Picture 1" descr="Appendix C includes a screen shot of the Issues Paper available https://www.education.gov.au/national-school-resourcing-board/resources/national-school-resourcing-boards-review-schooling-resource-standard-indexation-arrangements-issues."/>
                    <pic:cNvPicPr/>
                  </pic:nvPicPr>
                  <pic:blipFill>
                    <a:blip r:embed="rId58"/>
                    <a:stretch>
                      <a:fillRect/>
                    </a:stretch>
                  </pic:blipFill>
                  <pic:spPr>
                    <a:xfrm>
                      <a:off x="0" y="0"/>
                      <a:ext cx="5731510" cy="8138160"/>
                    </a:xfrm>
                    <a:prstGeom prst="rect">
                      <a:avLst/>
                    </a:prstGeom>
                  </pic:spPr>
                </pic:pic>
              </a:graphicData>
            </a:graphic>
          </wp:inline>
        </w:drawing>
      </w:r>
    </w:p>
    <w:p w14:paraId="36E9CF5D" w14:textId="77777777" w:rsidR="00124D68" w:rsidRPr="00AB3B90" w:rsidRDefault="00124D68" w:rsidP="008B2C16"/>
    <w:p w14:paraId="1B27ABC6" w14:textId="321DCD70" w:rsidR="00124D68" w:rsidRPr="00AB3B90" w:rsidRDefault="00280220" w:rsidP="008B2C16">
      <w:r w:rsidRPr="00AB3B90">
        <w:rPr>
          <w:noProof/>
        </w:rPr>
        <w:drawing>
          <wp:inline distT="0" distB="0" distL="0" distR="0" wp14:anchorId="3C5F0281" wp14:editId="0278B4F5">
            <wp:extent cx="5731510" cy="8134350"/>
            <wp:effectExtent l="0" t="0" r="2540" b="0"/>
            <wp:docPr id="99253133" name="Picture 1" descr="Appendix C includes a screen shot of the Issues Paper available https://www.education.gov.au/national-school-resourcing-board/resources/national-school-resourcing-boards-review-schooling-resource-standard-indexation-arrangements-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3133" name="Picture 1" descr="Appendix C includes a screen shot of the Issues Paper available https://www.education.gov.au/national-school-resourcing-board/resources/national-school-resourcing-boards-review-schooling-resource-standard-indexation-arrangements-issues."/>
                    <pic:cNvPicPr/>
                  </pic:nvPicPr>
                  <pic:blipFill>
                    <a:blip r:embed="rId59"/>
                    <a:stretch>
                      <a:fillRect/>
                    </a:stretch>
                  </pic:blipFill>
                  <pic:spPr>
                    <a:xfrm>
                      <a:off x="0" y="0"/>
                      <a:ext cx="5731510" cy="8134350"/>
                    </a:xfrm>
                    <a:prstGeom prst="rect">
                      <a:avLst/>
                    </a:prstGeom>
                  </pic:spPr>
                </pic:pic>
              </a:graphicData>
            </a:graphic>
          </wp:inline>
        </w:drawing>
      </w:r>
    </w:p>
    <w:p w14:paraId="762CF11D" w14:textId="77777777" w:rsidR="00280220" w:rsidRPr="00AB3B90" w:rsidRDefault="00280220" w:rsidP="008B2C16"/>
    <w:p w14:paraId="4A9C8B52" w14:textId="77777777" w:rsidR="00280220" w:rsidRPr="00AB3B90" w:rsidRDefault="00280220" w:rsidP="008B2C16"/>
    <w:p w14:paraId="09CD3A00" w14:textId="77777777" w:rsidR="00280220" w:rsidRPr="00AB3B90" w:rsidRDefault="00280220" w:rsidP="008B2C16"/>
    <w:p w14:paraId="500B8AEB" w14:textId="41402CFC" w:rsidR="00280220" w:rsidRPr="00AB3B90" w:rsidRDefault="007F1F26" w:rsidP="008B2C16">
      <w:r w:rsidRPr="00AB3B90">
        <w:rPr>
          <w:noProof/>
        </w:rPr>
        <w:drawing>
          <wp:inline distT="0" distB="0" distL="0" distR="0" wp14:anchorId="560A8621" wp14:editId="2D1323DE">
            <wp:extent cx="5731510" cy="8126095"/>
            <wp:effectExtent l="0" t="0" r="2540" b="8255"/>
            <wp:docPr id="674174715" name="Picture 1" descr="Appendix C includes a screen shot of the Issues Paper available https://www.education.gov.au/national-school-resourcing-board/resources/national-school-resourcing-boards-review-schooling-resource-standard-indexation-arrangements-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74715" name="Picture 1" descr="Appendix C includes a screen shot of the Issues Paper available https://www.education.gov.au/national-school-resourcing-board/resources/national-school-resourcing-boards-review-schooling-resource-standard-indexation-arrangements-issues."/>
                    <pic:cNvPicPr/>
                  </pic:nvPicPr>
                  <pic:blipFill>
                    <a:blip r:embed="rId60"/>
                    <a:stretch>
                      <a:fillRect/>
                    </a:stretch>
                  </pic:blipFill>
                  <pic:spPr>
                    <a:xfrm>
                      <a:off x="0" y="0"/>
                      <a:ext cx="5731510" cy="8126095"/>
                    </a:xfrm>
                    <a:prstGeom prst="rect">
                      <a:avLst/>
                    </a:prstGeom>
                  </pic:spPr>
                </pic:pic>
              </a:graphicData>
            </a:graphic>
          </wp:inline>
        </w:drawing>
      </w:r>
    </w:p>
    <w:p w14:paraId="72826CCC" w14:textId="77777777" w:rsidR="00F326A0" w:rsidRPr="00AB3B90" w:rsidRDefault="00F326A0" w:rsidP="008B2C16"/>
    <w:p w14:paraId="35713F31" w14:textId="77777777" w:rsidR="00F326A0" w:rsidRPr="00AB3B90" w:rsidRDefault="00F326A0" w:rsidP="008B2C16"/>
    <w:p w14:paraId="03AA43B1" w14:textId="77777777" w:rsidR="00F326A0" w:rsidRPr="00AB3B90" w:rsidRDefault="00F326A0" w:rsidP="008B2C16"/>
    <w:p w14:paraId="5E253B85" w14:textId="464DB182" w:rsidR="00F326A0" w:rsidRPr="00AB3B90" w:rsidRDefault="00F326A0" w:rsidP="008B2C16">
      <w:r w:rsidRPr="00AB3B90">
        <w:rPr>
          <w:noProof/>
        </w:rPr>
        <w:drawing>
          <wp:inline distT="0" distB="0" distL="0" distR="0" wp14:anchorId="2D9FAE48" wp14:editId="03B4E298">
            <wp:extent cx="5731510" cy="8118475"/>
            <wp:effectExtent l="0" t="0" r="2540" b="0"/>
            <wp:docPr id="1530716663" name="Picture 1" descr="Appendix C includes a screen shot of the Issues Paper available https://www.education.gov.au/national-school-resourcing-board/resources/national-school-resourcing-boards-review-schooling-resource-standard-indexation-arrangements-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16663" name="Picture 1" descr="Appendix C includes a screen shot of the Issues Paper available https://www.education.gov.au/national-school-resourcing-board/resources/national-school-resourcing-boards-review-schooling-resource-standard-indexation-arrangements-issues."/>
                    <pic:cNvPicPr/>
                  </pic:nvPicPr>
                  <pic:blipFill>
                    <a:blip r:embed="rId61"/>
                    <a:stretch>
                      <a:fillRect/>
                    </a:stretch>
                  </pic:blipFill>
                  <pic:spPr>
                    <a:xfrm>
                      <a:off x="0" y="0"/>
                      <a:ext cx="5731510" cy="8118475"/>
                    </a:xfrm>
                    <a:prstGeom prst="rect">
                      <a:avLst/>
                    </a:prstGeom>
                  </pic:spPr>
                </pic:pic>
              </a:graphicData>
            </a:graphic>
          </wp:inline>
        </w:drawing>
      </w:r>
    </w:p>
    <w:p w14:paraId="060A03BE" w14:textId="77777777" w:rsidR="00115302" w:rsidRPr="00AB3B90" w:rsidRDefault="00115302" w:rsidP="008B2C16"/>
    <w:p w14:paraId="74A4D7B0" w14:textId="77777777" w:rsidR="00115302" w:rsidRPr="00AB3B90" w:rsidRDefault="00115302" w:rsidP="008B2C16"/>
    <w:p w14:paraId="7E6F4C5C" w14:textId="77777777" w:rsidR="00115302" w:rsidRPr="00AB3B90" w:rsidRDefault="00115302" w:rsidP="008B2C16"/>
    <w:p w14:paraId="1342B0B8" w14:textId="66F5B5B4" w:rsidR="00115302" w:rsidRPr="00AB3B90" w:rsidRDefault="00115302" w:rsidP="008B2C16">
      <w:r w:rsidRPr="00AB3B90">
        <w:rPr>
          <w:noProof/>
        </w:rPr>
        <w:drawing>
          <wp:inline distT="0" distB="0" distL="0" distR="0" wp14:anchorId="7B48B472" wp14:editId="3DE75A43">
            <wp:extent cx="5731510" cy="8129270"/>
            <wp:effectExtent l="0" t="0" r="2540" b="5080"/>
            <wp:docPr id="443157031" name="Picture 1" descr="Appendix C includes a screen shot of the Issues Paper available https://www.education.gov.au/national-school-resourcing-board/resources/national-school-resourcing-boards-review-schooling-resource-standard-indexation-arrangements-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57031" name="Picture 1" descr="Appendix C includes a screen shot of the Issues Paper available https://www.education.gov.au/national-school-resourcing-board/resources/national-school-resourcing-boards-review-schooling-resource-standard-indexation-arrangements-issues."/>
                    <pic:cNvPicPr/>
                  </pic:nvPicPr>
                  <pic:blipFill>
                    <a:blip r:embed="rId62"/>
                    <a:stretch>
                      <a:fillRect/>
                    </a:stretch>
                  </pic:blipFill>
                  <pic:spPr>
                    <a:xfrm>
                      <a:off x="0" y="0"/>
                      <a:ext cx="5731510" cy="8129270"/>
                    </a:xfrm>
                    <a:prstGeom prst="rect">
                      <a:avLst/>
                    </a:prstGeom>
                  </pic:spPr>
                </pic:pic>
              </a:graphicData>
            </a:graphic>
          </wp:inline>
        </w:drawing>
      </w:r>
    </w:p>
    <w:p w14:paraId="238CDD8A" w14:textId="77777777" w:rsidR="005A0731" w:rsidRPr="00AB3B90" w:rsidRDefault="005A0731" w:rsidP="008B2C16"/>
    <w:p w14:paraId="368C92EC" w14:textId="77777777" w:rsidR="005A0731" w:rsidRPr="00AB3B90" w:rsidRDefault="005A0731" w:rsidP="008B2C16"/>
    <w:p w14:paraId="2CDFC2C0" w14:textId="77777777" w:rsidR="005A0731" w:rsidRPr="00AB3B90" w:rsidRDefault="005A0731" w:rsidP="008B2C16"/>
    <w:p w14:paraId="4FFCA799" w14:textId="3BB8E53F" w:rsidR="005A0731" w:rsidRPr="00AB3B90" w:rsidRDefault="005A0731" w:rsidP="008B2C16">
      <w:r w:rsidRPr="00AB3B90">
        <w:rPr>
          <w:noProof/>
        </w:rPr>
        <w:drawing>
          <wp:inline distT="0" distB="0" distL="0" distR="0" wp14:anchorId="3F3F847E" wp14:editId="071028A0">
            <wp:extent cx="5731510" cy="8122285"/>
            <wp:effectExtent l="0" t="0" r="2540" b="0"/>
            <wp:docPr id="1840382654" name="Picture 1" descr="Appendix C includes a screen shot of the Issues Paper available https://www.education.gov.au/national-school-resourcing-board/resources/national-school-resourcing-boards-review-schooling-resource-standard-indexation-arrangements-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82654" name="Picture 1" descr="Appendix C includes a screen shot of the Issues Paper available https://www.education.gov.au/national-school-resourcing-board/resources/national-school-resourcing-boards-review-schooling-resource-standard-indexation-arrangements-issues."/>
                    <pic:cNvPicPr/>
                  </pic:nvPicPr>
                  <pic:blipFill>
                    <a:blip r:embed="rId63"/>
                    <a:stretch>
                      <a:fillRect/>
                    </a:stretch>
                  </pic:blipFill>
                  <pic:spPr>
                    <a:xfrm>
                      <a:off x="0" y="0"/>
                      <a:ext cx="5731510" cy="8122285"/>
                    </a:xfrm>
                    <a:prstGeom prst="rect">
                      <a:avLst/>
                    </a:prstGeom>
                  </pic:spPr>
                </pic:pic>
              </a:graphicData>
            </a:graphic>
          </wp:inline>
        </w:drawing>
      </w:r>
    </w:p>
    <w:p w14:paraId="2731C720" w14:textId="77777777" w:rsidR="006F6634" w:rsidRPr="00AB3B90" w:rsidRDefault="006F6634" w:rsidP="008B2C16"/>
    <w:p w14:paraId="0BBB714A" w14:textId="77777777" w:rsidR="006F6634" w:rsidRPr="00AB3B90" w:rsidRDefault="006F6634" w:rsidP="008B2C16"/>
    <w:p w14:paraId="61C3FC8F" w14:textId="77777777" w:rsidR="006F6634" w:rsidRPr="00AB3B90" w:rsidRDefault="006F6634" w:rsidP="008B2C16"/>
    <w:p w14:paraId="0726A643" w14:textId="62F7E547" w:rsidR="006F6634" w:rsidRPr="00AB3B90" w:rsidRDefault="00283094" w:rsidP="008B2C16">
      <w:r w:rsidRPr="00AB3B90">
        <w:rPr>
          <w:noProof/>
        </w:rPr>
        <w:drawing>
          <wp:inline distT="0" distB="0" distL="0" distR="0" wp14:anchorId="5B23B3E0" wp14:editId="33E28411">
            <wp:extent cx="5731510" cy="8105140"/>
            <wp:effectExtent l="0" t="0" r="2540" b="0"/>
            <wp:docPr id="345605682" name="Picture 1" descr="Appendix C includes a screen shot of the Issues Paper available https://www.education.gov.au/national-school-resourcing-board/resources/national-school-resourcing-boards-review-schooling-resource-standard-indexation-arrangements-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05682" name="Picture 1" descr="Appendix C includes a screen shot of the Issues Paper available https://www.education.gov.au/national-school-resourcing-board/resources/national-school-resourcing-boards-review-schooling-resource-standard-indexation-arrangements-issues."/>
                    <pic:cNvPicPr/>
                  </pic:nvPicPr>
                  <pic:blipFill>
                    <a:blip r:embed="rId64"/>
                    <a:stretch>
                      <a:fillRect/>
                    </a:stretch>
                  </pic:blipFill>
                  <pic:spPr>
                    <a:xfrm>
                      <a:off x="0" y="0"/>
                      <a:ext cx="5731510" cy="8105140"/>
                    </a:xfrm>
                    <a:prstGeom prst="rect">
                      <a:avLst/>
                    </a:prstGeom>
                  </pic:spPr>
                </pic:pic>
              </a:graphicData>
            </a:graphic>
          </wp:inline>
        </w:drawing>
      </w:r>
    </w:p>
    <w:p w14:paraId="7C1C8052" w14:textId="77777777" w:rsidR="00EC0210" w:rsidRPr="00AB3B90" w:rsidRDefault="00EC0210" w:rsidP="008B2C16"/>
    <w:p w14:paraId="2E9DA3AD" w14:textId="77777777" w:rsidR="00EC0210" w:rsidRPr="00AB3B90" w:rsidRDefault="00EC0210" w:rsidP="008B2C16"/>
    <w:p w14:paraId="52471467" w14:textId="77777777" w:rsidR="00EC0210" w:rsidRPr="00AB3B90" w:rsidRDefault="00EC0210" w:rsidP="008B2C16"/>
    <w:p w14:paraId="25D47984" w14:textId="469FAC64" w:rsidR="00EC0210" w:rsidRPr="00AB3B90" w:rsidRDefault="00EC0210" w:rsidP="008B2C16">
      <w:r w:rsidRPr="00AB3B90">
        <w:rPr>
          <w:noProof/>
        </w:rPr>
        <w:drawing>
          <wp:inline distT="0" distB="0" distL="0" distR="0" wp14:anchorId="76A5553C" wp14:editId="0AB39B50">
            <wp:extent cx="5731510" cy="8126095"/>
            <wp:effectExtent l="0" t="0" r="2540" b="8255"/>
            <wp:docPr id="1343478831" name="Picture 1" descr="Appendix C includes a screen shot of the Issues Paper available https://www.education.gov.au/national-school-resourcing-board/resources/national-school-resourcing-boards-review-schooling-resource-standard-indexation-arrangements-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78831" name="Picture 1" descr="Appendix C includes a screen shot of the Issues Paper available https://www.education.gov.au/national-school-resourcing-board/resources/national-school-resourcing-boards-review-schooling-resource-standard-indexation-arrangements-issues."/>
                    <pic:cNvPicPr/>
                  </pic:nvPicPr>
                  <pic:blipFill>
                    <a:blip r:embed="rId65"/>
                    <a:stretch>
                      <a:fillRect/>
                    </a:stretch>
                  </pic:blipFill>
                  <pic:spPr>
                    <a:xfrm>
                      <a:off x="0" y="0"/>
                      <a:ext cx="5731510" cy="8126095"/>
                    </a:xfrm>
                    <a:prstGeom prst="rect">
                      <a:avLst/>
                    </a:prstGeom>
                  </pic:spPr>
                </pic:pic>
              </a:graphicData>
            </a:graphic>
          </wp:inline>
        </w:drawing>
      </w:r>
    </w:p>
    <w:p w14:paraId="45A42B2C" w14:textId="1EDD2DC6" w:rsidR="00CC09CC" w:rsidRPr="00AB3B90" w:rsidRDefault="008B2C16" w:rsidP="00872CEF">
      <w:r w:rsidRPr="00AB3B90">
        <w:br w:type="page"/>
      </w:r>
    </w:p>
    <w:p w14:paraId="49310F42" w14:textId="7AC72EA6" w:rsidR="0085768B" w:rsidRPr="00AB3B90" w:rsidRDefault="0085768B" w:rsidP="007F1F26">
      <w:pPr>
        <w:pStyle w:val="Heading1"/>
      </w:pPr>
      <w:bookmarkStart w:id="170" w:name="_Toc163650457"/>
      <w:r w:rsidRPr="00AB3B90">
        <w:t xml:space="preserve">Appendix </w:t>
      </w:r>
      <w:r w:rsidR="008B2C16" w:rsidRPr="00AB3B90">
        <w:t>D</w:t>
      </w:r>
      <w:r w:rsidRPr="00AB3B90">
        <w:t xml:space="preserve"> – </w:t>
      </w:r>
      <w:r w:rsidR="001E2288" w:rsidRPr="00AB3B90">
        <w:t>Stakeholder s</w:t>
      </w:r>
      <w:r w:rsidR="00254364" w:rsidRPr="00AB3B90">
        <w:t>ubmissions</w:t>
      </w:r>
      <w:bookmarkEnd w:id="163"/>
      <w:bookmarkEnd w:id="164"/>
      <w:bookmarkEnd w:id="170"/>
    </w:p>
    <w:p w14:paraId="2C4CDBAE" w14:textId="6A652DE9" w:rsidR="00254364" w:rsidRPr="00AB3B90" w:rsidRDefault="00254364" w:rsidP="00254364">
      <w:pPr>
        <w:rPr>
          <w:rFonts w:asciiTheme="minorHAnsi" w:hAnsiTheme="minorHAnsi" w:cstheme="minorHAnsi"/>
        </w:rPr>
      </w:pPr>
      <w:r w:rsidRPr="00AB3B90">
        <w:rPr>
          <w:rFonts w:asciiTheme="minorHAnsi" w:hAnsiTheme="minorHAnsi" w:cstheme="minorHAnsi"/>
        </w:rPr>
        <w:t xml:space="preserve">The Board received a total of </w:t>
      </w:r>
      <w:r w:rsidR="00EB5004" w:rsidRPr="00AB3B90">
        <w:rPr>
          <w:rFonts w:asciiTheme="minorHAnsi" w:hAnsiTheme="minorHAnsi" w:cstheme="minorHAnsi"/>
        </w:rPr>
        <w:t>8</w:t>
      </w:r>
      <w:r w:rsidR="00C24FE8" w:rsidRPr="00AB3B90">
        <w:rPr>
          <w:rFonts w:asciiTheme="minorHAnsi" w:hAnsiTheme="minorHAnsi" w:cstheme="minorHAnsi"/>
        </w:rPr>
        <w:t xml:space="preserve"> </w:t>
      </w:r>
      <w:r w:rsidR="004E2BBD" w:rsidRPr="00AB3B90">
        <w:rPr>
          <w:rFonts w:asciiTheme="minorHAnsi" w:hAnsiTheme="minorHAnsi" w:cstheme="minorHAnsi"/>
        </w:rPr>
        <w:t>s</w:t>
      </w:r>
      <w:r w:rsidR="00094E96" w:rsidRPr="00AB3B90">
        <w:rPr>
          <w:rFonts w:asciiTheme="minorHAnsi" w:hAnsiTheme="minorHAnsi" w:cstheme="minorHAnsi"/>
        </w:rPr>
        <w:t>ubmissions</w:t>
      </w:r>
      <w:r w:rsidRPr="00AB3B90">
        <w:rPr>
          <w:rFonts w:asciiTheme="minorHAnsi" w:hAnsiTheme="minorHAnsi" w:cstheme="minorHAnsi"/>
        </w:rPr>
        <w:t xml:space="preserve"> in response to its </w:t>
      </w:r>
      <w:r w:rsidR="008A680B" w:rsidRPr="00AB3B90">
        <w:rPr>
          <w:rFonts w:asciiTheme="minorHAnsi" w:hAnsiTheme="minorHAnsi" w:cstheme="minorHAnsi"/>
        </w:rPr>
        <w:t>Issues Paper</w:t>
      </w:r>
      <w:r w:rsidRPr="00AB3B90">
        <w:rPr>
          <w:rFonts w:asciiTheme="minorHAnsi" w:hAnsiTheme="minorHAnsi" w:cstheme="minorHAnsi"/>
        </w:rPr>
        <w:t xml:space="preserve">. </w:t>
      </w:r>
      <w:r w:rsidR="00E9389C" w:rsidRPr="00AB3B90">
        <w:rPr>
          <w:rFonts w:asciiTheme="minorHAnsi" w:hAnsiTheme="minorHAnsi" w:cstheme="minorHAnsi"/>
        </w:rPr>
        <w:t xml:space="preserve">Where stakeholders agreed to their submission being published along with this report, submissions </w:t>
      </w:r>
      <w:r w:rsidR="00914D12" w:rsidRPr="00AB3B90">
        <w:rPr>
          <w:rFonts w:asciiTheme="minorHAnsi" w:hAnsiTheme="minorHAnsi" w:cstheme="minorHAnsi"/>
        </w:rPr>
        <w:t xml:space="preserve">will be published on the </w:t>
      </w:r>
      <w:r w:rsidR="00EA4851" w:rsidRPr="00AB3B90">
        <w:rPr>
          <w:rFonts w:asciiTheme="minorHAnsi" w:hAnsiTheme="minorHAnsi" w:cstheme="minorHAnsi"/>
        </w:rPr>
        <w:t>NSRB page on the Department of Education</w:t>
      </w:r>
      <w:r w:rsidR="00914D12" w:rsidRPr="00AB3B90">
        <w:rPr>
          <w:rFonts w:asciiTheme="minorHAnsi" w:hAnsiTheme="minorHAnsi" w:cstheme="minorHAnsi"/>
        </w:rPr>
        <w:t xml:space="preserve"> website</w:t>
      </w:r>
      <w:r w:rsidR="00E9389C" w:rsidRPr="00AB3B90">
        <w:rPr>
          <w:rFonts w:asciiTheme="minorHAnsi" w:hAnsiTheme="minorHAnsi" w:cstheme="minorHAnsi"/>
        </w:rPr>
        <w:t>.</w:t>
      </w:r>
    </w:p>
    <w:p w14:paraId="731D990D" w14:textId="77777777" w:rsidR="00C14CDF" w:rsidRPr="00AB3B90" w:rsidRDefault="00C14CDF" w:rsidP="00BE6BCF"/>
    <w:tbl>
      <w:tblPr>
        <w:tblStyle w:val="TableGrid"/>
        <w:tblW w:w="8931" w:type="dxa"/>
        <w:tblLayout w:type="fixed"/>
        <w:tblLook w:val="06A0" w:firstRow="1" w:lastRow="0" w:firstColumn="1" w:lastColumn="0" w:noHBand="1" w:noVBand="1"/>
      </w:tblPr>
      <w:tblGrid>
        <w:gridCol w:w="8931"/>
      </w:tblGrid>
      <w:tr w:rsidR="00304A7F" w:rsidRPr="00AB3B90" w14:paraId="5017B667" w14:textId="5BABD3DF" w:rsidTr="00E37ADA">
        <w:trPr>
          <w:cnfStyle w:val="100000000000" w:firstRow="1" w:lastRow="0" w:firstColumn="0" w:lastColumn="0" w:oddVBand="0" w:evenVBand="0" w:oddHBand="0" w:evenHBand="0" w:firstRowFirstColumn="0" w:firstRowLastColumn="0" w:lastRowFirstColumn="0" w:lastRowLastColumn="0"/>
        </w:trPr>
        <w:tc>
          <w:tcPr>
            <w:tcW w:w="8931" w:type="dxa"/>
          </w:tcPr>
          <w:p w14:paraId="4BD54728" w14:textId="77777777" w:rsidR="00304A7F" w:rsidRPr="00AB3B90" w:rsidRDefault="00304A7F" w:rsidP="005F7BB2">
            <w:pPr>
              <w:spacing w:beforeLines="0" w:before="60" w:afterLines="0" w:after="60" w:line="259" w:lineRule="auto"/>
              <w:rPr>
                <w:rFonts w:asciiTheme="minorHAnsi" w:hAnsiTheme="minorHAnsi" w:cstheme="minorHAnsi"/>
                <w:b w:val="0"/>
                <w:color w:val="auto"/>
                <w:sz w:val="22"/>
              </w:rPr>
            </w:pPr>
            <w:r w:rsidRPr="00AB3B90">
              <w:rPr>
                <w:rFonts w:asciiTheme="minorHAnsi" w:hAnsiTheme="minorHAnsi" w:cstheme="minorHAnsi"/>
                <w:b w:val="0"/>
                <w:color w:val="auto"/>
                <w:sz w:val="22"/>
              </w:rPr>
              <w:t>List of submissions</w:t>
            </w:r>
          </w:p>
        </w:tc>
      </w:tr>
      <w:tr w:rsidR="00304A7F" w:rsidRPr="00AB3B90" w14:paraId="54BF05B1" w14:textId="2B19840A" w:rsidTr="00E37ADA">
        <w:tc>
          <w:tcPr>
            <w:tcW w:w="8931" w:type="dxa"/>
            <w:shd w:val="clear" w:color="auto" w:fill="9CC2E5" w:themeFill="accent1" w:themeFillTint="99"/>
          </w:tcPr>
          <w:p w14:paraId="38BD6456" w14:textId="77777777" w:rsidR="00304A7F" w:rsidRPr="00AB3B90" w:rsidRDefault="00304A7F" w:rsidP="005F7BB2">
            <w:pPr>
              <w:spacing w:before="60" w:after="60" w:line="259" w:lineRule="auto"/>
              <w:rPr>
                <w:rFonts w:asciiTheme="minorHAnsi" w:hAnsiTheme="minorHAnsi" w:cstheme="minorHAnsi"/>
                <w:sz w:val="22"/>
              </w:rPr>
            </w:pPr>
            <w:r w:rsidRPr="00AB3B90">
              <w:rPr>
                <w:rFonts w:asciiTheme="minorHAnsi" w:hAnsiTheme="minorHAnsi" w:cstheme="minorHAnsi"/>
                <w:sz w:val="22"/>
              </w:rPr>
              <w:t>Independent Schools Australia</w:t>
            </w:r>
          </w:p>
        </w:tc>
      </w:tr>
      <w:tr w:rsidR="00304A7F" w:rsidRPr="00AB3B90" w14:paraId="1D5197FC" w14:textId="3E0DB44A" w:rsidTr="00E37ADA">
        <w:tc>
          <w:tcPr>
            <w:tcW w:w="8931" w:type="dxa"/>
            <w:shd w:val="clear" w:color="auto" w:fill="FFFFFF" w:themeFill="background1"/>
          </w:tcPr>
          <w:p w14:paraId="3F4A37F5" w14:textId="77777777" w:rsidR="00304A7F" w:rsidRPr="00AB3B90" w:rsidRDefault="00304A7F" w:rsidP="005F7BB2">
            <w:pPr>
              <w:spacing w:before="60" w:after="60" w:line="259" w:lineRule="auto"/>
              <w:rPr>
                <w:rFonts w:asciiTheme="minorHAnsi" w:hAnsiTheme="minorHAnsi" w:cstheme="minorHAnsi"/>
                <w:sz w:val="22"/>
              </w:rPr>
            </w:pPr>
            <w:r w:rsidRPr="00AB3B90">
              <w:rPr>
                <w:rFonts w:asciiTheme="minorHAnsi" w:hAnsiTheme="minorHAnsi" w:cstheme="minorHAnsi"/>
                <w:sz w:val="22"/>
              </w:rPr>
              <w:t>National Catholic Education Commission</w:t>
            </w:r>
          </w:p>
        </w:tc>
      </w:tr>
      <w:tr w:rsidR="00304A7F" w:rsidRPr="00AB3B90" w14:paraId="65D0D3C1" w14:textId="002D5D7C" w:rsidTr="00E37ADA">
        <w:tc>
          <w:tcPr>
            <w:tcW w:w="8931" w:type="dxa"/>
            <w:shd w:val="clear" w:color="auto" w:fill="9CC2E5" w:themeFill="accent1" w:themeFillTint="99"/>
          </w:tcPr>
          <w:p w14:paraId="5E405A30" w14:textId="77777777" w:rsidR="00304A7F" w:rsidRPr="00AB3B90" w:rsidRDefault="00304A7F" w:rsidP="005F7BB2">
            <w:pPr>
              <w:spacing w:before="60" w:after="60" w:line="259" w:lineRule="auto"/>
              <w:rPr>
                <w:rFonts w:asciiTheme="minorHAnsi" w:hAnsiTheme="minorHAnsi" w:cstheme="minorHAnsi"/>
                <w:sz w:val="22"/>
              </w:rPr>
            </w:pPr>
            <w:r w:rsidRPr="00AB3B90">
              <w:rPr>
                <w:rFonts w:asciiTheme="minorHAnsi" w:hAnsiTheme="minorHAnsi" w:cstheme="minorHAnsi"/>
                <w:sz w:val="22"/>
              </w:rPr>
              <w:t>New South Wales Department of Education</w:t>
            </w:r>
          </w:p>
        </w:tc>
      </w:tr>
      <w:tr w:rsidR="00304A7F" w:rsidRPr="00AB3B90" w14:paraId="37F3ABD2" w14:textId="2DAF46C2" w:rsidTr="00E37ADA">
        <w:tc>
          <w:tcPr>
            <w:tcW w:w="8931" w:type="dxa"/>
            <w:shd w:val="clear" w:color="auto" w:fill="FFFFFF" w:themeFill="background1"/>
          </w:tcPr>
          <w:p w14:paraId="175877AB" w14:textId="77777777" w:rsidR="00304A7F" w:rsidRPr="00AB3B90" w:rsidRDefault="00304A7F" w:rsidP="005F7BB2">
            <w:pPr>
              <w:spacing w:before="60" w:after="60" w:line="259" w:lineRule="auto"/>
              <w:rPr>
                <w:rFonts w:asciiTheme="minorHAnsi" w:hAnsiTheme="minorHAnsi" w:cstheme="minorHAnsi"/>
                <w:sz w:val="22"/>
              </w:rPr>
            </w:pPr>
            <w:r w:rsidRPr="00AB3B90">
              <w:rPr>
                <w:rFonts w:asciiTheme="minorHAnsi" w:hAnsiTheme="minorHAnsi" w:cstheme="minorHAnsi"/>
                <w:sz w:val="22"/>
              </w:rPr>
              <w:t>Northern Territory Department of Education</w:t>
            </w:r>
          </w:p>
        </w:tc>
      </w:tr>
      <w:tr w:rsidR="00304A7F" w:rsidRPr="00AB3B90" w14:paraId="74C2C95C" w14:textId="5B5059BE" w:rsidTr="00E37ADA">
        <w:tc>
          <w:tcPr>
            <w:tcW w:w="8931" w:type="dxa"/>
            <w:shd w:val="clear" w:color="auto" w:fill="9CC2E5" w:themeFill="accent1" w:themeFillTint="99"/>
          </w:tcPr>
          <w:p w14:paraId="1A1362D2" w14:textId="77777777" w:rsidR="00304A7F" w:rsidRPr="00AB3B90" w:rsidRDefault="00304A7F" w:rsidP="005F7BB2">
            <w:pPr>
              <w:spacing w:before="60" w:after="60" w:line="259" w:lineRule="auto"/>
              <w:rPr>
                <w:rFonts w:asciiTheme="minorHAnsi" w:hAnsiTheme="minorHAnsi" w:cstheme="minorHAnsi"/>
                <w:sz w:val="22"/>
              </w:rPr>
            </w:pPr>
            <w:r w:rsidRPr="00AB3B90">
              <w:rPr>
                <w:rFonts w:asciiTheme="minorHAnsi" w:hAnsiTheme="minorHAnsi" w:cstheme="minorHAnsi"/>
                <w:sz w:val="22"/>
              </w:rPr>
              <w:t>Queensland Department of Education</w:t>
            </w:r>
          </w:p>
        </w:tc>
      </w:tr>
      <w:tr w:rsidR="00304A7F" w:rsidRPr="00AB3B90" w14:paraId="5D3362AA" w14:textId="00FBE5CA" w:rsidTr="00E37ADA">
        <w:tc>
          <w:tcPr>
            <w:tcW w:w="8931" w:type="dxa"/>
            <w:shd w:val="clear" w:color="auto" w:fill="FFFFFF" w:themeFill="background1"/>
          </w:tcPr>
          <w:p w14:paraId="6FB3BBAA" w14:textId="77777777" w:rsidR="00304A7F" w:rsidRPr="00AB3B90" w:rsidRDefault="00304A7F" w:rsidP="005F7BB2">
            <w:pPr>
              <w:spacing w:before="60" w:after="60" w:line="259" w:lineRule="auto"/>
              <w:rPr>
                <w:rFonts w:asciiTheme="minorHAnsi" w:hAnsiTheme="minorHAnsi" w:cstheme="minorHAnsi"/>
                <w:sz w:val="22"/>
              </w:rPr>
            </w:pPr>
            <w:r w:rsidRPr="00AB3B90">
              <w:rPr>
                <w:rFonts w:asciiTheme="minorHAnsi" w:hAnsiTheme="minorHAnsi" w:cstheme="minorHAnsi"/>
                <w:sz w:val="22"/>
              </w:rPr>
              <w:t>South Australian Department for Education</w:t>
            </w:r>
          </w:p>
        </w:tc>
      </w:tr>
      <w:tr w:rsidR="00304A7F" w:rsidRPr="00AB3B90" w14:paraId="6621B513" w14:textId="12A610B6" w:rsidTr="00E37ADA">
        <w:tc>
          <w:tcPr>
            <w:tcW w:w="8931" w:type="dxa"/>
            <w:shd w:val="clear" w:color="auto" w:fill="9CC2E5" w:themeFill="accent1" w:themeFillTint="99"/>
          </w:tcPr>
          <w:p w14:paraId="175D01FB" w14:textId="77777777" w:rsidR="00304A7F" w:rsidRPr="00AB3B90" w:rsidRDefault="00304A7F" w:rsidP="005F7BB2">
            <w:pPr>
              <w:spacing w:before="60" w:after="60" w:line="259" w:lineRule="auto"/>
              <w:rPr>
                <w:rFonts w:asciiTheme="minorHAnsi" w:hAnsiTheme="minorHAnsi" w:cstheme="minorHAnsi"/>
                <w:sz w:val="22"/>
              </w:rPr>
            </w:pPr>
            <w:r w:rsidRPr="00AB3B90">
              <w:rPr>
                <w:rFonts w:asciiTheme="minorHAnsi" w:hAnsiTheme="minorHAnsi" w:cstheme="minorHAnsi"/>
                <w:sz w:val="22"/>
              </w:rPr>
              <w:t>Tasmanian Department for Education, Children and Young People</w:t>
            </w:r>
          </w:p>
        </w:tc>
      </w:tr>
      <w:tr w:rsidR="00304A7F" w:rsidRPr="00AB3B90" w14:paraId="66CD9EBD" w14:textId="74061341" w:rsidTr="00E37ADA">
        <w:tc>
          <w:tcPr>
            <w:tcW w:w="8931" w:type="dxa"/>
            <w:shd w:val="clear" w:color="auto" w:fill="FFFFFF" w:themeFill="background1"/>
          </w:tcPr>
          <w:p w14:paraId="362C9144" w14:textId="77777777" w:rsidR="00304A7F" w:rsidRPr="00AB3B90" w:rsidRDefault="00304A7F" w:rsidP="005F7BB2">
            <w:pPr>
              <w:spacing w:before="60" w:after="60" w:line="259" w:lineRule="auto"/>
              <w:rPr>
                <w:rFonts w:asciiTheme="minorHAnsi" w:hAnsiTheme="minorHAnsi" w:cstheme="minorHAnsi"/>
                <w:sz w:val="22"/>
              </w:rPr>
            </w:pPr>
            <w:r w:rsidRPr="00AB3B90">
              <w:rPr>
                <w:rFonts w:asciiTheme="minorHAnsi" w:hAnsiTheme="minorHAnsi" w:cstheme="minorHAnsi"/>
                <w:sz w:val="22"/>
              </w:rPr>
              <w:t>Victorian Department of Education</w:t>
            </w:r>
          </w:p>
        </w:tc>
      </w:tr>
    </w:tbl>
    <w:p w14:paraId="25A28AF2" w14:textId="6D7AB5F0" w:rsidR="00BE6BCF" w:rsidRPr="00AB3B90" w:rsidRDefault="00BE0487" w:rsidP="00E37ADA">
      <w:r w:rsidRPr="00E37ADA">
        <w:br w:type="page"/>
      </w:r>
    </w:p>
    <w:p w14:paraId="68C0F084" w14:textId="5575FCE0" w:rsidR="0085768B" w:rsidRPr="00AB3B90" w:rsidRDefault="0085768B" w:rsidP="0085768B">
      <w:pPr>
        <w:pStyle w:val="Heading1"/>
      </w:pPr>
      <w:bookmarkStart w:id="171" w:name="_Ref66348132"/>
      <w:bookmarkStart w:id="172" w:name="_Toc71021820"/>
      <w:bookmarkStart w:id="173" w:name="_Toc163650458"/>
      <w:r w:rsidRPr="00AB3B90">
        <w:t xml:space="preserve">Appendix </w:t>
      </w:r>
      <w:r w:rsidR="000A320A" w:rsidRPr="00AB3B90">
        <w:t>E</w:t>
      </w:r>
      <w:r w:rsidRPr="00AB3B90">
        <w:t xml:space="preserve"> – </w:t>
      </w:r>
      <w:r w:rsidR="00D56E26" w:rsidRPr="00AB3B90">
        <w:t>Consultations</w:t>
      </w:r>
      <w:bookmarkEnd w:id="171"/>
      <w:bookmarkEnd w:id="172"/>
      <w:bookmarkEnd w:id="173"/>
    </w:p>
    <w:p w14:paraId="77FBDB80" w14:textId="03AD7B9F" w:rsidR="005F06DF" w:rsidRPr="00AB3B90" w:rsidRDefault="005F06DF" w:rsidP="005F06DF">
      <w:pPr>
        <w:spacing w:before="0" w:after="160"/>
      </w:pPr>
      <w:r w:rsidRPr="00AB3B90">
        <w:t xml:space="preserve">In recognition of the highly technical nature of the terms of reference </w:t>
      </w:r>
      <w:r w:rsidR="002B72F9" w:rsidRPr="00AB3B90">
        <w:t>for</w:t>
      </w:r>
      <w:r w:rsidRPr="00AB3B90">
        <w:t xml:space="preserve"> the </w:t>
      </w:r>
      <w:r w:rsidR="009E6F2B" w:rsidRPr="00AB3B90">
        <w:t>r</w:t>
      </w:r>
      <w:r w:rsidRPr="00AB3B90">
        <w:t xml:space="preserve">eview, the Board held consultation </w:t>
      </w:r>
      <w:r w:rsidR="009511BC" w:rsidRPr="00AB3B90">
        <w:t>meetings with</w:t>
      </w:r>
      <w:r w:rsidRPr="00AB3B90">
        <w:t xml:space="preserve"> representatives from </w:t>
      </w:r>
      <w:r w:rsidR="002B72F9" w:rsidRPr="00AB3B90">
        <w:t>government, independent</w:t>
      </w:r>
      <w:r w:rsidRPr="00AB3B90">
        <w:t xml:space="preserve"> and Catholic sector system administrators</w:t>
      </w:r>
      <w:r w:rsidR="00664553" w:rsidRPr="00AB3B90">
        <w:t>, and sought advice from the Australian Government Department of Education and Treasury.</w:t>
      </w:r>
    </w:p>
    <w:tbl>
      <w:tblPr>
        <w:tblStyle w:val="TableGrid"/>
        <w:tblW w:w="9060" w:type="dxa"/>
        <w:tblLayout w:type="fixed"/>
        <w:tblLook w:val="06A0" w:firstRow="1" w:lastRow="0" w:firstColumn="1" w:lastColumn="0" w:noHBand="1" w:noVBand="1"/>
      </w:tblPr>
      <w:tblGrid>
        <w:gridCol w:w="9060"/>
      </w:tblGrid>
      <w:tr w:rsidR="005F06DF" w:rsidRPr="00AB3B90" w14:paraId="3153D312" w14:textId="77777777" w:rsidTr="00DA7B39">
        <w:trPr>
          <w:cnfStyle w:val="100000000000" w:firstRow="1" w:lastRow="0" w:firstColumn="0" w:lastColumn="0" w:oddVBand="0" w:evenVBand="0" w:oddHBand="0" w:evenHBand="0" w:firstRowFirstColumn="0" w:firstRowLastColumn="0" w:lastRowFirstColumn="0" w:lastRowLastColumn="0"/>
        </w:trPr>
        <w:tc>
          <w:tcPr>
            <w:tcW w:w="9060" w:type="dxa"/>
          </w:tcPr>
          <w:p w14:paraId="4B4D7232" w14:textId="4B541597" w:rsidR="005F06DF" w:rsidRPr="00AB3B90" w:rsidRDefault="0014082F" w:rsidP="00A041BF">
            <w:pPr>
              <w:spacing w:beforeLines="0" w:before="60" w:afterLines="0" w:after="60" w:line="259" w:lineRule="auto"/>
              <w:rPr>
                <w:color w:val="auto"/>
                <w:sz w:val="22"/>
              </w:rPr>
            </w:pPr>
            <w:r w:rsidRPr="00AB3B90">
              <w:rPr>
                <w:color w:val="auto"/>
                <w:sz w:val="22"/>
              </w:rPr>
              <w:t>Attendees</w:t>
            </w:r>
          </w:p>
        </w:tc>
      </w:tr>
      <w:tr w:rsidR="005F06DF" w:rsidRPr="00AB3B90" w14:paraId="18443649" w14:textId="77777777" w:rsidTr="00DA7B39">
        <w:tc>
          <w:tcPr>
            <w:tcW w:w="9060" w:type="dxa"/>
            <w:shd w:val="clear" w:color="auto" w:fill="FFFFFF" w:themeFill="background1"/>
          </w:tcPr>
          <w:p w14:paraId="3294828B" w14:textId="77777777" w:rsidR="005F06DF" w:rsidRPr="00AB3B90" w:rsidRDefault="005F06DF" w:rsidP="00A041BF">
            <w:pPr>
              <w:spacing w:before="60" w:after="60"/>
              <w:rPr>
                <w:rFonts w:asciiTheme="minorHAnsi" w:hAnsiTheme="minorHAnsi" w:cstheme="minorHAnsi"/>
                <w:b/>
                <w:sz w:val="22"/>
                <w:szCs w:val="24"/>
              </w:rPr>
            </w:pPr>
            <w:r w:rsidRPr="00AB3B90">
              <w:rPr>
                <w:rFonts w:asciiTheme="minorHAnsi" w:hAnsiTheme="minorHAnsi" w:cstheme="minorHAnsi"/>
                <w:b/>
                <w:sz w:val="22"/>
                <w:szCs w:val="24"/>
              </w:rPr>
              <w:t>GOVERNMENT SECTOR</w:t>
            </w:r>
          </w:p>
        </w:tc>
      </w:tr>
      <w:tr w:rsidR="006066E4" w:rsidRPr="00AB3B90" w14:paraId="4486627F" w14:textId="77777777" w:rsidTr="00D93295">
        <w:tc>
          <w:tcPr>
            <w:tcW w:w="9060" w:type="dxa"/>
            <w:shd w:val="clear" w:color="auto" w:fill="9CC2E5" w:themeFill="accent1" w:themeFillTint="99"/>
          </w:tcPr>
          <w:p w14:paraId="2BC876E8" w14:textId="6A0B1EF1" w:rsidR="006066E4" w:rsidRPr="00AB3B90" w:rsidRDefault="006066E4" w:rsidP="00A041BF">
            <w:pPr>
              <w:spacing w:before="60" w:after="60"/>
              <w:rPr>
                <w:rFonts w:asciiTheme="minorHAnsi" w:hAnsiTheme="minorHAnsi" w:cstheme="minorHAnsi"/>
                <w:b/>
                <w:szCs w:val="24"/>
              </w:rPr>
            </w:pPr>
            <w:r w:rsidRPr="00AB3B90">
              <w:rPr>
                <w:rFonts w:asciiTheme="minorHAnsi" w:hAnsiTheme="minorHAnsi" w:cstheme="minorHAnsi"/>
                <w:sz w:val="22"/>
                <w:szCs w:val="24"/>
              </w:rPr>
              <w:t>Australian Capital Territory Education Directorate</w:t>
            </w:r>
          </w:p>
        </w:tc>
      </w:tr>
      <w:tr w:rsidR="005F06DF" w:rsidRPr="00AB3B90" w14:paraId="150717FB" w14:textId="77777777" w:rsidTr="00D93295">
        <w:tc>
          <w:tcPr>
            <w:tcW w:w="9060" w:type="dxa"/>
            <w:shd w:val="clear" w:color="auto" w:fill="auto"/>
          </w:tcPr>
          <w:p w14:paraId="47693C8E" w14:textId="77777777" w:rsidR="005F06DF" w:rsidRPr="00AB3B90" w:rsidRDefault="005F06DF" w:rsidP="00A041BF">
            <w:pPr>
              <w:spacing w:before="60" w:after="60"/>
              <w:rPr>
                <w:rFonts w:asciiTheme="minorHAnsi" w:hAnsiTheme="minorHAnsi" w:cstheme="minorHAnsi"/>
                <w:sz w:val="22"/>
                <w:szCs w:val="24"/>
              </w:rPr>
            </w:pPr>
            <w:r w:rsidRPr="00AB3B90">
              <w:rPr>
                <w:rFonts w:asciiTheme="minorHAnsi" w:hAnsiTheme="minorHAnsi" w:cstheme="minorHAnsi"/>
                <w:sz w:val="22"/>
                <w:szCs w:val="24"/>
              </w:rPr>
              <w:t xml:space="preserve">New </w:t>
            </w:r>
            <w:r w:rsidR="00672EB2" w:rsidRPr="00AB3B90">
              <w:rPr>
                <w:rFonts w:asciiTheme="minorHAnsi" w:hAnsiTheme="minorHAnsi" w:cstheme="minorHAnsi"/>
                <w:sz w:val="22"/>
                <w:szCs w:val="24"/>
              </w:rPr>
              <w:t>S</w:t>
            </w:r>
            <w:r w:rsidRPr="00AB3B90">
              <w:rPr>
                <w:rFonts w:asciiTheme="minorHAnsi" w:hAnsiTheme="minorHAnsi" w:cstheme="minorHAnsi"/>
                <w:sz w:val="22"/>
                <w:szCs w:val="24"/>
              </w:rPr>
              <w:t>outh Wales Department of Education</w:t>
            </w:r>
          </w:p>
        </w:tc>
      </w:tr>
      <w:tr w:rsidR="005F06DF" w:rsidRPr="00AB3B90" w14:paraId="02820A78" w14:textId="77777777" w:rsidTr="00D93295">
        <w:tc>
          <w:tcPr>
            <w:tcW w:w="9060" w:type="dxa"/>
            <w:shd w:val="clear" w:color="auto" w:fill="9CC2E5" w:themeFill="accent1" w:themeFillTint="99"/>
          </w:tcPr>
          <w:p w14:paraId="7018C67B" w14:textId="77777777" w:rsidR="005F06DF" w:rsidRPr="00AB3B90" w:rsidRDefault="005F06DF" w:rsidP="00A041BF">
            <w:pPr>
              <w:spacing w:before="60" w:after="60"/>
              <w:rPr>
                <w:rFonts w:asciiTheme="minorHAnsi" w:hAnsiTheme="minorHAnsi" w:cstheme="minorHAnsi"/>
                <w:sz w:val="22"/>
                <w:szCs w:val="24"/>
              </w:rPr>
            </w:pPr>
            <w:r w:rsidRPr="00AB3B90">
              <w:rPr>
                <w:rFonts w:asciiTheme="minorHAnsi" w:hAnsiTheme="minorHAnsi" w:cstheme="minorHAnsi"/>
                <w:sz w:val="22"/>
                <w:szCs w:val="24"/>
              </w:rPr>
              <w:t>Northern Territory Department of Education</w:t>
            </w:r>
          </w:p>
        </w:tc>
      </w:tr>
      <w:tr w:rsidR="005F06DF" w:rsidRPr="00AB3B90" w14:paraId="1000275C" w14:textId="77777777" w:rsidTr="008A5694">
        <w:tc>
          <w:tcPr>
            <w:tcW w:w="9060" w:type="dxa"/>
            <w:shd w:val="clear" w:color="auto" w:fill="auto"/>
          </w:tcPr>
          <w:p w14:paraId="145E1207" w14:textId="77777777" w:rsidR="005F06DF" w:rsidRPr="00AB3B90" w:rsidRDefault="005F06DF" w:rsidP="00A041BF">
            <w:pPr>
              <w:spacing w:before="60" w:after="60"/>
              <w:rPr>
                <w:rFonts w:asciiTheme="minorHAnsi" w:hAnsiTheme="minorHAnsi" w:cstheme="minorHAnsi"/>
                <w:sz w:val="22"/>
                <w:szCs w:val="24"/>
              </w:rPr>
            </w:pPr>
            <w:r w:rsidRPr="00AB3B90">
              <w:rPr>
                <w:rFonts w:asciiTheme="minorHAnsi" w:hAnsiTheme="minorHAnsi" w:cstheme="minorHAnsi"/>
                <w:sz w:val="22"/>
                <w:szCs w:val="24"/>
              </w:rPr>
              <w:t>Queensland Department of Education</w:t>
            </w:r>
          </w:p>
        </w:tc>
      </w:tr>
      <w:tr w:rsidR="005F06DF" w:rsidRPr="00AB3B90" w14:paraId="406F9167" w14:textId="77777777" w:rsidTr="008A5694">
        <w:tc>
          <w:tcPr>
            <w:tcW w:w="9060" w:type="dxa"/>
            <w:shd w:val="clear" w:color="auto" w:fill="9CC2E5" w:themeFill="accent1" w:themeFillTint="99"/>
          </w:tcPr>
          <w:p w14:paraId="351152F5" w14:textId="77777777" w:rsidR="005F06DF" w:rsidRPr="00AB3B90" w:rsidRDefault="005F06DF" w:rsidP="00A041BF">
            <w:pPr>
              <w:spacing w:before="60" w:after="60"/>
              <w:rPr>
                <w:rFonts w:asciiTheme="minorHAnsi" w:hAnsiTheme="minorHAnsi" w:cstheme="minorHAnsi"/>
                <w:sz w:val="22"/>
                <w:szCs w:val="24"/>
              </w:rPr>
            </w:pPr>
            <w:r w:rsidRPr="00AB3B90">
              <w:rPr>
                <w:rFonts w:asciiTheme="minorHAnsi" w:hAnsiTheme="minorHAnsi" w:cstheme="minorHAnsi"/>
                <w:sz w:val="22"/>
                <w:szCs w:val="24"/>
              </w:rPr>
              <w:t>South Australia Department for Education</w:t>
            </w:r>
          </w:p>
        </w:tc>
      </w:tr>
      <w:tr w:rsidR="005F06DF" w:rsidRPr="00AB3B90" w14:paraId="78F2A3B5" w14:textId="77777777" w:rsidTr="008A5694">
        <w:tc>
          <w:tcPr>
            <w:tcW w:w="9060" w:type="dxa"/>
            <w:shd w:val="clear" w:color="auto" w:fill="auto"/>
          </w:tcPr>
          <w:p w14:paraId="1A83C243" w14:textId="2A366895" w:rsidR="005F06DF" w:rsidRPr="00AB3B90" w:rsidRDefault="005F06DF" w:rsidP="00A041BF">
            <w:pPr>
              <w:spacing w:before="60" w:after="60"/>
              <w:rPr>
                <w:rFonts w:asciiTheme="minorHAnsi" w:hAnsiTheme="minorHAnsi" w:cstheme="minorHAnsi"/>
                <w:sz w:val="22"/>
                <w:szCs w:val="24"/>
              </w:rPr>
            </w:pPr>
            <w:r w:rsidRPr="00AB3B90">
              <w:rPr>
                <w:rFonts w:asciiTheme="minorHAnsi" w:hAnsiTheme="minorHAnsi" w:cstheme="minorHAnsi"/>
                <w:sz w:val="22"/>
                <w:szCs w:val="24"/>
              </w:rPr>
              <w:t xml:space="preserve">Tasmania Department </w:t>
            </w:r>
            <w:r w:rsidR="00512201" w:rsidRPr="00AB3B90">
              <w:rPr>
                <w:rFonts w:asciiTheme="minorHAnsi" w:hAnsiTheme="minorHAnsi" w:cstheme="minorHAnsi"/>
                <w:sz w:val="22"/>
                <w:szCs w:val="24"/>
              </w:rPr>
              <w:t xml:space="preserve">for </w:t>
            </w:r>
            <w:r w:rsidRPr="00AB3B90">
              <w:rPr>
                <w:rFonts w:asciiTheme="minorHAnsi" w:hAnsiTheme="minorHAnsi" w:cstheme="minorHAnsi"/>
                <w:sz w:val="22"/>
                <w:szCs w:val="24"/>
              </w:rPr>
              <w:t>Education</w:t>
            </w:r>
            <w:r w:rsidR="00512201" w:rsidRPr="00AB3B90">
              <w:rPr>
                <w:rFonts w:asciiTheme="minorHAnsi" w:hAnsiTheme="minorHAnsi" w:cstheme="minorHAnsi"/>
                <w:sz w:val="22"/>
                <w:szCs w:val="24"/>
              </w:rPr>
              <w:t>, Children and Young People</w:t>
            </w:r>
          </w:p>
        </w:tc>
      </w:tr>
      <w:tr w:rsidR="005F06DF" w:rsidRPr="00AB3B90" w14:paraId="0B993810" w14:textId="77777777" w:rsidTr="008A5694">
        <w:tc>
          <w:tcPr>
            <w:tcW w:w="9060" w:type="dxa"/>
            <w:shd w:val="clear" w:color="auto" w:fill="9CC2E5" w:themeFill="accent1" w:themeFillTint="99"/>
          </w:tcPr>
          <w:p w14:paraId="4A04E2AD" w14:textId="0456E689" w:rsidR="005F06DF" w:rsidRPr="00AB3B90" w:rsidRDefault="005F06DF" w:rsidP="00A041BF">
            <w:pPr>
              <w:spacing w:before="60" w:after="60"/>
              <w:rPr>
                <w:rFonts w:asciiTheme="minorHAnsi" w:hAnsiTheme="minorHAnsi" w:cstheme="minorHAnsi"/>
                <w:sz w:val="22"/>
                <w:szCs w:val="24"/>
              </w:rPr>
            </w:pPr>
            <w:r w:rsidRPr="00AB3B90">
              <w:rPr>
                <w:rFonts w:asciiTheme="minorHAnsi" w:hAnsiTheme="minorHAnsi" w:cstheme="minorHAnsi"/>
                <w:sz w:val="22"/>
                <w:szCs w:val="24"/>
              </w:rPr>
              <w:t>Victoria</w:t>
            </w:r>
            <w:r w:rsidR="0065305B" w:rsidRPr="00AB3B90">
              <w:rPr>
                <w:rFonts w:asciiTheme="minorHAnsi" w:hAnsiTheme="minorHAnsi" w:cstheme="minorHAnsi"/>
                <w:sz w:val="22"/>
                <w:szCs w:val="24"/>
              </w:rPr>
              <w:t>n</w:t>
            </w:r>
            <w:r w:rsidRPr="00AB3B90">
              <w:rPr>
                <w:rFonts w:asciiTheme="minorHAnsi" w:hAnsiTheme="minorHAnsi" w:cstheme="minorHAnsi"/>
                <w:sz w:val="22"/>
                <w:szCs w:val="24"/>
              </w:rPr>
              <w:t xml:space="preserve"> Department of Education</w:t>
            </w:r>
          </w:p>
        </w:tc>
      </w:tr>
      <w:tr w:rsidR="005F06DF" w:rsidRPr="00AB3B90" w14:paraId="3BF30528" w14:textId="77777777" w:rsidTr="008A5694">
        <w:tc>
          <w:tcPr>
            <w:tcW w:w="9060" w:type="dxa"/>
            <w:tcBorders>
              <w:bottom w:val="single" w:sz="4" w:space="0" w:color="auto"/>
            </w:tcBorders>
            <w:shd w:val="clear" w:color="auto" w:fill="auto"/>
          </w:tcPr>
          <w:p w14:paraId="717F0909" w14:textId="74848B9D" w:rsidR="005F06DF" w:rsidRPr="00AB3B90" w:rsidRDefault="005F06DF" w:rsidP="00A041BF">
            <w:pPr>
              <w:spacing w:before="60" w:after="60"/>
              <w:rPr>
                <w:rFonts w:asciiTheme="minorHAnsi" w:hAnsiTheme="minorHAnsi" w:cstheme="minorHAnsi"/>
                <w:sz w:val="22"/>
                <w:szCs w:val="24"/>
              </w:rPr>
            </w:pPr>
            <w:r w:rsidRPr="00AB3B90">
              <w:rPr>
                <w:rFonts w:asciiTheme="minorHAnsi" w:hAnsiTheme="minorHAnsi" w:cstheme="minorHAnsi"/>
                <w:sz w:val="22"/>
                <w:szCs w:val="24"/>
              </w:rPr>
              <w:t>Western Australia Department of Education</w:t>
            </w:r>
          </w:p>
        </w:tc>
      </w:tr>
      <w:tr w:rsidR="006D1911" w:rsidRPr="00AB3B90" w14:paraId="061645DD" w14:textId="77777777" w:rsidTr="00DA7B39">
        <w:tc>
          <w:tcPr>
            <w:tcW w:w="9060" w:type="dxa"/>
            <w:tcBorders>
              <w:top w:val="single" w:sz="4" w:space="0" w:color="auto"/>
            </w:tcBorders>
            <w:shd w:val="clear" w:color="auto" w:fill="auto"/>
          </w:tcPr>
          <w:p w14:paraId="3CC983AC" w14:textId="727CC5BB" w:rsidR="006D1911" w:rsidRPr="00AB3B90" w:rsidRDefault="006D1911" w:rsidP="00A041BF">
            <w:pPr>
              <w:spacing w:before="60" w:after="60"/>
              <w:rPr>
                <w:rFonts w:asciiTheme="minorHAnsi" w:hAnsiTheme="minorHAnsi" w:cstheme="minorHAnsi"/>
                <w:b/>
                <w:sz w:val="22"/>
                <w:szCs w:val="24"/>
              </w:rPr>
            </w:pPr>
            <w:r w:rsidRPr="00AB3B90">
              <w:rPr>
                <w:rFonts w:asciiTheme="minorHAnsi" w:hAnsiTheme="minorHAnsi" w:cstheme="minorHAnsi"/>
                <w:b/>
                <w:sz w:val="22"/>
                <w:szCs w:val="24"/>
              </w:rPr>
              <w:t xml:space="preserve">PEAK BODIES </w:t>
            </w:r>
          </w:p>
        </w:tc>
      </w:tr>
      <w:tr w:rsidR="005F06DF" w:rsidRPr="00AB3B90" w14:paraId="731EB48C" w14:textId="77777777" w:rsidTr="008A5694">
        <w:tc>
          <w:tcPr>
            <w:tcW w:w="9060" w:type="dxa"/>
            <w:shd w:val="clear" w:color="auto" w:fill="9CC2E5" w:themeFill="accent1" w:themeFillTint="99"/>
          </w:tcPr>
          <w:p w14:paraId="3523D363" w14:textId="77777777" w:rsidR="005F06DF" w:rsidRPr="00AB3B90" w:rsidRDefault="005F06DF" w:rsidP="00A041BF">
            <w:pPr>
              <w:spacing w:before="60" w:after="60"/>
              <w:rPr>
                <w:rFonts w:asciiTheme="minorHAnsi" w:hAnsiTheme="minorHAnsi" w:cstheme="minorHAnsi"/>
                <w:sz w:val="22"/>
                <w:szCs w:val="24"/>
              </w:rPr>
            </w:pPr>
            <w:r w:rsidRPr="00AB3B90">
              <w:rPr>
                <w:rFonts w:asciiTheme="minorHAnsi" w:hAnsiTheme="minorHAnsi" w:cstheme="minorHAnsi"/>
                <w:sz w:val="22"/>
                <w:szCs w:val="24"/>
              </w:rPr>
              <w:t>Independent Schools Australia</w:t>
            </w:r>
          </w:p>
        </w:tc>
      </w:tr>
      <w:tr w:rsidR="005F06DF" w:rsidRPr="00AB3B90" w14:paraId="60FCE380" w14:textId="77777777" w:rsidTr="008A5694">
        <w:tc>
          <w:tcPr>
            <w:tcW w:w="9060" w:type="dxa"/>
            <w:shd w:val="clear" w:color="auto" w:fill="auto"/>
          </w:tcPr>
          <w:p w14:paraId="6E38B63B" w14:textId="77777777" w:rsidR="005F06DF" w:rsidRPr="00AB3B90" w:rsidRDefault="005F06DF" w:rsidP="00A041BF">
            <w:pPr>
              <w:spacing w:before="60" w:after="60"/>
              <w:rPr>
                <w:rFonts w:asciiTheme="minorHAnsi" w:hAnsiTheme="minorHAnsi" w:cstheme="minorHAnsi"/>
                <w:sz w:val="22"/>
                <w:szCs w:val="24"/>
              </w:rPr>
            </w:pPr>
            <w:r w:rsidRPr="00AB3B90">
              <w:rPr>
                <w:rFonts w:asciiTheme="minorHAnsi" w:hAnsiTheme="minorHAnsi" w:cstheme="minorHAnsi"/>
                <w:sz w:val="22"/>
                <w:szCs w:val="24"/>
              </w:rPr>
              <w:t>National Catholic Education Commission</w:t>
            </w:r>
          </w:p>
        </w:tc>
      </w:tr>
    </w:tbl>
    <w:p w14:paraId="29FE1B56" w14:textId="62760410" w:rsidR="0044020F" w:rsidRPr="00AB3B90" w:rsidRDefault="00E44019" w:rsidP="00C24FE8">
      <w:pPr>
        <w:pStyle w:val="Heading1"/>
        <w:sectPr w:rsidR="0044020F" w:rsidRPr="00AB3B90" w:rsidSect="00DA031A">
          <w:headerReference w:type="even" r:id="rId66"/>
          <w:headerReference w:type="default" r:id="rId67"/>
          <w:footerReference w:type="default" r:id="rId68"/>
          <w:headerReference w:type="first" r:id="rId69"/>
          <w:pgSz w:w="11906" w:h="16838"/>
          <w:pgMar w:top="1080" w:right="1440" w:bottom="1080" w:left="1440" w:header="680" w:footer="357" w:gutter="0"/>
          <w:cols w:space="708"/>
          <w:docGrid w:linePitch="360"/>
        </w:sectPr>
      </w:pPr>
      <w:r w:rsidRPr="00AB3B90">
        <w:br w:type="page"/>
      </w:r>
    </w:p>
    <w:p w14:paraId="2B34255C" w14:textId="2D0DDBA1" w:rsidR="00C76A8F" w:rsidRPr="00AB3B90" w:rsidRDefault="00C76A8F" w:rsidP="00992FB7">
      <w:pPr>
        <w:pStyle w:val="Heading1"/>
      </w:pPr>
      <w:bookmarkStart w:id="174" w:name="_Ref160802044"/>
      <w:bookmarkStart w:id="175" w:name="_Toc71021827"/>
      <w:bookmarkStart w:id="176" w:name="_Toc163650459"/>
      <w:r w:rsidRPr="00AB3B90">
        <w:t xml:space="preserve">Appendix </w:t>
      </w:r>
      <w:r w:rsidR="000A320A" w:rsidRPr="00AB3B90">
        <w:t>F</w:t>
      </w:r>
      <w:r w:rsidR="0084033A" w:rsidRPr="00AB3B90">
        <w:t xml:space="preserve"> – Additional data</w:t>
      </w:r>
      <w:bookmarkEnd w:id="174"/>
      <w:bookmarkEnd w:id="176"/>
    </w:p>
    <w:p w14:paraId="6E913C00" w14:textId="7ED19D11" w:rsidR="00C76A8F" w:rsidRPr="00AB3B90" w:rsidRDefault="004C692F" w:rsidP="009F66CD">
      <w:pPr>
        <w:pStyle w:val="Heading3"/>
        <w:rPr>
          <w:rFonts w:eastAsiaTheme="minorHAnsi" w:cstheme="minorBidi"/>
          <w:sz w:val="22"/>
          <w:szCs w:val="22"/>
        </w:rPr>
      </w:pPr>
      <w:r w:rsidRPr="00AB3B90">
        <w:t>Additional data and figures</w:t>
      </w:r>
    </w:p>
    <w:p w14:paraId="1132F9EF" w14:textId="0BFC0670" w:rsidR="00B22CEB" w:rsidRDefault="00AB1350" w:rsidP="00E37ADA">
      <w:pPr>
        <w:rPr>
          <w:bCs/>
          <w:noProof/>
        </w:rPr>
      </w:pPr>
      <w:bookmarkStart w:id="177" w:name="_Ref160802016"/>
      <w:bookmarkStart w:id="178" w:name="_Ref160802136"/>
      <w:bookmarkStart w:id="179" w:name="_Toc163650474"/>
      <w:r w:rsidRPr="00AB3B90">
        <w:t xml:space="preserve">Figure </w:t>
      </w:r>
      <w:r w:rsidRPr="00F07C8B">
        <w:rPr>
          <w:sz w:val="24"/>
        </w:rPr>
        <w:fldChar w:fldCharType="begin"/>
      </w:r>
      <w:r w:rsidRPr="00AB3B90">
        <w:instrText>SEQ Figure \* ARABIC</w:instrText>
      </w:r>
      <w:r w:rsidRPr="00F07C8B">
        <w:rPr>
          <w:sz w:val="24"/>
        </w:rPr>
        <w:fldChar w:fldCharType="separate"/>
      </w:r>
      <w:r w:rsidR="00FF6847" w:rsidRPr="00AB3B90">
        <w:rPr>
          <w:noProof/>
        </w:rPr>
        <w:t>13</w:t>
      </w:r>
      <w:r w:rsidRPr="00F07C8B">
        <w:rPr>
          <w:sz w:val="24"/>
        </w:rPr>
        <w:fldChar w:fldCharType="end"/>
      </w:r>
      <w:bookmarkEnd w:id="177"/>
      <w:r w:rsidRPr="00AB3B90">
        <w:t xml:space="preserve"> Salary increases for government sector teachers stipulated in </w:t>
      </w:r>
      <w:r w:rsidR="00642DA1">
        <w:t>state and territory</w:t>
      </w:r>
      <w:r w:rsidRPr="00AB3B90">
        <w:t xml:space="preserve"> </w:t>
      </w:r>
      <w:r w:rsidR="007B216D" w:rsidRPr="00AB3B90">
        <w:t>E</w:t>
      </w:r>
      <w:r w:rsidRPr="00AB3B90">
        <w:t xml:space="preserve">nterprise </w:t>
      </w:r>
      <w:r w:rsidR="007B216D" w:rsidRPr="00AB3B90">
        <w:t>B</w:t>
      </w:r>
      <w:r w:rsidRPr="00AB3B90">
        <w:t xml:space="preserve">argaining </w:t>
      </w:r>
      <w:r w:rsidR="007B216D" w:rsidRPr="00AB3B90">
        <w:t>A</w:t>
      </w:r>
      <w:r w:rsidRPr="00AB3B90">
        <w:t>greements</w:t>
      </w:r>
      <w:r w:rsidR="007B216D" w:rsidRPr="00AB3B90">
        <w:t>. 2018</w:t>
      </w:r>
      <w:r w:rsidR="00EB5004" w:rsidRPr="00AB3B90">
        <w:t>–</w:t>
      </w:r>
      <w:r w:rsidR="007B216D" w:rsidRPr="00AB3B90">
        <w:t>2024</w:t>
      </w:r>
      <w:bookmarkEnd w:id="178"/>
      <w:bookmarkEnd w:id="179"/>
    </w:p>
    <w:p w14:paraId="6DF5C3F9" w14:textId="71D87903" w:rsidR="00FD4979" w:rsidRPr="00FD4979" w:rsidRDefault="00FD4979" w:rsidP="00B651CD">
      <w:pPr>
        <w:spacing w:before="100" w:beforeAutospacing="1" w:after="100" w:afterAutospacing="1" w:line="240" w:lineRule="auto"/>
        <w:rPr>
          <w:rFonts w:ascii="Times New Roman" w:eastAsia="Times New Roman" w:hAnsi="Times New Roman" w:cs="Times New Roman"/>
          <w:sz w:val="24"/>
          <w:szCs w:val="24"/>
          <w:lang w:eastAsia="en-AU"/>
        </w:rPr>
      </w:pPr>
      <w:r w:rsidRPr="00FD4979">
        <w:rPr>
          <w:rFonts w:ascii="Times New Roman" w:eastAsia="Times New Roman" w:hAnsi="Times New Roman" w:cs="Times New Roman"/>
          <w:noProof/>
          <w:sz w:val="24"/>
          <w:szCs w:val="24"/>
          <w:lang w:eastAsia="en-AU"/>
        </w:rPr>
        <w:drawing>
          <wp:inline distT="0" distB="0" distL="0" distR="0" wp14:anchorId="684659F4" wp14:editId="68BD40F5">
            <wp:extent cx="8160444" cy="3964580"/>
            <wp:effectExtent l="0" t="0" r="0" b="0"/>
            <wp:docPr id="744717551" name="Picture 13" descr="Figure 13 is a diagram depicting salary increases for government sector teachers stipulated in state and territory Enterprise Bargaining Agreements from 2018–2024, as described in section 4.3 of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7551" name="Picture 13" descr="Figure 13 is a diagram depicting salary increases for government sector teachers stipulated in state and territory Enterprise Bargaining Agreements from 2018–2024, as described in section 4.3 of the report"/>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195860" cy="3981786"/>
                    </a:xfrm>
                    <a:prstGeom prst="rect">
                      <a:avLst/>
                    </a:prstGeom>
                    <a:noFill/>
                    <a:ln>
                      <a:noFill/>
                    </a:ln>
                  </pic:spPr>
                </pic:pic>
              </a:graphicData>
            </a:graphic>
          </wp:inline>
        </w:drawing>
      </w:r>
    </w:p>
    <w:p w14:paraId="7652BE9E" w14:textId="0A945298" w:rsidR="006959D0" w:rsidRPr="00AB3B90" w:rsidRDefault="006959D0" w:rsidP="006959D0">
      <w:pPr>
        <w:pStyle w:val="Source"/>
        <w:spacing w:after="0"/>
        <w:rPr>
          <w:iCs/>
        </w:rPr>
      </w:pPr>
      <w:r w:rsidRPr="00AB3B90">
        <w:t>Notes: *</w:t>
      </w:r>
      <w:r w:rsidR="00384A67">
        <w:t xml:space="preserve"> </w:t>
      </w:r>
      <w:r w:rsidRPr="00AB3B90">
        <w:t xml:space="preserve">Teaching levels were reclassified, leading to substantial salary increases for certain teachers. </w:t>
      </w:r>
      <w:r w:rsidR="00375331" w:rsidRPr="00AB3B90">
        <w:t xml:space="preserve">** </w:t>
      </w:r>
      <w:proofErr w:type="gramStart"/>
      <w:r w:rsidR="00300877" w:rsidRPr="00AB3B90">
        <w:t>Plus</w:t>
      </w:r>
      <w:proofErr w:type="gramEnd"/>
      <w:r w:rsidR="00300877" w:rsidRPr="00AB3B90">
        <w:t xml:space="preserve"> cost of living lump sum (3</w:t>
      </w:r>
      <w:r w:rsidR="00195100" w:rsidRPr="00AB3B90">
        <w:t>% x base salary.</w:t>
      </w:r>
    </w:p>
    <w:p w14:paraId="5F67A391" w14:textId="5E0440CD" w:rsidR="006959D0" w:rsidRPr="00AB3B90" w:rsidRDefault="006959D0" w:rsidP="006959D0">
      <w:pPr>
        <w:pStyle w:val="Source"/>
        <w:spacing w:before="0" w:after="0"/>
        <w:rPr>
          <w:iCs/>
        </w:rPr>
      </w:pPr>
      <w:r w:rsidRPr="00AB3B90">
        <w:t xml:space="preserve">Source: Deloitte Access Economics (2024) and </w:t>
      </w:r>
      <w:r w:rsidRPr="00AB3B90">
        <w:rPr>
          <w:szCs w:val="14"/>
        </w:rPr>
        <w:t xml:space="preserve">as outlined in </w:t>
      </w:r>
      <w:r w:rsidR="00066617" w:rsidRPr="00AB3B90">
        <w:rPr>
          <w:szCs w:val="14"/>
        </w:rPr>
        <w:fldChar w:fldCharType="begin"/>
      </w:r>
      <w:r w:rsidR="00066617" w:rsidRPr="00AB3B90">
        <w:rPr>
          <w:szCs w:val="14"/>
        </w:rPr>
        <w:instrText xml:space="preserve"> REF _Ref160801625 \h </w:instrText>
      </w:r>
      <w:r w:rsidR="00065A8C" w:rsidRPr="00AB3B90">
        <w:rPr>
          <w:szCs w:val="14"/>
        </w:rPr>
        <w:instrText xml:space="preserve"> \* MERGEFORMAT </w:instrText>
      </w:r>
      <w:r w:rsidR="00066617" w:rsidRPr="00AB3B90">
        <w:rPr>
          <w:szCs w:val="14"/>
        </w:rPr>
      </w:r>
      <w:r w:rsidR="00066617" w:rsidRPr="00AB3B90">
        <w:rPr>
          <w:szCs w:val="14"/>
        </w:rPr>
        <w:fldChar w:fldCharType="separate"/>
      </w:r>
      <w:r w:rsidR="00FF6847" w:rsidRPr="00AB3B90">
        <w:t xml:space="preserve">Table </w:t>
      </w:r>
      <w:r w:rsidR="00FF6847" w:rsidRPr="00AB3B90">
        <w:rPr>
          <w:noProof/>
        </w:rPr>
        <w:t>11</w:t>
      </w:r>
      <w:r w:rsidR="00066617" w:rsidRPr="00AB3B90">
        <w:rPr>
          <w:szCs w:val="14"/>
        </w:rPr>
        <w:fldChar w:fldCharType="end"/>
      </w:r>
    </w:p>
    <w:p w14:paraId="02B386E4" w14:textId="0660C842" w:rsidR="000A7BA6" w:rsidRPr="00AB3B90" w:rsidRDefault="000A7BA6" w:rsidP="000A7BA6">
      <w:pPr>
        <w:pStyle w:val="Caption"/>
        <w:keepNext/>
      </w:pPr>
      <w:bookmarkStart w:id="180" w:name="_Ref160802225"/>
      <w:bookmarkStart w:id="181" w:name="_Toc163650475"/>
      <w:r w:rsidRPr="00AB3B90">
        <w:t xml:space="preserve">Figure </w:t>
      </w:r>
      <w:r w:rsidRPr="00AB3B90">
        <w:fldChar w:fldCharType="begin"/>
      </w:r>
      <w:r w:rsidRPr="00AB3B90">
        <w:instrText>SEQ Figure \* ARABIC</w:instrText>
      </w:r>
      <w:r w:rsidRPr="00AB3B90">
        <w:fldChar w:fldCharType="separate"/>
      </w:r>
      <w:r w:rsidR="00FF6847" w:rsidRPr="00AB3B90">
        <w:rPr>
          <w:noProof/>
        </w:rPr>
        <w:t>14</w:t>
      </w:r>
      <w:r w:rsidRPr="00AB3B90">
        <w:fldChar w:fldCharType="end"/>
      </w:r>
      <w:bookmarkEnd w:id="180"/>
      <w:r w:rsidRPr="00AB3B90">
        <w:t xml:space="preserve"> Salary increases for non-government sector teachers stipulated in relevant Enterprise Bargaining Agreements, 2018</w:t>
      </w:r>
      <w:r w:rsidR="00EB5004" w:rsidRPr="00AB3B90">
        <w:t>–</w:t>
      </w:r>
      <w:r w:rsidRPr="00AB3B90">
        <w:t>2024</w:t>
      </w:r>
      <w:bookmarkEnd w:id="181"/>
    </w:p>
    <w:p w14:paraId="5695E893" w14:textId="6F873E4F" w:rsidR="00CC33B5" w:rsidRPr="00CC33B5" w:rsidRDefault="00CC33B5" w:rsidP="00B651CD">
      <w:pPr>
        <w:spacing w:before="100" w:beforeAutospacing="1" w:after="100" w:afterAutospacing="1" w:line="240" w:lineRule="auto"/>
        <w:rPr>
          <w:rFonts w:ascii="Times New Roman" w:eastAsia="Times New Roman" w:hAnsi="Times New Roman" w:cs="Times New Roman"/>
          <w:sz w:val="24"/>
          <w:szCs w:val="24"/>
          <w:lang w:eastAsia="en-AU"/>
        </w:rPr>
      </w:pPr>
      <w:r w:rsidRPr="00CC33B5">
        <w:rPr>
          <w:rFonts w:ascii="Times New Roman" w:eastAsia="Times New Roman" w:hAnsi="Times New Roman" w:cs="Times New Roman"/>
          <w:noProof/>
          <w:sz w:val="24"/>
          <w:szCs w:val="24"/>
          <w:lang w:eastAsia="en-AU"/>
        </w:rPr>
        <w:drawing>
          <wp:inline distT="0" distB="0" distL="0" distR="0" wp14:anchorId="71F17156" wp14:editId="0B59C6F2">
            <wp:extent cx="8629170" cy="4610885"/>
            <wp:effectExtent l="0" t="0" r="635" b="0"/>
            <wp:docPr id="365812164" name="Picture 14" descr="Figure 114 3 is a diagram depicting salary increases for non-government sector teachers stipulated in state and territory Enterprise Bargaining Agreements from 2018–2024, as described in section 4.3 of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12164" name="Picture 14" descr="Figure 114 3 is a diagram depicting salary increases for non-government sector teachers stipulated in state and territory Enterprise Bargaining Agreements from 2018–2024, as described in section 4.3 of the repor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641389" cy="4617414"/>
                    </a:xfrm>
                    <a:prstGeom prst="rect">
                      <a:avLst/>
                    </a:prstGeom>
                    <a:noFill/>
                    <a:ln>
                      <a:noFill/>
                    </a:ln>
                  </pic:spPr>
                </pic:pic>
              </a:graphicData>
            </a:graphic>
          </wp:inline>
        </w:drawing>
      </w:r>
    </w:p>
    <w:p w14:paraId="15B6A136" w14:textId="77777777" w:rsidR="00AD6E50" w:rsidRPr="00AB3B90" w:rsidRDefault="00AD6E50" w:rsidP="00DD6988">
      <w:pPr>
        <w:pStyle w:val="Source"/>
      </w:pPr>
      <w:r w:rsidRPr="00AB3B90">
        <w:t xml:space="preserve">Notes: The absence of an available EBA may be due to it not being publicly accessible or not in existence at the time.  </w:t>
      </w:r>
    </w:p>
    <w:p w14:paraId="2350C421" w14:textId="0843B0F1" w:rsidR="00DD6988" w:rsidRPr="00AB3B90" w:rsidRDefault="00AD6E50" w:rsidP="00293604">
      <w:pPr>
        <w:pStyle w:val="Source"/>
      </w:pPr>
      <w:r w:rsidRPr="00AB3B90">
        <w:t xml:space="preserve">Source: Deloitte Access Economics (2024) and as outlined in </w:t>
      </w:r>
      <w:r w:rsidR="00066617" w:rsidRPr="00AB3B90">
        <w:fldChar w:fldCharType="begin"/>
      </w:r>
      <w:r w:rsidR="00066617" w:rsidRPr="00AB3B90">
        <w:instrText xml:space="preserve"> REF _Ref160801610 \h </w:instrText>
      </w:r>
      <w:r w:rsidR="00065A8C" w:rsidRPr="00AB3B90">
        <w:instrText xml:space="preserve"> \* MERGEFORMAT </w:instrText>
      </w:r>
      <w:r w:rsidR="00066617" w:rsidRPr="00AB3B90">
        <w:fldChar w:fldCharType="separate"/>
      </w:r>
      <w:r w:rsidR="00FF6847" w:rsidRPr="00AB3B90">
        <w:t xml:space="preserve">Table </w:t>
      </w:r>
      <w:r w:rsidR="00FF6847" w:rsidRPr="00AB3B90">
        <w:rPr>
          <w:noProof/>
        </w:rPr>
        <w:t>13</w:t>
      </w:r>
      <w:r w:rsidR="00066617" w:rsidRPr="00AB3B90">
        <w:fldChar w:fldCharType="end"/>
      </w:r>
      <w:r w:rsidRPr="00AB3B90">
        <w:t>.</w:t>
      </w:r>
      <w:r w:rsidR="00293604">
        <w:t xml:space="preserve"> </w:t>
      </w:r>
      <w:r w:rsidR="00DD6988" w:rsidRPr="00AB3B90">
        <w:br w:type="page"/>
      </w:r>
    </w:p>
    <w:p w14:paraId="33CF7579" w14:textId="1C77FB9D" w:rsidR="006F7D3D" w:rsidRPr="00AB3B90" w:rsidRDefault="006F7D3D" w:rsidP="006F7D3D">
      <w:pPr>
        <w:pStyle w:val="Caption"/>
        <w:keepNext/>
      </w:pPr>
      <w:bookmarkStart w:id="182" w:name="_Ref160802290"/>
      <w:bookmarkStart w:id="183" w:name="_Toc163650476"/>
      <w:r w:rsidRPr="00AB3B90">
        <w:t xml:space="preserve">Figure </w:t>
      </w:r>
      <w:r w:rsidRPr="00AB3B90">
        <w:fldChar w:fldCharType="begin"/>
      </w:r>
      <w:r w:rsidRPr="00AB3B90">
        <w:instrText>SEQ Figure \* ARABIC</w:instrText>
      </w:r>
      <w:r w:rsidRPr="00AB3B90">
        <w:fldChar w:fldCharType="separate"/>
      </w:r>
      <w:r w:rsidR="00FF6847" w:rsidRPr="00AB3B90">
        <w:rPr>
          <w:noProof/>
        </w:rPr>
        <w:t>15</w:t>
      </w:r>
      <w:r w:rsidRPr="00AB3B90">
        <w:fldChar w:fldCharType="end"/>
      </w:r>
      <w:bookmarkEnd w:id="182"/>
      <w:r w:rsidRPr="00AB3B90">
        <w:t xml:space="preserve"> </w:t>
      </w:r>
      <w:r w:rsidR="009713BD" w:rsidRPr="00AB3B90">
        <w:t xml:space="preserve">Salary increases for Government sector administrative &amp; clerical staff stipulated in relevant </w:t>
      </w:r>
      <w:r w:rsidR="00642DA1">
        <w:t>state and territory</w:t>
      </w:r>
      <w:r w:rsidR="009713BD" w:rsidRPr="00AB3B90">
        <w:t xml:space="preserve"> Enterprise Bargaining Agreements</w:t>
      </w:r>
      <w:r w:rsidRPr="00AB3B90">
        <w:t>, 201</w:t>
      </w:r>
      <w:r w:rsidR="00B024E9" w:rsidRPr="00AB3B90">
        <w:t>8</w:t>
      </w:r>
      <w:r w:rsidR="00EB5004" w:rsidRPr="00AB3B90">
        <w:t>–</w:t>
      </w:r>
      <w:r w:rsidRPr="00AB3B90">
        <w:t>2024</w:t>
      </w:r>
      <w:bookmarkEnd w:id="183"/>
    </w:p>
    <w:p w14:paraId="1BCFA1C2" w14:textId="6CE9A678" w:rsidR="00FC77A1" w:rsidRPr="00FC77A1" w:rsidRDefault="00FC77A1" w:rsidP="00D55757">
      <w:pPr>
        <w:spacing w:before="100" w:beforeAutospacing="1" w:after="100" w:afterAutospacing="1" w:line="240" w:lineRule="auto"/>
        <w:rPr>
          <w:rFonts w:ascii="Times New Roman" w:eastAsia="Times New Roman" w:hAnsi="Times New Roman" w:cs="Times New Roman"/>
          <w:sz w:val="24"/>
          <w:szCs w:val="24"/>
          <w:lang w:eastAsia="en-AU"/>
        </w:rPr>
      </w:pPr>
      <w:r w:rsidRPr="00FC77A1">
        <w:rPr>
          <w:rFonts w:ascii="Times New Roman" w:eastAsia="Times New Roman" w:hAnsi="Times New Roman" w:cs="Times New Roman"/>
          <w:noProof/>
          <w:sz w:val="24"/>
          <w:szCs w:val="24"/>
          <w:lang w:eastAsia="en-AU"/>
        </w:rPr>
        <w:drawing>
          <wp:inline distT="0" distB="0" distL="0" distR="0" wp14:anchorId="300A724C" wp14:editId="29ABA1F1">
            <wp:extent cx="7983711" cy="4299716"/>
            <wp:effectExtent l="0" t="0" r="0" b="5715"/>
            <wp:docPr id="1961453231" name="Picture 15" descr="Figure 15 is a diagram depicting salary increases for government sector administrative and clerical staff stipulated in relevant state and territory Enterprise Bargaining Agreements from 2018–2024, as described in section 4.3 of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53231" name="Picture 15" descr="Figure 15 is a diagram depicting salary increases for government sector administrative and clerical staff stipulated in relevant state and territory Enterprise Bargaining Agreements from 2018–2024, as described in section 4.3 of the repor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054552" cy="4337868"/>
                    </a:xfrm>
                    <a:prstGeom prst="rect">
                      <a:avLst/>
                    </a:prstGeom>
                    <a:noFill/>
                    <a:ln>
                      <a:noFill/>
                    </a:ln>
                  </pic:spPr>
                </pic:pic>
              </a:graphicData>
            </a:graphic>
          </wp:inline>
        </w:drawing>
      </w:r>
    </w:p>
    <w:p w14:paraId="37E4A0EC" w14:textId="6B7265B6" w:rsidR="00577A6E" w:rsidRPr="00AB3B90" w:rsidRDefault="00577A6E" w:rsidP="00577A6E">
      <w:pPr>
        <w:pStyle w:val="Source"/>
      </w:pPr>
      <w:r w:rsidRPr="00AB3B90">
        <w:t>Notes: *</w:t>
      </w:r>
      <w:r w:rsidR="00F36E3D">
        <w:t xml:space="preserve"> </w:t>
      </w:r>
      <w:r w:rsidRPr="00AB3B90">
        <w:t>Roles are governed by the same EBA as teaching staff. Please be aware that while Queensland specifies a 4</w:t>
      </w:r>
      <w:r w:rsidR="00EF14BF" w:rsidRPr="00AB3B90">
        <w:t> </w:t>
      </w:r>
      <w:r w:rsidRPr="00AB3B90">
        <w:t>per</w:t>
      </w:r>
      <w:r w:rsidR="00EF14BF" w:rsidRPr="00AB3B90">
        <w:t> </w:t>
      </w:r>
      <w:r w:rsidRPr="00AB3B90">
        <w:t xml:space="preserve">cent increase in September 2022, analysis of actual wages indicates that an increase may have occurred before the commencement of the EBA. </w:t>
      </w:r>
      <w:r w:rsidR="00852445" w:rsidRPr="00AB3B90">
        <w:t>**</w:t>
      </w:r>
      <w:r w:rsidR="00AA0B48" w:rsidRPr="00AB3B90">
        <w:t xml:space="preserve"> </w:t>
      </w:r>
      <w:proofErr w:type="gramStart"/>
      <w:r w:rsidR="00AA0B48" w:rsidRPr="00AB3B90">
        <w:t>Plus</w:t>
      </w:r>
      <w:proofErr w:type="gramEnd"/>
      <w:r w:rsidR="00AA0B48" w:rsidRPr="00AB3B90">
        <w:t xml:space="preserve"> cost of living lump sum </w:t>
      </w:r>
      <w:r w:rsidR="00F71748" w:rsidRPr="00AB3B90">
        <w:t>(3% x base sal</w:t>
      </w:r>
      <w:r w:rsidR="00754CBA" w:rsidRPr="00AB3B90">
        <w:t>ary).</w:t>
      </w:r>
    </w:p>
    <w:p w14:paraId="58FE55C6" w14:textId="5E59DDD5" w:rsidR="00577A6E" w:rsidRPr="00AB3B90" w:rsidRDefault="00577A6E" w:rsidP="00577A6E">
      <w:pPr>
        <w:pStyle w:val="Source"/>
      </w:pPr>
      <w:r w:rsidRPr="00AB3B90">
        <w:t xml:space="preserve">Source: Deloitte Access Economics (2024) and as outlined in </w:t>
      </w:r>
      <w:r w:rsidR="00E13382" w:rsidRPr="00AB3B90">
        <w:fldChar w:fldCharType="begin"/>
      </w:r>
      <w:r w:rsidR="00E13382" w:rsidRPr="00AB3B90">
        <w:instrText xml:space="preserve"> REF _Ref160801585 \h </w:instrText>
      </w:r>
      <w:r w:rsidR="00065A8C" w:rsidRPr="00AB3B90">
        <w:instrText xml:space="preserve"> \* MERGEFORMAT </w:instrText>
      </w:r>
      <w:r w:rsidR="00E13382" w:rsidRPr="00AB3B90">
        <w:fldChar w:fldCharType="separate"/>
      </w:r>
      <w:r w:rsidR="00FF6847" w:rsidRPr="00AB3B90">
        <w:t xml:space="preserve">Table </w:t>
      </w:r>
      <w:r w:rsidR="00FF6847" w:rsidRPr="00AB3B90">
        <w:rPr>
          <w:noProof/>
        </w:rPr>
        <w:t>12</w:t>
      </w:r>
      <w:r w:rsidR="00E13382" w:rsidRPr="00AB3B90">
        <w:fldChar w:fldCharType="end"/>
      </w:r>
    </w:p>
    <w:p w14:paraId="72E7E982" w14:textId="77777777" w:rsidR="001922FC" w:rsidRPr="00AB3B90" w:rsidRDefault="001922FC">
      <w:pPr>
        <w:spacing w:before="0" w:after="160"/>
        <w:sectPr w:rsidR="001922FC" w:rsidRPr="00AB3B90" w:rsidSect="00DA031A">
          <w:pgSz w:w="16838" w:h="11906" w:orient="landscape"/>
          <w:pgMar w:top="1440" w:right="1080" w:bottom="1440" w:left="1080" w:header="680" w:footer="357" w:gutter="0"/>
          <w:cols w:space="708"/>
          <w:docGrid w:linePitch="360"/>
        </w:sectPr>
      </w:pPr>
    </w:p>
    <w:p w14:paraId="5B59DD2F" w14:textId="731D59BB" w:rsidR="00FA76CA" w:rsidRPr="00AB3B90" w:rsidRDefault="00FA76CA" w:rsidP="00FA76CA">
      <w:pPr>
        <w:pStyle w:val="Heading1"/>
      </w:pPr>
      <w:bookmarkStart w:id="184" w:name="_Ref160802353"/>
      <w:bookmarkStart w:id="185" w:name="_Toc163650460"/>
      <w:r w:rsidRPr="00AB3B90">
        <w:t xml:space="preserve">Appendix </w:t>
      </w:r>
      <w:r w:rsidR="000A320A" w:rsidRPr="00AB3B90">
        <w:t>G</w:t>
      </w:r>
      <w:r w:rsidRPr="00AB3B90">
        <w:t xml:space="preserve"> – Methodology and data sources</w:t>
      </w:r>
      <w:bookmarkEnd w:id="184"/>
      <w:bookmarkEnd w:id="185"/>
    </w:p>
    <w:p w14:paraId="02BD47DC" w14:textId="77777777" w:rsidR="001922FC" w:rsidRPr="00AB3B90" w:rsidRDefault="001922FC" w:rsidP="009F66CD">
      <w:pPr>
        <w:pStyle w:val="Heading3un-numbered"/>
      </w:pPr>
      <w:r w:rsidRPr="00AB3B90">
        <w:t xml:space="preserve">Estimated growth in government sector staff wages and </w:t>
      </w:r>
      <w:proofErr w:type="gramStart"/>
      <w:r w:rsidRPr="00AB3B90">
        <w:t>salaries</w:t>
      </w:r>
      <w:proofErr w:type="gramEnd"/>
    </w:p>
    <w:p w14:paraId="327A872F" w14:textId="4148E024" w:rsidR="001922FC" w:rsidRPr="00AB3B90" w:rsidRDefault="001922FC" w:rsidP="001922FC">
      <w:r w:rsidRPr="00AB3B90">
        <w:t>To estimate the growth in government sector wages, this report initiated the estimation process by utilising EBAs</w:t>
      </w:r>
      <w:r w:rsidR="00173A83" w:rsidRPr="00AB3B90">
        <w:t xml:space="preserve"> </w:t>
      </w:r>
      <w:r w:rsidRPr="00AB3B90">
        <w:t xml:space="preserve">for government sector teachers and a subset of non-teaching staff in each state and territory. Publicly available EBAs spanning the period 2018 to 2024 were compiled (see </w:t>
      </w:r>
      <w:r w:rsidR="003C0B37" w:rsidRPr="00AB3B90">
        <w:fldChar w:fldCharType="begin"/>
      </w:r>
      <w:r w:rsidR="003C0B37" w:rsidRPr="00AB3B90">
        <w:instrText xml:space="preserve"> REF _Ref160801625 \h </w:instrText>
      </w:r>
      <w:r w:rsidR="00065A8C" w:rsidRPr="00AB3B90">
        <w:instrText xml:space="preserve"> \* MERGEFORMAT </w:instrText>
      </w:r>
      <w:r w:rsidR="003C0B37" w:rsidRPr="00AB3B90">
        <w:fldChar w:fldCharType="separate"/>
      </w:r>
      <w:r w:rsidR="00FF6847" w:rsidRPr="00AB3B90">
        <w:t xml:space="preserve">Table </w:t>
      </w:r>
      <w:r w:rsidR="00FF6847" w:rsidRPr="00AB3B90">
        <w:rPr>
          <w:noProof/>
        </w:rPr>
        <w:t>11</w:t>
      </w:r>
      <w:r w:rsidR="003C0B37" w:rsidRPr="00AB3B90">
        <w:fldChar w:fldCharType="end"/>
      </w:r>
      <w:r w:rsidRPr="00AB3B90">
        <w:t xml:space="preserve"> for the government sector teaching staff EBAs considered, and </w:t>
      </w:r>
      <w:r w:rsidR="003C0B37" w:rsidRPr="00AB3B90">
        <w:fldChar w:fldCharType="begin"/>
      </w:r>
      <w:r w:rsidR="003C0B37" w:rsidRPr="00AB3B90">
        <w:instrText xml:space="preserve"> REF _Ref160801585 \h </w:instrText>
      </w:r>
      <w:r w:rsidR="00065A8C" w:rsidRPr="00AB3B90">
        <w:instrText xml:space="preserve"> \* MERGEFORMAT </w:instrText>
      </w:r>
      <w:r w:rsidR="003C0B37" w:rsidRPr="00AB3B90">
        <w:fldChar w:fldCharType="separate"/>
      </w:r>
      <w:r w:rsidR="00FF6847" w:rsidRPr="00AB3B90">
        <w:t xml:space="preserve">Table </w:t>
      </w:r>
      <w:r w:rsidR="00FF6847" w:rsidRPr="00AB3B90">
        <w:rPr>
          <w:noProof/>
        </w:rPr>
        <w:t>12</w:t>
      </w:r>
      <w:r w:rsidR="003C0B37" w:rsidRPr="00AB3B90">
        <w:fldChar w:fldCharType="end"/>
      </w:r>
      <w:r w:rsidRPr="00AB3B90">
        <w:t xml:space="preserve"> for the government sector </w:t>
      </w:r>
      <w:r w:rsidR="00173A83" w:rsidRPr="00AB3B90">
        <w:br/>
      </w:r>
      <w:r w:rsidRPr="00AB3B90">
        <w:t xml:space="preserve">non-teaching staff EBAs considered), providing detailed information on stipulated salary increases and wages at various points in time for both teaching and non-teaching roles. </w:t>
      </w:r>
    </w:p>
    <w:p w14:paraId="21A0DBC3" w14:textId="11B2550D" w:rsidR="001922FC" w:rsidRPr="00AB3B90" w:rsidRDefault="001922FC" w:rsidP="001922FC">
      <w:r w:rsidRPr="00AB3B90">
        <w:t>For the analysis of teaching staff, the primary focus centred on classroom teachers across different pay grades. In the analysis of non-teaching staff, the primary emphasis was on administrative and clerical roles, encompassing positions like school officers, education officers, school assistants, education paraprofessional class, education support class, education assistants, and teachers</w:t>
      </w:r>
      <w:r w:rsidR="00CF6583" w:rsidRPr="00AB3B90">
        <w:t>’</w:t>
      </w:r>
      <w:r w:rsidRPr="00AB3B90">
        <w:t xml:space="preserve"> aides.</w:t>
      </w:r>
    </w:p>
    <w:p w14:paraId="331B8F79" w14:textId="77777777" w:rsidR="001922FC" w:rsidRPr="00AB3B90" w:rsidRDefault="001922FC" w:rsidP="001922FC">
      <w:r w:rsidRPr="00AB3B90">
        <w:t>Using the compiled EBAs and the detailed wage information within them, a month-to-month perspective of wages was established for each role in each state/territory throughout the specified period. From this month-to-month view, the annual average percentage increase in wages was calculated, considering growth from June quarter of the previous year to the June quarter of the current year. State-level averages for each year were then computed by taking an average across the different levels of staff under consideration.</w:t>
      </w:r>
    </w:p>
    <w:p w14:paraId="435BE14F" w14:textId="77777777" w:rsidR="001922FC" w:rsidRPr="00AB3B90" w:rsidRDefault="001922FC" w:rsidP="001922FC">
      <w:r w:rsidRPr="00AB3B90">
        <w:t>Several assumptions were necessary, and these are qualified in the following caveats:</w:t>
      </w:r>
    </w:p>
    <w:p w14:paraId="36DF7110" w14:textId="77777777" w:rsidR="001922FC" w:rsidRPr="0041629C" w:rsidRDefault="244A87B6" w:rsidP="0041629C">
      <w:pPr>
        <w:pStyle w:val="ListBullet"/>
      </w:pPr>
      <w:r w:rsidRPr="0041629C">
        <w:t>Excluded senior teachers classified separately from classroom teachers in state/territory EBAs during the analysis of teaching staff; the impact is expected to be minimal due to most EBAs stipulating a percentage increase across all levels.</w:t>
      </w:r>
    </w:p>
    <w:p w14:paraId="350132BA" w14:textId="77777777" w:rsidR="001922FC" w:rsidRPr="0041629C" w:rsidRDefault="244A87B6" w:rsidP="0041629C">
      <w:pPr>
        <w:pStyle w:val="ListBullet"/>
      </w:pPr>
      <w:r w:rsidRPr="0041629C">
        <w:t>New South Wales introduced a revised salary classification system in 2023, which increased the salaries of all teachers. The new classification is partially determined by the length of teachers' service. An average is calculated for teachers transitioning to both the lower and higher steps of the updated classification structure.</w:t>
      </w:r>
    </w:p>
    <w:p w14:paraId="0A03E117" w14:textId="77777777" w:rsidR="001922FC" w:rsidRPr="00AB3B90" w:rsidRDefault="001922FC" w:rsidP="009F66CD">
      <w:pPr>
        <w:pStyle w:val="Heading3un-numbered"/>
      </w:pPr>
      <w:r w:rsidRPr="00AB3B90">
        <w:t xml:space="preserve">Weighted average government sector wages </w:t>
      </w:r>
      <w:proofErr w:type="gramStart"/>
      <w:r w:rsidRPr="00AB3B90">
        <w:t>growth</w:t>
      </w:r>
      <w:proofErr w:type="gramEnd"/>
      <w:r w:rsidRPr="00AB3B90">
        <w:t xml:space="preserve"> </w:t>
      </w:r>
    </w:p>
    <w:p w14:paraId="51DEE8D3" w14:textId="77777777" w:rsidR="001922FC" w:rsidRPr="00AB3B90" w:rsidRDefault="001922FC" w:rsidP="001922FC">
      <w:r w:rsidRPr="00AB3B90">
        <w:t>To calculate the weighted average growth of government sector teachers and non-teaching wages, weights were applied to the estimated wage growth for each state and territory from 2019 to 2023. The weights were determined as follows:</w:t>
      </w:r>
    </w:p>
    <w:p w14:paraId="6F96CCB4" w14:textId="77777777" w:rsidR="001922FC" w:rsidRPr="0041629C" w:rsidRDefault="244A87B6" w:rsidP="0041629C">
      <w:pPr>
        <w:pStyle w:val="ListBullet"/>
      </w:pPr>
      <w:r w:rsidRPr="0041629C">
        <w:t>For government sector teacher wage growth, the weights were established based on the proportion of Full-Time Equivalent (FTE) government sector teaching staff in a state/territory relative to the total during the specified period.</w:t>
      </w:r>
    </w:p>
    <w:p w14:paraId="0737FE5E" w14:textId="34A26BD1" w:rsidR="001922FC" w:rsidRPr="00AB3B90" w:rsidRDefault="244A87B6" w:rsidP="0041629C">
      <w:pPr>
        <w:pStyle w:val="ListBullet"/>
      </w:pPr>
      <w:r w:rsidRPr="0041629C">
        <w:t>For government sector non-teacher wage growth, the weights were determined by the proportion of FTE government</w:t>
      </w:r>
      <w:r w:rsidRPr="00AB3B90">
        <w:t xml:space="preserve"> sector non-teaching staff.</w:t>
      </w:r>
    </w:p>
    <w:p w14:paraId="560F1015" w14:textId="77777777" w:rsidR="001922FC" w:rsidRPr="00AB3B90" w:rsidRDefault="001922FC">
      <w:pPr>
        <w:spacing w:before="0" w:after="160"/>
      </w:pPr>
      <w:r w:rsidRPr="00AB3B90">
        <w:br w:type="page"/>
      </w:r>
    </w:p>
    <w:p w14:paraId="0E7DAF13" w14:textId="4BF3B1C7" w:rsidR="0012078B" w:rsidRPr="00AB3B90" w:rsidRDefault="0012078B" w:rsidP="0012078B">
      <w:pPr>
        <w:pStyle w:val="Caption"/>
        <w:keepNext/>
      </w:pPr>
      <w:bookmarkStart w:id="186" w:name="_Ref160801625"/>
      <w:bookmarkStart w:id="187" w:name="_Toc161150710"/>
      <w:bookmarkStart w:id="188" w:name="_Toc163650487"/>
      <w:r w:rsidRPr="00AB3B90">
        <w:t xml:space="preserve">Table </w:t>
      </w:r>
      <w:r w:rsidRPr="00AB3B90">
        <w:fldChar w:fldCharType="begin"/>
      </w:r>
      <w:r w:rsidRPr="00AB3B90">
        <w:instrText>SEQ Table \* ARABIC</w:instrText>
      </w:r>
      <w:r w:rsidRPr="00AB3B90">
        <w:fldChar w:fldCharType="separate"/>
      </w:r>
      <w:r w:rsidR="00FF6847" w:rsidRPr="00AB3B90">
        <w:rPr>
          <w:noProof/>
        </w:rPr>
        <w:t>11</w:t>
      </w:r>
      <w:r w:rsidRPr="00AB3B90">
        <w:fldChar w:fldCharType="end"/>
      </w:r>
      <w:bookmarkEnd w:id="186"/>
      <w:r w:rsidRPr="00AB3B90">
        <w:t xml:space="preserve"> Government sector teaching staff Enterprise Bargaining Agreements</w:t>
      </w:r>
      <w:bookmarkEnd w:id="187"/>
      <w:bookmarkEnd w:id="188"/>
    </w:p>
    <w:tbl>
      <w:tblPr>
        <w:tblStyle w:val="Deloittetable"/>
        <w:tblW w:w="5000" w:type="pct"/>
        <w:tblCellMar>
          <w:left w:w="57" w:type="dxa"/>
          <w:right w:w="57" w:type="dxa"/>
        </w:tblCellMar>
        <w:tblLook w:val="04A0" w:firstRow="1" w:lastRow="0" w:firstColumn="1" w:lastColumn="0" w:noHBand="0" w:noVBand="1"/>
      </w:tblPr>
      <w:tblGrid>
        <w:gridCol w:w="1802"/>
        <w:gridCol w:w="5854"/>
        <w:gridCol w:w="1370"/>
      </w:tblGrid>
      <w:tr w:rsidR="0012078B" w:rsidRPr="00AB3B90" w14:paraId="671D5705" w14:textId="77777777">
        <w:trPr>
          <w:cnfStyle w:val="100000000000" w:firstRow="1" w:lastRow="0" w:firstColumn="0" w:lastColumn="0" w:oddVBand="0" w:evenVBand="0" w:oddHBand="0" w:evenHBand="0" w:firstRowFirstColumn="0" w:firstRowLastColumn="0" w:lastRowFirstColumn="0" w:lastRowLastColumn="0"/>
        </w:trPr>
        <w:tc>
          <w:tcPr>
            <w:tcW w:w="998" w:type="pct"/>
          </w:tcPr>
          <w:p w14:paraId="0542E624" w14:textId="77777777" w:rsidR="0012078B" w:rsidRPr="00AB3B90" w:rsidRDefault="0012078B">
            <w:pPr>
              <w:spacing w:after="0" w:line="240" w:lineRule="auto"/>
              <w:rPr>
                <w:rFonts w:asciiTheme="majorHAnsi" w:hAnsiTheme="majorHAnsi"/>
                <w:b/>
                <w:sz w:val="16"/>
                <w:szCs w:val="16"/>
              </w:rPr>
            </w:pPr>
            <w:r w:rsidRPr="00AB3B90">
              <w:rPr>
                <w:rFonts w:asciiTheme="majorHAnsi" w:hAnsiTheme="majorHAnsi"/>
                <w:b/>
                <w:sz w:val="16"/>
                <w:szCs w:val="16"/>
              </w:rPr>
              <w:t>State or Territory</w:t>
            </w:r>
          </w:p>
        </w:tc>
        <w:tc>
          <w:tcPr>
            <w:tcW w:w="3243" w:type="pct"/>
          </w:tcPr>
          <w:p w14:paraId="7283B28A" w14:textId="77777777" w:rsidR="0012078B" w:rsidRPr="00AB3B90" w:rsidRDefault="0012078B">
            <w:pPr>
              <w:spacing w:after="0" w:line="240" w:lineRule="auto"/>
              <w:rPr>
                <w:rFonts w:asciiTheme="majorHAnsi" w:hAnsiTheme="majorHAnsi"/>
                <w:b/>
                <w:sz w:val="16"/>
                <w:szCs w:val="16"/>
              </w:rPr>
            </w:pPr>
            <w:r w:rsidRPr="00AB3B90">
              <w:rPr>
                <w:rFonts w:asciiTheme="majorHAnsi" w:hAnsiTheme="majorHAnsi"/>
                <w:b/>
                <w:sz w:val="16"/>
                <w:szCs w:val="16"/>
              </w:rPr>
              <w:t>Enterprise Bargaining Agreement</w:t>
            </w:r>
          </w:p>
        </w:tc>
        <w:tc>
          <w:tcPr>
            <w:tcW w:w="759" w:type="pct"/>
          </w:tcPr>
          <w:p w14:paraId="41655291" w14:textId="77777777" w:rsidR="0012078B" w:rsidRPr="00AB3B90" w:rsidRDefault="0012078B">
            <w:pPr>
              <w:spacing w:after="0" w:line="240" w:lineRule="auto"/>
              <w:rPr>
                <w:rFonts w:asciiTheme="majorHAnsi" w:hAnsiTheme="majorHAnsi"/>
                <w:b/>
                <w:sz w:val="16"/>
                <w:szCs w:val="16"/>
              </w:rPr>
            </w:pPr>
            <w:r w:rsidRPr="00AB3B90">
              <w:rPr>
                <w:rFonts w:asciiTheme="majorHAnsi" w:hAnsiTheme="majorHAnsi"/>
                <w:b/>
                <w:sz w:val="16"/>
                <w:szCs w:val="16"/>
              </w:rPr>
              <w:t xml:space="preserve">Coverage </w:t>
            </w:r>
            <w:proofErr w:type="gramStart"/>
            <w:r w:rsidRPr="00AB3B90">
              <w:rPr>
                <w:rFonts w:asciiTheme="majorHAnsi" w:hAnsiTheme="majorHAnsi"/>
                <w:b/>
                <w:sz w:val="16"/>
                <w:szCs w:val="16"/>
              </w:rPr>
              <w:t>time period</w:t>
            </w:r>
            <w:proofErr w:type="gramEnd"/>
          </w:p>
        </w:tc>
      </w:tr>
      <w:tr w:rsidR="0012078B" w:rsidRPr="00AB3B90" w14:paraId="7C045382" w14:textId="77777777">
        <w:trPr>
          <w:trHeight w:val="242"/>
        </w:trPr>
        <w:tc>
          <w:tcPr>
            <w:tcW w:w="998" w:type="pct"/>
          </w:tcPr>
          <w:p w14:paraId="6BA04C8E"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Victoria</w:t>
            </w:r>
          </w:p>
        </w:tc>
        <w:tc>
          <w:tcPr>
            <w:tcW w:w="3243" w:type="pct"/>
          </w:tcPr>
          <w:p w14:paraId="7FA5D972"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Victorian Government Schools Agreement 2022</w:t>
            </w:r>
          </w:p>
        </w:tc>
        <w:tc>
          <w:tcPr>
            <w:tcW w:w="759" w:type="pct"/>
          </w:tcPr>
          <w:p w14:paraId="1893DFFB" w14:textId="6AFAB43C"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2022</w:t>
            </w:r>
            <w:r w:rsidR="00783252" w:rsidRPr="00AB3B90">
              <w:rPr>
                <w:rFonts w:asciiTheme="majorHAnsi" w:hAnsiTheme="majorHAnsi"/>
                <w:sz w:val="16"/>
                <w:szCs w:val="16"/>
              </w:rPr>
              <w:t>–</w:t>
            </w:r>
            <w:r w:rsidRPr="00AB3B90">
              <w:rPr>
                <w:rFonts w:asciiTheme="majorHAnsi" w:hAnsiTheme="majorHAnsi"/>
                <w:sz w:val="16"/>
                <w:szCs w:val="16"/>
              </w:rPr>
              <w:t>2025</w:t>
            </w:r>
          </w:p>
        </w:tc>
      </w:tr>
      <w:tr w:rsidR="0012078B" w:rsidRPr="00AB3B90" w14:paraId="31E3EBEF" w14:textId="77777777">
        <w:trPr>
          <w:trHeight w:val="264"/>
        </w:trPr>
        <w:tc>
          <w:tcPr>
            <w:tcW w:w="998" w:type="pct"/>
          </w:tcPr>
          <w:p w14:paraId="4D048C53"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Victoria</w:t>
            </w:r>
          </w:p>
        </w:tc>
        <w:tc>
          <w:tcPr>
            <w:tcW w:w="3243" w:type="pct"/>
          </w:tcPr>
          <w:p w14:paraId="42882DC9"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Victorian Government Schools Agreement 2017</w:t>
            </w:r>
          </w:p>
        </w:tc>
        <w:tc>
          <w:tcPr>
            <w:tcW w:w="759" w:type="pct"/>
          </w:tcPr>
          <w:p w14:paraId="7D51457E" w14:textId="1A473EA2"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2017</w:t>
            </w:r>
            <w:r w:rsidR="00783252" w:rsidRPr="00AB3B90">
              <w:rPr>
                <w:rFonts w:asciiTheme="majorHAnsi" w:hAnsiTheme="majorHAnsi"/>
                <w:sz w:val="16"/>
                <w:szCs w:val="16"/>
              </w:rPr>
              <w:t>–</w:t>
            </w:r>
            <w:r w:rsidRPr="00AB3B90">
              <w:rPr>
                <w:rFonts w:asciiTheme="majorHAnsi" w:hAnsiTheme="majorHAnsi"/>
                <w:sz w:val="16"/>
                <w:szCs w:val="16"/>
              </w:rPr>
              <w:t>2021</w:t>
            </w:r>
          </w:p>
        </w:tc>
      </w:tr>
      <w:tr w:rsidR="0012078B" w:rsidRPr="00AB3B90" w14:paraId="72AD7E64" w14:textId="77777777">
        <w:trPr>
          <w:trHeight w:val="455"/>
        </w:trPr>
        <w:tc>
          <w:tcPr>
            <w:tcW w:w="998" w:type="pct"/>
          </w:tcPr>
          <w:p w14:paraId="0FDEFEBA"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New South Wales</w:t>
            </w:r>
          </w:p>
        </w:tc>
        <w:tc>
          <w:tcPr>
            <w:tcW w:w="3243" w:type="pct"/>
          </w:tcPr>
          <w:p w14:paraId="78DEE34F" w14:textId="77777777" w:rsidR="0012078B" w:rsidRPr="00AB3B90" w:rsidRDefault="0012078B">
            <w:pPr>
              <w:spacing w:after="0" w:line="240" w:lineRule="auto"/>
              <w:rPr>
                <w:rFonts w:asciiTheme="majorHAnsi" w:hAnsiTheme="majorHAnsi"/>
                <w:sz w:val="16"/>
                <w:szCs w:val="16"/>
                <w:vertAlign w:val="superscript"/>
              </w:rPr>
            </w:pPr>
            <w:r w:rsidRPr="00AB3B90">
              <w:rPr>
                <w:rFonts w:asciiTheme="majorHAnsi" w:hAnsiTheme="majorHAnsi"/>
                <w:sz w:val="16"/>
                <w:szCs w:val="16"/>
              </w:rPr>
              <w:t>Crown Employees (Teachers in Schools and Related Employees) Salaries and Conditions Award 2022</w:t>
            </w:r>
            <w:r w:rsidRPr="00AB3B90">
              <w:rPr>
                <w:rFonts w:asciiTheme="majorHAnsi" w:hAnsiTheme="majorHAnsi"/>
                <w:sz w:val="16"/>
                <w:szCs w:val="16"/>
                <w:vertAlign w:val="superscript"/>
              </w:rPr>
              <w:t>*</w:t>
            </w:r>
          </w:p>
        </w:tc>
        <w:tc>
          <w:tcPr>
            <w:tcW w:w="759" w:type="pct"/>
          </w:tcPr>
          <w:p w14:paraId="19C34151" w14:textId="3D5BB84C"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2022</w:t>
            </w:r>
            <w:r w:rsidR="00783252" w:rsidRPr="00AB3B90">
              <w:rPr>
                <w:rFonts w:asciiTheme="majorHAnsi" w:hAnsiTheme="majorHAnsi"/>
                <w:sz w:val="16"/>
                <w:szCs w:val="16"/>
              </w:rPr>
              <w:t>–</w:t>
            </w:r>
            <w:r w:rsidRPr="00AB3B90">
              <w:rPr>
                <w:rFonts w:asciiTheme="majorHAnsi" w:hAnsiTheme="majorHAnsi"/>
                <w:sz w:val="16"/>
                <w:szCs w:val="16"/>
              </w:rPr>
              <w:t>2023</w:t>
            </w:r>
          </w:p>
        </w:tc>
      </w:tr>
      <w:tr w:rsidR="0012078B" w:rsidRPr="00AB3B90" w14:paraId="1E747ABB" w14:textId="77777777">
        <w:tc>
          <w:tcPr>
            <w:tcW w:w="998" w:type="pct"/>
          </w:tcPr>
          <w:p w14:paraId="04D6A47D"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New South Wales</w:t>
            </w:r>
          </w:p>
        </w:tc>
        <w:tc>
          <w:tcPr>
            <w:tcW w:w="3243" w:type="pct"/>
          </w:tcPr>
          <w:p w14:paraId="39710117"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Crown Employees (Teachers in Schools and Related Employees) Salaries and Conditions Award 2020</w:t>
            </w:r>
          </w:p>
        </w:tc>
        <w:tc>
          <w:tcPr>
            <w:tcW w:w="759" w:type="pct"/>
          </w:tcPr>
          <w:p w14:paraId="3F43933E" w14:textId="32FFE3BB"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2020</w:t>
            </w:r>
            <w:r w:rsidR="00783252" w:rsidRPr="00AB3B90">
              <w:rPr>
                <w:rFonts w:asciiTheme="majorHAnsi" w:hAnsiTheme="majorHAnsi"/>
                <w:sz w:val="16"/>
                <w:szCs w:val="16"/>
              </w:rPr>
              <w:t>–</w:t>
            </w:r>
            <w:r w:rsidRPr="00AB3B90">
              <w:rPr>
                <w:rFonts w:asciiTheme="majorHAnsi" w:hAnsiTheme="majorHAnsi"/>
                <w:sz w:val="16"/>
                <w:szCs w:val="16"/>
              </w:rPr>
              <w:t>2022</w:t>
            </w:r>
          </w:p>
        </w:tc>
      </w:tr>
      <w:tr w:rsidR="0012078B" w:rsidRPr="00AB3B90" w14:paraId="74349CA6" w14:textId="77777777">
        <w:tc>
          <w:tcPr>
            <w:tcW w:w="998" w:type="pct"/>
          </w:tcPr>
          <w:p w14:paraId="75951D2A"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New South Wales</w:t>
            </w:r>
          </w:p>
        </w:tc>
        <w:tc>
          <w:tcPr>
            <w:tcW w:w="3243" w:type="pct"/>
          </w:tcPr>
          <w:p w14:paraId="748CCE2A"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Crown Employees (Teachers in Schools and Related Employees) Salaries and Conditions Award 2017</w:t>
            </w:r>
          </w:p>
        </w:tc>
        <w:tc>
          <w:tcPr>
            <w:tcW w:w="759" w:type="pct"/>
          </w:tcPr>
          <w:p w14:paraId="58CE0F7A" w14:textId="266AC1F4"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2017</w:t>
            </w:r>
            <w:r w:rsidR="00783252" w:rsidRPr="00AB3B90">
              <w:rPr>
                <w:rFonts w:asciiTheme="majorHAnsi" w:hAnsiTheme="majorHAnsi"/>
                <w:sz w:val="16"/>
                <w:szCs w:val="16"/>
              </w:rPr>
              <w:t>–</w:t>
            </w:r>
            <w:r w:rsidRPr="00AB3B90">
              <w:rPr>
                <w:rFonts w:asciiTheme="majorHAnsi" w:hAnsiTheme="majorHAnsi"/>
                <w:sz w:val="16"/>
                <w:szCs w:val="16"/>
              </w:rPr>
              <w:t>2019</w:t>
            </w:r>
          </w:p>
        </w:tc>
      </w:tr>
      <w:tr w:rsidR="0012078B" w:rsidRPr="00AB3B90" w14:paraId="2C4688DA" w14:textId="77777777">
        <w:tc>
          <w:tcPr>
            <w:tcW w:w="998" w:type="pct"/>
          </w:tcPr>
          <w:p w14:paraId="216A8AA3"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Queensland</w:t>
            </w:r>
          </w:p>
        </w:tc>
        <w:tc>
          <w:tcPr>
            <w:tcW w:w="3243" w:type="pct"/>
          </w:tcPr>
          <w:p w14:paraId="0F554C49"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Department Of Education State School Teachers' Certified Agreement 2022</w:t>
            </w:r>
          </w:p>
        </w:tc>
        <w:tc>
          <w:tcPr>
            <w:tcW w:w="759" w:type="pct"/>
          </w:tcPr>
          <w:p w14:paraId="565C416B" w14:textId="6A58A19F"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2022</w:t>
            </w:r>
            <w:r w:rsidR="00783252" w:rsidRPr="00AB3B90">
              <w:rPr>
                <w:rFonts w:asciiTheme="majorHAnsi" w:hAnsiTheme="majorHAnsi"/>
                <w:sz w:val="16"/>
                <w:szCs w:val="16"/>
              </w:rPr>
              <w:t>–</w:t>
            </w:r>
            <w:r w:rsidRPr="00AB3B90">
              <w:rPr>
                <w:rFonts w:asciiTheme="majorHAnsi" w:hAnsiTheme="majorHAnsi"/>
                <w:sz w:val="16"/>
                <w:szCs w:val="16"/>
              </w:rPr>
              <w:t>2025</w:t>
            </w:r>
          </w:p>
        </w:tc>
      </w:tr>
      <w:tr w:rsidR="0012078B" w:rsidRPr="00AB3B90" w14:paraId="2DAB6F4D" w14:textId="77777777">
        <w:tc>
          <w:tcPr>
            <w:tcW w:w="998" w:type="pct"/>
          </w:tcPr>
          <w:p w14:paraId="28FCEB03"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Queensland</w:t>
            </w:r>
          </w:p>
        </w:tc>
        <w:tc>
          <w:tcPr>
            <w:tcW w:w="3243" w:type="pct"/>
          </w:tcPr>
          <w:p w14:paraId="09D0A770"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Department Of Education State School Teachers' Certified Agreement 2019</w:t>
            </w:r>
          </w:p>
        </w:tc>
        <w:tc>
          <w:tcPr>
            <w:tcW w:w="759" w:type="pct"/>
          </w:tcPr>
          <w:p w14:paraId="24B422E5" w14:textId="5D946E1B"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2019</w:t>
            </w:r>
            <w:r w:rsidR="00783252" w:rsidRPr="00AB3B90">
              <w:rPr>
                <w:rFonts w:asciiTheme="majorHAnsi" w:hAnsiTheme="majorHAnsi"/>
                <w:sz w:val="16"/>
                <w:szCs w:val="16"/>
              </w:rPr>
              <w:t>–</w:t>
            </w:r>
            <w:r w:rsidRPr="00AB3B90">
              <w:rPr>
                <w:rFonts w:asciiTheme="majorHAnsi" w:hAnsiTheme="majorHAnsi"/>
                <w:sz w:val="16"/>
                <w:szCs w:val="16"/>
              </w:rPr>
              <w:t>2022</w:t>
            </w:r>
          </w:p>
        </w:tc>
      </w:tr>
      <w:tr w:rsidR="0012078B" w:rsidRPr="00AB3B90" w14:paraId="4EAE2938" w14:textId="77777777">
        <w:trPr>
          <w:trHeight w:val="729"/>
        </w:trPr>
        <w:tc>
          <w:tcPr>
            <w:tcW w:w="998" w:type="pct"/>
          </w:tcPr>
          <w:p w14:paraId="24D9BB16"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Queensland</w:t>
            </w:r>
          </w:p>
        </w:tc>
        <w:tc>
          <w:tcPr>
            <w:tcW w:w="3243" w:type="pct"/>
          </w:tcPr>
          <w:p w14:paraId="4FEAF3DD"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Department of Education and Training State School Teachers' Certified Agreement 2016</w:t>
            </w:r>
          </w:p>
        </w:tc>
        <w:tc>
          <w:tcPr>
            <w:tcW w:w="759" w:type="pct"/>
          </w:tcPr>
          <w:p w14:paraId="039A39F5" w14:textId="164991DB"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2016</w:t>
            </w:r>
            <w:r w:rsidR="00783252" w:rsidRPr="00AB3B90">
              <w:rPr>
                <w:rFonts w:asciiTheme="majorHAnsi" w:hAnsiTheme="majorHAnsi"/>
                <w:sz w:val="16"/>
                <w:szCs w:val="16"/>
              </w:rPr>
              <w:t>–</w:t>
            </w:r>
            <w:r w:rsidRPr="00AB3B90">
              <w:rPr>
                <w:rFonts w:asciiTheme="majorHAnsi" w:hAnsiTheme="majorHAnsi"/>
                <w:sz w:val="16"/>
                <w:szCs w:val="16"/>
              </w:rPr>
              <w:t>2019</w:t>
            </w:r>
          </w:p>
        </w:tc>
      </w:tr>
      <w:tr w:rsidR="0012078B" w:rsidRPr="00AB3B90" w14:paraId="7DB3DD15" w14:textId="77777777">
        <w:tc>
          <w:tcPr>
            <w:tcW w:w="998" w:type="pct"/>
          </w:tcPr>
          <w:p w14:paraId="0A70328C"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Western Australia</w:t>
            </w:r>
          </w:p>
        </w:tc>
        <w:tc>
          <w:tcPr>
            <w:tcW w:w="3243" w:type="pct"/>
          </w:tcPr>
          <w:p w14:paraId="0D4FD93D"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School Education Act Employees’ (Teachers and Administrators) General Agreement 2021</w:t>
            </w:r>
          </w:p>
        </w:tc>
        <w:tc>
          <w:tcPr>
            <w:tcW w:w="759" w:type="pct"/>
          </w:tcPr>
          <w:p w14:paraId="4B4DAB5D" w14:textId="318CAD4C"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2022</w:t>
            </w:r>
            <w:r w:rsidR="00783252" w:rsidRPr="00AB3B90">
              <w:rPr>
                <w:rFonts w:asciiTheme="majorHAnsi" w:hAnsiTheme="majorHAnsi"/>
                <w:sz w:val="16"/>
                <w:szCs w:val="16"/>
              </w:rPr>
              <w:t>–</w:t>
            </w:r>
            <w:r w:rsidRPr="00AB3B90">
              <w:rPr>
                <w:rFonts w:asciiTheme="majorHAnsi" w:hAnsiTheme="majorHAnsi"/>
                <w:sz w:val="16"/>
                <w:szCs w:val="16"/>
              </w:rPr>
              <w:t>2023</w:t>
            </w:r>
          </w:p>
        </w:tc>
      </w:tr>
      <w:tr w:rsidR="0012078B" w:rsidRPr="00AB3B90" w14:paraId="0A0EEA5F" w14:textId="77777777">
        <w:tc>
          <w:tcPr>
            <w:tcW w:w="998" w:type="pct"/>
          </w:tcPr>
          <w:p w14:paraId="783567B6"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Western Australia</w:t>
            </w:r>
          </w:p>
        </w:tc>
        <w:tc>
          <w:tcPr>
            <w:tcW w:w="3243" w:type="pct"/>
          </w:tcPr>
          <w:p w14:paraId="33D89F56"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School Education Act Employees' (Teachers and Administrators) General Agreement 2019</w:t>
            </w:r>
          </w:p>
        </w:tc>
        <w:tc>
          <w:tcPr>
            <w:tcW w:w="759" w:type="pct"/>
          </w:tcPr>
          <w:p w14:paraId="18658794" w14:textId="05A2B69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2019</w:t>
            </w:r>
            <w:r w:rsidR="00783252" w:rsidRPr="00AB3B90">
              <w:rPr>
                <w:rFonts w:asciiTheme="majorHAnsi" w:hAnsiTheme="majorHAnsi"/>
                <w:sz w:val="16"/>
                <w:szCs w:val="16"/>
              </w:rPr>
              <w:t>–</w:t>
            </w:r>
            <w:r w:rsidRPr="00AB3B90">
              <w:rPr>
                <w:rFonts w:asciiTheme="majorHAnsi" w:hAnsiTheme="majorHAnsi"/>
                <w:sz w:val="16"/>
                <w:szCs w:val="16"/>
              </w:rPr>
              <w:t>2021</w:t>
            </w:r>
          </w:p>
        </w:tc>
      </w:tr>
      <w:tr w:rsidR="0012078B" w:rsidRPr="00AB3B90" w14:paraId="289B172B" w14:textId="77777777">
        <w:tc>
          <w:tcPr>
            <w:tcW w:w="998" w:type="pct"/>
          </w:tcPr>
          <w:p w14:paraId="7941FB6D"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South Australia</w:t>
            </w:r>
          </w:p>
        </w:tc>
        <w:tc>
          <w:tcPr>
            <w:tcW w:w="3243" w:type="pct"/>
          </w:tcPr>
          <w:p w14:paraId="73577849"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South Australian School and Preschool Education Staff Enterprise Agreement 2020</w:t>
            </w:r>
          </w:p>
        </w:tc>
        <w:tc>
          <w:tcPr>
            <w:tcW w:w="759" w:type="pct"/>
          </w:tcPr>
          <w:p w14:paraId="7DAE73BD" w14:textId="28D54831"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2020</w:t>
            </w:r>
            <w:r w:rsidR="00783252" w:rsidRPr="00AB3B90">
              <w:rPr>
                <w:rFonts w:asciiTheme="majorHAnsi" w:hAnsiTheme="majorHAnsi"/>
                <w:sz w:val="16"/>
                <w:szCs w:val="16"/>
              </w:rPr>
              <w:t>–</w:t>
            </w:r>
            <w:r w:rsidRPr="00AB3B90">
              <w:rPr>
                <w:rFonts w:asciiTheme="majorHAnsi" w:hAnsiTheme="majorHAnsi"/>
                <w:sz w:val="16"/>
                <w:szCs w:val="16"/>
              </w:rPr>
              <w:t>2023</w:t>
            </w:r>
          </w:p>
        </w:tc>
      </w:tr>
      <w:tr w:rsidR="0012078B" w:rsidRPr="00AB3B90" w14:paraId="252A5E0B" w14:textId="77777777">
        <w:tc>
          <w:tcPr>
            <w:tcW w:w="998" w:type="pct"/>
          </w:tcPr>
          <w:p w14:paraId="60D489B0"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Tasmania</w:t>
            </w:r>
          </w:p>
        </w:tc>
        <w:tc>
          <w:tcPr>
            <w:tcW w:w="3243" w:type="pct"/>
          </w:tcPr>
          <w:p w14:paraId="54B30033"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Teachers Agreement 2023</w:t>
            </w:r>
          </w:p>
        </w:tc>
        <w:tc>
          <w:tcPr>
            <w:tcW w:w="759" w:type="pct"/>
          </w:tcPr>
          <w:p w14:paraId="721B8781" w14:textId="658F2B4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2023</w:t>
            </w:r>
            <w:r w:rsidR="00783252" w:rsidRPr="00AB3B90">
              <w:rPr>
                <w:rFonts w:asciiTheme="majorHAnsi" w:hAnsiTheme="majorHAnsi"/>
                <w:sz w:val="16"/>
                <w:szCs w:val="16"/>
              </w:rPr>
              <w:t>–</w:t>
            </w:r>
            <w:r w:rsidRPr="00AB3B90">
              <w:rPr>
                <w:rFonts w:asciiTheme="majorHAnsi" w:hAnsiTheme="majorHAnsi"/>
                <w:sz w:val="16"/>
                <w:szCs w:val="16"/>
              </w:rPr>
              <w:t>2025</w:t>
            </w:r>
          </w:p>
        </w:tc>
      </w:tr>
      <w:tr w:rsidR="0012078B" w:rsidRPr="00AB3B90" w14:paraId="743CDC9C" w14:textId="77777777">
        <w:tc>
          <w:tcPr>
            <w:tcW w:w="998" w:type="pct"/>
          </w:tcPr>
          <w:p w14:paraId="6566A156"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Tasmania</w:t>
            </w:r>
          </w:p>
        </w:tc>
        <w:tc>
          <w:tcPr>
            <w:tcW w:w="3243" w:type="pct"/>
          </w:tcPr>
          <w:p w14:paraId="2D485C2D"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Teachers Agreement 2021</w:t>
            </w:r>
          </w:p>
        </w:tc>
        <w:tc>
          <w:tcPr>
            <w:tcW w:w="759" w:type="pct"/>
          </w:tcPr>
          <w:p w14:paraId="4C04EE75" w14:textId="54ED3683"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2021</w:t>
            </w:r>
            <w:r w:rsidR="00783252" w:rsidRPr="00AB3B90">
              <w:rPr>
                <w:rFonts w:asciiTheme="majorHAnsi" w:hAnsiTheme="majorHAnsi"/>
                <w:sz w:val="16"/>
                <w:szCs w:val="16"/>
              </w:rPr>
              <w:t>–</w:t>
            </w:r>
            <w:r w:rsidRPr="00AB3B90">
              <w:rPr>
                <w:rFonts w:asciiTheme="majorHAnsi" w:hAnsiTheme="majorHAnsi"/>
                <w:sz w:val="16"/>
                <w:szCs w:val="16"/>
              </w:rPr>
              <w:t>2022</w:t>
            </w:r>
          </w:p>
        </w:tc>
      </w:tr>
      <w:tr w:rsidR="0012078B" w:rsidRPr="00AB3B90" w14:paraId="6022B477" w14:textId="77777777">
        <w:tc>
          <w:tcPr>
            <w:tcW w:w="998" w:type="pct"/>
          </w:tcPr>
          <w:p w14:paraId="5DE85244"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Tasmania</w:t>
            </w:r>
          </w:p>
        </w:tc>
        <w:tc>
          <w:tcPr>
            <w:tcW w:w="3243" w:type="pct"/>
          </w:tcPr>
          <w:p w14:paraId="34A8F5D0"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Teachers Agreement 2019 (No 2)</w:t>
            </w:r>
          </w:p>
        </w:tc>
        <w:tc>
          <w:tcPr>
            <w:tcW w:w="759" w:type="pct"/>
          </w:tcPr>
          <w:p w14:paraId="50EAF0BF" w14:textId="295B574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2019</w:t>
            </w:r>
            <w:r w:rsidR="00783252" w:rsidRPr="00AB3B90">
              <w:rPr>
                <w:rFonts w:asciiTheme="majorHAnsi" w:hAnsiTheme="majorHAnsi"/>
                <w:sz w:val="16"/>
                <w:szCs w:val="16"/>
              </w:rPr>
              <w:t>–</w:t>
            </w:r>
            <w:r w:rsidRPr="00AB3B90">
              <w:rPr>
                <w:rFonts w:asciiTheme="majorHAnsi" w:hAnsiTheme="majorHAnsi"/>
                <w:sz w:val="16"/>
                <w:szCs w:val="16"/>
              </w:rPr>
              <w:t>2021</w:t>
            </w:r>
          </w:p>
        </w:tc>
      </w:tr>
      <w:tr w:rsidR="0012078B" w:rsidRPr="00AB3B90" w14:paraId="2534FE67" w14:textId="77777777">
        <w:tc>
          <w:tcPr>
            <w:tcW w:w="998" w:type="pct"/>
          </w:tcPr>
          <w:p w14:paraId="2E721458"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Tasmania</w:t>
            </w:r>
          </w:p>
        </w:tc>
        <w:tc>
          <w:tcPr>
            <w:tcW w:w="3243" w:type="pct"/>
          </w:tcPr>
          <w:p w14:paraId="69834903"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 xml:space="preserve">Teachers Agreement 2019 </w:t>
            </w:r>
          </w:p>
        </w:tc>
        <w:tc>
          <w:tcPr>
            <w:tcW w:w="759" w:type="pct"/>
          </w:tcPr>
          <w:p w14:paraId="6C94D825"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2019</w:t>
            </w:r>
          </w:p>
        </w:tc>
      </w:tr>
      <w:tr w:rsidR="0012078B" w:rsidRPr="00AB3B90" w14:paraId="478517DA" w14:textId="77777777">
        <w:tc>
          <w:tcPr>
            <w:tcW w:w="998" w:type="pct"/>
          </w:tcPr>
          <w:p w14:paraId="7D106BBD"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Tasmania</w:t>
            </w:r>
          </w:p>
        </w:tc>
        <w:tc>
          <w:tcPr>
            <w:tcW w:w="3243" w:type="pct"/>
          </w:tcPr>
          <w:p w14:paraId="7A0225F2"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Teachers Agreement 2017 (No 2)</w:t>
            </w:r>
          </w:p>
        </w:tc>
        <w:tc>
          <w:tcPr>
            <w:tcW w:w="759" w:type="pct"/>
          </w:tcPr>
          <w:p w14:paraId="3F76B185" w14:textId="792D6B26"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2017</w:t>
            </w:r>
            <w:r w:rsidR="00783252" w:rsidRPr="00AB3B90">
              <w:rPr>
                <w:rFonts w:asciiTheme="majorHAnsi" w:hAnsiTheme="majorHAnsi"/>
                <w:sz w:val="16"/>
                <w:szCs w:val="16"/>
              </w:rPr>
              <w:t>–</w:t>
            </w:r>
            <w:r w:rsidRPr="00AB3B90">
              <w:rPr>
                <w:rFonts w:asciiTheme="majorHAnsi" w:hAnsiTheme="majorHAnsi"/>
                <w:sz w:val="16"/>
                <w:szCs w:val="16"/>
              </w:rPr>
              <w:t>2018</w:t>
            </w:r>
          </w:p>
        </w:tc>
      </w:tr>
      <w:tr w:rsidR="0012078B" w:rsidRPr="00AB3B90" w14:paraId="771BF5A3" w14:textId="77777777">
        <w:tc>
          <w:tcPr>
            <w:tcW w:w="998" w:type="pct"/>
          </w:tcPr>
          <w:p w14:paraId="57F0EC8C"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Australian Capital Territory</w:t>
            </w:r>
          </w:p>
        </w:tc>
        <w:tc>
          <w:tcPr>
            <w:tcW w:w="3243" w:type="pct"/>
          </w:tcPr>
          <w:p w14:paraId="50AF9558" w14:textId="27FBAC84"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 xml:space="preserve">Act Public Sector Education Directorate (Teaching Staff) Enterprise Agreement </w:t>
            </w:r>
            <w:r w:rsidR="00B552CD" w:rsidRPr="00AB3B90">
              <w:rPr>
                <w:rFonts w:asciiTheme="majorHAnsi" w:hAnsiTheme="majorHAnsi"/>
                <w:sz w:val="16"/>
                <w:szCs w:val="16"/>
              </w:rPr>
              <w:br/>
            </w:r>
            <w:r w:rsidRPr="00AB3B90">
              <w:rPr>
                <w:rFonts w:asciiTheme="majorHAnsi" w:hAnsiTheme="majorHAnsi"/>
                <w:sz w:val="16"/>
                <w:szCs w:val="16"/>
              </w:rPr>
              <w:t>2023</w:t>
            </w:r>
            <w:r w:rsidR="00B552CD" w:rsidRPr="00AB3B90">
              <w:rPr>
                <w:rFonts w:asciiTheme="majorHAnsi" w:hAnsiTheme="majorHAnsi"/>
                <w:sz w:val="16"/>
                <w:szCs w:val="16"/>
              </w:rPr>
              <w:t>–</w:t>
            </w:r>
            <w:r w:rsidRPr="00AB3B90">
              <w:rPr>
                <w:rFonts w:asciiTheme="majorHAnsi" w:hAnsiTheme="majorHAnsi"/>
                <w:sz w:val="16"/>
                <w:szCs w:val="16"/>
              </w:rPr>
              <w:t>2026</w:t>
            </w:r>
          </w:p>
        </w:tc>
        <w:tc>
          <w:tcPr>
            <w:tcW w:w="759" w:type="pct"/>
          </w:tcPr>
          <w:p w14:paraId="7B012CAD" w14:textId="29D9C0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2023</w:t>
            </w:r>
            <w:r w:rsidR="00783252" w:rsidRPr="00AB3B90">
              <w:rPr>
                <w:rFonts w:asciiTheme="majorHAnsi" w:hAnsiTheme="majorHAnsi"/>
                <w:sz w:val="16"/>
                <w:szCs w:val="16"/>
              </w:rPr>
              <w:t>–</w:t>
            </w:r>
            <w:r w:rsidRPr="00AB3B90">
              <w:rPr>
                <w:rFonts w:asciiTheme="majorHAnsi" w:hAnsiTheme="majorHAnsi"/>
                <w:sz w:val="16"/>
                <w:szCs w:val="16"/>
              </w:rPr>
              <w:t>2026</w:t>
            </w:r>
          </w:p>
        </w:tc>
      </w:tr>
      <w:tr w:rsidR="0012078B" w:rsidRPr="00AB3B90" w14:paraId="4421DD8C" w14:textId="77777777">
        <w:tc>
          <w:tcPr>
            <w:tcW w:w="998" w:type="pct"/>
          </w:tcPr>
          <w:p w14:paraId="06AB53BF"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Australian Capital Territory</w:t>
            </w:r>
          </w:p>
        </w:tc>
        <w:tc>
          <w:tcPr>
            <w:tcW w:w="3243" w:type="pct"/>
          </w:tcPr>
          <w:p w14:paraId="75B87EA8" w14:textId="378768EF"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 xml:space="preserve">Act Public Sector Education Directorate (Teaching Staff) Enterprise Agreement </w:t>
            </w:r>
            <w:r w:rsidR="00B552CD" w:rsidRPr="00AB3B90">
              <w:rPr>
                <w:rFonts w:asciiTheme="majorHAnsi" w:hAnsiTheme="majorHAnsi"/>
                <w:sz w:val="16"/>
                <w:szCs w:val="16"/>
              </w:rPr>
              <w:br/>
            </w:r>
            <w:r w:rsidRPr="00AB3B90">
              <w:rPr>
                <w:rFonts w:asciiTheme="majorHAnsi" w:hAnsiTheme="majorHAnsi"/>
                <w:sz w:val="16"/>
                <w:szCs w:val="16"/>
              </w:rPr>
              <w:t>2018</w:t>
            </w:r>
            <w:r w:rsidR="00B552CD" w:rsidRPr="00AB3B90">
              <w:rPr>
                <w:rFonts w:asciiTheme="majorHAnsi" w:hAnsiTheme="majorHAnsi"/>
                <w:sz w:val="16"/>
                <w:szCs w:val="16"/>
              </w:rPr>
              <w:t>–</w:t>
            </w:r>
            <w:r w:rsidRPr="00AB3B90">
              <w:rPr>
                <w:rFonts w:asciiTheme="majorHAnsi" w:hAnsiTheme="majorHAnsi"/>
                <w:sz w:val="16"/>
                <w:szCs w:val="16"/>
              </w:rPr>
              <w:t>2022</w:t>
            </w:r>
          </w:p>
        </w:tc>
        <w:tc>
          <w:tcPr>
            <w:tcW w:w="759" w:type="pct"/>
          </w:tcPr>
          <w:p w14:paraId="41DFDCAE" w14:textId="1E2DBF44"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2018</w:t>
            </w:r>
            <w:r w:rsidR="00783252" w:rsidRPr="00AB3B90">
              <w:rPr>
                <w:rFonts w:asciiTheme="majorHAnsi" w:hAnsiTheme="majorHAnsi"/>
                <w:sz w:val="16"/>
                <w:szCs w:val="16"/>
              </w:rPr>
              <w:t>–</w:t>
            </w:r>
            <w:r w:rsidRPr="00AB3B90">
              <w:rPr>
                <w:rFonts w:asciiTheme="majorHAnsi" w:hAnsiTheme="majorHAnsi"/>
                <w:sz w:val="16"/>
                <w:szCs w:val="16"/>
              </w:rPr>
              <w:t>2022</w:t>
            </w:r>
          </w:p>
        </w:tc>
      </w:tr>
      <w:tr w:rsidR="0012078B" w:rsidRPr="00AB3B90" w14:paraId="17E5206E" w14:textId="77777777">
        <w:tc>
          <w:tcPr>
            <w:tcW w:w="998" w:type="pct"/>
          </w:tcPr>
          <w:p w14:paraId="623D11A2"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Northern Territory</w:t>
            </w:r>
          </w:p>
        </w:tc>
        <w:tc>
          <w:tcPr>
            <w:tcW w:w="3243" w:type="pct"/>
          </w:tcPr>
          <w:p w14:paraId="5BDA6285" w14:textId="211FB03C"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 xml:space="preserve">Northern Territory Public Sector </w:t>
            </w:r>
            <w:r w:rsidR="009056F1" w:rsidRPr="00AB3B90">
              <w:rPr>
                <w:rFonts w:asciiTheme="majorHAnsi" w:hAnsiTheme="majorHAnsi"/>
                <w:sz w:val="16"/>
                <w:szCs w:val="16"/>
              </w:rPr>
              <w:t xml:space="preserve">Non-Contract </w:t>
            </w:r>
            <w:r w:rsidR="00DD64C2" w:rsidRPr="00AB3B90">
              <w:rPr>
                <w:rFonts w:asciiTheme="majorHAnsi" w:hAnsiTheme="majorHAnsi"/>
                <w:sz w:val="16"/>
                <w:szCs w:val="16"/>
              </w:rPr>
              <w:t xml:space="preserve">Principals, </w:t>
            </w:r>
            <w:r w:rsidRPr="00AB3B90">
              <w:rPr>
                <w:rFonts w:asciiTheme="majorHAnsi" w:hAnsiTheme="majorHAnsi"/>
                <w:sz w:val="16"/>
                <w:szCs w:val="16"/>
              </w:rPr>
              <w:t xml:space="preserve">Teachers and </w:t>
            </w:r>
          </w:p>
          <w:p w14:paraId="64026D05" w14:textId="585CBC9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Assistant Teachers’ 2021</w:t>
            </w:r>
            <w:r w:rsidR="00783252" w:rsidRPr="00AB3B90">
              <w:rPr>
                <w:rFonts w:asciiTheme="majorHAnsi" w:hAnsiTheme="majorHAnsi"/>
                <w:sz w:val="16"/>
                <w:szCs w:val="16"/>
              </w:rPr>
              <w:t>–</w:t>
            </w:r>
            <w:r w:rsidR="00DD64C2" w:rsidRPr="00AB3B90">
              <w:rPr>
                <w:rFonts w:asciiTheme="majorHAnsi" w:hAnsiTheme="majorHAnsi"/>
                <w:sz w:val="16"/>
                <w:szCs w:val="16"/>
              </w:rPr>
              <w:t xml:space="preserve">2025 </w:t>
            </w:r>
            <w:r w:rsidRPr="00AB3B90">
              <w:rPr>
                <w:rFonts w:asciiTheme="majorHAnsi" w:hAnsiTheme="majorHAnsi"/>
                <w:sz w:val="16"/>
                <w:szCs w:val="16"/>
              </w:rPr>
              <w:t>Enterprise Agreement</w:t>
            </w:r>
          </w:p>
        </w:tc>
        <w:tc>
          <w:tcPr>
            <w:tcW w:w="759" w:type="pct"/>
          </w:tcPr>
          <w:p w14:paraId="4C1D3773" w14:textId="78BBCB0A"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2021</w:t>
            </w:r>
            <w:r w:rsidR="00783252" w:rsidRPr="00AB3B90">
              <w:rPr>
                <w:rFonts w:asciiTheme="majorHAnsi" w:hAnsiTheme="majorHAnsi"/>
                <w:sz w:val="16"/>
                <w:szCs w:val="16"/>
              </w:rPr>
              <w:t>–</w:t>
            </w:r>
            <w:r w:rsidR="00C878E9" w:rsidRPr="00AB3B90">
              <w:rPr>
                <w:rFonts w:asciiTheme="majorHAnsi" w:hAnsiTheme="majorHAnsi"/>
                <w:sz w:val="16"/>
                <w:szCs w:val="16"/>
              </w:rPr>
              <w:t>2025</w:t>
            </w:r>
          </w:p>
        </w:tc>
      </w:tr>
      <w:tr w:rsidR="0012078B" w:rsidRPr="00AB3B90" w14:paraId="4A4D8489" w14:textId="77777777">
        <w:tc>
          <w:tcPr>
            <w:tcW w:w="998" w:type="pct"/>
          </w:tcPr>
          <w:p w14:paraId="4C19D3C8"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Northern Territory</w:t>
            </w:r>
          </w:p>
        </w:tc>
        <w:tc>
          <w:tcPr>
            <w:tcW w:w="3243" w:type="pct"/>
          </w:tcPr>
          <w:p w14:paraId="15DE85DD" w14:textId="7777777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 xml:space="preserve">Northern Territory Public Sector Teachers and </w:t>
            </w:r>
          </w:p>
          <w:p w14:paraId="14C21979" w14:textId="03ADDD8B"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Assistant Teachers’ 2017</w:t>
            </w:r>
            <w:r w:rsidR="00783252" w:rsidRPr="00AB3B90">
              <w:rPr>
                <w:rFonts w:asciiTheme="majorHAnsi" w:hAnsiTheme="majorHAnsi"/>
                <w:sz w:val="16"/>
                <w:szCs w:val="16"/>
              </w:rPr>
              <w:t>–</w:t>
            </w:r>
            <w:r w:rsidRPr="00AB3B90">
              <w:rPr>
                <w:rFonts w:asciiTheme="majorHAnsi" w:hAnsiTheme="majorHAnsi"/>
                <w:sz w:val="16"/>
                <w:szCs w:val="16"/>
              </w:rPr>
              <w:t>2021 Enterprise Agreement</w:t>
            </w:r>
          </w:p>
        </w:tc>
        <w:tc>
          <w:tcPr>
            <w:tcW w:w="759" w:type="pct"/>
          </w:tcPr>
          <w:p w14:paraId="7557F48C" w14:textId="5A488B47" w:rsidR="0012078B" w:rsidRPr="00AB3B90" w:rsidRDefault="0012078B">
            <w:pPr>
              <w:spacing w:after="0" w:line="240" w:lineRule="auto"/>
              <w:rPr>
                <w:rFonts w:asciiTheme="majorHAnsi" w:hAnsiTheme="majorHAnsi"/>
                <w:sz w:val="16"/>
                <w:szCs w:val="16"/>
              </w:rPr>
            </w:pPr>
            <w:r w:rsidRPr="00AB3B90">
              <w:rPr>
                <w:rFonts w:asciiTheme="majorHAnsi" w:hAnsiTheme="majorHAnsi"/>
                <w:sz w:val="16"/>
                <w:szCs w:val="16"/>
              </w:rPr>
              <w:t>2017</w:t>
            </w:r>
            <w:r w:rsidR="00783252" w:rsidRPr="00AB3B90">
              <w:rPr>
                <w:rFonts w:asciiTheme="majorHAnsi" w:hAnsiTheme="majorHAnsi"/>
                <w:sz w:val="16"/>
                <w:szCs w:val="16"/>
              </w:rPr>
              <w:t>–</w:t>
            </w:r>
            <w:r w:rsidRPr="00AB3B90">
              <w:rPr>
                <w:rFonts w:asciiTheme="majorHAnsi" w:hAnsiTheme="majorHAnsi"/>
                <w:sz w:val="16"/>
                <w:szCs w:val="16"/>
              </w:rPr>
              <w:t>2021</w:t>
            </w:r>
          </w:p>
        </w:tc>
      </w:tr>
    </w:tbl>
    <w:p w14:paraId="62393173" w14:textId="1CFA962A" w:rsidR="002953DB" w:rsidRPr="00AB3B90" w:rsidRDefault="002953DB" w:rsidP="002953DB">
      <w:pPr>
        <w:pStyle w:val="Source"/>
      </w:pPr>
      <w:r w:rsidRPr="00AB3B90">
        <w:t xml:space="preserve">Notes: </w:t>
      </w:r>
      <w:r w:rsidRPr="00AB3B90">
        <w:rPr>
          <w:vertAlign w:val="superscript"/>
        </w:rPr>
        <w:t>*</w:t>
      </w:r>
      <w:r w:rsidR="00F36E3D">
        <w:rPr>
          <w:vertAlign w:val="superscript"/>
        </w:rPr>
        <w:t xml:space="preserve"> </w:t>
      </w:r>
      <w:r w:rsidRPr="00AB3B90">
        <w:t>In November 2023, this award was varied.</w:t>
      </w:r>
    </w:p>
    <w:p w14:paraId="6DE1A9FB" w14:textId="77777777" w:rsidR="0012078B" w:rsidRPr="00AB3B90" w:rsidRDefault="0012078B">
      <w:pPr>
        <w:spacing w:before="0" w:after="160"/>
      </w:pPr>
    </w:p>
    <w:p w14:paraId="36C60CA1" w14:textId="77777777" w:rsidR="001E5F26" w:rsidRPr="00AB3B90" w:rsidRDefault="001E5F26">
      <w:pPr>
        <w:spacing w:before="0" w:after="160"/>
      </w:pPr>
    </w:p>
    <w:p w14:paraId="43692D21" w14:textId="0313A078" w:rsidR="00FC6AD6" w:rsidRPr="00AB3B90" w:rsidRDefault="00FC6AD6" w:rsidP="00FC6AD6">
      <w:pPr>
        <w:pStyle w:val="Caption"/>
        <w:keepNext/>
      </w:pPr>
      <w:bookmarkStart w:id="189" w:name="_Ref160801585"/>
      <w:bookmarkStart w:id="190" w:name="_Toc161150711"/>
      <w:bookmarkStart w:id="191" w:name="_Toc163650488"/>
      <w:r w:rsidRPr="00AB3B90">
        <w:t xml:space="preserve">Table </w:t>
      </w:r>
      <w:r w:rsidRPr="00AB3B90">
        <w:fldChar w:fldCharType="begin"/>
      </w:r>
      <w:r w:rsidRPr="00AB3B90">
        <w:instrText>SEQ Table \* ARABIC</w:instrText>
      </w:r>
      <w:r w:rsidRPr="00AB3B90">
        <w:fldChar w:fldCharType="separate"/>
      </w:r>
      <w:r w:rsidR="00FF6847" w:rsidRPr="00AB3B90">
        <w:rPr>
          <w:noProof/>
        </w:rPr>
        <w:t>12</w:t>
      </w:r>
      <w:r w:rsidRPr="00AB3B90">
        <w:fldChar w:fldCharType="end"/>
      </w:r>
      <w:bookmarkEnd w:id="189"/>
      <w:r w:rsidRPr="00AB3B90">
        <w:t xml:space="preserve"> Government sector non-teaching staff Enterprise Bargaining Agreements</w:t>
      </w:r>
      <w:bookmarkEnd w:id="190"/>
      <w:bookmarkEnd w:id="191"/>
    </w:p>
    <w:tbl>
      <w:tblPr>
        <w:tblStyle w:val="Deloittetable"/>
        <w:tblW w:w="5000" w:type="pct"/>
        <w:tblCellMar>
          <w:left w:w="57" w:type="dxa"/>
          <w:right w:w="57" w:type="dxa"/>
        </w:tblCellMar>
        <w:tblLook w:val="04A0" w:firstRow="1" w:lastRow="0" w:firstColumn="1" w:lastColumn="0" w:noHBand="0" w:noVBand="1"/>
      </w:tblPr>
      <w:tblGrid>
        <w:gridCol w:w="1802"/>
        <w:gridCol w:w="5854"/>
        <w:gridCol w:w="1370"/>
      </w:tblGrid>
      <w:tr w:rsidR="00FC6AD6" w:rsidRPr="00AB3B90" w14:paraId="11044AF7" w14:textId="77777777">
        <w:trPr>
          <w:cnfStyle w:val="100000000000" w:firstRow="1" w:lastRow="0" w:firstColumn="0" w:lastColumn="0" w:oddVBand="0" w:evenVBand="0" w:oddHBand="0" w:evenHBand="0" w:firstRowFirstColumn="0" w:firstRowLastColumn="0" w:lastRowFirstColumn="0" w:lastRowLastColumn="0"/>
        </w:trPr>
        <w:tc>
          <w:tcPr>
            <w:tcW w:w="998" w:type="pct"/>
          </w:tcPr>
          <w:p w14:paraId="7BFD1715" w14:textId="77777777" w:rsidR="00FC6AD6" w:rsidRPr="00AB3B90" w:rsidRDefault="00FC6AD6">
            <w:pPr>
              <w:spacing w:after="0"/>
              <w:rPr>
                <w:b/>
              </w:rPr>
            </w:pPr>
            <w:r w:rsidRPr="00AB3B90">
              <w:rPr>
                <w:b/>
              </w:rPr>
              <w:t>State or Territory</w:t>
            </w:r>
          </w:p>
        </w:tc>
        <w:tc>
          <w:tcPr>
            <w:tcW w:w="3243" w:type="pct"/>
          </w:tcPr>
          <w:p w14:paraId="376B80C2" w14:textId="77777777" w:rsidR="00FC6AD6" w:rsidRPr="00AB3B90" w:rsidRDefault="00FC6AD6">
            <w:pPr>
              <w:spacing w:after="0"/>
              <w:rPr>
                <w:b/>
              </w:rPr>
            </w:pPr>
            <w:r w:rsidRPr="00AB3B90">
              <w:rPr>
                <w:b/>
              </w:rPr>
              <w:t>Enterprise Bargaining Agreement</w:t>
            </w:r>
          </w:p>
        </w:tc>
        <w:tc>
          <w:tcPr>
            <w:tcW w:w="759" w:type="pct"/>
          </w:tcPr>
          <w:p w14:paraId="32375D55" w14:textId="77777777" w:rsidR="00FC6AD6" w:rsidRPr="00AB3B90" w:rsidRDefault="00FC6AD6">
            <w:pPr>
              <w:spacing w:after="0"/>
              <w:rPr>
                <w:b/>
              </w:rPr>
            </w:pPr>
            <w:r w:rsidRPr="00AB3B90">
              <w:rPr>
                <w:b/>
                <w:bCs/>
              </w:rPr>
              <w:t xml:space="preserve">Coverage </w:t>
            </w:r>
            <w:proofErr w:type="gramStart"/>
            <w:r w:rsidRPr="00AB3B90">
              <w:rPr>
                <w:b/>
                <w:bCs/>
              </w:rPr>
              <w:t>time period</w:t>
            </w:r>
            <w:proofErr w:type="gramEnd"/>
          </w:p>
        </w:tc>
      </w:tr>
      <w:tr w:rsidR="00FC6AD6" w:rsidRPr="00AB3B90" w14:paraId="2E6072B5" w14:textId="77777777">
        <w:tc>
          <w:tcPr>
            <w:tcW w:w="998" w:type="pct"/>
          </w:tcPr>
          <w:p w14:paraId="6CBCAB56" w14:textId="77777777" w:rsidR="00FC6AD6" w:rsidRPr="00AB3B90" w:rsidRDefault="00FC6AD6">
            <w:pPr>
              <w:spacing w:after="0"/>
            </w:pPr>
            <w:r w:rsidRPr="00AB3B90">
              <w:t>Victoria</w:t>
            </w:r>
          </w:p>
        </w:tc>
        <w:tc>
          <w:tcPr>
            <w:tcW w:w="3243" w:type="pct"/>
          </w:tcPr>
          <w:p w14:paraId="1D05F8A2" w14:textId="77777777" w:rsidR="00FC6AD6" w:rsidRPr="00AB3B90" w:rsidRDefault="00FC6AD6">
            <w:pPr>
              <w:spacing w:after="0"/>
            </w:pPr>
            <w:r w:rsidRPr="00AB3B90">
              <w:t>Victorian Government Schools Agreement 2022</w:t>
            </w:r>
          </w:p>
        </w:tc>
        <w:tc>
          <w:tcPr>
            <w:tcW w:w="759" w:type="pct"/>
          </w:tcPr>
          <w:p w14:paraId="09201208" w14:textId="3BB387C5" w:rsidR="00FC6AD6" w:rsidRPr="00AB3B90" w:rsidRDefault="00FC6AD6">
            <w:pPr>
              <w:spacing w:after="0"/>
            </w:pPr>
            <w:r w:rsidRPr="00AB3B90">
              <w:t>2022</w:t>
            </w:r>
            <w:r w:rsidR="00783252" w:rsidRPr="00AB3B90">
              <w:rPr>
                <w:rFonts w:asciiTheme="majorHAnsi" w:hAnsiTheme="majorHAnsi"/>
                <w:sz w:val="16"/>
                <w:szCs w:val="16"/>
              </w:rPr>
              <w:t>–</w:t>
            </w:r>
            <w:r w:rsidRPr="00AB3B90">
              <w:t>2025</w:t>
            </w:r>
          </w:p>
        </w:tc>
      </w:tr>
      <w:tr w:rsidR="00FC6AD6" w:rsidRPr="00AB3B90" w14:paraId="05019126" w14:textId="77777777">
        <w:tc>
          <w:tcPr>
            <w:tcW w:w="998" w:type="pct"/>
          </w:tcPr>
          <w:p w14:paraId="451D4D44" w14:textId="77777777" w:rsidR="00FC6AD6" w:rsidRPr="00AB3B90" w:rsidRDefault="00FC6AD6">
            <w:pPr>
              <w:spacing w:after="0"/>
            </w:pPr>
            <w:r w:rsidRPr="00AB3B90">
              <w:t>Victoria</w:t>
            </w:r>
          </w:p>
        </w:tc>
        <w:tc>
          <w:tcPr>
            <w:tcW w:w="3243" w:type="pct"/>
          </w:tcPr>
          <w:p w14:paraId="1029F66F" w14:textId="77777777" w:rsidR="00FC6AD6" w:rsidRPr="00AB3B90" w:rsidRDefault="00FC6AD6">
            <w:pPr>
              <w:spacing w:after="0"/>
            </w:pPr>
            <w:r w:rsidRPr="00AB3B90">
              <w:t>Victorian Government Schools Agreement 2017</w:t>
            </w:r>
          </w:p>
        </w:tc>
        <w:tc>
          <w:tcPr>
            <w:tcW w:w="759" w:type="pct"/>
          </w:tcPr>
          <w:p w14:paraId="34DFB3CD" w14:textId="159925ED" w:rsidR="00FC6AD6" w:rsidRPr="00AB3B90" w:rsidRDefault="00FC6AD6">
            <w:pPr>
              <w:spacing w:after="0"/>
            </w:pPr>
            <w:r w:rsidRPr="00AB3B90">
              <w:t>2017</w:t>
            </w:r>
            <w:r w:rsidR="00783252" w:rsidRPr="00AB3B90">
              <w:rPr>
                <w:rFonts w:asciiTheme="majorHAnsi" w:hAnsiTheme="majorHAnsi"/>
                <w:sz w:val="16"/>
                <w:szCs w:val="16"/>
              </w:rPr>
              <w:t>–</w:t>
            </w:r>
            <w:r w:rsidRPr="00AB3B90">
              <w:t>2021</w:t>
            </w:r>
          </w:p>
        </w:tc>
      </w:tr>
      <w:tr w:rsidR="00FC6AD6" w:rsidRPr="00AB3B90" w14:paraId="5AD5F5DD" w14:textId="77777777">
        <w:tc>
          <w:tcPr>
            <w:tcW w:w="998" w:type="pct"/>
          </w:tcPr>
          <w:p w14:paraId="282A11D5" w14:textId="77777777" w:rsidR="00FC6AD6" w:rsidRPr="00AB3B90" w:rsidRDefault="00FC6AD6">
            <w:pPr>
              <w:spacing w:after="0"/>
            </w:pPr>
            <w:r w:rsidRPr="00AB3B90">
              <w:t>New South Wales</w:t>
            </w:r>
          </w:p>
        </w:tc>
        <w:tc>
          <w:tcPr>
            <w:tcW w:w="3243" w:type="pct"/>
          </w:tcPr>
          <w:p w14:paraId="70FAE69A" w14:textId="77777777" w:rsidR="00FC6AD6" w:rsidRPr="00AB3B90" w:rsidRDefault="00FC6AD6">
            <w:pPr>
              <w:spacing w:after="0"/>
              <w:rPr>
                <w:vertAlign w:val="superscript"/>
              </w:rPr>
            </w:pPr>
            <w:r w:rsidRPr="00AB3B90">
              <w:t>Crown Employees (Teachers in Schools and Related Employees) Salaries and Conditions Award 2022</w:t>
            </w:r>
            <w:r w:rsidRPr="00AB3B90">
              <w:rPr>
                <w:vertAlign w:val="superscript"/>
              </w:rPr>
              <w:t>*</w:t>
            </w:r>
          </w:p>
        </w:tc>
        <w:tc>
          <w:tcPr>
            <w:tcW w:w="759" w:type="pct"/>
          </w:tcPr>
          <w:p w14:paraId="646D940F" w14:textId="0BD47863" w:rsidR="00FC6AD6" w:rsidRPr="00AB3B90" w:rsidRDefault="00FC6AD6">
            <w:pPr>
              <w:spacing w:after="0"/>
            </w:pPr>
            <w:r w:rsidRPr="00AB3B90">
              <w:t>2022</w:t>
            </w:r>
            <w:r w:rsidR="00783252" w:rsidRPr="00AB3B90">
              <w:rPr>
                <w:rFonts w:asciiTheme="majorHAnsi" w:hAnsiTheme="majorHAnsi"/>
                <w:sz w:val="16"/>
                <w:szCs w:val="16"/>
              </w:rPr>
              <w:t>–</w:t>
            </w:r>
            <w:r w:rsidRPr="00AB3B90">
              <w:t>2023</w:t>
            </w:r>
          </w:p>
        </w:tc>
      </w:tr>
      <w:tr w:rsidR="00FC6AD6" w:rsidRPr="00AB3B90" w14:paraId="114AAF25" w14:textId="77777777">
        <w:tc>
          <w:tcPr>
            <w:tcW w:w="998" w:type="pct"/>
          </w:tcPr>
          <w:p w14:paraId="5D460722" w14:textId="77777777" w:rsidR="00FC6AD6" w:rsidRPr="00AB3B90" w:rsidRDefault="00FC6AD6">
            <w:pPr>
              <w:spacing w:after="0"/>
            </w:pPr>
            <w:r w:rsidRPr="00AB3B90">
              <w:t>New South Wales</w:t>
            </w:r>
          </w:p>
        </w:tc>
        <w:tc>
          <w:tcPr>
            <w:tcW w:w="3243" w:type="pct"/>
          </w:tcPr>
          <w:p w14:paraId="628C9A1C" w14:textId="77777777" w:rsidR="00FC6AD6" w:rsidRPr="00AB3B90" w:rsidRDefault="00FC6AD6">
            <w:pPr>
              <w:spacing w:after="0"/>
            </w:pPr>
            <w:r w:rsidRPr="00AB3B90">
              <w:t>Crown Employees (Teachers in Schools and Related Employees) Salaries and Conditions Award 2020</w:t>
            </w:r>
          </w:p>
        </w:tc>
        <w:tc>
          <w:tcPr>
            <w:tcW w:w="759" w:type="pct"/>
          </w:tcPr>
          <w:p w14:paraId="4701208D" w14:textId="671221DF" w:rsidR="00FC6AD6" w:rsidRPr="00AB3B90" w:rsidRDefault="00FC6AD6">
            <w:pPr>
              <w:spacing w:after="0"/>
            </w:pPr>
            <w:r w:rsidRPr="00AB3B90">
              <w:t>2020</w:t>
            </w:r>
            <w:r w:rsidR="00783252" w:rsidRPr="00AB3B90">
              <w:rPr>
                <w:rFonts w:asciiTheme="majorHAnsi" w:hAnsiTheme="majorHAnsi"/>
                <w:sz w:val="16"/>
                <w:szCs w:val="16"/>
              </w:rPr>
              <w:t>–</w:t>
            </w:r>
            <w:r w:rsidRPr="00AB3B90">
              <w:t>2022</w:t>
            </w:r>
          </w:p>
        </w:tc>
      </w:tr>
      <w:tr w:rsidR="00FC6AD6" w:rsidRPr="00AB3B90" w14:paraId="1D04AD99" w14:textId="77777777">
        <w:tc>
          <w:tcPr>
            <w:tcW w:w="998" w:type="pct"/>
          </w:tcPr>
          <w:p w14:paraId="792DE3D2" w14:textId="77777777" w:rsidR="00FC6AD6" w:rsidRPr="00AB3B90" w:rsidRDefault="00FC6AD6">
            <w:pPr>
              <w:spacing w:after="0"/>
            </w:pPr>
            <w:r w:rsidRPr="00AB3B90">
              <w:t>New South Wales</w:t>
            </w:r>
          </w:p>
        </w:tc>
        <w:tc>
          <w:tcPr>
            <w:tcW w:w="3243" w:type="pct"/>
          </w:tcPr>
          <w:p w14:paraId="7089F722" w14:textId="77777777" w:rsidR="00FC6AD6" w:rsidRPr="00AB3B90" w:rsidRDefault="00FC6AD6">
            <w:pPr>
              <w:spacing w:after="0"/>
            </w:pPr>
            <w:r w:rsidRPr="00AB3B90">
              <w:t>Crown Employees (Teachers in Schools and Related Employees) Salaries and Conditions Award 2017</w:t>
            </w:r>
          </w:p>
        </w:tc>
        <w:tc>
          <w:tcPr>
            <w:tcW w:w="759" w:type="pct"/>
          </w:tcPr>
          <w:p w14:paraId="77DAB953" w14:textId="1774269C" w:rsidR="00FC6AD6" w:rsidRPr="00AB3B90" w:rsidRDefault="00FC6AD6">
            <w:pPr>
              <w:spacing w:after="0"/>
            </w:pPr>
            <w:r w:rsidRPr="00AB3B90">
              <w:t>2017</w:t>
            </w:r>
            <w:r w:rsidR="00783252" w:rsidRPr="00AB3B90">
              <w:rPr>
                <w:rFonts w:asciiTheme="majorHAnsi" w:hAnsiTheme="majorHAnsi"/>
                <w:sz w:val="16"/>
                <w:szCs w:val="16"/>
              </w:rPr>
              <w:t>–</w:t>
            </w:r>
            <w:r w:rsidRPr="00AB3B90">
              <w:t>2019</w:t>
            </w:r>
          </w:p>
        </w:tc>
      </w:tr>
      <w:tr w:rsidR="00FC6AD6" w:rsidRPr="00AB3B90" w14:paraId="6CEFC5C8" w14:textId="77777777">
        <w:tc>
          <w:tcPr>
            <w:tcW w:w="998" w:type="pct"/>
          </w:tcPr>
          <w:p w14:paraId="57849794" w14:textId="77777777" w:rsidR="00FC6AD6" w:rsidRPr="00AB3B90" w:rsidRDefault="00FC6AD6">
            <w:pPr>
              <w:spacing w:after="0"/>
            </w:pPr>
            <w:r w:rsidRPr="00AB3B90">
              <w:t>South Australia</w:t>
            </w:r>
          </w:p>
        </w:tc>
        <w:tc>
          <w:tcPr>
            <w:tcW w:w="3243" w:type="pct"/>
          </w:tcPr>
          <w:p w14:paraId="14B7F02B" w14:textId="77777777" w:rsidR="00FC6AD6" w:rsidRPr="00AB3B90" w:rsidRDefault="00FC6AD6">
            <w:pPr>
              <w:spacing w:after="0"/>
            </w:pPr>
            <w:r w:rsidRPr="00AB3B90">
              <w:t>South Australian School and Preschool Education Staff Enterprise Agreement 2020</w:t>
            </w:r>
          </w:p>
        </w:tc>
        <w:tc>
          <w:tcPr>
            <w:tcW w:w="759" w:type="pct"/>
          </w:tcPr>
          <w:p w14:paraId="6F856E92" w14:textId="32A1EF4A" w:rsidR="00FC6AD6" w:rsidRPr="00AB3B90" w:rsidRDefault="00FC6AD6">
            <w:pPr>
              <w:spacing w:after="0"/>
            </w:pPr>
            <w:r w:rsidRPr="00AB3B90">
              <w:t>2020</w:t>
            </w:r>
            <w:r w:rsidR="00783252" w:rsidRPr="00AB3B90">
              <w:rPr>
                <w:rFonts w:asciiTheme="majorHAnsi" w:hAnsiTheme="majorHAnsi"/>
                <w:sz w:val="16"/>
                <w:szCs w:val="16"/>
              </w:rPr>
              <w:t>–</w:t>
            </w:r>
            <w:r w:rsidRPr="00AB3B90">
              <w:t>2023</w:t>
            </w:r>
          </w:p>
        </w:tc>
      </w:tr>
      <w:tr w:rsidR="00FC6AD6" w:rsidRPr="00AB3B90" w14:paraId="0F16DB26" w14:textId="77777777">
        <w:tc>
          <w:tcPr>
            <w:tcW w:w="998" w:type="pct"/>
          </w:tcPr>
          <w:p w14:paraId="4583757A" w14:textId="77777777" w:rsidR="00FC6AD6" w:rsidRPr="00AB3B90" w:rsidRDefault="00FC6AD6">
            <w:pPr>
              <w:spacing w:after="0"/>
              <w:rPr>
                <w:sz w:val="16"/>
                <w:szCs w:val="16"/>
              </w:rPr>
            </w:pPr>
            <w:r w:rsidRPr="00AB3B90">
              <w:rPr>
                <w:sz w:val="16"/>
                <w:szCs w:val="16"/>
              </w:rPr>
              <w:t>Northern Territory</w:t>
            </w:r>
          </w:p>
        </w:tc>
        <w:tc>
          <w:tcPr>
            <w:tcW w:w="3243" w:type="pct"/>
          </w:tcPr>
          <w:p w14:paraId="5F3EB1D8" w14:textId="6EEBC4C2" w:rsidR="00FC6AD6" w:rsidRPr="00AB3B90" w:rsidRDefault="00FC6AD6">
            <w:pPr>
              <w:spacing w:after="0"/>
              <w:rPr>
                <w:sz w:val="16"/>
                <w:szCs w:val="16"/>
              </w:rPr>
            </w:pPr>
            <w:r w:rsidRPr="00AB3B90">
              <w:rPr>
                <w:sz w:val="16"/>
                <w:szCs w:val="16"/>
              </w:rPr>
              <w:t>Northern Territory Public Sector</w:t>
            </w:r>
            <w:r w:rsidR="002420AF" w:rsidRPr="00AB3B90">
              <w:rPr>
                <w:sz w:val="16"/>
                <w:szCs w:val="16"/>
              </w:rPr>
              <w:t xml:space="preserve"> Non-</w:t>
            </w:r>
            <w:proofErr w:type="gramStart"/>
            <w:r w:rsidR="002420AF" w:rsidRPr="00AB3B90">
              <w:rPr>
                <w:sz w:val="16"/>
                <w:szCs w:val="16"/>
              </w:rPr>
              <w:t>contract</w:t>
            </w:r>
            <w:proofErr w:type="gramEnd"/>
            <w:r w:rsidR="002420AF" w:rsidRPr="00AB3B90">
              <w:rPr>
                <w:sz w:val="16"/>
                <w:szCs w:val="16"/>
              </w:rPr>
              <w:t xml:space="preserve"> Principals</w:t>
            </w:r>
            <w:r w:rsidR="00C878E9" w:rsidRPr="00AB3B90">
              <w:rPr>
                <w:sz w:val="16"/>
                <w:szCs w:val="16"/>
              </w:rPr>
              <w:t>,</w:t>
            </w:r>
            <w:r w:rsidRPr="00AB3B90">
              <w:rPr>
                <w:sz w:val="16"/>
                <w:szCs w:val="16"/>
              </w:rPr>
              <w:t xml:space="preserve"> Teachers and </w:t>
            </w:r>
          </w:p>
          <w:p w14:paraId="03399439" w14:textId="576924D5" w:rsidR="00FC6AD6" w:rsidRPr="00AB3B90" w:rsidRDefault="00FC6AD6">
            <w:pPr>
              <w:spacing w:after="0"/>
              <w:rPr>
                <w:sz w:val="16"/>
                <w:szCs w:val="16"/>
              </w:rPr>
            </w:pPr>
            <w:r w:rsidRPr="00AB3B90">
              <w:rPr>
                <w:sz w:val="16"/>
                <w:szCs w:val="16"/>
              </w:rPr>
              <w:t>Assistant Teachers’ 2021</w:t>
            </w:r>
            <w:r w:rsidR="00783252" w:rsidRPr="00AB3B90">
              <w:rPr>
                <w:sz w:val="16"/>
                <w:szCs w:val="16"/>
              </w:rPr>
              <w:t>–</w:t>
            </w:r>
            <w:r w:rsidR="00C878E9" w:rsidRPr="00AB3B90">
              <w:rPr>
                <w:sz w:val="16"/>
                <w:szCs w:val="16"/>
              </w:rPr>
              <w:t xml:space="preserve">2025 </w:t>
            </w:r>
            <w:r w:rsidRPr="00AB3B90">
              <w:rPr>
                <w:sz w:val="16"/>
                <w:szCs w:val="16"/>
              </w:rPr>
              <w:t>Enterprise Agreement</w:t>
            </w:r>
          </w:p>
        </w:tc>
        <w:tc>
          <w:tcPr>
            <w:tcW w:w="759" w:type="pct"/>
          </w:tcPr>
          <w:p w14:paraId="52F7FFA2" w14:textId="77B6F649" w:rsidR="00FC6AD6" w:rsidRPr="00AB3B90" w:rsidRDefault="00FC6AD6">
            <w:pPr>
              <w:spacing w:after="0"/>
              <w:rPr>
                <w:sz w:val="16"/>
                <w:szCs w:val="16"/>
              </w:rPr>
            </w:pPr>
            <w:r w:rsidRPr="00AB3B90">
              <w:rPr>
                <w:sz w:val="16"/>
                <w:szCs w:val="16"/>
              </w:rPr>
              <w:t>2021</w:t>
            </w:r>
            <w:r w:rsidR="00783252" w:rsidRPr="00AB3B90">
              <w:rPr>
                <w:rFonts w:asciiTheme="majorHAnsi" w:hAnsiTheme="majorHAnsi"/>
                <w:sz w:val="16"/>
                <w:szCs w:val="16"/>
              </w:rPr>
              <w:t>–</w:t>
            </w:r>
            <w:r w:rsidR="00C878E9" w:rsidRPr="00AB3B90">
              <w:rPr>
                <w:sz w:val="16"/>
                <w:szCs w:val="16"/>
              </w:rPr>
              <w:t>2025</w:t>
            </w:r>
          </w:p>
        </w:tc>
      </w:tr>
      <w:tr w:rsidR="00FC6AD6" w:rsidRPr="00AB3B90" w14:paraId="66A399C1" w14:textId="77777777">
        <w:tc>
          <w:tcPr>
            <w:tcW w:w="998" w:type="pct"/>
          </w:tcPr>
          <w:p w14:paraId="7AE1FD7E" w14:textId="77777777" w:rsidR="00FC6AD6" w:rsidRPr="00AB3B90" w:rsidRDefault="00FC6AD6">
            <w:pPr>
              <w:spacing w:after="0"/>
            </w:pPr>
            <w:r w:rsidRPr="00AB3B90">
              <w:rPr>
                <w:sz w:val="16"/>
                <w:szCs w:val="16"/>
              </w:rPr>
              <w:t>Northern Territory</w:t>
            </w:r>
          </w:p>
        </w:tc>
        <w:tc>
          <w:tcPr>
            <w:tcW w:w="3243" w:type="pct"/>
          </w:tcPr>
          <w:p w14:paraId="4AC6CFEC" w14:textId="77777777" w:rsidR="00FC6AD6" w:rsidRPr="00AB3B90" w:rsidRDefault="00FC6AD6">
            <w:pPr>
              <w:spacing w:after="0"/>
              <w:rPr>
                <w:sz w:val="16"/>
                <w:szCs w:val="16"/>
              </w:rPr>
            </w:pPr>
            <w:r w:rsidRPr="00AB3B90">
              <w:rPr>
                <w:sz w:val="16"/>
                <w:szCs w:val="16"/>
              </w:rPr>
              <w:t xml:space="preserve">Northern Territory Public Sector Teachers and </w:t>
            </w:r>
          </w:p>
          <w:p w14:paraId="48236208" w14:textId="019D02A4" w:rsidR="00FC6AD6" w:rsidRPr="00AB3B90" w:rsidRDefault="00FC6AD6">
            <w:pPr>
              <w:spacing w:after="0"/>
            </w:pPr>
            <w:r w:rsidRPr="00AB3B90">
              <w:rPr>
                <w:sz w:val="16"/>
                <w:szCs w:val="16"/>
              </w:rPr>
              <w:t>Assistant Teachers’ 2017</w:t>
            </w:r>
            <w:r w:rsidR="00783252" w:rsidRPr="00AB3B90">
              <w:rPr>
                <w:sz w:val="16"/>
                <w:szCs w:val="16"/>
              </w:rPr>
              <w:t>–</w:t>
            </w:r>
            <w:r w:rsidRPr="00AB3B90">
              <w:rPr>
                <w:sz w:val="16"/>
                <w:szCs w:val="16"/>
              </w:rPr>
              <w:t>2021 Enterprise Agreement</w:t>
            </w:r>
          </w:p>
        </w:tc>
        <w:tc>
          <w:tcPr>
            <w:tcW w:w="759" w:type="pct"/>
          </w:tcPr>
          <w:p w14:paraId="1074A9D2" w14:textId="7AD8C5A0" w:rsidR="00FC6AD6" w:rsidRPr="00AB3B90" w:rsidRDefault="00FC6AD6">
            <w:pPr>
              <w:spacing w:after="0"/>
            </w:pPr>
            <w:r w:rsidRPr="00AB3B90">
              <w:rPr>
                <w:sz w:val="16"/>
                <w:szCs w:val="16"/>
              </w:rPr>
              <w:t>2017</w:t>
            </w:r>
            <w:r w:rsidR="00783252" w:rsidRPr="00AB3B90">
              <w:rPr>
                <w:rFonts w:asciiTheme="majorHAnsi" w:hAnsiTheme="majorHAnsi"/>
                <w:sz w:val="16"/>
                <w:szCs w:val="16"/>
              </w:rPr>
              <w:t>–</w:t>
            </w:r>
            <w:r w:rsidRPr="00AB3B90">
              <w:rPr>
                <w:sz w:val="16"/>
                <w:szCs w:val="16"/>
              </w:rPr>
              <w:t>2021</w:t>
            </w:r>
          </w:p>
        </w:tc>
      </w:tr>
      <w:tr w:rsidR="00FC6AD6" w:rsidRPr="00AB3B90" w14:paraId="31014EFF" w14:textId="77777777">
        <w:tc>
          <w:tcPr>
            <w:tcW w:w="998" w:type="pct"/>
          </w:tcPr>
          <w:p w14:paraId="2D4E715B" w14:textId="77777777" w:rsidR="00FC6AD6" w:rsidRPr="00AB3B90" w:rsidRDefault="00FC6AD6">
            <w:pPr>
              <w:spacing w:after="0"/>
              <w:rPr>
                <w:sz w:val="16"/>
                <w:szCs w:val="16"/>
              </w:rPr>
            </w:pPr>
            <w:r w:rsidRPr="00AB3B90">
              <w:rPr>
                <w:sz w:val="16"/>
                <w:szCs w:val="16"/>
              </w:rPr>
              <w:t>Queensland</w:t>
            </w:r>
          </w:p>
        </w:tc>
        <w:tc>
          <w:tcPr>
            <w:tcW w:w="3243" w:type="pct"/>
          </w:tcPr>
          <w:p w14:paraId="355F8DA5" w14:textId="77777777" w:rsidR="00FC6AD6" w:rsidRPr="00AB3B90" w:rsidRDefault="00FC6AD6">
            <w:pPr>
              <w:spacing w:after="0"/>
              <w:rPr>
                <w:sz w:val="16"/>
                <w:szCs w:val="16"/>
              </w:rPr>
            </w:pPr>
            <w:r w:rsidRPr="00AB3B90">
              <w:rPr>
                <w:sz w:val="16"/>
                <w:szCs w:val="16"/>
              </w:rPr>
              <w:t>Department of Education and Training Teacher Aides' Certified Agreement 2022</w:t>
            </w:r>
          </w:p>
        </w:tc>
        <w:tc>
          <w:tcPr>
            <w:tcW w:w="759" w:type="pct"/>
          </w:tcPr>
          <w:p w14:paraId="2DC9C7C3" w14:textId="17CBE42B" w:rsidR="00FC6AD6" w:rsidRPr="00AB3B90" w:rsidRDefault="00FC6AD6">
            <w:pPr>
              <w:spacing w:after="0"/>
              <w:rPr>
                <w:sz w:val="16"/>
                <w:szCs w:val="16"/>
              </w:rPr>
            </w:pPr>
            <w:r w:rsidRPr="00AB3B90">
              <w:rPr>
                <w:sz w:val="16"/>
                <w:szCs w:val="16"/>
              </w:rPr>
              <w:t>2023</w:t>
            </w:r>
            <w:r w:rsidR="00783252" w:rsidRPr="00AB3B90">
              <w:rPr>
                <w:rFonts w:asciiTheme="majorHAnsi" w:hAnsiTheme="majorHAnsi"/>
                <w:sz w:val="16"/>
                <w:szCs w:val="16"/>
              </w:rPr>
              <w:t>–</w:t>
            </w:r>
            <w:r w:rsidRPr="00AB3B90">
              <w:rPr>
                <w:sz w:val="16"/>
                <w:szCs w:val="16"/>
              </w:rPr>
              <w:t>2025</w:t>
            </w:r>
          </w:p>
        </w:tc>
      </w:tr>
      <w:tr w:rsidR="00FC6AD6" w:rsidRPr="00AB3B90" w14:paraId="78BDE76D" w14:textId="77777777">
        <w:tc>
          <w:tcPr>
            <w:tcW w:w="998" w:type="pct"/>
          </w:tcPr>
          <w:p w14:paraId="1A40473C" w14:textId="77777777" w:rsidR="00FC6AD6" w:rsidRPr="00AB3B90" w:rsidRDefault="00FC6AD6">
            <w:pPr>
              <w:spacing w:after="0"/>
              <w:rPr>
                <w:sz w:val="16"/>
                <w:szCs w:val="16"/>
              </w:rPr>
            </w:pPr>
            <w:r w:rsidRPr="00AB3B90">
              <w:rPr>
                <w:sz w:val="16"/>
                <w:szCs w:val="16"/>
              </w:rPr>
              <w:t>Queensland</w:t>
            </w:r>
          </w:p>
        </w:tc>
        <w:tc>
          <w:tcPr>
            <w:tcW w:w="3243" w:type="pct"/>
          </w:tcPr>
          <w:p w14:paraId="2EF97DEC" w14:textId="77777777" w:rsidR="00FC6AD6" w:rsidRPr="00AB3B90" w:rsidRDefault="00FC6AD6">
            <w:pPr>
              <w:spacing w:after="0"/>
              <w:rPr>
                <w:sz w:val="16"/>
                <w:szCs w:val="16"/>
              </w:rPr>
            </w:pPr>
            <w:r w:rsidRPr="00AB3B90">
              <w:rPr>
                <w:sz w:val="16"/>
                <w:szCs w:val="16"/>
              </w:rPr>
              <w:t>Department of Education and Training Teacher Aides' Certified Agreement 2018</w:t>
            </w:r>
          </w:p>
        </w:tc>
        <w:tc>
          <w:tcPr>
            <w:tcW w:w="759" w:type="pct"/>
          </w:tcPr>
          <w:p w14:paraId="34609842" w14:textId="783974C3" w:rsidR="00FC6AD6" w:rsidRPr="00AB3B90" w:rsidRDefault="00FC6AD6">
            <w:pPr>
              <w:spacing w:after="0"/>
              <w:rPr>
                <w:sz w:val="16"/>
                <w:szCs w:val="16"/>
              </w:rPr>
            </w:pPr>
            <w:r w:rsidRPr="00AB3B90">
              <w:rPr>
                <w:sz w:val="16"/>
                <w:szCs w:val="16"/>
              </w:rPr>
              <w:t>2019</w:t>
            </w:r>
            <w:r w:rsidR="00783252" w:rsidRPr="00AB3B90">
              <w:rPr>
                <w:rFonts w:asciiTheme="majorHAnsi" w:hAnsiTheme="majorHAnsi"/>
                <w:sz w:val="16"/>
                <w:szCs w:val="16"/>
              </w:rPr>
              <w:t>–</w:t>
            </w:r>
            <w:r w:rsidRPr="00AB3B90">
              <w:rPr>
                <w:sz w:val="16"/>
                <w:szCs w:val="16"/>
              </w:rPr>
              <w:t>2021</w:t>
            </w:r>
          </w:p>
        </w:tc>
      </w:tr>
      <w:tr w:rsidR="00FC6AD6" w:rsidRPr="00AB3B90" w14:paraId="3FDC6243" w14:textId="77777777">
        <w:tc>
          <w:tcPr>
            <w:tcW w:w="998" w:type="pct"/>
          </w:tcPr>
          <w:p w14:paraId="28643D6E" w14:textId="77777777" w:rsidR="00FC6AD6" w:rsidRPr="00AB3B90" w:rsidRDefault="00FC6AD6">
            <w:pPr>
              <w:spacing w:after="0"/>
              <w:rPr>
                <w:sz w:val="16"/>
                <w:szCs w:val="16"/>
              </w:rPr>
            </w:pPr>
            <w:r w:rsidRPr="00AB3B90">
              <w:rPr>
                <w:sz w:val="16"/>
                <w:szCs w:val="16"/>
              </w:rPr>
              <w:t>Queensland</w:t>
            </w:r>
          </w:p>
        </w:tc>
        <w:tc>
          <w:tcPr>
            <w:tcW w:w="3243" w:type="pct"/>
          </w:tcPr>
          <w:p w14:paraId="2895701E" w14:textId="77777777" w:rsidR="00FC6AD6" w:rsidRPr="00AB3B90" w:rsidRDefault="00FC6AD6">
            <w:pPr>
              <w:spacing w:after="0"/>
              <w:rPr>
                <w:sz w:val="16"/>
                <w:szCs w:val="16"/>
              </w:rPr>
            </w:pPr>
            <w:r w:rsidRPr="00AB3B90">
              <w:rPr>
                <w:sz w:val="16"/>
                <w:szCs w:val="16"/>
              </w:rPr>
              <w:t>Department of Education and Training Teacher Aides' Certified Agreement 2015</w:t>
            </w:r>
          </w:p>
        </w:tc>
        <w:tc>
          <w:tcPr>
            <w:tcW w:w="759" w:type="pct"/>
          </w:tcPr>
          <w:p w14:paraId="07FAE97F" w14:textId="063278CE" w:rsidR="00FC6AD6" w:rsidRPr="00AB3B90" w:rsidRDefault="00FC6AD6">
            <w:pPr>
              <w:spacing w:after="0"/>
              <w:rPr>
                <w:sz w:val="16"/>
                <w:szCs w:val="16"/>
              </w:rPr>
            </w:pPr>
            <w:r w:rsidRPr="00AB3B90">
              <w:rPr>
                <w:sz w:val="16"/>
                <w:szCs w:val="16"/>
              </w:rPr>
              <w:t>2015</w:t>
            </w:r>
            <w:r w:rsidR="00783252" w:rsidRPr="00AB3B90">
              <w:rPr>
                <w:rFonts w:asciiTheme="majorHAnsi" w:hAnsiTheme="majorHAnsi"/>
                <w:sz w:val="16"/>
                <w:szCs w:val="16"/>
              </w:rPr>
              <w:t>–</w:t>
            </w:r>
            <w:r w:rsidRPr="00AB3B90">
              <w:rPr>
                <w:sz w:val="16"/>
                <w:szCs w:val="16"/>
              </w:rPr>
              <w:t>2018</w:t>
            </w:r>
          </w:p>
        </w:tc>
      </w:tr>
      <w:tr w:rsidR="00FC6AD6" w:rsidRPr="00AB3B90" w14:paraId="1A10DBFF" w14:textId="77777777">
        <w:tc>
          <w:tcPr>
            <w:tcW w:w="998" w:type="pct"/>
          </w:tcPr>
          <w:p w14:paraId="04B275DE" w14:textId="77777777" w:rsidR="00FC6AD6" w:rsidRPr="00AB3B90" w:rsidRDefault="00FC6AD6">
            <w:pPr>
              <w:spacing w:after="0"/>
              <w:rPr>
                <w:sz w:val="16"/>
                <w:szCs w:val="16"/>
              </w:rPr>
            </w:pPr>
            <w:r w:rsidRPr="00AB3B90">
              <w:rPr>
                <w:sz w:val="16"/>
                <w:szCs w:val="16"/>
              </w:rPr>
              <w:t>Western Australia</w:t>
            </w:r>
          </w:p>
        </w:tc>
        <w:tc>
          <w:tcPr>
            <w:tcW w:w="3243" w:type="pct"/>
          </w:tcPr>
          <w:p w14:paraId="4D606ABD" w14:textId="77777777" w:rsidR="00FC6AD6" w:rsidRPr="00AB3B90" w:rsidRDefault="00FC6AD6">
            <w:pPr>
              <w:spacing w:after="0"/>
              <w:rPr>
                <w:sz w:val="16"/>
                <w:szCs w:val="16"/>
              </w:rPr>
            </w:pPr>
            <w:r w:rsidRPr="00AB3B90">
              <w:rPr>
                <w:sz w:val="16"/>
                <w:szCs w:val="16"/>
              </w:rPr>
              <w:t>Education Assistants' (Government) General Agreement 2023</w:t>
            </w:r>
          </w:p>
        </w:tc>
        <w:tc>
          <w:tcPr>
            <w:tcW w:w="759" w:type="pct"/>
          </w:tcPr>
          <w:p w14:paraId="06EBAB22" w14:textId="464E203C" w:rsidR="00FC6AD6" w:rsidRPr="00AB3B90" w:rsidRDefault="00FC6AD6">
            <w:pPr>
              <w:spacing w:after="0"/>
              <w:rPr>
                <w:sz w:val="16"/>
                <w:szCs w:val="16"/>
              </w:rPr>
            </w:pPr>
            <w:r w:rsidRPr="00AB3B90">
              <w:rPr>
                <w:sz w:val="16"/>
                <w:szCs w:val="16"/>
              </w:rPr>
              <w:t>2023</w:t>
            </w:r>
            <w:r w:rsidR="00783252" w:rsidRPr="00AB3B90">
              <w:rPr>
                <w:rFonts w:asciiTheme="majorHAnsi" w:hAnsiTheme="majorHAnsi"/>
                <w:sz w:val="16"/>
                <w:szCs w:val="16"/>
              </w:rPr>
              <w:t>–</w:t>
            </w:r>
            <w:r w:rsidRPr="00AB3B90">
              <w:rPr>
                <w:sz w:val="16"/>
                <w:szCs w:val="16"/>
              </w:rPr>
              <w:t>2024</w:t>
            </w:r>
          </w:p>
        </w:tc>
      </w:tr>
      <w:tr w:rsidR="00FC6AD6" w:rsidRPr="00AB3B90" w14:paraId="3AB8BEB7" w14:textId="77777777">
        <w:tc>
          <w:tcPr>
            <w:tcW w:w="998" w:type="pct"/>
          </w:tcPr>
          <w:p w14:paraId="13D4724C" w14:textId="77777777" w:rsidR="00FC6AD6" w:rsidRPr="00AB3B90" w:rsidRDefault="00FC6AD6">
            <w:pPr>
              <w:spacing w:after="0"/>
              <w:rPr>
                <w:sz w:val="16"/>
                <w:szCs w:val="16"/>
              </w:rPr>
            </w:pPr>
            <w:r w:rsidRPr="00AB3B90">
              <w:rPr>
                <w:sz w:val="16"/>
                <w:szCs w:val="16"/>
              </w:rPr>
              <w:t>Western Australia</w:t>
            </w:r>
          </w:p>
        </w:tc>
        <w:tc>
          <w:tcPr>
            <w:tcW w:w="3243" w:type="pct"/>
          </w:tcPr>
          <w:p w14:paraId="58318AF9" w14:textId="77777777" w:rsidR="00FC6AD6" w:rsidRPr="00AB3B90" w:rsidRDefault="00FC6AD6">
            <w:pPr>
              <w:spacing w:after="0"/>
              <w:rPr>
                <w:sz w:val="16"/>
                <w:szCs w:val="16"/>
              </w:rPr>
            </w:pPr>
            <w:r w:rsidRPr="00AB3B90">
              <w:rPr>
                <w:sz w:val="16"/>
                <w:szCs w:val="16"/>
              </w:rPr>
              <w:t>Education Assistants' (Government) General Agreement 2021</w:t>
            </w:r>
          </w:p>
        </w:tc>
        <w:tc>
          <w:tcPr>
            <w:tcW w:w="759" w:type="pct"/>
          </w:tcPr>
          <w:p w14:paraId="7FAD6997" w14:textId="21B4B1B7" w:rsidR="00FC6AD6" w:rsidRPr="00AB3B90" w:rsidRDefault="00FC6AD6">
            <w:pPr>
              <w:spacing w:after="0"/>
              <w:rPr>
                <w:sz w:val="16"/>
                <w:szCs w:val="16"/>
              </w:rPr>
            </w:pPr>
            <w:r w:rsidRPr="00AB3B90">
              <w:rPr>
                <w:sz w:val="16"/>
                <w:szCs w:val="16"/>
              </w:rPr>
              <w:t>2021</w:t>
            </w:r>
            <w:r w:rsidR="00783252" w:rsidRPr="00AB3B90">
              <w:rPr>
                <w:rFonts w:asciiTheme="majorHAnsi" w:hAnsiTheme="majorHAnsi"/>
                <w:sz w:val="16"/>
                <w:szCs w:val="16"/>
              </w:rPr>
              <w:t>–</w:t>
            </w:r>
            <w:r w:rsidRPr="00AB3B90">
              <w:rPr>
                <w:sz w:val="16"/>
                <w:szCs w:val="16"/>
              </w:rPr>
              <w:t>2022</w:t>
            </w:r>
          </w:p>
        </w:tc>
      </w:tr>
      <w:tr w:rsidR="00FC6AD6" w:rsidRPr="00AB3B90" w14:paraId="13F7E7FD" w14:textId="77777777">
        <w:tc>
          <w:tcPr>
            <w:tcW w:w="998" w:type="pct"/>
          </w:tcPr>
          <w:p w14:paraId="5C794BDE" w14:textId="77777777" w:rsidR="00FC6AD6" w:rsidRPr="00AB3B90" w:rsidRDefault="00FC6AD6">
            <w:pPr>
              <w:spacing w:after="0"/>
              <w:rPr>
                <w:sz w:val="16"/>
                <w:szCs w:val="16"/>
              </w:rPr>
            </w:pPr>
            <w:r w:rsidRPr="00AB3B90">
              <w:rPr>
                <w:sz w:val="16"/>
                <w:szCs w:val="16"/>
              </w:rPr>
              <w:t>Western Australia</w:t>
            </w:r>
          </w:p>
        </w:tc>
        <w:tc>
          <w:tcPr>
            <w:tcW w:w="3243" w:type="pct"/>
          </w:tcPr>
          <w:p w14:paraId="3460783D" w14:textId="77777777" w:rsidR="00FC6AD6" w:rsidRPr="00AB3B90" w:rsidRDefault="00FC6AD6">
            <w:pPr>
              <w:spacing w:after="0"/>
              <w:rPr>
                <w:sz w:val="16"/>
                <w:szCs w:val="16"/>
              </w:rPr>
            </w:pPr>
            <w:r w:rsidRPr="00AB3B90">
              <w:rPr>
                <w:sz w:val="16"/>
                <w:szCs w:val="16"/>
              </w:rPr>
              <w:t>Education Assistants' (Government) General Agreement 2019</w:t>
            </w:r>
          </w:p>
        </w:tc>
        <w:tc>
          <w:tcPr>
            <w:tcW w:w="759" w:type="pct"/>
          </w:tcPr>
          <w:p w14:paraId="73F187E9" w14:textId="2254CEAB" w:rsidR="00FC6AD6" w:rsidRPr="00AB3B90" w:rsidRDefault="00FC6AD6">
            <w:pPr>
              <w:spacing w:after="0"/>
              <w:rPr>
                <w:sz w:val="16"/>
                <w:szCs w:val="16"/>
              </w:rPr>
            </w:pPr>
            <w:r w:rsidRPr="00AB3B90">
              <w:rPr>
                <w:sz w:val="16"/>
                <w:szCs w:val="16"/>
              </w:rPr>
              <w:t>2019</w:t>
            </w:r>
            <w:r w:rsidR="00783252" w:rsidRPr="00AB3B90">
              <w:rPr>
                <w:rFonts w:asciiTheme="majorHAnsi" w:hAnsiTheme="majorHAnsi"/>
                <w:sz w:val="16"/>
                <w:szCs w:val="16"/>
              </w:rPr>
              <w:t>–</w:t>
            </w:r>
            <w:r w:rsidRPr="00AB3B90">
              <w:rPr>
                <w:sz w:val="16"/>
                <w:szCs w:val="16"/>
              </w:rPr>
              <w:t>2020</w:t>
            </w:r>
          </w:p>
        </w:tc>
      </w:tr>
      <w:tr w:rsidR="00FC6AD6" w:rsidRPr="00AB3B90" w14:paraId="6DAB50FF" w14:textId="77777777">
        <w:tc>
          <w:tcPr>
            <w:tcW w:w="998" w:type="pct"/>
          </w:tcPr>
          <w:p w14:paraId="288B8F95" w14:textId="77777777" w:rsidR="00FC6AD6" w:rsidRPr="00AB3B90" w:rsidRDefault="00FC6AD6">
            <w:pPr>
              <w:spacing w:after="0"/>
              <w:rPr>
                <w:sz w:val="16"/>
                <w:szCs w:val="16"/>
              </w:rPr>
            </w:pPr>
            <w:r w:rsidRPr="00AB3B90">
              <w:rPr>
                <w:sz w:val="16"/>
                <w:szCs w:val="16"/>
              </w:rPr>
              <w:t>Tasmania</w:t>
            </w:r>
          </w:p>
        </w:tc>
        <w:tc>
          <w:tcPr>
            <w:tcW w:w="3243" w:type="pct"/>
          </w:tcPr>
          <w:p w14:paraId="0D10033A" w14:textId="77777777" w:rsidR="00FC6AD6" w:rsidRPr="00AB3B90" w:rsidRDefault="00FC6AD6">
            <w:pPr>
              <w:spacing w:after="0"/>
              <w:rPr>
                <w:sz w:val="16"/>
                <w:szCs w:val="16"/>
              </w:rPr>
            </w:pPr>
            <w:r w:rsidRPr="00AB3B90">
              <w:rPr>
                <w:sz w:val="16"/>
                <w:szCs w:val="16"/>
              </w:rPr>
              <w:t>Public Sector Unions Wages Agreement 2022</w:t>
            </w:r>
          </w:p>
        </w:tc>
        <w:tc>
          <w:tcPr>
            <w:tcW w:w="759" w:type="pct"/>
          </w:tcPr>
          <w:p w14:paraId="3A586F1C" w14:textId="5F525DF4" w:rsidR="00FC6AD6" w:rsidRPr="00AB3B90" w:rsidRDefault="00FC6AD6">
            <w:pPr>
              <w:spacing w:after="0"/>
              <w:rPr>
                <w:sz w:val="16"/>
                <w:szCs w:val="16"/>
              </w:rPr>
            </w:pPr>
            <w:r w:rsidRPr="00AB3B90">
              <w:rPr>
                <w:sz w:val="16"/>
                <w:szCs w:val="16"/>
              </w:rPr>
              <w:t>2022</w:t>
            </w:r>
            <w:r w:rsidR="00783252" w:rsidRPr="00AB3B90">
              <w:rPr>
                <w:rFonts w:asciiTheme="majorHAnsi" w:hAnsiTheme="majorHAnsi"/>
                <w:sz w:val="16"/>
                <w:szCs w:val="16"/>
              </w:rPr>
              <w:t>–</w:t>
            </w:r>
            <w:r w:rsidRPr="00AB3B90">
              <w:rPr>
                <w:sz w:val="16"/>
                <w:szCs w:val="16"/>
              </w:rPr>
              <w:t>2024</w:t>
            </w:r>
          </w:p>
        </w:tc>
      </w:tr>
      <w:tr w:rsidR="00FC6AD6" w:rsidRPr="00AB3B90" w14:paraId="5D202D09" w14:textId="77777777">
        <w:tc>
          <w:tcPr>
            <w:tcW w:w="998" w:type="pct"/>
          </w:tcPr>
          <w:p w14:paraId="604F3FF2" w14:textId="77777777" w:rsidR="00FC6AD6" w:rsidRPr="00AB3B90" w:rsidRDefault="00FC6AD6">
            <w:pPr>
              <w:spacing w:after="0"/>
              <w:rPr>
                <w:sz w:val="16"/>
                <w:szCs w:val="16"/>
              </w:rPr>
            </w:pPr>
            <w:r w:rsidRPr="00AB3B90">
              <w:rPr>
                <w:sz w:val="16"/>
                <w:szCs w:val="16"/>
              </w:rPr>
              <w:t>Tasmania</w:t>
            </w:r>
          </w:p>
        </w:tc>
        <w:tc>
          <w:tcPr>
            <w:tcW w:w="3243" w:type="pct"/>
          </w:tcPr>
          <w:p w14:paraId="5B5503C0" w14:textId="77777777" w:rsidR="00FC6AD6" w:rsidRPr="00AB3B90" w:rsidRDefault="00FC6AD6">
            <w:pPr>
              <w:spacing w:after="0"/>
              <w:rPr>
                <w:sz w:val="16"/>
                <w:szCs w:val="16"/>
              </w:rPr>
            </w:pPr>
            <w:r w:rsidRPr="00AB3B90">
              <w:rPr>
                <w:sz w:val="16"/>
                <w:szCs w:val="16"/>
              </w:rPr>
              <w:t>Public Sector Unions Wages Agreement 2019</w:t>
            </w:r>
          </w:p>
        </w:tc>
        <w:tc>
          <w:tcPr>
            <w:tcW w:w="759" w:type="pct"/>
          </w:tcPr>
          <w:p w14:paraId="677DB89C" w14:textId="21BDB558" w:rsidR="00FC6AD6" w:rsidRPr="00AB3B90" w:rsidRDefault="00FC6AD6">
            <w:pPr>
              <w:spacing w:after="0"/>
              <w:rPr>
                <w:sz w:val="16"/>
                <w:szCs w:val="16"/>
              </w:rPr>
            </w:pPr>
            <w:r w:rsidRPr="00AB3B90">
              <w:rPr>
                <w:sz w:val="16"/>
                <w:szCs w:val="16"/>
              </w:rPr>
              <w:t>2019</w:t>
            </w:r>
            <w:r w:rsidR="00783252" w:rsidRPr="00AB3B90">
              <w:rPr>
                <w:rFonts w:asciiTheme="majorHAnsi" w:hAnsiTheme="majorHAnsi"/>
                <w:sz w:val="16"/>
                <w:szCs w:val="16"/>
              </w:rPr>
              <w:t>–</w:t>
            </w:r>
            <w:r w:rsidRPr="00AB3B90">
              <w:rPr>
                <w:sz w:val="16"/>
                <w:szCs w:val="16"/>
              </w:rPr>
              <w:t>2021</w:t>
            </w:r>
          </w:p>
        </w:tc>
      </w:tr>
      <w:tr w:rsidR="00FC6AD6" w:rsidRPr="00AB3B90" w14:paraId="133FF16D" w14:textId="77777777">
        <w:tc>
          <w:tcPr>
            <w:tcW w:w="998" w:type="pct"/>
          </w:tcPr>
          <w:p w14:paraId="366C8F7B" w14:textId="77777777" w:rsidR="00FC6AD6" w:rsidRPr="00AB3B90" w:rsidRDefault="00FC6AD6">
            <w:pPr>
              <w:spacing w:after="0"/>
              <w:rPr>
                <w:sz w:val="16"/>
                <w:szCs w:val="16"/>
              </w:rPr>
            </w:pPr>
            <w:r w:rsidRPr="00AB3B90">
              <w:rPr>
                <w:sz w:val="16"/>
                <w:szCs w:val="16"/>
              </w:rPr>
              <w:t>Tasmania</w:t>
            </w:r>
          </w:p>
        </w:tc>
        <w:tc>
          <w:tcPr>
            <w:tcW w:w="3243" w:type="pct"/>
          </w:tcPr>
          <w:p w14:paraId="7DC93A05" w14:textId="77777777" w:rsidR="00FC6AD6" w:rsidRPr="00AB3B90" w:rsidRDefault="00FC6AD6">
            <w:pPr>
              <w:spacing w:after="0"/>
              <w:rPr>
                <w:sz w:val="16"/>
                <w:szCs w:val="16"/>
              </w:rPr>
            </w:pPr>
            <w:r w:rsidRPr="00AB3B90">
              <w:rPr>
                <w:sz w:val="16"/>
                <w:szCs w:val="16"/>
              </w:rPr>
              <w:t>Public Sector Unions Wages Agreement 2018</w:t>
            </w:r>
          </w:p>
        </w:tc>
        <w:tc>
          <w:tcPr>
            <w:tcW w:w="759" w:type="pct"/>
          </w:tcPr>
          <w:p w14:paraId="2BC3D7F1" w14:textId="5975D597" w:rsidR="00FC6AD6" w:rsidRPr="00AB3B90" w:rsidRDefault="00FC6AD6">
            <w:pPr>
              <w:spacing w:after="0"/>
              <w:rPr>
                <w:sz w:val="16"/>
                <w:szCs w:val="16"/>
              </w:rPr>
            </w:pPr>
            <w:r w:rsidRPr="00AB3B90">
              <w:rPr>
                <w:sz w:val="16"/>
                <w:szCs w:val="16"/>
              </w:rPr>
              <w:t>2018</w:t>
            </w:r>
            <w:r w:rsidR="00783252" w:rsidRPr="00AB3B90">
              <w:rPr>
                <w:rFonts w:asciiTheme="majorHAnsi" w:hAnsiTheme="majorHAnsi"/>
                <w:sz w:val="16"/>
                <w:szCs w:val="16"/>
              </w:rPr>
              <w:t>–</w:t>
            </w:r>
            <w:r w:rsidRPr="00AB3B90">
              <w:rPr>
                <w:sz w:val="16"/>
                <w:szCs w:val="16"/>
              </w:rPr>
              <w:t>2019</w:t>
            </w:r>
          </w:p>
        </w:tc>
      </w:tr>
      <w:tr w:rsidR="00FC6AD6" w:rsidRPr="00AB3B90" w14:paraId="191763FC" w14:textId="77777777">
        <w:tc>
          <w:tcPr>
            <w:tcW w:w="998" w:type="pct"/>
          </w:tcPr>
          <w:p w14:paraId="171D90E8" w14:textId="77777777" w:rsidR="00FC6AD6" w:rsidRPr="00AB3B90" w:rsidRDefault="00FC6AD6">
            <w:pPr>
              <w:spacing w:after="0"/>
              <w:rPr>
                <w:sz w:val="16"/>
                <w:szCs w:val="16"/>
              </w:rPr>
            </w:pPr>
            <w:r w:rsidRPr="00AB3B90">
              <w:rPr>
                <w:sz w:val="16"/>
                <w:szCs w:val="16"/>
              </w:rPr>
              <w:t>Australian Capital Territory</w:t>
            </w:r>
          </w:p>
        </w:tc>
        <w:tc>
          <w:tcPr>
            <w:tcW w:w="3243" w:type="pct"/>
          </w:tcPr>
          <w:p w14:paraId="644CD17F" w14:textId="04E6356C" w:rsidR="00FC6AD6" w:rsidRPr="00AB3B90" w:rsidRDefault="00FC6AD6">
            <w:pPr>
              <w:spacing w:after="0"/>
              <w:rPr>
                <w:sz w:val="16"/>
                <w:szCs w:val="16"/>
              </w:rPr>
            </w:pPr>
            <w:r w:rsidRPr="00AB3B90">
              <w:rPr>
                <w:sz w:val="16"/>
                <w:szCs w:val="16"/>
              </w:rPr>
              <w:t>Act Public Sector Administrative and Related Classifications Enterprise Agreement 2023</w:t>
            </w:r>
            <w:r w:rsidR="002362CD" w:rsidRPr="00AB3B90">
              <w:rPr>
                <w:sz w:val="16"/>
                <w:szCs w:val="16"/>
              </w:rPr>
              <w:t>–</w:t>
            </w:r>
            <w:r w:rsidRPr="00AB3B90">
              <w:rPr>
                <w:sz w:val="16"/>
                <w:szCs w:val="16"/>
              </w:rPr>
              <w:t>2026</w:t>
            </w:r>
          </w:p>
        </w:tc>
        <w:tc>
          <w:tcPr>
            <w:tcW w:w="759" w:type="pct"/>
          </w:tcPr>
          <w:p w14:paraId="720DDE55" w14:textId="1BD2CEA1" w:rsidR="00FC6AD6" w:rsidRPr="00AB3B90" w:rsidRDefault="00FC6AD6">
            <w:pPr>
              <w:spacing w:after="0"/>
              <w:rPr>
                <w:sz w:val="16"/>
                <w:szCs w:val="16"/>
              </w:rPr>
            </w:pPr>
            <w:r w:rsidRPr="00AB3B90">
              <w:rPr>
                <w:sz w:val="16"/>
                <w:szCs w:val="16"/>
              </w:rPr>
              <w:t>2023</w:t>
            </w:r>
            <w:r w:rsidR="00783252" w:rsidRPr="00AB3B90">
              <w:rPr>
                <w:rFonts w:asciiTheme="majorHAnsi" w:hAnsiTheme="majorHAnsi"/>
                <w:sz w:val="16"/>
                <w:szCs w:val="16"/>
              </w:rPr>
              <w:t>–</w:t>
            </w:r>
            <w:r w:rsidRPr="00AB3B90">
              <w:rPr>
                <w:sz w:val="16"/>
                <w:szCs w:val="16"/>
              </w:rPr>
              <w:t>2026</w:t>
            </w:r>
          </w:p>
        </w:tc>
      </w:tr>
      <w:tr w:rsidR="00FC6AD6" w:rsidRPr="00AB3B90" w14:paraId="3D400E79" w14:textId="77777777">
        <w:tc>
          <w:tcPr>
            <w:tcW w:w="998" w:type="pct"/>
          </w:tcPr>
          <w:p w14:paraId="31636CD3" w14:textId="77777777" w:rsidR="00FC6AD6" w:rsidRPr="00AB3B90" w:rsidRDefault="00FC6AD6">
            <w:pPr>
              <w:spacing w:after="0"/>
              <w:rPr>
                <w:sz w:val="16"/>
                <w:szCs w:val="16"/>
              </w:rPr>
            </w:pPr>
            <w:r w:rsidRPr="00AB3B90">
              <w:rPr>
                <w:sz w:val="16"/>
                <w:szCs w:val="16"/>
              </w:rPr>
              <w:t>Australian Capital Territory</w:t>
            </w:r>
          </w:p>
        </w:tc>
        <w:tc>
          <w:tcPr>
            <w:tcW w:w="3243" w:type="pct"/>
          </w:tcPr>
          <w:p w14:paraId="4E52AFEC" w14:textId="14B16A36" w:rsidR="00FC6AD6" w:rsidRPr="00AB3B90" w:rsidRDefault="00FC6AD6">
            <w:pPr>
              <w:spacing w:after="0"/>
              <w:rPr>
                <w:sz w:val="16"/>
                <w:szCs w:val="16"/>
              </w:rPr>
            </w:pPr>
            <w:r w:rsidRPr="00AB3B90">
              <w:rPr>
                <w:sz w:val="16"/>
                <w:szCs w:val="16"/>
              </w:rPr>
              <w:t>Act Public Sector Administrative and Related Classifications Enterprise Agreement 2021</w:t>
            </w:r>
            <w:r w:rsidR="002362CD" w:rsidRPr="00AB3B90">
              <w:rPr>
                <w:sz w:val="16"/>
                <w:szCs w:val="16"/>
              </w:rPr>
              <w:t>–</w:t>
            </w:r>
            <w:r w:rsidRPr="00AB3B90">
              <w:rPr>
                <w:sz w:val="16"/>
                <w:szCs w:val="16"/>
              </w:rPr>
              <w:t>2022</w:t>
            </w:r>
          </w:p>
        </w:tc>
        <w:tc>
          <w:tcPr>
            <w:tcW w:w="759" w:type="pct"/>
          </w:tcPr>
          <w:p w14:paraId="5533BF55" w14:textId="3F6543C8" w:rsidR="00FC6AD6" w:rsidRPr="00AB3B90" w:rsidRDefault="00FC6AD6">
            <w:pPr>
              <w:spacing w:after="0"/>
              <w:rPr>
                <w:sz w:val="16"/>
                <w:szCs w:val="16"/>
              </w:rPr>
            </w:pPr>
            <w:r w:rsidRPr="00AB3B90">
              <w:rPr>
                <w:sz w:val="16"/>
                <w:szCs w:val="16"/>
              </w:rPr>
              <w:t>2021</w:t>
            </w:r>
            <w:r w:rsidR="00783252" w:rsidRPr="00AB3B90">
              <w:rPr>
                <w:rFonts w:asciiTheme="majorHAnsi" w:hAnsiTheme="majorHAnsi"/>
                <w:sz w:val="16"/>
                <w:szCs w:val="16"/>
              </w:rPr>
              <w:t>–</w:t>
            </w:r>
            <w:r w:rsidRPr="00AB3B90">
              <w:rPr>
                <w:sz w:val="16"/>
                <w:szCs w:val="16"/>
              </w:rPr>
              <w:t>2022</w:t>
            </w:r>
          </w:p>
        </w:tc>
      </w:tr>
      <w:tr w:rsidR="00FC6AD6" w:rsidRPr="00AB3B90" w14:paraId="5E113F20" w14:textId="77777777">
        <w:tc>
          <w:tcPr>
            <w:tcW w:w="998" w:type="pct"/>
          </w:tcPr>
          <w:p w14:paraId="5D7815B1" w14:textId="77777777" w:rsidR="00FC6AD6" w:rsidRPr="00AB3B90" w:rsidRDefault="00FC6AD6">
            <w:pPr>
              <w:spacing w:after="0"/>
              <w:rPr>
                <w:sz w:val="16"/>
                <w:szCs w:val="16"/>
              </w:rPr>
            </w:pPr>
            <w:r w:rsidRPr="00AB3B90">
              <w:rPr>
                <w:sz w:val="16"/>
                <w:szCs w:val="16"/>
              </w:rPr>
              <w:t>Australian Capital Territory</w:t>
            </w:r>
          </w:p>
        </w:tc>
        <w:tc>
          <w:tcPr>
            <w:tcW w:w="3243" w:type="pct"/>
          </w:tcPr>
          <w:p w14:paraId="62E50A0E" w14:textId="4603EE3D" w:rsidR="00FC6AD6" w:rsidRPr="00AB3B90" w:rsidRDefault="00FC6AD6">
            <w:pPr>
              <w:spacing w:after="0"/>
              <w:rPr>
                <w:sz w:val="16"/>
                <w:szCs w:val="16"/>
              </w:rPr>
            </w:pPr>
            <w:r w:rsidRPr="00AB3B90">
              <w:rPr>
                <w:sz w:val="16"/>
                <w:szCs w:val="16"/>
              </w:rPr>
              <w:t>Act Public Sector Administrative and Related Classifications Enterprise Agreement 2018</w:t>
            </w:r>
            <w:r w:rsidR="00783252" w:rsidRPr="00AB3B90">
              <w:rPr>
                <w:sz w:val="16"/>
                <w:szCs w:val="16"/>
              </w:rPr>
              <w:t>–</w:t>
            </w:r>
            <w:r w:rsidRPr="00AB3B90">
              <w:rPr>
                <w:sz w:val="16"/>
                <w:szCs w:val="16"/>
              </w:rPr>
              <w:t>2021</w:t>
            </w:r>
          </w:p>
        </w:tc>
        <w:tc>
          <w:tcPr>
            <w:tcW w:w="759" w:type="pct"/>
          </w:tcPr>
          <w:p w14:paraId="07BFA45D" w14:textId="1E0B1A23" w:rsidR="00FC6AD6" w:rsidRPr="00AB3B90" w:rsidRDefault="00FC6AD6">
            <w:pPr>
              <w:spacing w:after="0"/>
              <w:rPr>
                <w:sz w:val="16"/>
                <w:szCs w:val="16"/>
              </w:rPr>
            </w:pPr>
            <w:r w:rsidRPr="00AB3B90">
              <w:rPr>
                <w:sz w:val="16"/>
                <w:szCs w:val="16"/>
              </w:rPr>
              <w:t>2018</w:t>
            </w:r>
            <w:r w:rsidR="00783252" w:rsidRPr="00AB3B90">
              <w:rPr>
                <w:rFonts w:asciiTheme="majorHAnsi" w:hAnsiTheme="majorHAnsi"/>
                <w:sz w:val="16"/>
                <w:szCs w:val="16"/>
              </w:rPr>
              <w:t>–</w:t>
            </w:r>
            <w:r w:rsidRPr="00AB3B90">
              <w:rPr>
                <w:sz w:val="16"/>
                <w:szCs w:val="16"/>
              </w:rPr>
              <w:t>2021</w:t>
            </w:r>
          </w:p>
        </w:tc>
      </w:tr>
    </w:tbl>
    <w:p w14:paraId="46C3CB95" w14:textId="545F7E9B" w:rsidR="00BB2ABA" w:rsidRPr="00AB3B90" w:rsidRDefault="00BB2ABA" w:rsidP="00BB2ABA">
      <w:pPr>
        <w:pStyle w:val="Source"/>
      </w:pPr>
      <w:r w:rsidRPr="00AB3B90">
        <w:t xml:space="preserve">Notes: </w:t>
      </w:r>
      <w:r w:rsidRPr="00AB3B90">
        <w:rPr>
          <w:vertAlign w:val="superscript"/>
        </w:rPr>
        <w:t>*</w:t>
      </w:r>
      <w:r w:rsidR="00F36E3D">
        <w:rPr>
          <w:vertAlign w:val="superscript"/>
        </w:rPr>
        <w:t xml:space="preserve"> </w:t>
      </w:r>
      <w:r w:rsidRPr="00AB3B90">
        <w:t>In November 2023, this award was varied.</w:t>
      </w:r>
    </w:p>
    <w:p w14:paraId="71C03FD8" w14:textId="77777777" w:rsidR="00FC6AD6" w:rsidRPr="00AB3B90" w:rsidRDefault="00FC6AD6">
      <w:pPr>
        <w:spacing w:before="0" w:after="160"/>
      </w:pPr>
    </w:p>
    <w:p w14:paraId="7DECC5A3" w14:textId="03ABD32B" w:rsidR="00D579EB" w:rsidRPr="00AB3B90" w:rsidRDefault="00D579EB" w:rsidP="00D579EB">
      <w:pPr>
        <w:pStyle w:val="Caption"/>
        <w:keepNext/>
      </w:pPr>
      <w:bookmarkStart w:id="192" w:name="_Ref160801610"/>
      <w:bookmarkStart w:id="193" w:name="_Toc161150712"/>
      <w:bookmarkStart w:id="194" w:name="_Toc163650489"/>
      <w:r w:rsidRPr="00AB3B90">
        <w:t xml:space="preserve">Table </w:t>
      </w:r>
      <w:r w:rsidRPr="00AB3B90">
        <w:fldChar w:fldCharType="begin"/>
      </w:r>
      <w:r w:rsidRPr="00AB3B90">
        <w:instrText>SEQ Table \* ARABIC</w:instrText>
      </w:r>
      <w:r w:rsidRPr="00AB3B90">
        <w:fldChar w:fldCharType="separate"/>
      </w:r>
      <w:r w:rsidR="00FF6847" w:rsidRPr="00AB3B90">
        <w:rPr>
          <w:noProof/>
        </w:rPr>
        <w:t>13</w:t>
      </w:r>
      <w:r w:rsidRPr="00AB3B90">
        <w:fldChar w:fldCharType="end"/>
      </w:r>
      <w:bookmarkEnd w:id="192"/>
      <w:r w:rsidRPr="00AB3B90">
        <w:t xml:space="preserve"> Non-government sector teaching staff Enterprise Bargaining Agreements</w:t>
      </w:r>
      <w:bookmarkEnd w:id="193"/>
      <w:bookmarkEnd w:id="194"/>
    </w:p>
    <w:tbl>
      <w:tblPr>
        <w:tblStyle w:val="Deloittetable"/>
        <w:tblW w:w="5000" w:type="pct"/>
        <w:tblCellMar>
          <w:left w:w="57" w:type="dxa"/>
          <w:right w:w="57" w:type="dxa"/>
        </w:tblCellMar>
        <w:tblLook w:val="04A0" w:firstRow="1" w:lastRow="0" w:firstColumn="1" w:lastColumn="0" w:noHBand="0" w:noVBand="1"/>
      </w:tblPr>
      <w:tblGrid>
        <w:gridCol w:w="3829"/>
        <w:gridCol w:w="3829"/>
        <w:gridCol w:w="1368"/>
      </w:tblGrid>
      <w:tr w:rsidR="00D579EB" w:rsidRPr="00AB3B90" w14:paraId="7B8A24D4" w14:textId="77777777">
        <w:trPr>
          <w:cnfStyle w:val="100000000000" w:firstRow="1" w:lastRow="0" w:firstColumn="0" w:lastColumn="0" w:oddVBand="0" w:evenVBand="0" w:oddHBand="0" w:evenHBand="0" w:firstRowFirstColumn="0" w:firstRowLastColumn="0" w:lastRowFirstColumn="0" w:lastRowLastColumn="0"/>
        </w:trPr>
        <w:tc>
          <w:tcPr>
            <w:tcW w:w="2121" w:type="pct"/>
          </w:tcPr>
          <w:p w14:paraId="1E4DF214" w14:textId="77777777" w:rsidR="00D579EB" w:rsidRPr="00AB3B90" w:rsidRDefault="00D579EB">
            <w:pPr>
              <w:spacing w:line="240" w:lineRule="auto"/>
              <w:rPr>
                <w:b/>
                <w:sz w:val="16"/>
                <w:szCs w:val="16"/>
              </w:rPr>
            </w:pPr>
            <w:r w:rsidRPr="00AB3B90">
              <w:rPr>
                <w:b/>
                <w:sz w:val="16"/>
                <w:szCs w:val="16"/>
              </w:rPr>
              <w:t>Authority</w:t>
            </w:r>
          </w:p>
        </w:tc>
        <w:tc>
          <w:tcPr>
            <w:tcW w:w="2121" w:type="pct"/>
          </w:tcPr>
          <w:p w14:paraId="2F4C9A46" w14:textId="77777777" w:rsidR="00D579EB" w:rsidRPr="00AB3B90" w:rsidRDefault="00D579EB">
            <w:pPr>
              <w:spacing w:line="240" w:lineRule="auto"/>
              <w:rPr>
                <w:b/>
                <w:sz w:val="16"/>
                <w:szCs w:val="16"/>
              </w:rPr>
            </w:pPr>
            <w:r w:rsidRPr="00AB3B90">
              <w:rPr>
                <w:b/>
                <w:sz w:val="16"/>
                <w:szCs w:val="16"/>
              </w:rPr>
              <w:t>Enterprise Bargaining Agreement</w:t>
            </w:r>
          </w:p>
        </w:tc>
        <w:tc>
          <w:tcPr>
            <w:tcW w:w="758" w:type="pct"/>
          </w:tcPr>
          <w:p w14:paraId="28C7295A" w14:textId="77777777" w:rsidR="00D579EB" w:rsidRPr="00AB3B90" w:rsidRDefault="00D579EB">
            <w:pPr>
              <w:spacing w:line="240" w:lineRule="auto"/>
              <w:rPr>
                <w:b/>
                <w:sz w:val="16"/>
                <w:szCs w:val="16"/>
              </w:rPr>
            </w:pPr>
            <w:r w:rsidRPr="00AB3B90">
              <w:rPr>
                <w:b/>
                <w:sz w:val="16"/>
                <w:szCs w:val="16"/>
              </w:rPr>
              <w:t xml:space="preserve">Coverage </w:t>
            </w:r>
            <w:proofErr w:type="gramStart"/>
            <w:r w:rsidRPr="00AB3B90">
              <w:rPr>
                <w:b/>
                <w:sz w:val="16"/>
                <w:szCs w:val="16"/>
              </w:rPr>
              <w:t>time period</w:t>
            </w:r>
            <w:proofErr w:type="gramEnd"/>
          </w:p>
        </w:tc>
      </w:tr>
      <w:tr w:rsidR="00D579EB" w:rsidRPr="00AB3B90" w14:paraId="3DAD6994" w14:textId="77777777">
        <w:tc>
          <w:tcPr>
            <w:tcW w:w="2121" w:type="pct"/>
          </w:tcPr>
          <w:p w14:paraId="7DB3CFA0" w14:textId="77777777" w:rsidR="00D579EB" w:rsidRPr="00AB3B90" w:rsidRDefault="00D579EB">
            <w:pPr>
              <w:spacing w:line="240" w:lineRule="auto"/>
              <w:rPr>
                <w:sz w:val="16"/>
                <w:szCs w:val="16"/>
              </w:rPr>
            </w:pPr>
            <w:r w:rsidRPr="00AB3B90">
              <w:rPr>
                <w:sz w:val="16"/>
                <w:szCs w:val="16"/>
              </w:rPr>
              <w:t>Catholic Education Commission of Victoria Ltd</w:t>
            </w:r>
          </w:p>
        </w:tc>
        <w:tc>
          <w:tcPr>
            <w:tcW w:w="2121" w:type="pct"/>
          </w:tcPr>
          <w:p w14:paraId="76311BA4" w14:textId="77777777" w:rsidR="00D579EB" w:rsidRPr="00AB3B90" w:rsidRDefault="00D579EB">
            <w:pPr>
              <w:spacing w:line="240" w:lineRule="auto"/>
              <w:rPr>
                <w:sz w:val="16"/>
                <w:szCs w:val="16"/>
              </w:rPr>
            </w:pPr>
            <w:r w:rsidRPr="00AB3B90">
              <w:rPr>
                <w:sz w:val="16"/>
                <w:szCs w:val="16"/>
              </w:rPr>
              <w:t>Catholic Education Multi-Enterprise Agreement 2022</w:t>
            </w:r>
          </w:p>
        </w:tc>
        <w:tc>
          <w:tcPr>
            <w:tcW w:w="758" w:type="pct"/>
          </w:tcPr>
          <w:p w14:paraId="54FE5FC8" w14:textId="45EAC5A9" w:rsidR="00D579EB" w:rsidRPr="00AB3B90" w:rsidRDefault="00D579EB">
            <w:pPr>
              <w:spacing w:line="240" w:lineRule="auto"/>
              <w:rPr>
                <w:sz w:val="16"/>
                <w:szCs w:val="16"/>
              </w:rPr>
            </w:pPr>
            <w:r w:rsidRPr="00AB3B90">
              <w:rPr>
                <w:sz w:val="16"/>
                <w:szCs w:val="16"/>
              </w:rPr>
              <w:t>2022</w:t>
            </w:r>
            <w:r w:rsidR="00783252" w:rsidRPr="00AB3B90">
              <w:rPr>
                <w:rFonts w:asciiTheme="majorHAnsi" w:hAnsiTheme="majorHAnsi"/>
                <w:sz w:val="16"/>
                <w:szCs w:val="16"/>
              </w:rPr>
              <w:t>–</w:t>
            </w:r>
            <w:r w:rsidRPr="00AB3B90">
              <w:rPr>
                <w:sz w:val="16"/>
                <w:szCs w:val="16"/>
              </w:rPr>
              <w:t>2025</w:t>
            </w:r>
          </w:p>
        </w:tc>
      </w:tr>
      <w:tr w:rsidR="00D579EB" w:rsidRPr="00AB3B90" w14:paraId="7FFEAB45" w14:textId="77777777">
        <w:tc>
          <w:tcPr>
            <w:tcW w:w="2121" w:type="pct"/>
          </w:tcPr>
          <w:p w14:paraId="40B81826" w14:textId="77777777" w:rsidR="00D579EB" w:rsidRPr="00AB3B90" w:rsidRDefault="00D579EB">
            <w:pPr>
              <w:spacing w:line="240" w:lineRule="auto"/>
              <w:rPr>
                <w:sz w:val="16"/>
                <w:szCs w:val="16"/>
              </w:rPr>
            </w:pPr>
            <w:r w:rsidRPr="00AB3B90">
              <w:rPr>
                <w:sz w:val="16"/>
                <w:szCs w:val="16"/>
              </w:rPr>
              <w:t>Diocese of Sale Catholic Education Ltd</w:t>
            </w:r>
          </w:p>
        </w:tc>
        <w:tc>
          <w:tcPr>
            <w:tcW w:w="2121" w:type="pct"/>
          </w:tcPr>
          <w:p w14:paraId="71834B49" w14:textId="77777777" w:rsidR="00D579EB" w:rsidRPr="00AB3B90" w:rsidRDefault="00D579EB">
            <w:pPr>
              <w:spacing w:line="240" w:lineRule="auto"/>
              <w:rPr>
                <w:sz w:val="16"/>
                <w:szCs w:val="16"/>
              </w:rPr>
            </w:pPr>
            <w:r w:rsidRPr="00AB3B90">
              <w:rPr>
                <w:sz w:val="16"/>
                <w:szCs w:val="16"/>
              </w:rPr>
              <w:t>Victorian Catholic Education Multi-Enterprise Agreement 2018</w:t>
            </w:r>
          </w:p>
        </w:tc>
        <w:tc>
          <w:tcPr>
            <w:tcW w:w="758" w:type="pct"/>
          </w:tcPr>
          <w:p w14:paraId="54EC156C" w14:textId="7BE10E9C" w:rsidR="00D579EB" w:rsidRPr="00AB3B90" w:rsidRDefault="00D579EB">
            <w:pPr>
              <w:spacing w:line="240" w:lineRule="auto"/>
              <w:rPr>
                <w:sz w:val="16"/>
                <w:szCs w:val="16"/>
              </w:rPr>
            </w:pPr>
            <w:r w:rsidRPr="00AB3B90">
              <w:rPr>
                <w:sz w:val="16"/>
                <w:szCs w:val="16"/>
              </w:rPr>
              <w:t>2018</w:t>
            </w:r>
            <w:r w:rsidR="00783252" w:rsidRPr="00AB3B90">
              <w:rPr>
                <w:rFonts w:asciiTheme="majorHAnsi" w:hAnsiTheme="majorHAnsi"/>
                <w:sz w:val="16"/>
                <w:szCs w:val="16"/>
              </w:rPr>
              <w:t>–</w:t>
            </w:r>
            <w:r w:rsidRPr="00AB3B90">
              <w:rPr>
                <w:sz w:val="16"/>
                <w:szCs w:val="16"/>
              </w:rPr>
              <w:t>2021</w:t>
            </w:r>
          </w:p>
        </w:tc>
      </w:tr>
      <w:tr w:rsidR="00D579EB" w:rsidRPr="00AB3B90" w14:paraId="7025170B" w14:textId="77777777">
        <w:tc>
          <w:tcPr>
            <w:tcW w:w="2121" w:type="pct"/>
          </w:tcPr>
          <w:p w14:paraId="67FD6A81" w14:textId="77777777" w:rsidR="00D579EB" w:rsidRPr="00AB3B90" w:rsidRDefault="00D579EB">
            <w:pPr>
              <w:spacing w:line="240" w:lineRule="auto"/>
              <w:rPr>
                <w:sz w:val="16"/>
                <w:szCs w:val="16"/>
              </w:rPr>
            </w:pPr>
            <w:r w:rsidRPr="00AB3B90">
              <w:rPr>
                <w:sz w:val="16"/>
                <w:szCs w:val="16"/>
              </w:rPr>
              <w:t xml:space="preserve">Catholic Education Office Northern Territory Diocese of Darwin </w:t>
            </w:r>
          </w:p>
        </w:tc>
        <w:tc>
          <w:tcPr>
            <w:tcW w:w="2121" w:type="pct"/>
          </w:tcPr>
          <w:p w14:paraId="7FEBBB30" w14:textId="77777777" w:rsidR="00D579EB" w:rsidRPr="00AB3B90" w:rsidRDefault="00D579EB">
            <w:pPr>
              <w:spacing w:line="240" w:lineRule="auto"/>
              <w:rPr>
                <w:sz w:val="16"/>
                <w:szCs w:val="16"/>
              </w:rPr>
            </w:pPr>
            <w:r w:rsidRPr="00AB3B90">
              <w:rPr>
                <w:sz w:val="16"/>
                <w:szCs w:val="16"/>
              </w:rPr>
              <w:t>Catholic Schools (Northern Territory) Collective Enterprise Agreement 2022</w:t>
            </w:r>
          </w:p>
        </w:tc>
        <w:tc>
          <w:tcPr>
            <w:tcW w:w="758" w:type="pct"/>
          </w:tcPr>
          <w:p w14:paraId="117928F6" w14:textId="6949CB77" w:rsidR="00D579EB" w:rsidRPr="00AB3B90" w:rsidRDefault="00D579EB">
            <w:pPr>
              <w:spacing w:line="240" w:lineRule="auto"/>
              <w:rPr>
                <w:sz w:val="16"/>
                <w:szCs w:val="16"/>
              </w:rPr>
            </w:pPr>
            <w:r w:rsidRPr="00AB3B90">
              <w:rPr>
                <w:sz w:val="16"/>
                <w:szCs w:val="16"/>
              </w:rPr>
              <w:t>2022</w:t>
            </w:r>
            <w:r w:rsidR="00783252" w:rsidRPr="00AB3B90">
              <w:rPr>
                <w:rFonts w:asciiTheme="majorHAnsi" w:hAnsiTheme="majorHAnsi"/>
                <w:sz w:val="16"/>
                <w:szCs w:val="16"/>
              </w:rPr>
              <w:t>–</w:t>
            </w:r>
            <w:r w:rsidRPr="00AB3B90">
              <w:rPr>
                <w:sz w:val="16"/>
                <w:szCs w:val="16"/>
              </w:rPr>
              <w:t>2024</w:t>
            </w:r>
          </w:p>
        </w:tc>
      </w:tr>
      <w:tr w:rsidR="00D579EB" w:rsidRPr="00AB3B90" w14:paraId="201521F8" w14:textId="77777777">
        <w:tc>
          <w:tcPr>
            <w:tcW w:w="2121" w:type="pct"/>
          </w:tcPr>
          <w:p w14:paraId="59F1EB3E" w14:textId="77777777" w:rsidR="00D579EB" w:rsidRPr="00AB3B90" w:rsidRDefault="00D579EB">
            <w:pPr>
              <w:spacing w:line="240" w:lineRule="auto"/>
              <w:rPr>
                <w:sz w:val="16"/>
                <w:szCs w:val="16"/>
              </w:rPr>
            </w:pPr>
            <w:r w:rsidRPr="00AB3B90">
              <w:rPr>
                <w:sz w:val="16"/>
                <w:szCs w:val="16"/>
              </w:rPr>
              <w:t>Catholic Education Office Northern Territory Diocese of Darwin</w:t>
            </w:r>
          </w:p>
        </w:tc>
        <w:tc>
          <w:tcPr>
            <w:tcW w:w="2121" w:type="pct"/>
          </w:tcPr>
          <w:p w14:paraId="30DA993E" w14:textId="6EAC83E1" w:rsidR="00D579EB" w:rsidRPr="00AB3B90" w:rsidRDefault="00D579EB">
            <w:pPr>
              <w:spacing w:line="240" w:lineRule="auto"/>
              <w:rPr>
                <w:sz w:val="16"/>
                <w:szCs w:val="16"/>
              </w:rPr>
            </w:pPr>
            <w:r w:rsidRPr="00AB3B90">
              <w:rPr>
                <w:sz w:val="16"/>
                <w:szCs w:val="16"/>
              </w:rPr>
              <w:t>Catholic Schools (Northern Territory) Collective Enterprise Agreement 2018</w:t>
            </w:r>
            <w:r w:rsidR="00783252" w:rsidRPr="00AB3B90">
              <w:rPr>
                <w:sz w:val="16"/>
                <w:szCs w:val="16"/>
              </w:rPr>
              <w:t>–</w:t>
            </w:r>
            <w:r w:rsidRPr="00AB3B90">
              <w:rPr>
                <w:sz w:val="16"/>
                <w:szCs w:val="16"/>
              </w:rPr>
              <w:t>2021</w:t>
            </w:r>
          </w:p>
        </w:tc>
        <w:tc>
          <w:tcPr>
            <w:tcW w:w="758" w:type="pct"/>
          </w:tcPr>
          <w:p w14:paraId="4D35B2B2" w14:textId="595117D0" w:rsidR="00D579EB" w:rsidRPr="00AB3B90" w:rsidRDefault="00D579EB">
            <w:pPr>
              <w:spacing w:line="240" w:lineRule="auto"/>
              <w:rPr>
                <w:sz w:val="16"/>
                <w:szCs w:val="16"/>
              </w:rPr>
            </w:pPr>
            <w:r w:rsidRPr="00AB3B90">
              <w:rPr>
                <w:sz w:val="16"/>
                <w:szCs w:val="16"/>
              </w:rPr>
              <w:t>2018</w:t>
            </w:r>
            <w:r w:rsidR="00783252" w:rsidRPr="00AB3B90">
              <w:rPr>
                <w:rFonts w:asciiTheme="majorHAnsi" w:hAnsiTheme="majorHAnsi"/>
                <w:sz w:val="16"/>
                <w:szCs w:val="16"/>
              </w:rPr>
              <w:t>–</w:t>
            </w:r>
            <w:r w:rsidRPr="00AB3B90">
              <w:rPr>
                <w:sz w:val="16"/>
                <w:szCs w:val="16"/>
              </w:rPr>
              <w:t>2021</w:t>
            </w:r>
          </w:p>
        </w:tc>
      </w:tr>
      <w:tr w:rsidR="00D579EB" w:rsidRPr="00AB3B90" w14:paraId="3AE1996E" w14:textId="77777777">
        <w:tc>
          <w:tcPr>
            <w:tcW w:w="2121" w:type="pct"/>
          </w:tcPr>
          <w:p w14:paraId="65C4EF9F" w14:textId="77777777" w:rsidR="00D579EB" w:rsidRPr="00AB3B90" w:rsidRDefault="00D579EB">
            <w:pPr>
              <w:spacing w:line="240" w:lineRule="auto"/>
              <w:rPr>
                <w:sz w:val="16"/>
                <w:szCs w:val="16"/>
              </w:rPr>
            </w:pPr>
            <w:r w:rsidRPr="00AB3B90">
              <w:rPr>
                <w:sz w:val="16"/>
                <w:szCs w:val="16"/>
              </w:rPr>
              <w:t xml:space="preserve">Catholic Employment Relations Ltd </w:t>
            </w:r>
          </w:p>
        </w:tc>
        <w:tc>
          <w:tcPr>
            <w:tcW w:w="2121" w:type="pct"/>
          </w:tcPr>
          <w:p w14:paraId="4F29A05F" w14:textId="77777777" w:rsidR="00D579EB" w:rsidRPr="00AB3B90" w:rsidRDefault="00D579EB">
            <w:pPr>
              <w:spacing w:line="240" w:lineRule="auto"/>
              <w:rPr>
                <w:sz w:val="16"/>
                <w:szCs w:val="16"/>
              </w:rPr>
            </w:pPr>
            <w:r w:rsidRPr="00AB3B90">
              <w:rPr>
                <w:sz w:val="16"/>
                <w:szCs w:val="16"/>
              </w:rPr>
              <w:t>NSW and ACT Catholic Systemic Schools Enterprise Agreement 2023</w:t>
            </w:r>
          </w:p>
        </w:tc>
        <w:tc>
          <w:tcPr>
            <w:tcW w:w="758" w:type="pct"/>
          </w:tcPr>
          <w:p w14:paraId="0AFA2EC9" w14:textId="516F16C3" w:rsidR="00D579EB" w:rsidRPr="00AB3B90" w:rsidRDefault="00D579EB">
            <w:pPr>
              <w:spacing w:line="240" w:lineRule="auto"/>
              <w:rPr>
                <w:sz w:val="16"/>
                <w:szCs w:val="16"/>
              </w:rPr>
            </w:pPr>
            <w:r w:rsidRPr="00AB3B90">
              <w:rPr>
                <w:sz w:val="16"/>
                <w:szCs w:val="16"/>
              </w:rPr>
              <w:t>2023</w:t>
            </w:r>
            <w:r w:rsidR="00783252" w:rsidRPr="00AB3B90">
              <w:rPr>
                <w:sz w:val="16"/>
                <w:szCs w:val="16"/>
              </w:rPr>
              <w:t>–</w:t>
            </w:r>
            <w:r w:rsidRPr="00AB3B90">
              <w:rPr>
                <w:sz w:val="16"/>
                <w:szCs w:val="16"/>
              </w:rPr>
              <w:t>2024</w:t>
            </w:r>
          </w:p>
        </w:tc>
      </w:tr>
      <w:tr w:rsidR="00D579EB" w:rsidRPr="00AB3B90" w14:paraId="01C0D8A6" w14:textId="77777777">
        <w:tc>
          <w:tcPr>
            <w:tcW w:w="2121" w:type="pct"/>
          </w:tcPr>
          <w:p w14:paraId="7BC7E494" w14:textId="77777777" w:rsidR="00D579EB" w:rsidRPr="00AB3B90" w:rsidRDefault="00D579EB">
            <w:pPr>
              <w:spacing w:line="240" w:lineRule="auto"/>
              <w:rPr>
                <w:sz w:val="16"/>
                <w:szCs w:val="16"/>
              </w:rPr>
            </w:pPr>
            <w:r w:rsidRPr="00AB3B90">
              <w:rPr>
                <w:sz w:val="16"/>
                <w:szCs w:val="16"/>
              </w:rPr>
              <w:t>Catholic Commission for Employment Relations</w:t>
            </w:r>
          </w:p>
        </w:tc>
        <w:tc>
          <w:tcPr>
            <w:tcW w:w="2121" w:type="pct"/>
          </w:tcPr>
          <w:p w14:paraId="3E98F6E1" w14:textId="77777777" w:rsidR="00D579EB" w:rsidRPr="00AB3B90" w:rsidRDefault="00D579EB">
            <w:pPr>
              <w:spacing w:line="240" w:lineRule="auto"/>
              <w:rPr>
                <w:sz w:val="16"/>
                <w:szCs w:val="16"/>
              </w:rPr>
            </w:pPr>
            <w:r w:rsidRPr="00AB3B90">
              <w:rPr>
                <w:sz w:val="16"/>
                <w:szCs w:val="16"/>
              </w:rPr>
              <w:t>NSW and ACT Catholic Systemic Schools Enterprise Agreement 2020</w:t>
            </w:r>
          </w:p>
        </w:tc>
        <w:tc>
          <w:tcPr>
            <w:tcW w:w="758" w:type="pct"/>
          </w:tcPr>
          <w:p w14:paraId="0D43EBFC" w14:textId="21FDD396" w:rsidR="00D579EB" w:rsidRPr="00AB3B90" w:rsidRDefault="00D579EB">
            <w:pPr>
              <w:spacing w:line="240" w:lineRule="auto"/>
              <w:rPr>
                <w:sz w:val="16"/>
                <w:szCs w:val="16"/>
              </w:rPr>
            </w:pPr>
            <w:r w:rsidRPr="00AB3B90">
              <w:rPr>
                <w:sz w:val="16"/>
                <w:szCs w:val="16"/>
              </w:rPr>
              <w:t>2020</w:t>
            </w:r>
            <w:r w:rsidR="00783252" w:rsidRPr="00AB3B90">
              <w:rPr>
                <w:sz w:val="16"/>
                <w:szCs w:val="16"/>
              </w:rPr>
              <w:t>–</w:t>
            </w:r>
            <w:r w:rsidRPr="00AB3B90">
              <w:rPr>
                <w:sz w:val="16"/>
                <w:szCs w:val="16"/>
              </w:rPr>
              <w:t>2021</w:t>
            </w:r>
          </w:p>
        </w:tc>
      </w:tr>
      <w:tr w:rsidR="00D579EB" w:rsidRPr="00AB3B90" w14:paraId="640F5DF5" w14:textId="77777777">
        <w:tc>
          <w:tcPr>
            <w:tcW w:w="2121" w:type="pct"/>
          </w:tcPr>
          <w:p w14:paraId="5E441153" w14:textId="77777777" w:rsidR="00D579EB" w:rsidRPr="00AB3B90" w:rsidRDefault="00D579EB">
            <w:pPr>
              <w:spacing w:line="240" w:lineRule="auto"/>
              <w:rPr>
                <w:sz w:val="16"/>
                <w:szCs w:val="16"/>
              </w:rPr>
            </w:pPr>
            <w:r w:rsidRPr="00AB3B90">
              <w:rPr>
                <w:sz w:val="16"/>
                <w:szCs w:val="16"/>
              </w:rPr>
              <w:t>Catholic Commission for Employment Relations</w:t>
            </w:r>
          </w:p>
        </w:tc>
        <w:tc>
          <w:tcPr>
            <w:tcW w:w="2121" w:type="pct"/>
          </w:tcPr>
          <w:p w14:paraId="74597FC2" w14:textId="77777777" w:rsidR="00D579EB" w:rsidRPr="00AB3B90" w:rsidRDefault="00D579EB">
            <w:pPr>
              <w:spacing w:line="240" w:lineRule="auto"/>
              <w:rPr>
                <w:sz w:val="16"/>
                <w:szCs w:val="16"/>
              </w:rPr>
            </w:pPr>
            <w:r w:rsidRPr="00AB3B90">
              <w:rPr>
                <w:sz w:val="16"/>
                <w:szCs w:val="16"/>
              </w:rPr>
              <w:t>NSW and ACT Catholic Systemic Schools Enterprise Agreement 2017</w:t>
            </w:r>
          </w:p>
        </w:tc>
        <w:tc>
          <w:tcPr>
            <w:tcW w:w="758" w:type="pct"/>
          </w:tcPr>
          <w:p w14:paraId="288727D2" w14:textId="0858B649" w:rsidR="00D579EB" w:rsidRPr="00AB3B90" w:rsidRDefault="00D579EB">
            <w:pPr>
              <w:spacing w:line="240" w:lineRule="auto"/>
              <w:rPr>
                <w:sz w:val="16"/>
                <w:szCs w:val="16"/>
              </w:rPr>
            </w:pPr>
            <w:r w:rsidRPr="00AB3B90">
              <w:rPr>
                <w:sz w:val="16"/>
                <w:szCs w:val="16"/>
              </w:rPr>
              <w:t>2017</w:t>
            </w:r>
            <w:r w:rsidR="00783252" w:rsidRPr="00AB3B90">
              <w:rPr>
                <w:sz w:val="16"/>
                <w:szCs w:val="16"/>
              </w:rPr>
              <w:t>–</w:t>
            </w:r>
            <w:r w:rsidRPr="00AB3B90">
              <w:rPr>
                <w:sz w:val="16"/>
                <w:szCs w:val="16"/>
              </w:rPr>
              <w:t>2019</w:t>
            </w:r>
          </w:p>
        </w:tc>
      </w:tr>
      <w:tr w:rsidR="00D579EB" w:rsidRPr="00AB3B90" w14:paraId="1393C424" w14:textId="77777777">
        <w:tc>
          <w:tcPr>
            <w:tcW w:w="2121" w:type="pct"/>
          </w:tcPr>
          <w:p w14:paraId="3C946276" w14:textId="77777777" w:rsidR="00D579EB" w:rsidRPr="00AB3B90" w:rsidRDefault="00D579EB">
            <w:pPr>
              <w:spacing w:line="240" w:lineRule="auto"/>
              <w:rPr>
                <w:sz w:val="16"/>
                <w:szCs w:val="16"/>
              </w:rPr>
            </w:pPr>
            <w:r w:rsidRPr="00AB3B90">
              <w:rPr>
                <w:sz w:val="16"/>
                <w:szCs w:val="16"/>
              </w:rPr>
              <w:t xml:space="preserve">Circular Head Catholic School Inc </w:t>
            </w:r>
          </w:p>
        </w:tc>
        <w:tc>
          <w:tcPr>
            <w:tcW w:w="2121" w:type="pct"/>
          </w:tcPr>
          <w:p w14:paraId="23921645" w14:textId="77777777" w:rsidR="00D579EB" w:rsidRPr="00AB3B90" w:rsidRDefault="00D579EB">
            <w:pPr>
              <w:spacing w:line="240" w:lineRule="auto"/>
              <w:rPr>
                <w:sz w:val="16"/>
                <w:szCs w:val="16"/>
              </w:rPr>
            </w:pPr>
            <w:r w:rsidRPr="00AB3B90">
              <w:rPr>
                <w:sz w:val="16"/>
                <w:szCs w:val="16"/>
              </w:rPr>
              <w:t>Tasmanian Independent Catholic School (Teachers) Multi Enterprise Agreement 2022</w:t>
            </w:r>
          </w:p>
        </w:tc>
        <w:tc>
          <w:tcPr>
            <w:tcW w:w="758" w:type="pct"/>
          </w:tcPr>
          <w:p w14:paraId="366D20E5" w14:textId="4D51322A" w:rsidR="00D579EB" w:rsidRPr="00AB3B90" w:rsidRDefault="00D579EB">
            <w:pPr>
              <w:spacing w:line="240" w:lineRule="auto"/>
              <w:rPr>
                <w:sz w:val="16"/>
                <w:szCs w:val="16"/>
              </w:rPr>
            </w:pPr>
            <w:r w:rsidRPr="00AB3B90">
              <w:rPr>
                <w:sz w:val="16"/>
                <w:szCs w:val="16"/>
              </w:rPr>
              <w:t>2021</w:t>
            </w:r>
            <w:r w:rsidR="00783252" w:rsidRPr="00AB3B90">
              <w:rPr>
                <w:sz w:val="16"/>
                <w:szCs w:val="16"/>
              </w:rPr>
              <w:t>–</w:t>
            </w:r>
            <w:r w:rsidRPr="00AB3B90">
              <w:rPr>
                <w:sz w:val="16"/>
                <w:szCs w:val="16"/>
              </w:rPr>
              <w:t>2024</w:t>
            </w:r>
          </w:p>
        </w:tc>
      </w:tr>
      <w:tr w:rsidR="00D579EB" w:rsidRPr="00AB3B90" w14:paraId="55DFE248" w14:textId="77777777">
        <w:tc>
          <w:tcPr>
            <w:tcW w:w="2121" w:type="pct"/>
          </w:tcPr>
          <w:p w14:paraId="26D84F7A" w14:textId="77777777" w:rsidR="00D579EB" w:rsidRPr="00AB3B90" w:rsidRDefault="00D579EB">
            <w:pPr>
              <w:spacing w:line="240" w:lineRule="auto"/>
              <w:rPr>
                <w:sz w:val="16"/>
                <w:szCs w:val="16"/>
              </w:rPr>
            </w:pPr>
            <w:r w:rsidRPr="00AB3B90">
              <w:rPr>
                <w:sz w:val="16"/>
                <w:szCs w:val="16"/>
              </w:rPr>
              <w:t>Circular Head Catholic School Inc</w:t>
            </w:r>
          </w:p>
        </w:tc>
        <w:tc>
          <w:tcPr>
            <w:tcW w:w="2121" w:type="pct"/>
          </w:tcPr>
          <w:p w14:paraId="536DD037" w14:textId="77777777" w:rsidR="00D579EB" w:rsidRPr="00AB3B90" w:rsidRDefault="00D579EB">
            <w:pPr>
              <w:spacing w:line="240" w:lineRule="auto"/>
              <w:rPr>
                <w:sz w:val="16"/>
                <w:szCs w:val="16"/>
              </w:rPr>
            </w:pPr>
            <w:r w:rsidRPr="00AB3B90">
              <w:rPr>
                <w:sz w:val="16"/>
                <w:szCs w:val="16"/>
              </w:rPr>
              <w:t>Tasmanian Independent Catholic Schools (Teachers) Multi Enterprise Agreement 2019</w:t>
            </w:r>
          </w:p>
        </w:tc>
        <w:tc>
          <w:tcPr>
            <w:tcW w:w="758" w:type="pct"/>
          </w:tcPr>
          <w:p w14:paraId="36D9A01A" w14:textId="71CB19D1" w:rsidR="00D579EB" w:rsidRPr="00AB3B90" w:rsidRDefault="00D579EB">
            <w:pPr>
              <w:spacing w:line="240" w:lineRule="auto"/>
              <w:rPr>
                <w:sz w:val="16"/>
                <w:szCs w:val="16"/>
              </w:rPr>
            </w:pPr>
            <w:r w:rsidRPr="00AB3B90">
              <w:rPr>
                <w:sz w:val="16"/>
                <w:szCs w:val="16"/>
              </w:rPr>
              <w:t>2019</w:t>
            </w:r>
            <w:r w:rsidR="00783252" w:rsidRPr="00AB3B90">
              <w:rPr>
                <w:sz w:val="16"/>
                <w:szCs w:val="16"/>
              </w:rPr>
              <w:t>–</w:t>
            </w:r>
            <w:r w:rsidRPr="00AB3B90">
              <w:rPr>
                <w:sz w:val="16"/>
                <w:szCs w:val="16"/>
              </w:rPr>
              <w:t>2021</w:t>
            </w:r>
          </w:p>
        </w:tc>
      </w:tr>
      <w:tr w:rsidR="00D579EB" w:rsidRPr="00AB3B90" w14:paraId="3DB19F0E" w14:textId="77777777">
        <w:tc>
          <w:tcPr>
            <w:tcW w:w="2121" w:type="pct"/>
          </w:tcPr>
          <w:p w14:paraId="08F8C006" w14:textId="77777777" w:rsidR="00D579EB" w:rsidRPr="00AB3B90" w:rsidRDefault="00D579EB">
            <w:pPr>
              <w:spacing w:line="240" w:lineRule="auto"/>
              <w:rPr>
                <w:sz w:val="16"/>
                <w:szCs w:val="16"/>
              </w:rPr>
            </w:pPr>
            <w:r w:rsidRPr="00AB3B90">
              <w:rPr>
                <w:sz w:val="16"/>
                <w:szCs w:val="16"/>
              </w:rPr>
              <w:t>The Anglican Schools Commission for The Corporation of the Synod of the Diocese of Brisbane</w:t>
            </w:r>
          </w:p>
        </w:tc>
        <w:tc>
          <w:tcPr>
            <w:tcW w:w="2121" w:type="pct"/>
          </w:tcPr>
          <w:p w14:paraId="49EB4DD1" w14:textId="77777777" w:rsidR="00D579EB" w:rsidRPr="00AB3B90" w:rsidRDefault="00D579EB">
            <w:pPr>
              <w:spacing w:line="240" w:lineRule="auto"/>
              <w:rPr>
                <w:sz w:val="16"/>
                <w:szCs w:val="16"/>
              </w:rPr>
            </w:pPr>
            <w:r w:rsidRPr="00AB3B90">
              <w:rPr>
                <w:sz w:val="16"/>
                <w:szCs w:val="16"/>
              </w:rPr>
              <w:t>Queensland Anglican Schools Enterprise Agreement 2021</w:t>
            </w:r>
          </w:p>
        </w:tc>
        <w:tc>
          <w:tcPr>
            <w:tcW w:w="758" w:type="pct"/>
          </w:tcPr>
          <w:p w14:paraId="63152822" w14:textId="56B5072E" w:rsidR="00D579EB" w:rsidRPr="00AB3B90" w:rsidRDefault="00D579EB">
            <w:pPr>
              <w:spacing w:line="240" w:lineRule="auto"/>
              <w:rPr>
                <w:sz w:val="16"/>
                <w:szCs w:val="16"/>
              </w:rPr>
            </w:pPr>
            <w:r w:rsidRPr="00AB3B90">
              <w:rPr>
                <w:sz w:val="16"/>
                <w:szCs w:val="16"/>
              </w:rPr>
              <w:t>2021</w:t>
            </w:r>
            <w:r w:rsidR="00783252" w:rsidRPr="00AB3B90">
              <w:rPr>
                <w:sz w:val="16"/>
                <w:szCs w:val="16"/>
              </w:rPr>
              <w:t>–</w:t>
            </w:r>
            <w:r w:rsidRPr="00AB3B90">
              <w:rPr>
                <w:sz w:val="16"/>
                <w:szCs w:val="16"/>
              </w:rPr>
              <w:t>2023</w:t>
            </w:r>
          </w:p>
        </w:tc>
      </w:tr>
      <w:tr w:rsidR="00D579EB" w:rsidRPr="00AB3B90" w14:paraId="1A20B140" w14:textId="77777777">
        <w:tc>
          <w:tcPr>
            <w:tcW w:w="2121" w:type="pct"/>
          </w:tcPr>
          <w:p w14:paraId="622FBBD8" w14:textId="77777777" w:rsidR="00D579EB" w:rsidRPr="00AB3B90" w:rsidRDefault="00D579EB">
            <w:pPr>
              <w:spacing w:line="240" w:lineRule="auto"/>
              <w:rPr>
                <w:sz w:val="16"/>
                <w:szCs w:val="16"/>
              </w:rPr>
            </w:pPr>
            <w:r w:rsidRPr="00AB3B90">
              <w:rPr>
                <w:sz w:val="16"/>
                <w:szCs w:val="16"/>
              </w:rPr>
              <w:t>The Anglican Schools Commission for The Corporation of the Synod of the Diocese of Brisbane</w:t>
            </w:r>
          </w:p>
        </w:tc>
        <w:tc>
          <w:tcPr>
            <w:tcW w:w="2121" w:type="pct"/>
          </w:tcPr>
          <w:p w14:paraId="5C462C8D" w14:textId="77777777" w:rsidR="00D579EB" w:rsidRPr="00AB3B90" w:rsidRDefault="00D579EB">
            <w:pPr>
              <w:spacing w:line="240" w:lineRule="auto"/>
              <w:rPr>
                <w:sz w:val="16"/>
                <w:szCs w:val="16"/>
              </w:rPr>
            </w:pPr>
            <w:r w:rsidRPr="00AB3B90">
              <w:rPr>
                <w:sz w:val="16"/>
                <w:szCs w:val="16"/>
              </w:rPr>
              <w:t>Queensland Anglican Schools Enterprise Agreement 2018</w:t>
            </w:r>
          </w:p>
        </w:tc>
        <w:tc>
          <w:tcPr>
            <w:tcW w:w="758" w:type="pct"/>
          </w:tcPr>
          <w:p w14:paraId="0B280A52" w14:textId="3CB06A09" w:rsidR="00D579EB" w:rsidRPr="00AB3B90" w:rsidRDefault="00D579EB">
            <w:pPr>
              <w:spacing w:line="240" w:lineRule="auto"/>
              <w:rPr>
                <w:sz w:val="16"/>
                <w:szCs w:val="16"/>
              </w:rPr>
            </w:pPr>
            <w:r w:rsidRPr="00AB3B90">
              <w:rPr>
                <w:sz w:val="16"/>
                <w:szCs w:val="16"/>
              </w:rPr>
              <w:t>2018</w:t>
            </w:r>
            <w:r w:rsidR="00783252" w:rsidRPr="00AB3B90">
              <w:rPr>
                <w:sz w:val="16"/>
                <w:szCs w:val="16"/>
              </w:rPr>
              <w:t>–</w:t>
            </w:r>
            <w:r w:rsidRPr="00AB3B90">
              <w:rPr>
                <w:sz w:val="16"/>
                <w:szCs w:val="16"/>
              </w:rPr>
              <w:t>2021</w:t>
            </w:r>
          </w:p>
        </w:tc>
      </w:tr>
      <w:tr w:rsidR="00D579EB" w:rsidRPr="00AB3B90" w14:paraId="365779B8" w14:textId="77777777">
        <w:tc>
          <w:tcPr>
            <w:tcW w:w="2121" w:type="pct"/>
          </w:tcPr>
          <w:p w14:paraId="733CA655" w14:textId="77777777" w:rsidR="00D579EB" w:rsidRPr="00AB3B90" w:rsidRDefault="00D579EB">
            <w:pPr>
              <w:spacing w:line="240" w:lineRule="auto"/>
              <w:rPr>
                <w:sz w:val="16"/>
                <w:szCs w:val="16"/>
              </w:rPr>
            </w:pPr>
            <w:r w:rsidRPr="00AB3B90">
              <w:rPr>
                <w:sz w:val="16"/>
                <w:szCs w:val="16"/>
              </w:rPr>
              <w:t xml:space="preserve">The Corporation of the Trustees of the Roman Catholic Archdiocese of Brisbane </w:t>
            </w:r>
          </w:p>
        </w:tc>
        <w:tc>
          <w:tcPr>
            <w:tcW w:w="2121" w:type="pct"/>
          </w:tcPr>
          <w:p w14:paraId="78C61305" w14:textId="72DCD1BF" w:rsidR="00D579EB" w:rsidRPr="00AB3B90" w:rsidRDefault="00D579EB">
            <w:pPr>
              <w:spacing w:line="240" w:lineRule="auto"/>
              <w:rPr>
                <w:sz w:val="16"/>
                <w:szCs w:val="16"/>
              </w:rPr>
            </w:pPr>
            <w:r w:rsidRPr="00AB3B90">
              <w:rPr>
                <w:sz w:val="16"/>
                <w:szCs w:val="16"/>
              </w:rPr>
              <w:t xml:space="preserve">Catholic Employers Single Enterprise Collective Agreement – Diocesan Schools of Queensland </w:t>
            </w:r>
            <w:r w:rsidR="00783252" w:rsidRPr="00AB3B90">
              <w:rPr>
                <w:sz w:val="16"/>
                <w:szCs w:val="16"/>
              </w:rPr>
              <w:br/>
            </w:r>
            <w:r w:rsidRPr="00AB3B90">
              <w:rPr>
                <w:sz w:val="16"/>
                <w:szCs w:val="16"/>
              </w:rPr>
              <w:t>2023</w:t>
            </w:r>
            <w:r w:rsidR="00783252" w:rsidRPr="00AB3B90">
              <w:rPr>
                <w:sz w:val="16"/>
                <w:szCs w:val="16"/>
              </w:rPr>
              <w:t>–</w:t>
            </w:r>
            <w:r w:rsidRPr="00AB3B90">
              <w:rPr>
                <w:sz w:val="16"/>
                <w:szCs w:val="16"/>
              </w:rPr>
              <w:t>2026</w:t>
            </w:r>
          </w:p>
        </w:tc>
        <w:tc>
          <w:tcPr>
            <w:tcW w:w="758" w:type="pct"/>
          </w:tcPr>
          <w:p w14:paraId="61D4A8AA" w14:textId="473F56EF" w:rsidR="00D579EB" w:rsidRPr="00AB3B90" w:rsidRDefault="00D579EB">
            <w:pPr>
              <w:spacing w:line="240" w:lineRule="auto"/>
              <w:rPr>
                <w:sz w:val="16"/>
                <w:szCs w:val="16"/>
              </w:rPr>
            </w:pPr>
            <w:r w:rsidRPr="00AB3B90">
              <w:rPr>
                <w:sz w:val="16"/>
                <w:szCs w:val="16"/>
              </w:rPr>
              <w:t>2023</w:t>
            </w:r>
            <w:r w:rsidR="00783252" w:rsidRPr="00AB3B90">
              <w:rPr>
                <w:sz w:val="16"/>
                <w:szCs w:val="16"/>
              </w:rPr>
              <w:t>–</w:t>
            </w:r>
            <w:r w:rsidRPr="00AB3B90">
              <w:rPr>
                <w:sz w:val="16"/>
                <w:szCs w:val="16"/>
              </w:rPr>
              <w:t>2026</w:t>
            </w:r>
          </w:p>
        </w:tc>
      </w:tr>
      <w:tr w:rsidR="00D579EB" w:rsidRPr="00AB3B90" w14:paraId="23B2D819" w14:textId="77777777">
        <w:tc>
          <w:tcPr>
            <w:tcW w:w="2121" w:type="pct"/>
          </w:tcPr>
          <w:p w14:paraId="54E55A44" w14:textId="77777777" w:rsidR="00D579EB" w:rsidRPr="00AB3B90" w:rsidRDefault="00D579EB">
            <w:pPr>
              <w:spacing w:line="240" w:lineRule="auto"/>
              <w:rPr>
                <w:sz w:val="16"/>
                <w:szCs w:val="16"/>
              </w:rPr>
            </w:pPr>
            <w:r w:rsidRPr="00AB3B90">
              <w:rPr>
                <w:sz w:val="16"/>
                <w:szCs w:val="16"/>
              </w:rPr>
              <w:t>The Corporation of the Trustees of the Roman Catholic Archdiocese of Brisbane</w:t>
            </w:r>
          </w:p>
        </w:tc>
        <w:tc>
          <w:tcPr>
            <w:tcW w:w="2121" w:type="pct"/>
          </w:tcPr>
          <w:p w14:paraId="7DC4B50C" w14:textId="585118BB" w:rsidR="00D579EB" w:rsidRPr="00AB3B90" w:rsidRDefault="00D579EB">
            <w:pPr>
              <w:spacing w:line="240" w:lineRule="auto"/>
              <w:rPr>
                <w:sz w:val="16"/>
                <w:szCs w:val="16"/>
              </w:rPr>
            </w:pPr>
            <w:r w:rsidRPr="00AB3B90">
              <w:rPr>
                <w:sz w:val="16"/>
                <w:szCs w:val="16"/>
              </w:rPr>
              <w:t>Catholic Employing Authorities Single Enterprise Collective Agreement - Diocesan Schools of Queensland 2019</w:t>
            </w:r>
            <w:r w:rsidR="00783252" w:rsidRPr="00AB3B90">
              <w:rPr>
                <w:sz w:val="16"/>
                <w:szCs w:val="16"/>
              </w:rPr>
              <w:t>–</w:t>
            </w:r>
            <w:r w:rsidRPr="00AB3B90">
              <w:rPr>
                <w:sz w:val="16"/>
                <w:szCs w:val="16"/>
              </w:rPr>
              <w:t>2023</w:t>
            </w:r>
          </w:p>
        </w:tc>
        <w:tc>
          <w:tcPr>
            <w:tcW w:w="758" w:type="pct"/>
          </w:tcPr>
          <w:p w14:paraId="7E627F19" w14:textId="40F7EE17" w:rsidR="00D579EB" w:rsidRPr="00AB3B90" w:rsidRDefault="00D579EB">
            <w:pPr>
              <w:spacing w:line="240" w:lineRule="auto"/>
              <w:rPr>
                <w:sz w:val="16"/>
                <w:szCs w:val="16"/>
              </w:rPr>
            </w:pPr>
            <w:r w:rsidRPr="00AB3B90">
              <w:rPr>
                <w:sz w:val="16"/>
                <w:szCs w:val="16"/>
              </w:rPr>
              <w:t>2019</w:t>
            </w:r>
            <w:r w:rsidR="00783252" w:rsidRPr="00AB3B90">
              <w:rPr>
                <w:sz w:val="16"/>
                <w:szCs w:val="16"/>
              </w:rPr>
              <w:t>–</w:t>
            </w:r>
            <w:r w:rsidRPr="00AB3B90">
              <w:rPr>
                <w:sz w:val="16"/>
                <w:szCs w:val="16"/>
              </w:rPr>
              <w:t>2023</w:t>
            </w:r>
          </w:p>
        </w:tc>
      </w:tr>
      <w:tr w:rsidR="00D579EB" w:rsidRPr="00AB3B90" w14:paraId="01E45152" w14:textId="77777777">
        <w:tc>
          <w:tcPr>
            <w:tcW w:w="2121" w:type="pct"/>
          </w:tcPr>
          <w:p w14:paraId="1F18EDDB" w14:textId="77777777" w:rsidR="00D579EB" w:rsidRPr="00AB3B90" w:rsidRDefault="00D579EB">
            <w:pPr>
              <w:spacing w:line="240" w:lineRule="auto"/>
              <w:rPr>
                <w:sz w:val="16"/>
                <w:szCs w:val="16"/>
              </w:rPr>
            </w:pPr>
            <w:r w:rsidRPr="00AB3B90">
              <w:rPr>
                <w:sz w:val="16"/>
                <w:szCs w:val="16"/>
              </w:rPr>
              <w:t xml:space="preserve">The Corporation of the Trustees of the Roman Catholic Archdiocese of Brisbane </w:t>
            </w:r>
          </w:p>
        </w:tc>
        <w:tc>
          <w:tcPr>
            <w:tcW w:w="2121" w:type="pct"/>
          </w:tcPr>
          <w:p w14:paraId="1A69BBEF" w14:textId="65C1AC18" w:rsidR="00D579EB" w:rsidRPr="00AB3B90" w:rsidRDefault="00D579EB">
            <w:pPr>
              <w:spacing w:line="240" w:lineRule="auto"/>
              <w:rPr>
                <w:sz w:val="16"/>
                <w:szCs w:val="16"/>
              </w:rPr>
            </w:pPr>
            <w:r w:rsidRPr="00AB3B90">
              <w:rPr>
                <w:sz w:val="16"/>
                <w:szCs w:val="16"/>
              </w:rPr>
              <w:t>Catholic Employing Authorities Single Enterprise Collective Agreement – Diocesan Schools of Queensland 2015</w:t>
            </w:r>
            <w:r w:rsidR="00783252" w:rsidRPr="00AB3B90">
              <w:rPr>
                <w:sz w:val="16"/>
                <w:szCs w:val="16"/>
              </w:rPr>
              <w:t>–</w:t>
            </w:r>
            <w:r w:rsidRPr="00AB3B90">
              <w:rPr>
                <w:sz w:val="16"/>
                <w:szCs w:val="16"/>
              </w:rPr>
              <w:t>2019</w:t>
            </w:r>
          </w:p>
        </w:tc>
        <w:tc>
          <w:tcPr>
            <w:tcW w:w="758" w:type="pct"/>
          </w:tcPr>
          <w:p w14:paraId="655B7D57" w14:textId="0BC8AD3A" w:rsidR="00D579EB" w:rsidRPr="00AB3B90" w:rsidRDefault="00D579EB">
            <w:pPr>
              <w:spacing w:line="240" w:lineRule="auto"/>
              <w:rPr>
                <w:sz w:val="16"/>
                <w:szCs w:val="16"/>
              </w:rPr>
            </w:pPr>
            <w:r w:rsidRPr="00AB3B90">
              <w:rPr>
                <w:sz w:val="16"/>
                <w:szCs w:val="16"/>
              </w:rPr>
              <w:t>2015</w:t>
            </w:r>
            <w:r w:rsidR="00783252" w:rsidRPr="00AB3B90">
              <w:rPr>
                <w:sz w:val="16"/>
                <w:szCs w:val="16"/>
              </w:rPr>
              <w:t>–</w:t>
            </w:r>
            <w:r w:rsidRPr="00AB3B90">
              <w:rPr>
                <w:sz w:val="16"/>
                <w:szCs w:val="16"/>
              </w:rPr>
              <w:t>2019</w:t>
            </w:r>
          </w:p>
        </w:tc>
      </w:tr>
      <w:tr w:rsidR="00D579EB" w:rsidRPr="00AB3B90" w14:paraId="3001BD0D" w14:textId="77777777">
        <w:tc>
          <w:tcPr>
            <w:tcW w:w="2121" w:type="pct"/>
          </w:tcPr>
          <w:p w14:paraId="2F105AAE" w14:textId="77777777" w:rsidR="00D579EB" w:rsidRPr="00AB3B90" w:rsidRDefault="00D579EB">
            <w:pPr>
              <w:spacing w:line="240" w:lineRule="auto"/>
              <w:rPr>
                <w:sz w:val="16"/>
                <w:szCs w:val="16"/>
              </w:rPr>
            </w:pPr>
            <w:r w:rsidRPr="00AB3B90">
              <w:rPr>
                <w:sz w:val="16"/>
                <w:szCs w:val="16"/>
              </w:rPr>
              <w:t>Catholic Church Endowment Society Inc</w:t>
            </w:r>
          </w:p>
        </w:tc>
        <w:tc>
          <w:tcPr>
            <w:tcW w:w="2121" w:type="pct"/>
          </w:tcPr>
          <w:p w14:paraId="21739F47" w14:textId="77777777" w:rsidR="00D579EB" w:rsidRPr="00AB3B90" w:rsidRDefault="00D579EB">
            <w:pPr>
              <w:spacing w:line="240" w:lineRule="auto"/>
              <w:rPr>
                <w:sz w:val="16"/>
                <w:szCs w:val="16"/>
              </w:rPr>
            </w:pPr>
            <w:r w:rsidRPr="00AB3B90">
              <w:rPr>
                <w:sz w:val="16"/>
                <w:szCs w:val="16"/>
              </w:rPr>
              <w:t>South Australian Catholic Schools Enterprise Agreement 2020</w:t>
            </w:r>
          </w:p>
        </w:tc>
        <w:tc>
          <w:tcPr>
            <w:tcW w:w="758" w:type="pct"/>
          </w:tcPr>
          <w:p w14:paraId="6BB23E02" w14:textId="1381E36E" w:rsidR="00D579EB" w:rsidRPr="00AB3B90" w:rsidRDefault="00D579EB">
            <w:pPr>
              <w:spacing w:line="240" w:lineRule="auto"/>
              <w:rPr>
                <w:sz w:val="16"/>
                <w:szCs w:val="16"/>
              </w:rPr>
            </w:pPr>
            <w:r w:rsidRPr="00AB3B90">
              <w:rPr>
                <w:sz w:val="16"/>
                <w:szCs w:val="16"/>
              </w:rPr>
              <w:t>2020</w:t>
            </w:r>
            <w:r w:rsidR="00783252" w:rsidRPr="00AB3B90">
              <w:rPr>
                <w:sz w:val="16"/>
                <w:szCs w:val="16"/>
              </w:rPr>
              <w:t>–</w:t>
            </w:r>
            <w:r w:rsidRPr="00AB3B90">
              <w:rPr>
                <w:sz w:val="16"/>
                <w:szCs w:val="16"/>
              </w:rPr>
              <w:t>2024</w:t>
            </w:r>
          </w:p>
        </w:tc>
      </w:tr>
      <w:tr w:rsidR="00D579EB" w:rsidRPr="00AB3B90" w14:paraId="2645ED76" w14:textId="77777777">
        <w:tc>
          <w:tcPr>
            <w:tcW w:w="2121" w:type="pct"/>
          </w:tcPr>
          <w:p w14:paraId="4DBE6BF8" w14:textId="77777777" w:rsidR="00D579EB" w:rsidRPr="00AB3B90" w:rsidRDefault="00D579EB">
            <w:pPr>
              <w:spacing w:line="240" w:lineRule="auto"/>
              <w:rPr>
                <w:sz w:val="16"/>
                <w:szCs w:val="16"/>
              </w:rPr>
            </w:pPr>
            <w:r w:rsidRPr="00AB3B90">
              <w:rPr>
                <w:sz w:val="16"/>
                <w:szCs w:val="16"/>
              </w:rPr>
              <w:t xml:space="preserve">Catholic Church Endowment Society Incorporated </w:t>
            </w:r>
          </w:p>
        </w:tc>
        <w:tc>
          <w:tcPr>
            <w:tcW w:w="2121" w:type="pct"/>
          </w:tcPr>
          <w:p w14:paraId="1D40F78A" w14:textId="77777777" w:rsidR="00D579EB" w:rsidRPr="00AB3B90" w:rsidRDefault="00D579EB">
            <w:pPr>
              <w:spacing w:line="240" w:lineRule="auto"/>
              <w:rPr>
                <w:sz w:val="16"/>
                <w:szCs w:val="16"/>
              </w:rPr>
            </w:pPr>
            <w:r w:rsidRPr="00AB3B90">
              <w:rPr>
                <w:sz w:val="16"/>
                <w:szCs w:val="16"/>
              </w:rPr>
              <w:t>South Australian Catholic Schools Enterprise Agreement 2017</w:t>
            </w:r>
          </w:p>
        </w:tc>
        <w:tc>
          <w:tcPr>
            <w:tcW w:w="758" w:type="pct"/>
          </w:tcPr>
          <w:p w14:paraId="606538EE" w14:textId="5BA621F5" w:rsidR="00D579EB" w:rsidRPr="00AB3B90" w:rsidRDefault="00D579EB">
            <w:pPr>
              <w:spacing w:line="240" w:lineRule="auto"/>
              <w:rPr>
                <w:sz w:val="16"/>
                <w:szCs w:val="16"/>
              </w:rPr>
            </w:pPr>
            <w:r w:rsidRPr="00AB3B90">
              <w:rPr>
                <w:sz w:val="16"/>
                <w:szCs w:val="16"/>
              </w:rPr>
              <w:t>2017</w:t>
            </w:r>
            <w:r w:rsidR="00783252" w:rsidRPr="00AB3B90">
              <w:rPr>
                <w:sz w:val="16"/>
                <w:szCs w:val="16"/>
              </w:rPr>
              <w:t>–</w:t>
            </w:r>
            <w:r w:rsidRPr="00AB3B90">
              <w:rPr>
                <w:sz w:val="16"/>
                <w:szCs w:val="16"/>
              </w:rPr>
              <w:t>2020</w:t>
            </w:r>
          </w:p>
        </w:tc>
      </w:tr>
    </w:tbl>
    <w:p w14:paraId="582F6FFB" w14:textId="77777777" w:rsidR="00E069CD" w:rsidRPr="00AB3B90" w:rsidRDefault="00E069CD" w:rsidP="003B7B20"/>
    <w:p w14:paraId="4A2BCB0A" w14:textId="10D2C90C" w:rsidR="0074209E" w:rsidRPr="00AB3B90" w:rsidRDefault="0074209E" w:rsidP="0074209E">
      <w:pPr>
        <w:pStyle w:val="Caption"/>
        <w:keepNext/>
      </w:pPr>
      <w:bookmarkStart w:id="195" w:name="_Toc163650490"/>
      <w:r w:rsidRPr="00AB3B90">
        <w:t xml:space="preserve">Table </w:t>
      </w:r>
      <w:r w:rsidRPr="00AB3B90">
        <w:fldChar w:fldCharType="begin"/>
      </w:r>
      <w:r w:rsidRPr="00AB3B90">
        <w:instrText>SEQ Table \* ARABIC</w:instrText>
      </w:r>
      <w:r w:rsidRPr="00AB3B90">
        <w:fldChar w:fldCharType="separate"/>
      </w:r>
      <w:r w:rsidR="00FF6847" w:rsidRPr="00AB3B90">
        <w:rPr>
          <w:noProof/>
        </w:rPr>
        <w:t>14</w:t>
      </w:r>
      <w:r w:rsidRPr="00AB3B90">
        <w:fldChar w:fldCharType="end"/>
      </w:r>
      <w:r w:rsidRPr="00AB3B90">
        <w:t xml:space="preserve"> Other data sources used throughout the issues paper for </w:t>
      </w:r>
      <w:proofErr w:type="gramStart"/>
      <w:r w:rsidRPr="00AB3B90">
        <w:t>analysis</w:t>
      </w:r>
      <w:bookmarkEnd w:id="195"/>
      <w:proofErr w:type="gramEnd"/>
    </w:p>
    <w:tbl>
      <w:tblPr>
        <w:tblStyle w:val="Deloittetable"/>
        <w:tblW w:w="5000" w:type="pct"/>
        <w:tblCellMar>
          <w:left w:w="57" w:type="dxa"/>
          <w:right w:w="57" w:type="dxa"/>
        </w:tblCellMar>
        <w:tblLook w:val="04A0" w:firstRow="1" w:lastRow="0" w:firstColumn="1" w:lastColumn="0" w:noHBand="0" w:noVBand="1"/>
      </w:tblPr>
      <w:tblGrid>
        <w:gridCol w:w="2834"/>
        <w:gridCol w:w="6192"/>
      </w:tblGrid>
      <w:tr w:rsidR="0074209E" w:rsidRPr="00AB3B90" w14:paraId="4C92AE06" w14:textId="77777777">
        <w:trPr>
          <w:cnfStyle w:val="100000000000" w:firstRow="1" w:lastRow="0" w:firstColumn="0" w:lastColumn="0" w:oddVBand="0" w:evenVBand="0" w:oddHBand="0" w:evenHBand="0" w:firstRowFirstColumn="0" w:firstRowLastColumn="0" w:lastRowFirstColumn="0" w:lastRowLastColumn="0"/>
          <w:trHeight w:val="361"/>
        </w:trPr>
        <w:tc>
          <w:tcPr>
            <w:tcW w:w="1570" w:type="pct"/>
          </w:tcPr>
          <w:p w14:paraId="7C82C281" w14:textId="77777777" w:rsidR="0074209E" w:rsidRPr="00AB3B90" w:rsidRDefault="0074209E">
            <w:pPr>
              <w:spacing w:line="240" w:lineRule="auto"/>
              <w:rPr>
                <w:b/>
                <w:sz w:val="16"/>
                <w:szCs w:val="16"/>
              </w:rPr>
            </w:pPr>
            <w:bookmarkStart w:id="196" w:name="_Hlk161293149"/>
            <w:r w:rsidRPr="00AB3B90">
              <w:rPr>
                <w:b/>
                <w:sz w:val="16"/>
                <w:szCs w:val="16"/>
              </w:rPr>
              <w:t>Source</w:t>
            </w:r>
          </w:p>
        </w:tc>
        <w:tc>
          <w:tcPr>
            <w:tcW w:w="3430" w:type="pct"/>
          </w:tcPr>
          <w:p w14:paraId="3F6CD0CA" w14:textId="77777777" w:rsidR="0074209E" w:rsidRPr="00AB3B90" w:rsidRDefault="0074209E">
            <w:pPr>
              <w:spacing w:line="240" w:lineRule="auto"/>
              <w:rPr>
                <w:b/>
                <w:sz w:val="16"/>
                <w:szCs w:val="16"/>
              </w:rPr>
            </w:pPr>
            <w:r w:rsidRPr="00AB3B90">
              <w:rPr>
                <w:b/>
                <w:sz w:val="16"/>
                <w:szCs w:val="16"/>
              </w:rPr>
              <w:t>Dataset name</w:t>
            </w:r>
          </w:p>
        </w:tc>
      </w:tr>
      <w:tr w:rsidR="0074209E" w:rsidRPr="00AB3B90" w14:paraId="7290554F" w14:textId="77777777">
        <w:trPr>
          <w:trHeight w:val="560"/>
        </w:trPr>
        <w:tc>
          <w:tcPr>
            <w:tcW w:w="1570" w:type="pct"/>
          </w:tcPr>
          <w:p w14:paraId="322AF173" w14:textId="77777777" w:rsidR="0074209E" w:rsidRPr="00AB3B90" w:rsidRDefault="0074209E">
            <w:pPr>
              <w:spacing w:line="240" w:lineRule="auto"/>
              <w:rPr>
                <w:sz w:val="16"/>
                <w:szCs w:val="16"/>
              </w:rPr>
            </w:pPr>
            <w:r w:rsidRPr="00AB3B90">
              <w:rPr>
                <w:sz w:val="16"/>
                <w:szCs w:val="16"/>
              </w:rPr>
              <w:t>Australian Bureau of Statistics</w:t>
            </w:r>
          </w:p>
        </w:tc>
        <w:tc>
          <w:tcPr>
            <w:tcW w:w="3430" w:type="pct"/>
          </w:tcPr>
          <w:p w14:paraId="347D9761" w14:textId="77777777" w:rsidR="0074209E" w:rsidRPr="00AB3B90" w:rsidRDefault="0074209E">
            <w:pPr>
              <w:spacing w:line="240" w:lineRule="auto"/>
              <w:rPr>
                <w:sz w:val="16"/>
                <w:szCs w:val="16"/>
              </w:rPr>
            </w:pPr>
            <w:r w:rsidRPr="00AB3B90">
              <w:rPr>
                <w:sz w:val="16"/>
                <w:szCs w:val="16"/>
              </w:rPr>
              <w:t>Average Weekly Earnings</w:t>
            </w:r>
          </w:p>
          <w:p w14:paraId="51252C78" w14:textId="77777777" w:rsidR="0074209E" w:rsidRPr="00AB3B90" w:rsidRDefault="0074209E">
            <w:pPr>
              <w:spacing w:line="240" w:lineRule="auto"/>
              <w:rPr>
                <w:sz w:val="16"/>
                <w:szCs w:val="16"/>
              </w:rPr>
            </w:pPr>
            <w:r w:rsidRPr="00AB3B90">
              <w:rPr>
                <w:sz w:val="16"/>
                <w:szCs w:val="16"/>
              </w:rPr>
              <w:t xml:space="preserve">Consumer Price Index </w:t>
            </w:r>
          </w:p>
          <w:p w14:paraId="1A27D555" w14:textId="77777777" w:rsidR="0074209E" w:rsidRPr="00AB3B90" w:rsidRDefault="0074209E">
            <w:pPr>
              <w:spacing w:line="240" w:lineRule="auto"/>
              <w:rPr>
                <w:sz w:val="16"/>
                <w:szCs w:val="16"/>
              </w:rPr>
            </w:pPr>
            <w:r w:rsidRPr="00AB3B90">
              <w:rPr>
                <w:sz w:val="16"/>
                <w:szCs w:val="16"/>
              </w:rPr>
              <w:t>Producer Price Index</w:t>
            </w:r>
          </w:p>
          <w:p w14:paraId="052FDA46" w14:textId="77777777" w:rsidR="0074209E" w:rsidRPr="00AB3B90" w:rsidRDefault="0074209E">
            <w:pPr>
              <w:spacing w:line="240" w:lineRule="auto"/>
              <w:rPr>
                <w:sz w:val="16"/>
                <w:szCs w:val="16"/>
              </w:rPr>
            </w:pPr>
            <w:r w:rsidRPr="00AB3B90">
              <w:rPr>
                <w:sz w:val="16"/>
                <w:szCs w:val="16"/>
              </w:rPr>
              <w:t xml:space="preserve">Selected Living Cost Indexes </w:t>
            </w:r>
          </w:p>
          <w:p w14:paraId="17D57258" w14:textId="77777777" w:rsidR="0074209E" w:rsidRPr="00AB3B90" w:rsidRDefault="0074209E">
            <w:pPr>
              <w:spacing w:line="240" w:lineRule="auto"/>
              <w:rPr>
                <w:sz w:val="16"/>
                <w:szCs w:val="16"/>
              </w:rPr>
            </w:pPr>
            <w:r w:rsidRPr="00AB3B90">
              <w:rPr>
                <w:sz w:val="16"/>
                <w:szCs w:val="16"/>
              </w:rPr>
              <w:t xml:space="preserve">Wage Price Index </w:t>
            </w:r>
          </w:p>
        </w:tc>
      </w:tr>
      <w:tr w:rsidR="0074209E" w:rsidRPr="00AB3B90" w14:paraId="308D20ED" w14:textId="77777777">
        <w:trPr>
          <w:trHeight w:val="560"/>
        </w:trPr>
        <w:tc>
          <w:tcPr>
            <w:tcW w:w="1570" w:type="pct"/>
          </w:tcPr>
          <w:p w14:paraId="2625B282" w14:textId="77777777" w:rsidR="0074209E" w:rsidRPr="00AB3B90" w:rsidRDefault="0074209E">
            <w:pPr>
              <w:spacing w:line="240" w:lineRule="auto"/>
              <w:rPr>
                <w:sz w:val="16"/>
                <w:szCs w:val="16"/>
              </w:rPr>
            </w:pPr>
            <w:r w:rsidRPr="00AB3B90">
              <w:rPr>
                <w:sz w:val="16"/>
                <w:szCs w:val="16"/>
              </w:rPr>
              <w:t>Australian Curriculum Assessment and Reporting Authority</w:t>
            </w:r>
          </w:p>
        </w:tc>
        <w:tc>
          <w:tcPr>
            <w:tcW w:w="3430" w:type="pct"/>
          </w:tcPr>
          <w:p w14:paraId="0F3DF3FB" w14:textId="77777777" w:rsidR="0074209E" w:rsidRPr="00AB3B90" w:rsidRDefault="0074209E">
            <w:pPr>
              <w:spacing w:line="240" w:lineRule="auto"/>
              <w:rPr>
                <w:sz w:val="16"/>
                <w:szCs w:val="16"/>
              </w:rPr>
            </w:pPr>
            <w:r w:rsidRPr="00AB3B90">
              <w:rPr>
                <w:sz w:val="16"/>
                <w:szCs w:val="16"/>
              </w:rPr>
              <w:t>Government expenditure on government schools (Financial year) (2022)</w:t>
            </w:r>
          </w:p>
          <w:p w14:paraId="56C593FD" w14:textId="77777777" w:rsidR="0074209E" w:rsidRPr="00AB3B90" w:rsidRDefault="0074209E">
            <w:pPr>
              <w:spacing w:line="240" w:lineRule="auto"/>
              <w:rPr>
                <w:sz w:val="16"/>
                <w:szCs w:val="16"/>
              </w:rPr>
            </w:pPr>
            <w:r w:rsidRPr="00AB3B90">
              <w:rPr>
                <w:sz w:val="16"/>
                <w:szCs w:val="16"/>
              </w:rPr>
              <w:t>Non-government schools’ income and expenditure (2021)</w:t>
            </w:r>
          </w:p>
          <w:p w14:paraId="74CB2667" w14:textId="77777777" w:rsidR="0074209E" w:rsidRPr="00AB3B90" w:rsidRDefault="0074209E">
            <w:pPr>
              <w:spacing w:line="240" w:lineRule="auto"/>
              <w:rPr>
                <w:sz w:val="16"/>
                <w:szCs w:val="16"/>
              </w:rPr>
            </w:pPr>
            <w:r w:rsidRPr="00AB3B90">
              <w:rPr>
                <w:sz w:val="16"/>
                <w:szCs w:val="16"/>
              </w:rPr>
              <w:t>Staff numbers (2022)</w:t>
            </w:r>
          </w:p>
        </w:tc>
      </w:tr>
      <w:tr w:rsidR="0074209E" w:rsidRPr="00AB3B90" w14:paraId="6FF4AA0B" w14:textId="77777777">
        <w:trPr>
          <w:trHeight w:val="560"/>
        </w:trPr>
        <w:tc>
          <w:tcPr>
            <w:tcW w:w="1570" w:type="pct"/>
          </w:tcPr>
          <w:p w14:paraId="3134DFF7" w14:textId="77777777" w:rsidR="0074209E" w:rsidRPr="00AB3B90" w:rsidRDefault="0074209E">
            <w:pPr>
              <w:spacing w:line="240" w:lineRule="auto"/>
              <w:rPr>
                <w:sz w:val="16"/>
                <w:szCs w:val="16"/>
              </w:rPr>
            </w:pPr>
            <w:r w:rsidRPr="00AB3B90">
              <w:rPr>
                <w:sz w:val="16"/>
                <w:szCs w:val="16"/>
              </w:rPr>
              <w:t>Productivity Commission</w:t>
            </w:r>
          </w:p>
        </w:tc>
        <w:tc>
          <w:tcPr>
            <w:tcW w:w="3430" w:type="pct"/>
          </w:tcPr>
          <w:p w14:paraId="5480E597" w14:textId="77777777" w:rsidR="0074209E" w:rsidRPr="00AB3B90" w:rsidRDefault="0074209E">
            <w:pPr>
              <w:spacing w:line="240" w:lineRule="auto"/>
              <w:rPr>
                <w:sz w:val="16"/>
                <w:szCs w:val="16"/>
              </w:rPr>
            </w:pPr>
            <w:r w:rsidRPr="00AB3B90">
              <w:rPr>
                <w:sz w:val="16"/>
                <w:szCs w:val="16"/>
              </w:rPr>
              <w:t>Report on Government Services 2024</w:t>
            </w:r>
          </w:p>
        </w:tc>
      </w:tr>
      <w:bookmarkEnd w:id="196"/>
    </w:tbl>
    <w:p w14:paraId="0D4F5914" w14:textId="77777777" w:rsidR="00E069CD" w:rsidRPr="00AB3B90" w:rsidRDefault="00E069CD">
      <w:pPr>
        <w:spacing w:before="0" w:after="160"/>
        <w:rPr>
          <w:rFonts w:eastAsiaTheme="majorEastAsia" w:cstheme="majorBidi"/>
          <w:color w:val="0F294C"/>
          <w:sz w:val="60"/>
          <w:szCs w:val="32"/>
        </w:rPr>
      </w:pPr>
      <w:r w:rsidRPr="00AB3B90">
        <w:br w:type="page"/>
      </w:r>
    </w:p>
    <w:p w14:paraId="6DD0DCAE" w14:textId="2EE7CA79" w:rsidR="00992FB7" w:rsidRPr="00AB3B90" w:rsidRDefault="00DE6332" w:rsidP="00992FB7">
      <w:pPr>
        <w:pStyle w:val="Heading1"/>
      </w:pPr>
      <w:bookmarkStart w:id="197" w:name="_Toc163650461"/>
      <w:r w:rsidRPr="00AB3B90">
        <w:t xml:space="preserve">Appendix </w:t>
      </w:r>
      <w:r w:rsidR="000A320A" w:rsidRPr="00AB3B90">
        <w:t>H</w:t>
      </w:r>
      <w:r w:rsidRPr="00AB3B90">
        <w:t xml:space="preserve"> – </w:t>
      </w:r>
      <w:r w:rsidR="00992FB7" w:rsidRPr="00AB3B90">
        <w:t>References</w:t>
      </w:r>
      <w:bookmarkEnd w:id="175"/>
      <w:bookmarkEnd w:id="197"/>
      <w:r w:rsidR="00992FB7" w:rsidRPr="00AB3B90">
        <w:t xml:space="preserve"> </w:t>
      </w:r>
    </w:p>
    <w:p w14:paraId="1874907F" w14:textId="5E94FCBC" w:rsidR="004E2BBD" w:rsidRPr="00AB3B90" w:rsidRDefault="004E2BBD" w:rsidP="004E2BBD">
      <w:r w:rsidRPr="00AB3B90">
        <w:rPr>
          <w:i/>
          <w:iCs/>
        </w:rPr>
        <w:t xml:space="preserve">Australian Education Act 2013, </w:t>
      </w:r>
      <w:r w:rsidRPr="00AB3B90">
        <w:t>(</w:t>
      </w:r>
      <w:proofErr w:type="spellStart"/>
      <w:r w:rsidRPr="00AB3B90">
        <w:t>Cth</w:t>
      </w:r>
      <w:proofErr w:type="spellEnd"/>
      <w:r w:rsidRPr="00AB3B90">
        <w:t>)</w:t>
      </w:r>
      <w:r w:rsidR="004C5A50" w:rsidRPr="00AB3B90">
        <w:t>.</w:t>
      </w:r>
    </w:p>
    <w:p w14:paraId="4AD80F0F" w14:textId="674B102B" w:rsidR="004E2BBD" w:rsidRPr="00AB3B90" w:rsidRDefault="004E2BBD" w:rsidP="004E2BBD">
      <w:pPr>
        <w:pStyle w:val="FootnoteText"/>
        <w:rPr>
          <w:i/>
          <w:iCs/>
          <w:sz w:val="22"/>
          <w:szCs w:val="22"/>
        </w:rPr>
      </w:pPr>
      <w:r w:rsidRPr="00AB3B90">
        <w:rPr>
          <w:i/>
          <w:iCs/>
          <w:sz w:val="22"/>
          <w:szCs w:val="22"/>
        </w:rPr>
        <w:t>Australian Education Regulations 2023</w:t>
      </w:r>
      <w:r w:rsidR="004C5A50" w:rsidRPr="00AB3B90">
        <w:rPr>
          <w:sz w:val="22"/>
          <w:szCs w:val="22"/>
        </w:rPr>
        <w:t>.</w:t>
      </w:r>
    </w:p>
    <w:p w14:paraId="360FCBAA" w14:textId="69DF9F31" w:rsidR="00A9176D" w:rsidRPr="00AB3B90" w:rsidRDefault="00A9176D" w:rsidP="00A9176D">
      <w:r w:rsidRPr="00AB3B90">
        <w:t>Blanchard, O</w:t>
      </w:r>
      <w:r w:rsidR="004049D8" w:rsidRPr="00AB3B90">
        <w:t>J</w:t>
      </w:r>
      <w:r w:rsidR="00517BCB" w:rsidRPr="00AB3B90">
        <w:t>,</w:t>
      </w:r>
      <w:r w:rsidR="002C3A30" w:rsidRPr="00AB3B90">
        <w:t xml:space="preserve"> </w:t>
      </w:r>
      <w:r w:rsidR="004049D8" w:rsidRPr="00AB3B90">
        <w:t>‘</w:t>
      </w:r>
      <w:r w:rsidRPr="00AB3B90">
        <w:t>The Wage Price Spiral</w:t>
      </w:r>
      <w:r w:rsidR="004049D8" w:rsidRPr="00AB3B90">
        <w:t>’</w:t>
      </w:r>
      <w:r w:rsidRPr="00AB3B90">
        <w:t xml:space="preserve">, </w:t>
      </w:r>
      <w:r w:rsidRPr="00AB3B90">
        <w:rPr>
          <w:i/>
          <w:iCs/>
        </w:rPr>
        <w:t>The Quarterly Journal of Economics</w:t>
      </w:r>
      <w:r w:rsidRPr="00AB3B90">
        <w:t xml:space="preserve">, </w:t>
      </w:r>
      <w:r w:rsidR="00517BCB" w:rsidRPr="00AB3B90">
        <w:t xml:space="preserve">1986, </w:t>
      </w:r>
      <w:hyperlink r:id="rId73" w:history="1">
        <w:r w:rsidRPr="00AB3B90">
          <w:t>101</w:t>
        </w:r>
        <w:r w:rsidR="00517BCB" w:rsidRPr="00AB3B90">
          <w:t>(</w:t>
        </w:r>
        <w:r w:rsidRPr="00AB3B90">
          <w:t>3</w:t>
        </w:r>
        <w:r w:rsidR="00517BCB" w:rsidRPr="00AB3B90">
          <w:t>)</w:t>
        </w:r>
        <w:r w:rsidR="004049D8" w:rsidRPr="00AB3B90">
          <w:t>:</w:t>
        </w:r>
      </w:hyperlink>
      <w:r w:rsidRPr="00AB3B90">
        <w:t xml:space="preserve"> 543-566.</w:t>
      </w:r>
    </w:p>
    <w:p w14:paraId="4DB81383" w14:textId="639AE4B5" w:rsidR="004E2BBD" w:rsidRPr="00AB3B90" w:rsidRDefault="004E2BBD" w:rsidP="004E2BBD">
      <w:r w:rsidRPr="00AB3B90">
        <w:t xml:space="preserve">Council of Australian Governments, </w:t>
      </w:r>
      <w:hyperlink r:id="rId74" w:history="1">
        <w:r w:rsidRPr="00AB3B90">
          <w:rPr>
            <w:rStyle w:val="Hyperlink"/>
            <w:i/>
            <w:iCs/>
            <w:noProof w:val="0"/>
          </w:rPr>
          <w:t>National School Reform Agreement</w:t>
        </w:r>
      </w:hyperlink>
      <w:r w:rsidR="004049D8" w:rsidRPr="00AB3B90">
        <w:t>,</w:t>
      </w:r>
      <w:r w:rsidRPr="00AB3B90">
        <w:t xml:space="preserve"> </w:t>
      </w:r>
      <w:r w:rsidR="004049D8" w:rsidRPr="00AB3B90">
        <w:t>accessed</w:t>
      </w:r>
      <w:r w:rsidRPr="00AB3B90">
        <w:t xml:space="preserve"> </w:t>
      </w:r>
      <w:r w:rsidR="004049D8" w:rsidRPr="00AB3B90">
        <w:t>1</w:t>
      </w:r>
      <w:r w:rsidRPr="00AB3B90">
        <w:t xml:space="preserve"> </w:t>
      </w:r>
      <w:r w:rsidR="004049D8" w:rsidRPr="00AB3B90">
        <w:t>March 2024.</w:t>
      </w:r>
    </w:p>
    <w:p w14:paraId="172733B7" w14:textId="464C7F0A" w:rsidR="0045606E" w:rsidRPr="00AB3B90" w:rsidRDefault="0045606E" w:rsidP="004E2BBD">
      <w:pPr>
        <w:pStyle w:val="FootnoteText"/>
        <w:rPr>
          <w:sz w:val="22"/>
          <w:szCs w:val="22"/>
        </w:rPr>
      </w:pPr>
      <w:r w:rsidRPr="00AB3B90">
        <w:rPr>
          <w:sz w:val="22"/>
          <w:szCs w:val="22"/>
        </w:rPr>
        <w:t xml:space="preserve">Deloitte Access Economics, </w:t>
      </w:r>
      <w:r w:rsidR="007F2855" w:rsidRPr="00AB3B90">
        <w:rPr>
          <w:sz w:val="22"/>
          <w:szCs w:val="22"/>
        </w:rPr>
        <w:t>2024, unpublished</w:t>
      </w:r>
      <w:r w:rsidRPr="00AB3B90">
        <w:rPr>
          <w:sz w:val="22"/>
          <w:szCs w:val="22"/>
        </w:rPr>
        <w:t>.</w:t>
      </w:r>
    </w:p>
    <w:p w14:paraId="2DE808D3" w14:textId="109AA135" w:rsidR="004C5A50" w:rsidRPr="00AB3B90" w:rsidRDefault="004C5A50" w:rsidP="004E2BBD">
      <w:pPr>
        <w:pStyle w:val="FootnoteText"/>
        <w:rPr>
          <w:sz w:val="22"/>
          <w:szCs w:val="22"/>
        </w:rPr>
      </w:pPr>
      <w:r w:rsidRPr="00AB3B90">
        <w:rPr>
          <w:sz w:val="22"/>
          <w:szCs w:val="22"/>
        </w:rPr>
        <w:t xml:space="preserve">Department of Education, 2024 </w:t>
      </w:r>
      <w:r w:rsidRPr="00AB3B90">
        <w:rPr>
          <w:i/>
          <w:iCs/>
          <w:sz w:val="22"/>
          <w:szCs w:val="22"/>
        </w:rPr>
        <w:t xml:space="preserve">Indexation Review Background, </w:t>
      </w:r>
      <w:r w:rsidRPr="00AB3B90">
        <w:rPr>
          <w:sz w:val="22"/>
          <w:szCs w:val="22"/>
        </w:rPr>
        <w:t>Australian Government, 2024.</w:t>
      </w:r>
    </w:p>
    <w:p w14:paraId="29D174A3" w14:textId="489BFEE5" w:rsidR="004E2BBD" w:rsidRPr="00AB3B90" w:rsidRDefault="004E2BBD" w:rsidP="004E2BBD">
      <w:pPr>
        <w:pStyle w:val="FootnoteText"/>
        <w:rPr>
          <w:sz w:val="22"/>
          <w:szCs w:val="22"/>
        </w:rPr>
      </w:pPr>
      <w:r w:rsidRPr="00AB3B90">
        <w:rPr>
          <w:sz w:val="22"/>
          <w:szCs w:val="22"/>
        </w:rPr>
        <w:t xml:space="preserve">Department of Education, </w:t>
      </w:r>
      <w:hyperlink r:id="rId75" w:history="1">
        <w:r w:rsidRPr="00AB3B90">
          <w:rPr>
            <w:rStyle w:val="Hyperlink"/>
            <w:i/>
            <w:iCs/>
            <w:noProof w:val="0"/>
            <w:sz w:val="22"/>
            <w:szCs w:val="22"/>
          </w:rPr>
          <w:t>How is school funding indexed?</w:t>
        </w:r>
      </w:hyperlink>
      <w:r w:rsidR="006E46FC" w:rsidRPr="00AB3B90">
        <w:rPr>
          <w:i/>
          <w:iCs/>
          <w:sz w:val="22"/>
          <w:szCs w:val="22"/>
        </w:rPr>
        <w:t xml:space="preserve">, </w:t>
      </w:r>
      <w:r w:rsidR="004C5A50" w:rsidRPr="00AB3B90">
        <w:rPr>
          <w:sz w:val="22"/>
          <w:szCs w:val="22"/>
        </w:rPr>
        <w:t xml:space="preserve">Australian Government, </w:t>
      </w:r>
      <w:r w:rsidR="006E46FC" w:rsidRPr="00AB3B90">
        <w:rPr>
          <w:sz w:val="22"/>
          <w:szCs w:val="22"/>
        </w:rPr>
        <w:t>2023, accessed</w:t>
      </w:r>
      <w:r w:rsidRPr="00AB3B90">
        <w:rPr>
          <w:sz w:val="22"/>
          <w:szCs w:val="22"/>
        </w:rPr>
        <w:t xml:space="preserve"> 1</w:t>
      </w:r>
      <w:r w:rsidR="004C5A50" w:rsidRPr="00AB3B90">
        <w:rPr>
          <w:sz w:val="22"/>
          <w:szCs w:val="22"/>
        </w:rPr>
        <w:t> </w:t>
      </w:r>
      <w:r w:rsidR="006E46FC" w:rsidRPr="00AB3B90">
        <w:rPr>
          <w:sz w:val="22"/>
          <w:szCs w:val="22"/>
        </w:rPr>
        <w:t>March</w:t>
      </w:r>
      <w:r w:rsidRPr="00AB3B90">
        <w:rPr>
          <w:sz w:val="22"/>
          <w:szCs w:val="22"/>
        </w:rPr>
        <w:t xml:space="preserve"> 202</w:t>
      </w:r>
      <w:r w:rsidR="006E46FC" w:rsidRPr="00AB3B90">
        <w:rPr>
          <w:sz w:val="22"/>
          <w:szCs w:val="22"/>
        </w:rPr>
        <w:t>4.</w:t>
      </w:r>
    </w:p>
    <w:p w14:paraId="5AD4D028" w14:textId="501EF76A" w:rsidR="005A6C30" w:rsidRPr="00AB3B90" w:rsidRDefault="005A6C30" w:rsidP="004E2BBD">
      <w:pPr>
        <w:pStyle w:val="FootnoteText"/>
        <w:rPr>
          <w:sz w:val="22"/>
          <w:szCs w:val="22"/>
        </w:rPr>
      </w:pPr>
      <w:r w:rsidRPr="00AB3B90">
        <w:rPr>
          <w:sz w:val="22"/>
          <w:szCs w:val="22"/>
        </w:rPr>
        <w:t xml:space="preserve">Department of Education, </w:t>
      </w:r>
      <w:hyperlink r:id="rId76" w:history="1">
        <w:r w:rsidRPr="00AB3B90">
          <w:rPr>
            <w:rStyle w:val="Hyperlink"/>
            <w:noProof w:val="0"/>
            <w:sz w:val="22"/>
            <w:szCs w:val="22"/>
          </w:rPr>
          <w:t>Schooling Resource Standard</w:t>
        </w:r>
      </w:hyperlink>
      <w:r w:rsidRPr="00AB3B90">
        <w:rPr>
          <w:sz w:val="22"/>
          <w:szCs w:val="22"/>
        </w:rPr>
        <w:t xml:space="preserve">, </w:t>
      </w:r>
      <w:r w:rsidR="004C5A50" w:rsidRPr="00AB3B90">
        <w:rPr>
          <w:sz w:val="22"/>
          <w:szCs w:val="22"/>
        </w:rPr>
        <w:t xml:space="preserve">Australian Government, </w:t>
      </w:r>
      <w:r w:rsidRPr="00AB3B90">
        <w:rPr>
          <w:sz w:val="22"/>
          <w:szCs w:val="22"/>
        </w:rPr>
        <w:t>accessed 1</w:t>
      </w:r>
      <w:r w:rsidR="004C5A50" w:rsidRPr="00AB3B90">
        <w:rPr>
          <w:sz w:val="22"/>
          <w:szCs w:val="22"/>
        </w:rPr>
        <w:t> </w:t>
      </w:r>
      <w:r w:rsidRPr="00AB3B90">
        <w:rPr>
          <w:sz w:val="22"/>
          <w:szCs w:val="22"/>
        </w:rPr>
        <w:t xml:space="preserve">March </w:t>
      </w:r>
      <w:r w:rsidR="004C5A50" w:rsidRPr="00AB3B90">
        <w:rPr>
          <w:sz w:val="22"/>
          <w:szCs w:val="22"/>
        </w:rPr>
        <w:t> </w:t>
      </w:r>
      <w:r w:rsidRPr="00AB3B90">
        <w:rPr>
          <w:sz w:val="22"/>
          <w:szCs w:val="22"/>
        </w:rPr>
        <w:t>2024.</w:t>
      </w:r>
    </w:p>
    <w:p w14:paraId="7530C5D7" w14:textId="7591F17E" w:rsidR="004C5A50" w:rsidRPr="00AB3B90" w:rsidRDefault="004C5A50" w:rsidP="001C48CB">
      <w:pPr>
        <w:pStyle w:val="FootnoteText"/>
        <w:rPr>
          <w:sz w:val="22"/>
          <w:szCs w:val="22"/>
        </w:rPr>
      </w:pPr>
      <w:bookmarkStart w:id="198" w:name="_Hlk151714440"/>
      <w:r w:rsidRPr="00AB3B90">
        <w:rPr>
          <w:sz w:val="22"/>
          <w:szCs w:val="22"/>
        </w:rPr>
        <w:t xml:space="preserve">Department of Education, Schools HUB, </w:t>
      </w:r>
      <w:hyperlink r:id="rId77" w:history="1">
        <w:r w:rsidR="00617D64" w:rsidRPr="00AB3B90">
          <w:rPr>
            <w:rStyle w:val="Hyperlink"/>
            <w:i/>
            <w:iCs/>
            <w:noProof w:val="0"/>
            <w:sz w:val="22"/>
            <w:szCs w:val="22"/>
          </w:rPr>
          <w:t>A guide for approved authorities on the use of recurrent funding</w:t>
        </w:r>
      </w:hyperlink>
      <w:r w:rsidRPr="00AB3B90">
        <w:rPr>
          <w:sz w:val="22"/>
          <w:szCs w:val="22"/>
        </w:rPr>
        <w:t xml:space="preserve">, Australian Government, accessed 1 March 2024. </w:t>
      </w:r>
    </w:p>
    <w:p w14:paraId="66525F1B" w14:textId="10D75956" w:rsidR="004E2BBD" w:rsidRPr="00AB3B90" w:rsidRDefault="004E2BBD" w:rsidP="004E2BBD">
      <w:r w:rsidRPr="00AB3B90">
        <w:t>Gonski, D, Boston, K, Greiner, K, Lawrence, C, Scales, B and Tannock, P</w:t>
      </w:r>
      <w:r w:rsidR="006E46FC" w:rsidRPr="00AB3B90">
        <w:t>,</w:t>
      </w:r>
      <w:r w:rsidRPr="00AB3B90">
        <w:t xml:space="preserve"> </w:t>
      </w:r>
      <w:hyperlink r:id="rId78" w:history="1">
        <w:r w:rsidRPr="00AB3B90">
          <w:rPr>
            <w:rStyle w:val="Hyperlink"/>
            <w:i/>
            <w:iCs/>
            <w:noProof w:val="0"/>
          </w:rPr>
          <w:t>Review of Funding for Schooling – Final Report</w:t>
        </w:r>
      </w:hyperlink>
      <w:r w:rsidRPr="00AB3B90">
        <w:rPr>
          <w:i/>
          <w:iCs/>
        </w:rPr>
        <w:t>,</w:t>
      </w:r>
      <w:r w:rsidRPr="00AB3B90">
        <w:t xml:space="preserve"> 2011, </w:t>
      </w:r>
      <w:r w:rsidR="006E46FC" w:rsidRPr="00AB3B90">
        <w:t>accessed</w:t>
      </w:r>
      <w:r w:rsidRPr="00AB3B90">
        <w:t xml:space="preserve"> 1</w:t>
      </w:r>
      <w:r w:rsidR="006E46FC" w:rsidRPr="00AB3B90">
        <w:t xml:space="preserve"> March</w:t>
      </w:r>
      <w:r w:rsidRPr="00AB3B90">
        <w:t xml:space="preserve"> 202</w:t>
      </w:r>
      <w:r w:rsidR="006E46FC" w:rsidRPr="00AB3B90">
        <w:t>4.</w:t>
      </w:r>
    </w:p>
    <w:bookmarkEnd w:id="198"/>
    <w:p w14:paraId="6FD02898" w14:textId="359840B2" w:rsidR="00EB63EA" w:rsidRPr="00AB3B90" w:rsidRDefault="00EB63EA" w:rsidP="00EB63EA">
      <w:r w:rsidRPr="00AB3B90">
        <w:t>Martin, R</w:t>
      </w:r>
      <w:r w:rsidR="0068612E" w:rsidRPr="00AB3B90">
        <w:t>E</w:t>
      </w:r>
      <w:r w:rsidR="004C5B82" w:rsidRPr="00AB3B90">
        <w:t>,</w:t>
      </w:r>
      <w:r w:rsidRPr="00AB3B90">
        <w:t xml:space="preserve"> </w:t>
      </w:r>
      <w:r w:rsidR="0068612E" w:rsidRPr="00AB3B90">
        <w:t>‘</w:t>
      </w:r>
      <w:hyperlink r:id="rId79" w:history="1">
        <w:r w:rsidRPr="00AB3B90">
          <w:rPr>
            <w:rStyle w:val="Hyperlink"/>
            <w:noProof w:val="0"/>
          </w:rPr>
          <w:t>The Revenue–to–Cost Spiral in Higher Education</w:t>
        </w:r>
        <w:r w:rsidR="0068612E" w:rsidRPr="00AB3B90">
          <w:rPr>
            <w:rStyle w:val="Hyperlink"/>
            <w:noProof w:val="0"/>
          </w:rPr>
          <w:t>’</w:t>
        </w:r>
      </w:hyperlink>
      <w:r w:rsidRPr="00AB3B90">
        <w:t xml:space="preserve">, The James G. Martin </w:t>
      </w:r>
      <w:proofErr w:type="spellStart"/>
      <w:r w:rsidRPr="00AB3B90">
        <w:t>Center</w:t>
      </w:r>
      <w:proofErr w:type="spellEnd"/>
      <w:r w:rsidRPr="00AB3B90">
        <w:t xml:space="preserve"> for Academic Renewal</w:t>
      </w:r>
      <w:r w:rsidR="001D51D0" w:rsidRPr="00AB3B90">
        <w:t>,</w:t>
      </w:r>
      <w:r w:rsidRPr="00AB3B90">
        <w:t xml:space="preserve"> </w:t>
      </w:r>
      <w:r w:rsidR="0068612E" w:rsidRPr="00AB3B90">
        <w:t>2009</w:t>
      </w:r>
      <w:r w:rsidR="001D51D0" w:rsidRPr="00AB3B90">
        <w:t>, accessed 1 March 2024</w:t>
      </w:r>
      <w:r w:rsidR="0068612E" w:rsidRPr="00AB3B90">
        <w:t xml:space="preserve">. </w:t>
      </w:r>
    </w:p>
    <w:p w14:paraId="679363CA" w14:textId="5CC94334" w:rsidR="004E2BBD" w:rsidRPr="005E651F" w:rsidRDefault="004E2BBD" w:rsidP="004E2BBD">
      <w:pPr>
        <w:pStyle w:val="FootnoteText"/>
        <w:rPr>
          <w:sz w:val="22"/>
          <w:szCs w:val="22"/>
        </w:rPr>
      </w:pPr>
      <w:r w:rsidRPr="00AB3B90">
        <w:rPr>
          <w:sz w:val="22"/>
          <w:szCs w:val="22"/>
        </w:rPr>
        <w:t xml:space="preserve">Parliamentary Budget Office, </w:t>
      </w:r>
      <w:hyperlink r:id="rId80" w:history="1">
        <w:r w:rsidRPr="00AB3B90">
          <w:rPr>
            <w:rStyle w:val="Hyperlink"/>
            <w:i/>
            <w:iCs/>
            <w:noProof w:val="0"/>
            <w:sz w:val="22"/>
            <w:szCs w:val="22"/>
          </w:rPr>
          <w:t>Budget explainer, 1 March 2023 – Indexation &amp; the budget – an introduction</w:t>
        </w:r>
      </w:hyperlink>
      <w:r w:rsidRPr="00AB3B90">
        <w:rPr>
          <w:i/>
          <w:iCs/>
          <w:sz w:val="22"/>
          <w:szCs w:val="22"/>
        </w:rPr>
        <w:t xml:space="preserve">, </w:t>
      </w:r>
      <w:r w:rsidR="001D51D0" w:rsidRPr="00AB3B90">
        <w:rPr>
          <w:sz w:val="22"/>
          <w:szCs w:val="22"/>
        </w:rPr>
        <w:t xml:space="preserve">2023, accessed </w:t>
      </w:r>
      <w:r w:rsidRPr="00AB3B90">
        <w:rPr>
          <w:sz w:val="22"/>
          <w:szCs w:val="22"/>
        </w:rPr>
        <w:t xml:space="preserve">1 </w:t>
      </w:r>
      <w:r w:rsidR="001D51D0" w:rsidRPr="00AB3B90">
        <w:rPr>
          <w:sz w:val="22"/>
          <w:szCs w:val="22"/>
        </w:rPr>
        <w:t>March</w:t>
      </w:r>
      <w:r w:rsidRPr="00AB3B90">
        <w:rPr>
          <w:sz w:val="22"/>
          <w:szCs w:val="22"/>
        </w:rPr>
        <w:t xml:space="preserve"> 202</w:t>
      </w:r>
      <w:r w:rsidR="001D51D0" w:rsidRPr="00AB3B90">
        <w:rPr>
          <w:sz w:val="22"/>
          <w:szCs w:val="22"/>
        </w:rPr>
        <w:t>4.</w:t>
      </w:r>
      <w:r w:rsidR="001D51D0" w:rsidDel="001D51D0">
        <w:rPr>
          <w:sz w:val="22"/>
          <w:szCs w:val="22"/>
        </w:rPr>
        <w:t xml:space="preserve"> </w:t>
      </w:r>
    </w:p>
    <w:sectPr w:rsidR="004E2BBD" w:rsidRPr="005E651F" w:rsidSect="00DA031A">
      <w:pgSz w:w="11906" w:h="16838"/>
      <w:pgMar w:top="1080" w:right="1440" w:bottom="1080" w:left="1440" w:header="680"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293DE" w14:textId="77777777" w:rsidR="00DA031A" w:rsidRDefault="00DA031A" w:rsidP="00EE7FDA">
      <w:pPr>
        <w:spacing w:line="240" w:lineRule="auto"/>
      </w:pPr>
      <w:r>
        <w:separator/>
      </w:r>
    </w:p>
  </w:endnote>
  <w:endnote w:type="continuationSeparator" w:id="0">
    <w:p w14:paraId="5997C217" w14:textId="77777777" w:rsidR="00DA031A" w:rsidRDefault="00DA031A" w:rsidP="00EE7FDA">
      <w:pPr>
        <w:spacing w:line="240" w:lineRule="auto"/>
      </w:pPr>
      <w:r>
        <w:continuationSeparator/>
      </w:r>
    </w:p>
  </w:endnote>
  <w:endnote w:type="continuationNotice" w:id="1">
    <w:p w14:paraId="7D7DDFC1" w14:textId="77777777" w:rsidR="00DA031A" w:rsidRDefault="00DA031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Arial"/>
    <w:charset w:val="00"/>
    <w:family w:val="roman"/>
    <w:pitch w:val="default"/>
  </w:font>
  <w:font w:name="CIDFont+F1">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Normal">
    <w:altName w:val="Calibri"/>
    <w:charset w:val="00"/>
    <w:family w:val="auto"/>
    <w:pitch w:val="default"/>
    <w:sig w:usb0="00000003" w:usb1="00000000" w:usb2="00000000" w:usb3="00000000" w:csb0="00000001" w:csb1="00000000"/>
  </w:font>
  <w:font w:name="HelveticaNeue">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469" w14:textId="77777777" w:rsidR="009F6790" w:rsidRDefault="00AC3AEC" w:rsidP="00FD4306">
    <w:pPr>
      <w:pStyle w:val="Footer"/>
    </w:pPr>
    <w:sdt>
      <w:sdtPr>
        <w:id w:val="-1028868187"/>
        <w:docPartObj>
          <w:docPartGallery w:val="Page Numbers (Bottom of Page)"/>
          <w:docPartUnique/>
        </w:docPartObj>
      </w:sdtPr>
      <w:sdtEndPr>
        <w:rPr>
          <w:noProof/>
        </w:rPr>
      </w:sdtEndPr>
      <w:sdtContent>
        <w:r w:rsidR="009F6790">
          <w:fldChar w:fldCharType="begin"/>
        </w:r>
        <w:r w:rsidR="009F6790">
          <w:instrText xml:space="preserve"> PAGE   \* MERGEFORMAT </w:instrText>
        </w:r>
        <w:r w:rsidR="009F6790">
          <w:fldChar w:fldCharType="separate"/>
        </w:r>
        <w:r w:rsidR="009F6790">
          <w:rPr>
            <w:noProof/>
          </w:rPr>
          <w:t>4</w:t>
        </w:r>
        <w:r w:rsidR="009F6790">
          <w:rPr>
            <w:noProof/>
          </w:rPr>
          <w:fldChar w:fldCharType="end"/>
        </w:r>
      </w:sdtContent>
    </w:sdt>
  </w:p>
  <w:p w14:paraId="2677290C" w14:textId="77777777" w:rsidR="009F6790" w:rsidRPr="006103B1" w:rsidRDefault="009F6790" w:rsidP="006103B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553067"/>
      <w:docPartObj>
        <w:docPartGallery w:val="Page Numbers (Bottom of Page)"/>
        <w:docPartUnique/>
      </w:docPartObj>
    </w:sdtPr>
    <w:sdtEndPr>
      <w:rPr>
        <w:noProof/>
        <w:color w:val="auto"/>
      </w:rPr>
    </w:sdtEndPr>
    <w:sdtContent>
      <w:p w14:paraId="4648FBC7" w14:textId="72C91028" w:rsidR="00811C10" w:rsidRPr="00811C10" w:rsidRDefault="00811C10">
        <w:pPr>
          <w:pStyle w:val="Footer"/>
          <w:rPr>
            <w:color w:val="auto"/>
          </w:rPr>
        </w:pPr>
        <w:r w:rsidRPr="00811C10">
          <w:rPr>
            <w:color w:val="auto"/>
          </w:rPr>
          <w:fldChar w:fldCharType="begin"/>
        </w:r>
        <w:r w:rsidRPr="00811C10">
          <w:rPr>
            <w:color w:val="auto"/>
          </w:rPr>
          <w:instrText xml:space="preserve"> PAGE   \* MERGEFORMAT </w:instrText>
        </w:r>
        <w:r w:rsidRPr="00811C10">
          <w:rPr>
            <w:color w:val="auto"/>
          </w:rPr>
          <w:fldChar w:fldCharType="separate"/>
        </w:r>
        <w:r w:rsidRPr="00811C10">
          <w:rPr>
            <w:noProof/>
            <w:color w:val="auto"/>
          </w:rPr>
          <w:t>2</w:t>
        </w:r>
        <w:r w:rsidRPr="00811C10">
          <w:rPr>
            <w:noProof/>
            <w:color w:val="auto"/>
          </w:rPr>
          <w:fldChar w:fldCharType="end"/>
        </w:r>
      </w:p>
    </w:sdtContent>
  </w:sdt>
  <w:p w14:paraId="6B94F469" w14:textId="3FC5F62D" w:rsidR="008A5A6D" w:rsidRPr="00B7633E" w:rsidRDefault="008A5A6D" w:rsidP="004005BF">
    <w:pPr>
      <w:pStyle w:val="Footer"/>
      <w:tabs>
        <w:tab w:val="left" w:pos="5628"/>
        <w:tab w:val="left" w:pos="7076"/>
      </w:tabs>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E4C01" w14:textId="77777777" w:rsidR="009F6790" w:rsidRDefault="009F6790">
    <w:pPr>
      <w:pStyle w:val="Footer"/>
    </w:pPr>
    <w:r>
      <w:rPr>
        <w:noProof/>
        <w:lang w:eastAsia="en-AU"/>
      </w:rPr>
      <w:drawing>
        <wp:anchor distT="0" distB="0" distL="114300" distR="114300" simplePos="0" relativeHeight="251664384" behindDoc="1" locked="0" layoutInCell="1" allowOverlap="1" wp14:anchorId="10B00ADF" wp14:editId="4C9DC522">
          <wp:simplePos x="0" y="0"/>
          <wp:positionH relativeFrom="page">
            <wp:posOffset>0</wp:posOffset>
          </wp:positionH>
          <wp:positionV relativeFrom="page">
            <wp:posOffset>9926733</wp:posOffset>
          </wp:positionV>
          <wp:extent cx="7790400" cy="734400"/>
          <wp:effectExtent l="0" t="0" r="1270" b="8890"/>
          <wp:wrapNone/>
          <wp:docPr id="1620929484" name="Picture 162092948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0400" cy="734400"/>
                  </a:xfrm>
                  <a:prstGeom prst="rect">
                    <a:avLst/>
                  </a:prstGeom>
                </pic:spPr>
              </pic:pic>
            </a:graphicData>
          </a:graphic>
          <wp14:sizeRelH relativeFrom="page">
            <wp14:pctWidth>0</wp14:pctWidth>
          </wp14:sizeRelH>
          <wp14:sizeRelV relativeFrom="page">
            <wp14:pctHeight>0</wp14:pctHeight>
          </wp14:sizeRelV>
        </wp:anchor>
      </w:drawing>
    </w:r>
    <w:sdt>
      <w:sdtPr>
        <w:id w:val="-512231746"/>
        <w:placeholder>
          <w:docPart w:val="DefaultPlaceholder_1081868574"/>
        </w:placeholder>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B1D477B" w14:textId="77777777" w:rsidR="009F6790" w:rsidRPr="002D5A68" w:rsidRDefault="009F6790" w:rsidP="002D5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F2BF" w14:textId="5BFC369D" w:rsidR="009F6790" w:rsidRDefault="009F6790">
    <w:pPr>
      <w:pStyle w:val="Footer"/>
    </w:pPr>
  </w:p>
  <w:p w14:paraId="6A837F01" w14:textId="78C6FDC0" w:rsidR="009F6790" w:rsidRDefault="009F679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97DC" w14:textId="77777777" w:rsidR="009F6790" w:rsidRDefault="009F6790">
    <w:pPr>
      <w:pStyle w:val="Footer"/>
    </w:pPr>
  </w:p>
  <w:p w14:paraId="25AF7EAE" w14:textId="77777777" w:rsidR="009F6790" w:rsidRPr="006103B1" w:rsidRDefault="009F6790" w:rsidP="006103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CDBE" w14:textId="77777777" w:rsidR="009F6790" w:rsidRDefault="009F6790">
    <w:pPr>
      <w:pStyle w:val="Footer"/>
    </w:pPr>
  </w:p>
  <w:p w14:paraId="342D4C27" w14:textId="77777777" w:rsidR="009F6790" w:rsidRPr="002D5A68" w:rsidRDefault="009F6790" w:rsidP="002D5A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9426" w14:textId="77777777" w:rsidR="009F6790" w:rsidRDefault="009F6790">
    <w:pPr>
      <w:pStyle w:val="Footer"/>
    </w:pPr>
    <w:r>
      <w:fldChar w:fldCharType="begin"/>
    </w:r>
    <w:r>
      <w:instrText xml:space="preserve"> PAGE  \* roman  \* MERGEFORMAT </w:instrText>
    </w:r>
    <w:r>
      <w:fldChar w:fldCharType="separate"/>
    </w:r>
    <w:r>
      <w:rPr>
        <w:noProof/>
      </w:rPr>
      <w:t>vi</w:t>
    </w:r>
    <w:r>
      <w:fldChar w:fldCharType="end"/>
    </w:r>
  </w:p>
  <w:p w14:paraId="4EA9BA15" w14:textId="77777777" w:rsidR="009F6790" w:rsidRPr="006103B1" w:rsidRDefault="009F6790" w:rsidP="006103B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141C1" w14:textId="58216606" w:rsidR="009F6790" w:rsidRPr="00B7633E" w:rsidRDefault="009F6790" w:rsidP="003E254A">
    <w:pPr>
      <w:pStyle w:val="Footer"/>
      <w:tabs>
        <w:tab w:val="left" w:pos="5628"/>
        <w:tab w:val="left" w:pos="7076"/>
      </w:tabs>
      <w:jc w:val="left"/>
      <w:rPr>
        <w:color w:val="auto"/>
      </w:rPr>
    </w:pPr>
    <w:r>
      <w:tab/>
    </w:r>
    <w:sdt>
      <w:sdtPr>
        <w:id w:val="2006629143"/>
        <w:docPartObj>
          <w:docPartGallery w:val="Page Numbers (Bottom of Page)"/>
          <w:docPartUnique/>
        </w:docPartObj>
      </w:sdtPr>
      <w:sdtEndPr>
        <w:rPr>
          <w:color w:val="auto"/>
        </w:rPr>
      </w:sdtEndPr>
      <w:sdtContent>
        <w:sdt>
          <w:sdtPr>
            <w:rPr>
              <w:color w:val="auto"/>
            </w:rPr>
            <w:id w:val="1728636285"/>
            <w:docPartObj>
              <w:docPartGallery w:val="Page Numbers (Top of Page)"/>
              <w:docPartUnique/>
            </w:docPartObj>
          </w:sdtPr>
          <w:sdtEndPr/>
          <w:sdtContent/>
        </w:sdt>
      </w:sdtContent>
    </w:sdt>
    <w:r>
      <w:rPr>
        <w:color w:val="auto"/>
      </w:rPr>
      <w:tab/>
    </w:r>
    <w:r>
      <w:rPr>
        <w:color w:val="auto"/>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7AE4D" w14:textId="6666A910" w:rsidR="00F409FE" w:rsidRDefault="004005BF">
    <w:pPr>
      <w:pStyle w:val="Footer"/>
    </w:pPr>
    <w:r w:rsidRPr="004005BF">
      <w:rPr>
        <w:color w:val="auto"/>
      </w:rPr>
      <w:fldChar w:fldCharType="begin"/>
    </w:r>
    <w:r w:rsidRPr="004005BF">
      <w:rPr>
        <w:color w:val="auto"/>
      </w:rPr>
      <w:instrText xml:space="preserve"> PAGE   \* MERGEFORMAT </w:instrText>
    </w:r>
    <w:r w:rsidRPr="004005BF">
      <w:rPr>
        <w:color w:val="auto"/>
      </w:rPr>
      <w:fldChar w:fldCharType="separate"/>
    </w:r>
    <w:r w:rsidRPr="004005BF">
      <w:rPr>
        <w:noProof/>
        <w:color w:val="auto"/>
      </w:rPr>
      <w:t>1</w:t>
    </w:r>
    <w:r w:rsidRPr="004005BF">
      <w:rPr>
        <w:noProof/>
        <w:color w:val="auto"/>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634180"/>
      <w:docPartObj>
        <w:docPartGallery w:val="Page Numbers (Bottom of Page)"/>
        <w:docPartUnique/>
      </w:docPartObj>
    </w:sdtPr>
    <w:sdtEndPr>
      <w:rPr>
        <w:color w:val="auto"/>
      </w:rPr>
    </w:sdtEndPr>
    <w:sdtContent>
      <w:p w14:paraId="5E41366B" w14:textId="0FDC71DE" w:rsidR="00F409FE" w:rsidRPr="00811C10" w:rsidRDefault="00811C10">
        <w:pPr>
          <w:pStyle w:val="Footer"/>
          <w:rPr>
            <w:color w:val="auto"/>
          </w:rPr>
        </w:pPr>
        <w:r w:rsidRPr="00811C10">
          <w:rPr>
            <w:color w:val="auto"/>
          </w:rPr>
          <w:fldChar w:fldCharType="begin"/>
        </w:r>
        <w:r w:rsidRPr="00811C10">
          <w:rPr>
            <w:color w:val="auto"/>
          </w:rPr>
          <w:instrText xml:space="preserve"> PAGE   \* MERGEFORMAT </w:instrText>
        </w:r>
        <w:r w:rsidRPr="00811C10">
          <w:rPr>
            <w:color w:val="auto"/>
          </w:rPr>
          <w:fldChar w:fldCharType="separate"/>
        </w:r>
        <w:r w:rsidRPr="00811C10">
          <w:rPr>
            <w:noProof/>
            <w:color w:val="auto"/>
          </w:rPr>
          <w:t>2</w:t>
        </w:r>
        <w:r w:rsidRPr="00811C10">
          <w:rPr>
            <w:noProof/>
            <w:color w:val="auto"/>
          </w:rPr>
          <w:fldChar w:fldCharType="end"/>
        </w:r>
      </w:p>
    </w:sdtContent>
  </w:sdt>
  <w:p w14:paraId="265AD266" w14:textId="77777777" w:rsidR="00F409FE" w:rsidRDefault="00F40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E1BF1" w14:textId="77777777" w:rsidR="00DA031A" w:rsidRDefault="00DA031A" w:rsidP="00F11EC1">
      <w:pPr>
        <w:spacing w:line="240" w:lineRule="auto"/>
      </w:pPr>
      <w:r>
        <w:separator/>
      </w:r>
    </w:p>
  </w:footnote>
  <w:footnote w:type="continuationSeparator" w:id="0">
    <w:p w14:paraId="6C72E6B7" w14:textId="77777777" w:rsidR="00DA031A" w:rsidRDefault="00DA031A" w:rsidP="00EE7FDA">
      <w:pPr>
        <w:spacing w:line="240" w:lineRule="auto"/>
      </w:pPr>
      <w:r>
        <w:continuationSeparator/>
      </w:r>
    </w:p>
  </w:footnote>
  <w:footnote w:type="continuationNotice" w:id="1">
    <w:p w14:paraId="0A47FB54" w14:textId="77777777" w:rsidR="00DA031A" w:rsidRDefault="00DA031A">
      <w:pPr>
        <w:spacing w:before="0" w:after="0" w:line="240" w:lineRule="auto"/>
      </w:pPr>
    </w:p>
  </w:footnote>
  <w:footnote w:id="2">
    <w:p w14:paraId="79E0D515" w14:textId="217B4617" w:rsidR="00DC4908" w:rsidRPr="00FC6939" w:rsidRDefault="00DC4908" w:rsidP="00DC4908">
      <w:pPr>
        <w:pStyle w:val="FootnoteText"/>
      </w:pPr>
      <w:r>
        <w:rPr>
          <w:rStyle w:val="FootnoteReference"/>
        </w:rPr>
        <w:footnoteRef/>
      </w:r>
      <w:r>
        <w:t xml:space="preserve"> Council of Australian Governments, </w:t>
      </w:r>
      <w:hyperlink r:id="rId1" w:history="1">
        <w:r w:rsidRPr="00615F92">
          <w:rPr>
            <w:rStyle w:val="Hyperlink"/>
            <w:i/>
            <w:iCs/>
            <w:noProof w:val="0"/>
          </w:rPr>
          <w:t>National School Reform Agreement</w:t>
        </w:r>
      </w:hyperlink>
      <w:r w:rsidR="00615F92" w:rsidRPr="001C48CB">
        <w:t>, p. 6</w:t>
      </w:r>
      <w:r w:rsidR="007B19DF">
        <w:t>, accessed 1 March 2024</w:t>
      </w:r>
    </w:p>
  </w:footnote>
  <w:footnote w:id="3">
    <w:p w14:paraId="022B4015" w14:textId="0A57DB79" w:rsidR="00BD2C6D" w:rsidRPr="00F329EC" w:rsidRDefault="00BD2C6D" w:rsidP="00BD2C6D">
      <w:pPr>
        <w:pStyle w:val="FootnoteText"/>
      </w:pPr>
      <w:r>
        <w:rPr>
          <w:rStyle w:val="FootnoteReference"/>
        </w:rPr>
        <w:footnoteRef/>
      </w:r>
      <w:r>
        <w:t xml:space="preserve"> Parliamentary Budget Office, </w:t>
      </w:r>
      <w:hyperlink r:id="rId2" w:history="1">
        <w:r w:rsidRPr="00615F92">
          <w:rPr>
            <w:rStyle w:val="Hyperlink"/>
            <w:i/>
            <w:iCs/>
            <w:noProof w:val="0"/>
          </w:rPr>
          <w:t>Budget explainer, Indexation &amp; the budget – an introduction</w:t>
        </w:r>
      </w:hyperlink>
      <w:r w:rsidRPr="001C48CB">
        <w:t xml:space="preserve">, </w:t>
      </w:r>
      <w:r w:rsidR="00615F92" w:rsidRPr="001C48CB">
        <w:t xml:space="preserve">p. 1, </w:t>
      </w:r>
      <w:r w:rsidR="00615F92">
        <w:t>accessed</w:t>
      </w:r>
      <w:r w:rsidR="00FE7C51" w:rsidRPr="00FE7C51">
        <w:t xml:space="preserve"> 1 March 202</w:t>
      </w:r>
      <w:r w:rsidR="00615F92">
        <w:t>4</w:t>
      </w:r>
      <w:r w:rsidR="00FE7C51">
        <w:t>.</w:t>
      </w:r>
    </w:p>
  </w:footnote>
  <w:footnote w:id="4">
    <w:p w14:paraId="50461967" w14:textId="53437E83" w:rsidR="00BD2C6D" w:rsidRPr="00F329EC" w:rsidRDefault="00BD2C6D" w:rsidP="00BD2C6D">
      <w:pPr>
        <w:pStyle w:val="FootnoteText"/>
        <w:rPr>
          <w:u w:val="single"/>
        </w:rPr>
      </w:pPr>
      <w:r>
        <w:rPr>
          <w:rStyle w:val="FootnoteReference"/>
        </w:rPr>
        <w:footnoteRef/>
      </w:r>
      <w:r>
        <w:t xml:space="preserve"> Parliamentary Budget Office</w:t>
      </w:r>
      <w:r w:rsidRPr="00F329EC">
        <w:t xml:space="preserve">, </w:t>
      </w:r>
      <w:hyperlink r:id="rId3" w:history="1">
        <w:r w:rsidRPr="00615F92">
          <w:rPr>
            <w:rStyle w:val="Hyperlink"/>
            <w:i/>
            <w:iCs/>
            <w:noProof w:val="0"/>
          </w:rPr>
          <w:t xml:space="preserve">Budget explainer, </w:t>
        </w:r>
        <w:r w:rsidR="00615F92" w:rsidRPr="00615F92">
          <w:rPr>
            <w:rStyle w:val="Hyperlink"/>
            <w:i/>
            <w:iCs/>
            <w:noProof w:val="0"/>
          </w:rPr>
          <w:t>Indexation &amp; the budget – an introduction</w:t>
        </w:r>
      </w:hyperlink>
      <w:r>
        <w:rPr>
          <w:i/>
          <w:iCs/>
        </w:rPr>
        <w:t xml:space="preserve">, </w:t>
      </w:r>
      <w:r w:rsidR="00615F92" w:rsidRPr="001C48CB">
        <w:t>p. 3, accessed</w:t>
      </w:r>
      <w:r w:rsidR="00FE7C51" w:rsidRPr="001C48CB">
        <w:rPr>
          <w:color w:val="000000" w:themeColor="text1"/>
        </w:rPr>
        <w:t xml:space="preserve"> </w:t>
      </w:r>
      <w:r w:rsidR="00FE7C51" w:rsidRPr="00FE7C51">
        <w:t>1 March 202</w:t>
      </w:r>
      <w:r w:rsidR="00615F92">
        <w:t>4</w:t>
      </w:r>
      <w:r w:rsidR="00FE7C51">
        <w:t>.</w:t>
      </w:r>
    </w:p>
  </w:footnote>
  <w:footnote w:id="5">
    <w:p w14:paraId="2C4971F8" w14:textId="19E137E5" w:rsidR="00BD2C6D" w:rsidRDefault="00BD2C6D" w:rsidP="00BD2C6D">
      <w:pPr>
        <w:pStyle w:val="FootnoteText"/>
      </w:pPr>
      <w:r>
        <w:rPr>
          <w:rStyle w:val="FootnoteReference"/>
        </w:rPr>
        <w:footnoteRef/>
      </w:r>
      <w:r>
        <w:t xml:space="preserve"> Parliamentary Budget Office</w:t>
      </w:r>
      <w:r w:rsidRPr="00F329EC">
        <w:t xml:space="preserve">, </w:t>
      </w:r>
      <w:hyperlink r:id="rId4" w:history="1">
        <w:r w:rsidRPr="00615F92">
          <w:rPr>
            <w:rStyle w:val="Hyperlink"/>
            <w:i/>
            <w:iCs/>
            <w:noProof w:val="0"/>
          </w:rPr>
          <w:t>Budget explainer, Indexation &amp; the budget – an introduction</w:t>
        </w:r>
      </w:hyperlink>
      <w:r>
        <w:rPr>
          <w:i/>
          <w:iCs/>
        </w:rPr>
        <w:t>,</w:t>
      </w:r>
      <w:r>
        <w:t xml:space="preserve"> </w:t>
      </w:r>
      <w:r w:rsidR="00615F92" w:rsidRPr="001C48CB">
        <w:t>p. 2, accessed</w:t>
      </w:r>
      <w:r w:rsidR="00FE7C51" w:rsidRPr="00FE7C51">
        <w:t xml:space="preserve"> 1 March 202</w:t>
      </w:r>
      <w:r w:rsidR="00B32AF6">
        <w:t>4</w:t>
      </w:r>
      <w:r w:rsidR="00FE7C51">
        <w:t>.</w:t>
      </w:r>
    </w:p>
  </w:footnote>
  <w:footnote w:id="6">
    <w:p w14:paraId="78BB0222" w14:textId="73C2C79E" w:rsidR="00E426C0" w:rsidRDefault="00E426C0" w:rsidP="00E426C0">
      <w:r>
        <w:rPr>
          <w:rStyle w:val="FootnoteReference"/>
        </w:rPr>
        <w:footnoteRef/>
      </w:r>
      <w:r>
        <w:t xml:space="preserve"> </w:t>
      </w:r>
      <w:r w:rsidRPr="00E426C0">
        <w:rPr>
          <w:sz w:val="18"/>
          <w:szCs w:val="20"/>
        </w:rPr>
        <w:t xml:space="preserve">Gonski, D, Boston, K, Greiner, K, Lawrence, C, Scales, B and Tannock, </w:t>
      </w:r>
      <w:hyperlink r:id="rId5" w:history="1">
        <w:r w:rsidRPr="001C48CB">
          <w:rPr>
            <w:rStyle w:val="Hyperlink"/>
            <w:i/>
            <w:iCs/>
            <w:noProof w:val="0"/>
          </w:rPr>
          <w:t>Review of Funding for Schooling – Final Report</w:t>
        </w:r>
      </w:hyperlink>
      <w:r w:rsidR="00B32AF6">
        <w:rPr>
          <w:color w:val="000000" w:themeColor="text1"/>
          <w:sz w:val="18"/>
          <w:szCs w:val="20"/>
        </w:rPr>
        <w:t>,</w:t>
      </w:r>
      <w:r w:rsidRPr="00E426C0">
        <w:rPr>
          <w:sz w:val="18"/>
          <w:szCs w:val="20"/>
        </w:rPr>
        <w:t xml:space="preserve"> 2011</w:t>
      </w:r>
      <w:r w:rsidR="00615F92">
        <w:rPr>
          <w:sz w:val="18"/>
          <w:szCs w:val="20"/>
        </w:rPr>
        <w:t>,</w:t>
      </w:r>
      <w:r w:rsidR="00615F92" w:rsidRPr="00615F92">
        <w:t xml:space="preserve"> </w:t>
      </w:r>
      <w:r w:rsidR="00615F92" w:rsidRPr="00615F92">
        <w:rPr>
          <w:sz w:val="18"/>
          <w:szCs w:val="20"/>
        </w:rPr>
        <w:t>accessed 1 March 202</w:t>
      </w:r>
      <w:r w:rsidR="00B32AF6">
        <w:rPr>
          <w:sz w:val="18"/>
          <w:szCs w:val="20"/>
        </w:rPr>
        <w:t>4</w:t>
      </w:r>
      <w:r w:rsidR="00615F92" w:rsidRPr="00615F92">
        <w:rPr>
          <w:sz w:val="18"/>
          <w:szCs w:val="20"/>
        </w:rPr>
        <w:t>.</w:t>
      </w:r>
    </w:p>
  </w:footnote>
  <w:footnote w:id="7">
    <w:p w14:paraId="08A82754" w14:textId="3E3C2A08" w:rsidR="48E74F15" w:rsidRPr="00C624ED" w:rsidRDefault="48E74F15" w:rsidP="48E74F15">
      <w:pPr>
        <w:rPr>
          <w:rStyle w:val="FootnoteTextChar"/>
        </w:rPr>
      </w:pPr>
      <w:r w:rsidRPr="48E74F15">
        <w:rPr>
          <w:rStyle w:val="FootnoteReference"/>
        </w:rPr>
        <w:footnoteRef/>
      </w:r>
      <w:r w:rsidR="00C624ED">
        <w:t xml:space="preserve"> </w:t>
      </w:r>
      <w:r w:rsidR="00C624ED" w:rsidRPr="00FE7C51">
        <w:rPr>
          <w:rStyle w:val="FootnoteTextChar"/>
        </w:rPr>
        <w:t xml:space="preserve">Department of Education, </w:t>
      </w:r>
      <w:hyperlink r:id="rId6" w:history="1">
        <w:r w:rsidR="005411F9" w:rsidRPr="00B32AF6">
          <w:rPr>
            <w:rStyle w:val="Hyperlink"/>
            <w:rFonts w:ascii="Calibri" w:hAnsi="Calibri"/>
            <w:noProof w:val="0"/>
            <w:sz w:val="18"/>
            <w:szCs w:val="20"/>
          </w:rPr>
          <w:t>Schooling Resource Standard</w:t>
        </w:r>
      </w:hyperlink>
      <w:r w:rsidR="005411F9" w:rsidRPr="00FE7C51">
        <w:rPr>
          <w:rStyle w:val="FootnoteTextChar"/>
        </w:rPr>
        <w:t>,</w:t>
      </w:r>
      <w:r w:rsidR="00FE7C51" w:rsidRPr="00FE7C51">
        <w:rPr>
          <w:rStyle w:val="FootnoteTextChar"/>
        </w:rPr>
        <w:t xml:space="preserve"> </w:t>
      </w:r>
      <w:r w:rsidR="00615F92">
        <w:rPr>
          <w:rStyle w:val="FootnoteTextChar"/>
        </w:rPr>
        <w:t>accessed</w:t>
      </w:r>
      <w:r w:rsidR="00615F92" w:rsidRPr="00FE7C51">
        <w:rPr>
          <w:rStyle w:val="FootnoteTextChar"/>
        </w:rPr>
        <w:t xml:space="preserve"> </w:t>
      </w:r>
      <w:r w:rsidR="00FE7C51" w:rsidRPr="00FE7C51">
        <w:rPr>
          <w:rStyle w:val="FootnoteTextChar"/>
        </w:rPr>
        <w:t>1 March 202</w:t>
      </w:r>
      <w:r w:rsidR="00615F92">
        <w:rPr>
          <w:rStyle w:val="FootnoteTextChar"/>
        </w:rPr>
        <w:t>4</w:t>
      </w:r>
      <w:r w:rsidR="00FE7C51" w:rsidRPr="00FE7C51">
        <w:rPr>
          <w:rStyle w:val="FootnoteTextChar"/>
        </w:rPr>
        <w:t>.</w:t>
      </w:r>
    </w:p>
  </w:footnote>
  <w:footnote w:id="8">
    <w:p w14:paraId="20AB87F1" w14:textId="77777777" w:rsidR="00DC7C3D" w:rsidRPr="00987CEE" w:rsidRDefault="00DC7C3D" w:rsidP="00DC7C3D">
      <w:pPr>
        <w:pStyle w:val="FootnoteText"/>
      </w:pPr>
      <w:r>
        <w:rPr>
          <w:rStyle w:val="FootnoteReference"/>
        </w:rPr>
        <w:footnoteRef/>
      </w:r>
      <w:r>
        <w:t xml:space="preserve"> Department of Education, </w:t>
      </w:r>
      <w:hyperlink r:id="rId7" w:history="1">
        <w:r w:rsidRPr="00B32AF6">
          <w:rPr>
            <w:rStyle w:val="Hyperlink"/>
            <w:i/>
            <w:iCs/>
            <w:noProof w:val="0"/>
          </w:rPr>
          <w:t>How is school funding indexed?</w:t>
        </w:r>
      </w:hyperlink>
      <w:r>
        <w:rPr>
          <w:color w:val="000000" w:themeColor="text1"/>
        </w:rPr>
        <w:t>, p. 1, accessed 1 March 2024.</w:t>
      </w:r>
    </w:p>
  </w:footnote>
  <w:footnote w:id="9">
    <w:p w14:paraId="40EC1EE4" w14:textId="77777777" w:rsidR="00604952" w:rsidRDefault="00604952" w:rsidP="00604952">
      <w:pPr>
        <w:pStyle w:val="FootnoteText"/>
      </w:pPr>
      <w:r>
        <w:rPr>
          <w:rStyle w:val="FootnoteReference"/>
        </w:rPr>
        <w:footnoteRef/>
      </w:r>
      <w:r>
        <w:t xml:space="preserve"> Australian Education Regulations 2023, section 6A SRS indexation factor</w:t>
      </w:r>
    </w:p>
  </w:footnote>
  <w:footnote w:id="10">
    <w:p w14:paraId="5A12AC2F" w14:textId="201E0588" w:rsidR="00594DFB" w:rsidRDefault="00594DFB" w:rsidP="00594DFB">
      <w:pPr>
        <w:pStyle w:val="FootnoteText"/>
      </w:pPr>
      <w:r>
        <w:rPr>
          <w:rStyle w:val="FootnoteReference"/>
        </w:rPr>
        <w:footnoteRef/>
      </w:r>
      <w:r>
        <w:t xml:space="preserve"> Parliamentary Budget Office, </w:t>
      </w:r>
      <w:hyperlink r:id="rId8" w:history="1">
        <w:r w:rsidRPr="007B19DF">
          <w:rPr>
            <w:rStyle w:val="Hyperlink"/>
            <w:i/>
            <w:iCs/>
            <w:noProof w:val="0"/>
          </w:rPr>
          <w:t>Budget explainer, 1 March 2023 – Indexation &amp; the budget – an introduction</w:t>
        </w:r>
      </w:hyperlink>
      <w:r>
        <w:rPr>
          <w:i/>
          <w:iCs/>
        </w:rPr>
        <w:t xml:space="preserve">, </w:t>
      </w:r>
      <w:r w:rsidR="007B19DF">
        <w:t>p. 9, accessed 1 March 2024</w:t>
      </w:r>
    </w:p>
  </w:footnote>
  <w:footnote w:id="11">
    <w:p w14:paraId="19646D34" w14:textId="5CEE4711" w:rsidR="00594DFB" w:rsidRDefault="00594DFB" w:rsidP="00594DFB">
      <w:pPr>
        <w:pStyle w:val="FootnoteText"/>
      </w:pPr>
      <w:r>
        <w:rPr>
          <w:rStyle w:val="FootnoteReference"/>
        </w:rPr>
        <w:footnoteRef/>
      </w:r>
      <w:r>
        <w:t xml:space="preserve"> Parliamentary Budget Office, </w:t>
      </w:r>
      <w:hyperlink r:id="rId9" w:history="1">
        <w:r w:rsidRPr="007B19DF">
          <w:rPr>
            <w:rStyle w:val="Hyperlink"/>
            <w:i/>
            <w:iCs/>
            <w:noProof w:val="0"/>
          </w:rPr>
          <w:t>Budget explainer, 1 March 2023 – Indexation &amp; the budget – an introduction</w:t>
        </w:r>
      </w:hyperlink>
      <w:r>
        <w:rPr>
          <w:i/>
          <w:iCs/>
        </w:rPr>
        <w:t xml:space="preserve">, </w:t>
      </w:r>
      <w:r w:rsidR="007B19DF">
        <w:t>p. 11, accessed 1 March 2024.</w:t>
      </w:r>
    </w:p>
  </w:footnote>
  <w:footnote w:id="12">
    <w:p w14:paraId="2FECF790" w14:textId="61CEFA9E" w:rsidR="002A3CA2" w:rsidRPr="007B19DF" w:rsidRDefault="002A3CA2" w:rsidP="002A3CA2">
      <w:pPr>
        <w:pStyle w:val="FootnoteText"/>
      </w:pPr>
      <w:r>
        <w:rPr>
          <w:rStyle w:val="FootnoteReference"/>
        </w:rPr>
        <w:footnoteRef/>
      </w:r>
      <w:r>
        <w:t xml:space="preserve"> Department of Education, 2023, </w:t>
      </w:r>
      <w:hyperlink r:id="rId10" w:history="1">
        <w:r w:rsidRPr="007B19DF">
          <w:rPr>
            <w:rStyle w:val="Hyperlink"/>
            <w:i/>
            <w:iCs/>
            <w:noProof w:val="0"/>
          </w:rPr>
          <w:t>How is school funding indexed?</w:t>
        </w:r>
      </w:hyperlink>
      <w:r w:rsidR="007B19DF">
        <w:rPr>
          <w:i/>
          <w:iCs/>
        </w:rPr>
        <w:t xml:space="preserve">, </w:t>
      </w:r>
      <w:r w:rsidR="007B19DF" w:rsidRPr="001C48CB">
        <w:t>accessed 1 March 2024.</w:t>
      </w:r>
    </w:p>
  </w:footnote>
  <w:footnote w:id="13">
    <w:p w14:paraId="7F852728" w14:textId="610C80A3" w:rsidR="00CC7915" w:rsidRDefault="00CC7915">
      <w:pPr>
        <w:pStyle w:val="FootnoteText"/>
      </w:pPr>
      <w:r>
        <w:rPr>
          <w:rStyle w:val="FootnoteReference"/>
        </w:rPr>
        <w:footnoteRef/>
      </w:r>
      <w:r>
        <w:t xml:space="preserve"> </w:t>
      </w:r>
      <w:r w:rsidR="00DC07A7">
        <w:rPr>
          <w:lang w:val="en-US"/>
        </w:rPr>
        <w:t>The revenue theory of cost, often referred to as ‘Bowen’s rule’ was first identified in the higher education sector in the United States. The theory suggests that costs in the education sector are almost entirely a function of revenue, due to the public service nature and incentives of these institutions. See Martin (2009) for a detailed explanation.</w:t>
      </w:r>
    </w:p>
  </w:footnote>
  <w:footnote w:id="14">
    <w:p w14:paraId="23B493AF" w14:textId="58B338BE" w:rsidR="00DC07A7" w:rsidRDefault="00DC07A7">
      <w:pPr>
        <w:pStyle w:val="FootnoteText"/>
      </w:pPr>
      <w:r>
        <w:rPr>
          <w:rStyle w:val="FootnoteReference"/>
        </w:rPr>
        <w:footnoteRef/>
      </w:r>
      <w:r>
        <w:t xml:space="preserve"> </w:t>
      </w:r>
      <w:r w:rsidR="000F61E7">
        <w:t>A wage-price spiral is a proposed macroeconomic explanation for inflation. It describes a situation in which wage increases result in price increases, which in turn result in further wage increases. A seminal paper describing wage-price spirals is by Blanchard (1986).</w:t>
      </w:r>
    </w:p>
  </w:footnote>
  <w:footnote w:id="15">
    <w:p w14:paraId="4EBBCE1A" w14:textId="5348BC93" w:rsidR="00F53577" w:rsidRDefault="00F53577" w:rsidP="00F53577">
      <w:pPr>
        <w:pStyle w:val="FootnoteText"/>
      </w:pPr>
      <w:r>
        <w:rPr>
          <w:rStyle w:val="FootnoteReference"/>
        </w:rPr>
        <w:footnoteRef/>
      </w:r>
      <w:r>
        <w:t xml:space="preserve"> </w:t>
      </w:r>
      <w:r w:rsidR="00955510" w:rsidRPr="00955510">
        <w:t>Australian Government Department of Education</w:t>
      </w:r>
      <w:r w:rsidR="00955510">
        <w:t>,</w:t>
      </w:r>
      <w:r w:rsidR="00955510" w:rsidRPr="00955510">
        <w:t xml:space="preserve"> </w:t>
      </w:r>
      <w:r>
        <w:t xml:space="preserve">Schools HUB, </w:t>
      </w:r>
      <w:hyperlink r:id="rId11" w:history="1">
        <w:r w:rsidRPr="00955510">
          <w:rPr>
            <w:rStyle w:val="Hyperlink"/>
            <w:i/>
            <w:iCs/>
            <w:noProof w:val="0"/>
          </w:rPr>
          <w:t>A guide for approved authorities on the use of recurrent funding</w:t>
        </w:r>
      </w:hyperlink>
      <w:r w:rsidR="00955510">
        <w:rPr>
          <w:color w:val="000000" w:themeColor="text1"/>
        </w:rPr>
        <w:t>.</w:t>
      </w:r>
      <w:r>
        <w:t xml:space="preserve"> </w:t>
      </w:r>
    </w:p>
  </w:footnote>
  <w:footnote w:id="16">
    <w:p w14:paraId="727E89A4" w14:textId="5EC99F5B" w:rsidR="00C12F68" w:rsidRDefault="00C12F68" w:rsidP="00C12F68">
      <w:pPr>
        <w:pStyle w:val="FootnoteText"/>
      </w:pPr>
      <w:r>
        <w:rPr>
          <w:rStyle w:val="FootnoteReference"/>
        </w:rPr>
        <w:footnoteRef/>
      </w:r>
      <w:r w:rsidR="732534EE">
        <w:t xml:space="preserve"> In 2020, the Queensland </w:t>
      </w:r>
      <w:r w:rsidR="003C40A8">
        <w:t>G</w:t>
      </w:r>
      <w:r w:rsidR="732534EE">
        <w:t xml:space="preserve">overnment </w:t>
      </w:r>
      <w:r w:rsidR="003C40A8">
        <w:t xml:space="preserve">temporarily </w:t>
      </w:r>
      <w:r w:rsidR="00E3584D">
        <w:t xml:space="preserve">deferred scheduled </w:t>
      </w:r>
      <w:r w:rsidR="732534EE">
        <w:t>public sector wage</w:t>
      </w:r>
      <w:r w:rsidR="00902BC4">
        <w:t xml:space="preserve"> </w:t>
      </w:r>
      <w:r w:rsidR="003701B8">
        <w:t>increases</w:t>
      </w:r>
      <w:r w:rsidR="007F7AE5">
        <w:t>, as part of one-off economic and health m</w:t>
      </w:r>
      <w:r w:rsidR="00B218C4">
        <w:t xml:space="preserve">easures </w:t>
      </w:r>
      <w:r w:rsidR="007D2CD3">
        <w:t>taken by the Pala</w:t>
      </w:r>
      <w:r w:rsidR="00A502CD">
        <w:t>sz</w:t>
      </w:r>
      <w:r w:rsidR="003613B9">
        <w:t>czuk Gover</w:t>
      </w:r>
      <w:r w:rsidR="00266312">
        <w:t xml:space="preserve">nment </w:t>
      </w:r>
      <w:r w:rsidR="0049307B">
        <w:t>in re</w:t>
      </w:r>
      <w:r w:rsidR="00F40BBF">
        <w:t>sponse to the COVID-19 pandemic</w:t>
      </w:r>
      <w:r w:rsidR="732534EE">
        <w:t>. As a result, the planned increase of 2.5 pe</w:t>
      </w:r>
      <w:r w:rsidR="00955510">
        <w:t>r</w:t>
      </w:r>
      <w:r w:rsidR="732534EE">
        <w:t xml:space="preserve"> cent in 2020 was deferred to 2022. </w:t>
      </w:r>
    </w:p>
  </w:footnote>
  <w:footnote w:id="17">
    <w:p w14:paraId="11A4902C" w14:textId="06B373FD" w:rsidR="001600B0" w:rsidRPr="00EC04AE" w:rsidRDefault="001600B0" w:rsidP="001600B0">
      <w:pPr>
        <w:pStyle w:val="FootnoteText"/>
      </w:pPr>
      <w:r>
        <w:rPr>
          <w:rStyle w:val="FootnoteReference"/>
        </w:rPr>
        <w:footnoteRef/>
      </w:r>
      <w:r>
        <w:t xml:space="preserve"> </w:t>
      </w:r>
      <w:r w:rsidR="00955510">
        <w:t xml:space="preserve">Parliamentary Budget Office, </w:t>
      </w:r>
      <w:hyperlink r:id="rId12" w:history="1">
        <w:r w:rsidR="00955510" w:rsidRPr="00615F92">
          <w:rPr>
            <w:rStyle w:val="Hyperlink"/>
            <w:i/>
            <w:iCs/>
            <w:noProof w:val="0"/>
          </w:rPr>
          <w:t>Budget explainer, Indexation &amp; the budget – an introduction</w:t>
        </w:r>
      </w:hyperlink>
      <w:r w:rsidR="00955510" w:rsidRPr="00951066">
        <w:t xml:space="preserve">, </w:t>
      </w:r>
      <w:r w:rsidR="00955510">
        <w:t>accessed</w:t>
      </w:r>
      <w:r w:rsidR="00955510" w:rsidRPr="00FE7C51">
        <w:t xml:space="preserve"> 1 March 202</w:t>
      </w:r>
      <w:r w:rsidR="00955510">
        <w:t>4</w:t>
      </w:r>
      <w:r>
        <w:t>.</w:t>
      </w:r>
    </w:p>
  </w:footnote>
  <w:footnote w:id="18">
    <w:p w14:paraId="6F990928" w14:textId="2D75716D" w:rsidR="00096612" w:rsidRPr="003150B5" w:rsidRDefault="00096612">
      <w:pPr>
        <w:pStyle w:val="FootnoteText"/>
        <w:rPr>
          <w:i/>
          <w:iCs/>
        </w:rPr>
      </w:pPr>
      <w:r>
        <w:rPr>
          <w:rStyle w:val="FootnoteReference"/>
        </w:rPr>
        <w:footnoteRef/>
      </w:r>
      <w:r>
        <w:t xml:space="preserve"> </w:t>
      </w:r>
      <w:r w:rsidR="003150B5">
        <w:t xml:space="preserve">Australian Government Department of Education, </w:t>
      </w:r>
      <w:r w:rsidR="003150B5">
        <w:rPr>
          <w:i/>
          <w:iCs/>
        </w:rPr>
        <w:t xml:space="preserve">2024 Indexation Review </w:t>
      </w:r>
      <w:r w:rsidR="003150B5" w:rsidRPr="001C48CB">
        <w:rPr>
          <w:i/>
          <w:iCs/>
          <w:color w:val="000000" w:themeColor="text1"/>
        </w:rPr>
        <w:t>Background</w:t>
      </w:r>
      <w:r w:rsidR="00955510">
        <w:rPr>
          <w:color w:val="000000" w:themeColor="text1"/>
        </w:rPr>
        <w:t xml:space="preserve">, </w:t>
      </w:r>
      <w:r w:rsidR="00955510" w:rsidRPr="001C48CB">
        <w:rPr>
          <w:color w:val="000000" w:themeColor="text1"/>
        </w:rPr>
        <w:t>2024</w:t>
      </w:r>
      <w:r w:rsidR="0095551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9F6790" w14:paraId="55B33694" w14:textId="77777777" w:rsidTr="6B64ECFC">
      <w:tc>
        <w:tcPr>
          <w:tcW w:w="3210" w:type="dxa"/>
        </w:tcPr>
        <w:p w14:paraId="4455F193" w14:textId="77777777" w:rsidR="009F6790" w:rsidRDefault="009F6790" w:rsidP="6B64ECFC">
          <w:pPr>
            <w:pStyle w:val="Header"/>
            <w:ind w:left="-115"/>
          </w:pPr>
        </w:p>
      </w:tc>
      <w:tc>
        <w:tcPr>
          <w:tcW w:w="3210" w:type="dxa"/>
        </w:tcPr>
        <w:p w14:paraId="1C2776EB" w14:textId="77777777" w:rsidR="009F6790" w:rsidRDefault="009F6790" w:rsidP="6B64ECFC">
          <w:pPr>
            <w:pStyle w:val="Header"/>
            <w:jc w:val="center"/>
          </w:pPr>
        </w:p>
      </w:tc>
      <w:tc>
        <w:tcPr>
          <w:tcW w:w="3210" w:type="dxa"/>
        </w:tcPr>
        <w:p w14:paraId="15342E60" w14:textId="77777777" w:rsidR="009F6790" w:rsidRDefault="009F6790" w:rsidP="6B64ECFC">
          <w:pPr>
            <w:pStyle w:val="Header"/>
            <w:ind w:right="-115"/>
            <w:jc w:val="right"/>
          </w:pPr>
        </w:p>
      </w:tc>
    </w:tr>
  </w:tbl>
  <w:p w14:paraId="5EB89DE8" w14:textId="17A06633" w:rsidR="009F6790" w:rsidRDefault="009F679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78D0C" w14:textId="5DA15D6A" w:rsidR="00F409FE" w:rsidRDefault="00F409F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3D0D3" w14:textId="15AD0EAA" w:rsidR="00E069BF" w:rsidRDefault="00E069B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110D6" w14:textId="437F59F7" w:rsidR="00E069BF" w:rsidRDefault="00E069B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A0A5" w14:textId="07AB3A84" w:rsidR="00E069BF" w:rsidRDefault="00E069B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7034D" w14:textId="12899755" w:rsidR="00E069BF" w:rsidRDefault="00E069B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6DAC" w14:textId="7DAAE3EA" w:rsidR="00E069BF" w:rsidRDefault="00E069B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4AC2" w14:textId="1FF67DF2" w:rsidR="00E069BF" w:rsidRDefault="00E069B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AB5BA" w14:textId="4EF08F00" w:rsidR="00E069BF" w:rsidRDefault="00E06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468E5122" w14:paraId="65A1A283" w14:textId="77777777" w:rsidTr="0075365F">
      <w:trPr>
        <w:trHeight w:val="300"/>
      </w:trPr>
      <w:tc>
        <w:tcPr>
          <w:tcW w:w="3210" w:type="dxa"/>
        </w:tcPr>
        <w:p w14:paraId="0BAEA595" w14:textId="48BCA44D" w:rsidR="468E5122" w:rsidRDefault="468E5122" w:rsidP="0075365F">
          <w:pPr>
            <w:pStyle w:val="Header"/>
            <w:ind w:left="-115"/>
          </w:pPr>
        </w:p>
      </w:tc>
      <w:tc>
        <w:tcPr>
          <w:tcW w:w="3210" w:type="dxa"/>
        </w:tcPr>
        <w:p w14:paraId="709711EA" w14:textId="0CB48663" w:rsidR="468E5122" w:rsidRDefault="468E5122" w:rsidP="0075365F">
          <w:pPr>
            <w:pStyle w:val="Header"/>
            <w:jc w:val="center"/>
          </w:pPr>
        </w:p>
      </w:tc>
      <w:tc>
        <w:tcPr>
          <w:tcW w:w="3210" w:type="dxa"/>
        </w:tcPr>
        <w:p w14:paraId="7661A4D4" w14:textId="1D3EB8F8" w:rsidR="468E5122" w:rsidRDefault="468E5122" w:rsidP="0075365F">
          <w:pPr>
            <w:pStyle w:val="Header"/>
            <w:ind w:right="-115"/>
            <w:jc w:val="right"/>
          </w:pPr>
        </w:p>
      </w:tc>
    </w:tr>
  </w:tbl>
  <w:p w14:paraId="0BC27F1D" w14:textId="6A2F4637" w:rsidR="00264FC8" w:rsidRDefault="00264FC8" w:rsidP="00145D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599E" w14:textId="09AABB6F" w:rsidR="009F6790" w:rsidRDefault="009F67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6DAB" w14:textId="75E54BB1" w:rsidR="009F6790" w:rsidRDefault="009F67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8E39" w14:textId="7F7D6C25" w:rsidR="009F6790" w:rsidRDefault="009F679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2896" w14:textId="21E3F8ED" w:rsidR="009F6790" w:rsidRDefault="009F679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715F" w14:textId="41D14E13" w:rsidR="009F6790" w:rsidRDefault="00E81CDF">
    <w:pPr>
      <w:pStyle w:val="Header"/>
    </w:pPr>
    <w:r>
      <w:rPr>
        <w:noProof/>
      </w:rPr>
      <mc:AlternateContent>
        <mc:Choice Requires="wps">
          <w:drawing>
            <wp:anchor distT="45720" distB="45720" distL="114300" distR="114300" simplePos="0" relativeHeight="251657216" behindDoc="0" locked="0" layoutInCell="1" allowOverlap="1" wp14:anchorId="2ECDDEC2" wp14:editId="632E0B75">
              <wp:simplePos x="0" y="0"/>
              <wp:positionH relativeFrom="column">
                <wp:posOffset>1551305</wp:posOffset>
              </wp:positionH>
              <wp:positionV relativeFrom="paragraph">
                <wp:posOffset>-1024255</wp:posOffset>
              </wp:positionV>
              <wp:extent cx="2287905" cy="554355"/>
              <wp:effectExtent l="0" t="0" r="127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554355"/>
                      </a:xfrm>
                      <a:prstGeom prst="rect">
                        <a:avLst/>
                      </a:prstGeom>
                      <a:solidFill>
                        <a:srgbClr val="FFFFFF"/>
                      </a:solidFill>
                      <a:ln w="9525">
                        <a:solidFill>
                          <a:srgbClr val="000000"/>
                        </a:solidFill>
                        <a:miter lim="800000"/>
                        <a:headEnd/>
                        <a:tailEnd/>
                      </a:ln>
                    </wps:spPr>
                    <wps:txbx>
                      <w:txbxContent>
                        <w:p w14:paraId="53DB777A" w14:textId="1D5F76FB" w:rsidR="009F6790" w:rsidRPr="001B2A2F" w:rsidRDefault="009F6790" w:rsidP="001D7A92">
                          <w:pPr>
                            <w:pStyle w:val="ListParagraph"/>
                            <w:rPr>
                              <w:b/>
                              <w:bCs/>
                              <w:color w:val="FF0000"/>
                              <w:sz w:val="36"/>
                              <w:szCs w:val="48"/>
                            </w:rPr>
                          </w:pPr>
                          <w:r w:rsidRPr="001B2A2F">
                            <w:rPr>
                              <w:b/>
                              <w:bCs/>
                              <w:color w:val="FF0000"/>
                              <w:sz w:val="36"/>
                              <w:szCs w:val="48"/>
                            </w:rPr>
                            <w:t>- Draft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ECDDEC2" id="_x0000_t202" coordsize="21600,21600" o:spt="202" path="m,l,21600r21600,l21600,xe">
              <v:stroke joinstyle="miter"/>
              <v:path gradientshapeok="t" o:connecttype="rect"/>
            </v:shapetype>
            <v:shape id="Text Box 19" o:spid="_x0000_s1029" type="#_x0000_t202" style="position:absolute;margin-left:122.15pt;margin-top:-80.65pt;width:180.15pt;height:43.65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81JEAIAAB8EAAAOAAAAZHJzL2Uyb0RvYy54bWysU1+P0zAMf0fiO0R5Z+3Kym3VutOxYwjp&#10;+CPd8QHSNF0j0jgk2drx6XHS3m7A8YLIQ2THzs/2z/b6eugUOQrrJOiSzmcpJUJzqKXel/Trw+7V&#10;khLnma6ZAi1KehKOXm9evlj3phAZtKBqYQmCaFf0pqSt96ZIEsdb0TE3AyM0GhuwHfOo2n1SW9Yj&#10;eqeSLE3fJD3Y2ljgwjl8vR2NdBPxm0Zw/7lpnPBElRRz8/G28a7CnWzWrNhbZlrJpzTYP2TRMakx&#10;6BnqlnlGDlb+AdVJbsFB42ccugSaRnIRa8Bq5ulv1dy3zIhYC5LjzJkm9/9g+afjvfliiR/ewoAN&#10;jEU4cwf8myMati3Te3FjLfStYDUGngfKkt64YvoaqHaFCyBV/xFqbDI7eIhAQ2O7wArWSRAdG3A6&#10;ky4GTzg+ZtnyapXmlHC05fnidZ7HEKx4/G2s8+8FdCQIJbXY1IjOjnfOh2xY8egSgjlQst5JpaJi&#10;99VWWXJkOAC7eCb0X9yUJn1JV3mWjwT8FSKN5zmITnqcZCW7ki7PTqwItL3TdZwzz6QaZUxZ6YnH&#10;QN1Ioh+qAR0DnxXUJ2TUwjixuGEotGB/UNLjtJbUfT8wKyhRHzR2ZTVfLMJ4R2WRX2Wo2EtLdWlh&#10;miNUST0lo7j1cSUiYeYGu7eTkdinTKZccQoj39PGhDG/1KPX015vfgIAAP//AwBQSwMEFAAGAAgA&#10;AAAhAHs9WAHfAAAADAEAAA8AAABkcnMvZG93bnJldi54bWxMj8tOwzAQRfdI/IM1SOxaO8EKKI1T&#10;VRFsK/UhsZ3GJkmJ7RA7afh7hhXs5nF050yxXWzPZjOGzjsFyVoAM672unONgvPpbfUCLER0Gnvv&#10;jIJvE2Bb3t8VmGt/cwczH2PDKMSFHBW0MQ4556FujcWw9oNxtPvwo8VI7dhwPeKNwm3PUyEybrFz&#10;dKHFwVStqT+Pk1UwnardfKjS6/u813KfvaLF/kupx4dltwEWzRL/YPjVJ3UoyeniJ6cD6xWkUj4R&#10;qmCVZAlVhGRCZsAuNHqWAnhZ8P9PlD8AAAD//wMAUEsBAi0AFAAGAAgAAAAhALaDOJL+AAAA4QEA&#10;ABMAAAAAAAAAAAAAAAAAAAAAAFtDb250ZW50X1R5cGVzXS54bWxQSwECLQAUAAYACAAAACEAOP0h&#10;/9YAAACUAQAACwAAAAAAAAAAAAAAAAAvAQAAX3JlbHMvLnJlbHNQSwECLQAUAAYACAAAACEA1+vN&#10;SRACAAAfBAAADgAAAAAAAAAAAAAAAAAuAgAAZHJzL2Uyb0RvYy54bWxQSwECLQAUAAYACAAAACEA&#10;ez1YAd8AAAAMAQAADwAAAAAAAAAAAAAAAABqBAAAZHJzL2Rvd25yZXYueG1sUEsFBgAAAAAEAAQA&#10;8wAAAHYFAAAAAA==&#10;">
              <v:textbox style="mso-fit-shape-to-text:t">
                <w:txbxContent>
                  <w:p w14:paraId="53DB777A" w14:textId="1D5F76FB" w:rsidR="009F6790" w:rsidRPr="001B2A2F" w:rsidRDefault="009F6790" w:rsidP="001D7A92">
                    <w:pPr>
                      <w:pStyle w:val="ListParagraph"/>
                      <w:rPr>
                        <w:b/>
                        <w:bCs/>
                        <w:color w:val="FF0000"/>
                        <w:sz w:val="36"/>
                        <w:szCs w:val="48"/>
                      </w:rPr>
                    </w:pPr>
                    <w:r w:rsidRPr="001B2A2F">
                      <w:rPr>
                        <w:b/>
                        <w:bCs/>
                        <w:color w:val="FF0000"/>
                        <w:sz w:val="36"/>
                        <w:szCs w:val="48"/>
                      </w:rPr>
                      <w:t>- Draft -</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B15CE" w14:textId="7895B23E" w:rsidR="009F6790" w:rsidRDefault="009F679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5721E" w14:textId="2B18487B" w:rsidR="00E069BF" w:rsidRDefault="00E069BF">
    <w:pPr>
      <w:pStyle w:val="Header"/>
    </w:pPr>
  </w:p>
</w:hdr>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0"/>
      </oel:ext>
    </int:extLst>
  </int:IntelligenceSettings>
  <int:Manifest>
    <int:WordHash hashCode="FiNCzSReCiV7Qq" id="wbqVuGfr"/>
    <int:WordHash hashCode="8Rah30xp+di/De" id="7K0KY2NQ"/>
    <int:WordHash hashCode="KeJBmHRQc5CVED" id="IU4cLka6"/>
    <int:WordHash hashCode="eF745FqhjvHOZm" id="GoamFKvf"/>
  </int:Manifest>
  <int:Observations>
    <int:Content id="wbqVuGfr">
      <int:Rejection type="AugLoop_Text_Critique"/>
    </int:Content>
    <int:Content id="7K0KY2NQ">
      <int:Rejection type="AugLoop_Text_Critique"/>
    </int:Content>
    <int:Content id="IU4cLka6">
      <int:Rejection type="AugLoop_Text_Critique"/>
    </int:Content>
    <int:Content id="GoamFKvf">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hybridMultilevel"/>
    <w:tmpl w:val="8E4A585C"/>
    <w:lvl w:ilvl="0" w:tplc="16C26FD6">
      <w:start w:val="1"/>
      <w:numFmt w:val="bullet"/>
      <w:pStyle w:val="ListBullet5"/>
      <w:lvlText w:val=""/>
      <w:lvlJc w:val="left"/>
      <w:pPr>
        <w:tabs>
          <w:tab w:val="num" w:pos="5875"/>
        </w:tabs>
        <w:ind w:left="5875" w:hanging="360"/>
      </w:pPr>
      <w:rPr>
        <w:rFonts w:ascii="Courier New" w:hAnsi="Courier New" w:hint="default"/>
      </w:rPr>
    </w:lvl>
    <w:lvl w:ilvl="1" w:tplc="EC38E09A">
      <w:numFmt w:val="decimal"/>
      <w:lvlText w:val=""/>
      <w:lvlJc w:val="left"/>
    </w:lvl>
    <w:lvl w:ilvl="2" w:tplc="033ED93E">
      <w:numFmt w:val="decimal"/>
      <w:lvlText w:val=""/>
      <w:lvlJc w:val="left"/>
    </w:lvl>
    <w:lvl w:ilvl="3" w:tplc="D7EAEBFA">
      <w:numFmt w:val="decimal"/>
      <w:lvlText w:val=""/>
      <w:lvlJc w:val="left"/>
    </w:lvl>
    <w:lvl w:ilvl="4" w:tplc="7F94B694">
      <w:numFmt w:val="decimal"/>
      <w:lvlText w:val=""/>
      <w:lvlJc w:val="left"/>
    </w:lvl>
    <w:lvl w:ilvl="5" w:tplc="00D8AFA6">
      <w:numFmt w:val="decimal"/>
      <w:lvlText w:val=""/>
      <w:lvlJc w:val="left"/>
    </w:lvl>
    <w:lvl w:ilvl="6" w:tplc="0B5C06EE">
      <w:numFmt w:val="decimal"/>
      <w:lvlText w:val=""/>
      <w:lvlJc w:val="left"/>
    </w:lvl>
    <w:lvl w:ilvl="7" w:tplc="39D89D6E">
      <w:numFmt w:val="decimal"/>
      <w:lvlText w:val=""/>
      <w:lvlJc w:val="left"/>
    </w:lvl>
    <w:lvl w:ilvl="8" w:tplc="2B3E5000">
      <w:numFmt w:val="decimal"/>
      <w:lvlText w:val=""/>
      <w:lvlJc w:val="left"/>
    </w:lvl>
  </w:abstractNum>
  <w:abstractNum w:abstractNumId="1" w15:restartNumberingAfterBreak="0">
    <w:nsid w:val="FFFFFF81"/>
    <w:multiLevelType w:val="hybridMultilevel"/>
    <w:tmpl w:val="E0BC3C58"/>
    <w:lvl w:ilvl="0" w:tplc="1EA2A230">
      <w:start w:val="1"/>
      <w:numFmt w:val="bullet"/>
      <w:pStyle w:val="ListBullet4"/>
      <w:lvlText w:val=""/>
      <w:lvlJc w:val="left"/>
      <w:pPr>
        <w:tabs>
          <w:tab w:val="num" w:pos="720"/>
        </w:tabs>
        <w:ind w:left="720" w:hanging="360"/>
      </w:pPr>
      <w:rPr>
        <w:rFonts w:ascii="Courier New" w:hAnsi="Courier New" w:hint="default"/>
      </w:rPr>
    </w:lvl>
    <w:lvl w:ilvl="1" w:tplc="A900EDE6">
      <w:numFmt w:val="decimal"/>
      <w:lvlText w:val=""/>
      <w:lvlJc w:val="left"/>
    </w:lvl>
    <w:lvl w:ilvl="2" w:tplc="14DA4C12">
      <w:numFmt w:val="decimal"/>
      <w:lvlText w:val=""/>
      <w:lvlJc w:val="left"/>
    </w:lvl>
    <w:lvl w:ilvl="3" w:tplc="B4DA8B60">
      <w:numFmt w:val="decimal"/>
      <w:lvlText w:val=""/>
      <w:lvlJc w:val="left"/>
    </w:lvl>
    <w:lvl w:ilvl="4" w:tplc="68168DD0">
      <w:numFmt w:val="decimal"/>
      <w:lvlText w:val=""/>
      <w:lvlJc w:val="left"/>
    </w:lvl>
    <w:lvl w:ilvl="5" w:tplc="C9569BCE">
      <w:numFmt w:val="decimal"/>
      <w:lvlText w:val=""/>
      <w:lvlJc w:val="left"/>
    </w:lvl>
    <w:lvl w:ilvl="6" w:tplc="C9289F70">
      <w:numFmt w:val="decimal"/>
      <w:lvlText w:val=""/>
      <w:lvlJc w:val="left"/>
    </w:lvl>
    <w:lvl w:ilvl="7" w:tplc="F7AADA8A">
      <w:numFmt w:val="decimal"/>
      <w:lvlText w:val=""/>
      <w:lvlJc w:val="left"/>
    </w:lvl>
    <w:lvl w:ilvl="8" w:tplc="9D6472A2">
      <w:numFmt w:val="decimal"/>
      <w:lvlText w:val=""/>
      <w:lvlJc w:val="left"/>
    </w:lvl>
  </w:abstractNum>
  <w:abstractNum w:abstractNumId="2" w15:restartNumberingAfterBreak="0">
    <w:nsid w:val="000274C9"/>
    <w:multiLevelType w:val="multilevel"/>
    <w:tmpl w:val="2BAA8D70"/>
    <w:lvl w:ilvl="0">
      <w:start w:val="1"/>
      <w:numFmt w:val="decimal"/>
      <w:pStyle w:val="Heading1-Numbered"/>
      <w:suff w:val="space"/>
      <w:lvlText w:val="Part %1:"/>
      <w:lvlJc w:val="left"/>
      <w:pPr>
        <w:ind w:left="5053" w:hanging="2359"/>
      </w:pPr>
      <w:rPr>
        <w:rFonts w:hint="default"/>
      </w:rPr>
    </w:lvl>
    <w:lvl w:ilvl="1">
      <w:start w:val="1"/>
      <w:numFmt w:val="decimal"/>
      <w:pStyle w:val="Heading2-Numbered"/>
      <w:lvlText w:val="%1.%2"/>
      <w:lvlJc w:val="left"/>
      <w:pPr>
        <w:tabs>
          <w:tab w:val="num" w:pos="680"/>
        </w:tabs>
        <w:ind w:left="595" w:hanging="59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E176C9"/>
    <w:multiLevelType w:val="hybridMultilevel"/>
    <w:tmpl w:val="140A3B4E"/>
    <w:styleLink w:val="Style1"/>
    <w:lvl w:ilvl="0" w:tplc="0C090001">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Yu Gothic Light" w:hAnsi="Yu Gothic Light" w:cs="Yu Gothic Light" w:hint="default"/>
      </w:rPr>
    </w:lvl>
    <w:lvl w:ilvl="2" w:tplc="0C090005" w:tentative="1">
      <w:start w:val="1"/>
      <w:numFmt w:val="bullet"/>
      <w:lvlText w:val=""/>
      <w:lvlJc w:val="left"/>
      <w:pPr>
        <w:ind w:left="2160" w:hanging="360"/>
      </w:pPr>
      <w:rPr>
        <w:rFonts w:ascii="Helvetica Neue" w:hAnsi="Helvetica Neue" w:hint="default"/>
      </w:rPr>
    </w:lvl>
    <w:lvl w:ilvl="3" w:tplc="0C090001" w:tentative="1">
      <w:start w:val="1"/>
      <w:numFmt w:val="bullet"/>
      <w:lvlText w:val=""/>
      <w:lvlJc w:val="left"/>
      <w:pPr>
        <w:ind w:left="2880" w:hanging="360"/>
      </w:pPr>
      <w:rPr>
        <w:rFonts w:ascii="Courier New" w:hAnsi="Courier New" w:hint="default"/>
      </w:rPr>
    </w:lvl>
    <w:lvl w:ilvl="4" w:tplc="0C090003" w:tentative="1">
      <w:start w:val="1"/>
      <w:numFmt w:val="bullet"/>
      <w:lvlText w:val="o"/>
      <w:lvlJc w:val="left"/>
      <w:pPr>
        <w:ind w:left="3600" w:hanging="360"/>
      </w:pPr>
      <w:rPr>
        <w:rFonts w:ascii="Yu Gothic Light" w:hAnsi="Yu Gothic Light" w:cs="Yu Gothic Light" w:hint="default"/>
      </w:rPr>
    </w:lvl>
    <w:lvl w:ilvl="5" w:tplc="0C090005" w:tentative="1">
      <w:start w:val="1"/>
      <w:numFmt w:val="bullet"/>
      <w:lvlText w:val=""/>
      <w:lvlJc w:val="left"/>
      <w:pPr>
        <w:ind w:left="4320" w:hanging="360"/>
      </w:pPr>
      <w:rPr>
        <w:rFonts w:ascii="Helvetica Neue" w:hAnsi="Helvetica Neue" w:hint="default"/>
      </w:rPr>
    </w:lvl>
    <w:lvl w:ilvl="6" w:tplc="0C090001" w:tentative="1">
      <w:start w:val="1"/>
      <w:numFmt w:val="bullet"/>
      <w:lvlText w:val=""/>
      <w:lvlJc w:val="left"/>
      <w:pPr>
        <w:ind w:left="5040" w:hanging="360"/>
      </w:pPr>
      <w:rPr>
        <w:rFonts w:ascii="Courier New" w:hAnsi="Courier New" w:hint="default"/>
      </w:rPr>
    </w:lvl>
    <w:lvl w:ilvl="7" w:tplc="0C090003" w:tentative="1">
      <w:start w:val="1"/>
      <w:numFmt w:val="bullet"/>
      <w:lvlText w:val="o"/>
      <w:lvlJc w:val="left"/>
      <w:pPr>
        <w:ind w:left="5760" w:hanging="360"/>
      </w:pPr>
      <w:rPr>
        <w:rFonts w:ascii="Yu Gothic Light" w:hAnsi="Yu Gothic Light" w:cs="Yu Gothic Light" w:hint="default"/>
      </w:rPr>
    </w:lvl>
    <w:lvl w:ilvl="8" w:tplc="0C090005" w:tentative="1">
      <w:start w:val="1"/>
      <w:numFmt w:val="bullet"/>
      <w:lvlText w:val=""/>
      <w:lvlJc w:val="left"/>
      <w:pPr>
        <w:ind w:left="6480" w:hanging="360"/>
      </w:pPr>
      <w:rPr>
        <w:rFonts w:ascii="Helvetica Neue" w:hAnsi="Helvetica Neue" w:hint="default"/>
      </w:rPr>
    </w:lvl>
  </w:abstractNum>
  <w:abstractNum w:abstractNumId="4" w15:restartNumberingAfterBreak="0">
    <w:nsid w:val="0BE57777"/>
    <w:multiLevelType w:val="hybridMultilevel"/>
    <w:tmpl w:val="B92EACB0"/>
    <w:name w:val="Box Heading - Box"/>
    <w:lvl w:ilvl="0" w:tplc="1D3A84A4">
      <w:start w:val="1"/>
      <w:numFmt w:val="decimal"/>
      <w:pStyle w:val="BoxHeading-Box"/>
      <w:suff w:val="nothing"/>
      <w:lvlText w:val="Box %1."/>
      <w:lvlJc w:val="left"/>
      <w:rPr>
        <w:rFonts w:hint="default"/>
        <w:b/>
        <w:bCs/>
        <w:i w:val="0"/>
        <w:iCs w:val="0"/>
        <w:caps w:val="0"/>
        <w:smallCaps w:val="0"/>
        <w:strike w:val="0"/>
        <w:dstrike w:val="0"/>
        <w:vanish w:val="0"/>
        <w:color w:val="000000"/>
        <w:spacing w:val="0"/>
        <w:kern w:val="0"/>
        <w:position w:val="0"/>
        <w:u w:val="none"/>
        <w:effect w:val="none"/>
        <w:vertAlign w:val="baseline"/>
        <w:em w:val="none"/>
      </w:rPr>
    </w:lvl>
    <w:lvl w:ilvl="1" w:tplc="173A7AFE">
      <w:start w:val="1"/>
      <w:numFmt w:val="lowerLetter"/>
      <w:lvlText w:val="%2)"/>
      <w:lvlJc w:val="left"/>
      <w:pPr>
        <w:ind w:left="720" w:hanging="360"/>
      </w:pPr>
      <w:rPr>
        <w:rFonts w:hint="default"/>
      </w:rPr>
    </w:lvl>
    <w:lvl w:ilvl="2" w:tplc="D9AE697A">
      <w:start w:val="1"/>
      <w:numFmt w:val="lowerRoman"/>
      <w:lvlText w:val="%3)"/>
      <w:lvlJc w:val="left"/>
      <w:pPr>
        <w:ind w:left="1080" w:hanging="360"/>
      </w:pPr>
      <w:rPr>
        <w:rFonts w:hint="default"/>
      </w:rPr>
    </w:lvl>
    <w:lvl w:ilvl="3" w:tplc="EC74E77A">
      <w:start w:val="1"/>
      <w:numFmt w:val="decimal"/>
      <w:lvlText w:val="(%4)"/>
      <w:lvlJc w:val="left"/>
      <w:pPr>
        <w:ind w:left="1440" w:hanging="360"/>
      </w:pPr>
      <w:rPr>
        <w:rFonts w:hint="default"/>
      </w:rPr>
    </w:lvl>
    <w:lvl w:ilvl="4" w:tplc="B2084C4A">
      <w:start w:val="1"/>
      <w:numFmt w:val="lowerLetter"/>
      <w:lvlText w:val="(%5)"/>
      <w:lvlJc w:val="left"/>
      <w:pPr>
        <w:ind w:left="1800" w:hanging="360"/>
      </w:pPr>
      <w:rPr>
        <w:rFonts w:hint="default"/>
      </w:rPr>
    </w:lvl>
    <w:lvl w:ilvl="5" w:tplc="2FE00268">
      <w:start w:val="1"/>
      <w:numFmt w:val="lowerRoman"/>
      <w:lvlText w:val="(%6)"/>
      <w:lvlJc w:val="left"/>
      <w:pPr>
        <w:ind w:left="2160" w:hanging="360"/>
      </w:pPr>
      <w:rPr>
        <w:rFonts w:hint="default"/>
      </w:rPr>
    </w:lvl>
    <w:lvl w:ilvl="6" w:tplc="9202DBB0">
      <w:start w:val="1"/>
      <w:numFmt w:val="decimal"/>
      <w:lvlText w:val="%7."/>
      <w:lvlJc w:val="left"/>
      <w:pPr>
        <w:ind w:left="2520" w:hanging="360"/>
      </w:pPr>
      <w:rPr>
        <w:rFonts w:hint="default"/>
      </w:rPr>
    </w:lvl>
    <w:lvl w:ilvl="7" w:tplc="6F627530">
      <w:start w:val="1"/>
      <w:numFmt w:val="lowerLetter"/>
      <w:lvlText w:val="%8."/>
      <w:lvlJc w:val="left"/>
      <w:pPr>
        <w:ind w:left="2880" w:hanging="360"/>
      </w:pPr>
      <w:rPr>
        <w:rFonts w:hint="default"/>
      </w:rPr>
    </w:lvl>
    <w:lvl w:ilvl="8" w:tplc="432438AE">
      <w:start w:val="1"/>
      <w:numFmt w:val="lowerRoman"/>
      <w:lvlText w:val="%9."/>
      <w:lvlJc w:val="left"/>
      <w:pPr>
        <w:ind w:left="3240" w:hanging="360"/>
      </w:pPr>
      <w:rPr>
        <w:rFonts w:hint="default"/>
      </w:rPr>
    </w:lvl>
  </w:abstractNum>
  <w:abstractNum w:abstractNumId="5" w15:restartNumberingAfterBreak="0">
    <w:nsid w:val="0E550340"/>
    <w:multiLevelType w:val="hybridMultilevel"/>
    <w:tmpl w:val="15A47386"/>
    <w:lvl w:ilvl="0" w:tplc="FFFFFFFF">
      <w:start w:val="1"/>
      <w:numFmt w:val="lowerLetter"/>
      <w:lvlText w:val="%1)"/>
      <w:lvlJc w:val="left"/>
      <w:pPr>
        <w:ind w:left="1919" w:hanging="360"/>
      </w:pPr>
      <w:rPr>
        <w:rFonts w:hint="default"/>
      </w:rPr>
    </w:lvl>
    <w:lvl w:ilvl="1" w:tplc="FFFFFFFF" w:tentative="1">
      <w:start w:val="1"/>
      <w:numFmt w:val="lowerLetter"/>
      <w:lvlText w:val="%2."/>
      <w:lvlJc w:val="left"/>
      <w:pPr>
        <w:ind w:left="2639" w:hanging="360"/>
      </w:pPr>
    </w:lvl>
    <w:lvl w:ilvl="2" w:tplc="FFFFFFFF" w:tentative="1">
      <w:start w:val="1"/>
      <w:numFmt w:val="lowerRoman"/>
      <w:lvlText w:val="%3."/>
      <w:lvlJc w:val="right"/>
      <w:pPr>
        <w:ind w:left="3359" w:hanging="180"/>
      </w:pPr>
    </w:lvl>
    <w:lvl w:ilvl="3" w:tplc="FFFFFFFF" w:tentative="1">
      <w:start w:val="1"/>
      <w:numFmt w:val="decimal"/>
      <w:lvlText w:val="%4."/>
      <w:lvlJc w:val="left"/>
      <w:pPr>
        <w:ind w:left="4079" w:hanging="360"/>
      </w:pPr>
    </w:lvl>
    <w:lvl w:ilvl="4" w:tplc="FFFFFFFF" w:tentative="1">
      <w:start w:val="1"/>
      <w:numFmt w:val="lowerLetter"/>
      <w:lvlText w:val="%5."/>
      <w:lvlJc w:val="left"/>
      <w:pPr>
        <w:ind w:left="4799" w:hanging="360"/>
      </w:pPr>
    </w:lvl>
    <w:lvl w:ilvl="5" w:tplc="FFFFFFFF" w:tentative="1">
      <w:start w:val="1"/>
      <w:numFmt w:val="lowerRoman"/>
      <w:lvlText w:val="%6."/>
      <w:lvlJc w:val="right"/>
      <w:pPr>
        <w:ind w:left="5519" w:hanging="180"/>
      </w:pPr>
    </w:lvl>
    <w:lvl w:ilvl="6" w:tplc="FFFFFFFF" w:tentative="1">
      <w:start w:val="1"/>
      <w:numFmt w:val="decimal"/>
      <w:lvlText w:val="%7."/>
      <w:lvlJc w:val="left"/>
      <w:pPr>
        <w:ind w:left="6239" w:hanging="360"/>
      </w:pPr>
    </w:lvl>
    <w:lvl w:ilvl="7" w:tplc="FFFFFFFF" w:tentative="1">
      <w:start w:val="1"/>
      <w:numFmt w:val="lowerLetter"/>
      <w:lvlText w:val="%8."/>
      <w:lvlJc w:val="left"/>
      <w:pPr>
        <w:ind w:left="6959" w:hanging="360"/>
      </w:pPr>
    </w:lvl>
    <w:lvl w:ilvl="8" w:tplc="FFFFFFFF" w:tentative="1">
      <w:start w:val="1"/>
      <w:numFmt w:val="lowerRoman"/>
      <w:lvlText w:val="%9."/>
      <w:lvlJc w:val="right"/>
      <w:pPr>
        <w:ind w:left="7679" w:hanging="180"/>
      </w:pPr>
    </w:lvl>
  </w:abstractNum>
  <w:abstractNum w:abstractNumId="6" w15:restartNumberingAfterBreak="0">
    <w:nsid w:val="12DA6851"/>
    <w:multiLevelType w:val="hybridMultilevel"/>
    <w:tmpl w:val="60F85E18"/>
    <w:lvl w:ilvl="0" w:tplc="39BAFA54">
      <w:start w:val="1"/>
      <w:numFmt w:val="decimal"/>
      <w:pStyle w:val="Numberedlistwithspac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IDFont+F1" w:hAnsi="CIDFont+F1" w:cs="Arial"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18A07113"/>
    <w:multiLevelType w:val="hybridMultilevel"/>
    <w:tmpl w:val="555071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0657AED"/>
    <w:multiLevelType w:val="hybridMultilevel"/>
    <w:tmpl w:val="F06AB0E4"/>
    <w:lvl w:ilvl="0" w:tplc="AA82C100">
      <w:start w:val="1"/>
      <w:numFmt w:val="bullet"/>
      <w:pStyle w:val="Tablegriddotpoints"/>
      <w:lvlText w:val=""/>
      <w:lvlJc w:val="left"/>
      <w:pPr>
        <w:tabs>
          <w:tab w:val="num" w:pos="567"/>
        </w:tabs>
        <w:ind w:left="567" w:hanging="283"/>
      </w:pPr>
      <w:rPr>
        <w:rFonts w:ascii="Courier New" w:hAnsi="Courier New" w:cs="Arial" w:hint="default"/>
        <w:b w:val="0"/>
        <w:i w:val="0"/>
        <w:sz w:val="18"/>
      </w:rPr>
    </w:lvl>
    <w:lvl w:ilvl="1" w:tplc="0C090003" w:tentative="1">
      <w:start w:val="1"/>
      <w:numFmt w:val="bullet"/>
      <w:lvlText w:val="o"/>
      <w:lvlJc w:val="left"/>
      <w:pPr>
        <w:tabs>
          <w:tab w:val="num" w:pos="1440"/>
        </w:tabs>
        <w:ind w:left="1440" w:hanging="360"/>
      </w:pPr>
      <w:rPr>
        <w:rFonts w:ascii="Yu Gothic Light" w:hAnsi="Yu Gothic Light" w:cs="Yu Gothic Light" w:hint="default"/>
      </w:rPr>
    </w:lvl>
    <w:lvl w:ilvl="2" w:tplc="0C090005" w:tentative="1">
      <w:start w:val="1"/>
      <w:numFmt w:val="bullet"/>
      <w:lvlText w:val=""/>
      <w:lvlJc w:val="left"/>
      <w:pPr>
        <w:tabs>
          <w:tab w:val="num" w:pos="2160"/>
        </w:tabs>
        <w:ind w:left="2160" w:hanging="360"/>
      </w:pPr>
      <w:rPr>
        <w:rFonts w:ascii="Helvetica Neue" w:hAnsi="Helvetica Neue" w:hint="default"/>
      </w:rPr>
    </w:lvl>
    <w:lvl w:ilvl="3" w:tplc="0C090001" w:tentative="1">
      <w:start w:val="1"/>
      <w:numFmt w:val="bullet"/>
      <w:lvlText w:val=""/>
      <w:lvlJc w:val="left"/>
      <w:pPr>
        <w:tabs>
          <w:tab w:val="num" w:pos="2880"/>
        </w:tabs>
        <w:ind w:left="2880" w:hanging="360"/>
      </w:pPr>
      <w:rPr>
        <w:rFonts w:ascii="Courier New" w:hAnsi="Courier New" w:hint="default"/>
      </w:rPr>
    </w:lvl>
    <w:lvl w:ilvl="4" w:tplc="0C090003" w:tentative="1">
      <w:start w:val="1"/>
      <w:numFmt w:val="bullet"/>
      <w:lvlText w:val="o"/>
      <w:lvlJc w:val="left"/>
      <w:pPr>
        <w:tabs>
          <w:tab w:val="num" w:pos="3600"/>
        </w:tabs>
        <w:ind w:left="3600" w:hanging="360"/>
      </w:pPr>
      <w:rPr>
        <w:rFonts w:ascii="Yu Gothic Light" w:hAnsi="Yu Gothic Light" w:cs="Yu Gothic Light" w:hint="default"/>
      </w:rPr>
    </w:lvl>
    <w:lvl w:ilvl="5" w:tplc="0C090005" w:tentative="1">
      <w:start w:val="1"/>
      <w:numFmt w:val="bullet"/>
      <w:lvlText w:val=""/>
      <w:lvlJc w:val="left"/>
      <w:pPr>
        <w:tabs>
          <w:tab w:val="num" w:pos="4320"/>
        </w:tabs>
        <w:ind w:left="4320" w:hanging="360"/>
      </w:pPr>
      <w:rPr>
        <w:rFonts w:ascii="Helvetica Neue" w:hAnsi="Helvetica Neue" w:hint="default"/>
      </w:rPr>
    </w:lvl>
    <w:lvl w:ilvl="6" w:tplc="0C090001" w:tentative="1">
      <w:start w:val="1"/>
      <w:numFmt w:val="bullet"/>
      <w:lvlText w:val=""/>
      <w:lvlJc w:val="left"/>
      <w:pPr>
        <w:tabs>
          <w:tab w:val="num" w:pos="5040"/>
        </w:tabs>
        <w:ind w:left="5040" w:hanging="360"/>
      </w:pPr>
      <w:rPr>
        <w:rFonts w:ascii="Courier New" w:hAnsi="Courier New" w:hint="default"/>
      </w:rPr>
    </w:lvl>
    <w:lvl w:ilvl="7" w:tplc="0C090003" w:tentative="1">
      <w:start w:val="1"/>
      <w:numFmt w:val="bullet"/>
      <w:lvlText w:val="o"/>
      <w:lvlJc w:val="left"/>
      <w:pPr>
        <w:tabs>
          <w:tab w:val="num" w:pos="5760"/>
        </w:tabs>
        <w:ind w:left="5760" w:hanging="360"/>
      </w:pPr>
      <w:rPr>
        <w:rFonts w:ascii="Yu Gothic Light" w:hAnsi="Yu Gothic Light" w:cs="Yu Gothic Light" w:hint="default"/>
      </w:rPr>
    </w:lvl>
    <w:lvl w:ilvl="8" w:tplc="0C090005" w:tentative="1">
      <w:start w:val="1"/>
      <w:numFmt w:val="bullet"/>
      <w:lvlText w:val=""/>
      <w:lvlJc w:val="left"/>
      <w:pPr>
        <w:tabs>
          <w:tab w:val="num" w:pos="6480"/>
        </w:tabs>
        <w:ind w:left="6480" w:hanging="360"/>
      </w:pPr>
      <w:rPr>
        <w:rFonts w:ascii="Helvetica Neue" w:hAnsi="Helvetica Neue" w:hint="default"/>
      </w:rPr>
    </w:lvl>
  </w:abstractNum>
  <w:abstractNum w:abstractNumId="10" w15:restartNumberingAfterBreak="0">
    <w:nsid w:val="20B2057E"/>
    <w:multiLevelType w:val="hybridMultilevel"/>
    <w:tmpl w:val="9632A5A2"/>
    <w:name w:val="Box Heading - Findings2"/>
    <w:lvl w:ilvl="0" w:tplc="CF0EE46C">
      <w:start w:val="1"/>
      <w:numFmt w:val="decimal"/>
      <w:suff w:val="nothing"/>
      <w:lvlText w:val="Findings %1."/>
      <w:lvlJc w:val="left"/>
      <w:rPr>
        <w:rFonts w:hint="default"/>
        <w:b/>
        <w:bCs/>
        <w:i w:val="0"/>
        <w:iCs w:val="0"/>
        <w:caps w:val="0"/>
        <w:smallCaps w:val="0"/>
        <w:strike w:val="0"/>
        <w:dstrike w:val="0"/>
        <w:vanish w:val="0"/>
        <w:color w:val="000000"/>
        <w:spacing w:val="0"/>
        <w:kern w:val="0"/>
        <w:position w:val="0"/>
        <w:u w:val="none"/>
        <w:effect w:val="none"/>
        <w:vertAlign w:val="baseline"/>
        <w:em w:val="none"/>
      </w:rPr>
    </w:lvl>
    <w:lvl w:ilvl="1" w:tplc="30DCB3D0">
      <w:start w:val="1"/>
      <w:numFmt w:val="lowerLetter"/>
      <w:lvlText w:val="%2)"/>
      <w:lvlJc w:val="left"/>
      <w:pPr>
        <w:ind w:left="720" w:hanging="360"/>
      </w:pPr>
      <w:rPr>
        <w:rFonts w:hint="default"/>
      </w:rPr>
    </w:lvl>
    <w:lvl w:ilvl="2" w:tplc="C374DA38">
      <w:start w:val="1"/>
      <w:numFmt w:val="lowerRoman"/>
      <w:lvlText w:val="%3)"/>
      <w:lvlJc w:val="left"/>
      <w:pPr>
        <w:ind w:left="1080" w:hanging="360"/>
      </w:pPr>
      <w:rPr>
        <w:rFonts w:hint="default"/>
      </w:rPr>
    </w:lvl>
    <w:lvl w:ilvl="3" w:tplc="25CC8016">
      <w:start w:val="1"/>
      <w:numFmt w:val="decimal"/>
      <w:lvlText w:val="(%4)"/>
      <w:lvlJc w:val="left"/>
      <w:pPr>
        <w:ind w:left="1440" w:hanging="360"/>
      </w:pPr>
      <w:rPr>
        <w:rFonts w:hint="default"/>
      </w:rPr>
    </w:lvl>
    <w:lvl w:ilvl="4" w:tplc="669CFADA">
      <w:start w:val="1"/>
      <w:numFmt w:val="lowerLetter"/>
      <w:lvlText w:val="(%5)"/>
      <w:lvlJc w:val="left"/>
      <w:pPr>
        <w:ind w:left="1800" w:hanging="360"/>
      </w:pPr>
      <w:rPr>
        <w:rFonts w:hint="default"/>
      </w:rPr>
    </w:lvl>
    <w:lvl w:ilvl="5" w:tplc="318C24CE">
      <w:start w:val="1"/>
      <w:numFmt w:val="lowerRoman"/>
      <w:lvlText w:val="(%6)"/>
      <w:lvlJc w:val="left"/>
      <w:pPr>
        <w:ind w:left="2160" w:hanging="360"/>
      </w:pPr>
      <w:rPr>
        <w:rFonts w:hint="default"/>
      </w:rPr>
    </w:lvl>
    <w:lvl w:ilvl="6" w:tplc="77EE5046">
      <w:start w:val="1"/>
      <w:numFmt w:val="decimal"/>
      <w:lvlText w:val="%7."/>
      <w:lvlJc w:val="left"/>
      <w:pPr>
        <w:ind w:left="2520" w:hanging="360"/>
      </w:pPr>
      <w:rPr>
        <w:rFonts w:hint="default"/>
      </w:rPr>
    </w:lvl>
    <w:lvl w:ilvl="7" w:tplc="11461FB6">
      <w:start w:val="1"/>
      <w:numFmt w:val="lowerLetter"/>
      <w:lvlText w:val="%8."/>
      <w:lvlJc w:val="left"/>
      <w:pPr>
        <w:ind w:left="2880" w:hanging="360"/>
      </w:pPr>
      <w:rPr>
        <w:rFonts w:hint="default"/>
      </w:rPr>
    </w:lvl>
    <w:lvl w:ilvl="8" w:tplc="F3EE8B84">
      <w:start w:val="1"/>
      <w:numFmt w:val="lowerRoman"/>
      <w:lvlText w:val="%9."/>
      <w:lvlJc w:val="left"/>
      <w:pPr>
        <w:ind w:left="3240" w:hanging="360"/>
      </w:pPr>
      <w:rPr>
        <w:rFonts w:hint="default"/>
      </w:rPr>
    </w:lvl>
  </w:abstractNum>
  <w:abstractNum w:abstractNumId="11" w15:restartNumberingAfterBreak="0">
    <w:nsid w:val="2DE695DC"/>
    <w:multiLevelType w:val="hybridMultilevel"/>
    <w:tmpl w:val="FFFFFFFF"/>
    <w:lvl w:ilvl="0" w:tplc="E18C76BC">
      <w:start w:val="1"/>
      <w:numFmt w:val="bullet"/>
      <w:lvlText w:val=""/>
      <w:lvlJc w:val="left"/>
      <w:pPr>
        <w:ind w:left="720" w:hanging="360"/>
      </w:pPr>
      <w:rPr>
        <w:rFonts w:ascii="Symbol" w:hAnsi="Symbol" w:hint="default"/>
      </w:rPr>
    </w:lvl>
    <w:lvl w:ilvl="1" w:tplc="68667444">
      <w:start w:val="1"/>
      <w:numFmt w:val="bullet"/>
      <w:lvlText w:val="o"/>
      <w:lvlJc w:val="left"/>
      <w:pPr>
        <w:ind w:left="1440" w:hanging="360"/>
      </w:pPr>
      <w:rPr>
        <w:rFonts w:ascii="Courier New" w:hAnsi="Courier New" w:hint="default"/>
      </w:rPr>
    </w:lvl>
    <w:lvl w:ilvl="2" w:tplc="B150F148">
      <w:start w:val="1"/>
      <w:numFmt w:val="bullet"/>
      <w:lvlText w:val=""/>
      <w:lvlJc w:val="left"/>
      <w:pPr>
        <w:ind w:left="2160" w:hanging="360"/>
      </w:pPr>
      <w:rPr>
        <w:rFonts w:ascii="Wingdings" w:hAnsi="Wingdings" w:hint="default"/>
      </w:rPr>
    </w:lvl>
    <w:lvl w:ilvl="3" w:tplc="F7AC49F0">
      <w:start w:val="1"/>
      <w:numFmt w:val="bullet"/>
      <w:lvlText w:val=""/>
      <w:lvlJc w:val="left"/>
      <w:pPr>
        <w:ind w:left="2880" w:hanging="360"/>
      </w:pPr>
      <w:rPr>
        <w:rFonts w:ascii="Symbol" w:hAnsi="Symbol" w:hint="default"/>
      </w:rPr>
    </w:lvl>
    <w:lvl w:ilvl="4" w:tplc="01F8F6C2">
      <w:start w:val="1"/>
      <w:numFmt w:val="bullet"/>
      <w:lvlText w:val="o"/>
      <w:lvlJc w:val="left"/>
      <w:pPr>
        <w:ind w:left="3600" w:hanging="360"/>
      </w:pPr>
      <w:rPr>
        <w:rFonts w:ascii="Courier New" w:hAnsi="Courier New" w:hint="default"/>
      </w:rPr>
    </w:lvl>
    <w:lvl w:ilvl="5" w:tplc="1158A29C">
      <w:start w:val="1"/>
      <w:numFmt w:val="bullet"/>
      <w:lvlText w:val=""/>
      <w:lvlJc w:val="left"/>
      <w:pPr>
        <w:ind w:left="4320" w:hanging="360"/>
      </w:pPr>
      <w:rPr>
        <w:rFonts w:ascii="Wingdings" w:hAnsi="Wingdings" w:hint="default"/>
      </w:rPr>
    </w:lvl>
    <w:lvl w:ilvl="6" w:tplc="C5AA9CCC">
      <w:start w:val="1"/>
      <w:numFmt w:val="bullet"/>
      <w:lvlText w:val=""/>
      <w:lvlJc w:val="left"/>
      <w:pPr>
        <w:ind w:left="5040" w:hanging="360"/>
      </w:pPr>
      <w:rPr>
        <w:rFonts w:ascii="Symbol" w:hAnsi="Symbol" w:hint="default"/>
      </w:rPr>
    </w:lvl>
    <w:lvl w:ilvl="7" w:tplc="C144FFD0">
      <w:start w:val="1"/>
      <w:numFmt w:val="bullet"/>
      <w:lvlText w:val="o"/>
      <w:lvlJc w:val="left"/>
      <w:pPr>
        <w:ind w:left="5760" w:hanging="360"/>
      </w:pPr>
      <w:rPr>
        <w:rFonts w:ascii="Courier New" w:hAnsi="Courier New" w:hint="default"/>
      </w:rPr>
    </w:lvl>
    <w:lvl w:ilvl="8" w:tplc="6136C8A4">
      <w:start w:val="1"/>
      <w:numFmt w:val="bullet"/>
      <w:lvlText w:val=""/>
      <w:lvlJc w:val="left"/>
      <w:pPr>
        <w:ind w:left="6480" w:hanging="360"/>
      </w:pPr>
      <w:rPr>
        <w:rFonts w:ascii="Wingdings" w:hAnsi="Wingdings" w:hint="default"/>
      </w:rPr>
    </w:lvl>
  </w:abstractNum>
  <w:abstractNum w:abstractNumId="12" w15:restartNumberingAfterBreak="0">
    <w:nsid w:val="2F237FF5"/>
    <w:multiLevelType w:val="hybridMultilevel"/>
    <w:tmpl w:val="6F929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4621F9"/>
    <w:multiLevelType w:val="hybridMultilevel"/>
    <w:tmpl w:val="07DE4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971A88"/>
    <w:multiLevelType w:val="hybridMultilevel"/>
    <w:tmpl w:val="0B309D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644493"/>
    <w:multiLevelType w:val="hybridMultilevel"/>
    <w:tmpl w:val="73305E94"/>
    <w:lvl w:ilvl="0" w:tplc="B2A4E106">
      <w:start w:val="1"/>
      <w:numFmt w:val="bullet"/>
      <w:pStyle w:val="Dotpoints"/>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Yu Gothic Light" w:hAnsi="Yu Gothic Light" w:cs="Yu Gothic Light" w:hint="default"/>
      </w:rPr>
    </w:lvl>
    <w:lvl w:ilvl="2" w:tplc="0C090005" w:tentative="1">
      <w:start w:val="1"/>
      <w:numFmt w:val="bullet"/>
      <w:lvlText w:val=""/>
      <w:lvlJc w:val="left"/>
      <w:pPr>
        <w:ind w:left="2160" w:hanging="360"/>
      </w:pPr>
      <w:rPr>
        <w:rFonts w:ascii="Helvetica Neue" w:hAnsi="Helvetica Neue" w:hint="default"/>
      </w:rPr>
    </w:lvl>
    <w:lvl w:ilvl="3" w:tplc="0C090001" w:tentative="1">
      <w:start w:val="1"/>
      <w:numFmt w:val="bullet"/>
      <w:lvlText w:val=""/>
      <w:lvlJc w:val="left"/>
      <w:pPr>
        <w:ind w:left="2880" w:hanging="360"/>
      </w:pPr>
      <w:rPr>
        <w:rFonts w:ascii="Courier New" w:hAnsi="Courier New" w:hint="default"/>
      </w:rPr>
    </w:lvl>
    <w:lvl w:ilvl="4" w:tplc="0C090003" w:tentative="1">
      <w:start w:val="1"/>
      <w:numFmt w:val="bullet"/>
      <w:lvlText w:val="o"/>
      <w:lvlJc w:val="left"/>
      <w:pPr>
        <w:ind w:left="3600" w:hanging="360"/>
      </w:pPr>
      <w:rPr>
        <w:rFonts w:ascii="Yu Gothic Light" w:hAnsi="Yu Gothic Light" w:cs="Yu Gothic Light" w:hint="default"/>
      </w:rPr>
    </w:lvl>
    <w:lvl w:ilvl="5" w:tplc="0C090005" w:tentative="1">
      <w:start w:val="1"/>
      <w:numFmt w:val="bullet"/>
      <w:lvlText w:val=""/>
      <w:lvlJc w:val="left"/>
      <w:pPr>
        <w:ind w:left="4320" w:hanging="360"/>
      </w:pPr>
      <w:rPr>
        <w:rFonts w:ascii="Helvetica Neue" w:hAnsi="Helvetica Neue" w:hint="default"/>
      </w:rPr>
    </w:lvl>
    <w:lvl w:ilvl="6" w:tplc="0C090001" w:tentative="1">
      <w:start w:val="1"/>
      <w:numFmt w:val="bullet"/>
      <w:lvlText w:val=""/>
      <w:lvlJc w:val="left"/>
      <w:pPr>
        <w:ind w:left="5040" w:hanging="360"/>
      </w:pPr>
      <w:rPr>
        <w:rFonts w:ascii="Courier New" w:hAnsi="Courier New" w:hint="default"/>
      </w:rPr>
    </w:lvl>
    <w:lvl w:ilvl="7" w:tplc="0C090003" w:tentative="1">
      <w:start w:val="1"/>
      <w:numFmt w:val="bullet"/>
      <w:lvlText w:val="o"/>
      <w:lvlJc w:val="left"/>
      <w:pPr>
        <w:ind w:left="5760" w:hanging="360"/>
      </w:pPr>
      <w:rPr>
        <w:rFonts w:ascii="Yu Gothic Light" w:hAnsi="Yu Gothic Light" w:cs="Yu Gothic Light" w:hint="default"/>
      </w:rPr>
    </w:lvl>
    <w:lvl w:ilvl="8" w:tplc="0C090005" w:tentative="1">
      <w:start w:val="1"/>
      <w:numFmt w:val="bullet"/>
      <w:lvlText w:val=""/>
      <w:lvlJc w:val="left"/>
      <w:pPr>
        <w:ind w:left="6480" w:hanging="360"/>
      </w:pPr>
      <w:rPr>
        <w:rFonts w:ascii="Helvetica Neue" w:hAnsi="Helvetica Neue" w:hint="default"/>
      </w:rPr>
    </w:lvl>
  </w:abstractNum>
  <w:abstractNum w:abstractNumId="16" w15:restartNumberingAfterBreak="0">
    <w:nsid w:val="3D7A2905"/>
    <w:multiLevelType w:val="hybridMultilevel"/>
    <w:tmpl w:val="85187E4A"/>
    <w:lvl w:ilvl="0" w:tplc="813AF5D6">
      <w:start w:val="1"/>
      <w:numFmt w:val="decimal"/>
      <w:pStyle w:val="Numberedlist"/>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FEF6883"/>
    <w:multiLevelType w:val="hybridMultilevel"/>
    <w:tmpl w:val="24CCE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6E0E63"/>
    <w:multiLevelType w:val="hybridMultilevel"/>
    <w:tmpl w:val="44BAEC3C"/>
    <w:lvl w:ilvl="0" w:tplc="0C090003">
      <w:start w:val="1"/>
      <w:numFmt w:val="bullet"/>
      <w:lvlText w:val="o"/>
      <w:lvlJc w:val="left"/>
      <w:pPr>
        <w:ind w:left="1003" w:hanging="360"/>
      </w:pPr>
      <w:rPr>
        <w:rFonts w:ascii="Courier New" w:hAnsi="Courier New" w:cs="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19"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2"/>
      <w:lvlText w:val="%2)"/>
      <w:lvlJc w:val="left"/>
      <w:pPr>
        <w:ind w:left="720" w:hanging="360"/>
      </w:pPr>
      <w:rPr>
        <w:rFonts w:hint="default"/>
      </w:rPr>
    </w:lvl>
    <w:lvl w:ilvl="2">
      <w:start w:val="1"/>
      <w:numFmt w:val="lowerRoman"/>
      <w:pStyle w:val="Numbers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C115D43"/>
    <w:multiLevelType w:val="hybridMultilevel"/>
    <w:tmpl w:val="DD549564"/>
    <w:lvl w:ilvl="0" w:tplc="B932430E">
      <w:start w:val="1"/>
      <w:numFmt w:val="bullet"/>
      <w:lvlText w:val="•"/>
      <w:lvlJc w:val="left"/>
      <w:pPr>
        <w:ind w:left="720" w:hanging="360"/>
      </w:pPr>
      <w:rPr>
        <w:rFonts w:ascii="Arial" w:hAnsi="Arial" w:hint="default"/>
      </w:rPr>
    </w:lvl>
    <w:lvl w:ilvl="1" w:tplc="E1DE86DA">
      <w:start w:val="1"/>
      <w:numFmt w:val="bullet"/>
      <w:lvlText w:val="o"/>
      <w:lvlJc w:val="left"/>
      <w:pPr>
        <w:ind w:left="1440" w:hanging="360"/>
      </w:pPr>
      <w:rPr>
        <w:rFonts w:ascii="Courier New" w:hAnsi="Courier New" w:hint="default"/>
      </w:rPr>
    </w:lvl>
    <w:lvl w:ilvl="2" w:tplc="C5641564">
      <w:start w:val="1"/>
      <w:numFmt w:val="bullet"/>
      <w:lvlText w:val=""/>
      <w:lvlJc w:val="left"/>
      <w:pPr>
        <w:ind w:left="2160" w:hanging="360"/>
      </w:pPr>
      <w:rPr>
        <w:rFonts w:ascii="Wingdings" w:hAnsi="Wingdings" w:hint="default"/>
      </w:rPr>
    </w:lvl>
    <w:lvl w:ilvl="3" w:tplc="F80EDA06">
      <w:start w:val="1"/>
      <w:numFmt w:val="bullet"/>
      <w:lvlText w:val=""/>
      <w:lvlJc w:val="left"/>
      <w:pPr>
        <w:ind w:left="2880" w:hanging="360"/>
      </w:pPr>
      <w:rPr>
        <w:rFonts w:ascii="Symbol" w:hAnsi="Symbol" w:hint="default"/>
      </w:rPr>
    </w:lvl>
    <w:lvl w:ilvl="4" w:tplc="D9669D46">
      <w:start w:val="1"/>
      <w:numFmt w:val="bullet"/>
      <w:lvlText w:val="o"/>
      <w:lvlJc w:val="left"/>
      <w:pPr>
        <w:ind w:left="3600" w:hanging="360"/>
      </w:pPr>
      <w:rPr>
        <w:rFonts w:ascii="Courier New" w:hAnsi="Courier New" w:hint="default"/>
      </w:rPr>
    </w:lvl>
    <w:lvl w:ilvl="5" w:tplc="16448B7E">
      <w:start w:val="1"/>
      <w:numFmt w:val="bullet"/>
      <w:lvlText w:val=""/>
      <w:lvlJc w:val="left"/>
      <w:pPr>
        <w:ind w:left="4320" w:hanging="360"/>
      </w:pPr>
      <w:rPr>
        <w:rFonts w:ascii="Wingdings" w:hAnsi="Wingdings" w:hint="default"/>
      </w:rPr>
    </w:lvl>
    <w:lvl w:ilvl="6" w:tplc="E08AB39C">
      <w:start w:val="1"/>
      <w:numFmt w:val="bullet"/>
      <w:lvlText w:val=""/>
      <w:lvlJc w:val="left"/>
      <w:pPr>
        <w:ind w:left="5040" w:hanging="360"/>
      </w:pPr>
      <w:rPr>
        <w:rFonts w:ascii="Symbol" w:hAnsi="Symbol" w:hint="default"/>
      </w:rPr>
    </w:lvl>
    <w:lvl w:ilvl="7" w:tplc="0CD24022">
      <w:start w:val="1"/>
      <w:numFmt w:val="bullet"/>
      <w:lvlText w:val="o"/>
      <w:lvlJc w:val="left"/>
      <w:pPr>
        <w:ind w:left="5760" w:hanging="360"/>
      </w:pPr>
      <w:rPr>
        <w:rFonts w:ascii="Courier New" w:hAnsi="Courier New" w:hint="default"/>
      </w:rPr>
    </w:lvl>
    <w:lvl w:ilvl="8" w:tplc="BCF8249C">
      <w:start w:val="1"/>
      <w:numFmt w:val="bullet"/>
      <w:lvlText w:val=""/>
      <w:lvlJc w:val="left"/>
      <w:pPr>
        <w:ind w:left="6480" w:hanging="360"/>
      </w:pPr>
      <w:rPr>
        <w:rFonts w:ascii="Wingdings" w:hAnsi="Wingdings" w:hint="default"/>
      </w:rPr>
    </w:lvl>
  </w:abstractNum>
  <w:abstractNum w:abstractNumId="21" w15:restartNumberingAfterBreak="0">
    <w:nsid w:val="4E3219E3"/>
    <w:multiLevelType w:val="hybridMultilevel"/>
    <w:tmpl w:val="B9462E56"/>
    <w:lvl w:ilvl="0" w:tplc="500E7A26">
      <w:start w:val="1"/>
      <w:numFmt w:val="bullet"/>
      <w:pStyle w:val="Dotpointswithspacing"/>
      <w:lvlText w:val=""/>
      <w:lvlJc w:val="left"/>
      <w:pPr>
        <w:ind w:left="1077" w:hanging="360"/>
      </w:pPr>
      <w:rPr>
        <w:rFonts w:ascii="Courier New" w:hAnsi="Courier New" w:hint="default"/>
      </w:rPr>
    </w:lvl>
    <w:lvl w:ilvl="1" w:tplc="0C090003" w:tentative="1">
      <w:start w:val="1"/>
      <w:numFmt w:val="bullet"/>
      <w:lvlText w:val="o"/>
      <w:lvlJc w:val="left"/>
      <w:pPr>
        <w:ind w:left="1797" w:hanging="360"/>
      </w:pPr>
      <w:rPr>
        <w:rFonts w:ascii="Yu Gothic Light" w:hAnsi="Yu Gothic Light" w:cs="Yu Gothic Light" w:hint="default"/>
      </w:rPr>
    </w:lvl>
    <w:lvl w:ilvl="2" w:tplc="0C090005" w:tentative="1">
      <w:start w:val="1"/>
      <w:numFmt w:val="bullet"/>
      <w:lvlText w:val=""/>
      <w:lvlJc w:val="left"/>
      <w:pPr>
        <w:ind w:left="2517" w:hanging="360"/>
      </w:pPr>
      <w:rPr>
        <w:rFonts w:ascii="Helvetica Neue" w:hAnsi="Helvetica Neue" w:hint="default"/>
      </w:rPr>
    </w:lvl>
    <w:lvl w:ilvl="3" w:tplc="0C090001" w:tentative="1">
      <w:start w:val="1"/>
      <w:numFmt w:val="bullet"/>
      <w:lvlText w:val=""/>
      <w:lvlJc w:val="left"/>
      <w:pPr>
        <w:ind w:left="3237" w:hanging="360"/>
      </w:pPr>
      <w:rPr>
        <w:rFonts w:ascii="Courier New" w:hAnsi="Courier New" w:hint="default"/>
      </w:rPr>
    </w:lvl>
    <w:lvl w:ilvl="4" w:tplc="0C090003" w:tentative="1">
      <w:start w:val="1"/>
      <w:numFmt w:val="bullet"/>
      <w:lvlText w:val="o"/>
      <w:lvlJc w:val="left"/>
      <w:pPr>
        <w:ind w:left="3957" w:hanging="360"/>
      </w:pPr>
      <w:rPr>
        <w:rFonts w:ascii="Yu Gothic Light" w:hAnsi="Yu Gothic Light" w:cs="Yu Gothic Light" w:hint="default"/>
      </w:rPr>
    </w:lvl>
    <w:lvl w:ilvl="5" w:tplc="0C090005" w:tentative="1">
      <w:start w:val="1"/>
      <w:numFmt w:val="bullet"/>
      <w:lvlText w:val=""/>
      <w:lvlJc w:val="left"/>
      <w:pPr>
        <w:ind w:left="4677" w:hanging="360"/>
      </w:pPr>
      <w:rPr>
        <w:rFonts w:ascii="Helvetica Neue" w:hAnsi="Helvetica Neue" w:hint="default"/>
      </w:rPr>
    </w:lvl>
    <w:lvl w:ilvl="6" w:tplc="0C090001" w:tentative="1">
      <w:start w:val="1"/>
      <w:numFmt w:val="bullet"/>
      <w:lvlText w:val=""/>
      <w:lvlJc w:val="left"/>
      <w:pPr>
        <w:ind w:left="5397" w:hanging="360"/>
      </w:pPr>
      <w:rPr>
        <w:rFonts w:ascii="Courier New" w:hAnsi="Courier New" w:hint="default"/>
      </w:rPr>
    </w:lvl>
    <w:lvl w:ilvl="7" w:tplc="0C090003" w:tentative="1">
      <w:start w:val="1"/>
      <w:numFmt w:val="bullet"/>
      <w:lvlText w:val="o"/>
      <w:lvlJc w:val="left"/>
      <w:pPr>
        <w:ind w:left="6117" w:hanging="360"/>
      </w:pPr>
      <w:rPr>
        <w:rFonts w:ascii="Yu Gothic Light" w:hAnsi="Yu Gothic Light" w:cs="Yu Gothic Light" w:hint="default"/>
      </w:rPr>
    </w:lvl>
    <w:lvl w:ilvl="8" w:tplc="0C090005" w:tentative="1">
      <w:start w:val="1"/>
      <w:numFmt w:val="bullet"/>
      <w:lvlText w:val=""/>
      <w:lvlJc w:val="left"/>
      <w:pPr>
        <w:ind w:left="6837" w:hanging="360"/>
      </w:pPr>
      <w:rPr>
        <w:rFonts w:ascii="Helvetica Neue" w:hAnsi="Helvetica Neue" w:hint="default"/>
      </w:rPr>
    </w:lvl>
  </w:abstractNum>
  <w:abstractNum w:abstractNumId="22" w15:restartNumberingAfterBreak="0">
    <w:nsid w:val="53360193"/>
    <w:multiLevelType w:val="hybridMultilevel"/>
    <w:tmpl w:val="137CD904"/>
    <w:lvl w:ilvl="0" w:tplc="0C090003">
      <w:start w:val="1"/>
      <w:numFmt w:val="bullet"/>
      <w:lvlText w:val="o"/>
      <w:lvlJc w:val="left"/>
      <w:pPr>
        <w:ind w:left="1003" w:hanging="360"/>
      </w:pPr>
      <w:rPr>
        <w:rFonts w:ascii="Courier New" w:hAnsi="Courier New" w:cs="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23" w15:restartNumberingAfterBreak="0">
    <w:nsid w:val="54534C67"/>
    <w:multiLevelType w:val="hybridMultilevel"/>
    <w:tmpl w:val="A142D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DD04F5"/>
    <w:multiLevelType w:val="multilevel"/>
    <w:tmpl w:val="B2501428"/>
    <w:lvl w:ilvl="0">
      <w:start w:val="1"/>
      <w:numFmt w:val="decimal"/>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5" w15:restartNumberingAfterBreak="0">
    <w:nsid w:val="6CFB2677"/>
    <w:multiLevelType w:val="hybridMultilevel"/>
    <w:tmpl w:val="1258042C"/>
    <w:lvl w:ilvl="0" w:tplc="8B82A17E">
      <w:start w:val="1"/>
      <w:numFmt w:val="bullet"/>
      <w:pStyle w:val="ListBullet"/>
      <w:lvlText w:val="•"/>
      <w:lvlJc w:val="left"/>
      <w:pPr>
        <w:ind w:left="720" w:hanging="360"/>
      </w:pPr>
      <w:rPr>
        <w:rFonts w:ascii="Arial" w:hAnsi="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1F75C5"/>
    <w:multiLevelType w:val="multilevel"/>
    <w:tmpl w:val="BDEA507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B0A071B"/>
    <w:multiLevelType w:val="hybridMultilevel"/>
    <w:tmpl w:val="15A47386"/>
    <w:lvl w:ilvl="0" w:tplc="AE2202D6">
      <w:start w:val="1"/>
      <w:numFmt w:val="lowerLetter"/>
      <w:lvlText w:val="%1)"/>
      <w:lvlJc w:val="left"/>
      <w:pPr>
        <w:ind w:left="1919" w:hanging="360"/>
      </w:pPr>
      <w:rPr>
        <w:rFonts w:hint="default"/>
      </w:rPr>
    </w:lvl>
    <w:lvl w:ilvl="1" w:tplc="0C090019" w:tentative="1">
      <w:start w:val="1"/>
      <w:numFmt w:val="lowerLetter"/>
      <w:lvlText w:val="%2."/>
      <w:lvlJc w:val="left"/>
      <w:pPr>
        <w:ind w:left="2639" w:hanging="360"/>
      </w:pPr>
    </w:lvl>
    <w:lvl w:ilvl="2" w:tplc="0C09001B" w:tentative="1">
      <w:start w:val="1"/>
      <w:numFmt w:val="lowerRoman"/>
      <w:lvlText w:val="%3."/>
      <w:lvlJc w:val="right"/>
      <w:pPr>
        <w:ind w:left="3359" w:hanging="180"/>
      </w:pPr>
    </w:lvl>
    <w:lvl w:ilvl="3" w:tplc="0C09000F" w:tentative="1">
      <w:start w:val="1"/>
      <w:numFmt w:val="decimal"/>
      <w:lvlText w:val="%4."/>
      <w:lvlJc w:val="left"/>
      <w:pPr>
        <w:ind w:left="4079" w:hanging="360"/>
      </w:pPr>
    </w:lvl>
    <w:lvl w:ilvl="4" w:tplc="0C090019" w:tentative="1">
      <w:start w:val="1"/>
      <w:numFmt w:val="lowerLetter"/>
      <w:lvlText w:val="%5."/>
      <w:lvlJc w:val="left"/>
      <w:pPr>
        <w:ind w:left="4799" w:hanging="360"/>
      </w:pPr>
    </w:lvl>
    <w:lvl w:ilvl="5" w:tplc="0C09001B" w:tentative="1">
      <w:start w:val="1"/>
      <w:numFmt w:val="lowerRoman"/>
      <w:lvlText w:val="%6."/>
      <w:lvlJc w:val="right"/>
      <w:pPr>
        <w:ind w:left="5519" w:hanging="180"/>
      </w:pPr>
    </w:lvl>
    <w:lvl w:ilvl="6" w:tplc="0C09000F" w:tentative="1">
      <w:start w:val="1"/>
      <w:numFmt w:val="decimal"/>
      <w:lvlText w:val="%7."/>
      <w:lvlJc w:val="left"/>
      <w:pPr>
        <w:ind w:left="6239" w:hanging="360"/>
      </w:pPr>
    </w:lvl>
    <w:lvl w:ilvl="7" w:tplc="0C090019" w:tentative="1">
      <w:start w:val="1"/>
      <w:numFmt w:val="lowerLetter"/>
      <w:lvlText w:val="%8."/>
      <w:lvlJc w:val="left"/>
      <w:pPr>
        <w:ind w:left="6959" w:hanging="360"/>
      </w:pPr>
    </w:lvl>
    <w:lvl w:ilvl="8" w:tplc="0C09001B" w:tentative="1">
      <w:start w:val="1"/>
      <w:numFmt w:val="lowerRoman"/>
      <w:lvlText w:val="%9."/>
      <w:lvlJc w:val="right"/>
      <w:pPr>
        <w:ind w:left="7679" w:hanging="180"/>
      </w:pPr>
    </w:lvl>
  </w:abstractNum>
  <w:num w:numId="1" w16cid:durableId="200821262">
    <w:abstractNumId w:val="20"/>
  </w:num>
  <w:num w:numId="2" w16cid:durableId="65885005">
    <w:abstractNumId w:val="21"/>
  </w:num>
  <w:num w:numId="3" w16cid:durableId="550380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4040050">
    <w:abstractNumId w:val="6"/>
  </w:num>
  <w:num w:numId="5" w16cid:durableId="335499376">
    <w:abstractNumId w:val="16"/>
  </w:num>
  <w:num w:numId="6" w16cid:durableId="1532373411">
    <w:abstractNumId w:val="0"/>
  </w:num>
  <w:num w:numId="7" w16cid:durableId="297731735">
    <w:abstractNumId w:val="4"/>
  </w:num>
  <w:num w:numId="8" w16cid:durableId="1379357992">
    <w:abstractNumId w:val="3"/>
  </w:num>
  <w:num w:numId="9" w16cid:durableId="20020765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066645">
    <w:abstractNumId w:val="1"/>
  </w:num>
  <w:num w:numId="11" w16cid:durableId="1395739290">
    <w:abstractNumId w:val="9"/>
  </w:num>
  <w:num w:numId="12" w16cid:durableId="1693261804">
    <w:abstractNumId w:val="15"/>
  </w:num>
  <w:num w:numId="13" w16cid:durableId="1209418557">
    <w:abstractNumId w:val="2"/>
  </w:num>
  <w:num w:numId="14" w16cid:durableId="1870139795">
    <w:abstractNumId w:val="25"/>
  </w:num>
  <w:num w:numId="15" w16cid:durableId="107160911">
    <w:abstractNumId w:val="8"/>
  </w:num>
  <w:num w:numId="16" w16cid:durableId="1094205185">
    <w:abstractNumId w:val="26"/>
  </w:num>
  <w:num w:numId="17" w16cid:durableId="963926393">
    <w:abstractNumId w:val="19"/>
  </w:num>
  <w:num w:numId="18" w16cid:durableId="35934353">
    <w:abstractNumId w:val="27"/>
  </w:num>
  <w:num w:numId="19" w16cid:durableId="1767312535">
    <w:abstractNumId w:val="5"/>
  </w:num>
  <w:num w:numId="20" w16cid:durableId="1094321236">
    <w:abstractNumId w:val="18"/>
  </w:num>
  <w:num w:numId="21" w16cid:durableId="1201355711">
    <w:abstractNumId w:val="11"/>
  </w:num>
  <w:num w:numId="22" w16cid:durableId="8795107">
    <w:abstractNumId w:val="25"/>
  </w:num>
  <w:num w:numId="23" w16cid:durableId="969555259">
    <w:abstractNumId w:val="22"/>
  </w:num>
  <w:num w:numId="24" w16cid:durableId="995914690">
    <w:abstractNumId w:val="25"/>
  </w:num>
  <w:num w:numId="25" w16cid:durableId="93287090">
    <w:abstractNumId w:val="25"/>
  </w:num>
  <w:num w:numId="26" w16cid:durableId="1998454907">
    <w:abstractNumId w:val="2"/>
  </w:num>
  <w:num w:numId="27" w16cid:durableId="274337280">
    <w:abstractNumId w:val="2"/>
  </w:num>
  <w:num w:numId="28" w16cid:durableId="1325009506">
    <w:abstractNumId w:val="14"/>
  </w:num>
  <w:num w:numId="29" w16cid:durableId="1072778176">
    <w:abstractNumId w:val="12"/>
  </w:num>
  <w:num w:numId="30" w16cid:durableId="462306603">
    <w:abstractNumId w:val="23"/>
  </w:num>
  <w:num w:numId="31" w16cid:durableId="923416576">
    <w:abstractNumId w:val="13"/>
  </w:num>
  <w:num w:numId="32" w16cid:durableId="1259559816">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B79"/>
    <w:rsid w:val="000000D7"/>
    <w:rsid w:val="000000F6"/>
    <w:rsid w:val="00000149"/>
    <w:rsid w:val="0000015B"/>
    <w:rsid w:val="0000017C"/>
    <w:rsid w:val="00000211"/>
    <w:rsid w:val="000002C0"/>
    <w:rsid w:val="000002C2"/>
    <w:rsid w:val="00000347"/>
    <w:rsid w:val="000003DE"/>
    <w:rsid w:val="000004A2"/>
    <w:rsid w:val="000004B3"/>
    <w:rsid w:val="00000568"/>
    <w:rsid w:val="00000580"/>
    <w:rsid w:val="000005D2"/>
    <w:rsid w:val="0000061E"/>
    <w:rsid w:val="0000065E"/>
    <w:rsid w:val="0000066C"/>
    <w:rsid w:val="00000673"/>
    <w:rsid w:val="000006B5"/>
    <w:rsid w:val="0000070E"/>
    <w:rsid w:val="0000077F"/>
    <w:rsid w:val="00000810"/>
    <w:rsid w:val="0000082D"/>
    <w:rsid w:val="00000833"/>
    <w:rsid w:val="00000873"/>
    <w:rsid w:val="00000973"/>
    <w:rsid w:val="00000A0E"/>
    <w:rsid w:val="00000A37"/>
    <w:rsid w:val="00000A58"/>
    <w:rsid w:val="00000A5E"/>
    <w:rsid w:val="00000AEE"/>
    <w:rsid w:val="00000B37"/>
    <w:rsid w:val="00000B6E"/>
    <w:rsid w:val="00000B94"/>
    <w:rsid w:val="00000BD5"/>
    <w:rsid w:val="00000C42"/>
    <w:rsid w:val="00000C76"/>
    <w:rsid w:val="00000D2A"/>
    <w:rsid w:val="00000D44"/>
    <w:rsid w:val="00000D82"/>
    <w:rsid w:val="00000DD4"/>
    <w:rsid w:val="00000DFF"/>
    <w:rsid w:val="00000F82"/>
    <w:rsid w:val="00000F85"/>
    <w:rsid w:val="00000FD1"/>
    <w:rsid w:val="00001004"/>
    <w:rsid w:val="000010F0"/>
    <w:rsid w:val="0000118A"/>
    <w:rsid w:val="00001197"/>
    <w:rsid w:val="000013B5"/>
    <w:rsid w:val="000013D7"/>
    <w:rsid w:val="00001557"/>
    <w:rsid w:val="0000156E"/>
    <w:rsid w:val="00001684"/>
    <w:rsid w:val="00001718"/>
    <w:rsid w:val="000017EF"/>
    <w:rsid w:val="0000183F"/>
    <w:rsid w:val="00001885"/>
    <w:rsid w:val="00001897"/>
    <w:rsid w:val="000018C0"/>
    <w:rsid w:val="00001960"/>
    <w:rsid w:val="00001A1D"/>
    <w:rsid w:val="00001AC5"/>
    <w:rsid w:val="00001B08"/>
    <w:rsid w:val="00001BDA"/>
    <w:rsid w:val="00001C6F"/>
    <w:rsid w:val="00001D82"/>
    <w:rsid w:val="00001DA0"/>
    <w:rsid w:val="00001E38"/>
    <w:rsid w:val="00001EA7"/>
    <w:rsid w:val="00001EC9"/>
    <w:rsid w:val="00001F11"/>
    <w:rsid w:val="00001F1A"/>
    <w:rsid w:val="00001F3D"/>
    <w:rsid w:val="00001F7D"/>
    <w:rsid w:val="00001FF2"/>
    <w:rsid w:val="00002007"/>
    <w:rsid w:val="00002274"/>
    <w:rsid w:val="0000233A"/>
    <w:rsid w:val="0000239C"/>
    <w:rsid w:val="000023CA"/>
    <w:rsid w:val="000023CC"/>
    <w:rsid w:val="000023F1"/>
    <w:rsid w:val="00002430"/>
    <w:rsid w:val="00002454"/>
    <w:rsid w:val="00002531"/>
    <w:rsid w:val="00002712"/>
    <w:rsid w:val="0000278E"/>
    <w:rsid w:val="00002800"/>
    <w:rsid w:val="0000281D"/>
    <w:rsid w:val="00002835"/>
    <w:rsid w:val="00002840"/>
    <w:rsid w:val="000028D7"/>
    <w:rsid w:val="00002956"/>
    <w:rsid w:val="00002960"/>
    <w:rsid w:val="000029D3"/>
    <w:rsid w:val="00002A45"/>
    <w:rsid w:val="00002AB7"/>
    <w:rsid w:val="00002B60"/>
    <w:rsid w:val="00002B69"/>
    <w:rsid w:val="00002C0D"/>
    <w:rsid w:val="00002C54"/>
    <w:rsid w:val="00002C91"/>
    <w:rsid w:val="00002CF1"/>
    <w:rsid w:val="00002D06"/>
    <w:rsid w:val="00002D16"/>
    <w:rsid w:val="00002DD2"/>
    <w:rsid w:val="00002F03"/>
    <w:rsid w:val="00002F20"/>
    <w:rsid w:val="00003068"/>
    <w:rsid w:val="000030CB"/>
    <w:rsid w:val="00003171"/>
    <w:rsid w:val="0000318D"/>
    <w:rsid w:val="00003274"/>
    <w:rsid w:val="0000327B"/>
    <w:rsid w:val="00003295"/>
    <w:rsid w:val="000032EE"/>
    <w:rsid w:val="0000333F"/>
    <w:rsid w:val="000033A7"/>
    <w:rsid w:val="000033E6"/>
    <w:rsid w:val="00003420"/>
    <w:rsid w:val="000035D7"/>
    <w:rsid w:val="0000360E"/>
    <w:rsid w:val="00003623"/>
    <w:rsid w:val="00003709"/>
    <w:rsid w:val="0000372D"/>
    <w:rsid w:val="00003776"/>
    <w:rsid w:val="000037B5"/>
    <w:rsid w:val="000037DA"/>
    <w:rsid w:val="0000387D"/>
    <w:rsid w:val="00003963"/>
    <w:rsid w:val="000039B8"/>
    <w:rsid w:val="000039D7"/>
    <w:rsid w:val="000039E1"/>
    <w:rsid w:val="00003AF0"/>
    <w:rsid w:val="00003B19"/>
    <w:rsid w:val="00003BAF"/>
    <w:rsid w:val="00003C4B"/>
    <w:rsid w:val="00003D08"/>
    <w:rsid w:val="00003D47"/>
    <w:rsid w:val="00003D58"/>
    <w:rsid w:val="00003D99"/>
    <w:rsid w:val="00003E13"/>
    <w:rsid w:val="00003E6C"/>
    <w:rsid w:val="00003F22"/>
    <w:rsid w:val="00003F8E"/>
    <w:rsid w:val="00004169"/>
    <w:rsid w:val="000041EF"/>
    <w:rsid w:val="0000423F"/>
    <w:rsid w:val="00004347"/>
    <w:rsid w:val="000044D8"/>
    <w:rsid w:val="0000451E"/>
    <w:rsid w:val="0000456F"/>
    <w:rsid w:val="000045A9"/>
    <w:rsid w:val="000045BC"/>
    <w:rsid w:val="000045DA"/>
    <w:rsid w:val="00004655"/>
    <w:rsid w:val="00004798"/>
    <w:rsid w:val="000047C3"/>
    <w:rsid w:val="000047F7"/>
    <w:rsid w:val="00004909"/>
    <w:rsid w:val="0000492F"/>
    <w:rsid w:val="00004973"/>
    <w:rsid w:val="000049BA"/>
    <w:rsid w:val="000049F6"/>
    <w:rsid w:val="00004B23"/>
    <w:rsid w:val="00004B7A"/>
    <w:rsid w:val="00004B95"/>
    <w:rsid w:val="00004C30"/>
    <w:rsid w:val="00004C9F"/>
    <w:rsid w:val="00004D10"/>
    <w:rsid w:val="00004D36"/>
    <w:rsid w:val="00004E33"/>
    <w:rsid w:val="00004E91"/>
    <w:rsid w:val="00004F19"/>
    <w:rsid w:val="00004F52"/>
    <w:rsid w:val="00004FC2"/>
    <w:rsid w:val="00004FE9"/>
    <w:rsid w:val="00005049"/>
    <w:rsid w:val="00005066"/>
    <w:rsid w:val="00005185"/>
    <w:rsid w:val="000051B0"/>
    <w:rsid w:val="000051BC"/>
    <w:rsid w:val="000051CB"/>
    <w:rsid w:val="000051CE"/>
    <w:rsid w:val="000051D9"/>
    <w:rsid w:val="00005224"/>
    <w:rsid w:val="00005262"/>
    <w:rsid w:val="000052BC"/>
    <w:rsid w:val="0000546D"/>
    <w:rsid w:val="00005487"/>
    <w:rsid w:val="000054E4"/>
    <w:rsid w:val="00005532"/>
    <w:rsid w:val="00005691"/>
    <w:rsid w:val="000056D7"/>
    <w:rsid w:val="00005838"/>
    <w:rsid w:val="00005883"/>
    <w:rsid w:val="0000588B"/>
    <w:rsid w:val="00005941"/>
    <w:rsid w:val="00005956"/>
    <w:rsid w:val="000059E7"/>
    <w:rsid w:val="00005A81"/>
    <w:rsid w:val="00005B7D"/>
    <w:rsid w:val="00005BBC"/>
    <w:rsid w:val="00005C41"/>
    <w:rsid w:val="00005CB7"/>
    <w:rsid w:val="00005D8E"/>
    <w:rsid w:val="00005EAE"/>
    <w:rsid w:val="00005F26"/>
    <w:rsid w:val="00005FDB"/>
    <w:rsid w:val="00006044"/>
    <w:rsid w:val="00006055"/>
    <w:rsid w:val="00006160"/>
    <w:rsid w:val="0000620B"/>
    <w:rsid w:val="00006344"/>
    <w:rsid w:val="000063AB"/>
    <w:rsid w:val="0000643A"/>
    <w:rsid w:val="00006465"/>
    <w:rsid w:val="000064B1"/>
    <w:rsid w:val="000065A2"/>
    <w:rsid w:val="000065BC"/>
    <w:rsid w:val="00006665"/>
    <w:rsid w:val="00006694"/>
    <w:rsid w:val="00006718"/>
    <w:rsid w:val="0000671A"/>
    <w:rsid w:val="0000673A"/>
    <w:rsid w:val="00006744"/>
    <w:rsid w:val="000067FE"/>
    <w:rsid w:val="00006806"/>
    <w:rsid w:val="0000691B"/>
    <w:rsid w:val="00006942"/>
    <w:rsid w:val="00006999"/>
    <w:rsid w:val="000069D5"/>
    <w:rsid w:val="000069E7"/>
    <w:rsid w:val="00006A03"/>
    <w:rsid w:val="00006A3F"/>
    <w:rsid w:val="00006A68"/>
    <w:rsid w:val="00006AD5"/>
    <w:rsid w:val="00006AD7"/>
    <w:rsid w:val="00006B61"/>
    <w:rsid w:val="00006D2D"/>
    <w:rsid w:val="00006D44"/>
    <w:rsid w:val="00006D4D"/>
    <w:rsid w:val="00006D8F"/>
    <w:rsid w:val="00006EB1"/>
    <w:rsid w:val="00006FA0"/>
    <w:rsid w:val="00006FE0"/>
    <w:rsid w:val="00007023"/>
    <w:rsid w:val="00007044"/>
    <w:rsid w:val="00007089"/>
    <w:rsid w:val="00007274"/>
    <w:rsid w:val="000075FE"/>
    <w:rsid w:val="00007635"/>
    <w:rsid w:val="00007654"/>
    <w:rsid w:val="00007684"/>
    <w:rsid w:val="000076A2"/>
    <w:rsid w:val="000076F4"/>
    <w:rsid w:val="00007727"/>
    <w:rsid w:val="0000772B"/>
    <w:rsid w:val="00007766"/>
    <w:rsid w:val="00007771"/>
    <w:rsid w:val="00007846"/>
    <w:rsid w:val="0000786C"/>
    <w:rsid w:val="000078A1"/>
    <w:rsid w:val="00007941"/>
    <w:rsid w:val="000079A1"/>
    <w:rsid w:val="00007B56"/>
    <w:rsid w:val="00007B8B"/>
    <w:rsid w:val="00007B9A"/>
    <w:rsid w:val="00007CDA"/>
    <w:rsid w:val="00007DE6"/>
    <w:rsid w:val="00007E42"/>
    <w:rsid w:val="00007E70"/>
    <w:rsid w:val="00010002"/>
    <w:rsid w:val="0001003E"/>
    <w:rsid w:val="00010128"/>
    <w:rsid w:val="00010188"/>
    <w:rsid w:val="00010196"/>
    <w:rsid w:val="000101BA"/>
    <w:rsid w:val="000101D8"/>
    <w:rsid w:val="00010270"/>
    <w:rsid w:val="000102E4"/>
    <w:rsid w:val="0001031A"/>
    <w:rsid w:val="0001031E"/>
    <w:rsid w:val="000103DC"/>
    <w:rsid w:val="00010415"/>
    <w:rsid w:val="00010471"/>
    <w:rsid w:val="0001050B"/>
    <w:rsid w:val="00010571"/>
    <w:rsid w:val="0001068E"/>
    <w:rsid w:val="00010716"/>
    <w:rsid w:val="000107A8"/>
    <w:rsid w:val="000107C6"/>
    <w:rsid w:val="0001087E"/>
    <w:rsid w:val="000108B5"/>
    <w:rsid w:val="000108EC"/>
    <w:rsid w:val="00010926"/>
    <w:rsid w:val="00010A4B"/>
    <w:rsid w:val="00010B52"/>
    <w:rsid w:val="00010B92"/>
    <w:rsid w:val="00010C15"/>
    <w:rsid w:val="00010CCA"/>
    <w:rsid w:val="00010D3A"/>
    <w:rsid w:val="00010D5C"/>
    <w:rsid w:val="00010D8D"/>
    <w:rsid w:val="00010DAE"/>
    <w:rsid w:val="00010DF5"/>
    <w:rsid w:val="00010EC6"/>
    <w:rsid w:val="00010F09"/>
    <w:rsid w:val="00010F0B"/>
    <w:rsid w:val="00010F54"/>
    <w:rsid w:val="00010F84"/>
    <w:rsid w:val="00011169"/>
    <w:rsid w:val="000111B0"/>
    <w:rsid w:val="00011210"/>
    <w:rsid w:val="00011255"/>
    <w:rsid w:val="000112F1"/>
    <w:rsid w:val="0001143A"/>
    <w:rsid w:val="000115A7"/>
    <w:rsid w:val="000115EB"/>
    <w:rsid w:val="000116EF"/>
    <w:rsid w:val="00011712"/>
    <w:rsid w:val="00011772"/>
    <w:rsid w:val="000117DF"/>
    <w:rsid w:val="00011919"/>
    <w:rsid w:val="00011934"/>
    <w:rsid w:val="0001197D"/>
    <w:rsid w:val="000119A0"/>
    <w:rsid w:val="000119FC"/>
    <w:rsid w:val="00011AAF"/>
    <w:rsid w:val="00011B2B"/>
    <w:rsid w:val="00011B51"/>
    <w:rsid w:val="00011BAD"/>
    <w:rsid w:val="00011D2B"/>
    <w:rsid w:val="00011D33"/>
    <w:rsid w:val="00011EF2"/>
    <w:rsid w:val="00011EFF"/>
    <w:rsid w:val="00011F27"/>
    <w:rsid w:val="00011FA4"/>
    <w:rsid w:val="00011FB4"/>
    <w:rsid w:val="00011FDA"/>
    <w:rsid w:val="00012071"/>
    <w:rsid w:val="00012076"/>
    <w:rsid w:val="00012086"/>
    <w:rsid w:val="000120B2"/>
    <w:rsid w:val="000120D7"/>
    <w:rsid w:val="0001212C"/>
    <w:rsid w:val="0001219F"/>
    <w:rsid w:val="00012206"/>
    <w:rsid w:val="00012279"/>
    <w:rsid w:val="000122D5"/>
    <w:rsid w:val="00012379"/>
    <w:rsid w:val="00012398"/>
    <w:rsid w:val="000123E3"/>
    <w:rsid w:val="00012472"/>
    <w:rsid w:val="000124F6"/>
    <w:rsid w:val="00012517"/>
    <w:rsid w:val="00012526"/>
    <w:rsid w:val="00012581"/>
    <w:rsid w:val="000125D0"/>
    <w:rsid w:val="000125FD"/>
    <w:rsid w:val="000126E1"/>
    <w:rsid w:val="00012747"/>
    <w:rsid w:val="00012878"/>
    <w:rsid w:val="000128CD"/>
    <w:rsid w:val="000128E9"/>
    <w:rsid w:val="00012905"/>
    <w:rsid w:val="0001290E"/>
    <w:rsid w:val="00012925"/>
    <w:rsid w:val="00012959"/>
    <w:rsid w:val="00012989"/>
    <w:rsid w:val="00012991"/>
    <w:rsid w:val="00012A45"/>
    <w:rsid w:val="00012B34"/>
    <w:rsid w:val="00012B6E"/>
    <w:rsid w:val="00012BCB"/>
    <w:rsid w:val="00012C34"/>
    <w:rsid w:val="00012C45"/>
    <w:rsid w:val="00012C6F"/>
    <w:rsid w:val="00012CAA"/>
    <w:rsid w:val="00012CE9"/>
    <w:rsid w:val="00012CF7"/>
    <w:rsid w:val="00012DD6"/>
    <w:rsid w:val="00012E50"/>
    <w:rsid w:val="00012EA3"/>
    <w:rsid w:val="00012EBB"/>
    <w:rsid w:val="00012EDC"/>
    <w:rsid w:val="00012F38"/>
    <w:rsid w:val="00012F69"/>
    <w:rsid w:val="00012FAE"/>
    <w:rsid w:val="00013025"/>
    <w:rsid w:val="00013043"/>
    <w:rsid w:val="00013065"/>
    <w:rsid w:val="000130EA"/>
    <w:rsid w:val="000130F5"/>
    <w:rsid w:val="00013118"/>
    <w:rsid w:val="00013150"/>
    <w:rsid w:val="000131AF"/>
    <w:rsid w:val="000131E6"/>
    <w:rsid w:val="000132CE"/>
    <w:rsid w:val="000132EF"/>
    <w:rsid w:val="00013336"/>
    <w:rsid w:val="000133CE"/>
    <w:rsid w:val="0001340D"/>
    <w:rsid w:val="000134FC"/>
    <w:rsid w:val="00013687"/>
    <w:rsid w:val="00013776"/>
    <w:rsid w:val="000137B8"/>
    <w:rsid w:val="00013853"/>
    <w:rsid w:val="00013958"/>
    <w:rsid w:val="0001398D"/>
    <w:rsid w:val="00013A15"/>
    <w:rsid w:val="00013AB5"/>
    <w:rsid w:val="00013AC3"/>
    <w:rsid w:val="00013ACD"/>
    <w:rsid w:val="00013B3B"/>
    <w:rsid w:val="00013B7B"/>
    <w:rsid w:val="00013BBB"/>
    <w:rsid w:val="00013C2A"/>
    <w:rsid w:val="00013C3D"/>
    <w:rsid w:val="00013C75"/>
    <w:rsid w:val="00013E45"/>
    <w:rsid w:val="00013E8D"/>
    <w:rsid w:val="00013E95"/>
    <w:rsid w:val="00013EF9"/>
    <w:rsid w:val="00013F7C"/>
    <w:rsid w:val="00013F82"/>
    <w:rsid w:val="00014173"/>
    <w:rsid w:val="000141E8"/>
    <w:rsid w:val="0001423D"/>
    <w:rsid w:val="0001424A"/>
    <w:rsid w:val="00014299"/>
    <w:rsid w:val="00014329"/>
    <w:rsid w:val="0001434F"/>
    <w:rsid w:val="0001449E"/>
    <w:rsid w:val="00014505"/>
    <w:rsid w:val="00014574"/>
    <w:rsid w:val="0001457D"/>
    <w:rsid w:val="0001468F"/>
    <w:rsid w:val="000146D7"/>
    <w:rsid w:val="0001471D"/>
    <w:rsid w:val="0001472C"/>
    <w:rsid w:val="000147A7"/>
    <w:rsid w:val="00014858"/>
    <w:rsid w:val="00014895"/>
    <w:rsid w:val="000148DD"/>
    <w:rsid w:val="000148FE"/>
    <w:rsid w:val="0001496A"/>
    <w:rsid w:val="000149A8"/>
    <w:rsid w:val="00014A46"/>
    <w:rsid w:val="00014A51"/>
    <w:rsid w:val="00014A79"/>
    <w:rsid w:val="00014A88"/>
    <w:rsid w:val="00014B22"/>
    <w:rsid w:val="00014B4D"/>
    <w:rsid w:val="00014B90"/>
    <w:rsid w:val="00014BC0"/>
    <w:rsid w:val="00014BE1"/>
    <w:rsid w:val="00014BFC"/>
    <w:rsid w:val="00014C8C"/>
    <w:rsid w:val="00014D12"/>
    <w:rsid w:val="00014D74"/>
    <w:rsid w:val="00014D7A"/>
    <w:rsid w:val="00014E14"/>
    <w:rsid w:val="00014E27"/>
    <w:rsid w:val="00014E36"/>
    <w:rsid w:val="00014F38"/>
    <w:rsid w:val="0001502C"/>
    <w:rsid w:val="0001506C"/>
    <w:rsid w:val="000150A0"/>
    <w:rsid w:val="0001512A"/>
    <w:rsid w:val="00015135"/>
    <w:rsid w:val="00015175"/>
    <w:rsid w:val="000151B7"/>
    <w:rsid w:val="00015207"/>
    <w:rsid w:val="0001528F"/>
    <w:rsid w:val="000152E1"/>
    <w:rsid w:val="00015322"/>
    <w:rsid w:val="00015341"/>
    <w:rsid w:val="00015361"/>
    <w:rsid w:val="000153CC"/>
    <w:rsid w:val="000153F0"/>
    <w:rsid w:val="00015402"/>
    <w:rsid w:val="00015429"/>
    <w:rsid w:val="0001546F"/>
    <w:rsid w:val="000154D0"/>
    <w:rsid w:val="000154D9"/>
    <w:rsid w:val="0001551F"/>
    <w:rsid w:val="0001570A"/>
    <w:rsid w:val="00015752"/>
    <w:rsid w:val="00015782"/>
    <w:rsid w:val="000157DF"/>
    <w:rsid w:val="00015882"/>
    <w:rsid w:val="000158F7"/>
    <w:rsid w:val="00015A3B"/>
    <w:rsid w:val="00015A82"/>
    <w:rsid w:val="00015BDD"/>
    <w:rsid w:val="00015C8B"/>
    <w:rsid w:val="00015E5A"/>
    <w:rsid w:val="00015E64"/>
    <w:rsid w:val="00015EA2"/>
    <w:rsid w:val="00015F22"/>
    <w:rsid w:val="00015FA4"/>
    <w:rsid w:val="00015FB6"/>
    <w:rsid w:val="00015FE4"/>
    <w:rsid w:val="0001614D"/>
    <w:rsid w:val="0001616F"/>
    <w:rsid w:val="00016341"/>
    <w:rsid w:val="00016349"/>
    <w:rsid w:val="000165A3"/>
    <w:rsid w:val="00016633"/>
    <w:rsid w:val="00016680"/>
    <w:rsid w:val="00016739"/>
    <w:rsid w:val="000168A1"/>
    <w:rsid w:val="000168C6"/>
    <w:rsid w:val="000168C8"/>
    <w:rsid w:val="0001694C"/>
    <w:rsid w:val="000169E2"/>
    <w:rsid w:val="000169E8"/>
    <w:rsid w:val="00016A3F"/>
    <w:rsid w:val="00016A77"/>
    <w:rsid w:val="00016B21"/>
    <w:rsid w:val="00016D13"/>
    <w:rsid w:val="00016D36"/>
    <w:rsid w:val="00016D5C"/>
    <w:rsid w:val="00016DEB"/>
    <w:rsid w:val="00016E38"/>
    <w:rsid w:val="0001701D"/>
    <w:rsid w:val="000170E8"/>
    <w:rsid w:val="00017194"/>
    <w:rsid w:val="000171B3"/>
    <w:rsid w:val="000171D9"/>
    <w:rsid w:val="000171E6"/>
    <w:rsid w:val="0001727A"/>
    <w:rsid w:val="000172E2"/>
    <w:rsid w:val="00017435"/>
    <w:rsid w:val="0001752C"/>
    <w:rsid w:val="00017572"/>
    <w:rsid w:val="00017651"/>
    <w:rsid w:val="000176C4"/>
    <w:rsid w:val="000177F4"/>
    <w:rsid w:val="000178E5"/>
    <w:rsid w:val="0001793E"/>
    <w:rsid w:val="00017AFD"/>
    <w:rsid w:val="00017B58"/>
    <w:rsid w:val="00017BAB"/>
    <w:rsid w:val="00017BC7"/>
    <w:rsid w:val="00017BFA"/>
    <w:rsid w:val="00017C16"/>
    <w:rsid w:val="00017CD0"/>
    <w:rsid w:val="00017CDE"/>
    <w:rsid w:val="00017D0F"/>
    <w:rsid w:val="00017DD4"/>
    <w:rsid w:val="00017F05"/>
    <w:rsid w:val="00017FFA"/>
    <w:rsid w:val="000200A7"/>
    <w:rsid w:val="000200B3"/>
    <w:rsid w:val="0002029E"/>
    <w:rsid w:val="0002032B"/>
    <w:rsid w:val="00020339"/>
    <w:rsid w:val="0002034C"/>
    <w:rsid w:val="0002037D"/>
    <w:rsid w:val="000203E3"/>
    <w:rsid w:val="00020589"/>
    <w:rsid w:val="000205D3"/>
    <w:rsid w:val="00020611"/>
    <w:rsid w:val="00020697"/>
    <w:rsid w:val="000206AB"/>
    <w:rsid w:val="00020715"/>
    <w:rsid w:val="00020727"/>
    <w:rsid w:val="000207A4"/>
    <w:rsid w:val="00020822"/>
    <w:rsid w:val="000208A6"/>
    <w:rsid w:val="000208A9"/>
    <w:rsid w:val="000208C0"/>
    <w:rsid w:val="000208FB"/>
    <w:rsid w:val="0002091A"/>
    <w:rsid w:val="0002098F"/>
    <w:rsid w:val="00020A86"/>
    <w:rsid w:val="00020AE8"/>
    <w:rsid w:val="00020B1F"/>
    <w:rsid w:val="00020B54"/>
    <w:rsid w:val="00020B6F"/>
    <w:rsid w:val="00020C11"/>
    <w:rsid w:val="00020D7B"/>
    <w:rsid w:val="00020FB3"/>
    <w:rsid w:val="00020FD7"/>
    <w:rsid w:val="00020FF7"/>
    <w:rsid w:val="000210EA"/>
    <w:rsid w:val="000211E3"/>
    <w:rsid w:val="000212DA"/>
    <w:rsid w:val="000212ED"/>
    <w:rsid w:val="0002130A"/>
    <w:rsid w:val="00021394"/>
    <w:rsid w:val="000213D6"/>
    <w:rsid w:val="0002154E"/>
    <w:rsid w:val="0002157D"/>
    <w:rsid w:val="00021587"/>
    <w:rsid w:val="0002158A"/>
    <w:rsid w:val="000215DF"/>
    <w:rsid w:val="000216FA"/>
    <w:rsid w:val="00021734"/>
    <w:rsid w:val="0002176C"/>
    <w:rsid w:val="0002179A"/>
    <w:rsid w:val="000217B1"/>
    <w:rsid w:val="00021834"/>
    <w:rsid w:val="0002196B"/>
    <w:rsid w:val="00021979"/>
    <w:rsid w:val="000219E0"/>
    <w:rsid w:val="00021A10"/>
    <w:rsid w:val="00021A45"/>
    <w:rsid w:val="00021ACE"/>
    <w:rsid w:val="00021B5C"/>
    <w:rsid w:val="00021BB7"/>
    <w:rsid w:val="00021CB7"/>
    <w:rsid w:val="00021CC2"/>
    <w:rsid w:val="00021CF1"/>
    <w:rsid w:val="00021D5B"/>
    <w:rsid w:val="00021D64"/>
    <w:rsid w:val="00021DD8"/>
    <w:rsid w:val="00021E41"/>
    <w:rsid w:val="00021E77"/>
    <w:rsid w:val="00021F0F"/>
    <w:rsid w:val="00021F9D"/>
    <w:rsid w:val="00021FF1"/>
    <w:rsid w:val="0002200C"/>
    <w:rsid w:val="00022023"/>
    <w:rsid w:val="00022177"/>
    <w:rsid w:val="000221EB"/>
    <w:rsid w:val="00022259"/>
    <w:rsid w:val="0002229A"/>
    <w:rsid w:val="000223BC"/>
    <w:rsid w:val="000223E2"/>
    <w:rsid w:val="000223EA"/>
    <w:rsid w:val="0002240D"/>
    <w:rsid w:val="00022431"/>
    <w:rsid w:val="0002245D"/>
    <w:rsid w:val="00022511"/>
    <w:rsid w:val="00022514"/>
    <w:rsid w:val="000225AB"/>
    <w:rsid w:val="000225C9"/>
    <w:rsid w:val="0002261F"/>
    <w:rsid w:val="00022672"/>
    <w:rsid w:val="00022722"/>
    <w:rsid w:val="00022785"/>
    <w:rsid w:val="000227C7"/>
    <w:rsid w:val="00022857"/>
    <w:rsid w:val="0002288A"/>
    <w:rsid w:val="0002297C"/>
    <w:rsid w:val="00022A13"/>
    <w:rsid w:val="00022A25"/>
    <w:rsid w:val="00022AF2"/>
    <w:rsid w:val="00022B08"/>
    <w:rsid w:val="00022B32"/>
    <w:rsid w:val="00022B70"/>
    <w:rsid w:val="00022C07"/>
    <w:rsid w:val="00022C6A"/>
    <w:rsid w:val="00022C7B"/>
    <w:rsid w:val="00022CF5"/>
    <w:rsid w:val="00022D22"/>
    <w:rsid w:val="00022D94"/>
    <w:rsid w:val="00022DB0"/>
    <w:rsid w:val="00022E9A"/>
    <w:rsid w:val="00022F42"/>
    <w:rsid w:val="00022FAD"/>
    <w:rsid w:val="00023039"/>
    <w:rsid w:val="00023040"/>
    <w:rsid w:val="0002308F"/>
    <w:rsid w:val="00023099"/>
    <w:rsid w:val="000230E0"/>
    <w:rsid w:val="0002324D"/>
    <w:rsid w:val="00023535"/>
    <w:rsid w:val="0002354D"/>
    <w:rsid w:val="00023572"/>
    <w:rsid w:val="000235EE"/>
    <w:rsid w:val="0002377B"/>
    <w:rsid w:val="00023795"/>
    <w:rsid w:val="00023845"/>
    <w:rsid w:val="00023847"/>
    <w:rsid w:val="00023889"/>
    <w:rsid w:val="00023897"/>
    <w:rsid w:val="000238F5"/>
    <w:rsid w:val="00023914"/>
    <w:rsid w:val="000239C7"/>
    <w:rsid w:val="00023A4B"/>
    <w:rsid w:val="00023A4D"/>
    <w:rsid w:val="00023A61"/>
    <w:rsid w:val="00023A83"/>
    <w:rsid w:val="00023B28"/>
    <w:rsid w:val="00023B48"/>
    <w:rsid w:val="00023B5E"/>
    <w:rsid w:val="00023B85"/>
    <w:rsid w:val="00023BB6"/>
    <w:rsid w:val="00023CFA"/>
    <w:rsid w:val="00023D08"/>
    <w:rsid w:val="00023D6D"/>
    <w:rsid w:val="00023F06"/>
    <w:rsid w:val="00023F2E"/>
    <w:rsid w:val="00023F78"/>
    <w:rsid w:val="0002412F"/>
    <w:rsid w:val="0002415E"/>
    <w:rsid w:val="00024188"/>
    <w:rsid w:val="0002419A"/>
    <w:rsid w:val="0002422F"/>
    <w:rsid w:val="00024270"/>
    <w:rsid w:val="0002434F"/>
    <w:rsid w:val="000244A8"/>
    <w:rsid w:val="000244F9"/>
    <w:rsid w:val="00024521"/>
    <w:rsid w:val="0002454E"/>
    <w:rsid w:val="000245F5"/>
    <w:rsid w:val="00024624"/>
    <w:rsid w:val="000246D2"/>
    <w:rsid w:val="00024742"/>
    <w:rsid w:val="00024781"/>
    <w:rsid w:val="000247CD"/>
    <w:rsid w:val="00024957"/>
    <w:rsid w:val="000249E2"/>
    <w:rsid w:val="00024A0B"/>
    <w:rsid w:val="00024A1A"/>
    <w:rsid w:val="00024A3B"/>
    <w:rsid w:val="00024A3C"/>
    <w:rsid w:val="00024A57"/>
    <w:rsid w:val="00024A8D"/>
    <w:rsid w:val="00024BA2"/>
    <w:rsid w:val="00024D08"/>
    <w:rsid w:val="00024D77"/>
    <w:rsid w:val="00024DC7"/>
    <w:rsid w:val="00024DD2"/>
    <w:rsid w:val="00024DE3"/>
    <w:rsid w:val="00024E5B"/>
    <w:rsid w:val="00024E8D"/>
    <w:rsid w:val="00024E8F"/>
    <w:rsid w:val="00024E95"/>
    <w:rsid w:val="00024ED1"/>
    <w:rsid w:val="00024F9D"/>
    <w:rsid w:val="00024FA9"/>
    <w:rsid w:val="00025017"/>
    <w:rsid w:val="00025089"/>
    <w:rsid w:val="0002515A"/>
    <w:rsid w:val="00025169"/>
    <w:rsid w:val="00025189"/>
    <w:rsid w:val="00025324"/>
    <w:rsid w:val="0002532B"/>
    <w:rsid w:val="0002539E"/>
    <w:rsid w:val="0002546F"/>
    <w:rsid w:val="00025696"/>
    <w:rsid w:val="00025782"/>
    <w:rsid w:val="000257D1"/>
    <w:rsid w:val="000257EA"/>
    <w:rsid w:val="0002585A"/>
    <w:rsid w:val="000258A7"/>
    <w:rsid w:val="000258E9"/>
    <w:rsid w:val="0002590C"/>
    <w:rsid w:val="00025931"/>
    <w:rsid w:val="00025999"/>
    <w:rsid w:val="000259A2"/>
    <w:rsid w:val="000259A5"/>
    <w:rsid w:val="000259C2"/>
    <w:rsid w:val="00025A85"/>
    <w:rsid w:val="00025A8A"/>
    <w:rsid w:val="00025AB2"/>
    <w:rsid w:val="00025AC2"/>
    <w:rsid w:val="00025B02"/>
    <w:rsid w:val="00025B29"/>
    <w:rsid w:val="00025B46"/>
    <w:rsid w:val="00025C57"/>
    <w:rsid w:val="00025C84"/>
    <w:rsid w:val="00025D34"/>
    <w:rsid w:val="00025D3B"/>
    <w:rsid w:val="00025DD1"/>
    <w:rsid w:val="00025E11"/>
    <w:rsid w:val="00025E94"/>
    <w:rsid w:val="00025EAB"/>
    <w:rsid w:val="00026027"/>
    <w:rsid w:val="000260E1"/>
    <w:rsid w:val="00026137"/>
    <w:rsid w:val="00026159"/>
    <w:rsid w:val="000261CE"/>
    <w:rsid w:val="000261FE"/>
    <w:rsid w:val="00026298"/>
    <w:rsid w:val="000262A3"/>
    <w:rsid w:val="00026306"/>
    <w:rsid w:val="00026349"/>
    <w:rsid w:val="0002648E"/>
    <w:rsid w:val="0002655C"/>
    <w:rsid w:val="0002656B"/>
    <w:rsid w:val="000265A7"/>
    <w:rsid w:val="000265C9"/>
    <w:rsid w:val="000266F1"/>
    <w:rsid w:val="00026740"/>
    <w:rsid w:val="000267F6"/>
    <w:rsid w:val="00026856"/>
    <w:rsid w:val="00026865"/>
    <w:rsid w:val="00026870"/>
    <w:rsid w:val="0002689B"/>
    <w:rsid w:val="0002689D"/>
    <w:rsid w:val="000268AD"/>
    <w:rsid w:val="0002699B"/>
    <w:rsid w:val="00026A6D"/>
    <w:rsid w:val="00026ADB"/>
    <w:rsid w:val="00026AEC"/>
    <w:rsid w:val="00026B2A"/>
    <w:rsid w:val="00026B32"/>
    <w:rsid w:val="00026B3C"/>
    <w:rsid w:val="00026B55"/>
    <w:rsid w:val="00026C46"/>
    <w:rsid w:val="00026CE9"/>
    <w:rsid w:val="00026D13"/>
    <w:rsid w:val="00026D41"/>
    <w:rsid w:val="00026D8B"/>
    <w:rsid w:val="00026E02"/>
    <w:rsid w:val="00026E28"/>
    <w:rsid w:val="00026E81"/>
    <w:rsid w:val="00026F70"/>
    <w:rsid w:val="0002704D"/>
    <w:rsid w:val="00027077"/>
    <w:rsid w:val="00027103"/>
    <w:rsid w:val="00027220"/>
    <w:rsid w:val="000272DE"/>
    <w:rsid w:val="00027365"/>
    <w:rsid w:val="0002737D"/>
    <w:rsid w:val="000273C7"/>
    <w:rsid w:val="000273EF"/>
    <w:rsid w:val="00027476"/>
    <w:rsid w:val="000275AC"/>
    <w:rsid w:val="000275D3"/>
    <w:rsid w:val="000276A4"/>
    <w:rsid w:val="0002774B"/>
    <w:rsid w:val="000277A0"/>
    <w:rsid w:val="000277A7"/>
    <w:rsid w:val="000277CC"/>
    <w:rsid w:val="00027825"/>
    <w:rsid w:val="00027947"/>
    <w:rsid w:val="0002797A"/>
    <w:rsid w:val="000279D3"/>
    <w:rsid w:val="00027A20"/>
    <w:rsid w:val="00027A40"/>
    <w:rsid w:val="00027BEA"/>
    <w:rsid w:val="00027C11"/>
    <w:rsid w:val="00027C12"/>
    <w:rsid w:val="00027C64"/>
    <w:rsid w:val="00027CF8"/>
    <w:rsid w:val="00027D0A"/>
    <w:rsid w:val="00027D78"/>
    <w:rsid w:val="00027EDB"/>
    <w:rsid w:val="00027F08"/>
    <w:rsid w:val="00027F52"/>
    <w:rsid w:val="00027FAD"/>
    <w:rsid w:val="00030163"/>
    <w:rsid w:val="000301F6"/>
    <w:rsid w:val="0003023C"/>
    <w:rsid w:val="0003024F"/>
    <w:rsid w:val="0003026B"/>
    <w:rsid w:val="000302C1"/>
    <w:rsid w:val="000302CA"/>
    <w:rsid w:val="000302F5"/>
    <w:rsid w:val="0003034E"/>
    <w:rsid w:val="00030358"/>
    <w:rsid w:val="000303D1"/>
    <w:rsid w:val="00030415"/>
    <w:rsid w:val="0003044C"/>
    <w:rsid w:val="00030467"/>
    <w:rsid w:val="00030483"/>
    <w:rsid w:val="000304B9"/>
    <w:rsid w:val="00030504"/>
    <w:rsid w:val="00030519"/>
    <w:rsid w:val="00030545"/>
    <w:rsid w:val="000306AD"/>
    <w:rsid w:val="000306B3"/>
    <w:rsid w:val="000307DA"/>
    <w:rsid w:val="000307EA"/>
    <w:rsid w:val="000307F6"/>
    <w:rsid w:val="000308B0"/>
    <w:rsid w:val="0003092F"/>
    <w:rsid w:val="00030939"/>
    <w:rsid w:val="000309D6"/>
    <w:rsid w:val="00030A3E"/>
    <w:rsid w:val="00030B31"/>
    <w:rsid w:val="00030B46"/>
    <w:rsid w:val="00030B52"/>
    <w:rsid w:val="00030B74"/>
    <w:rsid w:val="00030CA4"/>
    <w:rsid w:val="00030E6E"/>
    <w:rsid w:val="00030F9A"/>
    <w:rsid w:val="00030FC5"/>
    <w:rsid w:val="0003104F"/>
    <w:rsid w:val="00031094"/>
    <w:rsid w:val="000310C3"/>
    <w:rsid w:val="000310C6"/>
    <w:rsid w:val="000310C7"/>
    <w:rsid w:val="00031119"/>
    <w:rsid w:val="0003117B"/>
    <w:rsid w:val="0003118D"/>
    <w:rsid w:val="000311A7"/>
    <w:rsid w:val="000311C3"/>
    <w:rsid w:val="000311E0"/>
    <w:rsid w:val="0003124E"/>
    <w:rsid w:val="00031451"/>
    <w:rsid w:val="000314DC"/>
    <w:rsid w:val="0003159D"/>
    <w:rsid w:val="000315A5"/>
    <w:rsid w:val="000315D5"/>
    <w:rsid w:val="000315E7"/>
    <w:rsid w:val="00031606"/>
    <w:rsid w:val="0003169E"/>
    <w:rsid w:val="0003174D"/>
    <w:rsid w:val="000317A9"/>
    <w:rsid w:val="000317E5"/>
    <w:rsid w:val="0003185F"/>
    <w:rsid w:val="000318DD"/>
    <w:rsid w:val="00031986"/>
    <w:rsid w:val="00031A75"/>
    <w:rsid w:val="00031AFB"/>
    <w:rsid w:val="00031C41"/>
    <w:rsid w:val="00031D0F"/>
    <w:rsid w:val="00031D1D"/>
    <w:rsid w:val="00031E7B"/>
    <w:rsid w:val="00031ED1"/>
    <w:rsid w:val="00031F05"/>
    <w:rsid w:val="00031FB8"/>
    <w:rsid w:val="00032103"/>
    <w:rsid w:val="00032160"/>
    <w:rsid w:val="000322AF"/>
    <w:rsid w:val="000322C5"/>
    <w:rsid w:val="000323F2"/>
    <w:rsid w:val="0003241D"/>
    <w:rsid w:val="00032444"/>
    <w:rsid w:val="00032469"/>
    <w:rsid w:val="000324DC"/>
    <w:rsid w:val="00032572"/>
    <w:rsid w:val="000325CC"/>
    <w:rsid w:val="000325E4"/>
    <w:rsid w:val="0003260F"/>
    <w:rsid w:val="00032668"/>
    <w:rsid w:val="0003267D"/>
    <w:rsid w:val="00032729"/>
    <w:rsid w:val="00032798"/>
    <w:rsid w:val="000327A1"/>
    <w:rsid w:val="00032806"/>
    <w:rsid w:val="00032931"/>
    <w:rsid w:val="0003294A"/>
    <w:rsid w:val="000329DE"/>
    <w:rsid w:val="00032ABC"/>
    <w:rsid w:val="00032AE3"/>
    <w:rsid w:val="00032C1A"/>
    <w:rsid w:val="00032C48"/>
    <w:rsid w:val="00032C91"/>
    <w:rsid w:val="00032C9D"/>
    <w:rsid w:val="00032CDF"/>
    <w:rsid w:val="00032D85"/>
    <w:rsid w:val="00032E05"/>
    <w:rsid w:val="00032E28"/>
    <w:rsid w:val="00032E43"/>
    <w:rsid w:val="00032E4E"/>
    <w:rsid w:val="00032E9C"/>
    <w:rsid w:val="00032F3E"/>
    <w:rsid w:val="00032FE5"/>
    <w:rsid w:val="00033026"/>
    <w:rsid w:val="00033041"/>
    <w:rsid w:val="00033048"/>
    <w:rsid w:val="00033091"/>
    <w:rsid w:val="0003310B"/>
    <w:rsid w:val="00033323"/>
    <w:rsid w:val="000333A9"/>
    <w:rsid w:val="00033463"/>
    <w:rsid w:val="000334D5"/>
    <w:rsid w:val="00033637"/>
    <w:rsid w:val="000336BC"/>
    <w:rsid w:val="00033782"/>
    <w:rsid w:val="000337C6"/>
    <w:rsid w:val="00033869"/>
    <w:rsid w:val="0003386E"/>
    <w:rsid w:val="00033882"/>
    <w:rsid w:val="00033884"/>
    <w:rsid w:val="000338BB"/>
    <w:rsid w:val="00033997"/>
    <w:rsid w:val="00033B3F"/>
    <w:rsid w:val="00033BCD"/>
    <w:rsid w:val="00033C23"/>
    <w:rsid w:val="00033C58"/>
    <w:rsid w:val="00033C7B"/>
    <w:rsid w:val="00033CC8"/>
    <w:rsid w:val="00033CF2"/>
    <w:rsid w:val="00033DA4"/>
    <w:rsid w:val="00033DDC"/>
    <w:rsid w:val="00033E58"/>
    <w:rsid w:val="00033E64"/>
    <w:rsid w:val="00033FBD"/>
    <w:rsid w:val="00034082"/>
    <w:rsid w:val="00034091"/>
    <w:rsid w:val="000340C2"/>
    <w:rsid w:val="000340D9"/>
    <w:rsid w:val="00034144"/>
    <w:rsid w:val="000341BC"/>
    <w:rsid w:val="00034238"/>
    <w:rsid w:val="0003423F"/>
    <w:rsid w:val="000342E5"/>
    <w:rsid w:val="00034340"/>
    <w:rsid w:val="0003439F"/>
    <w:rsid w:val="00034426"/>
    <w:rsid w:val="0003442B"/>
    <w:rsid w:val="00034439"/>
    <w:rsid w:val="000345C5"/>
    <w:rsid w:val="000345C6"/>
    <w:rsid w:val="000345CC"/>
    <w:rsid w:val="00034695"/>
    <w:rsid w:val="000346E8"/>
    <w:rsid w:val="00034809"/>
    <w:rsid w:val="000348D3"/>
    <w:rsid w:val="00034953"/>
    <w:rsid w:val="00034956"/>
    <w:rsid w:val="00034984"/>
    <w:rsid w:val="00034991"/>
    <w:rsid w:val="00034A93"/>
    <w:rsid w:val="00034B77"/>
    <w:rsid w:val="00034BAE"/>
    <w:rsid w:val="00034BB8"/>
    <w:rsid w:val="00034C90"/>
    <w:rsid w:val="00034CE7"/>
    <w:rsid w:val="00034CFD"/>
    <w:rsid w:val="00034D39"/>
    <w:rsid w:val="00034D66"/>
    <w:rsid w:val="00034D81"/>
    <w:rsid w:val="00034DD5"/>
    <w:rsid w:val="00034E9D"/>
    <w:rsid w:val="00034EBB"/>
    <w:rsid w:val="00034F3A"/>
    <w:rsid w:val="00034F5B"/>
    <w:rsid w:val="00034F93"/>
    <w:rsid w:val="000350D4"/>
    <w:rsid w:val="0003516F"/>
    <w:rsid w:val="0003527D"/>
    <w:rsid w:val="00035310"/>
    <w:rsid w:val="000353A7"/>
    <w:rsid w:val="000353B9"/>
    <w:rsid w:val="00035407"/>
    <w:rsid w:val="000354BB"/>
    <w:rsid w:val="0003551D"/>
    <w:rsid w:val="0003552D"/>
    <w:rsid w:val="000355D2"/>
    <w:rsid w:val="000357A9"/>
    <w:rsid w:val="000357C8"/>
    <w:rsid w:val="0003580B"/>
    <w:rsid w:val="000358B8"/>
    <w:rsid w:val="000358D3"/>
    <w:rsid w:val="00035929"/>
    <w:rsid w:val="00035963"/>
    <w:rsid w:val="00035AAD"/>
    <w:rsid w:val="00035B5C"/>
    <w:rsid w:val="00035BB6"/>
    <w:rsid w:val="00035BC9"/>
    <w:rsid w:val="00035BCE"/>
    <w:rsid w:val="00035BE0"/>
    <w:rsid w:val="00035C26"/>
    <w:rsid w:val="00035C6F"/>
    <w:rsid w:val="00035CBF"/>
    <w:rsid w:val="00035E4F"/>
    <w:rsid w:val="00035ECB"/>
    <w:rsid w:val="00035F25"/>
    <w:rsid w:val="00035F57"/>
    <w:rsid w:val="00035F85"/>
    <w:rsid w:val="00035FC3"/>
    <w:rsid w:val="00036020"/>
    <w:rsid w:val="0003611C"/>
    <w:rsid w:val="0003612E"/>
    <w:rsid w:val="00036187"/>
    <w:rsid w:val="000361F9"/>
    <w:rsid w:val="00036351"/>
    <w:rsid w:val="00036484"/>
    <w:rsid w:val="00036485"/>
    <w:rsid w:val="00036503"/>
    <w:rsid w:val="0003656B"/>
    <w:rsid w:val="000365E5"/>
    <w:rsid w:val="00036603"/>
    <w:rsid w:val="00036610"/>
    <w:rsid w:val="00036634"/>
    <w:rsid w:val="000367D4"/>
    <w:rsid w:val="00036A41"/>
    <w:rsid w:val="00036B22"/>
    <w:rsid w:val="00036B30"/>
    <w:rsid w:val="00036B76"/>
    <w:rsid w:val="00036B9D"/>
    <w:rsid w:val="00036C6E"/>
    <w:rsid w:val="00036CCB"/>
    <w:rsid w:val="00036DE6"/>
    <w:rsid w:val="00036E63"/>
    <w:rsid w:val="00036E81"/>
    <w:rsid w:val="00036F48"/>
    <w:rsid w:val="00036F83"/>
    <w:rsid w:val="00037080"/>
    <w:rsid w:val="0003709D"/>
    <w:rsid w:val="00037125"/>
    <w:rsid w:val="000371BD"/>
    <w:rsid w:val="000371C3"/>
    <w:rsid w:val="0003723E"/>
    <w:rsid w:val="0003729A"/>
    <w:rsid w:val="000372BD"/>
    <w:rsid w:val="0003734D"/>
    <w:rsid w:val="0003735D"/>
    <w:rsid w:val="0003740A"/>
    <w:rsid w:val="0003741F"/>
    <w:rsid w:val="0003744A"/>
    <w:rsid w:val="0003751E"/>
    <w:rsid w:val="00037535"/>
    <w:rsid w:val="00037615"/>
    <w:rsid w:val="00037765"/>
    <w:rsid w:val="00037766"/>
    <w:rsid w:val="00037780"/>
    <w:rsid w:val="000378A0"/>
    <w:rsid w:val="0003795D"/>
    <w:rsid w:val="00037A99"/>
    <w:rsid w:val="00037AF8"/>
    <w:rsid w:val="00037B09"/>
    <w:rsid w:val="00037BB9"/>
    <w:rsid w:val="00037BD5"/>
    <w:rsid w:val="00037C8D"/>
    <w:rsid w:val="00037D02"/>
    <w:rsid w:val="00037D7C"/>
    <w:rsid w:val="00037D81"/>
    <w:rsid w:val="00037DCD"/>
    <w:rsid w:val="00037E09"/>
    <w:rsid w:val="00037E93"/>
    <w:rsid w:val="00037EC4"/>
    <w:rsid w:val="00037F0F"/>
    <w:rsid w:val="00037F1A"/>
    <w:rsid w:val="00037FEF"/>
    <w:rsid w:val="00040004"/>
    <w:rsid w:val="0004001D"/>
    <w:rsid w:val="0004007E"/>
    <w:rsid w:val="0004008A"/>
    <w:rsid w:val="000401BA"/>
    <w:rsid w:val="000401BF"/>
    <w:rsid w:val="000401E9"/>
    <w:rsid w:val="000401F6"/>
    <w:rsid w:val="00040216"/>
    <w:rsid w:val="0004027B"/>
    <w:rsid w:val="000402F5"/>
    <w:rsid w:val="00040321"/>
    <w:rsid w:val="000403B4"/>
    <w:rsid w:val="00040460"/>
    <w:rsid w:val="000404A7"/>
    <w:rsid w:val="000404CD"/>
    <w:rsid w:val="00040560"/>
    <w:rsid w:val="000405AC"/>
    <w:rsid w:val="000405CF"/>
    <w:rsid w:val="000405D2"/>
    <w:rsid w:val="000407B5"/>
    <w:rsid w:val="000407D4"/>
    <w:rsid w:val="00040827"/>
    <w:rsid w:val="00040831"/>
    <w:rsid w:val="00040991"/>
    <w:rsid w:val="000409FF"/>
    <w:rsid w:val="00040A8B"/>
    <w:rsid w:val="00040AA7"/>
    <w:rsid w:val="00040AC2"/>
    <w:rsid w:val="00040BC5"/>
    <w:rsid w:val="00040C01"/>
    <w:rsid w:val="00040CD8"/>
    <w:rsid w:val="00040CE8"/>
    <w:rsid w:val="00040D48"/>
    <w:rsid w:val="00040E42"/>
    <w:rsid w:val="00040E73"/>
    <w:rsid w:val="00040F84"/>
    <w:rsid w:val="00040FC7"/>
    <w:rsid w:val="00040FEF"/>
    <w:rsid w:val="00040FF1"/>
    <w:rsid w:val="00040FFE"/>
    <w:rsid w:val="00041036"/>
    <w:rsid w:val="0004106A"/>
    <w:rsid w:val="00041076"/>
    <w:rsid w:val="0004108E"/>
    <w:rsid w:val="0004116F"/>
    <w:rsid w:val="0004118D"/>
    <w:rsid w:val="000411B5"/>
    <w:rsid w:val="0004125E"/>
    <w:rsid w:val="000412EB"/>
    <w:rsid w:val="0004139C"/>
    <w:rsid w:val="00041414"/>
    <w:rsid w:val="00041462"/>
    <w:rsid w:val="000414EE"/>
    <w:rsid w:val="00041526"/>
    <w:rsid w:val="00041581"/>
    <w:rsid w:val="000415A6"/>
    <w:rsid w:val="00041655"/>
    <w:rsid w:val="00041685"/>
    <w:rsid w:val="000416B9"/>
    <w:rsid w:val="000416C5"/>
    <w:rsid w:val="00041720"/>
    <w:rsid w:val="0004176A"/>
    <w:rsid w:val="00041854"/>
    <w:rsid w:val="000418D7"/>
    <w:rsid w:val="0004199B"/>
    <w:rsid w:val="000419FC"/>
    <w:rsid w:val="00041B60"/>
    <w:rsid w:val="00041BD9"/>
    <w:rsid w:val="00041C0A"/>
    <w:rsid w:val="00041C0B"/>
    <w:rsid w:val="00041D09"/>
    <w:rsid w:val="00041D2C"/>
    <w:rsid w:val="00041E0A"/>
    <w:rsid w:val="00041E24"/>
    <w:rsid w:val="00041E73"/>
    <w:rsid w:val="00041F44"/>
    <w:rsid w:val="00041F98"/>
    <w:rsid w:val="00041FEF"/>
    <w:rsid w:val="000420D3"/>
    <w:rsid w:val="00042108"/>
    <w:rsid w:val="00042119"/>
    <w:rsid w:val="0004218A"/>
    <w:rsid w:val="000421AA"/>
    <w:rsid w:val="000421BB"/>
    <w:rsid w:val="0004221F"/>
    <w:rsid w:val="00042245"/>
    <w:rsid w:val="0004228F"/>
    <w:rsid w:val="000422BE"/>
    <w:rsid w:val="00042367"/>
    <w:rsid w:val="00042385"/>
    <w:rsid w:val="00042534"/>
    <w:rsid w:val="00042538"/>
    <w:rsid w:val="000426E3"/>
    <w:rsid w:val="00042891"/>
    <w:rsid w:val="000428FD"/>
    <w:rsid w:val="0004290C"/>
    <w:rsid w:val="0004293F"/>
    <w:rsid w:val="0004297F"/>
    <w:rsid w:val="00042B03"/>
    <w:rsid w:val="00042C0F"/>
    <w:rsid w:val="00042D48"/>
    <w:rsid w:val="00042D5E"/>
    <w:rsid w:val="00042D68"/>
    <w:rsid w:val="00042D9C"/>
    <w:rsid w:val="00042EDC"/>
    <w:rsid w:val="00042F17"/>
    <w:rsid w:val="00042F23"/>
    <w:rsid w:val="00042F85"/>
    <w:rsid w:val="00042FE3"/>
    <w:rsid w:val="00043014"/>
    <w:rsid w:val="00043015"/>
    <w:rsid w:val="0004305B"/>
    <w:rsid w:val="0004306C"/>
    <w:rsid w:val="00043084"/>
    <w:rsid w:val="00043095"/>
    <w:rsid w:val="000430CB"/>
    <w:rsid w:val="000430EB"/>
    <w:rsid w:val="000431DE"/>
    <w:rsid w:val="000432B4"/>
    <w:rsid w:val="00043376"/>
    <w:rsid w:val="000434D5"/>
    <w:rsid w:val="000435A9"/>
    <w:rsid w:val="000435DC"/>
    <w:rsid w:val="00043769"/>
    <w:rsid w:val="0004376C"/>
    <w:rsid w:val="0004377A"/>
    <w:rsid w:val="000437F0"/>
    <w:rsid w:val="0004387E"/>
    <w:rsid w:val="00043987"/>
    <w:rsid w:val="00043B18"/>
    <w:rsid w:val="00043B48"/>
    <w:rsid w:val="00043B55"/>
    <w:rsid w:val="00043B70"/>
    <w:rsid w:val="00043C2E"/>
    <w:rsid w:val="00043C50"/>
    <w:rsid w:val="00043CCA"/>
    <w:rsid w:val="00043D03"/>
    <w:rsid w:val="00043D6B"/>
    <w:rsid w:val="00043E21"/>
    <w:rsid w:val="00043E3B"/>
    <w:rsid w:val="00043E95"/>
    <w:rsid w:val="00043EAC"/>
    <w:rsid w:val="00043F0A"/>
    <w:rsid w:val="00043F25"/>
    <w:rsid w:val="00043FD0"/>
    <w:rsid w:val="00043FD2"/>
    <w:rsid w:val="00043FE1"/>
    <w:rsid w:val="000440D5"/>
    <w:rsid w:val="000440E3"/>
    <w:rsid w:val="00044122"/>
    <w:rsid w:val="00044151"/>
    <w:rsid w:val="00044212"/>
    <w:rsid w:val="00044455"/>
    <w:rsid w:val="0004447F"/>
    <w:rsid w:val="00044582"/>
    <w:rsid w:val="0004463B"/>
    <w:rsid w:val="00044661"/>
    <w:rsid w:val="0004466A"/>
    <w:rsid w:val="000446A0"/>
    <w:rsid w:val="000446C9"/>
    <w:rsid w:val="00044777"/>
    <w:rsid w:val="000447C6"/>
    <w:rsid w:val="000447E0"/>
    <w:rsid w:val="000447F6"/>
    <w:rsid w:val="00044858"/>
    <w:rsid w:val="00044986"/>
    <w:rsid w:val="000449B0"/>
    <w:rsid w:val="000449B2"/>
    <w:rsid w:val="000449EF"/>
    <w:rsid w:val="00044AF9"/>
    <w:rsid w:val="00044AFC"/>
    <w:rsid w:val="00044B4B"/>
    <w:rsid w:val="00044C72"/>
    <w:rsid w:val="00044C8E"/>
    <w:rsid w:val="00044CE2"/>
    <w:rsid w:val="00044D66"/>
    <w:rsid w:val="00044F34"/>
    <w:rsid w:val="00044F7F"/>
    <w:rsid w:val="00045009"/>
    <w:rsid w:val="0004500D"/>
    <w:rsid w:val="0004508A"/>
    <w:rsid w:val="00045186"/>
    <w:rsid w:val="000451B0"/>
    <w:rsid w:val="000452B7"/>
    <w:rsid w:val="0004531B"/>
    <w:rsid w:val="00045376"/>
    <w:rsid w:val="000453C6"/>
    <w:rsid w:val="000453DE"/>
    <w:rsid w:val="000453EC"/>
    <w:rsid w:val="000454DA"/>
    <w:rsid w:val="0004555F"/>
    <w:rsid w:val="0004556C"/>
    <w:rsid w:val="00045683"/>
    <w:rsid w:val="00045738"/>
    <w:rsid w:val="000457AD"/>
    <w:rsid w:val="00045835"/>
    <w:rsid w:val="0004589A"/>
    <w:rsid w:val="000458DC"/>
    <w:rsid w:val="000458FF"/>
    <w:rsid w:val="000459BC"/>
    <w:rsid w:val="000459EB"/>
    <w:rsid w:val="000459F1"/>
    <w:rsid w:val="00045A41"/>
    <w:rsid w:val="00045B11"/>
    <w:rsid w:val="00045B3A"/>
    <w:rsid w:val="00045B3C"/>
    <w:rsid w:val="00045B79"/>
    <w:rsid w:val="00045BD2"/>
    <w:rsid w:val="00045C40"/>
    <w:rsid w:val="00045DA1"/>
    <w:rsid w:val="00045DC5"/>
    <w:rsid w:val="00045E89"/>
    <w:rsid w:val="00045ED2"/>
    <w:rsid w:val="00045ED6"/>
    <w:rsid w:val="00045F6B"/>
    <w:rsid w:val="00045F7C"/>
    <w:rsid w:val="00045FB3"/>
    <w:rsid w:val="000461E5"/>
    <w:rsid w:val="00046217"/>
    <w:rsid w:val="000462AC"/>
    <w:rsid w:val="00046322"/>
    <w:rsid w:val="0004635D"/>
    <w:rsid w:val="0004636D"/>
    <w:rsid w:val="000463D3"/>
    <w:rsid w:val="000463EE"/>
    <w:rsid w:val="00046429"/>
    <w:rsid w:val="0004645D"/>
    <w:rsid w:val="00046489"/>
    <w:rsid w:val="0004648D"/>
    <w:rsid w:val="00046490"/>
    <w:rsid w:val="00046499"/>
    <w:rsid w:val="000465D3"/>
    <w:rsid w:val="00046641"/>
    <w:rsid w:val="00046755"/>
    <w:rsid w:val="000467F2"/>
    <w:rsid w:val="00046890"/>
    <w:rsid w:val="00046975"/>
    <w:rsid w:val="000469F1"/>
    <w:rsid w:val="00046A15"/>
    <w:rsid w:val="00046BA3"/>
    <w:rsid w:val="00046C2E"/>
    <w:rsid w:val="00046C63"/>
    <w:rsid w:val="00046D34"/>
    <w:rsid w:val="00046D49"/>
    <w:rsid w:val="00046DB8"/>
    <w:rsid w:val="00046DDB"/>
    <w:rsid w:val="00046E17"/>
    <w:rsid w:val="00046E8A"/>
    <w:rsid w:val="00046FCA"/>
    <w:rsid w:val="00047045"/>
    <w:rsid w:val="00047060"/>
    <w:rsid w:val="000470D7"/>
    <w:rsid w:val="0004714E"/>
    <w:rsid w:val="0004716D"/>
    <w:rsid w:val="000472B9"/>
    <w:rsid w:val="000472EF"/>
    <w:rsid w:val="000473DD"/>
    <w:rsid w:val="00047430"/>
    <w:rsid w:val="00047431"/>
    <w:rsid w:val="000474BD"/>
    <w:rsid w:val="000474EC"/>
    <w:rsid w:val="00047509"/>
    <w:rsid w:val="00047546"/>
    <w:rsid w:val="00047707"/>
    <w:rsid w:val="00047710"/>
    <w:rsid w:val="00047770"/>
    <w:rsid w:val="00047836"/>
    <w:rsid w:val="00047878"/>
    <w:rsid w:val="000478A6"/>
    <w:rsid w:val="000478C1"/>
    <w:rsid w:val="0004799A"/>
    <w:rsid w:val="00047B81"/>
    <w:rsid w:val="00047B86"/>
    <w:rsid w:val="00047B9A"/>
    <w:rsid w:val="00047BE3"/>
    <w:rsid w:val="00047C1D"/>
    <w:rsid w:val="00047C2D"/>
    <w:rsid w:val="00047C73"/>
    <w:rsid w:val="00047D33"/>
    <w:rsid w:val="00047D67"/>
    <w:rsid w:val="00047F5E"/>
    <w:rsid w:val="00047F6C"/>
    <w:rsid w:val="00050044"/>
    <w:rsid w:val="00050053"/>
    <w:rsid w:val="00050063"/>
    <w:rsid w:val="00050083"/>
    <w:rsid w:val="000500D0"/>
    <w:rsid w:val="000500F5"/>
    <w:rsid w:val="0005011F"/>
    <w:rsid w:val="0005012E"/>
    <w:rsid w:val="00050257"/>
    <w:rsid w:val="0005029E"/>
    <w:rsid w:val="000502CE"/>
    <w:rsid w:val="00050335"/>
    <w:rsid w:val="00050370"/>
    <w:rsid w:val="000503A9"/>
    <w:rsid w:val="000504C8"/>
    <w:rsid w:val="000504D7"/>
    <w:rsid w:val="00050520"/>
    <w:rsid w:val="00050588"/>
    <w:rsid w:val="00050636"/>
    <w:rsid w:val="000506CC"/>
    <w:rsid w:val="000506CD"/>
    <w:rsid w:val="0005076D"/>
    <w:rsid w:val="000507DC"/>
    <w:rsid w:val="00050855"/>
    <w:rsid w:val="00050884"/>
    <w:rsid w:val="0005088F"/>
    <w:rsid w:val="00050899"/>
    <w:rsid w:val="000508A9"/>
    <w:rsid w:val="0005091F"/>
    <w:rsid w:val="0005093E"/>
    <w:rsid w:val="00050998"/>
    <w:rsid w:val="000509A4"/>
    <w:rsid w:val="00050A7B"/>
    <w:rsid w:val="00050ABA"/>
    <w:rsid w:val="00050B1F"/>
    <w:rsid w:val="00050C8D"/>
    <w:rsid w:val="00050CEB"/>
    <w:rsid w:val="00050CF9"/>
    <w:rsid w:val="00050E5D"/>
    <w:rsid w:val="00050E72"/>
    <w:rsid w:val="00050F01"/>
    <w:rsid w:val="00050F04"/>
    <w:rsid w:val="00050F70"/>
    <w:rsid w:val="00050F71"/>
    <w:rsid w:val="00050FB5"/>
    <w:rsid w:val="00050FB7"/>
    <w:rsid w:val="00050FD3"/>
    <w:rsid w:val="00050FD8"/>
    <w:rsid w:val="000510A8"/>
    <w:rsid w:val="00051194"/>
    <w:rsid w:val="000511C5"/>
    <w:rsid w:val="00051224"/>
    <w:rsid w:val="000512FC"/>
    <w:rsid w:val="0005136E"/>
    <w:rsid w:val="000513C0"/>
    <w:rsid w:val="000513C5"/>
    <w:rsid w:val="0005148A"/>
    <w:rsid w:val="000514BE"/>
    <w:rsid w:val="00051539"/>
    <w:rsid w:val="0005156C"/>
    <w:rsid w:val="000515C8"/>
    <w:rsid w:val="000515E4"/>
    <w:rsid w:val="000515F5"/>
    <w:rsid w:val="00051668"/>
    <w:rsid w:val="0005168F"/>
    <w:rsid w:val="000516CE"/>
    <w:rsid w:val="00051781"/>
    <w:rsid w:val="00051795"/>
    <w:rsid w:val="00051857"/>
    <w:rsid w:val="000518C2"/>
    <w:rsid w:val="000518C4"/>
    <w:rsid w:val="000519CA"/>
    <w:rsid w:val="000519FC"/>
    <w:rsid w:val="00051AF8"/>
    <w:rsid w:val="00051B45"/>
    <w:rsid w:val="00051B9A"/>
    <w:rsid w:val="00051BA2"/>
    <w:rsid w:val="00051BAC"/>
    <w:rsid w:val="00051C47"/>
    <w:rsid w:val="00051D1A"/>
    <w:rsid w:val="00051DE8"/>
    <w:rsid w:val="00051E1C"/>
    <w:rsid w:val="00051E33"/>
    <w:rsid w:val="00051E37"/>
    <w:rsid w:val="00051E6A"/>
    <w:rsid w:val="00051E95"/>
    <w:rsid w:val="00051E96"/>
    <w:rsid w:val="00051F3A"/>
    <w:rsid w:val="00052121"/>
    <w:rsid w:val="000521A2"/>
    <w:rsid w:val="00052225"/>
    <w:rsid w:val="00052294"/>
    <w:rsid w:val="000522BE"/>
    <w:rsid w:val="00052457"/>
    <w:rsid w:val="000524D4"/>
    <w:rsid w:val="0005251D"/>
    <w:rsid w:val="000525D2"/>
    <w:rsid w:val="0005266C"/>
    <w:rsid w:val="00052672"/>
    <w:rsid w:val="0005268B"/>
    <w:rsid w:val="00052710"/>
    <w:rsid w:val="000527B7"/>
    <w:rsid w:val="00052819"/>
    <w:rsid w:val="000528AB"/>
    <w:rsid w:val="000529BB"/>
    <w:rsid w:val="000529D9"/>
    <w:rsid w:val="000529EC"/>
    <w:rsid w:val="00052D5A"/>
    <w:rsid w:val="00052D88"/>
    <w:rsid w:val="00052DBF"/>
    <w:rsid w:val="00052DC2"/>
    <w:rsid w:val="00052EEB"/>
    <w:rsid w:val="00052F12"/>
    <w:rsid w:val="00052F37"/>
    <w:rsid w:val="0005306D"/>
    <w:rsid w:val="000530F3"/>
    <w:rsid w:val="00053134"/>
    <w:rsid w:val="00053163"/>
    <w:rsid w:val="00053172"/>
    <w:rsid w:val="000531AB"/>
    <w:rsid w:val="000531D1"/>
    <w:rsid w:val="000531E9"/>
    <w:rsid w:val="000531F3"/>
    <w:rsid w:val="0005322D"/>
    <w:rsid w:val="00053446"/>
    <w:rsid w:val="0005357C"/>
    <w:rsid w:val="00053583"/>
    <w:rsid w:val="000535EA"/>
    <w:rsid w:val="000536D3"/>
    <w:rsid w:val="00053777"/>
    <w:rsid w:val="00053856"/>
    <w:rsid w:val="0005389D"/>
    <w:rsid w:val="00053970"/>
    <w:rsid w:val="00053A29"/>
    <w:rsid w:val="00053B35"/>
    <w:rsid w:val="00053B5B"/>
    <w:rsid w:val="00053B95"/>
    <w:rsid w:val="00053BA0"/>
    <w:rsid w:val="00053D19"/>
    <w:rsid w:val="00053D6A"/>
    <w:rsid w:val="00053DC9"/>
    <w:rsid w:val="00053E40"/>
    <w:rsid w:val="00053E54"/>
    <w:rsid w:val="00053EDC"/>
    <w:rsid w:val="00053F4F"/>
    <w:rsid w:val="00054034"/>
    <w:rsid w:val="000540FA"/>
    <w:rsid w:val="00054171"/>
    <w:rsid w:val="000541FB"/>
    <w:rsid w:val="0005421B"/>
    <w:rsid w:val="00054232"/>
    <w:rsid w:val="0005425A"/>
    <w:rsid w:val="00054261"/>
    <w:rsid w:val="00054309"/>
    <w:rsid w:val="00054392"/>
    <w:rsid w:val="000544A2"/>
    <w:rsid w:val="000544C2"/>
    <w:rsid w:val="0005450B"/>
    <w:rsid w:val="0005450E"/>
    <w:rsid w:val="00054521"/>
    <w:rsid w:val="00054525"/>
    <w:rsid w:val="000545CD"/>
    <w:rsid w:val="00054655"/>
    <w:rsid w:val="00054663"/>
    <w:rsid w:val="000546CB"/>
    <w:rsid w:val="000546F8"/>
    <w:rsid w:val="0005473E"/>
    <w:rsid w:val="0005483A"/>
    <w:rsid w:val="0005485F"/>
    <w:rsid w:val="000548E3"/>
    <w:rsid w:val="00054926"/>
    <w:rsid w:val="000549CA"/>
    <w:rsid w:val="000549EE"/>
    <w:rsid w:val="00054ABA"/>
    <w:rsid w:val="00054C9E"/>
    <w:rsid w:val="00054D7C"/>
    <w:rsid w:val="00054DA4"/>
    <w:rsid w:val="00054DBC"/>
    <w:rsid w:val="00054E28"/>
    <w:rsid w:val="00054E64"/>
    <w:rsid w:val="00054E65"/>
    <w:rsid w:val="00054EB2"/>
    <w:rsid w:val="00054F06"/>
    <w:rsid w:val="00054F88"/>
    <w:rsid w:val="000550E7"/>
    <w:rsid w:val="00055158"/>
    <w:rsid w:val="000551CB"/>
    <w:rsid w:val="000551DF"/>
    <w:rsid w:val="0005528E"/>
    <w:rsid w:val="000552F2"/>
    <w:rsid w:val="00055300"/>
    <w:rsid w:val="0005530E"/>
    <w:rsid w:val="0005534E"/>
    <w:rsid w:val="000553F3"/>
    <w:rsid w:val="00055486"/>
    <w:rsid w:val="000554C8"/>
    <w:rsid w:val="000554C9"/>
    <w:rsid w:val="0005550A"/>
    <w:rsid w:val="00055545"/>
    <w:rsid w:val="0005558B"/>
    <w:rsid w:val="000555AF"/>
    <w:rsid w:val="000555FE"/>
    <w:rsid w:val="0005565C"/>
    <w:rsid w:val="000556CB"/>
    <w:rsid w:val="000557BC"/>
    <w:rsid w:val="0005584E"/>
    <w:rsid w:val="0005586B"/>
    <w:rsid w:val="000558D3"/>
    <w:rsid w:val="00055A69"/>
    <w:rsid w:val="00055AAC"/>
    <w:rsid w:val="00055B50"/>
    <w:rsid w:val="00055B90"/>
    <w:rsid w:val="00055BBC"/>
    <w:rsid w:val="00055CB1"/>
    <w:rsid w:val="00055D03"/>
    <w:rsid w:val="00055D2A"/>
    <w:rsid w:val="00055D32"/>
    <w:rsid w:val="00055D6C"/>
    <w:rsid w:val="00055E35"/>
    <w:rsid w:val="00055E8E"/>
    <w:rsid w:val="00055EE3"/>
    <w:rsid w:val="00055EFB"/>
    <w:rsid w:val="00055F17"/>
    <w:rsid w:val="00055FB2"/>
    <w:rsid w:val="00055FC0"/>
    <w:rsid w:val="00055FC5"/>
    <w:rsid w:val="00056033"/>
    <w:rsid w:val="00056074"/>
    <w:rsid w:val="000560DF"/>
    <w:rsid w:val="0005610A"/>
    <w:rsid w:val="0005611D"/>
    <w:rsid w:val="00056185"/>
    <w:rsid w:val="000561D1"/>
    <w:rsid w:val="000561EB"/>
    <w:rsid w:val="0005621E"/>
    <w:rsid w:val="00056266"/>
    <w:rsid w:val="000562C0"/>
    <w:rsid w:val="000562D5"/>
    <w:rsid w:val="000562F2"/>
    <w:rsid w:val="000562FB"/>
    <w:rsid w:val="000563A0"/>
    <w:rsid w:val="000564C3"/>
    <w:rsid w:val="000564D7"/>
    <w:rsid w:val="00056572"/>
    <w:rsid w:val="000565B1"/>
    <w:rsid w:val="000565E3"/>
    <w:rsid w:val="00056657"/>
    <w:rsid w:val="000566DF"/>
    <w:rsid w:val="0005673F"/>
    <w:rsid w:val="00056805"/>
    <w:rsid w:val="00056806"/>
    <w:rsid w:val="00056861"/>
    <w:rsid w:val="00056898"/>
    <w:rsid w:val="000568D4"/>
    <w:rsid w:val="000568F1"/>
    <w:rsid w:val="0005699E"/>
    <w:rsid w:val="000569CF"/>
    <w:rsid w:val="00056A9A"/>
    <w:rsid w:val="00056C00"/>
    <w:rsid w:val="00056C6A"/>
    <w:rsid w:val="00056C9E"/>
    <w:rsid w:val="00056D2B"/>
    <w:rsid w:val="00056DB5"/>
    <w:rsid w:val="00056DD9"/>
    <w:rsid w:val="00056E23"/>
    <w:rsid w:val="00056E36"/>
    <w:rsid w:val="000570C0"/>
    <w:rsid w:val="000571D1"/>
    <w:rsid w:val="000572A9"/>
    <w:rsid w:val="0005735C"/>
    <w:rsid w:val="0005744C"/>
    <w:rsid w:val="000574E1"/>
    <w:rsid w:val="0005752B"/>
    <w:rsid w:val="00057553"/>
    <w:rsid w:val="00057577"/>
    <w:rsid w:val="00057623"/>
    <w:rsid w:val="0005769F"/>
    <w:rsid w:val="00057742"/>
    <w:rsid w:val="00057788"/>
    <w:rsid w:val="000578EE"/>
    <w:rsid w:val="00057A59"/>
    <w:rsid w:val="00057B17"/>
    <w:rsid w:val="00057B2A"/>
    <w:rsid w:val="00057B3D"/>
    <w:rsid w:val="00057B97"/>
    <w:rsid w:val="00057E08"/>
    <w:rsid w:val="00057E17"/>
    <w:rsid w:val="00057E9A"/>
    <w:rsid w:val="00057ED1"/>
    <w:rsid w:val="00057F42"/>
    <w:rsid w:val="00057FB1"/>
    <w:rsid w:val="00060070"/>
    <w:rsid w:val="0006018F"/>
    <w:rsid w:val="00060193"/>
    <w:rsid w:val="0006024A"/>
    <w:rsid w:val="00060348"/>
    <w:rsid w:val="0006038D"/>
    <w:rsid w:val="000603F2"/>
    <w:rsid w:val="00060463"/>
    <w:rsid w:val="00060476"/>
    <w:rsid w:val="0006047A"/>
    <w:rsid w:val="00060525"/>
    <w:rsid w:val="000605F0"/>
    <w:rsid w:val="0006068B"/>
    <w:rsid w:val="000606C9"/>
    <w:rsid w:val="000606CA"/>
    <w:rsid w:val="000606D1"/>
    <w:rsid w:val="0006072B"/>
    <w:rsid w:val="0006074A"/>
    <w:rsid w:val="0006076A"/>
    <w:rsid w:val="000607A8"/>
    <w:rsid w:val="00060884"/>
    <w:rsid w:val="000608FC"/>
    <w:rsid w:val="00060918"/>
    <w:rsid w:val="00060939"/>
    <w:rsid w:val="00060A32"/>
    <w:rsid w:val="00060B05"/>
    <w:rsid w:val="00060B19"/>
    <w:rsid w:val="00060B52"/>
    <w:rsid w:val="00060B5C"/>
    <w:rsid w:val="00060B87"/>
    <w:rsid w:val="00060B93"/>
    <w:rsid w:val="00060BD0"/>
    <w:rsid w:val="00060CC2"/>
    <w:rsid w:val="00060CFC"/>
    <w:rsid w:val="00060D69"/>
    <w:rsid w:val="00060D6A"/>
    <w:rsid w:val="00060D99"/>
    <w:rsid w:val="00060DFA"/>
    <w:rsid w:val="00060E02"/>
    <w:rsid w:val="00060E43"/>
    <w:rsid w:val="00060E7D"/>
    <w:rsid w:val="00060F67"/>
    <w:rsid w:val="00060FBD"/>
    <w:rsid w:val="0006105A"/>
    <w:rsid w:val="00061065"/>
    <w:rsid w:val="0006115B"/>
    <w:rsid w:val="000611F2"/>
    <w:rsid w:val="0006129D"/>
    <w:rsid w:val="000612FA"/>
    <w:rsid w:val="00061300"/>
    <w:rsid w:val="00061333"/>
    <w:rsid w:val="000613C1"/>
    <w:rsid w:val="000613EE"/>
    <w:rsid w:val="00061400"/>
    <w:rsid w:val="000615A2"/>
    <w:rsid w:val="0006160C"/>
    <w:rsid w:val="00061617"/>
    <w:rsid w:val="00061649"/>
    <w:rsid w:val="000618B8"/>
    <w:rsid w:val="00061902"/>
    <w:rsid w:val="0006191D"/>
    <w:rsid w:val="00061964"/>
    <w:rsid w:val="00061B1B"/>
    <w:rsid w:val="00061B57"/>
    <w:rsid w:val="00061B83"/>
    <w:rsid w:val="00061B96"/>
    <w:rsid w:val="00061C84"/>
    <w:rsid w:val="00061C9B"/>
    <w:rsid w:val="00061D43"/>
    <w:rsid w:val="00061DDC"/>
    <w:rsid w:val="00061E50"/>
    <w:rsid w:val="00061E87"/>
    <w:rsid w:val="00062012"/>
    <w:rsid w:val="00062043"/>
    <w:rsid w:val="0006207B"/>
    <w:rsid w:val="0006212F"/>
    <w:rsid w:val="000621CA"/>
    <w:rsid w:val="00062243"/>
    <w:rsid w:val="000623A1"/>
    <w:rsid w:val="00062427"/>
    <w:rsid w:val="00062448"/>
    <w:rsid w:val="00062468"/>
    <w:rsid w:val="0006246F"/>
    <w:rsid w:val="00062571"/>
    <w:rsid w:val="00062586"/>
    <w:rsid w:val="000625F5"/>
    <w:rsid w:val="00062698"/>
    <w:rsid w:val="00062722"/>
    <w:rsid w:val="000627ED"/>
    <w:rsid w:val="00062827"/>
    <w:rsid w:val="00062865"/>
    <w:rsid w:val="000628DD"/>
    <w:rsid w:val="0006296D"/>
    <w:rsid w:val="000629AC"/>
    <w:rsid w:val="000629B2"/>
    <w:rsid w:val="00062B4E"/>
    <w:rsid w:val="00062B5A"/>
    <w:rsid w:val="00062C0A"/>
    <w:rsid w:val="00062CFD"/>
    <w:rsid w:val="00062D4A"/>
    <w:rsid w:val="00062DBD"/>
    <w:rsid w:val="00062E47"/>
    <w:rsid w:val="00062F37"/>
    <w:rsid w:val="00062F63"/>
    <w:rsid w:val="00062FA9"/>
    <w:rsid w:val="0006302D"/>
    <w:rsid w:val="0006317B"/>
    <w:rsid w:val="0006318E"/>
    <w:rsid w:val="000632A1"/>
    <w:rsid w:val="00063414"/>
    <w:rsid w:val="00063433"/>
    <w:rsid w:val="0006349C"/>
    <w:rsid w:val="000634E0"/>
    <w:rsid w:val="00063510"/>
    <w:rsid w:val="0006366C"/>
    <w:rsid w:val="000636A6"/>
    <w:rsid w:val="00063747"/>
    <w:rsid w:val="00063758"/>
    <w:rsid w:val="000637B2"/>
    <w:rsid w:val="000638A7"/>
    <w:rsid w:val="00063941"/>
    <w:rsid w:val="00063977"/>
    <w:rsid w:val="000639A1"/>
    <w:rsid w:val="000639C5"/>
    <w:rsid w:val="000639F0"/>
    <w:rsid w:val="000639FC"/>
    <w:rsid w:val="00063A44"/>
    <w:rsid w:val="00063A9F"/>
    <w:rsid w:val="00063B2B"/>
    <w:rsid w:val="00063B31"/>
    <w:rsid w:val="00063BAC"/>
    <w:rsid w:val="00063BAF"/>
    <w:rsid w:val="00063BF7"/>
    <w:rsid w:val="00063BF9"/>
    <w:rsid w:val="00063D0A"/>
    <w:rsid w:val="00063D22"/>
    <w:rsid w:val="00063D61"/>
    <w:rsid w:val="00063DF0"/>
    <w:rsid w:val="00063DF7"/>
    <w:rsid w:val="000640A4"/>
    <w:rsid w:val="00064142"/>
    <w:rsid w:val="00064157"/>
    <w:rsid w:val="000641B5"/>
    <w:rsid w:val="00064248"/>
    <w:rsid w:val="000642FD"/>
    <w:rsid w:val="00064376"/>
    <w:rsid w:val="0006441E"/>
    <w:rsid w:val="0006443A"/>
    <w:rsid w:val="00064489"/>
    <w:rsid w:val="00064537"/>
    <w:rsid w:val="00064580"/>
    <w:rsid w:val="000645BA"/>
    <w:rsid w:val="000645C4"/>
    <w:rsid w:val="0006461C"/>
    <w:rsid w:val="0006462C"/>
    <w:rsid w:val="000646AE"/>
    <w:rsid w:val="000646B2"/>
    <w:rsid w:val="000647A9"/>
    <w:rsid w:val="00064804"/>
    <w:rsid w:val="00064A6A"/>
    <w:rsid w:val="00064A7E"/>
    <w:rsid w:val="00064B86"/>
    <w:rsid w:val="00064BD4"/>
    <w:rsid w:val="00064C33"/>
    <w:rsid w:val="00064E1B"/>
    <w:rsid w:val="00064EA4"/>
    <w:rsid w:val="00064FC5"/>
    <w:rsid w:val="000650FC"/>
    <w:rsid w:val="00065209"/>
    <w:rsid w:val="0006520C"/>
    <w:rsid w:val="0006524D"/>
    <w:rsid w:val="00065296"/>
    <w:rsid w:val="000653DE"/>
    <w:rsid w:val="000654B2"/>
    <w:rsid w:val="000655F3"/>
    <w:rsid w:val="0006563F"/>
    <w:rsid w:val="000657DB"/>
    <w:rsid w:val="0006583D"/>
    <w:rsid w:val="00065881"/>
    <w:rsid w:val="0006588E"/>
    <w:rsid w:val="0006594C"/>
    <w:rsid w:val="00065A33"/>
    <w:rsid w:val="00065A8C"/>
    <w:rsid w:val="00065AD0"/>
    <w:rsid w:val="00065AD9"/>
    <w:rsid w:val="00065ADB"/>
    <w:rsid w:val="00065B4A"/>
    <w:rsid w:val="00065B71"/>
    <w:rsid w:val="00065BCE"/>
    <w:rsid w:val="00065BED"/>
    <w:rsid w:val="00065C9A"/>
    <w:rsid w:val="00065E08"/>
    <w:rsid w:val="00065E3B"/>
    <w:rsid w:val="00065E76"/>
    <w:rsid w:val="00065F22"/>
    <w:rsid w:val="00066077"/>
    <w:rsid w:val="00066078"/>
    <w:rsid w:val="000660B8"/>
    <w:rsid w:val="00066125"/>
    <w:rsid w:val="00066128"/>
    <w:rsid w:val="00066136"/>
    <w:rsid w:val="0006615C"/>
    <w:rsid w:val="00066187"/>
    <w:rsid w:val="0006619D"/>
    <w:rsid w:val="000661F4"/>
    <w:rsid w:val="00066251"/>
    <w:rsid w:val="00066283"/>
    <w:rsid w:val="000663B0"/>
    <w:rsid w:val="00066471"/>
    <w:rsid w:val="000664B1"/>
    <w:rsid w:val="000664BE"/>
    <w:rsid w:val="000665F8"/>
    <w:rsid w:val="00066617"/>
    <w:rsid w:val="00066662"/>
    <w:rsid w:val="000666DD"/>
    <w:rsid w:val="00066852"/>
    <w:rsid w:val="0006686C"/>
    <w:rsid w:val="000668C6"/>
    <w:rsid w:val="000668EE"/>
    <w:rsid w:val="000669F9"/>
    <w:rsid w:val="00066B2D"/>
    <w:rsid w:val="00066B8E"/>
    <w:rsid w:val="00066B9F"/>
    <w:rsid w:val="00066CB5"/>
    <w:rsid w:val="00066DC8"/>
    <w:rsid w:val="00066E0B"/>
    <w:rsid w:val="00066F5A"/>
    <w:rsid w:val="00066F75"/>
    <w:rsid w:val="0006703A"/>
    <w:rsid w:val="000670A3"/>
    <w:rsid w:val="000672A2"/>
    <w:rsid w:val="000672DE"/>
    <w:rsid w:val="00067308"/>
    <w:rsid w:val="00067334"/>
    <w:rsid w:val="000674B1"/>
    <w:rsid w:val="000674B2"/>
    <w:rsid w:val="00067505"/>
    <w:rsid w:val="000675A6"/>
    <w:rsid w:val="000675E7"/>
    <w:rsid w:val="000675FA"/>
    <w:rsid w:val="00067658"/>
    <w:rsid w:val="00067672"/>
    <w:rsid w:val="000676D4"/>
    <w:rsid w:val="000677D9"/>
    <w:rsid w:val="00067803"/>
    <w:rsid w:val="0006780E"/>
    <w:rsid w:val="00067936"/>
    <w:rsid w:val="00067941"/>
    <w:rsid w:val="000679D5"/>
    <w:rsid w:val="000679E5"/>
    <w:rsid w:val="00067A2B"/>
    <w:rsid w:val="00067A32"/>
    <w:rsid w:val="00067A56"/>
    <w:rsid w:val="00067AAC"/>
    <w:rsid w:val="00067AB7"/>
    <w:rsid w:val="00067AEE"/>
    <w:rsid w:val="00067B47"/>
    <w:rsid w:val="00067BF8"/>
    <w:rsid w:val="00067C9C"/>
    <w:rsid w:val="00067D08"/>
    <w:rsid w:val="00067D97"/>
    <w:rsid w:val="00067EF2"/>
    <w:rsid w:val="00067FF9"/>
    <w:rsid w:val="00070030"/>
    <w:rsid w:val="00070111"/>
    <w:rsid w:val="0007015C"/>
    <w:rsid w:val="0007016A"/>
    <w:rsid w:val="00070178"/>
    <w:rsid w:val="0007018E"/>
    <w:rsid w:val="00070200"/>
    <w:rsid w:val="0007021D"/>
    <w:rsid w:val="00070254"/>
    <w:rsid w:val="00070272"/>
    <w:rsid w:val="000702F8"/>
    <w:rsid w:val="00070304"/>
    <w:rsid w:val="000703A2"/>
    <w:rsid w:val="0007041D"/>
    <w:rsid w:val="00070451"/>
    <w:rsid w:val="000704B3"/>
    <w:rsid w:val="000704E6"/>
    <w:rsid w:val="000705AA"/>
    <w:rsid w:val="00070604"/>
    <w:rsid w:val="0007067E"/>
    <w:rsid w:val="00070717"/>
    <w:rsid w:val="00070846"/>
    <w:rsid w:val="000708DB"/>
    <w:rsid w:val="000708FB"/>
    <w:rsid w:val="00070995"/>
    <w:rsid w:val="0007099A"/>
    <w:rsid w:val="00070A16"/>
    <w:rsid w:val="00070B2A"/>
    <w:rsid w:val="00070B4D"/>
    <w:rsid w:val="00070BBF"/>
    <w:rsid w:val="00070BE4"/>
    <w:rsid w:val="00070C4D"/>
    <w:rsid w:val="00070C5D"/>
    <w:rsid w:val="00070CF3"/>
    <w:rsid w:val="00070D78"/>
    <w:rsid w:val="00070E95"/>
    <w:rsid w:val="00070EFD"/>
    <w:rsid w:val="00070F21"/>
    <w:rsid w:val="0007100D"/>
    <w:rsid w:val="00071025"/>
    <w:rsid w:val="00071045"/>
    <w:rsid w:val="00071084"/>
    <w:rsid w:val="0007121A"/>
    <w:rsid w:val="0007122F"/>
    <w:rsid w:val="00071307"/>
    <w:rsid w:val="00071342"/>
    <w:rsid w:val="00071419"/>
    <w:rsid w:val="0007152C"/>
    <w:rsid w:val="00071668"/>
    <w:rsid w:val="0007166E"/>
    <w:rsid w:val="00071709"/>
    <w:rsid w:val="00071774"/>
    <w:rsid w:val="00071791"/>
    <w:rsid w:val="000717A5"/>
    <w:rsid w:val="0007180A"/>
    <w:rsid w:val="00071879"/>
    <w:rsid w:val="00071887"/>
    <w:rsid w:val="000718A9"/>
    <w:rsid w:val="000718CA"/>
    <w:rsid w:val="000718EA"/>
    <w:rsid w:val="00071A5E"/>
    <w:rsid w:val="00071AD5"/>
    <w:rsid w:val="00071AF5"/>
    <w:rsid w:val="00071B1D"/>
    <w:rsid w:val="00071B84"/>
    <w:rsid w:val="00071D1D"/>
    <w:rsid w:val="00071D7A"/>
    <w:rsid w:val="00071D9D"/>
    <w:rsid w:val="00071E83"/>
    <w:rsid w:val="00071EA2"/>
    <w:rsid w:val="00071EC7"/>
    <w:rsid w:val="00071F92"/>
    <w:rsid w:val="00072010"/>
    <w:rsid w:val="00072025"/>
    <w:rsid w:val="00072084"/>
    <w:rsid w:val="000720AC"/>
    <w:rsid w:val="00072137"/>
    <w:rsid w:val="00072178"/>
    <w:rsid w:val="0007218E"/>
    <w:rsid w:val="00072238"/>
    <w:rsid w:val="0007223A"/>
    <w:rsid w:val="000722D1"/>
    <w:rsid w:val="000722E1"/>
    <w:rsid w:val="000722EA"/>
    <w:rsid w:val="000722F6"/>
    <w:rsid w:val="0007231C"/>
    <w:rsid w:val="0007251C"/>
    <w:rsid w:val="00072536"/>
    <w:rsid w:val="000725C2"/>
    <w:rsid w:val="000725F4"/>
    <w:rsid w:val="000726B6"/>
    <w:rsid w:val="00072716"/>
    <w:rsid w:val="00072717"/>
    <w:rsid w:val="00072789"/>
    <w:rsid w:val="000727B5"/>
    <w:rsid w:val="000729BF"/>
    <w:rsid w:val="000729C1"/>
    <w:rsid w:val="000729D2"/>
    <w:rsid w:val="00072A37"/>
    <w:rsid w:val="00072AA1"/>
    <w:rsid w:val="00072AC1"/>
    <w:rsid w:val="00072AF9"/>
    <w:rsid w:val="00072B6D"/>
    <w:rsid w:val="00072BE5"/>
    <w:rsid w:val="00072BFE"/>
    <w:rsid w:val="00072CBF"/>
    <w:rsid w:val="00072DE6"/>
    <w:rsid w:val="00072E28"/>
    <w:rsid w:val="00072E61"/>
    <w:rsid w:val="00072E8A"/>
    <w:rsid w:val="00072F1F"/>
    <w:rsid w:val="00072F2D"/>
    <w:rsid w:val="00072F45"/>
    <w:rsid w:val="00072F5E"/>
    <w:rsid w:val="00072F8D"/>
    <w:rsid w:val="00073007"/>
    <w:rsid w:val="00073038"/>
    <w:rsid w:val="0007317F"/>
    <w:rsid w:val="000731E2"/>
    <w:rsid w:val="00073264"/>
    <w:rsid w:val="000732C1"/>
    <w:rsid w:val="0007334C"/>
    <w:rsid w:val="0007338A"/>
    <w:rsid w:val="000733A4"/>
    <w:rsid w:val="000733DF"/>
    <w:rsid w:val="00073428"/>
    <w:rsid w:val="0007342A"/>
    <w:rsid w:val="00073444"/>
    <w:rsid w:val="000734C4"/>
    <w:rsid w:val="00073514"/>
    <w:rsid w:val="00073524"/>
    <w:rsid w:val="00073543"/>
    <w:rsid w:val="0007357F"/>
    <w:rsid w:val="0007358D"/>
    <w:rsid w:val="00073620"/>
    <w:rsid w:val="00073654"/>
    <w:rsid w:val="00073694"/>
    <w:rsid w:val="000736A8"/>
    <w:rsid w:val="00073718"/>
    <w:rsid w:val="0007372D"/>
    <w:rsid w:val="000737BF"/>
    <w:rsid w:val="000737E9"/>
    <w:rsid w:val="00073982"/>
    <w:rsid w:val="00073987"/>
    <w:rsid w:val="00073A1F"/>
    <w:rsid w:val="00073A2E"/>
    <w:rsid w:val="00073A4C"/>
    <w:rsid w:val="00073A84"/>
    <w:rsid w:val="00073AC8"/>
    <w:rsid w:val="00073AFF"/>
    <w:rsid w:val="00073B44"/>
    <w:rsid w:val="00073C3B"/>
    <w:rsid w:val="00073C67"/>
    <w:rsid w:val="00073D72"/>
    <w:rsid w:val="00073D8F"/>
    <w:rsid w:val="00073DBF"/>
    <w:rsid w:val="00073E04"/>
    <w:rsid w:val="00073E98"/>
    <w:rsid w:val="00073F3B"/>
    <w:rsid w:val="00073F96"/>
    <w:rsid w:val="00073FA4"/>
    <w:rsid w:val="0007403C"/>
    <w:rsid w:val="000740E2"/>
    <w:rsid w:val="000741FF"/>
    <w:rsid w:val="00074216"/>
    <w:rsid w:val="0007428A"/>
    <w:rsid w:val="000742F2"/>
    <w:rsid w:val="000743C6"/>
    <w:rsid w:val="000743DD"/>
    <w:rsid w:val="0007446A"/>
    <w:rsid w:val="000744C2"/>
    <w:rsid w:val="000744F2"/>
    <w:rsid w:val="00074513"/>
    <w:rsid w:val="00074565"/>
    <w:rsid w:val="00074594"/>
    <w:rsid w:val="000746C8"/>
    <w:rsid w:val="0007472A"/>
    <w:rsid w:val="0007487E"/>
    <w:rsid w:val="00074A75"/>
    <w:rsid w:val="00074A7D"/>
    <w:rsid w:val="00074B2D"/>
    <w:rsid w:val="00074C3E"/>
    <w:rsid w:val="00074CEC"/>
    <w:rsid w:val="00074D1D"/>
    <w:rsid w:val="00074E1E"/>
    <w:rsid w:val="00074EE7"/>
    <w:rsid w:val="00074F33"/>
    <w:rsid w:val="00074F9A"/>
    <w:rsid w:val="0007506E"/>
    <w:rsid w:val="00075086"/>
    <w:rsid w:val="00075100"/>
    <w:rsid w:val="00075130"/>
    <w:rsid w:val="0007513C"/>
    <w:rsid w:val="000751C1"/>
    <w:rsid w:val="000751EB"/>
    <w:rsid w:val="00075252"/>
    <w:rsid w:val="0007537F"/>
    <w:rsid w:val="000753F8"/>
    <w:rsid w:val="00075406"/>
    <w:rsid w:val="00075451"/>
    <w:rsid w:val="000755E1"/>
    <w:rsid w:val="0007560D"/>
    <w:rsid w:val="000756A6"/>
    <w:rsid w:val="000757E7"/>
    <w:rsid w:val="0007585E"/>
    <w:rsid w:val="00075994"/>
    <w:rsid w:val="00075A82"/>
    <w:rsid w:val="00075BC7"/>
    <w:rsid w:val="00075CA1"/>
    <w:rsid w:val="00075D07"/>
    <w:rsid w:val="00075EFA"/>
    <w:rsid w:val="00075F4B"/>
    <w:rsid w:val="0007605C"/>
    <w:rsid w:val="000761B3"/>
    <w:rsid w:val="000761D5"/>
    <w:rsid w:val="000762DD"/>
    <w:rsid w:val="00076328"/>
    <w:rsid w:val="00076356"/>
    <w:rsid w:val="0007641D"/>
    <w:rsid w:val="0007644E"/>
    <w:rsid w:val="000764B5"/>
    <w:rsid w:val="000765A5"/>
    <w:rsid w:val="000765FE"/>
    <w:rsid w:val="00076677"/>
    <w:rsid w:val="000767B6"/>
    <w:rsid w:val="00076816"/>
    <w:rsid w:val="000768C0"/>
    <w:rsid w:val="00076A5C"/>
    <w:rsid w:val="00076A62"/>
    <w:rsid w:val="00076ACC"/>
    <w:rsid w:val="00076AE2"/>
    <w:rsid w:val="00076DCF"/>
    <w:rsid w:val="00076E30"/>
    <w:rsid w:val="00076E40"/>
    <w:rsid w:val="00076EEB"/>
    <w:rsid w:val="00076F30"/>
    <w:rsid w:val="00076F5C"/>
    <w:rsid w:val="00076FCD"/>
    <w:rsid w:val="00076FED"/>
    <w:rsid w:val="0007701C"/>
    <w:rsid w:val="00077110"/>
    <w:rsid w:val="0007718F"/>
    <w:rsid w:val="00077238"/>
    <w:rsid w:val="0007723C"/>
    <w:rsid w:val="00077322"/>
    <w:rsid w:val="0007741F"/>
    <w:rsid w:val="000774DE"/>
    <w:rsid w:val="000774EF"/>
    <w:rsid w:val="00077611"/>
    <w:rsid w:val="00077748"/>
    <w:rsid w:val="00077755"/>
    <w:rsid w:val="000777BF"/>
    <w:rsid w:val="00077904"/>
    <w:rsid w:val="000779CA"/>
    <w:rsid w:val="000779CB"/>
    <w:rsid w:val="00077C0C"/>
    <w:rsid w:val="00077C0F"/>
    <w:rsid w:val="00077C80"/>
    <w:rsid w:val="00077C99"/>
    <w:rsid w:val="00077CFD"/>
    <w:rsid w:val="00077DCB"/>
    <w:rsid w:val="00077E11"/>
    <w:rsid w:val="00077E48"/>
    <w:rsid w:val="00077E4F"/>
    <w:rsid w:val="00077F0E"/>
    <w:rsid w:val="00077F17"/>
    <w:rsid w:val="00077FB8"/>
    <w:rsid w:val="00077FE9"/>
    <w:rsid w:val="00080051"/>
    <w:rsid w:val="0008005D"/>
    <w:rsid w:val="000800C0"/>
    <w:rsid w:val="0008020B"/>
    <w:rsid w:val="00080213"/>
    <w:rsid w:val="0008026D"/>
    <w:rsid w:val="000802C9"/>
    <w:rsid w:val="0008044F"/>
    <w:rsid w:val="00080509"/>
    <w:rsid w:val="0008051A"/>
    <w:rsid w:val="00080617"/>
    <w:rsid w:val="00080623"/>
    <w:rsid w:val="0008065E"/>
    <w:rsid w:val="00080714"/>
    <w:rsid w:val="0008076E"/>
    <w:rsid w:val="00080832"/>
    <w:rsid w:val="00080871"/>
    <w:rsid w:val="00080876"/>
    <w:rsid w:val="00080962"/>
    <w:rsid w:val="00080988"/>
    <w:rsid w:val="00080A3A"/>
    <w:rsid w:val="00080AAF"/>
    <w:rsid w:val="00080B4E"/>
    <w:rsid w:val="00080B8A"/>
    <w:rsid w:val="00080B9C"/>
    <w:rsid w:val="00080C19"/>
    <w:rsid w:val="00080C25"/>
    <w:rsid w:val="00080C40"/>
    <w:rsid w:val="00080C63"/>
    <w:rsid w:val="00080C81"/>
    <w:rsid w:val="00080DB9"/>
    <w:rsid w:val="00080DE2"/>
    <w:rsid w:val="00080EC4"/>
    <w:rsid w:val="00080F17"/>
    <w:rsid w:val="0008106C"/>
    <w:rsid w:val="0008113E"/>
    <w:rsid w:val="000811CF"/>
    <w:rsid w:val="000811FB"/>
    <w:rsid w:val="00081273"/>
    <w:rsid w:val="0008129F"/>
    <w:rsid w:val="00081336"/>
    <w:rsid w:val="00081339"/>
    <w:rsid w:val="00081369"/>
    <w:rsid w:val="00081379"/>
    <w:rsid w:val="0008146C"/>
    <w:rsid w:val="000814B3"/>
    <w:rsid w:val="00081550"/>
    <w:rsid w:val="000815A2"/>
    <w:rsid w:val="00081615"/>
    <w:rsid w:val="00081630"/>
    <w:rsid w:val="0008172A"/>
    <w:rsid w:val="00081734"/>
    <w:rsid w:val="00081739"/>
    <w:rsid w:val="0008192C"/>
    <w:rsid w:val="00081936"/>
    <w:rsid w:val="0008196B"/>
    <w:rsid w:val="00081978"/>
    <w:rsid w:val="000819B8"/>
    <w:rsid w:val="00081A6C"/>
    <w:rsid w:val="00081A6F"/>
    <w:rsid w:val="00081A75"/>
    <w:rsid w:val="00081AF1"/>
    <w:rsid w:val="00081C95"/>
    <w:rsid w:val="00081D28"/>
    <w:rsid w:val="00081E78"/>
    <w:rsid w:val="00081E82"/>
    <w:rsid w:val="00081F06"/>
    <w:rsid w:val="000820EA"/>
    <w:rsid w:val="000820EE"/>
    <w:rsid w:val="0008211D"/>
    <w:rsid w:val="0008213F"/>
    <w:rsid w:val="00082176"/>
    <w:rsid w:val="00082185"/>
    <w:rsid w:val="000821C3"/>
    <w:rsid w:val="000821FF"/>
    <w:rsid w:val="00082246"/>
    <w:rsid w:val="000822AD"/>
    <w:rsid w:val="000822B1"/>
    <w:rsid w:val="000822D9"/>
    <w:rsid w:val="00082490"/>
    <w:rsid w:val="000824DD"/>
    <w:rsid w:val="000825AE"/>
    <w:rsid w:val="000826C2"/>
    <w:rsid w:val="000826F8"/>
    <w:rsid w:val="00082708"/>
    <w:rsid w:val="00082742"/>
    <w:rsid w:val="00082749"/>
    <w:rsid w:val="000827C6"/>
    <w:rsid w:val="0008283E"/>
    <w:rsid w:val="000828A1"/>
    <w:rsid w:val="000828D4"/>
    <w:rsid w:val="00082947"/>
    <w:rsid w:val="000829BF"/>
    <w:rsid w:val="000829F1"/>
    <w:rsid w:val="00082A66"/>
    <w:rsid w:val="00082A88"/>
    <w:rsid w:val="00082B6E"/>
    <w:rsid w:val="00082B71"/>
    <w:rsid w:val="00082BAC"/>
    <w:rsid w:val="00082BEF"/>
    <w:rsid w:val="00082C81"/>
    <w:rsid w:val="00082CAB"/>
    <w:rsid w:val="00082D5F"/>
    <w:rsid w:val="00082E5E"/>
    <w:rsid w:val="00082EF4"/>
    <w:rsid w:val="00082F7C"/>
    <w:rsid w:val="000831DE"/>
    <w:rsid w:val="000832BD"/>
    <w:rsid w:val="000832D2"/>
    <w:rsid w:val="0008334A"/>
    <w:rsid w:val="00083373"/>
    <w:rsid w:val="000834F8"/>
    <w:rsid w:val="00083504"/>
    <w:rsid w:val="00083555"/>
    <w:rsid w:val="0008355A"/>
    <w:rsid w:val="00083591"/>
    <w:rsid w:val="000835D7"/>
    <w:rsid w:val="000835E5"/>
    <w:rsid w:val="00083647"/>
    <w:rsid w:val="0008377E"/>
    <w:rsid w:val="000837A5"/>
    <w:rsid w:val="00083869"/>
    <w:rsid w:val="000838A2"/>
    <w:rsid w:val="00083919"/>
    <w:rsid w:val="00083949"/>
    <w:rsid w:val="00083963"/>
    <w:rsid w:val="00083971"/>
    <w:rsid w:val="00083A29"/>
    <w:rsid w:val="00083AB3"/>
    <w:rsid w:val="00083AE1"/>
    <w:rsid w:val="00083B26"/>
    <w:rsid w:val="00083B8E"/>
    <w:rsid w:val="00083B8F"/>
    <w:rsid w:val="00083C1E"/>
    <w:rsid w:val="00083CDC"/>
    <w:rsid w:val="00083CEA"/>
    <w:rsid w:val="00083CEF"/>
    <w:rsid w:val="00083CF5"/>
    <w:rsid w:val="00083DAC"/>
    <w:rsid w:val="00083E4B"/>
    <w:rsid w:val="00083EF0"/>
    <w:rsid w:val="00083F83"/>
    <w:rsid w:val="00083F92"/>
    <w:rsid w:val="000840D6"/>
    <w:rsid w:val="0008410B"/>
    <w:rsid w:val="00084188"/>
    <w:rsid w:val="000841CF"/>
    <w:rsid w:val="00084354"/>
    <w:rsid w:val="00084398"/>
    <w:rsid w:val="00084494"/>
    <w:rsid w:val="0008456B"/>
    <w:rsid w:val="00084915"/>
    <w:rsid w:val="00084958"/>
    <w:rsid w:val="00084ABE"/>
    <w:rsid w:val="00084B04"/>
    <w:rsid w:val="00084B4A"/>
    <w:rsid w:val="00084B96"/>
    <w:rsid w:val="00084BE2"/>
    <w:rsid w:val="00084C18"/>
    <w:rsid w:val="00084C57"/>
    <w:rsid w:val="00084CF7"/>
    <w:rsid w:val="00084D3E"/>
    <w:rsid w:val="00084DF7"/>
    <w:rsid w:val="00084E11"/>
    <w:rsid w:val="00084E49"/>
    <w:rsid w:val="00084ECA"/>
    <w:rsid w:val="00084EDE"/>
    <w:rsid w:val="00084F83"/>
    <w:rsid w:val="00084FE8"/>
    <w:rsid w:val="000850A2"/>
    <w:rsid w:val="0008516A"/>
    <w:rsid w:val="0008519F"/>
    <w:rsid w:val="000851AF"/>
    <w:rsid w:val="000851F0"/>
    <w:rsid w:val="00085449"/>
    <w:rsid w:val="0008548C"/>
    <w:rsid w:val="000854D0"/>
    <w:rsid w:val="000854D5"/>
    <w:rsid w:val="00085578"/>
    <w:rsid w:val="000855CA"/>
    <w:rsid w:val="000855CF"/>
    <w:rsid w:val="00085604"/>
    <w:rsid w:val="00085677"/>
    <w:rsid w:val="00085795"/>
    <w:rsid w:val="000857AC"/>
    <w:rsid w:val="000857E2"/>
    <w:rsid w:val="000858BD"/>
    <w:rsid w:val="00085904"/>
    <w:rsid w:val="000859D2"/>
    <w:rsid w:val="000859F5"/>
    <w:rsid w:val="00085A03"/>
    <w:rsid w:val="00085ACC"/>
    <w:rsid w:val="00085B35"/>
    <w:rsid w:val="00085D24"/>
    <w:rsid w:val="00085D4A"/>
    <w:rsid w:val="00085D6E"/>
    <w:rsid w:val="00085E2F"/>
    <w:rsid w:val="00085F4C"/>
    <w:rsid w:val="00085F58"/>
    <w:rsid w:val="00085FD0"/>
    <w:rsid w:val="0008600A"/>
    <w:rsid w:val="00086018"/>
    <w:rsid w:val="00086060"/>
    <w:rsid w:val="000860E1"/>
    <w:rsid w:val="00086113"/>
    <w:rsid w:val="00086152"/>
    <w:rsid w:val="000861AF"/>
    <w:rsid w:val="000861D6"/>
    <w:rsid w:val="0008621C"/>
    <w:rsid w:val="0008624F"/>
    <w:rsid w:val="000863D0"/>
    <w:rsid w:val="000864BA"/>
    <w:rsid w:val="00086579"/>
    <w:rsid w:val="0008659E"/>
    <w:rsid w:val="000865EB"/>
    <w:rsid w:val="00086645"/>
    <w:rsid w:val="0008669E"/>
    <w:rsid w:val="000866AB"/>
    <w:rsid w:val="0008684B"/>
    <w:rsid w:val="000868B4"/>
    <w:rsid w:val="000868FF"/>
    <w:rsid w:val="00086923"/>
    <w:rsid w:val="00086958"/>
    <w:rsid w:val="0008696D"/>
    <w:rsid w:val="00086990"/>
    <w:rsid w:val="00086A14"/>
    <w:rsid w:val="00086A59"/>
    <w:rsid w:val="00086A5E"/>
    <w:rsid w:val="00086A78"/>
    <w:rsid w:val="00086A7D"/>
    <w:rsid w:val="00086AC4"/>
    <w:rsid w:val="00086AD5"/>
    <w:rsid w:val="00086B05"/>
    <w:rsid w:val="00086C36"/>
    <w:rsid w:val="00086CD9"/>
    <w:rsid w:val="00086D23"/>
    <w:rsid w:val="00086D26"/>
    <w:rsid w:val="00086D3C"/>
    <w:rsid w:val="00086DAC"/>
    <w:rsid w:val="00086EB3"/>
    <w:rsid w:val="00086F01"/>
    <w:rsid w:val="00086F8F"/>
    <w:rsid w:val="00086F98"/>
    <w:rsid w:val="00086F9E"/>
    <w:rsid w:val="00087004"/>
    <w:rsid w:val="00087025"/>
    <w:rsid w:val="00087049"/>
    <w:rsid w:val="0008704A"/>
    <w:rsid w:val="000870E5"/>
    <w:rsid w:val="00087134"/>
    <w:rsid w:val="0008717C"/>
    <w:rsid w:val="00087287"/>
    <w:rsid w:val="000872BC"/>
    <w:rsid w:val="000872C5"/>
    <w:rsid w:val="000872CE"/>
    <w:rsid w:val="00087304"/>
    <w:rsid w:val="0008734F"/>
    <w:rsid w:val="0008738E"/>
    <w:rsid w:val="000873B7"/>
    <w:rsid w:val="000873F1"/>
    <w:rsid w:val="000874F3"/>
    <w:rsid w:val="0008754F"/>
    <w:rsid w:val="000877D9"/>
    <w:rsid w:val="00087802"/>
    <w:rsid w:val="0008789C"/>
    <w:rsid w:val="000878FF"/>
    <w:rsid w:val="0008794C"/>
    <w:rsid w:val="00087959"/>
    <w:rsid w:val="00087ABD"/>
    <w:rsid w:val="00087AC8"/>
    <w:rsid w:val="00087B0C"/>
    <w:rsid w:val="00087B72"/>
    <w:rsid w:val="00087BE9"/>
    <w:rsid w:val="00087BFE"/>
    <w:rsid w:val="00087CED"/>
    <w:rsid w:val="00087D22"/>
    <w:rsid w:val="00087D56"/>
    <w:rsid w:val="00087DE9"/>
    <w:rsid w:val="000900A1"/>
    <w:rsid w:val="00090102"/>
    <w:rsid w:val="00090156"/>
    <w:rsid w:val="0009016F"/>
    <w:rsid w:val="000901AD"/>
    <w:rsid w:val="00090220"/>
    <w:rsid w:val="00090264"/>
    <w:rsid w:val="000902E1"/>
    <w:rsid w:val="0009031C"/>
    <w:rsid w:val="0009037A"/>
    <w:rsid w:val="000903FD"/>
    <w:rsid w:val="00090403"/>
    <w:rsid w:val="0009040B"/>
    <w:rsid w:val="00090427"/>
    <w:rsid w:val="000904B2"/>
    <w:rsid w:val="000904D8"/>
    <w:rsid w:val="0009054F"/>
    <w:rsid w:val="0009059A"/>
    <w:rsid w:val="000906BE"/>
    <w:rsid w:val="0009072D"/>
    <w:rsid w:val="00090AFF"/>
    <w:rsid w:val="00090BD1"/>
    <w:rsid w:val="00090D7C"/>
    <w:rsid w:val="00090DBA"/>
    <w:rsid w:val="00090E37"/>
    <w:rsid w:val="00090FED"/>
    <w:rsid w:val="00090FF9"/>
    <w:rsid w:val="0009104B"/>
    <w:rsid w:val="000914F2"/>
    <w:rsid w:val="0009155F"/>
    <w:rsid w:val="000915D6"/>
    <w:rsid w:val="0009161A"/>
    <w:rsid w:val="00091643"/>
    <w:rsid w:val="000917D4"/>
    <w:rsid w:val="000917FA"/>
    <w:rsid w:val="00091839"/>
    <w:rsid w:val="0009184B"/>
    <w:rsid w:val="000918C3"/>
    <w:rsid w:val="00091945"/>
    <w:rsid w:val="0009194C"/>
    <w:rsid w:val="00091954"/>
    <w:rsid w:val="0009199E"/>
    <w:rsid w:val="000919A7"/>
    <w:rsid w:val="000919E5"/>
    <w:rsid w:val="00091A57"/>
    <w:rsid w:val="00091A9B"/>
    <w:rsid w:val="00091B86"/>
    <w:rsid w:val="00091C8D"/>
    <w:rsid w:val="00091CE8"/>
    <w:rsid w:val="00091CFB"/>
    <w:rsid w:val="00091D3A"/>
    <w:rsid w:val="00091D83"/>
    <w:rsid w:val="00091E0E"/>
    <w:rsid w:val="00091EF1"/>
    <w:rsid w:val="00091F45"/>
    <w:rsid w:val="00091F4F"/>
    <w:rsid w:val="00091FC0"/>
    <w:rsid w:val="000920A9"/>
    <w:rsid w:val="000921A4"/>
    <w:rsid w:val="00092201"/>
    <w:rsid w:val="000922AB"/>
    <w:rsid w:val="000922C6"/>
    <w:rsid w:val="000922D8"/>
    <w:rsid w:val="000922DD"/>
    <w:rsid w:val="00092326"/>
    <w:rsid w:val="000923D5"/>
    <w:rsid w:val="000924A2"/>
    <w:rsid w:val="000924AA"/>
    <w:rsid w:val="000924BE"/>
    <w:rsid w:val="0009265B"/>
    <w:rsid w:val="00092663"/>
    <w:rsid w:val="000926AD"/>
    <w:rsid w:val="000926AF"/>
    <w:rsid w:val="000926E6"/>
    <w:rsid w:val="000926F4"/>
    <w:rsid w:val="000927BA"/>
    <w:rsid w:val="000928D2"/>
    <w:rsid w:val="00092968"/>
    <w:rsid w:val="00092A7D"/>
    <w:rsid w:val="00092AC3"/>
    <w:rsid w:val="00092ADA"/>
    <w:rsid w:val="00092B92"/>
    <w:rsid w:val="00092C07"/>
    <w:rsid w:val="00092D04"/>
    <w:rsid w:val="00092D71"/>
    <w:rsid w:val="00092D90"/>
    <w:rsid w:val="00092DBD"/>
    <w:rsid w:val="00092DC4"/>
    <w:rsid w:val="00092EB4"/>
    <w:rsid w:val="00092FA5"/>
    <w:rsid w:val="00092FBF"/>
    <w:rsid w:val="00093036"/>
    <w:rsid w:val="00093075"/>
    <w:rsid w:val="000930B3"/>
    <w:rsid w:val="0009316A"/>
    <w:rsid w:val="00093386"/>
    <w:rsid w:val="0009342C"/>
    <w:rsid w:val="000934C3"/>
    <w:rsid w:val="00093589"/>
    <w:rsid w:val="000935D4"/>
    <w:rsid w:val="000936C9"/>
    <w:rsid w:val="000936DC"/>
    <w:rsid w:val="000936FA"/>
    <w:rsid w:val="0009377B"/>
    <w:rsid w:val="0009386E"/>
    <w:rsid w:val="00093968"/>
    <w:rsid w:val="000939E9"/>
    <w:rsid w:val="00093A0C"/>
    <w:rsid w:val="00093A9E"/>
    <w:rsid w:val="00093AAD"/>
    <w:rsid w:val="00093BBA"/>
    <w:rsid w:val="00093BE8"/>
    <w:rsid w:val="00093C5A"/>
    <w:rsid w:val="00093C5B"/>
    <w:rsid w:val="00093C8B"/>
    <w:rsid w:val="00093CED"/>
    <w:rsid w:val="00093D08"/>
    <w:rsid w:val="00093DAF"/>
    <w:rsid w:val="00093F13"/>
    <w:rsid w:val="00093F4D"/>
    <w:rsid w:val="000940AC"/>
    <w:rsid w:val="000940C7"/>
    <w:rsid w:val="000940CD"/>
    <w:rsid w:val="000940FD"/>
    <w:rsid w:val="00094118"/>
    <w:rsid w:val="0009411E"/>
    <w:rsid w:val="00094126"/>
    <w:rsid w:val="00094292"/>
    <w:rsid w:val="0009434C"/>
    <w:rsid w:val="000943D8"/>
    <w:rsid w:val="0009442B"/>
    <w:rsid w:val="00094443"/>
    <w:rsid w:val="0009457F"/>
    <w:rsid w:val="0009458B"/>
    <w:rsid w:val="00094624"/>
    <w:rsid w:val="00094650"/>
    <w:rsid w:val="0009466B"/>
    <w:rsid w:val="00094813"/>
    <w:rsid w:val="0009487F"/>
    <w:rsid w:val="000948BD"/>
    <w:rsid w:val="00094939"/>
    <w:rsid w:val="0009495D"/>
    <w:rsid w:val="0009497F"/>
    <w:rsid w:val="000949A5"/>
    <w:rsid w:val="000949AB"/>
    <w:rsid w:val="000949C2"/>
    <w:rsid w:val="000949DA"/>
    <w:rsid w:val="000949E1"/>
    <w:rsid w:val="00094A55"/>
    <w:rsid w:val="00094B19"/>
    <w:rsid w:val="00094B82"/>
    <w:rsid w:val="00094B98"/>
    <w:rsid w:val="00094BFA"/>
    <w:rsid w:val="00094C02"/>
    <w:rsid w:val="00094CAA"/>
    <w:rsid w:val="00094D94"/>
    <w:rsid w:val="00094E29"/>
    <w:rsid w:val="00094E96"/>
    <w:rsid w:val="00094EEE"/>
    <w:rsid w:val="00094F88"/>
    <w:rsid w:val="00094F98"/>
    <w:rsid w:val="00094FA0"/>
    <w:rsid w:val="0009504E"/>
    <w:rsid w:val="00095077"/>
    <w:rsid w:val="00095102"/>
    <w:rsid w:val="0009528B"/>
    <w:rsid w:val="000952F8"/>
    <w:rsid w:val="000953C8"/>
    <w:rsid w:val="00095411"/>
    <w:rsid w:val="0009541A"/>
    <w:rsid w:val="00095429"/>
    <w:rsid w:val="000954D8"/>
    <w:rsid w:val="000955AA"/>
    <w:rsid w:val="000955E4"/>
    <w:rsid w:val="000956D7"/>
    <w:rsid w:val="00095720"/>
    <w:rsid w:val="00095790"/>
    <w:rsid w:val="00095791"/>
    <w:rsid w:val="000957D4"/>
    <w:rsid w:val="000958A2"/>
    <w:rsid w:val="00095913"/>
    <w:rsid w:val="000959B5"/>
    <w:rsid w:val="00095A1D"/>
    <w:rsid w:val="00095A7F"/>
    <w:rsid w:val="00095B13"/>
    <w:rsid w:val="00095BE4"/>
    <w:rsid w:val="00095C8C"/>
    <w:rsid w:val="00095CF0"/>
    <w:rsid w:val="00095D03"/>
    <w:rsid w:val="00095D0A"/>
    <w:rsid w:val="00095D0D"/>
    <w:rsid w:val="00095DB9"/>
    <w:rsid w:val="00095E03"/>
    <w:rsid w:val="00095FA7"/>
    <w:rsid w:val="00095FBC"/>
    <w:rsid w:val="0009608C"/>
    <w:rsid w:val="00096104"/>
    <w:rsid w:val="00096114"/>
    <w:rsid w:val="000961B6"/>
    <w:rsid w:val="00096296"/>
    <w:rsid w:val="000962B0"/>
    <w:rsid w:val="000962B8"/>
    <w:rsid w:val="0009632B"/>
    <w:rsid w:val="00096389"/>
    <w:rsid w:val="000963AE"/>
    <w:rsid w:val="000964C7"/>
    <w:rsid w:val="00096612"/>
    <w:rsid w:val="00096653"/>
    <w:rsid w:val="0009677E"/>
    <w:rsid w:val="0009689F"/>
    <w:rsid w:val="00096944"/>
    <w:rsid w:val="00096A34"/>
    <w:rsid w:val="00096A74"/>
    <w:rsid w:val="00096AA2"/>
    <w:rsid w:val="00096AD5"/>
    <w:rsid w:val="00096B34"/>
    <w:rsid w:val="00096B3C"/>
    <w:rsid w:val="00096B5A"/>
    <w:rsid w:val="00096C89"/>
    <w:rsid w:val="00096D53"/>
    <w:rsid w:val="00096DC5"/>
    <w:rsid w:val="00096E0B"/>
    <w:rsid w:val="00096E51"/>
    <w:rsid w:val="00096EDB"/>
    <w:rsid w:val="00096F2F"/>
    <w:rsid w:val="00096FB5"/>
    <w:rsid w:val="000970AC"/>
    <w:rsid w:val="00097116"/>
    <w:rsid w:val="0009711F"/>
    <w:rsid w:val="00097120"/>
    <w:rsid w:val="000971E1"/>
    <w:rsid w:val="00097279"/>
    <w:rsid w:val="00097294"/>
    <w:rsid w:val="000972C1"/>
    <w:rsid w:val="000972FA"/>
    <w:rsid w:val="00097354"/>
    <w:rsid w:val="0009735C"/>
    <w:rsid w:val="0009737C"/>
    <w:rsid w:val="000973C6"/>
    <w:rsid w:val="0009746B"/>
    <w:rsid w:val="000974A1"/>
    <w:rsid w:val="000974D7"/>
    <w:rsid w:val="000974F8"/>
    <w:rsid w:val="0009750B"/>
    <w:rsid w:val="0009751A"/>
    <w:rsid w:val="000975E0"/>
    <w:rsid w:val="000975FA"/>
    <w:rsid w:val="0009764D"/>
    <w:rsid w:val="00097711"/>
    <w:rsid w:val="00097850"/>
    <w:rsid w:val="00097888"/>
    <w:rsid w:val="000979B9"/>
    <w:rsid w:val="00097A80"/>
    <w:rsid w:val="00097C0F"/>
    <w:rsid w:val="00097C11"/>
    <w:rsid w:val="00097C1E"/>
    <w:rsid w:val="00097C66"/>
    <w:rsid w:val="00097CAF"/>
    <w:rsid w:val="00097D05"/>
    <w:rsid w:val="00097D06"/>
    <w:rsid w:val="00097D2E"/>
    <w:rsid w:val="00097DA3"/>
    <w:rsid w:val="00097E18"/>
    <w:rsid w:val="00097E3D"/>
    <w:rsid w:val="000A0118"/>
    <w:rsid w:val="000A0161"/>
    <w:rsid w:val="000A01E6"/>
    <w:rsid w:val="000A0296"/>
    <w:rsid w:val="000A02BA"/>
    <w:rsid w:val="000A03B9"/>
    <w:rsid w:val="000A04E1"/>
    <w:rsid w:val="000A04EB"/>
    <w:rsid w:val="000A0525"/>
    <w:rsid w:val="000A0532"/>
    <w:rsid w:val="000A054C"/>
    <w:rsid w:val="000A05E2"/>
    <w:rsid w:val="000A061C"/>
    <w:rsid w:val="000A067D"/>
    <w:rsid w:val="000A06B9"/>
    <w:rsid w:val="000A06DE"/>
    <w:rsid w:val="000A07BC"/>
    <w:rsid w:val="000A0876"/>
    <w:rsid w:val="000A088C"/>
    <w:rsid w:val="000A08A3"/>
    <w:rsid w:val="000A08FC"/>
    <w:rsid w:val="000A09E0"/>
    <w:rsid w:val="000A0A2C"/>
    <w:rsid w:val="000A0A6D"/>
    <w:rsid w:val="000A0AF5"/>
    <w:rsid w:val="000A0B76"/>
    <w:rsid w:val="000A0B8B"/>
    <w:rsid w:val="000A0B9B"/>
    <w:rsid w:val="000A0C9B"/>
    <w:rsid w:val="000A0CB6"/>
    <w:rsid w:val="000A0D14"/>
    <w:rsid w:val="000A0D3A"/>
    <w:rsid w:val="000A0D58"/>
    <w:rsid w:val="000A0E33"/>
    <w:rsid w:val="000A0EB5"/>
    <w:rsid w:val="000A0ED4"/>
    <w:rsid w:val="000A0FC1"/>
    <w:rsid w:val="000A1002"/>
    <w:rsid w:val="000A1060"/>
    <w:rsid w:val="000A1068"/>
    <w:rsid w:val="000A1182"/>
    <w:rsid w:val="000A1233"/>
    <w:rsid w:val="000A1285"/>
    <w:rsid w:val="000A12B0"/>
    <w:rsid w:val="000A13F1"/>
    <w:rsid w:val="000A1449"/>
    <w:rsid w:val="000A14F7"/>
    <w:rsid w:val="000A15BA"/>
    <w:rsid w:val="000A15E7"/>
    <w:rsid w:val="000A161B"/>
    <w:rsid w:val="000A1686"/>
    <w:rsid w:val="000A16BC"/>
    <w:rsid w:val="000A16EB"/>
    <w:rsid w:val="000A1706"/>
    <w:rsid w:val="000A17AB"/>
    <w:rsid w:val="000A17DA"/>
    <w:rsid w:val="000A17FC"/>
    <w:rsid w:val="000A1852"/>
    <w:rsid w:val="000A192E"/>
    <w:rsid w:val="000A1975"/>
    <w:rsid w:val="000A1A08"/>
    <w:rsid w:val="000A1A16"/>
    <w:rsid w:val="000A1AEF"/>
    <w:rsid w:val="000A1AF1"/>
    <w:rsid w:val="000A1B06"/>
    <w:rsid w:val="000A1B7C"/>
    <w:rsid w:val="000A1B82"/>
    <w:rsid w:val="000A1BD8"/>
    <w:rsid w:val="000A1C24"/>
    <w:rsid w:val="000A1C6F"/>
    <w:rsid w:val="000A1CE2"/>
    <w:rsid w:val="000A1D0C"/>
    <w:rsid w:val="000A1D9B"/>
    <w:rsid w:val="000A1E57"/>
    <w:rsid w:val="000A1E80"/>
    <w:rsid w:val="000A2062"/>
    <w:rsid w:val="000A2073"/>
    <w:rsid w:val="000A2113"/>
    <w:rsid w:val="000A21AD"/>
    <w:rsid w:val="000A241E"/>
    <w:rsid w:val="000A24B0"/>
    <w:rsid w:val="000A25A8"/>
    <w:rsid w:val="000A25D8"/>
    <w:rsid w:val="000A2621"/>
    <w:rsid w:val="000A2671"/>
    <w:rsid w:val="000A269A"/>
    <w:rsid w:val="000A26AD"/>
    <w:rsid w:val="000A281A"/>
    <w:rsid w:val="000A2860"/>
    <w:rsid w:val="000A28B4"/>
    <w:rsid w:val="000A292A"/>
    <w:rsid w:val="000A2931"/>
    <w:rsid w:val="000A2A2D"/>
    <w:rsid w:val="000A2B28"/>
    <w:rsid w:val="000A2B44"/>
    <w:rsid w:val="000A2C4A"/>
    <w:rsid w:val="000A2C50"/>
    <w:rsid w:val="000A2C88"/>
    <w:rsid w:val="000A2D18"/>
    <w:rsid w:val="000A2D24"/>
    <w:rsid w:val="000A2D2D"/>
    <w:rsid w:val="000A2D8D"/>
    <w:rsid w:val="000A2DEB"/>
    <w:rsid w:val="000A2E9C"/>
    <w:rsid w:val="000A2EC1"/>
    <w:rsid w:val="000A2EEC"/>
    <w:rsid w:val="000A2FD8"/>
    <w:rsid w:val="000A2FDF"/>
    <w:rsid w:val="000A302C"/>
    <w:rsid w:val="000A308A"/>
    <w:rsid w:val="000A31B3"/>
    <w:rsid w:val="000A320A"/>
    <w:rsid w:val="000A32E7"/>
    <w:rsid w:val="000A341C"/>
    <w:rsid w:val="000A34BF"/>
    <w:rsid w:val="000A36A4"/>
    <w:rsid w:val="000A36FB"/>
    <w:rsid w:val="000A37A4"/>
    <w:rsid w:val="000A37D4"/>
    <w:rsid w:val="000A37D6"/>
    <w:rsid w:val="000A37D9"/>
    <w:rsid w:val="000A38D0"/>
    <w:rsid w:val="000A38EA"/>
    <w:rsid w:val="000A3910"/>
    <w:rsid w:val="000A3951"/>
    <w:rsid w:val="000A398F"/>
    <w:rsid w:val="000A39A5"/>
    <w:rsid w:val="000A3A4E"/>
    <w:rsid w:val="000A3A86"/>
    <w:rsid w:val="000A3A94"/>
    <w:rsid w:val="000A3AD4"/>
    <w:rsid w:val="000A3ADA"/>
    <w:rsid w:val="000A3BDC"/>
    <w:rsid w:val="000A3C46"/>
    <w:rsid w:val="000A3CA3"/>
    <w:rsid w:val="000A3CB9"/>
    <w:rsid w:val="000A3CD0"/>
    <w:rsid w:val="000A3D04"/>
    <w:rsid w:val="000A3D08"/>
    <w:rsid w:val="000A3D10"/>
    <w:rsid w:val="000A3D21"/>
    <w:rsid w:val="000A3D81"/>
    <w:rsid w:val="000A3DC9"/>
    <w:rsid w:val="000A3ED7"/>
    <w:rsid w:val="000A3F9B"/>
    <w:rsid w:val="000A4012"/>
    <w:rsid w:val="000A4049"/>
    <w:rsid w:val="000A406C"/>
    <w:rsid w:val="000A40E4"/>
    <w:rsid w:val="000A40EE"/>
    <w:rsid w:val="000A4103"/>
    <w:rsid w:val="000A41C9"/>
    <w:rsid w:val="000A41D1"/>
    <w:rsid w:val="000A4308"/>
    <w:rsid w:val="000A430C"/>
    <w:rsid w:val="000A4332"/>
    <w:rsid w:val="000A436C"/>
    <w:rsid w:val="000A438A"/>
    <w:rsid w:val="000A4435"/>
    <w:rsid w:val="000A4489"/>
    <w:rsid w:val="000A44CC"/>
    <w:rsid w:val="000A47B9"/>
    <w:rsid w:val="000A4853"/>
    <w:rsid w:val="000A487C"/>
    <w:rsid w:val="000A4974"/>
    <w:rsid w:val="000A4A4A"/>
    <w:rsid w:val="000A4A95"/>
    <w:rsid w:val="000A4AEC"/>
    <w:rsid w:val="000A4B07"/>
    <w:rsid w:val="000A4B97"/>
    <w:rsid w:val="000A4BBA"/>
    <w:rsid w:val="000A4D22"/>
    <w:rsid w:val="000A4F45"/>
    <w:rsid w:val="000A502B"/>
    <w:rsid w:val="000A51BA"/>
    <w:rsid w:val="000A5204"/>
    <w:rsid w:val="000A5288"/>
    <w:rsid w:val="000A52BD"/>
    <w:rsid w:val="000A52DD"/>
    <w:rsid w:val="000A5329"/>
    <w:rsid w:val="000A5371"/>
    <w:rsid w:val="000A53AD"/>
    <w:rsid w:val="000A53F0"/>
    <w:rsid w:val="000A54F0"/>
    <w:rsid w:val="000A5518"/>
    <w:rsid w:val="000A551B"/>
    <w:rsid w:val="000A5569"/>
    <w:rsid w:val="000A5583"/>
    <w:rsid w:val="000A564E"/>
    <w:rsid w:val="000A575E"/>
    <w:rsid w:val="000A577C"/>
    <w:rsid w:val="000A578E"/>
    <w:rsid w:val="000A58D5"/>
    <w:rsid w:val="000A5925"/>
    <w:rsid w:val="000A595B"/>
    <w:rsid w:val="000A59B1"/>
    <w:rsid w:val="000A5A0C"/>
    <w:rsid w:val="000A5A35"/>
    <w:rsid w:val="000A5B08"/>
    <w:rsid w:val="000A5B14"/>
    <w:rsid w:val="000A5BB2"/>
    <w:rsid w:val="000A5C19"/>
    <w:rsid w:val="000A5C27"/>
    <w:rsid w:val="000A5C40"/>
    <w:rsid w:val="000A5CEB"/>
    <w:rsid w:val="000A5D38"/>
    <w:rsid w:val="000A5D8F"/>
    <w:rsid w:val="000A5FC6"/>
    <w:rsid w:val="000A6009"/>
    <w:rsid w:val="000A6059"/>
    <w:rsid w:val="000A606A"/>
    <w:rsid w:val="000A6076"/>
    <w:rsid w:val="000A609C"/>
    <w:rsid w:val="000A610A"/>
    <w:rsid w:val="000A610E"/>
    <w:rsid w:val="000A61DF"/>
    <w:rsid w:val="000A62FF"/>
    <w:rsid w:val="000A64B1"/>
    <w:rsid w:val="000A64B3"/>
    <w:rsid w:val="000A64DA"/>
    <w:rsid w:val="000A6674"/>
    <w:rsid w:val="000A6751"/>
    <w:rsid w:val="000A6791"/>
    <w:rsid w:val="000A67C9"/>
    <w:rsid w:val="000A67D3"/>
    <w:rsid w:val="000A67FF"/>
    <w:rsid w:val="000A683A"/>
    <w:rsid w:val="000A6899"/>
    <w:rsid w:val="000A68A4"/>
    <w:rsid w:val="000A6926"/>
    <w:rsid w:val="000A6967"/>
    <w:rsid w:val="000A697F"/>
    <w:rsid w:val="000A6AE4"/>
    <w:rsid w:val="000A6BAC"/>
    <w:rsid w:val="000A6C5D"/>
    <w:rsid w:val="000A6DC9"/>
    <w:rsid w:val="000A6E23"/>
    <w:rsid w:val="000A6E25"/>
    <w:rsid w:val="000A6F33"/>
    <w:rsid w:val="000A6F87"/>
    <w:rsid w:val="000A6F8C"/>
    <w:rsid w:val="000A7055"/>
    <w:rsid w:val="000A7097"/>
    <w:rsid w:val="000A7198"/>
    <w:rsid w:val="000A71ED"/>
    <w:rsid w:val="000A71F0"/>
    <w:rsid w:val="000A7206"/>
    <w:rsid w:val="000A725A"/>
    <w:rsid w:val="000A72F3"/>
    <w:rsid w:val="000A7319"/>
    <w:rsid w:val="000A7368"/>
    <w:rsid w:val="000A739A"/>
    <w:rsid w:val="000A739B"/>
    <w:rsid w:val="000A7458"/>
    <w:rsid w:val="000A747E"/>
    <w:rsid w:val="000A74FE"/>
    <w:rsid w:val="000A750E"/>
    <w:rsid w:val="000A7581"/>
    <w:rsid w:val="000A7593"/>
    <w:rsid w:val="000A75C0"/>
    <w:rsid w:val="000A7805"/>
    <w:rsid w:val="000A7850"/>
    <w:rsid w:val="000A7864"/>
    <w:rsid w:val="000A7884"/>
    <w:rsid w:val="000A78B7"/>
    <w:rsid w:val="000A7BA6"/>
    <w:rsid w:val="000A7CFD"/>
    <w:rsid w:val="000A7D9B"/>
    <w:rsid w:val="000A7D9E"/>
    <w:rsid w:val="000A7DD3"/>
    <w:rsid w:val="000A7DD5"/>
    <w:rsid w:val="000A7DDB"/>
    <w:rsid w:val="000A7ECB"/>
    <w:rsid w:val="000AEFBC"/>
    <w:rsid w:val="000B02BB"/>
    <w:rsid w:val="000B03B8"/>
    <w:rsid w:val="000B042C"/>
    <w:rsid w:val="000B0497"/>
    <w:rsid w:val="000B04F7"/>
    <w:rsid w:val="000B05A8"/>
    <w:rsid w:val="000B05CE"/>
    <w:rsid w:val="000B0633"/>
    <w:rsid w:val="000B072B"/>
    <w:rsid w:val="000B075B"/>
    <w:rsid w:val="000B077F"/>
    <w:rsid w:val="000B0787"/>
    <w:rsid w:val="000B07DF"/>
    <w:rsid w:val="000B07F4"/>
    <w:rsid w:val="000B07FF"/>
    <w:rsid w:val="000B083F"/>
    <w:rsid w:val="000B0862"/>
    <w:rsid w:val="000B08FA"/>
    <w:rsid w:val="000B092B"/>
    <w:rsid w:val="000B0980"/>
    <w:rsid w:val="000B0A11"/>
    <w:rsid w:val="000B0A16"/>
    <w:rsid w:val="000B0AF7"/>
    <w:rsid w:val="000B0B49"/>
    <w:rsid w:val="000B0B7E"/>
    <w:rsid w:val="000B0BAE"/>
    <w:rsid w:val="000B0C0E"/>
    <w:rsid w:val="000B0C45"/>
    <w:rsid w:val="000B0CE2"/>
    <w:rsid w:val="000B0CFA"/>
    <w:rsid w:val="000B0D37"/>
    <w:rsid w:val="000B0DAF"/>
    <w:rsid w:val="000B0E04"/>
    <w:rsid w:val="000B0E6C"/>
    <w:rsid w:val="000B0F28"/>
    <w:rsid w:val="000B0F3B"/>
    <w:rsid w:val="000B10ED"/>
    <w:rsid w:val="000B1174"/>
    <w:rsid w:val="000B11F3"/>
    <w:rsid w:val="000B11F7"/>
    <w:rsid w:val="000B1266"/>
    <w:rsid w:val="000B1298"/>
    <w:rsid w:val="000B133C"/>
    <w:rsid w:val="000B1344"/>
    <w:rsid w:val="000B13DD"/>
    <w:rsid w:val="000B14AB"/>
    <w:rsid w:val="000B14EE"/>
    <w:rsid w:val="000B1504"/>
    <w:rsid w:val="000B1517"/>
    <w:rsid w:val="000B1566"/>
    <w:rsid w:val="000B165E"/>
    <w:rsid w:val="000B167B"/>
    <w:rsid w:val="000B17D7"/>
    <w:rsid w:val="000B1832"/>
    <w:rsid w:val="000B187D"/>
    <w:rsid w:val="000B18C5"/>
    <w:rsid w:val="000B194D"/>
    <w:rsid w:val="000B19B2"/>
    <w:rsid w:val="000B19C5"/>
    <w:rsid w:val="000B19F2"/>
    <w:rsid w:val="000B19FA"/>
    <w:rsid w:val="000B1A2A"/>
    <w:rsid w:val="000B1A56"/>
    <w:rsid w:val="000B1A73"/>
    <w:rsid w:val="000B1AAF"/>
    <w:rsid w:val="000B1B41"/>
    <w:rsid w:val="000B1B98"/>
    <w:rsid w:val="000B1CD3"/>
    <w:rsid w:val="000B1CDC"/>
    <w:rsid w:val="000B1CE7"/>
    <w:rsid w:val="000B1D71"/>
    <w:rsid w:val="000B1D88"/>
    <w:rsid w:val="000B1E3C"/>
    <w:rsid w:val="000B1E58"/>
    <w:rsid w:val="000B1E86"/>
    <w:rsid w:val="000B1EA2"/>
    <w:rsid w:val="000B1FAE"/>
    <w:rsid w:val="000B1FC2"/>
    <w:rsid w:val="000B1FD8"/>
    <w:rsid w:val="000B2002"/>
    <w:rsid w:val="000B2159"/>
    <w:rsid w:val="000B21A7"/>
    <w:rsid w:val="000B22C8"/>
    <w:rsid w:val="000B2353"/>
    <w:rsid w:val="000B23E6"/>
    <w:rsid w:val="000B2403"/>
    <w:rsid w:val="000B258C"/>
    <w:rsid w:val="000B25CC"/>
    <w:rsid w:val="000B261D"/>
    <w:rsid w:val="000B266F"/>
    <w:rsid w:val="000B2705"/>
    <w:rsid w:val="000B273A"/>
    <w:rsid w:val="000B2911"/>
    <w:rsid w:val="000B291B"/>
    <w:rsid w:val="000B2958"/>
    <w:rsid w:val="000B295C"/>
    <w:rsid w:val="000B2A28"/>
    <w:rsid w:val="000B2A33"/>
    <w:rsid w:val="000B2A34"/>
    <w:rsid w:val="000B2A5E"/>
    <w:rsid w:val="000B2B15"/>
    <w:rsid w:val="000B2B76"/>
    <w:rsid w:val="000B2BB6"/>
    <w:rsid w:val="000B2D00"/>
    <w:rsid w:val="000B2D8A"/>
    <w:rsid w:val="000B2DDB"/>
    <w:rsid w:val="000B2E9E"/>
    <w:rsid w:val="000B2EB1"/>
    <w:rsid w:val="000B2EDC"/>
    <w:rsid w:val="000B2FB5"/>
    <w:rsid w:val="000B2FD9"/>
    <w:rsid w:val="000B3002"/>
    <w:rsid w:val="000B301D"/>
    <w:rsid w:val="000B30EB"/>
    <w:rsid w:val="000B3126"/>
    <w:rsid w:val="000B3171"/>
    <w:rsid w:val="000B3172"/>
    <w:rsid w:val="000B3214"/>
    <w:rsid w:val="000B3236"/>
    <w:rsid w:val="000B32A9"/>
    <w:rsid w:val="000B335A"/>
    <w:rsid w:val="000B33A1"/>
    <w:rsid w:val="000B344F"/>
    <w:rsid w:val="000B345B"/>
    <w:rsid w:val="000B34AC"/>
    <w:rsid w:val="000B35E8"/>
    <w:rsid w:val="000B366E"/>
    <w:rsid w:val="000B36C7"/>
    <w:rsid w:val="000B376B"/>
    <w:rsid w:val="000B37DB"/>
    <w:rsid w:val="000B387A"/>
    <w:rsid w:val="000B38C4"/>
    <w:rsid w:val="000B38FE"/>
    <w:rsid w:val="000B399C"/>
    <w:rsid w:val="000B39CF"/>
    <w:rsid w:val="000B3A12"/>
    <w:rsid w:val="000B3A6F"/>
    <w:rsid w:val="000B3AB3"/>
    <w:rsid w:val="000B3C33"/>
    <w:rsid w:val="000B3C47"/>
    <w:rsid w:val="000B3CF9"/>
    <w:rsid w:val="000B3D79"/>
    <w:rsid w:val="000B3E5E"/>
    <w:rsid w:val="000B3EF6"/>
    <w:rsid w:val="000B3F15"/>
    <w:rsid w:val="000B3F42"/>
    <w:rsid w:val="000B4003"/>
    <w:rsid w:val="000B4028"/>
    <w:rsid w:val="000B404C"/>
    <w:rsid w:val="000B4062"/>
    <w:rsid w:val="000B4099"/>
    <w:rsid w:val="000B40B8"/>
    <w:rsid w:val="000B40F9"/>
    <w:rsid w:val="000B4154"/>
    <w:rsid w:val="000B4185"/>
    <w:rsid w:val="000B42AE"/>
    <w:rsid w:val="000B4331"/>
    <w:rsid w:val="000B43F9"/>
    <w:rsid w:val="000B4448"/>
    <w:rsid w:val="000B4515"/>
    <w:rsid w:val="000B45C9"/>
    <w:rsid w:val="000B45CE"/>
    <w:rsid w:val="000B46A7"/>
    <w:rsid w:val="000B4709"/>
    <w:rsid w:val="000B4726"/>
    <w:rsid w:val="000B47D2"/>
    <w:rsid w:val="000B4825"/>
    <w:rsid w:val="000B48B9"/>
    <w:rsid w:val="000B48BA"/>
    <w:rsid w:val="000B4946"/>
    <w:rsid w:val="000B4978"/>
    <w:rsid w:val="000B4A18"/>
    <w:rsid w:val="000B4B21"/>
    <w:rsid w:val="000B4B45"/>
    <w:rsid w:val="000B4B72"/>
    <w:rsid w:val="000B4BF1"/>
    <w:rsid w:val="000B4C58"/>
    <w:rsid w:val="000B4C7E"/>
    <w:rsid w:val="000B4C91"/>
    <w:rsid w:val="000B4CBA"/>
    <w:rsid w:val="000B4D04"/>
    <w:rsid w:val="000B4D1B"/>
    <w:rsid w:val="000B4D65"/>
    <w:rsid w:val="000B4DA5"/>
    <w:rsid w:val="000B4DC1"/>
    <w:rsid w:val="000B4DD6"/>
    <w:rsid w:val="000B4E1B"/>
    <w:rsid w:val="000B4EF9"/>
    <w:rsid w:val="000B4F21"/>
    <w:rsid w:val="000B4F25"/>
    <w:rsid w:val="000B4F29"/>
    <w:rsid w:val="000B4F7A"/>
    <w:rsid w:val="000B4F91"/>
    <w:rsid w:val="000B4FB4"/>
    <w:rsid w:val="000B4FE1"/>
    <w:rsid w:val="000B502D"/>
    <w:rsid w:val="000B50CA"/>
    <w:rsid w:val="000B525B"/>
    <w:rsid w:val="000B5260"/>
    <w:rsid w:val="000B52EE"/>
    <w:rsid w:val="000B53EC"/>
    <w:rsid w:val="000B53F3"/>
    <w:rsid w:val="000B5402"/>
    <w:rsid w:val="000B5432"/>
    <w:rsid w:val="000B54CC"/>
    <w:rsid w:val="000B5568"/>
    <w:rsid w:val="000B5569"/>
    <w:rsid w:val="000B5579"/>
    <w:rsid w:val="000B55CB"/>
    <w:rsid w:val="000B57A2"/>
    <w:rsid w:val="000B5898"/>
    <w:rsid w:val="000B58A8"/>
    <w:rsid w:val="000B596C"/>
    <w:rsid w:val="000B5A15"/>
    <w:rsid w:val="000B5A17"/>
    <w:rsid w:val="000B5A98"/>
    <w:rsid w:val="000B5AA0"/>
    <w:rsid w:val="000B5AA8"/>
    <w:rsid w:val="000B5AE7"/>
    <w:rsid w:val="000B5B49"/>
    <w:rsid w:val="000B5B52"/>
    <w:rsid w:val="000B5B5F"/>
    <w:rsid w:val="000B5BDB"/>
    <w:rsid w:val="000B5C5D"/>
    <w:rsid w:val="000B5CB9"/>
    <w:rsid w:val="000B5D3D"/>
    <w:rsid w:val="000B5DAD"/>
    <w:rsid w:val="000B5E8B"/>
    <w:rsid w:val="000B5F68"/>
    <w:rsid w:val="000B5FA6"/>
    <w:rsid w:val="000B60AF"/>
    <w:rsid w:val="000B6110"/>
    <w:rsid w:val="000B6151"/>
    <w:rsid w:val="000B61B9"/>
    <w:rsid w:val="000B62E6"/>
    <w:rsid w:val="000B6325"/>
    <w:rsid w:val="000B6435"/>
    <w:rsid w:val="000B6480"/>
    <w:rsid w:val="000B6488"/>
    <w:rsid w:val="000B64CA"/>
    <w:rsid w:val="000B6532"/>
    <w:rsid w:val="000B653A"/>
    <w:rsid w:val="000B6576"/>
    <w:rsid w:val="000B65A5"/>
    <w:rsid w:val="000B662B"/>
    <w:rsid w:val="000B664B"/>
    <w:rsid w:val="000B66D5"/>
    <w:rsid w:val="000B6735"/>
    <w:rsid w:val="000B679C"/>
    <w:rsid w:val="000B67BB"/>
    <w:rsid w:val="000B68ED"/>
    <w:rsid w:val="000B68FF"/>
    <w:rsid w:val="000B6954"/>
    <w:rsid w:val="000B69AC"/>
    <w:rsid w:val="000B69D1"/>
    <w:rsid w:val="000B6ADF"/>
    <w:rsid w:val="000B6B2B"/>
    <w:rsid w:val="000B6B30"/>
    <w:rsid w:val="000B6B3B"/>
    <w:rsid w:val="000B6C0D"/>
    <w:rsid w:val="000B6CD9"/>
    <w:rsid w:val="000B6D46"/>
    <w:rsid w:val="000B6D5F"/>
    <w:rsid w:val="000B6DB0"/>
    <w:rsid w:val="000B6E7F"/>
    <w:rsid w:val="000B7008"/>
    <w:rsid w:val="000B7034"/>
    <w:rsid w:val="000B704F"/>
    <w:rsid w:val="000B71B6"/>
    <w:rsid w:val="000B726E"/>
    <w:rsid w:val="000B72F1"/>
    <w:rsid w:val="000B7378"/>
    <w:rsid w:val="000B748F"/>
    <w:rsid w:val="000B749F"/>
    <w:rsid w:val="000B74BD"/>
    <w:rsid w:val="000B7595"/>
    <w:rsid w:val="000B7610"/>
    <w:rsid w:val="000B7668"/>
    <w:rsid w:val="000B76D2"/>
    <w:rsid w:val="000B7748"/>
    <w:rsid w:val="000B7789"/>
    <w:rsid w:val="000B7837"/>
    <w:rsid w:val="000B7858"/>
    <w:rsid w:val="000B787A"/>
    <w:rsid w:val="000B789F"/>
    <w:rsid w:val="000B798B"/>
    <w:rsid w:val="000B79E4"/>
    <w:rsid w:val="000B7A05"/>
    <w:rsid w:val="000B7A60"/>
    <w:rsid w:val="000B7ACA"/>
    <w:rsid w:val="000B7AD0"/>
    <w:rsid w:val="000B7B6C"/>
    <w:rsid w:val="000B7B6F"/>
    <w:rsid w:val="000B7C5B"/>
    <w:rsid w:val="000B7C8B"/>
    <w:rsid w:val="000B7C90"/>
    <w:rsid w:val="000B7CA2"/>
    <w:rsid w:val="000B7DBC"/>
    <w:rsid w:val="000B7E2F"/>
    <w:rsid w:val="000B7E67"/>
    <w:rsid w:val="000B7ED1"/>
    <w:rsid w:val="000B7F4C"/>
    <w:rsid w:val="000C000C"/>
    <w:rsid w:val="000C00B4"/>
    <w:rsid w:val="000C00FB"/>
    <w:rsid w:val="000C0170"/>
    <w:rsid w:val="000C0180"/>
    <w:rsid w:val="000C01BE"/>
    <w:rsid w:val="000C0261"/>
    <w:rsid w:val="000C026B"/>
    <w:rsid w:val="000C0298"/>
    <w:rsid w:val="000C0308"/>
    <w:rsid w:val="000C0358"/>
    <w:rsid w:val="000C04DF"/>
    <w:rsid w:val="000C0534"/>
    <w:rsid w:val="000C0667"/>
    <w:rsid w:val="000C068C"/>
    <w:rsid w:val="000C0721"/>
    <w:rsid w:val="000C082D"/>
    <w:rsid w:val="000C08D7"/>
    <w:rsid w:val="000C08E2"/>
    <w:rsid w:val="000C0965"/>
    <w:rsid w:val="000C096D"/>
    <w:rsid w:val="000C09C5"/>
    <w:rsid w:val="000C0AB3"/>
    <w:rsid w:val="000C0C33"/>
    <w:rsid w:val="000C0D5F"/>
    <w:rsid w:val="000C0DE3"/>
    <w:rsid w:val="000C0DEE"/>
    <w:rsid w:val="000C0DF3"/>
    <w:rsid w:val="000C0E1F"/>
    <w:rsid w:val="000C0E26"/>
    <w:rsid w:val="000C0EEA"/>
    <w:rsid w:val="000C10C1"/>
    <w:rsid w:val="000C10D6"/>
    <w:rsid w:val="000C1114"/>
    <w:rsid w:val="000C1135"/>
    <w:rsid w:val="000C113F"/>
    <w:rsid w:val="000C118D"/>
    <w:rsid w:val="000C123E"/>
    <w:rsid w:val="000C1275"/>
    <w:rsid w:val="000C131C"/>
    <w:rsid w:val="000C1347"/>
    <w:rsid w:val="000C1378"/>
    <w:rsid w:val="000C1418"/>
    <w:rsid w:val="000C1440"/>
    <w:rsid w:val="000C149C"/>
    <w:rsid w:val="000C14D9"/>
    <w:rsid w:val="000C14FC"/>
    <w:rsid w:val="000C150F"/>
    <w:rsid w:val="000C158A"/>
    <w:rsid w:val="000C165F"/>
    <w:rsid w:val="000C16A2"/>
    <w:rsid w:val="000C1739"/>
    <w:rsid w:val="000C173C"/>
    <w:rsid w:val="000C17A5"/>
    <w:rsid w:val="000C17AC"/>
    <w:rsid w:val="000C17E3"/>
    <w:rsid w:val="000C17F9"/>
    <w:rsid w:val="000C17FE"/>
    <w:rsid w:val="000C1822"/>
    <w:rsid w:val="000C1849"/>
    <w:rsid w:val="000C1952"/>
    <w:rsid w:val="000C1A40"/>
    <w:rsid w:val="000C1B8C"/>
    <w:rsid w:val="000C1B9A"/>
    <w:rsid w:val="000C1D11"/>
    <w:rsid w:val="000C1D45"/>
    <w:rsid w:val="000C1DB2"/>
    <w:rsid w:val="000C1F2C"/>
    <w:rsid w:val="000C1F43"/>
    <w:rsid w:val="000C1F92"/>
    <w:rsid w:val="000C2045"/>
    <w:rsid w:val="000C218D"/>
    <w:rsid w:val="000C2341"/>
    <w:rsid w:val="000C2352"/>
    <w:rsid w:val="000C2380"/>
    <w:rsid w:val="000C2665"/>
    <w:rsid w:val="000C2670"/>
    <w:rsid w:val="000C26E4"/>
    <w:rsid w:val="000C2884"/>
    <w:rsid w:val="000C2905"/>
    <w:rsid w:val="000C2914"/>
    <w:rsid w:val="000C2A85"/>
    <w:rsid w:val="000C2B1A"/>
    <w:rsid w:val="000C2B7B"/>
    <w:rsid w:val="000C2C4D"/>
    <w:rsid w:val="000C2C64"/>
    <w:rsid w:val="000C2E0A"/>
    <w:rsid w:val="000C2E59"/>
    <w:rsid w:val="000C2E97"/>
    <w:rsid w:val="000C2EB8"/>
    <w:rsid w:val="000C2ECD"/>
    <w:rsid w:val="000C2EEB"/>
    <w:rsid w:val="000C2F17"/>
    <w:rsid w:val="000C30A3"/>
    <w:rsid w:val="000C30FF"/>
    <w:rsid w:val="000C3145"/>
    <w:rsid w:val="000C314D"/>
    <w:rsid w:val="000C328F"/>
    <w:rsid w:val="000C329A"/>
    <w:rsid w:val="000C32C4"/>
    <w:rsid w:val="000C3324"/>
    <w:rsid w:val="000C3403"/>
    <w:rsid w:val="000C34CB"/>
    <w:rsid w:val="000C34E6"/>
    <w:rsid w:val="000C34F5"/>
    <w:rsid w:val="000C3554"/>
    <w:rsid w:val="000C3636"/>
    <w:rsid w:val="000C365F"/>
    <w:rsid w:val="000C3672"/>
    <w:rsid w:val="000C36A9"/>
    <w:rsid w:val="000C36FD"/>
    <w:rsid w:val="000C37E0"/>
    <w:rsid w:val="000C383E"/>
    <w:rsid w:val="000C388B"/>
    <w:rsid w:val="000C3930"/>
    <w:rsid w:val="000C395C"/>
    <w:rsid w:val="000C39D9"/>
    <w:rsid w:val="000C39DC"/>
    <w:rsid w:val="000C3B3A"/>
    <w:rsid w:val="000C3B54"/>
    <w:rsid w:val="000C3C67"/>
    <w:rsid w:val="000C3CC7"/>
    <w:rsid w:val="000C3CE1"/>
    <w:rsid w:val="000C3DD9"/>
    <w:rsid w:val="000C3E23"/>
    <w:rsid w:val="000C3F0B"/>
    <w:rsid w:val="000C3FEA"/>
    <w:rsid w:val="000C40DA"/>
    <w:rsid w:val="000C40F2"/>
    <w:rsid w:val="000C4118"/>
    <w:rsid w:val="000C4152"/>
    <w:rsid w:val="000C41C6"/>
    <w:rsid w:val="000C426B"/>
    <w:rsid w:val="000C4284"/>
    <w:rsid w:val="000C430A"/>
    <w:rsid w:val="000C43B0"/>
    <w:rsid w:val="000C43C8"/>
    <w:rsid w:val="000C43C9"/>
    <w:rsid w:val="000C455D"/>
    <w:rsid w:val="000C456F"/>
    <w:rsid w:val="000C4631"/>
    <w:rsid w:val="000C46E9"/>
    <w:rsid w:val="000C4708"/>
    <w:rsid w:val="000C4733"/>
    <w:rsid w:val="000C475D"/>
    <w:rsid w:val="000C4788"/>
    <w:rsid w:val="000C4858"/>
    <w:rsid w:val="000C4920"/>
    <w:rsid w:val="000C4AC7"/>
    <w:rsid w:val="000C4B5A"/>
    <w:rsid w:val="000C4C06"/>
    <w:rsid w:val="000C4C13"/>
    <w:rsid w:val="000C4C37"/>
    <w:rsid w:val="000C4C3A"/>
    <w:rsid w:val="000C4C61"/>
    <w:rsid w:val="000C4CB8"/>
    <w:rsid w:val="000C4D24"/>
    <w:rsid w:val="000C4D50"/>
    <w:rsid w:val="000C4D90"/>
    <w:rsid w:val="000C4E82"/>
    <w:rsid w:val="000C4E84"/>
    <w:rsid w:val="000C4ED3"/>
    <w:rsid w:val="000C4F16"/>
    <w:rsid w:val="000C4F1F"/>
    <w:rsid w:val="000C500C"/>
    <w:rsid w:val="000C5066"/>
    <w:rsid w:val="000C50F6"/>
    <w:rsid w:val="000C5110"/>
    <w:rsid w:val="000C5149"/>
    <w:rsid w:val="000C5298"/>
    <w:rsid w:val="000C52A5"/>
    <w:rsid w:val="000C52BB"/>
    <w:rsid w:val="000C52DE"/>
    <w:rsid w:val="000C5350"/>
    <w:rsid w:val="000C53BB"/>
    <w:rsid w:val="000C53C3"/>
    <w:rsid w:val="000C5410"/>
    <w:rsid w:val="000C5468"/>
    <w:rsid w:val="000C5500"/>
    <w:rsid w:val="000C5511"/>
    <w:rsid w:val="000C556B"/>
    <w:rsid w:val="000C5670"/>
    <w:rsid w:val="000C568D"/>
    <w:rsid w:val="000C5780"/>
    <w:rsid w:val="000C5792"/>
    <w:rsid w:val="000C57B4"/>
    <w:rsid w:val="000C57F9"/>
    <w:rsid w:val="000C589A"/>
    <w:rsid w:val="000C58EF"/>
    <w:rsid w:val="000C5987"/>
    <w:rsid w:val="000C59A6"/>
    <w:rsid w:val="000C5A0D"/>
    <w:rsid w:val="000C5AD7"/>
    <w:rsid w:val="000C5BE0"/>
    <w:rsid w:val="000C5C0D"/>
    <w:rsid w:val="000C5C1F"/>
    <w:rsid w:val="000C5C4B"/>
    <w:rsid w:val="000C5C5C"/>
    <w:rsid w:val="000C5D73"/>
    <w:rsid w:val="000C5DC3"/>
    <w:rsid w:val="000C6064"/>
    <w:rsid w:val="000C60DE"/>
    <w:rsid w:val="000C60E8"/>
    <w:rsid w:val="000C60F1"/>
    <w:rsid w:val="000C60FA"/>
    <w:rsid w:val="000C61B7"/>
    <w:rsid w:val="000C61BB"/>
    <w:rsid w:val="000C6227"/>
    <w:rsid w:val="000C6291"/>
    <w:rsid w:val="000C62DD"/>
    <w:rsid w:val="000C639D"/>
    <w:rsid w:val="000C644B"/>
    <w:rsid w:val="000C6467"/>
    <w:rsid w:val="000C65CD"/>
    <w:rsid w:val="000C65E3"/>
    <w:rsid w:val="000C65FA"/>
    <w:rsid w:val="000C6649"/>
    <w:rsid w:val="000C6683"/>
    <w:rsid w:val="000C668A"/>
    <w:rsid w:val="000C66AE"/>
    <w:rsid w:val="000C6743"/>
    <w:rsid w:val="000C6777"/>
    <w:rsid w:val="000C67DF"/>
    <w:rsid w:val="000C67E5"/>
    <w:rsid w:val="000C67F8"/>
    <w:rsid w:val="000C685B"/>
    <w:rsid w:val="000C68C8"/>
    <w:rsid w:val="000C6966"/>
    <w:rsid w:val="000C69B2"/>
    <w:rsid w:val="000C69EA"/>
    <w:rsid w:val="000C6A30"/>
    <w:rsid w:val="000C6A57"/>
    <w:rsid w:val="000C6ABA"/>
    <w:rsid w:val="000C6BB2"/>
    <w:rsid w:val="000C6BF8"/>
    <w:rsid w:val="000C6C18"/>
    <w:rsid w:val="000C6CA4"/>
    <w:rsid w:val="000C6CD1"/>
    <w:rsid w:val="000C6D91"/>
    <w:rsid w:val="000C6D95"/>
    <w:rsid w:val="000C6E64"/>
    <w:rsid w:val="000C6EDC"/>
    <w:rsid w:val="000C6F33"/>
    <w:rsid w:val="000C6F60"/>
    <w:rsid w:val="000C6FA2"/>
    <w:rsid w:val="000C6FA6"/>
    <w:rsid w:val="000C6FE8"/>
    <w:rsid w:val="000C6FEC"/>
    <w:rsid w:val="000C7090"/>
    <w:rsid w:val="000C70BE"/>
    <w:rsid w:val="000C7162"/>
    <w:rsid w:val="000C7295"/>
    <w:rsid w:val="000C72F2"/>
    <w:rsid w:val="000C72F3"/>
    <w:rsid w:val="000C732C"/>
    <w:rsid w:val="000C73A2"/>
    <w:rsid w:val="000C73A3"/>
    <w:rsid w:val="000C73D7"/>
    <w:rsid w:val="000C7403"/>
    <w:rsid w:val="000C7523"/>
    <w:rsid w:val="000C7531"/>
    <w:rsid w:val="000C7597"/>
    <w:rsid w:val="000C7615"/>
    <w:rsid w:val="000C7667"/>
    <w:rsid w:val="000C7677"/>
    <w:rsid w:val="000C76AA"/>
    <w:rsid w:val="000C7841"/>
    <w:rsid w:val="000C7BB6"/>
    <w:rsid w:val="000C7BBB"/>
    <w:rsid w:val="000C7C0E"/>
    <w:rsid w:val="000C7C33"/>
    <w:rsid w:val="000C7CAB"/>
    <w:rsid w:val="000C7DC5"/>
    <w:rsid w:val="000C7DD5"/>
    <w:rsid w:val="000C7DFF"/>
    <w:rsid w:val="000C7E77"/>
    <w:rsid w:val="000C7EC1"/>
    <w:rsid w:val="000C7ECF"/>
    <w:rsid w:val="000C7F14"/>
    <w:rsid w:val="000D0069"/>
    <w:rsid w:val="000D01C8"/>
    <w:rsid w:val="000D020C"/>
    <w:rsid w:val="000D0255"/>
    <w:rsid w:val="000D0317"/>
    <w:rsid w:val="000D0378"/>
    <w:rsid w:val="000D046A"/>
    <w:rsid w:val="000D04B2"/>
    <w:rsid w:val="000D051E"/>
    <w:rsid w:val="000D0545"/>
    <w:rsid w:val="000D0578"/>
    <w:rsid w:val="000D05E9"/>
    <w:rsid w:val="000D0641"/>
    <w:rsid w:val="000D0643"/>
    <w:rsid w:val="000D06A3"/>
    <w:rsid w:val="000D06E4"/>
    <w:rsid w:val="000D0769"/>
    <w:rsid w:val="000D0774"/>
    <w:rsid w:val="000D077A"/>
    <w:rsid w:val="000D07BD"/>
    <w:rsid w:val="000D07D4"/>
    <w:rsid w:val="000D0813"/>
    <w:rsid w:val="000D0867"/>
    <w:rsid w:val="000D08ED"/>
    <w:rsid w:val="000D0B9A"/>
    <w:rsid w:val="000D0BBD"/>
    <w:rsid w:val="000D0D28"/>
    <w:rsid w:val="000D0D2E"/>
    <w:rsid w:val="000D0D33"/>
    <w:rsid w:val="000D0D89"/>
    <w:rsid w:val="000D0E06"/>
    <w:rsid w:val="000D0EC5"/>
    <w:rsid w:val="000D0F79"/>
    <w:rsid w:val="000D0F95"/>
    <w:rsid w:val="000D105A"/>
    <w:rsid w:val="000D10BB"/>
    <w:rsid w:val="000D10C9"/>
    <w:rsid w:val="000D1129"/>
    <w:rsid w:val="000D115A"/>
    <w:rsid w:val="000D1235"/>
    <w:rsid w:val="000D1251"/>
    <w:rsid w:val="000D1252"/>
    <w:rsid w:val="000D125D"/>
    <w:rsid w:val="000D126D"/>
    <w:rsid w:val="000D1305"/>
    <w:rsid w:val="000D1316"/>
    <w:rsid w:val="000D1324"/>
    <w:rsid w:val="000D13E3"/>
    <w:rsid w:val="000D1489"/>
    <w:rsid w:val="000D154A"/>
    <w:rsid w:val="000D154D"/>
    <w:rsid w:val="000D15EE"/>
    <w:rsid w:val="000D1652"/>
    <w:rsid w:val="000D1668"/>
    <w:rsid w:val="000D1680"/>
    <w:rsid w:val="000D168F"/>
    <w:rsid w:val="000D16F7"/>
    <w:rsid w:val="000D1739"/>
    <w:rsid w:val="000D17A6"/>
    <w:rsid w:val="000D17C0"/>
    <w:rsid w:val="000D17CB"/>
    <w:rsid w:val="000D17F1"/>
    <w:rsid w:val="000D1842"/>
    <w:rsid w:val="000D18A7"/>
    <w:rsid w:val="000D1980"/>
    <w:rsid w:val="000D19DA"/>
    <w:rsid w:val="000D1A65"/>
    <w:rsid w:val="000D1A66"/>
    <w:rsid w:val="000D1ABC"/>
    <w:rsid w:val="000D1B64"/>
    <w:rsid w:val="000D1C83"/>
    <w:rsid w:val="000D1CD4"/>
    <w:rsid w:val="000D1CDF"/>
    <w:rsid w:val="000D1E04"/>
    <w:rsid w:val="000D1E43"/>
    <w:rsid w:val="000D1E6E"/>
    <w:rsid w:val="000D1E75"/>
    <w:rsid w:val="000D1E7D"/>
    <w:rsid w:val="000D1E80"/>
    <w:rsid w:val="000D1E8E"/>
    <w:rsid w:val="000D1F41"/>
    <w:rsid w:val="000D2036"/>
    <w:rsid w:val="000D206E"/>
    <w:rsid w:val="000D20E5"/>
    <w:rsid w:val="000D2161"/>
    <w:rsid w:val="000D221F"/>
    <w:rsid w:val="000D228D"/>
    <w:rsid w:val="000D22A2"/>
    <w:rsid w:val="000D234B"/>
    <w:rsid w:val="000D2357"/>
    <w:rsid w:val="000D23F7"/>
    <w:rsid w:val="000D2408"/>
    <w:rsid w:val="000D2467"/>
    <w:rsid w:val="000D248E"/>
    <w:rsid w:val="000D24E0"/>
    <w:rsid w:val="000D2539"/>
    <w:rsid w:val="000D256A"/>
    <w:rsid w:val="000D25B2"/>
    <w:rsid w:val="000D2760"/>
    <w:rsid w:val="000D2863"/>
    <w:rsid w:val="000D28B7"/>
    <w:rsid w:val="000D2982"/>
    <w:rsid w:val="000D29A6"/>
    <w:rsid w:val="000D29B9"/>
    <w:rsid w:val="000D2A94"/>
    <w:rsid w:val="000D2AA3"/>
    <w:rsid w:val="000D2B59"/>
    <w:rsid w:val="000D2BAB"/>
    <w:rsid w:val="000D2BF2"/>
    <w:rsid w:val="000D2D24"/>
    <w:rsid w:val="000D2D42"/>
    <w:rsid w:val="000D2DB1"/>
    <w:rsid w:val="000D2DB5"/>
    <w:rsid w:val="000D2E87"/>
    <w:rsid w:val="000D2F80"/>
    <w:rsid w:val="000D2FB6"/>
    <w:rsid w:val="000D3022"/>
    <w:rsid w:val="000D3073"/>
    <w:rsid w:val="000D30B0"/>
    <w:rsid w:val="000D30D5"/>
    <w:rsid w:val="000D313F"/>
    <w:rsid w:val="000D3151"/>
    <w:rsid w:val="000D3156"/>
    <w:rsid w:val="000D327E"/>
    <w:rsid w:val="000D329D"/>
    <w:rsid w:val="000D3333"/>
    <w:rsid w:val="000D3340"/>
    <w:rsid w:val="000D3375"/>
    <w:rsid w:val="000D33B9"/>
    <w:rsid w:val="000D33D2"/>
    <w:rsid w:val="000D33F1"/>
    <w:rsid w:val="000D3466"/>
    <w:rsid w:val="000D3638"/>
    <w:rsid w:val="000D371B"/>
    <w:rsid w:val="000D373E"/>
    <w:rsid w:val="000D37E5"/>
    <w:rsid w:val="000D3978"/>
    <w:rsid w:val="000D3996"/>
    <w:rsid w:val="000D39A7"/>
    <w:rsid w:val="000D39B6"/>
    <w:rsid w:val="000D39CC"/>
    <w:rsid w:val="000D39F7"/>
    <w:rsid w:val="000D3A22"/>
    <w:rsid w:val="000D3AE8"/>
    <w:rsid w:val="000D3C01"/>
    <w:rsid w:val="000D3C30"/>
    <w:rsid w:val="000D3D8A"/>
    <w:rsid w:val="000D3DAC"/>
    <w:rsid w:val="000D3DD4"/>
    <w:rsid w:val="000D3E51"/>
    <w:rsid w:val="000D3E9F"/>
    <w:rsid w:val="000D3ED4"/>
    <w:rsid w:val="000D3F23"/>
    <w:rsid w:val="000D3F6B"/>
    <w:rsid w:val="000D3F7F"/>
    <w:rsid w:val="000D3F83"/>
    <w:rsid w:val="000D3FA5"/>
    <w:rsid w:val="000D4128"/>
    <w:rsid w:val="000D42A7"/>
    <w:rsid w:val="000D4304"/>
    <w:rsid w:val="000D4458"/>
    <w:rsid w:val="000D45BE"/>
    <w:rsid w:val="000D45E5"/>
    <w:rsid w:val="000D462F"/>
    <w:rsid w:val="000D467F"/>
    <w:rsid w:val="000D4752"/>
    <w:rsid w:val="000D4763"/>
    <w:rsid w:val="000D478E"/>
    <w:rsid w:val="000D4833"/>
    <w:rsid w:val="000D4888"/>
    <w:rsid w:val="000D496D"/>
    <w:rsid w:val="000D49B4"/>
    <w:rsid w:val="000D4A21"/>
    <w:rsid w:val="000D4A50"/>
    <w:rsid w:val="000D4B15"/>
    <w:rsid w:val="000D4B2C"/>
    <w:rsid w:val="000D4B34"/>
    <w:rsid w:val="000D4B7C"/>
    <w:rsid w:val="000D4CFA"/>
    <w:rsid w:val="000D4D37"/>
    <w:rsid w:val="000D4D52"/>
    <w:rsid w:val="000D4D95"/>
    <w:rsid w:val="000D4DA9"/>
    <w:rsid w:val="000D4E92"/>
    <w:rsid w:val="000D4F03"/>
    <w:rsid w:val="000D4FE4"/>
    <w:rsid w:val="000D5080"/>
    <w:rsid w:val="000D50E2"/>
    <w:rsid w:val="000D5139"/>
    <w:rsid w:val="000D5158"/>
    <w:rsid w:val="000D51D8"/>
    <w:rsid w:val="000D528F"/>
    <w:rsid w:val="000D533D"/>
    <w:rsid w:val="000D5455"/>
    <w:rsid w:val="000D546B"/>
    <w:rsid w:val="000D5473"/>
    <w:rsid w:val="000D5487"/>
    <w:rsid w:val="000D561A"/>
    <w:rsid w:val="000D5646"/>
    <w:rsid w:val="000D5667"/>
    <w:rsid w:val="000D5676"/>
    <w:rsid w:val="000D56FE"/>
    <w:rsid w:val="000D5716"/>
    <w:rsid w:val="000D590D"/>
    <w:rsid w:val="000D59AC"/>
    <w:rsid w:val="000D5A0F"/>
    <w:rsid w:val="000D5A17"/>
    <w:rsid w:val="000D5A22"/>
    <w:rsid w:val="000D5BC9"/>
    <w:rsid w:val="000D5C47"/>
    <w:rsid w:val="000D5C7C"/>
    <w:rsid w:val="000D5CC4"/>
    <w:rsid w:val="000D5D89"/>
    <w:rsid w:val="000D5E48"/>
    <w:rsid w:val="000D5E7D"/>
    <w:rsid w:val="000D5EE6"/>
    <w:rsid w:val="000D5F0D"/>
    <w:rsid w:val="000D5F15"/>
    <w:rsid w:val="000D5F74"/>
    <w:rsid w:val="000D5F90"/>
    <w:rsid w:val="000D5FF1"/>
    <w:rsid w:val="000D5FFD"/>
    <w:rsid w:val="000D6092"/>
    <w:rsid w:val="000D60D4"/>
    <w:rsid w:val="000D6125"/>
    <w:rsid w:val="000D61D3"/>
    <w:rsid w:val="000D6261"/>
    <w:rsid w:val="000D6280"/>
    <w:rsid w:val="000D6293"/>
    <w:rsid w:val="000D6299"/>
    <w:rsid w:val="000D62BA"/>
    <w:rsid w:val="000D6307"/>
    <w:rsid w:val="000D6451"/>
    <w:rsid w:val="000D6478"/>
    <w:rsid w:val="000D6593"/>
    <w:rsid w:val="000D6612"/>
    <w:rsid w:val="000D6628"/>
    <w:rsid w:val="000D6652"/>
    <w:rsid w:val="000D6660"/>
    <w:rsid w:val="000D6685"/>
    <w:rsid w:val="000D6686"/>
    <w:rsid w:val="000D66EB"/>
    <w:rsid w:val="000D6720"/>
    <w:rsid w:val="000D6843"/>
    <w:rsid w:val="000D687B"/>
    <w:rsid w:val="000D689A"/>
    <w:rsid w:val="000D68A5"/>
    <w:rsid w:val="000D69FE"/>
    <w:rsid w:val="000D6BE3"/>
    <w:rsid w:val="000D6C1F"/>
    <w:rsid w:val="000D6C24"/>
    <w:rsid w:val="000D6C32"/>
    <w:rsid w:val="000D6D12"/>
    <w:rsid w:val="000D6D27"/>
    <w:rsid w:val="000D6D2A"/>
    <w:rsid w:val="000D6D50"/>
    <w:rsid w:val="000D6E0C"/>
    <w:rsid w:val="000D6F04"/>
    <w:rsid w:val="000D6F2E"/>
    <w:rsid w:val="000D6FED"/>
    <w:rsid w:val="000D7166"/>
    <w:rsid w:val="000D7210"/>
    <w:rsid w:val="000D72A9"/>
    <w:rsid w:val="000D72C3"/>
    <w:rsid w:val="000D72FB"/>
    <w:rsid w:val="000D7304"/>
    <w:rsid w:val="000D7379"/>
    <w:rsid w:val="000D7423"/>
    <w:rsid w:val="000D7430"/>
    <w:rsid w:val="000D751B"/>
    <w:rsid w:val="000D7526"/>
    <w:rsid w:val="000D7637"/>
    <w:rsid w:val="000D764C"/>
    <w:rsid w:val="000D76B9"/>
    <w:rsid w:val="000D76C4"/>
    <w:rsid w:val="000D773E"/>
    <w:rsid w:val="000D7759"/>
    <w:rsid w:val="000D77D2"/>
    <w:rsid w:val="000D7815"/>
    <w:rsid w:val="000D7856"/>
    <w:rsid w:val="000D7863"/>
    <w:rsid w:val="000D78E5"/>
    <w:rsid w:val="000D795A"/>
    <w:rsid w:val="000D79CF"/>
    <w:rsid w:val="000D7AAA"/>
    <w:rsid w:val="000D7AE3"/>
    <w:rsid w:val="000D7B83"/>
    <w:rsid w:val="000D7BA7"/>
    <w:rsid w:val="000D7BB5"/>
    <w:rsid w:val="000D7BF9"/>
    <w:rsid w:val="000D7C8E"/>
    <w:rsid w:val="000D7D6B"/>
    <w:rsid w:val="000D7DA3"/>
    <w:rsid w:val="000D7DB8"/>
    <w:rsid w:val="000D7DF1"/>
    <w:rsid w:val="000D7E32"/>
    <w:rsid w:val="000D7E63"/>
    <w:rsid w:val="000D7ECE"/>
    <w:rsid w:val="000D7F80"/>
    <w:rsid w:val="000D7FDD"/>
    <w:rsid w:val="000E0016"/>
    <w:rsid w:val="000E0053"/>
    <w:rsid w:val="000E0085"/>
    <w:rsid w:val="000E00D2"/>
    <w:rsid w:val="000E00EC"/>
    <w:rsid w:val="000E019A"/>
    <w:rsid w:val="000E0298"/>
    <w:rsid w:val="000E02D1"/>
    <w:rsid w:val="000E032C"/>
    <w:rsid w:val="000E0341"/>
    <w:rsid w:val="000E03EE"/>
    <w:rsid w:val="000E0408"/>
    <w:rsid w:val="000E0415"/>
    <w:rsid w:val="000E050A"/>
    <w:rsid w:val="000E050B"/>
    <w:rsid w:val="000E0560"/>
    <w:rsid w:val="000E0576"/>
    <w:rsid w:val="000E0609"/>
    <w:rsid w:val="000E0699"/>
    <w:rsid w:val="000E06DB"/>
    <w:rsid w:val="000E071E"/>
    <w:rsid w:val="000E0766"/>
    <w:rsid w:val="000E08C9"/>
    <w:rsid w:val="000E0956"/>
    <w:rsid w:val="000E0960"/>
    <w:rsid w:val="000E0967"/>
    <w:rsid w:val="000E09F5"/>
    <w:rsid w:val="000E0A0F"/>
    <w:rsid w:val="000E0A14"/>
    <w:rsid w:val="000E0B8A"/>
    <w:rsid w:val="000E0BA1"/>
    <w:rsid w:val="000E0C2F"/>
    <w:rsid w:val="000E0C84"/>
    <w:rsid w:val="000E0CDA"/>
    <w:rsid w:val="000E0D23"/>
    <w:rsid w:val="000E0D25"/>
    <w:rsid w:val="000E0D3B"/>
    <w:rsid w:val="000E0DAA"/>
    <w:rsid w:val="000E0DC0"/>
    <w:rsid w:val="000E0DF2"/>
    <w:rsid w:val="000E0E3B"/>
    <w:rsid w:val="000E10CA"/>
    <w:rsid w:val="000E1178"/>
    <w:rsid w:val="000E123A"/>
    <w:rsid w:val="000E142E"/>
    <w:rsid w:val="000E1470"/>
    <w:rsid w:val="000E14ED"/>
    <w:rsid w:val="000E1542"/>
    <w:rsid w:val="000E15C8"/>
    <w:rsid w:val="000E15EF"/>
    <w:rsid w:val="000E16FC"/>
    <w:rsid w:val="000E1738"/>
    <w:rsid w:val="000E17AF"/>
    <w:rsid w:val="000E17CF"/>
    <w:rsid w:val="000E181D"/>
    <w:rsid w:val="000E187F"/>
    <w:rsid w:val="000E191E"/>
    <w:rsid w:val="000E19D8"/>
    <w:rsid w:val="000E1AE7"/>
    <w:rsid w:val="000E1B4B"/>
    <w:rsid w:val="000E1B5F"/>
    <w:rsid w:val="000E1B60"/>
    <w:rsid w:val="000E1C42"/>
    <w:rsid w:val="000E1CB4"/>
    <w:rsid w:val="000E1CC7"/>
    <w:rsid w:val="000E1D13"/>
    <w:rsid w:val="000E1D2B"/>
    <w:rsid w:val="000E1D5C"/>
    <w:rsid w:val="000E1D85"/>
    <w:rsid w:val="000E1DD9"/>
    <w:rsid w:val="000E1E2C"/>
    <w:rsid w:val="000E1EDC"/>
    <w:rsid w:val="000E201B"/>
    <w:rsid w:val="000E2033"/>
    <w:rsid w:val="000E2068"/>
    <w:rsid w:val="000E20EF"/>
    <w:rsid w:val="000E21AE"/>
    <w:rsid w:val="000E220E"/>
    <w:rsid w:val="000E2337"/>
    <w:rsid w:val="000E239B"/>
    <w:rsid w:val="000E2421"/>
    <w:rsid w:val="000E24A2"/>
    <w:rsid w:val="000E24E7"/>
    <w:rsid w:val="000E258A"/>
    <w:rsid w:val="000E2594"/>
    <w:rsid w:val="000E25E2"/>
    <w:rsid w:val="000E25EF"/>
    <w:rsid w:val="000E2636"/>
    <w:rsid w:val="000E2659"/>
    <w:rsid w:val="000E266D"/>
    <w:rsid w:val="000E26AC"/>
    <w:rsid w:val="000E2871"/>
    <w:rsid w:val="000E2A6F"/>
    <w:rsid w:val="000E2AB2"/>
    <w:rsid w:val="000E2AD4"/>
    <w:rsid w:val="000E2ADC"/>
    <w:rsid w:val="000E2B0E"/>
    <w:rsid w:val="000E2B18"/>
    <w:rsid w:val="000E2B21"/>
    <w:rsid w:val="000E2B34"/>
    <w:rsid w:val="000E2B46"/>
    <w:rsid w:val="000E2B8D"/>
    <w:rsid w:val="000E2BFD"/>
    <w:rsid w:val="000E2DC9"/>
    <w:rsid w:val="000E2E1B"/>
    <w:rsid w:val="000E2EBD"/>
    <w:rsid w:val="000E2EEF"/>
    <w:rsid w:val="000E2F16"/>
    <w:rsid w:val="000E3025"/>
    <w:rsid w:val="000E3069"/>
    <w:rsid w:val="000E30A9"/>
    <w:rsid w:val="000E30B3"/>
    <w:rsid w:val="000E30B8"/>
    <w:rsid w:val="000E30C8"/>
    <w:rsid w:val="000E312E"/>
    <w:rsid w:val="000E316F"/>
    <w:rsid w:val="000E31E0"/>
    <w:rsid w:val="000E321F"/>
    <w:rsid w:val="000E32A5"/>
    <w:rsid w:val="000E32B8"/>
    <w:rsid w:val="000E32CA"/>
    <w:rsid w:val="000E3367"/>
    <w:rsid w:val="000E35C2"/>
    <w:rsid w:val="000E35EE"/>
    <w:rsid w:val="000E36AB"/>
    <w:rsid w:val="000E37D1"/>
    <w:rsid w:val="000E3899"/>
    <w:rsid w:val="000E389F"/>
    <w:rsid w:val="000E38AD"/>
    <w:rsid w:val="000E38B3"/>
    <w:rsid w:val="000E3918"/>
    <w:rsid w:val="000E3A56"/>
    <w:rsid w:val="000E3A9B"/>
    <w:rsid w:val="000E3AA7"/>
    <w:rsid w:val="000E3AC0"/>
    <w:rsid w:val="000E3BE2"/>
    <w:rsid w:val="000E3C82"/>
    <w:rsid w:val="000E3CC8"/>
    <w:rsid w:val="000E3E27"/>
    <w:rsid w:val="000E3ED8"/>
    <w:rsid w:val="000E3EF9"/>
    <w:rsid w:val="000E3F51"/>
    <w:rsid w:val="000E3F52"/>
    <w:rsid w:val="000E4059"/>
    <w:rsid w:val="000E4088"/>
    <w:rsid w:val="000E40A8"/>
    <w:rsid w:val="000E40B8"/>
    <w:rsid w:val="000E410A"/>
    <w:rsid w:val="000E4112"/>
    <w:rsid w:val="000E4194"/>
    <w:rsid w:val="000E41D3"/>
    <w:rsid w:val="000E4342"/>
    <w:rsid w:val="000E434B"/>
    <w:rsid w:val="000E43EE"/>
    <w:rsid w:val="000E43F0"/>
    <w:rsid w:val="000E43FE"/>
    <w:rsid w:val="000E4499"/>
    <w:rsid w:val="000E44EE"/>
    <w:rsid w:val="000E4510"/>
    <w:rsid w:val="000E45AA"/>
    <w:rsid w:val="000E46D9"/>
    <w:rsid w:val="000E47A4"/>
    <w:rsid w:val="000E4847"/>
    <w:rsid w:val="000E487A"/>
    <w:rsid w:val="000E488D"/>
    <w:rsid w:val="000E48B9"/>
    <w:rsid w:val="000E48F1"/>
    <w:rsid w:val="000E49AF"/>
    <w:rsid w:val="000E49C9"/>
    <w:rsid w:val="000E4A20"/>
    <w:rsid w:val="000E4AF2"/>
    <w:rsid w:val="000E4BAA"/>
    <w:rsid w:val="000E4BCE"/>
    <w:rsid w:val="000E4BDF"/>
    <w:rsid w:val="000E4C8A"/>
    <w:rsid w:val="000E4CC4"/>
    <w:rsid w:val="000E4CD7"/>
    <w:rsid w:val="000E4D2D"/>
    <w:rsid w:val="000E4D31"/>
    <w:rsid w:val="000E4D34"/>
    <w:rsid w:val="000E4DA8"/>
    <w:rsid w:val="000E4DF2"/>
    <w:rsid w:val="000E4E01"/>
    <w:rsid w:val="000E50BA"/>
    <w:rsid w:val="000E50CC"/>
    <w:rsid w:val="000E50EE"/>
    <w:rsid w:val="000E5152"/>
    <w:rsid w:val="000E51C1"/>
    <w:rsid w:val="000E528C"/>
    <w:rsid w:val="000E5315"/>
    <w:rsid w:val="000E5392"/>
    <w:rsid w:val="000E53A8"/>
    <w:rsid w:val="000E53E6"/>
    <w:rsid w:val="000E5403"/>
    <w:rsid w:val="000E545E"/>
    <w:rsid w:val="000E5495"/>
    <w:rsid w:val="000E549C"/>
    <w:rsid w:val="000E54E2"/>
    <w:rsid w:val="000E5513"/>
    <w:rsid w:val="000E5650"/>
    <w:rsid w:val="000E5676"/>
    <w:rsid w:val="000E56BC"/>
    <w:rsid w:val="000E56C1"/>
    <w:rsid w:val="000E571E"/>
    <w:rsid w:val="000E5754"/>
    <w:rsid w:val="000E57A7"/>
    <w:rsid w:val="000E58C5"/>
    <w:rsid w:val="000E5976"/>
    <w:rsid w:val="000E5A12"/>
    <w:rsid w:val="000E5B31"/>
    <w:rsid w:val="000E5BB1"/>
    <w:rsid w:val="000E5BBC"/>
    <w:rsid w:val="000E5BF0"/>
    <w:rsid w:val="000E5CFD"/>
    <w:rsid w:val="000E5D11"/>
    <w:rsid w:val="000E5D4C"/>
    <w:rsid w:val="000E5D6A"/>
    <w:rsid w:val="000E5DBB"/>
    <w:rsid w:val="000E5DEB"/>
    <w:rsid w:val="000E5DFA"/>
    <w:rsid w:val="000E5E0D"/>
    <w:rsid w:val="000E5E77"/>
    <w:rsid w:val="000E5ED5"/>
    <w:rsid w:val="000E5F48"/>
    <w:rsid w:val="000E5FBC"/>
    <w:rsid w:val="000E5FDC"/>
    <w:rsid w:val="000E6078"/>
    <w:rsid w:val="000E607A"/>
    <w:rsid w:val="000E61C7"/>
    <w:rsid w:val="000E61E1"/>
    <w:rsid w:val="000E61F0"/>
    <w:rsid w:val="000E62D1"/>
    <w:rsid w:val="000E62D7"/>
    <w:rsid w:val="000E6364"/>
    <w:rsid w:val="000E63F5"/>
    <w:rsid w:val="000E6536"/>
    <w:rsid w:val="000E656C"/>
    <w:rsid w:val="000E65BB"/>
    <w:rsid w:val="000E66ED"/>
    <w:rsid w:val="000E68AD"/>
    <w:rsid w:val="000E69D4"/>
    <w:rsid w:val="000E6A9F"/>
    <w:rsid w:val="000E6AA8"/>
    <w:rsid w:val="000E6B0D"/>
    <w:rsid w:val="000E6B20"/>
    <w:rsid w:val="000E6BC6"/>
    <w:rsid w:val="000E6C98"/>
    <w:rsid w:val="000E6CD3"/>
    <w:rsid w:val="000E6D5E"/>
    <w:rsid w:val="000E6E54"/>
    <w:rsid w:val="000E6EAA"/>
    <w:rsid w:val="000E6F54"/>
    <w:rsid w:val="000E6FC6"/>
    <w:rsid w:val="000E7001"/>
    <w:rsid w:val="000E7043"/>
    <w:rsid w:val="000E70CE"/>
    <w:rsid w:val="000E711C"/>
    <w:rsid w:val="000E71BA"/>
    <w:rsid w:val="000E727A"/>
    <w:rsid w:val="000E7291"/>
    <w:rsid w:val="000E729C"/>
    <w:rsid w:val="000E72A7"/>
    <w:rsid w:val="000E72CD"/>
    <w:rsid w:val="000E7344"/>
    <w:rsid w:val="000E7369"/>
    <w:rsid w:val="000E7393"/>
    <w:rsid w:val="000E7481"/>
    <w:rsid w:val="000E752E"/>
    <w:rsid w:val="000E753B"/>
    <w:rsid w:val="000E75E9"/>
    <w:rsid w:val="000E7634"/>
    <w:rsid w:val="000E76E9"/>
    <w:rsid w:val="000E7748"/>
    <w:rsid w:val="000E7750"/>
    <w:rsid w:val="000E77BC"/>
    <w:rsid w:val="000E7828"/>
    <w:rsid w:val="000E7845"/>
    <w:rsid w:val="000E78F2"/>
    <w:rsid w:val="000E793C"/>
    <w:rsid w:val="000E79A4"/>
    <w:rsid w:val="000E7AD4"/>
    <w:rsid w:val="000E7C15"/>
    <w:rsid w:val="000E7C59"/>
    <w:rsid w:val="000E7D15"/>
    <w:rsid w:val="000E7E2E"/>
    <w:rsid w:val="000E7F40"/>
    <w:rsid w:val="000E7F8C"/>
    <w:rsid w:val="000F0171"/>
    <w:rsid w:val="000F01C4"/>
    <w:rsid w:val="000F0291"/>
    <w:rsid w:val="000F02E1"/>
    <w:rsid w:val="000F0309"/>
    <w:rsid w:val="000F03E7"/>
    <w:rsid w:val="000F042E"/>
    <w:rsid w:val="000F0453"/>
    <w:rsid w:val="000F04FE"/>
    <w:rsid w:val="000F0614"/>
    <w:rsid w:val="000F0682"/>
    <w:rsid w:val="000F069F"/>
    <w:rsid w:val="000F07A9"/>
    <w:rsid w:val="000F07C8"/>
    <w:rsid w:val="000F07F9"/>
    <w:rsid w:val="000F0843"/>
    <w:rsid w:val="000F08AA"/>
    <w:rsid w:val="000F08B4"/>
    <w:rsid w:val="000F08CA"/>
    <w:rsid w:val="000F0A54"/>
    <w:rsid w:val="000F0BB0"/>
    <w:rsid w:val="000F0BEF"/>
    <w:rsid w:val="000F0C86"/>
    <w:rsid w:val="000F0CBB"/>
    <w:rsid w:val="000F0CD9"/>
    <w:rsid w:val="000F0D34"/>
    <w:rsid w:val="000F0DD1"/>
    <w:rsid w:val="000F0F04"/>
    <w:rsid w:val="000F0F29"/>
    <w:rsid w:val="000F0F51"/>
    <w:rsid w:val="000F1066"/>
    <w:rsid w:val="000F10A1"/>
    <w:rsid w:val="000F124F"/>
    <w:rsid w:val="000F1295"/>
    <w:rsid w:val="000F12AE"/>
    <w:rsid w:val="000F130B"/>
    <w:rsid w:val="000F1400"/>
    <w:rsid w:val="000F1440"/>
    <w:rsid w:val="000F148E"/>
    <w:rsid w:val="000F14CB"/>
    <w:rsid w:val="000F1590"/>
    <w:rsid w:val="000F15C6"/>
    <w:rsid w:val="000F15EE"/>
    <w:rsid w:val="000F15F0"/>
    <w:rsid w:val="000F161C"/>
    <w:rsid w:val="000F16C2"/>
    <w:rsid w:val="000F16D1"/>
    <w:rsid w:val="000F1714"/>
    <w:rsid w:val="000F1721"/>
    <w:rsid w:val="000F175E"/>
    <w:rsid w:val="000F180A"/>
    <w:rsid w:val="000F18C8"/>
    <w:rsid w:val="000F193B"/>
    <w:rsid w:val="000F195B"/>
    <w:rsid w:val="000F195D"/>
    <w:rsid w:val="000F1A91"/>
    <w:rsid w:val="000F1AC5"/>
    <w:rsid w:val="000F1B25"/>
    <w:rsid w:val="000F1BD9"/>
    <w:rsid w:val="000F1CAD"/>
    <w:rsid w:val="000F1D54"/>
    <w:rsid w:val="000F1D60"/>
    <w:rsid w:val="000F1E09"/>
    <w:rsid w:val="000F1E0B"/>
    <w:rsid w:val="000F1E9F"/>
    <w:rsid w:val="000F1FB3"/>
    <w:rsid w:val="000F20BC"/>
    <w:rsid w:val="000F20E1"/>
    <w:rsid w:val="000F2126"/>
    <w:rsid w:val="000F235C"/>
    <w:rsid w:val="000F23FD"/>
    <w:rsid w:val="000F253D"/>
    <w:rsid w:val="000F25AB"/>
    <w:rsid w:val="000F25FB"/>
    <w:rsid w:val="000F266D"/>
    <w:rsid w:val="000F2710"/>
    <w:rsid w:val="000F2749"/>
    <w:rsid w:val="000F2792"/>
    <w:rsid w:val="000F2794"/>
    <w:rsid w:val="000F28F0"/>
    <w:rsid w:val="000F2993"/>
    <w:rsid w:val="000F2A19"/>
    <w:rsid w:val="000F2AAC"/>
    <w:rsid w:val="000F2B8B"/>
    <w:rsid w:val="000F2B97"/>
    <w:rsid w:val="000F2D71"/>
    <w:rsid w:val="000F2DA5"/>
    <w:rsid w:val="000F2DBE"/>
    <w:rsid w:val="000F2E4C"/>
    <w:rsid w:val="000F2EA5"/>
    <w:rsid w:val="000F2ED3"/>
    <w:rsid w:val="000F2EE9"/>
    <w:rsid w:val="000F2F42"/>
    <w:rsid w:val="000F2F7C"/>
    <w:rsid w:val="000F2FC6"/>
    <w:rsid w:val="000F2FD7"/>
    <w:rsid w:val="000F300A"/>
    <w:rsid w:val="000F3082"/>
    <w:rsid w:val="000F30CE"/>
    <w:rsid w:val="000F315D"/>
    <w:rsid w:val="000F32A5"/>
    <w:rsid w:val="000F33E6"/>
    <w:rsid w:val="000F3413"/>
    <w:rsid w:val="000F3424"/>
    <w:rsid w:val="000F3461"/>
    <w:rsid w:val="000F34B4"/>
    <w:rsid w:val="000F359C"/>
    <w:rsid w:val="000F3640"/>
    <w:rsid w:val="000F376A"/>
    <w:rsid w:val="000F379D"/>
    <w:rsid w:val="000F381F"/>
    <w:rsid w:val="000F3856"/>
    <w:rsid w:val="000F387F"/>
    <w:rsid w:val="000F388F"/>
    <w:rsid w:val="000F38AA"/>
    <w:rsid w:val="000F392D"/>
    <w:rsid w:val="000F393E"/>
    <w:rsid w:val="000F3A0A"/>
    <w:rsid w:val="000F3A3C"/>
    <w:rsid w:val="000F3A87"/>
    <w:rsid w:val="000F3BD7"/>
    <w:rsid w:val="000F3BD8"/>
    <w:rsid w:val="000F3CE5"/>
    <w:rsid w:val="000F3CFD"/>
    <w:rsid w:val="000F3D06"/>
    <w:rsid w:val="000F3D7A"/>
    <w:rsid w:val="000F3D7E"/>
    <w:rsid w:val="000F3E21"/>
    <w:rsid w:val="000F3E6C"/>
    <w:rsid w:val="000F3F39"/>
    <w:rsid w:val="000F3F68"/>
    <w:rsid w:val="000F3F87"/>
    <w:rsid w:val="000F4018"/>
    <w:rsid w:val="000F4081"/>
    <w:rsid w:val="000F4085"/>
    <w:rsid w:val="000F41C3"/>
    <w:rsid w:val="000F439B"/>
    <w:rsid w:val="000F439C"/>
    <w:rsid w:val="000F43D0"/>
    <w:rsid w:val="000F440B"/>
    <w:rsid w:val="000F441D"/>
    <w:rsid w:val="000F4429"/>
    <w:rsid w:val="000F445B"/>
    <w:rsid w:val="000F44F9"/>
    <w:rsid w:val="000F4505"/>
    <w:rsid w:val="000F4546"/>
    <w:rsid w:val="000F454E"/>
    <w:rsid w:val="000F45B8"/>
    <w:rsid w:val="000F45EA"/>
    <w:rsid w:val="000F4665"/>
    <w:rsid w:val="000F4685"/>
    <w:rsid w:val="000F4690"/>
    <w:rsid w:val="000F46FC"/>
    <w:rsid w:val="000F4768"/>
    <w:rsid w:val="000F47B8"/>
    <w:rsid w:val="000F48F4"/>
    <w:rsid w:val="000F4932"/>
    <w:rsid w:val="000F4973"/>
    <w:rsid w:val="000F4998"/>
    <w:rsid w:val="000F49C0"/>
    <w:rsid w:val="000F4A5B"/>
    <w:rsid w:val="000F4A97"/>
    <w:rsid w:val="000F4B34"/>
    <w:rsid w:val="000F4B8E"/>
    <w:rsid w:val="000F4C66"/>
    <w:rsid w:val="000F4C6A"/>
    <w:rsid w:val="000F4C9A"/>
    <w:rsid w:val="000F4CB0"/>
    <w:rsid w:val="000F4CE8"/>
    <w:rsid w:val="000F4ECB"/>
    <w:rsid w:val="000F4F4C"/>
    <w:rsid w:val="000F4FAA"/>
    <w:rsid w:val="000F4FB8"/>
    <w:rsid w:val="000F4FEA"/>
    <w:rsid w:val="000F500F"/>
    <w:rsid w:val="000F50D7"/>
    <w:rsid w:val="000F513D"/>
    <w:rsid w:val="000F521C"/>
    <w:rsid w:val="000F525C"/>
    <w:rsid w:val="000F5261"/>
    <w:rsid w:val="000F526A"/>
    <w:rsid w:val="000F5312"/>
    <w:rsid w:val="000F531B"/>
    <w:rsid w:val="000F53B7"/>
    <w:rsid w:val="000F53C2"/>
    <w:rsid w:val="000F54C5"/>
    <w:rsid w:val="000F5540"/>
    <w:rsid w:val="000F5673"/>
    <w:rsid w:val="000F5819"/>
    <w:rsid w:val="000F58AA"/>
    <w:rsid w:val="000F58E5"/>
    <w:rsid w:val="000F591A"/>
    <w:rsid w:val="000F5987"/>
    <w:rsid w:val="000F5A4C"/>
    <w:rsid w:val="000F5B36"/>
    <w:rsid w:val="000F5BDF"/>
    <w:rsid w:val="000F5C8B"/>
    <w:rsid w:val="000F5CFA"/>
    <w:rsid w:val="000F5DD9"/>
    <w:rsid w:val="000F5E03"/>
    <w:rsid w:val="000F5E1C"/>
    <w:rsid w:val="000F5EA6"/>
    <w:rsid w:val="000F5EA7"/>
    <w:rsid w:val="000F5F75"/>
    <w:rsid w:val="000F608A"/>
    <w:rsid w:val="000F6124"/>
    <w:rsid w:val="000F6184"/>
    <w:rsid w:val="000F61B6"/>
    <w:rsid w:val="000F61E7"/>
    <w:rsid w:val="000F629F"/>
    <w:rsid w:val="000F62EE"/>
    <w:rsid w:val="000F6362"/>
    <w:rsid w:val="000F648D"/>
    <w:rsid w:val="000F6491"/>
    <w:rsid w:val="000F65EC"/>
    <w:rsid w:val="000F662F"/>
    <w:rsid w:val="000F66AE"/>
    <w:rsid w:val="000F66EB"/>
    <w:rsid w:val="000F66EC"/>
    <w:rsid w:val="000F6912"/>
    <w:rsid w:val="000F6973"/>
    <w:rsid w:val="000F6976"/>
    <w:rsid w:val="000F6A06"/>
    <w:rsid w:val="000F6A14"/>
    <w:rsid w:val="000F6B01"/>
    <w:rsid w:val="000F6B29"/>
    <w:rsid w:val="000F6C23"/>
    <w:rsid w:val="000F6C61"/>
    <w:rsid w:val="000F6C81"/>
    <w:rsid w:val="000F6C8D"/>
    <w:rsid w:val="000F6CA0"/>
    <w:rsid w:val="000F6CAD"/>
    <w:rsid w:val="000F6D3B"/>
    <w:rsid w:val="000F6DDF"/>
    <w:rsid w:val="000F6F2F"/>
    <w:rsid w:val="000F6F34"/>
    <w:rsid w:val="000F6FAE"/>
    <w:rsid w:val="000F6FBF"/>
    <w:rsid w:val="000F6FD5"/>
    <w:rsid w:val="000F6FE0"/>
    <w:rsid w:val="000F6FF3"/>
    <w:rsid w:val="000F7017"/>
    <w:rsid w:val="000F703F"/>
    <w:rsid w:val="000F71C3"/>
    <w:rsid w:val="000F7227"/>
    <w:rsid w:val="000F7249"/>
    <w:rsid w:val="000F72EC"/>
    <w:rsid w:val="000F72F3"/>
    <w:rsid w:val="000F732A"/>
    <w:rsid w:val="000F7468"/>
    <w:rsid w:val="000F74A7"/>
    <w:rsid w:val="000F750A"/>
    <w:rsid w:val="000F7522"/>
    <w:rsid w:val="000F756D"/>
    <w:rsid w:val="000F76B4"/>
    <w:rsid w:val="000F76DF"/>
    <w:rsid w:val="000F771F"/>
    <w:rsid w:val="000F77BA"/>
    <w:rsid w:val="000F77E4"/>
    <w:rsid w:val="000F7807"/>
    <w:rsid w:val="000F7817"/>
    <w:rsid w:val="000F792C"/>
    <w:rsid w:val="000F794D"/>
    <w:rsid w:val="000F79B4"/>
    <w:rsid w:val="000F79F3"/>
    <w:rsid w:val="000F7C70"/>
    <w:rsid w:val="000F7CC8"/>
    <w:rsid w:val="000F7D4E"/>
    <w:rsid w:val="000F7E2E"/>
    <w:rsid w:val="000F7E49"/>
    <w:rsid w:val="000F7E9B"/>
    <w:rsid w:val="000F7F2B"/>
    <w:rsid w:val="000F7F39"/>
    <w:rsid w:val="000F7F77"/>
    <w:rsid w:val="000F7F92"/>
    <w:rsid w:val="000F7F9E"/>
    <w:rsid w:val="000F7FB5"/>
    <w:rsid w:val="000F7FE1"/>
    <w:rsid w:val="00100022"/>
    <w:rsid w:val="001000A4"/>
    <w:rsid w:val="00100139"/>
    <w:rsid w:val="0010016D"/>
    <w:rsid w:val="001001F8"/>
    <w:rsid w:val="0010027F"/>
    <w:rsid w:val="00100327"/>
    <w:rsid w:val="001003AC"/>
    <w:rsid w:val="00100514"/>
    <w:rsid w:val="001005FB"/>
    <w:rsid w:val="001006E0"/>
    <w:rsid w:val="00100750"/>
    <w:rsid w:val="0010083E"/>
    <w:rsid w:val="001008D0"/>
    <w:rsid w:val="00100900"/>
    <w:rsid w:val="0010091E"/>
    <w:rsid w:val="00100979"/>
    <w:rsid w:val="001009C3"/>
    <w:rsid w:val="00100A20"/>
    <w:rsid w:val="00100A9D"/>
    <w:rsid w:val="00100ADA"/>
    <w:rsid w:val="00100B20"/>
    <w:rsid w:val="00100CE0"/>
    <w:rsid w:val="00100DBE"/>
    <w:rsid w:val="00100E67"/>
    <w:rsid w:val="00100EA7"/>
    <w:rsid w:val="00100F1F"/>
    <w:rsid w:val="00100F8D"/>
    <w:rsid w:val="00101018"/>
    <w:rsid w:val="0010104B"/>
    <w:rsid w:val="00101097"/>
    <w:rsid w:val="0010114D"/>
    <w:rsid w:val="0010123C"/>
    <w:rsid w:val="001012DC"/>
    <w:rsid w:val="00101360"/>
    <w:rsid w:val="001013E7"/>
    <w:rsid w:val="001014A1"/>
    <w:rsid w:val="001014F7"/>
    <w:rsid w:val="001016C8"/>
    <w:rsid w:val="001016D4"/>
    <w:rsid w:val="001016E8"/>
    <w:rsid w:val="0010173B"/>
    <w:rsid w:val="0010177E"/>
    <w:rsid w:val="001017E1"/>
    <w:rsid w:val="001017F9"/>
    <w:rsid w:val="001017FA"/>
    <w:rsid w:val="00101803"/>
    <w:rsid w:val="00101857"/>
    <w:rsid w:val="001018C4"/>
    <w:rsid w:val="001018E6"/>
    <w:rsid w:val="00101943"/>
    <w:rsid w:val="00101B4D"/>
    <w:rsid w:val="00101C9E"/>
    <w:rsid w:val="00101CE1"/>
    <w:rsid w:val="00101D2B"/>
    <w:rsid w:val="00101D63"/>
    <w:rsid w:val="00101ECD"/>
    <w:rsid w:val="00101F33"/>
    <w:rsid w:val="00101F67"/>
    <w:rsid w:val="00101F97"/>
    <w:rsid w:val="0010202A"/>
    <w:rsid w:val="00102052"/>
    <w:rsid w:val="0010209C"/>
    <w:rsid w:val="00102145"/>
    <w:rsid w:val="00102188"/>
    <w:rsid w:val="001021CE"/>
    <w:rsid w:val="00102257"/>
    <w:rsid w:val="001022D0"/>
    <w:rsid w:val="0010234E"/>
    <w:rsid w:val="00102394"/>
    <w:rsid w:val="001023FA"/>
    <w:rsid w:val="00102469"/>
    <w:rsid w:val="00102483"/>
    <w:rsid w:val="001024DA"/>
    <w:rsid w:val="001026FB"/>
    <w:rsid w:val="0010273C"/>
    <w:rsid w:val="00102794"/>
    <w:rsid w:val="001028A7"/>
    <w:rsid w:val="001028CD"/>
    <w:rsid w:val="001028FF"/>
    <w:rsid w:val="00102916"/>
    <w:rsid w:val="0010297A"/>
    <w:rsid w:val="001029AC"/>
    <w:rsid w:val="00102A4B"/>
    <w:rsid w:val="00102A6D"/>
    <w:rsid w:val="00102A89"/>
    <w:rsid w:val="00102B36"/>
    <w:rsid w:val="00102B47"/>
    <w:rsid w:val="00102C4E"/>
    <w:rsid w:val="00102D5C"/>
    <w:rsid w:val="00102D9C"/>
    <w:rsid w:val="00102DF3"/>
    <w:rsid w:val="00102E39"/>
    <w:rsid w:val="00102E94"/>
    <w:rsid w:val="00102F29"/>
    <w:rsid w:val="00102FA7"/>
    <w:rsid w:val="0010300E"/>
    <w:rsid w:val="001031A8"/>
    <w:rsid w:val="001031BE"/>
    <w:rsid w:val="001031FB"/>
    <w:rsid w:val="00103207"/>
    <w:rsid w:val="00103238"/>
    <w:rsid w:val="001032C0"/>
    <w:rsid w:val="001032F2"/>
    <w:rsid w:val="00103343"/>
    <w:rsid w:val="0010348E"/>
    <w:rsid w:val="001034FC"/>
    <w:rsid w:val="00103502"/>
    <w:rsid w:val="00103506"/>
    <w:rsid w:val="00103520"/>
    <w:rsid w:val="00103557"/>
    <w:rsid w:val="00103560"/>
    <w:rsid w:val="00103585"/>
    <w:rsid w:val="001035C0"/>
    <w:rsid w:val="001035CA"/>
    <w:rsid w:val="001035FC"/>
    <w:rsid w:val="0010362A"/>
    <w:rsid w:val="0010364F"/>
    <w:rsid w:val="001036AB"/>
    <w:rsid w:val="001037C7"/>
    <w:rsid w:val="00103888"/>
    <w:rsid w:val="0010388F"/>
    <w:rsid w:val="001038DD"/>
    <w:rsid w:val="001038EF"/>
    <w:rsid w:val="00103985"/>
    <w:rsid w:val="001039C0"/>
    <w:rsid w:val="001039E7"/>
    <w:rsid w:val="001039EE"/>
    <w:rsid w:val="00103A10"/>
    <w:rsid w:val="00103A21"/>
    <w:rsid w:val="00103AC9"/>
    <w:rsid w:val="00103B42"/>
    <w:rsid w:val="00103B75"/>
    <w:rsid w:val="00103B7C"/>
    <w:rsid w:val="00103C6C"/>
    <w:rsid w:val="00103D80"/>
    <w:rsid w:val="00103D8D"/>
    <w:rsid w:val="00103E4D"/>
    <w:rsid w:val="00103E51"/>
    <w:rsid w:val="00103E7D"/>
    <w:rsid w:val="00103EAD"/>
    <w:rsid w:val="00103EBD"/>
    <w:rsid w:val="00103EDE"/>
    <w:rsid w:val="00103F18"/>
    <w:rsid w:val="00103F20"/>
    <w:rsid w:val="00103F41"/>
    <w:rsid w:val="00103F5A"/>
    <w:rsid w:val="00103FD1"/>
    <w:rsid w:val="001041AA"/>
    <w:rsid w:val="001041C6"/>
    <w:rsid w:val="00104266"/>
    <w:rsid w:val="001042E8"/>
    <w:rsid w:val="001043A7"/>
    <w:rsid w:val="00104409"/>
    <w:rsid w:val="00104439"/>
    <w:rsid w:val="001044A4"/>
    <w:rsid w:val="00104542"/>
    <w:rsid w:val="001045CF"/>
    <w:rsid w:val="00104615"/>
    <w:rsid w:val="00104643"/>
    <w:rsid w:val="00104667"/>
    <w:rsid w:val="00104676"/>
    <w:rsid w:val="001046EB"/>
    <w:rsid w:val="00104708"/>
    <w:rsid w:val="00104796"/>
    <w:rsid w:val="0010479C"/>
    <w:rsid w:val="0010489A"/>
    <w:rsid w:val="001048C6"/>
    <w:rsid w:val="001048EC"/>
    <w:rsid w:val="00104A4B"/>
    <w:rsid w:val="00104AB2"/>
    <w:rsid w:val="00104B54"/>
    <w:rsid w:val="00104BD2"/>
    <w:rsid w:val="00104C6C"/>
    <w:rsid w:val="00104CA3"/>
    <w:rsid w:val="00104CCD"/>
    <w:rsid w:val="00104CE4"/>
    <w:rsid w:val="00104D37"/>
    <w:rsid w:val="00104DC1"/>
    <w:rsid w:val="00104DC3"/>
    <w:rsid w:val="00104E6A"/>
    <w:rsid w:val="00104E78"/>
    <w:rsid w:val="00104EE9"/>
    <w:rsid w:val="00104EF1"/>
    <w:rsid w:val="00105015"/>
    <w:rsid w:val="00105076"/>
    <w:rsid w:val="0010509D"/>
    <w:rsid w:val="00105130"/>
    <w:rsid w:val="001053F1"/>
    <w:rsid w:val="00105409"/>
    <w:rsid w:val="00105464"/>
    <w:rsid w:val="00105466"/>
    <w:rsid w:val="001054A2"/>
    <w:rsid w:val="001054AB"/>
    <w:rsid w:val="00105524"/>
    <w:rsid w:val="0010559E"/>
    <w:rsid w:val="0010575A"/>
    <w:rsid w:val="00105792"/>
    <w:rsid w:val="00105852"/>
    <w:rsid w:val="001059DE"/>
    <w:rsid w:val="00105A1D"/>
    <w:rsid w:val="00105A2A"/>
    <w:rsid w:val="00105B33"/>
    <w:rsid w:val="00105B6F"/>
    <w:rsid w:val="00105BD1"/>
    <w:rsid w:val="00105C3C"/>
    <w:rsid w:val="00105C5F"/>
    <w:rsid w:val="00105D46"/>
    <w:rsid w:val="00105D9E"/>
    <w:rsid w:val="00105DA4"/>
    <w:rsid w:val="00105DB8"/>
    <w:rsid w:val="00105E3E"/>
    <w:rsid w:val="00105E56"/>
    <w:rsid w:val="00105EA7"/>
    <w:rsid w:val="00105EA9"/>
    <w:rsid w:val="00105EF1"/>
    <w:rsid w:val="00105F0F"/>
    <w:rsid w:val="00106068"/>
    <w:rsid w:val="001060A1"/>
    <w:rsid w:val="001060DC"/>
    <w:rsid w:val="001060FA"/>
    <w:rsid w:val="001060FC"/>
    <w:rsid w:val="00106129"/>
    <w:rsid w:val="0010614E"/>
    <w:rsid w:val="00106166"/>
    <w:rsid w:val="00106213"/>
    <w:rsid w:val="0010623F"/>
    <w:rsid w:val="00106270"/>
    <w:rsid w:val="001062F5"/>
    <w:rsid w:val="00106342"/>
    <w:rsid w:val="00106359"/>
    <w:rsid w:val="0010635C"/>
    <w:rsid w:val="00106362"/>
    <w:rsid w:val="0010642B"/>
    <w:rsid w:val="0010643E"/>
    <w:rsid w:val="0010648E"/>
    <w:rsid w:val="0010657C"/>
    <w:rsid w:val="001066EB"/>
    <w:rsid w:val="00106712"/>
    <w:rsid w:val="00106812"/>
    <w:rsid w:val="00106907"/>
    <w:rsid w:val="00106994"/>
    <w:rsid w:val="001069F4"/>
    <w:rsid w:val="00106AC0"/>
    <w:rsid w:val="00106AC3"/>
    <w:rsid w:val="00106B34"/>
    <w:rsid w:val="00106B68"/>
    <w:rsid w:val="00106BAD"/>
    <w:rsid w:val="00106BCF"/>
    <w:rsid w:val="00106C2C"/>
    <w:rsid w:val="00106C48"/>
    <w:rsid w:val="00106D20"/>
    <w:rsid w:val="00106F5B"/>
    <w:rsid w:val="00106F6D"/>
    <w:rsid w:val="0010708F"/>
    <w:rsid w:val="0010710A"/>
    <w:rsid w:val="00107155"/>
    <w:rsid w:val="00107264"/>
    <w:rsid w:val="001072A9"/>
    <w:rsid w:val="00107378"/>
    <w:rsid w:val="0010740F"/>
    <w:rsid w:val="00107468"/>
    <w:rsid w:val="001075EC"/>
    <w:rsid w:val="00107603"/>
    <w:rsid w:val="00107605"/>
    <w:rsid w:val="0010763B"/>
    <w:rsid w:val="00107674"/>
    <w:rsid w:val="00107696"/>
    <w:rsid w:val="001076C3"/>
    <w:rsid w:val="00107735"/>
    <w:rsid w:val="00107775"/>
    <w:rsid w:val="0010779E"/>
    <w:rsid w:val="001077D4"/>
    <w:rsid w:val="001077D7"/>
    <w:rsid w:val="001077DE"/>
    <w:rsid w:val="001078F8"/>
    <w:rsid w:val="001079B2"/>
    <w:rsid w:val="00107AF8"/>
    <w:rsid w:val="00107B3F"/>
    <w:rsid w:val="00107BCD"/>
    <w:rsid w:val="00107BE5"/>
    <w:rsid w:val="00107D3A"/>
    <w:rsid w:val="00107D63"/>
    <w:rsid w:val="00107EDE"/>
    <w:rsid w:val="00107EE8"/>
    <w:rsid w:val="00107F18"/>
    <w:rsid w:val="00107F84"/>
    <w:rsid w:val="00107F8F"/>
    <w:rsid w:val="00107FA5"/>
    <w:rsid w:val="001100CB"/>
    <w:rsid w:val="001100D0"/>
    <w:rsid w:val="001100D4"/>
    <w:rsid w:val="00110147"/>
    <w:rsid w:val="00110221"/>
    <w:rsid w:val="00110244"/>
    <w:rsid w:val="001102F3"/>
    <w:rsid w:val="00110313"/>
    <w:rsid w:val="0011034A"/>
    <w:rsid w:val="00110353"/>
    <w:rsid w:val="00110416"/>
    <w:rsid w:val="00110552"/>
    <w:rsid w:val="00110569"/>
    <w:rsid w:val="001105F7"/>
    <w:rsid w:val="00110609"/>
    <w:rsid w:val="00110689"/>
    <w:rsid w:val="001106B8"/>
    <w:rsid w:val="001106F2"/>
    <w:rsid w:val="00110712"/>
    <w:rsid w:val="00110785"/>
    <w:rsid w:val="001107B9"/>
    <w:rsid w:val="00110807"/>
    <w:rsid w:val="00110821"/>
    <w:rsid w:val="0011085A"/>
    <w:rsid w:val="0011087C"/>
    <w:rsid w:val="001108D2"/>
    <w:rsid w:val="00110905"/>
    <w:rsid w:val="001109A6"/>
    <w:rsid w:val="001109AD"/>
    <w:rsid w:val="00110A27"/>
    <w:rsid w:val="00110B75"/>
    <w:rsid w:val="00110C38"/>
    <w:rsid w:val="00110D19"/>
    <w:rsid w:val="00110D2C"/>
    <w:rsid w:val="00110D4E"/>
    <w:rsid w:val="00110E17"/>
    <w:rsid w:val="00110F03"/>
    <w:rsid w:val="00110F25"/>
    <w:rsid w:val="00110F52"/>
    <w:rsid w:val="0011108A"/>
    <w:rsid w:val="00111127"/>
    <w:rsid w:val="00111138"/>
    <w:rsid w:val="0011116D"/>
    <w:rsid w:val="00111194"/>
    <w:rsid w:val="0011125E"/>
    <w:rsid w:val="00111352"/>
    <w:rsid w:val="001113E2"/>
    <w:rsid w:val="0011144F"/>
    <w:rsid w:val="00111514"/>
    <w:rsid w:val="00111568"/>
    <w:rsid w:val="001116E7"/>
    <w:rsid w:val="001117B4"/>
    <w:rsid w:val="00111817"/>
    <w:rsid w:val="0011182A"/>
    <w:rsid w:val="0011189C"/>
    <w:rsid w:val="00111957"/>
    <w:rsid w:val="00111A42"/>
    <w:rsid w:val="00111A86"/>
    <w:rsid w:val="00111B91"/>
    <w:rsid w:val="00111BE8"/>
    <w:rsid w:val="00111C13"/>
    <w:rsid w:val="00111D05"/>
    <w:rsid w:val="00111D47"/>
    <w:rsid w:val="00111DE6"/>
    <w:rsid w:val="00111E4D"/>
    <w:rsid w:val="00111F9D"/>
    <w:rsid w:val="00111FAF"/>
    <w:rsid w:val="00112059"/>
    <w:rsid w:val="0011207E"/>
    <w:rsid w:val="001120E5"/>
    <w:rsid w:val="00112105"/>
    <w:rsid w:val="001122B0"/>
    <w:rsid w:val="00112311"/>
    <w:rsid w:val="00112351"/>
    <w:rsid w:val="001123A8"/>
    <w:rsid w:val="00112407"/>
    <w:rsid w:val="00112486"/>
    <w:rsid w:val="001124EC"/>
    <w:rsid w:val="00112611"/>
    <w:rsid w:val="001126A5"/>
    <w:rsid w:val="00112741"/>
    <w:rsid w:val="001127D0"/>
    <w:rsid w:val="001127F3"/>
    <w:rsid w:val="00112824"/>
    <w:rsid w:val="0011282A"/>
    <w:rsid w:val="00112854"/>
    <w:rsid w:val="00112856"/>
    <w:rsid w:val="00112879"/>
    <w:rsid w:val="001128D9"/>
    <w:rsid w:val="0011294C"/>
    <w:rsid w:val="00112981"/>
    <w:rsid w:val="0011299A"/>
    <w:rsid w:val="001129A6"/>
    <w:rsid w:val="00112B78"/>
    <w:rsid w:val="00112B91"/>
    <w:rsid w:val="00112C03"/>
    <w:rsid w:val="00112C42"/>
    <w:rsid w:val="00112D1F"/>
    <w:rsid w:val="00112E5E"/>
    <w:rsid w:val="00112F63"/>
    <w:rsid w:val="00113009"/>
    <w:rsid w:val="001131C9"/>
    <w:rsid w:val="00113214"/>
    <w:rsid w:val="0011326C"/>
    <w:rsid w:val="00113274"/>
    <w:rsid w:val="001132B6"/>
    <w:rsid w:val="001133AE"/>
    <w:rsid w:val="001133FC"/>
    <w:rsid w:val="0011341F"/>
    <w:rsid w:val="00113423"/>
    <w:rsid w:val="00113454"/>
    <w:rsid w:val="00113485"/>
    <w:rsid w:val="001134E8"/>
    <w:rsid w:val="00113649"/>
    <w:rsid w:val="0011377F"/>
    <w:rsid w:val="001137BC"/>
    <w:rsid w:val="001137EB"/>
    <w:rsid w:val="00113826"/>
    <w:rsid w:val="0011388F"/>
    <w:rsid w:val="001138C2"/>
    <w:rsid w:val="001139A5"/>
    <w:rsid w:val="001139F0"/>
    <w:rsid w:val="00113A08"/>
    <w:rsid w:val="00113A36"/>
    <w:rsid w:val="00113AB4"/>
    <w:rsid w:val="00113AC1"/>
    <w:rsid w:val="00113AFA"/>
    <w:rsid w:val="00113B20"/>
    <w:rsid w:val="00113B28"/>
    <w:rsid w:val="00113BC3"/>
    <w:rsid w:val="00113CAE"/>
    <w:rsid w:val="00113D8E"/>
    <w:rsid w:val="00113DB3"/>
    <w:rsid w:val="00113E0A"/>
    <w:rsid w:val="00113E30"/>
    <w:rsid w:val="00113EDF"/>
    <w:rsid w:val="00113EE2"/>
    <w:rsid w:val="00113F13"/>
    <w:rsid w:val="00113F99"/>
    <w:rsid w:val="0011408D"/>
    <w:rsid w:val="001140A5"/>
    <w:rsid w:val="001140E6"/>
    <w:rsid w:val="00114288"/>
    <w:rsid w:val="0011428F"/>
    <w:rsid w:val="001142A5"/>
    <w:rsid w:val="00114403"/>
    <w:rsid w:val="00114473"/>
    <w:rsid w:val="00114477"/>
    <w:rsid w:val="00114526"/>
    <w:rsid w:val="001145A3"/>
    <w:rsid w:val="001145F5"/>
    <w:rsid w:val="0011470D"/>
    <w:rsid w:val="00114722"/>
    <w:rsid w:val="00114727"/>
    <w:rsid w:val="001147F0"/>
    <w:rsid w:val="00114801"/>
    <w:rsid w:val="001148BE"/>
    <w:rsid w:val="001148CB"/>
    <w:rsid w:val="001148F7"/>
    <w:rsid w:val="00114937"/>
    <w:rsid w:val="00114959"/>
    <w:rsid w:val="001149F8"/>
    <w:rsid w:val="00114B29"/>
    <w:rsid w:val="00114B94"/>
    <w:rsid w:val="00114C02"/>
    <w:rsid w:val="00114C2E"/>
    <w:rsid w:val="00114C43"/>
    <w:rsid w:val="00114D74"/>
    <w:rsid w:val="00114DC3"/>
    <w:rsid w:val="00114E16"/>
    <w:rsid w:val="00114F88"/>
    <w:rsid w:val="00114FE4"/>
    <w:rsid w:val="001150A2"/>
    <w:rsid w:val="001151CE"/>
    <w:rsid w:val="0011525C"/>
    <w:rsid w:val="001152C5"/>
    <w:rsid w:val="00115302"/>
    <w:rsid w:val="00115383"/>
    <w:rsid w:val="001153CE"/>
    <w:rsid w:val="001153DB"/>
    <w:rsid w:val="00115467"/>
    <w:rsid w:val="00115701"/>
    <w:rsid w:val="00115754"/>
    <w:rsid w:val="0011580A"/>
    <w:rsid w:val="001158B6"/>
    <w:rsid w:val="001158B9"/>
    <w:rsid w:val="00115938"/>
    <w:rsid w:val="0011599B"/>
    <w:rsid w:val="001159D5"/>
    <w:rsid w:val="00115A20"/>
    <w:rsid w:val="00115A25"/>
    <w:rsid w:val="00115A76"/>
    <w:rsid w:val="00115B26"/>
    <w:rsid w:val="00115BC4"/>
    <w:rsid w:val="00115D55"/>
    <w:rsid w:val="00115E01"/>
    <w:rsid w:val="00115E9C"/>
    <w:rsid w:val="00115EB4"/>
    <w:rsid w:val="00115F58"/>
    <w:rsid w:val="00115F85"/>
    <w:rsid w:val="00115FE5"/>
    <w:rsid w:val="00116071"/>
    <w:rsid w:val="001160CE"/>
    <w:rsid w:val="001160D0"/>
    <w:rsid w:val="001160F4"/>
    <w:rsid w:val="00116119"/>
    <w:rsid w:val="0011614E"/>
    <w:rsid w:val="0011615E"/>
    <w:rsid w:val="001161D3"/>
    <w:rsid w:val="00116254"/>
    <w:rsid w:val="00116368"/>
    <w:rsid w:val="0011636A"/>
    <w:rsid w:val="00116398"/>
    <w:rsid w:val="001163CE"/>
    <w:rsid w:val="00116409"/>
    <w:rsid w:val="001164C7"/>
    <w:rsid w:val="001164FA"/>
    <w:rsid w:val="00116565"/>
    <w:rsid w:val="00116643"/>
    <w:rsid w:val="0011667D"/>
    <w:rsid w:val="001166B4"/>
    <w:rsid w:val="001166F2"/>
    <w:rsid w:val="001167DA"/>
    <w:rsid w:val="00116848"/>
    <w:rsid w:val="00116870"/>
    <w:rsid w:val="00116882"/>
    <w:rsid w:val="00116907"/>
    <w:rsid w:val="00116966"/>
    <w:rsid w:val="00116AF7"/>
    <w:rsid w:val="00116B43"/>
    <w:rsid w:val="00116B48"/>
    <w:rsid w:val="00116C76"/>
    <w:rsid w:val="00116DAE"/>
    <w:rsid w:val="00116E3E"/>
    <w:rsid w:val="00116E89"/>
    <w:rsid w:val="00116F26"/>
    <w:rsid w:val="00116F5A"/>
    <w:rsid w:val="00116FE2"/>
    <w:rsid w:val="001170CD"/>
    <w:rsid w:val="0011711A"/>
    <w:rsid w:val="0011716C"/>
    <w:rsid w:val="001171BE"/>
    <w:rsid w:val="001172F4"/>
    <w:rsid w:val="0011732E"/>
    <w:rsid w:val="00117383"/>
    <w:rsid w:val="00117415"/>
    <w:rsid w:val="001174F2"/>
    <w:rsid w:val="001174F6"/>
    <w:rsid w:val="0011752B"/>
    <w:rsid w:val="001175CA"/>
    <w:rsid w:val="00117620"/>
    <w:rsid w:val="00117723"/>
    <w:rsid w:val="0011774F"/>
    <w:rsid w:val="0011775A"/>
    <w:rsid w:val="0011785C"/>
    <w:rsid w:val="00117885"/>
    <w:rsid w:val="00117886"/>
    <w:rsid w:val="001178DA"/>
    <w:rsid w:val="0011796F"/>
    <w:rsid w:val="00117990"/>
    <w:rsid w:val="00117A1B"/>
    <w:rsid w:val="00117A2D"/>
    <w:rsid w:val="00117BF4"/>
    <w:rsid w:val="00117C29"/>
    <w:rsid w:val="00117D35"/>
    <w:rsid w:val="00117DB0"/>
    <w:rsid w:val="00117E3A"/>
    <w:rsid w:val="00117E55"/>
    <w:rsid w:val="00117EA0"/>
    <w:rsid w:val="00117F95"/>
    <w:rsid w:val="00120037"/>
    <w:rsid w:val="00120041"/>
    <w:rsid w:val="00120069"/>
    <w:rsid w:val="001200CB"/>
    <w:rsid w:val="001200F1"/>
    <w:rsid w:val="0012012C"/>
    <w:rsid w:val="00120144"/>
    <w:rsid w:val="00120160"/>
    <w:rsid w:val="0012018C"/>
    <w:rsid w:val="001201AA"/>
    <w:rsid w:val="0012020F"/>
    <w:rsid w:val="001202FC"/>
    <w:rsid w:val="00120342"/>
    <w:rsid w:val="00120346"/>
    <w:rsid w:val="001203E5"/>
    <w:rsid w:val="001204A5"/>
    <w:rsid w:val="001204AB"/>
    <w:rsid w:val="0012060B"/>
    <w:rsid w:val="0012078B"/>
    <w:rsid w:val="0012086C"/>
    <w:rsid w:val="001208B6"/>
    <w:rsid w:val="00120936"/>
    <w:rsid w:val="00120983"/>
    <w:rsid w:val="0012099A"/>
    <w:rsid w:val="001209B8"/>
    <w:rsid w:val="001209BC"/>
    <w:rsid w:val="00120A7D"/>
    <w:rsid w:val="00120AAA"/>
    <w:rsid w:val="00120BD0"/>
    <w:rsid w:val="00120DCB"/>
    <w:rsid w:val="00120E28"/>
    <w:rsid w:val="00120EAC"/>
    <w:rsid w:val="00120EAE"/>
    <w:rsid w:val="00120F86"/>
    <w:rsid w:val="00120FBC"/>
    <w:rsid w:val="00121024"/>
    <w:rsid w:val="001211B4"/>
    <w:rsid w:val="00121230"/>
    <w:rsid w:val="001212A1"/>
    <w:rsid w:val="0012131B"/>
    <w:rsid w:val="00121345"/>
    <w:rsid w:val="00121363"/>
    <w:rsid w:val="001213CD"/>
    <w:rsid w:val="00121418"/>
    <w:rsid w:val="00121555"/>
    <w:rsid w:val="001215CB"/>
    <w:rsid w:val="001215F2"/>
    <w:rsid w:val="00121991"/>
    <w:rsid w:val="001219BC"/>
    <w:rsid w:val="00121A59"/>
    <w:rsid w:val="00121AEF"/>
    <w:rsid w:val="00121B61"/>
    <w:rsid w:val="00121B7A"/>
    <w:rsid w:val="00121B93"/>
    <w:rsid w:val="00121BB1"/>
    <w:rsid w:val="00121BC2"/>
    <w:rsid w:val="00121BE5"/>
    <w:rsid w:val="00121C21"/>
    <w:rsid w:val="00121C4E"/>
    <w:rsid w:val="00121E9F"/>
    <w:rsid w:val="00121EF4"/>
    <w:rsid w:val="00121F9A"/>
    <w:rsid w:val="00121FD0"/>
    <w:rsid w:val="001220B7"/>
    <w:rsid w:val="0012216E"/>
    <w:rsid w:val="0012220B"/>
    <w:rsid w:val="0012228C"/>
    <w:rsid w:val="00122295"/>
    <w:rsid w:val="0012229A"/>
    <w:rsid w:val="00122355"/>
    <w:rsid w:val="00122478"/>
    <w:rsid w:val="001224C5"/>
    <w:rsid w:val="00122524"/>
    <w:rsid w:val="0012255D"/>
    <w:rsid w:val="001225C2"/>
    <w:rsid w:val="001225C8"/>
    <w:rsid w:val="001225D9"/>
    <w:rsid w:val="00122687"/>
    <w:rsid w:val="001226A4"/>
    <w:rsid w:val="001226C7"/>
    <w:rsid w:val="001226DC"/>
    <w:rsid w:val="00122735"/>
    <w:rsid w:val="00122739"/>
    <w:rsid w:val="00122788"/>
    <w:rsid w:val="001227B6"/>
    <w:rsid w:val="001227F6"/>
    <w:rsid w:val="0012284D"/>
    <w:rsid w:val="00122866"/>
    <w:rsid w:val="001228A6"/>
    <w:rsid w:val="001228EA"/>
    <w:rsid w:val="00122928"/>
    <w:rsid w:val="001229BA"/>
    <w:rsid w:val="001229D7"/>
    <w:rsid w:val="001229DD"/>
    <w:rsid w:val="00122B06"/>
    <w:rsid w:val="00122BBF"/>
    <w:rsid w:val="00122C91"/>
    <w:rsid w:val="00122D54"/>
    <w:rsid w:val="00122DEC"/>
    <w:rsid w:val="00122E4D"/>
    <w:rsid w:val="00122E76"/>
    <w:rsid w:val="00122E8F"/>
    <w:rsid w:val="0012302A"/>
    <w:rsid w:val="0012302B"/>
    <w:rsid w:val="00123058"/>
    <w:rsid w:val="00123060"/>
    <w:rsid w:val="00123082"/>
    <w:rsid w:val="00123104"/>
    <w:rsid w:val="00123281"/>
    <w:rsid w:val="00123488"/>
    <w:rsid w:val="001234B4"/>
    <w:rsid w:val="001234E8"/>
    <w:rsid w:val="00123520"/>
    <w:rsid w:val="001235B6"/>
    <w:rsid w:val="001236A5"/>
    <w:rsid w:val="001236D4"/>
    <w:rsid w:val="0012381F"/>
    <w:rsid w:val="0012384A"/>
    <w:rsid w:val="001238E9"/>
    <w:rsid w:val="00123909"/>
    <w:rsid w:val="00123997"/>
    <w:rsid w:val="001239E1"/>
    <w:rsid w:val="00123A04"/>
    <w:rsid w:val="00123BC8"/>
    <w:rsid w:val="00123C2C"/>
    <w:rsid w:val="00123C4D"/>
    <w:rsid w:val="00123D2F"/>
    <w:rsid w:val="00123D4D"/>
    <w:rsid w:val="00123DB7"/>
    <w:rsid w:val="00123DCC"/>
    <w:rsid w:val="00123E51"/>
    <w:rsid w:val="00123E70"/>
    <w:rsid w:val="00123E86"/>
    <w:rsid w:val="00123F13"/>
    <w:rsid w:val="00123F9C"/>
    <w:rsid w:val="00123FF0"/>
    <w:rsid w:val="0012405C"/>
    <w:rsid w:val="0012411C"/>
    <w:rsid w:val="00124227"/>
    <w:rsid w:val="00124237"/>
    <w:rsid w:val="00124307"/>
    <w:rsid w:val="00124317"/>
    <w:rsid w:val="00124329"/>
    <w:rsid w:val="00124441"/>
    <w:rsid w:val="00124450"/>
    <w:rsid w:val="001244D8"/>
    <w:rsid w:val="00124642"/>
    <w:rsid w:val="00124657"/>
    <w:rsid w:val="00124685"/>
    <w:rsid w:val="0012472D"/>
    <w:rsid w:val="00124787"/>
    <w:rsid w:val="00124A16"/>
    <w:rsid w:val="00124AE0"/>
    <w:rsid w:val="00124AFE"/>
    <w:rsid w:val="00124BA6"/>
    <w:rsid w:val="00124BC7"/>
    <w:rsid w:val="00124C2D"/>
    <w:rsid w:val="00124CFA"/>
    <w:rsid w:val="00124D68"/>
    <w:rsid w:val="00124E00"/>
    <w:rsid w:val="00124E56"/>
    <w:rsid w:val="00124E8F"/>
    <w:rsid w:val="00124F01"/>
    <w:rsid w:val="00124F39"/>
    <w:rsid w:val="00124FFB"/>
    <w:rsid w:val="001250AC"/>
    <w:rsid w:val="001250B7"/>
    <w:rsid w:val="00125197"/>
    <w:rsid w:val="00125257"/>
    <w:rsid w:val="00125296"/>
    <w:rsid w:val="00125389"/>
    <w:rsid w:val="001253A8"/>
    <w:rsid w:val="001253F1"/>
    <w:rsid w:val="00125426"/>
    <w:rsid w:val="001254B5"/>
    <w:rsid w:val="0012552D"/>
    <w:rsid w:val="001255DB"/>
    <w:rsid w:val="00125614"/>
    <w:rsid w:val="001256CB"/>
    <w:rsid w:val="00125775"/>
    <w:rsid w:val="00125818"/>
    <w:rsid w:val="00125863"/>
    <w:rsid w:val="0012587B"/>
    <w:rsid w:val="001259C0"/>
    <w:rsid w:val="001259F9"/>
    <w:rsid w:val="00125A8F"/>
    <w:rsid w:val="00125ACD"/>
    <w:rsid w:val="00125AE8"/>
    <w:rsid w:val="00125C17"/>
    <w:rsid w:val="00125C31"/>
    <w:rsid w:val="00125C82"/>
    <w:rsid w:val="00125CDA"/>
    <w:rsid w:val="00125D1B"/>
    <w:rsid w:val="00125D24"/>
    <w:rsid w:val="00125D29"/>
    <w:rsid w:val="00125D8A"/>
    <w:rsid w:val="00125E37"/>
    <w:rsid w:val="00125E52"/>
    <w:rsid w:val="00125EE6"/>
    <w:rsid w:val="00125EE8"/>
    <w:rsid w:val="00125F67"/>
    <w:rsid w:val="00125F6A"/>
    <w:rsid w:val="00126021"/>
    <w:rsid w:val="00126051"/>
    <w:rsid w:val="00126140"/>
    <w:rsid w:val="00126240"/>
    <w:rsid w:val="00126249"/>
    <w:rsid w:val="0012625C"/>
    <w:rsid w:val="001262D5"/>
    <w:rsid w:val="0012631E"/>
    <w:rsid w:val="001263B2"/>
    <w:rsid w:val="00126432"/>
    <w:rsid w:val="00126518"/>
    <w:rsid w:val="0012659A"/>
    <w:rsid w:val="001265C1"/>
    <w:rsid w:val="00126725"/>
    <w:rsid w:val="00126734"/>
    <w:rsid w:val="00126794"/>
    <w:rsid w:val="001267EA"/>
    <w:rsid w:val="00126809"/>
    <w:rsid w:val="0012692C"/>
    <w:rsid w:val="00126995"/>
    <w:rsid w:val="001269F7"/>
    <w:rsid w:val="00126A00"/>
    <w:rsid w:val="00126A9D"/>
    <w:rsid w:val="00126B2B"/>
    <w:rsid w:val="00126B2D"/>
    <w:rsid w:val="00126C88"/>
    <w:rsid w:val="00126CA8"/>
    <w:rsid w:val="00126CC7"/>
    <w:rsid w:val="00126CE3"/>
    <w:rsid w:val="00126D17"/>
    <w:rsid w:val="00126DBA"/>
    <w:rsid w:val="00126E40"/>
    <w:rsid w:val="00126E5C"/>
    <w:rsid w:val="00126E8A"/>
    <w:rsid w:val="00126EFD"/>
    <w:rsid w:val="00126F12"/>
    <w:rsid w:val="00126FDA"/>
    <w:rsid w:val="00126FF8"/>
    <w:rsid w:val="0012703D"/>
    <w:rsid w:val="00127045"/>
    <w:rsid w:val="0012710A"/>
    <w:rsid w:val="00127197"/>
    <w:rsid w:val="001271CC"/>
    <w:rsid w:val="001271E4"/>
    <w:rsid w:val="00127202"/>
    <w:rsid w:val="0012723C"/>
    <w:rsid w:val="001272F4"/>
    <w:rsid w:val="0012736E"/>
    <w:rsid w:val="00127431"/>
    <w:rsid w:val="00127593"/>
    <w:rsid w:val="0012768E"/>
    <w:rsid w:val="00127830"/>
    <w:rsid w:val="00127859"/>
    <w:rsid w:val="00127873"/>
    <w:rsid w:val="001278C0"/>
    <w:rsid w:val="001278D1"/>
    <w:rsid w:val="001278E8"/>
    <w:rsid w:val="00127915"/>
    <w:rsid w:val="0012793B"/>
    <w:rsid w:val="00127977"/>
    <w:rsid w:val="00127A1C"/>
    <w:rsid w:val="00127B8E"/>
    <w:rsid w:val="00127B94"/>
    <w:rsid w:val="00127C6C"/>
    <w:rsid w:val="00127C6D"/>
    <w:rsid w:val="00127CA6"/>
    <w:rsid w:val="00127CFB"/>
    <w:rsid w:val="00127D27"/>
    <w:rsid w:val="00127DFC"/>
    <w:rsid w:val="00127E82"/>
    <w:rsid w:val="00127EB6"/>
    <w:rsid w:val="00128D73"/>
    <w:rsid w:val="00130058"/>
    <w:rsid w:val="0013012A"/>
    <w:rsid w:val="001301BB"/>
    <w:rsid w:val="001302C0"/>
    <w:rsid w:val="0013033D"/>
    <w:rsid w:val="00130352"/>
    <w:rsid w:val="00130424"/>
    <w:rsid w:val="001304D7"/>
    <w:rsid w:val="001304F2"/>
    <w:rsid w:val="00130567"/>
    <w:rsid w:val="0013056D"/>
    <w:rsid w:val="001306CD"/>
    <w:rsid w:val="001307FD"/>
    <w:rsid w:val="00130812"/>
    <w:rsid w:val="0013084D"/>
    <w:rsid w:val="00130871"/>
    <w:rsid w:val="001308BE"/>
    <w:rsid w:val="00130919"/>
    <w:rsid w:val="00130991"/>
    <w:rsid w:val="00130A48"/>
    <w:rsid w:val="00130A91"/>
    <w:rsid w:val="00130B48"/>
    <w:rsid w:val="00130BE0"/>
    <w:rsid w:val="00130C31"/>
    <w:rsid w:val="00130C46"/>
    <w:rsid w:val="00130D7E"/>
    <w:rsid w:val="00130F52"/>
    <w:rsid w:val="00130F6C"/>
    <w:rsid w:val="00130F7B"/>
    <w:rsid w:val="00130FA1"/>
    <w:rsid w:val="0013100C"/>
    <w:rsid w:val="00131058"/>
    <w:rsid w:val="001310A8"/>
    <w:rsid w:val="001310C1"/>
    <w:rsid w:val="00131262"/>
    <w:rsid w:val="001314A6"/>
    <w:rsid w:val="00131519"/>
    <w:rsid w:val="0013151D"/>
    <w:rsid w:val="00131531"/>
    <w:rsid w:val="0013163F"/>
    <w:rsid w:val="00131663"/>
    <w:rsid w:val="00131664"/>
    <w:rsid w:val="001317B6"/>
    <w:rsid w:val="001317CF"/>
    <w:rsid w:val="001317EE"/>
    <w:rsid w:val="001318D5"/>
    <w:rsid w:val="001318E8"/>
    <w:rsid w:val="001318E9"/>
    <w:rsid w:val="00131971"/>
    <w:rsid w:val="001319BD"/>
    <w:rsid w:val="001319EA"/>
    <w:rsid w:val="00131AE1"/>
    <w:rsid w:val="00131B82"/>
    <w:rsid w:val="00131C42"/>
    <w:rsid w:val="00131C75"/>
    <w:rsid w:val="00131C7F"/>
    <w:rsid w:val="00131D0B"/>
    <w:rsid w:val="00131E27"/>
    <w:rsid w:val="00131E6F"/>
    <w:rsid w:val="00131E9F"/>
    <w:rsid w:val="00131EA2"/>
    <w:rsid w:val="00131F36"/>
    <w:rsid w:val="00131F3F"/>
    <w:rsid w:val="00131FB4"/>
    <w:rsid w:val="00132057"/>
    <w:rsid w:val="00132061"/>
    <w:rsid w:val="001320C5"/>
    <w:rsid w:val="00132100"/>
    <w:rsid w:val="00132116"/>
    <w:rsid w:val="0013214C"/>
    <w:rsid w:val="0013222B"/>
    <w:rsid w:val="001322A2"/>
    <w:rsid w:val="00132474"/>
    <w:rsid w:val="001324C6"/>
    <w:rsid w:val="001324FC"/>
    <w:rsid w:val="00132517"/>
    <w:rsid w:val="0013253E"/>
    <w:rsid w:val="001325E9"/>
    <w:rsid w:val="00132636"/>
    <w:rsid w:val="00132658"/>
    <w:rsid w:val="001326F5"/>
    <w:rsid w:val="00132763"/>
    <w:rsid w:val="00132798"/>
    <w:rsid w:val="001328C2"/>
    <w:rsid w:val="0013292E"/>
    <w:rsid w:val="0013299F"/>
    <w:rsid w:val="00132AD1"/>
    <w:rsid w:val="00132B7D"/>
    <w:rsid w:val="00132B9F"/>
    <w:rsid w:val="00132BA5"/>
    <w:rsid w:val="00132BBD"/>
    <w:rsid w:val="00132BC0"/>
    <w:rsid w:val="00132C53"/>
    <w:rsid w:val="00132CEE"/>
    <w:rsid w:val="00132D7C"/>
    <w:rsid w:val="00132EDD"/>
    <w:rsid w:val="00132FA8"/>
    <w:rsid w:val="00133031"/>
    <w:rsid w:val="00133173"/>
    <w:rsid w:val="001331A8"/>
    <w:rsid w:val="001331FB"/>
    <w:rsid w:val="00133222"/>
    <w:rsid w:val="001332A2"/>
    <w:rsid w:val="001332D7"/>
    <w:rsid w:val="00133467"/>
    <w:rsid w:val="001334B5"/>
    <w:rsid w:val="001334FC"/>
    <w:rsid w:val="00133509"/>
    <w:rsid w:val="00133559"/>
    <w:rsid w:val="0013358D"/>
    <w:rsid w:val="00133596"/>
    <w:rsid w:val="001335F8"/>
    <w:rsid w:val="00133657"/>
    <w:rsid w:val="00133687"/>
    <w:rsid w:val="001336F7"/>
    <w:rsid w:val="001338A6"/>
    <w:rsid w:val="001338E9"/>
    <w:rsid w:val="001339F7"/>
    <w:rsid w:val="00133A07"/>
    <w:rsid w:val="00133A1A"/>
    <w:rsid w:val="00133A66"/>
    <w:rsid w:val="00133B3E"/>
    <w:rsid w:val="00133C31"/>
    <w:rsid w:val="00133C32"/>
    <w:rsid w:val="00133CEA"/>
    <w:rsid w:val="00133D2D"/>
    <w:rsid w:val="00133DA3"/>
    <w:rsid w:val="00133DA4"/>
    <w:rsid w:val="00133DC8"/>
    <w:rsid w:val="00133E0F"/>
    <w:rsid w:val="00133E35"/>
    <w:rsid w:val="00133E90"/>
    <w:rsid w:val="00133F06"/>
    <w:rsid w:val="00134093"/>
    <w:rsid w:val="001341A6"/>
    <w:rsid w:val="00134348"/>
    <w:rsid w:val="00134399"/>
    <w:rsid w:val="0013447B"/>
    <w:rsid w:val="0013448B"/>
    <w:rsid w:val="00134634"/>
    <w:rsid w:val="00134644"/>
    <w:rsid w:val="001346D1"/>
    <w:rsid w:val="001346D7"/>
    <w:rsid w:val="0013477A"/>
    <w:rsid w:val="00134796"/>
    <w:rsid w:val="001347CA"/>
    <w:rsid w:val="001347FC"/>
    <w:rsid w:val="00134863"/>
    <w:rsid w:val="001348BA"/>
    <w:rsid w:val="001348CE"/>
    <w:rsid w:val="0013490F"/>
    <w:rsid w:val="0013494A"/>
    <w:rsid w:val="0013496A"/>
    <w:rsid w:val="001349AB"/>
    <w:rsid w:val="001349B3"/>
    <w:rsid w:val="00134A2C"/>
    <w:rsid w:val="00134AC0"/>
    <w:rsid w:val="00134B50"/>
    <w:rsid w:val="00134BC3"/>
    <w:rsid w:val="00134C2C"/>
    <w:rsid w:val="00134DBF"/>
    <w:rsid w:val="00134EE9"/>
    <w:rsid w:val="00134F5E"/>
    <w:rsid w:val="00135086"/>
    <w:rsid w:val="00135131"/>
    <w:rsid w:val="0013513D"/>
    <w:rsid w:val="0013526B"/>
    <w:rsid w:val="0013531F"/>
    <w:rsid w:val="00135327"/>
    <w:rsid w:val="001353DC"/>
    <w:rsid w:val="0013548B"/>
    <w:rsid w:val="00135503"/>
    <w:rsid w:val="00135536"/>
    <w:rsid w:val="00135677"/>
    <w:rsid w:val="0013567D"/>
    <w:rsid w:val="00135762"/>
    <w:rsid w:val="001357C3"/>
    <w:rsid w:val="00135870"/>
    <w:rsid w:val="001358EB"/>
    <w:rsid w:val="0013593D"/>
    <w:rsid w:val="0013595D"/>
    <w:rsid w:val="001359D5"/>
    <w:rsid w:val="00135A65"/>
    <w:rsid w:val="00135B28"/>
    <w:rsid w:val="00135B89"/>
    <w:rsid w:val="00135C77"/>
    <w:rsid w:val="00135C79"/>
    <w:rsid w:val="00135C8A"/>
    <w:rsid w:val="00135C8E"/>
    <w:rsid w:val="00135DD0"/>
    <w:rsid w:val="00135E00"/>
    <w:rsid w:val="00135FC1"/>
    <w:rsid w:val="00135FCF"/>
    <w:rsid w:val="00136097"/>
    <w:rsid w:val="0013613A"/>
    <w:rsid w:val="001361F1"/>
    <w:rsid w:val="00136216"/>
    <w:rsid w:val="0013623B"/>
    <w:rsid w:val="001362CE"/>
    <w:rsid w:val="00136322"/>
    <w:rsid w:val="00136358"/>
    <w:rsid w:val="0013636F"/>
    <w:rsid w:val="00136473"/>
    <w:rsid w:val="0013660D"/>
    <w:rsid w:val="00136704"/>
    <w:rsid w:val="00136742"/>
    <w:rsid w:val="00136764"/>
    <w:rsid w:val="001367A7"/>
    <w:rsid w:val="001367DC"/>
    <w:rsid w:val="001367FB"/>
    <w:rsid w:val="0013682E"/>
    <w:rsid w:val="00136899"/>
    <w:rsid w:val="001368A6"/>
    <w:rsid w:val="001368F6"/>
    <w:rsid w:val="001369ED"/>
    <w:rsid w:val="00136AA3"/>
    <w:rsid w:val="00136B01"/>
    <w:rsid w:val="00136B0A"/>
    <w:rsid w:val="00136C2B"/>
    <w:rsid w:val="00136C6C"/>
    <w:rsid w:val="00136CDE"/>
    <w:rsid w:val="00136DBA"/>
    <w:rsid w:val="00136E12"/>
    <w:rsid w:val="00136E41"/>
    <w:rsid w:val="00136F07"/>
    <w:rsid w:val="00136F4A"/>
    <w:rsid w:val="00136F71"/>
    <w:rsid w:val="00136FA7"/>
    <w:rsid w:val="001371D3"/>
    <w:rsid w:val="0013724B"/>
    <w:rsid w:val="0013727A"/>
    <w:rsid w:val="001372B1"/>
    <w:rsid w:val="001373AF"/>
    <w:rsid w:val="001373B3"/>
    <w:rsid w:val="001373B4"/>
    <w:rsid w:val="0013741D"/>
    <w:rsid w:val="0013741F"/>
    <w:rsid w:val="0013746B"/>
    <w:rsid w:val="001374A2"/>
    <w:rsid w:val="001374B4"/>
    <w:rsid w:val="00137501"/>
    <w:rsid w:val="00137570"/>
    <w:rsid w:val="001375BD"/>
    <w:rsid w:val="001375F0"/>
    <w:rsid w:val="001375FC"/>
    <w:rsid w:val="0013762F"/>
    <w:rsid w:val="001376D5"/>
    <w:rsid w:val="00137777"/>
    <w:rsid w:val="001377DA"/>
    <w:rsid w:val="00137813"/>
    <w:rsid w:val="00137857"/>
    <w:rsid w:val="00137898"/>
    <w:rsid w:val="00137954"/>
    <w:rsid w:val="00137A50"/>
    <w:rsid w:val="00137A70"/>
    <w:rsid w:val="00137AA9"/>
    <w:rsid w:val="00137B5C"/>
    <w:rsid w:val="00137B8B"/>
    <w:rsid w:val="00137C35"/>
    <w:rsid w:val="00137CD4"/>
    <w:rsid w:val="00137D64"/>
    <w:rsid w:val="00137DB4"/>
    <w:rsid w:val="00137E33"/>
    <w:rsid w:val="00137E58"/>
    <w:rsid w:val="00137ED6"/>
    <w:rsid w:val="00137F6A"/>
    <w:rsid w:val="00137F97"/>
    <w:rsid w:val="0014008B"/>
    <w:rsid w:val="00140156"/>
    <w:rsid w:val="001401FD"/>
    <w:rsid w:val="001402D6"/>
    <w:rsid w:val="0014030F"/>
    <w:rsid w:val="00140349"/>
    <w:rsid w:val="00140358"/>
    <w:rsid w:val="001403AC"/>
    <w:rsid w:val="001403BD"/>
    <w:rsid w:val="001403D2"/>
    <w:rsid w:val="001403FE"/>
    <w:rsid w:val="00140435"/>
    <w:rsid w:val="00140576"/>
    <w:rsid w:val="00140587"/>
    <w:rsid w:val="001405FE"/>
    <w:rsid w:val="00140609"/>
    <w:rsid w:val="00140646"/>
    <w:rsid w:val="00140670"/>
    <w:rsid w:val="0014067A"/>
    <w:rsid w:val="001406A0"/>
    <w:rsid w:val="00140700"/>
    <w:rsid w:val="0014073E"/>
    <w:rsid w:val="001407F8"/>
    <w:rsid w:val="0014082F"/>
    <w:rsid w:val="00140956"/>
    <w:rsid w:val="001409A1"/>
    <w:rsid w:val="001409EB"/>
    <w:rsid w:val="00140A8C"/>
    <w:rsid w:val="00140A94"/>
    <w:rsid w:val="00140ABE"/>
    <w:rsid w:val="00140AF9"/>
    <w:rsid w:val="00140BC0"/>
    <w:rsid w:val="00140C53"/>
    <w:rsid w:val="00140C7B"/>
    <w:rsid w:val="00140D19"/>
    <w:rsid w:val="00140DA4"/>
    <w:rsid w:val="00141054"/>
    <w:rsid w:val="001411C0"/>
    <w:rsid w:val="001411C6"/>
    <w:rsid w:val="00141206"/>
    <w:rsid w:val="00141239"/>
    <w:rsid w:val="0014126E"/>
    <w:rsid w:val="001412C7"/>
    <w:rsid w:val="001412F5"/>
    <w:rsid w:val="00141309"/>
    <w:rsid w:val="00141359"/>
    <w:rsid w:val="00141433"/>
    <w:rsid w:val="001414A9"/>
    <w:rsid w:val="00141586"/>
    <w:rsid w:val="001415AC"/>
    <w:rsid w:val="0014195A"/>
    <w:rsid w:val="001419D2"/>
    <w:rsid w:val="001419DF"/>
    <w:rsid w:val="00141A63"/>
    <w:rsid w:val="00141CAB"/>
    <w:rsid w:val="00141CBC"/>
    <w:rsid w:val="00141D47"/>
    <w:rsid w:val="00141DA5"/>
    <w:rsid w:val="00141DCF"/>
    <w:rsid w:val="00141EB2"/>
    <w:rsid w:val="00141F3D"/>
    <w:rsid w:val="00141FA4"/>
    <w:rsid w:val="0014201D"/>
    <w:rsid w:val="0014202B"/>
    <w:rsid w:val="00142037"/>
    <w:rsid w:val="00142098"/>
    <w:rsid w:val="001420B8"/>
    <w:rsid w:val="0014210B"/>
    <w:rsid w:val="00142237"/>
    <w:rsid w:val="0014225B"/>
    <w:rsid w:val="0014240D"/>
    <w:rsid w:val="00142433"/>
    <w:rsid w:val="00142478"/>
    <w:rsid w:val="00142503"/>
    <w:rsid w:val="00142504"/>
    <w:rsid w:val="0014252C"/>
    <w:rsid w:val="0014260C"/>
    <w:rsid w:val="0014261A"/>
    <w:rsid w:val="0014263B"/>
    <w:rsid w:val="00142682"/>
    <w:rsid w:val="001427AD"/>
    <w:rsid w:val="00142892"/>
    <w:rsid w:val="00142930"/>
    <w:rsid w:val="0014293B"/>
    <w:rsid w:val="0014297D"/>
    <w:rsid w:val="00142AD8"/>
    <w:rsid w:val="00142B16"/>
    <w:rsid w:val="00142BF3"/>
    <w:rsid w:val="00142BFD"/>
    <w:rsid w:val="00142CB2"/>
    <w:rsid w:val="00142D97"/>
    <w:rsid w:val="00142DC8"/>
    <w:rsid w:val="00142DDC"/>
    <w:rsid w:val="00142E8D"/>
    <w:rsid w:val="00142EF7"/>
    <w:rsid w:val="001431DC"/>
    <w:rsid w:val="0014320E"/>
    <w:rsid w:val="00143213"/>
    <w:rsid w:val="00143294"/>
    <w:rsid w:val="001432E4"/>
    <w:rsid w:val="0014330F"/>
    <w:rsid w:val="0014333B"/>
    <w:rsid w:val="00143434"/>
    <w:rsid w:val="001434D2"/>
    <w:rsid w:val="00143582"/>
    <w:rsid w:val="00143589"/>
    <w:rsid w:val="00143616"/>
    <w:rsid w:val="00143932"/>
    <w:rsid w:val="0014394A"/>
    <w:rsid w:val="0014398F"/>
    <w:rsid w:val="00143999"/>
    <w:rsid w:val="001439D3"/>
    <w:rsid w:val="00143A41"/>
    <w:rsid w:val="00143ACA"/>
    <w:rsid w:val="00143B34"/>
    <w:rsid w:val="00143B36"/>
    <w:rsid w:val="00143B48"/>
    <w:rsid w:val="00143C5E"/>
    <w:rsid w:val="00143D6F"/>
    <w:rsid w:val="00143E3C"/>
    <w:rsid w:val="00143E80"/>
    <w:rsid w:val="00143EC6"/>
    <w:rsid w:val="00143EED"/>
    <w:rsid w:val="00143EFE"/>
    <w:rsid w:val="00143F21"/>
    <w:rsid w:val="00143F2A"/>
    <w:rsid w:val="00143F83"/>
    <w:rsid w:val="00143FA6"/>
    <w:rsid w:val="00143FDD"/>
    <w:rsid w:val="0014403A"/>
    <w:rsid w:val="001440E1"/>
    <w:rsid w:val="001441C4"/>
    <w:rsid w:val="001441F1"/>
    <w:rsid w:val="00144256"/>
    <w:rsid w:val="00144338"/>
    <w:rsid w:val="00144385"/>
    <w:rsid w:val="00144399"/>
    <w:rsid w:val="00144472"/>
    <w:rsid w:val="0014447B"/>
    <w:rsid w:val="001444D6"/>
    <w:rsid w:val="00144541"/>
    <w:rsid w:val="00144590"/>
    <w:rsid w:val="00144609"/>
    <w:rsid w:val="0014471A"/>
    <w:rsid w:val="00144751"/>
    <w:rsid w:val="001447A3"/>
    <w:rsid w:val="0014480A"/>
    <w:rsid w:val="00144872"/>
    <w:rsid w:val="001449D8"/>
    <w:rsid w:val="001449F2"/>
    <w:rsid w:val="00144AC1"/>
    <w:rsid w:val="00144ACD"/>
    <w:rsid w:val="00144AD2"/>
    <w:rsid w:val="00144B5C"/>
    <w:rsid w:val="00144B69"/>
    <w:rsid w:val="00144B7E"/>
    <w:rsid w:val="00144CAE"/>
    <w:rsid w:val="00144CD3"/>
    <w:rsid w:val="00144D0C"/>
    <w:rsid w:val="00144D24"/>
    <w:rsid w:val="00144D33"/>
    <w:rsid w:val="00144D34"/>
    <w:rsid w:val="00144D36"/>
    <w:rsid w:val="00144DB1"/>
    <w:rsid w:val="00144DE2"/>
    <w:rsid w:val="00144EB9"/>
    <w:rsid w:val="00144EDF"/>
    <w:rsid w:val="00144EEB"/>
    <w:rsid w:val="00144F5B"/>
    <w:rsid w:val="00145050"/>
    <w:rsid w:val="001450AE"/>
    <w:rsid w:val="00145279"/>
    <w:rsid w:val="001452C8"/>
    <w:rsid w:val="001455BE"/>
    <w:rsid w:val="00145619"/>
    <w:rsid w:val="0014561E"/>
    <w:rsid w:val="0014575E"/>
    <w:rsid w:val="001458DA"/>
    <w:rsid w:val="001458F2"/>
    <w:rsid w:val="001459B6"/>
    <w:rsid w:val="00145A35"/>
    <w:rsid w:val="00145A45"/>
    <w:rsid w:val="00145A5A"/>
    <w:rsid w:val="00145B3A"/>
    <w:rsid w:val="00145B7B"/>
    <w:rsid w:val="00145BB5"/>
    <w:rsid w:val="00145BE5"/>
    <w:rsid w:val="00145BE7"/>
    <w:rsid w:val="00145C21"/>
    <w:rsid w:val="00145C2B"/>
    <w:rsid w:val="00145C8B"/>
    <w:rsid w:val="00145DAA"/>
    <w:rsid w:val="00145DB7"/>
    <w:rsid w:val="00145DBC"/>
    <w:rsid w:val="00145DE6"/>
    <w:rsid w:val="00145E2C"/>
    <w:rsid w:val="00145E55"/>
    <w:rsid w:val="00145ECA"/>
    <w:rsid w:val="00145FA5"/>
    <w:rsid w:val="00145FAA"/>
    <w:rsid w:val="00145FF9"/>
    <w:rsid w:val="0014618F"/>
    <w:rsid w:val="001461AC"/>
    <w:rsid w:val="00146202"/>
    <w:rsid w:val="00146205"/>
    <w:rsid w:val="00146226"/>
    <w:rsid w:val="001462D6"/>
    <w:rsid w:val="00146401"/>
    <w:rsid w:val="00146487"/>
    <w:rsid w:val="0014650C"/>
    <w:rsid w:val="001465CE"/>
    <w:rsid w:val="001466A8"/>
    <w:rsid w:val="001466F8"/>
    <w:rsid w:val="00146771"/>
    <w:rsid w:val="0014684D"/>
    <w:rsid w:val="00146880"/>
    <w:rsid w:val="001469BA"/>
    <w:rsid w:val="00146A00"/>
    <w:rsid w:val="00146A05"/>
    <w:rsid w:val="00146A81"/>
    <w:rsid w:val="00146ABF"/>
    <w:rsid w:val="00146B97"/>
    <w:rsid w:val="00146C1E"/>
    <w:rsid w:val="00146C98"/>
    <w:rsid w:val="00146D8D"/>
    <w:rsid w:val="00146D9C"/>
    <w:rsid w:val="00146DA8"/>
    <w:rsid w:val="00146E21"/>
    <w:rsid w:val="00146E36"/>
    <w:rsid w:val="00146E57"/>
    <w:rsid w:val="00146EEE"/>
    <w:rsid w:val="00146F69"/>
    <w:rsid w:val="00146FE6"/>
    <w:rsid w:val="0014709C"/>
    <w:rsid w:val="001470C8"/>
    <w:rsid w:val="001470EA"/>
    <w:rsid w:val="00147106"/>
    <w:rsid w:val="00147118"/>
    <w:rsid w:val="00147131"/>
    <w:rsid w:val="001471A1"/>
    <w:rsid w:val="0014723B"/>
    <w:rsid w:val="001472D3"/>
    <w:rsid w:val="0014733F"/>
    <w:rsid w:val="0014735E"/>
    <w:rsid w:val="00147377"/>
    <w:rsid w:val="001473F4"/>
    <w:rsid w:val="00147445"/>
    <w:rsid w:val="0014745F"/>
    <w:rsid w:val="001474EE"/>
    <w:rsid w:val="00147549"/>
    <w:rsid w:val="00147560"/>
    <w:rsid w:val="001475C1"/>
    <w:rsid w:val="00147683"/>
    <w:rsid w:val="00147782"/>
    <w:rsid w:val="001477DD"/>
    <w:rsid w:val="001478E0"/>
    <w:rsid w:val="001479B2"/>
    <w:rsid w:val="001479EA"/>
    <w:rsid w:val="00147A12"/>
    <w:rsid w:val="00147A9F"/>
    <w:rsid w:val="00147AB4"/>
    <w:rsid w:val="00147B39"/>
    <w:rsid w:val="00147C21"/>
    <w:rsid w:val="00147C78"/>
    <w:rsid w:val="00147CDB"/>
    <w:rsid w:val="00147D9B"/>
    <w:rsid w:val="00147DEB"/>
    <w:rsid w:val="00147DFB"/>
    <w:rsid w:val="00147FFA"/>
    <w:rsid w:val="00150007"/>
    <w:rsid w:val="00150100"/>
    <w:rsid w:val="00150198"/>
    <w:rsid w:val="001501C2"/>
    <w:rsid w:val="001501E2"/>
    <w:rsid w:val="00150224"/>
    <w:rsid w:val="00150287"/>
    <w:rsid w:val="00150288"/>
    <w:rsid w:val="00150295"/>
    <w:rsid w:val="0015029C"/>
    <w:rsid w:val="001503B5"/>
    <w:rsid w:val="001504E1"/>
    <w:rsid w:val="00150661"/>
    <w:rsid w:val="001506CE"/>
    <w:rsid w:val="001507DA"/>
    <w:rsid w:val="00150827"/>
    <w:rsid w:val="00150875"/>
    <w:rsid w:val="001508AB"/>
    <w:rsid w:val="00150956"/>
    <w:rsid w:val="0015096F"/>
    <w:rsid w:val="001509EE"/>
    <w:rsid w:val="00150A63"/>
    <w:rsid w:val="00150A89"/>
    <w:rsid w:val="00150AB2"/>
    <w:rsid w:val="00150AF2"/>
    <w:rsid w:val="00150B39"/>
    <w:rsid w:val="00150BFB"/>
    <w:rsid w:val="00150C16"/>
    <w:rsid w:val="00150E2C"/>
    <w:rsid w:val="00150E8D"/>
    <w:rsid w:val="00150EA1"/>
    <w:rsid w:val="00150EB4"/>
    <w:rsid w:val="00150F33"/>
    <w:rsid w:val="00150F89"/>
    <w:rsid w:val="00150F9F"/>
    <w:rsid w:val="00150FC2"/>
    <w:rsid w:val="00151087"/>
    <w:rsid w:val="001510CA"/>
    <w:rsid w:val="001510D7"/>
    <w:rsid w:val="0015120A"/>
    <w:rsid w:val="00151274"/>
    <w:rsid w:val="00151356"/>
    <w:rsid w:val="0015141A"/>
    <w:rsid w:val="0015141F"/>
    <w:rsid w:val="00151528"/>
    <w:rsid w:val="00151536"/>
    <w:rsid w:val="00151564"/>
    <w:rsid w:val="00151574"/>
    <w:rsid w:val="001515F4"/>
    <w:rsid w:val="00151817"/>
    <w:rsid w:val="0015184B"/>
    <w:rsid w:val="00151908"/>
    <w:rsid w:val="001519B8"/>
    <w:rsid w:val="00151A58"/>
    <w:rsid w:val="00151ABB"/>
    <w:rsid w:val="00151B0A"/>
    <w:rsid w:val="00151B33"/>
    <w:rsid w:val="00151B45"/>
    <w:rsid w:val="00151B73"/>
    <w:rsid w:val="00151C47"/>
    <w:rsid w:val="00151CE3"/>
    <w:rsid w:val="00151CF8"/>
    <w:rsid w:val="00151E0D"/>
    <w:rsid w:val="00151F7C"/>
    <w:rsid w:val="00151F8C"/>
    <w:rsid w:val="00151FDC"/>
    <w:rsid w:val="00152025"/>
    <w:rsid w:val="001520EC"/>
    <w:rsid w:val="001520FE"/>
    <w:rsid w:val="00152144"/>
    <w:rsid w:val="0015217E"/>
    <w:rsid w:val="001521E5"/>
    <w:rsid w:val="0015220A"/>
    <w:rsid w:val="00152233"/>
    <w:rsid w:val="00152241"/>
    <w:rsid w:val="00152260"/>
    <w:rsid w:val="00152337"/>
    <w:rsid w:val="0015237B"/>
    <w:rsid w:val="001523DE"/>
    <w:rsid w:val="00152441"/>
    <w:rsid w:val="00152464"/>
    <w:rsid w:val="001524B7"/>
    <w:rsid w:val="001524C4"/>
    <w:rsid w:val="001524DD"/>
    <w:rsid w:val="001524E0"/>
    <w:rsid w:val="00152527"/>
    <w:rsid w:val="00152540"/>
    <w:rsid w:val="00152573"/>
    <w:rsid w:val="00152574"/>
    <w:rsid w:val="001525D6"/>
    <w:rsid w:val="0015263A"/>
    <w:rsid w:val="0015272A"/>
    <w:rsid w:val="00152778"/>
    <w:rsid w:val="001527FA"/>
    <w:rsid w:val="00152896"/>
    <w:rsid w:val="0015299E"/>
    <w:rsid w:val="001529E0"/>
    <w:rsid w:val="001529E9"/>
    <w:rsid w:val="00152A03"/>
    <w:rsid w:val="00152A55"/>
    <w:rsid w:val="00152B2B"/>
    <w:rsid w:val="00152B31"/>
    <w:rsid w:val="00152BDC"/>
    <w:rsid w:val="00152C10"/>
    <w:rsid w:val="00152C1A"/>
    <w:rsid w:val="00152C5C"/>
    <w:rsid w:val="00152C7C"/>
    <w:rsid w:val="00152CBE"/>
    <w:rsid w:val="00152D39"/>
    <w:rsid w:val="00152DB4"/>
    <w:rsid w:val="00152FB3"/>
    <w:rsid w:val="00152FB7"/>
    <w:rsid w:val="00152FC4"/>
    <w:rsid w:val="00152FD7"/>
    <w:rsid w:val="0015317C"/>
    <w:rsid w:val="00153349"/>
    <w:rsid w:val="00153360"/>
    <w:rsid w:val="0015339B"/>
    <w:rsid w:val="001534FB"/>
    <w:rsid w:val="0015350F"/>
    <w:rsid w:val="001536EE"/>
    <w:rsid w:val="00153832"/>
    <w:rsid w:val="00153874"/>
    <w:rsid w:val="001538D2"/>
    <w:rsid w:val="001539A2"/>
    <w:rsid w:val="001539CE"/>
    <w:rsid w:val="00153A9C"/>
    <w:rsid w:val="00153ABC"/>
    <w:rsid w:val="00153AEA"/>
    <w:rsid w:val="00153B53"/>
    <w:rsid w:val="00153C79"/>
    <w:rsid w:val="00153D1C"/>
    <w:rsid w:val="00153D2A"/>
    <w:rsid w:val="00153D74"/>
    <w:rsid w:val="00153DB5"/>
    <w:rsid w:val="00153DD9"/>
    <w:rsid w:val="00153EB3"/>
    <w:rsid w:val="00153FB7"/>
    <w:rsid w:val="00154121"/>
    <w:rsid w:val="00154139"/>
    <w:rsid w:val="0015413B"/>
    <w:rsid w:val="0015415A"/>
    <w:rsid w:val="00154220"/>
    <w:rsid w:val="00154289"/>
    <w:rsid w:val="001542B9"/>
    <w:rsid w:val="001544B0"/>
    <w:rsid w:val="001544D1"/>
    <w:rsid w:val="001544F7"/>
    <w:rsid w:val="0015455B"/>
    <w:rsid w:val="001545A7"/>
    <w:rsid w:val="001545D2"/>
    <w:rsid w:val="00154661"/>
    <w:rsid w:val="00154725"/>
    <w:rsid w:val="00154774"/>
    <w:rsid w:val="00154824"/>
    <w:rsid w:val="00154A13"/>
    <w:rsid w:val="00154AAD"/>
    <w:rsid w:val="00154AD1"/>
    <w:rsid w:val="00154AEF"/>
    <w:rsid w:val="00154B47"/>
    <w:rsid w:val="00154C26"/>
    <w:rsid w:val="00154C55"/>
    <w:rsid w:val="00154D25"/>
    <w:rsid w:val="00154DA9"/>
    <w:rsid w:val="00154DC2"/>
    <w:rsid w:val="00154DCE"/>
    <w:rsid w:val="00154ED2"/>
    <w:rsid w:val="0015502C"/>
    <w:rsid w:val="0015509F"/>
    <w:rsid w:val="00155113"/>
    <w:rsid w:val="001551E3"/>
    <w:rsid w:val="00155235"/>
    <w:rsid w:val="00155280"/>
    <w:rsid w:val="001552F9"/>
    <w:rsid w:val="00155316"/>
    <w:rsid w:val="00155356"/>
    <w:rsid w:val="001555B4"/>
    <w:rsid w:val="001555F4"/>
    <w:rsid w:val="00155611"/>
    <w:rsid w:val="001556B9"/>
    <w:rsid w:val="001556C7"/>
    <w:rsid w:val="001556D0"/>
    <w:rsid w:val="00155746"/>
    <w:rsid w:val="0015575B"/>
    <w:rsid w:val="00155774"/>
    <w:rsid w:val="00155797"/>
    <w:rsid w:val="001557A7"/>
    <w:rsid w:val="00155897"/>
    <w:rsid w:val="001558C6"/>
    <w:rsid w:val="001558E2"/>
    <w:rsid w:val="00155911"/>
    <w:rsid w:val="00155A35"/>
    <w:rsid w:val="00155A46"/>
    <w:rsid w:val="00155A56"/>
    <w:rsid w:val="00155A73"/>
    <w:rsid w:val="00155B60"/>
    <w:rsid w:val="00155BA0"/>
    <w:rsid w:val="00155C51"/>
    <w:rsid w:val="00155CCD"/>
    <w:rsid w:val="00155E91"/>
    <w:rsid w:val="00155E9C"/>
    <w:rsid w:val="00155F02"/>
    <w:rsid w:val="00155F88"/>
    <w:rsid w:val="00155FAD"/>
    <w:rsid w:val="00155FDD"/>
    <w:rsid w:val="0015608A"/>
    <w:rsid w:val="001560CD"/>
    <w:rsid w:val="001560FE"/>
    <w:rsid w:val="0015615B"/>
    <w:rsid w:val="0015620C"/>
    <w:rsid w:val="0015622B"/>
    <w:rsid w:val="00156266"/>
    <w:rsid w:val="00156311"/>
    <w:rsid w:val="0015638C"/>
    <w:rsid w:val="00156392"/>
    <w:rsid w:val="001563AC"/>
    <w:rsid w:val="001563D7"/>
    <w:rsid w:val="00156411"/>
    <w:rsid w:val="0015649F"/>
    <w:rsid w:val="001564FE"/>
    <w:rsid w:val="0015652A"/>
    <w:rsid w:val="00156609"/>
    <w:rsid w:val="001566DF"/>
    <w:rsid w:val="00156727"/>
    <w:rsid w:val="0015675B"/>
    <w:rsid w:val="001567D8"/>
    <w:rsid w:val="001567F1"/>
    <w:rsid w:val="00156804"/>
    <w:rsid w:val="00156807"/>
    <w:rsid w:val="00156906"/>
    <w:rsid w:val="00156930"/>
    <w:rsid w:val="0015693B"/>
    <w:rsid w:val="001569A6"/>
    <w:rsid w:val="001569A8"/>
    <w:rsid w:val="00156B97"/>
    <w:rsid w:val="00156BC5"/>
    <w:rsid w:val="00156C57"/>
    <w:rsid w:val="00156CB9"/>
    <w:rsid w:val="00156CD0"/>
    <w:rsid w:val="00156DC6"/>
    <w:rsid w:val="00156E71"/>
    <w:rsid w:val="00156E77"/>
    <w:rsid w:val="00156F49"/>
    <w:rsid w:val="0015706E"/>
    <w:rsid w:val="0015714E"/>
    <w:rsid w:val="0015714F"/>
    <w:rsid w:val="0015719D"/>
    <w:rsid w:val="0015722E"/>
    <w:rsid w:val="00157307"/>
    <w:rsid w:val="00157462"/>
    <w:rsid w:val="001574A7"/>
    <w:rsid w:val="00157550"/>
    <w:rsid w:val="00157626"/>
    <w:rsid w:val="0015766A"/>
    <w:rsid w:val="00157675"/>
    <w:rsid w:val="001579A6"/>
    <w:rsid w:val="00157A0F"/>
    <w:rsid w:val="00157A1C"/>
    <w:rsid w:val="00157A50"/>
    <w:rsid w:val="00157AA1"/>
    <w:rsid w:val="00157AE9"/>
    <w:rsid w:val="00157B38"/>
    <w:rsid w:val="00157C00"/>
    <w:rsid w:val="00157C3A"/>
    <w:rsid w:val="00157C88"/>
    <w:rsid w:val="00157CDE"/>
    <w:rsid w:val="00157D0F"/>
    <w:rsid w:val="00157D18"/>
    <w:rsid w:val="00157D1A"/>
    <w:rsid w:val="00157D62"/>
    <w:rsid w:val="00157D92"/>
    <w:rsid w:val="00157DD3"/>
    <w:rsid w:val="00157EF3"/>
    <w:rsid w:val="00157F04"/>
    <w:rsid w:val="00157F26"/>
    <w:rsid w:val="00157FD3"/>
    <w:rsid w:val="00157FD6"/>
    <w:rsid w:val="00160039"/>
    <w:rsid w:val="00160083"/>
    <w:rsid w:val="001600A6"/>
    <w:rsid w:val="001600B0"/>
    <w:rsid w:val="00160200"/>
    <w:rsid w:val="0016026D"/>
    <w:rsid w:val="00160271"/>
    <w:rsid w:val="001604FD"/>
    <w:rsid w:val="00160549"/>
    <w:rsid w:val="0016057E"/>
    <w:rsid w:val="00160637"/>
    <w:rsid w:val="0016071F"/>
    <w:rsid w:val="00160989"/>
    <w:rsid w:val="00160A08"/>
    <w:rsid w:val="00160A0D"/>
    <w:rsid w:val="00160A64"/>
    <w:rsid w:val="00160BBD"/>
    <w:rsid w:val="00160C05"/>
    <w:rsid w:val="00160C71"/>
    <w:rsid w:val="00160CC2"/>
    <w:rsid w:val="00160D08"/>
    <w:rsid w:val="00160D6E"/>
    <w:rsid w:val="00160E11"/>
    <w:rsid w:val="00160EA9"/>
    <w:rsid w:val="00160F02"/>
    <w:rsid w:val="00160F33"/>
    <w:rsid w:val="00160F44"/>
    <w:rsid w:val="00160FC1"/>
    <w:rsid w:val="00160FC7"/>
    <w:rsid w:val="001610FF"/>
    <w:rsid w:val="00161189"/>
    <w:rsid w:val="001611D6"/>
    <w:rsid w:val="001611D7"/>
    <w:rsid w:val="001611FC"/>
    <w:rsid w:val="00161216"/>
    <w:rsid w:val="00161258"/>
    <w:rsid w:val="001613BB"/>
    <w:rsid w:val="00161449"/>
    <w:rsid w:val="00161456"/>
    <w:rsid w:val="00161478"/>
    <w:rsid w:val="00161491"/>
    <w:rsid w:val="001614B6"/>
    <w:rsid w:val="0016153A"/>
    <w:rsid w:val="001615C2"/>
    <w:rsid w:val="00161605"/>
    <w:rsid w:val="00161633"/>
    <w:rsid w:val="00161670"/>
    <w:rsid w:val="0016172E"/>
    <w:rsid w:val="0016175E"/>
    <w:rsid w:val="0016177D"/>
    <w:rsid w:val="001618EF"/>
    <w:rsid w:val="0016190D"/>
    <w:rsid w:val="0016196E"/>
    <w:rsid w:val="00161AF2"/>
    <w:rsid w:val="00161CDA"/>
    <w:rsid w:val="00161CF6"/>
    <w:rsid w:val="00161E3A"/>
    <w:rsid w:val="00161ED9"/>
    <w:rsid w:val="00161FAE"/>
    <w:rsid w:val="00161FBA"/>
    <w:rsid w:val="001620C6"/>
    <w:rsid w:val="001620F6"/>
    <w:rsid w:val="001621B3"/>
    <w:rsid w:val="001621D7"/>
    <w:rsid w:val="001621D8"/>
    <w:rsid w:val="00162217"/>
    <w:rsid w:val="00162252"/>
    <w:rsid w:val="00162253"/>
    <w:rsid w:val="00162254"/>
    <w:rsid w:val="001622A6"/>
    <w:rsid w:val="0016230F"/>
    <w:rsid w:val="0016254D"/>
    <w:rsid w:val="001625A8"/>
    <w:rsid w:val="00162820"/>
    <w:rsid w:val="00162852"/>
    <w:rsid w:val="0016292A"/>
    <w:rsid w:val="0016297F"/>
    <w:rsid w:val="0016299C"/>
    <w:rsid w:val="001629FE"/>
    <w:rsid w:val="00162A3E"/>
    <w:rsid w:val="00162A5C"/>
    <w:rsid w:val="00162D4B"/>
    <w:rsid w:val="00162D69"/>
    <w:rsid w:val="00162E91"/>
    <w:rsid w:val="00162EA0"/>
    <w:rsid w:val="00162EFF"/>
    <w:rsid w:val="00162F9C"/>
    <w:rsid w:val="00162FBA"/>
    <w:rsid w:val="00162FC4"/>
    <w:rsid w:val="00163000"/>
    <w:rsid w:val="001630BE"/>
    <w:rsid w:val="00163126"/>
    <w:rsid w:val="0016316C"/>
    <w:rsid w:val="001631B9"/>
    <w:rsid w:val="00163229"/>
    <w:rsid w:val="0016325F"/>
    <w:rsid w:val="00163267"/>
    <w:rsid w:val="001632B0"/>
    <w:rsid w:val="00163313"/>
    <w:rsid w:val="00163389"/>
    <w:rsid w:val="001633BA"/>
    <w:rsid w:val="001633D3"/>
    <w:rsid w:val="00163451"/>
    <w:rsid w:val="0016348A"/>
    <w:rsid w:val="001634AF"/>
    <w:rsid w:val="0016356C"/>
    <w:rsid w:val="001635C7"/>
    <w:rsid w:val="0016376E"/>
    <w:rsid w:val="0016377F"/>
    <w:rsid w:val="001638AE"/>
    <w:rsid w:val="001638DD"/>
    <w:rsid w:val="00163AC3"/>
    <w:rsid w:val="00163B3C"/>
    <w:rsid w:val="00163B45"/>
    <w:rsid w:val="00163C73"/>
    <w:rsid w:val="00163CD0"/>
    <w:rsid w:val="00163DC0"/>
    <w:rsid w:val="00163EBB"/>
    <w:rsid w:val="00163F92"/>
    <w:rsid w:val="00163FC5"/>
    <w:rsid w:val="001641D4"/>
    <w:rsid w:val="001643F0"/>
    <w:rsid w:val="00164499"/>
    <w:rsid w:val="001644C6"/>
    <w:rsid w:val="0016456E"/>
    <w:rsid w:val="00164577"/>
    <w:rsid w:val="00164671"/>
    <w:rsid w:val="0016468C"/>
    <w:rsid w:val="001646BD"/>
    <w:rsid w:val="0016473B"/>
    <w:rsid w:val="001647F9"/>
    <w:rsid w:val="00164843"/>
    <w:rsid w:val="00164955"/>
    <w:rsid w:val="0016496D"/>
    <w:rsid w:val="00164A39"/>
    <w:rsid w:val="00164BB1"/>
    <w:rsid w:val="00164BBF"/>
    <w:rsid w:val="00164BE1"/>
    <w:rsid w:val="00164C97"/>
    <w:rsid w:val="00164DD5"/>
    <w:rsid w:val="00164DF7"/>
    <w:rsid w:val="00164E01"/>
    <w:rsid w:val="00164E53"/>
    <w:rsid w:val="00164E8A"/>
    <w:rsid w:val="00164EB6"/>
    <w:rsid w:val="00164FB8"/>
    <w:rsid w:val="00164FE0"/>
    <w:rsid w:val="00164FF0"/>
    <w:rsid w:val="0016510A"/>
    <w:rsid w:val="001651DB"/>
    <w:rsid w:val="00165290"/>
    <w:rsid w:val="001652A2"/>
    <w:rsid w:val="001652D4"/>
    <w:rsid w:val="00165391"/>
    <w:rsid w:val="00165398"/>
    <w:rsid w:val="00165416"/>
    <w:rsid w:val="001654BA"/>
    <w:rsid w:val="001654BE"/>
    <w:rsid w:val="001654C2"/>
    <w:rsid w:val="00165521"/>
    <w:rsid w:val="00165533"/>
    <w:rsid w:val="00165537"/>
    <w:rsid w:val="001655E9"/>
    <w:rsid w:val="00165634"/>
    <w:rsid w:val="0016565B"/>
    <w:rsid w:val="00165660"/>
    <w:rsid w:val="00165685"/>
    <w:rsid w:val="00165728"/>
    <w:rsid w:val="00165821"/>
    <w:rsid w:val="00165852"/>
    <w:rsid w:val="001658F0"/>
    <w:rsid w:val="0016593D"/>
    <w:rsid w:val="001659CA"/>
    <w:rsid w:val="00165A00"/>
    <w:rsid w:val="00165A70"/>
    <w:rsid w:val="00165AA6"/>
    <w:rsid w:val="00165ADC"/>
    <w:rsid w:val="00165ADF"/>
    <w:rsid w:val="00165B13"/>
    <w:rsid w:val="00165C1E"/>
    <w:rsid w:val="00165DD1"/>
    <w:rsid w:val="00165EC1"/>
    <w:rsid w:val="00165EDD"/>
    <w:rsid w:val="00165EFD"/>
    <w:rsid w:val="00165F60"/>
    <w:rsid w:val="001660FA"/>
    <w:rsid w:val="001661B2"/>
    <w:rsid w:val="00166291"/>
    <w:rsid w:val="001662B3"/>
    <w:rsid w:val="00166309"/>
    <w:rsid w:val="0016637D"/>
    <w:rsid w:val="00166388"/>
    <w:rsid w:val="00166399"/>
    <w:rsid w:val="001663E9"/>
    <w:rsid w:val="001663F9"/>
    <w:rsid w:val="0016640E"/>
    <w:rsid w:val="00166424"/>
    <w:rsid w:val="001664AB"/>
    <w:rsid w:val="001665AA"/>
    <w:rsid w:val="001667A3"/>
    <w:rsid w:val="001667A4"/>
    <w:rsid w:val="0016681C"/>
    <w:rsid w:val="001668AE"/>
    <w:rsid w:val="001668AF"/>
    <w:rsid w:val="00166931"/>
    <w:rsid w:val="00166993"/>
    <w:rsid w:val="00166A76"/>
    <w:rsid w:val="00166ABD"/>
    <w:rsid w:val="00166B02"/>
    <w:rsid w:val="00166B77"/>
    <w:rsid w:val="00166BB0"/>
    <w:rsid w:val="00166C52"/>
    <w:rsid w:val="00166DC5"/>
    <w:rsid w:val="00166E81"/>
    <w:rsid w:val="00166F75"/>
    <w:rsid w:val="00166F9C"/>
    <w:rsid w:val="001671B9"/>
    <w:rsid w:val="001671DB"/>
    <w:rsid w:val="00167343"/>
    <w:rsid w:val="00167366"/>
    <w:rsid w:val="001673CB"/>
    <w:rsid w:val="00167473"/>
    <w:rsid w:val="00167532"/>
    <w:rsid w:val="0016757C"/>
    <w:rsid w:val="001675BB"/>
    <w:rsid w:val="00167708"/>
    <w:rsid w:val="0016785F"/>
    <w:rsid w:val="00167921"/>
    <w:rsid w:val="00167C31"/>
    <w:rsid w:val="00167C4B"/>
    <w:rsid w:val="00167C57"/>
    <w:rsid w:val="00167D32"/>
    <w:rsid w:val="00167D46"/>
    <w:rsid w:val="00167D8C"/>
    <w:rsid w:val="00167E9E"/>
    <w:rsid w:val="00167F47"/>
    <w:rsid w:val="00170070"/>
    <w:rsid w:val="001701B5"/>
    <w:rsid w:val="00170261"/>
    <w:rsid w:val="0017035C"/>
    <w:rsid w:val="001703E1"/>
    <w:rsid w:val="0017047D"/>
    <w:rsid w:val="00170484"/>
    <w:rsid w:val="00170488"/>
    <w:rsid w:val="00170523"/>
    <w:rsid w:val="00170543"/>
    <w:rsid w:val="00170591"/>
    <w:rsid w:val="001705C6"/>
    <w:rsid w:val="00170671"/>
    <w:rsid w:val="001706C0"/>
    <w:rsid w:val="001706D3"/>
    <w:rsid w:val="0017070F"/>
    <w:rsid w:val="00170894"/>
    <w:rsid w:val="0017089D"/>
    <w:rsid w:val="001708E5"/>
    <w:rsid w:val="0017094C"/>
    <w:rsid w:val="001709D5"/>
    <w:rsid w:val="001709E2"/>
    <w:rsid w:val="00170A34"/>
    <w:rsid w:val="00170B06"/>
    <w:rsid w:val="00170B08"/>
    <w:rsid w:val="00170C00"/>
    <w:rsid w:val="00170C6C"/>
    <w:rsid w:val="00170CD5"/>
    <w:rsid w:val="00170CF9"/>
    <w:rsid w:val="00170D01"/>
    <w:rsid w:val="00170D53"/>
    <w:rsid w:val="00170E03"/>
    <w:rsid w:val="00170F47"/>
    <w:rsid w:val="0017103C"/>
    <w:rsid w:val="00171045"/>
    <w:rsid w:val="001711B4"/>
    <w:rsid w:val="001711C6"/>
    <w:rsid w:val="001712F2"/>
    <w:rsid w:val="00171361"/>
    <w:rsid w:val="00171378"/>
    <w:rsid w:val="00171437"/>
    <w:rsid w:val="00171499"/>
    <w:rsid w:val="001714C2"/>
    <w:rsid w:val="001714E8"/>
    <w:rsid w:val="00171586"/>
    <w:rsid w:val="001715BD"/>
    <w:rsid w:val="00171616"/>
    <w:rsid w:val="0017161F"/>
    <w:rsid w:val="00171629"/>
    <w:rsid w:val="00171639"/>
    <w:rsid w:val="001716C6"/>
    <w:rsid w:val="001716D2"/>
    <w:rsid w:val="00171730"/>
    <w:rsid w:val="00171746"/>
    <w:rsid w:val="0017198E"/>
    <w:rsid w:val="00171AEE"/>
    <w:rsid w:val="00171B56"/>
    <w:rsid w:val="00171B79"/>
    <w:rsid w:val="00171CC1"/>
    <w:rsid w:val="00171D44"/>
    <w:rsid w:val="00171E0A"/>
    <w:rsid w:val="00171F19"/>
    <w:rsid w:val="00171FFF"/>
    <w:rsid w:val="0017201B"/>
    <w:rsid w:val="001720EE"/>
    <w:rsid w:val="001721B7"/>
    <w:rsid w:val="001721CE"/>
    <w:rsid w:val="00172375"/>
    <w:rsid w:val="0017256A"/>
    <w:rsid w:val="0017262B"/>
    <w:rsid w:val="001726AD"/>
    <w:rsid w:val="00172749"/>
    <w:rsid w:val="00172758"/>
    <w:rsid w:val="0017277E"/>
    <w:rsid w:val="001727F0"/>
    <w:rsid w:val="00172833"/>
    <w:rsid w:val="00172892"/>
    <w:rsid w:val="001728BB"/>
    <w:rsid w:val="0017294D"/>
    <w:rsid w:val="00172C0B"/>
    <w:rsid w:val="00172C0C"/>
    <w:rsid w:val="00172CA5"/>
    <w:rsid w:val="00172CE5"/>
    <w:rsid w:val="00172E7C"/>
    <w:rsid w:val="00172F29"/>
    <w:rsid w:val="00173010"/>
    <w:rsid w:val="00173074"/>
    <w:rsid w:val="001730BF"/>
    <w:rsid w:val="0017312A"/>
    <w:rsid w:val="0017312D"/>
    <w:rsid w:val="001731B8"/>
    <w:rsid w:val="001732A7"/>
    <w:rsid w:val="001732D6"/>
    <w:rsid w:val="0017335A"/>
    <w:rsid w:val="00173412"/>
    <w:rsid w:val="0017348B"/>
    <w:rsid w:val="001735AE"/>
    <w:rsid w:val="0017368D"/>
    <w:rsid w:val="001736F7"/>
    <w:rsid w:val="00173A02"/>
    <w:rsid w:val="00173A83"/>
    <w:rsid w:val="00173AC8"/>
    <w:rsid w:val="00173B32"/>
    <w:rsid w:val="00173B40"/>
    <w:rsid w:val="00173C14"/>
    <w:rsid w:val="00173C20"/>
    <w:rsid w:val="00173CD8"/>
    <w:rsid w:val="00173E65"/>
    <w:rsid w:val="00173E68"/>
    <w:rsid w:val="00173EE0"/>
    <w:rsid w:val="00173F5A"/>
    <w:rsid w:val="00173F9E"/>
    <w:rsid w:val="0017407E"/>
    <w:rsid w:val="00174148"/>
    <w:rsid w:val="001741B5"/>
    <w:rsid w:val="001741D7"/>
    <w:rsid w:val="00174219"/>
    <w:rsid w:val="001742F0"/>
    <w:rsid w:val="001742F4"/>
    <w:rsid w:val="0017432E"/>
    <w:rsid w:val="00174555"/>
    <w:rsid w:val="00174587"/>
    <w:rsid w:val="00174596"/>
    <w:rsid w:val="001745E4"/>
    <w:rsid w:val="001746AA"/>
    <w:rsid w:val="001746D7"/>
    <w:rsid w:val="00174767"/>
    <w:rsid w:val="001747A4"/>
    <w:rsid w:val="001747D3"/>
    <w:rsid w:val="0017480F"/>
    <w:rsid w:val="00174855"/>
    <w:rsid w:val="00174869"/>
    <w:rsid w:val="00174888"/>
    <w:rsid w:val="001748FA"/>
    <w:rsid w:val="0017494F"/>
    <w:rsid w:val="00174956"/>
    <w:rsid w:val="001749A2"/>
    <w:rsid w:val="001749AF"/>
    <w:rsid w:val="001749FE"/>
    <w:rsid w:val="00174A0B"/>
    <w:rsid w:val="00174A8C"/>
    <w:rsid w:val="00174AA6"/>
    <w:rsid w:val="00174BE7"/>
    <w:rsid w:val="00174C5F"/>
    <w:rsid w:val="00174C83"/>
    <w:rsid w:val="00174CC8"/>
    <w:rsid w:val="00174D0B"/>
    <w:rsid w:val="00174D1E"/>
    <w:rsid w:val="00174EA5"/>
    <w:rsid w:val="00174EE3"/>
    <w:rsid w:val="00174F08"/>
    <w:rsid w:val="00174F13"/>
    <w:rsid w:val="00174F44"/>
    <w:rsid w:val="00174F45"/>
    <w:rsid w:val="00174FC0"/>
    <w:rsid w:val="00175036"/>
    <w:rsid w:val="00175041"/>
    <w:rsid w:val="0017510A"/>
    <w:rsid w:val="00175215"/>
    <w:rsid w:val="0017521E"/>
    <w:rsid w:val="00175396"/>
    <w:rsid w:val="001753E3"/>
    <w:rsid w:val="00175509"/>
    <w:rsid w:val="00175574"/>
    <w:rsid w:val="001755F1"/>
    <w:rsid w:val="00175692"/>
    <w:rsid w:val="00175760"/>
    <w:rsid w:val="00175765"/>
    <w:rsid w:val="001757F9"/>
    <w:rsid w:val="00175905"/>
    <w:rsid w:val="00175956"/>
    <w:rsid w:val="001759FB"/>
    <w:rsid w:val="00175AA2"/>
    <w:rsid w:val="00175B12"/>
    <w:rsid w:val="00175BA0"/>
    <w:rsid w:val="00175BE3"/>
    <w:rsid w:val="00175DB9"/>
    <w:rsid w:val="00175DBF"/>
    <w:rsid w:val="00175E7A"/>
    <w:rsid w:val="00175ECE"/>
    <w:rsid w:val="00175FDF"/>
    <w:rsid w:val="00176036"/>
    <w:rsid w:val="001760E9"/>
    <w:rsid w:val="001760EE"/>
    <w:rsid w:val="0017614B"/>
    <w:rsid w:val="001761DD"/>
    <w:rsid w:val="00176229"/>
    <w:rsid w:val="00176262"/>
    <w:rsid w:val="00176470"/>
    <w:rsid w:val="001764D4"/>
    <w:rsid w:val="001764DA"/>
    <w:rsid w:val="001766D2"/>
    <w:rsid w:val="001767F1"/>
    <w:rsid w:val="00176867"/>
    <w:rsid w:val="001768CF"/>
    <w:rsid w:val="00176917"/>
    <w:rsid w:val="001769A2"/>
    <w:rsid w:val="001769B4"/>
    <w:rsid w:val="00176BD6"/>
    <w:rsid w:val="00176BFF"/>
    <w:rsid w:val="00176C15"/>
    <w:rsid w:val="00176C17"/>
    <w:rsid w:val="00176C4C"/>
    <w:rsid w:val="00176C79"/>
    <w:rsid w:val="00176CE0"/>
    <w:rsid w:val="00176D00"/>
    <w:rsid w:val="00176D09"/>
    <w:rsid w:val="00176DF0"/>
    <w:rsid w:val="00176F90"/>
    <w:rsid w:val="00176F96"/>
    <w:rsid w:val="00176FB6"/>
    <w:rsid w:val="00176FBA"/>
    <w:rsid w:val="0017706B"/>
    <w:rsid w:val="00177073"/>
    <w:rsid w:val="001770CE"/>
    <w:rsid w:val="001770E4"/>
    <w:rsid w:val="0017710A"/>
    <w:rsid w:val="0017715C"/>
    <w:rsid w:val="0017718D"/>
    <w:rsid w:val="0017724A"/>
    <w:rsid w:val="00177273"/>
    <w:rsid w:val="001772C4"/>
    <w:rsid w:val="0017730D"/>
    <w:rsid w:val="00177342"/>
    <w:rsid w:val="00177395"/>
    <w:rsid w:val="001773A1"/>
    <w:rsid w:val="00177474"/>
    <w:rsid w:val="0017759C"/>
    <w:rsid w:val="001775EA"/>
    <w:rsid w:val="00177636"/>
    <w:rsid w:val="001777AD"/>
    <w:rsid w:val="001778B1"/>
    <w:rsid w:val="001778E0"/>
    <w:rsid w:val="00177963"/>
    <w:rsid w:val="00177A95"/>
    <w:rsid w:val="00177AD8"/>
    <w:rsid w:val="00177B34"/>
    <w:rsid w:val="00177C5E"/>
    <w:rsid w:val="00177C98"/>
    <w:rsid w:val="00177D90"/>
    <w:rsid w:val="00177D96"/>
    <w:rsid w:val="00177DF4"/>
    <w:rsid w:val="00177EEB"/>
    <w:rsid w:val="00177F51"/>
    <w:rsid w:val="00177F59"/>
    <w:rsid w:val="00177F89"/>
    <w:rsid w:val="00180154"/>
    <w:rsid w:val="00180166"/>
    <w:rsid w:val="00180241"/>
    <w:rsid w:val="001803B7"/>
    <w:rsid w:val="0018041B"/>
    <w:rsid w:val="001805DC"/>
    <w:rsid w:val="0018067B"/>
    <w:rsid w:val="00180737"/>
    <w:rsid w:val="001807D3"/>
    <w:rsid w:val="001807F8"/>
    <w:rsid w:val="00180835"/>
    <w:rsid w:val="00180870"/>
    <w:rsid w:val="001808B4"/>
    <w:rsid w:val="001808C8"/>
    <w:rsid w:val="00180973"/>
    <w:rsid w:val="001809C0"/>
    <w:rsid w:val="001809ED"/>
    <w:rsid w:val="00180B4C"/>
    <w:rsid w:val="00180B99"/>
    <w:rsid w:val="00180BB7"/>
    <w:rsid w:val="00180CB9"/>
    <w:rsid w:val="00180CBE"/>
    <w:rsid w:val="00180D70"/>
    <w:rsid w:val="00180DE4"/>
    <w:rsid w:val="00180E48"/>
    <w:rsid w:val="00180ED0"/>
    <w:rsid w:val="00180F09"/>
    <w:rsid w:val="00180F32"/>
    <w:rsid w:val="00180F78"/>
    <w:rsid w:val="0018111E"/>
    <w:rsid w:val="00181195"/>
    <w:rsid w:val="00181208"/>
    <w:rsid w:val="00181239"/>
    <w:rsid w:val="001814CF"/>
    <w:rsid w:val="00181561"/>
    <w:rsid w:val="00181629"/>
    <w:rsid w:val="0018164A"/>
    <w:rsid w:val="0018184D"/>
    <w:rsid w:val="0018186F"/>
    <w:rsid w:val="001818B8"/>
    <w:rsid w:val="001819FD"/>
    <w:rsid w:val="00181A32"/>
    <w:rsid w:val="00181A51"/>
    <w:rsid w:val="00181BCE"/>
    <w:rsid w:val="00181BE2"/>
    <w:rsid w:val="00181C98"/>
    <w:rsid w:val="00181CB1"/>
    <w:rsid w:val="00181DEB"/>
    <w:rsid w:val="00181E51"/>
    <w:rsid w:val="00181F16"/>
    <w:rsid w:val="00181F49"/>
    <w:rsid w:val="00181F4D"/>
    <w:rsid w:val="0018202F"/>
    <w:rsid w:val="00182042"/>
    <w:rsid w:val="001820F5"/>
    <w:rsid w:val="00182147"/>
    <w:rsid w:val="0018219E"/>
    <w:rsid w:val="001821A7"/>
    <w:rsid w:val="001821A9"/>
    <w:rsid w:val="001821CD"/>
    <w:rsid w:val="00182213"/>
    <w:rsid w:val="00182324"/>
    <w:rsid w:val="001823B1"/>
    <w:rsid w:val="001823F2"/>
    <w:rsid w:val="001824C9"/>
    <w:rsid w:val="001824E9"/>
    <w:rsid w:val="001826B4"/>
    <w:rsid w:val="001827FB"/>
    <w:rsid w:val="00182873"/>
    <w:rsid w:val="0018287D"/>
    <w:rsid w:val="001828F3"/>
    <w:rsid w:val="00182954"/>
    <w:rsid w:val="00182986"/>
    <w:rsid w:val="001829E6"/>
    <w:rsid w:val="00182A2D"/>
    <w:rsid w:val="00182A4E"/>
    <w:rsid w:val="00182A88"/>
    <w:rsid w:val="00182BD2"/>
    <w:rsid w:val="00182BD9"/>
    <w:rsid w:val="00182E4F"/>
    <w:rsid w:val="00182F11"/>
    <w:rsid w:val="00182F60"/>
    <w:rsid w:val="00183092"/>
    <w:rsid w:val="001830FC"/>
    <w:rsid w:val="00183135"/>
    <w:rsid w:val="00183207"/>
    <w:rsid w:val="00183362"/>
    <w:rsid w:val="0018338E"/>
    <w:rsid w:val="001833A8"/>
    <w:rsid w:val="001833D5"/>
    <w:rsid w:val="00183441"/>
    <w:rsid w:val="00183516"/>
    <w:rsid w:val="00183521"/>
    <w:rsid w:val="0018354C"/>
    <w:rsid w:val="00183691"/>
    <w:rsid w:val="001836CA"/>
    <w:rsid w:val="001836E5"/>
    <w:rsid w:val="0018377C"/>
    <w:rsid w:val="0018378F"/>
    <w:rsid w:val="0018380A"/>
    <w:rsid w:val="00183922"/>
    <w:rsid w:val="00183936"/>
    <w:rsid w:val="00183938"/>
    <w:rsid w:val="00183954"/>
    <w:rsid w:val="001839D0"/>
    <w:rsid w:val="00183A35"/>
    <w:rsid w:val="00183A3B"/>
    <w:rsid w:val="00183A81"/>
    <w:rsid w:val="00183B1A"/>
    <w:rsid w:val="00183C85"/>
    <w:rsid w:val="00183CA8"/>
    <w:rsid w:val="00183E2E"/>
    <w:rsid w:val="00183E3C"/>
    <w:rsid w:val="00183F01"/>
    <w:rsid w:val="00183F3D"/>
    <w:rsid w:val="00183F42"/>
    <w:rsid w:val="001840F7"/>
    <w:rsid w:val="00184143"/>
    <w:rsid w:val="00184205"/>
    <w:rsid w:val="0018423F"/>
    <w:rsid w:val="00184240"/>
    <w:rsid w:val="00184393"/>
    <w:rsid w:val="001843AE"/>
    <w:rsid w:val="00184455"/>
    <w:rsid w:val="00184487"/>
    <w:rsid w:val="00184495"/>
    <w:rsid w:val="001844A4"/>
    <w:rsid w:val="001845AF"/>
    <w:rsid w:val="001845F4"/>
    <w:rsid w:val="0018460C"/>
    <w:rsid w:val="0018470F"/>
    <w:rsid w:val="0018474F"/>
    <w:rsid w:val="001847AE"/>
    <w:rsid w:val="001847D5"/>
    <w:rsid w:val="00184880"/>
    <w:rsid w:val="001848A0"/>
    <w:rsid w:val="00184A75"/>
    <w:rsid w:val="00184AB4"/>
    <w:rsid w:val="00184AD3"/>
    <w:rsid w:val="00184D51"/>
    <w:rsid w:val="00184D7B"/>
    <w:rsid w:val="00184E95"/>
    <w:rsid w:val="00184EA6"/>
    <w:rsid w:val="00184F02"/>
    <w:rsid w:val="00184F16"/>
    <w:rsid w:val="00184F41"/>
    <w:rsid w:val="00184FF4"/>
    <w:rsid w:val="00185016"/>
    <w:rsid w:val="001850A0"/>
    <w:rsid w:val="001850F7"/>
    <w:rsid w:val="0018510B"/>
    <w:rsid w:val="0018518D"/>
    <w:rsid w:val="001851D5"/>
    <w:rsid w:val="001851E8"/>
    <w:rsid w:val="001851EF"/>
    <w:rsid w:val="001852EE"/>
    <w:rsid w:val="00185373"/>
    <w:rsid w:val="0018542D"/>
    <w:rsid w:val="0018552B"/>
    <w:rsid w:val="0018557C"/>
    <w:rsid w:val="00185604"/>
    <w:rsid w:val="00185712"/>
    <w:rsid w:val="0018576B"/>
    <w:rsid w:val="001857A0"/>
    <w:rsid w:val="001857AD"/>
    <w:rsid w:val="00185849"/>
    <w:rsid w:val="0018589C"/>
    <w:rsid w:val="00185920"/>
    <w:rsid w:val="00185921"/>
    <w:rsid w:val="0018598B"/>
    <w:rsid w:val="00185A05"/>
    <w:rsid w:val="00185A15"/>
    <w:rsid w:val="00185A90"/>
    <w:rsid w:val="00185A95"/>
    <w:rsid w:val="00185B1B"/>
    <w:rsid w:val="00185C98"/>
    <w:rsid w:val="00185DD4"/>
    <w:rsid w:val="00185DD5"/>
    <w:rsid w:val="00185DF5"/>
    <w:rsid w:val="00185E20"/>
    <w:rsid w:val="00185E3E"/>
    <w:rsid w:val="00185E91"/>
    <w:rsid w:val="00185ED0"/>
    <w:rsid w:val="00185ED4"/>
    <w:rsid w:val="00185F79"/>
    <w:rsid w:val="00185F9C"/>
    <w:rsid w:val="00185FE4"/>
    <w:rsid w:val="0018602F"/>
    <w:rsid w:val="00186049"/>
    <w:rsid w:val="00186285"/>
    <w:rsid w:val="00186309"/>
    <w:rsid w:val="0018637C"/>
    <w:rsid w:val="00186390"/>
    <w:rsid w:val="001865FD"/>
    <w:rsid w:val="0018661E"/>
    <w:rsid w:val="0018663C"/>
    <w:rsid w:val="001866D3"/>
    <w:rsid w:val="0018676F"/>
    <w:rsid w:val="00186803"/>
    <w:rsid w:val="00186855"/>
    <w:rsid w:val="0018685F"/>
    <w:rsid w:val="00186874"/>
    <w:rsid w:val="001868F9"/>
    <w:rsid w:val="00186900"/>
    <w:rsid w:val="00186937"/>
    <w:rsid w:val="00186990"/>
    <w:rsid w:val="00186A46"/>
    <w:rsid w:val="00186AFE"/>
    <w:rsid w:val="00186B26"/>
    <w:rsid w:val="00186B36"/>
    <w:rsid w:val="00186B92"/>
    <w:rsid w:val="00186C32"/>
    <w:rsid w:val="00186D2E"/>
    <w:rsid w:val="00186D6C"/>
    <w:rsid w:val="00186DD2"/>
    <w:rsid w:val="00186F45"/>
    <w:rsid w:val="00186FD7"/>
    <w:rsid w:val="00186FE7"/>
    <w:rsid w:val="0018703C"/>
    <w:rsid w:val="0018716A"/>
    <w:rsid w:val="0018729F"/>
    <w:rsid w:val="00187302"/>
    <w:rsid w:val="00187371"/>
    <w:rsid w:val="00187384"/>
    <w:rsid w:val="00187453"/>
    <w:rsid w:val="001874B9"/>
    <w:rsid w:val="00187564"/>
    <w:rsid w:val="00187577"/>
    <w:rsid w:val="001875B4"/>
    <w:rsid w:val="001875D5"/>
    <w:rsid w:val="001875E6"/>
    <w:rsid w:val="001875E8"/>
    <w:rsid w:val="0018768C"/>
    <w:rsid w:val="0018769A"/>
    <w:rsid w:val="001876DE"/>
    <w:rsid w:val="00187726"/>
    <w:rsid w:val="001877B9"/>
    <w:rsid w:val="00187808"/>
    <w:rsid w:val="00187892"/>
    <w:rsid w:val="001878C7"/>
    <w:rsid w:val="001878CB"/>
    <w:rsid w:val="00187938"/>
    <w:rsid w:val="001879C2"/>
    <w:rsid w:val="00187A61"/>
    <w:rsid w:val="00187ABB"/>
    <w:rsid w:val="00187B0D"/>
    <w:rsid w:val="00187B97"/>
    <w:rsid w:val="00187CAE"/>
    <w:rsid w:val="00187EE5"/>
    <w:rsid w:val="00187F07"/>
    <w:rsid w:val="00190035"/>
    <w:rsid w:val="0019010B"/>
    <w:rsid w:val="001901DD"/>
    <w:rsid w:val="0019023E"/>
    <w:rsid w:val="00190368"/>
    <w:rsid w:val="0019048F"/>
    <w:rsid w:val="0019049C"/>
    <w:rsid w:val="001904F1"/>
    <w:rsid w:val="001904F5"/>
    <w:rsid w:val="001904F6"/>
    <w:rsid w:val="001905B2"/>
    <w:rsid w:val="001905C9"/>
    <w:rsid w:val="001905E0"/>
    <w:rsid w:val="00190695"/>
    <w:rsid w:val="001907DD"/>
    <w:rsid w:val="001907E6"/>
    <w:rsid w:val="0019080F"/>
    <w:rsid w:val="0019082C"/>
    <w:rsid w:val="00190923"/>
    <w:rsid w:val="001909B3"/>
    <w:rsid w:val="00190A45"/>
    <w:rsid w:val="00190A49"/>
    <w:rsid w:val="00190ACC"/>
    <w:rsid w:val="00190AF8"/>
    <w:rsid w:val="00190B0F"/>
    <w:rsid w:val="00190BCF"/>
    <w:rsid w:val="00190C49"/>
    <w:rsid w:val="00190C5A"/>
    <w:rsid w:val="00190C6E"/>
    <w:rsid w:val="00190E06"/>
    <w:rsid w:val="00190E68"/>
    <w:rsid w:val="00190EB4"/>
    <w:rsid w:val="00190F8D"/>
    <w:rsid w:val="00190FA0"/>
    <w:rsid w:val="0019105D"/>
    <w:rsid w:val="001910C5"/>
    <w:rsid w:val="001911EE"/>
    <w:rsid w:val="0019120D"/>
    <w:rsid w:val="0019124D"/>
    <w:rsid w:val="00191273"/>
    <w:rsid w:val="0019127C"/>
    <w:rsid w:val="001912FE"/>
    <w:rsid w:val="0019137E"/>
    <w:rsid w:val="001913A6"/>
    <w:rsid w:val="001914EB"/>
    <w:rsid w:val="00191528"/>
    <w:rsid w:val="00191544"/>
    <w:rsid w:val="00191549"/>
    <w:rsid w:val="0019162D"/>
    <w:rsid w:val="001917C9"/>
    <w:rsid w:val="001918C8"/>
    <w:rsid w:val="0019193F"/>
    <w:rsid w:val="001919DB"/>
    <w:rsid w:val="00191C61"/>
    <w:rsid w:val="00191CAB"/>
    <w:rsid w:val="00191CDF"/>
    <w:rsid w:val="00191D2B"/>
    <w:rsid w:val="00191DCB"/>
    <w:rsid w:val="00191E20"/>
    <w:rsid w:val="00191E68"/>
    <w:rsid w:val="00191EFC"/>
    <w:rsid w:val="00191F17"/>
    <w:rsid w:val="00191F39"/>
    <w:rsid w:val="00191FC7"/>
    <w:rsid w:val="0019204A"/>
    <w:rsid w:val="00192144"/>
    <w:rsid w:val="00192200"/>
    <w:rsid w:val="00192234"/>
    <w:rsid w:val="001922C9"/>
    <w:rsid w:val="001922FC"/>
    <w:rsid w:val="001922FF"/>
    <w:rsid w:val="00192365"/>
    <w:rsid w:val="001923FE"/>
    <w:rsid w:val="00192465"/>
    <w:rsid w:val="00192547"/>
    <w:rsid w:val="001926B7"/>
    <w:rsid w:val="001926E9"/>
    <w:rsid w:val="0019270F"/>
    <w:rsid w:val="00192739"/>
    <w:rsid w:val="0019274E"/>
    <w:rsid w:val="00192764"/>
    <w:rsid w:val="001927E5"/>
    <w:rsid w:val="00192819"/>
    <w:rsid w:val="0019281D"/>
    <w:rsid w:val="0019282A"/>
    <w:rsid w:val="001929AA"/>
    <w:rsid w:val="00192A18"/>
    <w:rsid w:val="00192A8D"/>
    <w:rsid w:val="00192BB8"/>
    <w:rsid w:val="00192C51"/>
    <w:rsid w:val="00192C72"/>
    <w:rsid w:val="00192C73"/>
    <w:rsid w:val="00192D20"/>
    <w:rsid w:val="00192DA3"/>
    <w:rsid w:val="00192DE7"/>
    <w:rsid w:val="00192E36"/>
    <w:rsid w:val="00192E6F"/>
    <w:rsid w:val="00192E9A"/>
    <w:rsid w:val="00192ED8"/>
    <w:rsid w:val="00192F0C"/>
    <w:rsid w:val="0019300F"/>
    <w:rsid w:val="00193045"/>
    <w:rsid w:val="0019305F"/>
    <w:rsid w:val="0019307A"/>
    <w:rsid w:val="00193083"/>
    <w:rsid w:val="001930F4"/>
    <w:rsid w:val="00193158"/>
    <w:rsid w:val="001932A1"/>
    <w:rsid w:val="0019332C"/>
    <w:rsid w:val="0019336E"/>
    <w:rsid w:val="00193386"/>
    <w:rsid w:val="001933B3"/>
    <w:rsid w:val="001933D2"/>
    <w:rsid w:val="00193424"/>
    <w:rsid w:val="0019349C"/>
    <w:rsid w:val="001934AE"/>
    <w:rsid w:val="001934B3"/>
    <w:rsid w:val="001934C2"/>
    <w:rsid w:val="00193589"/>
    <w:rsid w:val="001936B6"/>
    <w:rsid w:val="0019372D"/>
    <w:rsid w:val="00193752"/>
    <w:rsid w:val="00193772"/>
    <w:rsid w:val="00193812"/>
    <w:rsid w:val="00193915"/>
    <w:rsid w:val="0019396E"/>
    <w:rsid w:val="00193977"/>
    <w:rsid w:val="0019397A"/>
    <w:rsid w:val="00193981"/>
    <w:rsid w:val="001939C9"/>
    <w:rsid w:val="00193A40"/>
    <w:rsid w:val="00193B35"/>
    <w:rsid w:val="00193B65"/>
    <w:rsid w:val="00193BB8"/>
    <w:rsid w:val="00193BEC"/>
    <w:rsid w:val="00193C7E"/>
    <w:rsid w:val="00193CCA"/>
    <w:rsid w:val="00193CD8"/>
    <w:rsid w:val="00193D03"/>
    <w:rsid w:val="00193D55"/>
    <w:rsid w:val="00193DA9"/>
    <w:rsid w:val="00193E61"/>
    <w:rsid w:val="00193E9C"/>
    <w:rsid w:val="00193E9E"/>
    <w:rsid w:val="00193EA7"/>
    <w:rsid w:val="00193F73"/>
    <w:rsid w:val="001940CC"/>
    <w:rsid w:val="0019410B"/>
    <w:rsid w:val="0019412E"/>
    <w:rsid w:val="00194146"/>
    <w:rsid w:val="00194159"/>
    <w:rsid w:val="001941EA"/>
    <w:rsid w:val="0019424F"/>
    <w:rsid w:val="00194290"/>
    <w:rsid w:val="0019433A"/>
    <w:rsid w:val="00194489"/>
    <w:rsid w:val="001945B6"/>
    <w:rsid w:val="001945CA"/>
    <w:rsid w:val="0019475C"/>
    <w:rsid w:val="001947FF"/>
    <w:rsid w:val="00194846"/>
    <w:rsid w:val="001948D9"/>
    <w:rsid w:val="0019495D"/>
    <w:rsid w:val="00194A82"/>
    <w:rsid w:val="00194AC2"/>
    <w:rsid w:val="00194B07"/>
    <w:rsid w:val="00194B27"/>
    <w:rsid w:val="00194B45"/>
    <w:rsid w:val="00194B71"/>
    <w:rsid w:val="00194C5B"/>
    <w:rsid w:val="00194C68"/>
    <w:rsid w:val="00194C79"/>
    <w:rsid w:val="00194CDF"/>
    <w:rsid w:val="00194D42"/>
    <w:rsid w:val="00194DAE"/>
    <w:rsid w:val="00194E25"/>
    <w:rsid w:val="00194E3D"/>
    <w:rsid w:val="00194EFB"/>
    <w:rsid w:val="00194F11"/>
    <w:rsid w:val="00194F63"/>
    <w:rsid w:val="00195079"/>
    <w:rsid w:val="0019507D"/>
    <w:rsid w:val="00195100"/>
    <w:rsid w:val="0019512F"/>
    <w:rsid w:val="00195228"/>
    <w:rsid w:val="00195278"/>
    <w:rsid w:val="00195317"/>
    <w:rsid w:val="0019539F"/>
    <w:rsid w:val="001953BE"/>
    <w:rsid w:val="001953D1"/>
    <w:rsid w:val="00195440"/>
    <w:rsid w:val="001954C1"/>
    <w:rsid w:val="001955A1"/>
    <w:rsid w:val="001956DC"/>
    <w:rsid w:val="001956F4"/>
    <w:rsid w:val="001957C1"/>
    <w:rsid w:val="00195807"/>
    <w:rsid w:val="0019586A"/>
    <w:rsid w:val="001958F2"/>
    <w:rsid w:val="001958FA"/>
    <w:rsid w:val="00195916"/>
    <w:rsid w:val="00195940"/>
    <w:rsid w:val="0019597A"/>
    <w:rsid w:val="00195A50"/>
    <w:rsid w:val="00195A8C"/>
    <w:rsid w:val="00195AB9"/>
    <w:rsid w:val="00195B01"/>
    <w:rsid w:val="00195C09"/>
    <w:rsid w:val="00195CF9"/>
    <w:rsid w:val="00195D17"/>
    <w:rsid w:val="00195D7A"/>
    <w:rsid w:val="00195DBF"/>
    <w:rsid w:val="00195E2B"/>
    <w:rsid w:val="00195EF0"/>
    <w:rsid w:val="00195F46"/>
    <w:rsid w:val="00195F5C"/>
    <w:rsid w:val="00195F92"/>
    <w:rsid w:val="00195FCC"/>
    <w:rsid w:val="00196018"/>
    <w:rsid w:val="00196019"/>
    <w:rsid w:val="00196051"/>
    <w:rsid w:val="0019617A"/>
    <w:rsid w:val="001961CE"/>
    <w:rsid w:val="00196278"/>
    <w:rsid w:val="0019635A"/>
    <w:rsid w:val="00196479"/>
    <w:rsid w:val="00196490"/>
    <w:rsid w:val="00196627"/>
    <w:rsid w:val="001966C0"/>
    <w:rsid w:val="001966E3"/>
    <w:rsid w:val="001967AE"/>
    <w:rsid w:val="001967B8"/>
    <w:rsid w:val="0019680B"/>
    <w:rsid w:val="00196870"/>
    <w:rsid w:val="00196905"/>
    <w:rsid w:val="001969AB"/>
    <w:rsid w:val="00196A07"/>
    <w:rsid w:val="00196A0D"/>
    <w:rsid w:val="00196A1A"/>
    <w:rsid w:val="00196A25"/>
    <w:rsid w:val="00196A94"/>
    <w:rsid w:val="00196BCA"/>
    <w:rsid w:val="00196BEE"/>
    <w:rsid w:val="00196C6A"/>
    <w:rsid w:val="00196D25"/>
    <w:rsid w:val="00196DF5"/>
    <w:rsid w:val="00196F57"/>
    <w:rsid w:val="00197101"/>
    <w:rsid w:val="00197150"/>
    <w:rsid w:val="0019741D"/>
    <w:rsid w:val="001974AB"/>
    <w:rsid w:val="00197502"/>
    <w:rsid w:val="00197520"/>
    <w:rsid w:val="00197580"/>
    <w:rsid w:val="001975C2"/>
    <w:rsid w:val="001976FD"/>
    <w:rsid w:val="00197704"/>
    <w:rsid w:val="00197714"/>
    <w:rsid w:val="0019777D"/>
    <w:rsid w:val="0019778F"/>
    <w:rsid w:val="00197956"/>
    <w:rsid w:val="0019796D"/>
    <w:rsid w:val="001979A7"/>
    <w:rsid w:val="001979A9"/>
    <w:rsid w:val="001979B2"/>
    <w:rsid w:val="001979F7"/>
    <w:rsid w:val="00197A29"/>
    <w:rsid w:val="00197AA9"/>
    <w:rsid w:val="00197B85"/>
    <w:rsid w:val="00197BAE"/>
    <w:rsid w:val="00197BF1"/>
    <w:rsid w:val="00197C66"/>
    <w:rsid w:val="00197D91"/>
    <w:rsid w:val="00197E2E"/>
    <w:rsid w:val="00197E7C"/>
    <w:rsid w:val="00197EA3"/>
    <w:rsid w:val="00197F43"/>
    <w:rsid w:val="00197FA3"/>
    <w:rsid w:val="00197FAC"/>
    <w:rsid w:val="001A0029"/>
    <w:rsid w:val="001A0070"/>
    <w:rsid w:val="001A0100"/>
    <w:rsid w:val="001A015B"/>
    <w:rsid w:val="001A022F"/>
    <w:rsid w:val="001A0287"/>
    <w:rsid w:val="001A029A"/>
    <w:rsid w:val="001A0394"/>
    <w:rsid w:val="001A040E"/>
    <w:rsid w:val="001A047B"/>
    <w:rsid w:val="001A0535"/>
    <w:rsid w:val="001A056E"/>
    <w:rsid w:val="001A059E"/>
    <w:rsid w:val="001A05B8"/>
    <w:rsid w:val="001A05F9"/>
    <w:rsid w:val="001A0678"/>
    <w:rsid w:val="001A0682"/>
    <w:rsid w:val="001A06C4"/>
    <w:rsid w:val="001A07E1"/>
    <w:rsid w:val="001A0837"/>
    <w:rsid w:val="001A08A3"/>
    <w:rsid w:val="001A08AD"/>
    <w:rsid w:val="001A08BD"/>
    <w:rsid w:val="001A08F7"/>
    <w:rsid w:val="001A091C"/>
    <w:rsid w:val="001A092B"/>
    <w:rsid w:val="001A0A79"/>
    <w:rsid w:val="001A0AD4"/>
    <w:rsid w:val="001A0BEA"/>
    <w:rsid w:val="001A0D7A"/>
    <w:rsid w:val="001A0DB6"/>
    <w:rsid w:val="001A0DFC"/>
    <w:rsid w:val="001A0E19"/>
    <w:rsid w:val="001A0EDE"/>
    <w:rsid w:val="001A0F14"/>
    <w:rsid w:val="001A0F24"/>
    <w:rsid w:val="001A0FBE"/>
    <w:rsid w:val="001A0FEA"/>
    <w:rsid w:val="001A100B"/>
    <w:rsid w:val="001A10B2"/>
    <w:rsid w:val="001A10DE"/>
    <w:rsid w:val="001A1147"/>
    <w:rsid w:val="001A11A8"/>
    <w:rsid w:val="001A13B2"/>
    <w:rsid w:val="001A13C0"/>
    <w:rsid w:val="001A1434"/>
    <w:rsid w:val="001A149D"/>
    <w:rsid w:val="001A14BA"/>
    <w:rsid w:val="001A14CD"/>
    <w:rsid w:val="001A159F"/>
    <w:rsid w:val="001A15DE"/>
    <w:rsid w:val="001A1687"/>
    <w:rsid w:val="001A16B5"/>
    <w:rsid w:val="001A1701"/>
    <w:rsid w:val="001A173A"/>
    <w:rsid w:val="001A176B"/>
    <w:rsid w:val="001A1773"/>
    <w:rsid w:val="001A1872"/>
    <w:rsid w:val="001A18AD"/>
    <w:rsid w:val="001A192F"/>
    <w:rsid w:val="001A19BE"/>
    <w:rsid w:val="001A1AE1"/>
    <w:rsid w:val="001A1B67"/>
    <w:rsid w:val="001A1BC9"/>
    <w:rsid w:val="001A1C87"/>
    <w:rsid w:val="001A1E9C"/>
    <w:rsid w:val="001A1F8A"/>
    <w:rsid w:val="001A1FAD"/>
    <w:rsid w:val="001A201E"/>
    <w:rsid w:val="001A2056"/>
    <w:rsid w:val="001A21C9"/>
    <w:rsid w:val="001A21DA"/>
    <w:rsid w:val="001A2404"/>
    <w:rsid w:val="001A2437"/>
    <w:rsid w:val="001A2445"/>
    <w:rsid w:val="001A24EC"/>
    <w:rsid w:val="001A2544"/>
    <w:rsid w:val="001A2555"/>
    <w:rsid w:val="001A2559"/>
    <w:rsid w:val="001A25F1"/>
    <w:rsid w:val="001A260F"/>
    <w:rsid w:val="001A27E1"/>
    <w:rsid w:val="001A2802"/>
    <w:rsid w:val="001A2828"/>
    <w:rsid w:val="001A2833"/>
    <w:rsid w:val="001A28F7"/>
    <w:rsid w:val="001A2A7D"/>
    <w:rsid w:val="001A2AA0"/>
    <w:rsid w:val="001A2AC2"/>
    <w:rsid w:val="001A2AD7"/>
    <w:rsid w:val="001A2B21"/>
    <w:rsid w:val="001A2B4C"/>
    <w:rsid w:val="001A2BCB"/>
    <w:rsid w:val="001A2C3A"/>
    <w:rsid w:val="001A2C81"/>
    <w:rsid w:val="001A2CB1"/>
    <w:rsid w:val="001A2D04"/>
    <w:rsid w:val="001A2D83"/>
    <w:rsid w:val="001A2DEC"/>
    <w:rsid w:val="001A2DFA"/>
    <w:rsid w:val="001A2E8A"/>
    <w:rsid w:val="001A2EBE"/>
    <w:rsid w:val="001A2FA1"/>
    <w:rsid w:val="001A30AB"/>
    <w:rsid w:val="001A31FE"/>
    <w:rsid w:val="001A3218"/>
    <w:rsid w:val="001A3224"/>
    <w:rsid w:val="001A3311"/>
    <w:rsid w:val="001A331D"/>
    <w:rsid w:val="001A33BC"/>
    <w:rsid w:val="001A33DB"/>
    <w:rsid w:val="001A341A"/>
    <w:rsid w:val="001A347B"/>
    <w:rsid w:val="001A355B"/>
    <w:rsid w:val="001A3614"/>
    <w:rsid w:val="001A3743"/>
    <w:rsid w:val="001A375A"/>
    <w:rsid w:val="001A375D"/>
    <w:rsid w:val="001A378A"/>
    <w:rsid w:val="001A381B"/>
    <w:rsid w:val="001A384F"/>
    <w:rsid w:val="001A3920"/>
    <w:rsid w:val="001A39DA"/>
    <w:rsid w:val="001A39DD"/>
    <w:rsid w:val="001A39EE"/>
    <w:rsid w:val="001A3ABA"/>
    <w:rsid w:val="001A3AF4"/>
    <w:rsid w:val="001A3B64"/>
    <w:rsid w:val="001A3B8F"/>
    <w:rsid w:val="001A3BBF"/>
    <w:rsid w:val="001A3C80"/>
    <w:rsid w:val="001A3CF1"/>
    <w:rsid w:val="001A3D16"/>
    <w:rsid w:val="001A3D93"/>
    <w:rsid w:val="001A3E1A"/>
    <w:rsid w:val="001A3EAD"/>
    <w:rsid w:val="001A3EB6"/>
    <w:rsid w:val="001A3EDA"/>
    <w:rsid w:val="001A3F4B"/>
    <w:rsid w:val="001A3F63"/>
    <w:rsid w:val="001A3FA1"/>
    <w:rsid w:val="001A3FE9"/>
    <w:rsid w:val="001A3FF0"/>
    <w:rsid w:val="001A413A"/>
    <w:rsid w:val="001A4155"/>
    <w:rsid w:val="001A41AE"/>
    <w:rsid w:val="001A41FC"/>
    <w:rsid w:val="001A4201"/>
    <w:rsid w:val="001A42B2"/>
    <w:rsid w:val="001A43A9"/>
    <w:rsid w:val="001A4408"/>
    <w:rsid w:val="001A445C"/>
    <w:rsid w:val="001A44BA"/>
    <w:rsid w:val="001A44D0"/>
    <w:rsid w:val="001A45C3"/>
    <w:rsid w:val="001A473B"/>
    <w:rsid w:val="001A4790"/>
    <w:rsid w:val="001A4859"/>
    <w:rsid w:val="001A488C"/>
    <w:rsid w:val="001A48B7"/>
    <w:rsid w:val="001A48F6"/>
    <w:rsid w:val="001A4994"/>
    <w:rsid w:val="001A4AD8"/>
    <w:rsid w:val="001A4B14"/>
    <w:rsid w:val="001A4B45"/>
    <w:rsid w:val="001A4B49"/>
    <w:rsid w:val="001A4C47"/>
    <w:rsid w:val="001A4C5C"/>
    <w:rsid w:val="001A4C6C"/>
    <w:rsid w:val="001A4C79"/>
    <w:rsid w:val="001A4C7A"/>
    <w:rsid w:val="001A4CA1"/>
    <w:rsid w:val="001A4CAB"/>
    <w:rsid w:val="001A4CBE"/>
    <w:rsid w:val="001A4D40"/>
    <w:rsid w:val="001A4DE2"/>
    <w:rsid w:val="001A4E2E"/>
    <w:rsid w:val="001A4E31"/>
    <w:rsid w:val="001A4E3C"/>
    <w:rsid w:val="001A4E41"/>
    <w:rsid w:val="001A4E79"/>
    <w:rsid w:val="001A4ECE"/>
    <w:rsid w:val="001A4F0F"/>
    <w:rsid w:val="001A4F6E"/>
    <w:rsid w:val="001A4FD9"/>
    <w:rsid w:val="001A4FFD"/>
    <w:rsid w:val="001A503F"/>
    <w:rsid w:val="001A5087"/>
    <w:rsid w:val="001A50D7"/>
    <w:rsid w:val="001A5118"/>
    <w:rsid w:val="001A51A0"/>
    <w:rsid w:val="001A51B9"/>
    <w:rsid w:val="001A51C9"/>
    <w:rsid w:val="001A51DB"/>
    <w:rsid w:val="001A51E5"/>
    <w:rsid w:val="001A51FC"/>
    <w:rsid w:val="001A53DC"/>
    <w:rsid w:val="001A53EE"/>
    <w:rsid w:val="001A54B9"/>
    <w:rsid w:val="001A54BE"/>
    <w:rsid w:val="001A55AD"/>
    <w:rsid w:val="001A55BA"/>
    <w:rsid w:val="001A55EF"/>
    <w:rsid w:val="001A56B4"/>
    <w:rsid w:val="001A56F6"/>
    <w:rsid w:val="001A5702"/>
    <w:rsid w:val="001A572A"/>
    <w:rsid w:val="001A5746"/>
    <w:rsid w:val="001A57E3"/>
    <w:rsid w:val="001A57F9"/>
    <w:rsid w:val="001A589E"/>
    <w:rsid w:val="001A58E2"/>
    <w:rsid w:val="001A58FB"/>
    <w:rsid w:val="001A590E"/>
    <w:rsid w:val="001A59B9"/>
    <w:rsid w:val="001A5A00"/>
    <w:rsid w:val="001A5A39"/>
    <w:rsid w:val="001A5A4B"/>
    <w:rsid w:val="001A5AA7"/>
    <w:rsid w:val="001A5B2C"/>
    <w:rsid w:val="001A5B81"/>
    <w:rsid w:val="001A5B91"/>
    <w:rsid w:val="001A5BC8"/>
    <w:rsid w:val="001A5BF8"/>
    <w:rsid w:val="001A5C67"/>
    <w:rsid w:val="001A5DC2"/>
    <w:rsid w:val="001A5EC0"/>
    <w:rsid w:val="001A5EFB"/>
    <w:rsid w:val="001A6032"/>
    <w:rsid w:val="001A6047"/>
    <w:rsid w:val="001A604F"/>
    <w:rsid w:val="001A6146"/>
    <w:rsid w:val="001A6173"/>
    <w:rsid w:val="001A6194"/>
    <w:rsid w:val="001A62CD"/>
    <w:rsid w:val="001A6400"/>
    <w:rsid w:val="001A6482"/>
    <w:rsid w:val="001A659A"/>
    <w:rsid w:val="001A665B"/>
    <w:rsid w:val="001A66DA"/>
    <w:rsid w:val="001A67C3"/>
    <w:rsid w:val="001A6897"/>
    <w:rsid w:val="001A68CF"/>
    <w:rsid w:val="001A691B"/>
    <w:rsid w:val="001A694E"/>
    <w:rsid w:val="001A69D0"/>
    <w:rsid w:val="001A6A37"/>
    <w:rsid w:val="001A6A74"/>
    <w:rsid w:val="001A6B52"/>
    <w:rsid w:val="001A6B5D"/>
    <w:rsid w:val="001A6BE4"/>
    <w:rsid w:val="001A6C43"/>
    <w:rsid w:val="001A6C56"/>
    <w:rsid w:val="001A6C5E"/>
    <w:rsid w:val="001A6CA8"/>
    <w:rsid w:val="001A6D0C"/>
    <w:rsid w:val="001A6D4E"/>
    <w:rsid w:val="001A6D54"/>
    <w:rsid w:val="001A6DBB"/>
    <w:rsid w:val="001A6DF1"/>
    <w:rsid w:val="001A6E37"/>
    <w:rsid w:val="001A6E7D"/>
    <w:rsid w:val="001A6E9D"/>
    <w:rsid w:val="001A6ED5"/>
    <w:rsid w:val="001A6EF5"/>
    <w:rsid w:val="001A6F4D"/>
    <w:rsid w:val="001A6FB8"/>
    <w:rsid w:val="001A6FC8"/>
    <w:rsid w:val="001A700F"/>
    <w:rsid w:val="001A7019"/>
    <w:rsid w:val="001A7026"/>
    <w:rsid w:val="001A702D"/>
    <w:rsid w:val="001A7093"/>
    <w:rsid w:val="001A70DC"/>
    <w:rsid w:val="001A7138"/>
    <w:rsid w:val="001A716D"/>
    <w:rsid w:val="001A7195"/>
    <w:rsid w:val="001A719A"/>
    <w:rsid w:val="001A7233"/>
    <w:rsid w:val="001A7268"/>
    <w:rsid w:val="001A7334"/>
    <w:rsid w:val="001A733C"/>
    <w:rsid w:val="001A737B"/>
    <w:rsid w:val="001A738E"/>
    <w:rsid w:val="001A7410"/>
    <w:rsid w:val="001A7437"/>
    <w:rsid w:val="001A744F"/>
    <w:rsid w:val="001A74AA"/>
    <w:rsid w:val="001A74F2"/>
    <w:rsid w:val="001A75CF"/>
    <w:rsid w:val="001A7627"/>
    <w:rsid w:val="001A768C"/>
    <w:rsid w:val="001A7700"/>
    <w:rsid w:val="001A77B2"/>
    <w:rsid w:val="001A786E"/>
    <w:rsid w:val="001A78AA"/>
    <w:rsid w:val="001A78AE"/>
    <w:rsid w:val="001A78BF"/>
    <w:rsid w:val="001A79D1"/>
    <w:rsid w:val="001A7A7C"/>
    <w:rsid w:val="001A7A9A"/>
    <w:rsid w:val="001A7AC2"/>
    <w:rsid w:val="001A7AD1"/>
    <w:rsid w:val="001A7ADE"/>
    <w:rsid w:val="001A7B43"/>
    <w:rsid w:val="001A7B60"/>
    <w:rsid w:val="001A7B6D"/>
    <w:rsid w:val="001A7BB1"/>
    <w:rsid w:val="001A7BEF"/>
    <w:rsid w:val="001A7C10"/>
    <w:rsid w:val="001A7C74"/>
    <w:rsid w:val="001A7CC3"/>
    <w:rsid w:val="001A7D0A"/>
    <w:rsid w:val="001A7D3A"/>
    <w:rsid w:val="001A7D60"/>
    <w:rsid w:val="001A7E2D"/>
    <w:rsid w:val="001A7E6D"/>
    <w:rsid w:val="001A7E71"/>
    <w:rsid w:val="001A7E91"/>
    <w:rsid w:val="001A7EBE"/>
    <w:rsid w:val="001B0000"/>
    <w:rsid w:val="001B0042"/>
    <w:rsid w:val="001B0054"/>
    <w:rsid w:val="001B0085"/>
    <w:rsid w:val="001B00D5"/>
    <w:rsid w:val="001B010B"/>
    <w:rsid w:val="001B011E"/>
    <w:rsid w:val="001B0197"/>
    <w:rsid w:val="001B021E"/>
    <w:rsid w:val="001B0234"/>
    <w:rsid w:val="001B02E1"/>
    <w:rsid w:val="001B02F7"/>
    <w:rsid w:val="001B0323"/>
    <w:rsid w:val="001B036B"/>
    <w:rsid w:val="001B049E"/>
    <w:rsid w:val="001B04EA"/>
    <w:rsid w:val="001B057E"/>
    <w:rsid w:val="001B05DA"/>
    <w:rsid w:val="001B072A"/>
    <w:rsid w:val="001B072B"/>
    <w:rsid w:val="001B0825"/>
    <w:rsid w:val="001B0869"/>
    <w:rsid w:val="001B0930"/>
    <w:rsid w:val="001B0A67"/>
    <w:rsid w:val="001B0A86"/>
    <w:rsid w:val="001B0A9C"/>
    <w:rsid w:val="001B0B07"/>
    <w:rsid w:val="001B0B3F"/>
    <w:rsid w:val="001B0BA3"/>
    <w:rsid w:val="001B0BB8"/>
    <w:rsid w:val="001B0C80"/>
    <w:rsid w:val="001B0CE4"/>
    <w:rsid w:val="001B0D01"/>
    <w:rsid w:val="001B0D3D"/>
    <w:rsid w:val="001B0D66"/>
    <w:rsid w:val="001B0DF6"/>
    <w:rsid w:val="001B0E67"/>
    <w:rsid w:val="001B0ED6"/>
    <w:rsid w:val="001B0ED9"/>
    <w:rsid w:val="001B0F9A"/>
    <w:rsid w:val="001B1055"/>
    <w:rsid w:val="001B10DC"/>
    <w:rsid w:val="001B1167"/>
    <w:rsid w:val="001B116E"/>
    <w:rsid w:val="001B1176"/>
    <w:rsid w:val="001B121C"/>
    <w:rsid w:val="001B1264"/>
    <w:rsid w:val="001B132B"/>
    <w:rsid w:val="001B132E"/>
    <w:rsid w:val="001B1341"/>
    <w:rsid w:val="001B1520"/>
    <w:rsid w:val="001B152C"/>
    <w:rsid w:val="001B15A2"/>
    <w:rsid w:val="001B165C"/>
    <w:rsid w:val="001B169D"/>
    <w:rsid w:val="001B1741"/>
    <w:rsid w:val="001B1744"/>
    <w:rsid w:val="001B17C6"/>
    <w:rsid w:val="001B17C8"/>
    <w:rsid w:val="001B180F"/>
    <w:rsid w:val="001B1811"/>
    <w:rsid w:val="001B1894"/>
    <w:rsid w:val="001B191D"/>
    <w:rsid w:val="001B1925"/>
    <w:rsid w:val="001B19D3"/>
    <w:rsid w:val="001B19D9"/>
    <w:rsid w:val="001B19F7"/>
    <w:rsid w:val="001B1B87"/>
    <w:rsid w:val="001B1B92"/>
    <w:rsid w:val="001B1BF8"/>
    <w:rsid w:val="001B1C28"/>
    <w:rsid w:val="001B1C60"/>
    <w:rsid w:val="001B1CB0"/>
    <w:rsid w:val="001B1CBC"/>
    <w:rsid w:val="001B1D7E"/>
    <w:rsid w:val="001B1D9D"/>
    <w:rsid w:val="001B1DB7"/>
    <w:rsid w:val="001B1E06"/>
    <w:rsid w:val="001B1E1F"/>
    <w:rsid w:val="001B1FCD"/>
    <w:rsid w:val="001B1FF9"/>
    <w:rsid w:val="001B203F"/>
    <w:rsid w:val="001B2088"/>
    <w:rsid w:val="001B20E6"/>
    <w:rsid w:val="001B2196"/>
    <w:rsid w:val="001B22F7"/>
    <w:rsid w:val="001B2334"/>
    <w:rsid w:val="001B2363"/>
    <w:rsid w:val="001B23B3"/>
    <w:rsid w:val="001B23C2"/>
    <w:rsid w:val="001B2478"/>
    <w:rsid w:val="001B2525"/>
    <w:rsid w:val="001B268B"/>
    <w:rsid w:val="001B2789"/>
    <w:rsid w:val="001B2926"/>
    <w:rsid w:val="001B2A26"/>
    <w:rsid w:val="001B2A2F"/>
    <w:rsid w:val="001B2A5D"/>
    <w:rsid w:val="001B2ADF"/>
    <w:rsid w:val="001B2AEB"/>
    <w:rsid w:val="001B2B26"/>
    <w:rsid w:val="001B2BD9"/>
    <w:rsid w:val="001B2C27"/>
    <w:rsid w:val="001B2E46"/>
    <w:rsid w:val="001B2E48"/>
    <w:rsid w:val="001B2E93"/>
    <w:rsid w:val="001B2EA1"/>
    <w:rsid w:val="001B2F04"/>
    <w:rsid w:val="001B2F25"/>
    <w:rsid w:val="001B2F3A"/>
    <w:rsid w:val="001B2F54"/>
    <w:rsid w:val="001B316B"/>
    <w:rsid w:val="001B3202"/>
    <w:rsid w:val="001B324C"/>
    <w:rsid w:val="001B32FC"/>
    <w:rsid w:val="001B331B"/>
    <w:rsid w:val="001B3433"/>
    <w:rsid w:val="001B343C"/>
    <w:rsid w:val="001B34FD"/>
    <w:rsid w:val="001B35BC"/>
    <w:rsid w:val="001B3630"/>
    <w:rsid w:val="001B364B"/>
    <w:rsid w:val="001B368C"/>
    <w:rsid w:val="001B36B0"/>
    <w:rsid w:val="001B36BC"/>
    <w:rsid w:val="001B3772"/>
    <w:rsid w:val="001B37BB"/>
    <w:rsid w:val="001B380D"/>
    <w:rsid w:val="001B39D3"/>
    <w:rsid w:val="001B39E5"/>
    <w:rsid w:val="001B3BDC"/>
    <w:rsid w:val="001B3C1C"/>
    <w:rsid w:val="001B3C4F"/>
    <w:rsid w:val="001B3C6B"/>
    <w:rsid w:val="001B3CA6"/>
    <w:rsid w:val="001B3DE9"/>
    <w:rsid w:val="001B3E0D"/>
    <w:rsid w:val="001B3EC5"/>
    <w:rsid w:val="001B3F09"/>
    <w:rsid w:val="001B3F7F"/>
    <w:rsid w:val="001B4037"/>
    <w:rsid w:val="001B4070"/>
    <w:rsid w:val="001B4074"/>
    <w:rsid w:val="001B4165"/>
    <w:rsid w:val="001B4171"/>
    <w:rsid w:val="001B4184"/>
    <w:rsid w:val="001B41A7"/>
    <w:rsid w:val="001B4213"/>
    <w:rsid w:val="001B421A"/>
    <w:rsid w:val="001B433F"/>
    <w:rsid w:val="001B4352"/>
    <w:rsid w:val="001B4394"/>
    <w:rsid w:val="001B4397"/>
    <w:rsid w:val="001B43D5"/>
    <w:rsid w:val="001B441A"/>
    <w:rsid w:val="001B453B"/>
    <w:rsid w:val="001B458D"/>
    <w:rsid w:val="001B45BC"/>
    <w:rsid w:val="001B45DA"/>
    <w:rsid w:val="001B4677"/>
    <w:rsid w:val="001B471E"/>
    <w:rsid w:val="001B481A"/>
    <w:rsid w:val="001B4828"/>
    <w:rsid w:val="001B487D"/>
    <w:rsid w:val="001B4893"/>
    <w:rsid w:val="001B48C1"/>
    <w:rsid w:val="001B48F4"/>
    <w:rsid w:val="001B498F"/>
    <w:rsid w:val="001B49F2"/>
    <w:rsid w:val="001B4C05"/>
    <w:rsid w:val="001B4C8A"/>
    <w:rsid w:val="001B4E19"/>
    <w:rsid w:val="001B4E36"/>
    <w:rsid w:val="001B4E8F"/>
    <w:rsid w:val="001B4EE7"/>
    <w:rsid w:val="001B4F5C"/>
    <w:rsid w:val="001B51AC"/>
    <w:rsid w:val="001B520E"/>
    <w:rsid w:val="001B53B8"/>
    <w:rsid w:val="001B549B"/>
    <w:rsid w:val="001B54A5"/>
    <w:rsid w:val="001B5588"/>
    <w:rsid w:val="001B5595"/>
    <w:rsid w:val="001B55E2"/>
    <w:rsid w:val="001B569B"/>
    <w:rsid w:val="001B56F7"/>
    <w:rsid w:val="001B56F9"/>
    <w:rsid w:val="001B5704"/>
    <w:rsid w:val="001B57E8"/>
    <w:rsid w:val="001B5858"/>
    <w:rsid w:val="001B5867"/>
    <w:rsid w:val="001B58CD"/>
    <w:rsid w:val="001B58E5"/>
    <w:rsid w:val="001B58EB"/>
    <w:rsid w:val="001B5941"/>
    <w:rsid w:val="001B59ED"/>
    <w:rsid w:val="001B5A90"/>
    <w:rsid w:val="001B5B61"/>
    <w:rsid w:val="001B5BBD"/>
    <w:rsid w:val="001B5BD5"/>
    <w:rsid w:val="001B5C4B"/>
    <w:rsid w:val="001B5C8B"/>
    <w:rsid w:val="001B5D09"/>
    <w:rsid w:val="001B5D3F"/>
    <w:rsid w:val="001B5D5B"/>
    <w:rsid w:val="001B5D88"/>
    <w:rsid w:val="001B6030"/>
    <w:rsid w:val="001B609F"/>
    <w:rsid w:val="001B60A4"/>
    <w:rsid w:val="001B6182"/>
    <w:rsid w:val="001B61B9"/>
    <w:rsid w:val="001B6298"/>
    <w:rsid w:val="001B62A4"/>
    <w:rsid w:val="001B62CB"/>
    <w:rsid w:val="001B62F5"/>
    <w:rsid w:val="001B6300"/>
    <w:rsid w:val="001B632D"/>
    <w:rsid w:val="001B633C"/>
    <w:rsid w:val="001B6344"/>
    <w:rsid w:val="001B63AD"/>
    <w:rsid w:val="001B6526"/>
    <w:rsid w:val="001B65B2"/>
    <w:rsid w:val="001B65DA"/>
    <w:rsid w:val="001B65E2"/>
    <w:rsid w:val="001B662A"/>
    <w:rsid w:val="001B663D"/>
    <w:rsid w:val="001B6684"/>
    <w:rsid w:val="001B67A5"/>
    <w:rsid w:val="001B6882"/>
    <w:rsid w:val="001B6920"/>
    <w:rsid w:val="001B6B17"/>
    <w:rsid w:val="001B6B7D"/>
    <w:rsid w:val="001B6B7E"/>
    <w:rsid w:val="001B6B9C"/>
    <w:rsid w:val="001B6BAA"/>
    <w:rsid w:val="001B6C99"/>
    <w:rsid w:val="001B6D04"/>
    <w:rsid w:val="001B6D29"/>
    <w:rsid w:val="001B6D39"/>
    <w:rsid w:val="001B6DE8"/>
    <w:rsid w:val="001B6E6F"/>
    <w:rsid w:val="001B6E8A"/>
    <w:rsid w:val="001B6EDF"/>
    <w:rsid w:val="001B6F7C"/>
    <w:rsid w:val="001B70BF"/>
    <w:rsid w:val="001B711E"/>
    <w:rsid w:val="001B715D"/>
    <w:rsid w:val="001B71C4"/>
    <w:rsid w:val="001B71CB"/>
    <w:rsid w:val="001B7226"/>
    <w:rsid w:val="001B724C"/>
    <w:rsid w:val="001B7252"/>
    <w:rsid w:val="001B7263"/>
    <w:rsid w:val="001B726D"/>
    <w:rsid w:val="001B7294"/>
    <w:rsid w:val="001B72AB"/>
    <w:rsid w:val="001B7305"/>
    <w:rsid w:val="001B740C"/>
    <w:rsid w:val="001B749E"/>
    <w:rsid w:val="001B74CA"/>
    <w:rsid w:val="001B7532"/>
    <w:rsid w:val="001B75B3"/>
    <w:rsid w:val="001B762E"/>
    <w:rsid w:val="001B7658"/>
    <w:rsid w:val="001B76D5"/>
    <w:rsid w:val="001B76D6"/>
    <w:rsid w:val="001B7728"/>
    <w:rsid w:val="001B7736"/>
    <w:rsid w:val="001B7778"/>
    <w:rsid w:val="001B77F8"/>
    <w:rsid w:val="001B77FB"/>
    <w:rsid w:val="001B788E"/>
    <w:rsid w:val="001B78C2"/>
    <w:rsid w:val="001B78C5"/>
    <w:rsid w:val="001B7935"/>
    <w:rsid w:val="001B79A9"/>
    <w:rsid w:val="001B7A29"/>
    <w:rsid w:val="001B7A68"/>
    <w:rsid w:val="001B7AED"/>
    <w:rsid w:val="001B7CAF"/>
    <w:rsid w:val="001B7E13"/>
    <w:rsid w:val="001B7E1C"/>
    <w:rsid w:val="001B7EBE"/>
    <w:rsid w:val="001B7ED6"/>
    <w:rsid w:val="001B7F01"/>
    <w:rsid w:val="001B7F5F"/>
    <w:rsid w:val="001C0048"/>
    <w:rsid w:val="001C0172"/>
    <w:rsid w:val="001C0218"/>
    <w:rsid w:val="001C0227"/>
    <w:rsid w:val="001C022D"/>
    <w:rsid w:val="001C023E"/>
    <w:rsid w:val="001C036C"/>
    <w:rsid w:val="001C0411"/>
    <w:rsid w:val="001C044A"/>
    <w:rsid w:val="001C044C"/>
    <w:rsid w:val="001C0558"/>
    <w:rsid w:val="001C05BF"/>
    <w:rsid w:val="001C0646"/>
    <w:rsid w:val="001C0720"/>
    <w:rsid w:val="001C07ED"/>
    <w:rsid w:val="001C07FC"/>
    <w:rsid w:val="001C0807"/>
    <w:rsid w:val="001C0830"/>
    <w:rsid w:val="001C0880"/>
    <w:rsid w:val="001C0889"/>
    <w:rsid w:val="001C08A0"/>
    <w:rsid w:val="001C08A8"/>
    <w:rsid w:val="001C09A8"/>
    <w:rsid w:val="001C09EC"/>
    <w:rsid w:val="001C0AC9"/>
    <w:rsid w:val="001C0B5C"/>
    <w:rsid w:val="001C0B78"/>
    <w:rsid w:val="001C0BEF"/>
    <w:rsid w:val="001C0CE8"/>
    <w:rsid w:val="001C0E6A"/>
    <w:rsid w:val="001C0FCD"/>
    <w:rsid w:val="001C11B4"/>
    <w:rsid w:val="001C1210"/>
    <w:rsid w:val="001C121A"/>
    <w:rsid w:val="001C1317"/>
    <w:rsid w:val="001C13B8"/>
    <w:rsid w:val="001C1429"/>
    <w:rsid w:val="001C160F"/>
    <w:rsid w:val="001C1632"/>
    <w:rsid w:val="001C167A"/>
    <w:rsid w:val="001C1737"/>
    <w:rsid w:val="001C1747"/>
    <w:rsid w:val="001C177D"/>
    <w:rsid w:val="001C18BB"/>
    <w:rsid w:val="001C18E9"/>
    <w:rsid w:val="001C18FA"/>
    <w:rsid w:val="001C1941"/>
    <w:rsid w:val="001C1A1C"/>
    <w:rsid w:val="001C1AA9"/>
    <w:rsid w:val="001C1AE4"/>
    <w:rsid w:val="001C1B00"/>
    <w:rsid w:val="001C1B48"/>
    <w:rsid w:val="001C1C5E"/>
    <w:rsid w:val="001C1C65"/>
    <w:rsid w:val="001C1C7D"/>
    <w:rsid w:val="001C1C80"/>
    <w:rsid w:val="001C1CB7"/>
    <w:rsid w:val="001C1CC3"/>
    <w:rsid w:val="001C1DB6"/>
    <w:rsid w:val="001C1DFF"/>
    <w:rsid w:val="001C1E09"/>
    <w:rsid w:val="001C1E96"/>
    <w:rsid w:val="001C1E9B"/>
    <w:rsid w:val="001C1EB4"/>
    <w:rsid w:val="001C1F3A"/>
    <w:rsid w:val="001C1F46"/>
    <w:rsid w:val="001C1FA1"/>
    <w:rsid w:val="001C1FB3"/>
    <w:rsid w:val="001C20A0"/>
    <w:rsid w:val="001C20C5"/>
    <w:rsid w:val="001C214E"/>
    <w:rsid w:val="001C22F6"/>
    <w:rsid w:val="001C2397"/>
    <w:rsid w:val="001C2440"/>
    <w:rsid w:val="001C2476"/>
    <w:rsid w:val="001C24EC"/>
    <w:rsid w:val="001C250E"/>
    <w:rsid w:val="001C25FB"/>
    <w:rsid w:val="001C27FB"/>
    <w:rsid w:val="001C2856"/>
    <w:rsid w:val="001C291E"/>
    <w:rsid w:val="001C29E7"/>
    <w:rsid w:val="001C2A3A"/>
    <w:rsid w:val="001C2A86"/>
    <w:rsid w:val="001C2B68"/>
    <w:rsid w:val="001C2C45"/>
    <w:rsid w:val="001C2CC4"/>
    <w:rsid w:val="001C2CE8"/>
    <w:rsid w:val="001C2DDC"/>
    <w:rsid w:val="001C2E08"/>
    <w:rsid w:val="001C2E58"/>
    <w:rsid w:val="001C2EAA"/>
    <w:rsid w:val="001C2EBF"/>
    <w:rsid w:val="001C2F70"/>
    <w:rsid w:val="001C2F7E"/>
    <w:rsid w:val="001C2FC9"/>
    <w:rsid w:val="001C3024"/>
    <w:rsid w:val="001C3041"/>
    <w:rsid w:val="001C314F"/>
    <w:rsid w:val="001C3254"/>
    <w:rsid w:val="001C330A"/>
    <w:rsid w:val="001C333D"/>
    <w:rsid w:val="001C3373"/>
    <w:rsid w:val="001C341F"/>
    <w:rsid w:val="001C3445"/>
    <w:rsid w:val="001C34EA"/>
    <w:rsid w:val="001C3532"/>
    <w:rsid w:val="001C3545"/>
    <w:rsid w:val="001C3574"/>
    <w:rsid w:val="001C3597"/>
    <w:rsid w:val="001C35FA"/>
    <w:rsid w:val="001C3645"/>
    <w:rsid w:val="001C367C"/>
    <w:rsid w:val="001C3707"/>
    <w:rsid w:val="001C371C"/>
    <w:rsid w:val="001C372D"/>
    <w:rsid w:val="001C3743"/>
    <w:rsid w:val="001C37B1"/>
    <w:rsid w:val="001C3929"/>
    <w:rsid w:val="001C3951"/>
    <w:rsid w:val="001C3A0A"/>
    <w:rsid w:val="001C3A22"/>
    <w:rsid w:val="001C3A3D"/>
    <w:rsid w:val="001C3A61"/>
    <w:rsid w:val="001C3B34"/>
    <w:rsid w:val="001C3BF9"/>
    <w:rsid w:val="001C3C80"/>
    <w:rsid w:val="001C3CDD"/>
    <w:rsid w:val="001C3D02"/>
    <w:rsid w:val="001C3DEA"/>
    <w:rsid w:val="001C3EE9"/>
    <w:rsid w:val="001C3FC5"/>
    <w:rsid w:val="001C3FEF"/>
    <w:rsid w:val="001C400E"/>
    <w:rsid w:val="001C40C3"/>
    <w:rsid w:val="001C41B1"/>
    <w:rsid w:val="001C41C2"/>
    <w:rsid w:val="001C41DA"/>
    <w:rsid w:val="001C4261"/>
    <w:rsid w:val="001C4283"/>
    <w:rsid w:val="001C4385"/>
    <w:rsid w:val="001C4479"/>
    <w:rsid w:val="001C4484"/>
    <w:rsid w:val="001C4520"/>
    <w:rsid w:val="001C4539"/>
    <w:rsid w:val="001C459F"/>
    <w:rsid w:val="001C45C9"/>
    <w:rsid w:val="001C46D4"/>
    <w:rsid w:val="001C4771"/>
    <w:rsid w:val="001C47C5"/>
    <w:rsid w:val="001C4827"/>
    <w:rsid w:val="001C48CB"/>
    <w:rsid w:val="001C48E8"/>
    <w:rsid w:val="001C49D8"/>
    <w:rsid w:val="001C4A0C"/>
    <w:rsid w:val="001C4B24"/>
    <w:rsid w:val="001C4B66"/>
    <w:rsid w:val="001C4B8D"/>
    <w:rsid w:val="001C4BA0"/>
    <w:rsid w:val="001C4C35"/>
    <w:rsid w:val="001C4C74"/>
    <w:rsid w:val="001C4D1F"/>
    <w:rsid w:val="001C4D92"/>
    <w:rsid w:val="001C4E28"/>
    <w:rsid w:val="001C4F47"/>
    <w:rsid w:val="001C51BD"/>
    <w:rsid w:val="001C51D7"/>
    <w:rsid w:val="001C52F9"/>
    <w:rsid w:val="001C5350"/>
    <w:rsid w:val="001C53CD"/>
    <w:rsid w:val="001C53DD"/>
    <w:rsid w:val="001C5468"/>
    <w:rsid w:val="001C54A6"/>
    <w:rsid w:val="001C54FB"/>
    <w:rsid w:val="001C5579"/>
    <w:rsid w:val="001C559F"/>
    <w:rsid w:val="001C56A0"/>
    <w:rsid w:val="001C56E3"/>
    <w:rsid w:val="001C579B"/>
    <w:rsid w:val="001C57A7"/>
    <w:rsid w:val="001C57DF"/>
    <w:rsid w:val="001C58A4"/>
    <w:rsid w:val="001C58B8"/>
    <w:rsid w:val="001C58EF"/>
    <w:rsid w:val="001C595B"/>
    <w:rsid w:val="001C59D4"/>
    <w:rsid w:val="001C5A01"/>
    <w:rsid w:val="001C5BE7"/>
    <w:rsid w:val="001C5C93"/>
    <w:rsid w:val="001C5C96"/>
    <w:rsid w:val="001C5D70"/>
    <w:rsid w:val="001C5DE4"/>
    <w:rsid w:val="001C5E2D"/>
    <w:rsid w:val="001C5E6A"/>
    <w:rsid w:val="001C5F08"/>
    <w:rsid w:val="001C5FEE"/>
    <w:rsid w:val="001C609F"/>
    <w:rsid w:val="001C617F"/>
    <w:rsid w:val="001C6254"/>
    <w:rsid w:val="001C629C"/>
    <w:rsid w:val="001C62B0"/>
    <w:rsid w:val="001C62EE"/>
    <w:rsid w:val="001C6346"/>
    <w:rsid w:val="001C6347"/>
    <w:rsid w:val="001C634C"/>
    <w:rsid w:val="001C63D5"/>
    <w:rsid w:val="001C6413"/>
    <w:rsid w:val="001C6481"/>
    <w:rsid w:val="001C648B"/>
    <w:rsid w:val="001C64DF"/>
    <w:rsid w:val="001C64E5"/>
    <w:rsid w:val="001C65D0"/>
    <w:rsid w:val="001C663F"/>
    <w:rsid w:val="001C6696"/>
    <w:rsid w:val="001C677D"/>
    <w:rsid w:val="001C6844"/>
    <w:rsid w:val="001C6896"/>
    <w:rsid w:val="001C697D"/>
    <w:rsid w:val="001C6992"/>
    <w:rsid w:val="001C6A6B"/>
    <w:rsid w:val="001C6A6E"/>
    <w:rsid w:val="001C6AD8"/>
    <w:rsid w:val="001C6B06"/>
    <w:rsid w:val="001C6B2C"/>
    <w:rsid w:val="001C6B58"/>
    <w:rsid w:val="001C6B71"/>
    <w:rsid w:val="001C6BDC"/>
    <w:rsid w:val="001C6C22"/>
    <w:rsid w:val="001C6C96"/>
    <w:rsid w:val="001C6D1B"/>
    <w:rsid w:val="001C6DD9"/>
    <w:rsid w:val="001C6F15"/>
    <w:rsid w:val="001C6F1B"/>
    <w:rsid w:val="001C6F29"/>
    <w:rsid w:val="001C6FF7"/>
    <w:rsid w:val="001C702C"/>
    <w:rsid w:val="001C70B7"/>
    <w:rsid w:val="001C71D6"/>
    <w:rsid w:val="001C7285"/>
    <w:rsid w:val="001C72B8"/>
    <w:rsid w:val="001C72C4"/>
    <w:rsid w:val="001C7371"/>
    <w:rsid w:val="001C7446"/>
    <w:rsid w:val="001C7459"/>
    <w:rsid w:val="001C7475"/>
    <w:rsid w:val="001C74AD"/>
    <w:rsid w:val="001C7535"/>
    <w:rsid w:val="001C7559"/>
    <w:rsid w:val="001C7591"/>
    <w:rsid w:val="001C7654"/>
    <w:rsid w:val="001C768F"/>
    <w:rsid w:val="001C76B2"/>
    <w:rsid w:val="001C76C1"/>
    <w:rsid w:val="001C76EF"/>
    <w:rsid w:val="001C7735"/>
    <w:rsid w:val="001C7739"/>
    <w:rsid w:val="001C773C"/>
    <w:rsid w:val="001C77E2"/>
    <w:rsid w:val="001C7806"/>
    <w:rsid w:val="001C7817"/>
    <w:rsid w:val="001C78DB"/>
    <w:rsid w:val="001C7943"/>
    <w:rsid w:val="001C794C"/>
    <w:rsid w:val="001C79A8"/>
    <w:rsid w:val="001C79EC"/>
    <w:rsid w:val="001C7AC0"/>
    <w:rsid w:val="001C7B4D"/>
    <w:rsid w:val="001C7BAA"/>
    <w:rsid w:val="001C7C89"/>
    <w:rsid w:val="001C7C8F"/>
    <w:rsid w:val="001C7CA1"/>
    <w:rsid w:val="001C7E3A"/>
    <w:rsid w:val="001C7E48"/>
    <w:rsid w:val="001C7EA4"/>
    <w:rsid w:val="001C7ECF"/>
    <w:rsid w:val="001C7F2F"/>
    <w:rsid w:val="001C7FC0"/>
    <w:rsid w:val="001C7FFA"/>
    <w:rsid w:val="001D00DA"/>
    <w:rsid w:val="001D0135"/>
    <w:rsid w:val="001D01E5"/>
    <w:rsid w:val="001D0211"/>
    <w:rsid w:val="001D0220"/>
    <w:rsid w:val="001D02CA"/>
    <w:rsid w:val="001D0324"/>
    <w:rsid w:val="001D0379"/>
    <w:rsid w:val="001D04B9"/>
    <w:rsid w:val="001D0507"/>
    <w:rsid w:val="001D0542"/>
    <w:rsid w:val="001D05B5"/>
    <w:rsid w:val="001D0612"/>
    <w:rsid w:val="001D0625"/>
    <w:rsid w:val="001D0639"/>
    <w:rsid w:val="001D06B3"/>
    <w:rsid w:val="001D06E5"/>
    <w:rsid w:val="001D0752"/>
    <w:rsid w:val="001D0778"/>
    <w:rsid w:val="001D0788"/>
    <w:rsid w:val="001D0875"/>
    <w:rsid w:val="001D09BE"/>
    <w:rsid w:val="001D09F5"/>
    <w:rsid w:val="001D0A6C"/>
    <w:rsid w:val="001D0D0F"/>
    <w:rsid w:val="001D0D2C"/>
    <w:rsid w:val="001D0D30"/>
    <w:rsid w:val="001D0E85"/>
    <w:rsid w:val="001D0E99"/>
    <w:rsid w:val="001D0E9D"/>
    <w:rsid w:val="001D0EF0"/>
    <w:rsid w:val="001D0F1E"/>
    <w:rsid w:val="001D101A"/>
    <w:rsid w:val="001D10AD"/>
    <w:rsid w:val="001D10BB"/>
    <w:rsid w:val="001D1168"/>
    <w:rsid w:val="001D11A5"/>
    <w:rsid w:val="001D11AF"/>
    <w:rsid w:val="001D122E"/>
    <w:rsid w:val="001D129E"/>
    <w:rsid w:val="001D12AD"/>
    <w:rsid w:val="001D12DF"/>
    <w:rsid w:val="001D1307"/>
    <w:rsid w:val="001D1310"/>
    <w:rsid w:val="001D135E"/>
    <w:rsid w:val="001D13AF"/>
    <w:rsid w:val="001D13CD"/>
    <w:rsid w:val="001D15E8"/>
    <w:rsid w:val="001D162D"/>
    <w:rsid w:val="001D164E"/>
    <w:rsid w:val="001D167F"/>
    <w:rsid w:val="001D17A8"/>
    <w:rsid w:val="001D17CC"/>
    <w:rsid w:val="001D1831"/>
    <w:rsid w:val="001D192F"/>
    <w:rsid w:val="001D1992"/>
    <w:rsid w:val="001D19D8"/>
    <w:rsid w:val="001D19FF"/>
    <w:rsid w:val="001D1A7B"/>
    <w:rsid w:val="001D1A9A"/>
    <w:rsid w:val="001D1ABF"/>
    <w:rsid w:val="001D1AE5"/>
    <w:rsid w:val="001D1B67"/>
    <w:rsid w:val="001D1C62"/>
    <w:rsid w:val="001D1C75"/>
    <w:rsid w:val="001D1CA3"/>
    <w:rsid w:val="001D1CC3"/>
    <w:rsid w:val="001D1D7A"/>
    <w:rsid w:val="001D1D7D"/>
    <w:rsid w:val="001D1DB3"/>
    <w:rsid w:val="001D1E39"/>
    <w:rsid w:val="001D1FE1"/>
    <w:rsid w:val="001D20AD"/>
    <w:rsid w:val="001D21BB"/>
    <w:rsid w:val="001D21F8"/>
    <w:rsid w:val="001D2523"/>
    <w:rsid w:val="001D2586"/>
    <w:rsid w:val="001D25A3"/>
    <w:rsid w:val="001D26AE"/>
    <w:rsid w:val="001D26BB"/>
    <w:rsid w:val="001D26D7"/>
    <w:rsid w:val="001D275F"/>
    <w:rsid w:val="001D27B1"/>
    <w:rsid w:val="001D285E"/>
    <w:rsid w:val="001D2887"/>
    <w:rsid w:val="001D29F2"/>
    <w:rsid w:val="001D2AA0"/>
    <w:rsid w:val="001D2AAC"/>
    <w:rsid w:val="001D2B04"/>
    <w:rsid w:val="001D2B1E"/>
    <w:rsid w:val="001D2B48"/>
    <w:rsid w:val="001D2C84"/>
    <w:rsid w:val="001D2CE2"/>
    <w:rsid w:val="001D2D2C"/>
    <w:rsid w:val="001D2FE4"/>
    <w:rsid w:val="001D307A"/>
    <w:rsid w:val="001D3170"/>
    <w:rsid w:val="001D31B2"/>
    <w:rsid w:val="001D31B4"/>
    <w:rsid w:val="001D3273"/>
    <w:rsid w:val="001D333B"/>
    <w:rsid w:val="001D3382"/>
    <w:rsid w:val="001D3383"/>
    <w:rsid w:val="001D33C0"/>
    <w:rsid w:val="001D3447"/>
    <w:rsid w:val="001D34DB"/>
    <w:rsid w:val="001D3523"/>
    <w:rsid w:val="001D3545"/>
    <w:rsid w:val="001D356D"/>
    <w:rsid w:val="001D35AA"/>
    <w:rsid w:val="001D3608"/>
    <w:rsid w:val="001D3614"/>
    <w:rsid w:val="001D3620"/>
    <w:rsid w:val="001D365D"/>
    <w:rsid w:val="001D387E"/>
    <w:rsid w:val="001D38EF"/>
    <w:rsid w:val="001D3938"/>
    <w:rsid w:val="001D3A16"/>
    <w:rsid w:val="001D3AAE"/>
    <w:rsid w:val="001D3AB2"/>
    <w:rsid w:val="001D3ABE"/>
    <w:rsid w:val="001D3B9B"/>
    <w:rsid w:val="001D3D50"/>
    <w:rsid w:val="001D3E1C"/>
    <w:rsid w:val="001D3E55"/>
    <w:rsid w:val="001D3E61"/>
    <w:rsid w:val="001D3E69"/>
    <w:rsid w:val="001D3E85"/>
    <w:rsid w:val="001D3E8C"/>
    <w:rsid w:val="001D3EA1"/>
    <w:rsid w:val="001D3EBB"/>
    <w:rsid w:val="001D3EE4"/>
    <w:rsid w:val="001D3F41"/>
    <w:rsid w:val="001D3F92"/>
    <w:rsid w:val="001D3FD0"/>
    <w:rsid w:val="001D3FF1"/>
    <w:rsid w:val="001D407A"/>
    <w:rsid w:val="001D40FE"/>
    <w:rsid w:val="001D4224"/>
    <w:rsid w:val="001D438B"/>
    <w:rsid w:val="001D43B9"/>
    <w:rsid w:val="001D44AA"/>
    <w:rsid w:val="001D44DE"/>
    <w:rsid w:val="001D4572"/>
    <w:rsid w:val="001D45C7"/>
    <w:rsid w:val="001D45EF"/>
    <w:rsid w:val="001D46F2"/>
    <w:rsid w:val="001D4890"/>
    <w:rsid w:val="001D499F"/>
    <w:rsid w:val="001D4A74"/>
    <w:rsid w:val="001D4B09"/>
    <w:rsid w:val="001D4B9D"/>
    <w:rsid w:val="001D4BEC"/>
    <w:rsid w:val="001D4D16"/>
    <w:rsid w:val="001D4E73"/>
    <w:rsid w:val="001D4E87"/>
    <w:rsid w:val="001D4E95"/>
    <w:rsid w:val="001D4F3A"/>
    <w:rsid w:val="001D4F81"/>
    <w:rsid w:val="001D5044"/>
    <w:rsid w:val="001D5105"/>
    <w:rsid w:val="001D51AD"/>
    <w:rsid w:val="001D51D0"/>
    <w:rsid w:val="001D5248"/>
    <w:rsid w:val="001D526D"/>
    <w:rsid w:val="001D530E"/>
    <w:rsid w:val="001D531A"/>
    <w:rsid w:val="001D53E9"/>
    <w:rsid w:val="001D54A2"/>
    <w:rsid w:val="001D54CD"/>
    <w:rsid w:val="001D55AC"/>
    <w:rsid w:val="001D5627"/>
    <w:rsid w:val="001D562C"/>
    <w:rsid w:val="001D56C3"/>
    <w:rsid w:val="001D5767"/>
    <w:rsid w:val="001D5798"/>
    <w:rsid w:val="001D57E4"/>
    <w:rsid w:val="001D57EF"/>
    <w:rsid w:val="001D5807"/>
    <w:rsid w:val="001D592B"/>
    <w:rsid w:val="001D594A"/>
    <w:rsid w:val="001D595D"/>
    <w:rsid w:val="001D59BC"/>
    <w:rsid w:val="001D59CA"/>
    <w:rsid w:val="001D59CD"/>
    <w:rsid w:val="001D5A12"/>
    <w:rsid w:val="001D5A68"/>
    <w:rsid w:val="001D5ACC"/>
    <w:rsid w:val="001D5BB8"/>
    <w:rsid w:val="001D5D15"/>
    <w:rsid w:val="001D5D2A"/>
    <w:rsid w:val="001D5D47"/>
    <w:rsid w:val="001D5DA8"/>
    <w:rsid w:val="001D5DEC"/>
    <w:rsid w:val="001D5E4C"/>
    <w:rsid w:val="001D5EC6"/>
    <w:rsid w:val="001D5EC8"/>
    <w:rsid w:val="001D5FA6"/>
    <w:rsid w:val="001D5FDE"/>
    <w:rsid w:val="001D5FF3"/>
    <w:rsid w:val="001D6014"/>
    <w:rsid w:val="001D602B"/>
    <w:rsid w:val="001D6158"/>
    <w:rsid w:val="001D6192"/>
    <w:rsid w:val="001D6251"/>
    <w:rsid w:val="001D631E"/>
    <w:rsid w:val="001D63DE"/>
    <w:rsid w:val="001D6401"/>
    <w:rsid w:val="001D6485"/>
    <w:rsid w:val="001D6582"/>
    <w:rsid w:val="001D6588"/>
    <w:rsid w:val="001D6589"/>
    <w:rsid w:val="001D65E7"/>
    <w:rsid w:val="001D6607"/>
    <w:rsid w:val="001D665E"/>
    <w:rsid w:val="001D6722"/>
    <w:rsid w:val="001D674A"/>
    <w:rsid w:val="001D67E9"/>
    <w:rsid w:val="001D680C"/>
    <w:rsid w:val="001D685D"/>
    <w:rsid w:val="001D69A1"/>
    <w:rsid w:val="001D69A4"/>
    <w:rsid w:val="001D6A82"/>
    <w:rsid w:val="001D6B7F"/>
    <w:rsid w:val="001D6CC3"/>
    <w:rsid w:val="001D6CC6"/>
    <w:rsid w:val="001D6E44"/>
    <w:rsid w:val="001D70A2"/>
    <w:rsid w:val="001D710B"/>
    <w:rsid w:val="001D7119"/>
    <w:rsid w:val="001D713C"/>
    <w:rsid w:val="001D71EC"/>
    <w:rsid w:val="001D722D"/>
    <w:rsid w:val="001D725B"/>
    <w:rsid w:val="001D72E5"/>
    <w:rsid w:val="001D73B3"/>
    <w:rsid w:val="001D742D"/>
    <w:rsid w:val="001D74A0"/>
    <w:rsid w:val="001D75CE"/>
    <w:rsid w:val="001D75FF"/>
    <w:rsid w:val="001D7635"/>
    <w:rsid w:val="001D76C3"/>
    <w:rsid w:val="001D76D9"/>
    <w:rsid w:val="001D7736"/>
    <w:rsid w:val="001D77AB"/>
    <w:rsid w:val="001D7803"/>
    <w:rsid w:val="001D7923"/>
    <w:rsid w:val="001D7979"/>
    <w:rsid w:val="001D79A8"/>
    <w:rsid w:val="001D7A92"/>
    <w:rsid w:val="001D7A9A"/>
    <w:rsid w:val="001D7AA5"/>
    <w:rsid w:val="001D7B6A"/>
    <w:rsid w:val="001D7B98"/>
    <w:rsid w:val="001D7BAE"/>
    <w:rsid w:val="001D7BE6"/>
    <w:rsid w:val="001D7C04"/>
    <w:rsid w:val="001D7D3B"/>
    <w:rsid w:val="001D7DE9"/>
    <w:rsid w:val="001D7E30"/>
    <w:rsid w:val="001D7E87"/>
    <w:rsid w:val="001D7E8F"/>
    <w:rsid w:val="001D7EB3"/>
    <w:rsid w:val="001D7F33"/>
    <w:rsid w:val="001D7F96"/>
    <w:rsid w:val="001E0000"/>
    <w:rsid w:val="001E00DD"/>
    <w:rsid w:val="001E01F7"/>
    <w:rsid w:val="001E02F6"/>
    <w:rsid w:val="001E0305"/>
    <w:rsid w:val="001E031C"/>
    <w:rsid w:val="001E0340"/>
    <w:rsid w:val="001E0399"/>
    <w:rsid w:val="001E03B4"/>
    <w:rsid w:val="001E058C"/>
    <w:rsid w:val="001E05B8"/>
    <w:rsid w:val="001E0628"/>
    <w:rsid w:val="001E0637"/>
    <w:rsid w:val="001E067F"/>
    <w:rsid w:val="001E06BD"/>
    <w:rsid w:val="001E06EF"/>
    <w:rsid w:val="001E0737"/>
    <w:rsid w:val="001E07B0"/>
    <w:rsid w:val="001E07DE"/>
    <w:rsid w:val="001E081D"/>
    <w:rsid w:val="001E0864"/>
    <w:rsid w:val="001E08B1"/>
    <w:rsid w:val="001E0910"/>
    <w:rsid w:val="001E0930"/>
    <w:rsid w:val="001E093B"/>
    <w:rsid w:val="001E097C"/>
    <w:rsid w:val="001E0A93"/>
    <w:rsid w:val="001E0B51"/>
    <w:rsid w:val="001E0BEE"/>
    <w:rsid w:val="001E0CB7"/>
    <w:rsid w:val="001E0D0C"/>
    <w:rsid w:val="001E0E46"/>
    <w:rsid w:val="001E0EA1"/>
    <w:rsid w:val="001E0EA9"/>
    <w:rsid w:val="001E0F13"/>
    <w:rsid w:val="001E0F27"/>
    <w:rsid w:val="001E1042"/>
    <w:rsid w:val="001E108E"/>
    <w:rsid w:val="001E1095"/>
    <w:rsid w:val="001E10B1"/>
    <w:rsid w:val="001E1113"/>
    <w:rsid w:val="001E11C2"/>
    <w:rsid w:val="001E123A"/>
    <w:rsid w:val="001E12F1"/>
    <w:rsid w:val="001E1330"/>
    <w:rsid w:val="001E145B"/>
    <w:rsid w:val="001E14C6"/>
    <w:rsid w:val="001E160B"/>
    <w:rsid w:val="001E164B"/>
    <w:rsid w:val="001E16C0"/>
    <w:rsid w:val="001E16F0"/>
    <w:rsid w:val="001E17F6"/>
    <w:rsid w:val="001E18AA"/>
    <w:rsid w:val="001E193A"/>
    <w:rsid w:val="001E194A"/>
    <w:rsid w:val="001E19F6"/>
    <w:rsid w:val="001E1ABC"/>
    <w:rsid w:val="001E1AEF"/>
    <w:rsid w:val="001E1B68"/>
    <w:rsid w:val="001E1BB3"/>
    <w:rsid w:val="001E1BD6"/>
    <w:rsid w:val="001E1CF0"/>
    <w:rsid w:val="001E1D33"/>
    <w:rsid w:val="001E1D64"/>
    <w:rsid w:val="001E1DD0"/>
    <w:rsid w:val="001E1DF2"/>
    <w:rsid w:val="001E1E2A"/>
    <w:rsid w:val="001E1EAE"/>
    <w:rsid w:val="001E1F7B"/>
    <w:rsid w:val="001E1F8A"/>
    <w:rsid w:val="001E2024"/>
    <w:rsid w:val="001E2130"/>
    <w:rsid w:val="001E217C"/>
    <w:rsid w:val="001E21D8"/>
    <w:rsid w:val="001E2235"/>
    <w:rsid w:val="001E2241"/>
    <w:rsid w:val="001E2288"/>
    <w:rsid w:val="001E22AD"/>
    <w:rsid w:val="001E2330"/>
    <w:rsid w:val="001E2334"/>
    <w:rsid w:val="001E2376"/>
    <w:rsid w:val="001E2410"/>
    <w:rsid w:val="001E242C"/>
    <w:rsid w:val="001E24D4"/>
    <w:rsid w:val="001E253E"/>
    <w:rsid w:val="001E2565"/>
    <w:rsid w:val="001E257D"/>
    <w:rsid w:val="001E2696"/>
    <w:rsid w:val="001E2714"/>
    <w:rsid w:val="001E2743"/>
    <w:rsid w:val="001E276D"/>
    <w:rsid w:val="001E2824"/>
    <w:rsid w:val="001E289D"/>
    <w:rsid w:val="001E28AE"/>
    <w:rsid w:val="001E28D6"/>
    <w:rsid w:val="001E28EF"/>
    <w:rsid w:val="001E2937"/>
    <w:rsid w:val="001E2A54"/>
    <w:rsid w:val="001E2E73"/>
    <w:rsid w:val="001E2E98"/>
    <w:rsid w:val="001E2F01"/>
    <w:rsid w:val="001E2F27"/>
    <w:rsid w:val="001E2FE6"/>
    <w:rsid w:val="001E302E"/>
    <w:rsid w:val="001E3039"/>
    <w:rsid w:val="001E30BA"/>
    <w:rsid w:val="001E3148"/>
    <w:rsid w:val="001E31F9"/>
    <w:rsid w:val="001E3233"/>
    <w:rsid w:val="001E328D"/>
    <w:rsid w:val="001E32DA"/>
    <w:rsid w:val="001E3305"/>
    <w:rsid w:val="001E3361"/>
    <w:rsid w:val="001E33E8"/>
    <w:rsid w:val="001E3426"/>
    <w:rsid w:val="001E34B1"/>
    <w:rsid w:val="001E35C0"/>
    <w:rsid w:val="001E35C3"/>
    <w:rsid w:val="001E3720"/>
    <w:rsid w:val="001E37A8"/>
    <w:rsid w:val="001E37C1"/>
    <w:rsid w:val="001E37D8"/>
    <w:rsid w:val="001E3896"/>
    <w:rsid w:val="001E38FD"/>
    <w:rsid w:val="001E3947"/>
    <w:rsid w:val="001E3A28"/>
    <w:rsid w:val="001E3A51"/>
    <w:rsid w:val="001E3B2D"/>
    <w:rsid w:val="001E3B7E"/>
    <w:rsid w:val="001E3BAD"/>
    <w:rsid w:val="001E3C17"/>
    <w:rsid w:val="001E3C4E"/>
    <w:rsid w:val="001E3CAE"/>
    <w:rsid w:val="001E3CE6"/>
    <w:rsid w:val="001E3CF8"/>
    <w:rsid w:val="001E3D38"/>
    <w:rsid w:val="001E3D3C"/>
    <w:rsid w:val="001E3E3C"/>
    <w:rsid w:val="001E3EBD"/>
    <w:rsid w:val="001E4053"/>
    <w:rsid w:val="001E405E"/>
    <w:rsid w:val="001E40BC"/>
    <w:rsid w:val="001E4130"/>
    <w:rsid w:val="001E422A"/>
    <w:rsid w:val="001E429C"/>
    <w:rsid w:val="001E42D1"/>
    <w:rsid w:val="001E42E3"/>
    <w:rsid w:val="001E433A"/>
    <w:rsid w:val="001E437A"/>
    <w:rsid w:val="001E4463"/>
    <w:rsid w:val="001E455E"/>
    <w:rsid w:val="001E4581"/>
    <w:rsid w:val="001E4593"/>
    <w:rsid w:val="001E45E2"/>
    <w:rsid w:val="001E4683"/>
    <w:rsid w:val="001E46F1"/>
    <w:rsid w:val="001E475D"/>
    <w:rsid w:val="001E4782"/>
    <w:rsid w:val="001E479E"/>
    <w:rsid w:val="001E47BD"/>
    <w:rsid w:val="001E4808"/>
    <w:rsid w:val="001E480D"/>
    <w:rsid w:val="001E49A7"/>
    <w:rsid w:val="001E4A29"/>
    <w:rsid w:val="001E4A2E"/>
    <w:rsid w:val="001E4A5B"/>
    <w:rsid w:val="001E4B13"/>
    <w:rsid w:val="001E4B37"/>
    <w:rsid w:val="001E4B41"/>
    <w:rsid w:val="001E4B4A"/>
    <w:rsid w:val="001E4BF7"/>
    <w:rsid w:val="001E4C44"/>
    <w:rsid w:val="001E4D00"/>
    <w:rsid w:val="001E4D12"/>
    <w:rsid w:val="001E4D22"/>
    <w:rsid w:val="001E4E28"/>
    <w:rsid w:val="001E4EBA"/>
    <w:rsid w:val="001E4EC3"/>
    <w:rsid w:val="001E4FD2"/>
    <w:rsid w:val="001E502D"/>
    <w:rsid w:val="001E50E0"/>
    <w:rsid w:val="001E510C"/>
    <w:rsid w:val="001E517C"/>
    <w:rsid w:val="001E5193"/>
    <w:rsid w:val="001E51A9"/>
    <w:rsid w:val="001E5213"/>
    <w:rsid w:val="001E52D9"/>
    <w:rsid w:val="001E532B"/>
    <w:rsid w:val="001E533F"/>
    <w:rsid w:val="001E53C7"/>
    <w:rsid w:val="001E54BF"/>
    <w:rsid w:val="001E54C2"/>
    <w:rsid w:val="001E54FF"/>
    <w:rsid w:val="001E553E"/>
    <w:rsid w:val="001E558D"/>
    <w:rsid w:val="001E55AA"/>
    <w:rsid w:val="001E561B"/>
    <w:rsid w:val="001E5625"/>
    <w:rsid w:val="001E5648"/>
    <w:rsid w:val="001E5757"/>
    <w:rsid w:val="001E57B6"/>
    <w:rsid w:val="001E57C6"/>
    <w:rsid w:val="001E583D"/>
    <w:rsid w:val="001E5853"/>
    <w:rsid w:val="001E586D"/>
    <w:rsid w:val="001E5873"/>
    <w:rsid w:val="001E589B"/>
    <w:rsid w:val="001E589F"/>
    <w:rsid w:val="001E58ED"/>
    <w:rsid w:val="001E5964"/>
    <w:rsid w:val="001E5AB0"/>
    <w:rsid w:val="001E5AE9"/>
    <w:rsid w:val="001E5BD0"/>
    <w:rsid w:val="001E5BD7"/>
    <w:rsid w:val="001E5BF0"/>
    <w:rsid w:val="001E5C25"/>
    <w:rsid w:val="001E5D9A"/>
    <w:rsid w:val="001E5E54"/>
    <w:rsid w:val="001E5E69"/>
    <w:rsid w:val="001E5EAD"/>
    <w:rsid w:val="001E5F26"/>
    <w:rsid w:val="001E5F38"/>
    <w:rsid w:val="001E5F72"/>
    <w:rsid w:val="001E5FB4"/>
    <w:rsid w:val="001E6016"/>
    <w:rsid w:val="001E603F"/>
    <w:rsid w:val="001E6108"/>
    <w:rsid w:val="001E6135"/>
    <w:rsid w:val="001E615F"/>
    <w:rsid w:val="001E61A9"/>
    <w:rsid w:val="001E620F"/>
    <w:rsid w:val="001E63C5"/>
    <w:rsid w:val="001E63C6"/>
    <w:rsid w:val="001E63FA"/>
    <w:rsid w:val="001E6507"/>
    <w:rsid w:val="001E6573"/>
    <w:rsid w:val="001E65D2"/>
    <w:rsid w:val="001E6622"/>
    <w:rsid w:val="001E6760"/>
    <w:rsid w:val="001E67A9"/>
    <w:rsid w:val="001E67AF"/>
    <w:rsid w:val="001E67EE"/>
    <w:rsid w:val="001E6852"/>
    <w:rsid w:val="001E68BC"/>
    <w:rsid w:val="001E6948"/>
    <w:rsid w:val="001E6ABC"/>
    <w:rsid w:val="001E6B17"/>
    <w:rsid w:val="001E6C8D"/>
    <w:rsid w:val="001E6CAA"/>
    <w:rsid w:val="001E6D0C"/>
    <w:rsid w:val="001E6D15"/>
    <w:rsid w:val="001E6D4F"/>
    <w:rsid w:val="001E6DA0"/>
    <w:rsid w:val="001E6E43"/>
    <w:rsid w:val="001E6E90"/>
    <w:rsid w:val="001E6E9D"/>
    <w:rsid w:val="001E6F16"/>
    <w:rsid w:val="001E6F34"/>
    <w:rsid w:val="001E6F3D"/>
    <w:rsid w:val="001E6F93"/>
    <w:rsid w:val="001E7024"/>
    <w:rsid w:val="001E7155"/>
    <w:rsid w:val="001E71C0"/>
    <w:rsid w:val="001E7282"/>
    <w:rsid w:val="001E7633"/>
    <w:rsid w:val="001E76C3"/>
    <w:rsid w:val="001E76C5"/>
    <w:rsid w:val="001E76C7"/>
    <w:rsid w:val="001E779A"/>
    <w:rsid w:val="001E7813"/>
    <w:rsid w:val="001E78D6"/>
    <w:rsid w:val="001E7A19"/>
    <w:rsid w:val="001E7AB0"/>
    <w:rsid w:val="001E7ACF"/>
    <w:rsid w:val="001E7B3B"/>
    <w:rsid w:val="001E7B52"/>
    <w:rsid w:val="001E7B79"/>
    <w:rsid w:val="001E7B98"/>
    <w:rsid w:val="001E7C46"/>
    <w:rsid w:val="001E7C60"/>
    <w:rsid w:val="001E7DF0"/>
    <w:rsid w:val="001E7E14"/>
    <w:rsid w:val="001E7E49"/>
    <w:rsid w:val="001E7E67"/>
    <w:rsid w:val="001E7F5C"/>
    <w:rsid w:val="001E7F7A"/>
    <w:rsid w:val="001E7FB7"/>
    <w:rsid w:val="001F004B"/>
    <w:rsid w:val="001F0081"/>
    <w:rsid w:val="001F0164"/>
    <w:rsid w:val="001F0171"/>
    <w:rsid w:val="001F0248"/>
    <w:rsid w:val="001F0259"/>
    <w:rsid w:val="001F02E1"/>
    <w:rsid w:val="001F02F4"/>
    <w:rsid w:val="001F0366"/>
    <w:rsid w:val="001F0453"/>
    <w:rsid w:val="001F0565"/>
    <w:rsid w:val="001F061C"/>
    <w:rsid w:val="001F06DA"/>
    <w:rsid w:val="001F070F"/>
    <w:rsid w:val="001F075A"/>
    <w:rsid w:val="001F08A3"/>
    <w:rsid w:val="001F08E4"/>
    <w:rsid w:val="001F08F2"/>
    <w:rsid w:val="001F08F9"/>
    <w:rsid w:val="001F0A11"/>
    <w:rsid w:val="001F0C94"/>
    <w:rsid w:val="001F0CEE"/>
    <w:rsid w:val="001F0DEA"/>
    <w:rsid w:val="001F0EA6"/>
    <w:rsid w:val="001F0F8A"/>
    <w:rsid w:val="001F10AB"/>
    <w:rsid w:val="001F10B5"/>
    <w:rsid w:val="001F10FB"/>
    <w:rsid w:val="001F131C"/>
    <w:rsid w:val="001F1358"/>
    <w:rsid w:val="001F13FE"/>
    <w:rsid w:val="001F1494"/>
    <w:rsid w:val="001F14FB"/>
    <w:rsid w:val="001F153A"/>
    <w:rsid w:val="001F1583"/>
    <w:rsid w:val="001F1597"/>
    <w:rsid w:val="001F15B5"/>
    <w:rsid w:val="001F174E"/>
    <w:rsid w:val="001F1822"/>
    <w:rsid w:val="001F1853"/>
    <w:rsid w:val="001F18C5"/>
    <w:rsid w:val="001F1929"/>
    <w:rsid w:val="001F1961"/>
    <w:rsid w:val="001F197D"/>
    <w:rsid w:val="001F19DD"/>
    <w:rsid w:val="001F19FB"/>
    <w:rsid w:val="001F1B15"/>
    <w:rsid w:val="001F1BFC"/>
    <w:rsid w:val="001F1C8D"/>
    <w:rsid w:val="001F1D59"/>
    <w:rsid w:val="001F1EE7"/>
    <w:rsid w:val="001F1FC1"/>
    <w:rsid w:val="001F2019"/>
    <w:rsid w:val="001F2049"/>
    <w:rsid w:val="001F21B7"/>
    <w:rsid w:val="001F21DF"/>
    <w:rsid w:val="001F2209"/>
    <w:rsid w:val="001F2272"/>
    <w:rsid w:val="001F227D"/>
    <w:rsid w:val="001F2293"/>
    <w:rsid w:val="001F22A4"/>
    <w:rsid w:val="001F22AD"/>
    <w:rsid w:val="001F2350"/>
    <w:rsid w:val="001F2371"/>
    <w:rsid w:val="001F239A"/>
    <w:rsid w:val="001F2418"/>
    <w:rsid w:val="001F2419"/>
    <w:rsid w:val="001F24A1"/>
    <w:rsid w:val="001F2511"/>
    <w:rsid w:val="001F2518"/>
    <w:rsid w:val="001F263A"/>
    <w:rsid w:val="001F26A6"/>
    <w:rsid w:val="001F26AA"/>
    <w:rsid w:val="001F27F7"/>
    <w:rsid w:val="001F2829"/>
    <w:rsid w:val="001F2849"/>
    <w:rsid w:val="001F29A6"/>
    <w:rsid w:val="001F29F4"/>
    <w:rsid w:val="001F2A0F"/>
    <w:rsid w:val="001F2AA5"/>
    <w:rsid w:val="001F2C04"/>
    <w:rsid w:val="001F2CBB"/>
    <w:rsid w:val="001F2EAC"/>
    <w:rsid w:val="001F2F2A"/>
    <w:rsid w:val="001F2F34"/>
    <w:rsid w:val="001F3025"/>
    <w:rsid w:val="001F302A"/>
    <w:rsid w:val="001F3105"/>
    <w:rsid w:val="001F3133"/>
    <w:rsid w:val="001F323C"/>
    <w:rsid w:val="001F32C0"/>
    <w:rsid w:val="001F32EA"/>
    <w:rsid w:val="001F3349"/>
    <w:rsid w:val="001F33D3"/>
    <w:rsid w:val="001F34E1"/>
    <w:rsid w:val="001F35AB"/>
    <w:rsid w:val="001F35BD"/>
    <w:rsid w:val="001F3692"/>
    <w:rsid w:val="001F36AC"/>
    <w:rsid w:val="001F37A8"/>
    <w:rsid w:val="001F38BC"/>
    <w:rsid w:val="001F3955"/>
    <w:rsid w:val="001F3962"/>
    <w:rsid w:val="001F3A05"/>
    <w:rsid w:val="001F3A88"/>
    <w:rsid w:val="001F3B33"/>
    <w:rsid w:val="001F3BD9"/>
    <w:rsid w:val="001F3CF5"/>
    <w:rsid w:val="001F3D53"/>
    <w:rsid w:val="001F3D97"/>
    <w:rsid w:val="001F3E38"/>
    <w:rsid w:val="001F3ECC"/>
    <w:rsid w:val="001F3F7D"/>
    <w:rsid w:val="001F3FB1"/>
    <w:rsid w:val="001F3FCB"/>
    <w:rsid w:val="001F4057"/>
    <w:rsid w:val="001F419E"/>
    <w:rsid w:val="001F41B0"/>
    <w:rsid w:val="001F427C"/>
    <w:rsid w:val="001F42A7"/>
    <w:rsid w:val="001F42C3"/>
    <w:rsid w:val="001F42CA"/>
    <w:rsid w:val="001F42E2"/>
    <w:rsid w:val="001F42F3"/>
    <w:rsid w:val="001F434F"/>
    <w:rsid w:val="001F4392"/>
    <w:rsid w:val="001F43AB"/>
    <w:rsid w:val="001F43BC"/>
    <w:rsid w:val="001F43C0"/>
    <w:rsid w:val="001F444A"/>
    <w:rsid w:val="001F44F0"/>
    <w:rsid w:val="001F452A"/>
    <w:rsid w:val="001F4587"/>
    <w:rsid w:val="001F45A9"/>
    <w:rsid w:val="001F45E5"/>
    <w:rsid w:val="001F4623"/>
    <w:rsid w:val="001F475C"/>
    <w:rsid w:val="001F47FF"/>
    <w:rsid w:val="001F4835"/>
    <w:rsid w:val="001F4873"/>
    <w:rsid w:val="001F4B1D"/>
    <w:rsid w:val="001F4B94"/>
    <w:rsid w:val="001F4D90"/>
    <w:rsid w:val="001F4E11"/>
    <w:rsid w:val="001F4E32"/>
    <w:rsid w:val="001F4E3C"/>
    <w:rsid w:val="001F4E5E"/>
    <w:rsid w:val="001F4E60"/>
    <w:rsid w:val="001F4F24"/>
    <w:rsid w:val="001F4F68"/>
    <w:rsid w:val="001F4FC8"/>
    <w:rsid w:val="001F501B"/>
    <w:rsid w:val="001F5070"/>
    <w:rsid w:val="001F516B"/>
    <w:rsid w:val="001F5178"/>
    <w:rsid w:val="001F51B5"/>
    <w:rsid w:val="001F51FD"/>
    <w:rsid w:val="001F525B"/>
    <w:rsid w:val="001F526F"/>
    <w:rsid w:val="001F52A2"/>
    <w:rsid w:val="001F5312"/>
    <w:rsid w:val="001F5317"/>
    <w:rsid w:val="001F5333"/>
    <w:rsid w:val="001F535D"/>
    <w:rsid w:val="001F54F7"/>
    <w:rsid w:val="001F55A2"/>
    <w:rsid w:val="001F5655"/>
    <w:rsid w:val="001F5695"/>
    <w:rsid w:val="001F57D8"/>
    <w:rsid w:val="001F581E"/>
    <w:rsid w:val="001F5876"/>
    <w:rsid w:val="001F5883"/>
    <w:rsid w:val="001F58C4"/>
    <w:rsid w:val="001F58F7"/>
    <w:rsid w:val="001F5900"/>
    <w:rsid w:val="001F5A1E"/>
    <w:rsid w:val="001F5A59"/>
    <w:rsid w:val="001F5B80"/>
    <w:rsid w:val="001F5BD3"/>
    <w:rsid w:val="001F5D3D"/>
    <w:rsid w:val="001F5D81"/>
    <w:rsid w:val="001F5E1A"/>
    <w:rsid w:val="001F5F20"/>
    <w:rsid w:val="001F5FCB"/>
    <w:rsid w:val="001F5FD3"/>
    <w:rsid w:val="001F6088"/>
    <w:rsid w:val="001F60AD"/>
    <w:rsid w:val="001F60ED"/>
    <w:rsid w:val="001F6158"/>
    <w:rsid w:val="001F62BC"/>
    <w:rsid w:val="001F62EB"/>
    <w:rsid w:val="001F6339"/>
    <w:rsid w:val="001F638F"/>
    <w:rsid w:val="001F6462"/>
    <w:rsid w:val="001F64AD"/>
    <w:rsid w:val="001F6589"/>
    <w:rsid w:val="001F6700"/>
    <w:rsid w:val="001F6723"/>
    <w:rsid w:val="001F67CB"/>
    <w:rsid w:val="001F68DD"/>
    <w:rsid w:val="001F6905"/>
    <w:rsid w:val="001F69A4"/>
    <w:rsid w:val="001F6A2B"/>
    <w:rsid w:val="001F6A69"/>
    <w:rsid w:val="001F6A98"/>
    <w:rsid w:val="001F6B6B"/>
    <w:rsid w:val="001F6CA0"/>
    <w:rsid w:val="001F6CC0"/>
    <w:rsid w:val="001F6CD3"/>
    <w:rsid w:val="001F6CF0"/>
    <w:rsid w:val="001F6D37"/>
    <w:rsid w:val="001F6D59"/>
    <w:rsid w:val="001F6D68"/>
    <w:rsid w:val="001F6DB7"/>
    <w:rsid w:val="001F6DF3"/>
    <w:rsid w:val="001F6E09"/>
    <w:rsid w:val="001F6E2B"/>
    <w:rsid w:val="001F6E39"/>
    <w:rsid w:val="001F6E74"/>
    <w:rsid w:val="001F6ECC"/>
    <w:rsid w:val="001F6ED1"/>
    <w:rsid w:val="001F6ED3"/>
    <w:rsid w:val="001F6FC0"/>
    <w:rsid w:val="001F7007"/>
    <w:rsid w:val="001F7091"/>
    <w:rsid w:val="001F70CA"/>
    <w:rsid w:val="001F71D1"/>
    <w:rsid w:val="001F7233"/>
    <w:rsid w:val="001F7299"/>
    <w:rsid w:val="001F72C8"/>
    <w:rsid w:val="001F7312"/>
    <w:rsid w:val="001F7332"/>
    <w:rsid w:val="001F73D7"/>
    <w:rsid w:val="001F742C"/>
    <w:rsid w:val="001F7692"/>
    <w:rsid w:val="001F76D2"/>
    <w:rsid w:val="001F76E7"/>
    <w:rsid w:val="001F77F8"/>
    <w:rsid w:val="001F7873"/>
    <w:rsid w:val="001F793A"/>
    <w:rsid w:val="001F79AD"/>
    <w:rsid w:val="001F7B12"/>
    <w:rsid w:val="001F7BD4"/>
    <w:rsid w:val="001F7D08"/>
    <w:rsid w:val="001F7D82"/>
    <w:rsid w:val="001F7E6A"/>
    <w:rsid w:val="001F7E72"/>
    <w:rsid w:val="001F7EBB"/>
    <w:rsid w:val="001F7EF5"/>
    <w:rsid w:val="001F7F3C"/>
    <w:rsid w:val="001F7F60"/>
    <w:rsid w:val="00200047"/>
    <w:rsid w:val="002000F3"/>
    <w:rsid w:val="00200183"/>
    <w:rsid w:val="00200261"/>
    <w:rsid w:val="00200262"/>
    <w:rsid w:val="00200293"/>
    <w:rsid w:val="00200338"/>
    <w:rsid w:val="002004D0"/>
    <w:rsid w:val="0020052F"/>
    <w:rsid w:val="002005AA"/>
    <w:rsid w:val="00200643"/>
    <w:rsid w:val="00200718"/>
    <w:rsid w:val="0020077B"/>
    <w:rsid w:val="002007BC"/>
    <w:rsid w:val="00200892"/>
    <w:rsid w:val="002009E8"/>
    <w:rsid w:val="00200A4A"/>
    <w:rsid w:val="00200A7B"/>
    <w:rsid w:val="00200AED"/>
    <w:rsid w:val="00200BEB"/>
    <w:rsid w:val="00200C6C"/>
    <w:rsid w:val="00200D04"/>
    <w:rsid w:val="00200D05"/>
    <w:rsid w:val="00200D6F"/>
    <w:rsid w:val="00200DC6"/>
    <w:rsid w:val="00200E8F"/>
    <w:rsid w:val="00200ED7"/>
    <w:rsid w:val="00200F19"/>
    <w:rsid w:val="00201047"/>
    <w:rsid w:val="0020107F"/>
    <w:rsid w:val="0020109F"/>
    <w:rsid w:val="002010BB"/>
    <w:rsid w:val="00201176"/>
    <w:rsid w:val="0020125A"/>
    <w:rsid w:val="00201268"/>
    <w:rsid w:val="00201274"/>
    <w:rsid w:val="00201281"/>
    <w:rsid w:val="002012BD"/>
    <w:rsid w:val="00201317"/>
    <w:rsid w:val="0020151D"/>
    <w:rsid w:val="002015CE"/>
    <w:rsid w:val="00201633"/>
    <w:rsid w:val="00201639"/>
    <w:rsid w:val="0020164F"/>
    <w:rsid w:val="00201692"/>
    <w:rsid w:val="00201723"/>
    <w:rsid w:val="002018CF"/>
    <w:rsid w:val="002018E9"/>
    <w:rsid w:val="00201940"/>
    <w:rsid w:val="00201956"/>
    <w:rsid w:val="002019F1"/>
    <w:rsid w:val="00201A6E"/>
    <w:rsid w:val="00201A70"/>
    <w:rsid w:val="00201C05"/>
    <w:rsid w:val="00201C5E"/>
    <w:rsid w:val="00201CD7"/>
    <w:rsid w:val="00201D64"/>
    <w:rsid w:val="00201E1B"/>
    <w:rsid w:val="00201F11"/>
    <w:rsid w:val="00201F22"/>
    <w:rsid w:val="00201FAD"/>
    <w:rsid w:val="00201FD7"/>
    <w:rsid w:val="00202019"/>
    <w:rsid w:val="00202041"/>
    <w:rsid w:val="002020DE"/>
    <w:rsid w:val="0020213A"/>
    <w:rsid w:val="0020213C"/>
    <w:rsid w:val="0020214C"/>
    <w:rsid w:val="002021AC"/>
    <w:rsid w:val="002021B9"/>
    <w:rsid w:val="002021D9"/>
    <w:rsid w:val="002022EA"/>
    <w:rsid w:val="00202323"/>
    <w:rsid w:val="0020236A"/>
    <w:rsid w:val="002023BE"/>
    <w:rsid w:val="002023EF"/>
    <w:rsid w:val="00202439"/>
    <w:rsid w:val="0020247A"/>
    <w:rsid w:val="0020254D"/>
    <w:rsid w:val="002025DF"/>
    <w:rsid w:val="002025E6"/>
    <w:rsid w:val="00202614"/>
    <w:rsid w:val="0020261F"/>
    <w:rsid w:val="002026C5"/>
    <w:rsid w:val="002026FB"/>
    <w:rsid w:val="00202825"/>
    <w:rsid w:val="00202888"/>
    <w:rsid w:val="0020290C"/>
    <w:rsid w:val="00202940"/>
    <w:rsid w:val="0020298B"/>
    <w:rsid w:val="00202A25"/>
    <w:rsid w:val="00202A73"/>
    <w:rsid w:val="00202BAA"/>
    <w:rsid w:val="00202BEC"/>
    <w:rsid w:val="00202CB2"/>
    <w:rsid w:val="00202D2B"/>
    <w:rsid w:val="00202D64"/>
    <w:rsid w:val="00202DCC"/>
    <w:rsid w:val="00202E36"/>
    <w:rsid w:val="00202F02"/>
    <w:rsid w:val="00202FC4"/>
    <w:rsid w:val="00202FC6"/>
    <w:rsid w:val="0020306C"/>
    <w:rsid w:val="00203130"/>
    <w:rsid w:val="0020327F"/>
    <w:rsid w:val="002033F4"/>
    <w:rsid w:val="002033F8"/>
    <w:rsid w:val="0020344F"/>
    <w:rsid w:val="00203457"/>
    <w:rsid w:val="002034FF"/>
    <w:rsid w:val="00203516"/>
    <w:rsid w:val="0020359B"/>
    <w:rsid w:val="002035EB"/>
    <w:rsid w:val="00203671"/>
    <w:rsid w:val="002036C1"/>
    <w:rsid w:val="002036CE"/>
    <w:rsid w:val="002036F9"/>
    <w:rsid w:val="0020373B"/>
    <w:rsid w:val="002038D1"/>
    <w:rsid w:val="002038F7"/>
    <w:rsid w:val="002039A7"/>
    <w:rsid w:val="00203A7F"/>
    <w:rsid w:val="00203AD9"/>
    <w:rsid w:val="00203B3B"/>
    <w:rsid w:val="00203B61"/>
    <w:rsid w:val="00203B85"/>
    <w:rsid w:val="00203BC3"/>
    <w:rsid w:val="00203BFA"/>
    <w:rsid w:val="00203C38"/>
    <w:rsid w:val="00203C72"/>
    <w:rsid w:val="00203CEB"/>
    <w:rsid w:val="00203D33"/>
    <w:rsid w:val="00203D55"/>
    <w:rsid w:val="00203DA1"/>
    <w:rsid w:val="00203E24"/>
    <w:rsid w:val="00203E69"/>
    <w:rsid w:val="00203F28"/>
    <w:rsid w:val="00204067"/>
    <w:rsid w:val="002040C3"/>
    <w:rsid w:val="002041BD"/>
    <w:rsid w:val="00204366"/>
    <w:rsid w:val="0020439D"/>
    <w:rsid w:val="00204510"/>
    <w:rsid w:val="00204537"/>
    <w:rsid w:val="0020459F"/>
    <w:rsid w:val="002045B3"/>
    <w:rsid w:val="00204659"/>
    <w:rsid w:val="002046E4"/>
    <w:rsid w:val="0020472A"/>
    <w:rsid w:val="00204757"/>
    <w:rsid w:val="00204872"/>
    <w:rsid w:val="002048B4"/>
    <w:rsid w:val="00204983"/>
    <w:rsid w:val="0020499E"/>
    <w:rsid w:val="002049CE"/>
    <w:rsid w:val="00204A19"/>
    <w:rsid w:val="00204A99"/>
    <w:rsid w:val="00204ABD"/>
    <w:rsid w:val="00204B7F"/>
    <w:rsid w:val="00204BC4"/>
    <w:rsid w:val="00204BFF"/>
    <w:rsid w:val="00204D36"/>
    <w:rsid w:val="00204D71"/>
    <w:rsid w:val="00204D99"/>
    <w:rsid w:val="00204D9D"/>
    <w:rsid w:val="00204DEA"/>
    <w:rsid w:val="00204E2C"/>
    <w:rsid w:val="00204FBF"/>
    <w:rsid w:val="00205095"/>
    <w:rsid w:val="002050AC"/>
    <w:rsid w:val="002050C4"/>
    <w:rsid w:val="00205116"/>
    <w:rsid w:val="00205123"/>
    <w:rsid w:val="002051E2"/>
    <w:rsid w:val="00205248"/>
    <w:rsid w:val="002052FB"/>
    <w:rsid w:val="0020540A"/>
    <w:rsid w:val="00205436"/>
    <w:rsid w:val="002054E9"/>
    <w:rsid w:val="002054F4"/>
    <w:rsid w:val="0020552E"/>
    <w:rsid w:val="00205533"/>
    <w:rsid w:val="0020554F"/>
    <w:rsid w:val="00205599"/>
    <w:rsid w:val="0020568E"/>
    <w:rsid w:val="002056C5"/>
    <w:rsid w:val="00205904"/>
    <w:rsid w:val="00205969"/>
    <w:rsid w:val="00205A00"/>
    <w:rsid w:val="00205B62"/>
    <w:rsid w:val="00205C08"/>
    <w:rsid w:val="00205C11"/>
    <w:rsid w:val="00205C72"/>
    <w:rsid w:val="00205CDA"/>
    <w:rsid w:val="00205D96"/>
    <w:rsid w:val="00205DBF"/>
    <w:rsid w:val="00205DC3"/>
    <w:rsid w:val="00205E02"/>
    <w:rsid w:val="00205E3C"/>
    <w:rsid w:val="00205EDF"/>
    <w:rsid w:val="00205EFA"/>
    <w:rsid w:val="00205F9D"/>
    <w:rsid w:val="00206034"/>
    <w:rsid w:val="0020606E"/>
    <w:rsid w:val="00206203"/>
    <w:rsid w:val="0020622E"/>
    <w:rsid w:val="00206242"/>
    <w:rsid w:val="00206295"/>
    <w:rsid w:val="002062AB"/>
    <w:rsid w:val="002062D3"/>
    <w:rsid w:val="00206405"/>
    <w:rsid w:val="002064A3"/>
    <w:rsid w:val="002064CD"/>
    <w:rsid w:val="00206504"/>
    <w:rsid w:val="0020650F"/>
    <w:rsid w:val="00206598"/>
    <w:rsid w:val="002065C8"/>
    <w:rsid w:val="002065DA"/>
    <w:rsid w:val="00206652"/>
    <w:rsid w:val="0020666A"/>
    <w:rsid w:val="00206697"/>
    <w:rsid w:val="002066CE"/>
    <w:rsid w:val="002066DD"/>
    <w:rsid w:val="00206705"/>
    <w:rsid w:val="002067BC"/>
    <w:rsid w:val="002067F0"/>
    <w:rsid w:val="00206853"/>
    <w:rsid w:val="00206856"/>
    <w:rsid w:val="002068E8"/>
    <w:rsid w:val="00206983"/>
    <w:rsid w:val="002069C7"/>
    <w:rsid w:val="002069F7"/>
    <w:rsid w:val="00206A73"/>
    <w:rsid w:val="00206B27"/>
    <w:rsid w:val="00206BB6"/>
    <w:rsid w:val="00206D09"/>
    <w:rsid w:val="00206DE5"/>
    <w:rsid w:val="00206E8D"/>
    <w:rsid w:val="00206EF2"/>
    <w:rsid w:val="0020701F"/>
    <w:rsid w:val="002071F9"/>
    <w:rsid w:val="00207314"/>
    <w:rsid w:val="002073C8"/>
    <w:rsid w:val="00207432"/>
    <w:rsid w:val="002074A8"/>
    <w:rsid w:val="002075E4"/>
    <w:rsid w:val="00207622"/>
    <w:rsid w:val="002076FB"/>
    <w:rsid w:val="00207780"/>
    <w:rsid w:val="00207812"/>
    <w:rsid w:val="0020787F"/>
    <w:rsid w:val="00207A25"/>
    <w:rsid w:val="00207A4B"/>
    <w:rsid w:val="00207A61"/>
    <w:rsid w:val="00207AB6"/>
    <w:rsid w:val="00207AF8"/>
    <w:rsid w:val="00207B1F"/>
    <w:rsid w:val="00207BBC"/>
    <w:rsid w:val="00207C64"/>
    <w:rsid w:val="00207CAC"/>
    <w:rsid w:val="00207CBE"/>
    <w:rsid w:val="00207CF6"/>
    <w:rsid w:val="00207D1A"/>
    <w:rsid w:val="00207D5C"/>
    <w:rsid w:val="00207D98"/>
    <w:rsid w:val="00207DAF"/>
    <w:rsid w:val="00207E19"/>
    <w:rsid w:val="00207E43"/>
    <w:rsid w:val="00207E75"/>
    <w:rsid w:val="00207E76"/>
    <w:rsid w:val="00207EA1"/>
    <w:rsid w:val="00207F95"/>
    <w:rsid w:val="00210082"/>
    <w:rsid w:val="002100F4"/>
    <w:rsid w:val="002100FD"/>
    <w:rsid w:val="00210226"/>
    <w:rsid w:val="00210278"/>
    <w:rsid w:val="0021029E"/>
    <w:rsid w:val="0021030D"/>
    <w:rsid w:val="00210451"/>
    <w:rsid w:val="0021049E"/>
    <w:rsid w:val="0021060F"/>
    <w:rsid w:val="00210622"/>
    <w:rsid w:val="002107D6"/>
    <w:rsid w:val="002108BE"/>
    <w:rsid w:val="00210979"/>
    <w:rsid w:val="00210A1E"/>
    <w:rsid w:val="00210A61"/>
    <w:rsid w:val="00210B0E"/>
    <w:rsid w:val="00210B61"/>
    <w:rsid w:val="00210B67"/>
    <w:rsid w:val="00210B69"/>
    <w:rsid w:val="00210CFC"/>
    <w:rsid w:val="00210D77"/>
    <w:rsid w:val="00210E22"/>
    <w:rsid w:val="00210E4B"/>
    <w:rsid w:val="00210E74"/>
    <w:rsid w:val="00210EB7"/>
    <w:rsid w:val="00210FB0"/>
    <w:rsid w:val="00210FEF"/>
    <w:rsid w:val="00211014"/>
    <w:rsid w:val="00211036"/>
    <w:rsid w:val="00211040"/>
    <w:rsid w:val="00211054"/>
    <w:rsid w:val="00211072"/>
    <w:rsid w:val="0021109E"/>
    <w:rsid w:val="002110C1"/>
    <w:rsid w:val="00211135"/>
    <w:rsid w:val="00211204"/>
    <w:rsid w:val="0021122E"/>
    <w:rsid w:val="00211231"/>
    <w:rsid w:val="00211262"/>
    <w:rsid w:val="002112E8"/>
    <w:rsid w:val="00211393"/>
    <w:rsid w:val="00211495"/>
    <w:rsid w:val="002114D5"/>
    <w:rsid w:val="00211519"/>
    <w:rsid w:val="0021157B"/>
    <w:rsid w:val="00211678"/>
    <w:rsid w:val="0021169A"/>
    <w:rsid w:val="002116DB"/>
    <w:rsid w:val="002116DF"/>
    <w:rsid w:val="00211707"/>
    <w:rsid w:val="0021170E"/>
    <w:rsid w:val="00211720"/>
    <w:rsid w:val="0021176C"/>
    <w:rsid w:val="002117F8"/>
    <w:rsid w:val="0021184E"/>
    <w:rsid w:val="0021188F"/>
    <w:rsid w:val="00211A0F"/>
    <w:rsid w:val="00211AAA"/>
    <w:rsid w:val="00211B20"/>
    <w:rsid w:val="00211B2A"/>
    <w:rsid w:val="00211B6D"/>
    <w:rsid w:val="00211BFB"/>
    <w:rsid w:val="00211C5D"/>
    <w:rsid w:val="00211D18"/>
    <w:rsid w:val="00211D90"/>
    <w:rsid w:val="00211DAD"/>
    <w:rsid w:val="00211DCE"/>
    <w:rsid w:val="00211F28"/>
    <w:rsid w:val="00211F36"/>
    <w:rsid w:val="00211FD0"/>
    <w:rsid w:val="0021202B"/>
    <w:rsid w:val="002120A3"/>
    <w:rsid w:val="002120C1"/>
    <w:rsid w:val="002120D9"/>
    <w:rsid w:val="00212164"/>
    <w:rsid w:val="00212241"/>
    <w:rsid w:val="0021224C"/>
    <w:rsid w:val="00212287"/>
    <w:rsid w:val="00212345"/>
    <w:rsid w:val="00212363"/>
    <w:rsid w:val="00212370"/>
    <w:rsid w:val="00212407"/>
    <w:rsid w:val="0021244F"/>
    <w:rsid w:val="0021252F"/>
    <w:rsid w:val="00212573"/>
    <w:rsid w:val="00212607"/>
    <w:rsid w:val="002126B8"/>
    <w:rsid w:val="002126F2"/>
    <w:rsid w:val="0021275C"/>
    <w:rsid w:val="002127B2"/>
    <w:rsid w:val="0021296A"/>
    <w:rsid w:val="00212A97"/>
    <w:rsid w:val="00212AC2"/>
    <w:rsid w:val="00212B67"/>
    <w:rsid w:val="00212B9F"/>
    <w:rsid w:val="00212C67"/>
    <w:rsid w:val="00212CA5"/>
    <w:rsid w:val="00212DC3"/>
    <w:rsid w:val="00212E2B"/>
    <w:rsid w:val="00212E68"/>
    <w:rsid w:val="00212EC2"/>
    <w:rsid w:val="00212F3E"/>
    <w:rsid w:val="00213008"/>
    <w:rsid w:val="0021302D"/>
    <w:rsid w:val="0021303B"/>
    <w:rsid w:val="0021303E"/>
    <w:rsid w:val="002130A4"/>
    <w:rsid w:val="0021311B"/>
    <w:rsid w:val="00213137"/>
    <w:rsid w:val="00213255"/>
    <w:rsid w:val="00213268"/>
    <w:rsid w:val="00213275"/>
    <w:rsid w:val="002132A8"/>
    <w:rsid w:val="0021335D"/>
    <w:rsid w:val="00213382"/>
    <w:rsid w:val="002134DD"/>
    <w:rsid w:val="002134E7"/>
    <w:rsid w:val="0021352C"/>
    <w:rsid w:val="00213632"/>
    <w:rsid w:val="00213641"/>
    <w:rsid w:val="00213668"/>
    <w:rsid w:val="0021366E"/>
    <w:rsid w:val="002136C9"/>
    <w:rsid w:val="00213734"/>
    <w:rsid w:val="00213792"/>
    <w:rsid w:val="00213824"/>
    <w:rsid w:val="0021384A"/>
    <w:rsid w:val="0021384D"/>
    <w:rsid w:val="00213876"/>
    <w:rsid w:val="00213880"/>
    <w:rsid w:val="002138B9"/>
    <w:rsid w:val="0021397F"/>
    <w:rsid w:val="002139ED"/>
    <w:rsid w:val="00213AAC"/>
    <w:rsid w:val="00213B3B"/>
    <w:rsid w:val="00213B99"/>
    <w:rsid w:val="00213BDB"/>
    <w:rsid w:val="00213C77"/>
    <w:rsid w:val="00213C93"/>
    <w:rsid w:val="00213C9C"/>
    <w:rsid w:val="00213D97"/>
    <w:rsid w:val="00213DF7"/>
    <w:rsid w:val="00213E4A"/>
    <w:rsid w:val="00213F1D"/>
    <w:rsid w:val="00213FA7"/>
    <w:rsid w:val="0021403E"/>
    <w:rsid w:val="0021410A"/>
    <w:rsid w:val="00214202"/>
    <w:rsid w:val="00214245"/>
    <w:rsid w:val="0021427E"/>
    <w:rsid w:val="0021429E"/>
    <w:rsid w:val="00214308"/>
    <w:rsid w:val="0021433A"/>
    <w:rsid w:val="002143AC"/>
    <w:rsid w:val="002143E6"/>
    <w:rsid w:val="002143E7"/>
    <w:rsid w:val="002144BA"/>
    <w:rsid w:val="002144FA"/>
    <w:rsid w:val="002145D5"/>
    <w:rsid w:val="00214611"/>
    <w:rsid w:val="00214618"/>
    <w:rsid w:val="0021464B"/>
    <w:rsid w:val="00214701"/>
    <w:rsid w:val="0021472E"/>
    <w:rsid w:val="0021482A"/>
    <w:rsid w:val="0021483A"/>
    <w:rsid w:val="0021485C"/>
    <w:rsid w:val="00214886"/>
    <w:rsid w:val="002148CA"/>
    <w:rsid w:val="00214928"/>
    <w:rsid w:val="002149CD"/>
    <w:rsid w:val="002149F7"/>
    <w:rsid w:val="00214A00"/>
    <w:rsid w:val="00214A0B"/>
    <w:rsid w:val="00214A91"/>
    <w:rsid w:val="00214A99"/>
    <w:rsid w:val="00214B0C"/>
    <w:rsid w:val="00214B2C"/>
    <w:rsid w:val="00214BC2"/>
    <w:rsid w:val="00214C8D"/>
    <w:rsid w:val="00214CEF"/>
    <w:rsid w:val="00214D62"/>
    <w:rsid w:val="00214DC4"/>
    <w:rsid w:val="00214E4E"/>
    <w:rsid w:val="00214EA7"/>
    <w:rsid w:val="00214F2D"/>
    <w:rsid w:val="00215013"/>
    <w:rsid w:val="0021506A"/>
    <w:rsid w:val="002150B7"/>
    <w:rsid w:val="002150D1"/>
    <w:rsid w:val="002151AB"/>
    <w:rsid w:val="002151DD"/>
    <w:rsid w:val="0021522F"/>
    <w:rsid w:val="002152AA"/>
    <w:rsid w:val="002152DB"/>
    <w:rsid w:val="00215341"/>
    <w:rsid w:val="002153C9"/>
    <w:rsid w:val="002153F3"/>
    <w:rsid w:val="0021542A"/>
    <w:rsid w:val="00215474"/>
    <w:rsid w:val="002154F0"/>
    <w:rsid w:val="002155B4"/>
    <w:rsid w:val="002155DA"/>
    <w:rsid w:val="00215690"/>
    <w:rsid w:val="002156A0"/>
    <w:rsid w:val="00215799"/>
    <w:rsid w:val="002157B9"/>
    <w:rsid w:val="00215810"/>
    <w:rsid w:val="0021594A"/>
    <w:rsid w:val="00215A27"/>
    <w:rsid w:val="00215A48"/>
    <w:rsid w:val="00215AD6"/>
    <w:rsid w:val="00215B12"/>
    <w:rsid w:val="00215B4D"/>
    <w:rsid w:val="00215B4F"/>
    <w:rsid w:val="00215C69"/>
    <w:rsid w:val="00215CB8"/>
    <w:rsid w:val="00215EA8"/>
    <w:rsid w:val="00215F34"/>
    <w:rsid w:val="00215FE5"/>
    <w:rsid w:val="00215FEF"/>
    <w:rsid w:val="00216013"/>
    <w:rsid w:val="0021606D"/>
    <w:rsid w:val="0021612D"/>
    <w:rsid w:val="00216244"/>
    <w:rsid w:val="00216306"/>
    <w:rsid w:val="002163A4"/>
    <w:rsid w:val="0021649F"/>
    <w:rsid w:val="002164D2"/>
    <w:rsid w:val="0021665F"/>
    <w:rsid w:val="002166CB"/>
    <w:rsid w:val="002166E8"/>
    <w:rsid w:val="00216710"/>
    <w:rsid w:val="0021674F"/>
    <w:rsid w:val="0021676B"/>
    <w:rsid w:val="00216784"/>
    <w:rsid w:val="00216797"/>
    <w:rsid w:val="00216802"/>
    <w:rsid w:val="002168A1"/>
    <w:rsid w:val="002168E0"/>
    <w:rsid w:val="0021696A"/>
    <w:rsid w:val="00216B4E"/>
    <w:rsid w:val="00216C5C"/>
    <w:rsid w:val="00216CD6"/>
    <w:rsid w:val="00216D1B"/>
    <w:rsid w:val="00216DA5"/>
    <w:rsid w:val="00216DA8"/>
    <w:rsid w:val="00216DE4"/>
    <w:rsid w:val="00216E4A"/>
    <w:rsid w:val="00216EB1"/>
    <w:rsid w:val="00216F45"/>
    <w:rsid w:val="00216F78"/>
    <w:rsid w:val="00216FCA"/>
    <w:rsid w:val="00216FF2"/>
    <w:rsid w:val="00217001"/>
    <w:rsid w:val="00217185"/>
    <w:rsid w:val="00217217"/>
    <w:rsid w:val="00217274"/>
    <w:rsid w:val="00217353"/>
    <w:rsid w:val="002173A5"/>
    <w:rsid w:val="0021740C"/>
    <w:rsid w:val="0021754E"/>
    <w:rsid w:val="00217700"/>
    <w:rsid w:val="00217719"/>
    <w:rsid w:val="002177E3"/>
    <w:rsid w:val="002177F0"/>
    <w:rsid w:val="0021780B"/>
    <w:rsid w:val="0021793D"/>
    <w:rsid w:val="00217954"/>
    <w:rsid w:val="002179A5"/>
    <w:rsid w:val="00217A1C"/>
    <w:rsid w:val="00217A3F"/>
    <w:rsid w:val="00217A5C"/>
    <w:rsid w:val="00217A74"/>
    <w:rsid w:val="00217A83"/>
    <w:rsid w:val="00217B74"/>
    <w:rsid w:val="00217B80"/>
    <w:rsid w:val="00217B98"/>
    <w:rsid w:val="00217BBF"/>
    <w:rsid w:val="00217BD3"/>
    <w:rsid w:val="00217BE9"/>
    <w:rsid w:val="00217C51"/>
    <w:rsid w:val="00217CC8"/>
    <w:rsid w:val="00217D28"/>
    <w:rsid w:val="00217D57"/>
    <w:rsid w:val="00217D80"/>
    <w:rsid w:val="00217D84"/>
    <w:rsid w:val="00217DCC"/>
    <w:rsid w:val="00217E48"/>
    <w:rsid w:val="00217E53"/>
    <w:rsid w:val="00217E5D"/>
    <w:rsid w:val="00217F70"/>
    <w:rsid w:val="0022010C"/>
    <w:rsid w:val="002201B9"/>
    <w:rsid w:val="002202CD"/>
    <w:rsid w:val="00220337"/>
    <w:rsid w:val="002203BC"/>
    <w:rsid w:val="00220499"/>
    <w:rsid w:val="00220548"/>
    <w:rsid w:val="00220587"/>
    <w:rsid w:val="00220658"/>
    <w:rsid w:val="0022067D"/>
    <w:rsid w:val="002206BC"/>
    <w:rsid w:val="002207B5"/>
    <w:rsid w:val="002207D1"/>
    <w:rsid w:val="00220875"/>
    <w:rsid w:val="002208B8"/>
    <w:rsid w:val="00220948"/>
    <w:rsid w:val="0022098B"/>
    <w:rsid w:val="002209E1"/>
    <w:rsid w:val="002209F7"/>
    <w:rsid w:val="00220C08"/>
    <w:rsid w:val="00220C5B"/>
    <w:rsid w:val="00220D34"/>
    <w:rsid w:val="00220D92"/>
    <w:rsid w:val="00220DBE"/>
    <w:rsid w:val="00220DCE"/>
    <w:rsid w:val="00220EF9"/>
    <w:rsid w:val="00220F4F"/>
    <w:rsid w:val="00221027"/>
    <w:rsid w:val="00221146"/>
    <w:rsid w:val="00221193"/>
    <w:rsid w:val="00221194"/>
    <w:rsid w:val="002211A3"/>
    <w:rsid w:val="00221304"/>
    <w:rsid w:val="002213F1"/>
    <w:rsid w:val="0022141C"/>
    <w:rsid w:val="0022146F"/>
    <w:rsid w:val="0022149F"/>
    <w:rsid w:val="00221530"/>
    <w:rsid w:val="0022158A"/>
    <w:rsid w:val="00221612"/>
    <w:rsid w:val="002217B4"/>
    <w:rsid w:val="002217BF"/>
    <w:rsid w:val="002217D6"/>
    <w:rsid w:val="002219F7"/>
    <w:rsid w:val="00221A70"/>
    <w:rsid w:val="00221B4B"/>
    <w:rsid w:val="00221B68"/>
    <w:rsid w:val="00221B90"/>
    <w:rsid w:val="00221C7D"/>
    <w:rsid w:val="00221D02"/>
    <w:rsid w:val="00221D24"/>
    <w:rsid w:val="00221D5A"/>
    <w:rsid w:val="00221DB5"/>
    <w:rsid w:val="00221E31"/>
    <w:rsid w:val="0022205B"/>
    <w:rsid w:val="0022209E"/>
    <w:rsid w:val="002220E5"/>
    <w:rsid w:val="002220FB"/>
    <w:rsid w:val="002221A7"/>
    <w:rsid w:val="00222216"/>
    <w:rsid w:val="0022227F"/>
    <w:rsid w:val="002222C6"/>
    <w:rsid w:val="00222384"/>
    <w:rsid w:val="0022242F"/>
    <w:rsid w:val="00222442"/>
    <w:rsid w:val="002224E5"/>
    <w:rsid w:val="00222560"/>
    <w:rsid w:val="00222562"/>
    <w:rsid w:val="00222581"/>
    <w:rsid w:val="002225AE"/>
    <w:rsid w:val="002225EE"/>
    <w:rsid w:val="00222767"/>
    <w:rsid w:val="00222870"/>
    <w:rsid w:val="00222884"/>
    <w:rsid w:val="0022288D"/>
    <w:rsid w:val="0022293D"/>
    <w:rsid w:val="00222963"/>
    <w:rsid w:val="00222993"/>
    <w:rsid w:val="002229BE"/>
    <w:rsid w:val="00222AAB"/>
    <w:rsid w:val="00222B7A"/>
    <w:rsid w:val="00222BFC"/>
    <w:rsid w:val="00222C6A"/>
    <w:rsid w:val="00222C73"/>
    <w:rsid w:val="00222D8E"/>
    <w:rsid w:val="00222DE6"/>
    <w:rsid w:val="00222E3D"/>
    <w:rsid w:val="00222E43"/>
    <w:rsid w:val="00222E64"/>
    <w:rsid w:val="00222EE1"/>
    <w:rsid w:val="00222EE6"/>
    <w:rsid w:val="00223049"/>
    <w:rsid w:val="00223058"/>
    <w:rsid w:val="00223139"/>
    <w:rsid w:val="002231FB"/>
    <w:rsid w:val="0022325A"/>
    <w:rsid w:val="00223261"/>
    <w:rsid w:val="00223286"/>
    <w:rsid w:val="002232A1"/>
    <w:rsid w:val="002233BE"/>
    <w:rsid w:val="0022341C"/>
    <w:rsid w:val="0022345E"/>
    <w:rsid w:val="0022348E"/>
    <w:rsid w:val="00223541"/>
    <w:rsid w:val="002235D6"/>
    <w:rsid w:val="00223618"/>
    <w:rsid w:val="00223644"/>
    <w:rsid w:val="00223675"/>
    <w:rsid w:val="00223782"/>
    <w:rsid w:val="002237EC"/>
    <w:rsid w:val="002238DD"/>
    <w:rsid w:val="00223948"/>
    <w:rsid w:val="00223952"/>
    <w:rsid w:val="00223A7E"/>
    <w:rsid w:val="00223AB4"/>
    <w:rsid w:val="00223AFA"/>
    <w:rsid w:val="00223B31"/>
    <w:rsid w:val="00223B3D"/>
    <w:rsid w:val="00223D50"/>
    <w:rsid w:val="00223E16"/>
    <w:rsid w:val="00223E62"/>
    <w:rsid w:val="00223EB4"/>
    <w:rsid w:val="00223F33"/>
    <w:rsid w:val="002240C1"/>
    <w:rsid w:val="002240E4"/>
    <w:rsid w:val="002242BB"/>
    <w:rsid w:val="002242DA"/>
    <w:rsid w:val="0022430F"/>
    <w:rsid w:val="002243B5"/>
    <w:rsid w:val="002243D1"/>
    <w:rsid w:val="00224469"/>
    <w:rsid w:val="0022451C"/>
    <w:rsid w:val="00224551"/>
    <w:rsid w:val="00224617"/>
    <w:rsid w:val="0022461A"/>
    <w:rsid w:val="00224673"/>
    <w:rsid w:val="00224693"/>
    <w:rsid w:val="002246C8"/>
    <w:rsid w:val="002247F8"/>
    <w:rsid w:val="00224809"/>
    <w:rsid w:val="0022482F"/>
    <w:rsid w:val="002248FB"/>
    <w:rsid w:val="00224999"/>
    <w:rsid w:val="00224A0E"/>
    <w:rsid w:val="00224A59"/>
    <w:rsid w:val="00224AB5"/>
    <w:rsid w:val="00224B1F"/>
    <w:rsid w:val="00224CFC"/>
    <w:rsid w:val="00224D5C"/>
    <w:rsid w:val="00224D75"/>
    <w:rsid w:val="00224DD3"/>
    <w:rsid w:val="00224E17"/>
    <w:rsid w:val="00224E67"/>
    <w:rsid w:val="00224F2D"/>
    <w:rsid w:val="00224F9F"/>
    <w:rsid w:val="0022509D"/>
    <w:rsid w:val="002250AF"/>
    <w:rsid w:val="002250B6"/>
    <w:rsid w:val="0022511C"/>
    <w:rsid w:val="00225156"/>
    <w:rsid w:val="002251E6"/>
    <w:rsid w:val="0022520D"/>
    <w:rsid w:val="0022521D"/>
    <w:rsid w:val="00225338"/>
    <w:rsid w:val="002253B8"/>
    <w:rsid w:val="0022544C"/>
    <w:rsid w:val="002254CA"/>
    <w:rsid w:val="00225533"/>
    <w:rsid w:val="002255CF"/>
    <w:rsid w:val="00225645"/>
    <w:rsid w:val="00225655"/>
    <w:rsid w:val="002256AC"/>
    <w:rsid w:val="00225750"/>
    <w:rsid w:val="00225770"/>
    <w:rsid w:val="002257F8"/>
    <w:rsid w:val="00225864"/>
    <w:rsid w:val="0022594A"/>
    <w:rsid w:val="002259A0"/>
    <w:rsid w:val="00225A00"/>
    <w:rsid w:val="00225A3C"/>
    <w:rsid w:val="00225ACC"/>
    <w:rsid w:val="00225B99"/>
    <w:rsid w:val="00225B9C"/>
    <w:rsid w:val="00225BDD"/>
    <w:rsid w:val="00225C0D"/>
    <w:rsid w:val="00225C57"/>
    <w:rsid w:val="00225CFE"/>
    <w:rsid w:val="00225D16"/>
    <w:rsid w:val="00225D19"/>
    <w:rsid w:val="00225D2F"/>
    <w:rsid w:val="00225D85"/>
    <w:rsid w:val="00225DE7"/>
    <w:rsid w:val="00225E75"/>
    <w:rsid w:val="00225F35"/>
    <w:rsid w:val="00225F47"/>
    <w:rsid w:val="00225F8F"/>
    <w:rsid w:val="00226036"/>
    <w:rsid w:val="00226290"/>
    <w:rsid w:val="0022631A"/>
    <w:rsid w:val="00226379"/>
    <w:rsid w:val="0022637F"/>
    <w:rsid w:val="00226444"/>
    <w:rsid w:val="002264B3"/>
    <w:rsid w:val="002264CB"/>
    <w:rsid w:val="002264EA"/>
    <w:rsid w:val="0022653B"/>
    <w:rsid w:val="002265DB"/>
    <w:rsid w:val="00226683"/>
    <w:rsid w:val="002266DE"/>
    <w:rsid w:val="00226739"/>
    <w:rsid w:val="002268D4"/>
    <w:rsid w:val="0022695F"/>
    <w:rsid w:val="0022698F"/>
    <w:rsid w:val="002269F8"/>
    <w:rsid w:val="00226B2A"/>
    <w:rsid w:val="00226B38"/>
    <w:rsid w:val="00226BD7"/>
    <w:rsid w:val="00226BED"/>
    <w:rsid w:val="00226CCB"/>
    <w:rsid w:val="00226D62"/>
    <w:rsid w:val="00226D99"/>
    <w:rsid w:val="00226DB3"/>
    <w:rsid w:val="00226DB4"/>
    <w:rsid w:val="00226E6F"/>
    <w:rsid w:val="00226F68"/>
    <w:rsid w:val="00226FAB"/>
    <w:rsid w:val="00226FEB"/>
    <w:rsid w:val="002270F7"/>
    <w:rsid w:val="002271CF"/>
    <w:rsid w:val="002271FF"/>
    <w:rsid w:val="00227209"/>
    <w:rsid w:val="00227215"/>
    <w:rsid w:val="00227299"/>
    <w:rsid w:val="00227310"/>
    <w:rsid w:val="00227399"/>
    <w:rsid w:val="002273BD"/>
    <w:rsid w:val="00227478"/>
    <w:rsid w:val="00227500"/>
    <w:rsid w:val="0022760A"/>
    <w:rsid w:val="00227629"/>
    <w:rsid w:val="00227651"/>
    <w:rsid w:val="002276FF"/>
    <w:rsid w:val="00227771"/>
    <w:rsid w:val="0022777A"/>
    <w:rsid w:val="0022778D"/>
    <w:rsid w:val="002277D0"/>
    <w:rsid w:val="002277D3"/>
    <w:rsid w:val="002277F5"/>
    <w:rsid w:val="00227817"/>
    <w:rsid w:val="0022781E"/>
    <w:rsid w:val="00227844"/>
    <w:rsid w:val="00227850"/>
    <w:rsid w:val="0022789C"/>
    <w:rsid w:val="002278A9"/>
    <w:rsid w:val="002278DF"/>
    <w:rsid w:val="002279AC"/>
    <w:rsid w:val="00227B95"/>
    <w:rsid w:val="00227BCF"/>
    <w:rsid w:val="00227C01"/>
    <w:rsid w:val="00227C6E"/>
    <w:rsid w:val="00227C71"/>
    <w:rsid w:val="00227CB8"/>
    <w:rsid w:val="00227DCC"/>
    <w:rsid w:val="00227DFA"/>
    <w:rsid w:val="002300E1"/>
    <w:rsid w:val="00230107"/>
    <w:rsid w:val="00230152"/>
    <w:rsid w:val="0023017C"/>
    <w:rsid w:val="002301FE"/>
    <w:rsid w:val="00230254"/>
    <w:rsid w:val="00230257"/>
    <w:rsid w:val="00230294"/>
    <w:rsid w:val="00230379"/>
    <w:rsid w:val="002303D7"/>
    <w:rsid w:val="00230486"/>
    <w:rsid w:val="00230598"/>
    <w:rsid w:val="00230637"/>
    <w:rsid w:val="00230658"/>
    <w:rsid w:val="00230680"/>
    <w:rsid w:val="00230726"/>
    <w:rsid w:val="00230776"/>
    <w:rsid w:val="002308A1"/>
    <w:rsid w:val="002308AB"/>
    <w:rsid w:val="00230A69"/>
    <w:rsid w:val="00230A78"/>
    <w:rsid w:val="00230A81"/>
    <w:rsid w:val="00230AA1"/>
    <w:rsid w:val="00230B86"/>
    <w:rsid w:val="00230BBE"/>
    <w:rsid w:val="00230BD8"/>
    <w:rsid w:val="00230BEE"/>
    <w:rsid w:val="00230CF8"/>
    <w:rsid w:val="00230D81"/>
    <w:rsid w:val="00230E3D"/>
    <w:rsid w:val="00230E5D"/>
    <w:rsid w:val="00230E82"/>
    <w:rsid w:val="00230F0E"/>
    <w:rsid w:val="00230F1F"/>
    <w:rsid w:val="00230F65"/>
    <w:rsid w:val="00231047"/>
    <w:rsid w:val="002310CF"/>
    <w:rsid w:val="002310E7"/>
    <w:rsid w:val="0023113E"/>
    <w:rsid w:val="00231197"/>
    <w:rsid w:val="002311A0"/>
    <w:rsid w:val="002311A7"/>
    <w:rsid w:val="002312DC"/>
    <w:rsid w:val="0023134F"/>
    <w:rsid w:val="002313F9"/>
    <w:rsid w:val="0023149C"/>
    <w:rsid w:val="0023167D"/>
    <w:rsid w:val="002316C9"/>
    <w:rsid w:val="002316D2"/>
    <w:rsid w:val="00231798"/>
    <w:rsid w:val="0023184B"/>
    <w:rsid w:val="002318AB"/>
    <w:rsid w:val="002318EB"/>
    <w:rsid w:val="00231910"/>
    <w:rsid w:val="00231A8F"/>
    <w:rsid w:val="00231AD9"/>
    <w:rsid w:val="00231B11"/>
    <w:rsid w:val="00231B31"/>
    <w:rsid w:val="00231B39"/>
    <w:rsid w:val="00231BD7"/>
    <w:rsid w:val="00231BEA"/>
    <w:rsid w:val="00231BF4"/>
    <w:rsid w:val="00231CC2"/>
    <w:rsid w:val="00231D00"/>
    <w:rsid w:val="00231D46"/>
    <w:rsid w:val="00231D9F"/>
    <w:rsid w:val="00231DB4"/>
    <w:rsid w:val="00231DED"/>
    <w:rsid w:val="00231E62"/>
    <w:rsid w:val="00231E94"/>
    <w:rsid w:val="00231ECD"/>
    <w:rsid w:val="00231F1D"/>
    <w:rsid w:val="00231F5F"/>
    <w:rsid w:val="00231F82"/>
    <w:rsid w:val="0023201B"/>
    <w:rsid w:val="00232048"/>
    <w:rsid w:val="00232068"/>
    <w:rsid w:val="00232091"/>
    <w:rsid w:val="00232108"/>
    <w:rsid w:val="00232181"/>
    <w:rsid w:val="00232183"/>
    <w:rsid w:val="00232201"/>
    <w:rsid w:val="0023224D"/>
    <w:rsid w:val="0023224E"/>
    <w:rsid w:val="0023226B"/>
    <w:rsid w:val="00232373"/>
    <w:rsid w:val="00232389"/>
    <w:rsid w:val="0023238C"/>
    <w:rsid w:val="00232453"/>
    <w:rsid w:val="002324B7"/>
    <w:rsid w:val="00232542"/>
    <w:rsid w:val="002325FA"/>
    <w:rsid w:val="0023263C"/>
    <w:rsid w:val="0023270D"/>
    <w:rsid w:val="00232738"/>
    <w:rsid w:val="0023293D"/>
    <w:rsid w:val="00232B68"/>
    <w:rsid w:val="00232C56"/>
    <w:rsid w:val="00232CB7"/>
    <w:rsid w:val="00232CBE"/>
    <w:rsid w:val="00232D74"/>
    <w:rsid w:val="00232D93"/>
    <w:rsid w:val="00232EB9"/>
    <w:rsid w:val="00232F87"/>
    <w:rsid w:val="00232F96"/>
    <w:rsid w:val="00232FD2"/>
    <w:rsid w:val="002330F1"/>
    <w:rsid w:val="0023317A"/>
    <w:rsid w:val="002331A0"/>
    <w:rsid w:val="002331BC"/>
    <w:rsid w:val="00233306"/>
    <w:rsid w:val="0023336A"/>
    <w:rsid w:val="0023339A"/>
    <w:rsid w:val="002333E3"/>
    <w:rsid w:val="00233442"/>
    <w:rsid w:val="00233446"/>
    <w:rsid w:val="0023358F"/>
    <w:rsid w:val="0023359E"/>
    <w:rsid w:val="0023361D"/>
    <w:rsid w:val="00233778"/>
    <w:rsid w:val="00233781"/>
    <w:rsid w:val="002338C0"/>
    <w:rsid w:val="002338E1"/>
    <w:rsid w:val="00233965"/>
    <w:rsid w:val="002339A1"/>
    <w:rsid w:val="00233AC0"/>
    <w:rsid w:val="00233AD9"/>
    <w:rsid w:val="00233B1B"/>
    <w:rsid w:val="00233BC4"/>
    <w:rsid w:val="00233C5D"/>
    <w:rsid w:val="00233CF7"/>
    <w:rsid w:val="00233D03"/>
    <w:rsid w:val="00233D09"/>
    <w:rsid w:val="00233D6E"/>
    <w:rsid w:val="00233D78"/>
    <w:rsid w:val="00233E2C"/>
    <w:rsid w:val="00233F91"/>
    <w:rsid w:val="00233FB0"/>
    <w:rsid w:val="00233FC5"/>
    <w:rsid w:val="00234095"/>
    <w:rsid w:val="0023416A"/>
    <w:rsid w:val="002341F6"/>
    <w:rsid w:val="00234225"/>
    <w:rsid w:val="00234228"/>
    <w:rsid w:val="00234298"/>
    <w:rsid w:val="00234318"/>
    <w:rsid w:val="00234369"/>
    <w:rsid w:val="00234371"/>
    <w:rsid w:val="002343F2"/>
    <w:rsid w:val="00234485"/>
    <w:rsid w:val="002344F1"/>
    <w:rsid w:val="002344F6"/>
    <w:rsid w:val="0023450B"/>
    <w:rsid w:val="0023458F"/>
    <w:rsid w:val="00234620"/>
    <w:rsid w:val="0023466B"/>
    <w:rsid w:val="00234748"/>
    <w:rsid w:val="00234777"/>
    <w:rsid w:val="002347B3"/>
    <w:rsid w:val="002347C5"/>
    <w:rsid w:val="002348D5"/>
    <w:rsid w:val="00234910"/>
    <w:rsid w:val="00234927"/>
    <w:rsid w:val="002349B1"/>
    <w:rsid w:val="00234A0F"/>
    <w:rsid w:val="00234A38"/>
    <w:rsid w:val="00234A3F"/>
    <w:rsid w:val="00234A75"/>
    <w:rsid w:val="00234A7A"/>
    <w:rsid w:val="00234A9A"/>
    <w:rsid w:val="00234AF8"/>
    <w:rsid w:val="00234C7E"/>
    <w:rsid w:val="00234D94"/>
    <w:rsid w:val="00234E52"/>
    <w:rsid w:val="00234F7F"/>
    <w:rsid w:val="0023506E"/>
    <w:rsid w:val="00235072"/>
    <w:rsid w:val="00235167"/>
    <w:rsid w:val="00235234"/>
    <w:rsid w:val="0023529B"/>
    <w:rsid w:val="002352CA"/>
    <w:rsid w:val="002352D2"/>
    <w:rsid w:val="002352DA"/>
    <w:rsid w:val="0023540D"/>
    <w:rsid w:val="00235452"/>
    <w:rsid w:val="0023547D"/>
    <w:rsid w:val="00235494"/>
    <w:rsid w:val="002354F6"/>
    <w:rsid w:val="00235524"/>
    <w:rsid w:val="00235619"/>
    <w:rsid w:val="00235665"/>
    <w:rsid w:val="002356B7"/>
    <w:rsid w:val="00235706"/>
    <w:rsid w:val="0023571C"/>
    <w:rsid w:val="002358A3"/>
    <w:rsid w:val="002358E7"/>
    <w:rsid w:val="00235955"/>
    <w:rsid w:val="002359CE"/>
    <w:rsid w:val="00235A17"/>
    <w:rsid w:val="00235A9E"/>
    <w:rsid w:val="00235BA3"/>
    <w:rsid w:val="00235BB9"/>
    <w:rsid w:val="00235C2E"/>
    <w:rsid w:val="00235C39"/>
    <w:rsid w:val="00235C43"/>
    <w:rsid w:val="00235C93"/>
    <w:rsid w:val="00235CC1"/>
    <w:rsid w:val="00235E15"/>
    <w:rsid w:val="00235E46"/>
    <w:rsid w:val="00236010"/>
    <w:rsid w:val="00236034"/>
    <w:rsid w:val="002361C8"/>
    <w:rsid w:val="0023620A"/>
    <w:rsid w:val="002362AC"/>
    <w:rsid w:val="002362CD"/>
    <w:rsid w:val="002362FA"/>
    <w:rsid w:val="00236307"/>
    <w:rsid w:val="00236422"/>
    <w:rsid w:val="00236464"/>
    <w:rsid w:val="00236497"/>
    <w:rsid w:val="002364F9"/>
    <w:rsid w:val="00236550"/>
    <w:rsid w:val="00236590"/>
    <w:rsid w:val="00236614"/>
    <w:rsid w:val="00236876"/>
    <w:rsid w:val="002369E5"/>
    <w:rsid w:val="002369FD"/>
    <w:rsid w:val="00236A08"/>
    <w:rsid w:val="00236A4E"/>
    <w:rsid w:val="00236AAE"/>
    <w:rsid w:val="00236B28"/>
    <w:rsid w:val="00236C88"/>
    <w:rsid w:val="00236C9F"/>
    <w:rsid w:val="00236D0D"/>
    <w:rsid w:val="00236D41"/>
    <w:rsid w:val="00236D66"/>
    <w:rsid w:val="00236DAB"/>
    <w:rsid w:val="00236E1F"/>
    <w:rsid w:val="00236FCA"/>
    <w:rsid w:val="00237007"/>
    <w:rsid w:val="00237090"/>
    <w:rsid w:val="00237248"/>
    <w:rsid w:val="0023726A"/>
    <w:rsid w:val="0023733B"/>
    <w:rsid w:val="00237347"/>
    <w:rsid w:val="00237357"/>
    <w:rsid w:val="002373C4"/>
    <w:rsid w:val="00237402"/>
    <w:rsid w:val="00237444"/>
    <w:rsid w:val="00237594"/>
    <w:rsid w:val="002376E7"/>
    <w:rsid w:val="002376EB"/>
    <w:rsid w:val="00237751"/>
    <w:rsid w:val="0023782E"/>
    <w:rsid w:val="00237933"/>
    <w:rsid w:val="0023797F"/>
    <w:rsid w:val="0023799B"/>
    <w:rsid w:val="00237A68"/>
    <w:rsid w:val="00237AE9"/>
    <w:rsid w:val="00237B2D"/>
    <w:rsid w:val="00237C5D"/>
    <w:rsid w:val="00237C83"/>
    <w:rsid w:val="00237C8E"/>
    <w:rsid w:val="00237C92"/>
    <w:rsid w:val="00237CD3"/>
    <w:rsid w:val="00237D80"/>
    <w:rsid w:val="00237DCC"/>
    <w:rsid w:val="00237E28"/>
    <w:rsid w:val="00237E63"/>
    <w:rsid w:val="00237EF0"/>
    <w:rsid w:val="00237F4D"/>
    <w:rsid w:val="00237F89"/>
    <w:rsid w:val="00237FBB"/>
    <w:rsid w:val="00237FED"/>
    <w:rsid w:val="00237FF6"/>
    <w:rsid w:val="00240020"/>
    <w:rsid w:val="00240035"/>
    <w:rsid w:val="002400C7"/>
    <w:rsid w:val="00240168"/>
    <w:rsid w:val="002404EB"/>
    <w:rsid w:val="002405B3"/>
    <w:rsid w:val="00240773"/>
    <w:rsid w:val="00240898"/>
    <w:rsid w:val="002408C1"/>
    <w:rsid w:val="00240989"/>
    <w:rsid w:val="002409D2"/>
    <w:rsid w:val="002409DE"/>
    <w:rsid w:val="00240A02"/>
    <w:rsid w:val="00240A39"/>
    <w:rsid w:val="00240A98"/>
    <w:rsid w:val="00240AD9"/>
    <w:rsid w:val="00240B39"/>
    <w:rsid w:val="00240B93"/>
    <w:rsid w:val="00240BD0"/>
    <w:rsid w:val="00240CB6"/>
    <w:rsid w:val="00240CBA"/>
    <w:rsid w:val="00240D3E"/>
    <w:rsid w:val="00240E25"/>
    <w:rsid w:val="00240E2D"/>
    <w:rsid w:val="00240EDC"/>
    <w:rsid w:val="00240FA1"/>
    <w:rsid w:val="00240FC6"/>
    <w:rsid w:val="00240FE9"/>
    <w:rsid w:val="00241028"/>
    <w:rsid w:val="00241060"/>
    <w:rsid w:val="0024107C"/>
    <w:rsid w:val="0024108A"/>
    <w:rsid w:val="00241128"/>
    <w:rsid w:val="002411D9"/>
    <w:rsid w:val="002411E5"/>
    <w:rsid w:val="0024122A"/>
    <w:rsid w:val="00241299"/>
    <w:rsid w:val="002412DA"/>
    <w:rsid w:val="0024130D"/>
    <w:rsid w:val="0024134F"/>
    <w:rsid w:val="00241378"/>
    <w:rsid w:val="002413A1"/>
    <w:rsid w:val="00241478"/>
    <w:rsid w:val="002414A8"/>
    <w:rsid w:val="002414EC"/>
    <w:rsid w:val="0024154A"/>
    <w:rsid w:val="002416A1"/>
    <w:rsid w:val="00241709"/>
    <w:rsid w:val="0024180C"/>
    <w:rsid w:val="00241829"/>
    <w:rsid w:val="00241919"/>
    <w:rsid w:val="002419F1"/>
    <w:rsid w:val="00241A3A"/>
    <w:rsid w:val="00241A71"/>
    <w:rsid w:val="00241A77"/>
    <w:rsid w:val="00241A85"/>
    <w:rsid w:val="00241A87"/>
    <w:rsid w:val="00241AA9"/>
    <w:rsid w:val="00241AE9"/>
    <w:rsid w:val="00241B80"/>
    <w:rsid w:val="00241BA3"/>
    <w:rsid w:val="00241C5D"/>
    <w:rsid w:val="00241CD8"/>
    <w:rsid w:val="00241DAD"/>
    <w:rsid w:val="00241E10"/>
    <w:rsid w:val="00241E41"/>
    <w:rsid w:val="00241E50"/>
    <w:rsid w:val="00241E8B"/>
    <w:rsid w:val="00241ED2"/>
    <w:rsid w:val="00242005"/>
    <w:rsid w:val="00242048"/>
    <w:rsid w:val="0024209E"/>
    <w:rsid w:val="002420AF"/>
    <w:rsid w:val="0024222F"/>
    <w:rsid w:val="002422EA"/>
    <w:rsid w:val="00242325"/>
    <w:rsid w:val="00242329"/>
    <w:rsid w:val="0024234D"/>
    <w:rsid w:val="002423CC"/>
    <w:rsid w:val="002423ED"/>
    <w:rsid w:val="00242538"/>
    <w:rsid w:val="00242627"/>
    <w:rsid w:val="00242704"/>
    <w:rsid w:val="00242768"/>
    <w:rsid w:val="00242811"/>
    <w:rsid w:val="0024281A"/>
    <w:rsid w:val="0024287F"/>
    <w:rsid w:val="00242889"/>
    <w:rsid w:val="0024288F"/>
    <w:rsid w:val="002428A2"/>
    <w:rsid w:val="00242908"/>
    <w:rsid w:val="00242AC0"/>
    <w:rsid w:val="00242B94"/>
    <w:rsid w:val="00242C13"/>
    <w:rsid w:val="00242C22"/>
    <w:rsid w:val="00242CE6"/>
    <w:rsid w:val="00242D58"/>
    <w:rsid w:val="00242E5F"/>
    <w:rsid w:val="00242E92"/>
    <w:rsid w:val="00242EDF"/>
    <w:rsid w:val="00242F70"/>
    <w:rsid w:val="00243148"/>
    <w:rsid w:val="00243163"/>
    <w:rsid w:val="002432A5"/>
    <w:rsid w:val="002433B3"/>
    <w:rsid w:val="0024342D"/>
    <w:rsid w:val="00243593"/>
    <w:rsid w:val="002435A5"/>
    <w:rsid w:val="00243607"/>
    <w:rsid w:val="0024360D"/>
    <w:rsid w:val="00243658"/>
    <w:rsid w:val="00243662"/>
    <w:rsid w:val="002436D8"/>
    <w:rsid w:val="002436FE"/>
    <w:rsid w:val="00243788"/>
    <w:rsid w:val="00243813"/>
    <w:rsid w:val="00243867"/>
    <w:rsid w:val="00243904"/>
    <w:rsid w:val="0024394F"/>
    <w:rsid w:val="00243965"/>
    <w:rsid w:val="00243A25"/>
    <w:rsid w:val="00243B13"/>
    <w:rsid w:val="00243B18"/>
    <w:rsid w:val="00243B3D"/>
    <w:rsid w:val="00243BAB"/>
    <w:rsid w:val="00243BB8"/>
    <w:rsid w:val="00243BFD"/>
    <w:rsid w:val="00243C0D"/>
    <w:rsid w:val="00243C11"/>
    <w:rsid w:val="00243C4D"/>
    <w:rsid w:val="00243CF8"/>
    <w:rsid w:val="00243D4D"/>
    <w:rsid w:val="00243D9A"/>
    <w:rsid w:val="00243DD6"/>
    <w:rsid w:val="00243DDC"/>
    <w:rsid w:val="00243E04"/>
    <w:rsid w:val="00243E86"/>
    <w:rsid w:val="00243F55"/>
    <w:rsid w:val="00243FB1"/>
    <w:rsid w:val="00244017"/>
    <w:rsid w:val="00244060"/>
    <w:rsid w:val="00244158"/>
    <w:rsid w:val="0024417C"/>
    <w:rsid w:val="00244234"/>
    <w:rsid w:val="0024425E"/>
    <w:rsid w:val="002442C1"/>
    <w:rsid w:val="002442FE"/>
    <w:rsid w:val="0024430E"/>
    <w:rsid w:val="00244392"/>
    <w:rsid w:val="002443B0"/>
    <w:rsid w:val="002443F1"/>
    <w:rsid w:val="002444B7"/>
    <w:rsid w:val="002444C1"/>
    <w:rsid w:val="00244692"/>
    <w:rsid w:val="002447B9"/>
    <w:rsid w:val="002447EB"/>
    <w:rsid w:val="00244994"/>
    <w:rsid w:val="00244AB6"/>
    <w:rsid w:val="00244ABE"/>
    <w:rsid w:val="00244AD3"/>
    <w:rsid w:val="00244AE5"/>
    <w:rsid w:val="00244B6F"/>
    <w:rsid w:val="00244C81"/>
    <w:rsid w:val="00244CC5"/>
    <w:rsid w:val="00244D28"/>
    <w:rsid w:val="00244D5B"/>
    <w:rsid w:val="00244D9D"/>
    <w:rsid w:val="00244E83"/>
    <w:rsid w:val="00244EBA"/>
    <w:rsid w:val="00244F27"/>
    <w:rsid w:val="00244F43"/>
    <w:rsid w:val="00244F69"/>
    <w:rsid w:val="00245057"/>
    <w:rsid w:val="002450FE"/>
    <w:rsid w:val="00245153"/>
    <w:rsid w:val="002451A1"/>
    <w:rsid w:val="002452C9"/>
    <w:rsid w:val="002452FD"/>
    <w:rsid w:val="002453B4"/>
    <w:rsid w:val="00245405"/>
    <w:rsid w:val="00245648"/>
    <w:rsid w:val="0024569D"/>
    <w:rsid w:val="00245754"/>
    <w:rsid w:val="00245785"/>
    <w:rsid w:val="00245796"/>
    <w:rsid w:val="002457A3"/>
    <w:rsid w:val="002457E3"/>
    <w:rsid w:val="0024582A"/>
    <w:rsid w:val="002458BA"/>
    <w:rsid w:val="002458DA"/>
    <w:rsid w:val="002458E0"/>
    <w:rsid w:val="002458E7"/>
    <w:rsid w:val="002458E9"/>
    <w:rsid w:val="00245920"/>
    <w:rsid w:val="00245989"/>
    <w:rsid w:val="00245993"/>
    <w:rsid w:val="002459D5"/>
    <w:rsid w:val="00245AE0"/>
    <w:rsid w:val="00245B4F"/>
    <w:rsid w:val="00245BC6"/>
    <w:rsid w:val="00245BE0"/>
    <w:rsid w:val="00245BF7"/>
    <w:rsid w:val="00245D60"/>
    <w:rsid w:val="00245DBD"/>
    <w:rsid w:val="00245EE8"/>
    <w:rsid w:val="00246061"/>
    <w:rsid w:val="00246088"/>
    <w:rsid w:val="00246141"/>
    <w:rsid w:val="002461B4"/>
    <w:rsid w:val="002462B7"/>
    <w:rsid w:val="002462EF"/>
    <w:rsid w:val="0024631A"/>
    <w:rsid w:val="00246321"/>
    <w:rsid w:val="00246361"/>
    <w:rsid w:val="00246429"/>
    <w:rsid w:val="00246443"/>
    <w:rsid w:val="00246446"/>
    <w:rsid w:val="002464F4"/>
    <w:rsid w:val="0024651F"/>
    <w:rsid w:val="0024664B"/>
    <w:rsid w:val="00246685"/>
    <w:rsid w:val="002466DB"/>
    <w:rsid w:val="0024670F"/>
    <w:rsid w:val="00246718"/>
    <w:rsid w:val="00246803"/>
    <w:rsid w:val="0024689F"/>
    <w:rsid w:val="002468B0"/>
    <w:rsid w:val="00246900"/>
    <w:rsid w:val="00246957"/>
    <w:rsid w:val="002469F6"/>
    <w:rsid w:val="00246A9E"/>
    <w:rsid w:val="00246B0E"/>
    <w:rsid w:val="00246BF3"/>
    <w:rsid w:val="00246C42"/>
    <w:rsid w:val="00246CA6"/>
    <w:rsid w:val="00246CC5"/>
    <w:rsid w:val="00246CF3"/>
    <w:rsid w:val="00246D4E"/>
    <w:rsid w:val="00246D63"/>
    <w:rsid w:val="00246D7A"/>
    <w:rsid w:val="00246D7F"/>
    <w:rsid w:val="00246FE3"/>
    <w:rsid w:val="00246FEA"/>
    <w:rsid w:val="00246FF1"/>
    <w:rsid w:val="00247021"/>
    <w:rsid w:val="002470FA"/>
    <w:rsid w:val="00247143"/>
    <w:rsid w:val="00247235"/>
    <w:rsid w:val="00247344"/>
    <w:rsid w:val="00247425"/>
    <w:rsid w:val="0024750B"/>
    <w:rsid w:val="002475F9"/>
    <w:rsid w:val="00247602"/>
    <w:rsid w:val="0024760F"/>
    <w:rsid w:val="00247762"/>
    <w:rsid w:val="00247815"/>
    <w:rsid w:val="00247883"/>
    <w:rsid w:val="00247913"/>
    <w:rsid w:val="00247947"/>
    <w:rsid w:val="00247A15"/>
    <w:rsid w:val="00247AB1"/>
    <w:rsid w:val="00247AD4"/>
    <w:rsid w:val="00247C44"/>
    <w:rsid w:val="00247C85"/>
    <w:rsid w:val="00247CD3"/>
    <w:rsid w:val="00247D1B"/>
    <w:rsid w:val="00247D71"/>
    <w:rsid w:val="00247D88"/>
    <w:rsid w:val="00247DAC"/>
    <w:rsid w:val="00247DBA"/>
    <w:rsid w:val="00247DDA"/>
    <w:rsid w:val="00247EE5"/>
    <w:rsid w:val="00247EF2"/>
    <w:rsid w:val="00247F03"/>
    <w:rsid w:val="00247F58"/>
    <w:rsid w:val="00247F6C"/>
    <w:rsid w:val="00247FAC"/>
    <w:rsid w:val="00247FDA"/>
    <w:rsid w:val="00250027"/>
    <w:rsid w:val="0025012F"/>
    <w:rsid w:val="002501FA"/>
    <w:rsid w:val="00250292"/>
    <w:rsid w:val="002502E4"/>
    <w:rsid w:val="00250347"/>
    <w:rsid w:val="002503E8"/>
    <w:rsid w:val="00250420"/>
    <w:rsid w:val="0025044D"/>
    <w:rsid w:val="00250456"/>
    <w:rsid w:val="002504D5"/>
    <w:rsid w:val="00250606"/>
    <w:rsid w:val="0025065E"/>
    <w:rsid w:val="0025076F"/>
    <w:rsid w:val="002507AB"/>
    <w:rsid w:val="002507E3"/>
    <w:rsid w:val="00250838"/>
    <w:rsid w:val="00250869"/>
    <w:rsid w:val="00250880"/>
    <w:rsid w:val="00250897"/>
    <w:rsid w:val="0025096B"/>
    <w:rsid w:val="0025099A"/>
    <w:rsid w:val="00250A2C"/>
    <w:rsid w:val="00250A3C"/>
    <w:rsid w:val="00250ADB"/>
    <w:rsid w:val="00250B67"/>
    <w:rsid w:val="00250BB4"/>
    <w:rsid w:val="00250BC6"/>
    <w:rsid w:val="00250C3B"/>
    <w:rsid w:val="00250C9F"/>
    <w:rsid w:val="00250DEA"/>
    <w:rsid w:val="00250E5F"/>
    <w:rsid w:val="00250E97"/>
    <w:rsid w:val="00250F7D"/>
    <w:rsid w:val="00250F80"/>
    <w:rsid w:val="00250FCF"/>
    <w:rsid w:val="00250FF9"/>
    <w:rsid w:val="002510DA"/>
    <w:rsid w:val="00251111"/>
    <w:rsid w:val="00251250"/>
    <w:rsid w:val="00251319"/>
    <w:rsid w:val="0025131D"/>
    <w:rsid w:val="00251346"/>
    <w:rsid w:val="002513AD"/>
    <w:rsid w:val="00251467"/>
    <w:rsid w:val="002515B6"/>
    <w:rsid w:val="00251870"/>
    <w:rsid w:val="002518E5"/>
    <w:rsid w:val="00251902"/>
    <w:rsid w:val="0025198E"/>
    <w:rsid w:val="002519B1"/>
    <w:rsid w:val="002519C5"/>
    <w:rsid w:val="002519FC"/>
    <w:rsid w:val="00251A6C"/>
    <w:rsid w:val="00251ABA"/>
    <w:rsid w:val="00251AF6"/>
    <w:rsid w:val="00251B1E"/>
    <w:rsid w:val="00251B25"/>
    <w:rsid w:val="00251B7E"/>
    <w:rsid w:val="00251C0C"/>
    <w:rsid w:val="00251C24"/>
    <w:rsid w:val="00251C72"/>
    <w:rsid w:val="00251D15"/>
    <w:rsid w:val="00251D19"/>
    <w:rsid w:val="00251D39"/>
    <w:rsid w:val="00251D7C"/>
    <w:rsid w:val="0025209F"/>
    <w:rsid w:val="002521B2"/>
    <w:rsid w:val="0025222A"/>
    <w:rsid w:val="002522C1"/>
    <w:rsid w:val="00252585"/>
    <w:rsid w:val="00252633"/>
    <w:rsid w:val="002526D5"/>
    <w:rsid w:val="0025275E"/>
    <w:rsid w:val="002527A0"/>
    <w:rsid w:val="002527A6"/>
    <w:rsid w:val="002527D5"/>
    <w:rsid w:val="002528BD"/>
    <w:rsid w:val="00252995"/>
    <w:rsid w:val="00252AEA"/>
    <w:rsid w:val="00252B6C"/>
    <w:rsid w:val="00252BD6"/>
    <w:rsid w:val="00252C25"/>
    <w:rsid w:val="00252DAF"/>
    <w:rsid w:val="00252DF5"/>
    <w:rsid w:val="00252E4F"/>
    <w:rsid w:val="00252E55"/>
    <w:rsid w:val="00252E6F"/>
    <w:rsid w:val="0025301B"/>
    <w:rsid w:val="002530A8"/>
    <w:rsid w:val="002530F6"/>
    <w:rsid w:val="002531CE"/>
    <w:rsid w:val="002531EA"/>
    <w:rsid w:val="00253288"/>
    <w:rsid w:val="00253330"/>
    <w:rsid w:val="0025339E"/>
    <w:rsid w:val="002533B1"/>
    <w:rsid w:val="002533BB"/>
    <w:rsid w:val="00253409"/>
    <w:rsid w:val="00253414"/>
    <w:rsid w:val="0025341A"/>
    <w:rsid w:val="00253591"/>
    <w:rsid w:val="00253695"/>
    <w:rsid w:val="002536CF"/>
    <w:rsid w:val="00253724"/>
    <w:rsid w:val="002537A9"/>
    <w:rsid w:val="002537C7"/>
    <w:rsid w:val="0025383C"/>
    <w:rsid w:val="00253840"/>
    <w:rsid w:val="002538A3"/>
    <w:rsid w:val="002538B8"/>
    <w:rsid w:val="00253A5B"/>
    <w:rsid w:val="00253B20"/>
    <w:rsid w:val="00253B2B"/>
    <w:rsid w:val="00253BF7"/>
    <w:rsid w:val="00253C36"/>
    <w:rsid w:val="00253C53"/>
    <w:rsid w:val="00253C5A"/>
    <w:rsid w:val="00253C8F"/>
    <w:rsid w:val="00253D6B"/>
    <w:rsid w:val="00253E19"/>
    <w:rsid w:val="00253E47"/>
    <w:rsid w:val="00254067"/>
    <w:rsid w:val="0025406B"/>
    <w:rsid w:val="00254091"/>
    <w:rsid w:val="002540AB"/>
    <w:rsid w:val="002540E4"/>
    <w:rsid w:val="00254187"/>
    <w:rsid w:val="0025418A"/>
    <w:rsid w:val="002542B2"/>
    <w:rsid w:val="00254333"/>
    <w:rsid w:val="00254364"/>
    <w:rsid w:val="00254397"/>
    <w:rsid w:val="002543A3"/>
    <w:rsid w:val="00254423"/>
    <w:rsid w:val="00254497"/>
    <w:rsid w:val="002544A8"/>
    <w:rsid w:val="002544AF"/>
    <w:rsid w:val="002544E4"/>
    <w:rsid w:val="0025454F"/>
    <w:rsid w:val="002545C7"/>
    <w:rsid w:val="00254800"/>
    <w:rsid w:val="00254822"/>
    <w:rsid w:val="00254831"/>
    <w:rsid w:val="00254834"/>
    <w:rsid w:val="00254887"/>
    <w:rsid w:val="0025489B"/>
    <w:rsid w:val="002548EF"/>
    <w:rsid w:val="00254943"/>
    <w:rsid w:val="00254A16"/>
    <w:rsid w:val="00254A72"/>
    <w:rsid w:val="00254B84"/>
    <w:rsid w:val="00254BF3"/>
    <w:rsid w:val="00254D3A"/>
    <w:rsid w:val="00254D74"/>
    <w:rsid w:val="00254E20"/>
    <w:rsid w:val="00254EC2"/>
    <w:rsid w:val="00254F3B"/>
    <w:rsid w:val="00254F3E"/>
    <w:rsid w:val="00254FEF"/>
    <w:rsid w:val="0025518D"/>
    <w:rsid w:val="002551E9"/>
    <w:rsid w:val="00255211"/>
    <w:rsid w:val="00255283"/>
    <w:rsid w:val="0025530B"/>
    <w:rsid w:val="00255338"/>
    <w:rsid w:val="00255491"/>
    <w:rsid w:val="002554B3"/>
    <w:rsid w:val="002554BA"/>
    <w:rsid w:val="00255613"/>
    <w:rsid w:val="00255688"/>
    <w:rsid w:val="0025569D"/>
    <w:rsid w:val="002556AE"/>
    <w:rsid w:val="002556FA"/>
    <w:rsid w:val="002558AC"/>
    <w:rsid w:val="00255B99"/>
    <w:rsid w:val="00255C0B"/>
    <w:rsid w:val="00255C1A"/>
    <w:rsid w:val="00255C32"/>
    <w:rsid w:val="00255D3D"/>
    <w:rsid w:val="00255E20"/>
    <w:rsid w:val="00255EB7"/>
    <w:rsid w:val="00255ECF"/>
    <w:rsid w:val="00255EDB"/>
    <w:rsid w:val="00255F39"/>
    <w:rsid w:val="00255FFC"/>
    <w:rsid w:val="00256125"/>
    <w:rsid w:val="0025619E"/>
    <w:rsid w:val="00256320"/>
    <w:rsid w:val="0025632A"/>
    <w:rsid w:val="0025634B"/>
    <w:rsid w:val="002563CD"/>
    <w:rsid w:val="00256551"/>
    <w:rsid w:val="002565A8"/>
    <w:rsid w:val="0025666B"/>
    <w:rsid w:val="0025680D"/>
    <w:rsid w:val="0025680E"/>
    <w:rsid w:val="0025683E"/>
    <w:rsid w:val="0025683F"/>
    <w:rsid w:val="00256883"/>
    <w:rsid w:val="00256917"/>
    <w:rsid w:val="0025698F"/>
    <w:rsid w:val="002569DE"/>
    <w:rsid w:val="00256A89"/>
    <w:rsid w:val="00256B3E"/>
    <w:rsid w:val="00256BAA"/>
    <w:rsid w:val="00256BD8"/>
    <w:rsid w:val="00256C09"/>
    <w:rsid w:val="00256C3E"/>
    <w:rsid w:val="00256CF5"/>
    <w:rsid w:val="00256CF7"/>
    <w:rsid w:val="00256D51"/>
    <w:rsid w:val="00256E3A"/>
    <w:rsid w:val="00256E9C"/>
    <w:rsid w:val="00256FAF"/>
    <w:rsid w:val="00257065"/>
    <w:rsid w:val="0025707D"/>
    <w:rsid w:val="00257131"/>
    <w:rsid w:val="002571D6"/>
    <w:rsid w:val="00257200"/>
    <w:rsid w:val="0025723C"/>
    <w:rsid w:val="0025724B"/>
    <w:rsid w:val="0025728A"/>
    <w:rsid w:val="00257306"/>
    <w:rsid w:val="00257320"/>
    <w:rsid w:val="00257323"/>
    <w:rsid w:val="00257379"/>
    <w:rsid w:val="00257381"/>
    <w:rsid w:val="00257414"/>
    <w:rsid w:val="0025742E"/>
    <w:rsid w:val="002574F0"/>
    <w:rsid w:val="002574F9"/>
    <w:rsid w:val="00257553"/>
    <w:rsid w:val="0025758B"/>
    <w:rsid w:val="002575B1"/>
    <w:rsid w:val="002575B8"/>
    <w:rsid w:val="00257689"/>
    <w:rsid w:val="0025768B"/>
    <w:rsid w:val="002576BA"/>
    <w:rsid w:val="002576BE"/>
    <w:rsid w:val="002576D0"/>
    <w:rsid w:val="002576E4"/>
    <w:rsid w:val="0025778E"/>
    <w:rsid w:val="002577E2"/>
    <w:rsid w:val="00257804"/>
    <w:rsid w:val="00257830"/>
    <w:rsid w:val="0025785A"/>
    <w:rsid w:val="00257887"/>
    <w:rsid w:val="002578A8"/>
    <w:rsid w:val="002578C1"/>
    <w:rsid w:val="00257961"/>
    <w:rsid w:val="0025798D"/>
    <w:rsid w:val="00257C1A"/>
    <w:rsid w:val="00257C53"/>
    <w:rsid w:val="00257D50"/>
    <w:rsid w:val="00257D61"/>
    <w:rsid w:val="00257E66"/>
    <w:rsid w:val="00257E97"/>
    <w:rsid w:val="00257FDE"/>
    <w:rsid w:val="002602E6"/>
    <w:rsid w:val="00260309"/>
    <w:rsid w:val="0026035C"/>
    <w:rsid w:val="00260520"/>
    <w:rsid w:val="002605CC"/>
    <w:rsid w:val="002605FB"/>
    <w:rsid w:val="0026062B"/>
    <w:rsid w:val="002606C1"/>
    <w:rsid w:val="0026079F"/>
    <w:rsid w:val="00260893"/>
    <w:rsid w:val="002608D5"/>
    <w:rsid w:val="00260933"/>
    <w:rsid w:val="0026093B"/>
    <w:rsid w:val="00260942"/>
    <w:rsid w:val="00260A68"/>
    <w:rsid w:val="00260B16"/>
    <w:rsid w:val="00260B5D"/>
    <w:rsid w:val="00260B81"/>
    <w:rsid w:val="00260C31"/>
    <w:rsid w:val="00260C4E"/>
    <w:rsid w:val="00260D00"/>
    <w:rsid w:val="00260D42"/>
    <w:rsid w:val="00260F1C"/>
    <w:rsid w:val="00260F5D"/>
    <w:rsid w:val="00260FE0"/>
    <w:rsid w:val="00261045"/>
    <w:rsid w:val="0026104F"/>
    <w:rsid w:val="00261089"/>
    <w:rsid w:val="002610B9"/>
    <w:rsid w:val="00261112"/>
    <w:rsid w:val="002611BE"/>
    <w:rsid w:val="002612CF"/>
    <w:rsid w:val="00261358"/>
    <w:rsid w:val="002613BF"/>
    <w:rsid w:val="002613FB"/>
    <w:rsid w:val="00261420"/>
    <w:rsid w:val="0026149D"/>
    <w:rsid w:val="002614B5"/>
    <w:rsid w:val="002615B8"/>
    <w:rsid w:val="002615DB"/>
    <w:rsid w:val="002616C4"/>
    <w:rsid w:val="00261758"/>
    <w:rsid w:val="00261790"/>
    <w:rsid w:val="002617EB"/>
    <w:rsid w:val="0026182A"/>
    <w:rsid w:val="0026182F"/>
    <w:rsid w:val="00261851"/>
    <w:rsid w:val="00261886"/>
    <w:rsid w:val="002618B9"/>
    <w:rsid w:val="002618CF"/>
    <w:rsid w:val="0026199B"/>
    <w:rsid w:val="002619EF"/>
    <w:rsid w:val="00261AD4"/>
    <w:rsid w:val="00261B26"/>
    <w:rsid w:val="00261C0A"/>
    <w:rsid w:val="00261C14"/>
    <w:rsid w:val="00261C3D"/>
    <w:rsid w:val="00261C3E"/>
    <w:rsid w:val="00261C51"/>
    <w:rsid w:val="00261C60"/>
    <w:rsid w:val="00261C87"/>
    <w:rsid w:val="00261E2B"/>
    <w:rsid w:val="00261E8B"/>
    <w:rsid w:val="00261F28"/>
    <w:rsid w:val="00262020"/>
    <w:rsid w:val="00262065"/>
    <w:rsid w:val="002620AB"/>
    <w:rsid w:val="002620EF"/>
    <w:rsid w:val="00262166"/>
    <w:rsid w:val="002621A7"/>
    <w:rsid w:val="00262261"/>
    <w:rsid w:val="00262277"/>
    <w:rsid w:val="00262315"/>
    <w:rsid w:val="002623C3"/>
    <w:rsid w:val="0026240F"/>
    <w:rsid w:val="002624B9"/>
    <w:rsid w:val="0026250A"/>
    <w:rsid w:val="00262564"/>
    <w:rsid w:val="00262680"/>
    <w:rsid w:val="00262687"/>
    <w:rsid w:val="0026268C"/>
    <w:rsid w:val="0026294C"/>
    <w:rsid w:val="00262997"/>
    <w:rsid w:val="00262ADE"/>
    <w:rsid w:val="00262B25"/>
    <w:rsid w:val="00262C02"/>
    <w:rsid w:val="00262C88"/>
    <w:rsid w:val="00262CF5"/>
    <w:rsid w:val="00262D8E"/>
    <w:rsid w:val="00262F0C"/>
    <w:rsid w:val="00262F45"/>
    <w:rsid w:val="00263027"/>
    <w:rsid w:val="00263044"/>
    <w:rsid w:val="002630C9"/>
    <w:rsid w:val="002630DF"/>
    <w:rsid w:val="0026318E"/>
    <w:rsid w:val="002631AA"/>
    <w:rsid w:val="002631CA"/>
    <w:rsid w:val="002631EC"/>
    <w:rsid w:val="00263231"/>
    <w:rsid w:val="0026323E"/>
    <w:rsid w:val="002632DA"/>
    <w:rsid w:val="002632FD"/>
    <w:rsid w:val="00263311"/>
    <w:rsid w:val="0026343E"/>
    <w:rsid w:val="002635E1"/>
    <w:rsid w:val="00263671"/>
    <w:rsid w:val="002636EC"/>
    <w:rsid w:val="0026371D"/>
    <w:rsid w:val="00263772"/>
    <w:rsid w:val="0026379D"/>
    <w:rsid w:val="00263949"/>
    <w:rsid w:val="002639C9"/>
    <w:rsid w:val="00263A56"/>
    <w:rsid w:val="00263A5F"/>
    <w:rsid w:val="00263A70"/>
    <w:rsid w:val="00263B7A"/>
    <w:rsid w:val="00263CB0"/>
    <w:rsid w:val="00263CC8"/>
    <w:rsid w:val="00263CD2"/>
    <w:rsid w:val="00263D50"/>
    <w:rsid w:val="00263E9E"/>
    <w:rsid w:val="00263ED0"/>
    <w:rsid w:val="00263F11"/>
    <w:rsid w:val="00263F73"/>
    <w:rsid w:val="00263F9C"/>
    <w:rsid w:val="00264083"/>
    <w:rsid w:val="002640CF"/>
    <w:rsid w:val="002640D7"/>
    <w:rsid w:val="002641BD"/>
    <w:rsid w:val="002641EB"/>
    <w:rsid w:val="002641FB"/>
    <w:rsid w:val="0026439B"/>
    <w:rsid w:val="002643DB"/>
    <w:rsid w:val="0026440A"/>
    <w:rsid w:val="00264441"/>
    <w:rsid w:val="002644B7"/>
    <w:rsid w:val="00264582"/>
    <w:rsid w:val="002645D9"/>
    <w:rsid w:val="00264675"/>
    <w:rsid w:val="002646BE"/>
    <w:rsid w:val="00264725"/>
    <w:rsid w:val="002647B9"/>
    <w:rsid w:val="00264893"/>
    <w:rsid w:val="00264926"/>
    <w:rsid w:val="002649D3"/>
    <w:rsid w:val="002649D9"/>
    <w:rsid w:val="00264A47"/>
    <w:rsid w:val="00264A4E"/>
    <w:rsid w:val="00264AEC"/>
    <w:rsid w:val="00264B58"/>
    <w:rsid w:val="00264B96"/>
    <w:rsid w:val="00264BD7"/>
    <w:rsid w:val="00264BF7"/>
    <w:rsid w:val="00264C8A"/>
    <w:rsid w:val="00264C9F"/>
    <w:rsid w:val="00264CC8"/>
    <w:rsid w:val="00264D3B"/>
    <w:rsid w:val="00264D81"/>
    <w:rsid w:val="00264DA7"/>
    <w:rsid w:val="00264E5E"/>
    <w:rsid w:val="00264E6B"/>
    <w:rsid w:val="00264FC8"/>
    <w:rsid w:val="00264FF2"/>
    <w:rsid w:val="0026500B"/>
    <w:rsid w:val="00265019"/>
    <w:rsid w:val="00265048"/>
    <w:rsid w:val="0026505D"/>
    <w:rsid w:val="0026508C"/>
    <w:rsid w:val="00265280"/>
    <w:rsid w:val="00265361"/>
    <w:rsid w:val="0026536B"/>
    <w:rsid w:val="002653A2"/>
    <w:rsid w:val="002653BB"/>
    <w:rsid w:val="002653EB"/>
    <w:rsid w:val="00265487"/>
    <w:rsid w:val="00265551"/>
    <w:rsid w:val="0026556B"/>
    <w:rsid w:val="0026559C"/>
    <w:rsid w:val="0026571D"/>
    <w:rsid w:val="0026571E"/>
    <w:rsid w:val="002658A4"/>
    <w:rsid w:val="002659A9"/>
    <w:rsid w:val="002659AD"/>
    <w:rsid w:val="00265A2E"/>
    <w:rsid w:val="00265ACF"/>
    <w:rsid w:val="00265B02"/>
    <w:rsid w:val="00265B38"/>
    <w:rsid w:val="00265B4B"/>
    <w:rsid w:val="00265C36"/>
    <w:rsid w:val="00265D49"/>
    <w:rsid w:val="00265D70"/>
    <w:rsid w:val="00265D7F"/>
    <w:rsid w:val="00265D9E"/>
    <w:rsid w:val="00265E8A"/>
    <w:rsid w:val="00265FA7"/>
    <w:rsid w:val="00265FAE"/>
    <w:rsid w:val="00266015"/>
    <w:rsid w:val="00266038"/>
    <w:rsid w:val="00266046"/>
    <w:rsid w:val="002660E4"/>
    <w:rsid w:val="002660FE"/>
    <w:rsid w:val="00266138"/>
    <w:rsid w:val="0026616D"/>
    <w:rsid w:val="00266262"/>
    <w:rsid w:val="00266280"/>
    <w:rsid w:val="0026630F"/>
    <w:rsid w:val="00266312"/>
    <w:rsid w:val="00266346"/>
    <w:rsid w:val="0026637F"/>
    <w:rsid w:val="002663D7"/>
    <w:rsid w:val="0026641E"/>
    <w:rsid w:val="002664D3"/>
    <w:rsid w:val="0026651E"/>
    <w:rsid w:val="0026658D"/>
    <w:rsid w:val="002665D2"/>
    <w:rsid w:val="002665EA"/>
    <w:rsid w:val="0026668F"/>
    <w:rsid w:val="002666D6"/>
    <w:rsid w:val="00266713"/>
    <w:rsid w:val="00266743"/>
    <w:rsid w:val="0026679F"/>
    <w:rsid w:val="0026688F"/>
    <w:rsid w:val="002668BC"/>
    <w:rsid w:val="002668DE"/>
    <w:rsid w:val="00266A22"/>
    <w:rsid w:val="00266A2A"/>
    <w:rsid w:val="00266A5C"/>
    <w:rsid w:val="00266A9C"/>
    <w:rsid w:val="00266B32"/>
    <w:rsid w:val="00266C62"/>
    <w:rsid w:val="00266CA2"/>
    <w:rsid w:val="00266CFD"/>
    <w:rsid w:val="00266D5E"/>
    <w:rsid w:val="00266DAA"/>
    <w:rsid w:val="00266DFF"/>
    <w:rsid w:val="00266E9E"/>
    <w:rsid w:val="00266ECC"/>
    <w:rsid w:val="00266FA3"/>
    <w:rsid w:val="002670FA"/>
    <w:rsid w:val="0026713A"/>
    <w:rsid w:val="002671CF"/>
    <w:rsid w:val="00267214"/>
    <w:rsid w:val="00267219"/>
    <w:rsid w:val="0026721E"/>
    <w:rsid w:val="00267365"/>
    <w:rsid w:val="00267460"/>
    <w:rsid w:val="002674BF"/>
    <w:rsid w:val="002675A7"/>
    <w:rsid w:val="00267604"/>
    <w:rsid w:val="002676B9"/>
    <w:rsid w:val="002676D7"/>
    <w:rsid w:val="0026774F"/>
    <w:rsid w:val="002677F4"/>
    <w:rsid w:val="0026780A"/>
    <w:rsid w:val="00267812"/>
    <w:rsid w:val="00267828"/>
    <w:rsid w:val="002678F4"/>
    <w:rsid w:val="002679AE"/>
    <w:rsid w:val="00267A01"/>
    <w:rsid w:val="00267B85"/>
    <w:rsid w:val="00267C42"/>
    <w:rsid w:val="00267D14"/>
    <w:rsid w:val="00267D82"/>
    <w:rsid w:val="00267E26"/>
    <w:rsid w:val="00270020"/>
    <w:rsid w:val="002701E5"/>
    <w:rsid w:val="002701FC"/>
    <w:rsid w:val="00270246"/>
    <w:rsid w:val="002702DD"/>
    <w:rsid w:val="00270351"/>
    <w:rsid w:val="0027036A"/>
    <w:rsid w:val="002703EA"/>
    <w:rsid w:val="002704F3"/>
    <w:rsid w:val="002705F8"/>
    <w:rsid w:val="00270669"/>
    <w:rsid w:val="00270719"/>
    <w:rsid w:val="002707DF"/>
    <w:rsid w:val="00270856"/>
    <w:rsid w:val="00270965"/>
    <w:rsid w:val="00270966"/>
    <w:rsid w:val="002709A0"/>
    <w:rsid w:val="002709F7"/>
    <w:rsid w:val="00270A04"/>
    <w:rsid w:val="00270AC2"/>
    <w:rsid w:val="00270BC0"/>
    <w:rsid w:val="00270CF2"/>
    <w:rsid w:val="00270D28"/>
    <w:rsid w:val="00270DE5"/>
    <w:rsid w:val="00270F2C"/>
    <w:rsid w:val="00270F6A"/>
    <w:rsid w:val="00271153"/>
    <w:rsid w:val="00271168"/>
    <w:rsid w:val="0027118D"/>
    <w:rsid w:val="002711FC"/>
    <w:rsid w:val="00271204"/>
    <w:rsid w:val="00271299"/>
    <w:rsid w:val="002712B3"/>
    <w:rsid w:val="002712C4"/>
    <w:rsid w:val="0027136B"/>
    <w:rsid w:val="002713F5"/>
    <w:rsid w:val="00271468"/>
    <w:rsid w:val="00271501"/>
    <w:rsid w:val="00271532"/>
    <w:rsid w:val="00271542"/>
    <w:rsid w:val="0027156A"/>
    <w:rsid w:val="00271573"/>
    <w:rsid w:val="00271581"/>
    <w:rsid w:val="002715A7"/>
    <w:rsid w:val="00271646"/>
    <w:rsid w:val="0027171D"/>
    <w:rsid w:val="0027183B"/>
    <w:rsid w:val="00271868"/>
    <w:rsid w:val="002718E4"/>
    <w:rsid w:val="00271940"/>
    <w:rsid w:val="00271B43"/>
    <w:rsid w:val="00271BE1"/>
    <w:rsid w:val="00271D42"/>
    <w:rsid w:val="00271D58"/>
    <w:rsid w:val="00271D63"/>
    <w:rsid w:val="00271DD1"/>
    <w:rsid w:val="00271EEC"/>
    <w:rsid w:val="00271EED"/>
    <w:rsid w:val="00271F68"/>
    <w:rsid w:val="00271FD2"/>
    <w:rsid w:val="00272004"/>
    <w:rsid w:val="002720E7"/>
    <w:rsid w:val="0027210E"/>
    <w:rsid w:val="0027218F"/>
    <w:rsid w:val="002721BC"/>
    <w:rsid w:val="00272233"/>
    <w:rsid w:val="0027224F"/>
    <w:rsid w:val="002722CD"/>
    <w:rsid w:val="002722D4"/>
    <w:rsid w:val="00272343"/>
    <w:rsid w:val="00272347"/>
    <w:rsid w:val="00272364"/>
    <w:rsid w:val="002723DD"/>
    <w:rsid w:val="002724B1"/>
    <w:rsid w:val="002724DD"/>
    <w:rsid w:val="0027258F"/>
    <w:rsid w:val="002725E0"/>
    <w:rsid w:val="0027260D"/>
    <w:rsid w:val="00272684"/>
    <w:rsid w:val="002726BB"/>
    <w:rsid w:val="0027275F"/>
    <w:rsid w:val="00272783"/>
    <w:rsid w:val="002727A2"/>
    <w:rsid w:val="002727F1"/>
    <w:rsid w:val="002727FE"/>
    <w:rsid w:val="00272814"/>
    <w:rsid w:val="0027282E"/>
    <w:rsid w:val="002728B3"/>
    <w:rsid w:val="002728F7"/>
    <w:rsid w:val="002729C8"/>
    <w:rsid w:val="002729D5"/>
    <w:rsid w:val="00272A48"/>
    <w:rsid w:val="00272A59"/>
    <w:rsid w:val="00272ACA"/>
    <w:rsid w:val="00272CE7"/>
    <w:rsid w:val="00272D0B"/>
    <w:rsid w:val="00272D9A"/>
    <w:rsid w:val="00272DF8"/>
    <w:rsid w:val="00272E43"/>
    <w:rsid w:val="00272E69"/>
    <w:rsid w:val="00272EE5"/>
    <w:rsid w:val="00272F74"/>
    <w:rsid w:val="00272F9D"/>
    <w:rsid w:val="00272FD6"/>
    <w:rsid w:val="00273064"/>
    <w:rsid w:val="00273069"/>
    <w:rsid w:val="0027312E"/>
    <w:rsid w:val="0027319C"/>
    <w:rsid w:val="00273203"/>
    <w:rsid w:val="002732CC"/>
    <w:rsid w:val="00273312"/>
    <w:rsid w:val="002733AF"/>
    <w:rsid w:val="002733B1"/>
    <w:rsid w:val="002733B8"/>
    <w:rsid w:val="002733DC"/>
    <w:rsid w:val="00273464"/>
    <w:rsid w:val="002734F4"/>
    <w:rsid w:val="00273584"/>
    <w:rsid w:val="00273623"/>
    <w:rsid w:val="0027362D"/>
    <w:rsid w:val="002736B6"/>
    <w:rsid w:val="002736C7"/>
    <w:rsid w:val="00273938"/>
    <w:rsid w:val="00273A29"/>
    <w:rsid w:val="00273A4A"/>
    <w:rsid w:val="00273A4C"/>
    <w:rsid w:val="00273AA3"/>
    <w:rsid w:val="00273BCD"/>
    <w:rsid w:val="00273BDF"/>
    <w:rsid w:val="00273CB2"/>
    <w:rsid w:val="00273CC2"/>
    <w:rsid w:val="00273EC5"/>
    <w:rsid w:val="002740AD"/>
    <w:rsid w:val="00274196"/>
    <w:rsid w:val="002741B2"/>
    <w:rsid w:val="002741F8"/>
    <w:rsid w:val="002742F4"/>
    <w:rsid w:val="00274356"/>
    <w:rsid w:val="0027438C"/>
    <w:rsid w:val="00274419"/>
    <w:rsid w:val="00274438"/>
    <w:rsid w:val="00274499"/>
    <w:rsid w:val="0027450C"/>
    <w:rsid w:val="00274531"/>
    <w:rsid w:val="0027459A"/>
    <w:rsid w:val="002745C2"/>
    <w:rsid w:val="002745C4"/>
    <w:rsid w:val="002745DD"/>
    <w:rsid w:val="00274625"/>
    <w:rsid w:val="00274666"/>
    <w:rsid w:val="00274669"/>
    <w:rsid w:val="0027467E"/>
    <w:rsid w:val="00274715"/>
    <w:rsid w:val="002747C5"/>
    <w:rsid w:val="002748D6"/>
    <w:rsid w:val="00274994"/>
    <w:rsid w:val="002749E8"/>
    <w:rsid w:val="00274A61"/>
    <w:rsid w:val="00274A88"/>
    <w:rsid w:val="00274ABA"/>
    <w:rsid w:val="00274ADC"/>
    <w:rsid w:val="00274B20"/>
    <w:rsid w:val="00274B5A"/>
    <w:rsid w:val="00274B61"/>
    <w:rsid w:val="00274B94"/>
    <w:rsid w:val="00274C0E"/>
    <w:rsid w:val="00274CFC"/>
    <w:rsid w:val="00274D56"/>
    <w:rsid w:val="00274DFC"/>
    <w:rsid w:val="00274EB3"/>
    <w:rsid w:val="00274F5A"/>
    <w:rsid w:val="0027500B"/>
    <w:rsid w:val="00275112"/>
    <w:rsid w:val="00275116"/>
    <w:rsid w:val="002751B1"/>
    <w:rsid w:val="002751E1"/>
    <w:rsid w:val="002751F1"/>
    <w:rsid w:val="0027524C"/>
    <w:rsid w:val="00275292"/>
    <w:rsid w:val="002753E4"/>
    <w:rsid w:val="002755C5"/>
    <w:rsid w:val="002755D0"/>
    <w:rsid w:val="002755F0"/>
    <w:rsid w:val="00275607"/>
    <w:rsid w:val="0027568C"/>
    <w:rsid w:val="002756C0"/>
    <w:rsid w:val="00275845"/>
    <w:rsid w:val="002758C5"/>
    <w:rsid w:val="002758DB"/>
    <w:rsid w:val="00275959"/>
    <w:rsid w:val="002759B0"/>
    <w:rsid w:val="002759EE"/>
    <w:rsid w:val="00275A23"/>
    <w:rsid w:val="00275A8E"/>
    <w:rsid w:val="00275AB0"/>
    <w:rsid w:val="00275AC5"/>
    <w:rsid w:val="00275C3E"/>
    <w:rsid w:val="00275C44"/>
    <w:rsid w:val="00275CF3"/>
    <w:rsid w:val="00275D27"/>
    <w:rsid w:val="00275E1F"/>
    <w:rsid w:val="00275E43"/>
    <w:rsid w:val="00275E93"/>
    <w:rsid w:val="00275EA7"/>
    <w:rsid w:val="00275F3C"/>
    <w:rsid w:val="00275F4D"/>
    <w:rsid w:val="00275F52"/>
    <w:rsid w:val="00275FA3"/>
    <w:rsid w:val="00275FB8"/>
    <w:rsid w:val="00276075"/>
    <w:rsid w:val="002760B5"/>
    <w:rsid w:val="002760C1"/>
    <w:rsid w:val="002760CC"/>
    <w:rsid w:val="002761C9"/>
    <w:rsid w:val="002761ED"/>
    <w:rsid w:val="00276267"/>
    <w:rsid w:val="00276303"/>
    <w:rsid w:val="002763CD"/>
    <w:rsid w:val="0027649F"/>
    <w:rsid w:val="002764EA"/>
    <w:rsid w:val="002764EE"/>
    <w:rsid w:val="00276538"/>
    <w:rsid w:val="00276582"/>
    <w:rsid w:val="00276583"/>
    <w:rsid w:val="00276588"/>
    <w:rsid w:val="002765BA"/>
    <w:rsid w:val="002765BD"/>
    <w:rsid w:val="00276602"/>
    <w:rsid w:val="00276680"/>
    <w:rsid w:val="0027671C"/>
    <w:rsid w:val="002767CA"/>
    <w:rsid w:val="002768E1"/>
    <w:rsid w:val="00276935"/>
    <w:rsid w:val="002769D9"/>
    <w:rsid w:val="002769F8"/>
    <w:rsid w:val="00276B76"/>
    <w:rsid w:val="00276C0C"/>
    <w:rsid w:val="00276C65"/>
    <w:rsid w:val="00276D11"/>
    <w:rsid w:val="00276D5F"/>
    <w:rsid w:val="00276E88"/>
    <w:rsid w:val="00276EEF"/>
    <w:rsid w:val="00276F93"/>
    <w:rsid w:val="00276FE2"/>
    <w:rsid w:val="00277002"/>
    <w:rsid w:val="0027706E"/>
    <w:rsid w:val="0027713F"/>
    <w:rsid w:val="002771E3"/>
    <w:rsid w:val="0027721E"/>
    <w:rsid w:val="0027724F"/>
    <w:rsid w:val="00277469"/>
    <w:rsid w:val="00277498"/>
    <w:rsid w:val="002774D0"/>
    <w:rsid w:val="00277500"/>
    <w:rsid w:val="00277502"/>
    <w:rsid w:val="00277692"/>
    <w:rsid w:val="002776E5"/>
    <w:rsid w:val="002777C6"/>
    <w:rsid w:val="002777E9"/>
    <w:rsid w:val="00277882"/>
    <w:rsid w:val="00277910"/>
    <w:rsid w:val="0027795E"/>
    <w:rsid w:val="002779EB"/>
    <w:rsid w:val="00277A0E"/>
    <w:rsid w:val="00277AD7"/>
    <w:rsid w:val="00277B35"/>
    <w:rsid w:val="00277BBA"/>
    <w:rsid w:val="00277BC6"/>
    <w:rsid w:val="00277CE8"/>
    <w:rsid w:val="00277D18"/>
    <w:rsid w:val="00277DA6"/>
    <w:rsid w:val="00277DBD"/>
    <w:rsid w:val="00277E04"/>
    <w:rsid w:val="00277E10"/>
    <w:rsid w:val="00277E39"/>
    <w:rsid w:val="00277EC3"/>
    <w:rsid w:val="00277EC9"/>
    <w:rsid w:val="00277ECA"/>
    <w:rsid w:val="00277F37"/>
    <w:rsid w:val="00277F42"/>
    <w:rsid w:val="00277F5C"/>
    <w:rsid w:val="00280062"/>
    <w:rsid w:val="00280126"/>
    <w:rsid w:val="002801A6"/>
    <w:rsid w:val="002801BD"/>
    <w:rsid w:val="002801D0"/>
    <w:rsid w:val="00280208"/>
    <w:rsid w:val="0028020D"/>
    <w:rsid w:val="00280220"/>
    <w:rsid w:val="00280226"/>
    <w:rsid w:val="002802BE"/>
    <w:rsid w:val="002802C2"/>
    <w:rsid w:val="002802C3"/>
    <w:rsid w:val="002803BA"/>
    <w:rsid w:val="002804B8"/>
    <w:rsid w:val="002804E6"/>
    <w:rsid w:val="002804F1"/>
    <w:rsid w:val="00280512"/>
    <w:rsid w:val="002805A6"/>
    <w:rsid w:val="002805AB"/>
    <w:rsid w:val="002805B6"/>
    <w:rsid w:val="0028061A"/>
    <w:rsid w:val="002806FA"/>
    <w:rsid w:val="00280852"/>
    <w:rsid w:val="002808F6"/>
    <w:rsid w:val="00280903"/>
    <w:rsid w:val="00280943"/>
    <w:rsid w:val="00280A1A"/>
    <w:rsid w:val="00280A5D"/>
    <w:rsid w:val="00280C3D"/>
    <w:rsid w:val="00280CA0"/>
    <w:rsid w:val="00280D56"/>
    <w:rsid w:val="00280E26"/>
    <w:rsid w:val="00280E8E"/>
    <w:rsid w:val="00280F07"/>
    <w:rsid w:val="00280FE8"/>
    <w:rsid w:val="00281095"/>
    <w:rsid w:val="002810A1"/>
    <w:rsid w:val="002810FC"/>
    <w:rsid w:val="0028110A"/>
    <w:rsid w:val="0028113B"/>
    <w:rsid w:val="00281251"/>
    <w:rsid w:val="00281345"/>
    <w:rsid w:val="00281471"/>
    <w:rsid w:val="00281477"/>
    <w:rsid w:val="00281482"/>
    <w:rsid w:val="00281497"/>
    <w:rsid w:val="002814DD"/>
    <w:rsid w:val="0028150B"/>
    <w:rsid w:val="002815B5"/>
    <w:rsid w:val="00281644"/>
    <w:rsid w:val="00281656"/>
    <w:rsid w:val="00281676"/>
    <w:rsid w:val="002816BE"/>
    <w:rsid w:val="002816D2"/>
    <w:rsid w:val="002817A3"/>
    <w:rsid w:val="0028185C"/>
    <w:rsid w:val="002818B3"/>
    <w:rsid w:val="002818FB"/>
    <w:rsid w:val="00281906"/>
    <w:rsid w:val="00281907"/>
    <w:rsid w:val="002819A2"/>
    <w:rsid w:val="002819FD"/>
    <w:rsid w:val="00281A6A"/>
    <w:rsid w:val="00281A7A"/>
    <w:rsid w:val="00281B58"/>
    <w:rsid w:val="00281B67"/>
    <w:rsid w:val="00281B7A"/>
    <w:rsid w:val="00281B9E"/>
    <w:rsid w:val="00281C58"/>
    <w:rsid w:val="00281CC6"/>
    <w:rsid w:val="00281D2D"/>
    <w:rsid w:val="00281E5B"/>
    <w:rsid w:val="00281ECE"/>
    <w:rsid w:val="00281ED3"/>
    <w:rsid w:val="00281F2D"/>
    <w:rsid w:val="00281F70"/>
    <w:rsid w:val="00281FB2"/>
    <w:rsid w:val="00281FE4"/>
    <w:rsid w:val="0028204B"/>
    <w:rsid w:val="00282074"/>
    <w:rsid w:val="00282084"/>
    <w:rsid w:val="002820FF"/>
    <w:rsid w:val="00282151"/>
    <w:rsid w:val="00282183"/>
    <w:rsid w:val="00282231"/>
    <w:rsid w:val="0028224B"/>
    <w:rsid w:val="00282277"/>
    <w:rsid w:val="002823C5"/>
    <w:rsid w:val="002824B9"/>
    <w:rsid w:val="0028254D"/>
    <w:rsid w:val="002825A3"/>
    <w:rsid w:val="002825DE"/>
    <w:rsid w:val="00282601"/>
    <w:rsid w:val="002826F9"/>
    <w:rsid w:val="002827E0"/>
    <w:rsid w:val="002827ED"/>
    <w:rsid w:val="002828E9"/>
    <w:rsid w:val="0028296C"/>
    <w:rsid w:val="0028297A"/>
    <w:rsid w:val="002829BF"/>
    <w:rsid w:val="00282AA1"/>
    <w:rsid w:val="00282AF4"/>
    <w:rsid w:val="00282B25"/>
    <w:rsid w:val="00282BD9"/>
    <w:rsid w:val="00282C1B"/>
    <w:rsid w:val="00282C1E"/>
    <w:rsid w:val="00282CFE"/>
    <w:rsid w:val="00282D9D"/>
    <w:rsid w:val="00282F56"/>
    <w:rsid w:val="00283094"/>
    <w:rsid w:val="002831F3"/>
    <w:rsid w:val="00283212"/>
    <w:rsid w:val="0028327D"/>
    <w:rsid w:val="002832B4"/>
    <w:rsid w:val="002832E2"/>
    <w:rsid w:val="0028337D"/>
    <w:rsid w:val="002833B5"/>
    <w:rsid w:val="002833C8"/>
    <w:rsid w:val="002833D9"/>
    <w:rsid w:val="002833DB"/>
    <w:rsid w:val="002836D9"/>
    <w:rsid w:val="002836E9"/>
    <w:rsid w:val="00283712"/>
    <w:rsid w:val="0028379F"/>
    <w:rsid w:val="00283833"/>
    <w:rsid w:val="00283970"/>
    <w:rsid w:val="0028399A"/>
    <w:rsid w:val="002839CD"/>
    <w:rsid w:val="00283A2D"/>
    <w:rsid w:val="00283A58"/>
    <w:rsid w:val="00283AF1"/>
    <w:rsid w:val="00283B04"/>
    <w:rsid w:val="00283B33"/>
    <w:rsid w:val="00283B37"/>
    <w:rsid w:val="00283B76"/>
    <w:rsid w:val="00283BA3"/>
    <w:rsid w:val="00283C18"/>
    <w:rsid w:val="00283C6F"/>
    <w:rsid w:val="00283CB8"/>
    <w:rsid w:val="00283CEA"/>
    <w:rsid w:val="00283D8B"/>
    <w:rsid w:val="00283DA7"/>
    <w:rsid w:val="00283E9C"/>
    <w:rsid w:val="00283ECB"/>
    <w:rsid w:val="00283F89"/>
    <w:rsid w:val="00283FE6"/>
    <w:rsid w:val="002840B7"/>
    <w:rsid w:val="002840D5"/>
    <w:rsid w:val="002841EF"/>
    <w:rsid w:val="002842EB"/>
    <w:rsid w:val="00284394"/>
    <w:rsid w:val="002843B5"/>
    <w:rsid w:val="00284439"/>
    <w:rsid w:val="0028446A"/>
    <w:rsid w:val="00284487"/>
    <w:rsid w:val="00284545"/>
    <w:rsid w:val="0028455F"/>
    <w:rsid w:val="0028468D"/>
    <w:rsid w:val="00284692"/>
    <w:rsid w:val="00284733"/>
    <w:rsid w:val="00284796"/>
    <w:rsid w:val="002847AD"/>
    <w:rsid w:val="002847B3"/>
    <w:rsid w:val="00284A94"/>
    <w:rsid w:val="00284AB7"/>
    <w:rsid w:val="00284B49"/>
    <w:rsid w:val="00284BA1"/>
    <w:rsid w:val="00284BBB"/>
    <w:rsid w:val="00284CBF"/>
    <w:rsid w:val="00284CD3"/>
    <w:rsid w:val="00284D45"/>
    <w:rsid w:val="00284E66"/>
    <w:rsid w:val="00284E6B"/>
    <w:rsid w:val="00284EB8"/>
    <w:rsid w:val="00284EC8"/>
    <w:rsid w:val="00284FB5"/>
    <w:rsid w:val="00285023"/>
    <w:rsid w:val="0028506A"/>
    <w:rsid w:val="002850C4"/>
    <w:rsid w:val="00285189"/>
    <w:rsid w:val="0028528F"/>
    <w:rsid w:val="002852C4"/>
    <w:rsid w:val="002852DE"/>
    <w:rsid w:val="0028532E"/>
    <w:rsid w:val="00285413"/>
    <w:rsid w:val="002854BE"/>
    <w:rsid w:val="00285574"/>
    <w:rsid w:val="00285584"/>
    <w:rsid w:val="00285586"/>
    <w:rsid w:val="002855B7"/>
    <w:rsid w:val="002855BE"/>
    <w:rsid w:val="00285623"/>
    <w:rsid w:val="00285690"/>
    <w:rsid w:val="00285718"/>
    <w:rsid w:val="00285763"/>
    <w:rsid w:val="0028578F"/>
    <w:rsid w:val="002857F6"/>
    <w:rsid w:val="002858BE"/>
    <w:rsid w:val="00285931"/>
    <w:rsid w:val="00285A47"/>
    <w:rsid w:val="00285A6A"/>
    <w:rsid w:val="00285A75"/>
    <w:rsid w:val="00285AE9"/>
    <w:rsid w:val="00285B09"/>
    <w:rsid w:val="00285D75"/>
    <w:rsid w:val="00285DBE"/>
    <w:rsid w:val="00285E4A"/>
    <w:rsid w:val="00285E71"/>
    <w:rsid w:val="00285EB0"/>
    <w:rsid w:val="00285EBC"/>
    <w:rsid w:val="00285F9C"/>
    <w:rsid w:val="00286094"/>
    <w:rsid w:val="00286097"/>
    <w:rsid w:val="002860D8"/>
    <w:rsid w:val="0028611F"/>
    <w:rsid w:val="00286217"/>
    <w:rsid w:val="0028622D"/>
    <w:rsid w:val="002862A7"/>
    <w:rsid w:val="002862E1"/>
    <w:rsid w:val="002862FA"/>
    <w:rsid w:val="00286392"/>
    <w:rsid w:val="00286423"/>
    <w:rsid w:val="0028645A"/>
    <w:rsid w:val="002864B1"/>
    <w:rsid w:val="002864EF"/>
    <w:rsid w:val="00286605"/>
    <w:rsid w:val="0028672E"/>
    <w:rsid w:val="00286801"/>
    <w:rsid w:val="002868F6"/>
    <w:rsid w:val="00286917"/>
    <w:rsid w:val="0028691A"/>
    <w:rsid w:val="002869AE"/>
    <w:rsid w:val="002869DC"/>
    <w:rsid w:val="002869EB"/>
    <w:rsid w:val="00286A14"/>
    <w:rsid w:val="00286BC5"/>
    <w:rsid w:val="00286C17"/>
    <w:rsid w:val="00286C38"/>
    <w:rsid w:val="00286D31"/>
    <w:rsid w:val="00286D33"/>
    <w:rsid w:val="00286D56"/>
    <w:rsid w:val="00286D6C"/>
    <w:rsid w:val="00286E02"/>
    <w:rsid w:val="00286F6A"/>
    <w:rsid w:val="00286F6F"/>
    <w:rsid w:val="00287070"/>
    <w:rsid w:val="00287076"/>
    <w:rsid w:val="002870E2"/>
    <w:rsid w:val="00287126"/>
    <w:rsid w:val="00287135"/>
    <w:rsid w:val="002871C6"/>
    <w:rsid w:val="002871DA"/>
    <w:rsid w:val="00287375"/>
    <w:rsid w:val="00287381"/>
    <w:rsid w:val="00287397"/>
    <w:rsid w:val="00287437"/>
    <w:rsid w:val="0028744D"/>
    <w:rsid w:val="002874A5"/>
    <w:rsid w:val="002874FC"/>
    <w:rsid w:val="00287572"/>
    <w:rsid w:val="002875B6"/>
    <w:rsid w:val="002875BB"/>
    <w:rsid w:val="00287688"/>
    <w:rsid w:val="00287697"/>
    <w:rsid w:val="002876A9"/>
    <w:rsid w:val="002876FA"/>
    <w:rsid w:val="00287880"/>
    <w:rsid w:val="002878DB"/>
    <w:rsid w:val="00287961"/>
    <w:rsid w:val="0028797C"/>
    <w:rsid w:val="002879C8"/>
    <w:rsid w:val="00287B10"/>
    <w:rsid w:val="00287B71"/>
    <w:rsid w:val="00287B99"/>
    <w:rsid w:val="00287BE2"/>
    <w:rsid w:val="00287C57"/>
    <w:rsid w:val="00287C85"/>
    <w:rsid w:val="00287F7B"/>
    <w:rsid w:val="00287FB0"/>
    <w:rsid w:val="00287FFB"/>
    <w:rsid w:val="00290017"/>
    <w:rsid w:val="002900A4"/>
    <w:rsid w:val="002900FC"/>
    <w:rsid w:val="0029012C"/>
    <w:rsid w:val="002901A6"/>
    <w:rsid w:val="00290302"/>
    <w:rsid w:val="00290309"/>
    <w:rsid w:val="0029036A"/>
    <w:rsid w:val="0029038B"/>
    <w:rsid w:val="0029041F"/>
    <w:rsid w:val="00290498"/>
    <w:rsid w:val="00290521"/>
    <w:rsid w:val="00290585"/>
    <w:rsid w:val="0029067C"/>
    <w:rsid w:val="002906A3"/>
    <w:rsid w:val="002906E3"/>
    <w:rsid w:val="00290754"/>
    <w:rsid w:val="00290838"/>
    <w:rsid w:val="0029083C"/>
    <w:rsid w:val="0029090E"/>
    <w:rsid w:val="0029092B"/>
    <w:rsid w:val="00290986"/>
    <w:rsid w:val="002909CF"/>
    <w:rsid w:val="00290A05"/>
    <w:rsid w:val="00290A57"/>
    <w:rsid w:val="00290A8B"/>
    <w:rsid w:val="00290A8E"/>
    <w:rsid w:val="00290B2E"/>
    <w:rsid w:val="00290B50"/>
    <w:rsid w:val="00290B7D"/>
    <w:rsid w:val="00290B82"/>
    <w:rsid w:val="00290BF1"/>
    <w:rsid w:val="00290BFE"/>
    <w:rsid w:val="00290C22"/>
    <w:rsid w:val="00290C86"/>
    <w:rsid w:val="00290C98"/>
    <w:rsid w:val="00290CB6"/>
    <w:rsid w:val="00290CEF"/>
    <w:rsid w:val="00290D31"/>
    <w:rsid w:val="00290D92"/>
    <w:rsid w:val="00290D9B"/>
    <w:rsid w:val="00290D9C"/>
    <w:rsid w:val="00290DB1"/>
    <w:rsid w:val="00290E5D"/>
    <w:rsid w:val="00290F3D"/>
    <w:rsid w:val="00290F4D"/>
    <w:rsid w:val="00290F7C"/>
    <w:rsid w:val="00290FD6"/>
    <w:rsid w:val="0029116C"/>
    <w:rsid w:val="00291176"/>
    <w:rsid w:val="002911BC"/>
    <w:rsid w:val="00291311"/>
    <w:rsid w:val="00291334"/>
    <w:rsid w:val="0029137E"/>
    <w:rsid w:val="002913EC"/>
    <w:rsid w:val="0029143B"/>
    <w:rsid w:val="0029154F"/>
    <w:rsid w:val="002915D0"/>
    <w:rsid w:val="0029176A"/>
    <w:rsid w:val="002917B5"/>
    <w:rsid w:val="002918F4"/>
    <w:rsid w:val="00291932"/>
    <w:rsid w:val="00291A95"/>
    <w:rsid w:val="00291AE1"/>
    <w:rsid w:val="00291B03"/>
    <w:rsid w:val="00291B2D"/>
    <w:rsid w:val="00291B2E"/>
    <w:rsid w:val="00291C0A"/>
    <w:rsid w:val="00291CDD"/>
    <w:rsid w:val="00291D01"/>
    <w:rsid w:val="00291D09"/>
    <w:rsid w:val="00291D33"/>
    <w:rsid w:val="00291DDC"/>
    <w:rsid w:val="00291E21"/>
    <w:rsid w:val="00291EB6"/>
    <w:rsid w:val="00291EC1"/>
    <w:rsid w:val="00291FF2"/>
    <w:rsid w:val="0029201D"/>
    <w:rsid w:val="00292050"/>
    <w:rsid w:val="00292191"/>
    <w:rsid w:val="002921CB"/>
    <w:rsid w:val="0029228B"/>
    <w:rsid w:val="00292383"/>
    <w:rsid w:val="002925B1"/>
    <w:rsid w:val="0029262F"/>
    <w:rsid w:val="0029266A"/>
    <w:rsid w:val="002926ED"/>
    <w:rsid w:val="00292706"/>
    <w:rsid w:val="0029286C"/>
    <w:rsid w:val="002928E1"/>
    <w:rsid w:val="00292949"/>
    <w:rsid w:val="0029299C"/>
    <w:rsid w:val="00292A6B"/>
    <w:rsid w:val="00292AD0"/>
    <w:rsid w:val="00292AD2"/>
    <w:rsid w:val="00292C1C"/>
    <w:rsid w:val="00292C24"/>
    <w:rsid w:val="00292C44"/>
    <w:rsid w:val="00292CAC"/>
    <w:rsid w:val="00292CF4"/>
    <w:rsid w:val="00292D48"/>
    <w:rsid w:val="00292D52"/>
    <w:rsid w:val="00292DB4"/>
    <w:rsid w:val="00292DFD"/>
    <w:rsid w:val="00292E12"/>
    <w:rsid w:val="00292E38"/>
    <w:rsid w:val="00292E71"/>
    <w:rsid w:val="00292EC5"/>
    <w:rsid w:val="00292FD3"/>
    <w:rsid w:val="00292FEE"/>
    <w:rsid w:val="00292FF6"/>
    <w:rsid w:val="00293017"/>
    <w:rsid w:val="002930C7"/>
    <w:rsid w:val="0029311A"/>
    <w:rsid w:val="00293199"/>
    <w:rsid w:val="0029335D"/>
    <w:rsid w:val="0029341A"/>
    <w:rsid w:val="00293434"/>
    <w:rsid w:val="002934A9"/>
    <w:rsid w:val="0029352F"/>
    <w:rsid w:val="002935A9"/>
    <w:rsid w:val="00293604"/>
    <w:rsid w:val="00293694"/>
    <w:rsid w:val="00293761"/>
    <w:rsid w:val="00293773"/>
    <w:rsid w:val="00293847"/>
    <w:rsid w:val="0029391C"/>
    <w:rsid w:val="00293938"/>
    <w:rsid w:val="0029395D"/>
    <w:rsid w:val="0029396D"/>
    <w:rsid w:val="00293989"/>
    <w:rsid w:val="002939C6"/>
    <w:rsid w:val="00293A0A"/>
    <w:rsid w:val="00293B1A"/>
    <w:rsid w:val="00293BB4"/>
    <w:rsid w:val="00293BB5"/>
    <w:rsid w:val="00293C3D"/>
    <w:rsid w:val="00293C98"/>
    <w:rsid w:val="00293CA6"/>
    <w:rsid w:val="00293CB0"/>
    <w:rsid w:val="00293CEB"/>
    <w:rsid w:val="00293CEF"/>
    <w:rsid w:val="00293DB7"/>
    <w:rsid w:val="00293DE9"/>
    <w:rsid w:val="00293DFC"/>
    <w:rsid w:val="00293E30"/>
    <w:rsid w:val="00293E49"/>
    <w:rsid w:val="00293E9D"/>
    <w:rsid w:val="00293F0B"/>
    <w:rsid w:val="00293F48"/>
    <w:rsid w:val="00293FA6"/>
    <w:rsid w:val="00293FD5"/>
    <w:rsid w:val="00293FFC"/>
    <w:rsid w:val="002940BF"/>
    <w:rsid w:val="002941B9"/>
    <w:rsid w:val="002942C5"/>
    <w:rsid w:val="00294308"/>
    <w:rsid w:val="00294340"/>
    <w:rsid w:val="00294386"/>
    <w:rsid w:val="00294443"/>
    <w:rsid w:val="00294454"/>
    <w:rsid w:val="00294459"/>
    <w:rsid w:val="0029459A"/>
    <w:rsid w:val="002945CB"/>
    <w:rsid w:val="00294616"/>
    <w:rsid w:val="002946B3"/>
    <w:rsid w:val="0029477D"/>
    <w:rsid w:val="0029485E"/>
    <w:rsid w:val="002948C1"/>
    <w:rsid w:val="0029491C"/>
    <w:rsid w:val="0029498F"/>
    <w:rsid w:val="00294B30"/>
    <w:rsid w:val="00294B45"/>
    <w:rsid w:val="00294B83"/>
    <w:rsid w:val="00294BD9"/>
    <w:rsid w:val="00294C47"/>
    <w:rsid w:val="00294C73"/>
    <w:rsid w:val="00294C7C"/>
    <w:rsid w:val="00294CA8"/>
    <w:rsid w:val="00294D10"/>
    <w:rsid w:val="00294D37"/>
    <w:rsid w:val="00294D77"/>
    <w:rsid w:val="00294D7A"/>
    <w:rsid w:val="00294DD4"/>
    <w:rsid w:val="00294E68"/>
    <w:rsid w:val="00294EAD"/>
    <w:rsid w:val="00294ED6"/>
    <w:rsid w:val="00294F42"/>
    <w:rsid w:val="00294F65"/>
    <w:rsid w:val="0029501E"/>
    <w:rsid w:val="00295105"/>
    <w:rsid w:val="0029521B"/>
    <w:rsid w:val="002953DB"/>
    <w:rsid w:val="002954BA"/>
    <w:rsid w:val="002954E4"/>
    <w:rsid w:val="0029550C"/>
    <w:rsid w:val="00295567"/>
    <w:rsid w:val="002957EB"/>
    <w:rsid w:val="00295803"/>
    <w:rsid w:val="00295806"/>
    <w:rsid w:val="00295814"/>
    <w:rsid w:val="00295866"/>
    <w:rsid w:val="00295982"/>
    <w:rsid w:val="00295B95"/>
    <w:rsid w:val="00295BB3"/>
    <w:rsid w:val="00295BB8"/>
    <w:rsid w:val="00295C5C"/>
    <w:rsid w:val="00295C6A"/>
    <w:rsid w:val="00295CCA"/>
    <w:rsid w:val="00295D1C"/>
    <w:rsid w:val="00295D73"/>
    <w:rsid w:val="00295DCC"/>
    <w:rsid w:val="00295E0F"/>
    <w:rsid w:val="00295EE2"/>
    <w:rsid w:val="00295F0A"/>
    <w:rsid w:val="00295F60"/>
    <w:rsid w:val="00295F7F"/>
    <w:rsid w:val="0029602C"/>
    <w:rsid w:val="00296068"/>
    <w:rsid w:val="00296078"/>
    <w:rsid w:val="0029608D"/>
    <w:rsid w:val="002960BE"/>
    <w:rsid w:val="002960E5"/>
    <w:rsid w:val="002961C3"/>
    <w:rsid w:val="0029621E"/>
    <w:rsid w:val="002962E5"/>
    <w:rsid w:val="00296301"/>
    <w:rsid w:val="00296399"/>
    <w:rsid w:val="002963A2"/>
    <w:rsid w:val="002963B8"/>
    <w:rsid w:val="002963DF"/>
    <w:rsid w:val="00296423"/>
    <w:rsid w:val="00296432"/>
    <w:rsid w:val="00296466"/>
    <w:rsid w:val="00296473"/>
    <w:rsid w:val="002964FB"/>
    <w:rsid w:val="0029652D"/>
    <w:rsid w:val="00296532"/>
    <w:rsid w:val="002965E1"/>
    <w:rsid w:val="0029663E"/>
    <w:rsid w:val="00296641"/>
    <w:rsid w:val="002966B2"/>
    <w:rsid w:val="002966B4"/>
    <w:rsid w:val="002967D7"/>
    <w:rsid w:val="00296836"/>
    <w:rsid w:val="00296860"/>
    <w:rsid w:val="002968D3"/>
    <w:rsid w:val="002968F9"/>
    <w:rsid w:val="0029691D"/>
    <w:rsid w:val="00296A38"/>
    <w:rsid w:val="00296A92"/>
    <w:rsid w:val="00296B0E"/>
    <w:rsid w:val="00296B2E"/>
    <w:rsid w:val="00296B92"/>
    <w:rsid w:val="00296BF2"/>
    <w:rsid w:val="00296C06"/>
    <w:rsid w:val="00296C4A"/>
    <w:rsid w:val="00296C5C"/>
    <w:rsid w:val="00296D50"/>
    <w:rsid w:val="00296D5D"/>
    <w:rsid w:val="00296D61"/>
    <w:rsid w:val="00296D74"/>
    <w:rsid w:val="00296DEB"/>
    <w:rsid w:val="00296E4E"/>
    <w:rsid w:val="00296F3C"/>
    <w:rsid w:val="00296F5C"/>
    <w:rsid w:val="00296F62"/>
    <w:rsid w:val="00296FA3"/>
    <w:rsid w:val="00296FEC"/>
    <w:rsid w:val="00296FF5"/>
    <w:rsid w:val="00297113"/>
    <w:rsid w:val="0029711E"/>
    <w:rsid w:val="00297136"/>
    <w:rsid w:val="0029718E"/>
    <w:rsid w:val="002971C7"/>
    <w:rsid w:val="00297201"/>
    <w:rsid w:val="0029721D"/>
    <w:rsid w:val="002972BB"/>
    <w:rsid w:val="002972CA"/>
    <w:rsid w:val="0029732D"/>
    <w:rsid w:val="00297449"/>
    <w:rsid w:val="00297475"/>
    <w:rsid w:val="002974B8"/>
    <w:rsid w:val="0029758C"/>
    <w:rsid w:val="0029762F"/>
    <w:rsid w:val="0029774A"/>
    <w:rsid w:val="00297764"/>
    <w:rsid w:val="00297780"/>
    <w:rsid w:val="002977C5"/>
    <w:rsid w:val="002977E8"/>
    <w:rsid w:val="00297920"/>
    <w:rsid w:val="0029793D"/>
    <w:rsid w:val="0029795A"/>
    <w:rsid w:val="00297A0F"/>
    <w:rsid w:val="00297A33"/>
    <w:rsid w:val="00297A5F"/>
    <w:rsid w:val="00297B51"/>
    <w:rsid w:val="00297C68"/>
    <w:rsid w:val="00297C7E"/>
    <w:rsid w:val="00297C8B"/>
    <w:rsid w:val="00297CCD"/>
    <w:rsid w:val="00297DF0"/>
    <w:rsid w:val="00297E60"/>
    <w:rsid w:val="00297E98"/>
    <w:rsid w:val="00297EED"/>
    <w:rsid w:val="00297EF5"/>
    <w:rsid w:val="00297F92"/>
    <w:rsid w:val="00297FC5"/>
    <w:rsid w:val="002A0046"/>
    <w:rsid w:val="002A01EA"/>
    <w:rsid w:val="002A0288"/>
    <w:rsid w:val="002A0295"/>
    <w:rsid w:val="002A02D3"/>
    <w:rsid w:val="002A03BD"/>
    <w:rsid w:val="002A03F7"/>
    <w:rsid w:val="002A042F"/>
    <w:rsid w:val="002A04E5"/>
    <w:rsid w:val="002A0652"/>
    <w:rsid w:val="002A0713"/>
    <w:rsid w:val="002A077C"/>
    <w:rsid w:val="002A0857"/>
    <w:rsid w:val="002A08C8"/>
    <w:rsid w:val="002A0973"/>
    <w:rsid w:val="002A09DA"/>
    <w:rsid w:val="002A0A01"/>
    <w:rsid w:val="002A0A40"/>
    <w:rsid w:val="002A0B20"/>
    <w:rsid w:val="002A0BC9"/>
    <w:rsid w:val="002A0BF1"/>
    <w:rsid w:val="002A0CE7"/>
    <w:rsid w:val="002A0D77"/>
    <w:rsid w:val="002A0DCB"/>
    <w:rsid w:val="002A0E2D"/>
    <w:rsid w:val="002A0F3B"/>
    <w:rsid w:val="002A1021"/>
    <w:rsid w:val="002A11E7"/>
    <w:rsid w:val="002A1217"/>
    <w:rsid w:val="002A12F7"/>
    <w:rsid w:val="002A1384"/>
    <w:rsid w:val="002A1427"/>
    <w:rsid w:val="002A1510"/>
    <w:rsid w:val="002A1563"/>
    <w:rsid w:val="002A1565"/>
    <w:rsid w:val="002A15D9"/>
    <w:rsid w:val="002A1663"/>
    <w:rsid w:val="002A16C7"/>
    <w:rsid w:val="002A16CB"/>
    <w:rsid w:val="002A1856"/>
    <w:rsid w:val="002A192E"/>
    <w:rsid w:val="002A1AA1"/>
    <w:rsid w:val="002A1AC4"/>
    <w:rsid w:val="002A1AC7"/>
    <w:rsid w:val="002A1AC8"/>
    <w:rsid w:val="002A1BC5"/>
    <w:rsid w:val="002A1BDA"/>
    <w:rsid w:val="002A1C16"/>
    <w:rsid w:val="002A1C64"/>
    <w:rsid w:val="002A1CA6"/>
    <w:rsid w:val="002A1D4C"/>
    <w:rsid w:val="002A1D96"/>
    <w:rsid w:val="002A1E25"/>
    <w:rsid w:val="002A1E53"/>
    <w:rsid w:val="002A1F3F"/>
    <w:rsid w:val="002A1F72"/>
    <w:rsid w:val="002A1F8A"/>
    <w:rsid w:val="002A201C"/>
    <w:rsid w:val="002A2111"/>
    <w:rsid w:val="002A2119"/>
    <w:rsid w:val="002A2151"/>
    <w:rsid w:val="002A2249"/>
    <w:rsid w:val="002A234C"/>
    <w:rsid w:val="002A23CF"/>
    <w:rsid w:val="002A2494"/>
    <w:rsid w:val="002A24BA"/>
    <w:rsid w:val="002A24CD"/>
    <w:rsid w:val="002A2578"/>
    <w:rsid w:val="002A25AE"/>
    <w:rsid w:val="002A2665"/>
    <w:rsid w:val="002A2751"/>
    <w:rsid w:val="002A2800"/>
    <w:rsid w:val="002A281E"/>
    <w:rsid w:val="002A2834"/>
    <w:rsid w:val="002A283F"/>
    <w:rsid w:val="002A293E"/>
    <w:rsid w:val="002A29B9"/>
    <w:rsid w:val="002A29C1"/>
    <w:rsid w:val="002A2A52"/>
    <w:rsid w:val="002A2A9E"/>
    <w:rsid w:val="002A2AFD"/>
    <w:rsid w:val="002A2B83"/>
    <w:rsid w:val="002A2C6D"/>
    <w:rsid w:val="002A2D12"/>
    <w:rsid w:val="002A2D2D"/>
    <w:rsid w:val="002A2D62"/>
    <w:rsid w:val="002A2D74"/>
    <w:rsid w:val="002A2E18"/>
    <w:rsid w:val="002A2E5B"/>
    <w:rsid w:val="002A2EBF"/>
    <w:rsid w:val="002A2F08"/>
    <w:rsid w:val="002A2F82"/>
    <w:rsid w:val="002A2F89"/>
    <w:rsid w:val="002A2FD2"/>
    <w:rsid w:val="002A2FDC"/>
    <w:rsid w:val="002A303B"/>
    <w:rsid w:val="002A3103"/>
    <w:rsid w:val="002A3138"/>
    <w:rsid w:val="002A315E"/>
    <w:rsid w:val="002A31F8"/>
    <w:rsid w:val="002A3225"/>
    <w:rsid w:val="002A323A"/>
    <w:rsid w:val="002A3279"/>
    <w:rsid w:val="002A3283"/>
    <w:rsid w:val="002A32E2"/>
    <w:rsid w:val="002A32F7"/>
    <w:rsid w:val="002A3371"/>
    <w:rsid w:val="002A33F3"/>
    <w:rsid w:val="002A34DF"/>
    <w:rsid w:val="002A356A"/>
    <w:rsid w:val="002A35C7"/>
    <w:rsid w:val="002A35EC"/>
    <w:rsid w:val="002A3664"/>
    <w:rsid w:val="002A3671"/>
    <w:rsid w:val="002A36D8"/>
    <w:rsid w:val="002A37E2"/>
    <w:rsid w:val="002A37F9"/>
    <w:rsid w:val="002A3900"/>
    <w:rsid w:val="002A3973"/>
    <w:rsid w:val="002A397D"/>
    <w:rsid w:val="002A39C7"/>
    <w:rsid w:val="002A3A7A"/>
    <w:rsid w:val="002A3AA6"/>
    <w:rsid w:val="002A3ADA"/>
    <w:rsid w:val="002A3AE6"/>
    <w:rsid w:val="002A3B3F"/>
    <w:rsid w:val="002A3C6B"/>
    <w:rsid w:val="002A3CA2"/>
    <w:rsid w:val="002A3CC8"/>
    <w:rsid w:val="002A3CEF"/>
    <w:rsid w:val="002A3D2F"/>
    <w:rsid w:val="002A3D8C"/>
    <w:rsid w:val="002A3DD2"/>
    <w:rsid w:val="002A3E1B"/>
    <w:rsid w:val="002A3E71"/>
    <w:rsid w:val="002A3E88"/>
    <w:rsid w:val="002A3EC8"/>
    <w:rsid w:val="002A3EE4"/>
    <w:rsid w:val="002A3F21"/>
    <w:rsid w:val="002A3F71"/>
    <w:rsid w:val="002A3FC5"/>
    <w:rsid w:val="002A4010"/>
    <w:rsid w:val="002A40DE"/>
    <w:rsid w:val="002A4181"/>
    <w:rsid w:val="002A42A7"/>
    <w:rsid w:val="002A42D8"/>
    <w:rsid w:val="002A4328"/>
    <w:rsid w:val="002A43A8"/>
    <w:rsid w:val="002A43CC"/>
    <w:rsid w:val="002A4507"/>
    <w:rsid w:val="002A453A"/>
    <w:rsid w:val="002A46FF"/>
    <w:rsid w:val="002A4A27"/>
    <w:rsid w:val="002A4A81"/>
    <w:rsid w:val="002A4AA0"/>
    <w:rsid w:val="002A4C94"/>
    <w:rsid w:val="002A4CD4"/>
    <w:rsid w:val="002A4CF9"/>
    <w:rsid w:val="002A4D1D"/>
    <w:rsid w:val="002A4D2B"/>
    <w:rsid w:val="002A4D87"/>
    <w:rsid w:val="002A4E20"/>
    <w:rsid w:val="002A4F0E"/>
    <w:rsid w:val="002A4F67"/>
    <w:rsid w:val="002A5037"/>
    <w:rsid w:val="002A507E"/>
    <w:rsid w:val="002A508E"/>
    <w:rsid w:val="002A50CB"/>
    <w:rsid w:val="002A51C1"/>
    <w:rsid w:val="002A5294"/>
    <w:rsid w:val="002A52F3"/>
    <w:rsid w:val="002A53B0"/>
    <w:rsid w:val="002A548D"/>
    <w:rsid w:val="002A54C0"/>
    <w:rsid w:val="002A54D6"/>
    <w:rsid w:val="002A5538"/>
    <w:rsid w:val="002A5860"/>
    <w:rsid w:val="002A5880"/>
    <w:rsid w:val="002A589C"/>
    <w:rsid w:val="002A58FA"/>
    <w:rsid w:val="002A591A"/>
    <w:rsid w:val="002A59D1"/>
    <w:rsid w:val="002A5A71"/>
    <w:rsid w:val="002A5B25"/>
    <w:rsid w:val="002A5B31"/>
    <w:rsid w:val="002A5B6A"/>
    <w:rsid w:val="002A5C65"/>
    <w:rsid w:val="002A5C6E"/>
    <w:rsid w:val="002A5D02"/>
    <w:rsid w:val="002A5D1B"/>
    <w:rsid w:val="002A5E21"/>
    <w:rsid w:val="002A5F64"/>
    <w:rsid w:val="002A5F84"/>
    <w:rsid w:val="002A5FB4"/>
    <w:rsid w:val="002A5FC8"/>
    <w:rsid w:val="002A6063"/>
    <w:rsid w:val="002A60CC"/>
    <w:rsid w:val="002A6258"/>
    <w:rsid w:val="002A625C"/>
    <w:rsid w:val="002A63CF"/>
    <w:rsid w:val="002A6415"/>
    <w:rsid w:val="002A64E9"/>
    <w:rsid w:val="002A66CC"/>
    <w:rsid w:val="002A670C"/>
    <w:rsid w:val="002A6752"/>
    <w:rsid w:val="002A675D"/>
    <w:rsid w:val="002A68BC"/>
    <w:rsid w:val="002A68FE"/>
    <w:rsid w:val="002A6960"/>
    <w:rsid w:val="002A69F0"/>
    <w:rsid w:val="002A6A06"/>
    <w:rsid w:val="002A6AAF"/>
    <w:rsid w:val="002A6B1E"/>
    <w:rsid w:val="002A6B7F"/>
    <w:rsid w:val="002A6BCF"/>
    <w:rsid w:val="002A6C3E"/>
    <w:rsid w:val="002A6C60"/>
    <w:rsid w:val="002A6D07"/>
    <w:rsid w:val="002A6D3E"/>
    <w:rsid w:val="002A6E09"/>
    <w:rsid w:val="002A6E55"/>
    <w:rsid w:val="002A7008"/>
    <w:rsid w:val="002A702C"/>
    <w:rsid w:val="002A7031"/>
    <w:rsid w:val="002A7103"/>
    <w:rsid w:val="002A71E9"/>
    <w:rsid w:val="002A7221"/>
    <w:rsid w:val="002A7224"/>
    <w:rsid w:val="002A72D0"/>
    <w:rsid w:val="002A7373"/>
    <w:rsid w:val="002A73CA"/>
    <w:rsid w:val="002A740F"/>
    <w:rsid w:val="002A748D"/>
    <w:rsid w:val="002A74A2"/>
    <w:rsid w:val="002A74C0"/>
    <w:rsid w:val="002A74DF"/>
    <w:rsid w:val="002A7516"/>
    <w:rsid w:val="002A757B"/>
    <w:rsid w:val="002A7586"/>
    <w:rsid w:val="002A75A0"/>
    <w:rsid w:val="002A7766"/>
    <w:rsid w:val="002A78F5"/>
    <w:rsid w:val="002A7906"/>
    <w:rsid w:val="002A7946"/>
    <w:rsid w:val="002A794A"/>
    <w:rsid w:val="002A79CE"/>
    <w:rsid w:val="002A7AD4"/>
    <w:rsid w:val="002A7B47"/>
    <w:rsid w:val="002A7BEF"/>
    <w:rsid w:val="002A7D20"/>
    <w:rsid w:val="002A7DEB"/>
    <w:rsid w:val="002A7E96"/>
    <w:rsid w:val="002B006D"/>
    <w:rsid w:val="002B00AA"/>
    <w:rsid w:val="002B010E"/>
    <w:rsid w:val="002B0171"/>
    <w:rsid w:val="002B02D5"/>
    <w:rsid w:val="002B0384"/>
    <w:rsid w:val="002B03B0"/>
    <w:rsid w:val="002B0439"/>
    <w:rsid w:val="002B0458"/>
    <w:rsid w:val="002B04C1"/>
    <w:rsid w:val="002B059F"/>
    <w:rsid w:val="002B0642"/>
    <w:rsid w:val="002B06D6"/>
    <w:rsid w:val="002B0710"/>
    <w:rsid w:val="002B0778"/>
    <w:rsid w:val="002B07A6"/>
    <w:rsid w:val="002B07AE"/>
    <w:rsid w:val="002B084F"/>
    <w:rsid w:val="002B092C"/>
    <w:rsid w:val="002B09E3"/>
    <w:rsid w:val="002B0A94"/>
    <w:rsid w:val="002B0AC8"/>
    <w:rsid w:val="002B0B84"/>
    <w:rsid w:val="002B0BBF"/>
    <w:rsid w:val="002B0C7A"/>
    <w:rsid w:val="002B0CA0"/>
    <w:rsid w:val="002B0D38"/>
    <w:rsid w:val="002B0E91"/>
    <w:rsid w:val="002B0F34"/>
    <w:rsid w:val="002B105E"/>
    <w:rsid w:val="002B1114"/>
    <w:rsid w:val="002B111D"/>
    <w:rsid w:val="002B1123"/>
    <w:rsid w:val="002B114F"/>
    <w:rsid w:val="002B11FC"/>
    <w:rsid w:val="002B1277"/>
    <w:rsid w:val="002B12A8"/>
    <w:rsid w:val="002B1301"/>
    <w:rsid w:val="002B13D3"/>
    <w:rsid w:val="002B1435"/>
    <w:rsid w:val="002B15AB"/>
    <w:rsid w:val="002B1651"/>
    <w:rsid w:val="002B165E"/>
    <w:rsid w:val="002B1680"/>
    <w:rsid w:val="002B16CD"/>
    <w:rsid w:val="002B1737"/>
    <w:rsid w:val="002B18A4"/>
    <w:rsid w:val="002B1914"/>
    <w:rsid w:val="002B1986"/>
    <w:rsid w:val="002B1A2B"/>
    <w:rsid w:val="002B1A3C"/>
    <w:rsid w:val="002B1A84"/>
    <w:rsid w:val="002B1A9E"/>
    <w:rsid w:val="002B1CB3"/>
    <w:rsid w:val="002B1CC9"/>
    <w:rsid w:val="002B1CDC"/>
    <w:rsid w:val="002B1D4A"/>
    <w:rsid w:val="002B1E18"/>
    <w:rsid w:val="002B1F14"/>
    <w:rsid w:val="002B1F1A"/>
    <w:rsid w:val="002B1F9C"/>
    <w:rsid w:val="002B20D9"/>
    <w:rsid w:val="002B2126"/>
    <w:rsid w:val="002B2246"/>
    <w:rsid w:val="002B2309"/>
    <w:rsid w:val="002B2349"/>
    <w:rsid w:val="002B23C5"/>
    <w:rsid w:val="002B24C9"/>
    <w:rsid w:val="002B250D"/>
    <w:rsid w:val="002B2667"/>
    <w:rsid w:val="002B26A6"/>
    <w:rsid w:val="002B2746"/>
    <w:rsid w:val="002B27E7"/>
    <w:rsid w:val="002B2885"/>
    <w:rsid w:val="002B2927"/>
    <w:rsid w:val="002B2976"/>
    <w:rsid w:val="002B2A32"/>
    <w:rsid w:val="002B2A41"/>
    <w:rsid w:val="002B2B04"/>
    <w:rsid w:val="002B2B38"/>
    <w:rsid w:val="002B2BF8"/>
    <w:rsid w:val="002B2C2C"/>
    <w:rsid w:val="002B2C3D"/>
    <w:rsid w:val="002B2C7F"/>
    <w:rsid w:val="002B2D66"/>
    <w:rsid w:val="002B2DE5"/>
    <w:rsid w:val="002B2E16"/>
    <w:rsid w:val="002B2E68"/>
    <w:rsid w:val="002B2E74"/>
    <w:rsid w:val="002B2EA4"/>
    <w:rsid w:val="002B2F48"/>
    <w:rsid w:val="002B2FA4"/>
    <w:rsid w:val="002B3003"/>
    <w:rsid w:val="002B308A"/>
    <w:rsid w:val="002B30CB"/>
    <w:rsid w:val="002B31A5"/>
    <w:rsid w:val="002B3292"/>
    <w:rsid w:val="002B32A0"/>
    <w:rsid w:val="002B32C7"/>
    <w:rsid w:val="002B3301"/>
    <w:rsid w:val="002B3331"/>
    <w:rsid w:val="002B33D8"/>
    <w:rsid w:val="002B3491"/>
    <w:rsid w:val="002B35DD"/>
    <w:rsid w:val="002B35F4"/>
    <w:rsid w:val="002B362C"/>
    <w:rsid w:val="002B3640"/>
    <w:rsid w:val="002B3883"/>
    <w:rsid w:val="002B388A"/>
    <w:rsid w:val="002B38F0"/>
    <w:rsid w:val="002B3907"/>
    <w:rsid w:val="002B3972"/>
    <w:rsid w:val="002B39EA"/>
    <w:rsid w:val="002B3AA6"/>
    <w:rsid w:val="002B3B1B"/>
    <w:rsid w:val="002B3B43"/>
    <w:rsid w:val="002B3B7B"/>
    <w:rsid w:val="002B3BDB"/>
    <w:rsid w:val="002B3BDF"/>
    <w:rsid w:val="002B3CBC"/>
    <w:rsid w:val="002B3CF0"/>
    <w:rsid w:val="002B3D06"/>
    <w:rsid w:val="002B3DB9"/>
    <w:rsid w:val="002B3ED0"/>
    <w:rsid w:val="002B3F03"/>
    <w:rsid w:val="002B401F"/>
    <w:rsid w:val="002B4041"/>
    <w:rsid w:val="002B417C"/>
    <w:rsid w:val="002B41B6"/>
    <w:rsid w:val="002B41C1"/>
    <w:rsid w:val="002B435A"/>
    <w:rsid w:val="002B4411"/>
    <w:rsid w:val="002B441F"/>
    <w:rsid w:val="002B4431"/>
    <w:rsid w:val="002B443D"/>
    <w:rsid w:val="002B4467"/>
    <w:rsid w:val="002B44FE"/>
    <w:rsid w:val="002B452F"/>
    <w:rsid w:val="002B45FB"/>
    <w:rsid w:val="002B4665"/>
    <w:rsid w:val="002B46D9"/>
    <w:rsid w:val="002B4712"/>
    <w:rsid w:val="002B4773"/>
    <w:rsid w:val="002B47F7"/>
    <w:rsid w:val="002B4811"/>
    <w:rsid w:val="002B484A"/>
    <w:rsid w:val="002B48A0"/>
    <w:rsid w:val="002B48E3"/>
    <w:rsid w:val="002B490F"/>
    <w:rsid w:val="002B4992"/>
    <w:rsid w:val="002B49CD"/>
    <w:rsid w:val="002B4A8A"/>
    <w:rsid w:val="002B4A90"/>
    <w:rsid w:val="002B4AF0"/>
    <w:rsid w:val="002B4AFE"/>
    <w:rsid w:val="002B4B53"/>
    <w:rsid w:val="002B4BF0"/>
    <w:rsid w:val="002B4D0A"/>
    <w:rsid w:val="002B4D5B"/>
    <w:rsid w:val="002B4D7C"/>
    <w:rsid w:val="002B4DB6"/>
    <w:rsid w:val="002B4E2D"/>
    <w:rsid w:val="002B4E77"/>
    <w:rsid w:val="002B50FE"/>
    <w:rsid w:val="002B51F2"/>
    <w:rsid w:val="002B522A"/>
    <w:rsid w:val="002B5263"/>
    <w:rsid w:val="002B52DB"/>
    <w:rsid w:val="002B538E"/>
    <w:rsid w:val="002B5472"/>
    <w:rsid w:val="002B54A5"/>
    <w:rsid w:val="002B5542"/>
    <w:rsid w:val="002B554C"/>
    <w:rsid w:val="002B5585"/>
    <w:rsid w:val="002B55AF"/>
    <w:rsid w:val="002B55EF"/>
    <w:rsid w:val="002B5627"/>
    <w:rsid w:val="002B566C"/>
    <w:rsid w:val="002B5696"/>
    <w:rsid w:val="002B569F"/>
    <w:rsid w:val="002B56A2"/>
    <w:rsid w:val="002B56AA"/>
    <w:rsid w:val="002B5718"/>
    <w:rsid w:val="002B571E"/>
    <w:rsid w:val="002B5767"/>
    <w:rsid w:val="002B57A4"/>
    <w:rsid w:val="002B5853"/>
    <w:rsid w:val="002B5902"/>
    <w:rsid w:val="002B5977"/>
    <w:rsid w:val="002B59D6"/>
    <w:rsid w:val="002B5A57"/>
    <w:rsid w:val="002B5A87"/>
    <w:rsid w:val="002B5ACB"/>
    <w:rsid w:val="002B5ADD"/>
    <w:rsid w:val="002B5B3C"/>
    <w:rsid w:val="002B5B6B"/>
    <w:rsid w:val="002B5CF7"/>
    <w:rsid w:val="002B5D0E"/>
    <w:rsid w:val="002B5E02"/>
    <w:rsid w:val="002B5E4E"/>
    <w:rsid w:val="002B5F1D"/>
    <w:rsid w:val="002B5F80"/>
    <w:rsid w:val="002B602A"/>
    <w:rsid w:val="002B605D"/>
    <w:rsid w:val="002B6142"/>
    <w:rsid w:val="002B61E0"/>
    <w:rsid w:val="002B6249"/>
    <w:rsid w:val="002B62BB"/>
    <w:rsid w:val="002B6408"/>
    <w:rsid w:val="002B640E"/>
    <w:rsid w:val="002B6484"/>
    <w:rsid w:val="002B6591"/>
    <w:rsid w:val="002B65D9"/>
    <w:rsid w:val="002B65EE"/>
    <w:rsid w:val="002B6648"/>
    <w:rsid w:val="002B66AE"/>
    <w:rsid w:val="002B6879"/>
    <w:rsid w:val="002B6890"/>
    <w:rsid w:val="002B68D7"/>
    <w:rsid w:val="002B6915"/>
    <w:rsid w:val="002B694D"/>
    <w:rsid w:val="002B69D0"/>
    <w:rsid w:val="002B6A6F"/>
    <w:rsid w:val="002B6B32"/>
    <w:rsid w:val="002B6BD5"/>
    <w:rsid w:val="002B6BF1"/>
    <w:rsid w:val="002B6BF5"/>
    <w:rsid w:val="002B6CA3"/>
    <w:rsid w:val="002B6CC6"/>
    <w:rsid w:val="002B6CEA"/>
    <w:rsid w:val="002B6D12"/>
    <w:rsid w:val="002B6D43"/>
    <w:rsid w:val="002B6DBA"/>
    <w:rsid w:val="002B6DEA"/>
    <w:rsid w:val="002B6E29"/>
    <w:rsid w:val="002B6FA8"/>
    <w:rsid w:val="002B70AA"/>
    <w:rsid w:val="002B70CA"/>
    <w:rsid w:val="002B7284"/>
    <w:rsid w:val="002B7286"/>
    <w:rsid w:val="002B72A3"/>
    <w:rsid w:val="002B72D8"/>
    <w:rsid w:val="002B72F1"/>
    <w:rsid w:val="002B72F9"/>
    <w:rsid w:val="002B735D"/>
    <w:rsid w:val="002B73E4"/>
    <w:rsid w:val="002B7473"/>
    <w:rsid w:val="002B74C3"/>
    <w:rsid w:val="002B750B"/>
    <w:rsid w:val="002B7585"/>
    <w:rsid w:val="002B75FD"/>
    <w:rsid w:val="002B765C"/>
    <w:rsid w:val="002B76A0"/>
    <w:rsid w:val="002B76A3"/>
    <w:rsid w:val="002B77DE"/>
    <w:rsid w:val="002B77DF"/>
    <w:rsid w:val="002B77FA"/>
    <w:rsid w:val="002B783D"/>
    <w:rsid w:val="002B7879"/>
    <w:rsid w:val="002B789D"/>
    <w:rsid w:val="002B78A6"/>
    <w:rsid w:val="002B78C4"/>
    <w:rsid w:val="002B7912"/>
    <w:rsid w:val="002B799F"/>
    <w:rsid w:val="002B79B0"/>
    <w:rsid w:val="002B79BF"/>
    <w:rsid w:val="002B7AD7"/>
    <w:rsid w:val="002B7AEE"/>
    <w:rsid w:val="002B7B0F"/>
    <w:rsid w:val="002B7B66"/>
    <w:rsid w:val="002B7B80"/>
    <w:rsid w:val="002B7C7B"/>
    <w:rsid w:val="002B7C97"/>
    <w:rsid w:val="002B7C9D"/>
    <w:rsid w:val="002B7CB3"/>
    <w:rsid w:val="002B7CCB"/>
    <w:rsid w:val="002B7D00"/>
    <w:rsid w:val="002B7E11"/>
    <w:rsid w:val="002C00A8"/>
    <w:rsid w:val="002C00A9"/>
    <w:rsid w:val="002C0109"/>
    <w:rsid w:val="002C01AF"/>
    <w:rsid w:val="002C01E6"/>
    <w:rsid w:val="002C0270"/>
    <w:rsid w:val="002C027C"/>
    <w:rsid w:val="002C028A"/>
    <w:rsid w:val="002C0342"/>
    <w:rsid w:val="002C036B"/>
    <w:rsid w:val="002C03E1"/>
    <w:rsid w:val="002C04E1"/>
    <w:rsid w:val="002C0648"/>
    <w:rsid w:val="002C0791"/>
    <w:rsid w:val="002C0849"/>
    <w:rsid w:val="002C08A0"/>
    <w:rsid w:val="002C0944"/>
    <w:rsid w:val="002C0951"/>
    <w:rsid w:val="002C09AE"/>
    <w:rsid w:val="002C0B2C"/>
    <w:rsid w:val="002C0B6E"/>
    <w:rsid w:val="002C0BA6"/>
    <w:rsid w:val="002C0BE2"/>
    <w:rsid w:val="002C0C0F"/>
    <w:rsid w:val="002C0CAE"/>
    <w:rsid w:val="002C0CFA"/>
    <w:rsid w:val="002C0DED"/>
    <w:rsid w:val="002C0E01"/>
    <w:rsid w:val="002C0E52"/>
    <w:rsid w:val="002C0EB5"/>
    <w:rsid w:val="002C0F43"/>
    <w:rsid w:val="002C0FC2"/>
    <w:rsid w:val="002C1231"/>
    <w:rsid w:val="002C1239"/>
    <w:rsid w:val="002C1263"/>
    <w:rsid w:val="002C12FB"/>
    <w:rsid w:val="002C130E"/>
    <w:rsid w:val="002C1318"/>
    <w:rsid w:val="002C1345"/>
    <w:rsid w:val="002C14C1"/>
    <w:rsid w:val="002C1518"/>
    <w:rsid w:val="002C1520"/>
    <w:rsid w:val="002C153A"/>
    <w:rsid w:val="002C15C0"/>
    <w:rsid w:val="002C163A"/>
    <w:rsid w:val="002C16E4"/>
    <w:rsid w:val="002C16EB"/>
    <w:rsid w:val="002C17EB"/>
    <w:rsid w:val="002C17F6"/>
    <w:rsid w:val="002C186E"/>
    <w:rsid w:val="002C18BA"/>
    <w:rsid w:val="002C18CD"/>
    <w:rsid w:val="002C18F6"/>
    <w:rsid w:val="002C1946"/>
    <w:rsid w:val="002C198B"/>
    <w:rsid w:val="002C19B4"/>
    <w:rsid w:val="002C19C5"/>
    <w:rsid w:val="002C1AE8"/>
    <w:rsid w:val="002C1C92"/>
    <w:rsid w:val="002C1D6F"/>
    <w:rsid w:val="002C210C"/>
    <w:rsid w:val="002C2136"/>
    <w:rsid w:val="002C2168"/>
    <w:rsid w:val="002C2169"/>
    <w:rsid w:val="002C22B8"/>
    <w:rsid w:val="002C22FB"/>
    <w:rsid w:val="002C230B"/>
    <w:rsid w:val="002C233E"/>
    <w:rsid w:val="002C2495"/>
    <w:rsid w:val="002C2577"/>
    <w:rsid w:val="002C259A"/>
    <w:rsid w:val="002C25A9"/>
    <w:rsid w:val="002C2659"/>
    <w:rsid w:val="002C2838"/>
    <w:rsid w:val="002C29D6"/>
    <w:rsid w:val="002C2A21"/>
    <w:rsid w:val="002C2AE7"/>
    <w:rsid w:val="002C2AF7"/>
    <w:rsid w:val="002C2BB8"/>
    <w:rsid w:val="002C2C37"/>
    <w:rsid w:val="002C2CC1"/>
    <w:rsid w:val="002C2CCE"/>
    <w:rsid w:val="002C2CEF"/>
    <w:rsid w:val="002C2D19"/>
    <w:rsid w:val="002C2D65"/>
    <w:rsid w:val="002C2DA0"/>
    <w:rsid w:val="002C2DEB"/>
    <w:rsid w:val="002C2E73"/>
    <w:rsid w:val="002C2F74"/>
    <w:rsid w:val="002C2F8D"/>
    <w:rsid w:val="002C3087"/>
    <w:rsid w:val="002C30A4"/>
    <w:rsid w:val="002C30EF"/>
    <w:rsid w:val="002C319E"/>
    <w:rsid w:val="002C31AB"/>
    <w:rsid w:val="002C325C"/>
    <w:rsid w:val="002C326C"/>
    <w:rsid w:val="002C3273"/>
    <w:rsid w:val="002C3344"/>
    <w:rsid w:val="002C33A8"/>
    <w:rsid w:val="002C33CE"/>
    <w:rsid w:val="002C33F7"/>
    <w:rsid w:val="002C341A"/>
    <w:rsid w:val="002C3484"/>
    <w:rsid w:val="002C350B"/>
    <w:rsid w:val="002C367B"/>
    <w:rsid w:val="002C36A4"/>
    <w:rsid w:val="002C3761"/>
    <w:rsid w:val="002C37A4"/>
    <w:rsid w:val="002C37BF"/>
    <w:rsid w:val="002C3826"/>
    <w:rsid w:val="002C3837"/>
    <w:rsid w:val="002C392D"/>
    <w:rsid w:val="002C39D7"/>
    <w:rsid w:val="002C3A25"/>
    <w:rsid w:val="002C3A30"/>
    <w:rsid w:val="002C3AEF"/>
    <w:rsid w:val="002C3B14"/>
    <w:rsid w:val="002C3C64"/>
    <w:rsid w:val="002C3CA9"/>
    <w:rsid w:val="002C3D0A"/>
    <w:rsid w:val="002C3D0E"/>
    <w:rsid w:val="002C3D7C"/>
    <w:rsid w:val="002C3E1A"/>
    <w:rsid w:val="002C3E4C"/>
    <w:rsid w:val="002C3E5B"/>
    <w:rsid w:val="002C3EF1"/>
    <w:rsid w:val="002C3F02"/>
    <w:rsid w:val="002C3F2E"/>
    <w:rsid w:val="002C3F6E"/>
    <w:rsid w:val="002C4062"/>
    <w:rsid w:val="002C40B3"/>
    <w:rsid w:val="002C40D7"/>
    <w:rsid w:val="002C417D"/>
    <w:rsid w:val="002C419E"/>
    <w:rsid w:val="002C41C8"/>
    <w:rsid w:val="002C420A"/>
    <w:rsid w:val="002C4233"/>
    <w:rsid w:val="002C425A"/>
    <w:rsid w:val="002C4358"/>
    <w:rsid w:val="002C439D"/>
    <w:rsid w:val="002C43A0"/>
    <w:rsid w:val="002C43E4"/>
    <w:rsid w:val="002C4419"/>
    <w:rsid w:val="002C441A"/>
    <w:rsid w:val="002C4468"/>
    <w:rsid w:val="002C44C3"/>
    <w:rsid w:val="002C4552"/>
    <w:rsid w:val="002C461A"/>
    <w:rsid w:val="002C4658"/>
    <w:rsid w:val="002C46E6"/>
    <w:rsid w:val="002C4707"/>
    <w:rsid w:val="002C47A0"/>
    <w:rsid w:val="002C4802"/>
    <w:rsid w:val="002C4835"/>
    <w:rsid w:val="002C487D"/>
    <w:rsid w:val="002C4894"/>
    <w:rsid w:val="002C48B7"/>
    <w:rsid w:val="002C4902"/>
    <w:rsid w:val="002C492C"/>
    <w:rsid w:val="002C4961"/>
    <w:rsid w:val="002C4A5E"/>
    <w:rsid w:val="002C4A75"/>
    <w:rsid w:val="002C4A7C"/>
    <w:rsid w:val="002C4B11"/>
    <w:rsid w:val="002C4BB7"/>
    <w:rsid w:val="002C4C1C"/>
    <w:rsid w:val="002C4C5C"/>
    <w:rsid w:val="002C4CCA"/>
    <w:rsid w:val="002C4CE4"/>
    <w:rsid w:val="002C4D62"/>
    <w:rsid w:val="002C4E65"/>
    <w:rsid w:val="002C4E81"/>
    <w:rsid w:val="002C4E97"/>
    <w:rsid w:val="002C4EB4"/>
    <w:rsid w:val="002C50C1"/>
    <w:rsid w:val="002C50CB"/>
    <w:rsid w:val="002C50DB"/>
    <w:rsid w:val="002C50E4"/>
    <w:rsid w:val="002C5212"/>
    <w:rsid w:val="002C524E"/>
    <w:rsid w:val="002C537A"/>
    <w:rsid w:val="002C540F"/>
    <w:rsid w:val="002C544A"/>
    <w:rsid w:val="002C54B2"/>
    <w:rsid w:val="002C54C4"/>
    <w:rsid w:val="002C54DB"/>
    <w:rsid w:val="002C556E"/>
    <w:rsid w:val="002C5670"/>
    <w:rsid w:val="002C56CE"/>
    <w:rsid w:val="002C56EF"/>
    <w:rsid w:val="002C573B"/>
    <w:rsid w:val="002C57B5"/>
    <w:rsid w:val="002C57BC"/>
    <w:rsid w:val="002C5904"/>
    <w:rsid w:val="002C590D"/>
    <w:rsid w:val="002C5AB0"/>
    <w:rsid w:val="002C5AED"/>
    <w:rsid w:val="002C5AEE"/>
    <w:rsid w:val="002C5B03"/>
    <w:rsid w:val="002C5B86"/>
    <w:rsid w:val="002C5BC6"/>
    <w:rsid w:val="002C5C10"/>
    <w:rsid w:val="002C5C2C"/>
    <w:rsid w:val="002C5D32"/>
    <w:rsid w:val="002C5EA0"/>
    <w:rsid w:val="002C5F12"/>
    <w:rsid w:val="002C5F15"/>
    <w:rsid w:val="002C5F35"/>
    <w:rsid w:val="002C5FC5"/>
    <w:rsid w:val="002C5FD8"/>
    <w:rsid w:val="002C5FDA"/>
    <w:rsid w:val="002C601F"/>
    <w:rsid w:val="002C6108"/>
    <w:rsid w:val="002C613C"/>
    <w:rsid w:val="002C6202"/>
    <w:rsid w:val="002C6253"/>
    <w:rsid w:val="002C630E"/>
    <w:rsid w:val="002C6323"/>
    <w:rsid w:val="002C63A4"/>
    <w:rsid w:val="002C6440"/>
    <w:rsid w:val="002C6482"/>
    <w:rsid w:val="002C649D"/>
    <w:rsid w:val="002C64EB"/>
    <w:rsid w:val="002C651A"/>
    <w:rsid w:val="002C65FE"/>
    <w:rsid w:val="002C660E"/>
    <w:rsid w:val="002C66E8"/>
    <w:rsid w:val="002C66FF"/>
    <w:rsid w:val="002C671F"/>
    <w:rsid w:val="002C6722"/>
    <w:rsid w:val="002C67FC"/>
    <w:rsid w:val="002C6860"/>
    <w:rsid w:val="002C6884"/>
    <w:rsid w:val="002C6950"/>
    <w:rsid w:val="002C6990"/>
    <w:rsid w:val="002C6A40"/>
    <w:rsid w:val="002C6B7B"/>
    <w:rsid w:val="002C6BA7"/>
    <w:rsid w:val="002C6BE1"/>
    <w:rsid w:val="002C6C90"/>
    <w:rsid w:val="002C6CB6"/>
    <w:rsid w:val="002C6E13"/>
    <w:rsid w:val="002C6E20"/>
    <w:rsid w:val="002C6EBD"/>
    <w:rsid w:val="002C6EE0"/>
    <w:rsid w:val="002C6F39"/>
    <w:rsid w:val="002C6F7D"/>
    <w:rsid w:val="002C6F8A"/>
    <w:rsid w:val="002C6FA4"/>
    <w:rsid w:val="002C6FE2"/>
    <w:rsid w:val="002C6FFC"/>
    <w:rsid w:val="002C708D"/>
    <w:rsid w:val="002C70A5"/>
    <w:rsid w:val="002C70CC"/>
    <w:rsid w:val="002C70F9"/>
    <w:rsid w:val="002C710E"/>
    <w:rsid w:val="002C716D"/>
    <w:rsid w:val="002C71EB"/>
    <w:rsid w:val="002C72C2"/>
    <w:rsid w:val="002C72E8"/>
    <w:rsid w:val="002C7333"/>
    <w:rsid w:val="002C7358"/>
    <w:rsid w:val="002C7626"/>
    <w:rsid w:val="002C77C1"/>
    <w:rsid w:val="002C77DC"/>
    <w:rsid w:val="002C7803"/>
    <w:rsid w:val="002C7970"/>
    <w:rsid w:val="002C7A2C"/>
    <w:rsid w:val="002C7A3C"/>
    <w:rsid w:val="002C7B4D"/>
    <w:rsid w:val="002C7BEA"/>
    <w:rsid w:val="002C7C4D"/>
    <w:rsid w:val="002C7CFB"/>
    <w:rsid w:val="002C7D17"/>
    <w:rsid w:val="002C7D6F"/>
    <w:rsid w:val="002C7E96"/>
    <w:rsid w:val="002C7FB8"/>
    <w:rsid w:val="002C7FDE"/>
    <w:rsid w:val="002D0101"/>
    <w:rsid w:val="002D01AD"/>
    <w:rsid w:val="002D027F"/>
    <w:rsid w:val="002D0312"/>
    <w:rsid w:val="002D0370"/>
    <w:rsid w:val="002D0387"/>
    <w:rsid w:val="002D03A3"/>
    <w:rsid w:val="002D0476"/>
    <w:rsid w:val="002D04A4"/>
    <w:rsid w:val="002D04BB"/>
    <w:rsid w:val="002D04C7"/>
    <w:rsid w:val="002D04EE"/>
    <w:rsid w:val="002D0565"/>
    <w:rsid w:val="002D0570"/>
    <w:rsid w:val="002D066D"/>
    <w:rsid w:val="002D079B"/>
    <w:rsid w:val="002D0815"/>
    <w:rsid w:val="002D0867"/>
    <w:rsid w:val="002D086E"/>
    <w:rsid w:val="002D08A8"/>
    <w:rsid w:val="002D08FC"/>
    <w:rsid w:val="002D0975"/>
    <w:rsid w:val="002D0A5D"/>
    <w:rsid w:val="002D0AFB"/>
    <w:rsid w:val="002D0C20"/>
    <w:rsid w:val="002D0C2F"/>
    <w:rsid w:val="002D0D25"/>
    <w:rsid w:val="002D0E20"/>
    <w:rsid w:val="002D0E2C"/>
    <w:rsid w:val="002D0E44"/>
    <w:rsid w:val="002D0E6F"/>
    <w:rsid w:val="002D0E9C"/>
    <w:rsid w:val="002D0EBA"/>
    <w:rsid w:val="002D0FAE"/>
    <w:rsid w:val="002D0FC1"/>
    <w:rsid w:val="002D0FD5"/>
    <w:rsid w:val="002D115F"/>
    <w:rsid w:val="002D11AA"/>
    <w:rsid w:val="002D12D1"/>
    <w:rsid w:val="002D12D5"/>
    <w:rsid w:val="002D133D"/>
    <w:rsid w:val="002D1363"/>
    <w:rsid w:val="002D13C5"/>
    <w:rsid w:val="002D1512"/>
    <w:rsid w:val="002D1544"/>
    <w:rsid w:val="002D1564"/>
    <w:rsid w:val="002D1587"/>
    <w:rsid w:val="002D15AB"/>
    <w:rsid w:val="002D15C4"/>
    <w:rsid w:val="002D1677"/>
    <w:rsid w:val="002D169C"/>
    <w:rsid w:val="002D176F"/>
    <w:rsid w:val="002D177B"/>
    <w:rsid w:val="002D177D"/>
    <w:rsid w:val="002D18A5"/>
    <w:rsid w:val="002D18BC"/>
    <w:rsid w:val="002D18FC"/>
    <w:rsid w:val="002D1908"/>
    <w:rsid w:val="002D1912"/>
    <w:rsid w:val="002D193F"/>
    <w:rsid w:val="002D1957"/>
    <w:rsid w:val="002D19E7"/>
    <w:rsid w:val="002D1A7E"/>
    <w:rsid w:val="002D1A91"/>
    <w:rsid w:val="002D1ACD"/>
    <w:rsid w:val="002D1B28"/>
    <w:rsid w:val="002D1B62"/>
    <w:rsid w:val="002D1B84"/>
    <w:rsid w:val="002D1C59"/>
    <w:rsid w:val="002D1D81"/>
    <w:rsid w:val="002D1E1B"/>
    <w:rsid w:val="002D1F1D"/>
    <w:rsid w:val="002D1F9C"/>
    <w:rsid w:val="002D1FFB"/>
    <w:rsid w:val="002D2017"/>
    <w:rsid w:val="002D2143"/>
    <w:rsid w:val="002D227A"/>
    <w:rsid w:val="002D2290"/>
    <w:rsid w:val="002D22E4"/>
    <w:rsid w:val="002D23E6"/>
    <w:rsid w:val="002D23EA"/>
    <w:rsid w:val="002D241B"/>
    <w:rsid w:val="002D2471"/>
    <w:rsid w:val="002D2518"/>
    <w:rsid w:val="002D2862"/>
    <w:rsid w:val="002D28B5"/>
    <w:rsid w:val="002D28F8"/>
    <w:rsid w:val="002D291D"/>
    <w:rsid w:val="002D2922"/>
    <w:rsid w:val="002D29AD"/>
    <w:rsid w:val="002D29BF"/>
    <w:rsid w:val="002D29D0"/>
    <w:rsid w:val="002D2A3C"/>
    <w:rsid w:val="002D2AAF"/>
    <w:rsid w:val="002D2AD6"/>
    <w:rsid w:val="002D2B73"/>
    <w:rsid w:val="002D2BD0"/>
    <w:rsid w:val="002D2BEC"/>
    <w:rsid w:val="002D2CEF"/>
    <w:rsid w:val="002D2CF9"/>
    <w:rsid w:val="002D2D62"/>
    <w:rsid w:val="002D2DC1"/>
    <w:rsid w:val="002D2E10"/>
    <w:rsid w:val="002D2EDC"/>
    <w:rsid w:val="002D30DE"/>
    <w:rsid w:val="002D3131"/>
    <w:rsid w:val="002D317A"/>
    <w:rsid w:val="002D3196"/>
    <w:rsid w:val="002D3198"/>
    <w:rsid w:val="002D321B"/>
    <w:rsid w:val="002D324B"/>
    <w:rsid w:val="002D3333"/>
    <w:rsid w:val="002D33F5"/>
    <w:rsid w:val="002D3418"/>
    <w:rsid w:val="002D342A"/>
    <w:rsid w:val="002D34AA"/>
    <w:rsid w:val="002D3526"/>
    <w:rsid w:val="002D35BE"/>
    <w:rsid w:val="002D3636"/>
    <w:rsid w:val="002D3662"/>
    <w:rsid w:val="002D3666"/>
    <w:rsid w:val="002D367F"/>
    <w:rsid w:val="002D3695"/>
    <w:rsid w:val="002D369B"/>
    <w:rsid w:val="002D37FD"/>
    <w:rsid w:val="002D389B"/>
    <w:rsid w:val="002D38C9"/>
    <w:rsid w:val="002D38E2"/>
    <w:rsid w:val="002D3939"/>
    <w:rsid w:val="002D3952"/>
    <w:rsid w:val="002D3A39"/>
    <w:rsid w:val="002D3A97"/>
    <w:rsid w:val="002D3BE4"/>
    <w:rsid w:val="002D3BF0"/>
    <w:rsid w:val="002D3C0A"/>
    <w:rsid w:val="002D3E0D"/>
    <w:rsid w:val="002D3EBB"/>
    <w:rsid w:val="002D3FCB"/>
    <w:rsid w:val="002D3FFA"/>
    <w:rsid w:val="002D4071"/>
    <w:rsid w:val="002D40AE"/>
    <w:rsid w:val="002D40CA"/>
    <w:rsid w:val="002D40DA"/>
    <w:rsid w:val="002D4177"/>
    <w:rsid w:val="002D41B5"/>
    <w:rsid w:val="002D4292"/>
    <w:rsid w:val="002D435A"/>
    <w:rsid w:val="002D4392"/>
    <w:rsid w:val="002D4419"/>
    <w:rsid w:val="002D4475"/>
    <w:rsid w:val="002D449B"/>
    <w:rsid w:val="002D4582"/>
    <w:rsid w:val="002D45AD"/>
    <w:rsid w:val="002D45BA"/>
    <w:rsid w:val="002D4799"/>
    <w:rsid w:val="002D482A"/>
    <w:rsid w:val="002D4877"/>
    <w:rsid w:val="002D48B9"/>
    <w:rsid w:val="002D49C6"/>
    <w:rsid w:val="002D4D11"/>
    <w:rsid w:val="002D4D1E"/>
    <w:rsid w:val="002D4D32"/>
    <w:rsid w:val="002D4E1A"/>
    <w:rsid w:val="002D4E54"/>
    <w:rsid w:val="002D4F15"/>
    <w:rsid w:val="002D4F4B"/>
    <w:rsid w:val="002D4FCF"/>
    <w:rsid w:val="002D4FE4"/>
    <w:rsid w:val="002D5038"/>
    <w:rsid w:val="002D5081"/>
    <w:rsid w:val="002D5150"/>
    <w:rsid w:val="002D5151"/>
    <w:rsid w:val="002D5268"/>
    <w:rsid w:val="002D52CA"/>
    <w:rsid w:val="002D52E3"/>
    <w:rsid w:val="002D52F9"/>
    <w:rsid w:val="002D534C"/>
    <w:rsid w:val="002D5354"/>
    <w:rsid w:val="002D555B"/>
    <w:rsid w:val="002D56F0"/>
    <w:rsid w:val="002D572C"/>
    <w:rsid w:val="002D5847"/>
    <w:rsid w:val="002D5909"/>
    <w:rsid w:val="002D59B5"/>
    <w:rsid w:val="002D59F9"/>
    <w:rsid w:val="002D5A08"/>
    <w:rsid w:val="002D5A68"/>
    <w:rsid w:val="002D5C02"/>
    <w:rsid w:val="002D5C16"/>
    <w:rsid w:val="002D5C33"/>
    <w:rsid w:val="002D5C41"/>
    <w:rsid w:val="002D5C85"/>
    <w:rsid w:val="002D5C99"/>
    <w:rsid w:val="002D5D34"/>
    <w:rsid w:val="002D5D63"/>
    <w:rsid w:val="002D5D69"/>
    <w:rsid w:val="002D5D80"/>
    <w:rsid w:val="002D5D9C"/>
    <w:rsid w:val="002D5DC1"/>
    <w:rsid w:val="002D5E0C"/>
    <w:rsid w:val="002D5E4A"/>
    <w:rsid w:val="002D5E4F"/>
    <w:rsid w:val="002D5E76"/>
    <w:rsid w:val="002D5ED6"/>
    <w:rsid w:val="002D5EE7"/>
    <w:rsid w:val="002D5FA1"/>
    <w:rsid w:val="002D5FDA"/>
    <w:rsid w:val="002D6134"/>
    <w:rsid w:val="002D61D2"/>
    <w:rsid w:val="002D61F9"/>
    <w:rsid w:val="002D6255"/>
    <w:rsid w:val="002D6275"/>
    <w:rsid w:val="002D62EE"/>
    <w:rsid w:val="002D62FF"/>
    <w:rsid w:val="002D6303"/>
    <w:rsid w:val="002D6341"/>
    <w:rsid w:val="002D634C"/>
    <w:rsid w:val="002D63DB"/>
    <w:rsid w:val="002D6525"/>
    <w:rsid w:val="002D65F8"/>
    <w:rsid w:val="002D65FD"/>
    <w:rsid w:val="002D66C5"/>
    <w:rsid w:val="002D66FE"/>
    <w:rsid w:val="002D66FF"/>
    <w:rsid w:val="002D68EB"/>
    <w:rsid w:val="002D6934"/>
    <w:rsid w:val="002D6996"/>
    <w:rsid w:val="002D69A6"/>
    <w:rsid w:val="002D69EA"/>
    <w:rsid w:val="002D6B2E"/>
    <w:rsid w:val="002D6B98"/>
    <w:rsid w:val="002D6BC0"/>
    <w:rsid w:val="002D6BED"/>
    <w:rsid w:val="002D6C5D"/>
    <w:rsid w:val="002D6CCD"/>
    <w:rsid w:val="002D6DAE"/>
    <w:rsid w:val="002D6E15"/>
    <w:rsid w:val="002D6F39"/>
    <w:rsid w:val="002D6FAF"/>
    <w:rsid w:val="002D6FCB"/>
    <w:rsid w:val="002D6FCF"/>
    <w:rsid w:val="002D6FED"/>
    <w:rsid w:val="002D70F1"/>
    <w:rsid w:val="002D7174"/>
    <w:rsid w:val="002D71B0"/>
    <w:rsid w:val="002D71E6"/>
    <w:rsid w:val="002D722B"/>
    <w:rsid w:val="002D7238"/>
    <w:rsid w:val="002D727E"/>
    <w:rsid w:val="002D7280"/>
    <w:rsid w:val="002D72B6"/>
    <w:rsid w:val="002D741F"/>
    <w:rsid w:val="002D74B1"/>
    <w:rsid w:val="002D7536"/>
    <w:rsid w:val="002D75D8"/>
    <w:rsid w:val="002D75DC"/>
    <w:rsid w:val="002D75DF"/>
    <w:rsid w:val="002D7650"/>
    <w:rsid w:val="002D77B3"/>
    <w:rsid w:val="002D78B8"/>
    <w:rsid w:val="002D7999"/>
    <w:rsid w:val="002D79F3"/>
    <w:rsid w:val="002D7AAA"/>
    <w:rsid w:val="002D7ADA"/>
    <w:rsid w:val="002D7B24"/>
    <w:rsid w:val="002D7B2D"/>
    <w:rsid w:val="002D7B79"/>
    <w:rsid w:val="002D7B7F"/>
    <w:rsid w:val="002D7C5D"/>
    <w:rsid w:val="002D7DA0"/>
    <w:rsid w:val="002D7DCE"/>
    <w:rsid w:val="002D7E5C"/>
    <w:rsid w:val="002D7EA6"/>
    <w:rsid w:val="002D7F39"/>
    <w:rsid w:val="002E00B9"/>
    <w:rsid w:val="002E011F"/>
    <w:rsid w:val="002E0203"/>
    <w:rsid w:val="002E022D"/>
    <w:rsid w:val="002E033E"/>
    <w:rsid w:val="002E0369"/>
    <w:rsid w:val="002E03A6"/>
    <w:rsid w:val="002E03EF"/>
    <w:rsid w:val="002E042B"/>
    <w:rsid w:val="002E0438"/>
    <w:rsid w:val="002E0624"/>
    <w:rsid w:val="002E069F"/>
    <w:rsid w:val="002E06A1"/>
    <w:rsid w:val="002E070E"/>
    <w:rsid w:val="002E0828"/>
    <w:rsid w:val="002E0849"/>
    <w:rsid w:val="002E084C"/>
    <w:rsid w:val="002E0873"/>
    <w:rsid w:val="002E087F"/>
    <w:rsid w:val="002E088E"/>
    <w:rsid w:val="002E08B6"/>
    <w:rsid w:val="002E0913"/>
    <w:rsid w:val="002E0942"/>
    <w:rsid w:val="002E09B3"/>
    <w:rsid w:val="002E09B8"/>
    <w:rsid w:val="002E09C1"/>
    <w:rsid w:val="002E0A9A"/>
    <w:rsid w:val="002E0A9D"/>
    <w:rsid w:val="002E0AD0"/>
    <w:rsid w:val="002E0B17"/>
    <w:rsid w:val="002E0B1C"/>
    <w:rsid w:val="002E0B75"/>
    <w:rsid w:val="002E0BB0"/>
    <w:rsid w:val="002E0BD1"/>
    <w:rsid w:val="002E0D03"/>
    <w:rsid w:val="002E0D0B"/>
    <w:rsid w:val="002E0D6A"/>
    <w:rsid w:val="002E0D97"/>
    <w:rsid w:val="002E0DFF"/>
    <w:rsid w:val="002E0E95"/>
    <w:rsid w:val="002E0EAC"/>
    <w:rsid w:val="002E0F17"/>
    <w:rsid w:val="002E0FB8"/>
    <w:rsid w:val="002E0FD1"/>
    <w:rsid w:val="002E104B"/>
    <w:rsid w:val="002E10AF"/>
    <w:rsid w:val="002E10D9"/>
    <w:rsid w:val="002E111C"/>
    <w:rsid w:val="002E1161"/>
    <w:rsid w:val="002E1192"/>
    <w:rsid w:val="002E121C"/>
    <w:rsid w:val="002E134C"/>
    <w:rsid w:val="002E1351"/>
    <w:rsid w:val="002E1440"/>
    <w:rsid w:val="002E144A"/>
    <w:rsid w:val="002E145B"/>
    <w:rsid w:val="002E148A"/>
    <w:rsid w:val="002E1595"/>
    <w:rsid w:val="002E159B"/>
    <w:rsid w:val="002E1614"/>
    <w:rsid w:val="002E167F"/>
    <w:rsid w:val="002E16E1"/>
    <w:rsid w:val="002E16E5"/>
    <w:rsid w:val="002E1937"/>
    <w:rsid w:val="002E1991"/>
    <w:rsid w:val="002E1ACF"/>
    <w:rsid w:val="002E1BAA"/>
    <w:rsid w:val="002E1BE1"/>
    <w:rsid w:val="002E1D78"/>
    <w:rsid w:val="002E1EA1"/>
    <w:rsid w:val="002E1FD1"/>
    <w:rsid w:val="002E1FD8"/>
    <w:rsid w:val="002E2030"/>
    <w:rsid w:val="002E218B"/>
    <w:rsid w:val="002E21E7"/>
    <w:rsid w:val="002E2289"/>
    <w:rsid w:val="002E2293"/>
    <w:rsid w:val="002E22CD"/>
    <w:rsid w:val="002E2482"/>
    <w:rsid w:val="002E24A0"/>
    <w:rsid w:val="002E24C9"/>
    <w:rsid w:val="002E251A"/>
    <w:rsid w:val="002E254C"/>
    <w:rsid w:val="002E25C5"/>
    <w:rsid w:val="002E2650"/>
    <w:rsid w:val="002E2675"/>
    <w:rsid w:val="002E2681"/>
    <w:rsid w:val="002E2772"/>
    <w:rsid w:val="002E279A"/>
    <w:rsid w:val="002E279E"/>
    <w:rsid w:val="002E27C1"/>
    <w:rsid w:val="002E27CD"/>
    <w:rsid w:val="002E2920"/>
    <w:rsid w:val="002E299D"/>
    <w:rsid w:val="002E2A93"/>
    <w:rsid w:val="002E2B63"/>
    <w:rsid w:val="002E2B97"/>
    <w:rsid w:val="002E2C1A"/>
    <w:rsid w:val="002E2C44"/>
    <w:rsid w:val="002E2CA6"/>
    <w:rsid w:val="002E2CB4"/>
    <w:rsid w:val="002E2D31"/>
    <w:rsid w:val="002E2D35"/>
    <w:rsid w:val="002E2F3F"/>
    <w:rsid w:val="002E2F46"/>
    <w:rsid w:val="002E303C"/>
    <w:rsid w:val="002E3055"/>
    <w:rsid w:val="002E30DA"/>
    <w:rsid w:val="002E30EC"/>
    <w:rsid w:val="002E3132"/>
    <w:rsid w:val="002E3148"/>
    <w:rsid w:val="002E3158"/>
    <w:rsid w:val="002E31AB"/>
    <w:rsid w:val="002E31C9"/>
    <w:rsid w:val="002E3274"/>
    <w:rsid w:val="002E33FF"/>
    <w:rsid w:val="002E3469"/>
    <w:rsid w:val="002E35BE"/>
    <w:rsid w:val="002E35C8"/>
    <w:rsid w:val="002E35DE"/>
    <w:rsid w:val="002E35EE"/>
    <w:rsid w:val="002E3626"/>
    <w:rsid w:val="002E3711"/>
    <w:rsid w:val="002E37C8"/>
    <w:rsid w:val="002E3882"/>
    <w:rsid w:val="002E3915"/>
    <w:rsid w:val="002E3973"/>
    <w:rsid w:val="002E39AB"/>
    <w:rsid w:val="002E39B0"/>
    <w:rsid w:val="002E39B5"/>
    <w:rsid w:val="002E39FE"/>
    <w:rsid w:val="002E3B87"/>
    <w:rsid w:val="002E3BE6"/>
    <w:rsid w:val="002E3BF3"/>
    <w:rsid w:val="002E3C15"/>
    <w:rsid w:val="002E3E60"/>
    <w:rsid w:val="002E3EA8"/>
    <w:rsid w:val="002E3FAF"/>
    <w:rsid w:val="002E401A"/>
    <w:rsid w:val="002E40CA"/>
    <w:rsid w:val="002E4189"/>
    <w:rsid w:val="002E419D"/>
    <w:rsid w:val="002E421D"/>
    <w:rsid w:val="002E4231"/>
    <w:rsid w:val="002E4240"/>
    <w:rsid w:val="002E4262"/>
    <w:rsid w:val="002E4301"/>
    <w:rsid w:val="002E4319"/>
    <w:rsid w:val="002E43BF"/>
    <w:rsid w:val="002E441D"/>
    <w:rsid w:val="002E4430"/>
    <w:rsid w:val="002E4542"/>
    <w:rsid w:val="002E4566"/>
    <w:rsid w:val="002E457D"/>
    <w:rsid w:val="002E45AB"/>
    <w:rsid w:val="002E45B2"/>
    <w:rsid w:val="002E45B5"/>
    <w:rsid w:val="002E4717"/>
    <w:rsid w:val="002E479A"/>
    <w:rsid w:val="002E484D"/>
    <w:rsid w:val="002E492F"/>
    <w:rsid w:val="002E4AB0"/>
    <w:rsid w:val="002E4B02"/>
    <w:rsid w:val="002E4B2B"/>
    <w:rsid w:val="002E4B5A"/>
    <w:rsid w:val="002E4B65"/>
    <w:rsid w:val="002E4BFF"/>
    <w:rsid w:val="002E4C12"/>
    <w:rsid w:val="002E4C4B"/>
    <w:rsid w:val="002E4CA5"/>
    <w:rsid w:val="002E4E18"/>
    <w:rsid w:val="002E4E2D"/>
    <w:rsid w:val="002E4F36"/>
    <w:rsid w:val="002E4F38"/>
    <w:rsid w:val="002E4FBC"/>
    <w:rsid w:val="002E5011"/>
    <w:rsid w:val="002E502C"/>
    <w:rsid w:val="002E503F"/>
    <w:rsid w:val="002E51C0"/>
    <w:rsid w:val="002E523B"/>
    <w:rsid w:val="002E52A1"/>
    <w:rsid w:val="002E52A9"/>
    <w:rsid w:val="002E53E8"/>
    <w:rsid w:val="002E5420"/>
    <w:rsid w:val="002E5430"/>
    <w:rsid w:val="002E544E"/>
    <w:rsid w:val="002E544F"/>
    <w:rsid w:val="002E5460"/>
    <w:rsid w:val="002E54AC"/>
    <w:rsid w:val="002E54E4"/>
    <w:rsid w:val="002E560D"/>
    <w:rsid w:val="002E5637"/>
    <w:rsid w:val="002E56D1"/>
    <w:rsid w:val="002E5725"/>
    <w:rsid w:val="002E5781"/>
    <w:rsid w:val="002E57EA"/>
    <w:rsid w:val="002E5813"/>
    <w:rsid w:val="002E58BD"/>
    <w:rsid w:val="002E58DC"/>
    <w:rsid w:val="002E5930"/>
    <w:rsid w:val="002E59B9"/>
    <w:rsid w:val="002E5ADC"/>
    <w:rsid w:val="002E5B15"/>
    <w:rsid w:val="002E5BE1"/>
    <w:rsid w:val="002E5CA2"/>
    <w:rsid w:val="002E5CBE"/>
    <w:rsid w:val="002E5D0D"/>
    <w:rsid w:val="002E5D35"/>
    <w:rsid w:val="002E5DA0"/>
    <w:rsid w:val="002E5E3C"/>
    <w:rsid w:val="002E5EC1"/>
    <w:rsid w:val="002E5ED7"/>
    <w:rsid w:val="002E5F03"/>
    <w:rsid w:val="002E603A"/>
    <w:rsid w:val="002E6059"/>
    <w:rsid w:val="002E60D6"/>
    <w:rsid w:val="002E60F7"/>
    <w:rsid w:val="002E6110"/>
    <w:rsid w:val="002E61A0"/>
    <w:rsid w:val="002E621E"/>
    <w:rsid w:val="002E624B"/>
    <w:rsid w:val="002E6257"/>
    <w:rsid w:val="002E6274"/>
    <w:rsid w:val="002E6353"/>
    <w:rsid w:val="002E63DE"/>
    <w:rsid w:val="002E64B2"/>
    <w:rsid w:val="002E64C8"/>
    <w:rsid w:val="002E651A"/>
    <w:rsid w:val="002E660F"/>
    <w:rsid w:val="002E6785"/>
    <w:rsid w:val="002E67A7"/>
    <w:rsid w:val="002E681D"/>
    <w:rsid w:val="002E68BF"/>
    <w:rsid w:val="002E69A1"/>
    <w:rsid w:val="002E6A2A"/>
    <w:rsid w:val="002E6A2C"/>
    <w:rsid w:val="002E6ABD"/>
    <w:rsid w:val="002E6AC7"/>
    <w:rsid w:val="002E6B1B"/>
    <w:rsid w:val="002E6B56"/>
    <w:rsid w:val="002E6BA5"/>
    <w:rsid w:val="002E6BB8"/>
    <w:rsid w:val="002E6C47"/>
    <w:rsid w:val="002E6C55"/>
    <w:rsid w:val="002E6C67"/>
    <w:rsid w:val="002E6CB1"/>
    <w:rsid w:val="002E6CC6"/>
    <w:rsid w:val="002E6CF9"/>
    <w:rsid w:val="002E6D18"/>
    <w:rsid w:val="002E6D3E"/>
    <w:rsid w:val="002E6DD1"/>
    <w:rsid w:val="002E6DEA"/>
    <w:rsid w:val="002E6DFE"/>
    <w:rsid w:val="002E6E8B"/>
    <w:rsid w:val="002E6F2F"/>
    <w:rsid w:val="002E6F97"/>
    <w:rsid w:val="002E6FDA"/>
    <w:rsid w:val="002E7021"/>
    <w:rsid w:val="002E7026"/>
    <w:rsid w:val="002E7077"/>
    <w:rsid w:val="002E7175"/>
    <w:rsid w:val="002E7272"/>
    <w:rsid w:val="002E72BB"/>
    <w:rsid w:val="002E734F"/>
    <w:rsid w:val="002E735F"/>
    <w:rsid w:val="002E73C5"/>
    <w:rsid w:val="002E73F6"/>
    <w:rsid w:val="002E74BB"/>
    <w:rsid w:val="002E752A"/>
    <w:rsid w:val="002E76A7"/>
    <w:rsid w:val="002E76D9"/>
    <w:rsid w:val="002E77EA"/>
    <w:rsid w:val="002E785E"/>
    <w:rsid w:val="002E7884"/>
    <w:rsid w:val="002E7890"/>
    <w:rsid w:val="002E7B34"/>
    <w:rsid w:val="002E7BB9"/>
    <w:rsid w:val="002E7BF8"/>
    <w:rsid w:val="002E7C96"/>
    <w:rsid w:val="002E7DAE"/>
    <w:rsid w:val="002E7E7A"/>
    <w:rsid w:val="002E7E80"/>
    <w:rsid w:val="002F0088"/>
    <w:rsid w:val="002F00A3"/>
    <w:rsid w:val="002F00EB"/>
    <w:rsid w:val="002F0101"/>
    <w:rsid w:val="002F026B"/>
    <w:rsid w:val="002F027B"/>
    <w:rsid w:val="002F02DE"/>
    <w:rsid w:val="002F03D8"/>
    <w:rsid w:val="002F04BF"/>
    <w:rsid w:val="002F05B0"/>
    <w:rsid w:val="002F05F0"/>
    <w:rsid w:val="002F0639"/>
    <w:rsid w:val="002F065D"/>
    <w:rsid w:val="002F0741"/>
    <w:rsid w:val="002F0774"/>
    <w:rsid w:val="002F07AE"/>
    <w:rsid w:val="002F07EB"/>
    <w:rsid w:val="002F0892"/>
    <w:rsid w:val="002F0998"/>
    <w:rsid w:val="002F09B9"/>
    <w:rsid w:val="002F0A79"/>
    <w:rsid w:val="002F0B34"/>
    <w:rsid w:val="002F0C51"/>
    <w:rsid w:val="002F0C6E"/>
    <w:rsid w:val="002F0CE4"/>
    <w:rsid w:val="002F0D7D"/>
    <w:rsid w:val="002F0E13"/>
    <w:rsid w:val="002F0EE1"/>
    <w:rsid w:val="002F0F67"/>
    <w:rsid w:val="002F0F81"/>
    <w:rsid w:val="002F0FA6"/>
    <w:rsid w:val="002F0FF7"/>
    <w:rsid w:val="002F1027"/>
    <w:rsid w:val="002F113C"/>
    <w:rsid w:val="002F1145"/>
    <w:rsid w:val="002F116C"/>
    <w:rsid w:val="002F11A9"/>
    <w:rsid w:val="002F11C2"/>
    <w:rsid w:val="002F11DD"/>
    <w:rsid w:val="002F1226"/>
    <w:rsid w:val="002F13BD"/>
    <w:rsid w:val="002F13D4"/>
    <w:rsid w:val="002F144A"/>
    <w:rsid w:val="002F15C2"/>
    <w:rsid w:val="002F1683"/>
    <w:rsid w:val="002F176B"/>
    <w:rsid w:val="002F1794"/>
    <w:rsid w:val="002F1826"/>
    <w:rsid w:val="002F18A5"/>
    <w:rsid w:val="002F1985"/>
    <w:rsid w:val="002F19D0"/>
    <w:rsid w:val="002F19E6"/>
    <w:rsid w:val="002F1A55"/>
    <w:rsid w:val="002F1A83"/>
    <w:rsid w:val="002F1AB4"/>
    <w:rsid w:val="002F1C02"/>
    <w:rsid w:val="002F1C09"/>
    <w:rsid w:val="002F1C63"/>
    <w:rsid w:val="002F1C70"/>
    <w:rsid w:val="002F1CC6"/>
    <w:rsid w:val="002F1CDB"/>
    <w:rsid w:val="002F1D43"/>
    <w:rsid w:val="002F1ECF"/>
    <w:rsid w:val="002F1FAA"/>
    <w:rsid w:val="002F1FCB"/>
    <w:rsid w:val="002F1FEF"/>
    <w:rsid w:val="002F203E"/>
    <w:rsid w:val="002F20BA"/>
    <w:rsid w:val="002F20DC"/>
    <w:rsid w:val="002F2133"/>
    <w:rsid w:val="002F219E"/>
    <w:rsid w:val="002F2246"/>
    <w:rsid w:val="002F225A"/>
    <w:rsid w:val="002F22A3"/>
    <w:rsid w:val="002F22ED"/>
    <w:rsid w:val="002F232E"/>
    <w:rsid w:val="002F23D5"/>
    <w:rsid w:val="002F2561"/>
    <w:rsid w:val="002F2630"/>
    <w:rsid w:val="002F2734"/>
    <w:rsid w:val="002F2771"/>
    <w:rsid w:val="002F27CA"/>
    <w:rsid w:val="002F2866"/>
    <w:rsid w:val="002F28E9"/>
    <w:rsid w:val="002F28F4"/>
    <w:rsid w:val="002F2995"/>
    <w:rsid w:val="002F29D2"/>
    <w:rsid w:val="002F2B1B"/>
    <w:rsid w:val="002F2B30"/>
    <w:rsid w:val="002F2B62"/>
    <w:rsid w:val="002F2C35"/>
    <w:rsid w:val="002F2D8F"/>
    <w:rsid w:val="002F2EB6"/>
    <w:rsid w:val="002F2ECA"/>
    <w:rsid w:val="002F2FC5"/>
    <w:rsid w:val="002F3191"/>
    <w:rsid w:val="002F31E4"/>
    <w:rsid w:val="002F3207"/>
    <w:rsid w:val="002F3269"/>
    <w:rsid w:val="002F32FA"/>
    <w:rsid w:val="002F332D"/>
    <w:rsid w:val="002F3376"/>
    <w:rsid w:val="002F3398"/>
    <w:rsid w:val="002F352F"/>
    <w:rsid w:val="002F3587"/>
    <w:rsid w:val="002F358A"/>
    <w:rsid w:val="002F35DC"/>
    <w:rsid w:val="002F36A4"/>
    <w:rsid w:val="002F3704"/>
    <w:rsid w:val="002F3708"/>
    <w:rsid w:val="002F381C"/>
    <w:rsid w:val="002F384C"/>
    <w:rsid w:val="002F397D"/>
    <w:rsid w:val="002F39ED"/>
    <w:rsid w:val="002F3AF0"/>
    <w:rsid w:val="002F3B2D"/>
    <w:rsid w:val="002F3B5B"/>
    <w:rsid w:val="002F3CB7"/>
    <w:rsid w:val="002F3DFD"/>
    <w:rsid w:val="002F3FEC"/>
    <w:rsid w:val="002F402D"/>
    <w:rsid w:val="002F40E6"/>
    <w:rsid w:val="002F41AE"/>
    <w:rsid w:val="002F4248"/>
    <w:rsid w:val="002F424D"/>
    <w:rsid w:val="002F431D"/>
    <w:rsid w:val="002F4343"/>
    <w:rsid w:val="002F43A2"/>
    <w:rsid w:val="002F4426"/>
    <w:rsid w:val="002F4469"/>
    <w:rsid w:val="002F45BE"/>
    <w:rsid w:val="002F4628"/>
    <w:rsid w:val="002F462A"/>
    <w:rsid w:val="002F463A"/>
    <w:rsid w:val="002F4673"/>
    <w:rsid w:val="002F4757"/>
    <w:rsid w:val="002F482A"/>
    <w:rsid w:val="002F4887"/>
    <w:rsid w:val="002F491C"/>
    <w:rsid w:val="002F4966"/>
    <w:rsid w:val="002F4A1C"/>
    <w:rsid w:val="002F4A86"/>
    <w:rsid w:val="002F4A87"/>
    <w:rsid w:val="002F4ACA"/>
    <w:rsid w:val="002F4AF8"/>
    <w:rsid w:val="002F4B4B"/>
    <w:rsid w:val="002F4C67"/>
    <w:rsid w:val="002F4CC8"/>
    <w:rsid w:val="002F4CD4"/>
    <w:rsid w:val="002F4D9A"/>
    <w:rsid w:val="002F4F1D"/>
    <w:rsid w:val="002F4F62"/>
    <w:rsid w:val="002F5060"/>
    <w:rsid w:val="002F50CB"/>
    <w:rsid w:val="002F529B"/>
    <w:rsid w:val="002F52BD"/>
    <w:rsid w:val="002F53A2"/>
    <w:rsid w:val="002F53CA"/>
    <w:rsid w:val="002F543F"/>
    <w:rsid w:val="002F545B"/>
    <w:rsid w:val="002F5491"/>
    <w:rsid w:val="002F54AB"/>
    <w:rsid w:val="002F553A"/>
    <w:rsid w:val="002F564F"/>
    <w:rsid w:val="002F569E"/>
    <w:rsid w:val="002F57F1"/>
    <w:rsid w:val="002F582C"/>
    <w:rsid w:val="002F58DC"/>
    <w:rsid w:val="002F590E"/>
    <w:rsid w:val="002F5925"/>
    <w:rsid w:val="002F59F1"/>
    <w:rsid w:val="002F5AB7"/>
    <w:rsid w:val="002F5D81"/>
    <w:rsid w:val="002F5E80"/>
    <w:rsid w:val="002F5EDB"/>
    <w:rsid w:val="002F5F15"/>
    <w:rsid w:val="002F5FB7"/>
    <w:rsid w:val="002F60D7"/>
    <w:rsid w:val="002F6112"/>
    <w:rsid w:val="002F620F"/>
    <w:rsid w:val="002F6231"/>
    <w:rsid w:val="002F624F"/>
    <w:rsid w:val="002F626D"/>
    <w:rsid w:val="002F636D"/>
    <w:rsid w:val="002F6382"/>
    <w:rsid w:val="002F6428"/>
    <w:rsid w:val="002F6458"/>
    <w:rsid w:val="002F648F"/>
    <w:rsid w:val="002F6618"/>
    <w:rsid w:val="002F66DC"/>
    <w:rsid w:val="002F670B"/>
    <w:rsid w:val="002F6793"/>
    <w:rsid w:val="002F67A6"/>
    <w:rsid w:val="002F683D"/>
    <w:rsid w:val="002F686C"/>
    <w:rsid w:val="002F6871"/>
    <w:rsid w:val="002F6910"/>
    <w:rsid w:val="002F692A"/>
    <w:rsid w:val="002F694A"/>
    <w:rsid w:val="002F69E2"/>
    <w:rsid w:val="002F6A39"/>
    <w:rsid w:val="002F6A8F"/>
    <w:rsid w:val="002F6B44"/>
    <w:rsid w:val="002F6C26"/>
    <w:rsid w:val="002F6C6F"/>
    <w:rsid w:val="002F6D73"/>
    <w:rsid w:val="002F6D82"/>
    <w:rsid w:val="002F6DE6"/>
    <w:rsid w:val="002F6E28"/>
    <w:rsid w:val="002F6EA1"/>
    <w:rsid w:val="002F7150"/>
    <w:rsid w:val="002F721D"/>
    <w:rsid w:val="002F721F"/>
    <w:rsid w:val="002F7258"/>
    <w:rsid w:val="002F72C2"/>
    <w:rsid w:val="002F7366"/>
    <w:rsid w:val="002F73B8"/>
    <w:rsid w:val="002F73C2"/>
    <w:rsid w:val="002F74B7"/>
    <w:rsid w:val="002F7533"/>
    <w:rsid w:val="002F7595"/>
    <w:rsid w:val="002F7637"/>
    <w:rsid w:val="002F7652"/>
    <w:rsid w:val="002F766D"/>
    <w:rsid w:val="002F76DE"/>
    <w:rsid w:val="002F772A"/>
    <w:rsid w:val="002F77FC"/>
    <w:rsid w:val="002F7831"/>
    <w:rsid w:val="002F7910"/>
    <w:rsid w:val="002F7938"/>
    <w:rsid w:val="002F79F0"/>
    <w:rsid w:val="002F7A56"/>
    <w:rsid w:val="002F7AFE"/>
    <w:rsid w:val="002F7B56"/>
    <w:rsid w:val="002F7BA6"/>
    <w:rsid w:val="002F7BDA"/>
    <w:rsid w:val="002F7BEB"/>
    <w:rsid w:val="002F7BF8"/>
    <w:rsid w:val="002F7BFB"/>
    <w:rsid w:val="002F7CD3"/>
    <w:rsid w:val="002F7D20"/>
    <w:rsid w:val="002F7D57"/>
    <w:rsid w:val="002F7D6B"/>
    <w:rsid w:val="002F7DCF"/>
    <w:rsid w:val="002F7E94"/>
    <w:rsid w:val="002F7ECD"/>
    <w:rsid w:val="002F7FFB"/>
    <w:rsid w:val="003000EE"/>
    <w:rsid w:val="0030011E"/>
    <w:rsid w:val="003001B6"/>
    <w:rsid w:val="00300273"/>
    <w:rsid w:val="003002B0"/>
    <w:rsid w:val="003002B1"/>
    <w:rsid w:val="00300350"/>
    <w:rsid w:val="003003D1"/>
    <w:rsid w:val="003003E0"/>
    <w:rsid w:val="003004D2"/>
    <w:rsid w:val="00300599"/>
    <w:rsid w:val="00300717"/>
    <w:rsid w:val="00300722"/>
    <w:rsid w:val="00300841"/>
    <w:rsid w:val="00300848"/>
    <w:rsid w:val="0030085C"/>
    <w:rsid w:val="00300877"/>
    <w:rsid w:val="00300896"/>
    <w:rsid w:val="0030095B"/>
    <w:rsid w:val="003009E1"/>
    <w:rsid w:val="00300A99"/>
    <w:rsid w:val="00300BF3"/>
    <w:rsid w:val="00300CDD"/>
    <w:rsid w:val="00300CEB"/>
    <w:rsid w:val="00300CEE"/>
    <w:rsid w:val="00300D78"/>
    <w:rsid w:val="00300E4D"/>
    <w:rsid w:val="00300E94"/>
    <w:rsid w:val="00300F1C"/>
    <w:rsid w:val="00300F54"/>
    <w:rsid w:val="00300F9C"/>
    <w:rsid w:val="0030107A"/>
    <w:rsid w:val="003010A1"/>
    <w:rsid w:val="003010DC"/>
    <w:rsid w:val="0030112E"/>
    <w:rsid w:val="0030114E"/>
    <w:rsid w:val="00301175"/>
    <w:rsid w:val="00301219"/>
    <w:rsid w:val="003012AE"/>
    <w:rsid w:val="003012D1"/>
    <w:rsid w:val="003013AB"/>
    <w:rsid w:val="003013BA"/>
    <w:rsid w:val="003013F3"/>
    <w:rsid w:val="00301489"/>
    <w:rsid w:val="003014D5"/>
    <w:rsid w:val="003015D1"/>
    <w:rsid w:val="003016E0"/>
    <w:rsid w:val="0030186C"/>
    <w:rsid w:val="0030196C"/>
    <w:rsid w:val="003019D5"/>
    <w:rsid w:val="00301A9B"/>
    <w:rsid w:val="00301AB2"/>
    <w:rsid w:val="00301B99"/>
    <w:rsid w:val="00301BD2"/>
    <w:rsid w:val="00301C69"/>
    <w:rsid w:val="00301C9E"/>
    <w:rsid w:val="00301D37"/>
    <w:rsid w:val="00301D65"/>
    <w:rsid w:val="00301DA9"/>
    <w:rsid w:val="00301DC8"/>
    <w:rsid w:val="00301E2B"/>
    <w:rsid w:val="00301EAD"/>
    <w:rsid w:val="00301F22"/>
    <w:rsid w:val="00301F58"/>
    <w:rsid w:val="00301FC1"/>
    <w:rsid w:val="0030206E"/>
    <w:rsid w:val="0030207F"/>
    <w:rsid w:val="00302095"/>
    <w:rsid w:val="003020F2"/>
    <w:rsid w:val="003020FB"/>
    <w:rsid w:val="00302132"/>
    <w:rsid w:val="003021A5"/>
    <w:rsid w:val="00302211"/>
    <w:rsid w:val="00302313"/>
    <w:rsid w:val="00302346"/>
    <w:rsid w:val="003023B2"/>
    <w:rsid w:val="003023DA"/>
    <w:rsid w:val="003023DE"/>
    <w:rsid w:val="003025E2"/>
    <w:rsid w:val="00302623"/>
    <w:rsid w:val="003026A7"/>
    <w:rsid w:val="003026EC"/>
    <w:rsid w:val="003027E3"/>
    <w:rsid w:val="003027F4"/>
    <w:rsid w:val="00302854"/>
    <w:rsid w:val="00302890"/>
    <w:rsid w:val="003029FB"/>
    <w:rsid w:val="00302A3B"/>
    <w:rsid w:val="00302A4C"/>
    <w:rsid w:val="00302AB3"/>
    <w:rsid w:val="00302AF0"/>
    <w:rsid w:val="00302B49"/>
    <w:rsid w:val="00302C1C"/>
    <w:rsid w:val="00302C31"/>
    <w:rsid w:val="00302C3D"/>
    <w:rsid w:val="00302C65"/>
    <w:rsid w:val="00302CE3"/>
    <w:rsid w:val="00302CFD"/>
    <w:rsid w:val="00302D0A"/>
    <w:rsid w:val="00302DA2"/>
    <w:rsid w:val="00302DB7"/>
    <w:rsid w:val="00302E4D"/>
    <w:rsid w:val="00302E53"/>
    <w:rsid w:val="00302F02"/>
    <w:rsid w:val="00302F31"/>
    <w:rsid w:val="00302F72"/>
    <w:rsid w:val="00302F83"/>
    <w:rsid w:val="00303071"/>
    <w:rsid w:val="003030D3"/>
    <w:rsid w:val="0030317E"/>
    <w:rsid w:val="003031EC"/>
    <w:rsid w:val="00303209"/>
    <w:rsid w:val="00303362"/>
    <w:rsid w:val="0030337E"/>
    <w:rsid w:val="0030345A"/>
    <w:rsid w:val="00303549"/>
    <w:rsid w:val="003035BB"/>
    <w:rsid w:val="003036A1"/>
    <w:rsid w:val="003036A3"/>
    <w:rsid w:val="0030371D"/>
    <w:rsid w:val="00303795"/>
    <w:rsid w:val="003037D9"/>
    <w:rsid w:val="003037FA"/>
    <w:rsid w:val="00303947"/>
    <w:rsid w:val="00303974"/>
    <w:rsid w:val="003039EE"/>
    <w:rsid w:val="00303A84"/>
    <w:rsid w:val="00303AAF"/>
    <w:rsid w:val="00303B20"/>
    <w:rsid w:val="00303B25"/>
    <w:rsid w:val="00303B84"/>
    <w:rsid w:val="00303CE3"/>
    <w:rsid w:val="00303DAF"/>
    <w:rsid w:val="00303DF0"/>
    <w:rsid w:val="00303E18"/>
    <w:rsid w:val="00303ED5"/>
    <w:rsid w:val="00303F9D"/>
    <w:rsid w:val="00303FE3"/>
    <w:rsid w:val="00304124"/>
    <w:rsid w:val="0030414C"/>
    <w:rsid w:val="003041BF"/>
    <w:rsid w:val="003042CE"/>
    <w:rsid w:val="003042D7"/>
    <w:rsid w:val="00304371"/>
    <w:rsid w:val="003043DB"/>
    <w:rsid w:val="003043E7"/>
    <w:rsid w:val="003043F7"/>
    <w:rsid w:val="0030446B"/>
    <w:rsid w:val="003044AA"/>
    <w:rsid w:val="00304691"/>
    <w:rsid w:val="0030476F"/>
    <w:rsid w:val="00304822"/>
    <w:rsid w:val="00304898"/>
    <w:rsid w:val="003048AB"/>
    <w:rsid w:val="00304922"/>
    <w:rsid w:val="00304997"/>
    <w:rsid w:val="003049D9"/>
    <w:rsid w:val="00304A1B"/>
    <w:rsid w:val="00304A7F"/>
    <w:rsid w:val="00304AAC"/>
    <w:rsid w:val="00304AD0"/>
    <w:rsid w:val="00304B5D"/>
    <w:rsid w:val="00304C38"/>
    <w:rsid w:val="00304CE9"/>
    <w:rsid w:val="00304D3A"/>
    <w:rsid w:val="00304DFB"/>
    <w:rsid w:val="00304E39"/>
    <w:rsid w:val="00304E4F"/>
    <w:rsid w:val="00304EAC"/>
    <w:rsid w:val="00304EB1"/>
    <w:rsid w:val="00304FD5"/>
    <w:rsid w:val="00305009"/>
    <w:rsid w:val="0030500E"/>
    <w:rsid w:val="00305052"/>
    <w:rsid w:val="003050FF"/>
    <w:rsid w:val="0030512D"/>
    <w:rsid w:val="003051B1"/>
    <w:rsid w:val="00305277"/>
    <w:rsid w:val="00305278"/>
    <w:rsid w:val="003053F2"/>
    <w:rsid w:val="003054B3"/>
    <w:rsid w:val="003054DC"/>
    <w:rsid w:val="003054DF"/>
    <w:rsid w:val="00305510"/>
    <w:rsid w:val="003055FC"/>
    <w:rsid w:val="00305638"/>
    <w:rsid w:val="0030566A"/>
    <w:rsid w:val="0030570D"/>
    <w:rsid w:val="0030571C"/>
    <w:rsid w:val="00305811"/>
    <w:rsid w:val="00305875"/>
    <w:rsid w:val="00305942"/>
    <w:rsid w:val="00305954"/>
    <w:rsid w:val="003059DB"/>
    <w:rsid w:val="00305A7E"/>
    <w:rsid w:val="00305B8C"/>
    <w:rsid w:val="00305BC3"/>
    <w:rsid w:val="00305BD5"/>
    <w:rsid w:val="00305C3D"/>
    <w:rsid w:val="00305C5F"/>
    <w:rsid w:val="00305CC0"/>
    <w:rsid w:val="00305D51"/>
    <w:rsid w:val="00305DA3"/>
    <w:rsid w:val="00305E22"/>
    <w:rsid w:val="00305E41"/>
    <w:rsid w:val="00305EFD"/>
    <w:rsid w:val="00306002"/>
    <w:rsid w:val="00306006"/>
    <w:rsid w:val="0030608A"/>
    <w:rsid w:val="00306096"/>
    <w:rsid w:val="003060DC"/>
    <w:rsid w:val="00306159"/>
    <w:rsid w:val="003061D6"/>
    <w:rsid w:val="00306222"/>
    <w:rsid w:val="0030622C"/>
    <w:rsid w:val="00306238"/>
    <w:rsid w:val="0030636C"/>
    <w:rsid w:val="00306384"/>
    <w:rsid w:val="00306385"/>
    <w:rsid w:val="003063F6"/>
    <w:rsid w:val="00306410"/>
    <w:rsid w:val="0030663E"/>
    <w:rsid w:val="003066C1"/>
    <w:rsid w:val="003067F1"/>
    <w:rsid w:val="00306812"/>
    <w:rsid w:val="0030692E"/>
    <w:rsid w:val="0030696D"/>
    <w:rsid w:val="0030697B"/>
    <w:rsid w:val="003069DA"/>
    <w:rsid w:val="00306A2D"/>
    <w:rsid w:val="00306ABF"/>
    <w:rsid w:val="00306AE7"/>
    <w:rsid w:val="00306AF4"/>
    <w:rsid w:val="00306AF6"/>
    <w:rsid w:val="00306B5A"/>
    <w:rsid w:val="00306C28"/>
    <w:rsid w:val="00306CEB"/>
    <w:rsid w:val="00306D8C"/>
    <w:rsid w:val="00306D96"/>
    <w:rsid w:val="00306E5C"/>
    <w:rsid w:val="00306F08"/>
    <w:rsid w:val="00307038"/>
    <w:rsid w:val="0030703D"/>
    <w:rsid w:val="0030709E"/>
    <w:rsid w:val="003070B2"/>
    <w:rsid w:val="0030714F"/>
    <w:rsid w:val="0030719D"/>
    <w:rsid w:val="00307267"/>
    <w:rsid w:val="003072DC"/>
    <w:rsid w:val="003073A7"/>
    <w:rsid w:val="00307421"/>
    <w:rsid w:val="0030744C"/>
    <w:rsid w:val="003074E1"/>
    <w:rsid w:val="00307505"/>
    <w:rsid w:val="0030756E"/>
    <w:rsid w:val="00307625"/>
    <w:rsid w:val="003076DD"/>
    <w:rsid w:val="00307741"/>
    <w:rsid w:val="00307759"/>
    <w:rsid w:val="003077CF"/>
    <w:rsid w:val="00307831"/>
    <w:rsid w:val="0030798E"/>
    <w:rsid w:val="00307A1B"/>
    <w:rsid w:val="00307A40"/>
    <w:rsid w:val="00307AAF"/>
    <w:rsid w:val="00307AC9"/>
    <w:rsid w:val="00307B60"/>
    <w:rsid w:val="00307B9A"/>
    <w:rsid w:val="00307BD6"/>
    <w:rsid w:val="00307C24"/>
    <w:rsid w:val="00307D04"/>
    <w:rsid w:val="00307D4E"/>
    <w:rsid w:val="00307E47"/>
    <w:rsid w:val="00307E7C"/>
    <w:rsid w:val="00307F14"/>
    <w:rsid w:val="00307FBE"/>
    <w:rsid w:val="00307FCD"/>
    <w:rsid w:val="0031006F"/>
    <w:rsid w:val="00310190"/>
    <w:rsid w:val="003103AA"/>
    <w:rsid w:val="0031043C"/>
    <w:rsid w:val="003105B1"/>
    <w:rsid w:val="003105DC"/>
    <w:rsid w:val="003105FD"/>
    <w:rsid w:val="0031061B"/>
    <w:rsid w:val="00310625"/>
    <w:rsid w:val="00310656"/>
    <w:rsid w:val="0031065A"/>
    <w:rsid w:val="00310664"/>
    <w:rsid w:val="003106AD"/>
    <w:rsid w:val="003106C0"/>
    <w:rsid w:val="00310708"/>
    <w:rsid w:val="003108F1"/>
    <w:rsid w:val="00310927"/>
    <w:rsid w:val="00310958"/>
    <w:rsid w:val="00310A1B"/>
    <w:rsid w:val="00310A1E"/>
    <w:rsid w:val="00310A3F"/>
    <w:rsid w:val="00310AF4"/>
    <w:rsid w:val="00310B8D"/>
    <w:rsid w:val="00310BAB"/>
    <w:rsid w:val="00310CE1"/>
    <w:rsid w:val="00310D06"/>
    <w:rsid w:val="00310D9B"/>
    <w:rsid w:val="00310EC7"/>
    <w:rsid w:val="00310EE0"/>
    <w:rsid w:val="00310F45"/>
    <w:rsid w:val="00311041"/>
    <w:rsid w:val="00311050"/>
    <w:rsid w:val="00311098"/>
    <w:rsid w:val="00311155"/>
    <w:rsid w:val="0031121A"/>
    <w:rsid w:val="0031124F"/>
    <w:rsid w:val="0031128F"/>
    <w:rsid w:val="00311333"/>
    <w:rsid w:val="00311446"/>
    <w:rsid w:val="0031146A"/>
    <w:rsid w:val="00311474"/>
    <w:rsid w:val="003114B5"/>
    <w:rsid w:val="003115A8"/>
    <w:rsid w:val="00311648"/>
    <w:rsid w:val="003116AB"/>
    <w:rsid w:val="0031174E"/>
    <w:rsid w:val="003117A7"/>
    <w:rsid w:val="003117EC"/>
    <w:rsid w:val="003118B9"/>
    <w:rsid w:val="00311922"/>
    <w:rsid w:val="00311962"/>
    <w:rsid w:val="0031197B"/>
    <w:rsid w:val="003119D5"/>
    <w:rsid w:val="00311A44"/>
    <w:rsid w:val="00311A75"/>
    <w:rsid w:val="00311C3C"/>
    <w:rsid w:val="00311D53"/>
    <w:rsid w:val="00311D77"/>
    <w:rsid w:val="00311DB4"/>
    <w:rsid w:val="00311F15"/>
    <w:rsid w:val="003120A5"/>
    <w:rsid w:val="00312188"/>
    <w:rsid w:val="003121DB"/>
    <w:rsid w:val="00312272"/>
    <w:rsid w:val="0031230D"/>
    <w:rsid w:val="00312341"/>
    <w:rsid w:val="00312424"/>
    <w:rsid w:val="0031244A"/>
    <w:rsid w:val="003124A5"/>
    <w:rsid w:val="003124F8"/>
    <w:rsid w:val="00312539"/>
    <w:rsid w:val="00312543"/>
    <w:rsid w:val="00312547"/>
    <w:rsid w:val="00312562"/>
    <w:rsid w:val="00312563"/>
    <w:rsid w:val="0031256B"/>
    <w:rsid w:val="003125B5"/>
    <w:rsid w:val="00312612"/>
    <w:rsid w:val="00312626"/>
    <w:rsid w:val="00312674"/>
    <w:rsid w:val="003127E8"/>
    <w:rsid w:val="00312829"/>
    <w:rsid w:val="0031290E"/>
    <w:rsid w:val="0031292A"/>
    <w:rsid w:val="00312A0C"/>
    <w:rsid w:val="00312A4F"/>
    <w:rsid w:val="00312B0C"/>
    <w:rsid w:val="00312B37"/>
    <w:rsid w:val="00312B3F"/>
    <w:rsid w:val="00312B74"/>
    <w:rsid w:val="00312BF6"/>
    <w:rsid w:val="00312C49"/>
    <w:rsid w:val="00312C60"/>
    <w:rsid w:val="00312CE2"/>
    <w:rsid w:val="00312E60"/>
    <w:rsid w:val="00312EA6"/>
    <w:rsid w:val="00312EB3"/>
    <w:rsid w:val="00312EB6"/>
    <w:rsid w:val="00312EC2"/>
    <w:rsid w:val="00312EFD"/>
    <w:rsid w:val="00312F7F"/>
    <w:rsid w:val="00313019"/>
    <w:rsid w:val="00313072"/>
    <w:rsid w:val="0031309C"/>
    <w:rsid w:val="003130B6"/>
    <w:rsid w:val="00313182"/>
    <w:rsid w:val="0031318E"/>
    <w:rsid w:val="00313225"/>
    <w:rsid w:val="00313239"/>
    <w:rsid w:val="003133A2"/>
    <w:rsid w:val="003133A7"/>
    <w:rsid w:val="0031342A"/>
    <w:rsid w:val="00313445"/>
    <w:rsid w:val="00313463"/>
    <w:rsid w:val="0031353D"/>
    <w:rsid w:val="003135AB"/>
    <w:rsid w:val="003135B3"/>
    <w:rsid w:val="003135E0"/>
    <w:rsid w:val="0031364E"/>
    <w:rsid w:val="00313809"/>
    <w:rsid w:val="00313882"/>
    <w:rsid w:val="003138A0"/>
    <w:rsid w:val="003138C1"/>
    <w:rsid w:val="00313A22"/>
    <w:rsid w:val="00313A36"/>
    <w:rsid w:val="00313A8D"/>
    <w:rsid w:val="00313B97"/>
    <w:rsid w:val="00313B99"/>
    <w:rsid w:val="00313BA7"/>
    <w:rsid w:val="00313C98"/>
    <w:rsid w:val="00313CD9"/>
    <w:rsid w:val="00313CE9"/>
    <w:rsid w:val="00313D49"/>
    <w:rsid w:val="00313D77"/>
    <w:rsid w:val="00313D8E"/>
    <w:rsid w:val="00313D94"/>
    <w:rsid w:val="00313DD9"/>
    <w:rsid w:val="00313DEC"/>
    <w:rsid w:val="00313E02"/>
    <w:rsid w:val="00313F81"/>
    <w:rsid w:val="0031401F"/>
    <w:rsid w:val="00314025"/>
    <w:rsid w:val="00314113"/>
    <w:rsid w:val="0031416C"/>
    <w:rsid w:val="0031416F"/>
    <w:rsid w:val="00314180"/>
    <w:rsid w:val="003141B6"/>
    <w:rsid w:val="0031422C"/>
    <w:rsid w:val="00314282"/>
    <w:rsid w:val="003142C1"/>
    <w:rsid w:val="003142E9"/>
    <w:rsid w:val="00314357"/>
    <w:rsid w:val="003143EA"/>
    <w:rsid w:val="00314411"/>
    <w:rsid w:val="00314413"/>
    <w:rsid w:val="0031445D"/>
    <w:rsid w:val="0031448A"/>
    <w:rsid w:val="0031451A"/>
    <w:rsid w:val="0031453C"/>
    <w:rsid w:val="0031455A"/>
    <w:rsid w:val="003145E7"/>
    <w:rsid w:val="003145FB"/>
    <w:rsid w:val="00314656"/>
    <w:rsid w:val="003146B5"/>
    <w:rsid w:val="003146E5"/>
    <w:rsid w:val="0031473E"/>
    <w:rsid w:val="00314787"/>
    <w:rsid w:val="00314811"/>
    <w:rsid w:val="003148C9"/>
    <w:rsid w:val="0031494B"/>
    <w:rsid w:val="00314956"/>
    <w:rsid w:val="0031498B"/>
    <w:rsid w:val="003149A4"/>
    <w:rsid w:val="003149D7"/>
    <w:rsid w:val="003149DF"/>
    <w:rsid w:val="00314A0D"/>
    <w:rsid w:val="00314B5B"/>
    <w:rsid w:val="00314DA0"/>
    <w:rsid w:val="00314DA7"/>
    <w:rsid w:val="00314E15"/>
    <w:rsid w:val="00314EA0"/>
    <w:rsid w:val="00314EF7"/>
    <w:rsid w:val="00314F08"/>
    <w:rsid w:val="00315030"/>
    <w:rsid w:val="003150A5"/>
    <w:rsid w:val="003150B5"/>
    <w:rsid w:val="00315116"/>
    <w:rsid w:val="0031514C"/>
    <w:rsid w:val="003151FC"/>
    <w:rsid w:val="00315304"/>
    <w:rsid w:val="0031530C"/>
    <w:rsid w:val="00315366"/>
    <w:rsid w:val="003153B6"/>
    <w:rsid w:val="00315474"/>
    <w:rsid w:val="00315476"/>
    <w:rsid w:val="003154D0"/>
    <w:rsid w:val="00315563"/>
    <w:rsid w:val="00315570"/>
    <w:rsid w:val="00315628"/>
    <w:rsid w:val="00315672"/>
    <w:rsid w:val="003156E9"/>
    <w:rsid w:val="00315774"/>
    <w:rsid w:val="003157A9"/>
    <w:rsid w:val="003157EF"/>
    <w:rsid w:val="00315817"/>
    <w:rsid w:val="0031581C"/>
    <w:rsid w:val="003158E1"/>
    <w:rsid w:val="003158F3"/>
    <w:rsid w:val="0031591A"/>
    <w:rsid w:val="00315A1A"/>
    <w:rsid w:val="00315AB5"/>
    <w:rsid w:val="00315AEB"/>
    <w:rsid w:val="00315AF9"/>
    <w:rsid w:val="00315B74"/>
    <w:rsid w:val="00315BBD"/>
    <w:rsid w:val="00315C4B"/>
    <w:rsid w:val="00315D2E"/>
    <w:rsid w:val="00315D43"/>
    <w:rsid w:val="00315D70"/>
    <w:rsid w:val="00315DB6"/>
    <w:rsid w:val="00315E81"/>
    <w:rsid w:val="00315FFF"/>
    <w:rsid w:val="00316019"/>
    <w:rsid w:val="00316088"/>
    <w:rsid w:val="003160C5"/>
    <w:rsid w:val="00316157"/>
    <w:rsid w:val="0031618E"/>
    <w:rsid w:val="00316315"/>
    <w:rsid w:val="00316402"/>
    <w:rsid w:val="00316447"/>
    <w:rsid w:val="0031657F"/>
    <w:rsid w:val="003165A2"/>
    <w:rsid w:val="00316603"/>
    <w:rsid w:val="00316630"/>
    <w:rsid w:val="00316665"/>
    <w:rsid w:val="00316760"/>
    <w:rsid w:val="003168B4"/>
    <w:rsid w:val="003168DB"/>
    <w:rsid w:val="003169E5"/>
    <w:rsid w:val="00316A16"/>
    <w:rsid w:val="00316A8A"/>
    <w:rsid w:val="00316B39"/>
    <w:rsid w:val="00316C33"/>
    <w:rsid w:val="00316C88"/>
    <w:rsid w:val="00316D3E"/>
    <w:rsid w:val="00316DBF"/>
    <w:rsid w:val="00316DC4"/>
    <w:rsid w:val="00316E07"/>
    <w:rsid w:val="00316EA9"/>
    <w:rsid w:val="00316F4A"/>
    <w:rsid w:val="00316F62"/>
    <w:rsid w:val="00316F69"/>
    <w:rsid w:val="00316FFA"/>
    <w:rsid w:val="003170BF"/>
    <w:rsid w:val="003170D1"/>
    <w:rsid w:val="00317189"/>
    <w:rsid w:val="003171C5"/>
    <w:rsid w:val="003171DB"/>
    <w:rsid w:val="0031726E"/>
    <w:rsid w:val="00317272"/>
    <w:rsid w:val="00317338"/>
    <w:rsid w:val="003173F6"/>
    <w:rsid w:val="00317531"/>
    <w:rsid w:val="00317584"/>
    <w:rsid w:val="003175A1"/>
    <w:rsid w:val="00317610"/>
    <w:rsid w:val="00317632"/>
    <w:rsid w:val="00317699"/>
    <w:rsid w:val="003176A4"/>
    <w:rsid w:val="00317740"/>
    <w:rsid w:val="003177AF"/>
    <w:rsid w:val="003177F3"/>
    <w:rsid w:val="00317800"/>
    <w:rsid w:val="00317856"/>
    <w:rsid w:val="003178CA"/>
    <w:rsid w:val="003178FC"/>
    <w:rsid w:val="00317AF6"/>
    <w:rsid w:val="00317AFD"/>
    <w:rsid w:val="00317B65"/>
    <w:rsid w:val="00317B8D"/>
    <w:rsid w:val="00317C12"/>
    <w:rsid w:val="00317C53"/>
    <w:rsid w:val="00317CB1"/>
    <w:rsid w:val="00317D80"/>
    <w:rsid w:val="00317E5A"/>
    <w:rsid w:val="00317EA6"/>
    <w:rsid w:val="00317EAE"/>
    <w:rsid w:val="00317EDD"/>
    <w:rsid w:val="00317F47"/>
    <w:rsid w:val="00317F49"/>
    <w:rsid w:val="0032003E"/>
    <w:rsid w:val="0032018F"/>
    <w:rsid w:val="003201DA"/>
    <w:rsid w:val="003201EB"/>
    <w:rsid w:val="00320248"/>
    <w:rsid w:val="00320253"/>
    <w:rsid w:val="00320316"/>
    <w:rsid w:val="003204E3"/>
    <w:rsid w:val="003205B9"/>
    <w:rsid w:val="00320760"/>
    <w:rsid w:val="0032092F"/>
    <w:rsid w:val="0032095E"/>
    <w:rsid w:val="003209D6"/>
    <w:rsid w:val="003209F1"/>
    <w:rsid w:val="00320A75"/>
    <w:rsid w:val="00320A7B"/>
    <w:rsid w:val="00320AB1"/>
    <w:rsid w:val="00320B96"/>
    <w:rsid w:val="00320BB1"/>
    <w:rsid w:val="00320C37"/>
    <w:rsid w:val="00320CC6"/>
    <w:rsid w:val="00320D3A"/>
    <w:rsid w:val="00320DC7"/>
    <w:rsid w:val="00320E62"/>
    <w:rsid w:val="00320E7D"/>
    <w:rsid w:val="00320F0D"/>
    <w:rsid w:val="00320F4C"/>
    <w:rsid w:val="00320F55"/>
    <w:rsid w:val="00320F60"/>
    <w:rsid w:val="00320F82"/>
    <w:rsid w:val="00320F98"/>
    <w:rsid w:val="00320FEB"/>
    <w:rsid w:val="0032109D"/>
    <w:rsid w:val="003210E5"/>
    <w:rsid w:val="00321114"/>
    <w:rsid w:val="00321179"/>
    <w:rsid w:val="003211BC"/>
    <w:rsid w:val="003211D6"/>
    <w:rsid w:val="003211F5"/>
    <w:rsid w:val="00321207"/>
    <w:rsid w:val="0032123E"/>
    <w:rsid w:val="0032124F"/>
    <w:rsid w:val="003212A1"/>
    <w:rsid w:val="003212E2"/>
    <w:rsid w:val="00321332"/>
    <w:rsid w:val="0032135B"/>
    <w:rsid w:val="00321389"/>
    <w:rsid w:val="003213D2"/>
    <w:rsid w:val="003213DB"/>
    <w:rsid w:val="003214AC"/>
    <w:rsid w:val="00321592"/>
    <w:rsid w:val="0032165B"/>
    <w:rsid w:val="00321719"/>
    <w:rsid w:val="003217EA"/>
    <w:rsid w:val="003218EC"/>
    <w:rsid w:val="00321A21"/>
    <w:rsid w:val="00321A56"/>
    <w:rsid w:val="00321AED"/>
    <w:rsid w:val="00321C2C"/>
    <w:rsid w:val="00321C93"/>
    <w:rsid w:val="00321CC0"/>
    <w:rsid w:val="00321D0E"/>
    <w:rsid w:val="00321DA7"/>
    <w:rsid w:val="00321DE6"/>
    <w:rsid w:val="00321E5C"/>
    <w:rsid w:val="00321F31"/>
    <w:rsid w:val="00321FE9"/>
    <w:rsid w:val="0032200A"/>
    <w:rsid w:val="0032205A"/>
    <w:rsid w:val="00322072"/>
    <w:rsid w:val="003220A0"/>
    <w:rsid w:val="0032214E"/>
    <w:rsid w:val="00322162"/>
    <w:rsid w:val="003221CA"/>
    <w:rsid w:val="003221DE"/>
    <w:rsid w:val="00322230"/>
    <w:rsid w:val="00322264"/>
    <w:rsid w:val="0032249A"/>
    <w:rsid w:val="003224B5"/>
    <w:rsid w:val="00322569"/>
    <w:rsid w:val="003225A5"/>
    <w:rsid w:val="003226F6"/>
    <w:rsid w:val="0032274A"/>
    <w:rsid w:val="0032274F"/>
    <w:rsid w:val="003227AE"/>
    <w:rsid w:val="003227BC"/>
    <w:rsid w:val="003228B6"/>
    <w:rsid w:val="003228C6"/>
    <w:rsid w:val="00322A05"/>
    <w:rsid w:val="00322AF5"/>
    <w:rsid w:val="00322B57"/>
    <w:rsid w:val="00322B5B"/>
    <w:rsid w:val="00322B64"/>
    <w:rsid w:val="00322B65"/>
    <w:rsid w:val="00322B73"/>
    <w:rsid w:val="00322BE9"/>
    <w:rsid w:val="00322BF6"/>
    <w:rsid w:val="00322CA5"/>
    <w:rsid w:val="00322CD9"/>
    <w:rsid w:val="00322CF8"/>
    <w:rsid w:val="00322E48"/>
    <w:rsid w:val="00322EAE"/>
    <w:rsid w:val="00322F16"/>
    <w:rsid w:val="00322FD5"/>
    <w:rsid w:val="00322FDB"/>
    <w:rsid w:val="00323088"/>
    <w:rsid w:val="003230C5"/>
    <w:rsid w:val="00323131"/>
    <w:rsid w:val="00323157"/>
    <w:rsid w:val="003231E5"/>
    <w:rsid w:val="00323231"/>
    <w:rsid w:val="00323303"/>
    <w:rsid w:val="0032331E"/>
    <w:rsid w:val="00323347"/>
    <w:rsid w:val="003233A8"/>
    <w:rsid w:val="0032340C"/>
    <w:rsid w:val="00323477"/>
    <w:rsid w:val="003234A2"/>
    <w:rsid w:val="003234B3"/>
    <w:rsid w:val="003234BF"/>
    <w:rsid w:val="0032354D"/>
    <w:rsid w:val="003235FD"/>
    <w:rsid w:val="00323645"/>
    <w:rsid w:val="003236DA"/>
    <w:rsid w:val="00323728"/>
    <w:rsid w:val="00323746"/>
    <w:rsid w:val="003237C4"/>
    <w:rsid w:val="0032389B"/>
    <w:rsid w:val="0032393F"/>
    <w:rsid w:val="00323969"/>
    <w:rsid w:val="003239CB"/>
    <w:rsid w:val="00323AD0"/>
    <w:rsid w:val="00323BAB"/>
    <w:rsid w:val="00323BCD"/>
    <w:rsid w:val="00323BD4"/>
    <w:rsid w:val="00323BEB"/>
    <w:rsid w:val="00323C79"/>
    <w:rsid w:val="00323C82"/>
    <w:rsid w:val="00323CEF"/>
    <w:rsid w:val="00323D0C"/>
    <w:rsid w:val="00323E4D"/>
    <w:rsid w:val="00323EAB"/>
    <w:rsid w:val="00323EE5"/>
    <w:rsid w:val="00323F1E"/>
    <w:rsid w:val="00323F55"/>
    <w:rsid w:val="00323F57"/>
    <w:rsid w:val="00323F90"/>
    <w:rsid w:val="00324006"/>
    <w:rsid w:val="0032400A"/>
    <w:rsid w:val="00324027"/>
    <w:rsid w:val="0032403A"/>
    <w:rsid w:val="00324511"/>
    <w:rsid w:val="003245A7"/>
    <w:rsid w:val="00324651"/>
    <w:rsid w:val="00324659"/>
    <w:rsid w:val="003246DE"/>
    <w:rsid w:val="00324726"/>
    <w:rsid w:val="00324748"/>
    <w:rsid w:val="0032477F"/>
    <w:rsid w:val="00324886"/>
    <w:rsid w:val="00324920"/>
    <w:rsid w:val="00324964"/>
    <w:rsid w:val="00324BAD"/>
    <w:rsid w:val="00324D40"/>
    <w:rsid w:val="00324DF1"/>
    <w:rsid w:val="00324E39"/>
    <w:rsid w:val="00324F36"/>
    <w:rsid w:val="00324F54"/>
    <w:rsid w:val="00324F89"/>
    <w:rsid w:val="00324FCD"/>
    <w:rsid w:val="00325032"/>
    <w:rsid w:val="00325055"/>
    <w:rsid w:val="0032505A"/>
    <w:rsid w:val="003250AA"/>
    <w:rsid w:val="00325137"/>
    <w:rsid w:val="0032521B"/>
    <w:rsid w:val="00325235"/>
    <w:rsid w:val="0032529A"/>
    <w:rsid w:val="003253F6"/>
    <w:rsid w:val="00325465"/>
    <w:rsid w:val="00325525"/>
    <w:rsid w:val="0032554A"/>
    <w:rsid w:val="00325570"/>
    <w:rsid w:val="00325622"/>
    <w:rsid w:val="0032563F"/>
    <w:rsid w:val="0032570C"/>
    <w:rsid w:val="0032570E"/>
    <w:rsid w:val="0032584F"/>
    <w:rsid w:val="003258DE"/>
    <w:rsid w:val="0032591B"/>
    <w:rsid w:val="0032599A"/>
    <w:rsid w:val="00325A30"/>
    <w:rsid w:val="00325A86"/>
    <w:rsid w:val="00325C14"/>
    <w:rsid w:val="00325C21"/>
    <w:rsid w:val="00325C62"/>
    <w:rsid w:val="00325C64"/>
    <w:rsid w:val="00325CA4"/>
    <w:rsid w:val="00325CD5"/>
    <w:rsid w:val="00325D29"/>
    <w:rsid w:val="00325D5F"/>
    <w:rsid w:val="00325DA9"/>
    <w:rsid w:val="00325DC3"/>
    <w:rsid w:val="00325DC7"/>
    <w:rsid w:val="00325DDB"/>
    <w:rsid w:val="00325E85"/>
    <w:rsid w:val="00325EE4"/>
    <w:rsid w:val="00325F20"/>
    <w:rsid w:val="00325FDF"/>
    <w:rsid w:val="00326004"/>
    <w:rsid w:val="00326084"/>
    <w:rsid w:val="00326114"/>
    <w:rsid w:val="00326148"/>
    <w:rsid w:val="003262B2"/>
    <w:rsid w:val="00326324"/>
    <w:rsid w:val="003263FD"/>
    <w:rsid w:val="0032643F"/>
    <w:rsid w:val="0032650B"/>
    <w:rsid w:val="0032650E"/>
    <w:rsid w:val="00326563"/>
    <w:rsid w:val="00326590"/>
    <w:rsid w:val="0032666B"/>
    <w:rsid w:val="00326684"/>
    <w:rsid w:val="00326794"/>
    <w:rsid w:val="00326802"/>
    <w:rsid w:val="0032687A"/>
    <w:rsid w:val="003268FE"/>
    <w:rsid w:val="003269BE"/>
    <w:rsid w:val="003269D8"/>
    <w:rsid w:val="00326AB9"/>
    <w:rsid w:val="00326AF4"/>
    <w:rsid w:val="00326B4A"/>
    <w:rsid w:val="00326B66"/>
    <w:rsid w:val="00326BAA"/>
    <w:rsid w:val="00326C33"/>
    <w:rsid w:val="00326D3F"/>
    <w:rsid w:val="00326D88"/>
    <w:rsid w:val="00326DBB"/>
    <w:rsid w:val="00326E50"/>
    <w:rsid w:val="00326E85"/>
    <w:rsid w:val="00326E88"/>
    <w:rsid w:val="00326EC7"/>
    <w:rsid w:val="00326EF3"/>
    <w:rsid w:val="00326F6B"/>
    <w:rsid w:val="00326F88"/>
    <w:rsid w:val="00326F90"/>
    <w:rsid w:val="00326FA0"/>
    <w:rsid w:val="00326FCB"/>
    <w:rsid w:val="00326FD9"/>
    <w:rsid w:val="00326FEC"/>
    <w:rsid w:val="00327047"/>
    <w:rsid w:val="00327053"/>
    <w:rsid w:val="00327263"/>
    <w:rsid w:val="00327277"/>
    <w:rsid w:val="00327329"/>
    <w:rsid w:val="00327381"/>
    <w:rsid w:val="003273A0"/>
    <w:rsid w:val="0032742C"/>
    <w:rsid w:val="00327437"/>
    <w:rsid w:val="00327438"/>
    <w:rsid w:val="0032747C"/>
    <w:rsid w:val="00327576"/>
    <w:rsid w:val="003275E5"/>
    <w:rsid w:val="00327624"/>
    <w:rsid w:val="00327650"/>
    <w:rsid w:val="00327689"/>
    <w:rsid w:val="003277C1"/>
    <w:rsid w:val="003277C5"/>
    <w:rsid w:val="003277EA"/>
    <w:rsid w:val="00327875"/>
    <w:rsid w:val="003278E5"/>
    <w:rsid w:val="00327A86"/>
    <w:rsid w:val="00327BC2"/>
    <w:rsid w:val="00327BE7"/>
    <w:rsid w:val="00327CA2"/>
    <w:rsid w:val="00327D16"/>
    <w:rsid w:val="00327D86"/>
    <w:rsid w:val="00327DCF"/>
    <w:rsid w:val="00327DDE"/>
    <w:rsid w:val="00327E1A"/>
    <w:rsid w:val="00327EF6"/>
    <w:rsid w:val="00330012"/>
    <w:rsid w:val="003300D0"/>
    <w:rsid w:val="003300D3"/>
    <w:rsid w:val="0033011D"/>
    <w:rsid w:val="003301AC"/>
    <w:rsid w:val="003301AD"/>
    <w:rsid w:val="00330226"/>
    <w:rsid w:val="0033023B"/>
    <w:rsid w:val="0033028D"/>
    <w:rsid w:val="003303A5"/>
    <w:rsid w:val="003303E2"/>
    <w:rsid w:val="003303EB"/>
    <w:rsid w:val="003303F0"/>
    <w:rsid w:val="0033042B"/>
    <w:rsid w:val="00330490"/>
    <w:rsid w:val="003304DB"/>
    <w:rsid w:val="00330659"/>
    <w:rsid w:val="00330694"/>
    <w:rsid w:val="00330699"/>
    <w:rsid w:val="00330817"/>
    <w:rsid w:val="003308D6"/>
    <w:rsid w:val="003308E8"/>
    <w:rsid w:val="00330943"/>
    <w:rsid w:val="003309F2"/>
    <w:rsid w:val="00330AE9"/>
    <w:rsid w:val="00330C25"/>
    <w:rsid w:val="00330C32"/>
    <w:rsid w:val="00330C82"/>
    <w:rsid w:val="00330C8A"/>
    <w:rsid w:val="00330CB8"/>
    <w:rsid w:val="00330CC7"/>
    <w:rsid w:val="00330CF2"/>
    <w:rsid w:val="00330D3E"/>
    <w:rsid w:val="00330D7C"/>
    <w:rsid w:val="00330E9A"/>
    <w:rsid w:val="00330EBE"/>
    <w:rsid w:val="00330F9A"/>
    <w:rsid w:val="00331016"/>
    <w:rsid w:val="0033104A"/>
    <w:rsid w:val="0033112C"/>
    <w:rsid w:val="0033115D"/>
    <w:rsid w:val="00331293"/>
    <w:rsid w:val="0033135B"/>
    <w:rsid w:val="00331384"/>
    <w:rsid w:val="003313DF"/>
    <w:rsid w:val="00331449"/>
    <w:rsid w:val="00331462"/>
    <w:rsid w:val="003314B6"/>
    <w:rsid w:val="003314EB"/>
    <w:rsid w:val="0033150C"/>
    <w:rsid w:val="0033151F"/>
    <w:rsid w:val="00331633"/>
    <w:rsid w:val="00331650"/>
    <w:rsid w:val="00331678"/>
    <w:rsid w:val="003316C5"/>
    <w:rsid w:val="00331739"/>
    <w:rsid w:val="00331740"/>
    <w:rsid w:val="003317DF"/>
    <w:rsid w:val="00331AF1"/>
    <w:rsid w:val="00331B65"/>
    <w:rsid w:val="00331BD4"/>
    <w:rsid w:val="00331C45"/>
    <w:rsid w:val="00331CAC"/>
    <w:rsid w:val="00331CDB"/>
    <w:rsid w:val="00331D99"/>
    <w:rsid w:val="00331F0B"/>
    <w:rsid w:val="00331F3A"/>
    <w:rsid w:val="00331F64"/>
    <w:rsid w:val="00331F6F"/>
    <w:rsid w:val="00331FE6"/>
    <w:rsid w:val="00332004"/>
    <w:rsid w:val="0033200D"/>
    <w:rsid w:val="0033202B"/>
    <w:rsid w:val="00332037"/>
    <w:rsid w:val="00332093"/>
    <w:rsid w:val="00332099"/>
    <w:rsid w:val="0033218E"/>
    <w:rsid w:val="003321E5"/>
    <w:rsid w:val="0033228D"/>
    <w:rsid w:val="00332338"/>
    <w:rsid w:val="00332395"/>
    <w:rsid w:val="003323E0"/>
    <w:rsid w:val="003324D4"/>
    <w:rsid w:val="0033250B"/>
    <w:rsid w:val="00332522"/>
    <w:rsid w:val="0033254E"/>
    <w:rsid w:val="00332592"/>
    <w:rsid w:val="003325E7"/>
    <w:rsid w:val="003326FC"/>
    <w:rsid w:val="00332734"/>
    <w:rsid w:val="003327CE"/>
    <w:rsid w:val="00332805"/>
    <w:rsid w:val="0033287B"/>
    <w:rsid w:val="003328DA"/>
    <w:rsid w:val="003328FD"/>
    <w:rsid w:val="003328FF"/>
    <w:rsid w:val="00332981"/>
    <w:rsid w:val="003329CE"/>
    <w:rsid w:val="00332A43"/>
    <w:rsid w:val="00332A68"/>
    <w:rsid w:val="00332A74"/>
    <w:rsid w:val="00332A8F"/>
    <w:rsid w:val="00332AA9"/>
    <w:rsid w:val="00332B21"/>
    <w:rsid w:val="00332C3B"/>
    <w:rsid w:val="00332C6D"/>
    <w:rsid w:val="00332D25"/>
    <w:rsid w:val="00332D7E"/>
    <w:rsid w:val="00332E1E"/>
    <w:rsid w:val="00332E7F"/>
    <w:rsid w:val="00332EC4"/>
    <w:rsid w:val="00332F90"/>
    <w:rsid w:val="00332FB5"/>
    <w:rsid w:val="00332FF3"/>
    <w:rsid w:val="003330AB"/>
    <w:rsid w:val="003330F7"/>
    <w:rsid w:val="00333180"/>
    <w:rsid w:val="00333360"/>
    <w:rsid w:val="0033337E"/>
    <w:rsid w:val="003333FE"/>
    <w:rsid w:val="00333510"/>
    <w:rsid w:val="00333575"/>
    <w:rsid w:val="00333597"/>
    <w:rsid w:val="00333613"/>
    <w:rsid w:val="00333678"/>
    <w:rsid w:val="003336B5"/>
    <w:rsid w:val="0033372C"/>
    <w:rsid w:val="00333787"/>
    <w:rsid w:val="0033391D"/>
    <w:rsid w:val="00333976"/>
    <w:rsid w:val="003339D0"/>
    <w:rsid w:val="00333A74"/>
    <w:rsid w:val="00333A78"/>
    <w:rsid w:val="00333AD6"/>
    <w:rsid w:val="00333B78"/>
    <w:rsid w:val="00333BBC"/>
    <w:rsid w:val="00333BEA"/>
    <w:rsid w:val="00333CF5"/>
    <w:rsid w:val="00333E9C"/>
    <w:rsid w:val="00333FE9"/>
    <w:rsid w:val="0033400F"/>
    <w:rsid w:val="0033403D"/>
    <w:rsid w:val="0033406D"/>
    <w:rsid w:val="00334099"/>
    <w:rsid w:val="003340C1"/>
    <w:rsid w:val="003341E2"/>
    <w:rsid w:val="00334223"/>
    <w:rsid w:val="003342A8"/>
    <w:rsid w:val="003342ED"/>
    <w:rsid w:val="0033438E"/>
    <w:rsid w:val="0033443A"/>
    <w:rsid w:val="003344A1"/>
    <w:rsid w:val="003344B9"/>
    <w:rsid w:val="003344FA"/>
    <w:rsid w:val="00334615"/>
    <w:rsid w:val="003346A6"/>
    <w:rsid w:val="003347B6"/>
    <w:rsid w:val="0033487C"/>
    <w:rsid w:val="003348B7"/>
    <w:rsid w:val="00334962"/>
    <w:rsid w:val="00334A2E"/>
    <w:rsid w:val="00334BC7"/>
    <w:rsid w:val="00334D37"/>
    <w:rsid w:val="00334D46"/>
    <w:rsid w:val="00334D9D"/>
    <w:rsid w:val="00334E7D"/>
    <w:rsid w:val="00334F0B"/>
    <w:rsid w:val="00334F65"/>
    <w:rsid w:val="00334F7B"/>
    <w:rsid w:val="00335024"/>
    <w:rsid w:val="003350A2"/>
    <w:rsid w:val="003350AA"/>
    <w:rsid w:val="003350BF"/>
    <w:rsid w:val="003350DE"/>
    <w:rsid w:val="00335106"/>
    <w:rsid w:val="0033519E"/>
    <w:rsid w:val="003351AC"/>
    <w:rsid w:val="003351F2"/>
    <w:rsid w:val="0033524F"/>
    <w:rsid w:val="00335262"/>
    <w:rsid w:val="00335267"/>
    <w:rsid w:val="003352A6"/>
    <w:rsid w:val="003354A0"/>
    <w:rsid w:val="00335537"/>
    <w:rsid w:val="0033559E"/>
    <w:rsid w:val="003356B4"/>
    <w:rsid w:val="00335717"/>
    <w:rsid w:val="00335786"/>
    <w:rsid w:val="003357C5"/>
    <w:rsid w:val="00335857"/>
    <w:rsid w:val="00335899"/>
    <w:rsid w:val="003358E1"/>
    <w:rsid w:val="0033593F"/>
    <w:rsid w:val="003359D9"/>
    <w:rsid w:val="003359FB"/>
    <w:rsid w:val="00335AEA"/>
    <w:rsid w:val="00335B53"/>
    <w:rsid w:val="00335B79"/>
    <w:rsid w:val="00335BF8"/>
    <w:rsid w:val="00335C5B"/>
    <w:rsid w:val="00335CE9"/>
    <w:rsid w:val="00335DD1"/>
    <w:rsid w:val="00335E4F"/>
    <w:rsid w:val="00335E71"/>
    <w:rsid w:val="00335E9A"/>
    <w:rsid w:val="00335F59"/>
    <w:rsid w:val="00335F88"/>
    <w:rsid w:val="00335FD5"/>
    <w:rsid w:val="00336055"/>
    <w:rsid w:val="003360CA"/>
    <w:rsid w:val="0033612F"/>
    <w:rsid w:val="00336330"/>
    <w:rsid w:val="00336335"/>
    <w:rsid w:val="0033637F"/>
    <w:rsid w:val="0033639D"/>
    <w:rsid w:val="00336411"/>
    <w:rsid w:val="003364DA"/>
    <w:rsid w:val="00336524"/>
    <w:rsid w:val="00336539"/>
    <w:rsid w:val="003365BD"/>
    <w:rsid w:val="003365D7"/>
    <w:rsid w:val="00336632"/>
    <w:rsid w:val="0033666F"/>
    <w:rsid w:val="0033667D"/>
    <w:rsid w:val="00336714"/>
    <w:rsid w:val="00336725"/>
    <w:rsid w:val="00336759"/>
    <w:rsid w:val="003367BD"/>
    <w:rsid w:val="00336811"/>
    <w:rsid w:val="003368FD"/>
    <w:rsid w:val="00336915"/>
    <w:rsid w:val="00336939"/>
    <w:rsid w:val="00336948"/>
    <w:rsid w:val="003369C0"/>
    <w:rsid w:val="003369D7"/>
    <w:rsid w:val="00336A46"/>
    <w:rsid w:val="00336A4D"/>
    <w:rsid w:val="00336ACB"/>
    <w:rsid w:val="00336CE3"/>
    <w:rsid w:val="00336CEE"/>
    <w:rsid w:val="00336D7D"/>
    <w:rsid w:val="00336E8C"/>
    <w:rsid w:val="00336EBA"/>
    <w:rsid w:val="003370AB"/>
    <w:rsid w:val="0033712A"/>
    <w:rsid w:val="003371D4"/>
    <w:rsid w:val="00337201"/>
    <w:rsid w:val="0033721C"/>
    <w:rsid w:val="00337233"/>
    <w:rsid w:val="0033729D"/>
    <w:rsid w:val="00337322"/>
    <w:rsid w:val="003373C0"/>
    <w:rsid w:val="003373FD"/>
    <w:rsid w:val="00337437"/>
    <w:rsid w:val="0033749A"/>
    <w:rsid w:val="003374E2"/>
    <w:rsid w:val="003375AF"/>
    <w:rsid w:val="003376F8"/>
    <w:rsid w:val="0033772D"/>
    <w:rsid w:val="0033778E"/>
    <w:rsid w:val="003377E5"/>
    <w:rsid w:val="00337872"/>
    <w:rsid w:val="0033789F"/>
    <w:rsid w:val="003378BB"/>
    <w:rsid w:val="003378EA"/>
    <w:rsid w:val="003379C5"/>
    <w:rsid w:val="003379D5"/>
    <w:rsid w:val="00337C08"/>
    <w:rsid w:val="00337C4C"/>
    <w:rsid w:val="00337C54"/>
    <w:rsid w:val="00337C9C"/>
    <w:rsid w:val="00337CB5"/>
    <w:rsid w:val="00337D14"/>
    <w:rsid w:val="00337D2C"/>
    <w:rsid w:val="00337D5D"/>
    <w:rsid w:val="00337D72"/>
    <w:rsid w:val="00337DDC"/>
    <w:rsid w:val="00337DE9"/>
    <w:rsid w:val="00337E97"/>
    <w:rsid w:val="00337ED0"/>
    <w:rsid w:val="00337FD8"/>
    <w:rsid w:val="0034004A"/>
    <w:rsid w:val="003400ED"/>
    <w:rsid w:val="00340110"/>
    <w:rsid w:val="00340182"/>
    <w:rsid w:val="003401E6"/>
    <w:rsid w:val="003402DE"/>
    <w:rsid w:val="00340388"/>
    <w:rsid w:val="003403D0"/>
    <w:rsid w:val="003403DE"/>
    <w:rsid w:val="003404D4"/>
    <w:rsid w:val="00340562"/>
    <w:rsid w:val="003405EE"/>
    <w:rsid w:val="0034068F"/>
    <w:rsid w:val="003407F5"/>
    <w:rsid w:val="003407FD"/>
    <w:rsid w:val="00340944"/>
    <w:rsid w:val="00340A42"/>
    <w:rsid w:val="00340A9A"/>
    <w:rsid w:val="00340AAB"/>
    <w:rsid w:val="00340B4F"/>
    <w:rsid w:val="00340B6E"/>
    <w:rsid w:val="00340BA4"/>
    <w:rsid w:val="00340BFA"/>
    <w:rsid w:val="00340C10"/>
    <w:rsid w:val="00340C11"/>
    <w:rsid w:val="00340C3A"/>
    <w:rsid w:val="00340C69"/>
    <w:rsid w:val="00340D3A"/>
    <w:rsid w:val="00340D83"/>
    <w:rsid w:val="00340DAF"/>
    <w:rsid w:val="00340EFF"/>
    <w:rsid w:val="0034105E"/>
    <w:rsid w:val="003410EF"/>
    <w:rsid w:val="0034110A"/>
    <w:rsid w:val="00341187"/>
    <w:rsid w:val="003411AC"/>
    <w:rsid w:val="00341216"/>
    <w:rsid w:val="00341229"/>
    <w:rsid w:val="0034124E"/>
    <w:rsid w:val="0034132B"/>
    <w:rsid w:val="0034142C"/>
    <w:rsid w:val="0034144A"/>
    <w:rsid w:val="00341463"/>
    <w:rsid w:val="0034152C"/>
    <w:rsid w:val="00341573"/>
    <w:rsid w:val="003415BE"/>
    <w:rsid w:val="003415F9"/>
    <w:rsid w:val="0034162C"/>
    <w:rsid w:val="003416CA"/>
    <w:rsid w:val="0034170B"/>
    <w:rsid w:val="0034174A"/>
    <w:rsid w:val="003417EE"/>
    <w:rsid w:val="00341810"/>
    <w:rsid w:val="003418AE"/>
    <w:rsid w:val="003418EA"/>
    <w:rsid w:val="0034192C"/>
    <w:rsid w:val="0034197C"/>
    <w:rsid w:val="003419EA"/>
    <w:rsid w:val="00341A26"/>
    <w:rsid w:val="00341B57"/>
    <w:rsid w:val="00341C55"/>
    <w:rsid w:val="00341C9A"/>
    <w:rsid w:val="00341CBD"/>
    <w:rsid w:val="00341CD2"/>
    <w:rsid w:val="00341D19"/>
    <w:rsid w:val="00341D50"/>
    <w:rsid w:val="00341D51"/>
    <w:rsid w:val="00341D61"/>
    <w:rsid w:val="00341D75"/>
    <w:rsid w:val="00341DA7"/>
    <w:rsid w:val="00341E24"/>
    <w:rsid w:val="00341E7B"/>
    <w:rsid w:val="00341EA4"/>
    <w:rsid w:val="00341EF4"/>
    <w:rsid w:val="00341F07"/>
    <w:rsid w:val="00341F59"/>
    <w:rsid w:val="0034206C"/>
    <w:rsid w:val="003420D6"/>
    <w:rsid w:val="00342112"/>
    <w:rsid w:val="00342176"/>
    <w:rsid w:val="0034227B"/>
    <w:rsid w:val="003424E1"/>
    <w:rsid w:val="003424FF"/>
    <w:rsid w:val="00342596"/>
    <w:rsid w:val="003425C0"/>
    <w:rsid w:val="003425FE"/>
    <w:rsid w:val="00342679"/>
    <w:rsid w:val="0034273A"/>
    <w:rsid w:val="00342789"/>
    <w:rsid w:val="0034278A"/>
    <w:rsid w:val="003427CC"/>
    <w:rsid w:val="003427CF"/>
    <w:rsid w:val="003427F3"/>
    <w:rsid w:val="003428B8"/>
    <w:rsid w:val="0034292E"/>
    <w:rsid w:val="003429E9"/>
    <w:rsid w:val="00342A8D"/>
    <w:rsid w:val="00342B86"/>
    <w:rsid w:val="00342C49"/>
    <w:rsid w:val="00342C8C"/>
    <w:rsid w:val="00342D9F"/>
    <w:rsid w:val="00342E19"/>
    <w:rsid w:val="00342EDA"/>
    <w:rsid w:val="00342F47"/>
    <w:rsid w:val="00342F4C"/>
    <w:rsid w:val="00342F63"/>
    <w:rsid w:val="00342FAA"/>
    <w:rsid w:val="00342FE1"/>
    <w:rsid w:val="0034304B"/>
    <w:rsid w:val="0034307B"/>
    <w:rsid w:val="003430C8"/>
    <w:rsid w:val="00343159"/>
    <w:rsid w:val="003431C2"/>
    <w:rsid w:val="00343350"/>
    <w:rsid w:val="00343396"/>
    <w:rsid w:val="003433CD"/>
    <w:rsid w:val="00343471"/>
    <w:rsid w:val="00343512"/>
    <w:rsid w:val="0034352E"/>
    <w:rsid w:val="0034362D"/>
    <w:rsid w:val="00343690"/>
    <w:rsid w:val="003436F1"/>
    <w:rsid w:val="003436F5"/>
    <w:rsid w:val="00343724"/>
    <w:rsid w:val="003437EB"/>
    <w:rsid w:val="003438A2"/>
    <w:rsid w:val="0034397F"/>
    <w:rsid w:val="00343997"/>
    <w:rsid w:val="003439ED"/>
    <w:rsid w:val="00343A11"/>
    <w:rsid w:val="00343A3A"/>
    <w:rsid w:val="00343A64"/>
    <w:rsid w:val="00343AF6"/>
    <w:rsid w:val="00343B5E"/>
    <w:rsid w:val="00343B7B"/>
    <w:rsid w:val="00343C25"/>
    <w:rsid w:val="00343CEB"/>
    <w:rsid w:val="00343D48"/>
    <w:rsid w:val="00343DB1"/>
    <w:rsid w:val="00343E04"/>
    <w:rsid w:val="00343E23"/>
    <w:rsid w:val="00343EEE"/>
    <w:rsid w:val="00343F0E"/>
    <w:rsid w:val="00343F40"/>
    <w:rsid w:val="00343F62"/>
    <w:rsid w:val="00343F96"/>
    <w:rsid w:val="00343FA4"/>
    <w:rsid w:val="00344024"/>
    <w:rsid w:val="0034403F"/>
    <w:rsid w:val="003440F0"/>
    <w:rsid w:val="0034412C"/>
    <w:rsid w:val="00344163"/>
    <w:rsid w:val="00344288"/>
    <w:rsid w:val="003443FE"/>
    <w:rsid w:val="0034443F"/>
    <w:rsid w:val="00344444"/>
    <w:rsid w:val="0034446E"/>
    <w:rsid w:val="00344513"/>
    <w:rsid w:val="0034464A"/>
    <w:rsid w:val="0034469B"/>
    <w:rsid w:val="00344706"/>
    <w:rsid w:val="0034474B"/>
    <w:rsid w:val="003447A4"/>
    <w:rsid w:val="003447B5"/>
    <w:rsid w:val="00344877"/>
    <w:rsid w:val="003448DF"/>
    <w:rsid w:val="003449BE"/>
    <w:rsid w:val="00344A2F"/>
    <w:rsid w:val="00344A98"/>
    <w:rsid w:val="00344AB7"/>
    <w:rsid w:val="00344B41"/>
    <w:rsid w:val="00344BB7"/>
    <w:rsid w:val="00344BC6"/>
    <w:rsid w:val="00344D25"/>
    <w:rsid w:val="00344E37"/>
    <w:rsid w:val="00344EB3"/>
    <w:rsid w:val="003450E9"/>
    <w:rsid w:val="00345101"/>
    <w:rsid w:val="0034513C"/>
    <w:rsid w:val="003451E2"/>
    <w:rsid w:val="00345204"/>
    <w:rsid w:val="00345274"/>
    <w:rsid w:val="00345293"/>
    <w:rsid w:val="00345312"/>
    <w:rsid w:val="003453B7"/>
    <w:rsid w:val="00345465"/>
    <w:rsid w:val="00345487"/>
    <w:rsid w:val="0034566E"/>
    <w:rsid w:val="00345776"/>
    <w:rsid w:val="003457E5"/>
    <w:rsid w:val="003457FD"/>
    <w:rsid w:val="003458A2"/>
    <w:rsid w:val="00345941"/>
    <w:rsid w:val="00345986"/>
    <w:rsid w:val="003459AD"/>
    <w:rsid w:val="003459C8"/>
    <w:rsid w:val="00345A42"/>
    <w:rsid w:val="00345ABB"/>
    <w:rsid w:val="00345ACA"/>
    <w:rsid w:val="00345B49"/>
    <w:rsid w:val="00345BC9"/>
    <w:rsid w:val="00345BFC"/>
    <w:rsid w:val="00345C2D"/>
    <w:rsid w:val="00345C7C"/>
    <w:rsid w:val="00345C80"/>
    <w:rsid w:val="00345CC1"/>
    <w:rsid w:val="00345F47"/>
    <w:rsid w:val="00346046"/>
    <w:rsid w:val="00346098"/>
    <w:rsid w:val="0034614E"/>
    <w:rsid w:val="00346159"/>
    <w:rsid w:val="003461F4"/>
    <w:rsid w:val="003461FE"/>
    <w:rsid w:val="0034621B"/>
    <w:rsid w:val="003462E1"/>
    <w:rsid w:val="003462E3"/>
    <w:rsid w:val="003462ED"/>
    <w:rsid w:val="0034635C"/>
    <w:rsid w:val="003463A1"/>
    <w:rsid w:val="003463AA"/>
    <w:rsid w:val="00346479"/>
    <w:rsid w:val="003464F3"/>
    <w:rsid w:val="0034654F"/>
    <w:rsid w:val="00346551"/>
    <w:rsid w:val="00346599"/>
    <w:rsid w:val="003465EC"/>
    <w:rsid w:val="003466A6"/>
    <w:rsid w:val="003466B4"/>
    <w:rsid w:val="00346754"/>
    <w:rsid w:val="00346803"/>
    <w:rsid w:val="00346827"/>
    <w:rsid w:val="003468F1"/>
    <w:rsid w:val="0034697D"/>
    <w:rsid w:val="00346B1B"/>
    <w:rsid w:val="00346B43"/>
    <w:rsid w:val="00346B92"/>
    <w:rsid w:val="00346BFC"/>
    <w:rsid w:val="00346C0E"/>
    <w:rsid w:val="00346D7C"/>
    <w:rsid w:val="00346F9F"/>
    <w:rsid w:val="00347049"/>
    <w:rsid w:val="003470ED"/>
    <w:rsid w:val="0034712B"/>
    <w:rsid w:val="0034719B"/>
    <w:rsid w:val="00347293"/>
    <w:rsid w:val="003472CC"/>
    <w:rsid w:val="0034732D"/>
    <w:rsid w:val="00347384"/>
    <w:rsid w:val="0034741D"/>
    <w:rsid w:val="0034742D"/>
    <w:rsid w:val="00347501"/>
    <w:rsid w:val="0034764E"/>
    <w:rsid w:val="0034765F"/>
    <w:rsid w:val="003476A9"/>
    <w:rsid w:val="00347816"/>
    <w:rsid w:val="003478D1"/>
    <w:rsid w:val="003478FB"/>
    <w:rsid w:val="00347947"/>
    <w:rsid w:val="00347998"/>
    <w:rsid w:val="003479E4"/>
    <w:rsid w:val="00347A17"/>
    <w:rsid w:val="00347A67"/>
    <w:rsid w:val="00347AB6"/>
    <w:rsid w:val="00347AC5"/>
    <w:rsid w:val="00347ACA"/>
    <w:rsid w:val="00347ADC"/>
    <w:rsid w:val="00347B8E"/>
    <w:rsid w:val="00347C1B"/>
    <w:rsid w:val="00347C4F"/>
    <w:rsid w:val="00347C60"/>
    <w:rsid w:val="00347D6A"/>
    <w:rsid w:val="00347E71"/>
    <w:rsid w:val="00347E76"/>
    <w:rsid w:val="00347E88"/>
    <w:rsid w:val="00347E92"/>
    <w:rsid w:val="00347EA3"/>
    <w:rsid w:val="00347F13"/>
    <w:rsid w:val="00347F40"/>
    <w:rsid w:val="00347F62"/>
    <w:rsid w:val="00350054"/>
    <w:rsid w:val="003500E5"/>
    <w:rsid w:val="0035010B"/>
    <w:rsid w:val="003501EB"/>
    <w:rsid w:val="00350226"/>
    <w:rsid w:val="0035022E"/>
    <w:rsid w:val="003502EB"/>
    <w:rsid w:val="0035031E"/>
    <w:rsid w:val="00350367"/>
    <w:rsid w:val="0035039F"/>
    <w:rsid w:val="00350436"/>
    <w:rsid w:val="003504DA"/>
    <w:rsid w:val="0035068D"/>
    <w:rsid w:val="003506C9"/>
    <w:rsid w:val="0035072E"/>
    <w:rsid w:val="00350820"/>
    <w:rsid w:val="0035083B"/>
    <w:rsid w:val="003508C3"/>
    <w:rsid w:val="00350929"/>
    <w:rsid w:val="0035097D"/>
    <w:rsid w:val="003509B6"/>
    <w:rsid w:val="00350A31"/>
    <w:rsid w:val="00350AEB"/>
    <w:rsid w:val="00350BE1"/>
    <w:rsid w:val="00350CF6"/>
    <w:rsid w:val="00350D27"/>
    <w:rsid w:val="00350E4F"/>
    <w:rsid w:val="00350E79"/>
    <w:rsid w:val="00350F39"/>
    <w:rsid w:val="00350F7B"/>
    <w:rsid w:val="00351085"/>
    <w:rsid w:val="003511E1"/>
    <w:rsid w:val="0035120B"/>
    <w:rsid w:val="0035120D"/>
    <w:rsid w:val="0035122E"/>
    <w:rsid w:val="0035127E"/>
    <w:rsid w:val="00351312"/>
    <w:rsid w:val="00351369"/>
    <w:rsid w:val="003513B0"/>
    <w:rsid w:val="00351432"/>
    <w:rsid w:val="00351460"/>
    <w:rsid w:val="003515BA"/>
    <w:rsid w:val="003515CA"/>
    <w:rsid w:val="003516BA"/>
    <w:rsid w:val="003517FB"/>
    <w:rsid w:val="00351802"/>
    <w:rsid w:val="00351864"/>
    <w:rsid w:val="003519D8"/>
    <w:rsid w:val="00351A15"/>
    <w:rsid w:val="00351A56"/>
    <w:rsid w:val="00351A80"/>
    <w:rsid w:val="00351AAF"/>
    <w:rsid w:val="00351C4D"/>
    <w:rsid w:val="00351C52"/>
    <w:rsid w:val="00351CE7"/>
    <w:rsid w:val="00351CE8"/>
    <w:rsid w:val="00351D13"/>
    <w:rsid w:val="00351D42"/>
    <w:rsid w:val="00351D66"/>
    <w:rsid w:val="00351E1C"/>
    <w:rsid w:val="00351E42"/>
    <w:rsid w:val="00351FA5"/>
    <w:rsid w:val="00352080"/>
    <w:rsid w:val="003521F5"/>
    <w:rsid w:val="00352337"/>
    <w:rsid w:val="003523AB"/>
    <w:rsid w:val="00352528"/>
    <w:rsid w:val="003525A8"/>
    <w:rsid w:val="00352615"/>
    <w:rsid w:val="00352665"/>
    <w:rsid w:val="0035283B"/>
    <w:rsid w:val="0035286C"/>
    <w:rsid w:val="003528F6"/>
    <w:rsid w:val="00352925"/>
    <w:rsid w:val="00352974"/>
    <w:rsid w:val="003529FA"/>
    <w:rsid w:val="00352A19"/>
    <w:rsid w:val="00352B28"/>
    <w:rsid w:val="00352BA4"/>
    <w:rsid w:val="00352BDB"/>
    <w:rsid w:val="00352C30"/>
    <w:rsid w:val="00352C49"/>
    <w:rsid w:val="00352C53"/>
    <w:rsid w:val="00352C8F"/>
    <w:rsid w:val="00352CA6"/>
    <w:rsid w:val="00352E64"/>
    <w:rsid w:val="00352EAB"/>
    <w:rsid w:val="00352EB8"/>
    <w:rsid w:val="00352EB9"/>
    <w:rsid w:val="00352FE6"/>
    <w:rsid w:val="00353074"/>
    <w:rsid w:val="003530B3"/>
    <w:rsid w:val="00353107"/>
    <w:rsid w:val="003531B7"/>
    <w:rsid w:val="003531CB"/>
    <w:rsid w:val="00353304"/>
    <w:rsid w:val="00353370"/>
    <w:rsid w:val="00353443"/>
    <w:rsid w:val="00353488"/>
    <w:rsid w:val="0035350C"/>
    <w:rsid w:val="0035359B"/>
    <w:rsid w:val="003535A0"/>
    <w:rsid w:val="00353675"/>
    <w:rsid w:val="0035372A"/>
    <w:rsid w:val="003537A0"/>
    <w:rsid w:val="003537B7"/>
    <w:rsid w:val="0035381D"/>
    <w:rsid w:val="00353877"/>
    <w:rsid w:val="00353A7F"/>
    <w:rsid w:val="00353B58"/>
    <w:rsid w:val="00353D4C"/>
    <w:rsid w:val="00353D81"/>
    <w:rsid w:val="00353DA6"/>
    <w:rsid w:val="00353DA9"/>
    <w:rsid w:val="00353DEA"/>
    <w:rsid w:val="00353FAB"/>
    <w:rsid w:val="00353FB8"/>
    <w:rsid w:val="0035400C"/>
    <w:rsid w:val="00354110"/>
    <w:rsid w:val="0035412C"/>
    <w:rsid w:val="0035426E"/>
    <w:rsid w:val="003542D8"/>
    <w:rsid w:val="0035433B"/>
    <w:rsid w:val="00354388"/>
    <w:rsid w:val="00354414"/>
    <w:rsid w:val="00354504"/>
    <w:rsid w:val="0035459C"/>
    <w:rsid w:val="003546CD"/>
    <w:rsid w:val="00354757"/>
    <w:rsid w:val="00354828"/>
    <w:rsid w:val="003548B7"/>
    <w:rsid w:val="003548BF"/>
    <w:rsid w:val="00354946"/>
    <w:rsid w:val="0035497C"/>
    <w:rsid w:val="003549B4"/>
    <w:rsid w:val="003549E7"/>
    <w:rsid w:val="00354A0F"/>
    <w:rsid w:val="00354A11"/>
    <w:rsid w:val="00354A67"/>
    <w:rsid w:val="00354A79"/>
    <w:rsid w:val="00354AC0"/>
    <w:rsid w:val="00354B22"/>
    <w:rsid w:val="00354BAF"/>
    <w:rsid w:val="00354C62"/>
    <w:rsid w:val="00354CD1"/>
    <w:rsid w:val="00354CEC"/>
    <w:rsid w:val="00354CF8"/>
    <w:rsid w:val="00354F2F"/>
    <w:rsid w:val="00355135"/>
    <w:rsid w:val="00355194"/>
    <w:rsid w:val="003551B7"/>
    <w:rsid w:val="00355200"/>
    <w:rsid w:val="00355256"/>
    <w:rsid w:val="00355279"/>
    <w:rsid w:val="003553A6"/>
    <w:rsid w:val="003554A2"/>
    <w:rsid w:val="0035551A"/>
    <w:rsid w:val="0035553C"/>
    <w:rsid w:val="00355551"/>
    <w:rsid w:val="00355600"/>
    <w:rsid w:val="0035561C"/>
    <w:rsid w:val="003556ED"/>
    <w:rsid w:val="003557FE"/>
    <w:rsid w:val="003558CC"/>
    <w:rsid w:val="003558DD"/>
    <w:rsid w:val="0035590A"/>
    <w:rsid w:val="0035594F"/>
    <w:rsid w:val="00355968"/>
    <w:rsid w:val="003559B2"/>
    <w:rsid w:val="003559BE"/>
    <w:rsid w:val="003559F4"/>
    <w:rsid w:val="00355A27"/>
    <w:rsid w:val="00355A54"/>
    <w:rsid w:val="00355A66"/>
    <w:rsid w:val="00355B1D"/>
    <w:rsid w:val="00355B5C"/>
    <w:rsid w:val="00355BD0"/>
    <w:rsid w:val="00355C43"/>
    <w:rsid w:val="00355C9F"/>
    <w:rsid w:val="00355CBE"/>
    <w:rsid w:val="00355D26"/>
    <w:rsid w:val="00355D6B"/>
    <w:rsid w:val="00355E20"/>
    <w:rsid w:val="00355E5D"/>
    <w:rsid w:val="00355E8F"/>
    <w:rsid w:val="00355FB2"/>
    <w:rsid w:val="0035600A"/>
    <w:rsid w:val="003560D1"/>
    <w:rsid w:val="00356161"/>
    <w:rsid w:val="00356190"/>
    <w:rsid w:val="00356228"/>
    <w:rsid w:val="003562AA"/>
    <w:rsid w:val="003562B6"/>
    <w:rsid w:val="003562F4"/>
    <w:rsid w:val="00356325"/>
    <w:rsid w:val="00356461"/>
    <w:rsid w:val="00356468"/>
    <w:rsid w:val="003564A8"/>
    <w:rsid w:val="003564BF"/>
    <w:rsid w:val="003564EA"/>
    <w:rsid w:val="0035658C"/>
    <w:rsid w:val="00356634"/>
    <w:rsid w:val="00356657"/>
    <w:rsid w:val="00356681"/>
    <w:rsid w:val="00356739"/>
    <w:rsid w:val="00356863"/>
    <w:rsid w:val="00356879"/>
    <w:rsid w:val="003568B1"/>
    <w:rsid w:val="0035698E"/>
    <w:rsid w:val="00356994"/>
    <w:rsid w:val="003569B7"/>
    <w:rsid w:val="003569DE"/>
    <w:rsid w:val="00356B07"/>
    <w:rsid w:val="00356B10"/>
    <w:rsid w:val="00356BBB"/>
    <w:rsid w:val="00356BE8"/>
    <w:rsid w:val="00356C58"/>
    <w:rsid w:val="00356C5B"/>
    <w:rsid w:val="00356C69"/>
    <w:rsid w:val="00356EFF"/>
    <w:rsid w:val="00357122"/>
    <w:rsid w:val="0035731B"/>
    <w:rsid w:val="00357338"/>
    <w:rsid w:val="00357383"/>
    <w:rsid w:val="00357441"/>
    <w:rsid w:val="00357481"/>
    <w:rsid w:val="003574B8"/>
    <w:rsid w:val="003574DD"/>
    <w:rsid w:val="00357516"/>
    <w:rsid w:val="00357533"/>
    <w:rsid w:val="00357564"/>
    <w:rsid w:val="003575E0"/>
    <w:rsid w:val="003577A5"/>
    <w:rsid w:val="00357842"/>
    <w:rsid w:val="00357893"/>
    <w:rsid w:val="00357948"/>
    <w:rsid w:val="00357995"/>
    <w:rsid w:val="003579A3"/>
    <w:rsid w:val="00357A28"/>
    <w:rsid w:val="00357A48"/>
    <w:rsid w:val="00357ABF"/>
    <w:rsid w:val="00357AD7"/>
    <w:rsid w:val="00357B4B"/>
    <w:rsid w:val="00357B77"/>
    <w:rsid w:val="00357BAE"/>
    <w:rsid w:val="00357CED"/>
    <w:rsid w:val="00357D27"/>
    <w:rsid w:val="00357D57"/>
    <w:rsid w:val="00357DC9"/>
    <w:rsid w:val="00357DEC"/>
    <w:rsid w:val="00357DF6"/>
    <w:rsid w:val="00357DFE"/>
    <w:rsid w:val="00357E1C"/>
    <w:rsid w:val="00357E74"/>
    <w:rsid w:val="00357E9B"/>
    <w:rsid w:val="00357F6B"/>
    <w:rsid w:val="00357F89"/>
    <w:rsid w:val="0036002D"/>
    <w:rsid w:val="00360064"/>
    <w:rsid w:val="003600FD"/>
    <w:rsid w:val="0036010E"/>
    <w:rsid w:val="0036011A"/>
    <w:rsid w:val="0036012A"/>
    <w:rsid w:val="003602C5"/>
    <w:rsid w:val="0036031D"/>
    <w:rsid w:val="0036036A"/>
    <w:rsid w:val="003603C2"/>
    <w:rsid w:val="00360497"/>
    <w:rsid w:val="003604B9"/>
    <w:rsid w:val="003604BB"/>
    <w:rsid w:val="003604CF"/>
    <w:rsid w:val="0036050D"/>
    <w:rsid w:val="00360584"/>
    <w:rsid w:val="003605E8"/>
    <w:rsid w:val="0036060A"/>
    <w:rsid w:val="00360670"/>
    <w:rsid w:val="00360672"/>
    <w:rsid w:val="003606E5"/>
    <w:rsid w:val="003606E8"/>
    <w:rsid w:val="0036074E"/>
    <w:rsid w:val="003607C0"/>
    <w:rsid w:val="00360831"/>
    <w:rsid w:val="003608A2"/>
    <w:rsid w:val="003608BD"/>
    <w:rsid w:val="003608E9"/>
    <w:rsid w:val="00360982"/>
    <w:rsid w:val="003609A6"/>
    <w:rsid w:val="003609FB"/>
    <w:rsid w:val="00360A29"/>
    <w:rsid w:val="00360A5C"/>
    <w:rsid w:val="00360A73"/>
    <w:rsid w:val="00360BF3"/>
    <w:rsid w:val="00360C40"/>
    <w:rsid w:val="00360C4E"/>
    <w:rsid w:val="00360C79"/>
    <w:rsid w:val="00360CC8"/>
    <w:rsid w:val="00360DBE"/>
    <w:rsid w:val="00360DDB"/>
    <w:rsid w:val="00360E11"/>
    <w:rsid w:val="00360F12"/>
    <w:rsid w:val="00360FE2"/>
    <w:rsid w:val="003610B1"/>
    <w:rsid w:val="00361175"/>
    <w:rsid w:val="003611AB"/>
    <w:rsid w:val="0036130A"/>
    <w:rsid w:val="0036133A"/>
    <w:rsid w:val="003613B9"/>
    <w:rsid w:val="00361645"/>
    <w:rsid w:val="0036168C"/>
    <w:rsid w:val="003616CC"/>
    <w:rsid w:val="00361761"/>
    <w:rsid w:val="003618F5"/>
    <w:rsid w:val="00361906"/>
    <w:rsid w:val="003619C7"/>
    <w:rsid w:val="00361A01"/>
    <w:rsid w:val="00361A2E"/>
    <w:rsid w:val="00361B93"/>
    <w:rsid w:val="00361C1C"/>
    <w:rsid w:val="00361C1D"/>
    <w:rsid w:val="00361CE1"/>
    <w:rsid w:val="00361CE8"/>
    <w:rsid w:val="00361D00"/>
    <w:rsid w:val="00361D97"/>
    <w:rsid w:val="00361E06"/>
    <w:rsid w:val="00361E7D"/>
    <w:rsid w:val="00361EF3"/>
    <w:rsid w:val="00361F96"/>
    <w:rsid w:val="0036206A"/>
    <w:rsid w:val="003620A2"/>
    <w:rsid w:val="003620C4"/>
    <w:rsid w:val="003620D1"/>
    <w:rsid w:val="0036211D"/>
    <w:rsid w:val="0036218B"/>
    <w:rsid w:val="00362198"/>
    <w:rsid w:val="0036221B"/>
    <w:rsid w:val="00362276"/>
    <w:rsid w:val="00362334"/>
    <w:rsid w:val="00362340"/>
    <w:rsid w:val="0036247A"/>
    <w:rsid w:val="00362521"/>
    <w:rsid w:val="00362544"/>
    <w:rsid w:val="0036254A"/>
    <w:rsid w:val="00362552"/>
    <w:rsid w:val="00362585"/>
    <w:rsid w:val="0036261E"/>
    <w:rsid w:val="00362674"/>
    <w:rsid w:val="003626BE"/>
    <w:rsid w:val="00362761"/>
    <w:rsid w:val="003627A7"/>
    <w:rsid w:val="003627E4"/>
    <w:rsid w:val="00362867"/>
    <w:rsid w:val="00362891"/>
    <w:rsid w:val="00362911"/>
    <w:rsid w:val="003629DA"/>
    <w:rsid w:val="003629E5"/>
    <w:rsid w:val="003629FA"/>
    <w:rsid w:val="00362A1B"/>
    <w:rsid w:val="00362B7F"/>
    <w:rsid w:val="00362BB2"/>
    <w:rsid w:val="00362CA4"/>
    <w:rsid w:val="00362DA9"/>
    <w:rsid w:val="00362DAC"/>
    <w:rsid w:val="00362E4F"/>
    <w:rsid w:val="00362E69"/>
    <w:rsid w:val="00362E71"/>
    <w:rsid w:val="00362EAD"/>
    <w:rsid w:val="00363012"/>
    <w:rsid w:val="0036309D"/>
    <w:rsid w:val="003630B7"/>
    <w:rsid w:val="0036310A"/>
    <w:rsid w:val="00363120"/>
    <w:rsid w:val="003632B9"/>
    <w:rsid w:val="003632FD"/>
    <w:rsid w:val="003633DB"/>
    <w:rsid w:val="00363420"/>
    <w:rsid w:val="00363433"/>
    <w:rsid w:val="00363478"/>
    <w:rsid w:val="003634C8"/>
    <w:rsid w:val="003634D9"/>
    <w:rsid w:val="00363535"/>
    <w:rsid w:val="003635D0"/>
    <w:rsid w:val="00363638"/>
    <w:rsid w:val="003636E0"/>
    <w:rsid w:val="003637B0"/>
    <w:rsid w:val="003637DD"/>
    <w:rsid w:val="00363908"/>
    <w:rsid w:val="00363A5A"/>
    <w:rsid w:val="00363AD4"/>
    <w:rsid w:val="00363C76"/>
    <w:rsid w:val="00363C98"/>
    <w:rsid w:val="00363CF4"/>
    <w:rsid w:val="00363D06"/>
    <w:rsid w:val="00363D1C"/>
    <w:rsid w:val="00363DC7"/>
    <w:rsid w:val="00363F45"/>
    <w:rsid w:val="00364064"/>
    <w:rsid w:val="0036407C"/>
    <w:rsid w:val="00364186"/>
    <w:rsid w:val="003642A4"/>
    <w:rsid w:val="00364389"/>
    <w:rsid w:val="00364425"/>
    <w:rsid w:val="003644A7"/>
    <w:rsid w:val="00364590"/>
    <w:rsid w:val="00364592"/>
    <w:rsid w:val="0036459B"/>
    <w:rsid w:val="003645AB"/>
    <w:rsid w:val="003647D5"/>
    <w:rsid w:val="00364837"/>
    <w:rsid w:val="003648B4"/>
    <w:rsid w:val="003648FE"/>
    <w:rsid w:val="00364965"/>
    <w:rsid w:val="0036497B"/>
    <w:rsid w:val="00364989"/>
    <w:rsid w:val="003649D9"/>
    <w:rsid w:val="00364A5D"/>
    <w:rsid w:val="00364A9E"/>
    <w:rsid w:val="00364AB0"/>
    <w:rsid w:val="00364B83"/>
    <w:rsid w:val="00364B96"/>
    <w:rsid w:val="00364C22"/>
    <w:rsid w:val="00364C85"/>
    <w:rsid w:val="00364D34"/>
    <w:rsid w:val="00364D4A"/>
    <w:rsid w:val="00364DAC"/>
    <w:rsid w:val="00364DFC"/>
    <w:rsid w:val="00364EA9"/>
    <w:rsid w:val="00364FC8"/>
    <w:rsid w:val="00365004"/>
    <w:rsid w:val="0036507C"/>
    <w:rsid w:val="00365086"/>
    <w:rsid w:val="003650C1"/>
    <w:rsid w:val="003650C8"/>
    <w:rsid w:val="003650CC"/>
    <w:rsid w:val="00365163"/>
    <w:rsid w:val="0036516B"/>
    <w:rsid w:val="003652A7"/>
    <w:rsid w:val="003652DD"/>
    <w:rsid w:val="003653A0"/>
    <w:rsid w:val="003653B9"/>
    <w:rsid w:val="003653BB"/>
    <w:rsid w:val="0036542C"/>
    <w:rsid w:val="00365496"/>
    <w:rsid w:val="00365509"/>
    <w:rsid w:val="0036559F"/>
    <w:rsid w:val="003655AC"/>
    <w:rsid w:val="00365638"/>
    <w:rsid w:val="0036563E"/>
    <w:rsid w:val="0036565A"/>
    <w:rsid w:val="003656F7"/>
    <w:rsid w:val="0036585A"/>
    <w:rsid w:val="003658E9"/>
    <w:rsid w:val="00365967"/>
    <w:rsid w:val="00365A36"/>
    <w:rsid w:val="00365AC9"/>
    <w:rsid w:val="00365D51"/>
    <w:rsid w:val="00365E94"/>
    <w:rsid w:val="00365EAB"/>
    <w:rsid w:val="00365EBF"/>
    <w:rsid w:val="00365EF2"/>
    <w:rsid w:val="00365F1D"/>
    <w:rsid w:val="00365FD0"/>
    <w:rsid w:val="00365FE6"/>
    <w:rsid w:val="00365FF2"/>
    <w:rsid w:val="0036604C"/>
    <w:rsid w:val="00366077"/>
    <w:rsid w:val="003660D5"/>
    <w:rsid w:val="003660DC"/>
    <w:rsid w:val="00366175"/>
    <w:rsid w:val="0036622B"/>
    <w:rsid w:val="003662A0"/>
    <w:rsid w:val="00366318"/>
    <w:rsid w:val="0036633C"/>
    <w:rsid w:val="00366378"/>
    <w:rsid w:val="00366380"/>
    <w:rsid w:val="003663AD"/>
    <w:rsid w:val="003663BA"/>
    <w:rsid w:val="003663EF"/>
    <w:rsid w:val="00366415"/>
    <w:rsid w:val="00366420"/>
    <w:rsid w:val="00366455"/>
    <w:rsid w:val="0036648B"/>
    <w:rsid w:val="003664FB"/>
    <w:rsid w:val="00366507"/>
    <w:rsid w:val="00366512"/>
    <w:rsid w:val="00366617"/>
    <w:rsid w:val="00366650"/>
    <w:rsid w:val="003666E2"/>
    <w:rsid w:val="00366715"/>
    <w:rsid w:val="00366716"/>
    <w:rsid w:val="00366919"/>
    <w:rsid w:val="00366988"/>
    <w:rsid w:val="00366BD1"/>
    <w:rsid w:val="00366C19"/>
    <w:rsid w:val="00366D08"/>
    <w:rsid w:val="00366F5A"/>
    <w:rsid w:val="00367052"/>
    <w:rsid w:val="003670B5"/>
    <w:rsid w:val="003670B7"/>
    <w:rsid w:val="00367110"/>
    <w:rsid w:val="003671AB"/>
    <w:rsid w:val="003671E5"/>
    <w:rsid w:val="003673BC"/>
    <w:rsid w:val="00367424"/>
    <w:rsid w:val="003674A1"/>
    <w:rsid w:val="0036757B"/>
    <w:rsid w:val="003675FF"/>
    <w:rsid w:val="0036760A"/>
    <w:rsid w:val="00367628"/>
    <w:rsid w:val="00367750"/>
    <w:rsid w:val="003677C9"/>
    <w:rsid w:val="00367855"/>
    <w:rsid w:val="003678B1"/>
    <w:rsid w:val="00367919"/>
    <w:rsid w:val="00367996"/>
    <w:rsid w:val="00367A91"/>
    <w:rsid w:val="00367AFA"/>
    <w:rsid w:val="00367AFC"/>
    <w:rsid w:val="00367C2B"/>
    <w:rsid w:val="00367D2E"/>
    <w:rsid w:val="00367E3F"/>
    <w:rsid w:val="00367EB8"/>
    <w:rsid w:val="00367ECE"/>
    <w:rsid w:val="00367EE7"/>
    <w:rsid w:val="00367F11"/>
    <w:rsid w:val="0037001D"/>
    <w:rsid w:val="003701B8"/>
    <w:rsid w:val="00370305"/>
    <w:rsid w:val="003703EB"/>
    <w:rsid w:val="0037055C"/>
    <w:rsid w:val="00370584"/>
    <w:rsid w:val="0037060F"/>
    <w:rsid w:val="003706C1"/>
    <w:rsid w:val="003708A6"/>
    <w:rsid w:val="003708FA"/>
    <w:rsid w:val="003709D9"/>
    <w:rsid w:val="00370A26"/>
    <w:rsid w:val="00370A4E"/>
    <w:rsid w:val="00370A96"/>
    <w:rsid w:val="00370AC1"/>
    <w:rsid w:val="00370AF2"/>
    <w:rsid w:val="00370B27"/>
    <w:rsid w:val="00370BBE"/>
    <w:rsid w:val="00370C1B"/>
    <w:rsid w:val="00370CA5"/>
    <w:rsid w:val="00370CD4"/>
    <w:rsid w:val="00370DB3"/>
    <w:rsid w:val="00370F37"/>
    <w:rsid w:val="00370F54"/>
    <w:rsid w:val="00370FDA"/>
    <w:rsid w:val="0037106A"/>
    <w:rsid w:val="00371115"/>
    <w:rsid w:val="003711F3"/>
    <w:rsid w:val="003712DD"/>
    <w:rsid w:val="003712EF"/>
    <w:rsid w:val="0037135F"/>
    <w:rsid w:val="003713BA"/>
    <w:rsid w:val="0037146E"/>
    <w:rsid w:val="00371587"/>
    <w:rsid w:val="003715E1"/>
    <w:rsid w:val="003715ED"/>
    <w:rsid w:val="00371625"/>
    <w:rsid w:val="00371710"/>
    <w:rsid w:val="00371714"/>
    <w:rsid w:val="00371873"/>
    <w:rsid w:val="003718D3"/>
    <w:rsid w:val="003718F4"/>
    <w:rsid w:val="0037192B"/>
    <w:rsid w:val="0037196A"/>
    <w:rsid w:val="00371B98"/>
    <w:rsid w:val="00371C32"/>
    <w:rsid w:val="00371CB1"/>
    <w:rsid w:val="00371CB2"/>
    <w:rsid w:val="00371D0E"/>
    <w:rsid w:val="00371DAB"/>
    <w:rsid w:val="00371EBE"/>
    <w:rsid w:val="00371F25"/>
    <w:rsid w:val="00372008"/>
    <w:rsid w:val="0037201B"/>
    <w:rsid w:val="0037202F"/>
    <w:rsid w:val="0037214A"/>
    <w:rsid w:val="0037217B"/>
    <w:rsid w:val="00372201"/>
    <w:rsid w:val="00372240"/>
    <w:rsid w:val="00372258"/>
    <w:rsid w:val="003722C9"/>
    <w:rsid w:val="003722DA"/>
    <w:rsid w:val="003722E1"/>
    <w:rsid w:val="003722E8"/>
    <w:rsid w:val="00372325"/>
    <w:rsid w:val="0037239A"/>
    <w:rsid w:val="00372454"/>
    <w:rsid w:val="0037249B"/>
    <w:rsid w:val="003724F4"/>
    <w:rsid w:val="0037258E"/>
    <w:rsid w:val="003725AB"/>
    <w:rsid w:val="00372601"/>
    <w:rsid w:val="00372610"/>
    <w:rsid w:val="00372689"/>
    <w:rsid w:val="0037274C"/>
    <w:rsid w:val="00372774"/>
    <w:rsid w:val="00372786"/>
    <w:rsid w:val="003727A6"/>
    <w:rsid w:val="0037288B"/>
    <w:rsid w:val="0037290A"/>
    <w:rsid w:val="003729E2"/>
    <w:rsid w:val="00372AE6"/>
    <w:rsid w:val="00372CA7"/>
    <w:rsid w:val="00372CAC"/>
    <w:rsid w:val="00372D75"/>
    <w:rsid w:val="00372D78"/>
    <w:rsid w:val="00372E3E"/>
    <w:rsid w:val="00372E87"/>
    <w:rsid w:val="00372FED"/>
    <w:rsid w:val="00373256"/>
    <w:rsid w:val="003732C3"/>
    <w:rsid w:val="003732C8"/>
    <w:rsid w:val="00373351"/>
    <w:rsid w:val="0037338C"/>
    <w:rsid w:val="00373528"/>
    <w:rsid w:val="00373669"/>
    <w:rsid w:val="003736E3"/>
    <w:rsid w:val="00373735"/>
    <w:rsid w:val="00373751"/>
    <w:rsid w:val="00373782"/>
    <w:rsid w:val="003737D9"/>
    <w:rsid w:val="00373824"/>
    <w:rsid w:val="0037384E"/>
    <w:rsid w:val="00373850"/>
    <w:rsid w:val="00373858"/>
    <w:rsid w:val="0037394E"/>
    <w:rsid w:val="00373B06"/>
    <w:rsid w:val="00373B7A"/>
    <w:rsid w:val="00373CBC"/>
    <w:rsid w:val="00373D71"/>
    <w:rsid w:val="00373E93"/>
    <w:rsid w:val="00373F3F"/>
    <w:rsid w:val="00373F42"/>
    <w:rsid w:val="00373FA4"/>
    <w:rsid w:val="0037407B"/>
    <w:rsid w:val="003740AD"/>
    <w:rsid w:val="0037410D"/>
    <w:rsid w:val="0037413B"/>
    <w:rsid w:val="0037415E"/>
    <w:rsid w:val="003741E6"/>
    <w:rsid w:val="00374267"/>
    <w:rsid w:val="00374284"/>
    <w:rsid w:val="003742E7"/>
    <w:rsid w:val="00374329"/>
    <w:rsid w:val="0037432F"/>
    <w:rsid w:val="00374331"/>
    <w:rsid w:val="00374342"/>
    <w:rsid w:val="00374373"/>
    <w:rsid w:val="003743AC"/>
    <w:rsid w:val="003743EC"/>
    <w:rsid w:val="0037441C"/>
    <w:rsid w:val="00374458"/>
    <w:rsid w:val="003744C6"/>
    <w:rsid w:val="00374531"/>
    <w:rsid w:val="00374581"/>
    <w:rsid w:val="003745F4"/>
    <w:rsid w:val="003745F9"/>
    <w:rsid w:val="0037461B"/>
    <w:rsid w:val="0037465A"/>
    <w:rsid w:val="003746E8"/>
    <w:rsid w:val="00374826"/>
    <w:rsid w:val="0037482A"/>
    <w:rsid w:val="003748B4"/>
    <w:rsid w:val="00374937"/>
    <w:rsid w:val="00374A36"/>
    <w:rsid w:val="00374AB5"/>
    <w:rsid w:val="00374AF2"/>
    <w:rsid w:val="00374B2A"/>
    <w:rsid w:val="00374B3A"/>
    <w:rsid w:val="00374BF2"/>
    <w:rsid w:val="00374C86"/>
    <w:rsid w:val="00374C98"/>
    <w:rsid w:val="00374CDB"/>
    <w:rsid w:val="00374D72"/>
    <w:rsid w:val="00374E1F"/>
    <w:rsid w:val="00374EB2"/>
    <w:rsid w:val="0037502C"/>
    <w:rsid w:val="00375081"/>
    <w:rsid w:val="003751E8"/>
    <w:rsid w:val="00375224"/>
    <w:rsid w:val="0037525B"/>
    <w:rsid w:val="003752FB"/>
    <w:rsid w:val="00375331"/>
    <w:rsid w:val="003753F2"/>
    <w:rsid w:val="00375513"/>
    <w:rsid w:val="0037554F"/>
    <w:rsid w:val="003755D8"/>
    <w:rsid w:val="00375606"/>
    <w:rsid w:val="00375756"/>
    <w:rsid w:val="0037578B"/>
    <w:rsid w:val="0037579B"/>
    <w:rsid w:val="00375815"/>
    <w:rsid w:val="0037584C"/>
    <w:rsid w:val="0037584D"/>
    <w:rsid w:val="00375867"/>
    <w:rsid w:val="0037586A"/>
    <w:rsid w:val="00375879"/>
    <w:rsid w:val="003758B8"/>
    <w:rsid w:val="00375904"/>
    <w:rsid w:val="00375A20"/>
    <w:rsid w:val="00375B39"/>
    <w:rsid w:val="00375BD3"/>
    <w:rsid w:val="00375C33"/>
    <w:rsid w:val="00375C43"/>
    <w:rsid w:val="00375C54"/>
    <w:rsid w:val="00375C62"/>
    <w:rsid w:val="00375C6E"/>
    <w:rsid w:val="00375D0C"/>
    <w:rsid w:val="00375D50"/>
    <w:rsid w:val="00375D86"/>
    <w:rsid w:val="00375E0E"/>
    <w:rsid w:val="00375E47"/>
    <w:rsid w:val="00375F44"/>
    <w:rsid w:val="00375F6D"/>
    <w:rsid w:val="00375F9F"/>
    <w:rsid w:val="00375FC6"/>
    <w:rsid w:val="00375FDF"/>
    <w:rsid w:val="00375FF0"/>
    <w:rsid w:val="0037606C"/>
    <w:rsid w:val="00376080"/>
    <w:rsid w:val="0037608D"/>
    <w:rsid w:val="003760A3"/>
    <w:rsid w:val="003760ED"/>
    <w:rsid w:val="00376137"/>
    <w:rsid w:val="00376139"/>
    <w:rsid w:val="0037613D"/>
    <w:rsid w:val="00376217"/>
    <w:rsid w:val="00376225"/>
    <w:rsid w:val="00376388"/>
    <w:rsid w:val="00376447"/>
    <w:rsid w:val="00376511"/>
    <w:rsid w:val="0037652D"/>
    <w:rsid w:val="003767A0"/>
    <w:rsid w:val="003767F9"/>
    <w:rsid w:val="00376855"/>
    <w:rsid w:val="003768B9"/>
    <w:rsid w:val="00376921"/>
    <w:rsid w:val="00376970"/>
    <w:rsid w:val="00376987"/>
    <w:rsid w:val="00376994"/>
    <w:rsid w:val="00376A0B"/>
    <w:rsid w:val="00376A6E"/>
    <w:rsid w:val="00376B54"/>
    <w:rsid w:val="00376BDD"/>
    <w:rsid w:val="00376C8F"/>
    <w:rsid w:val="00376CCB"/>
    <w:rsid w:val="00376CD8"/>
    <w:rsid w:val="00376F07"/>
    <w:rsid w:val="00376F33"/>
    <w:rsid w:val="00376F3A"/>
    <w:rsid w:val="00376F67"/>
    <w:rsid w:val="00376FC8"/>
    <w:rsid w:val="00376FE3"/>
    <w:rsid w:val="00377039"/>
    <w:rsid w:val="0037708E"/>
    <w:rsid w:val="00377105"/>
    <w:rsid w:val="0037712B"/>
    <w:rsid w:val="0037713D"/>
    <w:rsid w:val="00377140"/>
    <w:rsid w:val="00377198"/>
    <w:rsid w:val="00377231"/>
    <w:rsid w:val="00377330"/>
    <w:rsid w:val="0037736B"/>
    <w:rsid w:val="003773CF"/>
    <w:rsid w:val="0037746E"/>
    <w:rsid w:val="003774B6"/>
    <w:rsid w:val="00377512"/>
    <w:rsid w:val="0037752F"/>
    <w:rsid w:val="0037754B"/>
    <w:rsid w:val="003775AA"/>
    <w:rsid w:val="003776CF"/>
    <w:rsid w:val="003777CD"/>
    <w:rsid w:val="003777FC"/>
    <w:rsid w:val="00377843"/>
    <w:rsid w:val="00377861"/>
    <w:rsid w:val="00377869"/>
    <w:rsid w:val="003778BA"/>
    <w:rsid w:val="003778E4"/>
    <w:rsid w:val="00377930"/>
    <w:rsid w:val="00377AD7"/>
    <w:rsid w:val="00377AD9"/>
    <w:rsid w:val="00377B56"/>
    <w:rsid w:val="00377C52"/>
    <w:rsid w:val="00377C9F"/>
    <w:rsid w:val="00377CD8"/>
    <w:rsid w:val="00377D52"/>
    <w:rsid w:val="00377D5A"/>
    <w:rsid w:val="00377E23"/>
    <w:rsid w:val="00377E84"/>
    <w:rsid w:val="00377EC2"/>
    <w:rsid w:val="00377EF3"/>
    <w:rsid w:val="00377EFE"/>
    <w:rsid w:val="00377F02"/>
    <w:rsid w:val="0037DDD2"/>
    <w:rsid w:val="00380054"/>
    <w:rsid w:val="0038006F"/>
    <w:rsid w:val="00380071"/>
    <w:rsid w:val="003801A8"/>
    <w:rsid w:val="003801CB"/>
    <w:rsid w:val="0038022E"/>
    <w:rsid w:val="003802A9"/>
    <w:rsid w:val="003802F7"/>
    <w:rsid w:val="0038030B"/>
    <w:rsid w:val="00380328"/>
    <w:rsid w:val="0038037E"/>
    <w:rsid w:val="00380454"/>
    <w:rsid w:val="00380463"/>
    <w:rsid w:val="003804D9"/>
    <w:rsid w:val="00380574"/>
    <w:rsid w:val="0038069F"/>
    <w:rsid w:val="00380794"/>
    <w:rsid w:val="003808A7"/>
    <w:rsid w:val="0038097D"/>
    <w:rsid w:val="0038097F"/>
    <w:rsid w:val="00380B6E"/>
    <w:rsid w:val="00380BD2"/>
    <w:rsid w:val="00380C50"/>
    <w:rsid w:val="00380C64"/>
    <w:rsid w:val="00380CCC"/>
    <w:rsid w:val="00380D18"/>
    <w:rsid w:val="00380DA5"/>
    <w:rsid w:val="00380DEF"/>
    <w:rsid w:val="00380E19"/>
    <w:rsid w:val="00380F23"/>
    <w:rsid w:val="00380FD0"/>
    <w:rsid w:val="00381040"/>
    <w:rsid w:val="0038106A"/>
    <w:rsid w:val="0038122B"/>
    <w:rsid w:val="00381301"/>
    <w:rsid w:val="0038135C"/>
    <w:rsid w:val="00381367"/>
    <w:rsid w:val="0038138C"/>
    <w:rsid w:val="003815E0"/>
    <w:rsid w:val="003815EA"/>
    <w:rsid w:val="0038171D"/>
    <w:rsid w:val="00381721"/>
    <w:rsid w:val="0038172F"/>
    <w:rsid w:val="0038174A"/>
    <w:rsid w:val="003817DE"/>
    <w:rsid w:val="00381837"/>
    <w:rsid w:val="00381858"/>
    <w:rsid w:val="00381869"/>
    <w:rsid w:val="00381986"/>
    <w:rsid w:val="0038198A"/>
    <w:rsid w:val="00381A22"/>
    <w:rsid w:val="00381A43"/>
    <w:rsid w:val="00381A72"/>
    <w:rsid w:val="00381B78"/>
    <w:rsid w:val="00381BB5"/>
    <w:rsid w:val="00381C0C"/>
    <w:rsid w:val="00381CFA"/>
    <w:rsid w:val="00381D42"/>
    <w:rsid w:val="00381D6F"/>
    <w:rsid w:val="00381DC3"/>
    <w:rsid w:val="00381E15"/>
    <w:rsid w:val="00381EA5"/>
    <w:rsid w:val="00381EF0"/>
    <w:rsid w:val="00381EFE"/>
    <w:rsid w:val="0038211D"/>
    <w:rsid w:val="00382137"/>
    <w:rsid w:val="003821A1"/>
    <w:rsid w:val="003821A2"/>
    <w:rsid w:val="003823C0"/>
    <w:rsid w:val="00382444"/>
    <w:rsid w:val="00382450"/>
    <w:rsid w:val="00382494"/>
    <w:rsid w:val="003824D5"/>
    <w:rsid w:val="00382517"/>
    <w:rsid w:val="00382583"/>
    <w:rsid w:val="00382584"/>
    <w:rsid w:val="00382625"/>
    <w:rsid w:val="00382637"/>
    <w:rsid w:val="0038264D"/>
    <w:rsid w:val="0038275D"/>
    <w:rsid w:val="003827B5"/>
    <w:rsid w:val="00382904"/>
    <w:rsid w:val="0038299E"/>
    <w:rsid w:val="003829E7"/>
    <w:rsid w:val="00382AAD"/>
    <w:rsid w:val="00382B93"/>
    <w:rsid w:val="00382C49"/>
    <w:rsid w:val="00382CCA"/>
    <w:rsid w:val="00382D71"/>
    <w:rsid w:val="00382E23"/>
    <w:rsid w:val="00382E8C"/>
    <w:rsid w:val="00382EC6"/>
    <w:rsid w:val="00382F60"/>
    <w:rsid w:val="00382F73"/>
    <w:rsid w:val="00382FA7"/>
    <w:rsid w:val="00382FC0"/>
    <w:rsid w:val="0038305F"/>
    <w:rsid w:val="00383077"/>
    <w:rsid w:val="00383086"/>
    <w:rsid w:val="00383144"/>
    <w:rsid w:val="003831C9"/>
    <w:rsid w:val="00383285"/>
    <w:rsid w:val="003832B2"/>
    <w:rsid w:val="003832B8"/>
    <w:rsid w:val="00383371"/>
    <w:rsid w:val="00383426"/>
    <w:rsid w:val="00383454"/>
    <w:rsid w:val="00383476"/>
    <w:rsid w:val="003834E3"/>
    <w:rsid w:val="0038362E"/>
    <w:rsid w:val="00383742"/>
    <w:rsid w:val="0038376E"/>
    <w:rsid w:val="00383784"/>
    <w:rsid w:val="0038378D"/>
    <w:rsid w:val="003837A4"/>
    <w:rsid w:val="003838F9"/>
    <w:rsid w:val="0038393D"/>
    <w:rsid w:val="003839B8"/>
    <w:rsid w:val="003839BB"/>
    <w:rsid w:val="003839CD"/>
    <w:rsid w:val="00383A11"/>
    <w:rsid w:val="00383A89"/>
    <w:rsid w:val="00383B83"/>
    <w:rsid w:val="00383BEB"/>
    <w:rsid w:val="00383C74"/>
    <w:rsid w:val="00383DE0"/>
    <w:rsid w:val="00383DE4"/>
    <w:rsid w:val="00383E27"/>
    <w:rsid w:val="00383EB7"/>
    <w:rsid w:val="00383EF5"/>
    <w:rsid w:val="00383F40"/>
    <w:rsid w:val="00383F59"/>
    <w:rsid w:val="00383F93"/>
    <w:rsid w:val="00384069"/>
    <w:rsid w:val="0038407C"/>
    <w:rsid w:val="00384134"/>
    <w:rsid w:val="00384344"/>
    <w:rsid w:val="00384370"/>
    <w:rsid w:val="0038442C"/>
    <w:rsid w:val="0038442D"/>
    <w:rsid w:val="00384607"/>
    <w:rsid w:val="00384630"/>
    <w:rsid w:val="0038465A"/>
    <w:rsid w:val="0038466F"/>
    <w:rsid w:val="003846E6"/>
    <w:rsid w:val="003848D2"/>
    <w:rsid w:val="003848D4"/>
    <w:rsid w:val="0038496C"/>
    <w:rsid w:val="00384979"/>
    <w:rsid w:val="00384A4F"/>
    <w:rsid w:val="00384A67"/>
    <w:rsid w:val="00384B7D"/>
    <w:rsid w:val="00384BDE"/>
    <w:rsid w:val="00384C02"/>
    <w:rsid w:val="00384CF8"/>
    <w:rsid w:val="00384CFD"/>
    <w:rsid w:val="00384D0A"/>
    <w:rsid w:val="00384D12"/>
    <w:rsid w:val="00384D52"/>
    <w:rsid w:val="00384D98"/>
    <w:rsid w:val="00384E16"/>
    <w:rsid w:val="00384E56"/>
    <w:rsid w:val="00384E81"/>
    <w:rsid w:val="00384FE4"/>
    <w:rsid w:val="0038514F"/>
    <w:rsid w:val="00385179"/>
    <w:rsid w:val="003851C6"/>
    <w:rsid w:val="0038528D"/>
    <w:rsid w:val="00385295"/>
    <w:rsid w:val="003852A6"/>
    <w:rsid w:val="003852D1"/>
    <w:rsid w:val="003852F2"/>
    <w:rsid w:val="00385330"/>
    <w:rsid w:val="00385432"/>
    <w:rsid w:val="0038558F"/>
    <w:rsid w:val="003855B6"/>
    <w:rsid w:val="0038568B"/>
    <w:rsid w:val="003856EB"/>
    <w:rsid w:val="00385750"/>
    <w:rsid w:val="00385761"/>
    <w:rsid w:val="003857D3"/>
    <w:rsid w:val="0038593F"/>
    <w:rsid w:val="00385941"/>
    <w:rsid w:val="00385958"/>
    <w:rsid w:val="00385A7E"/>
    <w:rsid w:val="00385A8C"/>
    <w:rsid w:val="00385B1A"/>
    <w:rsid w:val="00385BB5"/>
    <w:rsid w:val="00385BE2"/>
    <w:rsid w:val="00385D1D"/>
    <w:rsid w:val="00385D90"/>
    <w:rsid w:val="00385E45"/>
    <w:rsid w:val="00385E56"/>
    <w:rsid w:val="00385F45"/>
    <w:rsid w:val="00385F8F"/>
    <w:rsid w:val="0038604B"/>
    <w:rsid w:val="00386068"/>
    <w:rsid w:val="003860DE"/>
    <w:rsid w:val="003860E6"/>
    <w:rsid w:val="003860F3"/>
    <w:rsid w:val="00386108"/>
    <w:rsid w:val="00386189"/>
    <w:rsid w:val="0038626A"/>
    <w:rsid w:val="0038626D"/>
    <w:rsid w:val="003863ED"/>
    <w:rsid w:val="003864FC"/>
    <w:rsid w:val="0038662B"/>
    <w:rsid w:val="0038662D"/>
    <w:rsid w:val="0038667D"/>
    <w:rsid w:val="003866BE"/>
    <w:rsid w:val="00386717"/>
    <w:rsid w:val="003867C6"/>
    <w:rsid w:val="003867F6"/>
    <w:rsid w:val="003868D5"/>
    <w:rsid w:val="00386901"/>
    <w:rsid w:val="00386992"/>
    <w:rsid w:val="003869B5"/>
    <w:rsid w:val="00386A33"/>
    <w:rsid w:val="00386A94"/>
    <w:rsid w:val="00386AC2"/>
    <w:rsid w:val="00386BC8"/>
    <w:rsid w:val="00386C68"/>
    <w:rsid w:val="00386CBD"/>
    <w:rsid w:val="00386D8E"/>
    <w:rsid w:val="00386DB4"/>
    <w:rsid w:val="00386E3A"/>
    <w:rsid w:val="00386E44"/>
    <w:rsid w:val="00386E92"/>
    <w:rsid w:val="00386EA4"/>
    <w:rsid w:val="00386EA8"/>
    <w:rsid w:val="00386F5B"/>
    <w:rsid w:val="00386F71"/>
    <w:rsid w:val="00386F8B"/>
    <w:rsid w:val="0038703F"/>
    <w:rsid w:val="00387089"/>
    <w:rsid w:val="003872C3"/>
    <w:rsid w:val="0038739B"/>
    <w:rsid w:val="003874A6"/>
    <w:rsid w:val="003874C1"/>
    <w:rsid w:val="003874EF"/>
    <w:rsid w:val="00387534"/>
    <w:rsid w:val="00387535"/>
    <w:rsid w:val="0038762E"/>
    <w:rsid w:val="00387641"/>
    <w:rsid w:val="00387694"/>
    <w:rsid w:val="00387750"/>
    <w:rsid w:val="003877C1"/>
    <w:rsid w:val="003878DA"/>
    <w:rsid w:val="0038791C"/>
    <w:rsid w:val="00387922"/>
    <w:rsid w:val="0038793D"/>
    <w:rsid w:val="003879AB"/>
    <w:rsid w:val="00387A6E"/>
    <w:rsid w:val="00387B93"/>
    <w:rsid w:val="00387B9A"/>
    <w:rsid w:val="00387C48"/>
    <w:rsid w:val="00387C53"/>
    <w:rsid w:val="00387C97"/>
    <w:rsid w:val="00387CD5"/>
    <w:rsid w:val="00387D7D"/>
    <w:rsid w:val="00387D7E"/>
    <w:rsid w:val="00387E21"/>
    <w:rsid w:val="00387E5A"/>
    <w:rsid w:val="00387F16"/>
    <w:rsid w:val="00387FE0"/>
    <w:rsid w:val="00387FEE"/>
    <w:rsid w:val="00390092"/>
    <w:rsid w:val="003900A4"/>
    <w:rsid w:val="003900E0"/>
    <w:rsid w:val="003900F2"/>
    <w:rsid w:val="0039016A"/>
    <w:rsid w:val="00390192"/>
    <w:rsid w:val="003901BA"/>
    <w:rsid w:val="003901D4"/>
    <w:rsid w:val="00390230"/>
    <w:rsid w:val="00390235"/>
    <w:rsid w:val="0039028E"/>
    <w:rsid w:val="003902A2"/>
    <w:rsid w:val="003902F9"/>
    <w:rsid w:val="0039053D"/>
    <w:rsid w:val="00390575"/>
    <w:rsid w:val="00390579"/>
    <w:rsid w:val="003905A3"/>
    <w:rsid w:val="0039068C"/>
    <w:rsid w:val="003906D9"/>
    <w:rsid w:val="00390779"/>
    <w:rsid w:val="003907E5"/>
    <w:rsid w:val="003907F8"/>
    <w:rsid w:val="00390802"/>
    <w:rsid w:val="00390830"/>
    <w:rsid w:val="003908AD"/>
    <w:rsid w:val="003908E6"/>
    <w:rsid w:val="00390964"/>
    <w:rsid w:val="003909CF"/>
    <w:rsid w:val="003909D1"/>
    <w:rsid w:val="00390A2A"/>
    <w:rsid w:val="00390A2D"/>
    <w:rsid w:val="00390B65"/>
    <w:rsid w:val="00390C3A"/>
    <w:rsid w:val="00390CD9"/>
    <w:rsid w:val="00390D22"/>
    <w:rsid w:val="00390DE6"/>
    <w:rsid w:val="00390E0B"/>
    <w:rsid w:val="00390EB4"/>
    <w:rsid w:val="00390ED4"/>
    <w:rsid w:val="00390F34"/>
    <w:rsid w:val="00390F4A"/>
    <w:rsid w:val="00390F95"/>
    <w:rsid w:val="00391059"/>
    <w:rsid w:val="0039106B"/>
    <w:rsid w:val="003910BC"/>
    <w:rsid w:val="00391145"/>
    <w:rsid w:val="0039119C"/>
    <w:rsid w:val="003911F6"/>
    <w:rsid w:val="0039125B"/>
    <w:rsid w:val="00391277"/>
    <w:rsid w:val="003912ED"/>
    <w:rsid w:val="0039131A"/>
    <w:rsid w:val="0039136A"/>
    <w:rsid w:val="0039137C"/>
    <w:rsid w:val="00391479"/>
    <w:rsid w:val="0039154B"/>
    <w:rsid w:val="0039155B"/>
    <w:rsid w:val="00391704"/>
    <w:rsid w:val="0039180C"/>
    <w:rsid w:val="0039188B"/>
    <w:rsid w:val="003918D9"/>
    <w:rsid w:val="00391965"/>
    <w:rsid w:val="00391A40"/>
    <w:rsid w:val="00391A6E"/>
    <w:rsid w:val="00391AAF"/>
    <w:rsid w:val="00391AE6"/>
    <w:rsid w:val="00391AF3"/>
    <w:rsid w:val="00391B31"/>
    <w:rsid w:val="00391BF4"/>
    <w:rsid w:val="00391C5F"/>
    <w:rsid w:val="00391E82"/>
    <w:rsid w:val="00391EFA"/>
    <w:rsid w:val="00392071"/>
    <w:rsid w:val="00392214"/>
    <w:rsid w:val="0039227E"/>
    <w:rsid w:val="003922F4"/>
    <w:rsid w:val="00392302"/>
    <w:rsid w:val="0039234D"/>
    <w:rsid w:val="00392479"/>
    <w:rsid w:val="0039248B"/>
    <w:rsid w:val="00392495"/>
    <w:rsid w:val="0039249B"/>
    <w:rsid w:val="003924CE"/>
    <w:rsid w:val="003925EC"/>
    <w:rsid w:val="00392647"/>
    <w:rsid w:val="00392693"/>
    <w:rsid w:val="003926F5"/>
    <w:rsid w:val="00392703"/>
    <w:rsid w:val="00392807"/>
    <w:rsid w:val="00392836"/>
    <w:rsid w:val="003928BF"/>
    <w:rsid w:val="003928C2"/>
    <w:rsid w:val="003928E1"/>
    <w:rsid w:val="003928FB"/>
    <w:rsid w:val="0039290C"/>
    <w:rsid w:val="00392951"/>
    <w:rsid w:val="00392998"/>
    <w:rsid w:val="00392A05"/>
    <w:rsid w:val="00392A17"/>
    <w:rsid w:val="00392A53"/>
    <w:rsid w:val="00392A58"/>
    <w:rsid w:val="00392AC1"/>
    <w:rsid w:val="00392ACA"/>
    <w:rsid w:val="00392B19"/>
    <w:rsid w:val="00392B8F"/>
    <w:rsid w:val="00392BC4"/>
    <w:rsid w:val="00392C4A"/>
    <w:rsid w:val="00392CDD"/>
    <w:rsid w:val="00392D46"/>
    <w:rsid w:val="00392D9A"/>
    <w:rsid w:val="00392DAC"/>
    <w:rsid w:val="00392DE3"/>
    <w:rsid w:val="00392E21"/>
    <w:rsid w:val="00392E83"/>
    <w:rsid w:val="00392EAE"/>
    <w:rsid w:val="00392EDB"/>
    <w:rsid w:val="00392F06"/>
    <w:rsid w:val="00392F72"/>
    <w:rsid w:val="0039300E"/>
    <w:rsid w:val="00393023"/>
    <w:rsid w:val="00393085"/>
    <w:rsid w:val="0039309F"/>
    <w:rsid w:val="0039311D"/>
    <w:rsid w:val="003931A9"/>
    <w:rsid w:val="003931B3"/>
    <w:rsid w:val="00393212"/>
    <w:rsid w:val="003933F0"/>
    <w:rsid w:val="0039341E"/>
    <w:rsid w:val="00393460"/>
    <w:rsid w:val="00393501"/>
    <w:rsid w:val="0039360E"/>
    <w:rsid w:val="003936D0"/>
    <w:rsid w:val="00393741"/>
    <w:rsid w:val="0039380F"/>
    <w:rsid w:val="00393826"/>
    <w:rsid w:val="0039386D"/>
    <w:rsid w:val="003938AC"/>
    <w:rsid w:val="003938AE"/>
    <w:rsid w:val="00393900"/>
    <w:rsid w:val="0039390A"/>
    <w:rsid w:val="0039394D"/>
    <w:rsid w:val="003939C8"/>
    <w:rsid w:val="00393A6D"/>
    <w:rsid w:val="00393ABE"/>
    <w:rsid w:val="00393AFA"/>
    <w:rsid w:val="00393B0B"/>
    <w:rsid w:val="00393B63"/>
    <w:rsid w:val="00393BE5"/>
    <w:rsid w:val="00393CA4"/>
    <w:rsid w:val="00393D83"/>
    <w:rsid w:val="00393E2D"/>
    <w:rsid w:val="00393EE1"/>
    <w:rsid w:val="00393F12"/>
    <w:rsid w:val="0039403F"/>
    <w:rsid w:val="0039417F"/>
    <w:rsid w:val="0039419E"/>
    <w:rsid w:val="0039432E"/>
    <w:rsid w:val="00394351"/>
    <w:rsid w:val="00394354"/>
    <w:rsid w:val="00394360"/>
    <w:rsid w:val="003943EE"/>
    <w:rsid w:val="003943F6"/>
    <w:rsid w:val="00394467"/>
    <w:rsid w:val="003944B8"/>
    <w:rsid w:val="00394507"/>
    <w:rsid w:val="00394509"/>
    <w:rsid w:val="00394527"/>
    <w:rsid w:val="00394614"/>
    <w:rsid w:val="0039465B"/>
    <w:rsid w:val="0039466E"/>
    <w:rsid w:val="003946AE"/>
    <w:rsid w:val="003946C8"/>
    <w:rsid w:val="003946EC"/>
    <w:rsid w:val="00394701"/>
    <w:rsid w:val="00394744"/>
    <w:rsid w:val="0039475D"/>
    <w:rsid w:val="0039478F"/>
    <w:rsid w:val="00394793"/>
    <w:rsid w:val="00394862"/>
    <w:rsid w:val="003948DC"/>
    <w:rsid w:val="003948F5"/>
    <w:rsid w:val="00394920"/>
    <w:rsid w:val="0039493A"/>
    <w:rsid w:val="0039493F"/>
    <w:rsid w:val="003949CF"/>
    <w:rsid w:val="00394A2A"/>
    <w:rsid w:val="00394A95"/>
    <w:rsid w:val="00394B0B"/>
    <w:rsid w:val="00394BA6"/>
    <w:rsid w:val="00394BAF"/>
    <w:rsid w:val="00394C40"/>
    <w:rsid w:val="00394C96"/>
    <w:rsid w:val="00394DB5"/>
    <w:rsid w:val="00394DF4"/>
    <w:rsid w:val="00394E32"/>
    <w:rsid w:val="00394E6D"/>
    <w:rsid w:val="00394E79"/>
    <w:rsid w:val="00394EB4"/>
    <w:rsid w:val="00394EE3"/>
    <w:rsid w:val="00394F30"/>
    <w:rsid w:val="00394F71"/>
    <w:rsid w:val="00394FD8"/>
    <w:rsid w:val="0039509F"/>
    <w:rsid w:val="00395162"/>
    <w:rsid w:val="0039519A"/>
    <w:rsid w:val="003952BB"/>
    <w:rsid w:val="003952EE"/>
    <w:rsid w:val="00395341"/>
    <w:rsid w:val="0039535E"/>
    <w:rsid w:val="003953C7"/>
    <w:rsid w:val="003954CF"/>
    <w:rsid w:val="0039550B"/>
    <w:rsid w:val="00395524"/>
    <w:rsid w:val="003955AB"/>
    <w:rsid w:val="003955D5"/>
    <w:rsid w:val="00395614"/>
    <w:rsid w:val="00395618"/>
    <w:rsid w:val="00395666"/>
    <w:rsid w:val="0039566A"/>
    <w:rsid w:val="00395777"/>
    <w:rsid w:val="003957B5"/>
    <w:rsid w:val="003957F0"/>
    <w:rsid w:val="00395802"/>
    <w:rsid w:val="00395803"/>
    <w:rsid w:val="00395813"/>
    <w:rsid w:val="003959AB"/>
    <w:rsid w:val="00395A79"/>
    <w:rsid w:val="00395A95"/>
    <w:rsid w:val="00395A99"/>
    <w:rsid w:val="00395B6F"/>
    <w:rsid w:val="00395BCE"/>
    <w:rsid w:val="00395BEC"/>
    <w:rsid w:val="00395BFC"/>
    <w:rsid w:val="00395C23"/>
    <w:rsid w:val="00395C26"/>
    <w:rsid w:val="00395CB9"/>
    <w:rsid w:val="00395CC7"/>
    <w:rsid w:val="00395D01"/>
    <w:rsid w:val="00395E12"/>
    <w:rsid w:val="00395E96"/>
    <w:rsid w:val="00395EF5"/>
    <w:rsid w:val="00395EFF"/>
    <w:rsid w:val="00395F30"/>
    <w:rsid w:val="00395F4C"/>
    <w:rsid w:val="00395F53"/>
    <w:rsid w:val="00395F85"/>
    <w:rsid w:val="00395FF1"/>
    <w:rsid w:val="0039607E"/>
    <w:rsid w:val="003960A7"/>
    <w:rsid w:val="003960C7"/>
    <w:rsid w:val="0039617C"/>
    <w:rsid w:val="003962EA"/>
    <w:rsid w:val="0039645E"/>
    <w:rsid w:val="0039650C"/>
    <w:rsid w:val="00396527"/>
    <w:rsid w:val="003965AE"/>
    <w:rsid w:val="0039662E"/>
    <w:rsid w:val="00396733"/>
    <w:rsid w:val="003967A0"/>
    <w:rsid w:val="003967B8"/>
    <w:rsid w:val="003967BA"/>
    <w:rsid w:val="00396802"/>
    <w:rsid w:val="0039681C"/>
    <w:rsid w:val="00396837"/>
    <w:rsid w:val="0039684B"/>
    <w:rsid w:val="0039690F"/>
    <w:rsid w:val="00396976"/>
    <w:rsid w:val="00396ABB"/>
    <w:rsid w:val="00396B42"/>
    <w:rsid w:val="00396C14"/>
    <w:rsid w:val="00396C1C"/>
    <w:rsid w:val="00396C26"/>
    <w:rsid w:val="00396C37"/>
    <w:rsid w:val="00396C4B"/>
    <w:rsid w:val="00396C9D"/>
    <w:rsid w:val="00396CCC"/>
    <w:rsid w:val="00396D3C"/>
    <w:rsid w:val="00396D9C"/>
    <w:rsid w:val="00396DCA"/>
    <w:rsid w:val="00396E76"/>
    <w:rsid w:val="00396FED"/>
    <w:rsid w:val="00396FF2"/>
    <w:rsid w:val="003970A1"/>
    <w:rsid w:val="003970F6"/>
    <w:rsid w:val="0039712F"/>
    <w:rsid w:val="003971DA"/>
    <w:rsid w:val="0039726A"/>
    <w:rsid w:val="00397285"/>
    <w:rsid w:val="003972A6"/>
    <w:rsid w:val="00397365"/>
    <w:rsid w:val="00397390"/>
    <w:rsid w:val="003973CE"/>
    <w:rsid w:val="0039748C"/>
    <w:rsid w:val="003974AB"/>
    <w:rsid w:val="003976BA"/>
    <w:rsid w:val="003977B0"/>
    <w:rsid w:val="00397945"/>
    <w:rsid w:val="00397AD5"/>
    <w:rsid w:val="00397B05"/>
    <w:rsid w:val="00397BA1"/>
    <w:rsid w:val="00397D26"/>
    <w:rsid w:val="00397D49"/>
    <w:rsid w:val="00397EFD"/>
    <w:rsid w:val="003A002C"/>
    <w:rsid w:val="003A006A"/>
    <w:rsid w:val="003A006E"/>
    <w:rsid w:val="003A0103"/>
    <w:rsid w:val="003A01C9"/>
    <w:rsid w:val="003A01D1"/>
    <w:rsid w:val="003A0331"/>
    <w:rsid w:val="003A0356"/>
    <w:rsid w:val="003A0358"/>
    <w:rsid w:val="003A038B"/>
    <w:rsid w:val="003A03B2"/>
    <w:rsid w:val="003A0542"/>
    <w:rsid w:val="003A0547"/>
    <w:rsid w:val="003A0567"/>
    <w:rsid w:val="003A0599"/>
    <w:rsid w:val="003A05C8"/>
    <w:rsid w:val="003A0669"/>
    <w:rsid w:val="003A0686"/>
    <w:rsid w:val="003A076B"/>
    <w:rsid w:val="003A0773"/>
    <w:rsid w:val="003A07CA"/>
    <w:rsid w:val="003A07F6"/>
    <w:rsid w:val="003A0898"/>
    <w:rsid w:val="003A089C"/>
    <w:rsid w:val="003A08E1"/>
    <w:rsid w:val="003A0952"/>
    <w:rsid w:val="003A0AB3"/>
    <w:rsid w:val="003A0B76"/>
    <w:rsid w:val="003A0BD9"/>
    <w:rsid w:val="003A0C70"/>
    <w:rsid w:val="003A0CA4"/>
    <w:rsid w:val="003A0E81"/>
    <w:rsid w:val="003A0EA3"/>
    <w:rsid w:val="003A0F0A"/>
    <w:rsid w:val="003A0F5D"/>
    <w:rsid w:val="003A0F7E"/>
    <w:rsid w:val="003A0F96"/>
    <w:rsid w:val="003A100F"/>
    <w:rsid w:val="003A1020"/>
    <w:rsid w:val="003A10AD"/>
    <w:rsid w:val="003A10B5"/>
    <w:rsid w:val="003A10E3"/>
    <w:rsid w:val="003A11FD"/>
    <w:rsid w:val="003A125B"/>
    <w:rsid w:val="003A1322"/>
    <w:rsid w:val="003A1324"/>
    <w:rsid w:val="003A135B"/>
    <w:rsid w:val="003A1510"/>
    <w:rsid w:val="003A161B"/>
    <w:rsid w:val="003A164F"/>
    <w:rsid w:val="003A1728"/>
    <w:rsid w:val="003A175E"/>
    <w:rsid w:val="003A17D6"/>
    <w:rsid w:val="003A1818"/>
    <w:rsid w:val="003A1868"/>
    <w:rsid w:val="003A190C"/>
    <w:rsid w:val="003A1A97"/>
    <w:rsid w:val="003A1B91"/>
    <w:rsid w:val="003A1B98"/>
    <w:rsid w:val="003A1BB3"/>
    <w:rsid w:val="003A1BD8"/>
    <w:rsid w:val="003A1C1E"/>
    <w:rsid w:val="003A1CB5"/>
    <w:rsid w:val="003A1CEF"/>
    <w:rsid w:val="003A1D0F"/>
    <w:rsid w:val="003A1D41"/>
    <w:rsid w:val="003A1DA8"/>
    <w:rsid w:val="003A1DB5"/>
    <w:rsid w:val="003A1DB6"/>
    <w:rsid w:val="003A1E7D"/>
    <w:rsid w:val="003A1F96"/>
    <w:rsid w:val="003A219A"/>
    <w:rsid w:val="003A2232"/>
    <w:rsid w:val="003A23CC"/>
    <w:rsid w:val="003A242A"/>
    <w:rsid w:val="003A2433"/>
    <w:rsid w:val="003A2455"/>
    <w:rsid w:val="003A2547"/>
    <w:rsid w:val="003A255F"/>
    <w:rsid w:val="003A257D"/>
    <w:rsid w:val="003A259D"/>
    <w:rsid w:val="003A2678"/>
    <w:rsid w:val="003A26E1"/>
    <w:rsid w:val="003A2808"/>
    <w:rsid w:val="003A295C"/>
    <w:rsid w:val="003A2985"/>
    <w:rsid w:val="003A29AD"/>
    <w:rsid w:val="003A2A9D"/>
    <w:rsid w:val="003A2B50"/>
    <w:rsid w:val="003A2C34"/>
    <w:rsid w:val="003A2CD1"/>
    <w:rsid w:val="003A2D30"/>
    <w:rsid w:val="003A2D44"/>
    <w:rsid w:val="003A2DE5"/>
    <w:rsid w:val="003A2E32"/>
    <w:rsid w:val="003A2ED3"/>
    <w:rsid w:val="003A2EEE"/>
    <w:rsid w:val="003A2F1C"/>
    <w:rsid w:val="003A30EC"/>
    <w:rsid w:val="003A3112"/>
    <w:rsid w:val="003A3122"/>
    <w:rsid w:val="003A31AB"/>
    <w:rsid w:val="003A31F1"/>
    <w:rsid w:val="003A32DF"/>
    <w:rsid w:val="003A3322"/>
    <w:rsid w:val="003A3327"/>
    <w:rsid w:val="003A3376"/>
    <w:rsid w:val="003A33E2"/>
    <w:rsid w:val="003A3438"/>
    <w:rsid w:val="003A34DE"/>
    <w:rsid w:val="003A3511"/>
    <w:rsid w:val="003A35DD"/>
    <w:rsid w:val="003A36C6"/>
    <w:rsid w:val="003A3727"/>
    <w:rsid w:val="003A3781"/>
    <w:rsid w:val="003A37F1"/>
    <w:rsid w:val="003A383C"/>
    <w:rsid w:val="003A3862"/>
    <w:rsid w:val="003A386B"/>
    <w:rsid w:val="003A38C9"/>
    <w:rsid w:val="003A38FD"/>
    <w:rsid w:val="003A3923"/>
    <w:rsid w:val="003A397C"/>
    <w:rsid w:val="003A39B7"/>
    <w:rsid w:val="003A39D4"/>
    <w:rsid w:val="003A39DE"/>
    <w:rsid w:val="003A3A60"/>
    <w:rsid w:val="003A3A76"/>
    <w:rsid w:val="003A3AC1"/>
    <w:rsid w:val="003A3BF8"/>
    <w:rsid w:val="003A3C4B"/>
    <w:rsid w:val="003A3CE1"/>
    <w:rsid w:val="003A3D29"/>
    <w:rsid w:val="003A3D8C"/>
    <w:rsid w:val="003A3E89"/>
    <w:rsid w:val="003A3ECD"/>
    <w:rsid w:val="003A3ED7"/>
    <w:rsid w:val="003A3F48"/>
    <w:rsid w:val="003A3FF1"/>
    <w:rsid w:val="003A404C"/>
    <w:rsid w:val="003A4083"/>
    <w:rsid w:val="003A4090"/>
    <w:rsid w:val="003A4122"/>
    <w:rsid w:val="003A422B"/>
    <w:rsid w:val="003A425A"/>
    <w:rsid w:val="003A43AF"/>
    <w:rsid w:val="003A43B8"/>
    <w:rsid w:val="003A43F7"/>
    <w:rsid w:val="003A4411"/>
    <w:rsid w:val="003A4450"/>
    <w:rsid w:val="003A45A5"/>
    <w:rsid w:val="003A466D"/>
    <w:rsid w:val="003A4690"/>
    <w:rsid w:val="003A4734"/>
    <w:rsid w:val="003A4787"/>
    <w:rsid w:val="003A48DC"/>
    <w:rsid w:val="003A48F7"/>
    <w:rsid w:val="003A4914"/>
    <w:rsid w:val="003A491D"/>
    <w:rsid w:val="003A4920"/>
    <w:rsid w:val="003A4931"/>
    <w:rsid w:val="003A49BD"/>
    <w:rsid w:val="003A49E3"/>
    <w:rsid w:val="003A4B07"/>
    <w:rsid w:val="003A4BC4"/>
    <w:rsid w:val="003A4C61"/>
    <w:rsid w:val="003A4CAB"/>
    <w:rsid w:val="003A4CC2"/>
    <w:rsid w:val="003A4D08"/>
    <w:rsid w:val="003A4D2D"/>
    <w:rsid w:val="003A4DFA"/>
    <w:rsid w:val="003A4E0A"/>
    <w:rsid w:val="003A4FF5"/>
    <w:rsid w:val="003A50BD"/>
    <w:rsid w:val="003A510C"/>
    <w:rsid w:val="003A519C"/>
    <w:rsid w:val="003A5317"/>
    <w:rsid w:val="003A5325"/>
    <w:rsid w:val="003A537B"/>
    <w:rsid w:val="003A5392"/>
    <w:rsid w:val="003A53A6"/>
    <w:rsid w:val="003A53B5"/>
    <w:rsid w:val="003A540B"/>
    <w:rsid w:val="003A5463"/>
    <w:rsid w:val="003A5475"/>
    <w:rsid w:val="003A5539"/>
    <w:rsid w:val="003A556D"/>
    <w:rsid w:val="003A5574"/>
    <w:rsid w:val="003A55C3"/>
    <w:rsid w:val="003A5642"/>
    <w:rsid w:val="003A568C"/>
    <w:rsid w:val="003A56BE"/>
    <w:rsid w:val="003A5799"/>
    <w:rsid w:val="003A588A"/>
    <w:rsid w:val="003A5897"/>
    <w:rsid w:val="003A58C1"/>
    <w:rsid w:val="003A58E4"/>
    <w:rsid w:val="003A5965"/>
    <w:rsid w:val="003A597F"/>
    <w:rsid w:val="003A59D1"/>
    <w:rsid w:val="003A59DC"/>
    <w:rsid w:val="003A5A20"/>
    <w:rsid w:val="003A5A81"/>
    <w:rsid w:val="003A5B60"/>
    <w:rsid w:val="003A5BD3"/>
    <w:rsid w:val="003A5C1E"/>
    <w:rsid w:val="003A5C3F"/>
    <w:rsid w:val="003A5CDF"/>
    <w:rsid w:val="003A5D05"/>
    <w:rsid w:val="003A5E55"/>
    <w:rsid w:val="003A5EA9"/>
    <w:rsid w:val="003A5F0A"/>
    <w:rsid w:val="003A5F65"/>
    <w:rsid w:val="003A5F90"/>
    <w:rsid w:val="003A5FA1"/>
    <w:rsid w:val="003A604A"/>
    <w:rsid w:val="003A6064"/>
    <w:rsid w:val="003A6097"/>
    <w:rsid w:val="003A60C4"/>
    <w:rsid w:val="003A61A1"/>
    <w:rsid w:val="003A6273"/>
    <w:rsid w:val="003A6297"/>
    <w:rsid w:val="003A630D"/>
    <w:rsid w:val="003A6336"/>
    <w:rsid w:val="003A640B"/>
    <w:rsid w:val="003A6421"/>
    <w:rsid w:val="003A64D7"/>
    <w:rsid w:val="003A64D9"/>
    <w:rsid w:val="003A64F4"/>
    <w:rsid w:val="003A6540"/>
    <w:rsid w:val="003A65A2"/>
    <w:rsid w:val="003A65C5"/>
    <w:rsid w:val="003A6648"/>
    <w:rsid w:val="003A675B"/>
    <w:rsid w:val="003A67FC"/>
    <w:rsid w:val="003A68CE"/>
    <w:rsid w:val="003A6964"/>
    <w:rsid w:val="003A69FD"/>
    <w:rsid w:val="003A6A0F"/>
    <w:rsid w:val="003A6A1A"/>
    <w:rsid w:val="003A6A71"/>
    <w:rsid w:val="003A6B41"/>
    <w:rsid w:val="003A6B8B"/>
    <w:rsid w:val="003A6BA4"/>
    <w:rsid w:val="003A6C1F"/>
    <w:rsid w:val="003A6C22"/>
    <w:rsid w:val="003A6D2D"/>
    <w:rsid w:val="003A6E0A"/>
    <w:rsid w:val="003A6EC5"/>
    <w:rsid w:val="003A6ED7"/>
    <w:rsid w:val="003A6FF7"/>
    <w:rsid w:val="003A7074"/>
    <w:rsid w:val="003A7123"/>
    <w:rsid w:val="003A7124"/>
    <w:rsid w:val="003A716B"/>
    <w:rsid w:val="003A72E7"/>
    <w:rsid w:val="003A7313"/>
    <w:rsid w:val="003A742A"/>
    <w:rsid w:val="003A742F"/>
    <w:rsid w:val="003A74CF"/>
    <w:rsid w:val="003A7528"/>
    <w:rsid w:val="003A7569"/>
    <w:rsid w:val="003A7617"/>
    <w:rsid w:val="003A76FC"/>
    <w:rsid w:val="003A7738"/>
    <w:rsid w:val="003A7759"/>
    <w:rsid w:val="003A7847"/>
    <w:rsid w:val="003A78D4"/>
    <w:rsid w:val="003A78E4"/>
    <w:rsid w:val="003A7927"/>
    <w:rsid w:val="003A796B"/>
    <w:rsid w:val="003A79D7"/>
    <w:rsid w:val="003A79EA"/>
    <w:rsid w:val="003A7A33"/>
    <w:rsid w:val="003A7A6B"/>
    <w:rsid w:val="003A7AE2"/>
    <w:rsid w:val="003A7AEF"/>
    <w:rsid w:val="003A7B48"/>
    <w:rsid w:val="003A7B6C"/>
    <w:rsid w:val="003A7B78"/>
    <w:rsid w:val="003A7BC9"/>
    <w:rsid w:val="003A7C48"/>
    <w:rsid w:val="003A7C83"/>
    <w:rsid w:val="003A7C93"/>
    <w:rsid w:val="003A7C97"/>
    <w:rsid w:val="003A7CE8"/>
    <w:rsid w:val="003A7D85"/>
    <w:rsid w:val="003A7D8F"/>
    <w:rsid w:val="003A7E4B"/>
    <w:rsid w:val="003A7E84"/>
    <w:rsid w:val="003A7E8F"/>
    <w:rsid w:val="003A7E96"/>
    <w:rsid w:val="003A7F06"/>
    <w:rsid w:val="003A7F28"/>
    <w:rsid w:val="003A89D3"/>
    <w:rsid w:val="003B0085"/>
    <w:rsid w:val="003B00EE"/>
    <w:rsid w:val="003B01A9"/>
    <w:rsid w:val="003B01D2"/>
    <w:rsid w:val="003B0202"/>
    <w:rsid w:val="003B022F"/>
    <w:rsid w:val="003B023D"/>
    <w:rsid w:val="003B0300"/>
    <w:rsid w:val="003B0398"/>
    <w:rsid w:val="003B03D1"/>
    <w:rsid w:val="003B04B7"/>
    <w:rsid w:val="003B04C7"/>
    <w:rsid w:val="003B04F8"/>
    <w:rsid w:val="003B0518"/>
    <w:rsid w:val="003B061B"/>
    <w:rsid w:val="003B06E3"/>
    <w:rsid w:val="003B07AE"/>
    <w:rsid w:val="003B0886"/>
    <w:rsid w:val="003B08AC"/>
    <w:rsid w:val="003B08BD"/>
    <w:rsid w:val="003B08C0"/>
    <w:rsid w:val="003B08FD"/>
    <w:rsid w:val="003B0938"/>
    <w:rsid w:val="003B09F5"/>
    <w:rsid w:val="003B0A7E"/>
    <w:rsid w:val="003B0A99"/>
    <w:rsid w:val="003B0ACE"/>
    <w:rsid w:val="003B0AD9"/>
    <w:rsid w:val="003B0B27"/>
    <w:rsid w:val="003B0B6C"/>
    <w:rsid w:val="003B0BBB"/>
    <w:rsid w:val="003B0BD8"/>
    <w:rsid w:val="003B0BEF"/>
    <w:rsid w:val="003B0C34"/>
    <w:rsid w:val="003B0D80"/>
    <w:rsid w:val="003B0DC3"/>
    <w:rsid w:val="003B0DCE"/>
    <w:rsid w:val="003B0DD8"/>
    <w:rsid w:val="003B0F28"/>
    <w:rsid w:val="003B0F59"/>
    <w:rsid w:val="003B0FAF"/>
    <w:rsid w:val="003B0FE4"/>
    <w:rsid w:val="003B0FF6"/>
    <w:rsid w:val="003B117B"/>
    <w:rsid w:val="003B1267"/>
    <w:rsid w:val="003B139E"/>
    <w:rsid w:val="003B13DF"/>
    <w:rsid w:val="003B1487"/>
    <w:rsid w:val="003B1552"/>
    <w:rsid w:val="003B1643"/>
    <w:rsid w:val="003B166D"/>
    <w:rsid w:val="003B1673"/>
    <w:rsid w:val="003B1701"/>
    <w:rsid w:val="003B1714"/>
    <w:rsid w:val="003B1841"/>
    <w:rsid w:val="003B1855"/>
    <w:rsid w:val="003B18C5"/>
    <w:rsid w:val="003B19E3"/>
    <w:rsid w:val="003B1A30"/>
    <w:rsid w:val="003B1AC2"/>
    <w:rsid w:val="003B1BFA"/>
    <w:rsid w:val="003B1C97"/>
    <w:rsid w:val="003B1CC3"/>
    <w:rsid w:val="003B1E4F"/>
    <w:rsid w:val="003B1E8E"/>
    <w:rsid w:val="003B1EC6"/>
    <w:rsid w:val="003B1F03"/>
    <w:rsid w:val="003B1F12"/>
    <w:rsid w:val="003B1F53"/>
    <w:rsid w:val="003B1F58"/>
    <w:rsid w:val="003B2010"/>
    <w:rsid w:val="003B206A"/>
    <w:rsid w:val="003B207D"/>
    <w:rsid w:val="003B21CC"/>
    <w:rsid w:val="003B2232"/>
    <w:rsid w:val="003B22CD"/>
    <w:rsid w:val="003B2376"/>
    <w:rsid w:val="003B2378"/>
    <w:rsid w:val="003B2384"/>
    <w:rsid w:val="003B24BA"/>
    <w:rsid w:val="003B24F7"/>
    <w:rsid w:val="003B273C"/>
    <w:rsid w:val="003B2756"/>
    <w:rsid w:val="003B278D"/>
    <w:rsid w:val="003B2795"/>
    <w:rsid w:val="003B27DF"/>
    <w:rsid w:val="003B27F6"/>
    <w:rsid w:val="003B281C"/>
    <w:rsid w:val="003B2830"/>
    <w:rsid w:val="003B283A"/>
    <w:rsid w:val="003B28EC"/>
    <w:rsid w:val="003B299C"/>
    <w:rsid w:val="003B29CE"/>
    <w:rsid w:val="003B2A34"/>
    <w:rsid w:val="003B2A60"/>
    <w:rsid w:val="003B2BB6"/>
    <w:rsid w:val="003B2C48"/>
    <w:rsid w:val="003B2C72"/>
    <w:rsid w:val="003B2CF9"/>
    <w:rsid w:val="003B2D15"/>
    <w:rsid w:val="003B2D79"/>
    <w:rsid w:val="003B2DFD"/>
    <w:rsid w:val="003B2E44"/>
    <w:rsid w:val="003B2EAA"/>
    <w:rsid w:val="003B2F7F"/>
    <w:rsid w:val="003B3010"/>
    <w:rsid w:val="003B3027"/>
    <w:rsid w:val="003B3052"/>
    <w:rsid w:val="003B309A"/>
    <w:rsid w:val="003B30A8"/>
    <w:rsid w:val="003B3137"/>
    <w:rsid w:val="003B319E"/>
    <w:rsid w:val="003B3271"/>
    <w:rsid w:val="003B32C1"/>
    <w:rsid w:val="003B32CA"/>
    <w:rsid w:val="003B331F"/>
    <w:rsid w:val="003B336D"/>
    <w:rsid w:val="003B3402"/>
    <w:rsid w:val="003B3404"/>
    <w:rsid w:val="003B3426"/>
    <w:rsid w:val="003B34CF"/>
    <w:rsid w:val="003B34DE"/>
    <w:rsid w:val="003B355A"/>
    <w:rsid w:val="003B375B"/>
    <w:rsid w:val="003B3776"/>
    <w:rsid w:val="003B3791"/>
    <w:rsid w:val="003B3823"/>
    <w:rsid w:val="003B387B"/>
    <w:rsid w:val="003B39C4"/>
    <w:rsid w:val="003B3A01"/>
    <w:rsid w:val="003B3AC0"/>
    <w:rsid w:val="003B3BEB"/>
    <w:rsid w:val="003B3C55"/>
    <w:rsid w:val="003B3C60"/>
    <w:rsid w:val="003B3CC5"/>
    <w:rsid w:val="003B3CE8"/>
    <w:rsid w:val="003B3CEE"/>
    <w:rsid w:val="003B3D2F"/>
    <w:rsid w:val="003B3D74"/>
    <w:rsid w:val="003B3D9B"/>
    <w:rsid w:val="003B3E2F"/>
    <w:rsid w:val="003B3EDB"/>
    <w:rsid w:val="003B3EE0"/>
    <w:rsid w:val="003B3FE3"/>
    <w:rsid w:val="003B3FE5"/>
    <w:rsid w:val="003B41DD"/>
    <w:rsid w:val="003B422B"/>
    <w:rsid w:val="003B42DA"/>
    <w:rsid w:val="003B42FE"/>
    <w:rsid w:val="003B4422"/>
    <w:rsid w:val="003B44A4"/>
    <w:rsid w:val="003B44E4"/>
    <w:rsid w:val="003B44FB"/>
    <w:rsid w:val="003B453E"/>
    <w:rsid w:val="003B4548"/>
    <w:rsid w:val="003B45B1"/>
    <w:rsid w:val="003B45DE"/>
    <w:rsid w:val="003B45EA"/>
    <w:rsid w:val="003B45F0"/>
    <w:rsid w:val="003B4693"/>
    <w:rsid w:val="003B48E1"/>
    <w:rsid w:val="003B48F7"/>
    <w:rsid w:val="003B4915"/>
    <w:rsid w:val="003B4945"/>
    <w:rsid w:val="003B4948"/>
    <w:rsid w:val="003B4A48"/>
    <w:rsid w:val="003B4A80"/>
    <w:rsid w:val="003B4B6E"/>
    <w:rsid w:val="003B4B8E"/>
    <w:rsid w:val="003B4BAC"/>
    <w:rsid w:val="003B4BCA"/>
    <w:rsid w:val="003B4CCA"/>
    <w:rsid w:val="003B4CE7"/>
    <w:rsid w:val="003B4D40"/>
    <w:rsid w:val="003B4D4E"/>
    <w:rsid w:val="003B4D89"/>
    <w:rsid w:val="003B4DF7"/>
    <w:rsid w:val="003B4EE1"/>
    <w:rsid w:val="003B4F45"/>
    <w:rsid w:val="003B4F6B"/>
    <w:rsid w:val="003B4FC7"/>
    <w:rsid w:val="003B4FCD"/>
    <w:rsid w:val="003B4FD7"/>
    <w:rsid w:val="003B504E"/>
    <w:rsid w:val="003B5067"/>
    <w:rsid w:val="003B5085"/>
    <w:rsid w:val="003B51D4"/>
    <w:rsid w:val="003B522E"/>
    <w:rsid w:val="003B527A"/>
    <w:rsid w:val="003B531A"/>
    <w:rsid w:val="003B5346"/>
    <w:rsid w:val="003B53F4"/>
    <w:rsid w:val="003B5466"/>
    <w:rsid w:val="003B547E"/>
    <w:rsid w:val="003B5489"/>
    <w:rsid w:val="003B54AC"/>
    <w:rsid w:val="003B55B1"/>
    <w:rsid w:val="003B55E0"/>
    <w:rsid w:val="003B562A"/>
    <w:rsid w:val="003B5638"/>
    <w:rsid w:val="003B578B"/>
    <w:rsid w:val="003B5827"/>
    <w:rsid w:val="003B588F"/>
    <w:rsid w:val="003B58DF"/>
    <w:rsid w:val="003B591A"/>
    <w:rsid w:val="003B593F"/>
    <w:rsid w:val="003B5AA3"/>
    <w:rsid w:val="003B5C75"/>
    <w:rsid w:val="003B5C84"/>
    <w:rsid w:val="003B5D47"/>
    <w:rsid w:val="003B5DB4"/>
    <w:rsid w:val="003B5E19"/>
    <w:rsid w:val="003B5EA5"/>
    <w:rsid w:val="003B5ED3"/>
    <w:rsid w:val="003B5F1B"/>
    <w:rsid w:val="003B5F47"/>
    <w:rsid w:val="003B5F8B"/>
    <w:rsid w:val="003B5FC7"/>
    <w:rsid w:val="003B601F"/>
    <w:rsid w:val="003B6051"/>
    <w:rsid w:val="003B6193"/>
    <w:rsid w:val="003B61C0"/>
    <w:rsid w:val="003B628E"/>
    <w:rsid w:val="003B6356"/>
    <w:rsid w:val="003B63A3"/>
    <w:rsid w:val="003B64D0"/>
    <w:rsid w:val="003B6521"/>
    <w:rsid w:val="003B6538"/>
    <w:rsid w:val="003B6556"/>
    <w:rsid w:val="003B66C3"/>
    <w:rsid w:val="003B6713"/>
    <w:rsid w:val="003B671A"/>
    <w:rsid w:val="003B678D"/>
    <w:rsid w:val="003B6873"/>
    <w:rsid w:val="003B692A"/>
    <w:rsid w:val="003B6A16"/>
    <w:rsid w:val="003B6A4B"/>
    <w:rsid w:val="003B6AC1"/>
    <w:rsid w:val="003B6B07"/>
    <w:rsid w:val="003B6C37"/>
    <w:rsid w:val="003B6C5A"/>
    <w:rsid w:val="003B6CD4"/>
    <w:rsid w:val="003B6CFC"/>
    <w:rsid w:val="003B6E51"/>
    <w:rsid w:val="003B6EB3"/>
    <w:rsid w:val="003B6EB6"/>
    <w:rsid w:val="003B6F34"/>
    <w:rsid w:val="003B6F4C"/>
    <w:rsid w:val="003B705D"/>
    <w:rsid w:val="003B7074"/>
    <w:rsid w:val="003B7089"/>
    <w:rsid w:val="003B708D"/>
    <w:rsid w:val="003B70B6"/>
    <w:rsid w:val="003B70B8"/>
    <w:rsid w:val="003B7192"/>
    <w:rsid w:val="003B7204"/>
    <w:rsid w:val="003B722E"/>
    <w:rsid w:val="003B730A"/>
    <w:rsid w:val="003B7364"/>
    <w:rsid w:val="003B7367"/>
    <w:rsid w:val="003B7374"/>
    <w:rsid w:val="003B7377"/>
    <w:rsid w:val="003B7479"/>
    <w:rsid w:val="003B7515"/>
    <w:rsid w:val="003B75C5"/>
    <w:rsid w:val="003B772E"/>
    <w:rsid w:val="003B773E"/>
    <w:rsid w:val="003B7790"/>
    <w:rsid w:val="003B77E5"/>
    <w:rsid w:val="003B7822"/>
    <w:rsid w:val="003B789D"/>
    <w:rsid w:val="003B78DB"/>
    <w:rsid w:val="003B79FE"/>
    <w:rsid w:val="003B7ACB"/>
    <w:rsid w:val="003B7B20"/>
    <w:rsid w:val="003B7B5C"/>
    <w:rsid w:val="003B7CDE"/>
    <w:rsid w:val="003B7CED"/>
    <w:rsid w:val="003B7D2E"/>
    <w:rsid w:val="003B7DCD"/>
    <w:rsid w:val="003B7DDD"/>
    <w:rsid w:val="003B7DFF"/>
    <w:rsid w:val="003B7E74"/>
    <w:rsid w:val="003B7E94"/>
    <w:rsid w:val="003B7EC7"/>
    <w:rsid w:val="003B7ED9"/>
    <w:rsid w:val="003B7F01"/>
    <w:rsid w:val="003B7F84"/>
    <w:rsid w:val="003C0026"/>
    <w:rsid w:val="003C004C"/>
    <w:rsid w:val="003C0072"/>
    <w:rsid w:val="003C00BB"/>
    <w:rsid w:val="003C014C"/>
    <w:rsid w:val="003C023A"/>
    <w:rsid w:val="003C0273"/>
    <w:rsid w:val="003C03A4"/>
    <w:rsid w:val="003C03BF"/>
    <w:rsid w:val="003C0509"/>
    <w:rsid w:val="003C0573"/>
    <w:rsid w:val="003C060C"/>
    <w:rsid w:val="003C0646"/>
    <w:rsid w:val="003C06EC"/>
    <w:rsid w:val="003C075E"/>
    <w:rsid w:val="003C0789"/>
    <w:rsid w:val="003C084A"/>
    <w:rsid w:val="003C0857"/>
    <w:rsid w:val="003C093B"/>
    <w:rsid w:val="003C09FE"/>
    <w:rsid w:val="003C0A05"/>
    <w:rsid w:val="003C0A4E"/>
    <w:rsid w:val="003C0B37"/>
    <w:rsid w:val="003C0BD8"/>
    <w:rsid w:val="003C0C2A"/>
    <w:rsid w:val="003C0C4E"/>
    <w:rsid w:val="003C0DC2"/>
    <w:rsid w:val="003C0E49"/>
    <w:rsid w:val="003C0E86"/>
    <w:rsid w:val="003C0FFB"/>
    <w:rsid w:val="003C115C"/>
    <w:rsid w:val="003C1180"/>
    <w:rsid w:val="003C11F8"/>
    <w:rsid w:val="003C1291"/>
    <w:rsid w:val="003C1435"/>
    <w:rsid w:val="003C14F6"/>
    <w:rsid w:val="003C1535"/>
    <w:rsid w:val="003C15D5"/>
    <w:rsid w:val="003C1602"/>
    <w:rsid w:val="003C163B"/>
    <w:rsid w:val="003C164C"/>
    <w:rsid w:val="003C1669"/>
    <w:rsid w:val="003C16B2"/>
    <w:rsid w:val="003C16FB"/>
    <w:rsid w:val="003C17E1"/>
    <w:rsid w:val="003C17E4"/>
    <w:rsid w:val="003C183E"/>
    <w:rsid w:val="003C18BA"/>
    <w:rsid w:val="003C18FD"/>
    <w:rsid w:val="003C193B"/>
    <w:rsid w:val="003C1955"/>
    <w:rsid w:val="003C1A46"/>
    <w:rsid w:val="003C1A8F"/>
    <w:rsid w:val="003C1AA7"/>
    <w:rsid w:val="003C1AD5"/>
    <w:rsid w:val="003C1B67"/>
    <w:rsid w:val="003C1B87"/>
    <w:rsid w:val="003C1BA8"/>
    <w:rsid w:val="003C1C26"/>
    <w:rsid w:val="003C1C51"/>
    <w:rsid w:val="003C1DDF"/>
    <w:rsid w:val="003C1F1F"/>
    <w:rsid w:val="003C1F69"/>
    <w:rsid w:val="003C1FDE"/>
    <w:rsid w:val="003C202E"/>
    <w:rsid w:val="003C2192"/>
    <w:rsid w:val="003C219F"/>
    <w:rsid w:val="003C21AA"/>
    <w:rsid w:val="003C2257"/>
    <w:rsid w:val="003C2264"/>
    <w:rsid w:val="003C22A1"/>
    <w:rsid w:val="003C22B7"/>
    <w:rsid w:val="003C22C9"/>
    <w:rsid w:val="003C22D5"/>
    <w:rsid w:val="003C230E"/>
    <w:rsid w:val="003C235A"/>
    <w:rsid w:val="003C239F"/>
    <w:rsid w:val="003C246F"/>
    <w:rsid w:val="003C2474"/>
    <w:rsid w:val="003C252B"/>
    <w:rsid w:val="003C2592"/>
    <w:rsid w:val="003C2599"/>
    <w:rsid w:val="003C25F4"/>
    <w:rsid w:val="003C25FE"/>
    <w:rsid w:val="003C2619"/>
    <w:rsid w:val="003C267F"/>
    <w:rsid w:val="003C26A0"/>
    <w:rsid w:val="003C26E2"/>
    <w:rsid w:val="003C26F1"/>
    <w:rsid w:val="003C2728"/>
    <w:rsid w:val="003C27C5"/>
    <w:rsid w:val="003C2822"/>
    <w:rsid w:val="003C28D7"/>
    <w:rsid w:val="003C2A06"/>
    <w:rsid w:val="003C2ADA"/>
    <w:rsid w:val="003C2B48"/>
    <w:rsid w:val="003C2B58"/>
    <w:rsid w:val="003C2B85"/>
    <w:rsid w:val="003C2BCD"/>
    <w:rsid w:val="003C2BD7"/>
    <w:rsid w:val="003C2C23"/>
    <w:rsid w:val="003C2CAC"/>
    <w:rsid w:val="003C2CCE"/>
    <w:rsid w:val="003C2D2B"/>
    <w:rsid w:val="003C2E76"/>
    <w:rsid w:val="003C2E97"/>
    <w:rsid w:val="003C2EC6"/>
    <w:rsid w:val="003C2F5B"/>
    <w:rsid w:val="003C2F9A"/>
    <w:rsid w:val="003C3084"/>
    <w:rsid w:val="003C30C4"/>
    <w:rsid w:val="003C30CF"/>
    <w:rsid w:val="003C30E0"/>
    <w:rsid w:val="003C3178"/>
    <w:rsid w:val="003C32E5"/>
    <w:rsid w:val="003C338F"/>
    <w:rsid w:val="003C346E"/>
    <w:rsid w:val="003C349E"/>
    <w:rsid w:val="003C34CC"/>
    <w:rsid w:val="003C354D"/>
    <w:rsid w:val="003C3565"/>
    <w:rsid w:val="003C3587"/>
    <w:rsid w:val="003C35C0"/>
    <w:rsid w:val="003C36BB"/>
    <w:rsid w:val="003C36C7"/>
    <w:rsid w:val="003C3701"/>
    <w:rsid w:val="003C37EA"/>
    <w:rsid w:val="003C3936"/>
    <w:rsid w:val="003C398D"/>
    <w:rsid w:val="003C3A0C"/>
    <w:rsid w:val="003C3A6B"/>
    <w:rsid w:val="003C3BE3"/>
    <w:rsid w:val="003C3BF1"/>
    <w:rsid w:val="003C3C87"/>
    <w:rsid w:val="003C3C8B"/>
    <w:rsid w:val="003C3C9A"/>
    <w:rsid w:val="003C3D2E"/>
    <w:rsid w:val="003C3DC6"/>
    <w:rsid w:val="003C3DD0"/>
    <w:rsid w:val="003C3E31"/>
    <w:rsid w:val="003C3E89"/>
    <w:rsid w:val="003C3ED3"/>
    <w:rsid w:val="003C3EF7"/>
    <w:rsid w:val="003C3F28"/>
    <w:rsid w:val="003C4024"/>
    <w:rsid w:val="003C407A"/>
    <w:rsid w:val="003C4096"/>
    <w:rsid w:val="003C40A8"/>
    <w:rsid w:val="003C40B8"/>
    <w:rsid w:val="003C40D7"/>
    <w:rsid w:val="003C4194"/>
    <w:rsid w:val="003C419C"/>
    <w:rsid w:val="003C41EC"/>
    <w:rsid w:val="003C4207"/>
    <w:rsid w:val="003C42B1"/>
    <w:rsid w:val="003C432D"/>
    <w:rsid w:val="003C43C3"/>
    <w:rsid w:val="003C43EE"/>
    <w:rsid w:val="003C4476"/>
    <w:rsid w:val="003C452C"/>
    <w:rsid w:val="003C473A"/>
    <w:rsid w:val="003C47FA"/>
    <w:rsid w:val="003C481F"/>
    <w:rsid w:val="003C4823"/>
    <w:rsid w:val="003C48BD"/>
    <w:rsid w:val="003C4977"/>
    <w:rsid w:val="003C49D1"/>
    <w:rsid w:val="003C49F4"/>
    <w:rsid w:val="003C4AC2"/>
    <w:rsid w:val="003C4ACF"/>
    <w:rsid w:val="003C4B0E"/>
    <w:rsid w:val="003C4B18"/>
    <w:rsid w:val="003C4B4A"/>
    <w:rsid w:val="003C4BCE"/>
    <w:rsid w:val="003C4C0F"/>
    <w:rsid w:val="003C4D38"/>
    <w:rsid w:val="003C4D91"/>
    <w:rsid w:val="003C4EAC"/>
    <w:rsid w:val="003C4EBF"/>
    <w:rsid w:val="003C4F3C"/>
    <w:rsid w:val="003C4FBB"/>
    <w:rsid w:val="003C508D"/>
    <w:rsid w:val="003C5210"/>
    <w:rsid w:val="003C5265"/>
    <w:rsid w:val="003C5298"/>
    <w:rsid w:val="003C539E"/>
    <w:rsid w:val="003C53CE"/>
    <w:rsid w:val="003C5482"/>
    <w:rsid w:val="003C5495"/>
    <w:rsid w:val="003C54C2"/>
    <w:rsid w:val="003C5553"/>
    <w:rsid w:val="003C5557"/>
    <w:rsid w:val="003C555F"/>
    <w:rsid w:val="003C5605"/>
    <w:rsid w:val="003C560E"/>
    <w:rsid w:val="003C5794"/>
    <w:rsid w:val="003C57B8"/>
    <w:rsid w:val="003C57BC"/>
    <w:rsid w:val="003C57DC"/>
    <w:rsid w:val="003C59C6"/>
    <w:rsid w:val="003C5B6B"/>
    <w:rsid w:val="003C5BE7"/>
    <w:rsid w:val="003C5BF4"/>
    <w:rsid w:val="003C5C0E"/>
    <w:rsid w:val="003C5D1B"/>
    <w:rsid w:val="003C5D37"/>
    <w:rsid w:val="003C5E40"/>
    <w:rsid w:val="003C5FFD"/>
    <w:rsid w:val="003C60AF"/>
    <w:rsid w:val="003C60D2"/>
    <w:rsid w:val="003C62B1"/>
    <w:rsid w:val="003C62C2"/>
    <w:rsid w:val="003C62ED"/>
    <w:rsid w:val="003C62FB"/>
    <w:rsid w:val="003C6311"/>
    <w:rsid w:val="003C6321"/>
    <w:rsid w:val="003C6344"/>
    <w:rsid w:val="003C64D7"/>
    <w:rsid w:val="003C6567"/>
    <w:rsid w:val="003C660E"/>
    <w:rsid w:val="003C66BA"/>
    <w:rsid w:val="003C66DF"/>
    <w:rsid w:val="003C672E"/>
    <w:rsid w:val="003C6836"/>
    <w:rsid w:val="003C6877"/>
    <w:rsid w:val="003C68B7"/>
    <w:rsid w:val="003C68DB"/>
    <w:rsid w:val="003C68EA"/>
    <w:rsid w:val="003C694A"/>
    <w:rsid w:val="003C6957"/>
    <w:rsid w:val="003C6989"/>
    <w:rsid w:val="003C6B81"/>
    <w:rsid w:val="003C6BD8"/>
    <w:rsid w:val="003C6BE3"/>
    <w:rsid w:val="003C6D54"/>
    <w:rsid w:val="003C6D94"/>
    <w:rsid w:val="003C6E35"/>
    <w:rsid w:val="003C6EF6"/>
    <w:rsid w:val="003C6F93"/>
    <w:rsid w:val="003C6FC8"/>
    <w:rsid w:val="003C7013"/>
    <w:rsid w:val="003C7064"/>
    <w:rsid w:val="003C7090"/>
    <w:rsid w:val="003C7171"/>
    <w:rsid w:val="003C719D"/>
    <w:rsid w:val="003C71A8"/>
    <w:rsid w:val="003C7279"/>
    <w:rsid w:val="003C7312"/>
    <w:rsid w:val="003C737C"/>
    <w:rsid w:val="003C73E1"/>
    <w:rsid w:val="003C73EE"/>
    <w:rsid w:val="003C7444"/>
    <w:rsid w:val="003C752F"/>
    <w:rsid w:val="003C7541"/>
    <w:rsid w:val="003C7715"/>
    <w:rsid w:val="003C7750"/>
    <w:rsid w:val="003C77ED"/>
    <w:rsid w:val="003C787E"/>
    <w:rsid w:val="003C7933"/>
    <w:rsid w:val="003C7947"/>
    <w:rsid w:val="003C7970"/>
    <w:rsid w:val="003C797B"/>
    <w:rsid w:val="003C7AE9"/>
    <w:rsid w:val="003C7B31"/>
    <w:rsid w:val="003C7B51"/>
    <w:rsid w:val="003C7B6E"/>
    <w:rsid w:val="003C7B79"/>
    <w:rsid w:val="003C7DBF"/>
    <w:rsid w:val="003C7E29"/>
    <w:rsid w:val="003C7EF3"/>
    <w:rsid w:val="003D00FB"/>
    <w:rsid w:val="003D0188"/>
    <w:rsid w:val="003D0264"/>
    <w:rsid w:val="003D03A8"/>
    <w:rsid w:val="003D0456"/>
    <w:rsid w:val="003D04EA"/>
    <w:rsid w:val="003D064A"/>
    <w:rsid w:val="003D06E7"/>
    <w:rsid w:val="003D0779"/>
    <w:rsid w:val="003D07CF"/>
    <w:rsid w:val="003D0844"/>
    <w:rsid w:val="003D085A"/>
    <w:rsid w:val="003D0870"/>
    <w:rsid w:val="003D08A3"/>
    <w:rsid w:val="003D08FE"/>
    <w:rsid w:val="003D0902"/>
    <w:rsid w:val="003D0933"/>
    <w:rsid w:val="003D095E"/>
    <w:rsid w:val="003D0A9F"/>
    <w:rsid w:val="003D0AB1"/>
    <w:rsid w:val="003D0B9E"/>
    <w:rsid w:val="003D0B9F"/>
    <w:rsid w:val="003D0C0C"/>
    <w:rsid w:val="003D0C57"/>
    <w:rsid w:val="003D0C68"/>
    <w:rsid w:val="003D0C7A"/>
    <w:rsid w:val="003D0CAA"/>
    <w:rsid w:val="003D0CAD"/>
    <w:rsid w:val="003D0DAE"/>
    <w:rsid w:val="003D0E97"/>
    <w:rsid w:val="003D0EEA"/>
    <w:rsid w:val="003D0F7B"/>
    <w:rsid w:val="003D1051"/>
    <w:rsid w:val="003D108B"/>
    <w:rsid w:val="003D109E"/>
    <w:rsid w:val="003D1122"/>
    <w:rsid w:val="003D1149"/>
    <w:rsid w:val="003D114F"/>
    <w:rsid w:val="003D1190"/>
    <w:rsid w:val="003D11B9"/>
    <w:rsid w:val="003D11C3"/>
    <w:rsid w:val="003D1275"/>
    <w:rsid w:val="003D128E"/>
    <w:rsid w:val="003D1348"/>
    <w:rsid w:val="003D136A"/>
    <w:rsid w:val="003D13B5"/>
    <w:rsid w:val="003D1425"/>
    <w:rsid w:val="003D142E"/>
    <w:rsid w:val="003D144E"/>
    <w:rsid w:val="003D1466"/>
    <w:rsid w:val="003D14BB"/>
    <w:rsid w:val="003D1563"/>
    <w:rsid w:val="003D1697"/>
    <w:rsid w:val="003D1761"/>
    <w:rsid w:val="003D17EE"/>
    <w:rsid w:val="003D1981"/>
    <w:rsid w:val="003D19D9"/>
    <w:rsid w:val="003D1A28"/>
    <w:rsid w:val="003D1AF4"/>
    <w:rsid w:val="003D1AFD"/>
    <w:rsid w:val="003D1C08"/>
    <w:rsid w:val="003D1C12"/>
    <w:rsid w:val="003D1C1A"/>
    <w:rsid w:val="003D1C86"/>
    <w:rsid w:val="003D1DBD"/>
    <w:rsid w:val="003D1DE0"/>
    <w:rsid w:val="003D1E3B"/>
    <w:rsid w:val="003D1E8B"/>
    <w:rsid w:val="003D1F1C"/>
    <w:rsid w:val="003D1F42"/>
    <w:rsid w:val="003D20EA"/>
    <w:rsid w:val="003D21A7"/>
    <w:rsid w:val="003D21EF"/>
    <w:rsid w:val="003D225A"/>
    <w:rsid w:val="003D227E"/>
    <w:rsid w:val="003D22B4"/>
    <w:rsid w:val="003D2320"/>
    <w:rsid w:val="003D234A"/>
    <w:rsid w:val="003D234E"/>
    <w:rsid w:val="003D23CE"/>
    <w:rsid w:val="003D2432"/>
    <w:rsid w:val="003D24A2"/>
    <w:rsid w:val="003D24D9"/>
    <w:rsid w:val="003D254A"/>
    <w:rsid w:val="003D25C4"/>
    <w:rsid w:val="003D265E"/>
    <w:rsid w:val="003D2772"/>
    <w:rsid w:val="003D27C7"/>
    <w:rsid w:val="003D282E"/>
    <w:rsid w:val="003D2855"/>
    <w:rsid w:val="003D2880"/>
    <w:rsid w:val="003D289C"/>
    <w:rsid w:val="003D2909"/>
    <w:rsid w:val="003D296A"/>
    <w:rsid w:val="003D29A2"/>
    <w:rsid w:val="003D2AD2"/>
    <w:rsid w:val="003D2C5A"/>
    <w:rsid w:val="003D2C7A"/>
    <w:rsid w:val="003D2CB1"/>
    <w:rsid w:val="003D2CB5"/>
    <w:rsid w:val="003D2CE3"/>
    <w:rsid w:val="003D2D53"/>
    <w:rsid w:val="003D2D73"/>
    <w:rsid w:val="003D2D7B"/>
    <w:rsid w:val="003D2DBF"/>
    <w:rsid w:val="003D2E2E"/>
    <w:rsid w:val="003D2EB4"/>
    <w:rsid w:val="003D2F40"/>
    <w:rsid w:val="003D301B"/>
    <w:rsid w:val="003D30A8"/>
    <w:rsid w:val="003D30BC"/>
    <w:rsid w:val="003D315D"/>
    <w:rsid w:val="003D31A2"/>
    <w:rsid w:val="003D31CA"/>
    <w:rsid w:val="003D32A3"/>
    <w:rsid w:val="003D3358"/>
    <w:rsid w:val="003D3384"/>
    <w:rsid w:val="003D33BA"/>
    <w:rsid w:val="003D3471"/>
    <w:rsid w:val="003D347A"/>
    <w:rsid w:val="003D34BF"/>
    <w:rsid w:val="003D352F"/>
    <w:rsid w:val="003D35F2"/>
    <w:rsid w:val="003D36FB"/>
    <w:rsid w:val="003D37FE"/>
    <w:rsid w:val="003D3884"/>
    <w:rsid w:val="003D39D4"/>
    <w:rsid w:val="003D3A0E"/>
    <w:rsid w:val="003D3A3B"/>
    <w:rsid w:val="003D3A96"/>
    <w:rsid w:val="003D3B11"/>
    <w:rsid w:val="003D3BA4"/>
    <w:rsid w:val="003D3C6B"/>
    <w:rsid w:val="003D3CE1"/>
    <w:rsid w:val="003D3D1B"/>
    <w:rsid w:val="003D3D60"/>
    <w:rsid w:val="003D3D6C"/>
    <w:rsid w:val="003D3E10"/>
    <w:rsid w:val="003D3E9F"/>
    <w:rsid w:val="003D3ED9"/>
    <w:rsid w:val="003D3F0C"/>
    <w:rsid w:val="003D3FAB"/>
    <w:rsid w:val="003D4003"/>
    <w:rsid w:val="003D406F"/>
    <w:rsid w:val="003D40BE"/>
    <w:rsid w:val="003D4223"/>
    <w:rsid w:val="003D42D4"/>
    <w:rsid w:val="003D430B"/>
    <w:rsid w:val="003D433A"/>
    <w:rsid w:val="003D43A6"/>
    <w:rsid w:val="003D43E1"/>
    <w:rsid w:val="003D4450"/>
    <w:rsid w:val="003D445B"/>
    <w:rsid w:val="003D44EA"/>
    <w:rsid w:val="003D44FB"/>
    <w:rsid w:val="003D450B"/>
    <w:rsid w:val="003D453F"/>
    <w:rsid w:val="003D45A6"/>
    <w:rsid w:val="003D45D6"/>
    <w:rsid w:val="003D4635"/>
    <w:rsid w:val="003D465A"/>
    <w:rsid w:val="003D471B"/>
    <w:rsid w:val="003D47F1"/>
    <w:rsid w:val="003D4823"/>
    <w:rsid w:val="003D483E"/>
    <w:rsid w:val="003D4891"/>
    <w:rsid w:val="003D48DF"/>
    <w:rsid w:val="003D491B"/>
    <w:rsid w:val="003D4A11"/>
    <w:rsid w:val="003D4A2C"/>
    <w:rsid w:val="003D4A92"/>
    <w:rsid w:val="003D4CB6"/>
    <w:rsid w:val="003D4CCA"/>
    <w:rsid w:val="003D4CE9"/>
    <w:rsid w:val="003D4DB4"/>
    <w:rsid w:val="003D4E92"/>
    <w:rsid w:val="003D4EEA"/>
    <w:rsid w:val="003D5052"/>
    <w:rsid w:val="003D50D4"/>
    <w:rsid w:val="003D50E0"/>
    <w:rsid w:val="003D5103"/>
    <w:rsid w:val="003D5114"/>
    <w:rsid w:val="003D514E"/>
    <w:rsid w:val="003D515D"/>
    <w:rsid w:val="003D519B"/>
    <w:rsid w:val="003D530E"/>
    <w:rsid w:val="003D54E2"/>
    <w:rsid w:val="003D5514"/>
    <w:rsid w:val="003D5547"/>
    <w:rsid w:val="003D55AB"/>
    <w:rsid w:val="003D55BE"/>
    <w:rsid w:val="003D569B"/>
    <w:rsid w:val="003D56BA"/>
    <w:rsid w:val="003D57C9"/>
    <w:rsid w:val="003D57F0"/>
    <w:rsid w:val="003D580C"/>
    <w:rsid w:val="003D5954"/>
    <w:rsid w:val="003D5984"/>
    <w:rsid w:val="003D59AB"/>
    <w:rsid w:val="003D5A96"/>
    <w:rsid w:val="003D5AA8"/>
    <w:rsid w:val="003D5AAC"/>
    <w:rsid w:val="003D5AE8"/>
    <w:rsid w:val="003D5BA4"/>
    <w:rsid w:val="003D5C74"/>
    <w:rsid w:val="003D5E48"/>
    <w:rsid w:val="003D5E99"/>
    <w:rsid w:val="003D5EA3"/>
    <w:rsid w:val="003D5F28"/>
    <w:rsid w:val="003D5F93"/>
    <w:rsid w:val="003D5FCF"/>
    <w:rsid w:val="003D600D"/>
    <w:rsid w:val="003D605B"/>
    <w:rsid w:val="003D6150"/>
    <w:rsid w:val="003D619E"/>
    <w:rsid w:val="003D6211"/>
    <w:rsid w:val="003D6223"/>
    <w:rsid w:val="003D6226"/>
    <w:rsid w:val="003D6255"/>
    <w:rsid w:val="003D62D3"/>
    <w:rsid w:val="003D6335"/>
    <w:rsid w:val="003D64C3"/>
    <w:rsid w:val="003D6509"/>
    <w:rsid w:val="003D65B9"/>
    <w:rsid w:val="003D66C6"/>
    <w:rsid w:val="003D679A"/>
    <w:rsid w:val="003D6817"/>
    <w:rsid w:val="003D684B"/>
    <w:rsid w:val="003D689C"/>
    <w:rsid w:val="003D6A0B"/>
    <w:rsid w:val="003D6A30"/>
    <w:rsid w:val="003D6A7F"/>
    <w:rsid w:val="003D6A9D"/>
    <w:rsid w:val="003D6D4A"/>
    <w:rsid w:val="003D6DB5"/>
    <w:rsid w:val="003D6E5B"/>
    <w:rsid w:val="003D6E60"/>
    <w:rsid w:val="003D6FB4"/>
    <w:rsid w:val="003D6FD0"/>
    <w:rsid w:val="003D6FEA"/>
    <w:rsid w:val="003D70A3"/>
    <w:rsid w:val="003D70A4"/>
    <w:rsid w:val="003D711B"/>
    <w:rsid w:val="003D7138"/>
    <w:rsid w:val="003D7198"/>
    <w:rsid w:val="003D71B7"/>
    <w:rsid w:val="003D71C2"/>
    <w:rsid w:val="003D71DA"/>
    <w:rsid w:val="003D7260"/>
    <w:rsid w:val="003D72B6"/>
    <w:rsid w:val="003D72D9"/>
    <w:rsid w:val="003D74B0"/>
    <w:rsid w:val="003D7506"/>
    <w:rsid w:val="003D750D"/>
    <w:rsid w:val="003D755B"/>
    <w:rsid w:val="003D76F1"/>
    <w:rsid w:val="003D76FF"/>
    <w:rsid w:val="003D775E"/>
    <w:rsid w:val="003D77FE"/>
    <w:rsid w:val="003D780B"/>
    <w:rsid w:val="003D78CF"/>
    <w:rsid w:val="003D78F2"/>
    <w:rsid w:val="003D796F"/>
    <w:rsid w:val="003D7A13"/>
    <w:rsid w:val="003D7A5C"/>
    <w:rsid w:val="003D7AB0"/>
    <w:rsid w:val="003D7B1C"/>
    <w:rsid w:val="003D7B8A"/>
    <w:rsid w:val="003D7C96"/>
    <w:rsid w:val="003D7D1F"/>
    <w:rsid w:val="003D7D47"/>
    <w:rsid w:val="003D7DA3"/>
    <w:rsid w:val="003D7DF8"/>
    <w:rsid w:val="003D7E5B"/>
    <w:rsid w:val="003D7F6C"/>
    <w:rsid w:val="003E00A5"/>
    <w:rsid w:val="003E00DE"/>
    <w:rsid w:val="003E00FB"/>
    <w:rsid w:val="003E0110"/>
    <w:rsid w:val="003E0129"/>
    <w:rsid w:val="003E019D"/>
    <w:rsid w:val="003E01B6"/>
    <w:rsid w:val="003E02B7"/>
    <w:rsid w:val="003E02D1"/>
    <w:rsid w:val="003E02EA"/>
    <w:rsid w:val="003E02FF"/>
    <w:rsid w:val="003E0338"/>
    <w:rsid w:val="003E0370"/>
    <w:rsid w:val="003E03B1"/>
    <w:rsid w:val="003E03E6"/>
    <w:rsid w:val="003E0457"/>
    <w:rsid w:val="003E047A"/>
    <w:rsid w:val="003E0501"/>
    <w:rsid w:val="003E0535"/>
    <w:rsid w:val="003E056C"/>
    <w:rsid w:val="003E056D"/>
    <w:rsid w:val="003E05B3"/>
    <w:rsid w:val="003E0607"/>
    <w:rsid w:val="003E0709"/>
    <w:rsid w:val="003E075D"/>
    <w:rsid w:val="003E08E4"/>
    <w:rsid w:val="003E08EB"/>
    <w:rsid w:val="003E09EC"/>
    <w:rsid w:val="003E0A87"/>
    <w:rsid w:val="003E0A90"/>
    <w:rsid w:val="003E0A97"/>
    <w:rsid w:val="003E0AEE"/>
    <w:rsid w:val="003E0B11"/>
    <w:rsid w:val="003E0C3A"/>
    <w:rsid w:val="003E0C69"/>
    <w:rsid w:val="003E0C83"/>
    <w:rsid w:val="003E0D49"/>
    <w:rsid w:val="003E0EAF"/>
    <w:rsid w:val="003E0FE4"/>
    <w:rsid w:val="003E103A"/>
    <w:rsid w:val="003E1171"/>
    <w:rsid w:val="003E120D"/>
    <w:rsid w:val="003E1298"/>
    <w:rsid w:val="003E1320"/>
    <w:rsid w:val="003E1337"/>
    <w:rsid w:val="003E1400"/>
    <w:rsid w:val="003E1424"/>
    <w:rsid w:val="003E15E5"/>
    <w:rsid w:val="003E166F"/>
    <w:rsid w:val="003E16C6"/>
    <w:rsid w:val="003E17F9"/>
    <w:rsid w:val="003E181F"/>
    <w:rsid w:val="003E1891"/>
    <w:rsid w:val="003E1897"/>
    <w:rsid w:val="003E1901"/>
    <w:rsid w:val="003E1968"/>
    <w:rsid w:val="003E1A26"/>
    <w:rsid w:val="003E1AA5"/>
    <w:rsid w:val="003E1B0A"/>
    <w:rsid w:val="003E1B6E"/>
    <w:rsid w:val="003E1BBA"/>
    <w:rsid w:val="003E1C30"/>
    <w:rsid w:val="003E1D67"/>
    <w:rsid w:val="003E1D89"/>
    <w:rsid w:val="003E1E2E"/>
    <w:rsid w:val="003E1E67"/>
    <w:rsid w:val="003E1ECB"/>
    <w:rsid w:val="003E1ECC"/>
    <w:rsid w:val="003E1F7B"/>
    <w:rsid w:val="003E1FB7"/>
    <w:rsid w:val="003E1FEB"/>
    <w:rsid w:val="003E2176"/>
    <w:rsid w:val="003E21F8"/>
    <w:rsid w:val="003E21FA"/>
    <w:rsid w:val="003E230C"/>
    <w:rsid w:val="003E234A"/>
    <w:rsid w:val="003E2385"/>
    <w:rsid w:val="003E24A6"/>
    <w:rsid w:val="003E24B2"/>
    <w:rsid w:val="003E24D3"/>
    <w:rsid w:val="003E254A"/>
    <w:rsid w:val="003E25A3"/>
    <w:rsid w:val="003E25C8"/>
    <w:rsid w:val="003E2716"/>
    <w:rsid w:val="003E2731"/>
    <w:rsid w:val="003E2732"/>
    <w:rsid w:val="003E276D"/>
    <w:rsid w:val="003E2829"/>
    <w:rsid w:val="003E2850"/>
    <w:rsid w:val="003E28C3"/>
    <w:rsid w:val="003E28F8"/>
    <w:rsid w:val="003E294B"/>
    <w:rsid w:val="003E2ACF"/>
    <w:rsid w:val="003E2AFE"/>
    <w:rsid w:val="003E2B09"/>
    <w:rsid w:val="003E2B1D"/>
    <w:rsid w:val="003E2CA3"/>
    <w:rsid w:val="003E2D7D"/>
    <w:rsid w:val="003E2D83"/>
    <w:rsid w:val="003E2DD7"/>
    <w:rsid w:val="003E2DF9"/>
    <w:rsid w:val="003E2E77"/>
    <w:rsid w:val="003E2EFC"/>
    <w:rsid w:val="003E2F0D"/>
    <w:rsid w:val="003E2F2E"/>
    <w:rsid w:val="003E2F46"/>
    <w:rsid w:val="003E2F4E"/>
    <w:rsid w:val="003E305A"/>
    <w:rsid w:val="003E30D7"/>
    <w:rsid w:val="003E30F1"/>
    <w:rsid w:val="003E3146"/>
    <w:rsid w:val="003E315B"/>
    <w:rsid w:val="003E31B2"/>
    <w:rsid w:val="003E327C"/>
    <w:rsid w:val="003E3364"/>
    <w:rsid w:val="003E3397"/>
    <w:rsid w:val="003E33B8"/>
    <w:rsid w:val="003E340B"/>
    <w:rsid w:val="003E34A9"/>
    <w:rsid w:val="003E34B9"/>
    <w:rsid w:val="003E34E0"/>
    <w:rsid w:val="003E3501"/>
    <w:rsid w:val="003E352D"/>
    <w:rsid w:val="003E3570"/>
    <w:rsid w:val="003E361D"/>
    <w:rsid w:val="003E3659"/>
    <w:rsid w:val="003E373F"/>
    <w:rsid w:val="003E379A"/>
    <w:rsid w:val="003E37C6"/>
    <w:rsid w:val="003E3833"/>
    <w:rsid w:val="003E3879"/>
    <w:rsid w:val="003E3886"/>
    <w:rsid w:val="003E3933"/>
    <w:rsid w:val="003E3977"/>
    <w:rsid w:val="003E39AA"/>
    <w:rsid w:val="003E39C6"/>
    <w:rsid w:val="003E3A31"/>
    <w:rsid w:val="003E3ADF"/>
    <w:rsid w:val="003E3B20"/>
    <w:rsid w:val="003E3BEB"/>
    <w:rsid w:val="003E3D30"/>
    <w:rsid w:val="003E3D8D"/>
    <w:rsid w:val="003E3E07"/>
    <w:rsid w:val="003E3E46"/>
    <w:rsid w:val="003E3EC0"/>
    <w:rsid w:val="003E3F4A"/>
    <w:rsid w:val="003E3FF9"/>
    <w:rsid w:val="003E4261"/>
    <w:rsid w:val="003E431A"/>
    <w:rsid w:val="003E43CC"/>
    <w:rsid w:val="003E444D"/>
    <w:rsid w:val="003E44C1"/>
    <w:rsid w:val="003E44E8"/>
    <w:rsid w:val="003E4541"/>
    <w:rsid w:val="003E4689"/>
    <w:rsid w:val="003E4710"/>
    <w:rsid w:val="003E474E"/>
    <w:rsid w:val="003E478F"/>
    <w:rsid w:val="003E47FB"/>
    <w:rsid w:val="003E4941"/>
    <w:rsid w:val="003E49B7"/>
    <w:rsid w:val="003E49BC"/>
    <w:rsid w:val="003E49F2"/>
    <w:rsid w:val="003E4A66"/>
    <w:rsid w:val="003E4ABC"/>
    <w:rsid w:val="003E4ACC"/>
    <w:rsid w:val="003E4AF4"/>
    <w:rsid w:val="003E4B6C"/>
    <w:rsid w:val="003E4BDE"/>
    <w:rsid w:val="003E4C26"/>
    <w:rsid w:val="003E4C33"/>
    <w:rsid w:val="003E4C83"/>
    <w:rsid w:val="003E4CF4"/>
    <w:rsid w:val="003E4D3E"/>
    <w:rsid w:val="003E4E15"/>
    <w:rsid w:val="003E4F0E"/>
    <w:rsid w:val="003E5075"/>
    <w:rsid w:val="003E507A"/>
    <w:rsid w:val="003E508F"/>
    <w:rsid w:val="003E50EE"/>
    <w:rsid w:val="003E5102"/>
    <w:rsid w:val="003E517B"/>
    <w:rsid w:val="003E5186"/>
    <w:rsid w:val="003E51D7"/>
    <w:rsid w:val="003E523F"/>
    <w:rsid w:val="003E540B"/>
    <w:rsid w:val="003E5419"/>
    <w:rsid w:val="003E547F"/>
    <w:rsid w:val="003E5487"/>
    <w:rsid w:val="003E5566"/>
    <w:rsid w:val="003E557D"/>
    <w:rsid w:val="003E55D5"/>
    <w:rsid w:val="003E5634"/>
    <w:rsid w:val="003E568A"/>
    <w:rsid w:val="003E57CF"/>
    <w:rsid w:val="003E59F7"/>
    <w:rsid w:val="003E5A0F"/>
    <w:rsid w:val="003E5A37"/>
    <w:rsid w:val="003E5A6A"/>
    <w:rsid w:val="003E5B4F"/>
    <w:rsid w:val="003E5BCE"/>
    <w:rsid w:val="003E5C0C"/>
    <w:rsid w:val="003E5C13"/>
    <w:rsid w:val="003E5C39"/>
    <w:rsid w:val="003E5C93"/>
    <w:rsid w:val="003E5CB4"/>
    <w:rsid w:val="003E5DD1"/>
    <w:rsid w:val="003E5DF1"/>
    <w:rsid w:val="003E5E5B"/>
    <w:rsid w:val="003E5E71"/>
    <w:rsid w:val="003E605C"/>
    <w:rsid w:val="003E60D1"/>
    <w:rsid w:val="003E6137"/>
    <w:rsid w:val="003E6195"/>
    <w:rsid w:val="003E624E"/>
    <w:rsid w:val="003E6253"/>
    <w:rsid w:val="003E627E"/>
    <w:rsid w:val="003E6308"/>
    <w:rsid w:val="003E63EB"/>
    <w:rsid w:val="003E6438"/>
    <w:rsid w:val="003E6448"/>
    <w:rsid w:val="003E649B"/>
    <w:rsid w:val="003E651E"/>
    <w:rsid w:val="003E652F"/>
    <w:rsid w:val="003E658B"/>
    <w:rsid w:val="003E65A4"/>
    <w:rsid w:val="003E6670"/>
    <w:rsid w:val="003E6695"/>
    <w:rsid w:val="003E674E"/>
    <w:rsid w:val="003E6752"/>
    <w:rsid w:val="003E67AE"/>
    <w:rsid w:val="003E68D2"/>
    <w:rsid w:val="003E68F3"/>
    <w:rsid w:val="003E6913"/>
    <w:rsid w:val="003E69C7"/>
    <w:rsid w:val="003E6A06"/>
    <w:rsid w:val="003E6BA8"/>
    <w:rsid w:val="003E6C34"/>
    <w:rsid w:val="003E6C80"/>
    <w:rsid w:val="003E6D1F"/>
    <w:rsid w:val="003E6D60"/>
    <w:rsid w:val="003E6DBE"/>
    <w:rsid w:val="003E6DC7"/>
    <w:rsid w:val="003E6E5B"/>
    <w:rsid w:val="003E6EEA"/>
    <w:rsid w:val="003E6F1A"/>
    <w:rsid w:val="003E6F66"/>
    <w:rsid w:val="003E706D"/>
    <w:rsid w:val="003E707C"/>
    <w:rsid w:val="003E7180"/>
    <w:rsid w:val="003E722B"/>
    <w:rsid w:val="003E73B8"/>
    <w:rsid w:val="003E73CE"/>
    <w:rsid w:val="003E763D"/>
    <w:rsid w:val="003E7713"/>
    <w:rsid w:val="003E7833"/>
    <w:rsid w:val="003E783A"/>
    <w:rsid w:val="003E7A05"/>
    <w:rsid w:val="003E7A68"/>
    <w:rsid w:val="003E7AA7"/>
    <w:rsid w:val="003E7ACC"/>
    <w:rsid w:val="003E7ADF"/>
    <w:rsid w:val="003E7B16"/>
    <w:rsid w:val="003E7B77"/>
    <w:rsid w:val="003E7BE8"/>
    <w:rsid w:val="003E7DBC"/>
    <w:rsid w:val="003E7E5A"/>
    <w:rsid w:val="003E7E82"/>
    <w:rsid w:val="003E7EA3"/>
    <w:rsid w:val="003E7EB4"/>
    <w:rsid w:val="003E7F06"/>
    <w:rsid w:val="003E7F81"/>
    <w:rsid w:val="003F006D"/>
    <w:rsid w:val="003F0076"/>
    <w:rsid w:val="003F00AC"/>
    <w:rsid w:val="003F00B8"/>
    <w:rsid w:val="003F00C8"/>
    <w:rsid w:val="003F0111"/>
    <w:rsid w:val="003F0112"/>
    <w:rsid w:val="003F01C3"/>
    <w:rsid w:val="003F01E4"/>
    <w:rsid w:val="003F0243"/>
    <w:rsid w:val="003F02AA"/>
    <w:rsid w:val="003F02C8"/>
    <w:rsid w:val="003F0386"/>
    <w:rsid w:val="003F03D0"/>
    <w:rsid w:val="003F03DF"/>
    <w:rsid w:val="003F0456"/>
    <w:rsid w:val="003F0468"/>
    <w:rsid w:val="003F0504"/>
    <w:rsid w:val="003F051B"/>
    <w:rsid w:val="003F05AC"/>
    <w:rsid w:val="003F060C"/>
    <w:rsid w:val="003F063B"/>
    <w:rsid w:val="003F06B2"/>
    <w:rsid w:val="003F06E6"/>
    <w:rsid w:val="003F082A"/>
    <w:rsid w:val="003F0867"/>
    <w:rsid w:val="003F08FA"/>
    <w:rsid w:val="003F09AD"/>
    <w:rsid w:val="003F0A61"/>
    <w:rsid w:val="003F0A86"/>
    <w:rsid w:val="003F0AAA"/>
    <w:rsid w:val="003F0C82"/>
    <w:rsid w:val="003F0CB4"/>
    <w:rsid w:val="003F0CC4"/>
    <w:rsid w:val="003F0CEF"/>
    <w:rsid w:val="003F0D12"/>
    <w:rsid w:val="003F0D37"/>
    <w:rsid w:val="003F0D5F"/>
    <w:rsid w:val="003F0EF2"/>
    <w:rsid w:val="003F0F0C"/>
    <w:rsid w:val="003F10C2"/>
    <w:rsid w:val="003F10D8"/>
    <w:rsid w:val="003F110B"/>
    <w:rsid w:val="003F11AE"/>
    <w:rsid w:val="003F1292"/>
    <w:rsid w:val="003F12B9"/>
    <w:rsid w:val="003F13A1"/>
    <w:rsid w:val="003F13A4"/>
    <w:rsid w:val="003F13D2"/>
    <w:rsid w:val="003F13EC"/>
    <w:rsid w:val="003F1472"/>
    <w:rsid w:val="003F1492"/>
    <w:rsid w:val="003F14C9"/>
    <w:rsid w:val="003F15E4"/>
    <w:rsid w:val="003F161E"/>
    <w:rsid w:val="003F16D1"/>
    <w:rsid w:val="003F16DF"/>
    <w:rsid w:val="003F16E0"/>
    <w:rsid w:val="003F16E8"/>
    <w:rsid w:val="003F1712"/>
    <w:rsid w:val="003F1836"/>
    <w:rsid w:val="003F18B6"/>
    <w:rsid w:val="003F1903"/>
    <w:rsid w:val="003F198D"/>
    <w:rsid w:val="003F198F"/>
    <w:rsid w:val="003F19BE"/>
    <w:rsid w:val="003F19CB"/>
    <w:rsid w:val="003F19DC"/>
    <w:rsid w:val="003F1A3C"/>
    <w:rsid w:val="003F1A61"/>
    <w:rsid w:val="003F1B4E"/>
    <w:rsid w:val="003F1B65"/>
    <w:rsid w:val="003F1B84"/>
    <w:rsid w:val="003F1BC1"/>
    <w:rsid w:val="003F1BD4"/>
    <w:rsid w:val="003F1BDF"/>
    <w:rsid w:val="003F1BE2"/>
    <w:rsid w:val="003F1CE9"/>
    <w:rsid w:val="003F1D03"/>
    <w:rsid w:val="003F1D16"/>
    <w:rsid w:val="003F1D3F"/>
    <w:rsid w:val="003F1D9D"/>
    <w:rsid w:val="003F1DFE"/>
    <w:rsid w:val="003F1E06"/>
    <w:rsid w:val="003F1E0E"/>
    <w:rsid w:val="003F1FE7"/>
    <w:rsid w:val="003F21CB"/>
    <w:rsid w:val="003F21D8"/>
    <w:rsid w:val="003F2217"/>
    <w:rsid w:val="003F2222"/>
    <w:rsid w:val="003F226A"/>
    <w:rsid w:val="003F22CC"/>
    <w:rsid w:val="003F22D3"/>
    <w:rsid w:val="003F22EA"/>
    <w:rsid w:val="003F2339"/>
    <w:rsid w:val="003F243E"/>
    <w:rsid w:val="003F252F"/>
    <w:rsid w:val="003F27DD"/>
    <w:rsid w:val="003F27EB"/>
    <w:rsid w:val="003F28A2"/>
    <w:rsid w:val="003F2920"/>
    <w:rsid w:val="003F2965"/>
    <w:rsid w:val="003F2977"/>
    <w:rsid w:val="003F2984"/>
    <w:rsid w:val="003F29FA"/>
    <w:rsid w:val="003F29FC"/>
    <w:rsid w:val="003F2B9B"/>
    <w:rsid w:val="003F2BA9"/>
    <w:rsid w:val="003F2CEA"/>
    <w:rsid w:val="003F2D38"/>
    <w:rsid w:val="003F2E1A"/>
    <w:rsid w:val="003F2F4A"/>
    <w:rsid w:val="003F2F95"/>
    <w:rsid w:val="003F2FCD"/>
    <w:rsid w:val="003F2FEE"/>
    <w:rsid w:val="003F3119"/>
    <w:rsid w:val="003F3182"/>
    <w:rsid w:val="003F32FE"/>
    <w:rsid w:val="003F3347"/>
    <w:rsid w:val="003F33C4"/>
    <w:rsid w:val="003F3494"/>
    <w:rsid w:val="003F34D4"/>
    <w:rsid w:val="003F3517"/>
    <w:rsid w:val="003F3544"/>
    <w:rsid w:val="003F355A"/>
    <w:rsid w:val="003F3571"/>
    <w:rsid w:val="003F35B5"/>
    <w:rsid w:val="003F3802"/>
    <w:rsid w:val="003F384E"/>
    <w:rsid w:val="003F384F"/>
    <w:rsid w:val="003F387F"/>
    <w:rsid w:val="003F3939"/>
    <w:rsid w:val="003F39A5"/>
    <w:rsid w:val="003F39FA"/>
    <w:rsid w:val="003F3A85"/>
    <w:rsid w:val="003F3A9C"/>
    <w:rsid w:val="003F3AAD"/>
    <w:rsid w:val="003F3B72"/>
    <w:rsid w:val="003F3D30"/>
    <w:rsid w:val="003F3DCC"/>
    <w:rsid w:val="003F3EAE"/>
    <w:rsid w:val="003F3EC2"/>
    <w:rsid w:val="003F3FB2"/>
    <w:rsid w:val="003F40E3"/>
    <w:rsid w:val="003F424C"/>
    <w:rsid w:val="003F4275"/>
    <w:rsid w:val="003F4351"/>
    <w:rsid w:val="003F4357"/>
    <w:rsid w:val="003F4475"/>
    <w:rsid w:val="003F453C"/>
    <w:rsid w:val="003F4659"/>
    <w:rsid w:val="003F46AE"/>
    <w:rsid w:val="003F472B"/>
    <w:rsid w:val="003F472F"/>
    <w:rsid w:val="003F474B"/>
    <w:rsid w:val="003F47D6"/>
    <w:rsid w:val="003F485B"/>
    <w:rsid w:val="003F49DC"/>
    <w:rsid w:val="003F4A54"/>
    <w:rsid w:val="003F4AAB"/>
    <w:rsid w:val="003F4B3C"/>
    <w:rsid w:val="003F4B86"/>
    <w:rsid w:val="003F4C00"/>
    <w:rsid w:val="003F4C78"/>
    <w:rsid w:val="003F4CED"/>
    <w:rsid w:val="003F4CF3"/>
    <w:rsid w:val="003F4D0B"/>
    <w:rsid w:val="003F4D3E"/>
    <w:rsid w:val="003F4D76"/>
    <w:rsid w:val="003F4D98"/>
    <w:rsid w:val="003F4DD5"/>
    <w:rsid w:val="003F4E26"/>
    <w:rsid w:val="003F4E40"/>
    <w:rsid w:val="003F4EF8"/>
    <w:rsid w:val="003F4F27"/>
    <w:rsid w:val="003F4F42"/>
    <w:rsid w:val="003F4FAA"/>
    <w:rsid w:val="003F5014"/>
    <w:rsid w:val="003F5093"/>
    <w:rsid w:val="003F50C4"/>
    <w:rsid w:val="003F50E6"/>
    <w:rsid w:val="003F50EE"/>
    <w:rsid w:val="003F5163"/>
    <w:rsid w:val="003F517F"/>
    <w:rsid w:val="003F5195"/>
    <w:rsid w:val="003F51AE"/>
    <w:rsid w:val="003F52A2"/>
    <w:rsid w:val="003F52D3"/>
    <w:rsid w:val="003F52DF"/>
    <w:rsid w:val="003F530C"/>
    <w:rsid w:val="003F53AD"/>
    <w:rsid w:val="003F53EE"/>
    <w:rsid w:val="003F5618"/>
    <w:rsid w:val="003F5641"/>
    <w:rsid w:val="003F5677"/>
    <w:rsid w:val="003F5687"/>
    <w:rsid w:val="003F56DC"/>
    <w:rsid w:val="003F56E2"/>
    <w:rsid w:val="003F5761"/>
    <w:rsid w:val="003F5878"/>
    <w:rsid w:val="003F588A"/>
    <w:rsid w:val="003F589D"/>
    <w:rsid w:val="003F59F2"/>
    <w:rsid w:val="003F59FD"/>
    <w:rsid w:val="003F5A32"/>
    <w:rsid w:val="003F5A94"/>
    <w:rsid w:val="003F5AD2"/>
    <w:rsid w:val="003F5B27"/>
    <w:rsid w:val="003F5B45"/>
    <w:rsid w:val="003F5BBE"/>
    <w:rsid w:val="003F5C03"/>
    <w:rsid w:val="003F5C2F"/>
    <w:rsid w:val="003F5C8F"/>
    <w:rsid w:val="003F5D66"/>
    <w:rsid w:val="003F5D8D"/>
    <w:rsid w:val="003F5E29"/>
    <w:rsid w:val="003F5EDA"/>
    <w:rsid w:val="003F5F9B"/>
    <w:rsid w:val="003F5F9E"/>
    <w:rsid w:val="003F5FA5"/>
    <w:rsid w:val="003F609E"/>
    <w:rsid w:val="003F61C7"/>
    <w:rsid w:val="003F628F"/>
    <w:rsid w:val="003F63DE"/>
    <w:rsid w:val="003F63EC"/>
    <w:rsid w:val="003F63EE"/>
    <w:rsid w:val="003F646D"/>
    <w:rsid w:val="003F64BA"/>
    <w:rsid w:val="003F6579"/>
    <w:rsid w:val="003F6589"/>
    <w:rsid w:val="003F6651"/>
    <w:rsid w:val="003F6715"/>
    <w:rsid w:val="003F6737"/>
    <w:rsid w:val="003F6780"/>
    <w:rsid w:val="003F67DE"/>
    <w:rsid w:val="003F67F5"/>
    <w:rsid w:val="003F6813"/>
    <w:rsid w:val="003F6837"/>
    <w:rsid w:val="003F684D"/>
    <w:rsid w:val="003F685B"/>
    <w:rsid w:val="003F687B"/>
    <w:rsid w:val="003F6882"/>
    <w:rsid w:val="003F689F"/>
    <w:rsid w:val="003F6988"/>
    <w:rsid w:val="003F69D5"/>
    <w:rsid w:val="003F6A53"/>
    <w:rsid w:val="003F6A69"/>
    <w:rsid w:val="003F6AB8"/>
    <w:rsid w:val="003F6AE1"/>
    <w:rsid w:val="003F6B8D"/>
    <w:rsid w:val="003F6B9B"/>
    <w:rsid w:val="003F6C00"/>
    <w:rsid w:val="003F6C17"/>
    <w:rsid w:val="003F6C54"/>
    <w:rsid w:val="003F6C7E"/>
    <w:rsid w:val="003F6C94"/>
    <w:rsid w:val="003F6CE3"/>
    <w:rsid w:val="003F6D66"/>
    <w:rsid w:val="003F6D83"/>
    <w:rsid w:val="003F6E1D"/>
    <w:rsid w:val="003F6E3E"/>
    <w:rsid w:val="003F6E75"/>
    <w:rsid w:val="003F6F04"/>
    <w:rsid w:val="003F6F6B"/>
    <w:rsid w:val="003F706E"/>
    <w:rsid w:val="003F7075"/>
    <w:rsid w:val="003F710B"/>
    <w:rsid w:val="003F7130"/>
    <w:rsid w:val="003F71D7"/>
    <w:rsid w:val="003F723C"/>
    <w:rsid w:val="003F72E2"/>
    <w:rsid w:val="003F72ED"/>
    <w:rsid w:val="003F734E"/>
    <w:rsid w:val="003F7377"/>
    <w:rsid w:val="003F73B9"/>
    <w:rsid w:val="003F73CE"/>
    <w:rsid w:val="003F73D6"/>
    <w:rsid w:val="003F7401"/>
    <w:rsid w:val="003F7644"/>
    <w:rsid w:val="003F771D"/>
    <w:rsid w:val="003F7723"/>
    <w:rsid w:val="003F7767"/>
    <w:rsid w:val="003F778C"/>
    <w:rsid w:val="003F77E3"/>
    <w:rsid w:val="003F7828"/>
    <w:rsid w:val="003F7872"/>
    <w:rsid w:val="003F78CA"/>
    <w:rsid w:val="003F7942"/>
    <w:rsid w:val="003F79A3"/>
    <w:rsid w:val="003F7AB0"/>
    <w:rsid w:val="003F7B1D"/>
    <w:rsid w:val="003F7BA9"/>
    <w:rsid w:val="003F7BF8"/>
    <w:rsid w:val="003F7C17"/>
    <w:rsid w:val="003F7C42"/>
    <w:rsid w:val="003F7D99"/>
    <w:rsid w:val="003F7D9E"/>
    <w:rsid w:val="003F7F27"/>
    <w:rsid w:val="0040001C"/>
    <w:rsid w:val="00400049"/>
    <w:rsid w:val="00400099"/>
    <w:rsid w:val="004000B3"/>
    <w:rsid w:val="00400106"/>
    <w:rsid w:val="0040015C"/>
    <w:rsid w:val="0040016B"/>
    <w:rsid w:val="004001EE"/>
    <w:rsid w:val="004003DE"/>
    <w:rsid w:val="00400503"/>
    <w:rsid w:val="0040052D"/>
    <w:rsid w:val="004005BF"/>
    <w:rsid w:val="004007E0"/>
    <w:rsid w:val="0040081D"/>
    <w:rsid w:val="0040082B"/>
    <w:rsid w:val="00400869"/>
    <w:rsid w:val="00400906"/>
    <w:rsid w:val="0040091F"/>
    <w:rsid w:val="00400A2D"/>
    <w:rsid w:val="00400C82"/>
    <w:rsid w:val="00400CCA"/>
    <w:rsid w:val="00400D0B"/>
    <w:rsid w:val="00400D37"/>
    <w:rsid w:val="00400D95"/>
    <w:rsid w:val="00400DB9"/>
    <w:rsid w:val="00400F14"/>
    <w:rsid w:val="004010E5"/>
    <w:rsid w:val="00401123"/>
    <w:rsid w:val="00401154"/>
    <w:rsid w:val="0040118F"/>
    <w:rsid w:val="0040121A"/>
    <w:rsid w:val="00401296"/>
    <w:rsid w:val="00401310"/>
    <w:rsid w:val="0040139E"/>
    <w:rsid w:val="004013C0"/>
    <w:rsid w:val="0040147C"/>
    <w:rsid w:val="004015AF"/>
    <w:rsid w:val="004015B2"/>
    <w:rsid w:val="004015EC"/>
    <w:rsid w:val="0040168C"/>
    <w:rsid w:val="004018B9"/>
    <w:rsid w:val="004018DF"/>
    <w:rsid w:val="004018FD"/>
    <w:rsid w:val="00401985"/>
    <w:rsid w:val="004019AE"/>
    <w:rsid w:val="004019B6"/>
    <w:rsid w:val="00401A96"/>
    <w:rsid w:val="00401AEA"/>
    <w:rsid w:val="00401BE7"/>
    <w:rsid w:val="00401C2F"/>
    <w:rsid w:val="00401C8C"/>
    <w:rsid w:val="00401CC8"/>
    <w:rsid w:val="00401CD3"/>
    <w:rsid w:val="00401D9D"/>
    <w:rsid w:val="00401E47"/>
    <w:rsid w:val="00401ED5"/>
    <w:rsid w:val="00401F21"/>
    <w:rsid w:val="00401F55"/>
    <w:rsid w:val="00401FC4"/>
    <w:rsid w:val="0040201F"/>
    <w:rsid w:val="00402113"/>
    <w:rsid w:val="0040219D"/>
    <w:rsid w:val="0040222D"/>
    <w:rsid w:val="00402267"/>
    <w:rsid w:val="004022F2"/>
    <w:rsid w:val="00402338"/>
    <w:rsid w:val="004023A8"/>
    <w:rsid w:val="004023ED"/>
    <w:rsid w:val="004023F2"/>
    <w:rsid w:val="0040247C"/>
    <w:rsid w:val="004024EE"/>
    <w:rsid w:val="004024F5"/>
    <w:rsid w:val="0040258A"/>
    <w:rsid w:val="00402590"/>
    <w:rsid w:val="00402693"/>
    <w:rsid w:val="0040270E"/>
    <w:rsid w:val="0040275E"/>
    <w:rsid w:val="004027AE"/>
    <w:rsid w:val="004027C5"/>
    <w:rsid w:val="00402848"/>
    <w:rsid w:val="00402858"/>
    <w:rsid w:val="004028A3"/>
    <w:rsid w:val="004028C6"/>
    <w:rsid w:val="004028CC"/>
    <w:rsid w:val="004028EE"/>
    <w:rsid w:val="00402937"/>
    <w:rsid w:val="00402965"/>
    <w:rsid w:val="0040296E"/>
    <w:rsid w:val="004029BD"/>
    <w:rsid w:val="004029DE"/>
    <w:rsid w:val="004029EB"/>
    <w:rsid w:val="00402A24"/>
    <w:rsid w:val="00402BE8"/>
    <w:rsid w:val="00402C00"/>
    <w:rsid w:val="00402C01"/>
    <w:rsid w:val="00402E6F"/>
    <w:rsid w:val="00402E88"/>
    <w:rsid w:val="00402EE4"/>
    <w:rsid w:val="00402F18"/>
    <w:rsid w:val="00402F9A"/>
    <w:rsid w:val="00402FCA"/>
    <w:rsid w:val="00402FF2"/>
    <w:rsid w:val="00403042"/>
    <w:rsid w:val="0040309E"/>
    <w:rsid w:val="004030C1"/>
    <w:rsid w:val="004030C6"/>
    <w:rsid w:val="0040322D"/>
    <w:rsid w:val="004033AC"/>
    <w:rsid w:val="004033BF"/>
    <w:rsid w:val="004033E7"/>
    <w:rsid w:val="0040342B"/>
    <w:rsid w:val="004034F0"/>
    <w:rsid w:val="004034F6"/>
    <w:rsid w:val="00403517"/>
    <w:rsid w:val="0040351C"/>
    <w:rsid w:val="0040358D"/>
    <w:rsid w:val="0040362F"/>
    <w:rsid w:val="00403660"/>
    <w:rsid w:val="004036A1"/>
    <w:rsid w:val="00403755"/>
    <w:rsid w:val="00403779"/>
    <w:rsid w:val="00403AE6"/>
    <w:rsid w:val="00403B79"/>
    <w:rsid w:val="00403B7B"/>
    <w:rsid w:val="00403C2C"/>
    <w:rsid w:val="00403EE0"/>
    <w:rsid w:val="00403F7C"/>
    <w:rsid w:val="00403F8C"/>
    <w:rsid w:val="00403FB8"/>
    <w:rsid w:val="004040BF"/>
    <w:rsid w:val="004040DD"/>
    <w:rsid w:val="00404106"/>
    <w:rsid w:val="00404120"/>
    <w:rsid w:val="004041DE"/>
    <w:rsid w:val="004042F6"/>
    <w:rsid w:val="00404332"/>
    <w:rsid w:val="004043AF"/>
    <w:rsid w:val="004043F3"/>
    <w:rsid w:val="00404430"/>
    <w:rsid w:val="0040446A"/>
    <w:rsid w:val="004044BE"/>
    <w:rsid w:val="0040451C"/>
    <w:rsid w:val="004045D5"/>
    <w:rsid w:val="004045DA"/>
    <w:rsid w:val="004045DF"/>
    <w:rsid w:val="0040463D"/>
    <w:rsid w:val="00404694"/>
    <w:rsid w:val="004047BD"/>
    <w:rsid w:val="004047CA"/>
    <w:rsid w:val="004047FD"/>
    <w:rsid w:val="00404887"/>
    <w:rsid w:val="004048B7"/>
    <w:rsid w:val="004048CD"/>
    <w:rsid w:val="0040491A"/>
    <w:rsid w:val="0040494E"/>
    <w:rsid w:val="0040498B"/>
    <w:rsid w:val="004049D8"/>
    <w:rsid w:val="00404A22"/>
    <w:rsid w:val="00404AB2"/>
    <w:rsid w:val="00404AED"/>
    <w:rsid w:val="00404B49"/>
    <w:rsid w:val="00404C40"/>
    <w:rsid w:val="00404C90"/>
    <w:rsid w:val="00404E26"/>
    <w:rsid w:val="00404FA5"/>
    <w:rsid w:val="00404FBF"/>
    <w:rsid w:val="00405082"/>
    <w:rsid w:val="0040509D"/>
    <w:rsid w:val="004050D1"/>
    <w:rsid w:val="00405143"/>
    <w:rsid w:val="004051E5"/>
    <w:rsid w:val="004051FB"/>
    <w:rsid w:val="00405218"/>
    <w:rsid w:val="00405432"/>
    <w:rsid w:val="00405445"/>
    <w:rsid w:val="004054A0"/>
    <w:rsid w:val="004054B8"/>
    <w:rsid w:val="004054CF"/>
    <w:rsid w:val="004055BF"/>
    <w:rsid w:val="00405698"/>
    <w:rsid w:val="0040580E"/>
    <w:rsid w:val="0040589D"/>
    <w:rsid w:val="00405A11"/>
    <w:rsid w:val="00405A4F"/>
    <w:rsid w:val="00405AB9"/>
    <w:rsid w:val="00405ACF"/>
    <w:rsid w:val="00405AF5"/>
    <w:rsid w:val="00405AF9"/>
    <w:rsid w:val="00405B4F"/>
    <w:rsid w:val="00405B50"/>
    <w:rsid w:val="00405B84"/>
    <w:rsid w:val="00405B94"/>
    <w:rsid w:val="00405B97"/>
    <w:rsid w:val="00405CA1"/>
    <w:rsid w:val="00405DC2"/>
    <w:rsid w:val="00405DD8"/>
    <w:rsid w:val="00405E2E"/>
    <w:rsid w:val="00405E47"/>
    <w:rsid w:val="00405EA7"/>
    <w:rsid w:val="00405EEF"/>
    <w:rsid w:val="00405F3B"/>
    <w:rsid w:val="00405F70"/>
    <w:rsid w:val="00405FB0"/>
    <w:rsid w:val="00405FB3"/>
    <w:rsid w:val="00406034"/>
    <w:rsid w:val="0040604D"/>
    <w:rsid w:val="0040607C"/>
    <w:rsid w:val="004060A8"/>
    <w:rsid w:val="00406128"/>
    <w:rsid w:val="0040619F"/>
    <w:rsid w:val="00406223"/>
    <w:rsid w:val="00406247"/>
    <w:rsid w:val="0040625C"/>
    <w:rsid w:val="0040627D"/>
    <w:rsid w:val="00406363"/>
    <w:rsid w:val="004063B0"/>
    <w:rsid w:val="004063C8"/>
    <w:rsid w:val="00406588"/>
    <w:rsid w:val="004065D0"/>
    <w:rsid w:val="004065DE"/>
    <w:rsid w:val="00406622"/>
    <w:rsid w:val="0040666C"/>
    <w:rsid w:val="0040669D"/>
    <w:rsid w:val="0040678D"/>
    <w:rsid w:val="00406962"/>
    <w:rsid w:val="004069B0"/>
    <w:rsid w:val="00406A1A"/>
    <w:rsid w:val="00406A6C"/>
    <w:rsid w:val="00406A96"/>
    <w:rsid w:val="00406AE7"/>
    <w:rsid w:val="00406B04"/>
    <w:rsid w:val="00406B1C"/>
    <w:rsid w:val="00406B83"/>
    <w:rsid w:val="00406B8A"/>
    <w:rsid w:val="00406B90"/>
    <w:rsid w:val="00406F6C"/>
    <w:rsid w:val="00406FA0"/>
    <w:rsid w:val="00406FB7"/>
    <w:rsid w:val="00407184"/>
    <w:rsid w:val="00407230"/>
    <w:rsid w:val="004072BA"/>
    <w:rsid w:val="004072D8"/>
    <w:rsid w:val="004073CD"/>
    <w:rsid w:val="00407437"/>
    <w:rsid w:val="0040743C"/>
    <w:rsid w:val="00407442"/>
    <w:rsid w:val="0040744C"/>
    <w:rsid w:val="0040748B"/>
    <w:rsid w:val="004074DF"/>
    <w:rsid w:val="0040755E"/>
    <w:rsid w:val="0040759A"/>
    <w:rsid w:val="004075C8"/>
    <w:rsid w:val="00407603"/>
    <w:rsid w:val="00407799"/>
    <w:rsid w:val="0040779F"/>
    <w:rsid w:val="004078A9"/>
    <w:rsid w:val="00407929"/>
    <w:rsid w:val="004079A3"/>
    <w:rsid w:val="004079D1"/>
    <w:rsid w:val="00407AA6"/>
    <w:rsid w:val="00407AEB"/>
    <w:rsid w:val="00407C16"/>
    <w:rsid w:val="00407C74"/>
    <w:rsid w:val="00407C90"/>
    <w:rsid w:val="00407CB5"/>
    <w:rsid w:val="00407D3F"/>
    <w:rsid w:val="00407E36"/>
    <w:rsid w:val="00407F14"/>
    <w:rsid w:val="00407F8D"/>
    <w:rsid w:val="0041004C"/>
    <w:rsid w:val="004100F7"/>
    <w:rsid w:val="0041016A"/>
    <w:rsid w:val="004102A6"/>
    <w:rsid w:val="00410749"/>
    <w:rsid w:val="0041083E"/>
    <w:rsid w:val="00410871"/>
    <w:rsid w:val="004108B8"/>
    <w:rsid w:val="004108D8"/>
    <w:rsid w:val="004109F2"/>
    <w:rsid w:val="00410A29"/>
    <w:rsid w:val="00410A6C"/>
    <w:rsid w:val="00410A6F"/>
    <w:rsid w:val="00410AC3"/>
    <w:rsid w:val="00410AC4"/>
    <w:rsid w:val="00410AC6"/>
    <w:rsid w:val="00410AC9"/>
    <w:rsid w:val="00410B19"/>
    <w:rsid w:val="00410B1F"/>
    <w:rsid w:val="00410BE9"/>
    <w:rsid w:val="00410CD7"/>
    <w:rsid w:val="00410CF9"/>
    <w:rsid w:val="00410D34"/>
    <w:rsid w:val="00410D4C"/>
    <w:rsid w:val="00410E59"/>
    <w:rsid w:val="00410FBB"/>
    <w:rsid w:val="00410FC3"/>
    <w:rsid w:val="0041106D"/>
    <w:rsid w:val="0041106F"/>
    <w:rsid w:val="00411082"/>
    <w:rsid w:val="00411127"/>
    <w:rsid w:val="0041112A"/>
    <w:rsid w:val="00411194"/>
    <w:rsid w:val="004111D3"/>
    <w:rsid w:val="004111DF"/>
    <w:rsid w:val="004111E0"/>
    <w:rsid w:val="004112F6"/>
    <w:rsid w:val="0041138D"/>
    <w:rsid w:val="004113AD"/>
    <w:rsid w:val="0041149A"/>
    <w:rsid w:val="004114B9"/>
    <w:rsid w:val="00411544"/>
    <w:rsid w:val="004115D4"/>
    <w:rsid w:val="004115DC"/>
    <w:rsid w:val="00411651"/>
    <w:rsid w:val="00411669"/>
    <w:rsid w:val="004117C5"/>
    <w:rsid w:val="0041192C"/>
    <w:rsid w:val="00411A89"/>
    <w:rsid w:val="00411AC1"/>
    <w:rsid w:val="00411B30"/>
    <w:rsid w:val="00411C6B"/>
    <w:rsid w:val="00411C74"/>
    <w:rsid w:val="00411D3A"/>
    <w:rsid w:val="00411D4D"/>
    <w:rsid w:val="00411E86"/>
    <w:rsid w:val="00411F27"/>
    <w:rsid w:val="00411FBF"/>
    <w:rsid w:val="00411FF0"/>
    <w:rsid w:val="0041202D"/>
    <w:rsid w:val="0041209B"/>
    <w:rsid w:val="0041209D"/>
    <w:rsid w:val="004120F0"/>
    <w:rsid w:val="0041211C"/>
    <w:rsid w:val="0041213B"/>
    <w:rsid w:val="0041223A"/>
    <w:rsid w:val="0041229A"/>
    <w:rsid w:val="004122AD"/>
    <w:rsid w:val="004122C6"/>
    <w:rsid w:val="00412321"/>
    <w:rsid w:val="0041237F"/>
    <w:rsid w:val="004124EC"/>
    <w:rsid w:val="0041251F"/>
    <w:rsid w:val="004125F9"/>
    <w:rsid w:val="00412624"/>
    <w:rsid w:val="004126A4"/>
    <w:rsid w:val="004126AA"/>
    <w:rsid w:val="0041275B"/>
    <w:rsid w:val="0041284F"/>
    <w:rsid w:val="004128E6"/>
    <w:rsid w:val="0041291C"/>
    <w:rsid w:val="0041297A"/>
    <w:rsid w:val="004129D8"/>
    <w:rsid w:val="00412A4D"/>
    <w:rsid w:val="00412A8C"/>
    <w:rsid w:val="00412B17"/>
    <w:rsid w:val="00412BC9"/>
    <w:rsid w:val="00412BEC"/>
    <w:rsid w:val="00412C11"/>
    <w:rsid w:val="00412C93"/>
    <w:rsid w:val="00412E2F"/>
    <w:rsid w:val="00412E32"/>
    <w:rsid w:val="00412E80"/>
    <w:rsid w:val="00412E98"/>
    <w:rsid w:val="00412EB5"/>
    <w:rsid w:val="00412EE6"/>
    <w:rsid w:val="00412FD9"/>
    <w:rsid w:val="0041300D"/>
    <w:rsid w:val="00413043"/>
    <w:rsid w:val="00413136"/>
    <w:rsid w:val="00413163"/>
    <w:rsid w:val="00413189"/>
    <w:rsid w:val="004131A1"/>
    <w:rsid w:val="004131AD"/>
    <w:rsid w:val="004131EC"/>
    <w:rsid w:val="004132FE"/>
    <w:rsid w:val="00413306"/>
    <w:rsid w:val="00413356"/>
    <w:rsid w:val="00413466"/>
    <w:rsid w:val="004134A0"/>
    <w:rsid w:val="00413511"/>
    <w:rsid w:val="0041352A"/>
    <w:rsid w:val="004136B7"/>
    <w:rsid w:val="0041372E"/>
    <w:rsid w:val="0041381A"/>
    <w:rsid w:val="00413966"/>
    <w:rsid w:val="00413994"/>
    <w:rsid w:val="004139E6"/>
    <w:rsid w:val="00413A6D"/>
    <w:rsid w:val="00413A95"/>
    <w:rsid w:val="00413B3A"/>
    <w:rsid w:val="00413B41"/>
    <w:rsid w:val="00413BBD"/>
    <w:rsid w:val="00413BD4"/>
    <w:rsid w:val="00413C6D"/>
    <w:rsid w:val="00413C84"/>
    <w:rsid w:val="00413DAF"/>
    <w:rsid w:val="00413F07"/>
    <w:rsid w:val="00413F44"/>
    <w:rsid w:val="00413FB8"/>
    <w:rsid w:val="00413FE5"/>
    <w:rsid w:val="004140D1"/>
    <w:rsid w:val="004141F3"/>
    <w:rsid w:val="0041423A"/>
    <w:rsid w:val="0041427E"/>
    <w:rsid w:val="00414292"/>
    <w:rsid w:val="004142A0"/>
    <w:rsid w:val="004142DE"/>
    <w:rsid w:val="00414350"/>
    <w:rsid w:val="00414351"/>
    <w:rsid w:val="00414394"/>
    <w:rsid w:val="00414438"/>
    <w:rsid w:val="0041449F"/>
    <w:rsid w:val="0041450A"/>
    <w:rsid w:val="00414516"/>
    <w:rsid w:val="0041465E"/>
    <w:rsid w:val="004146A4"/>
    <w:rsid w:val="004147C9"/>
    <w:rsid w:val="0041483C"/>
    <w:rsid w:val="00414855"/>
    <w:rsid w:val="00414864"/>
    <w:rsid w:val="00414909"/>
    <w:rsid w:val="00414941"/>
    <w:rsid w:val="0041494B"/>
    <w:rsid w:val="00414958"/>
    <w:rsid w:val="00414966"/>
    <w:rsid w:val="0041499A"/>
    <w:rsid w:val="004149B6"/>
    <w:rsid w:val="00414AF3"/>
    <w:rsid w:val="00414B16"/>
    <w:rsid w:val="00414B60"/>
    <w:rsid w:val="00414B84"/>
    <w:rsid w:val="00414D33"/>
    <w:rsid w:val="00414D6A"/>
    <w:rsid w:val="00414D88"/>
    <w:rsid w:val="00414D8B"/>
    <w:rsid w:val="00414DED"/>
    <w:rsid w:val="00414E1E"/>
    <w:rsid w:val="00414E49"/>
    <w:rsid w:val="00414EF1"/>
    <w:rsid w:val="00414FAD"/>
    <w:rsid w:val="00414FC3"/>
    <w:rsid w:val="00415069"/>
    <w:rsid w:val="00415071"/>
    <w:rsid w:val="00415079"/>
    <w:rsid w:val="00415095"/>
    <w:rsid w:val="00415121"/>
    <w:rsid w:val="0041528F"/>
    <w:rsid w:val="00415344"/>
    <w:rsid w:val="0041537E"/>
    <w:rsid w:val="004153EE"/>
    <w:rsid w:val="00415430"/>
    <w:rsid w:val="00415477"/>
    <w:rsid w:val="0041548F"/>
    <w:rsid w:val="00415585"/>
    <w:rsid w:val="00415587"/>
    <w:rsid w:val="00415654"/>
    <w:rsid w:val="004156CF"/>
    <w:rsid w:val="00415739"/>
    <w:rsid w:val="00415741"/>
    <w:rsid w:val="00415756"/>
    <w:rsid w:val="00415834"/>
    <w:rsid w:val="00415872"/>
    <w:rsid w:val="0041587C"/>
    <w:rsid w:val="004158C0"/>
    <w:rsid w:val="00415A72"/>
    <w:rsid w:val="00415AC1"/>
    <w:rsid w:val="00415AEA"/>
    <w:rsid w:val="00415AF3"/>
    <w:rsid w:val="00415B4F"/>
    <w:rsid w:val="00415C3E"/>
    <w:rsid w:val="00415C74"/>
    <w:rsid w:val="00415CBA"/>
    <w:rsid w:val="00415D48"/>
    <w:rsid w:val="00415D7F"/>
    <w:rsid w:val="00415F34"/>
    <w:rsid w:val="00415F82"/>
    <w:rsid w:val="00415FE9"/>
    <w:rsid w:val="00415FFC"/>
    <w:rsid w:val="00416074"/>
    <w:rsid w:val="00416167"/>
    <w:rsid w:val="0041616A"/>
    <w:rsid w:val="004161A3"/>
    <w:rsid w:val="0041629C"/>
    <w:rsid w:val="004162ED"/>
    <w:rsid w:val="00416331"/>
    <w:rsid w:val="0041638E"/>
    <w:rsid w:val="004163DD"/>
    <w:rsid w:val="004163F8"/>
    <w:rsid w:val="00416517"/>
    <w:rsid w:val="0041651C"/>
    <w:rsid w:val="00416787"/>
    <w:rsid w:val="004168FB"/>
    <w:rsid w:val="004169B3"/>
    <w:rsid w:val="004169D0"/>
    <w:rsid w:val="00416BE6"/>
    <w:rsid w:val="00416C71"/>
    <w:rsid w:val="00416CAA"/>
    <w:rsid w:val="00416D56"/>
    <w:rsid w:val="00416DDA"/>
    <w:rsid w:val="00416E67"/>
    <w:rsid w:val="00416E6C"/>
    <w:rsid w:val="00416E93"/>
    <w:rsid w:val="00416ED6"/>
    <w:rsid w:val="00416F5A"/>
    <w:rsid w:val="00417030"/>
    <w:rsid w:val="00417062"/>
    <w:rsid w:val="0041707B"/>
    <w:rsid w:val="0041708F"/>
    <w:rsid w:val="00417090"/>
    <w:rsid w:val="004170F8"/>
    <w:rsid w:val="0041717D"/>
    <w:rsid w:val="00417267"/>
    <w:rsid w:val="004172C6"/>
    <w:rsid w:val="004173AC"/>
    <w:rsid w:val="00417446"/>
    <w:rsid w:val="004174D5"/>
    <w:rsid w:val="00417588"/>
    <w:rsid w:val="004175B7"/>
    <w:rsid w:val="00417627"/>
    <w:rsid w:val="004176CF"/>
    <w:rsid w:val="00417722"/>
    <w:rsid w:val="0041773A"/>
    <w:rsid w:val="004177DA"/>
    <w:rsid w:val="004178CC"/>
    <w:rsid w:val="00417934"/>
    <w:rsid w:val="0041793F"/>
    <w:rsid w:val="00417957"/>
    <w:rsid w:val="004179CC"/>
    <w:rsid w:val="00417ADB"/>
    <w:rsid w:val="00417CB6"/>
    <w:rsid w:val="00417CBF"/>
    <w:rsid w:val="00417D1D"/>
    <w:rsid w:val="00417DFD"/>
    <w:rsid w:val="00417E72"/>
    <w:rsid w:val="00417EA0"/>
    <w:rsid w:val="00417EFF"/>
    <w:rsid w:val="00417FBC"/>
    <w:rsid w:val="00420159"/>
    <w:rsid w:val="00420277"/>
    <w:rsid w:val="00420285"/>
    <w:rsid w:val="004202C1"/>
    <w:rsid w:val="004202E6"/>
    <w:rsid w:val="0042035D"/>
    <w:rsid w:val="004203E2"/>
    <w:rsid w:val="0042040E"/>
    <w:rsid w:val="004204CC"/>
    <w:rsid w:val="00420546"/>
    <w:rsid w:val="00420769"/>
    <w:rsid w:val="00420772"/>
    <w:rsid w:val="0042083F"/>
    <w:rsid w:val="0042084E"/>
    <w:rsid w:val="0042087F"/>
    <w:rsid w:val="004208FD"/>
    <w:rsid w:val="00420968"/>
    <w:rsid w:val="00420999"/>
    <w:rsid w:val="004209CB"/>
    <w:rsid w:val="00420A74"/>
    <w:rsid w:val="00420AE5"/>
    <w:rsid w:val="00420B1C"/>
    <w:rsid w:val="00420B49"/>
    <w:rsid w:val="00420BC7"/>
    <w:rsid w:val="00420C2E"/>
    <w:rsid w:val="00420CA6"/>
    <w:rsid w:val="00420CD5"/>
    <w:rsid w:val="00420CDD"/>
    <w:rsid w:val="00420DE4"/>
    <w:rsid w:val="00420E1F"/>
    <w:rsid w:val="00420FAF"/>
    <w:rsid w:val="0042116B"/>
    <w:rsid w:val="00421189"/>
    <w:rsid w:val="004212F5"/>
    <w:rsid w:val="00421365"/>
    <w:rsid w:val="004213D5"/>
    <w:rsid w:val="004214B3"/>
    <w:rsid w:val="00421527"/>
    <w:rsid w:val="0042152F"/>
    <w:rsid w:val="0042154F"/>
    <w:rsid w:val="00421565"/>
    <w:rsid w:val="00421661"/>
    <w:rsid w:val="0042172C"/>
    <w:rsid w:val="004217E1"/>
    <w:rsid w:val="00421868"/>
    <w:rsid w:val="00421946"/>
    <w:rsid w:val="00421952"/>
    <w:rsid w:val="00421A1A"/>
    <w:rsid w:val="00421A99"/>
    <w:rsid w:val="00421A9F"/>
    <w:rsid w:val="00421AAE"/>
    <w:rsid w:val="00421AD0"/>
    <w:rsid w:val="00421C19"/>
    <w:rsid w:val="00421CA0"/>
    <w:rsid w:val="00421D0B"/>
    <w:rsid w:val="00421D4A"/>
    <w:rsid w:val="00421D86"/>
    <w:rsid w:val="00421DF2"/>
    <w:rsid w:val="00421E19"/>
    <w:rsid w:val="00421EA6"/>
    <w:rsid w:val="00421ED1"/>
    <w:rsid w:val="00421F35"/>
    <w:rsid w:val="00421F9B"/>
    <w:rsid w:val="00422173"/>
    <w:rsid w:val="004222D2"/>
    <w:rsid w:val="004222E2"/>
    <w:rsid w:val="00422363"/>
    <w:rsid w:val="00422393"/>
    <w:rsid w:val="004224B5"/>
    <w:rsid w:val="00422563"/>
    <w:rsid w:val="0042258D"/>
    <w:rsid w:val="00422607"/>
    <w:rsid w:val="00422640"/>
    <w:rsid w:val="00422685"/>
    <w:rsid w:val="00422754"/>
    <w:rsid w:val="004227B7"/>
    <w:rsid w:val="00422916"/>
    <w:rsid w:val="004229B8"/>
    <w:rsid w:val="00422AB5"/>
    <w:rsid w:val="00422BF3"/>
    <w:rsid w:val="00422C10"/>
    <w:rsid w:val="00422C2E"/>
    <w:rsid w:val="00422C46"/>
    <w:rsid w:val="00422C59"/>
    <w:rsid w:val="00422CF9"/>
    <w:rsid w:val="00422DA1"/>
    <w:rsid w:val="00422E4A"/>
    <w:rsid w:val="00422E89"/>
    <w:rsid w:val="00422F26"/>
    <w:rsid w:val="00422F9C"/>
    <w:rsid w:val="00423041"/>
    <w:rsid w:val="0042307E"/>
    <w:rsid w:val="0042308C"/>
    <w:rsid w:val="004230B1"/>
    <w:rsid w:val="004230D2"/>
    <w:rsid w:val="0042314A"/>
    <w:rsid w:val="0042325D"/>
    <w:rsid w:val="0042336F"/>
    <w:rsid w:val="004233B8"/>
    <w:rsid w:val="004233D3"/>
    <w:rsid w:val="004233F6"/>
    <w:rsid w:val="00423409"/>
    <w:rsid w:val="004234CD"/>
    <w:rsid w:val="004234E5"/>
    <w:rsid w:val="004234F2"/>
    <w:rsid w:val="0042357E"/>
    <w:rsid w:val="00423598"/>
    <w:rsid w:val="004235BA"/>
    <w:rsid w:val="004235D3"/>
    <w:rsid w:val="0042366E"/>
    <w:rsid w:val="00423706"/>
    <w:rsid w:val="00423720"/>
    <w:rsid w:val="0042375B"/>
    <w:rsid w:val="004237D1"/>
    <w:rsid w:val="004237FD"/>
    <w:rsid w:val="004238D9"/>
    <w:rsid w:val="004239E1"/>
    <w:rsid w:val="00423B6B"/>
    <w:rsid w:val="00423B73"/>
    <w:rsid w:val="00423BAD"/>
    <w:rsid w:val="00423C8D"/>
    <w:rsid w:val="00423CB9"/>
    <w:rsid w:val="00423CCF"/>
    <w:rsid w:val="00423D65"/>
    <w:rsid w:val="00423E34"/>
    <w:rsid w:val="00423EA4"/>
    <w:rsid w:val="00423EA8"/>
    <w:rsid w:val="00423EBE"/>
    <w:rsid w:val="00423EF1"/>
    <w:rsid w:val="00423FAC"/>
    <w:rsid w:val="00423FD0"/>
    <w:rsid w:val="00424024"/>
    <w:rsid w:val="00424028"/>
    <w:rsid w:val="004240A1"/>
    <w:rsid w:val="004240B5"/>
    <w:rsid w:val="004241C9"/>
    <w:rsid w:val="004241F0"/>
    <w:rsid w:val="00424388"/>
    <w:rsid w:val="00424448"/>
    <w:rsid w:val="0042444B"/>
    <w:rsid w:val="004244CB"/>
    <w:rsid w:val="004245D2"/>
    <w:rsid w:val="004245E7"/>
    <w:rsid w:val="00424713"/>
    <w:rsid w:val="0042471B"/>
    <w:rsid w:val="00424737"/>
    <w:rsid w:val="0042478A"/>
    <w:rsid w:val="004247CE"/>
    <w:rsid w:val="004247F9"/>
    <w:rsid w:val="004248BC"/>
    <w:rsid w:val="00424970"/>
    <w:rsid w:val="00424995"/>
    <w:rsid w:val="004249C5"/>
    <w:rsid w:val="00424A51"/>
    <w:rsid w:val="00424AFF"/>
    <w:rsid w:val="00424B0F"/>
    <w:rsid w:val="00424B88"/>
    <w:rsid w:val="00424BC6"/>
    <w:rsid w:val="00424C0B"/>
    <w:rsid w:val="00424C29"/>
    <w:rsid w:val="00424C3F"/>
    <w:rsid w:val="00424C65"/>
    <w:rsid w:val="00424D3C"/>
    <w:rsid w:val="00424D54"/>
    <w:rsid w:val="00424E86"/>
    <w:rsid w:val="00424F34"/>
    <w:rsid w:val="00424FA7"/>
    <w:rsid w:val="00424FD6"/>
    <w:rsid w:val="0042500C"/>
    <w:rsid w:val="0042501D"/>
    <w:rsid w:val="0042504A"/>
    <w:rsid w:val="00425065"/>
    <w:rsid w:val="00425067"/>
    <w:rsid w:val="0042509F"/>
    <w:rsid w:val="0042514E"/>
    <w:rsid w:val="00425161"/>
    <w:rsid w:val="004251C4"/>
    <w:rsid w:val="0042527F"/>
    <w:rsid w:val="004252D2"/>
    <w:rsid w:val="004252F7"/>
    <w:rsid w:val="00425372"/>
    <w:rsid w:val="00425385"/>
    <w:rsid w:val="00425407"/>
    <w:rsid w:val="00425437"/>
    <w:rsid w:val="0042548C"/>
    <w:rsid w:val="004254A7"/>
    <w:rsid w:val="004254D9"/>
    <w:rsid w:val="004254FD"/>
    <w:rsid w:val="004255B1"/>
    <w:rsid w:val="004255D0"/>
    <w:rsid w:val="004256E3"/>
    <w:rsid w:val="004257AE"/>
    <w:rsid w:val="004257F8"/>
    <w:rsid w:val="004258AC"/>
    <w:rsid w:val="004258E8"/>
    <w:rsid w:val="0042598A"/>
    <w:rsid w:val="004259F0"/>
    <w:rsid w:val="00425AE7"/>
    <w:rsid w:val="00425AF9"/>
    <w:rsid w:val="00425B7D"/>
    <w:rsid w:val="00425B90"/>
    <w:rsid w:val="00425C9B"/>
    <w:rsid w:val="00425CA7"/>
    <w:rsid w:val="00425D20"/>
    <w:rsid w:val="00425D4D"/>
    <w:rsid w:val="00425DE6"/>
    <w:rsid w:val="00425DF1"/>
    <w:rsid w:val="00425E60"/>
    <w:rsid w:val="00425EAA"/>
    <w:rsid w:val="00425EAB"/>
    <w:rsid w:val="00425F37"/>
    <w:rsid w:val="00425FBF"/>
    <w:rsid w:val="004261E2"/>
    <w:rsid w:val="00426201"/>
    <w:rsid w:val="00426260"/>
    <w:rsid w:val="004262C8"/>
    <w:rsid w:val="00426330"/>
    <w:rsid w:val="00426331"/>
    <w:rsid w:val="00426364"/>
    <w:rsid w:val="004263A0"/>
    <w:rsid w:val="004264BE"/>
    <w:rsid w:val="004264E6"/>
    <w:rsid w:val="0042652F"/>
    <w:rsid w:val="0042656E"/>
    <w:rsid w:val="004265BB"/>
    <w:rsid w:val="00426637"/>
    <w:rsid w:val="0042667F"/>
    <w:rsid w:val="0042675B"/>
    <w:rsid w:val="00426796"/>
    <w:rsid w:val="00426845"/>
    <w:rsid w:val="00426913"/>
    <w:rsid w:val="00426943"/>
    <w:rsid w:val="00426A49"/>
    <w:rsid w:val="00426AEB"/>
    <w:rsid w:val="00426AFF"/>
    <w:rsid w:val="00426BAA"/>
    <w:rsid w:val="00426CBB"/>
    <w:rsid w:val="00426D85"/>
    <w:rsid w:val="00426E00"/>
    <w:rsid w:val="00426E86"/>
    <w:rsid w:val="00427092"/>
    <w:rsid w:val="00427121"/>
    <w:rsid w:val="0042718F"/>
    <w:rsid w:val="00427218"/>
    <w:rsid w:val="004272B9"/>
    <w:rsid w:val="00427357"/>
    <w:rsid w:val="00427485"/>
    <w:rsid w:val="004274A6"/>
    <w:rsid w:val="004274DE"/>
    <w:rsid w:val="0042757D"/>
    <w:rsid w:val="004275D4"/>
    <w:rsid w:val="004275F3"/>
    <w:rsid w:val="004276D0"/>
    <w:rsid w:val="004276DD"/>
    <w:rsid w:val="004276FB"/>
    <w:rsid w:val="004277D6"/>
    <w:rsid w:val="004277F9"/>
    <w:rsid w:val="00427822"/>
    <w:rsid w:val="004278BB"/>
    <w:rsid w:val="004278D7"/>
    <w:rsid w:val="00427902"/>
    <w:rsid w:val="00427905"/>
    <w:rsid w:val="00427949"/>
    <w:rsid w:val="0042794C"/>
    <w:rsid w:val="00427964"/>
    <w:rsid w:val="0042797A"/>
    <w:rsid w:val="00427A89"/>
    <w:rsid w:val="00427AFB"/>
    <w:rsid w:val="00427C16"/>
    <w:rsid w:val="00427C8B"/>
    <w:rsid w:val="00427CDF"/>
    <w:rsid w:val="00427D47"/>
    <w:rsid w:val="00427D4C"/>
    <w:rsid w:val="00427D8C"/>
    <w:rsid w:val="00427D91"/>
    <w:rsid w:val="00427DEA"/>
    <w:rsid w:val="00427E23"/>
    <w:rsid w:val="00427E27"/>
    <w:rsid w:val="00427E7A"/>
    <w:rsid w:val="00427F07"/>
    <w:rsid w:val="00427FBB"/>
    <w:rsid w:val="004292B6"/>
    <w:rsid w:val="00430022"/>
    <w:rsid w:val="0043008F"/>
    <w:rsid w:val="004300DF"/>
    <w:rsid w:val="0043022A"/>
    <w:rsid w:val="00430251"/>
    <w:rsid w:val="004303E2"/>
    <w:rsid w:val="00430484"/>
    <w:rsid w:val="0043053F"/>
    <w:rsid w:val="00430541"/>
    <w:rsid w:val="00430556"/>
    <w:rsid w:val="0043056E"/>
    <w:rsid w:val="004305E3"/>
    <w:rsid w:val="004305F4"/>
    <w:rsid w:val="0043060E"/>
    <w:rsid w:val="00430641"/>
    <w:rsid w:val="0043073A"/>
    <w:rsid w:val="004307D5"/>
    <w:rsid w:val="00430869"/>
    <w:rsid w:val="004308CC"/>
    <w:rsid w:val="00430A3B"/>
    <w:rsid w:val="00430BCD"/>
    <w:rsid w:val="00430C1E"/>
    <w:rsid w:val="00430C32"/>
    <w:rsid w:val="00430D52"/>
    <w:rsid w:val="00430E4B"/>
    <w:rsid w:val="00430E51"/>
    <w:rsid w:val="00430E9B"/>
    <w:rsid w:val="00430FD0"/>
    <w:rsid w:val="00430FF3"/>
    <w:rsid w:val="00431005"/>
    <w:rsid w:val="00431072"/>
    <w:rsid w:val="00431155"/>
    <w:rsid w:val="004311E2"/>
    <w:rsid w:val="0043121C"/>
    <w:rsid w:val="00431252"/>
    <w:rsid w:val="0043129A"/>
    <w:rsid w:val="00431336"/>
    <w:rsid w:val="00431363"/>
    <w:rsid w:val="00431476"/>
    <w:rsid w:val="0043149E"/>
    <w:rsid w:val="004314D3"/>
    <w:rsid w:val="0043159C"/>
    <w:rsid w:val="004315BD"/>
    <w:rsid w:val="0043164A"/>
    <w:rsid w:val="00431713"/>
    <w:rsid w:val="004317BF"/>
    <w:rsid w:val="00431832"/>
    <w:rsid w:val="00431843"/>
    <w:rsid w:val="00431A0C"/>
    <w:rsid w:val="00431A1D"/>
    <w:rsid w:val="00431B23"/>
    <w:rsid w:val="00431BD3"/>
    <w:rsid w:val="00431C5D"/>
    <w:rsid w:val="00431CBC"/>
    <w:rsid w:val="00431EB5"/>
    <w:rsid w:val="00431ED7"/>
    <w:rsid w:val="00431F28"/>
    <w:rsid w:val="00432009"/>
    <w:rsid w:val="00432055"/>
    <w:rsid w:val="0043209F"/>
    <w:rsid w:val="0043215A"/>
    <w:rsid w:val="00432165"/>
    <w:rsid w:val="0043217F"/>
    <w:rsid w:val="004321B3"/>
    <w:rsid w:val="004321FD"/>
    <w:rsid w:val="004322B8"/>
    <w:rsid w:val="004322EA"/>
    <w:rsid w:val="00432413"/>
    <w:rsid w:val="00432427"/>
    <w:rsid w:val="0043242D"/>
    <w:rsid w:val="004324E4"/>
    <w:rsid w:val="00432530"/>
    <w:rsid w:val="00432608"/>
    <w:rsid w:val="004326E1"/>
    <w:rsid w:val="0043275E"/>
    <w:rsid w:val="00432882"/>
    <w:rsid w:val="00432891"/>
    <w:rsid w:val="004329AE"/>
    <w:rsid w:val="004329C7"/>
    <w:rsid w:val="00432A0A"/>
    <w:rsid w:val="00432AA5"/>
    <w:rsid w:val="00432ABD"/>
    <w:rsid w:val="00432B00"/>
    <w:rsid w:val="00432B77"/>
    <w:rsid w:val="00432BA1"/>
    <w:rsid w:val="00432C43"/>
    <w:rsid w:val="00432CB2"/>
    <w:rsid w:val="00432CF0"/>
    <w:rsid w:val="00432D60"/>
    <w:rsid w:val="00432EBF"/>
    <w:rsid w:val="00433078"/>
    <w:rsid w:val="00433097"/>
    <w:rsid w:val="004330C9"/>
    <w:rsid w:val="0043314B"/>
    <w:rsid w:val="00433170"/>
    <w:rsid w:val="0043336E"/>
    <w:rsid w:val="004333CD"/>
    <w:rsid w:val="00433414"/>
    <w:rsid w:val="00433424"/>
    <w:rsid w:val="004334A9"/>
    <w:rsid w:val="00433534"/>
    <w:rsid w:val="004335AE"/>
    <w:rsid w:val="0043360D"/>
    <w:rsid w:val="00433640"/>
    <w:rsid w:val="004336EE"/>
    <w:rsid w:val="004337C5"/>
    <w:rsid w:val="004338FA"/>
    <w:rsid w:val="0043390D"/>
    <w:rsid w:val="00433AC9"/>
    <w:rsid w:val="00433B28"/>
    <w:rsid w:val="00433B73"/>
    <w:rsid w:val="00433B75"/>
    <w:rsid w:val="00433BFF"/>
    <w:rsid w:val="00433CB9"/>
    <w:rsid w:val="00433D0D"/>
    <w:rsid w:val="00433F05"/>
    <w:rsid w:val="00433FCB"/>
    <w:rsid w:val="00434003"/>
    <w:rsid w:val="0043407E"/>
    <w:rsid w:val="00434080"/>
    <w:rsid w:val="00434093"/>
    <w:rsid w:val="00434199"/>
    <w:rsid w:val="00434227"/>
    <w:rsid w:val="00434235"/>
    <w:rsid w:val="00434275"/>
    <w:rsid w:val="00434280"/>
    <w:rsid w:val="00434320"/>
    <w:rsid w:val="004343B3"/>
    <w:rsid w:val="004343CE"/>
    <w:rsid w:val="0043445C"/>
    <w:rsid w:val="004344B6"/>
    <w:rsid w:val="004344E7"/>
    <w:rsid w:val="004344F5"/>
    <w:rsid w:val="0043460E"/>
    <w:rsid w:val="0043462B"/>
    <w:rsid w:val="00434709"/>
    <w:rsid w:val="0043470F"/>
    <w:rsid w:val="00434710"/>
    <w:rsid w:val="004347E5"/>
    <w:rsid w:val="00434876"/>
    <w:rsid w:val="00434883"/>
    <w:rsid w:val="004348A6"/>
    <w:rsid w:val="0043494F"/>
    <w:rsid w:val="004349B9"/>
    <w:rsid w:val="00434AA9"/>
    <w:rsid w:val="00434B7C"/>
    <w:rsid w:val="00434C5B"/>
    <w:rsid w:val="00434D13"/>
    <w:rsid w:val="00434D39"/>
    <w:rsid w:val="00434D4A"/>
    <w:rsid w:val="00434DAA"/>
    <w:rsid w:val="00434DC9"/>
    <w:rsid w:val="00434E98"/>
    <w:rsid w:val="00434FF2"/>
    <w:rsid w:val="00434FFF"/>
    <w:rsid w:val="00435013"/>
    <w:rsid w:val="0043503A"/>
    <w:rsid w:val="00435076"/>
    <w:rsid w:val="004350FA"/>
    <w:rsid w:val="00435121"/>
    <w:rsid w:val="00435229"/>
    <w:rsid w:val="0043524E"/>
    <w:rsid w:val="004352AC"/>
    <w:rsid w:val="00435397"/>
    <w:rsid w:val="004353B0"/>
    <w:rsid w:val="004353CF"/>
    <w:rsid w:val="0043543B"/>
    <w:rsid w:val="004354CA"/>
    <w:rsid w:val="00435532"/>
    <w:rsid w:val="00435678"/>
    <w:rsid w:val="0043569B"/>
    <w:rsid w:val="00435712"/>
    <w:rsid w:val="0043579E"/>
    <w:rsid w:val="004358B4"/>
    <w:rsid w:val="00435918"/>
    <w:rsid w:val="00435929"/>
    <w:rsid w:val="00435937"/>
    <w:rsid w:val="00435947"/>
    <w:rsid w:val="0043599A"/>
    <w:rsid w:val="004359D4"/>
    <w:rsid w:val="004359DF"/>
    <w:rsid w:val="00435A33"/>
    <w:rsid w:val="00435A6A"/>
    <w:rsid w:val="00435B22"/>
    <w:rsid w:val="00435B31"/>
    <w:rsid w:val="00435B43"/>
    <w:rsid w:val="00435CB3"/>
    <w:rsid w:val="00435CF6"/>
    <w:rsid w:val="00435D2A"/>
    <w:rsid w:val="00435D4A"/>
    <w:rsid w:val="00435DF3"/>
    <w:rsid w:val="00435E5C"/>
    <w:rsid w:val="00435E6D"/>
    <w:rsid w:val="00435EA4"/>
    <w:rsid w:val="00435F00"/>
    <w:rsid w:val="00435F48"/>
    <w:rsid w:val="00435FD3"/>
    <w:rsid w:val="0043603E"/>
    <w:rsid w:val="0043616B"/>
    <w:rsid w:val="00436180"/>
    <w:rsid w:val="004361DC"/>
    <w:rsid w:val="00436272"/>
    <w:rsid w:val="0043627B"/>
    <w:rsid w:val="0043628B"/>
    <w:rsid w:val="004363B4"/>
    <w:rsid w:val="004363D1"/>
    <w:rsid w:val="004363F7"/>
    <w:rsid w:val="00436438"/>
    <w:rsid w:val="004364CA"/>
    <w:rsid w:val="004365B4"/>
    <w:rsid w:val="00436670"/>
    <w:rsid w:val="00436697"/>
    <w:rsid w:val="004366C7"/>
    <w:rsid w:val="004366DB"/>
    <w:rsid w:val="00436750"/>
    <w:rsid w:val="00436839"/>
    <w:rsid w:val="00436841"/>
    <w:rsid w:val="004369C9"/>
    <w:rsid w:val="00436A80"/>
    <w:rsid w:val="00436A8A"/>
    <w:rsid w:val="00436A9F"/>
    <w:rsid w:val="00436B03"/>
    <w:rsid w:val="00436B77"/>
    <w:rsid w:val="00436C17"/>
    <w:rsid w:val="00436CBD"/>
    <w:rsid w:val="00436CDA"/>
    <w:rsid w:val="00436D81"/>
    <w:rsid w:val="00436D82"/>
    <w:rsid w:val="00436DD0"/>
    <w:rsid w:val="00436E1C"/>
    <w:rsid w:val="00436F23"/>
    <w:rsid w:val="00437079"/>
    <w:rsid w:val="0043735C"/>
    <w:rsid w:val="004373E0"/>
    <w:rsid w:val="00437463"/>
    <w:rsid w:val="00437472"/>
    <w:rsid w:val="0043753F"/>
    <w:rsid w:val="00437584"/>
    <w:rsid w:val="004375BC"/>
    <w:rsid w:val="004375C9"/>
    <w:rsid w:val="00437685"/>
    <w:rsid w:val="004376F0"/>
    <w:rsid w:val="0043772D"/>
    <w:rsid w:val="00437779"/>
    <w:rsid w:val="00437797"/>
    <w:rsid w:val="0043782F"/>
    <w:rsid w:val="004379A5"/>
    <w:rsid w:val="004379D5"/>
    <w:rsid w:val="004379DC"/>
    <w:rsid w:val="00437A07"/>
    <w:rsid w:val="00437A58"/>
    <w:rsid w:val="00437A9B"/>
    <w:rsid w:val="00437B81"/>
    <w:rsid w:val="00437BB3"/>
    <w:rsid w:val="00437BD0"/>
    <w:rsid w:val="00437CAF"/>
    <w:rsid w:val="00437CB6"/>
    <w:rsid w:val="00437CDF"/>
    <w:rsid w:val="00437D0E"/>
    <w:rsid w:val="00437D21"/>
    <w:rsid w:val="00437D75"/>
    <w:rsid w:val="00437DE8"/>
    <w:rsid w:val="00437DFA"/>
    <w:rsid w:val="00437E48"/>
    <w:rsid w:val="00437E4D"/>
    <w:rsid w:val="00437E89"/>
    <w:rsid w:val="00437F36"/>
    <w:rsid w:val="00437F5B"/>
    <w:rsid w:val="00437F8E"/>
    <w:rsid w:val="004400F9"/>
    <w:rsid w:val="00440108"/>
    <w:rsid w:val="0044020F"/>
    <w:rsid w:val="004402BD"/>
    <w:rsid w:val="004402E7"/>
    <w:rsid w:val="00440382"/>
    <w:rsid w:val="004403B0"/>
    <w:rsid w:val="004403FD"/>
    <w:rsid w:val="0044045A"/>
    <w:rsid w:val="00440565"/>
    <w:rsid w:val="00440632"/>
    <w:rsid w:val="00440643"/>
    <w:rsid w:val="004406FC"/>
    <w:rsid w:val="00440785"/>
    <w:rsid w:val="004407A4"/>
    <w:rsid w:val="004408C1"/>
    <w:rsid w:val="004408E8"/>
    <w:rsid w:val="0044092D"/>
    <w:rsid w:val="004409ED"/>
    <w:rsid w:val="00440A93"/>
    <w:rsid w:val="00440AD8"/>
    <w:rsid w:val="00440B62"/>
    <w:rsid w:val="00440C6C"/>
    <w:rsid w:val="00440C8A"/>
    <w:rsid w:val="00440D24"/>
    <w:rsid w:val="00440DC6"/>
    <w:rsid w:val="00440DD7"/>
    <w:rsid w:val="00440DF2"/>
    <w:rsid w:val="00440E7E"/>
    <w:rsid w:val="00440E96"/>
    <w:rsid w:val="00440F06"/>
    <w:rsid w:val="00440F09"/>
    <w:rsid w:val="00440F3B"/>
    <w:rsid w:val="00440F7D"/>
    <w:rsid w:val="00440F82"/>
    <w:rsid w:val="00440F86"/>
    <w:rsid w:val="00440FB9"/>
    <w:rsid w:val="00440FC8"/>
    <w:rsid w:val="00441035"/>
    <w:rsid w:val="0044105A"/>
    <w:rsid w:val="004410A8"/>
    <w:rsid w:val="004410EF"/>
    <w:rsid w:val="00441118"/>
    <w:rsid w:val="00441213"/>
    <w:rsid w:val="0044125A"/>
    <w:rsid w:val="004412D8"/>
    <w:rsid w:val="0044130C"/>
    <w:rsid w:val="00441338"/>
    <w:rsid w:val="00441358"/>
    <w:rsid w:val="00441381"/>
    <w:rsid w:val="00441450"/>
    <w:rsid w:val="00441547"/>
    <w:rsid w:val="004415AA"/>
    <w:rsid w:val="0044167C"/>
    <w:rsid w:val="0044167D"/>
    <w:rsid w:val="004416CD"/>
    <w:rsid w:val="00441704"/>
    <w:rsid w:val="00441733"/>
    <w:rsid w:val="00441818"/>
    <w:rsid w:val="004418FF"/>
    <w:rsid w:val="004419D5"/>
    <w:rsid w:val="00441A00"/>
    <w:rsid w:val="00441A90"/>
    <w:rsid w:val="00441ACF"/>
    <w:rsid w:val="00441B37"/>
    <w:rsid w:val="00441BDA"/>
    <w:rsid w:val="00441C71"/>
    <w:rsid w:val="00441D70"/>
    <w:rsid w:val="00441D72"/>
    <w:rsid w:val="00441D75"/>
    <w:rsid w:val="00441D8A"/>
    <w:rsid w:val="00441E7C"/>
    <w:rsid w:val="00441F65"/>
    <w:rsid w:val="0044210E"/>
    <w:rsid w:val="004421BE"/>
    <w:rsid w:val="00442276"/>
    <w:rsid w:val="004422C1"/>
    <w:rsid w:val="0044235C"/>
    <w:rsid w:val="0044243A"/>
    <w:rsid w:val="0044247F"/>
    <w:rsid w:val="004425C4"/>
    <w:rsid w:val="004425E7"/>
    <w:rsid w:val="00442613"/>
    <w:rsid w:val="00442729"/>
    <w:rsid w:val="00442765"/>
    <w:rsid w:val="00442861"/>
    <w:rsid w:val="0044286F"/>
    <w:rsid w:val="00442872"/>
    <w:rsid w:val="004428A6"/>
    <w:rsid w:val="0044293A"/>
    <w:rsid w:val="0044298C"/>
    <w:rsid w:val="00442A31"/>
    <w:rsid w:val="00442ADD"/>
    <w:rsid w:val="00442AF5"/>
    <w:rsid w:val="00442C31"/>
    <w:rsid w:val="00442C4F"/>
    <w:rsid w:val="00442CA8"/>
    <w:rsid w:val="00442CCA"/>
    <w:rsid w:val="00442D1A"/>
    <w:rsid w:val="00442D1C"/>
    <w:rsid w:val="00442DBC"/>
    <w:rsid w:val="00442DFC"/>
    <w:rsid w:val="00442F94"/>
    <w:rsid w:val="00443004"/>
    <w:rsid w:val="00443153"/>
    <w:rsid w:val="00443212"/>
    <w:rsid w:val="004432E0"/>
    <w:rsid w:val="004433B6"/>
    <w:rsid w:val="00443476"/>
    <w:rsid w:val="004434A9"/>
    <w:rsid w:val="004435F9"/>
    <w:rsid w:val="00443669"/>
    <w:rsid w:val="00443710"/>
    <w:rsid w:val="0044371E"/>
    <w:rsid w:val="00443729"/>
    <w:rsid w:val="0044373C"/>
    <w:rsid w:val="0044377D"/>
    <w:rsid w:val="004437C2"/>
    <w:rsid w:val="00443827"/>
    <w:rsid w:val="004438DA"/>
    <w:rsid w:val="0044392C"/>
    <w:rsid w:val="00443950"/>
    <w:rsid w:val="0044396C"/>
    <w:rsid w:val="00443987"/>
    <w:rsid w:val="00443993"/>
    <w:rsid w:val="004439B2"/>
    <w:rsid w:val="004439DD"/>
    <w:rsid w:val="004439EB"/>
    <w:rsid w:val="00443ADF"/>
    <w:rsid w:val="00443BF6"/>
    <w:rsid w:val="00443C8F"/>
    <w:rsid w:val="00443CAC"/>
    <w:rsid w:val="00443DAF"/>
    <w:rsid w:val="00443E63"/>
    <w:rsid w:val="00443EDC"/>
    <w:rsid w:val="00443F39"/>
    <w:rsid w:val="00443F7D"/>
    <w:rsid w:val="00443FEB"/>
    <w:rsid w:val="00444020"/>
    <w:rsid w:val="00444031"/>
    <w:rsid w:val="0044403F"/>
    <w:rsid w:val="00444115"/>
    <w:rsid w:val="00444180"/>
    <w:rsid w:val="004441C2"/>
    <w:rsid w:val="004441CB"/>
    <w:rsid w:val="004441D3"/>
    <w:rsid w:val="004441F9"/>
    <w:rsid w:val="0044426F"/>
    <w:rsid w:val="00444272"/>
    <w:rsid w:val="00444296"/>
    <w:rsid w:val="004442A8"/>
    <w:rsid w:val="00444423"/>
    <w:rsid w:val="0044442F"/>
    <w:rsid w:val="0044443E"/>
    <w:rsid w:val="00444459"/>
    <w:rsid w:val="0044450B"/>
    <w:rsid w:val="0044459F"/>
    <w:rsid w:val="004445CD"/>
    <w:rsid w:val="0044462C"/>
    <w:rsid w:val="004446AE"/>
    <w:rsid w:val="00444759"/>
    <w:rsid w:val="0044489D"/>
    <w:rsid w:val="00444914"/>
    <w:rsid w:val="00444A48"/>
    <w:rsid w:val="00444A5E"/>
    <w:rsid w:val="00444B0A"/>
    <w:rsid w:val="00444BF5"/>
    <w:rsid w:val="00444C9C"/>
    <w:rsid w:val="00444CBE"/>
    <w:rsid w:val="00444CF6"/>
    <w:rsid w:val="00444D28"/>
    <w:rsid w:val="00444D33"/>
    <w:rsid w:val="00444D4D"/>
    <w:rsid w:val="00444DCC"/>
    <w:rsid w:val="00444E3D"/>
    <w:rsid w:val="00444E7A"/>
    <w:rsid w:val="00444E8A"/>
    <w:rsid w:val="00444E8D"/>
    <w:rsid w:val="00444ECA"/>
    <w:rsid w:val="00444F2A"/>
    <w:rsid w:val="00444FDD"/>
    <w:rsid w:val="00445078"/>
    <w:rsid w:val="004450A3"/>
    <w:rsid w:val="0044516A"/>
    <w:rsid w:val="00445218"/>
    <w:rsid w:val="00445280"/>
    <w:rsid w:val="004452FB"/>
    <w:rsid w:val="00445314"/>
    <w:rsid w:val="004454C3"/>
    <w:rsid w:val="0044559B"/>
    <w:rsid w:val="00445648"/>
    <w:rsid w:val="004456D0"/>
    <w:rsid w:val="004456F7"/>
    <w:rsid w:val="00445877"/>
    <w:rsid w:val="0044591F"/>
    <w:rsid w:val="00445A67"/>
    <w:rsid w:val="00445B3B"/>
    <w:rsid w:val="00445C9B"/>
    <w:rsid w:val="00445CFC"/>
    <w:rsid w:val="00445CFF"/>
    <w:rsid w:val="00445D68"/>
    <w:rsid w:val="00445D88"/>
    <w:rsid w:val="00445DD0"/>
    <w:rsid w:val="00445DDB"/>
    <w:rsid w:val="00445E1A"/>
    <w:rsid w:val="00445E26"/>
    <w:rsid w:val="00445E96"/>
    <w:rsid w:val="00445ED7"/>
    <w:rsid w:val="00445F1C"/>
    <w:rsid w:val="00445FAE"/>
    <w:rsid w:val="00446009"/>
    <w:rsid w:val="00446046"/>
    <w:rsid w:val="00446079"/>
    <w:rsid w:val="0044614F"/>
    <w:rsid w:val="00446224"/>
    <w:rsid w:val="0044624F"/>
    <w:rsid w:val="00446328"/>
    <w:rsid w:val="0044635A"/>
    <w:rsid w:val="0044638D"/>
    <w:rsid w:val="00446427"/>
    <w:rsid w:val="0044643A"/>
    <w:rsid w:val="0044646C"/>
    <w:rsid w:val="00446479"/>
    <w:rsid w:val="00446506"/>
    <w:rsid w:val="004466A7"/>
    <w:rsid w:val="00446773"/>
    <w:rsid w:val="004467A3"/>
    <w:rsid w:val="004467D6"/>
    <w:rsid w:val="00446859"/>
    <w:rsid w:val="00446903"/>
    <w:rsid w:val="00446B62"/>
    <w:rsid w:val="00446B67"/>
    <w:rsid w:val="00446B87"/>
    <w:rsid w:val="00446BC0"/>
    <w:rsid w:val="00446BCD"/>
    <w:rsid w:val="00446DDC"/>
    <w:rsid w:val="00446DE9"/>
    <w:rsid w:val="00446EA0"/>
    <w:rsid w:val="00446EAE"/>
    <w:rsid w:val="00447025"/>
    <w:rsid w:val="0044738C"/>
    <w:rsid w:val="004473EC"/>
    <w:rsid w:val="004474A7"/>
    <w:rsid w:val="004474D3"/>
    <w:rsid w:val="00447588"/>
    <w:rsid w:val="004475F1"/>
    <w:rsid w:val="00447610"/>
    <w:rsid w:val="00447643"/>
    <w:rsid w:val="0044767A"/>
    <w:rsid w:val="00447688"/>
    <w:rsid w:val="004477D7"/>
    <w:rsid w:val="0044780E"/>
    <w:rsid w:val="00447893"/>
    <w:rsid w:val="004479BF"/>
    <w:rsid w:val="00447C46"/>
    <w:rsid w:val="00447DC5"/>
    <w:rsid w:val="00447E90"/>
    <w:rsid w:val="00450035"/>
    <w:rsid w:val="004500C4"/>
    <w:rsid w:val="004500EA"/>
    <w:rsid w:val="0045013F"/>
    <w:rsid w:val="00450140"/>
    <w:rsid w:val="004501D8"/>
    <w:rsid w:val="00450251"/>
    <w:rsid w:val="0045035A"/>
    <w:rsid w:val="0045040D"/>
    <w:rsid w:val="00450425"/>
    <w:rsid w:val="00450488"/>
    <w:rsid w:val="004504A6"/>
    <w:rsid w:val="00450502"/>
    <w:rsid w:val="00450562"/>
    <w:rsid w:val="00450577"/>
    <w:rsid w:val="00450591"/>
    <w:rsid w:val="0045065F"/>
    <w:rsid w:val="004506DA"/>
    <w:rsid w:val="004506F4"/>
    <w:rsid w:val="00450783"/>
    <w:rsid w:val="00450A4A"/>
    <w:rsid w:val="00450A9C"/>
    <w:rsid w:val="00450B0C"/>
    <w:rsid w:val="00450B83"/>
    <w:rsid w:val="00450BAE"/>
    <w:rsid w:val="00450BC6"/>
    <w:rsid w:val="00450C9C"/>
    <w:rsid w:val="00450D3A"/>
    <w:rsid w:val="00450D57"/>
    <w:rsid w:val="00450D90"/>
    <w:rsid w:val="00450DB9"/>
    <w:rsid w:val="00450E21"/>
    <w:rsid w:val="00450E36"/>
    <w:rsid w:val="00450F07"/>
    <w:rsid w:val="00451038"/>
    <w:rsid w:val="004510A6"/>
    <w:rsid w:val="004511E8"/>
    <w:rsid w:val="0045125F"/>
    <w:rsid w:val="00451334"/>
    <w:rsid w:val="00451469"/>
    <w:rsid w:val="004514C1"/>
    <w:rsid w:val="004515E7"/>
    <w:rsid w:val="004515EE"/>
    <w:rsid w:val="00451601"/>
    <w:rsid w:val="0045160B"/>
    <w:rsid w:val="00451687"/>
    <w:rsid w:val="004516BF"/>
    <w:rsid w:val="0045173F"/>
    <w:rsid w:val="0045183E"/>
    <w:rsid w:val="0045184F"/>
    <w:rsid w:val="00451864"/>
    <w:rsid w:val="004518B9"/>
    <w:rsid w:val="004518CE"/>
    <w:rsid w:val="004518DD"/>
    <w:rsid w:val="004518E5"/>
    <w:rsid w:val="0045191E"/>
    <w:rsid w:val="00451923"/>
    <w:rsid w:val="00451931"/>
    <w:rsid w:val="004519BC"/>
    <w:rsid w:val="00451A12"/>
    <w:rsid w:val="00451A51"/>
    <w:rsid w:val="00451A94"/>
    <w:rsid w:val="00451BAA"/>
    <w:rsid w:val="00451BFD"/>
    <w:rsid w:val="00451C47"/>
    <w:rsid w:val="00451C7C"/>
    <w:rsid w:val="00451D34"/>
    <w:rsid w:val="00451D41"/>
    <w:rsid w:val="00451DE7"/>
    <w:rsid w:val="00451ED7"/>
    <w:rsid w:val="00451EF5"/>
    <w:rsid w:val="00451F32"/>
    <w:rsid w:val="00451F61"/>
    <w:rsid w:val="00451F81"/>
    <w:rsid w:val="00451F8F"/>
    <w:rsid w:val="00451FCB"/>
    <w:rsid w:val="00452037"/>
    <w:rsid w:val="0045207B"/>
    <w:rsid w:val="0045212B"/>
    <w:rsid w:val="0045212E"/>
    <w:rsid w:val="0045216B"/>
    <w:rsid w:val="0045216D"/>
    <w:rsid w:val="0045218D"/>
    <w:rsid w:val="00452190"/>
    <w:rsid w:val="004521EC"/>
    <w:rsid w:val="00452226"/>
    <w:rsid w:val="00452258"/>
    <w:rsid w:val="004522A0"/>
    <w:rsid w:val="004522C1"/>
    <w:rsid w:val="004522D7"/>
    <w:rsid w:val="0045232D"/>
    <w:rsid w:val="004523AE"/>
    <w:rsid w:val="00452445"/>
    <w:rsid w:val="0045246F"/>
    <w:rsid w:val="00452477"/>
    <w:rsid w:val="0045247F"/>
    <w:rsid w:val="00452492"/>
    <w:rsid w:val="004524A2"/>
    <w:rsid w:val="004524E4"/>
    <w:rsid w:val="004524F9"/>
    <w:rsid w:val="004525A3"/>
    <w:rsid w:val="004526ED"/>
    <w:rsid w:val="0045283D"/>
    <w:rsid w:val="0045285E"/>
    <w:rsid w:val="004528E5"/>
    <w:rsid w:val="00452915"/>
    <w:rsid w:val="00452A02"/>
    <w:rsid w:val="00452A06"/>
    <w:rsid w:val="00452AC7"/>
    <w:rsid w:val="00452AEB"/>
    <w:rsid w:val="00452BC6"/>
    <w:rsid w:val="00452C03"/>
    <w:rsid w:val="00452C4C"/>
    <w:rsid w:val="00452C7A"/>
    <w:rsid w:val="00452D77"/>
    <w:rsid w:val="00452D99"/>
    <w:rsid w:val="00452DAF"/>
    <w:rsid w:val="00452E18"/>
    <w:rsid w:val="00452EF9"/>
    <w:rsid w:val="00452F7D"/>
    <w:rsid w:val="00453094"/>
    <w:rsid w:val="004531E2"/>
    <w:rsid w:val="004531EB"/>
    <w:rsid w:val="004531F5"/>
    <w:rsid w:val="0045327B"/>
    <w:rsid w:val="004532A1"/>
    <w:rsid w:val="0045340E"/>
    <w:rsid w:val="00453410"/>
    <w:rsid w:val="0045348E"/>
    <w:rsid w:val="004535F0"/>
    <w:rsid w:val="004536AB"/>
    <w:rsid w:val="00453713"/>
    <w:rsid w:val="0045371C"/>
    <w:rsid w:val="00453737"/>
    <w:rsid w:val="00453784"/>
    <w:rsid w:val="004537EB"/>
    <w:rsid w:val="00453828"/>
    <w:rsid w:val="00453841"/>
    <w:rsid w:val="00453994"/>
    <w:rsid w:val="00453999"/>
    <w:rsid w:val="00453A58"/>
    <w:rsid w:val="00453B24"/>
    <w:rsid w:val="00453B44"/>
    <w:rsid w:val="00453B50"/>
    <w:rsid w:val="00453BAA"/>
    <w:rsid w:val="00453C5B"/>
    <w:rsid w:val="00453D54"/>
    <w:rsid w:val="00453EEC"/>
    <w:rsid w:val="00453F61"/>
    <w:rsid w:val="00453F69"/>
    <w:rsid w:val="004540C1"/>
    <w:rsid w:val="0045411B"/>
    <w:rsid w:val="00454121"/>
    <w:rsid w:val="0045412C"/>
    <w:rsid w:val="00454200"/>
    <w:rsid w:val="00454251"/>
    <w:rsid w:val="00454289"/>
    <w:rsid w:val="00454392"/>
    <w:rsid w:val="00454460"/>
    <w:rsid w:val="004544ED"/>
    <w:rsid w:val="0045459B"/>
    <w:rsid w:val="004545F3"/>
    <w:rsid w:val="00454613"/>
    <w:rsid w:val="00454629"/>
    <w:rsid w:val="00454655"/>
    <w:rsid w:val="00454679"/>
    <w:rsid w:val="004546AC"/>
    <w:rsid w:val="004546CA"/>
    <w:rsid w:val="004546FE"/>
    <w:rsid w:val="00454730"/>
    <w:rsid w:val="00454799"/>
    <w:rsid w:val="004547BF"/>
    <w:rsid w:val="0045483F"/>
    <w:rsid w:val="0045484D"/>
    <w:rsid w:val="004548C4"/>
    <w:rsid w:val="004548DA"/>
    <w:rsid w:val="004548E2"/>
    <w:rsid w:val="004548EA"/>
    <w:rsid w:val="004548FE"/>
    <w:rsid w:val="00454A80"/>
    <w:rsid w:val="00454AF6"/>
    <w:rsid w:val="00454C72"/>
    <w:rsid w:val="00454C78"/>
    <w:rsid w:val="00454C82"/>
    <w:rsid w:val="00454D47"/>
    <w:rsid w:val="00454D96"/>
    <w:rsid w:val="00454E6F"/>
    <w:rsid w:val="00454EF2"/>
    <w:rsid w:val="00454F2C"/>
    <w:rsid w:val="00454F33"/>
    <w:rsid w:val="00454F6F"/>
    <w:rsid w:val="00455067"/>
    <w:rsid w:val="00455087"/>
    <w:rsid w:val="004550BB"/>
    <w:rsid w:val="004550E5"/>
    <w:rsid w:val="004550FE"/>
    <w:rsid w:val="00455358"/>
    <w:rsid w:val="00455385"/>
    <w:rsid w:val="00455399"/>
    <w:rsid w:val="004553A4"/>
    <w:rsid w:val="004554D4"/>
    <w:rsid w:val="00455575"/>
    <w:rsid w:val="004555B5"/>
    <w:rsid w:val="0045568C"/>
    <w:rsid w:val="00455709"/>
    <w:rsid w:val="0045572B"/>
    <w:rsid w:val="0045577F"/>
    <w:rsid w:val="0045587D"/>
    <w:rsid w:val="00455934"/>
    <w:rsid w:val="0045593E"/>
    <w:rsid w:val="004559B6"/>
    <w:rsid w:val="00455ABD"/>
    <w:rsid w:val="00455BB5"/>
    <w:rsid w:val="00455CE2"/>
    <w:rsid w:val="00455CF9"/>
    <w:rsid w:val="00455D47"/>
    <w:rsid w:val="00455DC1"/>
    <w:rsid w:val="00455E8C"/>
    <w:rsid w:val="00455E9B"/>
    <w:rsid w:val="00455EB9"/>
    <w:rsid w:val="00455EC8"/>
    <w:rsid w:val="00455F73"/>
    <w:rsid w:val="0045600E"/>
    <w:rsid w:val="00456050"/>
    <w:rsid w:val="0045606E"/>
    <w:rsid w:val="004560AE"/>
    <w:rsid w:val="004560C3"/>
    <w:rsid w:val="0045615E"/>
    <w:rsid w:val="0045622A"/>
    <w:rsid w:val="0045624B"/>
    <w:rsid w:val="00456266"/>
    <w:rsid w:val="00456435"/>
    <w:rsid w:val="00456497"/>
    <w:rsid w:val="00456587"/>
    <w:rsid w:val="0045659B"/>
    <w:rsid w:val="004565B1"/>
    <w:rsid w:val="00456669"/>
    <w:rsid w:val="00456766"/>
    <w:rsid w:val="00456829"/>
    <w:rsid w:val="00456852"/>
    <w:rsid w:val="00456893"/>
    <w:rsid w:val="00456945"/>
    <w:rsid w:val="00456AB9"/>
    <w:rsid w:val="00456B0A"/>
    <w:rsid w:val="00456B52"/>
    <w:rsid w:val="00456D21"/>
    <w:rsid w:val="00456D34"/>
    <w:rsid w:val="00456E00"/>
    <w:rsid w:val="00456E53"/>
    <w:rsid w:val="00456E7D"/>
    <w:rsid w:val="00456ED1"/>
    <w:rsid w:val="00456FC1"/>
    <w:rsid w:val="00456FD5"/>
    <w:rsid w:val="00456FD8"/>
    <w:rsid w:val="00456FF2"/>
    <w:rsid w:val="00457036"/>
    <w:rsid w:val="00457043"/>
    <w:rsid w:val="00457082"/>
    <w:rsid w:val="0045709C"/>
    <w:rsid w:val="004570C5"/>
    <w:rsid w:val="00457121"/>
    <w:rsid w:val="00457210"/>
    <w:rsid w:val="0045724C"/>
    <w:rsid w:val="004573D8"/>
    <w:rsid w:val="004573F5"/>
    <w:rsid w:val="00457413"/>
    <w:rsid w:val="0045752E"/>
    <w:rsid w:val="004575D5"/>
    <w:rsid w:val="004577C9"/>
    <w:rsid w:val="00457824"/>
    <w:rsid w:val="00457932"/>
    <w:rsid w:val="0045793E"/>
    <w:rsid w:val="00457958"/>
    <w:rsid w:val="00457969"/>
    <w:rsid w:val="00457977"/>
    <w:rsid w:val="00457984"/>
    <w:rsid w:val="00457AB9"/>
    <w:rsid w:val="00457B75"/>
    <w:rsid w:val="00457BC9"/>
    <w:rsid w:val="00457CA6"/>
    <w:rsid w:val="00457D41"/>
    <w:rsid w:val="00457E19"/>
    <w:rsid w:val="00457ED0"/>
    <w:rsid w:val="00457F75"/>
    <w:rsid w:val="00457F8D"/>
    <w:rsid w:val="00457F99"/>
    <w:rsid w:val="0045F3F7"/>
    <w:rsid w:val="00460198"/>
    <w:rsid w:val="004601B7"/>
    <w:rsid w:val="004601FE"/>
    <w:rsid w:val="00460322"/>
    <w:rsid w:val="004603B7"/>
    <w:rsid w:val="004603C1"/>
    <w:rsid w:val="0046042F"/>
    <w:rsid w:val="004605CD"/>
    <w:rsid w:val="00460609"/>
    <w:rsid w:val="00460617"/>
    <w:rsid w:val="0046062C"/>
    <w:rsid w:val="00460633"/>
    <w:rsid w:val="004606C0"/>
    <w:rsid w:val="00460791"/>
    <w:rsid w:val="004607DE"/>
    <w:rsid w:val="0046080D"/>
    <w:rsid w:val="00460810"/>
    <w:rsid w:val="00460897"/>
    <w:rsid w:val="00460BE1"/>
    <w:rsid w:val="00460C2E"/>
    <w:rsid w:val="00461109"/>
    <w:rsid w:val="00461190"/>
    <w:rsid w:val="0046121E"/>
    <w:rsid w:val="00461298"/>
    <w:rsid w:val="00461304"/>
    <w:rsid w:val="004613BF"/>
    <w:rsid w:val="0046140A"/>
    <w:rsid w:val="0046144A"/>
    <w:rsid w:val="00461464"/>
    <w:rsid w:val="00461470"/>
    <w:rsid w:val="004614CA"/>
    <w:rsid w:val="0046151D"/>
    <w:rsid w:val="00461594"/>
    <w:rsid w:val="004615D6"/>
    <w:rsid w:val="0046168F"/>
    <w:rsid w:val="004616C1"/>
    <w:rsid w:val="00461718"/>
    <w:rsid w:val="00461733"/>
    <w:rsid w:val="00461741"/>
    <w:rsid w:val="00461782"/>
    <w:rsid w:val="004617BD"/>
    <w:rsid w:val="00461836"/>
    <w:rsid w:val="00461860"/>
    <w:rsid w:val="00461867"/>
    <w:rsid w:val="004618A1"/>
    <w:rsid w:val="00461922"/>
    <w:rsid w:val="00461956"/>
    <w:rsid w:val="00461A0A"/>
    <w:rsid w:val="00461AA7"/>
    <w:rsid w:val="00461BE3"/>
    <w:rsid w:val="00461C9B"/>
    <w:rsid w:val="00461D01"/>
    <w:rsid w:val="00461D0A"/>
    <w:rsid w:val="00461D97"/>
    <w:rsid w:val="00461F8E"/>
    <w:rsid w:val="00461FF1"/>
    <w:rsid w:val="0046211B"/>
    <w:rsid w:val="0046215D"/>
    <w:rsid w:val="0046218B"/>
    <w:rsid w:val="00462275"/>
    <w:rsid w:val="00462282"/>
    <w:rsid w:val="0046231C"/>
    <w:rsid w:val="0046235B"/>
    <w:rsid w:val="00462397"/>
    <w:rsid w:val="004623E1"/>
    <w:rsid w:val="00462405"/>
    <w:rsid w:val="004624D4"/>
    <w:rsid w:val="0046259F"/>
    <w:rsid w:val="004625CC"/>
    <w:rsid w:val="00462788"/>
    <w:rsid w:val="004627DA"/>
    <w:rsid w:val="004627FD"/>
    <w:rsid w:val="004628B4"/>
    <w:rsid w:val="00462954"/>
    <w:rsid w:val="004629A2"/>
    <w:rsid w:val="00462A7C"/>
    <w:rsid w:val="00462B36"/>
    <w:rsid w:val="00462B71"/>
    <w:rsid w:val="00462BB9"/>
    <w:rsid w:val="00462BD6"/>
    <w:rsid w:val="00462C2B"/>
    <w:rsid w:val="00462CAD"/>
    <w:rsid w:val="00462D10"/>
    <w:rsid w:val="00462D9A"/>
    <w:rsid w:val="00462E9A"/>
    <w:rsid w:val="00462EE4"/>
    <w:rsid w:val="00462FEB"/>
    <w:rsid w:val="00463168"/>
    <w:rsid w:val="00463226"/>
    <w:rsid w:val="00463234"/>
    <w:rsid w:val="00463237"/>
    <w:rsid w:val="0046323E"/>
    <w:rsid w:val="00463260"/>
    <w:rsid w:val="0046329E"/>
    <w:rsid w:val="0046335C"/>
    <w:rsid w:val="004633C3"/>
    <w:rsid w:val="004633CF"/>
    <w:rsid w:val="004633FA"/>
    <w:rsid w:val="0046348D"/>
    <w:rsid w:val="004634C1"/>
    <w:rsid w:val="004634D5"/>
    <w:rsid w:val="004634F8"/>
    <w:rsid w:val="00463693"/>
    <w:rsid w:val="004638B6"/>
    <w:rsid w:val="004638D1"/>
    <w:rsid w:val="00463935"/>
    <w:rsid w:val="00463954"/>
    <w:rsid w:val="004639B7"/>
    <w:rsid w:val="00463A9E"/>
    <w:rsid w:val="00463B46"/>
    <w:rsid w:val="00463B6E"/>
    <w:rsid w:val="00463B70"/>
    <w:rsid w:val="00463BC8"/>
    <w:rsid w:val="00463C3E"/>
    <w:rsid w:val="00463C98"/>
    <w:rsid w:val="00463CBA"/>
    <w:rsid w:val="00463CBE"/>
    <w:rsid w:val="00463E20"/>
    <w:rsid w:val="00463E93"/>
    <w:rsid w:val="00463F1C"/>
    <w:rsid w:val="00463FD1"/>
    <w:rsid w:val="00464036"/>
    <w:rsid w:val="00464048"/>
    <w:rsid w:val="004640E8"/>
    <w:rsid w:val="00464195"/>
    <w:rsid w:val="0046423E"/>
    <w:rsid w:val="00464288"/>
    <w:rsid w:val="004643AB"/>
    <w:rsid w:val="004644C9"/>
    <w:rsid w:val="00464533"/>
    <w:rsid w:val="004645A3"/>
    <w:rsid w:val="004645EC"/>
    <w:rsid w:val="004645F8"/>
    <w:rsid w:val="0046464B"/>
    <w:rsid w:val="004646D3"/>
    <w:rsid w:val="0046470C"/>
    <w:rsid w:val="00464784"/>
    <w:rsid w:val="00464804"/>
    <w:rsid w:val="0046481C"/>
    <w:rsid w:val="00464831"/>
    <w:rsid w:val="0046496A"/>
    <w:rsid w:val="00464972"/>
    <w:rsid w:val="00464A3E"/>
    <w:rsid w:val="00464A6B"/>
    <w:rsid w:val="00464AE5"/>
    <w:rsid w:val="00464B34"/>
    <w:rsid w:val="00464B6A"/>
    <w:rsid w:val="00464B79"/>
    <w:rsid w:val="00464BA9"/>
    <w:rsid w:val="00464BC5"/>
    <w:rsid w:val="00464CE9"/>
    <w:rsid w:val="00464D33"/>
    <w:rsid w:val="00464EB9"/>
    <w:rsid w:val="00464EEF"/>
    <w:rsid w:val="00464F18"/>
    <w:rsid w:val="00464F5F"/>
    <w:rsid w:val="00464FFF"/>
    <w:rsid w:val="0046500C"/>
    <w:rsid w:val="00465011"/>
    <w:rsid w:val="0046501E"/>
    <w:rsid w:val="0046508A"/>
    <w:rsid w:val="004650FD"/>
    <w:rsid w:val="00465123"/>
    <w:rsid w:val="0046516B"/>
    <w:rsid w:val="00465185"/>
    <w:rsid w:val="0046522D"/>
    <w:rsid w:val="00465290"/>
    <w:rsid w:val="004652D4"/>
    <w:rsid w:val="0046530D"/>
    <w:rsid w:val="0046531C"/>
    <w:rsid w:val="00465343"/>
    <w:rsid w:val="004653CE"/>
    <w:rsid w:val="004654A7"/>
    <w:rsid w:val="004654BC"/>
    <w:rsid w:val="004654F5"/>
    <w:rsid w:val="00465543"/>
    <w:rsid w:val="0046554E"/>
    <w:rsid w:val="00465558"/>
    <w:rsid w:val="0046557C"/>
    <w:rsid w:val="0046558D"/>
    <w:rsid w:val="004655B5"/>
    <w:rsid w:val="00465688"/>
    <w:rsid w:val="004657C1"/>
    <w:rsid w:val="004657D0"/>
    <w:rsid w:val="004657DD"/>
    <w:rsid w:val="00465805"/>
    <w:rsid w:val="0046580A"/>
    <w:rsid w:val="00465834"/>
    <w:rsid w:val="00465851"/>
    <w:rsid w:val="00465863"/>
    <w:rsid w:val="004658DE"/>
    <w:rsid w:val="00465A2B"/>
    <w:rsid w:val="00465A5F"/>
    <w:rsid w:val="00465A91"/>
    <w:rsid w:val="00465ABA"/>
    <w:rsid w:val="00465B53"/>
    <w:rsid w:val="00465B60"/>
    <w:rsid w:val="00465CD7"/>
    <w:rsid w:val="00465D0F"/>
    <w:rsid w:val="00465D12"/>
    <w:rsid w:val="00465D63"/>
    <w:rsid w:val="00465E15"/>
    <w:rsid w:val="00465EDD"/>
    <w:rsid w:val="00465F31"/>
    <w:rsid w:val="00465F67"/>
    <w:rsid w:val="00465FF5"/>
    <w:rsid w:val="004660C2"/>
    <w:rsid w:val="0046611C"/>
    <w:rsid w:val="00466167"/>
    <w:rsid w:val="004662AA"/>
    <w:rsid w:val="0046637C"/>
    <w:rsid w:val="0046637E"/>
    <w:rsid w:val="00466385"/>
    <w:rsid w:val="0046640E"/>
    <w:rsid w:val="004664A4"/>
    <w:rsid w:val="004664FC"/>
    <w:rsid w:val="0046655B"/>
    <w:rsid w:val="00466569"/>
    <w:rsid w:val="00466640"/>
    <w:rsid w:val="0046667A"/>
    <w:rsid w:val="00466688"/>
    <w:rsid w:val="004666B9"/>
    <w:rsid w:val="004666D5"/>
    <w:rsid w:val="004666DE"/>
    <w:rsid w:val="00466701"/>
    <w:rsid w:val="00466827"/>
    <w:rsid w:val="00466881"/>
    <w:rsid w:val="004668D8"/>
    <w:rsid w:val="004668F3"/>
    <w:rsid w:val="004668FB"/>
    <w:rsid w:val="00466906"/>
    <w:rsid w:val="00466935"/>
    <w:rsid w:val="004669A9"/>
    <w:rsid w:val="004669D0"/>
    <w:rsid w:val="004669D2"/>
    <w:rsid w:val="004669E5"/>
    <w:rsid w:val="004669EB"/>
    <w:rsid w:val="00466A08"/>
    <w:rsid w:val="00466A3E"/>
    <w:rsid w:val="00466A4B"/>
    <w:rsid w:val="00466AAE"/>
    <w:rsid w:val="00466ABB"/>
    <w:rsid w:val="00466AC0"/>
    <w:rsid w:val="00466B86"/>
    <w:rsid w:val="00466B8C"/>
    <w:rsid w:val="00466BB8"/>
    <w:rsid w:val="00466C68"/>
    <w:rsid w:val="00466D2D"/>
    <w:rsid w:val="00466D33"/>
    <w:rsid w:val="00466DF9"/>
    <w:rsid w:val="00466E02"/>
    <w:rsid w:val="00466EBF"/>
    <w:rsid w:val="00466EE6"/>
    <w:rsid w:val="00466FA7"/>
    <w:rsid w:val="00466FDD"/>
    <w:rsid w:val="0046710E"/>
    <w:rsid w:val="00467228"/>
    <w:rsid w:val="004672D3"/>
    <w:rsid w:val="00467360"/>
    <w:rsid w:val="004673D1"/>
    <w:rsid w:val="004673FF"/>
    <w:rsid w:val="0046743F"/>
    <w:rsid w:val="00467510"/>
    <w:rsid w:val="00467546"/>
    <w:rsid w:val="0046757D"/>
    <w:rsid w:val="00467634"/>
    <w:rsid w:val="00467677"/>
    <w:rsid w:val="004676C7"/>
    <w:rsid w:val="00467707"/>
    <w:rsid w:val="00467757"/>
    <w:rsid w:val="00467792"/>
    <w:rsid w:val="004677E0"/>
    <w:rsid w:val="0046785F"/>
    <w:rsid w:val="0046791B"/>
    <w:rsid w:val="00467AA6"/>
    <w:rsid w:val="00467B76"/>
    <w:rsid w:val="00467C37"/>
    <w:rsid w:val="00467C6F"/>
    <w:rsid w:val="00467C79"/>
    <w:rsid w:val="00467CC0"/>
    <w:rsid w:val="00467CDB"/>
    <w:rsid w:val="00467D5D"/>
    <w:rsid w:val="00467D8B"/>
    <w:rsid w:val="00467DC0"/>
    <w:rsid w:val="00467DEB"/>
    <w:rsid w:val="00467DEF"/>
    <w:rsid w:val="00467E03"/>
    <w:rsid w:val="00467E71"/>
    <w:rsid w:val="00467F01"/>
    <w:rsid w:val="00467F9C"/>
    <w:rsid w:val="00467FDD"/>
    <w:rsid w:val="00467FEC"/>
    <w:rsid w:val="00470000"/>
    <w:rsid w:val="0047009D"/>
    <w:rsid w:val="004700FE"/>
    <w:rsid w:val="00470146"/>
    <w:rsid w:val="00470154"/>
    <w:rsid w:val="00470189"/>
    <w:rsid w:val="00470343"/>
    <w:rsid w:val="0047039A"/>
    <w:rsid w:val="004703B4"/>
    <w:rsid w:val="004703E6"/>
    <w:rsid w:val="004703EC"/>
    <w:rsid w:val="00470479"/>
    <w:rsid w:val="004704A3"/>
    <w:rsid w:val="004704DB"/>
    <w:rsid w:val="00470518"/>
    <w:rsid w:val="00470540"/>
    <w:rsid w:val="00470665"/>
    <w:rsid w:val="00470670"/>
    <w:rsid w:val="00470717"/>
    <w:rsid w:val="00470844"/>
    <w:rsid w:val="0047088B"/>
    <w:rsid w:val="004708DA"/>
    <w:rsid w:val="00470918"/>
    <w:rsid w:val="0047093E"/>
    <w:rsid w:val="00470A8A"/>
    <w:rsid w:val="00470AAE"/>
    <w:rsid w:val="00470AB8"/>
    <w:rsid w:val="00470ADB"/>
    <w:rsid w:val="00470BB0"/>
    <w:rsid w:val="00470BEA"/>
    <w:rsid w:val="00470C05"/>
    <w:rsid w:val="00470C36"/>
    <w:rsid w:val="00470C83"/>
    <w:rsid w:val="00470C97"/>
    <w:rsid w:val="00470D87"/>
    <w:rsid w:val="00470E75"/>
    <w:rsid w:val="00470EE7"/>
    <w:rsid w:val="00470EEF"/>
    <w:rsid w:val="00470F11"/>
    <w:rsid w:val="00470F56"/>
    <w:rsid w:val="00470FA3"/>
    <w:rsid w:val="00470FBE"/>
    <w:rsid w:val="00470FD3"/>
    <w:rsid w:val="00471127"/>
    <w:rsid w:val="004711B8"/>
    <w:rsid w:val="0047121F"/>
    <w:rsid w:val="0047122F"/>
    <w:rsid w:val="00471237"/>
    <w:rsid w:val="004713C3"/>
    <w:rsid w:val="004714C4"/>
    <w:rsid w:val="0047162D"/>
    <w:rsid w:val="0047168C"/>
    <w:rsid w:val="00471796"/>
    <w:rsid w:val="00471831"/>
    <w:rsid w:val="00471835"/>
    <w:rsid w:val="004718C9"/>
    <w:rsid w:val="00471941"/>
    <w:rsid w:val="0047199C"/>
    <w:rsid w:val="004719BF"/>
    <w:rsid w:val="004719E6"/>
    <w:rsid w:val="004719F9"/>
    <w:rsid w:val="00471A36"/>
    <w:rsid w:val="00471A9C"/>
    <w:rsid w:val="00471AA0"/>
    <w:rsid w:val="00471B14"/>
    <w:rsid w:val="00471B76"/>
    <w:rsid w:val="00471B92"/>
    <w:rsid w:val="00471BF7"/>
    <w:rsid w:val="00471C1E"/>
    <w:rsid w:val="00471CAC"/>
    <w:rsid w:val="00471CEA"/>
    <w:rsid w:val="00471D5D"/>
    <w:rsid w:val="00471D61"/>
    <w:rsid w:val="00471DCA"/>
    <w:rsid w:val="00471E6E"/>
    <w:rsid w:val="00471E9D"/>
    <w:rsid w:val="00471F65"/>
    <w:rsid w:val="00471F8F"/>
    <w:rsid w:val="0047204C"/>
    <w:rsid w:val="00472126"/>
    <w:rsid w:val="0047214D"/>
    <w:rsid w:val="00472279"/>
    <w:rsid w:val="00472282"/>
    <w:rsid w:val="004722E2"/>
    <w:rsid w:val="0047232B"/>
    <w:rsid w:val="0047233C"/>
    <w:rsid w:val="00472388"/>
    <w:rsid w:val="00472417"/>
    <w:rsid w:val="00472453"/>
    <w:rsid w:val="004724E2"/>
    <w:rsid w:val="00472567"/>
    <w:rsid w:val="004725C0"/>
    <w:rsid w:val="00472624"/>
    <w:rsid w:val="00472714"/>
    <w:rsid w:val="00472731"/>
    <w:rsid w:val="004727EA"/>
    <w:rsid w:val="004727F7"/>
    <w:rsid w:val="004728AC"/>
    <w:rsid w:val="0047293B"/>
    <w:rsid w:val="0047294A"/>
    <w:rsid w:val="00472959"/>
    <w:rsid w:val="00472989"/>
    <w:rsid w:val="004729C0"/>
    <w:rsid w:val="004729D0"/>
    <w:rsid w:val="004729D9"/>
    <w:rsid w:val="004729EE"/>
    <w:rsid w:val="00472A65"/>
    <w:rsid w:val="00472AC3"/>
    <w:rsid w:val="00472ADE"/>
    <w:rsid w:val="00472AFC"/>
    <w:rsid w:val="00472B99"/>
    <w:rsid w:val="00472B9B"/>
    <w:rsid w:val="00472C03"/>
    <w:rsid w:val="00472C37"/>
    <w:rsid w:val="00472CEC"/>
    <w:rsid w:val="00472D01"/>
    <w:rsid w:val="00472D6A"/>
    <w:rsid w:val="00472D6C"/>
    <w:rsid w:val="00472DB4"/>
    <w:rsid w:val="00472DDB"/>
    <w:rsid w:val="00472E3F"/>
    <w:rsid w:val="00472E79"/>
    <w:rsid w:val="00472EE2"/>
    <w:rsid w:val="00472F41"/>
    <w:rsid w:val="00472F8A"/>
    <w:rsid w:val="00472FD8"/>
    <w:rsid w:val="0047307C"/>
    <w:rsid w:val="004730BF"/>
    <w:rsid w:val="004731E7"/>
    <w:rsid w:val="00473273"/>
    <w:rsid w:val="004732CF"/>
    <w:rsid w:val="004732DB"/>
    <w:rsid w:val="00473364"/>
    <w:rsid w:val="0047337F"/>
    <w:rsid w:val="004733F1"/>
    <w:rsid w:val="00473455"/>
    <w:rsid w:val="0047346A"/>
    <w:rsid w:val="004734C7"/>
    <w:rsid w:val="004734E6"/>
    <w:rsid w:val="0047350D"/>
    <w:rsid w:val="0047358E"/>
    <w:rsid w:val="004735C2"/>
    <w:rsid w:val="0047364A"/>
    <w:rsid w:val="004736C3"/>
    <w:rsid w:val="0047376C"/>
    <w:rsid w:val="00473772"/>
    <w:rsid w:val="0047378B"/>
    <w:rsid w:val="0047384E"/>
    <w:rsid w:val="00473918"/>
    <w:rsid w:val="00473990"/>
    <w:rsid w:val="004739FF"/>
    <w:rsid w:val="00473AF5"/>
    <w:rsid w:val="00473B00"/>
    <w:rsid w:val="00473B56"/>
    <w:rsid w:val="00473BD9"/>
    <w:rsid w:val="00473C2F"/>
    <w:rsid w:val="00473C7C"/>
    <w:rsid w:val="00473CB6"/>
    <w:rsid w:val="00473DB1"/>
    <w:rsid w:val="00473EB5"/>
    <w:rsid w:val="00473EBE"/>
    <w:rsid w:val="0047417B"/>
    <w:rsid w:val="00474312"/>
    <w:rsid w:val="0047432D"/>
    <w:rsid w:val="00474342"/>
    <w:rsid w:val="0047441E"/>
    <w:rsid w:val="0047443E"/>
    <w:rsid w:val="004744EB"/>
    <w:rsid w:val="00474530"/>
    <w:rsid w:val="0047456E"/>
    <w:rsid w:val="0047467A"/>
    <w:rsid w:val="00474770"/>
    <w:rsid w:val="004747D9"/>
    <w:rsid w:val="00474831"/>
    <w:rsid w:val="00474841"/>
    <w:rsid w:val="004748AB"/>
    <w:rsid w:val="00474913"/>
    <w:rsid w:val="00474971"/>
    <w:rsid w:val="0047498F"/>
    <w:rsid w:val="004749F6"/>
    <w:rsid w:val="00474ACB"/>
    <w:rsid w:val="00474B85"/>
    <w:rsid w:val="00474BE7"/>
    <w:rsid w:val="00474CD2"/>
    <w:rsid w:val="00474CEF"/>
    <w:rsid w:val="00474D83"/>
    <w:rsid w:val="00474E14"/>
    <w:rsid w:val="00474FDC"/>
    <w:rsid w:val="00474FDF"/>
    <w:rsid w:val="0047502E"/>
    <w:rsid w:val="004750A0"/>
    <w:rsid w:val="004750D8"/>
    <w:rsid w:val="004751BA"/>
    <w:rsid w:val="0047522F"/>
    <w:rsid w:val="00475336"/>
    <w:rsid w:val="0047535A"/>
    <w:rsid w:val="0047536A"/>
    <w:rsid w:val="00475427"/>
    <w:rsid w:val="00475460"/>
    <w:rsid w:val="00475474"/>
    <w:rsid w:val="00475488"/>
    <w:rsid w:val="004754E1"/>
    <w:rsid w:val="00475571"/>
    <w:rsid w:val="00475626"/>
    <w:rsid w:val="0047565A"/>
    <w:rsid w:val="00475756"/>
    <w:rsid w:val="0047575F"/>
    <w:rsid w:val="00475789"/>
    <w:rsid w:val="004758FF"/>
    <w:rsid w:val="00475997"/>
    <w:rsid w:val="00475A6F"/>
    <w:rsid w:val="00475A8B"/>
    <w:rsid w:val="00475C2A"/>
    <w:rsid w:val="00475C71"/>
    <w:rsid w:val="00475C76"/>
    <w:rsid w:val="00475CA5"/>
    <w:rsid w:val="00475CCD"/>
    <w:rsid w:val="00475DAD"/>
    <w:rsid w:val="00475E6F"/>
    <w:rsid w:val="00475F7D"/>
    <w:rsid w:val="0047603F"/>
    <w:rsid w:val="004760BB"/>
    <w:rsid w:val="00476100"/>
    <w:rsid w:val="00476103"/>
    <w:rsid w:val="00476137"/>
    <w:rsid w:val="00476298"/>
    <w:rsid w:val="0047639A"/>
    <w:rsid w:val="004763C0"/>
    <w:rsid w:val="004763E0"/>
    <w:rsid w:val="004764F6"/>
    <w:rsid w:val="00476555"/>
    <w:rsid w:val="00476742"/>
    <w:rsid w:val="0047678C"/>
    <w:rsid w:val="0047679D"/>
    <w:rsid w:val="00476842"/>
    <w:rsid w:val="004768D9"/>
    <w:rsid w:val="00476930"/>
    <w:rsid w:val="00476971"/>
    <w:rsid w:val="004769CB"/>
    <w:rsid w:val="00476A2C"/>
    <w:rsid w:val="00476ACF"/>
    <w:rsid w:val="00476BFC"/>
    <w:rsid w:val="00476C27"/>
    <w:rsid w:val="00476C32"/>
    <w:rsid w:val="00476C47"/>
    <w:rsid w:val="00476D0C"/>
    <w:rsid w:val="00476D0F"/>
    <w:rsid w:val="00476D2D"/>
    <w:rsid w:val="00476E35"/>
    <w:rsid w:val="00476E40"/>
    <w:rsid w:val="00476E45"/>
    <w:rsid w:val="00476E57"/>
    <w:rsid w:val="00476E6C"/>
    <w:rsid w:val="00476E87"/>
    <w:rsid w:val="00476FA4"/>
    <w:rsid w:val="00477021"/>
    <w:rsid w:val="004770A4"/>
    <w:rsid w:val="00477100"/>
    <w:rsid w:val="0047712B"/>
    <w:rsid w:val="004771D6"/>
    <w:rsid w:val="004771EE"/>
    <w:rsid w:val="0047724D"/>
    <w:rsid w:val="00477361"/>
    <w:rsid w:val="00477362"/>
    <w:rsid w:val="004773E3"/>
    <w:rsid w:val="004774DA"/>
    <w:rsid w:val="0047764B"/>
    <w:rsid w:val="00477650"/>
    <w:rsid w:val="004776AE"/>
    <w:rsid w:val="0047772C"/>
    <w:rsid w:val="00477864"/>
    <w:rsid w:val="004778A1"/>
    <w:rsid w:val="00477921"/>
    <w:rsid w:val="0047793A"/>
    <w:rsid w:val="00477945"/>
    <w:rsid w:val="00477954"/>
    <w:rsid w:val="004779BD"/>
    <w:rsid w:val="00477AEA"/>
    <w:rsid w:val="00477AF6"/>
    <w:rsid w:val="00477B13"/>
    <w:rsid w:val="00477B1F"/>
    <w:rsid w:val="00477B51"/>
    <w:rsid w:val="00477C63"/>
    <w:rsid w:val="00477C93"/>
    <w:rsid w:val="00477C98"/>
    <w:rsid w:val="00477CD7"/>
    <w:rsid w:val="00477D20"/>
    <w:rsid w:val="00477D5F"/>
    <w:rsid w:val="00477E0B"/>
    <w:rsid w:val="00477E1B"/>
    <w:rsid w:val="00477E52"/>
    <w:rsid w:val="00477EDE"/>
    <w:rsid w:val="00477EFA"/>
    <w:rsid w:val="00477F28"/>
    <w:rsid w:val="00477F54"/>
    <w:rsid w:val="00477F65"/>
    <w:rsid w:val="00477F81"/>
    <w:rsid w:val="00480042"/>
    <w:rsid w:val="00480093"/>
    <w:rsid w:val="004800AA"/>
    <w:rsid w:val="004801CF"/>
    <w:rsid w:val="0048028E"/>
    <w:rsid w:val="004802D5"/>
    <w:rsid w:val="004802DC"/>
    <w:rsid w:val="00480436"/>
    <w:rsid w:val="00480441"/>
    <w:rsid w:val="00480457"/>
    <w:rsid w:val="00480466"/>
    <w:rsid w:val="00480495"/>
    <w:rsid w:val="00480619"/>
    <w:rsid w:val="0048066F"/>
    <w:rsid w:val="00480711"/>
    <w:rsid w:val="00480739"/>
    <w:rsid w:val="00480784"/>
    <w:rsid w:val="0048089A"/>
    <w:rsid w:val="00480946"/>
    <w:rsid w:val="00480984"/>
    <w:rsid w:val="00480AB2"/>
    <w:rsid w:val="00480AEB"/>
    <w:rsid w:val="00480B4E"/>
    <w:rsid w:val="00480BB5"/>
    <w:rsid w:val="00480BD1"/>
    <w:rsid w:val="00480CDB"/>
    <w:rsid w:val="00480E02"/>
    <w:rsid w:val="00480E1D"/>
    <w:rsid w:val="00480EA9"/>
    <w:rsid w:val="00480F33"/>
    <w:rsid w:val="00480FCA"/>
    <w:rsid w:val="00480FD9"/>
    <w:rsid w:val="00480FE8"/>
    <w:rsid w:val="004810D0"/>
    <w:rsid w:val="004811D4"/>
    <w:rsid w:val="004812B3"/>
    <w:rsid w:val="00481450"/>
    <w:rsid w:val="004814B5"/>
    <w:rsid w:val="004814FF"/>
    <w:rsid w:val="004815A0"/>
    <w:rsid w:val="004815A1"/>
    <w:rsid w:val="00481653"/>
    <w:rsid w:val="004816BF"/>
    <w:rsid w:val="004816EE"/>
    <w:rsid w:val="004816F3"/>
    <w:rsid w:val="0048172C"/>
    <w:rsid w:val="00481788"/>
    <w:rsid w:val="004817B5"/>
    <w:rsid w:val="004817CA"/>
    <w:rsid w:val="00481800"/>
    <w:rsid w:val="00481884"/>
    <w:rsid w:val="004818C8"/>
    <w:rsid w:val="0048193B"/>
    <w:rsid w:val="00481A01"/>
    <w:rsid w:val="00481B42"/>
    <w:rsid w:val="00481B82"/>
    <w:rsid w:val="00481C30"/>
    <w:rsid w:val="00481C39"/>
    <w:rsid w:val="00481CCD"/>
    <w:rsid w:val="00481D4F"/>
    <w:rsid w:val="00481E61"/>
    <w:rsid w:val="00481FC7"/>
    <w:rsid w:val="00481FE2"/>
    <w:rsid w:val="004820DD"/>
    <w:rsid w:val="0048219C"/>
    <w:rsid w:val="00482254"/>
    <w:rsid w:val="0048227B"/>
    <w:rsid w:val="0048237A"/>
    <w:rsid w:val="0048237B"/>
    <w:rsid w:val="00482506"/>
    <w:rsid w:val="0048252D"/>
    <w:rsid w:val="0048254C"/>
    <w:rsid w:val="004825D3"/>
    <w:rsid w:val="00482635"/>
    <w:rsid w:val="004827E5"/>
    <w:rsid w:val="00482868"/>
    <w:rsid w:val="00482888"/>
    <w:rsid w:val="00482952"/>
    <w:rsid w:val="004829DF"/>
    <w:rsid w:val="004829E6"/>
    <w:rsid w:val="00482B27"/>
    <w:rsid w:val="00482B70"/>
    <w:rsid w:val="00482BBF"/>
    <w:rsid w:val="00482C7D"/>
    <w:rsid w:val="00482E31"/>
    <w:rsid w:val="00482EBB"/>
    <w:rsid w:val="00482F5E"/>
    <w:rsid w:val="00482FB9"/>
    <w:rsid w:val="0048301B"/>
    <w:rsid w:val="00483059"/>
    <w:rsid w:val="00483084"/>
    <w:rsid w:val="004830BB"/>
    <w:rsid w:val="0048316F"/>
    <w:rsid w:val="00483184"/>
    <w:rsid w:val="004831D3"/>
    <w:rsid w:val="0048325C"/>
    <w:rsid w:val="004833AF"/>
    <w:rsid w:val="0048341F"/>
    <w:rsid w:val="00483481"/>
    <w:rsid w:val="004834AC"/>
    <w:rsid w:val="00483508"/>
    <w:rsid w:val="0048352D"/>
    <w:rsid w:val="00483560"/>
    <w:rsid w:val="00483584"/>
    <w:rsid w:val="004836C1"/>
    <w:rsid w:val="00483772"/>
    <w:rsid w:val="0048377F"/>
    <w:rsid w:val="004837DB"/>
    <w:rsid w:val="0048381A"/>
    <w:rsid w:val="00483877"/>
    <w:rsid w:val="0048390B"/>
    <w:rsid w:val="00483929"/>
    <w:rsid w:val="00483971"/>
    <w:rsid w:val="004839B6"/>
    <w:rsid w:val="004839C7"/>
    <w:rsid w:val="00483A55"/>
    <w:rsid w:val="00483ADB"/>
    <w:rsid w:val="00483AF9"/>
    <w:rsid w:val="00483AFD"/>
    <w:rsid w:val="00483C8A"/>
    <w:rsid w:val="00483CED"/>
    <w:rsid w:val="00483D44"/>
    <w:rsid w:val="00483E2D"/>
    <w:rsid w:val="00483FFD"/>
    <w:rsid w:val="0048407B"/>
    <w:rsid w:val="00484146"/>
    <w:rsid w:val="004841D4"/>
    <w:rsid w:val="004842C6"/>
    <w:rsid w:val="0048438A"/>
    <w:rsid w:val="004843FE"/>
    <w:rsid w:val="0048443A"/>
    <w:rsid w:val="004844D7"/>
    <w:rsid w:val="004844FB"/>
    <w:rsid w:val="0048454E"/>
    <w:rsid w:val="004846A2"/>
    <w:rsid w:val="004846E0"/>
    <w:rsid w:val="004847CC"/>
    <w:rsid w:val="004847E5"/>
    <w:rsid w:val="004847F9"/>
    <w:rsid w:val="00484860"/>
    <w:rsid w:val="00484874"/>
    <w:rsid w:val="0048491C"/>
    <w:rsid w:val="0048493C"/>
    <w:rsid w:val="00484947"/>
    <w:rsid w:val="004849EA"/>
    <w:rsid w:val="00484C1D"/>
    <w:rsid w:val="00484E28"/>
    <w:rsid w:val="00484F68"/>
    <w:rsid w:val="0048506E"/>
    <w:rsid w:val="00485105"/>
    <w:rsid w:val="0048511D"/>
    <w:rsid w:val="00485219"/>
    <w:rsid w:val="00485272"/>
    <w:rsid w:val="004852D7"/>
    <w:rsid w:val="004853A3"/>
    <w:rsid w:val="004853E4"/>
    <w:rsid w:val="00485459"/>
    <w:rsid w:val="004855F5"/>
    <w:rsid w:val="004855F8"/>
    <w:rsid w:val="004855F9"/>
    <w:rsid w:val="00485632"/>
    <w:rsid w:val="0048575D"/>
    <w:rsid w:val="004857C7"/>
    <w:rsid w:val="004857DA"/>
    <w:rsid w:val="0048589E"/>
    <w:rsid w:val="004859F2"/>
    <w:rsid w:val="00485A60"/>
    <w:rsid w:val="00485AED"/>
    <w:rsid w:val="00485B11"/>
    <w:rsid w:val="00485BBF"/>
    <w:rsid w:val="00485BDD"/>
    <w:rsid w:val="00485C3F"/>
    <w:rsid w:val="00485D7D"/>
    <w:rsid w:val="00485E58"/>
    <w:rsid w:val="00485EFD"/>
    <w:rsid w:val="00485F59"/>
    <w:rsid w:val="00485F6D"/>
    <w:rsid w:val="00485FB7"/>
    <w:rsid w:val="00485FDF"/>
    <w:rsid w:val="00486038"/>
    <w:rsid w:val="004860DA"/>
    <w:rsid w:val="0048614A"/>
    <w:rsid w:val="0048619A"/>
    <w:rsid w:val="004861FD"/>
    <w:rsid w:val="00486247"/>
    <w:rsid w:val="004862B5"/>
    <w:rsid w:val="004862F5"/>
    <w:rsid w:val="00486309"/>
    <w:rsid w:val="00486391"/>
    <w:rsid w:val="004863FE"/>
    <w:rsid w:val="0048642F"/>
    <w:rsid w:val="00486461"/>
    <w:rsid w:val="0048647C"/>
    <w:rsid w:val="00486554"/>
    <w:rsid w:val="00486582"/>
    <w:rsid w:val="004865EB"/>
    <w:rsid w:val="004866B5"/>
    <w:rsid w:val="0048678F"/>
    <w:rsid w:val="0048679D"/>
    <w:rsid w:val="0048686A"/>
    <w:rsid w:val="0048687A"/>
    <w:rsid w:val="00486883"/>
    <w:rsid w:val="004868FA"/>
    <w:rsid w:val="004869EB"/>
    <w:rsid w:val="00486A26"/>
    <w:rsid w:val="00486A6D"/>
    <w:rsid w:val="00486B9A"/>
    <w:rsid w:val="00486C3D"/>
    <w:rsid w:val="00486C88"/>
    <w:rsid w:val="00486CB3"/>
    <w:rsid w:val="00486CE5"/>
    <w:rsid w:val="00486D09"/>
    <w:rsid w:val="00486D46"/>
    <w:rsid w:val="00486D91"/>
    <w:rsid w:val="00486DB9"/>
    <w:rsid w:val="00486E16"/>
    <w:rsid w:val="00486E21"/>
    <w:rsid w:val="00486E43"/>
    <w:rsid w:val="00486EE2"/>
    <w:rsid w:val="00486FE2"/>
    <w:rsid w:val="00487021"/>
    <w:rsid w:val="004870D2"/>
    <w:rsid w:val="004871E6"/>
    <w:rsid w:val="00487262"/>
    <w:rsid w:val="004872FD"/>
    <w:rsid w:val="0048739A"/>
    <w:rsid w:val="004873B0"/>
    <w:rsid w:val="00487470"/>
    <w:rsid w:val="00487494"/>
    <w:rsid w:val="004874A5"/>
    <w:rsid w:val="00487518"/>
    <w:rsid w:val="0048755D"/>
    <w:rsid w:val="0048759A"/>
    <w:rsid w:val="004875BC"/>
    <w:rsid w:val="004876D4"/>
    <w:rsid w:val="004876EA"/>
    <w:rsid w:val="00487736"/>
    <w:rsid w:val="004877D7"/>
    <w:rsid w:val="004878A9"/>
    <w:rsid w:val="004878AF"/>
    <w:rsid w:val="004878FF"/>
    <w:rsid w:val="00487949"/>
    <w:rsid w:val="00487974"/>
    <w:rsid w:val="004879EA"/>
    <w:rsid w:val="00487A41"/>
    <w:rsid w:val="00487B2C"/>
    <w:rsid w:val="00487C4B"/>
    <w:rsid w:val="00487C7E"/>
    <w:rsid w:val="00487CA2"/>
    <w:rsid w:val="00487D48"/>
    <w:rsid w:val="00487DB0"/>
    <w:rsid w:val="00487E28"/>
    <w:rsid w:val="00487E50"/>
    <w:rsid w:val="00487EC1"/>
    <w:rsid w:val="00487EDB"/>
    <w:rsid w:val="00487EDD"/>
    <w:rsid w:val="00487EEC"/>
    <w:rsid w:val="00487EFC"/>
    <w:rsid w:val="00487F85"/>
    <w:rsid w:val="00490030"/>
    <w:rsid w:val="004901EC"/>
    <w:rsid w:val="004901F6"/>
    <w:rsid w:val="004902C3"/>
    <w:rsid w:val="004902EA"/>
    <w:rsid w:val="00490540"/>
    <w:rsid w:val="004905DA"/>
    <w:rsid w:val="00490633"/>
    <w:rsid w:val="00490676"/>
    <w:rsid w:val="004906C2"/>
    <w:rsid w:val="0049079A"/>
    <w:rsid w:val="00490809"/>
    <w:rsid w:val="00490925"/>
    <w:rsid w:val="00490955"/>
    <w:rsid w:val="004909D3"/>
    <w:rsid w:val="00490AA3"/>
    <w:rsid w:val="00490B09"/>
    <w:rsid w:val="00490B3A"/>
    <w:rsid w:val="00490BDB"/>
    <w:rsid w:val="00490BF7"/>
    <w:rsid w:val="00490D0F"/>
    <w:rsid w:val="00490D59"/>
    <w:rsid w:val="00490D5C"/>
    <w:rsid w:val="00490DB6"/>
    <w:rsid w:val="00490E36"/>
    <w:rsid w:val="00490EA0"/>
    <w:rsid w:val="00490FB0"/>
    <w:rsid w:val="00490FB4"/>
    <w:rsid w:val="0049100F"/>
    <w:rsid w:val="0049102A"/>
    <w:rsid w:val="0049112F"/>
    <w:rsid w:val="00491189"/>
    <w:rsid w:val="004911AF"/>
    <w:rsid w:val="00491271"/>
    <w:rsid w:val="0049137D"/>
    <w:rsid w:val="004913C3"/>
    <w:rsid w:val="00491425"/>
    <w:rsid w:val="004914C0"/>
    <w:rsid w:val="00491513"/>
    <w:rsid w:val="004915AE"/>
    <w:rsid w:val="004915EA"/>
    <w:rsid w:val="00491600"/>
    <w:rsid w:val="004916CC"/>
    <w:rsid w:val="004916F9"/>
    <w:rsid w:val="0049195C"/>
    <w:rsid w:val="00491AF5"/>
    <w:rsid w:val="00491B6B"/>
    <w:rsid w:val="00491C3C"/>
    <w:rsid w:val="00491CD9"/>
    <w:rsid w:val="00491DB6"/>
    <w:rsid w:val="00491DBF"/>
    <w:rsid w:val="00491E09"/>
    <w:rsid w:val="00491EAE"/>
    <w:rsid w:val="00491EB3"/>
    <w:rsid w:val="00491EEB"/>
    <w:rsid w:val="00491F01"/>
    <w:rsid w:val="00491F23"/>
    <w:rsid w:val="00491F8B"/>
    <w:rsid w:val="00492029"/>
    <w:rsid w:val="004920E6"/>
    <w:rsid w:val="00492117"/>
    <w:rsid w:val="00492156"/>
    <w:rsid w:val="0049216E"/>
    <w:rsid w:val="0049218F"/>
    <w:rsid w:val="0049221D"/>
    <w:rsid w:val="00492278"/>
    <w:rsid w:val="004922A6"/>
    <w:rsid w:val="0049236D"/>
    <w:rsid w:val="00492430"/>
    <w:rsid w:val="0049247A"/>
    <w:rsid w:val="004924AB"/>
    <w:rsid w:val="0049252B"/>
    <w:rsid w:val="00492579"/>
    <w:rsid w:val="004925A0"/>
    <w:rsid w:val="004925F5"/>
    <w:rsid w:val="00492668"/>
    <w:rsid w:val="0049275E"/>
    <w:rsid w:val="00492772"/>
    <w:rsid w:val="00492788"/>
    <w:rsid w:val="004928F6"/>
    <w:rsid w:val="0049299E"/>
    <w:rsid w:val="00492A02"/>
    <w:rsid w:val="00492ACC"/>
    <w:rsid w:val="00492B12"/>
    <w:rsid w:val="00492BA4"/>
    <w:rsid w:val="00492C58"/>
    <w:rsid w:val="00492C86"/>
    <w:rsid w:val="00492CFB"/>
    <w:rsid w:val="00492D76"/>
    <w:rsid w:val="00492DD3"/>
    <w:rsid w:val="00492E46"/>
    <w:rsid w:val="00492E5E"/>
    <w:rsid w:val="00492FF7"/>
    <w:rsid w:val="00493046"/>
    <w:rsid w:val="0049307B"/>
    <w:rsid w:val="00493087"/>
    <w:rsid w:val="004930F2"/>
    <w:rsid w:val="004930F7"/>
    <w:rsid w:val="00493141"/>
    <w:rsid w:val="0049330A"/>
    <w:rsid w:val="00493472"/>
    <w:rsid w:val="004935CD"/>
    <w:rsid w:val="004935DB"/>
    <w:rsid w:val="0049360F"/>
    <w:rsid w:val="0049361C"/>
    <w:rsid w:val="00493623"/>
    <w:rsid w:val="0049369A"/>
    <w:rsid w:val="004936CA"/>
    <w:rsid w:val="00493849"/>
    <w:rsid w:val="00493855"/>
    <w:rsid w:val="00493882"/>
    <w:rsid w:val="00493944"/>
    <w:rsid w:val="004939AA"/>
    <w:rsid w:val="00493A0D"/>
    <w:rsid w:val="00493A23"/>
    <w:rsid w:val="00493AF7"/>
    <w:rsid w:val="00493B14"/>
    <w:rsid w:val="00493B38"/>
    <w:rsid w:val="00493B91"/>
    <w:rsid w:val="00493C00"/>
    <w:rsid w:val="00493C21"/>
    <w:rsid w:val="00493C82"/>
    <w:rsid w:val="00493E43"/>
    <w:rsid w:val="00493E80"/>
    <w:rsid w:val="00493FE3"/>
    <w:rsid w:val="004940AD"/>
    <w:rsid w:val="00494119"/>
    <w:rsid w:val="004941BF"/>
    <w:rsid w:val="00494218"/>
    <w:rsid w:val="00494243"/>
    <w:rsid w:val="00494286"/>
    <w:rsid w:val="00494323"/>
    <w:rsid w:val="004943DF"/>
    <w:rsid w:val="004943E1"/>
    <w:rsid w:val="0049444B"/>
    <w:rsid w:val="004944B7"/>
    <w:rsid w:val="0049454C"/>
    <w:rsid w:val="004946DC"/>
    <w:rsid w:val="004946FA"/>
    <w:rsid w:val="0049474F"/>
    <w:rsid w:val="004947E0"/>
    <w:rsid w:val="00494826"/>
    <w:rsid w:val="00494873"/>
    <w:rsid w:val="004948BD"/>
    <w:rsid w:val="00494921"/>
    <w:rsid w:val="00494935"/>
    <w:rsid w:val="0049498B"/>
    <w:rsid w:val="004949FE"/>
    <w:rsid w:val="00494A48"/>
    <w:rsid w:val="00494B6D"/>
    <w:rsid w:val="00494B70"/>
    <w:rsid w:val="00494B92"/>
    <w:rsid w:val="00494C20"/>
    <w:rsid w:val="00494C80"/>
    <w:rsid w:val="00494D1B"/>
    <w:rsid w:val="00494D56"/>
    <w:rsid w:val="00494DEC"/>
    <w:rsid w:val="00494DFB"/>
    <w:rsid w:val="00494DFC"/>
    <w:rsid w:val="00494E47"/>
    <w:rsid w:val="00494F62"/>
    <w:rsid w:val="0049503E"/>
    <w:rsid w:val="0049512F"/>
    <w:rsid w:val="0049516F"/>
    <w:rsid w:val="004951CD"/>
    <w:rsid w:val="0049531E"/>
    <w:rsid w:val="00495354"/>
    <w:rsid w:val="0049545B"/>
    <w:rsid w:val="00495460"/>
    <w:rsid w:val="0049560E"/>
    <w:rsid w:val="00495673"/>
    <w:rsid w:val="004956D4"/>
    <w:rsid w:val="00495742"/>
    <w:rsid w:val="004959FD"/>
    <w:rsid w:val="00495A11"/>
    <w:rsid w:val="00495AA7"/>
    <w:rsid w:val="00495BBF"/>
    <w:rsid w:val="00495BE2"/>
    <w:rsid w:val="00495C9F"/>
    <w:rsid w:val="00495D5F"/>
    <w:rsid w:val="00495D88"/>
    <w:rsid w:val="00495DFD"/>
    <w:rsid w:val="00495E64"/>
    <w:rsid w:val="00495E75"/>
    <w:rsid w:val="00495EC3"/>
    <w:rsid w:val="00495F06"/>
    <w:rsid w:val="00495F59"/>
    <w:rsid w:val="00496059"/>
    <w:rsid w:val="004960C2"/>
    <w:rsid w:val="00496152"/>
    <w:rsid w:val="0049618F"/>
    <w:rsid w:val="004963DF"/>
    <w:rsid w:val="004964D0"/>
    <w:rsid w:val="004964D4"/>
    <w:rsid w:val="004965DF"/>
    <w:rsid w:val="00496736"/>
    <w:rsid w:val="0049676C"/>
    <w:rsid w:val="004967E1"/>
    <w:rsid w:val="00496834"/>
    <w:rsid w:val="0049685A"/>
    <w:rsid w:val="0049686D"/>
    <w:rsid w:val="00496893"/>
    <w:rsid w:val="004968CA"/>
    <w:rsid w:val="004968E3"/>
    <w:rsid w:val="0049691A"/>
    <w:rsid w:val="00496957"/>
    <w:rsid w:val="0049695A"/>
    <w:rsid w:val="00496963"/>
    <w:rsid w:val="00496A03"/>
    <w:rsid w:val="00496A82"/>
    <w:rsid w:val="00496AA3"/>
    <w:rsid w:val="00496B25"/>
    <w:rsid w:val="00496BC1"/>
    <w:rsid w:val="00496BE0"/>
    <w:rsid w:val="00496C53"/>
    <w:rsid w:val="00496CCD"/>
    <w:rsid w:val="00496D22"/>
    <w:rsid w:val="00496D37"/>
    <w:rsid w:val="00496D39"/>
    <w:rsid w:val="00496D85"/>
    <w:rsid w:val="00496DAB"/>
    <w:rsid w:val="00496DD1"/>
    <w:rsid w:val="00496E09"/>
    <w:rsid w:val="00496E58"/>
    <w:rsid w:val="00496F98"/>
    <w:rsid w:val="00497040"/>
    <w:rsid w:val="00497089"/>
    <w:rsid w:val="004970BC"/>
    <w:rsid w:val="004970D9"/>
    <w:rsid w:val="004970DF"/>
    <w:rsid w:val="0049710C"/>
    <w:rsid w:val="004971FD"/>
    <w:rsid w:val="0049720C"/>
    <w:rsid w:val="0049723E"/>
    <w:rsid w:val="00497261"/>
    <w:rsid w:val="00497286"/>
    <w:rsid w:val="004972E6"/>
    <w:rsid w:val="00497369"/>
    <w:rsid w:val="00497450"/>
    <w:rsid w:val="00497485"/>
    <w:rsid w:val="00497489"/>
    <w:rsid w:val="004974CF"/>
    <w:rsid w:val="00497549"/>
    <w:rsid w:val="004975A0"/>
    <w:rsid w:val="004977F6"/>
    <w:rsid w:val="00497846"/>
    <w:rsid w:val="0049798D"/>
    <w:rsid w:val="00497B37"/>
    <w:rsid w:val="00497B54"/>
    <w:rsid w:val="00497B72"/>
    <w:rsid w:val="00497C26"/>
    <w:rsid w:val="00497C57"/>
    <w:rsid w:val="00497E00"/>
    <w:rsid w:val="00497EF2"/>
    <w:rsid w:val="00497F81"/>
    <w:rsid w:val="00497FBF"/>
    <w:rsid w:val="00497FCF"/>
    <w:rsid w:val="004A0029"/>
    <w:rsid w:val="004A0057"/>
    <w:rsid w:val="004A0104"/>
    <w:rsid w:val="004A0145"/>
    <w:rsid w:val="004A014C"/>
    <w:rsid w:val="004A0237"/>
    <w:rsid w:val="004A0302"/>
    <w:rsid w:val="004A0348"/>
    <w:rsid w:val="004A038E"/>
    <w:rsid w:val="004A04E4"/>
    <w:rsid w:val="004A0538"/>
    <w:rsid w:val="004A057D"/>
    <w:rsid w:val="004A059B"/>
    <w:rsid w:val="004A05DE"/>
    <w:rsid w:val="004A0602"/>
    <w:rsid w:val="004A06B4"/>
    <w:rsid w:val="004A0723"/>
    <w:rsid w:val="004A0743"/>
    <w:rsid w:val="004A0786"/>
    <w:rsid w:val="004A079A"/>
    <w:rsid w:val="004A07AD"/>
    <w:rsid w:val="004A0837"/>
    <w:rsid w:val="004A085D"/>
    <w:rsid w:val="004A089C"/>
    <w:rsid w:val="004A08BE"/>
    <w:rsid w:val="004A08FA"/>
    <w:rsid w:val="004A091C"/>
    <w:rsid w:val="004A0A52"/>
    <w:rsid w:val="004A0B15"/>
    <w:rsid w:val="004A0B94"/>
    <w:rsid w:val="004A0BCA"/>
    <w:rsid w:val="004A0C5F"/>
    <w:rsid w:val="004A0C62"/>
    <w:rsid w:val="004A0DE7"/>
    <w:rsid w:val="004A0E0E"/>
    <w:rsid w:val="004A0E62"/>
    <w:rsid w:val="004A0EA1"/>
    <w:rsid w:val="004A0EA4"/>
    <w:rsid w:val="004A0EEA"/>
    <w:rsid w:val="004A0F15"/>
    <w:rsid w:val="004A0FB5"/>
    <w:rsid w:val="004A102D"/>
    <w:rsid w:val="004A1042"/>
    <w:rsid w:val="004A105D"/>
    <w:rsid w:val="004A106F"/>
    <w:rsid w:val="004A11A6"/>
    <w:rsid w:val="004A1240"/>
    <w:rsid w:val="004A137E"/>
    <w:rsid w:val="004A13C4"/>
    <w:rsid w:val="004A13F2"/>
    <w:rsid w:val="004A1456"/>
    <w:rsid w:val="004A1497"/>
    <w:rsid w:val="004A14FD"/>
    <w:rsid w:val="004A1583"/>
    <w:rsid w:val="004A16C0"/>
    <w:rsid w:val="004A16DD"/>
    <w:rsid w:val="004A174C"/>
    <w:rsid w:val="004A175E"/>
    <w:rsid w:val="004A1807"/>
    <w:rsid w:val="004A181E"/>
    <w:rsid w:val="004A1837"/>
    <w:rsid w:val="004A1855"/>
    <w:rsid w:val="004A185D"/>
    <w:rsid w:val="004A1861"/>
    <w:rsid w:val="004A18FF"/>
    <w:rsid w:val="004A19A2"/>
    <w:rsid w:val="004A19C5"/>
    <w:rsid w:val="004A19CF"/>
    <w:rsid w:val="004A1A07"/>
    <w:rsid w:val="004A1AB5"/>
    <w:rsid w:val="004A1B34"/>
    <w:rsid w:val="004A1BA3"/>
    <w:rsid w:val="004A1BD9"/>
    <w:rsid w:val="004A1CB2"/>
    <w:rsid w:val="004A1CBA"/>
    <w:rsid w:val="004A1D1A"/>
    <w:rsid w:val="004A1D7D"/>
    <w:rsid w:val="004A1E0E"/>
    <w:rsid w:val="004A1E97"/>
    <w:rsid w:val="004A1EC3"/>
    <w:rsid w:val="004A1F16"/>
    <w:rsid w:val="004A1F3D"/>
    <w:rsid w:val="004A1F91"/>
    <w:rsid w:val="004A1F98"/>
    <w:rsid w:val="004A2007"/>
    <w:rsid w:val="004A2035"/>
    <w:rsid w:val="004A203A"/>
    <w:rsid w:val="004A20FB"/>
    <w:rsid w:val="004A2128"/>
    <w:rsid w:val="004A21CE"/>
    <w:rsid w:val="004A2202"/>
    <w:rsid w:val="004A2221"/>
    <w:rsid w:val="004A2285"/>
    <w:rsid w:val="004A22E9"/>
    <w:rsid w:val="004A232D"/>
    <w:rsid w:val="004A23FE"/>
    <w:rsid w:val="004A2496"/>
    <w:rsid w:val="004A24A7"/>
    <w:rsid w:val="004A24F7"/>
    <w:rsid w:val="004A24F8"/>
    <w:rsid w:val="004A26DA"/>
    <w:rsid w:val="004A26F9"/>
    <w:rsid w:val="004A2748"/>
    <w:rsid w:val="004A28A3"/>
    <w:rsid w:val="004A28B3"/>
    <w:rsid w:val="004A28B9"/>
    <w:rsid w:val="004A28CF"/>
    <w:rsid w:val="004A291C"/>
    <w:rsid w:val="004A297E"/>
    <w:rsid w:val="004A2990"/>
    <w:rsid w:val="004A29C5"/>
    <w:rsid w:val="004A2A03"/>
    <w:rsid w:val="004A2A4F"/>
    <w:rsid w:val="004A2AE9"/>
    <w:rsid w:val="004A2B09"/>
    <w:rsid w:val="004A2B4A"/>
    <w:rsid w:val="004A2C01"/>
    <w:rsid w:val="004A2C87"/>
    <w:rsid w:val="004A2CB9"/>
    <w:rsid w:val="004A2E0E"/>
    <w:rsid w:val="004A2F18"/>
    <w:rsid w:val="004A2F78"/>
    <w:rsid w:val="004A2FDE"/>
    <w:rsid w:val="004A300B"/>
    <w:rsid w:val="004A309C"/>
    <w:rsid w:val="004A30A0"/>
    <w:rsid w:val="004A30AF"/>
    <w:rsid w:val="004A3117"/>
    <w:rsid w:val="004A3145"/>
    <w:rsid w:val="004A3181"/>
    <w:rsid w:val="004A3242"/>
    <w:rsid w:val="004A3277"/>
    <w:rsid w:val="004A32B3"/>
    <w:rsid w:val="004A340C"/>
    <w:rsid w:val="004A3495"/>
    <w:rsid w:val="004A3499"/>
    <w:rsid w:val="004A34A8"/>
    <w:rsid w:val="004A34AC"/>
    <w:rsid w:val="004A3545"/>
    <w:rsid w:val="004A357E"/>
    <w:rsid w:val="004A3607"/>
    <w:rsid w:val="004A370E"/>
    <w:rsid w:val="004A373F"/>
    <w:rsid w:val="004A37FA"/>
    <w:rsid w:val="004A3832"/>
    <w:rsid w:val="004A3897"/>
    <w:rsid w:val="004A3965"/>
    <w:rsid w:val="004A3A71"/>
    <w:rsid w:val="004A3AA2"/>
    <w:rsid w:val="004A3AD7"/>
    <w:rsid w:val="004A3B18"/>
    <w:rsid w:val="004A3B5B"/>
    <w:rsid w:val="004A3BA7"/>
    <w:rsid w:val="004A3BBB"/>
    <w:rsid w:val="004A3BDB"/>
    <w:rsid w:val="004A3C0A"/>
    <w:rsid w:val="004A3C1A"/>
    <w:rsid w:val="004A3C5B"/>
    <w:rsid w:val="004A3CF9"/>
    <w:rsid w:val="004A3CFC"/>
    <w:rsid w:val="004A3D08"/>
    <w:rsid w:val="004A3E62"/>
    <w:rsid w:val="004A3EF4"/>
    <w:rsid w:val="004A3F6C"/>
    <w:rsid w:val="004A3F98"/>
    <w:rsid w:val="004A4003"/>
    <w:rsid w:val="004A4025"/>
    <w:rsid w:val="004A40BC"/>
    <w:rsid w:val="004A4187"/>
    <w:rsid w:val="004A4273"/>
    <w:rsid w:val="004A42CC"/>
    <w:rsid w:val="004A42DE"/>
    <w:rsid w:val="004A42E0"/>
    <w:rsid w:val="004A43C5"/>
    <w:rsid w:val="004A43E4"/>
    <w:rsid w:val="004A459F"/>
    <w:rsid w:val="004A4677"/>
    <w:rsid w:val="004A46A5"/>
    <w:rsid w:val="004A474E"/>
    <w:rsid w:val="004A4762"/>
    <w:rsid w:val="004A47A7"/>
    <w:rsid w:val="004A48CE"/>
    <w:rsid w:val="004A4957"/>
    <w:rsid w:val="004A499F"/>
    <w:rsid w:val="004A49B3"/>
    <w:rsid w:val="004A49CE"/>
    <w:rsid w:val="004A49DF"/>
    <w:rsid w:val="004A4AC2"/>
    <w:rsid w:val="004A4AC4"/>
    <w:rsid w:val="004A4B3A"/>
    <w:rsid w:val="004A4C13"/>
    <w:rsid w:val="004A4D0D"/>
    <w:rsid w:val="004A4D1D"/>
    <w:rsid w:val="004A4E9B"/>
    <w:rsid w:val="004A4EB6"/>
    <w:rsid w:val="004A4F76"/>
    <w:rsid w:val="004A4FC6"/>
    <w:rsid w:val="004A5080"/>
    <w:rsid w:val="004A50A5"/>
    <w:rsid w:val="004A50D7"/>
    <w:rsid w:val="004A5266"/>
    <w:rsid w:val="004A52E2"/>
    <w:rsid w:val="004A530E"/>
    <w:rsid w:val="004A54C3"/>
    <w:rsid w:val="004A54E1"/>
    <w:rsid w:val="004A551A"/>
    <w:rsid w:val="004A5535"/>
    <w:rsid w:val="004A563E"/>
    <w:rsid w:val="004A566B"/>
    <w:rsid w:val="004A573E"/>
    <w:rsid w:val="004A5848"/>
    <w:rsid w:val="004A5855"/>
    <w:rsid w:val="004A58F5"/>
    <w:rsid w:val="004A5991"/>
    <w:rsid w:val="004A59E1"/>
    <w:rsid w:val="004A5ACC"/>
    <w:rsid w:val="004A5BC6"/>
    <w:rsid w:val="004A5C5A"/>
    <w:rsid w:val="004A5C94"/>
    <w:rsid w:val="004A5D7F"/>
    <w:rsid w:val="004A5D9C"/>
    <w:rsid w:val="004A5E12"/>
    <w:rsid w:val="004A5E9F"/>
    <w:rsid w:val="004A5EC8"/>
    <w:rsid w:val="004A5F76"/>
    <w:rsid w:val="004A5F96"/>
    <w:rsid w:val="004A5FD3"/>
    <w:rsid w:val="004A6015"/>
    <w:rsid w:val="004A601B"/>
    <w:rsid w:val="004A6077"/>
    <w:rsid w:val="004A60BC"/>
    <w:rsid w:val="004A60C1"/>
    <w:rsid w:val="004A61D4"/>
    <w:rsid w:val="004A6264"/>
    <w:rsid w:val="004A6449"/>
    <w:rsid w:val="004A64E9"/>
    <w:rsid w:val="004A64FA"/>
    <w:rsid w:val="004A6521"/>
    <w:rsid w:val="004A6570"/>
    <w:rsid w:val="004A66E3"/>
    <w:rsid w:val="004A681C"/>
    <w:rsid w:val="004A681D"/>
    <w:rsid w:val="004A6864"/>
    <w:rsid w:val="004A688F"/>
    <w:rsid w:val="004A68C6"/>
    <w:rsid w:val="004A68D1"/>
    <w:rsid w:val="004A691F"/>
    <w:rsid w:val="004A6B42"/>
    <w:rsid w:val="004A6B55"/>
    <w:rsid w:val="004A6CFB"/>
    <w:rsid w:val="004A6D7E"/>
    <w:rsid w:val="004A6DA8"/>
    <w:rsid w:val="004A6E3C"/>
    <w:rsid w:val="004A717C"/>
    <w:rsid w:val="004A7213"/>
    <w:rsid w:val="004A7243"/>
    <w:rsid w:val="004A724A"/>
    <w:rsid w:val="004A72A8"/>
    <w:rsid w:val="004A74B1"/>
    <w:rsid w:val="004A760D"/>
    <w:rsid w:val="004A7627"/>
    <w:rsid w:val="004A76D6"/>
    <w:rsid w:val="004A776D"/>
    <w:rsid w:val="004A77E0"/>
    <w:rsid w:val="004A784C"/>
    <w:rsid w:val="004A7895"/>
    <w:rsid w:val="004A78C2"/>
    <w:rsid w:val="004A7918"/>
    <w:rsid w:val="004A79CA"/>
    <w:rsid w:val="004A7A05"/>
    <w:rsid w:val="004A7A96"/>
    <w:rsid w:val="004A7A99"/>
    <w:rsid w:val="004A7B0D"/>
    <w:rsid w:val="004A7BA3"/>
    <w:rsid w:val="004A7BCF"/>
    <w:rsid w:val="004A7C5C"/>
    <w:rsid w:val="004A7D4C"/>
    <w:rsid w:val="004A7DF8"/>
    <w:rsid w:val="004A7E65"/>
    <w:rsid w:val="004A7F95"/>
    <w:rsid w:val="004B003A"/>
    <w:rsid w:val="004B00AA"/>
    <w:rsid w:val="004B00B1"/>
    <w:rsid w:val="004B00DB"/>
    <w:rsid w:val="004B01B6"/>
    <w:rsid w:val="004B02A5"/>
    <w:rsid w:val="004B02CC"/>
    <w:rsid w:val="004B030F"/>
    <w:rsid w:val="004B031F"/>
    <w:rsid w:val="004B0356"/>
    <w:rsid w:val="004B03A3"/>
    <w:rsid w:val="004B03FD"/>
    <w:rsid w:val="004B0432"/>
    <w:rsid w:val="004B0442"/>
    <w:rsid w:val="004B04EE"/>
    <w:rsid w:val="004B0585"/>
    <w:rsid w:val="004B05A1"/>
    <w:rsid w:val="004B05D7"/>
    <w:rsid w:val="004B06CA"/>
    <w:rsid w:val="004B06CC"/>
    <w:rsid w:val="004B0898"/>
    <w:rsid w:val="004B0908"/>
    <w:rsid w:val="004B0931"/>
    <w:rsid w:val="004B0987"/>
    <w:rsid w:val="004B0992"/>
    <w:rsid w:val="004B09F7"/>
    <w:rsid w:val="004B0BAE"/>
    <w:rsid w:val="004B0C6C"/>
    <w:rsid w:val="004B0DB2"/>
    <w:rsid w:val="004B0E95"/>
    <w:rsid w:val="004B0EAF"/>
    <w:rsid w:val="004B0F26"/>
    <w:rsid w:val="004B1011"/>
    <w:rsid w:val="004B101C"/>
    <w:rsid w:val="004B1283"/>
    <w:rsid w:val="004B1373"/>
    <w:rsid w:val="004B148D"/>
    <w:rsid w:val="004B1534"/>
    <w:rsid w:val="004B1626"/>
    <w:rsid w:val="004B170E"/>
    <w:rsid w:val="004B17D9"/>
    <w:rsid w:val="004B1803"/>
    <w:rsid w:val="004B188E"/>
    <w:rsid w:val="004B18ED"/>
    <w:rsid w:val="004B1999"/>
    <w:rsid w:val="004B19A9"/>
    <w:rsid w:val="004B19C9"/>
    <w:rsid w:val="004B1A9C"/>
    <w:rsid w:val="004B1B0C"/>
    <w:rsid w:val="004B1BD9"/>
    <w:rsid w:val="004B1C37"/>
    <w:rsid w:val="004B1C5C"/>
    <w:rsid w:val="004B1C86"/>
    <w:rsid w:val="004B1CB0"/>
    <w:rsid w:val="004B1CF5"/>
    <w:rsid w:val="004B1D16"/>
    <w:rsid w:val="004B1D69"/>
    <w:rsid w:val="004B2020"/>
    <w:rsid w:val="004B207B"/>
    <w:rsid w:val="004B20CD"/>
    <w:rsid w:val="004B2222"/>
    <w:rsid w:val="004B234E"/>
    <w:rsid w:val="004B23EE"/>
    <w:rsid w:val="004B24F7"/>
    <w:rsid w:val="004B2502"/>
    <w:rsid w:val="004B255C"/>
    <w:rsid w:val="004B2564"/>
    <w:rsid w:val="004B25EE"/>
    <w:rsid w:val="004B262B"/>
    <w:rsid w:val="004B271E"/>
    <w:rsid w:val="004B2720"/>
    <w:rsid w:val="004B2809"/>
    <w:rsid w:val="004B2825"/>
    <w:rsid w:val="004B2829"/>
    <w:rsid w:val="004B282A"/>
    <w:rsid w:val="004B2844"/>
    <w:rsid w:val="004B28A1"/>
    <w:rsid w:val="004B28A5"/>
    <w:rsid w:val="004B28E8"/>
    <w:rsid w:val="004B295F"/>
    <w:rsid w:val="004B297E"/>
    <w:rsid w:val="004B299A"/>
    <w:rsid w:val="004B2A6D"/>
    <w:rsid w:val="004B2AB9"/>
    <w:rsid w:val="004B2AD1"/>
    <w:rsid w:val="004B2B3A"/>
    <w:rsid w:val="004B2B94"/>
    <w:rsid w:val="004B2BBF"/>
    <w:rsid w:val="004B2C4B"/>
    <w:rsid w:val="004B2D02"/>
    <w:rsid w:val="004B2DC3"/>
    <w:rsid w:val="004B2FDF"/>
    <w:rsid w:val="004B3157"/>
    <w:rsid w:val="004B319B"/>
    <w:rsid w:val="004B3200"/>
    <w:rsid w:val="004B3329"/>
    <w:rsid w:val="004B3615"/>
    <w:rsid w:val="004B366C"/>
    <w:rsid w:val="004B36FF"/>
    <w:rsid w:val="004B370E"/>
    <w:rsid w:val="004B37B0"/>
    <w:rsid w:val="004B3935"/>
    <w:rsid w:val="004B3A3B"/>
    <w:rsid w:val="004B3B7A"/>
    <w:rsid w:val="004B3C7A"/>
    <w:rsid w:val="004B3C93"/>
    <w:rsid w:val="004B3C97"/>
    <w:rsid w:val="004B3CE5"/>
    <w:rsid w:val="004B3CF9"/>
    <w:rsid w:val="004B3D6E"/>
    <w:rsid w:val="004B3E6D"/>
    <w:rsid w:val="004B3EB6"/>
    <w:rsid w:val="004B3EBB"/>
    <w:rsid w:val="004B3EC1"/>
    <w:rsid w:val="004B3ED8"/>
    <w:rsid w:val="004B3F1A"/>
    <w:rsid w:val="004B3F47"/>
    <w:rsid w:val="004B4036"/>
    <w:rsid w:val="004B40B8"/>
    <w:rsid w:val="004B419F"/>
    <w:rsid w:val="004B41CC"/>
    <w:rsid w:val="004B41D5"/>
    <w:rsid w:val="004B4303"/>
    <w:rsid w:val="004B43F2"/>
    <w:rsid w:val="004B4405"/>
    <w:rsid w:val="004B44CE"/>
    <w:rsid w:val="004B452F"/>
    <w:rsid w:val="004B454D"/>
    <w:rsid w:val="004B4635"/>
    <w:rsid w:val="004B465B"/>
    <w:rsid w:val="004B4744"/>
    <w:rsid w:val="004B47AD"/>
    <w:rsid w:val="004B47BC"/>
    <w:rsid w:val="004B4841"/>
    <w:rsid w:val="004B484E"/>
    <w:rsid w:val="004B4852"/>
    <w:rsid w:val="004B4A53"/>
    <w:rsid w:val="004B4AA1"/>
    <w:rsid w:val="004B4AAD"/>
    <w:rsid w:val="004B4AD0"/>
    <w:rsid w:val="004B4AFE"/>
    <w:rsid w:val="004B4C35"/>
    <w:rsid w:val="004B4C55"/>
    <w:rsid w:val="004B4C66"/>
    <w:rsid w:val="004B4C87"/>
    <w:rsid w:val="004B4C98"/>
    <w:rsid w:val="004B4CCC"/>
    <w:rsid w:val="004B4CEA"/>
    <w:rsid w:val="004B4D2E"/>
    <w:rsid w:val="004B4D67"/>
    <w:rsid w:val="004B4D6C"/>
    <w:rsid w:val="004B4E24"/>
    <w:rsid w:val="004B4E35"/>
    <w:rsid w:val="004B4E9D"/>
    <w:rsid w:val="004B4FAB"/>
    <w:rsid w:val="004B5020"/>
    <w:rsid w:val="004B502F"/>
    <w:rsid w:val="004B50DF"/>
    <w:rsid w:val="004B5107"/>
    <w:rsid w:val="004B514F"/>
    <w:rsid w:val="004B515A"/>
    <w:rsid w:val="004B51E7"/>
    <w:rsid w:val="004B5213"/>
    <w:rsid w:val="004B524D"/>
    <w:rsid w:val="004B52D2"/>
    <w:rsid w:val="004B52E2"/>
    <w:rsid w:val="004B52FB"/>
    <w:rsid w:val="004B52FF"/>
    <w:rsid w:val="004B5306"/>
    <w:rsid w:val="004B53AB"/>
    <w:rsid w:val="004B54B0"/>
    <w:rsid w:val="004B5526"/>
    <w:rsid w:val="004B5574"/>
    <w:rsid w:val="004B55D5"/>
    <w:rsid w:val="004B569E"/>
    <w:rsid w:val="004B57AB"/>
    <w:rsid w:val="004B57B0"/>
    <w:rsid w:val="004B5835"/>
    <w:rsid w:val="004B5855"/>
    <w:rsid w:val="004B586C"/>
    <w:rsid w:val="004B5932"/>
    <w:rsid w:val="004B5935"/>
    <w:rsid w:val="004B5949"/>
    <w:rsid w:val="004B5969"/>
    <w:rsid w:val="004B5970"/>
    <w:rsid w:val="004B59A0"/>
    <w:rsid w:val="004B59A5"/>
    <w:rsid w:val="004B5A08"/>
    <w:rsid w:val="004B5A89"/>
    <w:rsid w:val="004B5B82"/>
    <w:rsid w:val="004B5B85"/>
    <w:rsid w:val="004B5B8F"/>
    <w:rsid w:val="004B5B99"/>
    <w:rsid w:val="004B5C51"/>
    <w:rsid w:val="004B5C7F"/>
    <w:rsid w:val="004B5DA0"/>
    <w:rsid w:val="004B5DAE"/>
    <w:rsid w:val="004B5DDA"/>
    <w:rsid w:val="004B5E94"/>
    <w:rsid w:val="004B5E9E"/>
    <w:rsid w:val="004B5EA4"/>
    <w:rsid w:val="004B5F08"/>
    <w:rsid w:val="004B5F67"/>
    <w:rsid w:val="004B5FB8"/>
    <w:rsid w:val="004B5FCF"/>
    <w:rsid w:val="004B601C"/>
    <w:rsid w:val="004B60C9"/>
    <w:rsid w:val="004B6188"/>
    <w:rsid w:val="004B61FD"/>
    <w:rsid w:val="004B620F"/>
    <w:rsid w:val="004B62EB"/>
    <w:rsid w:val="004B63A8"/>
    <w:rsid w:val="004B6436"/>
    <w:rsid w:val="004B647C"/>
    <w:rsid w:val="004B64E9"/>
    <w:rsid w:val="004B650B"/>
    <w:rsid w:val="004B6512"/>
    <w:rsid w:val="004B6569"/>
    <w:rsid w:val="004B65FA"/>
    <w:rsid w:val="004B6676"/>
    <w:rsid w:val="004B6790"/>
    <w:rsid w:val="004B6943"/>
    <w:rsid w:val="004B6A33"/>
    <w:rsid w:val="004B6A39"/>
    <w:rsid w:val="004B6A46"/>
    <w:rsid w:val="004B6AAB"/>
    <w:rsid w:val="004B6AD0"/>
    <w:rsid w:val="004B6B1A"/>
    <w:rsid w:val="004B6B36"/>
    <w:rsid w:val="004B6B75"/>
    <w:rsid w:val="004B6C49"/>
    <w:rsid w:val="004B6C94"/>
    <w:rsid w:val="004B6CD3"/>
    <w:rsid w:val="004B6CE2"/>
    <w:rsid w:val="004B6CFC"/>
    <w:rsid w:val="004B6DB3"/>
    <w:rsid w:val="004B6E94"/>
    <w:rsid w:val="004B6F01"/>
    <w:rsid w:val="004B6F1F"/>
    <w:rsid w:val="004B6F57"/>
    <w:rsid w:val="004B6F70"/>
    <w:rsid w:val="004B715F"/>
    <w:rsid w:val="004B7215"/>
    <w:rsid w:val="004B728A"/>
    <w:rsid w:val="004B7358"/>
    <w:rsid w:val="004B747A"/>
    <w:rsid w:val="004B7502"/>
    <w:rsid w:val="004B752C"/>
    <w:rsid w:val="004B753C"/>
    <w:rsid w:val="004B75FC"/>
    <w:rsid w:val="004B7660"/>
    <w:rsid w:val="004B78BA"/>
    <w:rsid w:val="004B7948"/>
    <w:rsid w:val="004B796F"/>
    <w:rsid w:val="004B7AA1"/>
    <w:rsid w:val="004B7AFF"/>
    <w:rsid w:val="004B7BAA"/>
    <w:rsid w:val="004B7C4A"/>
    <w:rsid w:val="004B7C7D"/>
    <w:rsid w:val="004B7C8A"/>
    <w:rsid w:val="004B7CB9"/>
    <w:rsid w:val="004B7CE4"/>
    <w:rsid w:val="004B7CF1"/>
    <w:rsid w:val="004B7DB7"/>
    <w:rsid w:val="004B7EBF"/>
    <w:rsid w:val="004B7EC5"/>
    <w:rsid w:val="004B7EE5"/>
    <w:rsid w:val="004B7F25"/>
    <w:rsid w:val="004B7F69"/>
    <w:rsid w:val="004B7FC6"/>
    <w:rsid w:val="004B7FD8"/>
    <w:rsid w:val="004B7FF7"/>
    <w:rsid w:val="004C003D"/>
    <w:rsid w:val="004C00F0"/>
    <w:rsid w:val="004C0121"/>
    <w:rsid w:val="004C01CE"/>
    <w:rsid w:val="004C01D3"/>
    <w:rsid w:val="004C0200"/>
    <w:rsid w:val="004C0272"/>
    <w:rsid w:val="004C02B1"/>
    <w:rsid w:val="004C02E1"/>
    <w:rsid w:val="004C040C"/>
    <w:rsid w:val="004C0426"/>
    <w:rsid w:val="004C04B3"/>
    <w:rsid w:val="004C0516"/>
    <w:rsid w:val="004C0527"/>
    <w:rsid w:val="004C05A5"/>
    <w:rsid w:val="004C0634"/>
    <w:rsid w:val="004C074D"/>
    <w:rsid w:val="004C081C"/>
    <w:rsid w:val="004C0826"/>
    <w:rsid w:val="004C0868"/>
    <w:rsid w:val="004C0876"/>
    <w:rsid w:val="004C0A39"/>
    <w:rsid w:val="004C0AF3"/>
    <w:rsid w:val="004C0CCE"/>
    <w:rsid w:val="004C0CFF"/>
    <w:rsid w:val="004C0D15"/>
    <w:rsid w:val="004C0E47"/>
    <w:rsid w:val="004C0EEB"/>
    <w:rsid w:val="004C1006"/>
    <w:rsid w:val="004C117A"/>
    <w:rsid w:val="004C135E"/>
    <w:rsid w:val="004C1381"/>
    <w:rsid w:val="004C13FF"/>
    <w:rsid w:val="004C146D"/>
    <w:rsid w:val="004C14A6"/>
    <w:rsid w:val="004C14A8"/>
    <w:rsid w:val="004C14BF"/>
    <w:rsid w:val="004C1503"/>
    <w:rsid w:val="004C16B0"/>
    <w:rsid w:val="004C1752"/>
    <w:rsid w:val="004C17B3"/>
    <w:rsid w:val="004C17E9"/>
    <w:rsid w:val="004C182A"/>
    <w:rsid w:val="004C1908"/>
    <w:rsid w:val="004C19AD"/>
    <w:rsid w:val="004C1A75"/>
    <w:rsid w:val="004C1B13"/>
    <w:rsid w:val="004C1C31"/>
    <w:rsid w:val="004C1CC4"/>
    <w:rsid w:val="004C1D6F"/>
    <w:rsid w:val="004C1DC5"/>
    <w:rsid w:val="004C1DF4"/>
    <w:rsid w:val="004C1E21"/>
    <w:rsid w:val="004C1E87"/>
    <w:rsid w:val="004C1F61"/>
    <w:rsid w:val="004C1F70"/>
    <w:rsid w:val="004C2053"/>
    <w:rsid w:val="004C20C8"/>
    <w:rsid w:val="004C2110"/>
    <w:rsid w:val="004C221B"/>
    <w:rsid w:val="004C22B1"/>
    <w:rsid w:val="004C231D"/>
    <w:rsid w:val="004C237D"/>
    <w:rsid w:val="004C23C1"/>
    <w:rsid w:val="004C23E6"/>
    <w:rsid w:val="004C2430"/>
    <w:rsid w:val="004C2534"/>
    <w:rsid w:val="004C254D"/>
    <w:rsid w:val="004C25C6"/>
    <w:rsid w:val="004C269D"/>
    <w:rsid w:val="004C27BD"/>
    <w:rsid w:val="004C2836"/>
    <w:rsid w:val="004C29CA"/>
    <w:rsid w:val="004C2A26"/>
    <w:rsid w:val="004C2AB0"/>
    <w:rsid w:val="004C2AFF"/>
    <w:rsid w:val="004C2B29"/>
    <w:rsid w:val="004C2B47"/>
    <w:rsid w:val="004C2C23"/>
    <w:rsid w:val="004C2C56"/>
    <w:rsid w:val="004C2C64"/>
    <w:rsid w:val="004C2CAD"/>
    <w:rsid w:val="004C2D21"/>
    <w:rsid w:val="004C2DFB"/>
    <w:rsid w:val="004C2E39"/>
    <w:rsid w:val="004C2FA5"/>
    <w:rsid w:val="004C2FE2"/>
    <w:rsid w:val="004C3001"/>
    <w:rsid w:val="004C306D"/>
    <w:rsid w:val="004C30F9"/>
    <w:rsid w:val="004C3101"/>
    <w:rsid w:val="004C31B6"/>
    <w:rsid w:val="004C32DD"/>
    <w:rsid w:val="004C331E"/>
    <w:rsid w:val="004C3328"/>
    <w:rsid w:val="004C3353"/>
    <w:rsid w:val="004C33F5"/>
    <w:rsid w:val="004C35C2"/>
    <w:rsid w:val="004C369E"/>
    <w:rsid w:val="004C3771"/>
    <w:rsid w:val="004C3780"/>
    <w:rsid w:val="004C37E3"/>
    <w:rsid w:val="004C37F4"/>
    <w:rsid w:val="004C385B"/>
    <w:rsid w:val="004C38BD"/>
    <w:rsid w:val="004C38C9"/>
    <w:rsid w:val="004C3960"/>
    <w:rsid w:val="004C3968"/>
    <w:rsid w:val="004C3989"/>
    <w:rsid w:val="004C3990"/>
    <w:rsid w:val="004C3B72"/>
    <w:rsid w:val="004C3BC9"/>
    <w:rsid w:val="004C3C02"/>
    <w:rsid w:val="004C3CD0"/>
    <w:rsid w:val="004C3CD3"/>
    <w:rsid w:val="004C3D5C"/>
    <w:rsid w:val="004C3DEA"/>
    <w:rsid w:val="004C3E48"/>
    <w:rsid w:val="004C3EE6"/>
    <w:rsid w:val="004C3F5A"/>
    <w:rsid w:val="004C3FE5"/>
    <w:rsid w:val="004C4039"/>
    <w:rsid w:val="004C4107"/>
    <w:rsid w:val="004C414D"/>
    <w:rsid w:val="004C4175"/>
    <w:rsid w:val="004C4286"/>
    <w:rsid w:val="004C4305"/>
    <w:rsid w:val="004C431C"/>
    <w:rsid w:val="004C4409"/>
    <w:rsid w:val="004C463C"/>
    <w:rsid w:val="004C465A"/>
    <w:rsid w:val="004C46AA"/>
    <w:rsid w:val="004C46C9"/>
    <w:rsid w:val="004C49F8"/>
    <w:rsid w:val="004C4A13"/>
    <w:rsid w:val="004C4A73"/>
    <w:rsid w:val="004C4B71"/>
    <w:rsid w:val="004C4B82"/>
    <w:rsid w:val="004C4B8D"/>
    <w:rsid w:val="004C4BCE"/>
    <w:rsid w:val="004C4C0D"/>
    <w:rsid w:val="004C4C1F"/>
    <w:rsid w:val="004C4D2A"/>
    <w:rsid w:val="004C4D94"/>
    <w:rsid w:val="004C4E45"/>
    <w:rsid w:val="004C4E5E"/>
    <w:rsid w:val="004C4EB2"/>
    <w:rsid w:val="004C4FC7"/>
    <w:rsid w:val="004C509C"/>
    <w:rsid w:val="004C51E4"/>
    <w:rsid w:val="004C51E7"/>
    <w:rsid w:val="004C5239"/>
    <w:rsid w:val="004C525C"/>
    <w:rsid w:val="004C52F4"/>
    <w:rsid w:val="004C52FC"/>
    <w:rsid w:val="004C5324"/>
    <w:rsid w:val="004C537F"/>
    <w:rsid w:val="004C5387"/>
    <w:rsid w:val="004C53E4"/>
    <w:rsid w:val="004C5470"/>
    <w:rsid w:val="004C5615"/>
    <w:rsid w:val="004C56A7"/>
    <w:rsid w:val="004C5797"/>
    <w:rsid w:val="004C57D6"/>
    <w:rsid w:val="004C58E1"/>
    <w:rsid w:val="004C5944"/>
    <w:rsid w:val="004C5966"/>
    <w:rsid w:val="004C5978"/>
    <w:rsid w:val="004C59E7"/>
    <w:rsid w:val="004C5A50"/>
    <w:rsid w:val="004C5A76"/>
    <w:rsid w:val="004C5A86"/>
    <w:rsid w:val="004C5A89"/>
    <w:rsid w:val="004C5AEB"/>
    <w:rsid w:val="004C5B05"/>
    <w:rsid w:val="004C5B82"/>
    <w:rsid w:val="004C5BD6"/>
    <w:rsid w:val="004C5D9D"/>
    <w:rsid w:val="004C5DED"/>
    <w:rsid w:val="004C5E24"/>
    <w:rsid w:val="004C5E6A"/>
    <w:rsid w:val="004C5E8B"/>
    <w:rsid w:val="004C5EE7"/>
    <w:rsid w:val="004C5EF5"/>
    <w:rsid w:val="004C5FED"/>
    <w:rsid w:val="004C602F"/>
    <w:rsid w:val="004C6059"/>
    <w:rsid w:val="004C605F"/>
    <w:rsid w:val="004C6095"/>
    <w:rsid w:val="004C60BF"/>
    <w:rsid w:val="004C60E5"/>
    <w:rsid w:val="004C60FB"/>
    <w:rsid w:val="004C60FE"/>
    <w:rsid w:val="004C613E"/>
    <w:rsid w:val="004C616C"/>
    <w:rsid w:val="004C61E0"/>
    <w:rsid w:val="004C61E6"/>
    <w:rsid w:val="004C62A1"/>
    <w:rsid w:val="004C62B8"/>
    <w:rsid w:val="004C62FE"/>
    <w:rsid w:val="004C6328"/>
    <w:rsid w:val="004C6362"/>
    <w:rsid w:val="004C6374"/>
    <w:rsid w:val="004C6380"/>
    <w:rsid w:val="004C644E"/>
    <w:rsid w:val="004C64C7"/>
    <w:rsid w:val="004C64CB"/>
    <w:rsid w:val="004C650A"/>
    <w:rsid w:val="004C663D"/>
    <w:rsid w:val="004C6687"/>
    <w:rsid w:val="004C669B"/>
    <w:rsid w:val="004C671D"/>
    <w:rsid w:val="004C6764"/>
    <w:rsid w:val="004C6766"/>
    <w:rsid w:val="004C6797"/>
    <w:rsid w:val="004C6807"/>
    <w:rsid w:val="004C692F"/>
    <w:rsid w:val="004C6949"/>
    <w:rsid w:val="004C69D7"/>
    <w:rsid w:val="004C6A08"/>
    <w:rsid w:val="004C6A39"/>
    <w:rsid w:val="004C6A64"/>
    <w:rsid w:val="004C6A9A"/>
    <w:rsid w:val="004C6C8B"/>
    <w:rsid w:val="004C6D97"/>
    <w:rsid w:val="004C6DC5"/>
    <w:rsid w:val="004C6DF6"/>
    <w:rsid w:val="004C6E0F"/>
    <w:rsid w:val="004C6E1A"/>
    <w:rsid w:val="004C6FC7"/>
    <w:rsid w:val="004C70DE"/>
    <w:rsid w:val="004C7109"/>
    <w:rsid w:val="004C71B5"/>
    <w:rsid w:val="004C71D1"/>
    <w:rsid w:val="004C727F"/>
    <w:rsid w:val="004C72C6"/>
    <w:rsid w:val="004C731F"/>
    <w:rsid w:val="004C732F"/>
    <w:rsid w:val="004C7392"/>
    <w:rsid w:val="004C741C"/>
    <w:rsid w:val="004C743D"/>
    <w:rsid w:val="004C7459"/>
    <w:rsid w:val="004C7487"/>
    <w:rsid w:val="004C7507"/>
    <w:rsid w:val="004C76F4"/>
    <w:rsid w:val="004C76F5"/>
    <w:rsid w:val="004C7749"/>
    <w:rsid w:val="004C77B9"/>
    <w:rsid w:val="004C77C4"/>
    <w:rsid w:val="004C77FD"/>
    <w:rsid w:val="004C78E9"/>
    <w:rsid w:val="004C7971"/>
    <w:rsid w:val="004C7A4A"/>
    <w:rsid w:val="004C7A9B"/>
    <w:rsid w:val="004C7ABA"/>
    <w:rsid w:val="004C7B91"/>
    <w:rsid w:val="004C7C0E"/>
    <w:rsid w:val="004C7CA9"/>
    <w:rsid w:val="004C7CD8"/>
    <w:rsid w:val="004C7D6A"/>
    <w:rsid w:val="004C7D82"/>
    <w:rsid w:val="004C7DF1"/>
    <w:rsid w:val="004C7E60"/>
    <w:rsid w:val="004C7F97"/>
    <w:rsid w:val="004D0009"/>
    <w:rsid w:val="004D00B2"/>
    <w:rsid w:val="004D00C0"/>
    <w:rsid w:val="004D0141"/>
    <w:rsid w:val="004D016D"/>
    <w:rsid w:val="004D01AB"/>
    <w:rsid w:val="004D01DB"/>
    <w:rsid w:val="004D01E4"/>
    <w:rsid w:val="004D0244"/>
    <w:rsid w:val="004D0292"/>
    <w:rsid w:val="004D03CC"/>
    <w:rsid w:val="004D0406"/>
    <w:rsid w:val="004D0505"/>
    <w:rsid w:val="004D0541"/>
    <w:rsid w:val="004D055F"/>
    <w:rsid w:val="004D06B2"/>
    <w:rsid w:val="004D06C1"/>
    <w:rsid w:val="004D0720"/>
    <w:rsid w:val="004D081B"/>
    <w:rsid w:val="004D0921"/>
    <w:rsid w:val="004D09F0"/>
    <w:rsid w:val="004D0A8B"/>
    <w:rsid w:val="004D0AFD"/>
    <w:rsid w:val="004D0B60"/>
    <w:rsid w:val="004D0B6F"/>
    <w:rsid w:val="004D0BA4"/>
    <w:rsid w:val="004D0C45"/>
    <w:rsid w:val="004D0C72"/>
    <w:rsid w:val="004D0CE6"/>
    <w:rsid w:val="004D0D66"/>
    <w:rsid w:val="004D0DC9"/>
    <w:rsid w:val="004D0E2C"/>
    <w:rsid w:val="004D0EEC"/>
    <w:rsid w:val="004D0F23"/>
    <w:rsid w:val="004D0F54"/>
    <w:rsid w:val="004D0FE9"/>
    <w:rsid w:val="004D1003"/>
    <w:rsid w:val="004D10C4"/>
    <w:rsid w:val="004D10EE"/>
    <w:rsid w:val="004D115B"/>
    <w:rsid w:val="004D1253"/>
    <w:rsid w:val="004D1271"/>
    <w:rsid w:val="004D1336"/>
    <w:rsid w:val="004D14B3"/>
    <w:rsid w:val="004D1588"/>
    <w:rsid w:val="004D15B7"/>
    <w:rsid w:val="004D160C"/>
    <w:rsid w:val="004D16CA"/>
    <w:rsid w:val="004D1719"/>
    <w:rsid w:val="004D1802"/>
    <w:rsid w:val="004D1891"/>
    <w:rsid w:val="004D191D"/>
    <w:rsid w:val="004D1921"/>
    <w:rsid w:val="004D199A"/>
    <w:rsid w:val="004D19C0"/>
    <w:rsid w:val="004D1A06"/>
    <w:rsid w:val="004D1A0E"/>
    <w:rsid w:val="004D1AC0"/>
    <w:rsid w:val="004D1B81"/>
    <w:rsid w:val="004D1C01"/>
    <w:rsid w:val="004D1D22"/>
    <w:rsid w:val="004D1D3F"/>
    <w:rsid w:val="004D1D42"/>
    <w:rsid w:val="004D1D44"/>
    <w:rsid w:val="004D1E5D"/>
    <w:rsid w:val="004D1E89"/>
    <w:rsid w:val="004D1FB3"/>
    <w:rsid w:val="004D1FD3"/>
    <w:rsid w:val="004D1FEC"/>
    <w:rsid w:val="004D1FF0"/>
    <w:rsid w:val="004D2003"/>
    <w:rsid w:val="004D206D"/>
    <w:rsid w:val="004D20A4"/>
    <w:rsid w:val="004D20C6"/>
    <w:rsid w:val="004D213E"/>
    <w:rsid w:val="004D2151"/>
    <w:rsid w:val="004D21C3"/>
    <w:rsid w:val="004D21F0"/>
    <w:rsid w:val="004D2267"/>
    <w:rsid w:val="004D22B3"/>
    <w:rsid w:val="004D2319"/>
    <w:rsid w:val="004D2344"/>
    <w:rsid w:val="004D23C4"/>
    <w:rsid w:val="004D23E7"/>
    <w:rsid w:val="004D23EA"/>
    <w:rsid w:val="004D241C"/>
    <w:rsid w:val="004D2449"/>
    <w:rsid w:val="004D248E"/>
    <w:rsid w:val="004D24C4"/>
    <w:rsid w:val="004D2514"/>
    <w:rsid w:val="004D2525"/>
    <w:rsid w:val="004D254B"/>
    <w:rsid w:val="004D255C"/>
    <w:rsid w:val="004D270C"/>
    <w:rsid w:val="004D278F"/>
    <w:rsid w:val="004D2793"/>
    <w:rsid w:val="004D281D"/>
    <w:rsid w:val="004D2840"/>
    <w:rsid w:val="004D2860"/>
    <w:rsid w:val="004D2868"/>
    <w:rsid w:val="004D2894"/>
    <w:rsid w:val="004D28A2"/>
    <w:rsid w:val="004D28B5"/>
    <w:rsid w:val="004D28D0"/>
    <w:rsid w:val="004D2906"/>
    <w:rsid w:val="004D2989"/>
    <w:rsid w:val="004D29DA"/>
    <w:rsid w:val="004D2A6B"/>
    <w:rsid w:val="004D2A78"/>
    <w:rsid w:val="004D2A7C"/>
    <w:rsid w:val="004D2A93"/>
    <w:rsid w:val="004D2A9A"/>
    <w:rsid w:val="004D2B4E"/>
    <w:rsid w:val="004D2B5C"/>
    <w:rsid w:val="004D2BA4"/>
    <w:rsid w:val="004D2BAA"/>
    <w:rsid w:val="004D2BE9"/>
    <w:rsid w:val="004D2D15"/>
    <w:rsid w:val="004D2DAB"/>
    <w:rsid w:val="004D2DBC"/>
    <w:rsid w:val="004D2DFE"/>
    <w:rsid w:val="004D2E73"/>
    <w:rsid w:val="004D2E98"/>
    <w:rsid w:val="004D2F09"/>
    <w:rsid w:val="004D2F4E"/>
    <w:rsid w:val="004D2FE3"/>
    <w:rsid w:val="004D2FFD"/>
    <w:rsid w:val="004D3017"/>
    <w:rsid w:val="004D3047"/>
    <w:rsid w:val="004D308F"/>
    <w:rsid w:val="004D315E"/>
    <w:rsid w:val="004D318E"/>
    <w:rsid w:val="004D3258"/>
    <w:rsid w:val="004D32A9"/>
    <w:rsid w:val="004D32C6"/>
    <w:rsid w:val="004D32E9"/>
    <w:rsid w:val="004D34B2"/>
    <w:rsid w:val="004D3579"/>
    <w:rsid w:val="004D35D8"/>
    <w:rsid w:val="004D361A"/>
    <w:rsid w:val="004D3636"/>
    <w:rsid w:val="004D3692"/>
    <w:rsid w:val="004D36EA"/>
    <w:rsid w:val="004D3792"/>
    <w:rsid w:val="004D37BA"/>
    <w:rsid w:val="004D37C5"/>
    <w:rsid w:val="004D3825"/>
    <w:rsid w:val="004D3936"/>
    <w:rsid w:val="004D39A6"/>
    <w:rsid w:val="004D3A5A"/>
    <w:rsid w:val="004D3A79"/>
    <w:rsid w:val="004D3B4E"/>
    <w:rsid w:val="004D3BB7"/>
    <w:rsid w:val="004D3BE7"/>
    <w:rsid w:val="004D3C2F"/>
    <w:rsid w:val="004D3C32"/>
    <w:rsid w:val="004D3CAB"/>
    <w:rsid w:val="004D3CB4"/>
    <w:rsid w:val="004D3CB9"/>
    <w:rsid w:val="004D3DA9"/>
    <w:rsid w:val="004D3E03"/>
    <w:rsid w:val="004D3E0D"/>
    <w:rsid w:val="004D3F20"/>
    <w:rsid w:val="004D3F2D"/>
    <w:rsid w:val="004D40C8"/>
    <w:rsid w:val="004D40F3"/>
    <w:rsid w:val="004D41E9"/>
    <w:rsid w:val="004D41EF"/>
    <w:rsid w:val="004D4200"/>
    <w:rsid w:val="004D4287"/>
    <w:rsid w:val="004D433C"/>
    <w:rsid w:val="004D4416"/>
    <w:rsid w:val="004D450D"/>
    <w:rsid w:val="004D45A9"/>
    <w:rsid w:val="004D46A9"/>
    <w:rsid w:val="004D4728"/>
    <w:rsid w:val="004D477C"/>
    <w:rsid w:val="004D4842"/>
    <w:rsid w:val="004D4900"/>
    <w:rsid w:val="004D4968"/>
    <w:rsid w:val="004D4981"/>
    <w:rsid w:val="004D498D"/>
    <w:rsid w:val="004D49D8"/>
    <w:rsid w:val="004D4AC4"/>
    <w:rsid w:val="004D4B5E"/>
    <w:rsid w:val="004D4B6A"/>
    <w:rsid w:val="004D4C05"/>
    <w:rsid w:val="004D4C36"/>
    <w:rsid w:val="004D4D34"/>
    <w:rsid w:val="004D4DFD"/>
    <w:rsid w:val="004D5056"/>
    <w:rsid w:val="004D5060"/>
    <w:rsid w:val="004D514D"/>
    <w:rsid w:val="004D5164"/>
    <w:rsid w:val="004D5239"/>
    <w:rsid w:val="004D5367"/>
    <w:rsid w:val="004D53E3"/>
    <w:rsid w:val="004D53EB"/>
    <w:rsid w:val="004D546F"/>
    <w:rsid w:val="004D549C"/>
    <w:rsid w:val="004D5517"/>
    <w:rsid w:val="004D55BD"/>
    <w:rsid w:val="004D55BF"/>
    <w:rsid w:val="004D55ED"/>
    <w:rsid w:val="004D5617"/>
    <w:rsid w:val="004D5691"/>
    <w:rsid w:val="004D570D"/>
    <w:rsid w:val="004D5791"/>
    <w:rsid w:val="004D58EF"/>
    <w:rsid w:val="004D596D"/>
    <w:rsid w:val="004D5992"/>
    <w:rsid w:val="004D5A42"/>
    <w:rsid w:val="004D5A58"/>
    <w:rsid w:val="004D5A76"/>
    <w:rsid w:val="004D5AA1"/>
    <w:rsid w:val="004D5AE0"/>
    <w:rsid w:val="004D5AE2"/>
    <w:rsid w:val="004D5AFB"/>
    <w:rsid w:val="004D5B03"/>
    <w:rsid w:val="004D5B35"/>
    <w:rsid w:val="004D5BA6"/>
    <w:rsid w:val="004D5BAA"/>
    <w:rsid w:val="004D5C75"/>
    <w:rsid w:val="004D5DB0"/>
    <w:rsid w:val="004D5DC3"/>
    <w:rsid w:val="004D5DC7"/>
    <w:rsid w:val="004D5DC8"/>
    <w:rsid w:val="004D5DE4"/>
    <w:rsid w:val="004D5E34"/>
    <w:rsid w:val="004D5E66"/>
    <w:rsid w:val="004D5EF7"/>
    <w:rsid w:val="004D5F63"/>
    <w:rsid w:val="004D6014"/>
    <w:rsid w:val="004D60EE"/>
    <w:rsid w:val="004D6166"/>
    <w:rsid w:val="004D62B8"/>
    <w:rsid w:val="004D62BE"/>
    <w:rsid w:val="004D62CB"/>
    <w:rsid w:val="004D62EA"/>
    <w:rsid w:val="004D6355"/>
    <w:rsid w:val="004D6375"/>
    <w:rsid w:val="004D65F9"/>
    <w:rsid w:val="004D6662"/>
    <w:rsid w:val="004D6698"/>
    <w:rsid w:val="004D66B9"/>
    <w:rsid w:val="004D673A"/>
    <w:rsid w:val="004D67B3"/>
    <w:rsid w:val="004D67CB"/>
    <w:rsid w:val="004D6843"/>
    <w:rsid w:val="004D69C0"/>
    <w:rsid w:val="004D6A17"/>
    <w:rsid w:val="004D6ACB"/>
    <w:rsid w:val="004D6C40"/>
    <w:rsid w:val="004D6D27"/>
    <w:rsid w:val="004D6D4B"/>
    <w:rsid w:val="004D6D57"/>
    <w:rsid w:val="004D6DBA"/>
    <w:rsid w:val="004D6DFA"/>
    <w:rsid w:val="004D6E20"/>
    <w:rsid w:val="004D6FE1"/>
    <w:rsid w:val="004D7056"/>
    <w:rsid w:val="004D70E1"/>
    <w:rsid w:val="004D70F4"/>
    <w:rsid w:val="004D7147"/>
    <w:rsid w:val="004D7153"/>
    <w:rsid w:val="004D723E"/>
    <w:rsid w:val="004D7249"/>
    <w:rsid w:val="004D72B7"/>
    <w:rsid w:val="004D735C"/>
    <w:rsid w:val="004D739E"/>
    <w:rsid w:val="004D73AD"/>
    <w:rsid w:val="004D73FB"/>
    <w:rsid w:val="004D7472"/>
    <w:rsid w:val="004D7478"/>
    <w:rsid w:val="004D7575"/>
    <w:rsid w:val="004D7636"/>
    <w:rsid w:val="004D7647"/>
    <w:rsid w:val="004D76BA"/>
    <w:rsid w:val="004D789B"/>
    <w:rsid w:val="004D78D8"/>
    <w:rsid w:val="004D78EA"/>
    <w:rsid w:val="004D7913"/>
    <w:rsid w:val="004D7A92"/>
    <w:rsid w:val="004D7B94"/>
    <w:rsid w:val="004D7C3C"/>
    <w:rsid w:val="004D7CB4"/>
    <w:rsid w:val="004D7D06"/>
    <w:rsid w:val="004D7D31"/>
    <w:rsid w:val="004D7DD0"/>
    <w:rsid w:val="004D7F4D"/>
    <w:rsid w:val="004D7F9D"/>
    <w:rsid w:val="004D7FC1"/>
    <w:rsid w:val="004D7FF7"/>
    <w:rsid w:val="004E0011"/>
    <w:rsid w:val="004E0042"/>
    <w:rsid w:val="004E0065"/>
    <w:rsid w:val="004E006C"/>
    <w:rsid w:val="004E00C9"/>
    <w:rsid w:val="004E00DD"/>
    <w:rsid w:val="004E00E8"/>
    <w:rsid w:val="004E00F3"/>
    <w:rsid w:val="004E00FC"/>
    <w:rsid w:val="004E0127"/>
    <w:rsid w:val="004E01E5"/>
    <w:rsid w:val="004E0215"/>
    <w:rsid w:val="004E0340"/>
    <w:rsid w:val="004E0469"/>
    <w:rsid w:val="004E047B"/>
    <w:rsid w:val="004E04D9"/>
    <w:rsid w:val="004E04DD"/>
    <w:rsid w:val="004E0618"/>
    <w:rsid w:val="004E06B1"/>
    <w:rsid w:val="004E06C3"/>
    <w:rsid w:val="004E07C8"/>
    <w:rsid w:val="004E081B"/>
    <w:rsid w:val="004E08A8"/>
    <w:rsid w:val="004E08CA"/>
    <w:rsid w:val="004E0915"/>
    <w:rsid w:val="004E092E"/>
    <w:rsid w:val="004E0969"/>
    <w:rsid w:val="004E09C5"/>
    <w:rsid w:val="004E0A06"/>
    <w:rsid w:val="004E0A7B"/>
    <w:rsid w:val="004E0ACD"/>
    <w:rsid w:val="004E0AE7"/>
    <w:rsid w:val="004E0AFF"/>
    <w:rsid w:val="004E0B2E"/>
    <w:rsid w:val="004E0C1E"/>
    <w:rsid w:val="004E0C5F"/>
    <w:rsid w:val="004E0CA7"/>
    <w:rsid w:val="004E0CB7"/>
    <w:rsid w:val="004E0CD3"/>
    <w:rsid w:val="004E0D08"/>
    <w:rsid w:val="004E0E6C"/>
    <w:rsid w:val="004E0EB6"/>
    <w:rsid w:val="004E0F21"/>
    <w:rsid w:val="004E0F27"/>
    <w:rsid w:val="004E0F54"/>
    <w:rsid w:val="004E0F83"/>
    <w:rsid w:val="004E10FD"/>
    <w:rsid w:val="004E11F7"/>
    <w:rsid w:val="004E1226"/>
    <w:rsid w:val="004E123D"/>
    <w:rsid w:val="004E12A8"/>
    <w:rsid w:val="004E1308"/>
    <w:rsid w:val="004E137A"/>
    <w:rsid w:val="004E13C8"/>
    <w:rsid w:val="004E13E7"/>
    <w:rsid w:val="004E13ED"/>
    <w:rsid w:val="004E1467"/>
    <w:rsid w:val="004E14AF"/>
    <w:rsid w:val="004E14B9"/>
    <w:rsid w:val="004E14C4"/>
    <w:rsid w:val="004E1584"/>
    <w:rsid w:val="004E15F6"/>
    <w:rsid w:val="004E175F"/>
    <w:rsid w:val="004E1782"/>
    <w:rsid w:val="004E17BC"/>
    <w:rsid w:val="004E18FF"/>
    <w:rsid w:val="004E190F"/>
    <w:rsid w:val="004E192E"/>
    <w:rsid w:val="004E19C7"/>
    <w:rsid w:val="004E19D0"/>
    <w:rsid w:val="004E1B13"/>
    <w:rsid w:val="004E1C83"/>
    <w:rsid w:val="004E1CBD"/>
    <w:rsid w:val="004E1DFF"/>
    <w:rsid w:val="004E1EBB"/>
    <w:rsid w:val="004E1EBE"/>
    <w:rsid w:val="004E1EC6"/>
    <w:rsid w:val="004E1EE0"/>
    <w:rsid w:val="004E1FAE"/>
    <w:rsid w:val="004E1FD5"/>
    <w:rsid w:val="004E208D"/>
    <w:rsid w:val="004E20E5"/>
    <w:rsid w:val="004E21F8"/>
    <w:rsid w:val="004E2280"/>
    <w:rsid w:val="004E22B2"/>
    <w:rsid w:val="004E2393"/>
    <w:rsid w:val="004E23F7"/>
    <w:rsid w:val="004E2402"/>
    <w:rsid w:val="004E24F5"/>
    <w:rsid w:val="004E25A3"/>
    <w:rsid w:val="004E25C7"/>
    <w:rsid w:val="004E2657"/>
    <w:rsid w:val="004E26A0"/>
    <w:rsid w:val="004E26B3"/>
    <w:rsid w:val="004E26F5"/>
    <w:rsid w:val="004E2728"/>
    <w:rsid w:val="004E2750"/>
    <w:rsid w:val="004E278A"/>
    <w:rsid w:val="004E2801"/>
    <w:rsid w:val="004E2835"/>
    <w:rsid w:val="004E294A"/>
    <w:rsid w:val="004E2A09"/>
    <w:rsid w:val="004E2A5C"/>
    <w:rsid w:val="004E2BA2"/>
    <w:rsid w:val="004E2BBD"/>
    <w:rsid w:val="004E2C5B"/>
    <w:rsid w:val="004E2D19"/>
    <w:rsid w:val="004E2D1F"/>
    <w:rsid w:val="004E2D65"/>
    <w:rsid w:val="004E2D8A"/>
    <w:rsid w:val="004E2E68"/>
    <w:rsid w:val="004E2E82"/>
    <w:rsid w:val="004E2EDA"/>
    <w:rsid w:val="004E2F0F"/>
    <w:rsid w:val="004E2F49"/>
    <w:rsid w:val="004E2FB6"/>
    <w:rsid w:val="004E2FD4"/>
    <w:rsid w:val="004E3041"/>
    <w:rsid w:val="004E318F"/>
    <w:rsid w:val="004E3198"/>
    <w:rsid w:val="004E3202"/>
    <w:rsid w:val="004E323C"/>
    <w:rsid w:val="004E323D"/>
    <w:rsid w:val="004E32A1"/>
    <w:rsid w:val="004E3339"/>
    <w:rsid w:val="004E335B"/>
    <w:rsid w:val="004E343E"/>
    <w:rsid w:val="004E34CF"/>
    <w:rsid w:val="004E34DF"/>
    <w:rsid w:val="004E3588"/>
    <w:rsid w:val="004E35BC"/>
    <w:rsid w:val="004E35CB"/>
    <w:rsid w:val="004E36E8"/>
    <w:rsid w:val="004E37FC"/>
    <w:rsid w:val="004E3852"/>
    <w:rsid w:val="004E38FF"/>
    <w:rsid w:val="004E3A2F"/>
    <w:rsid w:val="004E3BAA"/>
    <w:rsid w:val="004E3BD7"/>
    <w:rsid w:val="004E3C7C"/>
    <w:rsid w:val="004E3D1A"/>
    <w:rsid w:val="004E3D41"/>
    <w:rsid w:val="004E3D6D"/>
    <w:rsid w:val="004E3E00"/>
    <w:rsid w:val="004E3ED6"/>
    <w:rsid w:val="004E3F16"/>
    <w:rsid w:val="004E3F28"/>
    <w:rsid w:val="004E401B"/>
    <w:rsid w:val="004E4092"/>
    <w:rsid w:val="004E4119"/>
    <w:rsid w:val="004E412A"/>
    <w:rsid w:val="004E412F"/>
    <w:rsid w:val="004E415A"/>
    <w:rsid w:val="004E424E"/>
    <w:rsid w:val="004E4306"/>
    <w:rsid w:val="004E4356"/>
    <w:rsid w:val="004E4502"/>
    <w:rsid w:val="004E4565"/>
    <w:rsid w:val="004E4577"/>
    <w:rsid w:val="004E46FD"/>
    <w:rsid w:val="004E47B3"/>
    <w:rsid w:val="004E47B4"/>
    <w:rsid w:val="004E47C2"/>
    <w:rsid w:val="004E47FF"/>
    <w:rsid w:val="004E48E6"/>
    <w:rsid w:val="004E49E3"/>
    <w:rsid w:val="004E4A83"/>
    <w:rsid w:val="004E4AB3"/>
    <w:rsid w:val="004E4AE0"/>
    <w:rsid w:val="004E4BDD"/>
    <w:rsid w:val="004E4C15"/>
    <w:rsid w:val="004E4C6C"/>
    <w:rsid w:val="004E4CEE"/>
    <w:rsid w:val="004E4D23"/>
    <w:rsid w:val="004E4D34"/>
    <w:rsid w:val="004E4D5E"/>
    <w:rsid w:val="004E4D77"/>
    <w:rsid w:val="004E4E44"/>
    <w:rsid w:val="004E4EF4"/>
    <w:rsid w:val="004E4EF5"/>
    <w:rsid w:val="004E4F5E"/>
    <w:rsid w:val="004E5020"/>
    <w:rsid w:val="004E5043"/>
    <w:rsid w:val="004E5045"/>
    <w:rsid w:val="004E50F7"/>
    <w:rsid w:val="004E5180"/>
    <w:rsid w:val="004E5217"/>
    <w:rsid w:val="004E52FC"/>
    <w:rsid w:val="004E534B"/>
    <w:rsid w:val="004E53C7"/>
    <w:rsid w:val="004E53F4"/>
    <w:rsid w:val="004E53FF"/>
    <w:rsid w:val="004E5491"/>
    <w:rsid w:val="004E55D5"/>
    <w:rsid w:val="004E55EA"/>
    <w:rsid w:val="004E5718"/>
    <w:rsid w:val="004E58D2"/>
    <w:rsid w:val="004E58FD"/>
    <w:rsid w:val="004E5907"/>
    <w:rsid w:val="004E5AA0"/>
    <w:rsid w:val="004E5AD1"/>
    <w:rsid w:val="004E5BBC"/>
    <w:rsid w:val="004E5C24"/>
    <w:rsid w:val="004E5C82"/>
    <w:rsid w:val="004E5C86"/>
    <w:rsid w:val="004E5C8A"/>
    <w:rsid w:val="004E5CDB"/>
    <w:rsid w:val="004E5D0F"/>
    <w:rsid w:val="004E5DB0"/>
    <w:rsid w:val="004E5E5D"/>
    <w:rsid w:val="004E5E80"/>
    <w:rsid w:val="004E5EB5"/>
    <w:rsid w:val="004E5F58"/>
    <w:rsid w:val="004E6100"/>
    <w:rsid w:val="004E613D"/>
    <w:rsid w:val="004E617B"/>
    <w:rsid w:val="004E6434"/>
    <w:rsid w:val="004E6481"/>
    <w:rsid w:val="004E648B"/>
    <w:rsid w:val="004E650D"/>
    <w:rsid w:val="004E650E"/>
    <w:rsid w:val="004E659A"/>
    <w:rsid w:val="004E65A3"/>
    <w:rsid w:val="004E65DD"/>
    <w:rsid w:val="004E65E1"/>
    <w:rsid w:val="004E66A9"/>
    <w:rsid w:val="004E66B9"/>
    <w:rsid w:val="004E66CB"/>
    <w:rsid w:val="004E676F"/>
    <w:rsid w:val="004E6791"/>
    <w:rsid w:val="004E68FF"/>
    <w:rsid w:val="004E695C"/>
    <w:rsid w:val="004E696E"/>
    <w:rsid w:val="004E6A43"/>
    <w:rsid w:val="004E6A83"/>
    <w:rsid w:val="004E6AE0"/>
    <w:rsid w:val="004E6AE7"/>
    <w:rsid w:val="004E6B3B"/>
    <w:rsid w:val="004E6B3C"/>
    <w:rsid w:val="004E6B49"/>
    <w:rsid w:val="004E6B52"/>
    <w:rsid w:val="004E6C5E"/>
    <w:rsid w:val="004E6CAB"/>
    <w:rsid w:val="004E6D02"/>
    <w:rsid w:val="004E6D07"/>
    <w:rsid w:val="004E6D60"/>
    <w:rsid w:val="004E6D70"/>
    <w:rsid w:val="004E6DDA"/>
    <w:rsid w:val="004E6ED3"/>
    <w:rsid w:val="004E702E"/>
    <w:rsid w:val="004E722D"/>
    <w:rsid w:val="004E726A"/>
    <w:rsid w:val="004E727E"/>
    <w:rsid w:val="004E72A0"/>
    <w:rsid w:val="004E7309"/>
    <w:rsid w:val="004E7312"/>
    <w:rsid w:val="004E735E"/>
    <w:rsid w:val="004E7373"/>
    <w:rsid w:val="004E73AF"/>
    <w:rsid w:val="004E73D8"/>
    <w:rsid w:val="004E73FF"/>
    <w:rsid w:val="004E7447"/>
    <w:rsid w:val="004E744B"/>
    <w:rsid w:val="004E7519"/>
    <w:rsid w:val="004E7684"/>
    <w:rsid w:val="004E7731"/>
    <w:rsid w:val="004E7812"/>
    <w:rsid w:val="004E788B"/>
    <w:rsid w:val="004E7A68"/>
    <w:rsid w:val="004E7A9E"/>
    <w:rsid w:val="004E7AE3"/>
    <w:rsid w:val="004E7B73"/>
    <w:rsid w:val="004E7BC1"/>
    <w:rsid w:val="004E7BD2"/>
    <w:rsid w:val="004E7C78"/>
    <w:rsid w:val="004E7C79"/>
    <w:rsid w:val="004E7CD6"/>
    <w:rsid w:val="004E7D10"/>
    <w:rsid w:val="004E7D9B"/>
    <w:rsid w:val="004E7E02"/>
    <w:rsid w:val="004E7E57"/>
    <w:rsid w:val="004E7EBB"/>
    <w:rsid w:val="004F0006"/>
    <w:rsid w:val="004F0028"/>
    <w:rsid w:val="004F005E"/>
    <w:rsid w:val="004F00E2"/>
    <w:rsid w:val="004F024C"/>
    <w:rsid w:val="004F025B"/>
    <w:rsid w:val="004F02D0"/>
    <w:rsid w:val="004F03CB"/>
    <w:rsid w:val="004F04CC"/>
    <w:rsid w:val="004F060F"/>
    <w:rsid w:val="004F06F0"/>
    <w:rsid w:val="004F0706"/>
    <w:rsid w:val="004F0821"/>
    <w:rsid w:val="004F08F1"/>
    <w:rsid w:val="004F09EB"/>
    <w:rsid w:val="004F0A59"/>
    <w:rsid w:val="004F0A70"/>
    <w:rsid w:val="004F0AE1"/>
    <w:rsid w:val="004F0B00"/>
    <w:rsid w:val="004F0C2A"/>
    <w:rsid w:val="004F0C5C"/>
    <w:rsid w:val="004F0C65"/>
    <w:rsid w:val="004F0CDA"/>
    <w:rsid w:val="004F0CE4"/>
    <w:rsid w:val="004F0CEF"/>
    <w:rsid w:val="004F0DD5"/>
    <w:rsid w:val="004F0DDB"/>
    <w:rsid w:val="004F0DFD"/>
    <w:rsid w:val="004F0E0B"/>
    <w:rsid w:val="004F0E66"/>
    <w:rsid w:val="004F0E76"/>
    <w:rsid w:val="004F0EAD"/>
    <w:rsid w:val="004F0F29"/>
    <w:rsid w:val="004F0F89"/>
    <w:rsid w:val="004F0F93"/>
    <w:rsid w:val="004F1034"/>
    <w:rsid w:val="004F104A"/>
    <w:rsid w:val="004F1065"/>
    <w:rsid w:val="004F11E3"/>
    <w:rsid w:val="004F128F"/>
    <w:rsid w:val="004F1299"/>
    <w:rsid w:val="004F12A7"/>
    <w:rsid w:val="004F1376"/>
    <w:rsid w:val="004F138A"/>
    <w:rsid w:val="004F1413"/>
    <w:rsid w:val="004F1420"/>
    <w:rsid w:val="004F151B"/>
    <w:rsid w:val="004F151F"/>
    <w:rsid w:val="004F1571"/>
    <w:rsid w:val="004F1607"/>
    <w:rsid w:val="004F1620"/>
    <w:rsid w:val="004F1621"/>
    <w:rsid w:val="004F1629"/>
    <w:rsid w:val="004F163B"/>
    <w:rsid w:val="004F1782"/>
    <w:rsid w:val="004F17A7"/>
    <w:rsid w:val="004F17AD"/>
    <w:rsid w:val="004F19CF"/>
    <w:rsid w:val="004F19E9"/>
    <w:rsid w:val="004F1C37"/>
    <w:rsid w:val="004F1C44"/>
    <w:rsid w:val="004F1CAD"/>
    <w:rsid w:val="004F1CCD"/>
    <w:rsid w:val="004F1D2E"/>
    <w:rsid w:val="004F1DD9"/>
    <w:rsid w:val="004F1E65"/>
    <w:rsid w:val="004F1EA8"/>
    <w:rsid w:val="004F1ECE"/>
    <w:rsid w:val="004F2095"/>
    <w:rsid w:val="004F20A7"/>
    <w:rsid w:val="004F20CF"/>
    <w:rsid w:val="004F211D"/>
    <w:rsid w:val="004F2124"/>
    <w:rsid w:val="004F218C"/>
    <w:rsid w:val="004F21AF"/>
    <w:rsid w:val="004F2206"/>
    <w:rsid w:val="004F2221"/>
    <w:rsid w:val="004F222A"/>
    <w:rsid w:val="004F23CC"/>
    <w:rsid w:val="004F2420"/>
    <w:rsid w:val="004F2493"/>
    <w:rsid w:val="004F24BA"/>
    <w:rsid w:val="004F25EE"/>
    <w:rsid w:val="004F2607"/>
    <w:rsid w:val="004F2662"/>
    <w:rsid w:val="004F2792"/>
    <w:rsid w:val="004F2917"/>
    <w:rsid w:val="004F2992"/>
    <w:rsid w:val="004F2AC6"/>
    <w:rsid w:val="004F2C0B"/>
    <w:rsid w:val="004F2C0E"/>
    <w:rsid w:val="004F2C1A"/>
    <w:rsid w:val="004F2C46"/>
    <w:rsid w:val="004F2C54"/>
    <w:rsid w:val="004F2D09"/>
    <w:rsid w:val="004F2D3D"/>
    <w:rsid w:val="004F2D93"/>
    <w:rsid w:val="004F3093"/>
    <w:rsid w:val="004F3179"/>
    <w:rsid w:val="004F3288"/>
    <w:rsid w:val="004F3313"/>
    <w:rsid w:val="004F3409"/>
    <w:rsid w:val="004F3420"/>
    <w:rsid w:val="004F3454"/>
    <w:rsid w:val="004F35E2"/>
    <w:rsid w:val="004F36B6"/>
    <w:rsid w:val="004F3704"/>
    <w:rsid w:val="004F3735"/>
    <w:rsid w:val="004F37DF"/>
    <w:rsid w:val="004F3886"/>
    <w:rsid w:val="004F3889"/>
    <w:rsid w:val="004F38B6"/>
    <w:rsid w:val="004F38C4"/>
    <w:rsid w:val="004F38C5"/>
    <w:rsid w:val="004F38FF"/>
    <w:rsid w:val="004F395B"/>
    <w:rsid w:val="004F398A"/>
    <w:rsid w:val="004F39A6"/>
    <w:rsid w:val="004F3A0C"/>
    <w:rsid w:val="004F3B02"/>
    <w:rsid w:val="004F3C77"/>
    <w:rsid w:val="004F3C83"/>
    <w:rsid w:val="004F3C88"/>
    <w:rsid w:val="004F3C96"/>
    <w:rsid w:val="004F3CE8"/>
    <w:rsid w:val="004F3D2A"/>
    <w:rsid w:val="004F3D4D"/>
    <w:rsid w:val="004F3DF8"/>
    <w:rsid w:val="004F3F0D"/>
    <w:rsid w:val="004F3F7F"/>
    <w:rsid w:val="004F3FAE"/>
    <w:rsid w:val="004F401B"/>
    <w:rsid w:val="004F4059"/>
    <w:rsid w:val="004F40D6"/>
    <w:rsid w:val="004F41C4"/>
    <w:rsid w:val="004F428C"/>
    <w:rsid w:val="004F4333"/>
    <w:rsid w:val="004F437C"/>
    <w:rsid w:val="004F43A8"/>
    <w:rsid w:val="004F4540"/>
    <w:rsid w:val="004F4604"/>
    <w:rsid w:val="004F4606"/>
    <w:rsid w:val="004F46E5"/>
    <w:rsid w:val="004F474D"/>
    <w:rsid w:val="004F4860"/>
    <w:rsid w:val="004F4898"/>
    <w:rsid w:val="004F4C17"/>
    <w:rsid w:val="004F4CAA"/>
    <w:rsid w:val="004F4D97"/>
    <w:rsid w:val="004F4DD2"/>
    <w:rsid w:val="004F4DE2"/>
    <w:rsid w:val="004F4E23"/>
    <w:rsid w:val="004F4E37"/>
    <w:rsid w:val="004F4F9F"/>
    <w:rsid w:val="004F5019"/>
    <w:rsid w:val="004F5139"/>
    <w:rsid w:val="004F514F"/>
    <w:rsid w:val="004F515B"/>
    <w:rsid w:val="004F5256"/>
    <w:rsid w:val="004F5281"/>
    <w:rsid w:val="004F533C"/>
    <w:rsid w:val="004F537B"/>
    <w:rsid w:val="004F54C4"/>
    <w:rsid w:val="004F5522"/>
    <w:rsid w:val="004F55C9"/>
    <w:rsid w:val="004F564B"/>
    <w:rsid w:val="004F5682"/>
    <w:rsid w:val="004F56A7"/>
    <w:rsid w:val="004F5714"/>
    <w:rsid w:val="004F5771"/>
    <w:rsid w:val="004F5794"/>
    <w:rsid w:val="004F57BE"/>
    <w:rsid w:val="004F57C7"/>
    <w:rsid w:val="004F57FC"/>
    <w:rsid w:val="004F5979"/>
    <w:rsid w:val="004F5A8A"/>
    <w:rsid w:val="004F5AF2"/>
    <w:rsid w:val="004F5B0A"/>
    <w:rsid w:val="004F5B13"/>
    <w:rsid w:val="004F5B6E"/>
    <w:rsid w:val="004F5BC3"/>
    <w:rsid w:val="004F5BD3"/>
    <w:rsid w:val="004F5C8A"/>
    <w:rsid w:val="004F5CA3"/>
    <w:rsid w:val="004F5DFA"/>
    <w:rsid w:val="004F5DFE"/>
    <w:rsid w:val="004F5E19"/>
    <w:rsid w:val="004F5ED2"/>
    <w:rsid w:val="004F5EF4"/>
    <w:rsid w:val="004F6007"/>
    <w:rsid w:val="004F60E2"/>
    <w:rsid w:val="004F60FF"/>
    <w:rsid w:val="004F6108"/>
    <w:rsid w:val="004F6112"/>
    <w:rsid w:val="004F61EA"/>
    <w:rsid w:val="004F622E"/>
    <w:rsid w:val="004F6251"/>
    <w:rsid w:val="004F62F0"/>
    <w:rsid w:val="004F6392"/>
    <w:rsid w:val="004F63CB"/>
    <w:rsid w:val="004F643A"/>
    <w:rsid w:val="004F6561"/>
    <w:rsid w:val="004F6672"/>
    <w:rsid w:val="004F668D"/>
    <w:rsid w:val="004F6766"/>
    <w:rsid w:val="004F67A3"/>
    <w:rsid w:val="004F68B4"/>
    <w:rsid w:val="004F68BD"/>
    <w:rsid w:val="004F6A59"/>
    <w:rsid w:val="004F6AC6"/>
    <w:rsid w:val="004F6AE0"/>
    <w:rsid w:val="004F6B53"/>
    <w:rsid w:val="004F6C83"/>
    <w:rsid w:val="004F6D0E"/>
    <w:rsid w:val="004F6D73"/>
    <w:rsid w:val="004F6E8D"/>
    <w:rsid w:val="004F6EAC"/>
    <w:rsid w:val="004F6EBC"/>
    <w:rsid w:val="004F6EE1"/>
    <w:rsid w:val="004F6F1B"/>
    <w:rsid w:val="004F6F42"/>
    <w:rsid w:val="004F6F6A"/>
    <w:rsid w:val="004F709C"/>
    <w:rsid w:val="004F71A9"/>
    <w:rsid w:val="004F71BC"/>
    <w:rsid w:val="004F71C7"/>
    <w:rsid w:val="004F71D7"/>
    <w:rsid w:val="004F7255"/>
    <w:rsid w:val="004F72E8"/>
    <w:rsid w:val="004F72EC"/>
    <w:rsid w:val="004F7313"/>
    <w:rsid w:val="004F7357"/>
    <w:rsid w:val="004F7402"/>
    <w:rsid w:val="004F745A"/>
    <w:rsid w:val="004F7461"/>
    <w:rsid w:val="004F74D2"/>
    <w:rsid w:val="004F7509"/>
    <w:rsid w:val="004F7532"/>
    <w:rsid w:val="004F758C"/>
    <w:rsid w:val="004F7636"/>
    <w:rsid w:val="004F76D5"/>
    <w:rsid w:val="004F77CA"/>
    <w:rsid w:val="004F77E8"/>
    <w:rsid w:val="004F78BE"/>
    <w:rsid w:val="004F7A7B"/>
    <w:rsid w:val="004F7B45"/>
    <w:rsid w:val="004F7B5D"/>
    <w:rsid w:val="004F7B93"/>
    <w:rsid w:val="004F7BB5"/>
    <w:rsid w:val="004F7CA8"/>
    <w:rsid w:val="004F7CF2"/>
    <w:rsid w:val="004F7D29"/>
    <w:rsid w:val="004F7D96"/>
    <w:rsid w:val="004F7DCA"/>
    <w:rsid w:val="004F7EF4"/>
    <w:rsid w:val="004F7F11"/>
    <w:rsid w:val="004F7F5C"/>
    <w:rsid w:val="004F7FF4"/>
    <w:rsid w:val="005000B1"/>
    <w:rsid w:val="00500112"/>
    <w:rsid w:val="00500119"/>
    <w:rsid w:val="00500187"/>
    <w:rsid w:val="005001B4"/>
    <w:rsid w:val="0050023F"/>
    <w:rsid w:val="00500269"/>
    <w:rsid w:val="005002E0"/>
    <w:rsid w:val="00500420"/>
    <w:rsid w:val="0050054A"/>
    <w:rsid w:val="0050061C"/>
    <w:rsid w:val="00500631"/>
    <w:rsid w:val="005006DA"/>
    <w:rsid w:val="005007EB"/>
    <w:rsid w:val="0050083B"/>
    <w:rsid w:val="00500908"/>
    <w:rsid w:val="00500B79"/>
    <w:rsid w:val="00500BE5"/>
    <w:rsid w:val="00500C21"/>
    <w:rsid w:val="00500C52"/>
    <w:rsid w:val="00500E52"/>
    <w:rsid w:val="00500F7A"/>
    <w:rsid w:val="00500F8C"/>
    <w:rsid w:val="0050100F"/>
    <w:rsid w:val="00501086"/>
    <w:rsid w:val="0050108F"/>
    <w:rsid w:val="005010A1"/>
    <w:rsid w:val="005010F8"/>
    <w:rsid w:val="00501110"/>
    <w:rsid w:val="00501146"/>
    <w:rsid w:val="00501147"/>
    <w:rsid w:val="00501167"/>
    <w:rsid w:val="0050116D"/>
    <w:rsid w:val="00501240"/>
    <w:rsid w:val="005012FE"/>
    <w:rsid w:val="00501367"/>
    <w:rsid w:val="005013D7"/>
    <w:rsid w:val="00501416"/>
    <w:rsid w:val="0050142A"/>
    <w:rsid w:val="00501443"/>
    <w:rsid w:val="005014E3"/>
    <w:rsid w:val="005014F6"/>
    <w:rsid w:val="005014F8"/>
    <w:rsid w:val="00501586"/>
    <w:rsid w:val="005015AE"/>
    <w:rsid w:val="0050161C"/>
    <w:rsid w:val="00501651"/>
    <w:rsid w:val="0050172A"/>
    <w:rsid w:val="00501750"/>
    <w:rsid w:val="0050175E"/>
    <w:rsid w:val="00501773"/>
    <w:rsid w:val="005018DA"/>
    <w:rsid w:val="00501923"/>
    <w:rsid w:val="0050198D"/>
    <w:rsid w:val="005019F8"/>
    <w:rsid w:val="00501A02"/>
    <w:rsid w:val="00501A6A"/>
    <w:rsid w:val="00501AF2"/>
    <w:rsid w:val="00501B9C"/>
    <w:rsid w:val="00501BB8"/>
    <w:rsid w:val="00501C0C"/>
    <w:rsid w:val="00501CBA"/>
    <w:rsid w:val="00501DD6"/>
    <w:rsid w:val="00501EC6"/>
    <w:rsid w:val="00501EDD"/>
    <w:rsid w:val="00501EF7"/>
    <w:rsid w:val="00501F5A"/>
    <w:rsid w:val="00501FEA"/>
    <w:rsid w:val="0050204C"/>
    <w:rsid w:val="005020D0"/>
    <w:rsid w:val="005020D6"/>
    <w:rsid w:val="0050212E"/>
    <w:rsid w:val="0050219A"/>
    <w:rsid w:val="005021AF"/>
    <w:rsid w:val="00502212"/>
    <w:rsid w:val="0050221A"/>
    <w:rsid w:val="0050224A"/>
    <w:rsid w:val="0050226E"/>
    <w:rsid w:val="00502292"/>
    <w:rsid w:val="005022AE"/>
    <w:rsid w:val="005022DC"/>
    <w:rsid w:val="005022DD"/>
    <w:rsid w:val="005023EE"/>
    <w:rsid w:val="005024F1"/>
    <w:rsid w:val="00502529"/>
    <w:rsid w:val="00502548"/>
    <w:rsid w:val="00502579"/>
    <w:rsid w:val="0050270F"/>
    <w:rsid w:val="0050277C"/>
    <w:rsid w:val="0050277E"/>
    <w:rsid w:val="00502886"/>
    <w:rsid w:val="00502B8C"/>
    <w:rsid w:val="00502C76"/>
    <w:rsid w:val="00502D79"/>
    <w:rsid w:val="00502E07"/>
    <w:rsid w:val="00502EA2"/>
    <w:rsid w:val="00502ED0"/>
    <w:rsid w:val="00503001"/>
    <w:rsid w:val="00503029"/>
    <w:rsid w:val="00503081"/>
    <w:rsid w:val="005030B7"/>
    <w:rsid w:val="005030C7"/>
    <w:rsid w:val="005032B5"/>
    <w:rsid w:val="00503463"/>
    <w:rsid w:val="00503527"/>
    <w:rsid w:val="0050360A"/>
    <w:rsid w:val="0050362D"/>
    <w:rsid w:val="00503720"/>
    <w:rsid w:val="00503775"/>
    <w:rsid w:val="005037F3"/>
    <w:rsid w:val="0050381E"/>
    <w:rsid w:val="005038F3"/>
    <w:rsid w:val="0050394B"/>
    <w:rsid w:val="005039A0"/>
    <w:rsid w:val="005039F1"/>
    <w:rsid w:val="00503A86"/>
    <w:rsid w:val="00503A8E"/>
    <w:rsid w:val="00503B04"/>
    <w:rsid w:val="00503B05"/>
    <w:rsid w:val="00503DB8"/>
    <w:rsid w:val="00503DE6"/>
    <w:rsid w:val="00503EDA"/>
    <w:rsid w:val="00503FAC"/>
    <w:rsid w:val="00503FD4"/>
    <w:rsid w:val="0050403B"/>
    <w:rsid w:val="00504043"/>
    <w:rsid w:val="005040B2"/>
    <w:rsid w:val="005040B3"/>
    <w:rsid w:val="00504162"/>
    <w:rsid w:val="0050420B"/>
    <w:rsid w:val="005042DA"/>
    <w:rsid w:val="0050430D"/>
    <w:rsid w:val="00504331"/>
    <w:rsid w:val="005043C2"/>
    <w:rsid w:val="005043CF"/>
    <w:rsid w:val="0050444A"/>
    <w:rsid w:val="005044A2"/>
    <w:rsid w:val="0050455F"/>
    <w:rsid w:val="0050459F"/>
    <w:rsid w:val="005045B2"/>
    <w:rsid w:val="005045CD"/>
    <w:rsid w:val="0050462F"/>
    <w:rsid w:val="0050466C"/>
    <w:rsid w:val="00504677"/>
    <w:rsid w:val="005046B4"/>
    <w:rsid w:val="00504802"/>
    <w:rsid w:val="0050487C"/>
    <w:rsid w:val="005048DC"/>
    <w:rsid w:val="005049CE"/>
    <w:rsid w:val="00504A10"/>
    <w:rsid w:val="00504A44"/>
    <w:rsid w:val="00504ABC"/>
    <w:rsid w:val="00504B01"/>
    <w:rsid w:val="00504B1D"/>
    <w:rsid w:val="00504BD4"/>
    <w:rsid w:val="00504BE0"/>
    <w:rsid w:val="00504CE3"/>
    <w:rsid w:val="00504D66"/>
    <w:rsid w:val="00504D6A"/>
    <w:rsid w:val="00504D70"/>
    <w:rsid w:val="00504D8B"/>
    <w:rsid w:val="00504DFA"/>
    <w:rsid w:val="00504EEC"/>
    <w:rsid w:val="00504F16"/>
    <w:rsid w:val="00504F4C"/>
    <w:rsid w:val="00504FE2"/>
    <w:rsid w:val="0050504A"/>
    <w:rsid w:val="005050A5"/>
    <w:rsid w:val="005050D9"/>
    <w:rsid w:val="00505175"/>
    <w:rsid w:val="005051ED"/>
    <w:rsid w:val="005052B1"/>
    <w:rsid w:val="00505314"/>
    <w:rsid w:val="0050536E"/>
    <w:rsid w:val="00505462"/>
    <w:rsid w:val="005054A6"/>
    <w:rsid w:val="00505573"/>
    <w:rsid w:val="0050559A"/>
    <w:rsid w:val="0050559D"/>
    <w:rsid w:val="0050563E"/>
    <w:rsid w:val="0050564D"/>
    <w:rsid w:val="005056A9"/>
    <w:rsid w:val="005056F2"/>
    <w:rsid w:val="00505728"/>
    <w:rsid w:val="00505778"/>
    <w:rsid w:val="0050578A"/>
    <w:rsid w:val="005057CD"/>
    <w:rsid w:val="00505838"/>
    <w:rsid w:val="005059D0"/>
    <w:rsid w:val="00505A24"/>
    <w:rsid w:val="00505A34"/>
    <w:rsid w:val="00505A5F"/>
    <w:rsid w:val="00505AA5"/>
    <w:rsid w:val="00505B08"/>
    <w:rsid w:val="00505BEE"/>
    <w:rsid w:val="00505D32"/>
    <w:rsid w:val="00505DFD"/>
    <w:rsid w:val="00505E11"/>
    <w:rsid w:val="00505E16"/>
    <w:rsid w:val="00505E6E"/>
    <w:rsid w:val="00505E7F"/>
    <w:rsid w:val="00505F19"/>
    <w:rsid w:val="00505F40"/>
    <w:rsid w:val="0050609A"/>
    <w:rsid w:val="005060E7"/>
    <w:rsid w:val="00506182"/>
    <w:rsid w:val="005061C1"/>
    <w:rsid w:val="005061FD"/>
    <w:rsid w:val="0050623E"/>
    <w:rsid w:val="005062CE"/>
    <w:rsid w:val="005062D3"/>
    <w:rsid w:val="005062D4"/>
    <w:rsid w:val="005063EA"/>
    <w:rsid w:val="00506426"/>
    <w:rsid w:val="005064B8"/>
    <w:rsid w:val="005064F2"/>
    <w:rsid w:val="005064FB"/>
    <w:rsid w:val="005065C9"/>
    <w:rsid w:val="005065CC"/>
    <w:rsid w:val="005065D2"/>
    <w:rsid w:val="0050660E"/>
    <w:rsid w:val="00506611"/>
    <w:rsid w:val="00506616"/>
    <w:rsid w:val="0050661E"/>
    <w:rsid w:val="00506679"/>
    <w:rsid w:val="0050675F"/>
    <w:rsid w:val="005067EE"/>
    <w:rsid w:val="00506897"/>
    <w:rsid w:val="0050689C"/>
    <w:rsid w:val="005068D3"/>
    <w:rsid w:val="00506931"/>
    <w:rsid w:val="005069C1"/>
    <w:rsid w:val="00506A35"/>
    <w:rsid w:val="00506A49"/>
    <w:rsid w:val="00506A91"/>
    <w:rsid w:val="00506B11"/>
    <w:rsid w:val="00506B1E"/>
    <w:rsid w:val="00506B20"/>
    <w:rsid w:val="00506BE9"/>
    <w:rsid w:val="00506C47"/>
    <w:rsid w:val="00506C7A"/>
    <w:rsid w:val="00506CA1"/>
    <w:rsid w:val="00506CDB"/>
    <w:rsid w:val="00506DCB"/>
    <w:rsid w:val="00506E47"/>
    <w:rsid w:val="00506E6E"/>
    <w:rsid w:val="00507212"/>
    <w:rsid w:val="0050730F"/>
    <w:rsid w:val="00507334"/>
    <w:rsid w:val="005073DE"/>
    <w:rsid w:val="005073FE"/>
    <w:rsid w:val="00507406"/>
    <w:rsid w:val="00507476"/>
    <w:rsid w:val="005074A4"/>
    <w:rsid w:val="00507531"/>
    <w:rsid w:val="00507559"/>
    <w:rsid w:val="00507655"/>
    <w:rsid w:val="0050770E"/>
    <w:rsid w:val="005078A1"/>
    <w:rsid w:val="005078E1"/>
    <w:rsid w:val="005079A4"/>
    <w:rsid w:val="00507A2B"/>
    <w:rsid w:val="00507B08"/>
    <w:rsid w:val="00507B30"/>
    <w:rsid w:val="00507B99"/>
    <w:rsid w:val="00507C10"/>
    <w:rsid w:val="00507C31"/>
    <w:rsid w:val="00507C80"/>
    <w:rsid w:val="00507CAE"/>
    <w:rsid w:val="00507D6E"/>
    <w:rsid w:val="00507DA9"/>
    <w:rsid w:val="00507E5E"/>
    <w:rsid w:val="0051002E"/>
    <w:rsid w:val="00510033"/>
    <w:rsid w:val="00510054"/>
    <w:rsid w:val="00510138"/>
    <w:rsid w:val="0051020C"/>
    <w:rsid w:val="0051034B"/>
    <w:rsid w:val="0051036F"/>
    <w:rsid w:val="005103CF"/>
    <w:rsid w:val="005104D2"/>
    <w:rsid w:val="00510545"/>
    <w:rsid w:val="005106AF"/>
    <w:rsid w:val="005106C6"/>
    <w:rsid w:val="005107B3"/>
    <w:rsid w:val="00510857"/>
    <w:rsid w:val="0051086A"/>
    <w:rsid w:val="005108A8"/>
    <w:rsid w:val="005108E6"/>
    <w:rsid w:val="005109E8"/>
    <w:rsid w:val="00510A36"/>
    <w:rsid w:val="00510AE3"/>
    <w:rsid w:val="00510B35"/>
    <w:rsid w:val="00510C04"/>
    <w:rsid w:val="00510C41"/>
    <w:rsid w:val="00510CC8"/>
    <w:rsid w:val="00510D9A"/>
    <w:rsid w:val="00510E13"/>
    <w:rsid w:val="00510E5C"/>
    <w:rsid w:val="00510F9A"/>
    <w:rsid w:val="00510FB8"/>
    <w:rsid w:val="00510FDE"/>
    <w:rsid w:val="00510FFE"/>
    <w:rsid w:val="0051100C"/>
    <w:rsid w:val="00511040"/>
    <w:rsid w:val="00511043"/>
    <w:rsid w:val="00511101"/>
    <w:rsid w:val="00511145"/>
    <w:rsid w:val="0051115B"/>
    <w:rsid w:val="005111B0"/>
    <w:rsid w:val="00511289"/>
    <w:rsid w:val="00511346"/>
    <w:rsid w:val="00511373"/>
    <w:rsid w:val="00511417"/>
    <w:rsid w:val="00511454"/>
    <w:rsid w:val="0051149D"/>
    <w:rsid w:val="005114C9"/>
    <w:rsid w:val="00511538"/>
    <w:rsid w:val="0051153B"/>
    <w:rsid w:val="00511620"/>
    <w:rsid w:val="00511639"/>
    <w:rsid w:val="00511677"/>
    <w:rsid w:val="00511756"/>
    <w:rsid w:val="0051182C"/>
    <w:rsid w:val="00511A50"/>
    <w:rsid w:val="00511A61"/>
    <w:rsid w:val="00511B6C"/>
    <w:rsid w:val="00511BAF"/>
    <w:rsid w:val="00511CAA"/>
    <w:rsid w:val="00511CB9"/>
    <w:rsid w:val="00511CC9"/>
    <w:rsid w:val="00511CD8"/>
    <w:rsid w:val="00511CF2"/>
    <w:rsid w:val="00511D35"/>
    <w:rsid w:val="00511E69"/>
    <w:rsid w:val="00511F02"/>
    <w:rsid w:val="00511FD5"/>
    <w:rsid w:val="00511FFB"/>
    <w:rsid w:val="00512073"/>
    <w:rsid w:val="0051209D"/>
    <w:rsid w:val="005120B2"/>
    <w:rsid w:val="005120C3"/>
    <w:rsid w:val="00512186"/>
    <w:rsid w:val="005121C9"/>
    <w:rsid w:val="00512201"/>
    <w:rsid w:val="00512245"/>
    <w:rsid w:val="00512289"/>
    <w:rsid w:val="0051232C"/>
    <w:rsid w:val="0051232D"/>
    <w:rsid w:val="005123E0"/>
    <w:rsid w:val="005123E4"/>
    <w:rsid w:val="00512441"/>
    <w:rsid w:val="00512483"/>
    <w:rsid w:val="005124DD"/>
    <w:rsid w:val="005124EC"/>
    <w:rsid w:val="005124FA"/>
    <w:rsid w:val="00512512"/>
    <w:rsid w:val="00512571"/>
    <w:rsid w:val="00512641"/>
    <w:rsid w:val="00512737"/>
    <w:rsid w:val="00512751"/>
    <w:rsid w:val="00512835"/>
    <w:rsid w:val="00512867"/>
    <w:rsid w:val="005128DC"/>
    <w:rsid w:val="005129A6"/>
    <w:rsid w:val="00512A4E"/>
    <w:rsid w:val="00512AFF"/>
    <w:rsid w:val="00512B24"/>
    <w:rsid w:val="00512B2D"/>
    <w:rsid w:val="00512BA3"/>
    <w:rsid w:val="00512BFA"/>
    <w:rsid w:val="00512C2C"/>
    <w:rsid w:val="00512C40"/>
    <w:rsid w:val="00512D5B"/>
    <w:rsid w:val="00512E5B"/>
    <w:rsid w:val="00512FF1"/>
    <w:rsid w:val="005130CD"/>
    <w:rsid w:val="005130D5"/>
    <w:rsid w:val="00513143"/>
    <w:rsid w:val="0051318E"/>
    <w:rsid w:val="0051319B"/>
    <w:rsid w:val="00513314"/>
    <w:rsid w:val="00513343"/>
    <w:rsid w:val="005133DD"/>
    <w:rsid w:val="00513493"/>
    <w:rsid w:val="00513536"/>
    <w:rsid w:val="00513591"/>
    <w:rsid w:val="005135F9"/>
    <w:rsid w:val="00513619"/>
    <w:rsid w:val="0051367B"/>
    <w:rsid w:val="0051369C"/>
    <w:rsid w:val="005136EF"/>
    <w:rsid w:val="00513781"/>
    <w:rsid w:val="0051379F"/>
    <w:rsid w:val="005137E1"/>
    <w:rsid w:val="005137FF"/>
    <w:rsid w:val="00513825"/>
    <w:rsid w:val="00513855"/>
    <w:rsid w:val="00513873"/>
    <w:rsid w:val="0051391F"/>
    <w:rsid w:val="00513929"/>
    <w:rsid w:val="0051395A"/>
    <w:rsid w:val="00513AA5"/>
    <w:rsid w:val="00513B2C"/>
    <w:rsid w:val="00513D3F"/>
    <w:rsid w:val="00513DC7"/>
    <w:rsid w:val="00513DD0"/>
    <w:rsid w:val="00513E66"/>
    <w:rsid w:val="00513F27"/>
    <w:rsid w:val="00513F53"/>
    <w:rsid w:val="00513F85"/>
    <w:rsid w:val="00513FAF"/>
    <w:rsid w:val="00513FE7"/>
    <w:rsid w:val="00513FFF"/>
    <w:rsid w:val="0051400A"/>
    <w:rsid w:val="00514042"/>
    <w:rsid w:val="0051413B"/>
    <w:rsid w:val="00514155"/>
    <w:rsid w:val="00514255"/>
    <w:rsid w:val="0051426A"/>
    <w:rsid w:val="005142D2"/>
    <w:rsid w:val="005143A1"/>
    <w:rsid w:val="005143C7"/>
    <w:rsid w:val="00514441"/>
    <w:rsid w:val="005144DD"/>
    <w:rsid w:val="005144F8"/>
    <w:rsid w:val="00514503"/>
    <w:rsid w:val="005146A2"/>
    <w:rsid w:val="005146AC"/>
    <w:rsid w:val="005147C5"/>
    <w:rsid w:val="00514859"/>
    <w:rsid w:val="0051487F"/>
    <w:rsid w:val="005148BD"/>
    <w:rsid w:val="00514989"/>
    <w:rsid w:val="0051499D"/>
    <w:rsid w:val="00514A09"/>
    <w:rsid w:val="00514AA6"/>
    <w:rsid w:val="00514AB5"/>
    <w:rsid w:val="00514AF6"/>
    <w:rsid w:val="00514D26"/>
    <w:rsid w:val="00514E55"/>
    <w:rsid w:val="00514E8B"/>
    <w:rsid w:val="00514F13"/>
    <w:rsid w:val="00514F1E"/>
    <w:rsid w:val="00514FC2"/>
    <w:rsid w:val="00515096"/>
    <w:rsid w:val="005150B0"/>
    <w:rsid w:val="0051515C"/>
    <w:rsid w:val="0051523E"/>
    <w:rsid w:val="0051526D"/>
    <w:rsid w:val="00515344"/>
    <w:rsid w:val="00515379"/>
    <w:rsid w:val="005153CC"/>
    <w:rsid w:val="005153D0"/>
    <w:rsid w:val="00515418"/>
    <w:rsid w:val="005154C8"/>
    <w:rsid w:val="00515593"/>
    <w:rsid w:val="005155A3"/>
    <w:rsid w:val="005155EA"/>
    <w:rsid w:val="00515759"/>
    <w:rsid w:val="00515761"/>
    <w:rsid w:val="005157A1"/>
    <w:rsid w:val="005157E2"/>
    <w:rsid w:val="005157EB"/>
    <w:rsid w:val="00515803"/>
    <w:rsid w:val="00515893"/>
    <w:rsid w:val="00515938"/>
    <w:rsid w:val="00515984"/>
    <w:rsid w:val="00515990"/>
    <w:rsid w:val="00515997"/>
    <w:rsid w:val="005159B8"/>
    <w:rsid w:val="00515AB2"/>
    <w:rsid w:val="00515AE8"/>
    <w:rsid w:val="00515BBB"/>
    <w:rsid w:val="00515C5F"/>
    <w:rsid w:val="00515CB8"/>
    <w:rsid w:val="00515CD9"/>
    <w:rsid w:val="00515CF9"/>
    <w:rsid w:val="00515DC2"/>
    <w:rsid w:val="00515F5C"/>
    <w:rsid w:val="00515FC3"/>
    <w:rsid w:val="00515FE4"/>
    <w:rsid w:val="0051601A"/>
    <w:rsid w:val="005161BA"/>
    <w:rsid w:val="00516228"/>
    <w:rsid w:val="005162C3"/>
    <w:rsid w:val="005162E6"/>
    <w:rsid w:val="005163C2"/>
    <w:rsid w:val="005163E5"/>
    <w:rsid w:val="00516428"/>
    <w:rsid w:val="0051642F"/>
    <w:rsid w:val="005165B1"/>
    <w:rsid w:val="00516764"/>
    <w:rsid w:val="00516776"/>
    <w:rsid w:val="00516877"/>
    <w:rsid w:val="005168D1"/>
    <w:rsid w:val="005168E3"/>
    <w:rsid w:val="00516912"/>
    <w:rsid w:val="0051691E"/>
    <w:rsid w:val="00516926"/>
    <w:rsid w:val="005169AA"/>
    <w:rsid w:val="00516A14"/>
    <w:rsid w:val="00516A6A"/>
    <w:rsid w:val="00516AB7"/>
    <w:rsid w:val="00516AC9"/>
    <w:rsid w:val="00516ACB"/>
    <w:rsid w:val="00516AEE"/>
    <w:rsid w:val="00516B8D"/>
    <w:rsid w:val="00516BBF"/>
    <w:rsid w:val="00516BFE"/>
    <w:rsid w:val="00516CD5"/>
    <w:rsid w:val="00516CDC"/>
    <w:rsid w:val="00516D24"/>
    <w:rsid w:val="00516F42"/>
    <w:rsid w:val="00516F93"/>
    <w:rsid w:val="0051700D"/>
    <w:rsid w:val="0051702E"/>
    <w:rsid w:val="005170E2"/>
    <w:rsid w:val="0051722A"/>
    <w:rsid w:val="005173C4"/>
    <w:rsid w:val="005175C9"/>
    <w:rsid w:val="005175FE"/>
    <w:rsid w:val="0051762B"/>
    <w:rsid w:val="00517655"/>
    <w:rsid w:val="00517807"/>
    <w:rsid w:val="00517826"/>
    <w:rsid w:val="00517911"/>
    <w:rsid w:val="00517934"/>
    <w:rsid w:val="00517956"/>
    <w:rsid w:val="00517976"/>
    <w:rsid w:val="005179CC"/>
    <w:rsid w:val="005179D9"/>
    <w:rsid w:val="00517AA1"/>
    <w:rsid w:val="00517AC2"/>
    <w:rsid w:val="00517B25"/>
    <w:rsid w:val="00517BCB"/>
    <w:rsid w:val="00517C73"/>
    <w:rsid w:val="00517C77"/>
    <w:rsid w:val="00517CB3"/>
    <w:rsid w:val="00517DCA"/>
    <w:rsid w:val="00517EE7"/>
    <w:rsid w:val="00517FB3"/>
    <w:rsid w:val="0052005D"/>
    <w:rsid w:val="00520098"/>
    <w:rsid w:val="0052015E"/>
    <w:rsid w:val="005201AD"/>
    <w:rsid w:val="005201C6"/>
    <w:rsid w:val="0052026E"/>
    <w:rsid w:val="0052038B"/>
    <w:rsid w:val="005203F5"/>
    <w:rsid w:val="0052042F"/>
    <w:rsid w:val="005204A7"/>
    <w:rsid w:val="00520561"/>
    <w:rsid w:val="0052057B"/>
    <w:rsid w:val="0052060D"/>
    <w:rsid w:val="0052067E"/>
    <w:rsid w:val="00520684"/>
    <w:rsid w:val="0052069C"/>
    <w:rsid w:val="005206CC"/>
    <w:rsid w:val="005207B5"/>
    <w:rsid w:val="005207BA"/>
    <w:rsid w:val="005207EF"/>
    <w:rsid w:val="00520862"/>
    <w:rsid w:val="00520A66"/>
    <w:rsid w:val="00520A7B"/>
    <w:rsid w:val="00520B8F"/>
    <w:rsid w:val="00520BCD"/>
    <w:rsid w:val="00520BE8"/>
    <w:rsid w:val="00520C4B"/>
    <w:rsid w:val="00520C7B"/>
    <w:rsid w:val="00520C80"/>
    <w:rsid w:val="00520CBD"/>
    <w:rsid w:val="00520D61"/>
    <w:rsid w:val="00520D7C"/>
    <w:rsid w:val="00520DB5"/>
    <w:rsid w:val="00520E55"/>
    <w:rsid w:val="00520F48"/>
    <w:rsid w:val="00520F79"/>
    <w:rsid w:val="00520FA3"/>
    <w:rsid w:val="00520FEE"/>
    <w:rsid w:val="005210A1"/>
    <w:rsid w:val="005210EB"/>
    <w:rsid w:val="00521218"/>
    <w:rsid w:val="00521246"/>
    <w:rsid w:val="00521279"/>
    <w:rsid w:val="00521303"/>
    <w:rsid w:val="00521307"/>
    <w:rsid w:val="005213AE"/>
    <w:rsid w:val="0052142B"/>
    <w:rsid w:val="00521475"/>
    <w:rsid w:val="005214B4"/>
    <w:rsid w:val="005214D1"/>
    <w:rsid w:val="005214DC"/>
    <w:rsid w:val="005215CA"/>
    <w:rsid w:val="00521600"/>
    <w:rsid w:val="00521624"/>
    <w:rsid w:val="0052170A"/>
    <w:rsid w:val="005219B1"/>
    <w:rsid w:val="005219B4"/>
    <w:rsid w:val="005219EB"/>
    <w:rsid w:val="00521A1A"/>
    <w:rsid w:val="00521B01"/>
    <w:rsid w:val="00521B0A"/>
    <w:rsid w:val="00521B30"/>
    <w:rsid w:val="00521B87"/>
    <w:rsid w:val="00521C54"/>
    <w:rsid w:val="00521C70"/>
    <w:rsid w:val="00521CBD"/>
    <w:rsid w:val="00521E20"/>
    <w:rsid w:val="00521E38"/>
    <w:rsid w:val="00521F75"/>
    <w:rsid w:val="00521FF3"/>
    <w:rsid w:val="00522003"/>
    <w:rsid w:val="00522034"/>
    <w:rsid w:val="00522088"/>
    <w:rsid w:val="00522109"/>
    <w:rsid w:val="0052210C"/>
    <w:rsid w:val="00522159"/>
    <w:rsid w:val="00522174"/>
    <w:rsid w:val="005221B0"/>
    <w:rsid w:val="005221DB"/>
    <w:rsid w:val="00522239"/>
    <w:rsid w:val="005222D9"/>
    <w:rsid w:val="0052240F"/>
    <w:rsid w:val="005224E8"/>
    <w:rsid w:val="005224F1"/>
    <w:rsid w:val="00522534"/>
    <w:rsid w:val="0052253D"/>
    <w:rsid w:val="00522585"/>
    <w:rsid w:val="005225B2"/>
    <w:rsid w:val="00522657"/>
    <w:rsid w:val="00522672"/>
    <w:rsid w:val="0052268E"/>
    <w:rsid w:val="0052269D"/>
    <w:rsid w:val="005226A5"/>
    <w:rsid w:val="005226C8"/>
    <w:rsid w:val="005226EE"/>
    <w:rsid w:val="005227C6"/>
    <w:rsid w:val="00522835"/>
    <w:rsid w:val="00522852"/>
    <w:rsid w:val="005228F6"/>
    <w:rsid w:val="00522919"/>
    <w:rsid w:val="00522938"/>
    <w:rsid w:val="0052293C"/>
    <w:rsid w:val="00522957"/>
    <w:rsid w:val="005229B5"/>
    <w:rsid w:val="005229EE"/>
    <w:rsid w:val="00522B7A"/>
    <w:rsid w:val="00522BB7"/>
    <w:rsid w:val="00522CB8"/>
    <w:rsid w:val="00522CC3"/>
    <w:rsid w:val="00522D04"/>
    <w:rsid w:val="00522D15"/>
    <w:rsid w:val="00522DCA"/>
    <w:rsid w:val="00522EA1"/>
    <w:rsid w:val="00522F98"/>
    <w:rsid w:val="00522FFC"/>
    <w:rsid w:val="0052317F"/>
    <w:rsid w:val="00523196"/>
    <w:rsid w:val="005231DB"/>
    <w:rsid w:val="0052324A"/>
    <w:rsid w:val="005232E7"/>
    <w:rsid w:val="0052348E"/>
    <w:rsid w:val="0052349D"/>
    <w:rsid w:val="005234AE"/>
    <w:rsid w:val="005234F8"/>
    <w:rsid w:val="00523508"/>
    <w:rsid w:val="00523548"/>
    <w:rsid w:val="00523556"/>
    <w:rsid w:val="0052360D"/>
    <w:rsid w:val="005236AC"/>
    <w:rsid w:val="005236DB"/>
    <w:rsid w:val="005236FE"/>
    <w:rsid w:val="0052370B"/>
    <w:rsid w:val="00523776"/>
    <w:rsid w:val="005237B7"/>
    <w:rsid w:val="0052384E"/>
    <w:rsid w:val="005238CE"/>
    <w:rsid w:val="00523918"/>
    <w:rsid w:val="005239FB"/>
    <w:rsid w:val="00523AD7"/>
    <w:rsid w:val="00523ADA"/>
    <w:rsid w:val="00523BB3"/>
    <w:rsid w:val="00523BD0"/>
    <w:rsid w:val="00523C8F"/>
    <w:rsid w:val="00523C92"/>
    <w:rsid w:val="00523DE3"/>
    <w:rsid w:val="00523E08"/>
    <w:rsid w:val="00523E09"/>
    <w:rsid w:val="0052406A"/>
    <w:rsid w:val="005240CD"/>
    <w:rsid w:val="005240FC"/>
    <w:rsid w:val="005241B8"/>
    <w:rsid w:val="005241CE"/>
    <w:rsid w:val="005241E5"/>
    <w:rsid w:val="005241E8"/>
    <w:rsid w:val="00524231"/>
    <w:rsid w:val="005242BC"/>
    <w:rsid w:val="005243EB"/>
    <w:rsid w:val="00524419"/>
    <w:rsid w:val="00524464"/>
    <w:rsid w:val="00524677"/>
    <w:rsid w:val="005246E0"/>
    <w:rsid w:val="00524725"/>
    <w:rsid w:val="0052475A"/>
    <w:rsid w:val="00524874"/>
    <w:rsid w:val="0052493D"/>
    <w:rsid w:val="0052495C"/>
    <w:rsid w:val="0052497E"/>
    <w:rsid w:val="00524A4C"/>
    <w:rsid w:val="00524B0D"/>
    <w:rsid w:val="00524BC8"/>
    <w:rsid w:val="00524C6B"/>
    <w:rsid w:val="00524C6D"/>
    <w:rsid w:val="00524D70"/>
    <w:rsid w:val="00524DFD"/>
    <w:rsid w:val="00524E1C"/>
    <w:rsid w:val="00524F5D"/>
    <w:rsid w:val="00524F70"/>
    <w:rsid w:val="0052514E"/>
    <w:rsid w:val="005251BD"/>
    <w:rsid w:val="00525244"/>
    <w:rsid w:val="005252FA"/>
    <w:rsid w:val="005253D6"/>
    <w:rsid w:val="0052556F"/>
    <w:rsid w:val="005256B7"/>
    <w:rsid w:val="00525783"/>
    <w:rsid w:val="00525796"/>
    <w:rsid w:val="0052582F"/>
    <w:rsid w:val="00525836"/>
    <w:rsid w:val="0052596D"/>
    <w:rsid w:val="00525A4E"/>
    <w:rsid w:val="00525A5D"/>
    <w:rsid w:val="00525AC0"/>
    <w:rsid w:val="00525C20"/>
    <w:rsid w:val="00525D54"/>
    <w:rsid w:val="00525DAD"/>
    <w:rsid w:val="00525E05"/>
    <w:rsid w:val="00525E0F"/>
    <w:rsid w:val="00525EF7"/>
    <w:rsid w:val="00525F84"/>
    <w:rsid w:val="00525FA7"/>
    <w:rsid w:val="00526009"/>
    <w:rsid w:val="0052605F"/>
    <w:rsid w:val="005261FD"/>
    <w:rsid w:val="0052620F"/>
    <w:rsid w:val="005262A9"/>
    <w:rsid w:val="005262C6"/>
    <w:rsid w:val="00526531"/>
    <w:rsid w:val="0052655C"/>
    <w:rsid w:val="005265AB"/>
    <w:rsid w:val="005265D0"/>
    <w:rsid w:val="005266FD"/>
    <w:rsid w:val="0052677C"/>
    <w:rsid w:val="00526899"/>
    <w:rsid w:val="005269C4"/>
    <w:rsid w:val="00526A01"/>
    <w:rsid w:val="00526A89"/>
    <w:rsid w:val="00526B8A"/>
    <w:rsid w:val="00526DB3"/>
    <w:rsid w:val="00526E60"/>
    <w:rsid w:val="00526E86"/>
    <w:rsid w:val="00526F90"/>
    <w:rsid w:val="00527027"/>
    <w:rsid w:val="005270BD"/>
    <w:rsid w:val="00527196"/>
    <w:rsid w:val="00527198"/>
    <w:rsid w:val="005271A5"/>
    <w:rsid w:val="005271A6"/>
    <w:rsid w:val="0052726A"/>
    <w:rsid w:val="005273E3"/>
    <w:rsid w:val="00527415"/>
    <w:rsid w:val="0052752F"/>
    <w:rsid w:val="00527532"/>
    <w:rsid w:val="005275D1"/>
    <w:rsid w:val="00527651"/>
    <w:rsid w:val="0052765B"/>
    <w:rsid w:val="0052766B"/>
    <w:rsid w:val="0052767C"/>
    <w:rsid w:val="00527682"/>
    <w:rsid w:val="005276DB"/>
    <w:rsid w:val="005276E6"/>
    <w:rsid w:val="0052778F"/>
    <w:rsid w:val="005277DD"/>
    <w:rsid w:val="0052781B"/>
    <w:rsid w:val="005278AC"/>
    <w:rsid w:val="0052792E"/>
    <w:rsid w:val="00527A34"/>
    <w:rsid w:val="00527A55"/>
    <w:rsid w:val="00527A5E"/>
    <w:rsid w:val="00527C8B"/>
    <w:rsid w:val="00527CC8"/>
    <w:rsid w:val="00527D06"/>
    <w:rsid w:val="00527E73"/>
    <w:rsid w:val="00527EA0"/>
    <w:rsid w:val="00527F3D"/>
    <w:rsid w:val="00527F54"/>
    <w:rsid w:val="00527FC5"/>
    <w:rsid w:val="00527FF4"/>
    <w:rsid w:val="0052B9DE"/>
    <w:rsid w:val="00530035"/>
    <w:rsid w:val="0053005F"/>
    <w:rsid w:val="0053009C"/>
    <w:rsid w:val="0053019F"/>
    <w:rsid w:val="005302D1"/>
    <w:rsid w:val="005302D2"/>
    <w:rsid w:val="00530311"/>
    <w:rsid w:val="00530370"/>
    <w:rsid w:val="005303C6"/>
    <w:rsid w:val="005303DB"/>
    <w:rsid w:val="005304EF"/>
    <w:rsid w:val="0053085E"/>
    <w:rsid w:val="00530934"/>
    <w:rsid w:val="005309A8"/>
    <w:rsid w:val="00530A5C"/>
    <w:rsid w:val="00530A6B"/>
    <w:rsid w:val="00530B76"/>
    <w:rsid w:val="00530C46"/>
    <w:rsid w:val="00530C68"/>
    <w:rsid w:val="00530CA5"/>
    <w:rsid w:val="00530D56"/>
    <w:rsid w:val="00530D89"/>
    <w:rsid w:val="00530E6C"/>
    <w:rsid w:val="00530FC8"/>
    <w:rsid w:val="005310CA"/>
    <w:rsid w:val="005311F2"/>
    <w:rsid w:val="005311F4"/>
    <w:rsid w:val="00531259"/>
    <w:rsid w:val="00531281"/>
    <w:rsid w:val="005312C8"/>
    <w:rsid w:val="005313D5"/>
    <w:rsid w:val="00531582"/>
    <w:rsid w:val="0053158E"/>
    <w:rsid w:val="005315E7"/>
    <w:rsid w:val="00531608"/>
    <w:rsid w:val="00531627"/>
    <w:rsid w:val="00531685"/>
    <w:rsid w:val="00531745"/>
    <w:rsid w:val="005317AE"/>
    <w:rsid w:val="005317B7"/>
    <w:rsid w:val="00531866"/>
    <w:rsid w:val="00531872"/>
    <w:rsid w:val="00531902"/>
    <w:rsid w:val="0053191C"/>
    <w:rsid w:val="005319B3"/>
    <w:rsid w:val="005319B7"/>
    <w:rsid w:val="00531AB0"/>
    <w:rsid w:val="00531B6B"/>
    <w:rsid w:val="00531BA8"/>
    <w:rsid w:val="00531C03"/>
    <w:rsid w:val="00531C3C"/>
    <w:rsid w:val="00531C47"/>
    <w:rsid w:val="00531C63"/>
    <w:rsid w:val="00531C74"/>
    <w:rsid w:val="00531E22"/>
    <w:rsid w:val="00531EFB"/>
    <w:rsid w:val="00531F3E"/>
    <w:rsid w:val="00531F65"/>
    <w:rsid w:val="00531FDD"/>
    <w:rsid w:val="00532034"/>
    <w:rsid w:val="00532035"/>
    <w:rsid w:val="005320E9"/>
    <w:rsid w:val="0053210C"/>
    <w:rsid w:val="005321EC"/>
    <w:rsid w:val="0053221B"/>
    <w:rsid w:val="00532233"/>
    <w:rsid w:val="005322DB"/>
    <w:rsid w:val="0053231F"/>
    <w:rsid w:val="00532437"/>
    <w:rsid w:val="00532512"/>
    <w:rsid w:val="00532577"/>
    <w:rsid w:val="005325F4"/>
    <w:rsid w:val="00532621"/>
    <w:rsid w:val="00532643"/>
    <w:rsid w:val="0053272E"/>
    <w:rsid w:val="0053276E"/>
    <w:rsid w:val="00532798"/>
    <w:rsid w:val="005327AC"/>
    <w:rsid w:val="005327F0"/>
    <w:rsid w:val="00532820"/>
    <w:rsid w:val="00532824"/>
    <w:rsid w:val="005328C5"/>
    <w:rsid w:val="0053297C"/>
    <w:rsid w:val="00532A54"/>
    <w:rsid w:val="00532AB0"/>
    <w:rsid w:val="00532AC9"/>
    <w:rsid w:val="00532AEE"/>
    <w:rsid w:val="00532B24"/>
    <w:rsid w:val="00532B7A"/>
    <w:rsid w:val="00532C36"/>
    <w:rsid w:val="00532C87"/>
    <w:rsid w:val="00532D55"/>
    <w:rsid w:val="00532D97"/>
    <w:rsid w:val="00532E86"/>
    <w:rsid w:val="00532F09"/>
    <w:rsid w:val="00532FB4"/>
    <w:rsid w:val="00532FE4"/>
    <w:rsid w:val="00532FFD"/>
    <w:rsid w:val="00533067"/>
    <w:rsid w:val="0053309A"/>
    <w:rsid w:val="00533127"/>
    <w:rsid w:val="0053317F"/>
    <w:rsid w:val="00533226"/>
    <w:rsid w:val="00533244"/>
    <w:rsid w:val="00533298"/>
    <w:rsid w:val="0053329A"/>
    <w:rsid w:val="005332A1"/>
    <w:rsid w:val="005332C4"/>
    <w:rsid w:val="00533331"/>
    <w:rsid w:val="0053339A"/>
    <w:rsid w:val="005333CE"/>
    <w:rsid w:val="0053346C"/>
    <w:rsid w:val="005334D2"/>
    <w:rsid w:val="005335B7"/>
    <w:rsid w:val="0053368C"/>
    <w:rsid w:val="00533713"/>
    <w:rsid w:val="0053372F"/>
    <w:rsid w:val="0053373A"/>
    <w:rsid w:val="0053379C"/>
    <w:rsid w:val="005337DC"/>
    <w:rsid w:val="00533824"/>
    <w:rsid w:val="00533863"/>
    <w:rsid w:val="005338DB"/>
    <w:rsid w:val="00533A21"/>
    <w:rsid w:val="00533A5D"/>
    <w:rsid w:val="00533A6F"/>
    <w:rsid w:val="00533A89"/>
    <w:rsid w:val="00533AD0"/>
    <w:rsid w:val="00533AE1"/>
    <w:rsid w:val="00533B4A"/>
    <w:rsid w:val="00533BA9"/>
    <w:rsid w:val="00533BCF"/>
    <w:rsid w:val="00533C0E"/>
    <w:rsid w:val="00533C7A"/>
    <w:rsid w:val="00533C84"/>
    <w:rsid w:val="00533CBE"/>
    <w:rsid w:val="00533D02"/>
    <w:rsid w:val="00533D4C"/>
    <w:rsid w:val="00533DDE"/>
    <w:rsid w:val="00533E8A"/>
    <w:rsid w:val="00533ED1"/>
    <w:rsid w:val="00533EDE"/>
    <w:rsid w:val="00533EF8"/>
    <w:rsid w:val="00533F3C"/>
    <w:rsid w:val="00533F68"/>
    <w:rsid w:val="00533F69"/>
    <w:rsid w:val="00533F7E"/>
    <w:rsid w:val="00533FA6"/>
    <w:rsid w:val="00534066"/>
    <w:rsid w:val="005340A7"/>
    <w:rsid w:val="0053410E"/>
    <w:rsid w:val="00534161"/>
    <w:rsid w:val="005341E9"/>
    <w:rsid w:val="005341FB"/>
    <w:rsid w:val="0053443C"/>
    <w:rsid w:val="0053444F"/>
    <w:rsid w:val="00534479"/>
    <w:rsid w:val="0053447F"/>
    <w:rsid w:val="0053451F"/>
    <w:rsid w:val="005345ED"/>
    <w:rsid w:val="00534637"/>
    <w:rsid w:val="0053463D"/>
    <w:rsid w:val="005346EB"/>
    <w:rsid w:val="005347A7"/>
    <w:rsid w:val="00534937"/>
    <w:rsid w:val="0053493C"/>
    <w:rsid w:val="00534A04"/>
    <w:rsid w:val="00534A45"/>
    <w:rsid w:val="00534AA4"/>
    <w:rsid w:val="00534AE0"/>
    <w:rsid w:val="00534B4E"/>
    <w:rsid w:val="00534B85"/>
    <w:rsid w:val="00534BF4"/>
    <w:rsid w:val="00534C0E"/>
    <w:rsid w:val="00534C78"/>
    <w:rsid w:val="00534D30"/>
    <w:rsid w:val="00534D76"/>
    <w:rsid w:val="00534DCB"/>
    <w:rsid w:val="00534E22"/>
    <w:rsid w:val="00534F3E"/>
    <w:rsid w:val="00534F44"/>
    <w:rsid w:val="00534FD8"/>
    <w:rsid w:val="00535017"/>
    <w:rsid w:val="005351C1"/>
    <w:rsid w:val="005351C9"/>
    <w:rsid w:val="005351CD"/>
    <w:rsid w:val="00535251"/>
    <w:rsid w:val="005352C3"/>
    <w:rsid w:val="00535306"/>
    <w:rsid w:val="0053530B"/>
    <w:rsid w:val="00535313"/>
    <w:rsid w:val="00535347"/>
    <w:rsid w:val="0053536D"/>
    <w:rsid w:val="0053539E"/>
    <w:rsid w:val="00535400"/>
    <w:rsid w:val="0053542C"/>
    <w:rsid w:val="00535436"/>
    <w:rsid w:val="005354AE"/>
    <w:rsid w:val="005354C5"/>
    <w:rsid w:val="005355BE"/>
    <w:rsid w:val="005355D7"/>
    <w:rsid w:val="00535605"/>
    <w:rsid w:val="00535654"/>
    <w:rsid w:val="00535676"/>
    <w:rsid w:val="00535702"/>
    <w:rsid w:val="0053570D"/>
    <w:rsid w:val="00535756"/>
    <w:rsid w:val="005357FA"/>
    <w:rsid w:val="00535863"/>
    <w:rsid w:val="00535871"/>
    <w:rsid w:val="005358C4"/>
    <w:rsid w:val="0053594E"/>
    <w:rsid w:val="005359BF"/>
    <w:rsid w:val="00535AD2"/>
    <w:rsid w:val="00535B42"/>
    <w:rsid w:val="00535C6F"/>
    <w:rsid w:val="00535DF1"/>
    <w:rsid w:val="00535E70"/>
    <w:rsid w:val="00535E9E"/>
    <w:rsid w:val="00535EBA"/>
    <w:rsid w:val="00535EC4"/>
    <w:rsid w:val="00535FAD"/>
    <w:rsid w:val="00535FB0"/>
    <w:rsid w:val="00535FD4"/>
    <w:rsid w:val="00536026"/>
    <w:rsid w:val="005360EC"/>
    <w:rsid w:val="00536129"/>
    <w:rsid w:val="00536171"/>
    <w:rsid w:val="005361B6"/>
    <w:rsid w:val="005361CD"/>
    <w:rsid w:val="00536208"/>
    <w:rsid w:val="005362B4"/>
    <w:rsid w:val="005362C4"/>
    <w:rsid w:val="0053639E"/>
    <w:rsid w:val="005363CC"/>
    <w:rsid w:val="00536429"/>
    <w:rsid w:val="005364F0"/>
    <w:rsid w:val="005364FC"/>
    <w:rsid w:val="005365D1"/>
    <w:rsid w:val="00536643"/>
    <w:rsid w:val="005366CE"/>
    <w:rsid w:val="00536739"/>
    <w:rsid w:val="005367B3"/>
    <w:rsid w:val="0053680C"/>
    <w:rsid w:val="00536870"/>
    <w:rsid w:val="005368A3"/>
    <w:rsid w:val="005368BE"/>
    <w:rsid w:val="005368DE"/>
    <w:rsid w:val="0053696B"/>
    <w:rsid w:val="0053697D"/>
    <w:rsid w:val="00536B34"/>
    <w:rsid w:val="00536B76"/>
    <w:rsid w:val="00536B8F"/>
    <w:rsid w:val="00536C9B"/>
    <w:rsid w:val="00536D25"/>
    <w:rsid w:val="00536DF9"/>
    <w:rsid w:val="00536EE2"/>
    <w:rsid w:val="00536F59"/>
    <w:rsid w:val="00536F5D"/>
    <w:rsid w:val="0053700E"/>
    <w:rsid w:val="00537095"/>
    <w:rsid w:val="005370F3"/>
    <w:rsid w:val="00537123"/>
    <w:rsid w:val="00537164"/>
    <w:rsid w:val="0053716B"/>
    <w:rsid w:val="0053716C"/>
    <w:rsid w:val="005371FE"/>
    <w:rsid w:val="0053728D"/>
    <w:rsid w:val="005372CD"/>
    <w:rsid w:val="005372EB"/>
    <w:rsid w:val="0053734C"/>
    <w:rsid w:val="0053741A"/>
    <w:rsid w:val="0053741D"/>
    <w:rsid w:val="0053745B"/>
    <w:rsid w:val="0053752B"/>
    <w:rsid w:val="0053752F"/>
    <w:rsid w:val="0053758C"/>
    <w:rsid w:val="00537664"/>
    <w:rsid w:val="005378D0"/>
    <w:rsid w:val="00537983"/>
    <w:rsid w:val="00537A5A"/>
    <w:rsid w:val="00537A9C"/>
    <w:rsid w:val="00537AD0"/>
    <w:rsid w:val="00537B0D"/>
    <w:rsid w:val="00537B2A"/>
    <w:rsid w:val="00537B45"/>
    <w:rsid w:val="00537B80"/>
    <w:rsid w:val="00537BCF"/>
    <w:rsid w:val="00537BFD"/>
    <w:rsid w:val="00537D5B"/>
    <w:rsid w:val="00537E4E"/>
    <w:rsid w:val="00537E6F"/>
    <w:rsid w:val="00537EC4"/>
    <w:rsid w:val="0054019E"/>
    <w:rsid w:val="005401F1"/>
    <w:rsid w:val="00540216"/>
    <w:rsid w:val="0054023B"/>
    <w:rsid w:val="0054025F"/>
    <w:rsid w:val="00540280"/>
    <w:rsid w:val="005402B1"/>
    <w:rsid w:val="00540345"/>
    <w:rsid w:val="0054037C"/>
    <w:rsid w:val="00540472"/>
    <w:rsid w:val="005404B5"/>
    <w:rsid w:val="005404E9"/>
    <w:rsid w:val="00540627"/>
    <w:rsid w:val="00540637"/>
    <w:rsid w:val="005407FC"/>
    <w:rsid w:val="00540801"/>
    <w:rsid w:val="00540929"/>
    <w:rsid w:val="00540935"/>
    <w:rsid w:val="005409E2"/>
    <w:rsid w:val="00540A0E"/>
    <w:rsid w:val="00540AE2"/>
    <w:rsid w:val="00540C10"/>
    <w:rsid w:val="00540C48"/>
    <w:rsid w:val="00540CE3"/>
    <w:rsid w:val="00540DA4"/>
    <w:rsid w:val="00540DC3"/>
    <w:rsid w:val="00540E48"/>
    <w:rsid w:val="00540E67"/>
    <w:rsid w:val="00540E82"/>
    <w:rsid w:val="00540F0F"/>
    <w:rsid w:val="00540FCD"/>
    <w:rsid w:val="00540FD7"/>
    <w:rsid w:val="005410FD"/>
    <w:rsid w:val="0054110F"/>
    <w:rsid w:val="0054111D"/>
    <w:rsid w:val="0054112F"/>
    <w:rsid w:val="005411F9"/>
    <w:rsid w:val="005412AB"/>
    <w:rsid w:val="005413A7"/>
    <w:rsid w:val="005413B9"/>
    <w:rsid w:val="005413BD"/>
    <w:rsid w:val="005413C0"/>
    <w:rsid w:val="005413D9"/>
    <w:rsid w:val="0054158B"/>
    <w:rsid w:val="0054160F"/>
    <w:rsid w:val="00541646"/>
    <w:rsid w:val="0054167A"/>
    <w:rsid w:val="00541690"/>
    <w:rsid w:val="0054173B"/>
    <w:rsid w:val="00541750"/>
    <w:rsid w:val="00541755"/>
    <w:rsid w:val="005417D5"/>
    <w:rsid w:val="0054184B"/>
    <w:rsid w:val="005418D5"/>
    <w:rsid w:val="005418D8"/>
    <w:rsid w:val="005419BE"/>
    <w:rsid w:val="00541A70"/>
    <w:rsid w:val="00541ADF"/>
    <w:rsid w:val="00541B0E"/>
    <w:rsid w:val="00541BC3"/>
    <w:rsid w:val="00541C67"/>
    <w:rsid w:val="00541CAA"/>
    <w:rsid w:val="00541D9F"/>
    <w:rsid w:val="00541E60"/>
    <w:rsid w:val="00541EB5"/>
    <w:rsid w:val="00541F99"/>
    <w:rsid w:val="0054203E"/>
    <w:rsid w:val="005420F1"/>
    <w:rsid w:val="00542147"/>
    <w:rsid w:val="00542247"/>
    <w:rsid w:val="005422D6"/>
    <w:rsid w:val="00542399"/>
    <w:rsid w:val="005423C2"/>
    <w:rsid w:val="0054245F"/>
    <w:rsid w:val="00542482"/>
    <w:rsid w:val="005426F9"/>
    <w:rsid w:val="00542709"/>
    <w:rsid w:val="00542725"/>
    <w:rsid w:val="005428EF"/>
    <w:rsid w:val="005429A9"/>
    <w:rsid w:val="005429DF"/>
    <w:rsid w:val="00542A4C"/>
    <w:rsid w:val="00542B7E"/>
    <w:rsid w:val="00542B89"/>
    <w:rsid w:val="00542BA1"/>
    <w:rsid w:val="00542C9F"/>
    <w:rsid w:val="00542CBA"/>
    <w:rsid w:val="00542CF5"/>
    <w:rsid w:val="00542D0B"/>
    <w:rsid w:val="00542D86"/>
    <w:rsid w:val="00542E5F"/>
    <w:rsid w:val="00542E89"/>
    <w:rsid w:val="00542F0B"/>
    <w:rsid w:val="00542F30"/>
    <w:rsid w:val="00542F95"/>
    <w:rsid w:val="00542FC0"/>
    <w:rsid w:val="0054304A"/>
    <w:rsid w:val="0054309F"/>
    <w:rsid w:val="005430B2"/>
    <w:rsid w:val="0054318A"/>
    <w:rsid w:val="00543211"/>
    <w:rsid w:val="005432A4"/>
    <w:rsid w:val="005432F5"/>
    <w:rsid w:val="00543429"/>
    <w:rsid w:val="00543434"/>
    <w:rsid w:val="0054366B"/>
    <w:rsid w:val="00543699"/>
    <w:rsid w:val="005436C0"/>
    <w:rsid w:val="00543703"/>
    <w:rsid w:val="00543728"/>
    <w:rsid w:val="005437EE"/>
    <w:rsid w:val="005438D4"/>
    <w:rsid w:val="00543979"/>
    <w:rsid w:val="00543994"/>
    <w:rsid w:val="005439B8"/>
    <w:rsid w:val="00543A98"/>
    <w:rsid w:val="00543C1C"/>
    <w:rsid w:val="00543C25"/>
    <w:rsid w:val="00543C2A"/>
    <w:rsid w:val="00543C5B"/>
    <w:rsid w:val="00543CCD"/>
    <w:rsid w:val="00543D34"/>
    <w:rsid w:val="00543D45"/>
    <w:rsid w:val="00543D59"/>
    <w:rsid w:val="00543DA1"/>
    <w:rsid w:val="00543DFB"/>
    <w:rsid w:val="00543E6F"/>
    <w:rsid w:val="00543F97"/>
    <w:rsid w:val="00543FBC"/>
    <w:rsid w:val="00543FBE"/>
    <w:rsid w:val="0054403F"/>
    <w:rsid w:val="00544042"/>
    <w:rsid w:val="00544213"/>
    <w:rsid w:val="005442AE"/>
    <w:rsid w:val="005442F8"/>
    <w:rsid w:val="005442FC"/>
    <w:rsid w:val="00544334"/>
    <w:rsid w:val="00544368"/>
    <w:rsid w:val="00544400"/>
    <w:rsid w:val="0054440B"/>
    <w:rsid w:val="005444BC"/>
    <w:rsid w:val="005444D7"/>
    <w:rsid w:val="005446FC"/>
    <w:rsid w:val="00544778"/>
    <w:rsid w:val="005447BB"/>
    <w:rsid w:val="005447F6"/>
    <w:rsid w:val="0054483A"/>
    <w:rsid w:val="00544852"/>
    <w:rsid w:val="00544870"/>
    <w:rsid w:val="005448C4"/>
    <w:rsid w:val="00544A3D"/>
    <w:rsid w:val="00544BFC"/>
    <w:rsid w:val="00544CB0"/>
    <w:rsid w:val="00544CDA"/>
    <w:rsid w:val="00544CF5"/>
    <w:rsid w:val="00544D5A"/>
    <w:rsid w:val="00544EA0"/>
    <w:rsid w:val="00544EF1"/>
    <w:rsid w:val="00544F9F"/>
    <w:rsid w:val="00545008"/>
    <w:rsid w:val="0054502E"/>
    <w:rsid w:val="00545112"/>
    <w:rsid w:val="00545355"/>
    <w:rsid w:val="00545378"/>
    <w:rsid w:val="005453AE"/>
    <w:rsid w:val="005453D3"/>
    <w:rsid w:val="005453E3"/>
    <w:rsid w:val="005453FA"/>
    <w:rsid w:val="0054548D"/>
    <w:rsid w:val="005454D5"/>
    <w:rsid w:val="005454DA"/>
    <w:rsid w:val="005454DD"/>
    <w:rsid w:val="00545516"/>
    <w:rsid w:val="0054554C"/>
    <w:rsid w:val="005455D7"/>
    <w:rsid w:val="0054565B"/>
    <w:rsid w:val="0054576E"/>
    <w:rsid w:val="005457F4"/>
    <w:rsid w:val="0054585B"/>
    <w:rsid w:val="005458D8"/>
    <w:rsid w:val="00545972"/>
    <w:rsid w:val="005459A7"/>
    <w:rsid w:val="005459B7"/>
    <w:rsid w:val="005459E1"/>
    <w:rsid w:val="00545A33"/>
    <w:rsid w:val="00545A73"/>
    <w:rsid w:val="00545A91"/>
    <w:rsid w:val="00545B93"/>
    <w:rsid w:val="00545B9E"/>
    <w:rsid w:val="00545BEF"/>
    <w:rsid w:val="00545C42"/>
    <w:rsid w:val="00545C60"/>
    <w:rsid w:val="00545C74"/>
    <w:rsid w:val="00545C90"/>
    <w:rsid w:val="00545D2C"/>
    <w:rsid w:val="00545D5E"/>
    <w:rsid w:val="00545E4A"/>
    <w:rsid w:val="00545E8B"/>
    <w:rsid w:val="00545EC2"/>
    <w:rsid w:val="00545EE9"/>
    <w:rsid w:val="00545EED"/>
    <w:rsid w:val="00545F3A"/>
    <w:rsid w:val="00546071"/>
    <w:rsid w:val="0054611C"/>
    <w:rsid w:val="00546151"/>
    <w:rsid w:val="00546339"/>
    <w:rsid w:val="00546405"/>
    <w:rsid w:val="00546462"/>
    <w:rsid w:val="00546463"/>
    <w:rsid w:val="005464A4"/>
    <w:rsid w:val="00546517"/>
    <w:rsid w:val="005465EC"/>
    <w:rsid w:val="0054660B"/>
    <w:rsid w:val="0054678A"/>
    <w:rsid w:val="00546791"/>
    <w:rsid w:val="005467DA"/>
    <w:rsid w:val="00546877"/>
    <w:rsid w:val="00546969"/>
    <w:rsid w:val="0054698B"/>
    <w:rsid w:val="00546B13"/>
    <w:rsid w:val="00546B1F"/>
    <w:rsid w:val="00546B68"/>
    <w:rsid w:val="00546BAB"/>
    <w:rsid w:val="00546BB6"/>
    <w:rsid w:val="00546D7D"/>
    <w:rsid w:val="00546DDD"/>
    <w:rsid w:val="00546E5E"/>
    <w:rsid w:val="00546E68"/>
    <w:rsid w:val="00546ED8"/>
    <w:rsid w:val="00546F18"/>
    <w:rsid w:val="00547020"/>
    <w:rsid w:val="00547056"/>
    <w:rsid w:val="0054706D"/>
    <w:rsid w:val="005470CC"/>
    <w:rsid w:val="00547153"/>
    <w:rsid w:val="0054715A"/>
    <w:rsid w:val="005471A5"/>
    <w:rsid w:val="005471B0"/>
    <w:rsid w:val="0054721C"/>
    <w:rsid w:val="005472AE"/>
    <w:rsid w:val="0054732E"/>
    <w:rsid w:val="00547347"/>
    <w:rsid w:val="0054735F"/>
    <w:rsid w:val="005473CA"/>
    <w:rsid w:val="00547455"/>
    <w:rsid w:val="0054747A"/>
    <w:rsid w:val="005474D2"/>
    <w:rsid w:val="005474EC"/>
    <w:rsid w:val="0054767C"/>
    <w:rsid w:val="0054769E"/>
    <w:rsid w:val="005476A3"/>
    <w:rsid w:val="00547748"/>
    <w:rsid w:val="0054786E"/>
    <w:rsid w:val="00547998"/>
    <w:rsid w:val="005479E7"/>
    <w:rsid w:val="00547ABD"/>
    <w:rsid w:val="00547B17"/>
    <w:rsid w:val="00547B8D"/>
    <w:rsid w:val="00547C47"/>
    <w:rsid w:val="00547CCA"/>
    <w:rsid w:val="00547E07"/>
    <w:rsid w:val="00547E2E"/>
    <w:rsid w:val="00547E8C"/>
    <w:rsid w:val="00547EF8"/>
    <w:rsid w:val="00547FCF"/>
    <w:rsid w:val="0055017D"/>
    <w:rsid w:val="005501E1"/>
    <w:rsid w:val="0055031E"/>
    <w:rsid w:val="005503DE"/>
    <w:rsid w:val="00550439"/>
    <w:rsid w:val="0055056F"/>
    <w:rsid w:val="005505EA"/>
    <w:rsid w:val="00550601"/>
    <w:rsid w:val="005506DF"/>
    <w:rsid w:val="00550867"/>
    <w:rsid w:val="0055089C"/>
    <w:rsid w:val="005508A4"/>
    <w:rsid w:val="0055095E"/>
    <w:rsid w:val="00550960"/>
    <w:rsid w:val="00550977"/>
    <w:rsid w:val="0055097D"/>
    <w:rsid w:val="005509AF"/>
    <w:rsid w:val="005509F6"/>
    <w:rsid w:val="00550A1A"/>
    <w:rsid w:val="00550A6F"/>
    <w:rsid w:val="00550B20"/>
    <w:rsid w:val="00550BB9"/>
    <w:rsid w:val="00550BDE"/>
    <w:rsid w:val="00550C79"/>
    <w:rsid w:val="00550CCA"/>
    <w:rsid w:val="00550D19"/>
    <w:rsid w:val="00550D92"/>
    <w:rsid w:val="00550DA1"/>
    <w:rsid w:val="00550EDD"/>
    <w:rsid w:val="00550F82"/>
    <w:rsid w:val="00550FAC"/>
    <w:rsid w:val="00550FB0"/>
    <w:rsid w:val="00550FFA"/>
    <w:rsid w:val="00551069"/>
    <w:rsid w:val="00551189"/>
    <w:rsid w:val="0055127B"/>
    <w:rsid w:val="005512E6"/>
    <w:rsid w:val="00551355"/>
    <w:rsid w:val="00551366"/>
    <w:rsid w:val="00551537"/>
    <w:rsid w:val="00551632"/>
    <w:rsid w:val="00551662"/>
    <w:rsid w:val="00551671"/>
    <w:rsid w:val="005516FE"/>
    <w:rsid w:val="0055174F"/>
    <w:rsid w:val="0055177E"/>
    <w:rsid w:val="005518C3"/>
    <w:rsid w:val="00551949"/>
    <w:rsid w:val="005519BB"/>
    <w:rsid w:val="00551A5B"/>
    <w:rsid w:val="00551A6D"/>
    <w:rsid w:val="00551ADA"/>
    <w:rsid w:val="00551B10"/>
    <w:rsid w:val="00551B42"/>
    <w:rsid w:val="00551B53"/>
    <w:rsid w:val="00551C23"/>
    <w:rsid w:val="00551C5E"/>
    <w:rsid w:val="00551CBE"/>
    <w:rsid w:val="00551D0D"/>
    <w:rsid w:val="00551E53"/>
    <w:rsid w:val="00551E8C"/>
    <w:rsid w:val="00551F37"/>
    <w:rsid w:val="00551F74"/>
    <w:rsid w:val="00551FB6"/>
    <w:rsid w:val="0055203C"/>
    <w:rsid w:val="0055205E"/>
    <w:rsid w:val="00552093"/>
    <w:rsid w:val="005521DD"/>
    <w:rsid w:val="005521F9"/>
    <w:rsid w:val="005523C7"/>
    <w:rsid w:val="005524A5"/>
    <w:rsid w:val="005524BA"/>
    <w:rsid w:val="00552514"/>
    <w:rsid w:val="00552571"/>
    <w:rsid w:val="00552637"/>
    <w:rsid w:val="0055267C"/>
    <w:rsid w:val="00552694"/>
    <w:rsid w:val="005527BF"/>
    <w:rsid w:val="005527C3"/>
    <w:rsid w:val="005528DC"/>
    <w:rsid w:val="00552927"/>
    <w:rsid w:val="0055293F"/>
    <w:rsid w:val="0055294C"/>
    <w:rsid w:val="0055296B"/>
    <w:rsid w:val="00552AF0"/>
    <w:rsid w:val="00552C42"/>
    <w:rsid w:val="00552CAE"/>
    <w:rsid w:val="00552D44"/>
    <w:rsid w:val="00552D51"/>
    <w:rsid w:val="00552D6F"/>
    <w:rsid w:val="00552D9A"/>
    <w:rsid w:val="00552DB2"/>
    <w:rsid w:val="00552DE4"/>
    <w:rsid w:val="00552E59"/>
    <w:rsid w:val="00552EBF"/>
    <w:rsid w:val="00552F82"/>
    <w:rsid w:val="00552F98"/>
    <w:rsid w:val="00552FB5"/>
    <w:rsid w:val="00552FF8"/>
    <w:rsid w:val="005530A3"/>
    <w:rsid w:val="005530C8"/>
    <w:rsid w:val="005530D2"/>
    <w:rsid w:val="005531ED"/>
    <w:rsid w:val="00553233"/>
    <w:rsid w:val="00553250"/>
    <w:rsid w:val="005532A2"/>
    <w:rsid w:val="005532BD"/>
    <w:rsid w:val="005533D1"/>
    <w:rsid w:val="00553402"/>
    <w:rsid w:val="00553413"/>
    <w:rsid w:val="00553436"/>
    <w:rsid w:val="0055356D"/>
    <w:rsid w:val="0055357C"/>
    <w:rsid w:val="00553587"/>
    <w:rsid w:val="005535AE"/>
    <w:rsid w:val="005535C3"/>
    <w:rsid w:val="00553635"/>
    <w:rsid w:val="005536E8"/>
    <w:rsid w:val="0055373C"/>
    <w:rsid w:val="00553743"/>
    <w:rsid w:val="00553785"/>
    <w:rsid w:val="005537C4"/>
    <w:rsid w:val="005537F2"/>
    <w:rsid w:val="005537FE"/>
    <w:rsid w:val="00553825"/>
    <w:rsid w:val="00553829"/>
    <w:rsid w:val="0055384E"/>
    <w:rsid w:val="00553872"/>
    <w:rsid w:val="0055390B"/>
    <w:rsid w:val="00553965"/>
    <w:rsid w:val="00553A41"/>
    <w:rsid w:val="00553B0E"/>
    <w:rsid w:val="00553B11"/>
    <w:rsid w:val="00553B80"/>
    <w:rsid w:val="00553D37"/>
    <w:rsid w:val="00553DB6"/>
    <w:rsid w:val="00553EAE"/>
    <w:rsid w:val="00553EBA"/>
    <w:rsid w:val="00553EC4"/>
    <w:rsid w:val="00553F0D"/>
    <w:rsid w:val="00553F5B"/>
    <w:rsid w:val="00553FCB"/>
    <w:rsid w:val="00553FF2"/>
    <w:rsid w:val="0055405B"/>
    <w:rsid w:val="005540DE"/>
    <w:rsid w:val="00554106"/>
    <w:rsid w:val="00554149"/>
    <w:rsid w:val="00554168"/>
    <w:rsid w:val="00554199"/>
    <w:rsid w:val="0055431D"/>
    <w:rsid w:val="005543B6"/>
    <w:rsid w:val="00554401"/>
    <w:rsid w:val="0055446B"/>
    <w:rsid w:val="00554515"/>
    <w:rsid w:val="00554522"/>
    <w:rsid w:val="0055453E"/>
    <w:rsid w:val="00554547"/>
    <w:rsid w:val="005545A0"/>
    <w:rsid w:val="005545AE"/>
    <w:rsid w:val="005545B7"/>
    <w:rsid w:val="005545DC"/>
    <w:rsid w:val="005545E8"/>
    <w:rsid w:val="005545FC"/>
    <w:rsid w:val="00554687"/>
    <w:rsid w:val="00554743"/>
    <w:rsid w:val="00554840"/>
    <w:rsid w:val="0055488F"/>
    <w:rsid w:val="00554995"/>
    <w:rsid w:val="005549AD"/>
    <w:rsid w:val="00554A4C"/>
    <w:rsid w:val="00554C4C"/>
    <w:rsid w:val="00554DB1"/>
    <w:rsid w:val="00554DD1"/>
    <w:rsid w:val="00554E40"/>
    <w:rsid w:val="00554E63"/>
    <w:rsid w:val="00554E78"/>
    <w:rsid w:val="00554EFE"/>
    <w:rsid w:val="00554F1F"/>
    <w:rsid w:val="00554F2A"/>
    <w:rsid w:val="00554F88"/>
    <w:rsid w:val="0055506C"/>
    <w:rsid w:val="005550C7"/>
    <w:rsid w:val="005550EF"/>
    <w:rsid w:val="00555113"/>
    <w:rsid w:val="005551A8"/>
    <w:rsid w:val="005551CA"/>
    <w:rsid w:val="00555219"/>
    <w:rsid w:val="005552DE"/>
    <w:rsid w:val="00555320"/>
    <w:rsid w:val="0055534C"/>
    <w:rsid w:val="005553B3"/>
    <w:rsid w:val="00555409"/>
    <w:rsid w:val="00555443"/>
    <w:rsid w:val="005554CF"/>
    <w:rsid w:val="00555529"/>
    <w:rsid w:val="00555688"/>
    <w:rsid w:val="005556C2"/>
    <w:rsid w:val="00555773"/>
    <w:rsid w:val="005557ED"/>
    <w:rsid w:val="0055582F"/>
    <w:rsid w:val="00555830"/>
    <w:rsid w:val="00555861"/>
    <w:rsid w:val="005558CF"/>
    <w:rsid w:val="005558ED"/>
    <w:rsid w:val="00555921"/>
    <w:rsid w:val="0055593B"/>
    <w:rsid w:val="00555A69"/>
    <w:rsid w:val="00555A83"/>
    <w:rsid w:val="00555AD8"/>
    <w:rsid w:val="00555BC7"/>
    <w:rsid w:val="00555C87"/>
    <w:rsid w:val="00555D8B"/>
    <w:rsid w:val="00555E2A"/>
    <w:rsid w:val="00555E8F"/>
    <w:rsid w:val="00555EEA"/>
    <w:rsid w:val="00555EF6"/>
    <w:rsid w:val="00556006"/>
    <w:rsid w:val="005560A0"/>
    <w:rsid w:val="005560D2"/>
    <w:rsid w:val="0055629D"/>
    <w:rsid w:val="005562C6"/>
    <w:rsid w:val="005562DD"/>
    <w:rsid w:val="00556325"/>
    <w:rsid w:val="005563E1"/>
    <w:rsid w:val="00556446"/>
    <w:rsid w:val="0055649A"/>
    <w:rsid w:val="00556520"/>
    <w:rsid w:val="0055657C"/>
    <w:rsid w:val="005565B8"/>
    <w:rsid w:val="0055661B"/>
    <w:rsid w:val="005566D1"/>
    <w:rsid w:val="005566ED"/>
    <w:rsid w:val="00556894"/>
    <w:rsid w:val="00556925"/>
    <w:rsid w:val="00556A26"/>
    <w:rsid w:val="00556AF0"/>
    <w:rsid w:val="00556B04"/>
    <w:rsid w:val="00556B09"/>
    <w:rsid w:val="00556B62"/>
    <w:rsid w:val="00556B87"/>
    <w:rsid w:val="00556C38"/>
    <w:rsid w:val="00556D4A"/>
    <w:rsid w:val="00556D62"/>
    <w:rsid w:val="00556DBB"/>
    <w:rsid w:val="00556E51"/>
    <w:rsid w:val="00556ECE"/>
    <w:rsid w:val="00556EED"/>
    <w:rsid w:val="00556EF7"/>
    <w:rsid w:val="00556F6C"/>
    <w:rsid w:val="00556FD1"/>
    <w:rsid w:val="0055705C"/>
    <w:rsid w:val="005570BC"/>
    <w:rsid w:val="0055711F"/>
    <w:rsid w:val="00557165"/>
    <w:rsid w:val="00557177"/>
    <w:rsid w:val="00557332"/>
    <w:rsid w:val="00557376"/>
    <w:rsid w:val="0055737E"/>
    <w:rsid w:val="0055748E"/>
    <w:rsid w:val="005574A2"/>
    <w:rsid w:val="005574C5"/>
    <w:rsid w:val="005574C7"/>
    <w:rsid w:val="00557504"/>
    <w:rsid w:val="0055752D"/>
    <w:rsid w:val="0055764F"/>
    <w:rsid w:val="005576CC"/>
    <w:rsid w:val="005576D7"/>
    <w:rsid w:val="00557700"/>
    <w:rsid w:val="00557882"/>
    <w:rsid w:val="00557944"/>
    <w:rsid w:val="005579E5"/>
    <w:rsid w:val="00557A63"/>
    <w:rsid w:val="00557ABD"/>
    <w:rsid w:val="00557AF2"/>
    <w:rsid w:val="00557B3D"/>
    <w:rsid w:val="00557B81"/>
    <w:rsid w:val="00557C3C"/>
    <w:rsid w:val="00557DA3"/>
    <w:rsid w:val="00557E4D"/>
    <w:rsid w:val="00557EEB"/>
    <w:rsid w:val="00557F0C"/>
    <w:rsid w:val="00557F4C"/>
    <w:rsid w:val="00560083"/>
    <w:rsid w:val="005600E7"/>
    <w:rsid w:val="00560124"/>
    <w:rsid w:val="00560211"/>
    <w:rsid w:val="00560353"/>
    <w:rsid w:val="005603CD"/>
    <w:rsid w:val="00560400"/>
    <w:rsid w:val="00560476"/>
    <w:rsid w:val="00560483"/>
    <w:rsid w:val="005604AC"/>
    <w:rsid w:val="005604C8"/>
    <w:rsid w:val="00560579"/>
    <w:rsid w:val="005605B5"/>
    <w:rsid w:val="005605BE"/>
    <w:rsid w:val="005606AD"/>
    <w:rsid w:val="00560718"/>
    <w:rsid w:val="00560774"/>
    <w:rsid w:val="00560811"/>
    <w:rsid w:val="00560813"/>
    <w:rsid w:val="005608DD"/>
    <w:rsid w:val="005608EF"/>
    <w:rsid w:val="0056097C"/>
    <w:rsid w:val="0056098F"/>
    <w:rsid w:val="005609A1"/>
    <w:rsid w:val="005609B0"/>
    <w:rsid w:val="00560A94"/>
    <w:rsid w:val="00560A9C"/>
    <w:rsid w:val="00560A9D"/>
    <w:rsid w:val="00560ADA"/>
    <w:rsid w:val="00560AE3"/>
    <w:rsid w:val="00560AF6"/>
    <w:rsid w:val="00560B00"/>
    <w:rsid w:val="00560B7A"/>
    <w:rsid w:val="00560BD4"/>
    <w:rsid w:val="00560C57"/>
    <w:rsid w:val="00560CA8"/>
    <w:rsid w:val="00560CBA"/>
    <w:rsid w:val="00560CFE"/>
    <w:rsid w:val="00560E16"/>
    <w:rsid w:val="00560E8A"/>
    <w:rsid w:val="00560F62"/>
    <w:rsid w:val="00560F92"/>
    <w:rsid w:val="00560F93"/>
    <w:rsid w:val="005610B1"/>
    <w:rsid w:val="005610EC"/>
    <w:rsid w:val="00561102"/>
    <w:rsid w:val="00561177"/>
    <w:rsid w:val="00561189"/>
    <w:rsid w:val="005612D7"/>
    <w:rsid w:val="0056132C"/>
    <w:rsid w:val="00561333"/>
    <w:rsid w:val="0056154C"/>
    <w:rsid w:val="005615C9"/>
    <w:rsid w:val="0056163D"/>
    <w:rsid w:val="005616CD"/>
    <w:rsid w:val="005616FA"/>
    <w:rsid w:val="0056176A"/>
    <w:rsid w:val="005617D1"/>
    <w:rsid w:val="005618B1"/>
    <w:rsid w:val="005618D9"/>
    <w:rsid w:val="0056195C"/>
    <w:rsid w:val="005619A1"/>
    <w:rsid w:val="00561AB8"/>
    <w:rsid w:val="00561AE7"/>
    <w:rsid w:val="00561BE3"/>
    <w:rsid w:val="00561BFD"/>
    <w:rsid w:val="00561C02"/>
    <w:rsid w:val="00561C52"/>
    <w:rsid w:val="00561C87"/>
    <w:rsid w:val="00561E67"/>
    <w:rsid w:val="00561FA5"/>
    <w:rsid w:val="00561FEF"/>
    <w:rsid w:val="005620B6"/>
    <w:rsid w:val="00562278"/>
    <w:rsid w:val="0056227A"/>
    <w:rsid w:val="0056227E"/>
    <w:rsid w:val="005622E5"/>
    <w:rsid w:val="00562336"/>
    <w:rsid w:val="00562354"/>
    <w:rsid w:val="005623D5"/>
    <w:rsid w:val="00562482"/>
    <w:rsid w:val="005624CA"/>
    <w:rsid w:val="005624DB"/>
    <w:rsid w:val="00562508"/>
    <w:rsid w:val="00562588"/>
    <w:rsid w:val="005625B2"/>
    <w:rsid w:val="005625D7"/>
    <w:rsid w:val="005625E2"/>
    <w:rsid w:val="005625F4"/>
    <w:rsid w:val="00562784"/>
    <w:rsid w:val="005627DA"/>
    <w:rsid w:val="005627F6"/>
    <w:rsid w:val="00562857"/>
    <w:rsid w:val="00562906"/>
    <w:rsid w:val="00562A6A"/>
    <w:rsid w:val="00562BA6"/>
    <w:rsid w:val="00562BE9"/>
    <w:rsid w:val="00562BFF"/>
    <w:rsid w:val="00562D05"/>
    <w:rsid w:val="00562D29"/>
    <w:rsid w:val="00562D70"/>
    <w:rsid w:val="00562D8B"/>
    <w:rsid w:val="00562E47"/>
    <w:rsid w:val="00562E67"/>
    <w:rsid w:val="00562ECB"/>
    <w:rsid w:val="0056301F"/>
    <w:rsid w:val="00563096"/>
    <w:rsid w:val="00563100"/>
    <w:rsid w:val="005631F9"/>
    <w:rsid w:val="0056324D"/>
    <w:rsid w:val="0056327B"/>
    <w:rsid w:val="0056329E"/>
    <w:rsid w:val="005632DF"/>
    <w:rsid w:val="00563330"/>
    <w:rsid w:val="0056339F"/>
    <w:rsid w:val="005634F4"/>
    <w:rsid w:val="00563559"/>
    <w:rsid w:val="005635FC"/>
    <w:rsid w:val="0056368A"/>
    <w:rsid w:val="005636ED"/>
    <w:rsid w:val="00563800"/>
    <w:rsid w:val="00563859"/>
    <w:rsid w:val="00563893"/>
    <w:rsid w:val="00563899"/>
    <w:rsid w:val="00563988"/>
    <w:rsid w:val="005639B1"/>
    <w:rsid w:val="005639FC"/>
    <w:rsid w:val="00563A23"/>
    <w:rsid w:val="00563BA1"/>
    <w:rsid w:val="00563BCD"/>
    <w:rsid w:val="00563BDA"/>
    <w:rsid w:val="00563BE9"/>
    <w:rsid w:val="00563C0D"/>
    <w:rsid w:val="00563C82"/>
    <w:rsid w:val="00563CE8"/>
    <w:rsid w:val="00563D95"/>
    <w:rsid w:val="00563DC1"/>
    <w:rsid w:val="00563E59"/>
    <w:rsid w:val="00563E8F"/>
    <w:rsid w:val="00563EE7"/>
    <w:rsid w:val="00563F1B"/>
    <w:rsid w:val="00563F85"/>
    <w:rsid w:val="00563FCC"/>
    <w:rsid w:val="00563FDD"/>
    <w:rsid w:val="005640DB"/>
    <w:rsid w:val="005640ED"/>
    <w:rsid w:val="00564254"/>
    <w:rsid w:val="005642DF"/>
    <w:rsid w:val="00564348"/>
    <w:rsid w:val="00564355"/>
    <w:rsid w:val="0056442F"/>
    <w:rsid w:val="0056446C"/>
    <w:rsid w:val="00564538"/>
    <w:rsid w:val="00564547"/>
    <w:rsid w:val="005645A0"/>
    <w:rsid w:val="005645A2"/>
    <w:rsid w:val="00564604"/>
    <w:rsid w:val="00564610"/>
    <w:rsid w:val="0056468A"/>
    <w:rsid w:val="005647B1"/>
    <w:rsid w:val="005647E4"/>
    <w:rsid w:val="005647E7"/>
    <w:rsid w:val="005648B7"/>
    <w:rsid w:val="005648EE"/>
    <w:rsid w:val="0056495F"/>
    <w:rsid w:val="00564968"/>
    <w:rsid w:val="005649EF"/>
    <w:rsid w:val="005649F7"/>
    <w:rsid w:val="00564A16"/>
    <w:rsid w:val="00564A1C"/>
    <w:rsid w:val="00564A31"/>
    <w:rsid w:val="00564A3E"/>
    <w:rsid w:val="00564ABB"/>
    <w:rsid w:val="00564B32"/>
    <w:rsid w:val="00564B59"/>
    <w:rsid w:val="00564B7E"/>
    <w:rsid w:val="00564C0B"/>
    <w:rsid w:val="00564C30"/>
    <w:rsid w:val="00564CA8"/>
    <w:rsid w:val="00564CDE"/>
    <w:rsid w:val="00564D8B"/>
    <w:rsid w:val="00564F77"/>
    <w:rsid w:val="00564F9C"/>
    <w:rsid w:val="0056501D"/>
    <w:rsid w:val="00565024"/>
    <w:rsid w:val="005650A3"/>
    <w:rsid w:val="00565175"/>
    <w:rsid w:val="005651AA"/>
    <w:rsid w:val="0056521B"/>
    <w:rsid w:val="0056523B"/>
    <w:rsid w:val="00565362"/>
    <w:rsid w:val="0056538E"/>
    <w:rsid w:val="005653AC"/>
    <w:rsid w:val="005653C7"/>
    <w:rsid w:val="005653EE"/>
    <w:rsid w:val="005653FD"/>
    <w:rsid w:val="00565432"/>
    <w:rsid w:val="005654AD"/>
    <w:rsid w:val="005654B8"/>
    <w:rsid w:val="0056562E"/>
    <w:rsid w:val="00565666"/>
    <w:rsid w:val="00565706"/>
    <w:rsid w:val="0056570B"/>
    <w:rsid w:val="00565720"/>
    <w:rsid w:val="005657FB"/>
    <w:rsid w:val="005657FE"/>
    <w:rsid w:val="005658B2"/>
    <w:rsid w:val="00565957"/>
    <w:rsid w:val="005659EA"/>
    <w:rsid w:val="00565A05"/>
    <w:rsid w:val="00565B29"/>
    <w:rsid w:val="00565D09"/>
    <w:rsid w:val="00565E1E"/>
    <w:rsid w:val="00565E76"/>
    <w:rsid w:val="00565E90"/>
    <w:rsid w:val="00565EB5"/>
    <w:rsid w:val="00565F72"/>
    <w:rsid w:val="00566063"/>
    <w:rsid w:val="00566090"/>
    <w:rsid w:val="005661AD"/>
    <w:rsid w:val="005661B3"/>
    <w:rsid w:val="005661CF"/>
    <w:rsid w:val="005662B2"/>
    <w:rsid w:val="0056630F"/>
    <w:rsid w:val="00566405"/>
    <w:rsid w:val="00566490"/>
    <w:rsid w:val="0056656C"/>
    <w:rsid w:val="005665A4"/>
    <w:rsid w:val="005665C2"/>
    <w:rsid w:val="0056660B"/>
    <w:rsid w:val="0056661D"/>
    <w:rsid w:val="0056665A"/>
    <w:rsid w:val="0056668C"/>
    <w:rsid w:val="00566694"/>
    <w:rsid w:val="00566697"/>
    <w:rsid w:val="0056669A"/>
    <w:rsid w:val="0056670C"/>
    <w:rsid w:val="0056671E"/>
    <w:rsid w:val="00566795"/>
    <w:rsid w:val="0056687F"/>
    <w:rsid w:val="005669C2"/>
    <w:rsid w:val="005669D1"/>
    <w:rsid w:val="005669E6"/>
    <w:rsid w:val="00566CC5"/>
    <w:rsid w:val="00566D29"/>
    <w:rsid w:val="00566DAE"/>
    <w:rsid w:val="00566E4D"/>
    <w:rsid w:val="00566E7D"/>
    <w:rsid w:val="00566ED7"/>
    <w:rsid w:val="0056701A"/>
    <w:rsid w:val="00567040"/>
    <w:rsid w:val="005670EF"/>
    <w:rsid w:val="00567176"/>
    <w:rsid w:val="00567218"/>
    <w:rsid w:val="0056730A"/>
    <w:rsid w:val="0056753B"/>
    <w:rsid w:val="0056756F"/>
    <w:rsid w:val="00567570"/>
    <w:rsid w:val="005675CB"/>
    <w:rsid w:val="005675CE"/>
    <w:rsid w:val="00567616"/>
    <w:rsid w:val="005676A9"/>
    <w:rsid w:val="005676FC"/>
    <w:rsid w:val="00567719"/>
    <w:rsid w:val="00567758"/>
    <w:rsid w:val="0056779C"/>
    <w:rsid w:val="00567888"/>
    <w:rsid w:val="005678D1"/>
    <w:rsid w:val="00567910"/>
    <w:rsid w:val="00567912"/>
    <w:rsid w:val="0056794D"/>
    <w:rsid w:val="00567A70"/>
    <w:rsid w:val="00567ACE"/>
    <w:rsid w:val="00567B71"/>
    <w:rsid w:val="00567B8B"/>
    <w:rsid w:val="00567D94"/>
    <w:rsid w:val="00567DA2"/>
    <w:rsid w:val="00567E00"/>
    <w:rsid w:val="00567F94"/>
    <w:rsid w:val="0056BB8B"/>
    <w:rsid w:val="00570052"/>
    <w:rsid w:val="0057007B"/>
    <w:rsid w:val="00570260"/>
    <w:rsid w:val="00570379"/>
    <w:rsid w:val="0057046B"/>
    <w:rsid w:val="0057057A"/>
    <w:rsid w:val="00570620"/>
    <w:rsid w:val="0057069D"/>
    <w:rsid w:val="00570736"/>
    <w:rsid w:val="00570757"/>
    <w:rsid w:val="005707AD"/>
    <w:rsid w:val="00570875"/>
    <w:rsid w:val="00570877"/>
    <w:rsid w:val="005708EE"/>
    <w:rsid w:val="00570990"/>
    <w:rsid w:val="00570A00"/>
    <w:rsid w:val="00570A24"/>
    <w:rsid w:val="00570B0F"/>
    <w:rsid w:val="00570B25"/>
    <w:rsid w:val="00570B6D"/>
    <w:rsid w:val="00570BEA"/>
    <w:rsid w:val="00570BFB"/>
    <w:rsid w:val="00570C3A"/>
    <w:rsid w:val="00570C77"/>
    <w:rsid w:val="00570CE5"/>
    <w:rsid w:val="00570CF3"/>
    <w:rsid w:val="00570E0E"/>
    <w:rsid w:val="00570E7B"/>
    <w:rsid w:val="00570EA7"/>
    <w:rsid w:val="00570F6A"/>
    <w:rsid w:val="00570F8A"/>
    <w:rsid w:val="00570FD1"/>
    <w:rsid w:val="00571038"/>
    <w:rsid w:val="00571046"/>
    <w:rsid w:val="005710B9"/>
    <w:rsid w:val="005710CC"/>
    <w:rsid w:val="00571173"/>
    <w:rsid w:val="005711A2"/>
    <w:rsid w:val="005711AD"/>
    <w:rsid w:val="005711AE"/>
    <w:rsid w:val="005711C7"/>
    <w:rsid w:val="00571218"/>
    <w:rsid w:val="005712B5"/>
    <w:rsid w:val="005712C7"/>
    <w:rsid w:val="005712CE"/>
    <w:rsid w:val="00571309"/>
    <w:rsid w:val="0057138C"/>
    <w:rsid w:val="0057143E"/>
    <w:rsid w:val="0057157F"/>
    <w:rsid w:val="005715B8"/>
    <w:rsid w:val="005715D6"/>
    <w:rsid w:val="00571603"/>
    <w:rsid w:val="00571693"/>
    <w:rsid w:val="005716D5"/>
    <w:rsid w:val="005716EE"/>
    <w:rsid w:val="0057173F"/>
    <w:rsid w:val="0057177E"/>
    <w:rsid w:val="0057182A"/>
    <w:rsid w:val="00571895"/>
    <w:rsid w:val="0057190B"/>
    <w:rsid w:val="00571955"/>
    <w:rsid w:val="00571974"/>
    <w:rsid w:val="00571985"/>
    <w:rsid w:val="005719AB"/>
    <w:rsid w:val="005719F4"/>
    <w:rsid w:val="00571C6E"/>
    <w:rsid w:val="00571D23"/>
    <w:rsid w:val="00571DC1"/>
    <w:rsid w:val="00571E27"/>
    <w:rsid w:val="00571EC2"/>
    <w:rsid w:val="00571F10"/>
    <w:rsid w:val="0057202E"/>
    <w:rsid w:val="00572180"/>
    <w:rsid w:val="00572236"/>
    <w:rsid w:val="005722C5"/>
    <w:rsid w:val="005722D3"/>
    <w:rsid w:val="005722EB"/>
    <w:rsid w:val="005722FC"/>
    <w:rsid w:val="00572404"/>
    <w:rsid w:val="005724E6"/>
    <w:rsid w:val="00572542"/>
    <w:rsid w:val="00572558"/>
    <w:rsid w:val="005725B2"/>
    <w:rsid w:val="0057264D"/>
    <w:rsid w:val="00572716"/>
    <w:rsid w:val="00572842"/>
    <w:rsid w:val="005728FD"/>
    <w:rsid w:val="0057290E"/>
    <w:rsid w:val="005729D0"/>
    <w:rsid w:val="00572B01"/>
    <w:rsid w:val="00572B30"/>
    <w:rsid w:val="00572B31"/>
    <w:rsid w:val="00572BB7"/>
    <w:rsid w:val="00572C03"/>
    <w:rsid w:val="00572C6F"/>
    <w:rsid w:val="00572C78"/>
    <w:rsid w:val="00572D24"/>
    <w:rsid w:val="00572E12"/>
    <w:rsid w:val="00572E88"/>
    <w:rsid w:val="00572EA4"/>
    <w:rsid w:val="00572FB5"/>
    <w:rsid w:val="00572FBD"/>
    <w:rsid w:val="0057303F"/>
    <w:rsid w:val="00573172"/>
    <w:rsid w:val="0057330E"/>
    <w:rsid w:val="00573372"/>
    <w:rsid w:val="00573377"/>
    <w:rsid w:val="005733FA"/>
    <w:rsid w:val="0057342B"/>
    <w:rsid w:val="0057348C"/>
    <w:rsid w:val="005734CE"/>
    <w:rsid w:val="00573557"/>
    <w:rsid w:val="005735AA"/>
    <w:rsid w:val="00573691"/>
    <w:rsid w:val="00573726"/>
    <w:rsid w:val="00573789"/>
    <w:rsid w:val="005737B4"/>
    <w:rsid w:val="00573831"/>
    <w:rsid w:val="00573836"/>
    <w:rsid w:val="005738A2"/>
    <w:rsid w:val="00573969"/>
    <w:rsid w:val="005739AC"/>
    <w:rsid w:val="00573B22"/>
    <w:rsid w:val="00573C2F"/>
    <w:rsid w:val="00573C8D"/>
    <w:rsid w:val="00573D5B"/>
    <w:rsid w:val="00573D6E"/>
    <w:rsid w:val="00573D77"/>
    <w:rsid w:val="00573D84"/>
    <w:rsid w:val="00573DDF"/>
    <w:rsid w:val="00573E0F"/>
    <w:rsid w:val="00573E4B"/>
    <w:rsid w:val="00573E51"/>
    <w:rsid w:val="00573E7B"/>
    <w:rsid w:val="00573F11"/>
    <w:rsid w:val="00573F8E"/>
    <w:rsid w:val="00573F9F"/>
    <w:rsid w:val="00574026"/>
    <w:rsid w:val="00574037"/>
    <w:rsid w:val="005740AB"/>
    <w:rsid w:val="005740D2"/>
    <w:rsid w:val="005740E4"/>
    <w:rsid w:val="00574100"/>
    <w:rsid w:val="00574133"/>
    <w:rsid w:val="00574135"/>
    <w:rsid w:val="00574156"/>
    <w:rsid w:val="00574169"/>
    <w:rsid w:val="00574217"/>
    <w:rsid w:val="0057423F"/>
    <w:rsid w:val="0057424C"/>
    <w:rsid w:val="005742A7"/>
    <w:rsid w:val="0057435F"/>
    <w:rsid w:val="0057436C"/>
    <w:rsid w:val="005743A2"/>
    <w:rsid w:val="005743A8"/>
    <w:rsid w:val="00574401"/>
    <w:rsid w:val="00574465"/>
    <w:rsid w:val="00574478"/>
    <w:rsid w:val="005744B8"/>
    <w:rsid w:val="005744C0"/>
    <w:rsid w:val="005744F4"/>
    <w:rsid w:val="0057454B"/>
    <w:rsid w:val="005745CB"/>
    <w:rsid w:val="005745D9"/>
    <w:rsid w:val="005745E2"/>
    <w:rsid w:val="005745F1"/>
    <w:rsid w:val="00574685"/>
    <w:rsid w:val="00574698"/>
    <w:rsid w:val="005746FD"/>
    <w:rsid w:val="005748C9"/>
    <w:rsid w:val="005748CD"/>
    <w:rsid w:val="0057494E"/>
    <w:rsid w:val="00574958"/>
    <w:rsid w:val="0057496F"/>
    <w:rsid w:val="0057498E"/>
    <w:rsid w:val="005749B1"/>
    <w:rsid w:val="005749C8"/>
    <w:rsid w:val="00574B25"/>
    <w:rsid w:val="00574BD5"/>
    <w:rsid w:val="00574C4B"/>
    <w:rsid w:val="00574D76"/>
    <w:rsid w:val="00574DE5"/>
    <w:rsid w:val="00574F3C"/>
    <w:rsid w:val="00575050"/>
    <w:rsid w:val="00575079"/>
    <w:rsid w:val="00575082"/>
    <w:rsid w:val="00575180"/>
    <w:rsid w:val="005751CA"/>
    <w:rsid w:val="005751E7"/>
    <w:rsid w:val="00575213"/>
    <w:rsid w:val="0057522B"/>
    <w:rsid w:val="0057526D"/>
    <w:rsid w:val="00575273"/>
    <w:rsid w:val="005752FC"/>
    <w:rsid w:val="00575301"/>
    <w:rsid w:val="00575312"/>
    <w:rsid w:val="0057547B"/>
    <w:rsid w:val="0057554D"/>
    <w:rsid w:val="005755B1"/>
    <w:rsid w:val="005756EC"/>
    <w:rsid w:val="005757F9"/>
    <w:rsid w:val="00575818"/>
    <w:rsid w:val="005758D1"/>
    <w:rsid w:val="005758E9"/>
    <w:rsid w:val="005758FE"/>
    <w:rsid w:val="00575992"/>
    <w:rsid w:val="00575A4A"/>
    <w:rsid w:val="00575A7C"/>
    <w:rsid w:val="00575BB3"/>
    <w:rsid w:val="00575C59"/>
    <w:rsid w:val="00575CA2"/>
    <w:rsid w:val="00575D42"/>
    <w:rsid w:val="00575D72"/>
    <w:rsid w:val="00575DFC"/>
    <w:rsid w:val="00575DFE"/>
    <w:rsid w:val="00575E06"/>
    <w:rsid w:val="00575EB8"/>
    <w:rsid w:val="00575EBE"/>
    <w:rsid w:val="00575F02"/>
    <w:rsid w:val="00575F36"/>
    <w:rsid w:val="00575FC0"/>
    <w:rsid w:val="00575FDB"/>
    <w:rsid w:val="005760B3"/>
    <w:rsid w:val="0057615E"/>
    <w:rsid w:val="0057620A"/>
    <w:rsid w:val="005763AB"/>
    <w:rsid w:val="005763B6"/>
    <w:rsid w:val="00576462"/>
    <w:rsid w:val="005764B5"/>
    <w:rsid w:val="0057652A"/>
    <w:rsid w:val="00576697"/>
    <w:rsid w:val="0057669E"/>
    <w:rsid w:val="00576759"/>
    <w:rsid w:val="00576766"/>
    <w:rsid w:val="005767A3"/>
    <w:rsid w:val="00576800"/>
    <w:rsid w:val="005769C5"/>
    <w:rsid w:val="005769D1"/>
    <w:rsid w:val="005769E4"/>
    <w:rsid w:val="00576A2B"/>
    <w:rsid w:val="00576AC4"/>
    <w:rsid w:val="00576C01"/>
    <w:rsid w:val="00576C08"/>
    <w:rsid w:val="00576C74"/>
    <w:rsid w:val="00576C79"/>
    <w:rsid w:val="00576C8B"/>
    <w:rsid w:val="00576CF6"/>
    <w:rsid w:val="00576D8A"/>
    <w:rsid w:val="00576DBF"/>
    <w:rsid w:val="00576E87"/>
    <w:rsid w:val="00576EDE"/>
    <w:rsid w:val="00576F91"/>
    <w:rsid w:val="00576FF5"/>
    <w:rsid w:val="0057708C"/>
    <w:rsid w:val="005771A2"/>
    <w:rsid w:val="005771EF"/>
    <w:rsid w:val="00577205"/>
    <w:rsid w:val="00577253"/>
    <w:rsid w:val="005772FC"/>
    <w:rsid w:val="00577333"/>
    <w:rsid w:val="005773BC"/>
    <w:rsid w:val="00577588"/>
    <w:rsid w:val="0057763C"/>
    <w:rsid w:val="0057764B"/>
    <w:rsid w:val="00577656"/>
    <w:rsid w:val="005776E0"/>
    <w:rsid w:val="0057771F"/>
    <w:rsid w:val="0057783F"/>
    <w:rsid w:val="00577885"/>
    <w:rsid w:val="0057791F"/>
    <w:rsid w:val="005779ED"/>
    <w:rsid w:val="00577A6E"/>
    <w:rsid w:val="00577AC2"/>
    <w:rsid w:val="00577B7B"/>
    <w:rsid w:val="00577C2D"/>
    <w:rsid w:val="00577C87"/>
    <w:rsid w:val="00577DA0"/>
    <w:rsid w:val="00577E5C"/>
    <w:rsid w:val="00577E71"/>
    <w:rsid w:val="00577FCD"/>
    <w:rsid w:val="00580008"/>
    <w:rsid w:val="00580012"/>
    <w:rsid w:val="00580030"/>
    <w:rsid w:val="005800A3"/>
    <w:rsid w:val="005800F1"/>
    <w:rsid w:val="0058018D"/>
    <w:rsid w:val="005801EF"/>
    <w:rsid w:val="00580221"/>
    <w:rsid w:val="0058023D"/>
    <w:rsid w:val="00580299"/>
    <w:rsid w:val="005802D1"/>
    <w:rsid w:val="005803D3"/>
    <w:rsid w:val="005803F3"/>
    <w:rsid w:val="00580518"/>
    <w:rsid w:val="005805A5"/>
    <w:rsid w:val="005805EB"/>
    <w:rsid w:val="00580636"/>
    <w:rsid w:val="00580654"/>
    <w:rsid w:val="005806DC"/>
    <w:rsid w:val="005806EA"/>
    <w:rsid w:val="005806FD"/>
    <w:rsid w:val="00580747"/>
    <w:rsid w:val="005807B3"/>
    <w:rsid w:val="00580A60"/>
    <w:rsid w:val="00580A6C"/>
    <w:rsid w:val="00580B2C"/>
    <w:rsid w:val="00580B31"/>
    <w:rsid w:val="00580D25"/>
    <w:rsid w:val="00580D2A"/>
    <w:rsid w:val="00580DC0"/>
    <w:rsid w:val="00580DC7"/>
    <w:rsid w:val="00580E57"/>
    <w:rsid w:val="00580E59"/>
    <w:rsid w:val="00580E8C"/>
    <w:rsid w:val="00580F1B"/>
    <w:rsid w:val="00580F22"/>
    <w:rsid w:val="00580FBF"/>
    <w:rsid w:val="00581105"/>
    <w:rsid w:val="005812CD"/>
    <w:rsid w:val="005812ED"/>
    <w:rsid w:val="00581347"/>
    <w:rsid w:val="0058134C"/>
    <w:rsid w:val="0058138E"/>
    <w:rsid w:val="0058139D"/>
    <w:rsid w:val="005813C5"/>
    <w:rsid w:val="00581419"/>
    <w:rsid w:val="0058146D"/>
    <w:rsid w:val="005815C8"/>
    <w:rsid w:val="005816BF"/>
    <w:rsid w:val="0058174D"/>
    <w:rsid w:val="0058174E"/>
    <w:rsid w:val="00581779"/>
    <w:rsid w:val="00581866"/>
    <w:rsid w:val="005819B5"/>
    <w:rsid w:val="00581A2C"/>
    <w:rsid w:val="00581A6E"/>
    <w:rsid w:val="00581AAD"/>
    <w:rsid w:val="00581AE5"/>
    <w:rsid w:val="00581B3B"/>
    <w:rsid w:val="00581B5C"/>
    <w:rsid w:val="00581BB0"/>
    <w:rsid w:val="00581BBC"/>
    <w:rsid w:val="00581BC1"/>
    <w:rsid w:val="00581C07"/>
    <w:rsid w:val="00581D14"/>
    <w:rsid w:val="00581D8C"/>
    <w:rsid w:val="00581DD8"/>
    <w:rsid w:val="00581DE0"/>
    <w:rsid w:val="00581E65"/>
    <w:rsid w:val="00581EAE"/>
    <w:rsid w:val="00581FCE"/>
    <w:rsid w:val="00581FDC"/>
    <w:rsid w:val="00581FDE"/>
    <w:rsid w:val="0058204F"/>
    <w:rsid w:val="00582199"/>
    <w:rsid w:val="005823C9"/>
    <w:rsid w:val="005823D4"/>
    <w:rsid w:val="005823E8"/>
    <w:rsid w:val="00582441"/>
    <w:rsid w:val="005825AC"/>
    <w:rsid w:val="0058266C"/>
    <w:rsid w:val="0058272F"/>
    <w:rsid w:val="005827A3"/>
    <w:rsid w:val="005827D5"/>
    <w:rsid w:val="005827FA"/>
    <w:rsid w:val="00582813"/>
    <w:rsid w:val="00582816"/>
    <w:rsid w:val="0058281D"/>
    <w:rsid w:val="005828EF"/>
    <w:rsid w:val="0058294E"/>
    <w:rsid w:val="0058298E"/>
    <w:rsid w:val="005829B6"/>
    <w:rsid w:val="005829E8"/>
    <w:rsid w:val="00582ACD"/>
    <w:rsid w:val="00582B36"/>
    <w:rsid w:val="00582D95"/>
    <w:rsid w:val="00582E62"/>
    <w:rsid w:val="00582E6C"/>
    <w:rsid w:val="00582E89"/>
    <w:rsid w:val="00582E9A"/>
    <w:rsid w:val="00582FC9"/>
    <w:rsid w:val="00582FE6"/>
    <w:rsid w:val="00582FEF"/>
    <w:rsid w:val="00583060"/>
    <w:rsid w:val="005830B4"/>
    <w:rsid w:val="005830E4"/>
    <w:rsid w:val="00583118"/>
    <w:rsid w:val="00583159"/>
    <w:rsid w:val="005831B6"/>
    <w:rsid w:val="005831D5"/>
    <w:rsid w:val="00583208"/>
    <w:rsid w:val="0058320B"/>
    <w:rsid w:val="00583295"/>
    <w:rsid w:val="00583354"/>
    <w:rsid w:val="00583371"/>
    <w:rsid w:val="005833D9"/>
    <w:rsid w:val="0058348D"/>
    <w:rsid w:val="005834BD"/>
    <w:rsid w:val="005834DD"/>
    <w:rsid w:val="0058351C"/>
    <w:rsid w:val="00583578"/>
    <w:rsid w:val="005835F6"/>
    <w:rsid w:val="00583731"/>
    <w:rsid w:val="0058378D"/>
    <w:rsid w:val="005837AF"/>
    <w:rsid w:val="005837B1"/>
    <w:rsid w:val="005837C1"/>
    <w:rsid w:val="0058393F"/>
    <w:rsid w:val="00583984"/>
    <w:rsid w:val="005839F9"/>
    <w:rsid w:val="00583A48"/>
    <w:rsid w:val="00583AB6"/>
    <w:rsid w:val="00583AD6"/>
    <w:rsid w:val="00583AFD"/>
    <w:rsid w:val="00583B04"/>
    <w:rsid w:val="00583B79"/>
    <w:rsid w:val="00583B9C"/>
    <w:rsid w:val="00583CBF"/>
    <w:rsid w:val="00583D4A"/>
    <w:rsid w:val="00583D52"/>
    <w:rsid w:val="00583D5F"/>
    <w:rsid w:val="00583D68"/>
    <w:rsid w:val="00583E74"/>
    <w:rsid w:val="00583EE7"/>
    <w:rsid w:val="00583EF3"/>
    <w:rsid w:val="00583F10"/>
    <w:rsid w:val="00584037"/>
    <w:rsid w:val="0058404B"/>
    <w:rsid w:val="0058409A"/>
    <w:rsid w:val="00584101"/>
    <w:rsid w:val="00584138"/>
    <w:rsid w:val="005841BF"/>
    <w:rsid w:val="0058423A"/>
    <w:rsid w:val="005842CB"/>
    <w:rsid w:val="0058431A"/>
    <w:rsid w:val="005843CA"/>
    <w:rsid w:val="005844D7"/>
    <w:rsid w:val="005844E7"/>
    <w:rsid w:val="005844F0"/>
    <w:rsid w:val="005845C1"/>
    <w:rsid w:val="0058469A"/>
    <w:rsid w:val="00584882"/>
    <w:rsid w:val="00584969"/>
    <w:rsid w:val="005849EC"/>
    <w:rsid w:val="00584A78"/>
    <w:rsid w:val="00584AA6"/>
    <w:rsid w:val="00584B3A"/>
    <w:rsid w:val="00584B92"/>
    <w:rsid w:val="00584BC7"/>
    <w:rsid w:val="00584C36"/>
    <w:rsid w:val="00584C7D"/>
    <w:rsid w:val="00584D5B"/>
    <w:rsid w:val="00584D71"/>
    <w:rsid w:val="00584D87"/>
    <w:rsid w:val="00584E10"/>
    <w:rsid w:val="00584E14"/>
    <w:rsid w:val="00584EDC"/>
    <w:rsid w:val="00584F56"/>
    <w:rsid w:val="00584FB8"/>
    <w:rsid w:val="00584FF8"/>
    <w:rsid w:val="0058519B"/>
    <w:rsid w:val="005851C8"/>
    <w:rsid w:val="00585355"/>
    <w:rsid w:val="005854E0"/>
    <w:rsid w:val="005854E9"/>
    <w:rsid w:val="0058551F"/>
    <w:rsid w:val="00585522"/>
    <w:rsid w:val="0058553C"/>
    <w:rsid w:val="005855A0"/>
    <w:rsid w:val="00585653"/>
    <w:rsid w:val="0058568C"/>
    <w:rsid w:val="0058569A"/>
    <w:rsid w:val="005856C8"/>
    <w:rsid w:val="00585700"/>
    <w:rsid w:val="005857EB"/>
    <w:rsid w:val="00585828"/>
    <w:rsid w:val="005858F3"/>
    <w:rsid w:val="005858FE"/>
    <w:rsid w:val="00585945"/>
    <w:rsid w:val="0058595D"/>
    <w:rsid w:val="00585999"/>
    <w:rsid w:val="005859F4"/>
    <w:rsid w:val="00585A04"/>
    <w:rsid w:val="00585A5F"/>
    <w:rsid w:val="00585A61"/>
    <w:rsid w:val="00585B96"/>
    <w:rsid w:val="00585B9F"/>
    <w:rsid w:val="00585BDE"/>
    <w:rsid w:val="00585BEC"/>
    <w:rsid w:val="00585CB4"/>
    <w:rsid w:val="00585CBF"/>
    <w:rsid w:val="00585CDC"/>
    <w:rsid w:val="00585D88"/>
    <w:rsid w:val="00585EAA"/>
    <w:rsid w:val="00585F4A"/>
    <w:rsid w:val="00585F68"/>
    <w:rsid w:val="00586069"/>
    <w:rsid w:val="00586206"/>
    <w:rsid w:val="00586254"/>
    <w:rsid w:val="00586332"/>
    <w:rsid w:val="0058633F"/>
    <w:rsid w:val="00586426"/>
    <w:rsid w:val="00586435"/>
    <w:rsid w:val="00586585"/>
    <w:rsid w:val="00586726"/>
    <w:rsid w:val="00586766"/>
    <w:rsid w:val="0058678B"/>
    <w:rsid w:val="00586797"/>
    <w:rsid w:val="005867A9"/>
    <w:rsid w:val="005867D0"/>
    <w:rsid w:val="005867E4"/>
    <w:rsid w:val="005868DA"/>
    <w:rsid w:val="0058695F"/>
    <w:rsid w:val="005869AB"/>
    <w:rsid w:val="005869D8"/>
    <w:rsid w:val="005869F3"/>
    <w:rsid w:val="00586A17"/>
    <w:rsid w:val="00586AFB"/>
    <w:rsid w:val="00586BDE"/>
    <w:rsid w:val="00586C06"/>
    <w:rsid w:val="00586CCF"/>
    <w:rsid w:val="00586E98"/>
    <w:rsid w:val="00586ED0"/>
    <w:rsid w:val="00586F3A"/>
    <w:rsid w:val="00586FD8"/>
    <w:rsid w:val="00586FFF"/>
    <w:rsid w:val="005870BE"/>
    <w:rsid w:val="005870C3"/>
    <w:rsid w:val="0058720B"/>
    <w:rsid w:val="00587224"/>
    <w:rsid w:val="0058732F"/>
    <w:rsid w:val="00587354"/>
    <w:rsid w:val="00587389"/>
    <w:rsid w:val="005873A3"/>
    <w:rsid w:val="00587527"/>
    <w:rsid w:val="0058752C"/>
    <w:rsid w:val="00587564"/>
    <w:rsid w:val="00587627"/>
    <w:rsid w:val="00587653"/>
    <w:rsid w:val="00587707"/>
    <w:rsid w:val="0058779D"/>
    <w:rsid w:val="005877BB"/>
    <w:rsid w:val="0058786E"/>
    <w:rsid w:val="005878ED"/>
    <w:rsid w:val="00587985"/>
    <w:rsid w:val="005879AE"/>
    <w:rsid w:val="00587A12"/>
    <w:rsid w:val="00587A8B"/>
    <w:rsid w:val="00587B8E"/>
    <w:rsid w:val="00587C9E"/>
    <w:rsid w:val="00587CBD"/>
    <w:rsid w:val="00587CF6"/>
    <w:rsid w:val="00587D55"/>
    <w:rsid w:val="00587D58"/>
    <w:rsid w:val="00587DBE"/>
    <w:rsid w:val="00587DC9"/>
    <w:rsid w:val="00587DE6"/>
    <w:rsid w:val="00587EDF"/>
    <w:rsid w:val="00587F3F"/>
    <w:rsid w:val="00587F5C"/>
    <w:rsid w:val="00587F9E"/>
    <w:rsid w:val="00587FD8"/>
    <w:rsid w:val="0059007A"/>
    <w:rsid w:val="00590080"/>
    <w:rsid w:val="00590089"/>
    <w:rsid w:val="0059008D"/>
    <w:rsid w:val="005900FC"/>
    <w:rsid w:val="00590109"/>
    <w:rsid w:val="00590112"/>
    <w:rsid w:val="00590123"/>
    <w:rsid w:val="00590170"/>
    <w:rsid w:val="0059017B"/>
    <w:rsid w:val="005901D0"/>
    <w:rsid w:val="005901DA"/>
    <w:rsid w:val="00590258"/>
    <w:rsid w:val="00590329"/>
    <w:rsid w:val="005903A9"/>
    <w:rsid w:val="00590407"/>
    <w:rsid w:val="00590480"/>
    <w:rsid w:val="00590483"/>
    <w:rsid w:val="00590582"/>
    <w:rsid w:val="005905B6"/>
    <w:rsid w:val="005905C6"/>
    <w:rsid w:val="005905DF"/>
    <w:rsid w:val="005905E1"/>
    <w:rsid w:val="00590624"/>
    <w:rsid w:val="00590724"/>
    <w:rsid w:val="0059072F"/>
    <w:rsid w:val="00590746"/>
    <w:rsid w:val="0059098A"/>
    <w:rsid w:val="005909B1"/>
    <w:rsid w:val="005909D1"/>
    <w:rsid w:val="005909EC"/>
    <w:rsid w:val="00590A00"/>
    <w:rsid w:val="00590A7A"/>
    <w:rsid w:val="00590C74"/>
    <w:rsid w:val="00590CB6"/>
    <w:rsid w:val="00590CD1"/>
    <w:rsid w:val="00590D1D"/>
    <w:rsid w:val="00590D7F"/>
    <w:rsid w:val="00590E13"/>
    <w:rsid w:val="00590E5D"/>
    <w:rsid w:val="00590EF7"/>
    <w:rsid w:val="00590F47"/>
    <w:rsid w:val="00590FBB"/>
    <w:rsid w:val="00590FD8"/>
    <w:rsid w:val="00591257"/>
    <w:rsid w:val="0059128F"/>
    <w:rsid w:val="005913AB"/>
    <w:rsid w:val="00591553"/>
    <w:rsid w:val="00591688"/>
    <w:rsid w:val="005916DF"/>
    <w:rsid w:val="00591755"/>
    <w:rsid w:val="005917E7"/>
    <w:rsid w:val="00591879"/>
    <w:rsid w:val="005918D1"/>
    <w:rsid w:val="005919C6"/>
    <w:rsid w:val="005919F1"/>
    <w:rsid w:val="00591B42"/>
    <w:rsid w:val="00591B5E"/>
    <w:rsid w:val="00591B62"/>
    <w:rsid w:val="00591D31"/>
    <w:rsid w:val="00591D67"/>
    <w:rsid w:val="00591DB3"/>
    <w:rsid w:val="00591DE2"/>
    <w:rsid w:val="00591E39"/>
    <w:rsid w:val="00591E60"/>
    <w:rsid w:val="00591EBF"/>
    <w:rsid w:val="00591ECE"/>
    <w:rsid w:val="00591F62"/>
    <w:rsid w:val="00591F88"/>
    <w:rsid w:val="0059200E"/>
    <w:rsid w:val="00592085"/>
    <w:rsid w:val="005920B3"/>
    <w:rsid w:val="00592131"/>
    <w:rsid w:val="0059214F"/>
    <w:rsid w:val="0059215A"/>
    <w:rsid w:val="00592180"/>
    <w:rsid w:val="00592187"/>
    <w:rsid w:val="00592195"/>
    <w:rsid w:val="005921F4"/>
    <w:rsid w:val="00592243"/>
    <w:rsid w:val="0059229A"/>
    <w:rsid w:val="00592337"/>
    <w:rsid w:val="0059235D"/>
    <w:rsid w:val="00592367"/>
    <w:rsid w:val="00592368"/>
    <w:rsid w:val="005923C0"/>
    <w:rsid w:val="0059261B"/>
    <w:rsid w:val="00592673"/>
    <w:rsid w:val="005926BB"/>
    <w:rsid w:val="00592742"/>
    <w:rsid w:val="005927AC"/>
    <w:rsid w:val="005928B2"/>
    <w:rsid w:val="005928CF"/>
    <w:rsid w:val="005929AC"/>
    <w:rsid w:val="005929CD"/>
    <w:rsid w:val="00592A48"/>
    <w:rsid w:val="00592A99"/>
    <w:rsid w:val="00592AEE"/>
    <w:rsid w:val="00592AF2"/>
    <w:rsid w:val="00592BAF"/>
    <w:rsid w:val="00592C1A"/>
    <w:rsid w:val="00592D27"/>
    <w:rsid w:val="00592D6F"/>
    <w:rsid w:val="00592E50"/>
    <w:rsid w:val="00592ECD"/>
    <w:rsid w:val="00592EE5"/>
    <w:rsid w:val="00592EF3"/>
    <w:rsid w:val="00592F6D"/>
    <w:rsid w:val="00592F85"/>
    <w:rsid w:val="00592FA6"/>
    <w:rsid w:val="00592FAD"/>
    <w:rsid w:val="0059301F"/>
    <w:rsid w:val="0059304C"/>
    <w:rsid w:val="00593073"/>
    <w:rsid w:val="005930D4"/>
    <w:rsid w:val="00593116"/>
    <w:rsid w:val="00593136"/>
    <w:rsid w:val="0059317B"/>
    <w:rsid w:val="005931B3"/>
    <w:rsid w:val="0059328F"/>
    <w:rsid w:val="005932B9"/>
    <w:rsid w:val="00593343"/>
    <w:rsid w:val="0059334E"/>
    <w:rsid w:val="00593371"/>
    <w:rsid w:val="005933CB"/>
    <w:rsid w:val="00593676"/>
    <w:rsid w:val="00593751"/>
    <w:rsid w:val="005937B2"/>
    <w:rsid w:val="005937B7"/>
    <w:rsid w:val="00593930"/>
    <w:rsid w:val="00593958"/>
    <w:rsid w:val="005939FA"/>
    <w:rsid w:val="00593A96"/>
    <w:rsid w:val="00593B18"/>
    <w:rsid w:val="00593BF1"/>
    <w:rsid w:val="00593C0C"/>
    <w:rsid w:val="00593C2F"/>
    <w:rsid w:val="00593D44"/>
    <w:rsid w:val="00593D64"/>
    <w:rsid w:val="00593D86"/>
    <w:rsid w:val="00593E7B"/>
    <w:rsid w:val="00593EEE"/>
    <w:rsid w:val="0059402D"/>
    <w:rsid w:val="0059407C"/>
    <w:rsid w:val="005940BE"/>
    <w:rsid w:val="00594215"/>
    <w:rsid w:val="0059425F"/>
    <w:rsid w:val="005942CC"/>
    <w:rsid w:val="005943CF"/>
    <w:rsid w:val="0059444A"/>
    <w:rsid w:val="0059444F"/>
    <w:rsid w:val="005944F3"/>
    <w:rsid w:val="005944F8"/>
    <w:rsid w:val="0059456C"/>
    <w:rsid w:val="00594585"/>
    <w:rsid w:val="005945BA"/>
    <w:rsid w:val="005945FB"/>
    <w:rsid w:val="005946F3"/>
    <w:rsid w:val="00594730"/>
    <w:rsid w:val="00594769"/>
    <w:rsid w:val="0059479F"/>
    <w:rsid w:val="00594882"/>
    <w:rsid w:val="00594955"/>
    <w:rsid w:val="0059496A"/>
    <w:rsid w:val="005949CC"/>
    <w:rsid w:val="00594AAD"/>
    <w:rsid w:val="00594ACE"/>
    <w:rsid w:val="00594C3D"/>
    <w:rsid w:val="00594C68"/>
    <w:rsid w:val="00594D4F"/>
    <w:rsid w:val="00594D75"/>
    <w:rsid w:val="00594DBA"/>
    <w:rsid w:val="00594DD1"/>
    <w:rsid w:val="00594DFB"/>
    <w:rsid w:val="00594E52"/>
    <w:rsid w:val="00594E79"/>
    <w:rsid w:val="00594EB8"/>
    <w:rsid w:val="00594F21"/>
    <w:rsid w:val="00594F7B"/>
    <w:rsid w:val="00594FD3"/>
    <w:rsid w:val="00594FEC"/>
    <w:rsid w:val="005950DE"/>
    <w:rsid w:val="00595127"/>
    <w:rsid w:val="0059512C"/>
    <w:rsid w:val="0059520C"/>
    <w:rsid w:val="005952CE"/>
    <w:rsid w:val="005952DB"/>
    <w:rsid w:val="00595351"/>
    <w:rsid w:val="0059539A"/>
    <w:rsid w:val="00595488"/>
    <w:rsid w:val="005954CA"/>
    <w:rsid w:val="005954D9"/>
    <w:rsid w:val="005955C2"/>
    <w:rsid w:val="005955E8"/>
    <w:rsid w:val="00595626"/>
    <w:rsid w:val="0059565E"/>
    <w:rsid w:val="005956F9"/>
    <w:rsid w:val="00595708"/>
    <w:rsid w:val="00595793"/>
    <w:rsid w:val="005958FE"/>
    <w:rsid w:val="005959B3"/>
    <w:rsid w:val="005959D4"/>
    <w:rsid w:val="00595A54"/>
    <w:rsid w:val="00595AB3"/>
    <w:rsid w:val="00595AF6"/>
    <w:rsid w:val="00595B89"/>
    <w:rsid w:val="00595C1F"/>
    <w:rsid w:val="00595C73"/>
    <w:rsid w:val="00595CA2"/>
    <w:rsid w:val="00595E2A"/>
    <w:rsid w:val="00595EBF"/>
    <w:rsid w:val="00595F8B"/>
    <w:rsid w:val="00596040"/>
    <w:rsid w:val="0059608F"/>
    <w:rsid w:val="005960C3"/>
    <w:rsid w:val="00596115"/>
    <w:rsid w:val="00596193"/>
    <w:rsid w:val="005961F8"/>
    <w:rsid w:val="00596241"/>
    <w:rsid w:val="005962F3"/>
    <w:rsid w:val="005962F9"/>
    <w:rsid w:val="00596417"/>
    <w:rsid w:val="005964FC"/>
    <w:rsid w:val="0059651E"/>
    <w:rsid w:val="0059652B"/>
    <w:rsid w:val="00596553"/>
    <w:rsid w:val="00596560"/>
    <w:rsid w:val="005965A0"/>
    <w:rsid w:val="00596626"/>
    <w:rsid w:val="005966CC"/>
    <w:rsid w:val="0059682D"/>
    <w:rsid w:val="00596850"/>
    <w:rsid w:val="005968E8"/>
    <w:rsid w:val="0059696D"/>
    <w:rsid w:val="00596B0E"/>
    <w:rsid w:val="00596B64"/>
    <w:rsid w:val="00596BAE"/>
    <w:rsid w:val="00596BF2"/>
    <w:rsid w:val="00596C03"/>
    <w:rsid w:val="00596C71"/>
    <w:rsid w:val="00596CB1"/>
    <w:rsid w:val="00596F12"/>
    <w:rsid w:val="00596FF1"/>
    <w:rsid w:val="00597205"/>
    <w:rsid w:val="005972C5"/>
    <w:rsid w:val="0059742E"/>
    <w:rsid w:val="0059747A"/>
    <w:rsid w:val="005974B2"/>
    <w:rsid w:val="005974F2"/>
    <w:rsid w:val="0059754C"/>
    <w:rsid w:val="00597678"/>
    <w:rsid w:val="0059779B"/>
    <w:rsid w:val="00597802"/>
    <w:rsid w:val="00597837"/>
    <w:rsid w:val="00597883"/>
    <w:rsid w:val="005978EC"/>
    <w:rsid w:val="00597921"/>
    <w:rsid w:val="005979FD"/>
    <w:rsid w:val="00597B15"/>
    <w:rsid w:val="00597B35"/>
    <w:rsid w:val="00597B50"/>
    <w:rsid w:val="00597B89"/>
    <w:rsid w:val="00597CD7"/>
    <w:rsid w:val="00597CED"/>
    <w:rsid w:val="00597D02"/>
    <w:rsid w:val="00597D26"/>
    <w:rsid w:val="00597D3F"/>
    <w:rsid w:val="00597D92"/>
    <w:rsid w:val="00597DD5"/>
    <w:rsid w:val="00597E8A"/>
    <w:rsid w:val="005A002F"/>
    <w:rsid w:val="005A003B"/>
    <w:rsid w:val="005A011F"/>
    <w:rsid w:val="005A0177"/>
    <w:rsid w:val="005A0187"/>
    <w:rsid w:val="005A018A"/>
    <w:rsid w:val="005A01A0"/>
    <w:rsid w:val="005A01BD"/>
    <w:rsid w:val="005A01D1"/>
    <w:rsid w:val="005A0220"/>
    <w:rsid w:val="005A0260"/>
    <w:rsid w:val="005A0282"/>
    <w:rsid w:val="005A02B9"/>
    <w:rsid w:val="005A02C0"/>
    <w:rsid w:val="005A02E7"/>
    <w:rsid w:val="005A0351"/>
    <w:rsid w:val="005A0423"/>
    <w:rsid w:val="005A0431"/>
    <w:rsid w:val="005A0481"/>
    <w:rsid w:val="005A0494"/>
    <w:rsid w:val="005A04C1"/>
    <w:rsid w:val="005A053A"/>
    <w:rsid w:val="005A06BE"/>
    <w:rsid w:val="005A06E7"/>
    <w:rsid w:val="005A0731"/>
    <w:rsid w:val="005A07A1"/>
    <w:rsid w:val="005A07EC"/>
    <w:rsid w:val="005A088E"/>
    <w:rsid w:val="005A08C1"/>
    <w:rsid w:val="005A0980"/>
    <w:rsid w:val="005A0988"/>
    <w:rsid w:val="005A09CF"/>
    <w:rsid w:val="005A0A35"/>
    <w:rsid w:val="005A0B28"/>
    <w:rsid w:val="005A0B33"/>
    <w:rsid w:val="005A0B77"/>
    <w:rsid w:val="005A0B8C"/>
    <w:rsid w:val="005A0D1E"/>
    <w:rsid w:val="005A0DA7"/>
    <w:rsid w:val="005A0E35"/>
    <w:rsid w:val="005A0E7B"/>
    <w:rsid w:val="005A0EDF"/>
    <w:rsid w:val="005A0EFA"/>
    <w:rsid w:val="005A0F5B"/>
    <w:rsid w:val="005A0F9E"/>
    <w:rsid w:val="005A1007"/>
    <w:rsid w:val="005A1093"/>
    <w:rsid w:val="005A10F6"/>
    <w:rsid w:val="005A10FB"/>
    <w:rsid w:val="005A113C"/>
    <w:rsid w:val="005A1229"/>
    <w:rsid w:val="005A1319"/>
    <w:rsid w:val="005A132F"/>
    <w:rsid w:val="005A1391"/>
    <w:rsid w:val="005A1460"/>
    <w:rsid w:val="005A1485"/>
    <w:rsid w:val="005A14BB"/>
    <w:rsid w:val="005A14E6"/>
    <w:rsid w:val="005A155E"/>
    <w:rsid w:val="005A1570"/>
    <w:rsid w:val="005A15B5"/>
    <w:rsid w:val="005A162F"/>
    <w:rsid w:val="005A1662"/>
    <w:rsid w:val="005A1668"/>
    <w:rsid w:val="005A16AD"/>
    <w:rsid w:val="005A173D"/>
    <w:rsid w:val="005A176B"/>
    <w:rsid w:val="005A1806"/>
    <w:rsid w:val="005A19D6"/>
    <w:rsid w:val="005A19F7"/>
    <w:rsid w:val="005A1A04"/>
    <w:rsid w:val="005A1A45"/>
    <w:rsid w:val="005A1A62"/>
    <w:rsid w:val="005A1AA6"/>
    <w:rsid w:val="005A1C76"/>
    <w:rsid w:val="005A1C7C"/>
    <w:rsid w:val="005A1CCC"/>
    <w:rsid w:val="005A1D06"/>
    <w:rsid w:val="005A1D77"/>
    <w:rsid w:val="005A1D78"/>
    <w:rsid w:val="005A1D80"/>
    <w:rsid w:val="005A1DCF"/>
    <w:rsid w:val="005A1E7F"/>
    <w:rsid w:val="005A1EC2"/>
    <w:rsid w:val="005A1FD9"/>
    <w:rsid w:val="005A2064"/>
    <w:rsid w:val="005A2155"/>
    <w:rsid w:val="005A21A2"/>
    <w:rsid w:val="005A21C8"/>
    <w:rsid w:val="005A2232"/>
    <w:rsid w:val="005A2238"/>
    <w:rsid w:val="005A2365"/>
    <w:rsid w:val="005A241D"/>
    <w:rsid w:val="005A2459"/>
    <w:rsid w:val="005A2489"/>
    <w:rsid w:val="005A2598"/>
    <w:rsid w:val="005A261F"/>
    <w:rsid w:val="005A268F"/>
    <w:rsid w:val="005A26D9"/>
    <w:rsid w:val="005A2746"/>
    <w:rsid w:val="005A2754"/>
    <w:rsid w:val="005A290E"/>
    <w:rsid w:val="005A2AD8"/>
    <w:rsid w:val="005A2B96"/>
    <w:rsid w:val="005A2BB0"/>
    <w:rsid w:val="005A2BEB"/>
    <w:rsid w:val="005A2C17"/>
    <w:rsid w:val="005A2CC7"/>
    <w:rsid w:val="005A2D30"/>
    <w:rsid w:val="005A2DD6"/>
    <w:rsid w:val="005A2E59"/>
    <w:rsid w:val="005A2ECE"/>
    <w:rsid w:val="005A2ED9"/>
    <w:rsid w:val="005A2EE0"/>
    <w:rsid w:val="005A2F5B"/>
    <w:rsid w:val="005A2F87"/>
    <w:rsid w:val="005A3008"/>
    <w:rsid w:val="005A3096"/>
    <w:rsid w:val="005A30C8"/>
    <w:rsid w:val="005A3169"/>
    <w:rsid w:val="005A31CC"/>
    <w:rsid w:val="005A324E"/>
    <w:rsid w:val="005A3282"/>
    <w:rsid w:val="005A32BC"/>
    <w:rsid w:val="005A3480"/>
    <w:rsid w:val="005A3487"/>
    <w:rsid w:val="005A34C5"/>
    <w:rsid w:val="005A3534"/>
    <w:rsid w:val="005A353E"/>
    <w:rsid w:val="005A356B"/>
    <w:rsid w:val="005A35B2"/>
    <w:rsid w:val="005A35C5"/>
    <w:rsid w:val="005A35CC"/>
    <w:rsid w:val="005A3674"/>
    <w:rsid w:val="005A3775"/>
    <w:rsid w:val="005A3825"/>
    <w:rsid w:val="005A383D"/>
    <w:rsid w:val="005A392F"/>
    <w:rsid w:val="005A394E"/>
    <w:rsid w:val="005A3A39"/>
    <w:rsid w:val="005A3AC1"/>
    <w:rsid w:val="005A3B3E"/>
    <w:rsid w:val="005A3BA4"/>
    <w:rsid w:val="005A3BB6"/>
    <w:rsid w:val="005A3D50"/>
    <w:rsid w:val="005A3E21"/>
    <w:rsid w:val="005A3E49"/>
    <w:rsid w:val="005A3E83"/>
    <w:rsid w:val="005A3EB4"/>
    <w:rsid w:val="005A3ED5"/>
    <w:rsid w:val="005A3EFF"/>
    <w:rsid w:val="005A3F1E"/>
    <w:rsid w:val="005A3F2F"/>
    <w:rsid w:val="005A3F5A"/>
    <w:rsid w:val="005A3FF2"/>
    <w:rsid w:val="005A4030"/>
    <w:rsid w:val="005A4068"/>
    <w:rsid w:val="005A4153"/>
    <w:rsid w:val="005A4189"/>
    <w:rsid w:val="005A41BD"/>
    <w:rsid w:val="005A424C"/>
    <w:rsid w:val="005A42ED"/>
    <w:rsid w:val="005A4309"/>
    <w:rsid w:val="005A447D"/>
    <w:rsid w:val="005A4488"/>
    <w:rsid w:val="005A44BF"/>
    <w:rsid w:val="005A4528"/>
    <w:rsid w:val="005A4581"/>
    <w:rsid w:val="005A459B"/>
    <w:rsid w:val="005A45BF"/>
    <w:rsid w:val="005A45CB"/>
    <w:rsid w:val="005A4618"/>
    <w:rsid w:val="005A462A"/>
    <w:rsid w:val="005A463E"/>
    <w:rsid w:val="005A4698"/>
    <w:rsid w:val="005A46A4"/>
    <w:rsid w:val="005A4734"/>
    <w:rsid w:val="005A49B9"/>
    <w:rsid w:val="005A4AEE"/>
    <w:rsid w:val="005A4AFB"/>
    <w:rsid w:val="005A4B1B"/>
    <w:rsid w:val="005A4B65"/>
    <w:rsid w:val="005A4B8C"/>
    <w:rsid w:val="005A4CAF"/>
    <w:rsid w:val="005A4CBA"/>
    <w:rsid w:val="005A4DB8"/>
    <w:rsid w:val="005A4DF8"/>
    <w:rsid w:val="005A4E0C"/>
    <w:rsid w:val="005A4F08"/>
    <w:rsid w:val="005A4F15"/>
    <w:rsid w:val="005A4F45"/>
    <w:rsid w:val="005A4F5C"/>
    <w:rsid w:val="005A4F76"/>
    <w:rsid w:val="005A4FCE"/>
    <w:rsid w:val="005A501C"/>
    <w:rsid w:val="005A5161"/>
    <w:rsid w:val="005A5175"/>
    <w:rsid w:val="005A5197"/>
    <w:rsid w:val="005A51AE"/>
    <w:rsid w:val="005A51BB"/>
    <w:rsid w:val="005A51F6"/>
    <w:rsid w:val="005A5242"/>
    <w:rsid w:val="005A52E6"/>
    <w:rsid w:val="005A5347"/>
    <w:rsid w:val="005A53B4"/>
    <w:rsid w:val="005A53E0"/>
    <w:rsid w:val="005A53E7"/>
    <w:rsid w:val="005A5415"/>
    <w:rsid w:val="005A54F0"/>
    <w:rsid w:val="005A570F"/>
    <w:rsid w:val="005A5773"/>
    <w:rsid w:val="005A57B2"/>
    <w:rsid w:val="005A57CC"/>
    <w:rsid w:val="005A57EF"/>
    <w:rsid w:val="005A582C"/>
    <w:rsid w:val="005A586E"/>
    <w:rsid w:val="005A593C"/>
    <w:rsid w:val="005A5992"/>
    <w:rsid w:val="005A5A34"/>
    <w:rsid w:val="005A5AA1"/>
    <w:rsid w:val="005A5ACE"/>
    <w:rsid w:val="005A5AD3"/>
    <w:rsid w:val="005A5B83"/>
    <w:rsid w:val="005A5B84"/>
    <w:rsid w:val="005A5B9D"/>
    <w:rsid w:val="005A5BC2"/>
    <w:rsid w:val="005A5BC8"/>
    <w:rsid w:val="005A5BD7"/>
    <w:rsid w:val="005A5C25"/>
    <w:rsid w:val="005A5C41"/>
    <w:rsid w:val="005A5C84"/>
    <w:rsid w:val="005A5F20"/>
    <w:rsid w:val="005A604B"/>
    <w:rsid w:val="005A61F6"/>
    <w:rsid w:val="005A6200"/>
    <w:rsid w:val="005A62A3"/>
    <w:rsid w:val="005A630B"/>
    <w:rsid w:val="005A6334"/>
    <w:rsid w:val="005A6339"/>
    <w:rsid w:val="005A649C"/>
    <w:rsid w:val="005A6514"/>
    <w:rsid w:val="005A6526"/>
    <w:rsid w:val="005A655D"/>
    <w:rsid w:val="005A6577"/>
    <w:rsid w:val="005A6728"/>
    <w:rsid w:val="005A676A"/>
    <w:rsid w:val="005A67FE"/>
    <w:rsid w:val="005A6896"/>
    <w:rsid w:val="005A68EC"/>
    <w:rsid w:val="005A6919"/>
    <w:rsid w:val="005A6958"/>
    <w:rsid w:val="005A695F"/>
    <w:rsid w:val="005A696A"/>
    <w:rsid w:val="005A6B4F"/>
    <w:rsid w:val="005A6B68"/>
    <w:rsid w:val="005A6B74"/>
    <w:rsid w:val="005A6B7D"/>
    <w:rsid w:val="005A6BDD"/>
    <w:rsid w:val="005A6C30"/>
    <w:rsid w:val="005A6C9E"/>
    <w:rsid w:val="005A6D35"/>
    <w:rsid w:val="005A6EB1"/>
    <w:rsid w:val="005A6EB6"/>
    <w:rsid w:val="005A6F12"/>
    <w:rsid w:val="005A6F28"/>
    <w:rsid w:val="005A6F3E"/>
    <w:rsid w:val="005A6FCF"/>
    <w:rsid w:val="005A6FF1"/>
    <w:rsid w:val="005A700E"/>
    <w:rsid w:val="005A710A"/>
    <w:rsid w:val="005A7162"/>
    <w:rsid w:val="005A7194"/>
    <w:rsid w:val="005A71CE"/>
    <w:rsid w:val="005A71F0"/>
    <w:rsid w:val="005A7297"/>
    <w:rsid w:val="005A72C6"/>
    <w:rsid w:val="005A72C8"/>
    <w:rsid w:val="005A7457"/>
    <w:rsid w:val="005A747A"/>
    <w:rsid w:val="005A74CB"/>
    <w:rsid w:val="005A7522"/>
    <w:rsid w:val="005A757C"/>
    <w:rsid w:val="005A75C3"/>
    <w:rsid w:val="005A75F1"/>
    <w:rsid w:val="005A7616"/>
    <w:rsid w:val="005A7660"/>
    <w:rsid w:val="005A76CA"/>
    <w:rsid w:val="005A76E3"/>
    <w:rsid w:val="005A77DE"/>
    <w:rsid w:val="005A7851"/>
    <w:rsid w:val="005A7AFE"/>
    <w:rsid w:val="005A7D02"/>
    <w:rsid w:val="005A7D42"/>
    <w:rsid w:val="005A7DEC"/>
    <w:rsid w:val="005A7E19"/>
    <w:rsid w:val="005A7E5F"/>
    <w:rsid w:val="005A7E83"/>
    <w:rsid w:val="005A7EDB"/>
    <w:rsid w:val="005A7EE2"/>
    <w:rsid w:val="005A7F0B"/>
    <w:rsid w:val="005A7F10"/>
    <w:rsid w:val="005A7F2E"/>
    <w:rsid w:val="005B0179"/>
    <w:rsid w:val="005B0181"/>
    <w:rsid w:val="005B01EE"/>
    <w:rsid w:val="005B0322"/>
    <w:rsid w:val="005B04D1"/>
    <w:rsid w:val="005B0535"/>
    <w:rsid w:val="005B0567"/>
    <w:rsid w:val="005B05B6"/>
    <w:rsid w:val="005B05BA"/>
    <w:rsid w:val="005B05C0"/>
    <w:rsid w:val="005B07A0"/>
    <w:rsid w:val="005B07AD"/>
    <w:rsid w:val="005B07B7"/>
    <w:rsid w:val="005B0825"/>
    <w:rsid w:val="005B0985"/>
    <w:rsid w:val="005B0992"/>
    <w:rsid w:val="005B0A9D"/>
    <w:rsid w:val="005B0B0D"/>
    <w:rsid w:val="005B0B0E"/>
    <w:rsid w:val="005B0BFE"/>
    <w:rsid w:val="005B0C50"/>
    <w:rsid w:val="005B0CB2"/>
    <w:rsid w:val="005B0CFA"/>
    <w:rsid w:val="005B0E27"/>
    <w:rsid w:val="005B0E70"/>
    <w:rsid w:val="005B108B"/>
    <w:rsid w:val="005B116D"/>
    <w:rsid w:val="005B11ED"/>
    <w:rsid w:val="005B1454"/>
    <w:rsid w:val="005B1504"/>
    <w:rsid w:val="005B150B"/>
    <w:rsid w:val="005B15E2"/>
    <w:rsid w:val="005B15F8"/>
    <w:rsid w:val="005B1625"/>
    <w:rsid w:val="005B1690"/>
    <w:rsid w:val="005B17C3"/>
    <w:rsid w:val="005B17DB"/>
    <w:rsid w:val="005B18B3"/>
    <w:rsid w:val="005B1964"/>
    <w:rsid w:val="005B19AE"/>
    <w:rsid w:val="005B19C0"/>
    <w:rsid w:val="005B19C3"/>
    <w:rsid w:val="005B1A36"/>
    <w:rsid w:val="005B1AB0"/>
    <w:rsid w:val="005B1B40"/>
    <w:rsid w:val="005B1B95"/>
    <w:rsid w:val="005B1BD9"/>
    <w:rsid w:val="005B1BF4"/>
    <w:rsid w:val="005B1CD5"/>
    <w:rsid w:val="005B1CE3"/>
    <w:rsid w:val="005B1D57"/>
    <w:rsid w:val="005B1D8E"/>
    <w:rsid w:val="005B1E54"/>
    <w:rsid w:val="005B1EFF"/>
    <w:rsid w:val="005B1F52"/>
    <w:rsid w:val="005B1F55"/>
    <w:rsid w:val="005B2061"/>
    <w:rsid w:val="005B208B"/>
    <w:rsid w:val="005B208C"/>
    <w:rsid w:val="005B215A"/>
    <w:rsid w:val="005B21C8"/>
    <w:rsid w:val="005B2229"/>
    <w:rsid w:val="005B22BE"/>
    <w:rsid w:val="005B2304"/>
    <w:rsid w:val="005B2335"/>
    <w:rsid w:val="005B2384"/>
    <w:rsid w:val="005B2386"/>
    <w:rsid w:val="005B239E"/>
    <w:rsid w:val="005B23C4"/>
    <w:rsid w:val="005B2419"/>
    <w:rsid w:val="005B2620"/>
    <w:rsid w:val="005B2689"/>
    <w:rsid w:val="005B2725"/>
    <w:rsid w:val="005B2799"/>
    <w:rsid w:val="005B27F7"/>
    <w:rsid w:val="005B2874"/>
    <w:rsid w:val="005B28E3"/>
    <w:rsid w:val="005B2C09"/>
    <w:rsid w:val="005B2D12"/>
    <w:rsid w:val="005B2D1E"/>
    <w:rsid w:val="005B2D2B"/>
    <w:rsid w:val="005B2D2D"/>
    <w:rsid w:val="005B2D71"/>
    <w:rsid w:val="005B2E96"/>
    <w:rsid w:val="005B2EF0"/>
    <w:rsid w:val="005B2FE2"/>
    <w:rsid w:val="005B310E"/>
    <w:rsid w:val="005B3181"/>
    <w:rsid w:val="005B318B"/>
    <w:rsid w:val="005B31E0"/>
    <w:rsid w:val="005B31EC"/>
    <w:rsid w:val="005B32CB"/>
    <w:rsid w:val="005B33BE"/>
    <w:rsid w:val="005B33D8"/>
    <w:rsid w:val="005B33E2"/>
    <w:rsid w:val="005B33E4"/>
    <w:rsid w:val="005B3445"/>
    <w:rsid w:val="005B34C4"/>
    <w:rsid w:val="005B3554"/>
    <w:rsid w:val="005B3596"/>
    <w:rsid w:val="005B359A"/>
    <w:rsid w:val="005B35B4"/>
    <w:rsid w:val="005B35F6"/>
    <w:rsid w:val="005B36E8"/>
    <w:rsid w:val="005B36ED"/>
    <w:rsid w:val="005B375D"/>
    <w:rsid w:val="005B37B0"/>
    <w:rsid w:val="005B3819"/>
    <w:rsid w:val="005B3868"/>
    <w:rsid w:val="005B3922"/>
    <w:rsid w:val="005B3956"/>
    <w:rsid w:val="005B3A4F"/>
    <w:rsid w:val="005B3B88"/>
    <w:rsid w:val="005B3C0A"/>
    <w:rsid w:val="005B3CD6"/>
    <w:rsid w:val="005B3CDF"/>
    <w:rsid w:val="005B3D1E"/>
    <w:rsid w:val="005B3DCE"/>
    <w:rsid w:val="005B3DD2"/>
    <w:rsid w:val="005B3E49"/>
    <w:rsid w:val="005B3E4B"/>
    <w:rsid w:val="005B3EC5"/>
    <w:rsid w:val="005B3F95"/>
    <w:rsid w:val="005B400F"/>
    <w:rsid w:val="005B40C8"/>
    <w:rsid w:val="005B40D6"/>
    <w:rsid w:val="005B4151"/>
    <w:rsid w:val="005B4231"/>
    <w:rsid w:val="005B4264"/>
    <w:rsid w:val="005B42C8"/>
    <w:rsid w:val="005B4312"/>
    <w:rsid w:val="005B4339"/>
    <w:rsid w:val="005B4358"/>
    <w:rsid w:val="005B4410"/>
    <w:rsid w:val="005B443C"/>
    <w:rsid w:val="005B445B"/>
    <w:rsid w:val="005B4465"/>
    <w:rsid w:val="005B4491"/>
    <w:rsid w:val="005B44A9"/>
    <w:rsid w:val="005B459E"/>
    <w:rsid w:val="005B4638"/>
    <w:rsid w:val="005B46D3"/>
    <w:rsid w:val="005B4725"/>
    <w:rsid w:val="005B4740"/>
    <w:rsid w:val="005B481D"/>
    <w:rsid w:val="005B48A6"/>
    <w:rsid w:val="005B497A"/>
    <w:rsid w:val="005B4A39"/>
    <w:rsid w:val="005B4AB7"/>
    <w:rsid w:val="005B4B0E"/>
    <w:rsid w:val="005B4B81"/>
    <w:rsid w:val="005B4B97"/>
    <w:rsid w:val="005B4BFE"/>
    <w:rsid w:val="005B4C6C"/>
    <w:rsid w:val="005B4C7E"/>
    <w:rsid w:val="005B4CD5"/>
    <w:rsid w:val="005B4D32"/>
    <w:rsid w:val="005B4D6F"/>
    <w:rsid w:val="005B4DF2"/>
    <w:rsid w:val="005B4E80"/>
    <w:rsid w:val="005B4F02"/>
    <w:rsid w:val="005B4F4E"/>
    <w:rsid w:val="005B4FDB"/>
    <w:rsid w:val="005B5003"/>
    <w:rsid w:val="005B508B"/>
    <w:rsid w:val="005B51A0"/>
    <w:rsid w:val="005B51F6"/>
    <w:rsid w:val="005B524A"/>
    <w:rsid w:val="005B5274"/>
    <w:rsid w:val="005B52A2"/>
    <w:rsid w:val="005B5453"/>
    <w:rsid w:val="005B54A5"/>
    <w:rsid w:val="005B552F"/>
    <w:rsid w:val="005B5557"/>
    <w:rsid w:val="005B55AA"/>
    <w:rsid w:val="005B55BB"/>
    <w:rsid w:val="005B5600"/>
    <w:rsid w:val="005B5651"/>
    <w:rsid w:val="005B5678"/>
    <w:rsid w:val="005B56AF"/>
    <w:rsid w:val="005B5793"/>
    <w:rsid w:val="005B57A9"/>
    <w:rsid w:val="005B582F"/>
    <w:rsid w:val="005B5838"/>
    <w:rsid w:val="005B58F5"/>
    <w:rsid w:val="005B5917"/>
    <w:rsid w:val="005B5977"/>
    <w:rsid w:val="005B5A14"/>
    <w:rsid w:val="005B5A1C"/>
    <w:rsid w:val="005B5AB6"/>
    <w:rsid w:val="005B5ABC"/>
    <w:rsid w:val="005B5AE3"/>
    <w:rsid w:val="005B5B7D"/>
    <w:rsid w:val="005B5BB8"/>
    <w:rsid w:val="005B5BD9"/>
    <w:rsid w:val="005B5C12"/>
    <w:rsid w:val="005B5C95"/>
    <w:rsid w:val="005B5D1A"/>
    <w:rsid w:val="005B5E66"/>
    <w:rsid w:val="005B5E97"/>
    <w:rsid w:val="005B5EF6"/>
    <w:rsid w:val="005B5F09"/>
    <w:rsid w:val="005B5F13"/>
    <w:rsid w:val="005B5F2D"/>
    <w:rsid w:val="005B5F33"/>
    <w:rsid w:val="005B5F7A"/>
    <w:rsid w:val="005B5F89"/>
    <w:rsid w:val="005B5FA5"/>
    <w:rsid w:val="005B6006"/>
    <w:rsid w:val="005B614A"/>
    <w:rsid w:val="005B6209"/>
    <w:rsid w:val="005B6231"/>
    <w:rsid w:val="005B6271"/>
    <w:rsid w:val="005B62E8"/>
    <w:rsid w:val="005B637A"/>
    <w:rsid w:val="005B63ED"/>
    <w:rsid w:val="005B6424"/>
    <w:rsid w:val="005B646A"/>
    <w:rsid w:val="005B64AD"/>
    <w:rsid w:val="005B650E"/>
    <w:rsid w:val="005B6780"/>
    <w:rsid w:val="005B6882"/>
    <w:rsid w:val="005B6899"/>
    <w:rsid w:val="005B68CB"/>
    <w:rsid w:val="005B695D"/>
    <w:rsid w:val="005B6999"/>
    <w:rsid w:val="005B69E0"/>
    <w:rsid w:val="005B6A8E"/>
    <w:rsid w:val="005B6A9E"/>
    <w:rsid w:val="005B6AD8"/>
    <w:rsid w:val="005B6B79"/>
    <w:rsid w:val="005B6C64"/>
    <w:rsid w:val="005B6CE3"/>
    <w:rsid w:val="005B6CFB"/>
    <w:rsid w:val="005B6D76"/>
    <w:rsid w:val="005B6DA9"/>
    <w:rsid w:val="005B6DAE"/>
    <w:rsid w:val="005B6DB5"/>
    <w:rsid w:val="005B6DE2"/>
    <w:rsid w:val="005B6E05"/>
    <w:rsid w:val="005B6E2D"/>
    <w:rsid w:val="005B6E4D"/>
    <w:rsid w:val="005B6EC2"/>
    <w:rsid w:val="005B6F26"/>
    <w:rsid w:val="005B6F6C"/>
    <w:rsid w:val="005B6F9D"/>
    <w:rsid w:val="005B7004"/>
    <w:rsid w:val="005B7138"/>
    <w:rsid w:val="005B7177"/>
    <w:rsid w:val="005B718E"/>
    <w:rsid w:val="005B72D5"/>
    <w:rsid w:val="005B72ED"/>
    <w:rsid w:val="005B736D"/>
    <w:rsid w:val="005B7497"/>
    <w:rsid w:val="005B74F0"/>
    <w:rsid w:val="005B75A4"/>
    <w:rsid w:val="005B75B8"/>
    <w:rsid w:val="005B768B"/>
    <w:rsid w:val="005B7691"/>
    <w:rsid w:val="005B775A"/>
    <w:rsid w:val="005B7810"/>
    <w:rsid w:val="005B7893"/>
    <w:rsid w:val="005B7920"/>
    <w:rsid w:val="005B7970"/>
    <w:rsid w:val="005B798C"/>
    <w:rsid w:val="005B79B1"/>
    <w:rsid w:val="005B7A5B"/>
    <w:rsid w:val="005B7A97"/>
    <w:rsid w:val="005B7BB6"/>
    <w:rsid w:val="005B7BE1"/>
    <w:rsid w:val="005B7C55"/>
    <w:rsid w:val="005B7D5A"/>
    <w:rsid w:val="005B7E69"/>
    <w:rsid w:val="005B7EB2"/>
    <w:rsid w:val="005B7EBD"/>
    <w:rsid w:val="005B7F66"/>
    <w:rsid w:val="005B7FB3"/>
    <w:rsid w:val="005B7FCA"/>
    <w:rsid w:val="005C0065"/>
    <w:rsid w:val="005C0097"/>
    <w:rsid w:val="005C00BB"/>
    <w:rsid w:val="005C00ED"/>
    <w:rsid w:val="005C0150"/>
    <w:rsid w:val="005C01DE"/>
    <w:rsid w:val="005C029E"/>
    <w:rsid w:val="005C02D0"/>
    <w:rsid w:val="005C02DA"/>
    <w:rsid w:val="005C0356"/>
    <w:rsid w:val="005C03B0"/>
    <w:rsid w:val="005C05D7"/>
    <w:rsid w:val="005C060E"/>
    <w:rsid w:val="005C065A"/>
    <w:rsid w:val="005C0755"/>
    <w:rsid w:val="005C0823"/>
    <w:rsid w:val="005C0878"/>
    <w:rsid w:val="005C087C"/>
    <w:rsid w:val="005C099E"/>
    <w:rsid w:val="005C0A3C"/>
    <w:rsid w:val="005C0AF0"/>
    <w:rsid w:val="005C0B70"/>
    <w:rsid w:val="005C0B77"/>
    <w:rsid w:val="005C0B9A"/>
    <w:rsid w:val="005C0C03"/>
    <w:rsid w:val="005C0C46"/>
    <w:rsid w:val="005C0C5F"/>
    <w:rsid w:val="005C0C6D"/>
    <w:rsid w:val="005C0C6F"/>
    <w:rsid w:val="005C0CDD"/>
    <w:rsid w:val="005C0EA0"/>
    <w:rsid w:val="005C0EAC"/>
    <w:rsid w:val="005C0EB2"/>
    <w:rsid w:val="005C0EC6"/>
    <w:rsid w:val="005C107C"/>
    <w:rsid w:val="005C118E"/>
    <w:rsid w:val="005C12E9"/>
    <w:rsid w:val="005C12F1"/>
    <w:rsid w:val="005C1349"/>
    <w:rsid w:val="005C134A"/>
    <w:rsid w:val="005C134F"/>
    <w:rsid w:val="005C1365"/>
    <w:rsid w:val="005C148A"/>
    <w:rsid w:val="005C148B"/>
    <w:rsid w:val="005C148F"/>
    <w:rsid w:val="005C1506"/>
    <w:rsid w:val="005C1528"/>
    <w:rsid w:val="005C16EE"/>
    <w:rsid w:val="005C1760"/>
    <w:rsid w:val="005C181E"/>
    <w:rsid w:val="005C1898"/>
    <w:rsid w:val="005C1918"/>
    <w:rsid w:val="005C19A1"/>
    <w:rsid w:val="005C1B07"/>
    <w:rsid w:val="005C1B13"/>
    <w:rsid w:val="005C1BB9"/>
    <w:rsid w:val="005C1BF5"/>
    <w:rsid w:val="005C1C94"/>
    <w:rsid w:val="005C1CD1"/>
    <w:rsid w:val="005C1D40"/>
    <w:rsid w:val="005C1D9A"/>
    <w:rsid w:val="005C1E4F"/>
    <w:rsid w:val="005C1F24"/>
    <w:rsid w:val="005C1F2C"/>
    <w:rsid w:val="005C1F8C"/>
    <w:rsid w:val="005C2036"/>
    <w:rsid w:val="005C20AA"/>
    <w:rsid w:val="005C20CF"/>
    <w:rsid w:val="005C215E"/>
    <w:rsid w:val="005C21E6"/>
    <w:rsid w:val="005C2229"/>
    <w:rsid w:val="005C223A"/>
    <w:rsid w:val="005C22A2"/>
    <w:rsid w:val="005C2309"/>
    <w:rsid w:val="005C2318"/>
    <w:rsid w:val="005C2376"/>
    <w:rsid w:val="005C239B"/>
    <w:rsid w:val="005C23A7"/>
    <w:rsid w:val="005C23DD"/>
    <w:rsid w:val="005C2487"/>
    <w:rsid w:val="005C2515"/>
    <w:rsid w:val="005C252C"/>
    <w:rsid w:val="005C2583"/>
    <w:rsid w:val="005C26D2"/>
    <w:rsid w:val="005C2708"/>
    <w:rsid w:val="005C270F"/>
    <w:rsid w:val="005C2773"/>
    <w:rsid w:val="005C281D"/>
    <w:rsid w:val="005C2890"/>
    <w:rsid w:val="005C28AF"/>
    <w:rsid w:val="005C28E4"/>
    <w:rsid w:val="005C28FE"/>
    <w:rsid w:val="005C2968"/>
    <w:rsid w:val="005C2994"/>
    <w:rsid w:val="005C29DC"/>
    <w:rsid w:val="005C2A31"/>
    <w:rsid w:val="005C2AC3"/>
    <w:rsid w:val="005C2AEF"/>
    <w:rsid w:val="005C2B8E"/>
    <w:rsid w:val="005C2B8F"/>
    <w:rsid w:val="005C2CEF"/>
    <w:rsid w:val="005C2D31"/>
    <w:rsid w:val="005C2DBA"/>
    <w:rsid w:val="005C2E10"/>
    <w:rsid w:val="005C2EC4"/>
    <w:rsid w:val="005C2EE7"/>
    <w:rsid w:val="005C2F33"/>
    <w:rsid w:val="005C3003"/>
    <w:rsid w:val="005C3080"/>
    <w:rsid w:val="005C3111"/>
    <w:rsid w:val="005C3117"/>
    <w:rsid w:val="005C3178"/>
    <w:rsid w:val="005C3332"/>
    <w:rsid w:val="005C3409"/>
    <w:rsid w:val="005C341A"/>
    <w:rsid w:val="005C3599"/>
    <w:rsid w:val="005C35A7"/>
    <w:rsid w:val="005C3617"/>
    <w:rsid w:val="005C3668"/>
    <w:rsid w:val="005C37BD"/>
    <w:rsid w:val="005C37EB"/>
    <w:rsid w:val="005C386F"/>
    <w:rsid w:val="005C392D"/>
    <w:rsid w:val="005C3A53"/>
    <w:rsid w:val="005C3AFA"/>
    <w:rsid w:val="005C3B12"/>
    <w:rsid w:val="005C3B39"/>
    <w:rsid w:val="005C3B9C"/>
    <w:rsid w:val="005C3CA3"/>
    <w:rsid w:val="005C3CF3"/>
    <w:rsid w:val="005C3EF5"/>
    <w:rsid w:val="005C3F29"/>
    <w:rsid w:val="005C3F48"/>
    <w:rsid w:val="005C3FB2"/>
    <w:rsid w:val="005C3FC2"/>
    <w:rsid w:val="005C40B7"/>
    <w:rsid w:val="005C41E5"/>
    <w:rsid w:val="005C430D"/>
    <w:rsid w:val="005C43E7"/>
    <w:rsid w:val="005C449F"/>
    <w:rsid w:val="005C44AA"/>
    <w:rsid w:val="005C4571"/>
    <w:rsid w:val="005C45B6"/>
    <w:rsid w:val="005C4602"/>
    <w:rsid w:val="005C4611"/>
    <w:rsid w:val="005C46E5"/>
    <w:rsid w:val="005C478E"/>
    <w:rsid w:val="005C483A"/>
    <w:rsid w:val="005C4845"/>
    <w:rsid w:val="005C4863"/>
    <w:rsid w:val="005C48FF"/>
    <w:rsid w:val="005C4AAF"/>
    <w:rsid w:val="005C4B63"/>
    <w:rsid w:val="005C4BB7"/>
    <w:rsid w:val="005C4CB0"/>
    <w:rsid w:val="005C4CF3"/>
    <w:rsid w:val="005C4D49"/>
    <w:rsid w:val="005C4D4E"/>
    <w:rsid w:val="005C4D72"/>
    <w:rsid w:val="005C4D7E"/>
    <w:rsid w:val="005C4D86"/>
    <w:rsid w:val="005C4DA5"/>
    <w:rsid w:val="005C4DC2"/>
    <w:rsid w:val="005C4E00"/>
    <w:rsid w:val="005C4E97"/>
    <w:rsid w:val="005C4EBA"/>
    <w:rsid w:val="005C4EC6"/>
    <w:rsid w:val="005C4F59"/>
    <w:rsid w:val="005C4FB2"/>
    <w:rsid w:val="005C4FD9"/>
    <w:rsid w:val="005C5020"/>
    <w:rsid w:val="005C51BE"/>
    <w:rsid w:val="005C5271"/>
    <w:rsid w:val="005C528F"/>
    <w:rsid w:val="005C5425"/>
    <w:rsid w:val="005C554C"/>
    <w:rsid w:val="005C558C"/>
    <w:rsid w:val="005C5605"/>
    <w:rsid w:val="005C5612"/>
    <w:rsid w:val="005C563A"/>
    <w:rsid w:val="005C56DF"/>
    <w:rsid w:val="005C5772"/>
    <w:rsid w:val="005C5895"/>
    <w:rsid w:val="005C58ED"/>
    <w:rsid w:val="005C58FC"/>
    <w:rsid w:val="005C599E"/>
    <w:rsid w:val="005C5A0C"/>
    <w:rsid w:val="005C5A2C"/>
    <w:rsid w:val="005C5A6B"/>
    <w:rsid w:val="005C5A9E"/>
    <w:rsid w:val="005C5AB9"/>
    <w:rsid w:val="005C5ADE"/>
    <w:rsid w:val="005C5B0C"/>
    <w:rsid w:val="005C5C82"/>
    <w:rsid w:val="005C5D71"/>
    <w:rsid w:val="005C5D7D"/>
    <w:rsid w:val="005C5D8F"/>
    <w:rsid w:val="005C5DD8"/>
    <w:rsid w:val="005C5DDB"/>
    <w:rsid w:val="005C5E01"/>
    <w:rsid w:val="005C5E27"/>
    <w:rsid w:val="005C5E98"/>
    <w:rsid w:val="005C603E"/>
    <w:rsid w:val="005C61D6"/>
    <w:rsid w:val="005C61F4"/>
    <w:rsid w:val="005C622D"/>
    <w:rsid w:val="005C634A"/>
    <w:rsid w:val="005C644F"/>
    <w:rsid w:val="005C650A"/>
    <w:rsid w:val="005C6585"/>
    <w:rsid w:val="005C66D4"/>
    <w:rsid w:val="005C6756"/>
    <w:rsid w:val="005C6833"/>
    <w:rsid w:val="005C6854"/>
    <w:rsid w:val="005C687D"/>
    <w:rsid w:val="005C688B"/>
    <w:rsid w:val="005C68CB"/>
    <w:rsid w:val="005C69C2"/>
    <w:rsid w:val="005C6A68"/>
    <w:rsid w:val="005C6A9E"/>
    <w:rsid w:val="005C6B6E"/>
    <w:rsid w:val="005C6C42"/>
    <w:rsid w:val="005C6C4A"/>
    <w:rsid w:val="005C6D55"/>
    <w:rsid w:val="005C6E9A"/>
    <w:rsid w:val="005C6EE4"/>
    <w:rsid w:val="005C6F1A"/>
    <w:rsid w:val="005C6F29"/>
    <w:rsid w:val="005C702A"/>
    <w:rsid w:val="005C71C0"/>
    <w:rsid w:val="005C71C7"/>
    <w:rsid w:val="005C71E4"/>
    <w:rsid w:val="005C754A"/>
    <w:rsid w:val="005C7567"/>
    <w:rsid w:val="005C7570"/>
    <w:rsid w:val="005C7581"/>
    <w:rsid w:val="005C7683"/>
    <w:rsid w:val="005C76A2"/>
    <w:rsid w:val="005C76BE"/>
    <w:rsid w:val="005C76E9"/>
    <w:rsid w:val="005C771E"/>
    <w:rsid w:val="005C7824"/>
    <w:rsid w:val="005C784B"/>
    <w:rsid w:val="005C79D3"/>
    <w:rsid w:val="005C79D6"/>
    <w:rsid w:val="005C7AE6"/>
    <w:rsid w:val="005C7BAC"/>
    <w:rsid w:val="005C7BFD"/>
    <w:rsid w:val="005C7DDA"/>
    <w:rsid w:val="005C7E78"/>
    <w:rsid w:val="005C7EC4"/>
    <w:rsid w:val="005C7F28"/>
    <w:rsid w:val="005C7F97"/>
    <w:rsid w:val="005C7FB1"/>
    <w:rsid w:val="005CBED8"/>
    <w:rsid w:val="005D00FE"/>
    <w:rsid w:val="005D014C"/>
    <w:rsid w:val="005D0165"/>
    <w:rsid w:val="005D01DA"/>
    <w:rsid w:val="005D02AF"/>
    <w:rsid w:val="005D0313"/>
    <w:rsid w:val="005D034D"/>
    <w:rsid w:val="005D035B"/>
    <w:rsid w:val="005D0370"/>
    <w:rsid w:val="005D0406"/>
    <w:rsid w:val="005D0422"/>
    <w:rsid w:val="005D0436"/>
    <w:rsid w:val="005D0455"/>
    <w:rsid w:val="005D0502"/>
    <w:rsid w:val="005D0696"/>
    <w:rsid w:val="005D0747"/>
    <w:rsid w:val="005D078F"/>
    <w:rsid w:val="005D090A"/>
    <w:rsid w:val="005D0AD9"/>
    <w:rsid w:val="005D0B1D"/>
    <w:rsid w:val="005D0B7B"/>
    <w:rsid w:val="005D0CB0"/>
    <w:rsid w:val="005D0CB9"/>
    <w:rsid w:val="005D0D56"/>
    <w:rsid w:val="005D0DF1"/>
    <w:rsid w:val="005D0E0E"/>
    <w:rsid w:val="005D0E21"/>
    <w:rsid w:val="005D0E72"/>
    <w:rsid w:val="005D0E86"/>
    <w:rsid w:val="005D0EAA"/>
    <w:rsid w:val="005D0EFF"/>
    <w:rsid w:val="005D0FDC"/>
    <w:rsid w:val="005D0FF8"/>
    <w:rsid w:val="005D1052"/>
    <w:rsid w:val="005D1151"/>
    <w:rsid w:val="005D1164"/>
    <w:rsid w:val="005D11E8"/>
    <w:rsid w:val="005D1339"/>
    <w:rsid w:val="005D13B5"/>
    <w:rsid w:val="005D1430"/>
    <w:rsid w:val="005D148F"/>
    <w:rsid w:val="005D1554"/>
    <w:rsid w:val="005D1599"/>
    <w:rsid w:val="005D17E2"/>
    <w:rsid w:val="005D183C"/>
    <w:rsid w:val="005D18C3"/>
    <w:rsid w:val="005D19C8"/>
    <w:rsid w:val="005D1AB8"/>
    <w:rsid w:val="005D1CD7"/>
    <w:rsid w:val="005D1CF9"/>
    <w:rsid w:val="005D1CFF"/>
    <w:rsid w:val="005D1D38"/>
    <w:rsid w:val="005D1D8C"/>
    <w:rsid w:val="005D1D9E"/>
    <w:rsid w:val="005D1DB0"/>
    <w:rsid w:val="005D1E8A"/>
    <w:rsid w:val="005D1EA7"/>
    <w:rsid w:val="005D20DA"/>
    <w:rsid w:val="005D214D"/>
    <w:rsid w:val="005D21BC"/>
    <w:rsid w:val="005D2223"/>
    <w:rsid w:val="005D2270"/>
    <w:rsid w:val="005D22B4"/>
    <w:rsid w:val="005D246B"/>
    <w:rsid w:val="005D24C6"/>
    <w:rsid w:val="005D2596"/>
    <w:rsid w:val="005D2598"/>
    <w:rsid w:val="005D27C5"/>
    <w:rsid w:val="005D27E4"/>
    <w:rsid w:val="005D280E"/>
    <w:rsid w:val="005D2837"/>
    <w:rsid w:val="005D2871"/>
    <w:rsid w:val="005D2A02"/>
    <w:rsid w:val="005D2A2F"/>
    <w:rsid w:val="005D2AED"/>
    <w:rsid w:val="005D2BDA"/>
    <w:rsid w:val="005D2C36"/>
    <w:rsid w:val="005D2DC1"/>
    <w:rsid w:val="005D2DC3"/>
    <w:rsid w:val="005D2E98"/>
    <w:rsid w:val="005D2F74"/>
    <w:rsid w:val="005D2FF3"/>
    <w:rsid w:val="005D3022"/>
    <w:rsid w:val="005D310D"/>
    <w:rsid w:val="005D3138"/>
    <w:rsid w:val="005D3145"/>
    <w:rsid w:val="005D31CC"/>
    <w:rsid w:val="005D31E7"/>
    <w:rsid w:val="005D3227"/>
    <w:rsid w:val="005D329D"/>
    <w:rsid w:val="005D32D1"/>
    <w:rsid w:val="005D337B"/>
    <w:rsid w:val="005D33C3"/>
    <w:rsid w:val="005D3412"/>
    <w:rsid w:val="005D342D"/>
    <w:rsid w:val="005D35DF"/>
    <w:rsid w:val="005D3654"/>
    <w:rsid w:val="005D3668"/>
    <w:rsid w:val="005D368B"/>
    <w:rsid w:val="005D3742"/>
    <w:rsid w:val="005D3777"/>
    <w:rsid w:val="005D387D"/>
    <w:rsid w:val="005D389B"/>
    <w:rsid w:val="005D38A6"/>
    <w:rsid w:val="005D39A1"/>
    <w:rsid w:val="005D3A0A"/>
    <w:rsid w:val="005D3A6F"/>
    <w:rsid w:val="005D3A81"/>
    <w:rsid w:val="005D3B3C"/>
    <w:rsid w:val="005D3B77"/>
    <w:rsid w:val="005D3B9D"/>
    <w:rsid w:val="005D3BB2"/>
    <w:rsid w:val="005D3BB5"/>
    <w:rsid w:val="005D3BD8"/>
    <w:rsid w:val="005D3C00"/>
    <w:rsid w:val="005D3C13"/>
    <w:rsid w:val="005D3C7B"/>
    <w:rsid w:val="005D3C7C"/>
    <w:rsid w:val="005D3CB8"/>
    <w:rsid w:val="005D3CC9"/>
    <w:rsid w:val="005D3D3B"/>
    <w:rsid w:val="005D3D60"/>
    <w:rsid w:val="005D3DC0"/>
    <w:rsid w:val="005D3DD2"/>
    <w:rsid w:val="005D3E60"/>
    <w:rsid w:val="005D3E6E"/>
    <w:rsid w:val="005D3EA6"/>
    <w:rsid w:val="005D3EF4"/>
    <w:rsid w:val="005D3F4D"/>
    <w:rsid w:val="005D3F7B"/>
    <w:rsid w:val="005D4027"/>
    <w:rsid w:val="005D416A"/>
    <w:rsid w:val="005D41CC"/>
    <w:rsid w:val="005D41D5"/>
    <w:rsid w:val="005D4212"/>
    <w:rsid w:val="005D42A9"/>
    <w:rsid w:val="005D42C6"/>
    <w:rsid w:val="005D42D2"/>
    <w:rsid w:val="005D4372"/>
    <w:rsid w:val="005D4419"/>
    <w:rsid w:val="005D4447"/>
    <w:rsid w:val="005D4575"/>
    <w:rsid w:val="005D45B2"/>
    <w:rsid w:val="005D45C9"/>
    <w:rsid w:val="005D4657"/>
    <w:rsid w:val="005D465F"/>
    <w:rsid w:val="005D473C"/>
    <w:rsid w:val="005D474D"/>
    <w:rsid w:val="005D477D"/>
    <w:rsid w:val="005D49BE"/>
    <w:rsid w:val="005D4A01"/>
    <w:rsid w:val="005D4A23"/>
    <w:rsid w:val="005D4A4A"/>
    <w:rsid w:val="005D4A64"/>
    <w:rsid w:val="005D4B60"/>
    <w:rsid w:val="005D4BAC"/>
    <w:rsid w:val="005D4BC5"/>
    <w:rsid w:val="005D4C7E"/>
    <w:rsid w:val="005D4C85"/>
    <w:rsid w:val="005D4D52"/>
    <w:rsid w:val="005D4D8B"/>
    <w:rsid w:val="005D4DAA"/>
    <w:rsid w:val="005D4E00"/>
    <w:rsid w:val="005D4E8F"/>
    <w:rsid w:val="005D4EC1"/>
    <w:rsid w:val="005D4FBB"/>
    <w:rsid w:val="005D512D"/>
    <w:rsid w:val="005D5194"/>
    <w:rsid w:val="005D5326"/>
    <w:rsid w:val="005D53B4"/>
    <w:rsid w:val="005D5410"/>
    <w:rsid w:val="005D54D8"/>
    <w:rsid w:val="005D5586"/>
    <w:rsid w:val="005D55FB"/>
    <w:rsid w:val="005D562A"/>
    <w:rsid w:val="005D5701"/>
    <w:rsid w:val="005D5751"/>
    <w:rsid w:val="005D5829"/>
    <w:rsid w:val="005D5890"/>
    <w:rsid w:val="005D59AF"/>
    <w:rsid w:val="005D59C1"/>
    <w:rsid w:val="005D59C8"/>
    <w:rsid w:val="005D5A43"/>
    <w:rsid w:val="005D5AC0"/>
    <w:rsid w:val="005D5AEF"/>
    <w:rsid w:val="005D5C8C"/>
    <w:rsid w:val="005D5D0C"/>
    <w:rsid w:val="005D5D36"/>
    <w:rsid w:val="005D5D4F"/>
    <w:rsid w:val="005D5DF0"/>
    <w:rsid w:val="005D5E04"/>
    <w:rsid w:val="005D5E7B"/>
    <w:rsid w:val="005D5E8B"/>
    <w:rsid w:val="005D5F36"/>
    <w:rsid w:val="005D606F"/>
    <w:rsid w:val="005D6073"/>
    <w:rsid w:val="005D612A"/>
    <w:rsid w:val="005D61D0"/>
    <w:rsid w:val="005D61F3"/>
    <w:rsid w:val="005D6204"/>
    <w:rsid w:val="005D620C"/>
    <w:rsid w:val="005D6345"/>
    <w:rsid w:val="005D63A3"/>
    <w:rsid w:val="005D63EE"/>
    <w:rsid w:val="005D6432"/>
    <w:rsid w:val="005D6583"/>
    <w:rsid w:val="005D65C1"/>
    <w:rsid w:val="005D65E8"/>
    <w:rsid w:val="005D6793"/>
    <w:rsid w:val="005D67F5"/>
    <w:rsid w:val="005D6800"/>
    <w:rsid w:val="005D6872"/>
    <w:rsid w:val="005D68FC"/>
    <w:rsid w:val="005D694A"/>
    <w:rsid w:val="005D6A00"/>
    <w:rsid w:val="005D6A02"/>
    <w:rsid w:val="005D6A1A"/>
    <w:rsid w:val="005D6AA0"/>
    <w:rsid w:val="005D6AA4"/>
    <w:rsid w:val="005D6B30"/>
    <w:rsid w:val="005D6B7E"/>
    <w:rsid w:val="005D6B82"/>
    <w:rsid w:val="005D6BB9"/>
    <w:rsid w:val="005D6C36"/>
    <w:rsid w:val="005D6CC4"/>
    <w:rsid w:val="005D6CCC"/>
    <w:rsid w:val="005D6D40"/>
    <w:rsid w:val="005D6D6F"/>
    <w:rsid w:val="005D6DA6"/>
    <w:rsid w:val="005D6DC0"/>
    <w:rsid w:val="005D6DF1"/>
    <w:rsid w:val="005D6E0B"/>
    <w:rsid w:val="005D6E54"/>
    <w:rsid w:val="005D6EB0"/>
    <w:rsid w:val="005D6F39"/>
    <w:rsid w:val="005D6F69"/>
    <w:rsid w:val="005D6FE7"/>
    <w:rsid w:val="005D6FEE"/>
    <w:rsid w:val="005D708C"/>
    <w:rsid w:val="005D712D"/>
    <w:rsid w:val="005D73F7"/>
    <w:rsid w:val="005D760D"/>
    <w:rsid w:val="005D7628"/>
    <w:rsid w:val="005D765F"/>
    <w:rsid w:val="005D7660"/>
    <w:rsid w:val="005D767B"/>
    <w:rsid w:val="005D773B"/>
    <w:rsid w:val="005D7767"/>
    <w:rsid w:val="005D785C"/>
    <w:rsid w:val="005D7910"/>
    <w:rsid w:val="005D791F"/>
    <w:rsid w:val="005D7938"/>
    <w:rsid w:val="005D7B34"/>
    <w:rsid w:val="005D7B99"/>
    <w:rsid w:val="005D7D78"/>
    <w:rsid w:val="005D7D96"/>
    <w:rsid w:val="005D7D97"/>
    <w:rsid w:val="005D7DB9"/>
    <w:rsid w:val="005D7FC2"/>
    <w:rsid w:val="005E004C"/>
    <w:rsid w:val="005E00E9"/>
    <w:rsid w:val="005E018E"/>
    <w:rsid w:val="005E01B5"/>
    <w:rsid w:val="005E02A9"/>
    <w:rsid w:val="005E0323"/>
    <w:rsid w:val="005E039F"/>
    <w:rsid w:val="005E03BF"/>
    <w:rsid w:val="005E04A0"/>
    <w:rsid w:val="005E0582"/>
    <w:rsid w:val="005E05C5"/>
    <w:rsid w:val="005E06E9"/>
    <w:rsid w:val="005E083B"/>
    <w:rsid w:val="005E08D9"/>
    <w:rsid w:val="005E095E"/>
    <w:rsid w:val="005E09D2"/>
    <w:rsid w:val="005E0A39"/>
    <w:rsid w:val="005E0A51"/>
    <w:rsid w:val="005E0A69"/>
    <w:rsid w:val="005E0A7D"/>
    <w:rsid w:val="005E0C15"/>
    <w:rsid w:val="005E0C4C"/>
    <w:rsid w:val="005E0C77"/>
    <w:rsid w:val="005E0D5D"/>
    <w:rsid w:val="005E0D9B"/>
    <w:rsid w:val="005E0F17"/>
    <w:rsid w:val="005E0F63"/>
    <w:rsid w:val="005E1018"/>
    <w:rsid w:val="005E1038"/>
    <w:rsid w:val="005E1058"/>
    <w:rsid w:val="005E1075"/>
    <w:rsid w:val="005E111A"/>
    <w:rsid w:val="005E11D8"/>
    <w:rsid w:val="005E1213"/>
    <w:rsid w:val="005E1214"/>
    <w:rsid w:val="005E1319"/>
    <w:rsid w:val="005E135C"/>
    <w:rsid w:val="005E13B2"/>
    <w:rsid w:val="005E142D"/>
    <w:rsid w:val="005E144B"/>
    <w:rsid w:val="005E14A3"/>
    <w:rsid w:val="005E14EE"/>
    <w:rsid w:val="005E1696"/>
    <w:rsid w:val="005E1722"/>
    <w:rsid w:val="005E1821"/>
    <w:rsid w:val="005E18EE"/>
    <w:rsid w:val="005E18F5"/>
    <w:rsid w:val="005E196B"/>
    <w:rsid w:val="005E196E"/>
    <w:rsid w:val="005E19BB"/>
    <w:rsid w:val="005E1A4F"/>
    <w:rsid w:val="005E1B3B"/>
    <w:rsid w:val="005E1B99"/>
    <w:rsid w:val="005E1C3D"/>
    <w:rsid w:val="005E1D57"/>
    <w:rsid w:val="005E1D5A"/>
    <w:rsid w:val="005E1D98"/>
    <w:rsid w:val="005E1DEE"/>
    <w:rsid w:val="005E1E3E"/>
    <w:rsid w:val="005E1FE3"/>
    <w:rsid w:val="005E2055"/>
    <w:rsid w:val="005E2091"/>
    <w:rsid w:val="005E20B7"/>
    <w:rsid w:val="005E20F8"/>
    <w:rsid w:val="005E2192"/>
    <w:rsid w:val="005E222C"/>
    <w:rsid w:val="005E2258"/>
    <w:rsid w:val="005E22A6"/>
    <w:rsid w:val="005E22D7"/>
    <w:rsid w:val="005E2370"/>
    <w:rsid w:val="005E248E"/>
    <w:rsid w:val="005E26FD"/>
    <w:rsid w:val="005E2706"/>
    <w:rsid w:val="005E27ED"/>
    <w:rsid w:val="005E286D"/>
    <w:rsid w:val="005E2896"/>
    <w:rsid w:val="005E28B3"/>
    <w:rsid w:val="005E29B6"/>
    <w:rsid w:val="005E2A52"/>
    <w:rsid w:val="005E2AF5"/>
    <w:rsid w:val="005E2B72"/>
    <w:rsid w:val="005E2BEB"/>
    <w:rsid w:val="005E2C34"/>
    <w:rsid w:val="005E2D53"/>
    <w:rsid w:val="005E2DCB"/>
    <w:rsid w:val="005E2E03"/>
    <w:rsid w:val="005E2FF8"/>
    <w:rsid w:val="005E302E"/>
    <w:rsid w:val="005E3044"/>
    <w:rsid w:val="005E30B9"/>
    <w:rsid w:val="005E31DA"/>
    <w:rsid w:val="005E33A6"/>
    <w:rsid w:val="005E33E0"/>
    <w:rsid w:val="005E358D"/>
    <w:rsid w:val="005E3616"/>
    <w:rsid w:val="005E3653"/>
    <w:rsid w:val="005E3675"/>
    <w:rsid w:val="005E3767"/>
    <w:rsid w:val="005E37B2"/>
    <w:rsid w:val="005E3814"/>
    <w:rsid w:val="005E3874"/>
    <w:rsid w:val="005E38AB"/>
    <w:rsid w:val="005E3905"/>
    <w:rsid w:val="005E3B3A"/>
    <w:rsid w:val="005E3B7B"/>
    <w:rsid w:val="005E3BAD"/>
    <w:rsid w:val="005E3BBC"/>
    <w:rsid w:val="005E3BC0"/>
    <w:rsid w:val="005E3CC4"/>
    <w:rsid w:val="005E3CE7"/>
    <w:rsid w:val="005E3D40"/>
    <w:rsid w:val="005E3D67"/>
    <w:rsid w:val="005E3DB0"/>
    <w:rsid w:val="005E3DD7"/>
    <w:rsid w:val="005E3E13"/>
    <w:rsid w:val="005E3E84"/>
    <w:rsid w:val="005E3F09"/>
    <w:rsid w:val="005E3F4D"/>
    <w:rsid w:val="005E3F52"/>
    <w:rsid w:val="005E3F7C"/>
    <w:rsid w:val="005E3F94"/>
    <w:rsid w:val="005E400D"/>
    <w:rsid w:val="005E4040"/>
    <w:rsid w:val="005E4062"/>
    <w:rsid w:val="005E4103"/>
    <w:rsid w:val="005E4139"/>
    <w:rsid w:val="005E43C4"/>
    <w:rsid w:val="005E44C6"/>
    <w:rsid w:val="005E44F5"/>
    <w:rsid w:val="005E44F9"/>
    <w:rsid w:val="005E4554"/>
    <w:rsid w:val="005E470E"/>
    <w:rsid w:val="005E477C"/>
    <w:rsid w:val="005E4874"/>
    <w:rsid w:val="005E4898"/>
    <w:rsid w:val="005E493C"/>
    <w:rsid w:val="005E4B35"/>
    <w:rsid w:val="005E4C09"/>
    <w:rsid w:val="005E4C68"/>
    <w:rsid w:val="005E4C83"/>
    <w:rsid w:val="005E4C99"/>
    <w:rsid w:val="005E4CD5"/>
    <w:rsid w:val="005E4CF8"/>
    <w:rsid w:val="005E4E01"/>
    <w:rsid w:val="005E4EAA"/>
    <w:rsid w:val="005E4F56"/>
    <w:rsid w:val="005E4FDC"/>
    <w:rsid w:val="005E5035"/>
    <w:rsid w:val="005E508A"/>
    <w:rsid w:val="005E50A3"/>
    <w:rsid w:val="005E50E7"/>
    <w:rsid w:val="005E520C"/>
    <w:rsid w:val="005E5259"/>
    <w:rsid w:val="005E5386"/>
    <w:rsid w:val="005E53F3"/>
    <w:rsid w:val="005E5408"/>
    <w:rsid w:val="005E541D"/>
    <w:rsid w:val="005E5478"/>
    <w:rsid w:val="005E5552"/>
    <w:rsid w:val="005E556C"/>
    <w:rsid w:val="005E55CE"/>
    <w:rsid w:val="005E56EA"/>
    <w:rsid w:val="005E5733"/>
    <w:rsid w:val="005E575D"/>
    <w:rsid w:val="005E57CE"/>
    <w:rsid w:val="005E58A1"/>
    <w:rsid w:val="005E58AE"/>
    <w:rsid w:val="005E59B9"/>
    <w:rsid w:val="005E59EA"/>
    <w:rsid w:val="005E5A14"/>
    <w:rsid w:val="005E5A63"/>
    <w:rsid w:val="005E5AD0"/>
    <w:rsid w:val="005E5AEF"/>
    <w:rsid w:val="005E5B29"/>
    <w:rsid w:val="005E5B32"/>
    <w:rsid w:val="005E5B59"/>
    <w:rsid w:val="005E5B77"/>
    <w:rsid w:val="005E5C00"/>
    <w:rsid w:val="005E5C40"/>
    <w:rsid w:val="005E5C52"/>
    <w:rsid w:val="005E5CA1"/>
    <w:rsid w:val="005E5CBE"/>
    <w:rsid w:val="005E5D31"/>
    <w:rsid w:val="005E5E94"/>
    <w:rsid w:val="005E5E97"/>
    <w:rsid w:val="005E5E9A"/>
    <w:rsid w:val="005E5F29"/>
    <w:rsid w:val="005E5FB1"/>
    <w:rsid w:val="005E60BC"/>
    <w:rsid w:val="005E6159"/>
    <w:rsid w:val="005E626C"/>
    <w:rsid w:val="005E627E"/>
    <w:rsid w:val="005E62F9"/>
    <w:rsid w:val="005E641B"/>
    <w:rsid w:val="005E6460"/>
    <w:rsid w:val="005E6523"/>
    <w:rsid w:val="005E65C1"/>
    <w:rsid w:val="005E663E"/>
    <w:rsid w:val="005E670F"/>
    <w:rsid w:val="005E6743"/>
    <w:rsid w:val="005E6765"/>
    <w:rsid w:val="005E67AD"/>
    <w:rsid w:val="005E688D"/>
    <w:rsid w:val="005E6899"/>
    <w:rsid w:val="005E68C6"/>
    <w:rsid w:val="005E6936"/>
    <w:rsid w:val="005E69ED"/>
    <w:rsid w:val="005E6B15"/>
    <w:rsid w:val="005E6B22"/>
    <w:rsid w:val="005E6B7C"/>
    <w:rsid w:val="005E6B7D"/>
    <w:rsid w:val="005E6BD3"/>
    <w:rsid w:val="005E6BE6"/>
    <w:rsid w:val="005E6CA1"/>
    <w:rsid w:val="005E6CF2"/>
    <w:rsid w:val="005E6DB4"/>
    <w:rsid w:val="005E6DD1"/>
    <w:rsid w:val="005E6E26"/>
    <w:rsid w:val="005E6E2B"/>
    <w:rsid w:val="005E6E37"/>
    <w:rsid w:val="005E6ED3"/>
    <w:rsid w:val="005E6F37"/>
    <w:rsid w:val="005E6F76"/>
    <w:rsid w:val="005E6FA3"/>
    <w:rsid w:val="005E6FD8"/>
    <w:rsid w:val="005E705D"/>
    <w:rsid w:val="005E709F"/>
    <w:rsid w:val="005E70BB"/>
    <w:rsid w:val="005E70D8"/>
    <w:rsid w:val="005E7106"/>
    <w:rsid w:val="005E7133"/>
    <w:rsid w:val="005E713E"/>
    <w:rsid w:val="005E7152"/>
    <w:rsid w:val="005E7178"/>
    <w:rsid w:val="005E721A"/>
    <w:rsid w:val="005E7268"/>
    <w:rsid w:val="005E726E"/>
    <w:rsid w:val="005E72C3"/>
    <w:rsid w:val="005E72D7"/>
    <w:rsid w:val="005E731B"/>
    <w:rsid w:val="005E7339"/>
    <w:rsid w:val="005E734B"/>
    <w:rsid w:val="005E73F1"/>
    <w:rsid w:val="005E7429"/>
    <w:rsid w:val="005E7477"/>
    <w:rsid w:val="005E7496"/>
    <w:rsid w:val="005E74EB"/>
    <w:rsid w:val="005E751A"/>
    <w:rsid w:val="005E7578"/>
    <w:rsid w:val="005E758A"/>
    <w:rsid w:val="005E75AA"/>
    <w:rsid w:val="005E762E"/>
    <w:rsid w:val="005E7664"/>
    <w:rsid w:val="005E766D"/>
    <w:rsid w:val="005E76AB"/>
    <w:rsid w:val="005E7723"/>
    <w:rsid w:val="005E77D1"/>
    <w:rsid w:val="005E77DC"/>
    <w:rsid w:val="005E7816"/>
    <w:rsid w:val="005E7833"/>
    <w:rsid w:val="005E783C"/>
    <w:rsid w:val="005E7853"/>
    <w:rsid w:val="005E7984"/>
    <w:rsid w:val="005E79B8"/>
    <w:rsid w:val="005E7A14"/>
    <w:rsid w:val="005E7A3B"/>
    <w:rsid w:val="005E7ABA"/>
    <w:rsid w:val="005E7B98"/>
    <w:rsid w:val="005E7DA4"/>
    <w:rsid w:val="005E7DE6"/>
    <w:rsid w:val="005E7EB3"/>
    <w:rsid w:val="005E7EF5"/>
    <w:rsid w:val="005E7F45"/>
    <w:rsid w:val="005F0075"/>
    <w:rsid w:val="005F009C"/>
    <w:rsid w:val="005F00FB"/>
    <w:rsid w:val="005F011E"/>
    <w:rsid w:val="005F0282"/>
    <w:rsid w:val="005F0288"/>
    <w:rsid w:val="005F02C9"/>
    <w:rsid w:val="005F02CB"/>
    <w:rsid w:val="005F02ED"/>
    <w:rsid w:val="005F02F0"/>
    <w:rsid w:val="005F041F"/>
    <w:rsid w:val="005F0432"/>
    <w:rsid w:val="005F04A0"/>
    <w:rsid w:val="005F0554"/>
    <w:rsid w:val="005F0584"/>
    <w:rsid w:val="005F0609"/>
    <w:rsid w:val="005F06D3"/>
    <w:rsid w:val="005F06DF"/>
    <w:rsid w:val="005F076C"/>
    <w:rsid w:val="005F07B3"/>
    <w:rsid w:val="005F082D"/>
    <w:rsid w:val="005F08AF"/>
    <w:rsid w:val="005F08D3"/>
    <w:rsid w:val="005F08D9"/>
    <w:rsid w:val="005F0A96"/>
    <w:rsid w:val="005F0A98"/>
    <w:rsid w:val="005F0C0B"/>
    <w:rsid w:val="005F0CBA"/>
    <w:rsid w:val="005F0CEA"/>
    <w:rsid w:val="005F0D3A"/>
    <w:rsid w:val="005F0EA5"/>
    <w:rsid w:val="005F0F36"/>
    <w:rsid w:val="005F0F98"/>
    <w:rsid w:val="005F0FF4"/>
    <w:rsid w:val="005F1001"/>
    <w:rsid w:val="005F106B"/>
    <w:rsid w:val="005F108B"/>
    <w:rsid w:val="005F1090"/>
    <w:rsid w:val="005F10ED"/>
    <w:rsid w:val="005F10FE"/>
    <w:rsid w:val="005F1171"/>
    <w:rsid w:val="005F121A"/>
    <w:rsid w:val="005F125C"/>
    <w:rsid w:val="005F1263"/>
    <w:rsid w:val="005F1271"/>
    <w:rsid w:val="005F12F7"/>
    <w:rsid w:val="005F1301"/>
    <w:rsid w:val="005F130B"/>
    <w:rsid w:val="005F135F"/>
    <w:rsid w:val="005F1360"/>
    <w:rsid w:val="005F139F"/>
    <w:rsid w:val="005F13B1"/>
    <w:rsid w:val="005F13C5"/>
    <w:rsid w:val="005F1525"/>
    <w:rsid w:val="005F1544"/>
    <w:rsid w:val="005F165F"/>
    <w:rsid w:val="005F166E"/>
    <w:rsid w:val="005F171A"/>
    <w:rsid w:val="005F1725"/>
    <w:rsid w:val="005F177D"/>
    <w:rsid w:val="005F177F"/>
    <w:rsid w:val="005F17A7"/>
    <w:rsid w:val="005F1874"/>
    <w:rsid w:val="005F1897"/>
    <w:rsid w:val="005F18E9"/>
    <w:rsid w:val="005F1980"/>
    <w:rsid w:val="005F1982"/>
    <w:rsid w:val="005F1A00"/>
    <w:rsid w:val="005F1A85"/>
    <w:rsid w:val="005F1AB3"/>
    <w:rsid w:val="005F1AC5"/>
    <w:rsid w:val="005F1B9D"/>
    <w:rsid w:val="005F1BF5"/>
    <w:rsid w:val="005F1CF4"/>
    <w:rsid w:val="005F1D15"/>
    <w:rsid w:val="005F1D5D"/>
    <w:rsid w:val="005F1E07"/>
    <w:rsid w:val="005F1F62"/>
    <w:rsid w:val="005F1F7A"/>
    <w:rsid w:val="005F1FD2"/>
    <w:rsid w:val="005F1FE3"/>
    <w:rsid w:val="005F2026"/>
    <w:rsid w:val="005F2073"/>
    <w:rsid w:val="005F20E2"/>
    <w:rsid w:val="005F210F"/>
    <w:rsid w:val="005F21C9"/>
    <w:rsid w:val="005F2265"/>
    <w:rsid w:val="005F230B"/>
    <w:rsid w:val="005F2310"/>
    <w:rsid w:val="005F231E"/>
    <w:rsid w:val="005F23F1"/>
    <w:rsid w:val="005F241D"/>
    <w:rsid w:val="005F24C7"/>
    <w:rsid w:val="005F2599"/>
    <w:rsid w:val="005F25BF"/>
    <w:rsid w:val="005F25E4"/>
    <w:rsid w:val="005F2654"/>
    <w:rsid w:val="005F26F0"/>
    <w:rsid w:val="005F27A2"/>
    <w:rsid w:val="005F281A"/>
    <w:rsid w:val="005F28D4"/>
    <w:rsid w:val="005F292A"/>
    <w:rsid w:val="005F2A61"/>
    <w:rsid w:val="005F2B9A"/>
    <w:rsid w:val="005F2C24"/>
    <w:rsid w:val="005F2C40"/>
    <w:rsid w:val="005F2C5C"/>
    <w:rsid w:val="005F2C61"/>
    <w:rsid w:val="005F2FA7"/>
    <w:rsid w:val="005F3132"/>
    <w:rsid w:val="005F3194"/>
    <w:rsid w:val="005F3217"/>
    <w:rsid w:val="005F3255"/>
    <w:rsid w:val="005F33AA"/>
    <w:rsid w:val="005F33B8"/>
    <w:rsid w:val="005F345E"/>
    <w:rsid w:val="005F353E"/>
    <w:rsid w:val="005F353F"/>
    <w:rsid w:val="005F3558"/>
    <w:rsid w:val="005F3580"/>
    <w:rsid w:val="005F35EB"/>
    <w:rsid w:val="005F36C4"/>
    <w:rsid w:val="005F373F"/>
    <w:rsid w:val="005F3756"/>
    <w:rsid w:val="005F3761"/>
    <w:rsid w:val="005F3862"/>
    <w:rsid w:val="005F3886"/>
    <w:rsid w:val="005F3971"/>
    <w:rsid w:val="005F398E"/>
    <w:rsid w:val="005F3A56"/>
    <w:rsid w:val="005F3A67"/>
    <w:rsid w:val="005F3ADF"/>
    <w:rsid w:val="005F3BA8"/>
    <w:rsid w:val="005F3BCA"/>
    <w:rsid w:val="005F3C11"/>
    <w:rsid w:val="005F3CEF"/>
    <w:rsid w:val="005F3D16"/>
    <w:rsid w:val="005F3EB2"/>
    <w:rsid w:val="005F3EE4"/>
    <w:rsid w:val="005F3F27"/>
    <w:rsid w:val="005F3F44"/>
    <w:rsid w:val="005F3FF3"/>
    <w:rsid w:val="005F405C"/>
    <w:rsid w:val="005F40AF"/>
    <w:rsid w:val="005F41B3"/>
    <w:rsid w:val="005F41D6"/>
    <w:rsid w:val="005F41D9"/>
    <w:rsid w:val="005F4215"/>
    <w:rsid w:val="005F4276"/>
    <w:rsid w:val="005F42F4"/>
    <w:rsid w:val="005F4407"/>
    <w:rsid w:val="005F45B8"/>
    <w:rsid w:val="005F460E"/>
    <w:rsid w:val="005F463D"/>
    <w:rsid w:val="005F4668"/>
    <w:rsid w:val="005F46D4"/>
    <w:rsid w:val="005F4776"/>
    <w:rsid w:val="005F478B"/>
    <w:rsid w:val="005F47DC"/>
    <w:rsid w:val="005F4963"/>
    <w:rsid w:val="005F499F"/>
    <w:rsid w:val="005F49C9"/>
    <w:rsid w:val="005F4B06"/>
    <w:rsid w:val="005F4B10"/>
    <w:rsid w:val="005F4B98"/>
    <w:rsid w:val="005F4C18"/>
    <w:rsid w:val="005F4C91"/>
    <w:rsid w:val="005F4D98"/>
    <w:rsid w:val="005F4E04"/>
    <w:rsid w:val="005F4E4A"/>
    <w:rsid w:val="005F4E65"/>
    <w:rsid w:val="005F4E78"/>
    <w:rsid w:val="005F4EAE"/>
    <w:rsid w:val="005F4EC2"/>
    <w:rsid w:val="005F4EC6"/>
    <w:rsid w:val="005F4F4B"/>
    <w:rsid w:val="005F4F77"/>
    <w:rsid w:val="005F4FB7"/>
    <w:rsid w:val="005F5051"/>
    <w:rsid w:val="005F5114"/>
    <w:rsid w:val="005F5124"/>
    <w:rsid w:val="005F5135"/>
    <w:rsid w:val="005F5139"/>
    <w:rsid w:val="005F5163"/>
    <w:rsid w:val="005F51FA"/>
    <w:rsid w:val="005F5202"/>
    <w:rsid w:val="005F52D8"/>
    <w:rsid w:val="005F5446"/>
    <w:rsid w:val="005F5482"/>
    <w:rsid w:val="005F5647"/>
    <w:rsid w:val="005F56C1"/>
    <w:rsid w:val="005F5729"/>
    <w:rsid w:val="005F5774"/>
    <w:rsid w:val="005F5787"/>
    <w:rsid w:val="005F587F"/>
    <w:rsid w:val="005F5928"/>
    <w:rsid w:val="005F592F"/>
    <w:rsid w:val="005F5A2E"/>
    <w:rsid w:val="005F5A71"/>
    <w:rsid w:val="005F5AA1"/>
    <w:rsid w:val="005F5BD2"/>
    <w:rsid w:val="005F5BD3"/>
    <w:rsid w:val="005F5BE3"/>
    <w:rsid w:val="005F5D08"/>
    <w:rsid w:val="005F5D31"/>
    <w:rsid w:val="005F5DCB"/>
    <w:rsid w:val="005F5E07"/>
    <w:rsid w:val="005F5E3D"/>
    <w:rsid w:val="005F5EE1"/>
    <w:rsid w:val="005F5F38"/>
    <w:rsid w:val="005F60E8"/>
    <w:rsid w:val="005F60EB"/>
    <w:rsid w:val="005F60FA"/>
    <w:rsid w:val="005F610A"/>
    <w:rsid w:val="005F6118"/>
    <w:rsid w:val="005F618E"/>
    <w:rsid w:val="005F6211"/>
    <w:rsid w:val="005F62D0"/>
    <w:rsid w:val="005F643A"/>
    <w:rsid w:val="005F6470"/>
    <w:rsid w:val="005F6598"/>
    <w:rsid w:val="005F65DD"/>
    <w:rsid w:val="005F65FB"/>
    <w:rsid w:val="005F6600"/>
    <w:rsid w:val="005F674C"/>
    <w:rsid w:val="005F677F"/>
    <w:rsid w:val="005F67FC"/>
    <w:rsid w:val="005F6807"/>
    <w:rsid w:val="005F6860"/>
    <w:rsid w:val="005F6869"/>
    <w:rsid w:val="005F6945"/>
    <w:rsid w:val="005F6AC8"/>
    <w:rsid w:val="005F6B0D"/>
    <w:rsid w:val="005F6BB5"/>
    <w:rsid w:val="005F6C1B"/>
    <w:rsid w:val="005F6C5D"/>
    <w:rsid w:val="005F6C65"/>
    <w:rsid w:val="005F6CD5"/>
    <w:rsid w:val="005F6CD8"/>
    <w:rsid w:val="005F6D61"/>
    <w:rsid w:val="005F6D65"/>
    <w:rsid w:val="005F6E08"/>
    <w:rsid w:val="005F6EEE"/>
    <w:rsid w:val="005F6FEE"/>
    <w:rsid w:val="005F70E1"/>
    <w:rsid w:val="005F7134"/>
    <w:rsid w:val="005F72A4"/>
    <w:rsid w:val="005F72EF"/>
    <w:rsid w:val="005F733B"/>
    <w:rsid w:val="005F74D7"/>
    <w:rsid w:val="005F74E3"/>
    <w:rsid w:val="005F74F0"/>
    <w:rsid w:val="005F7515"/>
    <w:rsid w:val="005F7541"/>
    <w:rsid w:val="005F7739"/>
    <w:rsid w:val="005F773F"/>
    <w:rsid w:val="005F7753"/>
    <w:rsid w:val="005F7763"/>
    <w:rsid w:val="005F776E"/>
    <w:rsid w:val="005F777A"/>
    <w:rsid w:val="005F77A4"/>
    <w:rsid w:val="005F77CA"/>
    <w:rsid w:val="005F784E"/>
    <w:rsid w:val="005F794E"/>
    <w:rsid w:val="005F79D2"/>
    <w:rsid w:val="005F7A16"/>
    <w:rsid w:val="005F7A1B"/>
    <w:rsid w:val="005F7A3A"/>
    <w:rsid w:val="005F7B2B"/>
    <w:rsid w:val="005F7B2C"/>
    <w:rsid w:val="005F7B79"/>
    <w:rsid w:val="005F7BB2"/>
    <w:rsid w:val="005F7C3D"/>
    <w:rsid w:val="005F7CF6"/>
    <w:rsid w:val="005F7D54"/>
    <w:rsid w:val="005F7DC7"/>
    <w:rsid w:val="005F7EDA"/>
    <w:rsid w:val="005F7EF2"/>
    <w:rsid w:val="005F7F22"/>
    <w:rsid w:val="005F7FDE"/>
    <w:rsid w:val="005F7FF1"/>
    <w:rsid w:val="005FCB0A"/>
    <w:rsid w:val="006000AA"/>
    <w:rsid w:val="0060011D"/>
    <w:rsid w:val="00600155"/>
    <w:rsid w:val="0060017E"/>
    <w:rsid w:val="00600447"/>
    <w:rsid w:val="006005D8"/>
    <w:rsid w:val="006005E8"/>
    <w:rsid w:val="00600656"/>
    <w:rsid w:val="00600675"/>
    <w:rsid w:val="006006B6"/>
    <w:rsid w:val="0060070A"/>
    <w:rsid w:val="00600741"/>
    <w:rsid w:val="006007A0"/>
    <w:rsid w:val="006007BB"/>
    <w:rsid w:val="006007D4"/>
    <w:rsid w:val="0060082F"/>
    <w:rsid w:val="006008E8"/>
    <w:rsid w:val="00600ADB"/>
    <w:rsid w:val="00600B55"/>
    <w:rsid w:val="00600B9B"/>
    <w:rsid w:val="00600D01"/>
    <w:rsid w:val="00600D50"/>
    <w:rsid w:val="00600DA2"/>
    <w:rsid w:val="00600E28"/>
    <w:rsid w:val="00600E89"/>
    <w:rsid w:val="00600EE8"/>
    <w:rsid w:val="00601030"/>
    <w:rsid w:val="00601032"/>
    <w:rsid w:val="0060114A"/>
    <w:rsid w:val="006011BF"/>
    <w:rsid w:val="00601214"/>
    <w:rsid w:val="00601231"/>
    <w:rsid w:val="00601298"/>
    <w:rsid w:val="00601306"/>
    <w:rsid w:val="00601315"/>
    <w:rsid w:val="0060131E"/>
    <w:rsid w:val="0060134C"/>
    <w:rsid w:val="00601375"/>
    <w:rsid w:val="00601398"/>
    <w:rsid w:val="006013A1"/>
    <w:rsid w:val="006013CD"/>
    <w:rsid w:val="006013EC"/>
    <w:rsid w:val="00601425"/>
    <w:rsid w:val="0060143D"/>
    <w:rsid w:val="00601517"/>
    <w:rsid w:val="00601541"/>
    <w:rsid w:val="00601590"/>
    <w:rsid w:val="00601598"/>
    <w:rsid w:val="006015C3"/>
    <w:rsid w:val="006015EB"/>
    <w:rsid w:val="006016F8"/>
    <w:rsid w:val="006016FA"/>
    <w:rsid w:val="00601732"/>
    <w:rsid w:val="00601778"/>
    <w:rsid w:val="00601785"/>
    <w:rsid w:val="0060179C"/>
    <w:rsid w:val="006017BE"/>
    <w:rsid w:val="00601826"/>
    <w:rsid w:val="006018A2"/>
    <w:rsid w:val="006018B8"/>
    <w:rsid w:val="006018DF"/>
    <w:rsid w:val="00601954"/>
    <w:rsid w:val="00601991"/>
    <w:rsid w:val="00601A88"/>
    <w:rsid w:val="00601AA5"/>
    <w:rsid w:val="00601B46"/>
    <w:rsid w:val="00601C28"/>
    <w:rsid w:val="00601D47"/>
    <w:rsid w:val="00601DB3"/>
    <w:rsid w:val="00601E05"/>
    <w:rsid w:val="00601EE6"/>
    <w:rsid w:val="00601F6D"/>
    <w:rsid w:val="0060200F"/>
    <w:rsid w:val="006020BE"/>
    <w:rsid w:val="006020DE"/>
    <w:rsid w:val="006020EC"/>
    <w:rsid w:val="006021A2"/>
    <w:rsid w:val="00602331"/>
    <w:rsid w:val="0060234D"/>
    <w:rsid w:val="006023B2"/>
    <w:rsid w:val="006023D8"/>
    <w:rsid w:val="006023E4"/>
    <w:rsid w:val="006023F2"/>
    <w:rsid w:val="006023F7"/>
    <w:rsid w:val="00602483"/>
    <w:rsid w:val="00602510"/>
    <w:rsid w:val="0060266D"/>
    <w:rsid w:val="00602857"/>
    <w:rsid w:val="00602860"/>
    <w:rsid w:val="00602923"/>
    <w:rsid w:val="0060296B"/>
    <w:rsid w:val="00602A27"/>
    <w:rsid w:val="00602A72"/>
    <w:rsid w:val="00602AAE"/>
    <w:rsid w:val="00602AD7"/>
    <w:rsid w:val="00602B4A"/>
    <w:rsid w:val="00602BE9"/>
    <w:rsid w:val="00602C22"/>
    <w:rsid w:val="00602C29"/>
    <w:rsid w:val="00602C4A"/>
    <w:rsid w:val="00602DA3"/>
    <w:rsid w:val="00602E36"/>
    <w:rsid w:val="00602F04"/>
    <w:rsid w:val="00602F20"/>
    <w:rsid w:val="00602F79"/>
    <w:rsid w:val="0060303F"/>
    <w:rsid w:val="00603059"/>
    <w:rsid w:val="006030AA"/>
    <w:rsid w:val="006030DF"/>
    <w:rsid w:val="00603122"/>
    <w:rsid w:val="0060314D"/>
    <w:rsid w:val="0060319E"/>
    <w:rsid w:val="006031C1"/>
    <w:rsid w:val="006031DD"/>
    <w:rsid w:val="00603218"/>
    <w:rsid w:val="0060323E"/>
    <w:rsid w:val="006033F0"/>
    <w:rsid w:val="006033F9"/>
    <w:rsid w:val="006033FD"/>
    <w:rsid w:val="00603414"/>
    <w:rsid w:val="006034D2"/>
    <w:rsid w:val="006034FF"/>
    <w:rsid w:val="00603512"/>
    <w:rsid w:val="00603520"/>
    <w:rsid w:val="006035AC"/>
    <w:rsid w:val="00603634"/>
    <w:rsid w:val="00603642"/>
    <w:rsid w:val="006036DD"/>
    <w:rsid w:val="006037F0"/>
    <w:rsid w:val="0060381C"/>
    <w:rsid w:val="006039CD"/>
    <w:rsid w:val="006039FE"/>
    <w:rsid w:val="00603A55"/>
    <w:rsid w:val="00603ACA"/>
    <w:rsid w:val="00603AE6"/>
    <w:rsid w:val="00603AEB"/>
    <w:rsid w:val="00603B98"/>
    <w:rsid w:val="00603BB9"/>
    <w:rsid w:val="00603BBE"/>
    <w:rsid w:val="00603C2F"/>
    <w:rsid w:val="00603CA8"/>
    <w:rsid w:val="00603D63"/>
    <w:rsid w:val="00603DEA"/>
    <w:rsid w:val="00603DEE"/>
    <w:rsid w:val="00603E67"/>
    <w:rsid w:val="00604009"/>
    <w:rsid w:val="00604105"/>
    <w:rsid w:val="0060415A"/>
    <w:rsid w:val="006041F2"/>
    <w:rsid w:val="00604267"/>
    <w:rsid w:val="0060438F"/>
    <w:rsid w:val="006045D0"/>
    <w:rsid w:val="00604699"/>
    <w:rsid w:val="0060469A"/>
    <w:rsid w:val="00604753"/>
    <w:rsid w:val="00604819"/>
    <w:rsid w:val="00604820"/>
    <w:rsid w:val="0060487B"/>
    <w:rsid w:val="00604889"/>
    <w:rsid w:val="00604915"/>
    <w:rsid w:val="00604952"/>
    <w:rsid w:val="00604B29"/>
    <w:rsid w:val="00604BA6"/>
    <w:rsid w:val="00604BCB"/>
    <w:rsid w:val="00604BEC"/>
    <w:rsid w:val="00604BFF"/>
    <w:rsid w:val="00604C72"/>
    <w:rsid w:val="00604C94"/>
    <w:rsid w:val="00604D69"/>
    <w:rsid w:val="00604DEB"/>
    <w:rsid w:val="00604E18"/>
    <w:rsid w:val="00604EC5"/>
    <w:rsid w:val="00604F4B"/>
    <w:rsid w:val="00604F4F"/>
    <w:rsid w:val="00604FB2"/>
    <w:rsid w:val="0060508D"/>
    <w:rsid w:val="00605101"/>
    <w:rsid w:val="0060514D"/>
    <w:rsid w:val="00605158"/>
    <w:rsid w:val="006051C7"/>
    <w:rsid w:val="006051FD"/>
    <w:rsid w:val="0060522C"/>
    <w:rsid w:val="00605284"/>
    <w:rsid w:val="0060528D"/>
    <w:rsid w:val="006052B0"/>
    <w:rsid w:val="006052DB"/>
    <w:rsid w:val="006053D7"/>
    <w:rsid w:val="006054AE"/>
    <w:rsid w:val="0060555F"/>
    <w:rsid w:val="006056A0"/>
    <w:rsid w:val="00605734"/>
    <w:rsid w:val="00605831"/>
    <w:rsid w:val="00605873"/>
    <w:rsid w:val="006058EC"/>
    <w:rsid w:val="0060597E"/>
    <w:rsid w:val="00605A00"/>
    <w:rsid w:val="00605A6F"/>
    <w:rsid w:val="00605B26"/>
    <w:rsid w:val="00605B44"/>
    <w:rsid w:val="00605B61"/>
    <w:rsid w:val="00605B6B"/>
    <w:rsid w:val="00605BF3"/>
    <w:rsid w:val="00605C35"/>
    <w:rsid w:val="00605C69"/>
    <w:rsid w:val="00605D80"/>
    <w:rsid w:val="00605F0A"/>
    <w:rsid w:val="00605F52"/>
    <w:rsid w:val="00605F5E"/>
    <w:rsid w:val="00605F77"/>
    <w:rsid w:val="00605FC3"/>
    <w:rsid w:val="00605FCE"/>
    <w:rsid w:val="00605FFC"/>
    <w:rsid w:val="00606008"/>
    <w:rsid w:val="006060C8"/>
    <w:rsid w:val="00606173"/>
    <w:rsid w:val="006061A3"/>
    <w:rsid w:val="006061BE"/>
    <w:rsid w:val="00606354"/>
    <w:rsid w:val="006064CE"/>
    <w:rsid w:val="006064F8"/>
    <w:rsid w:val="006065CF"/>
    <w:rsid w:val="00606641"/>
    <w:rsid w:val="006066E4"/>
    <w:rsid w:val="0060678F"/>
    <w:rsid w:val="006067BA"/>
    <w:rsid w:val="006067FF"/>
    <w:rsid w:val="0060681C"/>
    <w:rsid w:val="0060686A"/>
    <w:rsid w:val="00606871"/>
    <w:rsid w:val="006068C5"/>
    <w:rsid w:val="006069AD"/>
    <w:rsid w:val="00606ABC"/>
    <w:rsid w:val="00606AC9"/>
    <w:rsid w:val="00606B11"/>
    <w:rsid w:val="00606B68"/>
    <w:rsid w:val="00606DA5"/>
    <w:rsid w:val="00606E23"/>
    <w:rsid w:val="00606E58"/>
    <w:rsid w:val="00606EF4"/>
    <w:rsid w:val="00606F0F"/>
    <w:rsid w:val="00606F82"/>
    <w:rsid w:val="00607031"/>
    <w:rsid w:val="006070C6"/>
    <w:rsid w:val="00607181"/>
    <w:rsid w:val="006071A4"/>
    <w:rsid w:val="006071D8"/>
    <w:rsid w:val="00607286"/>
    <w:rsid w:val="0060732C"/>
    <w:rsid w:val="006073DD"/>
    <w:rsid w:val="00607466"/>
    <w:rsid w:val="00607621"/>
    <w:rsid w:val="00607662"/>
    <w:rsid w:val="006076BE"/>
    <w:rsid w:val="006076F0"/>
    <w:rsid w:val="006076FD"/>
    <w:rsid w:val="0060775C"/>
    <w:rsid w:val="00607780"/>
    <w:rsid w:val="006078BA"/>
    <w:rsid w:val="006078D2"/>
    <w:rsid w:val="0060794B"/>
    <w:rsid w:val="006079F7"/>
    <w:rsid w:val="00607A02"/>
    <w:rsid w:val="00607A0E"/>
    <w:rsid w:val="00607B39"/>
    <w:rsid w:val="00607D10"/>
    <w:rsid w:val="00607D3D"/>
    <w:rsid w:val="00607DC4"/>
    <w:rsid w:val="00607EA8"/>
    <w:rsid w:val="00607EBA"/>
    <w:rsid w:val="00607F34"/>
    <w:rsid w:val="00607F51"/>
    <w:rsid w:val="00607F6B"/>
    <w:rsid w:val="00610058"/>
    <w:rsid w:val="0061005C"/>
    <w:rsid w:val="00610077"/>
    <w:rsid w:val="006100C8"/>
    <w:rsid w:val="00610103"/>
    <w:rsid w:val="00610120"/>
    <w:rsid w:val="00610128"/>
    <w:rsid w:val="00610209"/>
    <w:rsid w:val="00610336"/>
    <w:rsid w:val="00610381"/>
    <w:rsid w:val="006103B1"/>
    <w:rsid w:val="00610458"/>
    <w:rsid w:val="006105FE"/>
    <w:rsid w:val="00610636"/>
    <w:rsid w:val="0061065D"/>
    <w:rsid w:val="006106DA"/>
    <w:rsid w:val="006107A8"/>
    <w:rsid w:val="006107EB"/>
    <w:rsid w:val="0061083F"/>
    <w:rsid w:val="006108C0"/>
    <w:rsid w:val="006108D1"/>
    <w:rsid w:val="006109CD"/>
    <w:rsid w:val="006109EB"/>
    <w:rsid w:val="00610A26"/>
    <w:rsid w:val="00610A72"/>
    <w:rsid w:val="00610AF4"/>
    <w:rsid w:val="00610B70"/>
    <w:rsid w:val="00610B9E"/>
    <w:rsid w:val="00610C4D"/>
    <w:rsid w:val="00610C91"/>
    <w:rsid w:val="00610CC5"/>
    <w:rsid w:val="00610D3C"/>
    <w:rsid w:val="00610D49"/>
    <w:rsid w:val="00610E3D"/>
    <w:rsid w:val="00610FCF"/>
    <w:rsid w:val="00610FD7"/>
    <w:rsid w:val="00611035"/>
    <w:rsid w:val="006110C0"/>
    <w:rsid w:val="00611113"/>
    <w:rsid w:val="0061112A"/>
    <w:rsid w:val="006111BD"/>
    <w:rsid w:val="006111C9"/>
    <w:rsid w:val="0061134E"/>
    <w:rsid w:val="00611409"/>
    <w:rsid w:val="00611418"/>
    <w:rsid w:val="0061150F"/>
    <w:rsid w:val="00611549"/>
    <w:rsid w:val="00611579"/>
    <w:rsid w:val="006115FA"/>
    <w:rsid w:val="00611658"/>
    <w:rsid w:val="00611695"/>
    <w:rsid w:val="0061169A"/>
    <w:rsid w:val="006116BD"/>
    <w:rsid w:val="00611718"/>
    <w:rsid w:val="00611793"/>
    <w:rsid w:val="006117AD"/>
    <w:rsid w:val="00611899"/>
    <w:rsid w:val="00611962"/>
    <w:rsid w:val="00611972"/>
    <w:rsid w:val="0061198C"/>
    <w:rsid w:val="006119A9"/>
    <w:rsid w:val="006119CE"/>
    <w:rsid w:val="00611A17"/>
    <w:rsid w:val="00611A50"/>
    <w:rsid w:val="00611AE4"/>
    <w:rsid w:val="00611BA0"/>
    <w:rsid w:val="00611CCA"/>
    <w:rsid w:val="00611D01"/>
    <w:rsid w:val="00611DD2"/>
    <w:rsid w:val="00611E28"/>
    <w:rsid w:val="00611F06"/>
    <w:rsid w:val="00611F9A"/>
    <w:rsid w:val="00612020"/>
    <w:rsid w:val="0061202E"/>
    <w:rsid w:val="006121CB"/>
    <w:rsid w:val="006122D4"/>
    <w:rsid w:val="0061238C"/>
    <w:rsid w:val="00612490"/>
    <w:rsid w:val="0061263C"/>
    <w:rsid w:val="006126DC"/>
    <w:rsid w:val="0061271E"/>
    <w:rsid w:val="00612757"/>
    <w:rsid w:val="00612762"/>
    <w:rsid w:val="00612764"/>
    <w:rsid w:val="00612794"/>
    <w:rsid w:val="0061289A"/>
    <w:rsid w:val="006128A6"/>
    <w:rsid w:val="006128F7"/>
    <w:rsid w:val="00612983"/>
    <w:rsid w:val="00612AA9"/>
    <w:rsid w:val="00612B42"/>
    <w:rsid w:val="00612B54"/>
    <w:rsid w:val="00612BE2"/>
    <w:rsid w:val="00612CB4"/>
    <w:rsid w:val="00612CB8"/>
    <w:rsid w:val="00612D29"/>
    <w:rsid w:val="00612D2B"/>
    <w:rsid w:val="00612D48"/>
    <w:rsid w:val="00612D6D"/>
    <w:rsid w:val="00612D87"/>
    <w:rsid w:val="00612DC9"/>
    <w:rsid w:val="00612E0B"/>
    <w:rsid w:val="00612E35"/>
    <w:rsid w:val="00612E49"/>
    <w:rsid w:val="00612E61"/>
    <w:rsid w:val="00612E72"/>
    <w:rsid w:val="00612FAE"/>
    <w:rsid w:val="00612FCA"/>
    <w:rsid w:val="00613036"/>
    <w:rsid w:val="0061303A"/>
    <w:rsid w:val="0061309C"/>
    <w:rsid w:val="00613202"/>
    <w:rsid w:val="006132A4"/>
    <w:rsid w:val="00613300"/>
    <w:rsid w:val="00613305"/>
    <w:rsid w:val="00613359"/>
    <w:rsid w:val="00613368"/>
    <w:rsid w:val="006133EA"/>
    <w:rsid w:val="0061340D"/>
    <w:rsid w:val="00613489"/>
    <w:rsid w:val="0061351B"/>
    <w:rsid w:val="00613540"/>
    <w:rsid w:val="00613617"/>
    <w:rsid w:val="0061365C"/>
    <w:rsid w:val="0061392A"/>
    <w:rsid w:val="006139AA"/>
    <w:rsid w:val="006139C1"/>
    <w:rsid w:val="00613A36"/>
    <w:rsid w:val="00613B5C"/>
    <w:rsid w:val="00613BEF"/>
    <w:rsid w:val="00613BFD"/>
    <w:rsid w:val="00613C43"/>
    <w:rsid w:val="00613C4D"/>
    <w:rsid w:val="00613C7A"/>
    <w:rsid w:val="00613CCF"/>
    <w:rsid w:val="00613D52"/>
    <w:rsid w:val="00613DA0"/>
    <w:rsid w:val="00613DE9"/>
    <w:rsid w:val="00613E0B"/>
    <w:rsid w:val="00613E20"/>
    <w:rsid w:val="00613E42"/>
    <w:rsid w:val="00613E51"/>
    <w:rsid w:val="00613EB8"/>
    <w:rsid w:val="00613EBD"/>
    <w:rsid w:val="00613EC4"/>
    <w:rsid w:val="00613F4B"/>
    <w:rsid w:val="00613F55"/>
    <w:rsid w:val="00613F9E"/>
    <w:rsid w:val="006140E9"/>
    <w:rsid w:val="00614112"/>
    <w:rsid w:val="006141AA"/>
    <w:rsid w:val="006141B5"/>
    <w:rsid w:val="006142C3"/>
    <w:rsid w:val="00614354"/>
    <w:rsid w:val="00614376"/>
    <w:rsid w:val="0061437C"/>
    <w:rsid w:val="0061438F"/>
    <w:rsid w:val="00614556"/>
    <w:rsid w:val="0061461B"/>
    <w:rsid w:val="00614795"/>
    <w:rsid w:val="006147DD"/>
    <w:rsid w:val="006147EE"/>
    <w:rsid w:val="00614847"/>
    <w:rsid w:val="00614896"/>
    <w:rsid w:val="006148F0"/>
    <w:rsid w:val="00614972"/>
    <w:rsid w:val="00614A10"/>
    <w:rsid w:val="00614B5C"/>
    <w:rsid w:val="00614BE0"/>
    <w:rsid w:val="00614C39"/>
    <w:rsid w:val="00614C41"/>
    <w:rsid w:val="00614E92"/>
    <w:rsid w:val="00614E98"/>
    <w:rsid w:val="00614F80"/>
    <w:rsid w:val="00614FB7"/>
    <w:rsid w:val="00614FE1"/>
    <w:rsid w:val="006150D0"/>
    <w:rsid w:val="00615163"/>
    <w:rsid w:val="00615175"/>
    <w:rsid w:val="00615182"/>
    <w:rsid w:val="00615236"/>
    <w:rsid w:val="00615392"/>
    <w:rsid w:val="006153B4"/>
    <w:rsid w:val="006153C9"/>
    <w:rsid w:val="00615495"/>
    <w:rsid w:val="006154C9"/>
    <w:rsid w:val="00615641"/>
    <w:rsid w:val="0061565F"/>
    <w:rsid w:val="006156CC"/>
    <w:rsid w:val="006157A5"/>
    <w:rsid w:val="006157F2"/>
    <w:rsid w:val="0061584E"/>
    <w:rsid w:val="006159FE"/>
    <w:rsid w:val="00615A46"/>
    <w:rsid w:val="00615BA5"/>
    <w:rsid w:val="00615C0B"/>
    <w:rsid w:val="00615CB6"/>
    <w:rsid w:val="00615CBE"/>
    <w:rsid w:val="00615DAA"/>
    <w:rsid w:val="00615DFC"/>
    <w:rsid w:val="00615E66"/>
    <w:rsid w:val="00615E79"/>
    <w:rsid w:val="00615F85"/>
    <w:rsid w:val="00615F92"/>
    <w:rsid w:val="00615FBD"/>
    <w:rsid w:val="0061600B"/>
    <w:rsid w:val="00616047"/>
    <w:rsid w:val="00616066"/>
    <w:rsid w:val="006160A1"/>
    <w:rsid w:val="006160A9"/>
    <w:rsid w:val="006160CD"/>
    <w:rsid w:val="006160D2"/>
    <w:rsid w:val="006160E7"/>
    <w:rsid w:val="006160EA"/>
    <w:rsid w:val="0061613B"/>
    <w:rsid w:val="006161D6"/>
    <w:rsid w:val="0061623B"/>
    <w:rsid w:val="00616253"/>
    <w:rsid w:val="00616294"/>
    <w:rsid w:val="006162A4"/>
    <w:rsid w:val="00616332"/>
    <w:rsid w:val="006163B6"/>
    <w:rsid w:val="006163B9"/>
    <w:rsid w:val="006163D9"/>
    <w:rsid w:val="006164BE"/>
    <w:rsid w:val="006164CF"/>
    <w:rsid w:val="006165CD"/>
    <w:rsid w:val="0061667A"/>
    <w:rsid w:val="006166B0"/>
    <w:rsid w:val="00616972"/>
    <w:rsid w:val="006169D4"/>
    <w:rsid w:val="006169F9"/>
    <w:rsid w:val="00616A39"/>
    <w:rsid w:val="00616A40"/>
    <w:rsid w:val="00616A4C"/>
    <w:rsid w:val="00616B5D"/>
    <w:rsid w:val="00616B72"/>
    <w:rsid w:val="00616CBD"/>
    <w:rsid w:val="00616CE1"/>
    <w:rsid w:val="00616CFF"/>
    <w:rsid w:val="00616E33"/>
    <w:rsid w:val="00616ED9"/>
    <w:rsid w:val="00616F35"/>
    <w:rsid w:val="00616F44"/>
    <w:rsid w:val="00616F4A"/>
    <w:rsid w:val="00616F5E"/>
    <w:rsid w:val="00616FB4"/>
    <w:rsid w:val="006170B8"/>
    <w:rsid w:val="0061713D"/>
    <w:rsid w:val="006172C5"/>
    <w:rsid w:val="00617309"/>
    <w:rsid w:val="0061737F"/>
    <w:rsid w:val="00617427"/>
    <w:rsid w:val="006174B3"/>
    <w:rsid w:val="006174E8"/>
    <w:rsid w:val="00617649"/>
    <w:rsid w:val="00617651"/>
    <w:rsid w:val="0061788E"/>
    <w:rsid w:val="006179F9"/>
    <w:rsid w:val="00617AD7"/>
    <w:rsid w:val="00617AE9"/>
    <w:rsid w:val="00617B73"/>
    <w:rsid w:val="00617B74"/>
    <w:rsid w:val="00617B7C"/>
    <w:rsid w:val="00617BAA"/>
    <w:rsid w:val="00617CC7"/>
    <w:rsid w:val="00617D64"/>
    <w:rsid w:val="00617E10"/>
    <w:rsid w:val="00617E12"/>
    <w:rsid w:val="00617EB4"/>
    <w:rsid w:val="00617ECA"/>
    <w:rsid w:val="00617F5F"/>
    <w:rsid w:val="00617F81"/>
    <w:rsid w:val="00617F9F"/>
    <w:rsid w:val="0062023F"/>
    <w:rsid w:val="0062031B"/>
    <w:rsid w:val="00620501"/>
    <w:rsid w:val="006205E9"/>
    <w:rsid w:val="00620686"/>
    <w:rsid w:val="006206C9"/>
    <w:rsid w:val="00620720"/>
    <w:rsid w:val="00620752"/>
    <w:rsid w:val="00620858"/>
    <w:rsid w:val="00620908"/>
    <w:rsid w:val="006209A9"/>
    <w:rsid w:val="006209C4"/>
    <w:rsid w:val="006209E3"/>
    <w:rsid w:val="00620ACD"/>
    <w:rsid w:val="00620B71"/>
    <w:rsid w:val="00620C32"/>
    <w:rsid w:val="00620C95"/>
    <w:rsid w:val="00620CB1"/>
    <w:rsid w:val="00620E37"/>
    <w:rsid w:val="00620E56"/>
    <w:rsid w:val="00620F2A"/>
    <w:rsid w:val="00620F72"/>
    <w:rsid w:val="00620F75"/>
    <w:rsid w:val="0062106D"/>
    <w:rsid w:val="006210CC"/>
    <w:rsid w:val="00621167"/>
    <w:rsid w:val="0062121F"/>
    <w:rsid w:val="00621270"/>
    <w:rsid w:val="006212E4"/>
    <w:rsid w:val="0062145B"/>
    <w:rsid w:val="00621499"/>
    <w:rsid w:val="0062153A"/>
    <w:rsid w:val="00621614"/>
    <w:rsid w:val="0062165A"/>
    <w:rsid w:val="0062166F"/>
    <w:rsid w:val="006216FE"/>
    <w:rsid w:val="00621717"/>
    <w:rsid w:val="0062176E"/>
    <w:rsid w:val="006217A7"/>
    <w:rsid w:val="00621814"/>
    <w:rsid w:val="00621885"/>
    <w:rsid w:val="006219A3"/>
    <w:rsid w:val="00621A24"/>
    <w:rsid w:val="00621A61"/>
    <w:rsid w:val="00621B74"/>
    <w:rsid w:val="00621C2A"/>
    <w:rsid w:val="00621C49"/>
    <w:rsid w:val="00621D43"/>
    <w:rsid w:val="00621D60"/>
    <w:rsid w:val="00621DE4"/>
    <w:rsid w:val="00621E7A"/>
    <w:rsid w:val="00621EB8"/>
    <w:rsid w:val="00621F18"/>
    <w:rsid w:val="0062200E"/>
    <w:rsid w:val="00622039"/>
    <w:rsid w:val="0062206F"/>
    <w:rsid w:val="00622131"/>
    <w:rsid w:val="006222BC"/>
    <w:rsid w:val="006222BD"/>
    <w:rsid w:val="00622375"/>
    <w:rsid w:val="00622402"/>
    <w:rsid w:val="0062242F"/>
    <w:rsid w:val="006224AB"/>
    <w:rsid w:val="006224D3"/>
    <w:rsid w:val="0062256F"/>
    <w:rsid w:val="006225DD"/>
    <w:rsid w:val="006226F6"/>
    <w:rsid w:val="006226FB"/>
    <w:rsid w:val="006227AA"/>
    <w:rsid w:val="00622938"/>
    <w:rsid w:val="00622963"/>
    <w:rsid w:val="00622972"/>
    <w:rsid w:val="006229C2"/>
    <w:rsid w:val="00622A54"/>
    <w:rsid w:val="00622B51"/>
    <w:rsid w:val="00622C81"/>
    <w:rsid w:val="00622CBA"/>
    <w:rsid w:val="00622CD9"/>
    <w:rsid w:val="00622D00"/>
    <w:rsid w:val="00622D38"/>
    <w:rsid w:val="00622D5E"/>
    <w:rsid w:val="00622DD9"/>
    <w:rsid w:val="00622EB4"/>
    <w:rsid w:val="00622F24"/>
    <w:rsid w:val="00622FAC"/>
    <w:rsid w:val="0062301E"/>
    <w:rsid w:val="0062321D"/>
    <w:rsid w:val="0062326E"/>
    <w:rsid w:val="00623291"/>
    <w:rsid w:val="006232E3"/>
    <w:rsid w:val="0062338C"/>
    <w:rsid w:val="006234C8"/>
    <w:rsid w:val="00623528"/>
    <w:rsid w:val="006235C2"/>
    <w:rsid w:val="006235CF"/>
    <w:rsid w:val="00623770"/>
    <w:rsid w:val="0062378E"/>
    <w:rsid w:val="006237FB"/>
    <w:rsid w:val="006238DA"/>
    <w:rsid w:val="006239BA"/>
    <w:rsid w:val="00623A30"/>
    <w:rsid w:val="00623A8B"/>
    <w:rsid w:val="00623AF2"/>
    <w:rsid w:val="00623BED"/>
    <w:rsid w:val="00623BF0"/>
    <w:rsid w:val="00623C9A"/>
    <w:rsid w:val="00623CC4"/>
    <w:rsid w:val="00623CE6"/>
    <w:rsid w:val="00623D69"/>
    <w:rsid w:val="00623D7B"/>
    <w:rsid w:val="00623DD8"/>
    <w:rsid w:val="00623E86"/>
    <w:rsid w:val="00623E90"/>
    <w:rsid w:val="00623EC9"/>
    <w:rsid w:val="00623F35"/>
    <w:rsid w:val="00624020"/>
    <w:rsid w:val="00624148"/>
    <w:rsid w:val="0062419E"/>
    <w:rsid w:val="0062422C"/>
    <w:rsid w:val="00624240"/>
    <w:rsid w:val="0062430B"/>
    <w:rsid w:val="00624338"/>
    <w:rsid w:val="00624361"/>
    <w:rsid w:val="00624567"/>
    <w:rsid w:val="00624771"/>
    <w:rsid w:val="00624776"/>
    <w:rsid w:val="006247B6"/>
    <w:rsid w:val="00624924"/>
    <w:rsid w:val="00624A9A"/>
    <w:rsid w:val="00624ABF"/>
    <w:rsid w:val="00624BDD"/>
    <w:rsid w:val="00624C0F"/>
    <w:rsid w:val="00624C4E"/>
    <w:rsid w:val="00624D75"/>
    <w:rsid w:val="00624EAF"/>
    <w:rsid w:val="00624F83"/>
    <w:rsid w:val="00624FAA"/>
    <w:rsid w:val="00625033"/>
    <w:rsid w:val="0062503B"/>
    <w:rsid w:val="00625090"/>
    <w:rsid w:val="006250F7"/>
    <w:rsid w:val="006251B9"/>
    <w:rsid w:val="0062523D"/>
    <w:rsid w:val="00625286"/>
    <w:rsid w:val="0062535E"/>
    <w:rsid w:val="0062539D"/>
    <w:rsid w:val="00625422"/>
    <w:rsid w:val="00625458"/>
    <w:rsid w:val="00625710"/>
    <w:rsid w:val="00625762"/>
    <w:rsid w:val="00625827"/>
    <w:rsid w:val="0062582F"/>
    <w:rsid w:val="00625876"/>
    <w:rsid w:val="00625A06"/>
    <w:rsid w:val="00625A25"/>
    <w:rsid w:val="00625A89"/>
    <w:rsid w:val="00625B1A"/>
    <w:rsid w:val="00625C05"/>
    <w:rsid w:val="00625C09"/>
    <w:rsid w:val="00625CF5"/>
    <w:rsid w:val="00625E8D"/>
    <w:rsid w:val="00625EFE"/>
    <w:rsid w:val="00625F60"/>
    <w:rsid w:val="00625F72"/>
    <w:rsid w:val="00625FB6"/>
    <w:rsid w:val="006260C3"/>
    <w:rsid w:val="00626209"/>
    <w:rsid w:val="006262D5"/>
    <w:rsid w:val="00626330"/>
    <w:rsid w:val="00626388"/>
    <w:rsid w:val="006264A0"/>
    <w:rsid w:val="00626528"/>
    <w:rsid w:val="00626558"/>
    <w:rsid w:val="0062659C"/>
    <w:rsid w:val="006265D6"/>
    <w:rsid w:val="00626665"/>
    <w:rsid w:val="00626670"/>
    <w:rsid w:val="00626684"/>
    <w:rsid w:val="0062670D"/>
    <w:rsid w:val="006267D3"/>
    <w:rsid w:val="006269F2"/>
    <w:rsid w:val="00626ADC"/>
    <w:rsid w:val="00626AFB"/>
    <w:rsid w:val="00626B3E"/>
    <w:rsid w:val="00626C3C"/>
    <w:rsid w:val="00626CA0"/>
    <w:rsid w:val="00626D83"/>
    <w:rsid w:val="00626DC9"/>
    <w:rsid w:val="00626DD0"/>
    <w:rsid w:val="00626DE6"/>
    <w:rsid w:val="006270E6"/>
    <w:rsid w:val="00627112"/>
    <w:rsid w:val="006272A2"/>
    <w:rsid w:val="00627325"/>
    <w:rsid w:val="006273FF"/>
    <w:rsid w:val="00627421"/>
    <w:rsid w:val="0062752D"/>
    <w:rsid w:val="00627604"/>
    <w:rsid w:val="00627683"/>
    <w:rsid w:val="00627690"/>
    <w:rsid w:val="00627691"/>
    <w:rsid w:val="006276AC"/>
    <w:rsid w:val="006276D1"/>
    <w:rsid w:val="00627707"/>
    <w:rsid w:val="0062770D"/>
    <w:rsid w:val="00627803"/>
    <w:rsid w:val="0062785D"/>
    <w:rsid w:val="00627873"/>
    <w:rsid w:val="006278C6"/>
    <w:rsid w:val="006278EC"/>
    <w:rsid w:val="00627974"/>
    <w:rsid w:val="00627986"/>
    <w:rsid w:val="00627A01"/>
    <w:rsid w:val="00627A5F"/>
    <w:rsid w:val="00627A6D"/>
    <w:rsid w:val="00627A79"/>
    <w:rsid w:val="00627AC3"/>
    <w:rsid w:val="00627B1E"/>
    <w:rsid w:val="00627CE4"/>
    <w:rsid w:val="00627D94"/>
    <w:rsid w:val="00627DEB"/>
    <w:rsid w:val="00627E8A"/>
    <w:rsid w:val="00627ED1"/>
    <w:rsid w:val="00630083"/>
    <w:rsid w:val="006300CD"/>
    <w:rsid w:val="00630102"/>
    <w:rsid w:val="0063014D"/>
    <w:rsid w:val="0063027A"/>
    <w:rsid w:val="0063027D"/>
    <w:rsid w:val="006302B4"/>
    <w:rsid w:val="0063038D"/>
    <w:rsid w:val="006303CE"/>
    <w:rsid w:val="006304B5"/>
    <w:rsid w:val="00630552"/>
    <w:rsid w:val="006305D9"/>
    <w:rsid w:val="00630710"/>
    <w:rsid w:val="00630716"/>
    <w:rsid w:val="00630718"/>
    <w:rsid w:val="00630733"/>
    <w:rsid w:val="00630863"/>
    <w:rsid w:val="006308C1"/>
    <w:rsid w:val="00630969"/>
    <w:rsid w:val="00630996"/>
    <w:rsid w:val="006309B7"/>
    <w:rsid w:val="006309EE"/>
    <w:rsid w:val="00630A29"/>
    <w:rsid w:val="00630A6D"/>
    <w:rsid w:val="00630B1C"/>
    <w:rsid w:val="00630B5A"/>
    <w:rsid w:val="00630BD7"/>
    <w:rsid w:val="00630C3D"/>
    <w:rsid w:val="00630C92"/>
    <w:rsid w:val="00630D25"/>
    <w:rsid w:val="00630D99"/>
    <w:rsid w:val="00630DA8"/>
    <w:rsid w:val="00630DA9"/>
    <w:rsid w:val="00630F76"/>
    <w:rsid w:val="00630F8C"/>
    <w:rsid w:val="00631071"/>
    <w:rsid w:val="0063107F"/>
    <w:rsid w:val="006310BD"/>
    <w:rsid w:val="00631119"/>
    <w:rsid w:val="0063114F"/>
    <w:rsid w:val="0063116B"/>
    <w:rsid w:val="00631170"/>
    <w:rsid w:val="006311FE"/>
    <w:rsid w:val="00631364"/>
    <w:rsid w:val="00631386"/>
    <w:rsid w:val="006313E4"/>
    <w:rsid w:val="00631406"/>
    <w:rsid w:val="0063152B"/>
    <w:rsid w:val="006315B1"/>
    <w:rsid w:val="006315CF"/>
    <w:rsid w:val="00631761"/>
    <w:rsid w:val="006317B8"/>
    <w:rsid w:val="006318D2"/>
    <w:rsid w:val="006319C7"/>
    <w:rsid w:val="00631A28"/>
    <w:rsid w:val="00631A85"/>
    <w:rsid w:val="00631A9D"/>
    <w:rsid w:val="00631AD1"/>
    <w:rsid w:val="00631B2E"/>
    <w:rsid w:val="00631B52"/>
    <w:rsid w:val="00631C97"/>
    <w:rsid w:val="00631C9C"/>
    <w:rsid w:val="00631D03"/>
    <w:rsid w:val="00631D06"/>
    <w:rsid w:val="00631E7C"/>
    <w:rsid w:val="00631E96"/>
    <w:rsid w:val="00631EF0"/>
    <w:rsid w:val="00631F9A"/>
    <w:rsid w:val="00631FB0"/>
    <w:rsid w:val="00632024"/>
    <w:rsid w:val="006320D6"/>
    <w:rsid w:val="00632163"/>
    <w:rsid w:val="006321B2"/>
    <w:rsid w:val="006322CC"/>
    <w:rsid w:val="00632361"/>
    <w:rsid w:val="006323DF"/>
    <w:rsid w:val="006323E3"/>
    <w:rsid w:val="006324E8"/>
    <w:rsid w:val="006324F1"/>
    <w:rsid w:val="006324FC"/>
    <w:rsid w:val="0063251F"/>
    <w:rsid w:val="0063255D"/>
    <w:rsid w:val="006325D3"/>
    <w:rsid w:val="00632645"/>
    <w:rsid w:val="00632678"/>
    <w:rsid w:val="006326B4"/>
    <w:rsid w:val="006326C1"/>
    <w:rsid w:val="006326EF"/>
    <w:rsid w:val="0063270B"/>
    <w:rsid w:val="006327E1"/>
    <w:rsid w:val="006328B7"/>
    <w:rsid w:val="006328C8"/>
    <w:rsid w:val="006328D9"/>
    <w:rsid w:val="006328F9"/>
    <w:rsid w:val="006328FB"/>
    <w:rsid w:val="00632916"/>
    <w:rsid w:val="0063293F"/>
    <w:rsid w:val="00632979"/>
    <w:rsid w:val="00632A8E"/>
    <w:rsid w:val="00632AB7"/>
    <w:rsid w:val="00632C20"/>
    <w:rsid w:val="00632C40"/>
    <w:rsid w:val="00632C60"/>
    <w:rsid w:val="00632CFE"/>
    <w:rsid w:val="00632D03"/>
    <w:rsid w:val="00632D06"/>
    <w:rsid w:val="00632D47"/>
    <w:rsid w:val="00632F21"/>
    <w:rsid w:val="00632F7F"/>
    <w:rsid w:val="00632FB7"/>
    <w:rsid w:val="00632FC3"/>
    <w:rsid w:val="00633042"/>
    <w:rsid w:val="0063310D"/>
    <w:rsid w:val="006331D1"/>
    <w:rsid w:val="006331DD"/>
    <w:rsid w:val="006331FC"/>
    <w:rsid w:val="0063331B"/>
    <w:rsid w:val="00633395"/>
    <w:rsid w:val="006333E0"/>
    <w:rsid w:val="0063342A"/>
    <w:rsid w:val="0063348D"/>
    <w:rsid w:val="00633518"/>
    <w:rsid w:val="00633528"/>
    <w:rsid w:val="006335CE"/>
    <w:rsid w:val="00633691"/>
    <w:rsid w:val="006336BD"/>
    <w:rsid w:val="006337B3"/>
    <w:rsid w:val="006337F2"/>
    <w:rsid w:val="00633832"/>
    <w:rsid w:val="006338C4"/>
    <w:rsid w:val="006338F3"/>
    <w:rsid w:val="0063391E"/>
    <w:rsid w:val="00633A1B"/>
    <w:rsid w:val="00633AE0"/>
    <w:rsid w:val="00633B10"/>
    <w:rsid w:val="00633B40"/>
    <w:rsid w:val="00633BC0"/>
    <w:rsid w:val="00633C2E"/>
    <w:rsid w:val="00633D2F"/>
    <w:rsid w:val="00633D56"/>
    <w:rsid w:val="00633DEB"/>
    <w:rsid w:val="00633EEF"/>
    <w:rsid w:val="00633F07"/>
    <w:rsid w:val="00633F1F"/>
    <w:rsid w:val="00633FE4"/>
    <w:rsid w:val="00634023"/>
    <w:rsid w:val="0063408A"/>
    <w:rsid w:val="0063419A"/>
    <w:rsid w:val="00634229"/>
    <w:rsid w:val="00634296"/>
    <w:rsid w:val="00634361"/>
    <w:rsid w:val="006343A0"/>
    <w:rsid w:val="00634414"/>
    <w:rsid w:val="00634472"/>
    <w:rsid w:val="006344A1"/>
    <w:rsid w:val="006344E2"/>
    <w:rsid w:val="006344EF"/>
    <w:rsid w:val="00634521"/>
    <w:rsid w:val="0063452F"/>
    <w:rsid w:val="00634575"/>
    <w:rsid w:val="00634581"/>
    <w:rsid w:val="006345CD"/>
    <w:rsid w:val="00634643"/>
    <w:rsid w:val="00634680"/>
    <w:rsid w:val="0063475D"/>
    <w:rsid w:val="006347A2"/>
    <w:rsid w:val="0063480C"/>
    <w:rsid w:val="00634854"/>
    <w:rsid w:val="0063487D"/>
    <w:rsid w:val="006348F7"/>
    <w:rsid w:val="006348FB"/>
    <w:rsid w:val="006349E5"/>
    <w:rsid w:val="00634A21"/>
    <w:rsid w:val="00634B01"/>
    <w:rsid w:val="00634B6A"/>
    <w:rsid w:val="00634BE6"/>
    <w:rsid w:val="00634CAD"/>
    <w:rsid w:val="00634CB2"/>
    <w:rsid w:val="00634D41"/>
    <w:rsid w:val="00634D68"/>
    <w:rsid w:val="00634D79"/>
    <w:rsid w:val="00634D86"/>
    <w:rsid w:val="00634E07"/>
    <w:rsid w:val="00634E0C"/>
    <w:rsid w:val="00634F06"/>
    <w:rsid w:val="00635159"/>
    <w:rsid w:val="00635173"/>
    <w:rsid w:val="00635226"/>
    <w:rsid w:val="00635275"/>
    <w:rsid w:val="00635286"/>
    <w:rsid w:val="006352EA"/>
    <w:rsid w:val="0063530B"/>
    <w:rsid w:val="00635334"/>
    <w:rsid w:val="0063533F"/>
    <w:rsid w:val="006353C4"/>
    <w:rsid w:val="006354A7"/>
    <w:rsid w:val="00635509"/>
    <w:rsid w:val="00635576"/>
    <w:rsid w:val="006355FC"/>
    <w:rsid w:val="006356BF"/>
    <w:rsid w:val="006356FB"/>
    <w:rsid w:val="00635805"/>
    <w:rsid w:val="00635844"/>
    <w:rsid w:val="006358AE"/>
    <w:rsid w:val="0063592C"/>
    <w:rsid w:val="0063593F"/>
    <w:rsid w:val="006359FE"/>
    <w:rsid w:val="00635A39"/>
    <w:rsid w:val="00635B35"/>
    <w:rsid w:val="00635B44"/>
    <w:rsid w:val="00635C7F"/>
    <w:rsid w:val="00635C93"/>
    <w:rsid w:val="00635CDC"/>
    <w:rsid w:val="00635D31"/>
    <w:rsid w:val="00635D88"/>
    <w:rsid w:val="00635D94"/>
    <w:rsid w:val="00635DB1"/>
    <w:rsid w:val="00635DBC"/>
    <w:rsid w:val="00635DD2"/>
    <w:rsid w:val="00635FB2"/>
    <w:rsid w:val="00635FFD"/>
    <w:rsid w:val="0063602E"/>
    <w:rsid w:val="00636041"/>
    <w:rsid w:val="006360C8"/>
    <w:rsid w:val="0063611D"/>
    <w:rsid w:val="0063622A"/>
    <w:rsid w:val="00636253"/>
    <w:rsid w:val="00636286"/>
    <w:rsid w:val="00636390"/>
    <w:rsid w:val="00636406"/>
    <w:rsid w:val="00636407"/>
    <w:rsid w:val="006364C0"/>
    <w:rsid w:val="00636526"/>
    <w:rsid w:val="0063657A"/>
    <w:rsid w:val="0063665C"/>
    <w:rsid w:val="00636664"/>
    <w:rsid w:val="006366CC"/>
    <w:rsid w:val="006366D8"/>
    <w:rsid w:val="00636734"/>
    <w:rsid w:val="0063673B"/>
    <w:rsid w:val="00636779"/>
    <w:rsid w:val="00636888"/>
    <w:rsid w:val="0063689E"/>
    <w:rsid w:val="006368CB"/>
    <w:rsid w:val="006369AB"/>
    <w:rsid w:val="00636A8F"/>
    <w:rsid w:val="00636B39"/>
    <w:rsid w:val="00636B89"/>
    <w:rsid w:val="00636C53"/>
    <w:rsid w:val="00636D55"/>
    <w:rsid w:val="00636E87"/>
    <w:rsid w:val="00636F1F"/>
    <w:rsid w:val="00636F74"/>
    <w:rsid w:val="00636F82"/>
    <w:rsid w:val="00636F89"/>
    <w:rsid w:val="00637001"/>
    <w:rsid w:val="00637044"/>
    <w:rsid w:val="0063713D"/>
    <w:rsid w:val="0063717F"/>
    <w:rsid w:val="0063721C"/>
    <w:rsid w:val="006372AF"/>
    <w:rsid w:val="00637311"/>
    <w:rsid w:val="006373C9"/>
    <w:rsid w:val="0063744D"/>
    <w:rsid w:val="006374B0"/>
    <w:rsid w:val="006374BD"/>
    <w:rsid w:val="006374F2"/>
    <w:rsid w:val="006374FD"/>
    <w:rsid w:val="0063751B"/>
    <w:rsid w:val="00637549"/>
    <w:rsid w:val="00637574"/>
    <w:rsid w:val="006375CA"/>
    <w:rsid w:val="00637641"/>
    <w:rsid w:val="006376B2"/>
    <w:rsid w:val="006376CB"/>
    <w:rsid w:val="006376DE"/>
    <w:rsid w:val="00637815"/>
    <w:rsid w:val="00637967"/>
    <w:rsid w:val="0063796E"/>
    <w:rsid w:val="006379B3"/>
    <w:rsid w:val="006379B7"/>
    <w:rsid w:val="006379FA"/>
    <w:rsid w:val="00637A87"/>
    <w:rsid w:val="00637B2F"/>
    <w:rsid w:val="00637BCC"/>
    <w:rsid w:val="00637C65"/>
    <w:rsid w:val="00637CF5"/>
    <w:rsid w:val="00637D5F"/>
    <w:rsid w:val="00637F2E"/>
    <w:rsid w:val="00640047"/>
    <w:rsid w:val="00640049"/>
    <w:rsid w:val="0064012C"/>
    <w:rsid w:val="00640146"/>
    <w:rsid w:val="006402AB"/>
    <w:rsid w:val="0064031C"/>
    <w:rsid w:val="006403F3"/>
    <w:rsid w:val="0064042E"/>
    <w:rsid w:val="006404D1"/>
    <w:rsid w:val="006405D7"/>
    <w:rsid w:val="006405E2"/>
    <w:rsid w:val="006405F8"/>
    <w:rsid w:val="00640710"/>
    <w:rsid w:val="006408C5"/>
    <w:rsid w:val="00640953"/>
    <w:rsid w:val="006409A3"/>
    <w:rsid w:val="006409D2"/>
    <w:rsid w:val="006409DA"/>
    <w:rsid w:val="00640AE7"/>
    <w:rsid w:val="00640AEB"/>
    <w:rsid w:val="00640BD8"/>
    <w:rsid w:val="00640C1C"/>
    <w:rsid w:val="00640CAF"/>
    <w:rsid w:val="00640CB4"/>
    <w:rsid w:val="00640D37"/>
    <w:rsid w:val="00640D3B"/>
    <w:rsid w:val="00640D9D"/>
    <w:rsid w:val="00640F7B"/>
    <w:rsid w:val="00640F8F"/>
    <w:rsid w:val="0064104A"/>
    <w:rsid w:val="00641054"/>
    <w:rsid w:val="006410A0"/>
    <w:rsid w:val="00641108"/>
    <w:rsid w:val="006411E5"/>
    <w:rsid w:val="00641336"/>
    <w:rsid w:val="006413C6"/>
    <w:rsid w:val="006413D7"/>
    <w:rsid w:val="006413E6"/>
    <w:rsid w:val="0064144E"/>
    <w:rsid w:val="0064153A"/>
    <w:rsid w:val="006416A3"/>
    <w:rsid w:val="006416AF"/>
    <w:rsid w:val="00641750"/>
    <w:rsid w:val="006417A7"/>
    <w:rsid w:val="00641852"/>
    <w:rsid w:val="00641904"/>
    <w:rsid w:val="00641915"/>
    <w:rsid w:val="00641949"/>
    <w:rsid w:val="00641A7B"/>
    <w:rsid w:val="00641A8D"/>
    <w:rsid w:val="00641B03"/>
    <w:rsid w:val="00641B4F"/>
    <w:rsid w:val="00641BE5"/>
    <w:rsid w:val="00641C35"/>
    <w:rsid w:val="00641C5C"/>
    <w:rsid w:val="00641C78"/>
    <w:rsid w:val="00641CA9"/>
    <w:rsid w:val="00641CEC"/>
    <w:rsid w:val="00641DDD"/>
    <w:rsid w:val="00641E54"/>
    <w:rsid w:val="00641EC2"/>
    <w:rsid w:val="00641EC9"/>
    <w:rsid w:val="00641F6F"/>
    <w:rsid w:val="00641FE3"/>
    <w:rsid w:val="00641FFE"/>
    <w:rsid w:val="0064201D"/>
    <w:rsid w:val="00642067"/>
    <w:rsid w:val="006420E4"/>
    <w:rsid w:val="006420EC"/>
    <w:rsid w:val="006420F3"/>
    <w:rsid w:val="00642160"/>
    <w:rsid w:val="006421B5"/>
    <w:rsid w:val="00642238"/>
    <w:rsid w:val="00642297"/>
    <w:rsid w:val="00642348"/>
    <w:rsid w:val="00642369"/>
    <w:rsid w:val="0064236C"/>
    <w:rsid w:val="006423E0"/>
    <w:rsid w:val="006424C2"/>
    <w:rsid w:val="006424E9"/>
    <w:rsid w:val="006425EB"/>
    <w:rsid w:val="00642688"/>
    <w:rsid w:val="0064268F"/>
    <w:rsid w:val="006426A4"/>
    <w:rsid w:val="0064272A"/>
    <w:rsid w:val="006427AB"/>
    <w:rsid w:val="006427D4"/>
    <w:rsid w:val="00642848"/>
    <w:rsid w:val="006428BB"/>
    <w:rsid w:val="00642911"/>
    <w:rsid w:val="00642986"/>
    <w:rsid w:val="006429A0"/>
    <w:rsid w:val="006429C1"/>
    <w:rsid w:val="00642AD8"/>
    <w:rsid w:val="00642BF0"/>
    <w:rsid w:val="00642C0A"/>
    <w:rsid w:val="00642CBC"/>
    <w:rsid w:val="00642DA1"/>
    <w:rsid w:val="00642DA3"/>
    <w:rsid w:val="00642E06"/>
    <w:rsid w:val="00642EC4"/>
    <w:rsid w:val="00642ED5"/>
    <w:rsid w:val="00642EEA"/>
    <w:rsid w:val="00642EEC"/>
    <w:rsid w:val="00642F0E"/>
    <w:rsid w:val="00642F59"/>
    <w:rsid w:val="00642FC2"/>
    <w:rsid w:val="00643091"/>
    <w:rsid w:val="006430E9"/>
    <w:rsid w:val="00643110"/>
    <w:rsid w:val="00643212"/>
    <w:rsid w:val="00643225"/>
    <w:rsid w:val="00643237"/>
    <w:rsid w:val="0064328F"/>
    <w:rsid w:val="006432A0"/>
    <w:rsid w:val="006432FB"/>
    <w:rsid w:val="00643350"/>
    <w:rsid w:val="006433CA"/>
    <w:rsid w:val="00643402"/>
    <w:rsid w:val="00643423"/>
    <w:rsid w:val="00643472"/>
    <w:rsid w:val="00643482"/>
    <w:rsid w:val="006434E6"/>
    <w:rsid w:val="00643552"/>
    <w:rsid w:val="0064358E"/>
    <w:rsid w:val="006435B0"/>
    <w:rsid w:val="006435D0"/>
    <w:rsid w:val="00643666"/>
    <w:rsid w:val="006436D5"/>
    <w:rsid w:val="00643706"/>
    <w:rsid w:val="0064376B"/>
    <w:rsid w:val="006437C0"/>
    <w:rsid w:val="00643806"/>
    <w:rsid w:val="0064391F"/>
    <w:rsid w:val="006439DB"/>
    <w:rsid w:val="006439DF"/>
    <w:rsid w:val="006439FD"/>
    <w:rsid w:val="006439FF"/>
    <w:rsid w:val="00643AF9"/>
    <w:rsid w:val="00643B69"/>
    <w:rsid w:val="00643BDA"/>
    <w:rsid w:val="00643C13"/>
    <w:rsid w:val="00643C1C"/>
    <w:rsid w:val="00643C32"/>
    <w:rsid w:val="00643CCF"/>
    <w:rsid w:val="00643DA7"/>
    <w:rsid w:val="00643E5C"/>
    <w:rsid w:val="00643EA5"/>
    <w:rsid w:val="00643EAD"/>
    <w:rsid w:val="00643FA1"/>
    <w:rsid w:val="00643FE7"/>
    <w:rsid w:val="00644114"/>
    <w:rsid w:val="0064418F"/>
    <w:rsid w:val="0064419C"/>
    <w:rsid w:val="006441DD"/>
    <w:rsid w:val="006441FF"/>
    <w:rsid w:val="00644297"/>
    <w:rsid w:val="006442A2"/>
    <w:rsid w:val="00644309"/>
    <w:rsid w:val="00644311"/>
    <w:rsid w:val="006443F5"/>
    <w:rsid w:val="00644405"/>
    <w:rsid w:val="00644476"/>
    <w:rsid w:val="006444A7"/>
    <w:rsid w:val="006444B5"/>
    <w:rsid w:val="0064450B"/>
    <w:rsid w:val="006445F1"/>
    <w:rsid w:val="0064471F"/>
    <w:rsid w:val="006447B8"/>
    <w:rsid w:val="00644951"/>
    <w:rsid w:val="00644957"/>
    <w:rsid w:val="00644980"/>
    <w:rsid w:val="00644BA1"/>
    <w:rsid w:val="00644C03"/>
    <w:rsid w:val="00644C3F"/>
    <w:rsid w:val="00644C63"/>
    <w:rsid w:val="00644C64"/>
    <w:rsid w:val="00644C6A"/>
    <w:rsid w:val="00644E57"/>
    <w:rsid w:val="00644ED4"/>
    <w:rsid w:val="00644EFC"/>
    <w:rsid w:val="00644F14"/>
    <w:rsid w:val="00644F58"/>
    <w:rsid w:val="00644F68"/>
    <w:rsid w:val="00645077"/>
    <w:rsid w:val="006450C0"/>
    <w:rsid w:val="00645369"/>
    <w:rsid w:val="00645492"/>
    <w:rsid w:val="006454A3"/>
    <w:rsid w:val="00645554"/>
    <w:rsid w:val="006455E5"/>
    <w:rsid w:val="0064564B"/>
    <w:rsid w:val="006456E3"/>
    <w:rsid w:val="0064575B"/>
    <w:rsid w:val="00645850"/>
    <w:rsid w:val="006458C8"/>
    <w:rsid w:val="00645900"/>
    <w:rsid w:val="00645964"/>
    <w:rsid w:val="006459B2"/>
    <w:rsid w:val="006459FB"/>
    <w:rsid w:val="00645B33"/>
    <w:rsid w:val="00645C95"/>
    <w:rsid w:val="00645DFB"/>
    <w:rsid w:val="00645E1A"/>
    <w:rsid w:val="00645E35"/>
    <w:rsid w:val="00645E71"/>
    <w:rsid w:val="00645EA0"/>
    <w:rsid w:val="00645FB5"/>
    <w:rsid w:val="00645FEE"/>
    <w:rsid w:val="00646028"/>
    <w:rsid w:val="006461E5"/>
    <w:rsid w:val="006461EA"/>
    <w:rsid w:val="00646211"/>
    <w:rsid w:val="00646229"/>
    <w:rsid w:val="00646299"/>
    <w:rsid w:val="0064636C"/>
    <w:rsid w:val="0064637D"/>
    <w:rsid w:val="006463E5"/>
    <w:rsid w:val="006463E9"/>
    <w:rsid w:val="00646584"/>
    <w:rsid w:val="00646759"/>
    <w:rsid w:val="00646769"/>
    <w:rsid w:val="006467AF"/>
    <w:rsid w:val="00646922"/>
    <w:rsid w:val="006469CE"/>
    <w:rsid w:val="00646A11"/>
    <w:rsid w:val="00646A20"/>
    <w:rsid w:val="00646A9D"/>
    <w:rsid w:val="00646AB2"/>
    <w:rsid w:val="00646AD0"/>
    <w:rsid w:val="00646BB0"/>
    <w:rsid w:val="00646C4E"/>
    <w:rsid w:val="00646CBD"/>
    <w:rsid w:val="00646D2C"/>
    <w:rsid w:val="00646D39"/>
    <w:rsid w:val="00646D5C"/>
    <w:rsid w:val="00646DA2"/>
    <w:rsid w:val="00646DC3"/>
    <w:rsid w:val="00646DEA"/>
    <w:rsid w:val="00646E19"/>
    <w:rsid w:val="00646EAF"/>
    <w:rsid w:val="00646F0F"/>
    <w:rsid w:val="00646F13"/>
    <w:rsid w:val="00646F37"/>
    <w:rsid w:val="00647016"/>
    <w:rsid w:val="006470B9"/>
    <w:rsid w:val="00647124"/>
    <w:rsid w:val="00647160"/>
    <w:rsid w:val="0064719C"/>
    <w:rsid w:val="006472EE"/>
    <w:rsid w:val="00647328"/>
    <w:rsid w:val="006473B0"/>
    <w:rsid w:val="0064740A"/>
    <w:rsid w:val="00647476"/>
    <w:rsid w:val="0064755E"/>
    <w:rsid w:val="0064756A"/>
    <w:rsid w:val="00647689"/>
    <w:rsid w:val="006476CB"/>
    <w:rsid w:val="006476FF"/>
    <w:rsid w:val="006477B2"/>
    <w:rsid w:val="006477C8"/>
    <w:rsid w:val="006478B9"/>
    <w:rsid w:val="00647972"/>
    <w:rsid w:val="006479C1"/>
    <w:rsid w:val="006479D6"/>
    <w:rsid w:val="00647AEA"/>
    <w:rsid w:val="00647B31"/>
    <w:rsid w:val="00647B74"/>
    <w:rsid w:val="00647BA6"/>
    <w:rsid w:val="00647BC8"/>
    <w:rsid w:val="00647C6F"/>
    <w:rsid w:val="00647CD2"/>
    <w:rsid w:val="00647CD8"/>
    <w:rsid w:val="00647D58"/>
    <w:rsid w:val="00647DC9"/>
    <w:rsid w:val="00647DD2"/>
    <w:rsid w:val="00647EA8"/>
    <w:rsid w:val="00647EE6"/>
    <w:rsid w:val="00647F87"/>
    <w:rsid w:val="0065000E"/>
    <w:rsid w:val="00650054"/>
    <w:rsid w:val="00650093"/>
    <w:rsid w:val="00650131"/>
    <w:rsid w:val="0065014D"/>
    <w:rsid w:val="00650198"/>
    <w:rsid w:val="00650257"/>
    <w:rsid w:val="00650314"/>
    <w:rsid w:val="006503A1"/>
    <w:rsid w:val="006503D2"/>
    <w:rsid w:val="006504EC"/>
    <w:rsid w:val="00650509"/>
    <w:rsid w:val="0065062B"/>
    <w:rsid w:val="00650784"/>
    <w:rsid w:val="006507AE"/>
    <w:rsid w:val="0065088C"/>
    <w:rsid w:val="0065090B"/>
    <w:rsid w:val="00650967"/>
    <w:rsid w:val="006509A1"/>
    <w:rsid w:val="00650A02"/>
    <w:rsid w:val="00650A82"/>
    <w:rsid w:val="00650A8E"/>
    <w:rsid w:val="00650AAC"/>
    <w:rsid w:val="00650ADA"/>
    <w:rsid w:val="00650BAD"/>
    <w:rsid w:val="00650C19"/>
    <w:rsid w:val="00650C27"/>
    <w:rsid w:val="00650C60"/>
    <w:rsid w:val="00650C65"/>
    <w:rsid w:val="00650CB9"/>
    <w:rsid w:val="00650D02"/>
    <w:rsid w:val="00650D63"/>
    <w:rsid w:val="00650DA8"/>
    <w:rsid w:val="00650DBC"/>
    <w:rsid w:val="00650DD6"/>
    <w:rsid w:val="00650ED4"/>
    <w:rsid w:val="00650FDE"/>
    <w:rsid w:val="00651013"/>
    <w:rsid w:val="0065104D"/>
    <w:rsid w:val="00651152"/>
    <w:rsid w:val="00651198"/>
    <w:rsid w:val="006511A1"/>
    <w:rsid w:val="00651299"/>
    <w:rsid w:val="006512EC"/>
    <w:rsid w:val="006512F7"/>
    <w:rsid w:val="00651332"/>
    <w:rsid w:val="006513A3"/>
    <w:rsid w:val="006513C1"/>
    <w:rsid w:val="006513DC"/>
    <w:rsid w:val="0065146D"/>
    <w:rsid w:val="00651519"/>
    <w:rsid w:val="00651583"/>
    <w:rsid w:val="00651748"/>
    <w:rsid w:val="00651796"/>
    <w:rsid w:val="006518B3"/>
    <w:rsid w:val="006518BA"/>
    <w:rsid w:val="0065198D"/>
    <w:rsid w:val="006519B8"/>
    <w:rsid w:val="006519DB"/>
    <w:rsid w:val="00651A16"/>
    <w:rsid w:val="00651AC1"/>
    <w:rsid w:val="00651B55"/>
    <w:rsid w:val="00651BF7"/>
    <w:rsid w:val="00651C09"/>
    <w:rsid w:val="00651C23"/>
    <w:rsid w:val="00651C5D"/>
    <w:rsid w:val="00651C88"/>
    <w:rsid w:val="00651D22"/>
    <w:rsid w:val="00651D2F"/>
    <w:rsid w:val="00651D3C"/>
    <w:rsid w:val="00651F5F"/>
    <w:rsid w:val="00651FD7"/>
    <w:rsid w:val="00651FFA"/>
    <w:rsid w:val="0065201E"/>
    <w:rsid w:val="0065205C"/>
    <w:rsid w:val="00652103"/>
    <w:rsid w:val="00652133"/>
    <w:rsid w:val="00652165"/>
    <w:rsid w:val="0065225F"/>
    <w:rsid w:val="0065227A"/>
    <w:rsid w:val="006522D9"/>
    <w:rsid w:val="006522DB"/>
    <w:rsid w:val="00652309"/>
    <w:rsid w:val="00652386"/>
    <w:rsid w:val="006523E9"/>
    <w:rsid w:val="0065241B"/>
    <w:rsid w:val="00652422"/>
    <w:rsid w:val="0065242B"/>
    <w:rsid w:val="00652492"/>
    <w:rsid w:val="00652687"/>
    <w:rsid w:val="00652693"/>
    <w:rsid w:val="006526BC"/>
    <w:rsid w:val="0065270A"/>
    <w:rsid w:val="006527B8"/>
    <w:rsid w:val="006527FF"/>
    <w:rsid w:val="006528A6"/>
    <w:rsid w:val="006528CF"/>
    <w:rsid w:val="00652926"/>
    <w:rsid w:val="00652939"/>
    <w:rsid w:val="00652B83"/>
    <w:rsid w:val="00652C1A"/>
    <w:rsid w:val="00652C26"/>
    <w:rsid w:val="00652C8C"/>
    <w:rsid w:val="00652CEC"/>
    <w:rsid w:val="00652DF9"/>
    <w:rsid w:val="00652EA4"/>
    <w:rsid w:val="00652EBF"/>
    <w:rsid w:val="00652F08"/>
    <w:rsid w:val="00652F48"/>
    <w:rsid w:val="0065305B"/>
    <w:rsid w:val="006530AD"/>
    <w:rsid w:val="00653268"/>
    <w:rsid w:val="006532F2"/>
    <w:rsid w:val="00653334"/>
    <w:rsid w:val="00653352"/>
    <w:rsid w:val="006533CE"/>
    <w:rsid w:val="00653405"/>
    <w:rsid w:val="00653464"/>
    <w:rsid w:val="00653465"/>
    <w:rsid w:val="006534BC"/>
    <w:rsid w:val="00653560"/>
    <w:rsid w:val="00653567"/>
    <w:rsid w:val="006535D5"/>
    <w:rsid w:val="0065360D"/>
    <w:rsid w:val="0065363E"/>
    <w:rsid w:val="006537A0"/>
    <w:rsid w:val="00653837"/>
    <w:rsid w:val="006538D7"/>
    <w:rsid w:val="0065391E"/>
    <w:rsid w:val="00653932"/>
    <w:rsid w:val="0065394C"/>
    <w:rsid w:val="00653967"/>
    <w:rsid w:val="00653A06"/>
    <w:rsid w:val="00653A49"/>
    <w:rsid w:val="00653A52"/>
    <w:rsid w:val="00653A68"/>
    <w:rsid w:val="00653AD5"/>
    <w:rsid w:val="00653B47"/>
    <w:rsid w:val="00653BBE"/>
    <w:rsid w:val="00653BF7"/>
    <w:rsid w:val="00653C92"/>
    <w:rsid w:val="00653D75"/>
    <w:rsid w:val="00653D97"/>
    <w:rsid w:val="00653DBF"/>
    <w:rsid w:val="00653DEF"/>
    <w:rsid w:val="00653E43"/>
    <w:rsid w:val="00653F05"/>
    <w:rsid w:val="00653F23"/>
    <w:rsid w:val="00653FD0"/>
    <w:rsid w:val="00654097"/>
    <w:rsid w:val="006541CA"/>
    <w:rsid w:val="006541CE"/>
    <w:rsid w:val="006542C0"/>
    <w:rsid w:val="006543C2"/>
    <w:rsid w:val="006543CD"/>
    <w:rsid w:val="006544D3"/>
    <w:rsid w:val="00654516"/>
    <w:rsid w:val="00654526"/>
    <w:rsid w:val="006545EC"/>
    <w:rsid w:val="00654686"/>
    <w:rsid w:val="00654722"/>
    <w:rsid w:val="006547D8"/>
    <w:rsid w:val="006548DD"/>
    <w:rsid w:val="0065498C"/>
    <w:rsid w:val="00654A25"/>
    <w:rsid w:val="00654A3A"/>
    <w:rsid w:val="00654A83"/>
    <w:rsid w:val="00654AC5"/>
    <w:rsid w:val="00654AE2"/>
    <w:rsid w:val="00654BF4"/>
    <w:rsid w:val="00654CE3"/>
    <w:rsid w:val="00654D3E"/>
    <w:rsid w:val="00654D4D"/>
    <w:rsid w:val="00654EFF"/>
    <w:rsid w:val="00654F35"/>
    <w:rsid w:val="00654FA4"/>
    <w:rsid w:val="00654FFF"/>
    <w:rsid w:val="00655089"/>
    <w:rsid w:val="006550D5"/>
    <w:rsid w:val="006550DA"/>
    <w:rsid w:val="006550E7"/>
    <w:rsid w:val="0065511A"/>
    <w:rsid w:val="00655293"/>
    <w:rsid w:val="006552A3"/>
    <w:rsid w:val="006552C1"/>
    <w:rsid w:val="0065530C"/>
    <w:rsid w:val="0065532D"/>
    <w:rsid w:val="0065539F"/>
    <w:rsid w:val="006553DA"/>
    <w:rsid w:val="00655402"/>
    <w:rsid w:val="006554F7"/>
    <w:rsid w:val="00655511"/>
    <w:rsid w:val="00655521"/>
    <w:rsid w:val="00655545"/>
    <w:rsid w:val="0065554A"/>
    <w:rsid w:val="00655657"/>
    <w:rsid w:val="00655685"/>
    <w:rsid w:val="006556E3"/>
    <w:rsid w:val="0065573E"/>
    <w:rsid w:val="00655831"/>
    <w:rsid w:val="0065589C"/>
    <w:rsid w:val="006559B8"/>
    <w:rsid w:val="006559C9"/>
    <w:rsid w:val="00655A10"/>
    <w:rsid w:val="00655AA7"/>
    <w:rsid w:val="00655ADE"/>
    <w:rsid w:val="00655B1F"/>
    <w:rsid w:val="00655B52"/>
    <w:rsid w:val="00655B7C"/>
    <w:rsid w:val="00655B9B"/>
    <w:rsid w:val="00655BBF"/>
    <w:rsid w:val="00655C41"/>
    <w:rsid w:val="00655CCF"/>
    <w:rsid w:val="00655CFD"/>
    <w:rsid w:val="00655D2E"/>
    <w:rsid w:val="00655D46"/>
    <w:rsid w:val="00655E00"/>
    <w:rsid w:val="00655F1E"/>
    <w:rsid w:val="0065603B"/>
    <w:rsid w:val="00656092"/>
    <w:rsid w:val="0065614F"/>
    <w:rsid w:val="00656161"/>
    <w:rsid w:val="006561E8"/>
    <w:rsid w:val="00656218"/>
    <w:rsid w:val="006562AC"/>
    <w:rsid w:val="006563C1"/>
    <w:rsid w:val="00656429"/>
    <w:rsid w:val="00656506"/>
    <w:rsid w:val="006565CB"/>
    <w:rsid w:val="00656656"/>
    <w:rsid w:val="0065665C"/>
    <w:rsid w:val="006566C0"/>
    <w:rsid w:val="00656728"/>
    <w:rsid w:val="00656748"/>
    <w:rsid w:val="0065676E"/>
    <w:rsid w:val="00656778"/>
    <w:rsid w:val="006567A6"/>
    <w:rsid w:val="006567CE"/>
    <w:rsid w:val="00656887"/>
    <w:rsid w:val="006568CA"/>
    <w:rsid w:val="006568F1"/>
    <w:rsid w:val="0065691F"/>
    <w:rsid w:val="006569DB"/>
    <w:rsid w:val="006569F7"/>
    <w:rsid w:val="00656A33"/>
    <w:rsid w:val="00656A62"/>
    <w:rsid w:val="00656AC1"/>
    <w:rsid w:val="00656C5D"/>
    <w:rsid w:val="00656CB7"/>
    <w:rsid w:val="00656CBD"/>
    <w:rsid w:val="00656D33"/>
    <w:rsid w:val="00656E83"/>
    <w:rsid w:val="00656EE4"/>
    <w:rsid w:val="00656F3D"/>
    <w:rsid w:val="00657063"/>
    <w:rsid w:val="00657097"/>
    <w:rsid w:val="006570C5"/>
    <w:rsid w:val="006570EC"/>
    <w:rsid w:val="0065722A"/>
    <w:rsid w:val="0065727B"/>
    <w:rsid w:val="006572B4"/>
    <w:rsid w:val="006572F8"/>
    <w:rsid w:val="00657330"/>
    <w:rsid w:val="0065733F"/>
    <w:rsid w:val="00657386"/>
    <w:rsid w:val="006573EF"/>
    <w:rsid w:val="006573F0"/>
    <w:rsid w:val="00657444"/>
    <w:rsid w:val="0065748B"/>
    <w:rsid w:val="0065753D"/>
    <w:rsid w:val="00657584"/>
    <w:rsid w:val="00657586"/>
    <w:rsid w:val="006576E9"/>
    <w:rsid w:val="00657729"/>
    <w:rsid w:val="00657796"/>
    <w:rsid w:val="00657929"/>
    <w:rsid w:val="00657936"/>
    <w:rsid w:val="006579F6"/>
    <w:rsid w:val="00657A3D"/>
    <w:rsid w:val="00657B5B"/>
    <w:rsid w:val="00657BF8"/>
    <w:rsid w:val="00657C57"/>
    <w:rsid w:val="00657C63"/>
    <w:rsid w:val="00657C7C"/>
    <w:rsid w:val="00657D4B"/>
    <w:rsid w:val="00657E02"/>
    <w:rsid w:val="00657E15"/>
    <w:rsid w:val="00657E47"/>
    <w:rsid w:val="00657EC0"/>
    <w:rsid w:val="00657EEB"/>
    <w:rsid w:val="00657EFF"/>
    <w:rsid w:val="00657F35"/>
    <w:rsid w:val="00657F41"/>
    <w:rsid w:val="00660135"/>
    <w:rsid w:val="0066016F"/>
    <w:rsid w:val="006601EF"/>
    <w:rsid w:val="006602D7"/>
    <w:rsid w:val="006602EB"/>
    <w:rsid w:val="00660369"/>
    <w:rsid w:val="00660440"/>
    <w:rsid w:val="006604E8"/>
    <w:rsid w:val="0066052F"/>
    <w:rsid w:val="00660588"/>
    <w:rsid w:val="00660667"/>
    <w:rsid w:val="00660749"/>
    <w:rsid w:val="006607A4"/>
    <w:rsid w:val="0066086E"/>
    <w:rsid w:val="00660878"/>
    <w:rsid w:val="006608D0"/>
    <w:rsid w:val="0066091F"/>
    <w:rsid w:val="00660935"/>
    <w:rsid w:val="00660963"/>
    <w:rsid w:val="006609EE"/>
    <w:rsid w:val="00660B8C"/>
    <w:rsid w:val="00660BFF"/>
    <w:rsid w:val="00660CA0"/>
    <w:rsid w:val="00660CFD"/>
    <w:rsid w:val="00660DEB"/>
    <w:rsid w:val="00660DF1"/>
    <w:rsid w:val="00660F35"/>
    <w:rsid w:val="00660F59"/>
    <w:rsid w:val="00660FFF"/>
    <w:rsid w:val="00661079"/>
    <w:rsid w:val="0066124E"/>
    <w:rsid w:val="00661273"/>
    <w:rsid w:val="00661307"/>
    <w:rsid w:val="006614BB"/>
    <w:rsid w:val="00661567"/>
    <w:rsid w:val="006615A1"/>
    <w:rsid w:val="006615AD"/>
    <w:rsid w:val="0066165C"/>
    <w:rsid w:val="00661684"/>
    <w:rsid w:val="0066171E"/>
    <w:rsid w:val="0066173C"/>
    <w:rsid w:val="006617FD"/>
    <w:rsid w:val="00661848"/>
    <w:rsid w:val="0066189C"/>
    <w:rsid w:val="006618D3"/>
    <w:rsid w:val="006619B0"/>
    <w:rsid w:val="006619BB"/>
    <w:rsid w:val="006619FF"/>
    <w:rsid w:val="00661A9D"/>
    <w:rsid w:val="00661ACA"/>
    <w:rsid w:val="00661AEA"/>
    <w:rsid w:val="00661B30"/>
    <w:rsid w:val="00661B81"/>
    <w:rsid w:val="00661B95"/>
    <w:rsid w:val="00661BA8"/>
    <w:rsid w:val="00661C3F"/>
    <w:rsid w:val="00661D82"/>
    <w:rsid w:val="00661DEF"/>
    <w:rsid w:val="00661E89"/>
    <w:rsid w:val="00661EEE"/>
    <w:rsid w:val="00661EF1"/>
    <w:rsid w:val="00661FED"/>
    <w:rsid w:val="00662043"/>
    <w:rsid w:val="00662160"/>
    <w:rsid w:val="0066221C"/>
    <w:rsid w:val="006622A5"/>
    <w:rsid w:val="00662363"/>
    <w:rsid w:val="0066236D"/>
    <w:rsid w:val="006624AD"/>
    <w:rsid w:val="00662538"/>
    <w:rsid w:val="0066287D"/>
    <w:rsid w:val="006628D1"/>
    <w:rsid w:val="006628F6"/>
    <w:rsid w:val="00662964"/>
    <w:rsid w:val="00662975"/>
    <w:rsid w:val="006629CC"/>
    <w:rsid w:val="00662AC9"/>
    <w:rsid w:val="00662AFB"/>
    <w:rsid w:val="00662B91"/>
    <w:rsid w:val="00662C3F"/>
    <w:rsid w:val="00662C6A"/>
    <w:rsid w:val="00662D08"/>
    <w:rsid w:val="00662E1F"/>
    <w:rsid w:val="00662E3A"/>
    <w:rsid w:val="00662E63"/>
    <w:rsid w:val="00662E69"/>
    <w:rsid w:val="00662E84"/>
    <w:rsid w:val="00662F1A"/>
    <w:rsid w:val="00662F4D"/>
    <w:rsid w:val="00662F55"/>
    <w:rsid w:val="00663000"/>
    <w:rsid w:val="00663066"/>
    <w:rsid w:val="006630D6"/>
    <w:rsid w:val="006630E1"/>
    <w:rsid w:val="006630FB"/>
    <w:rsid w:val="00663133"/>
    <w:rsid w:val="006631A9"/>
    <w:rsid w:val="0066320F"/>
    <w:rsid w:val="0066321F"/>
    <w:rsid w:val="006633E1"/>
    <w:rsid w:val="0066340E"/>
    <w:rsid w:val="00663532"/>
    <w:rsid w:val="0066354E"/>
    <w:rsid w:val="0066374F"/>
    <w:rsid w:val="00663758"/>
    <w:rsid w:val="00663760"/>
    <w:rsid w:val="006637D8"/>
    <w:rsid w:val="00663852"/>
    <w:rsid w:val="006638AF"/>
    <w:rsid w:val="006638B2"/>
    <w:rsid w:val="006638CC"/>
    <w:rsid w:val="006638D7"/>
    <w:rsid w:val="00663ACD"/>
    <w:rsid w:val="00663AFB"/>
    <w:rsid w:val="00663B26"/>
    <w:rsid w:val="00663C2A"/>
    <w:rsid w:val="00663C5C"/>
    <w:rsid w:val="00663C6C"/>
    <w:rsid w:val="00663CA6"/>
    <w:rsid w:val="00663CAE"/>
    <w:rsid w:val="00663CBA"/>
    <w:rsid w:val="00663D1D"/>
    <w:rsid w:val="00663D7B"/>
    <w:rsid w:val="00663D8A"/>
    <w:rsid w:val="00663D99"/>
    <w:rsid w:val="00663DE4"/>
    <w:rsid w:val="00663DFE"/>
    <w:rsid w:val="00663E28"/>
    <w:rsid w:val="00663EA0"/>
    <w:rsid w:val="00663F21"/>
    <w:rsid w:val="00663F4C"/>
    <w:rsid w:val="00663FD2"/>
    <w:rsid w:val="00664027"/>
    <w:rsid w:val="00664074"/>
    <w:rsid w:val="0066417F"/>
    <w:rsid w:val="006641BE"/>
    <w:rsid w:val="0066428E"/>
    <w:rsid w:val="006642A6"/>
    <w:rsid w:val="006642AE"/>
    <w:rsid w:val="00664404"/>
    <w:rsid w:val="006644CA"/>
    <w:rsid w:val="006644CD"/>
    <w:rsid w:val="00664553"/>
    <w:rsid w:val="006645D0"/>
    <w:rsid w:val="006645FB"/>
    <w:rsid w:val="00664613"/>
    <w:rsid w:val="00664674"/>
    <w:rsid w:val="00664686"/>
    <w:rsid w:val="0066468F"/>
    <w:rsid w:val="006646A3"/>
    <w:rsid w:val="00664704"/>
    <w:rsid w:val="0066471D"/>
    <w:rsid w:val="00664836"/>
    <w:rsid w:val="0066489D"/>
    <w:rsid w:val="006648B4"/>
    <w:rsid w:val="0066493E"/>
    <w:rsid w:val="00664ACC"/>
    <w:rsid w:val="00664AE5"/>
    <w:rsid w:val="00664B3F"/>
    <w:rsid w:val="00664B44"/>
    <w:rsid w:val="00664C2F"/>
    <w:rsid w:val="00664C43"/>
    <w:rsid w:val="00664CE7"/>
    <w:rsid w:val="00664D08"/>
    <w:rsid w:val="00664D65"/>
    <w:rsid w:val="00664DFA"/>
    <w:rsid w:val="00664EC2"/>
    <w:rsid w:val="00664F97"/>
    <w:rsid w:val="00664FDD"/>
    <w:rsid w:val="006650DE"/>
    <w:rsid w:val="00665197"/>
    <w:rsid w:val="006651D7"/>
    <w:rsid w:val="00665264"/>
    <w:rsid w:val="006652B3"/>
    <w:rsid w:val="0066556A"/>
    <w:rsid w:val="00665576"/>
    <w:rsid w:val="006657B2"/>
    <w:rsid w:val="0066585F"/>
    <w:rsid w:val="006659AB"/>
    <w:rsid w:val="006659D3"/>
    <w:rsid w:val="00665A5A"/>
    <w:rsid w:val="00665A72"/>
    <w:rsid w:val="00665A7F"/>
    <w:rsid w:val="00665AA0"/>
    <w:rsid w:val="00665ABC"/>
    <w:rsid w:val="00665AD0"/>
    <w:rsid w:val="00665AF1"/>
    <w:rsid w:val="00665C25"/>
    <w:rsid w:val="00665C2C"/>
    <w:rsid w:val="00665C40"/>
    <w:rsid w:val="00665CFA"/>
    <w:rsid w:val="00665D29"/>
    <w:rsid w:val="00665D79"/>
    <w:rsid w:val="00665DCD"/>
    <w:rsid w:val="00665DD1"/>
    <w:rsid w:val="00665DF1"/>
    <w:rsid w:val="00665E6C"/>
    <w:rsid w:val="00665EF4"/>
    <w:rsid w:val="00665F0F"/>
    <w:rsid w:val="00665F70"/>
    <w:rsid w:val="00666148"/>
    <w:rsid w:val="006661C3"/>
    <w:rsid w:val="006661D6"/>
    <w:rsid w:val="006662CE"/>
    <w:rsid w:val="00666323"/>
    <w:rsid w:val="00666367"/>
    <w:rsid w:val="006663F6"/>
    <w:rsid w:val="00666432"/>
    <w:rsid w:val="0066644E"/>
    <w:rsid w:val="00666453"/>
    <w:rsid w:val="0066647C"/>
    <w:rsid w:val="00666486"/>
    <w:rsid w:val="00666497"/>
    <w:rsid w:val="006664E6"/>
    <w:rsid w:val="006664F4"/>
    <w:rsid w:val="00666537"/>
    <w:rsid w:val="00666542"/>
    <w:rsid w:val="00666587"/>
    <w:rsid w:val="00666643"/>
    <w:rsid w:val="0066664F"/>
    <w:rsid w:val="006666A8"/>
    <w:rsid w:val="006666DB"/>
    <w:rsid w:val="00666750"/>
    <w:rsid w:val="00666762"/>
    <w:rsid w:val="0066677B"/>
    <w:rsid w:val="00666860"/>
    <w:rsid w:val="00666884"/>
    <w:rsid w:val="006668C0"/>
    <w:rsid w:val="00666922"/>
    <w:rsid w:val="00666AF8"/>
    <w:rsid w:val="00666B61"/>
    <w:rsid w:val="00666C08"/>
    <w:rsid w:val="00666C3C"/>
    <w:rsid w:val="00666C6F"/>
    <w:rsid w:val="00666CF2"/>
    <w:rsid w:val="00666D59"/>
    <w:rsid w:val="00666D5F"/>
    <w:rsid w:val="00666D74"/>
    <w:rsid w:val="00666D7E"/>
    <w:rsid w:val="00666D9A"/>
    <w:rsid w:val="00666E5D"/>
    <w:rsid w:val="00666E65"/>
    <w:rsid w:val="00666EA5"/>
    <w:rsid w:val="00666F84"/>
    <w:rsid w:val="00666FBE"/>
    <w:rsid w:val="00667018"/>
    <w:rsid w:val="00667067"/>
    <w:rsid w:val="006670D3"/>
    <w:rsid w:val="006670EB"/>
    <w:rsid w:val="00667157"/>
    <w:rsid w:val="006671E9"/>
    <w:rsid w:val="00667296"/>
    <w:rsid w:val="006672A6"/>
    <w:rsid w:val="0066731B"/>
    <w:rsid w:val="00667331"/>
    <w:rsid w:val="0066739A"/>
    <w:rsid w:val="00667497"/>
    <w:rsid w:val="006674C3"/>
    <w:rsid w:val="006674E3"/>
    <w:rsid w:val="0066750D"/>
    <w:rsid w:val="00667517"/>
    <w:rsid w:val="00667555"/>
    <w:rsid w:val="0066762E"/>
    <w:rsid w:val="00667655"/>
    <w:rsid w:val="00667673"/>
    <w:rsid w:val="00667674"/>
    <w:rsid w:val="00667738"/>
    <w:rsid w:val="0066777B"/>
    <w:rsid w:val="006677A1"/>
    <w:rsid w:val="00667886"/>
    <w:rsid w:val="006678A9"/>
    <w:rsid w:val="00667963"/>
    <w:rsid w:val="006679F6"/>
    <w:rsid w:val="00667A8E"/>
    <w:rsid w:val="00667ABD"/>
    <w:rsid w:val="00667B8F"/>
    <w:rsid w:val="00667BB0"/>
    <w:rsid w:val="00667C8F"/>
    <w:rsid w:val="00667DCC"/>
    <w:rsid w:val="00667DFA"/>
    <w:rsid w:val="00667E54"/>
    <w:rsid w:val="00667E59"/>
    <w:rsid w:val="00667EB9"/>
    <w:rsid w:val="00667F0D"/>
    <w:rsid w:val="00667F22"/>
    <w:rsid w:val="00667F40"/>
    <w:rsid w:val="00670098"/>
    <w:rsid w:val="006700CE"/>
    <w:rsid w:val="0067011D"/>
    <w:rsid w:val="00670176"/>
    <w:rsid w:val="0067022F"/>
    <w:rsid w:val="0067028D"/>
    <w:rsid w:val="006702AD"/>
    <w:rsid w:val="00670306"/>
    <w:rsid w:val="00670350"/>
    <w:rsid w:val="00670352"/>
    <w:rsid w:val="0067036F"/>
    <w:rsid w:val="0067039E"/>
    <w:rsid w:val="006704FC"/>
    <w:rsid w:val="00670517"/>
    <w:rsid w:val="0067051C"/>
    <w:rsid w:val="00670529"/>
    <w:rsid w:val="0067057C"/>
    <w:rsid w:val="006705D5"/>
    <w:rsid w:val="00670604"/>
    <w:rsid w:val="0067064D"/>
    <w:rsid w:val="00670706"/>
    <w:rsid w:val="00670757"/>
    <w:rsid w:val="0067077E"/>
    <w:rsid w:val="006707C8"/>
    <w:rsid w:val="006707CD"/>
    <w:rsid w:val="0067091D"/>
    <w:rsid w:val="0067097B"/>
    <w:rsid w:val="006709D3"/>
    <w:rsid w:val="00670A5F"/>
    <w:rsid w:val="00670B42"/>
    <w:rsid w:val="00670B62"/>
    <w:rsid w:val="00670BE4"/>
    <w:rsid w:val="00670C5B"/>
    <w:rsid w:val="00670DD2"/>
    <w:rsid w:val="00670F33"/>
    <w:rsid w:val="00670F54"/>
    <w:rsid w:val="0067111F"/>
    <w:rsid w:val="00671190"/>
    <w:rsid w:val="00671215"/>
    <w:rsid w:val="0067121F"/>
    <w:rsid w:val="0067122C"/>
    <w:rsid w:val="006712B5"/>
    <w:rsid w:val="006712D1"/>
    <w:rsid w:val="006712DC"/>
    <w:rsid w:val="00671301"/>
    <w:rsid w:val="00671372"/>
    <w:rsid w:val="006714A5"/>
    <w:rsid w:val="006714ED"/>
    <w:rsid w:val="00671535"/>
    <w:rsid w:val="00671681"/>
    <w:rsid w:val="006716CE"/>
    <w:rsid w:val="0067178B"/>
    <w:rsid w:val="006717BD"/>
    <w:rsid w:val="00671842"/>
    <w:rsid w:val="00671873"/>
    <w:rsid w:val="006718AC"/>
    <w:rsid w:val="00671916"/>
    <w:rsid w:val="006719B9"/>
    <w:rsid w:val="00671A75"/>
    <w:rsid w:val="00671BE9"/>
    <w:rsid w:val="00671C37"/>
    <w:rsid w:val="00671C4F"/>
    <w:rsid w:val="00671D65"/>
    <w:rsid w:val="00671D72"/>
    <w:rsid w:val="00671DCF"/>
    <w:rsid w:val="00671DE1"/>
    <w:rsid w:val="00671E7F"/>
    <w:rsid w:val="00671F1B"/>
    <w:rsid w:val="00671F6E"/>
    <w:rsid w:val="00671F96"/>
    <w:rsid w:val="006720C4"/>
    <w:rsid w:val="00672169"/>
    <w:rsid w:val="00672268"/>
    <w:rsid w:val="006722D1"/>
    <w:rsid w:val="006722F8"/>
    <w:rsid w:val="00672358"/>
    <w:rsid w:val="006723BF"/>
    <w:rsid w:val="0067245D"/>
    <w:rsid w:val="006724A5"/>
    <w:rsid w:val="00672513"/>
    <w:rsid w:val="0067251F"/>
    <w:rsid w:val="0067257D"/>
    <w:rsid w:val="00672580"/>
    <w:rsid w:val="00672590"/>
    <w:rsid w:val="006725B3"/>
    <w:rsid w:val="006725F3"/>
    <w:rsid w:val="0067261B"/>
    <w:rsid w:val="0067265D"/>
    <w:rsid w:val="00672661"/>
    <w:rsid w:val="00672678"/>
    <w:rsid w:val="006726FE"/>
    <w:rsid w:val="0067271F"/>
    <w:rsid w:val="006727B0"/>
    <w:rsid w:val="006727F0"/>
    <w:rsid w:val="00672818"/>
    <w:rsid w:val="0067284D"/>
    <w:rsid w:val="006728A1"/>
    <w:rsid w:val="00672937"/>
    <w:rsid w:val="006729E8"/>
    <w:rsid w:val="00672AA7"/>
    <w:rsid w:val="00672B4E"/>
    <w:rsid w:val="00672C12"/>
    <w:rsid w:val="00672CD7"/>
    <w:rsid w:val="00672D14"/>
    <w:rsid w:val="00672E94"/>
    <w:rsid w:val="00672EB2"/>
    <w:rsid w:val="00672EBB"/>
    <w:rsid w:val="00672EE9"/>
    <w:rsid w:val="00672F9C"/>
    <w:rsid w:val="00673093"/>
    <w:rsid w:val="006730DC"/>
    <w:rsid w:val="00673115"/>
    <w:rsid w:val="00673134"/>
    <w:rsid w:val="00673184"/>
    <w:rsid w:val="00673293"/>
    <w:rsid w:val="006732DC"/>
    <w:rsid w:val="006733DE"/>
    <w:rsid w:val="00673404"/>
    <w:rsid w:val="0067359B"/>
    <w:rsid w:val="0067367A"/>
    <w:rsid w:val="00673756"/>
    <w:rsid w:val="006737AE"/>
    <w:rsid w:val="006737EF"/>
    <w:rsid w:val="006737F3"/>
    <w:rsid w:val="006737F9"/>
    <w:rsid w:val="0067385E"/>
    <w:rsid w:val="00673910"/>
    <w:rsid w:val="00673917"/>
    <w:rsid w:val="0067392D"/>
    <w:rsid w:val="00673953"/>
    <w:rsid w:val="006739A4"/>
    <w:rsid w:val="00673A0C"/>
    <w:rsid w:val="00673A50"/>
    <w:rsid w:val="00673B89"/>
    <w:rsid w:val="00673BEA"/>
    <w:rsid w:val="00673C99"/>
    <w:rsid w:val="00673D3B"/>
    <w:rsid w:val="00673D69"/>
    <w:rsid w:val="00673E6A"/>
    <w:rsid w:val="00673E77"/>
    <w:rsid w:val="00673EE2"/>
    <w:rsid w:val="00673EFE"/>
    <w:rsid w:val="00673F0E"/>
    <w:rsid w:val="00673F18"/>
    <w:rsid w:val="00673FAF"/>
    <w:rsid w:val="00673FCA"/>
    <w:rsid w:val="00674102"/>
    <w:rsid w:val="00674115"/>
    <w:rsid w:val="00674147"/>
    <w:rsid w:val="00674183"/>
    <w:rsid w:val="006741BD"/>
    <w:rsid w:val="0067429A"/>
    <w:rsid w:val="006742E8"/>
    <w:rsid w:val="0067432E"/>
    <w:rsid w:val="0067435D"/>
    <w:rsid w:val="00674364"/>
    <w:rsid w:val="006743D5"/>
    <w:rsid w:val="00674474"/>
    <w:rsid w:val="0067449C"/>
    <w:rsid w:val="0067449E"/>
    <w:rsid w:val="006744C9"/>
    <w:rsid w:val="006744D6"/>
    <w:rsid w:val="006744DA"/>
    <w:rsid w:val="0067452E"/>
    <w:rsid w:val="0067468B"/>
    <w:rsid w:val="00674691"/>
    <w:rsid w:val="006746A2"/>
    <w:rsid w:val="00674717"/>
    <w:rsid w:val="0067484B"/>
    <w:rsid w:val="006748F6"/>
    <w:rsid w:val="0067490E"/>
    <w:rsid w:val="006749CE"/>
    <w:rsid w:val="006749FA"/>
    <w:rsid w:val="00674A50"/>
    <w:rsid w:val="00674B60"/>
    <w:rsid w:val="00674B76"/>
    <w:rsid w:val="00674C4B"/>
    <w:rsid w:val="00674C53"/>
    <w:rsid w:val="00674C8E"/>
    <w:rsid w:val="00674CD8"/>
    <w:rsid w:val="00674DF3"/>
    <w:rsid w:val="00674E25"/>
    <w:rsid w:val="00674EAA"/>
    <w:rsid w:val="00674EAB"/>
    <w:rsid w:val="00674F45"/>
    <w:rsid w:val="00674FB8"/>
    <w:rsid w:val="00675123"/>
    <w:rsid w:val="00675147"/>
    <w:rsid w:val="006751F2"/>
    <w:rsid w:val="006752E0"/>
    <w:rsid w:val="00675336"/>
    <w:rsid w:val="0067542B"/>
    <w:rsid w:val="00675445"/>
    <w:rsid w:val="0067546B"/>
    <w:rsid w:val="00675472"/>
    <w:rsid w:val="00675589"/>
    <w:rsid w:val="006755C4"/>
    <w:rsid w:val="006756C7"/>
    <w:rsid w:val="0067576F"/>
    <w:rsid w:val="00675856"/>
    <w:rsid w:val="0067588F"/>
    <w:rsid w:val="00675948"/>
    <w:rsid w:val="006759DB"/>
    <w:rsid w:val="00675A9E"/>
    <w:rsid w:val="00675B11"/>
    <w:rsid w:val="00675CD6"/>
    <w:rsid w:val="00675D4A"/>
    <w:rsid w:val="00675DBF"/>
    <w:rsid w:val="00675EF4"/>
    <w:rsid w:val="00675F28"/>
    <w:rsid w:val="00675FAE"/>
    <w:rsid w:val="0067610A"/>
    <w:rsid w:val="00676133"/>
    <w:rsid w:val="0067615A"/>
    <w:rsid w:val="0067618D"/>
    <w:rsid w:val="006761E9"/>
    <w:rsid w:val="006761EE"/>
    <w:rsid w:val="006762B9"/>
    <w:rsid w:val="00676339"/>
    <w:rsid w:val="00676426"/>
    <w:rsid w:val="006764C0"/>
    <w:rsid w:val="0067658C"/>
    <w:rsid w:val="00676811"/>
    <w:rsid w:val="00676868"/>
    <w:rsid w:val="0067693F"/>
    <w:rsid w:val="00676A29"/>
    <w:rsid w:val="00676C23"/>
    <w:rsid w:val="00676D00"/>
    <w:rsid w:val="00676D68"/>
    <w:rsid w:val="00676E7A"/>
    <w:rsid w:val="00676F8E"/>
    <w:rsid w:val="00677028"/>
    <w:rsid w:val="00677096"/>
    <w:rsid w:val="00677129"/>
    <w:rsid w:val="0067719F"/>
    <w:rsid w:val="00677242"/>
    <w:rsid w:val="00677399"/>
    <w:rsid w:val="0067745C"/>
    <w:rsid w:val="006774BD"/>
    <w:rsid w:val="00677571"/>
    <w:rsid w:val="006775C6"/>
    <w:rsid w:val="00677622"/>
    <w:rsid w:val="006776A8"/>
    <w:rsid w:val="006777B1"/>
    <w:rsid w:val="00677800"/>
    <w:rsid w:val="00677866"/>
    <w:rsid w:val="006779A8"/>
    <w:rsid w:val="006779CC"/>
    <w:rsid w:val="00677A4C"/>
    <w:rsid w:val="00677AD6"/>
    <w:rsid w:val="00677AEC"/>
    <w:rsid w:val="00677B5F"/>
    <w:rsid w:val="00677B88"/>
    <w:rsid w:val="00677C28"/>
    <w:rsid w:val="00677CEA"/>
    <w:rsid w:val="00677D78"/>
    <w:rsid w:val="00677D8C"/>
    <w:rsid w:val="00677DD4"/>
    <w:rsid w:val="00677F14"/>
    <w:rsid w:val="00677F7E"/>
    <w:rsid w:val="0068009B"/>
    <w:rsid w:val="0068018B"/>
    <w:rsid w:val="006801CB"/>
    <w:rsid w:val="0068036A"/>
    <w:rsid w:val="006803CA"/>
    <w:rsid w:val="006803DC"/>
    <w:rsid w:val="006803E5"/>
    <w:rsid w:val="00680412"/>
    <w:rsid w:val="0068051A"/>
    <w:rsid w:val="00680533"/>
    <w:rsid w:val="006805F9"/>
    <w:rsid w:val="0068061B"/>
    <w:rsid w:val="00680653"/>
    <w:rsid w:val="00680691"/>
    <w:rsid w:val="006806F0"/>
    <w:rsid w:val="006807B5"/>
    <w:rsid w:val="006808D2"/>
    <w:rsid w:val="00680914"/>
    <w:rsid w:val="0068095F"/>
    <w:rsid w:val="00680A50"/>
    <w:rsid w:val="00680B42"/>
    <w:rsid w:val="00680CB7"/>
    <w:rsid w:val="00680CC9"/>
    <w:rsid w:val="00680DC5"/>
    <w:rsid w:val="00680E2C"/>
    <w:rsid w:val="00680E57"/>
    <w:rsid w:val="00680EBE"/>
    <w:rsid w:val="00680FD7"/>
    <w:rsid w:val="00680FF1"/>
    <w:rsid w:val="006810A5"/>
    <w:rsid w:val="006810E0"/>
    <w:rsid w:val="006810FC"/>
    <w:rsid w:val="0068111A"/>
    <w:rsid w:val="006811B6"/>
    <w:rsid w:val="006811D7"/>
    <w:rsid w:val="006811E0"/>
    <w:rsid w:val="006811FA"/>
    <w:rsid w:val="0068121D"/>
    <w:rsid w:val="0068121E"/>
    <w:rsid w:val="0068134E"/>
    <w:rsid w:val="006813A0"/>
    <w:rsid w:val="0068145E"/>
    <w:rsid w:val="00681474"/>
    <w:rsid w:val="0068147E"/>
    <w:rsid w:val="00681489"/>
    <w:rsid w:val="00681493"/>
    <w:rsid w:val="00681498"/>
    <w:rsid w:val="006814CF"/>
    <w:rsid w:val="006815C9"/>
    <w:rsid w:val="006815DF"/>
    <w:rsid w:val="00681646"/>
    <w:rsid w:val="006816A6"/>
    <w:rsid w:val="006816B6"/>
    <w:rsid w:val="00681735"/>
    <w:rsid w:val="006817C6"/>
    <w:rsid w:val="00681825"/>
    <w:rsid w:val="0068182D"/>
    <w:rsid w:val="0068183D"/>
    <w:rsid w:val="006818CC"/>
    <w:rsid w:val="006818D3"/>
    <w:rsid w:val="006818E0"/>
    <w:rsid w:val="00681939"/>
    <w:rsid w:val="00681A8A"/>
    <w:rsid w:val="00681BC8"/>
    <w:rsid w:val="00681C64"/>
    <w:rsid w:val="00681CC2"/>
    <w:rsid w:val="00681D21"/>
    <w:rsid w:val="00681D90"/>
    <w:rsid w:val="00681E2C"/>
    <w:rsid w:val="00681F18"/>
    <w:rsid w:val="00681F6F"/>
    <w:rsid w:val="0068203D"/>
    <w:rsid w:val="0068203F"/>
    <w:rsid w:val="0068213C"/>
    <w:rsid w:val="00682251"/>
    <w:rsid w:val="0068225A"/>
    <w:rsid w:val="00682267"/>
    <w:rsid w:val="006822C4"/>
    <w:rsid w:val="00682353"/>
    <w:rsid w:val="006823A0"/>
    <w:rsid w:val="006823CE"/>
    <w:rsid w:val="006823EC"/>
    <w:rsid w:val="006823F9"/>
    <w:rsid w:val="00682402"/>
    <w:rsid w:val="00682409"/>
    <w:rsid w:val="00682434"/>
    <w:rsid w:val="006824E4"/>
    <w:rsid w:val="00682663"/>
    <w:rsid w:val="00682677"/>
    <w:rsid w:val="0068277E"/>
    <w:rsid w:val="006827F6"/>
    <w:rsid w:val="006827F8"/>
    <w:rsid w:val="006828F1"/>
    <w:rsid w:val="00682949"/>
    <w:rsid w:val="0068294C"/>
    <w:rsid w:val="00682966"/>
    <w:rsid w:val="00682970"/>
    <w:rsid w:val="006829FC"/>
    <w:rsid w:val="00682A06"/>
    <w:rsid w:val="00682A10"/>
    <w:rsid w:val="00682A54"/>
    <w:rsid w:val="00682A90"/>
    <w:rsid w:val="00682BF9"/>
    <w:rsid w:val="00682C02"/>
    <w:rsid w:val="00682C0C"/>
    <w:rsid w:val="00682CD8"/>
    <w:rsid w:val="00682DDF"/>
    <w:rsid w:val="00682E1E"/>
    <w:rsid w:val="00682FC4"/>
    <w:rsid w:val="00683028"/>
    <w:rsid w:val="0068304C"/>
    <w:rsid w:val="006830B8"/>
    <w:rsid w:val="006831C4"/>
    <w:rsid w:val="006831E4"/>
    <w:rsid w:val="00683204"/>
    <w:rsid w:val="0068320C"/>
    <w:rsid w:val="00683299"/>
    <w:rsid w:val="0068347D"/>
    <w:rsid w:val="00683521"/>
    <w:rsid w:val="00683548"/>
    <w:rsid w:val="00683572"/>
    <w:rsid w:val="00683576"/>
    <w:rsid w:val="0068359F"/>
    <w:rsid w:val="006835A0"/>
    <w:rsid w:val="0068361B"/>
    <w:rsid w:val="006836AD"/>
    <w:rsid w:val="006836C2"/>
    <w:rsid w:val="00683734"/>
    <w:rsid w:val="006837A8"/>
    <w:rsid w:val="00683942"/>
    <w:rsid w:val="006839AD"/>
    <w:rsid w:val="006839C8"/>
    <w:rsid w:val="00683A0A"/>
    <w:rsid w:val="00683AE3"/>
    <w:rsid w:val="00683B23"/>
    <w:rsid w:val="00683BCA"/>
    <w:rsid w:val="00683C10"/>
    <w:rsid w:val="00683DC3"/>
    <w:rsid w:val="00683DD9"/>
    <w:rsid w:val="00683E46"/>
    <w:rsid w:val="00683E56"/>
    <w:rsid w:val="00683F13"/>
    <w:rsid w:val="00683F8D"/>
    <w:rsid w:val="0068400F"/>
    <w:rsid w:val="00684037"/>
    <w:rsid w:val="0068415B"/>
    <w:rsid w:val="00684162"/>
    <w:rsid w:val="0068418B"/>
    <w:rsid w:val="006841AA"/>
    <w:rsid w:val="0068420B"/>
    <w:rsid w:val="006842A3"/>
    <w:rsid w:val="00684346"/>
    <w:rsid w:val="006843E3"/>
    <w:rsid w:val="0068440C"/>
    <w:rsid w:val="00684591"/>
    <w:rsid w:val="006845C2"/>
    <w:rsid w:val="0068470B"/>
    <w:rsid w:val="0068472E"/>
    <w:rsid w:val="006847A3"/>
    <w:rsid w:val="00684889"/>
    <w:rsid w:val="006848AB"/>
    <w:rsid w:val="006848B8"/>
    <w:rsid w:val="006848E0"/>
    <w:rsid w:val="0068493B"/>
    <w:rsid w:val="00684997"/>
    <w:rsid w:val="006849D8"/>
    <w:rsid w:val="00684B30"/>
    <w:rsid w:val="00684BC3"/>
    <w:rsid w:val="00684BE6"/>
    <w:rsid w:val="00684D0A"/>
    <w:rsid w:val="00684D36"/>
    <w:rsid w:val="00684D6A"/>
    <w:rsid w:val="00684F1F"/>
    <w:rsid w:val="00684F43"/>
    <w:rsid w:val="00684F74"/>
    <w:rsid w:val="00684F90"/>
    <w:rsid w:val="00685020"/>
    <w:rsid w:val="006850B3"/>
    <w:rsid w:val="006850EF"/>
    <w:rsid w:val="0068511D"/>
    <w:rsid w:val="006851A2"/>
    <w:rsid w:val="0068522A"/>
    <w:rsid w:val="00685251"/>
    <w:rsid w:val="0068526F"/>
    <w:rsid w:val="00685275"/>
    <w:rsid w:val="0068553E"/>
    <w:rsid w:val="0068559B"/>
    <w:rsid w:val="006855D9"/>
    <w:rsid w:val="0068567A"/>
    <w:rsid w:val="00685682"/>
    <w:rsid w:val="006856B7"/>
    <w:rsid w:val="006856E3"/>
    <w:rsid w:val="006857D7"/>
    <w:rsid w:val="00685806"/>
    <w:rsid w:val="006858F5"/>
    <w:rsid w:val="006859F6"/>
    <w:rsid w:val="00685A08"/>
    <w:rsid w:val="00685A93"/>
    <w:rsid w:val="00685AEE"/>
    <w:rsid w:val="00685B2E"/>
    <w:rsid w:val="00685B5D"/>
    <w:rsid w:val="00685B92"/>
    <w:rsid w:val="00685C18"/>
    <w:rsid w:val="00685C76"/>
    <w:rsid w:val="00685C78"/>
    <w:rsid w:val="00685CD3"/>
    <w:rsid w:val="00685CF0"/>
    <w:rsid w:val="00685D94"/>
    <w:rsid w:val="00685D99"/>
    <w:rsid w:val="00685EA6"/>
    <w:rsid w:val="00685EE0"/>
    <w:rsid w:val="00685F23"/>
    <w:rsid w:val="00685F62"/>
    <w:rsid w:val="00685FBA"/>
    <w:rsid w:val="00686052"/>
    <w:rsid w:val="00686093"/>
    <w:rsid w:val="0068609A"/>
    <w:rsid w:val="0068610A"/>
    <w:rsid w:val="0068611D"/>
    <w:rsid w:val="0068612E"/>
    <w:rsid w:val="00686212"/>
    <w:rsid w:val="0068622F"/>
    <w:rsid w:val="006862CB"/>
    <w:rsid w:val="00686338"/>
    <w:rsid w:val="0068635B"/>
    <w:rsid w:val="006863E4"/>
    <w:rsid w:val="00686408"/>
    <w:rsid w:val="00686495"/>
    <w:rsid w:val="0068649B"/>
    <w:rsid w:val="006865A3"/>
    <w:rsid w:val="00686626"/>
    <w:rsid w:val="0068665B"/>
    <w:rsid w:val="006866B0"/>
    <w:rsid w:val="006866B5"/>
    <w:rsid w:val="006866C5"/>
    <w:rsid w:val="006866DB"/>
    <w:rsid w:val="006867BB"/>
    <w:rsid w:val="006868B2"/>
    <w:rsid w:val="006868D1"/>
    <w:rsid w:val="006868DD"/>
    <w:rsid w:val="0068692D"/>
    <w:rsid w:val="00686950"/>
    <w:rsid w:val="00686A12"/>
    <w:rsid w:val="00686A6C"/>
    <w:rsid w:val="00686A86"/>
    <w:rsid w:val="00686B09"/>
    <w:rsid w:val="00686BED"/>
    <w:rsid w:val="00686C41"/>
    <w:rsid w:val="00686C78"/>
    <w:rsid w:val="00686CCF"/>
    <w:rsid w:val="00686CDB"/>
    <w:rsid w:val="00686D60"/>
    <w:rsid w:val="00686D9C"/>
    <w:rsid w:val="00686DA6"/>
    <w:rsid w:val="00686E3D"/>
    <w:rsid w:val="00686E64"/>
    <w:rsid w:val="00686ED5"/>
    <w:rsid w:val="00686EF2"/>
    <w:rsid w:val="00686F1C"/>
    <w:rsid w:val="00686FE4"/>
    <w:rsid w:val="0068708F"/>
    <w:rsid w:val="006870F8"/>
    <w:rsid w:val="00687103"/>
    <w:rsid w:val="006871AD"/>
    <w:rsid w:val="006871B0"/>
    <w:rsid w:val="00687223"/>
    <w:rsid w:val="006872D2"/>
    <w:rsid w:val="006872ED"/>
    <w:rsid w:val="0068751C"/>
    <w:rsid w:val="00687585"/>
    <w:rsid w:val="006875E1"/>
    <w:rsid w:val="006875E3"/>
    <w:rsid w:val="0068761D"/>
    <w:rsid w:val="00687625"/>
    <w:rsid w:val="0068780F"/>
    <w:rsid w:val="00687819"/>
    <w:rsid w:val="0068791B"/>
    <w:rsid w:val="00687A5B"/>
    <w:rsid w:val="00687B18"/>
    <w:rsid w:val="00687B79"/>
    <w:rsid w:val="00687B84"/>
    <w:rsid w:val="00687BFD"/>
    <w:rsid w:val="00687C69"/>
    <w:rsid w:val="00687CAE"/>
    <w:rsid w:val="00687CC7"/>
    <w:rsid w:val="00687CF3"/>
    <w:rsid w:val="00687D5D"/>
    <w:rsid w:val="00687E08"/>
    <w:rsid w:val="00687E14"/>
    <w:rsid w:val="00687E55"/>
    <w:rsid w:val="00687E99"/>
    <w:rsid w:val="00687ECE"/>
    <w:rsid w:val="00687ED9"/>
    <w:rsid w:val="00687F12"/>
    <w:rsid w:val="00690156"/>
    <w:rsid w:val="0069015F"/>
    <w:rsid w:val="0069016F"/>
    <w:rsid w:val="006901F9"/>
    <w:rsid w:val="00690371"/>
    <w:rsid w:val="00690424"/>
    <w:rsid w:val="00690427"/>
    <w:rsid w:val="006904D4"/>
    <w:rsid w:val="006904E2"/>
    <w:rsid w:val="006904E3"/>
    <w:rsid w:val="00690504"/>
    <w:rsid w:val="0069052F"/>
    <w:rsid w:val="00690579"/>
    <w:rsid w:val="006905A5"/>
    <w:rsid w:val="006905CC"/>
    <w:rsid w:val="0069063F"/>
    <w:rsid w:val="00690645"/>
    <w:rsid w:val="00690659"/>
    <w:rsid w:val="0069078F"/>
    <w:rsid w:val="006908AA"/>
    <w:rsid w:val="00690954"/>
    <w:rsid w:val="0069098F"/>
    <w:rsid w:val="006909D7"/>
    <w:rsid w:val="006909DC"/>
    <w:rsid w:val="00690A32"/>
    <w:rsid w:val="00690ADC"/>
    <w:rsid w:val="00690AEE"/>
    <w:rsid w:val="00690B5A"/>
    <w:rsid w:val="00690B74"/>
    <w:rsid w:val="00690C1D"/>
    <w:rsid w:val="00690C2B"/>
    <w:rsid w:val="00690C81"/>
    <w:rsid w:val="00690CAB"/>
    <w:rsid w:val="00690CDB"/>
    <w:rsid w:val="00690D6A"/>
    <w:rsid w:val="00690DA3"/>
    <w:rsid w:val="00690DD2"/>
    <w:rsid w:val="00690E0D"/>
    <w:rsid w:val="00690E78"/>
    <w:rsid w:val="00690EDD"/>
    <w:rsid w:val="00690EE7"/>
    <w:rsid w:val="00690EFC"/>
    <w:rsid w:val="00690F49"/>
    <w:rsid w:val="00690F6C"/>
    <w:rsid w:val="00690FC1"/>
    <w:rsid w:val="00691069"/>
    <w:rsid w:val="006910F1"/>
    <w:rsid w:val="0069118C"/>
    <w:rsid w:val="00691443"/>
    <w:rsid w:val="00691472"/>
    <w:rsid w:val="006915C4"/>
    <w:rsid w:val="0069175C"/>
    <w:rsid w:val="00691833"/>
    <w:rsid w:val="006918DE"/>
    <w:rsid w:val="006918F5"/>
    <w:rsid w:val="00691903"/>
    <w:rsid w:val="0069191D"/>
    <w:rsid w:val="00691934"/>
    <w:rsid w:val="006919C8"/>
    <w:rsid w:val="00691A52"/>
    <w:rsid w:val="00691A6E"/>
    <w:rsid w:val="00691B09"/>
    <w:rsid w:val="00691B45"/>
    <w:rsid w:val="00691B6E"/>
    <w:rsid w:val="00691BE6"/>
    <w:rsid w:val="00691D6E"/>
    <w:rsid w:val="00691D8D"/>
    <w:rsid w:val="00691DE6"/>
    <w:rsid w:val="00691E18"/>
    <w:rsid w:val="00691E29"/>
    <w:rsid w:val="00691ECC"/>
    <w:rsid w:val="00691ED1"/>
    <w:rsid w:val="00691F00"/>
    <w:rsid w:val="00691F38"/>
    <w:rsid w:val="00692028"/>
    <w:rsid w:val="0069202A"/>
    <w:rsid w:val="0069216B"/>
    <w:rsid w:val="0069216E"/>
    <w:rsid w:val="0069219D"/>
    <w:rsid w:val="006921DA"/>
    <w:rsid w:val="00692267"/>
    <w:rsid w:val="006923DF"/>
    <w:rsid w:val="00692492"/>
    <w:rsid w:val="006924EA"/>
    <w:rsid w:val="0069258F"/>
    <w:rsid w:val="00692668"/>
    <w:rsid w:val="0069266F"/>
    <w:rsid w:val="00692716"/>
    <w:rsid w:val="006927AE"/>
    <w:rsid w:val="006927D2"/>
    <w:rsid w:val="0069290E"/>
    <w:rsid w:val="0069298C"/>
    <w:rsid w:val="0069298D"/>
    <w:rsid w:val="006929A1"/>
    <w:rsid w:val="006929A3"/>
    <w:rsid w:val="006929DE"/>
    <w:rsid w:val="00692A51"/>
    <w:rsid w:val="00692A60"/>
    <w:rsid w:val="00692AFA"/>
    <w:rsid w:val="00692B71"/>
    <w:rsid w:val="00692C0A"/>
    <w:rsid w:val="00692CBE"/>
    <w:rsid w:val="00692D70"/>
    <w:rsid w:val="00692DC7"/>
    <w:rsid w:val="00692E61"/>
    <w:rsid w:val="00692E71"/>
    <w:rsid w:val="00692F18"/>
    <w:rsid w:val="00692F36"/>
    <w:rsid w:val="00692F3B"/>
    <w:rsid w:val="00692F5D"/>
    <w:rsid w:val="00692F89"/>
    <w:rsid w:val="00693016"/>
    <w:rsid w:val="0069305B"/>
    <w:rsid w:val="006930FD"/>
    <w:rsid w:val="0069317A"/>
    <w:rsid w:val="00693202"/>
    <w:rsid w:val="0069320C"/>
    <w:rsid w:val="00693239"/>
    <w:rsid w:val="0069338C"/>
    <w:rsid w:val="006933D7"/>
    <w:rsid w:val="006934D9"/>
    <w:rsid w:val="00693515"/>
    <w:rsid w:val="00693520"/>
    <w:rsid w:val="00693525"/>
    <w:rsid w:val="0069357F"/>
    <w:rsid w:val="0069364C"/>
    <w:rsid w:val="00693672"/>
    <w:rsid w:val="006936A4"/>
    <w:rsid w:val="006936BF"/>
    <w:rsid w:val="00693759"/>
    <w:rsid w:val="0069375E"/>
    <w:rsid w:val="0069376F"/>
    <w:rsid w:val="006937A7"/>
    <w:rsid w:val="006937B1"/>
    <w:rsid w:val="006938A4"/>
    <w:rsid w:val="00693903"/>
    <w:rsid w:val="00693955"/>
    <w:rsid w:val="006939E2"/>
    <w:rsid w:val="00693A4F"/>
    <w:rsid w:val="00693AC1"/>
    <w:rsid w:val="00693CD0"/>
    <w:rsid w:val="00693D05"/>
    <w:rsid w:val="00693D5F"/>
    <w:rsid w:val="00693E39"/>
    <w:rsid w:val="00693E7C"/>
    <w:rsid w:val="00693E9C"/>
    <w:rsid w:val="00693ED1"/>
    <w:rsid w:val="00693FC7"/>
    <w:rsid w:val="00693FE3"/>
    <w:rsid w:val="006940A7"/>
    <w:rsid w:val="0069414E"/>
    <w:rsid w:val="00694163"/>
    <w:rsid w:val="00694167"/>
    <w:rsid w:val="006942C2"/>
    <w:rsid w:val="006944B7"/>
    <w:rsid w:val="00694591"/>
    <w:rsid w:val="006945C3"/>
    <w:rsid w:val="006945DF"/>
    <w:rsid w:val="00694616"/>
    <w:rsid w:val="00694662"/>
    <w:rsid w:val="006947A7"/>
    <w:rsid w:val="006947F2"/>
    <w:rsid w:val="0069480B"/>
    <w:rsid w:val="00694883"/>
    <w:rsid w:val="00694937"/>
    <w:rsid w:val="006949F1"/>
    <w:rsid w:val="00694A99"/>
    <w:rsid w:val="00694B12"/>
    <w:rsid w:val="00694B5F"/>
    <w:rsid w:val="00694BDF"/>
    <w:rsid w:val="00694BE0"/>
    <w:rsid w:val="00694D0A"/>
    <w:rsid w:val="00694D40"/>
    <w:rsid w:val="00694D5C"/>
    <w:rsid w:val="00694E50"/>
    <w:rsid w:val="00694F04"/>
    <w:rsid w:val="00694F56"/>
    <w:rsid w:val="00694F87"/>
    <w:rsid w:val="00694FEE"/>
    <w:rsid w:val="0069512B"/>
    <w:rsid w:val="00695165"/>
    <w:rsid w:val="0069518A"/>
    <w:rsid w:val="006951FD"/>
    <w:rsid w:val="00695237"/>
    <w:rsid w:val="006953EC"/>
    <w:rsid w:val="006953F2"/>
    <w:rsid w:val="00695447"/>
    <w:rsid w:val="00695460"/>
    <w:rsid w:val="00695497"/>
    <w:rsid w:val="00695517"/>
    <w:rsid w:val="006955B0"/>
    <w:rsid w:val="006956C1"/>
    <w:rsid w:val="00695741"/>
    <w:rsid w:val="006957E0"/>
    <w:rsid w:val="00695887"/>
    <w:rsid w:val="006958AC"/>
    <w:rsid w:val="00695924"/>
    <w:rsid w:val="00695937"/>
    <w:rsid w:val="006959D0"/>
    <w:rsid w:val="006959F0"/>
    <w:rsid w:val="006959FE"/>
    <w:rsid w:val="00695A41"/>
    <w:rsid w:val="00695AD2"/>
    <w:rsid w:val="00695B25"/>
    <w:rsid w:val="00695B30"/>
    <w:rsid w:val="00695B6F"/>
    <w:rsid w:val="00695BEA"/>
    <w:rsid w:val="00695BF6"/>
    <w:rsid w:val="00695C25"/>
    <w:rsid w:val="00695C39"/>
    <w:rsid w:val="00695C8F"/>
    <w:rsid w:val="00695C9A"/>
    <w:rsid w:val="00695CEA"/>
    <w:rsid w:val="00695CEF"/>
    <w:rsid w:val="00695CF5"/>
    <w:rsid w:val="00695D6E"/>
    <w:rsid w:val="00695D8B"/>
    <w:rsid w:val="00695E0B"/>
    <w:rsid w:val="00695ED0"/>
    <w:rsid w:val="00695EF2"/>
    <w:rsid w:val="00695F7B"/>
    <w:rsid w:val="00695FB0"/>
    <w:rsid w:val="00695FCA"/>
    <w:rsid w:val="00696107"/>
    <w:rsid w:val="0069611E"/>
    <w:rsid w:val="0069618D"/>
    <w:rsid w:val="0069623D"/>
    <w:rsid w:val="00696334"/>
    <w:rsid w:val="00696389"/>
    <w:rsid w:val="006963CB"/>
    <w:rsid w:val="006963DA"/>
    <w:rsid w:val="006963ED"/>
    <w:rsid w:val="006963F0"/>
    <w:rsid w:val="0069649E"/>
    <w:rsid w:val="006964AB"/>
    <w:rsid w:val="006964AF"/>
    <w:rsid w:val="00696578"/>
    <w:rsid w:val="0069660B"/>
    <w:rsid w:val="006966D3"/>
    <w:rsid w:val="006967E9"/>
    <w:rsid w:val="00696815"/>
    <w:rsid w:val="00696955"/>
    <w:rsid w:val="00696966"/>
    <w:rsid w:val="00696A0B"/>
    <w:rsid w:val="00696A46"/>
    <w:rsid w:val="00696AC3"/>
    <w:rsid w:val="00696B54"/>
    <w:rsid w:val="00696BB5"/>
    <w:rsid w:val="00696C18"/>
    <w:rsid w:val="00696DBA"/>
    <w:rsid w:val="00696E01"/>
    <w:rsid w:val="00696ED1"/>
    <w:rsid w:val="006970B0"/>
    <w:rsid w:val="00697129"/>
    <w:rsid w:val="00697146"/>
    <w:rsid w:val="00697257"/>
    <w:rsid w:val="00697375"/>
    <w:rsid w:val="006973C0"/>
    <w:rsid w:val="00697491"/>
    <w:rsid w:val="0069755C"/>
    <w:rsid w:val="0069758A"/>
    <w:rsid w:val="006975E8"/>
    <w:rsid w:val="00697653"/>
    <w:rsid w:val="0069768F"/>
    <w:rsid w:val="006976AC"/>
    <w:rsid w:val="0069777D"/>
    <w:rsid w:val="00697807"/>
    <w:rsid w:val="00697859"/>
    <w:rsid w:val="00697960"/>
    <w:rsid w:val="006979A2"/>
    <w:rsid w:val="006979C9"/>
    <w:rsid w:val="006979F9"/>
    <w:rsid w:val="00697AC3"/>
    <w:rsid w:val="00697AFE"/>
    <w:rsid w:val="00697B98"/>
    <w:rsid w:val="00697BCA"/>
    <w:rsid w:val="00697C73"/>
    <w:rsid w:val="00697D4B"/>
    <w:rsid w:val="00697E8A"/>
    <w:rsid w:val="00697EFC"/>
    <w:rsid w:val="00697F1D"/>
    <w:rsid w:val="00697FAD"/>
    <w:rsid w:val="006A0034"/>
    <w:rsid w:val="006A005A"/>
    <w:rsid w:val="006A00D9"/>
    <w:rsid w:val="006A01A3"/>
    <w:rsid w:val="006A0233"/>
    <w:rsid w:val="006A026A"/>
    <w:rsid w:val="006A02B6"/>
    <w:rsid w:val="006A0342"/>
    <w:rsid w:val="006A0354"/>
    <w:rsid w:val="006A03B1"/>
    <w:rsid w:val="006A03F2"/>
    <w:rsid w:val="006A044C"/>
    <w:rsid w:val="006A046D"/>
    <w:rsid w:val="006A04CA"/>
    <w:rsid w:val="006A04F2"/>
    <w:rsid w:val="006A0524"/>
    <w:rsid w:val="006A0636"/>
    <w:rsid w:val="006A0695"/>
    <w:rsid w:val="006A06E6"/>
    <w:rsid w:val="006A0760"/>
    <w:rsid w:val="006A079B"/>
    <w:rsid w:val="006A087E"/>
    <w:rsid w:val="006A08AD"/>
    <w:rsid w:val="006A09BD"/>
    <w:rsid w:val="006A0A96"/>
    <w:rsid w:val="006A0AC1"/>
    <w:rsid w:val="006A0ACA"/>
    <w:rsid w:val="006A0AFB"/>
    <w:rsid w:val="006A0B68"/>
    <w:rsid w:val="006A0BE6"/>
    <w:rsid w:val="006A0C19"/>
    <w:rsid w:val="006A0C37"/>
    <w:rsid w:val="006A0D14"/>
    <w:rsid w:val="006A0D4C"/>
    <w:rsid w:val="006A0D5A"/>
    <w:rsid w:val="006A0E06"/>
    <w:rsid w:val="006A0E1B"/>
    <w:rsid w:val="006A0E5C"/>
    <w:rsid w:val="006A0EAD"/>
    <w:rsid w:val="006A0F48"/>
    <w:rsid w:val="006A0F5B"/>
    <w:rsid w:val="006A0FA3"/>
    <w:rsid w:val="006A0FB3"/>
    <w:rsid w:val="006A0FDE"/>
    <w:rsid w:val="006A1013"/>
    <w:rsid w:val="006A1053"/>
    <w:rsid w:val="006A105D"/>
    <w:rsid w:val="006A1075"/>
    <w:rsid w:val="006A10B1"/>
    <w:rsid w:val="006A1122"/>
    <w:rsid w:val="006A11A7"/>
    <w:rsid w:val="006A1212"/>
    <w:rsid w:val="006A1215"/>
    <w:rsid w:val="006A123A"/>
    <w:rsid w:val="006A1289"/>
    <w:rsid w:val="006A12AC"/>
    <w:rsid w:val="006A134A"/>
    <w:rsid w:val="006A1671"/>
    <w:rsid w:val="006A16A0"/>
    <w:rsid w:val="006A178B"/>
    <w:rsid w:val="006A187C"/>
    <w:rsid w:val="006A1964"/>
    <w:rsid w:val="006A1966"/>
    <w:rsid w:val="006A1A45"/>
    <w:rsid w:val="006A1AD3"/>
    <w:rsid w:val="006A1AF9"/>
    <w:rsid w:val="006A1D24"/>
    <w:rsid w:val="006A1D29"/>
    <w:rsid w:val="006A1EEA"/>
    <w:rsid w:val="006A1F6D"/>
    <w:rsid w:val="006A20BE"/>
    <w:rsid w:val="006A20D0"/>
    <w:rsid w:val="006A2105"/>
    <w:rsid w:val="006A21AA"/>
    <w:rsid w:val="006A22A7"/>
    <w:rsid w:val="006A2385"/>
    <w:rsid w:val="006A23B9"/>
    <w:rsid w:val="006A2445"/>
    <w:rsid w:val="006A247F"/>
    <w:rsid w:val="006A248B"/>
    <w:rsid w:val="006A24A9"/>
    <w:rsid w:val="006A25CA"/>
    <w:rsid w:val="006A25CD"/>
    <w:rsid w:val="006A276D"/>
    <w:rsid w:val="006A284D"/>
    <w:rsid w:val="006A2919"/>
    <w:rsid w:val="006A29D8"/>
    <w:rsid w:val="006A2A56"/>
    <w:rsid w:val="006A2B0B"/>
    <w:rsid w:val="006A2B2C"/>
    <w:rsid w:val="006A2B8C"/>
    <w:rsid w:val="006A2CA0"/>
    <w:rsid w:val="006A2CE9"/>
    <w:rsid w:val="006A2D06"/>
    <w:rsid w:val="006A2D93"/>
    <w:rsid w:val="006A2DC9"/>
    <w:rsid w:val="006A2E92"/>
    <w:rsid w:val="006A2EF9"/>
    <w:rsid w:val="006A2FB2"/>
    <w:rsid w:val="006A30F8"/>
    <w:rsid w:val="006A317F"/>
    <w:rsid w:val="006A324A"/>
    <w:rsid w:val="006A3298"/>
    <w:rsid w:val="006A3331"/>
    <w:rsid w:val="006A3369"/>
    <w:rsid w:val="006A336D"/>
    <w:rsid w:val="006A33D0"/>
    <w:rsid w:val="006A33E0"/>
    <w:rsid w:val="006A3403"/>
    <w:rsid w:val="006A343B"/>
    <w:rsid w:val="006A3446"/>
    <w:rsid w:val="006A344A"/>
    <w:rsid w:val="006A34A8"/>
    <w:rsid w:val="006A34D4"/>
    <w:rsid w:val="006A34D8"/>
    <w:rsid w:val="006A34F6"/>
    <w:rsid w:val="006A3516"/>
    <w:rsid w:val="006A3671"/>
    <w:rsid w:val="006A36BA"/>
    <w:rsid w:val="006A372E"/>
    <w:rsid w:val="006A3776"/>
    <w:rsid w:val="006A3867"/>
    <w:rsid w:val="006A38DD"/>
    <w:rsid w:val="006A397C"/>
    <w:rsid w:val="006A3A5F"/>
    <w:rsid w:val="006A3A95"/>
    <w:rsid w:val="006A3A96"/>
    <w:rsid w:val="006A3A98"/>
    <w:rsid w:val="006A3AF4"/>
    <w:rsid w:val="006A3B06"/>
    <w:rsid w:val="006A3B1D"/>
    <w:rsid w:val="006A3B64"/>
    <w:rsid w:val="006A3B66"/>
    <w:rsid w:val="006A3BE5"/>
    <w:rsid w:val="006A3D6B"/>
    <w:rsid w:val="006A3DC0"/>
    <w:rsid w:val="006A3F98"/>
    <w:rsid w:val="006A3FAB"/>
    <w:rsid w:val="006A3FEB"/>
    <w:rsid w:val="006A4030"/>
    <w:rsid w:val="006A4033"/>
    <w:rsid w:val="006A40A7"/>
    <w:rsid w:val="006A411C"/>
    <w:rsid w:val="006A4169"/>
    <w:rsid w:val="006A41F8"/>
    <w:rsid w:val="006A4227"/>
    <w:rsid w:val="006A4292"/>
    <w:rsid w:val="006A42C2"/>
    <w:rsid w:val="006A4320"/>
    <w:rsid w:val="006A438D"/>
    <w:rsid w:val="006A43AA"/>
    <w:rsid w:val="006A43D6"/>
    <w:rsid w:val="006A43FE"/>
    <w:rsid w:val="006A440D"/>
    <w:rsid w:val="006A4467"/>
    <w:rsid w:val="006A449E"/>
    <w:rsid w:val="006A4525"/>
    <w:rsid w:val="006A453E"/>
    <w:rsid w:val="006A45F9"/>
    <w:rsid w:val="006A46A8"/>
    <w:rsid w:val="006A46FD"/>
    <w:rsid w:val="006A47D5"/>
    <w:rsid w:val="006A481B"/>
    <w:rsid w:val="006A485F"/>
    <w:rsid w:val="006A4A61"/>
    <w:rsid w:val="006A4A7F"/>
    <w:rsid w:val="006A4B25"/>
    <w:rsid w:val="006A4B77"/>
    <w:rsid w:val="006A4BC9"/>
    <w:rsid w:val="006A4C07"/>
    <w:rsid w:val="006A4D19"/>
    <w:rsid w:val="006A4EB9"/>
    <w:rsid w:val="006A4F0A"/>
    <w:rsid w:val="006A4F13"/>
    <w:rsid w:val="006A4FAA"/>
    <w:rsid w:val="006A4FF4"/>
    <w:rsid w:val="006A5018"/>
    <w:rsid w:val="006A50A4"/>
    <w:rsid w:val="006A514E"/>
    <w:rsid w:val="006A5150"/>
    <w:rsid w:val="006A5191"/>
    <w:rsid w:val="006A51EA"/>
    <w:rsid w:val="006A5272"/>
    <w:rsid w:val="006A52EC"/>
    <w:rsid w:val="006A532A"/>
    <w:rsid w:val="006A53BC"/>
    <w:rsid w:val="006A53E9"/>
    <w:rsid w:val="006A5473"/>
    <w:rsid w:val="006A5489"/>
    <w:rsid w:val="006A54C0"/>
    <w:rsid w:val="006A5512"/>
    <w:rsid w:val="006A55A3"/>
    <w:rsid w:val="006A5601"/>
    <w:rsid w:val="006A562E"/>
    <w:rsid w:val="006A565C"/>
    <w:rsid w:val="006A5771"/>
    <w:rsid w:val="006A58AF"/>
    <w:rsid w:val="006A58EA"/>
    <w:rsid w:val="006A595D"/>
    <w:rsid w:val="006A59B0"/>
    <w:rsid w:val="006A59BD"/>
    <w:rsid w:val="006A59D2"/>
    <w:rsid w:val="006A5A32"/>
    <w:rsid w:val="006A5B1C"/>
    <w:rsid w:val="006A5B97"/>
    <w:rsid w:val="006A5C48"/>
    <w:rsid w:val="006A5CAA"/>
    <w:rsid w:val="006A5D34"/>
    <w:rsid w:val="006A5DED"/>
    <w:rsid w:val="006A5E2F"/>
    <w:rsid w:val="006A5F8D"/>
    <w:rsid w:val="006A600A"/>
    <w:rsid w:val="006A6030"/>
    <w:rsid w:val="006A6096"/>
    <w:rsid w:val="006A615F"/>
    <w:rsid w:val="006A617A"/>
    <w:rsid w:val="006A6199"/>
    <w:rsid w:val="006A633D"/>
    <w:rsid w:val="006A6345"/>
    <w:rsid w:val="006A63D8"/>
    <w:rsid w:val="006A6456"/>
    <w:rsid w:val="006A64A8"/>
    <w:rsid w:val="006A64BB"/>
    <w:rsid w:val="006A6501"/>
    <w:rsid w:val="006A6553"/>
    <w:rsid w:val="006A65A8"/>
    <w:rsid w:val="006A65BD"/>
    <w:rsid w:val="006A66B7"/>
    <w:rsid w:val="006A6723"/>
    <w:rsid w:val="006A69AE"/>
    <w:rsid w:val="006A69C6"/>
    <w:rsid w:val="006A6A7F"/>
    <w:rsid w:val="006A6AF0"/>
    <w:rsid w:val="006A6B67"/>
    <w:rsid w:val="006A6B9C"/>
    <w:rsid w:val="006A6BD1"/>
    <w:rsid w:val="006A6C12"/>
    <w:rsid w:val="006A6C92"/>
    <w:rsid w:val="006A6CE3"/>
    <w:rsid w:val="006A6D1B"/>
    <w:rsid w:val="006A6D20"/>
    <w:rsid w:val="006A6D58"/>
    <w:rsid w:val="006A6EF5"/>
    <w:rsid w:val="006A6F71"/>
    <w:rsid w:val="006A6FD0"/>
    <w:rsid w:val="006A703F"/>
    <w:rsid w:val="006A7099"/>
    <w:rsid w:val="006A70DA"/>
    <w:rsid w:val="006A733A"/>
    <w:rsid w:val="006A737E"/>
    <w:rsid w:val="006A73BE"/>
    <w:rsid w:val="006A7456"/>
    <w:rsid w:val="006A74BD"/>
    <w:rsid w:val="006A74E8"/>
    <w:rsid w:val="006A76FD"/>
    <w:rsid w:val="006A7847"/>
    <w:rsid w:val="006A785C"/>
    <w:rsid w:val="006A78CD"/>
    <w:rsid w:val="006A78F2"/>
    <w:rsid w:val="006A7950"/>
    <w:rsid w:val="006A799F"/>
    <w:rsid w:val="006A79A6"/>
    <w:rsid w:val="006A79BC"/>
    <w:rsid w:val="006A79EB"/>
    <w:rsid w:val="006A7A4E"/>
    <w:rsid w:val="006A7A6F"/>
    <w:rsid w:val="006A7A7C"/>
    <w:rsid w:val="006A7B6A"/>
    <w:rsid w:val="006A7C3F"/>
    <w:rsid w:val="006A7CCC"/>
    <w:rsid w:val="006A7CF6"/>
    <w:rsid w:val="006A7DE8"/>
    <w:rsid w:val="006A7E05"/>
    <w:rsid w:val="006A7E33"/>
    <w:rsid w:val="006A7E9A"/>
    <w:rsid w:val="006A7ED1"/>
    <w:rsid w:val="006A7F66"/>
    <w:rsid w:val="006A7F9E"/>
    <w:rsid w:val="006B004C"/>
    <w:rsid w:val="006B00CE"/>
    <w:rsid w:val="006B0163"/>
    <w:rsid w:val="006B01B2"/>
    <w:rsid w:val="006B04F3"/>
    <w:rsid w:val="006B050D"/>
    <w:rsid w:val="006B0581"/>
    <w:rsid w:val="006B05DF"/>
    <w:rsid w:val="006B0666"/>
    <w:rsid w:val="006B06E3"/>
    <w:rsid w:val="006B06F0"/>
    <w:rsid w:val="006B06FA"/>
    <w:rsid w:val="006B0767"/>
    <w:rsid w:val="006B08C6"/>
    <w:rsid w:val="006B08D7"/>
    <w:rsid w:val="006B0914"/>
    <w:rsid w:val="006B099D"/>
    <w:rsid w:val="006B09C0"/>
    <w:rsid w:val="006B0A32"/>
    <w:rsid w:val="006B0A53"/>
    <w:rsid w:val="006B0A8B"/>
    <w:rsid w:val="006B0AA7"/>
    <w:rsid w:val="006B0AC7"/>
    <w:rsid w:val="006B0AEA"/>
    <w:rsid w:val="006B0B01"/>
    <w:rsid w:val="006B0C1F"/>
    <w:rsid w:val="006B0C59"/>
    <w:rsid w:val="006B0DAE"/>
    <w:rsid w:val="006B0DE5"/>
    <w:rsid w:val="006B0E15"/>
    <w:rsid w:val="006B0E3E"/>
    <w:rsid w:val="006B0F1F"/>
    <w:rsid w:val="006B0FCA"/>
    <w:rsid w:val="006B0FED"/>
    <w:rsid w:val="006B1023"/>
    <w:rsid w:val="006B11B5"/>
    <w:rsid w:val="006B11DB"/>
    <w:rsid w:val="006B1259"/>
    <w:rsid w:val="006B1491"/>
    <w:rsid w:val="006B14A7"/>
    <w:rsid w:val="006B14D0"/>
    <w:rsid w:val="006B14D7"/>
    <w:rsid w:val="006B1555"/>
    <w:rsid w:val="006B1663"/>
    <w:rsid w:val="006B166D"/>
    <w:rsid w:val="006B169C"/>
    <w:rsid w:val="006B1731"/>
    <w:rsid w:val="006B17DF"/>
    <w:rsid w:val="006B1810"/>
    <w:rsid w:val="006B1836"/>
    <w:rsid w:val="006B1866"/>
    <w:rsid w:val="006B1907"/>
    <w:rsid w:val="006B1943"/>
    <w:rsid w:val="006B1A04"/>
    <w:rsid w:val="006B1A31"/>
    <w:rsid w:val="006B1BB9"/>
    <w:rsid w:val="006B1C12"/>
    <w:rsid w:val="006B1C48"/>
    <w:rsid w:val="006B1D07"/>
    <w:rsid w:val="006B1D1D"/>
    <w:rsid w:val="006B1D1F"/>
    <w:rsid w:val="006B1DA7"/>
    <w:rsid w:val="006B1DAA"/>
    <w:rsid w:val="006B1F26"/>
    <w:rsid w:val="006B1FCD"/>
    <w:rsid w:val="006B1FFE"/>
    <w:rsid w:val="006B2058"/>
    <w:rsid w:val="006B2068"/>
    <w:rsid w:val="006B218A"/>
    <w:rsid w:val="006B21BA"/>
    <w:rsid w:val="006B2212"/>
    <w:rsid w:val="006B22F4"/>
    <w:rsid w:val="006B2307"/>
    <w:rsid w:val="006B2334"/>
    <w:rsid w:val="006B234F"/>
    <w:rsid w:val="006B242C"/>
    <w:rsid w:val="006B2461"/>
    <w:rsid w:val="006B2477"/>
    <w:rsid w:val="006B24B6"/>
    <w:rsid w:val="006B253E"/>
    <w:rsid w:val="006B2615"/>
    <w:rsid w:val="006B2751"/>
    <w:rsid w:val="006B27D5"/>
    <w:rsid w:val="006B2825"/>
    <w:rsid w:val="006B2852"/>
    <w:rsid w:val="006B299E"/>
    <w:rsid w:val="006B29A4"/>
    <w:rsid w:val="006B2A63"/>
    <w:rsid w:val="006B2AA8"/>
    <w:rsid w:val="006B2ACE"/>
    <w:rsid w:val="006B2ACF"/>
    <w:rsid w:val="006B2AED"/>
    <w:rsid w:val="006B2B4F"/>
    <w:rsid w:val="006B2C99"/>
    <w:rsid w:val="006B2CDB"/>
    <w:rsid w:val="006B2D48"/>
    <w:rsid w:val="006B2D67"/>
    <w:rsid w:val="006B2EDD"/>
    <w:rsid w:val="006B3062"/>
    <w:rsid w:val="006B3085"/>
    <w:rsid w:val="006B30D0"/>
    <w:rsid w:val="006B30F1"/>
    <w:rsid w:val="006B31CD"/>
    <w:rsid w:val="006B3239"/>
    <w:rsid w:val="006B32F9"/>
    <w:rsid w:val="006B332B"/>
    <w:rsid w:val="006B3345"/>
    <w:rsid w:val="006B341C"/>
    <w:rsid w:val="006B3421"/>
    <w:rsid w:val="006B346C"/>
    <w:rsid w:val="006B3501"/>
    <w:rsid w:val="006B38C1"/>
    <w:rsid w:val="006B38D3"/>
    <w:rsid w:val="006B3964"/>
    <w:rsid w:val="006B3972"/>
    <w:rsid w:val="006B3995"/>
    <w:rsid w:val="006B39A3"/>
    <w:rsid w:val="006B39D0"/>
    <w:rsid w:val="006B3A47"/>
    <w:rsid w:val="006B3AFD"/>
    <w:rsid w:val="006B3BB9"/>
    <w:rsid w:val="006B3BDF"/>
    <w:rsid w:val="006B3C25"/>
    <w:rsid w:val="006B3DE8"/>
    <w:rsid w:val="006B3E1B"/>
    <w:rsid w:val="006B3E2C"/>
    <w:rsid w:val="006B3F55"/>
    <w:rsid w:val="006B3F60"/>
    <w:rsid w:val="006B3FFC"/>
    <w:rsid w:val="006B406D"/>
    <w:rsid w:val="006B412F"/>
    <w:rsid w:val="006B414A"/>
    <w:rsid w:val="006B4157"/>
    <w:rsid w:val="006B4193"/>
    <w:rsid w:val="006B419D"/>
    <w:rsid w:val="006B42B9"/>
    <w:rsid w:val="006B4307"/>
    <w:rsid w:val="006B440F"/>
    <w:rsid w:val="006B467D"/>
    <w:rsid w:val="006B46CA"/>
    <w:rsid w:val="006B470B"/>
    <w:rsid w:val="006B472F"/>
    <w:rsid w:val="006B479A"/>
    <w:rsid w:val="006B47C0"/>
    <w:rsid w:val="006B47C5"/>
    <w:rsid w:val="006B47F3"/>
    <w:rsid w:val="006B4863"/>
    <w:rsid w:val="006B4886"/>
    <w:rsid w:val="006B488C"/>
    <w:rsid w:val="006B48DB"/>
    <w:rsid w:val="006B4908"/>
    <w:rsid w:val="006B4957"/>
    <w:rsid w:val="006B4961"/>
    <w:rsid w:val="006B4977"/>
    <w:rsid w:val="006B497D"/>
    <w:rsid w:val="006B499C"/>
    <w:rsid w:val="006B499F"/>
    <w:rsid w:val="006B49C0"/>
    <w:rsid w:val="006B4A14"/>
    <w:rsid w:val="006B4A2B"/>
    <w:rsid w:val="006B4A9E"/>
    <w:rsid w:val="006B4AFB"/>
    <w:rsid w:val="006B4BE9"/>
    <w:rsid w:val="006B4D19"/>
    <w:rsid w:val="006B50A6"/>
    <w:rsid w:val="006B50CD"/>
    <w:rsid w:val="006B51DA"/>
    <w:rsid w:val="006B51E6"/>
    <w:rsid w:val="006B526D"/>
    <w:rsid w:val="006B528A"/>
    <w:rsid w:val="006B528E"/>
    <w:rsid w:val="006B5302"/>
    <w:rsid w:val="006B532B"/>
    <w:rsid w:val="006B53D6"/>
    <w:rsid w:val="006B5425"/>
    <w:rsid w:val="006B5432"/>
    <w:rsid w:val="006B54A3"/>
    <w:rsid w:val="006B556C"/>
    <w:rsid w:val="006B55A8"/>
    <w:rsid w:val="006B55C8"/>
    <w:rsid w:val="006B567F"/>
    <w:rsid w:val="006B56BC"/>
    <w:rsid w:val="006B58FF"/>
    <w:rsid w:val="006B5907"/>
    <w:rsid w:val="006B592A"/>
    <w:rsid w:val="006B5962"/>
    <w:rsid w:val="006B597F"/>
    <w:rsid w:val="006B5A20"/>
    <w:rsid w:val="006B5A4A"/>
    <w:rsid w:val="006B5AC1"/>
    <w:rsid w:val="006B5B59"/>
    <w:rsid w:val="006B5B7C"/>
    <w:rsid w:val="006B5C39"/>
    <w:rsid w:val="006B5C86"/>
    <w:rsid w:val="006B5CC8"/>
    <w:rsid w:val="006B5D59"/>
    <w:rsid w:val="006B5D71"/>
    <w:rsid w:val="006B5DB7"/>
    <w:rsid w:val="006B5DE1"/>
    <w:rsid w:val="006B5E31"/>
    <w:rsid w:val="006B5ECB"/>
    <w:rsid w:val="006B5EDB"/>
    <w:rsid w:val="006B5F68"/>
    <w:rsid w:val="006B606A"/>
    <w:rsid w:val="006B60C0"/>
    <w:rsid w:val="006B60D2"/>
    <w:rsid w:val="006B6104"/>
    <w:rsid w:val="006B619A"/>
    <w:rsid w:val="006B619F"/>
    <w:rsid w:val="006B62C9"/>
    <w:rsid w:val="006B62D9"/>
    <w:rsid w:val="006B6339"/>
    <w:rsid w:val="006B643D"/>
    <w:rsid w:val="006B6469"/>
    <w:rsid w:val="006B64F5"/>
    <w:rsid w:val="006B6608"/>
    <w:rsid w:val="006B661B"/>
    <w:rsid w:val="006B6647"/>
    <w:rsid w:val="006B66B1"/>
    <w:rsid w:val="006B66BF"/>
    <w:rsid w:val="006B66F9"/>
    <w:rsid w:val="006B6738"/>
    <w:rsid w:val="006B680F"/>
    <w:rsid w:val="006B682D"/>
    <w:rsid w:val="006B68C2"/>
    <w:rsid w:val="006B68E5"/>
    <w:rsid w:val="006B6903"/>
    <w:rsid w:val="006B69CC"/>
    <w:rsid w:val="006B69DB"/>
    <w:rsid w:val="006B69E0"/>
    <w:rsid w:val="006B6B0A"/>
    <w:rsid w:val="006B6B1A"/>
    <w:rsid w:val="006B6B36"/>
    <w:rsid w:val="006B6B7A"/>
    <w:rsid w:val="006B6C2E"/>
    <w:rsid w:val="006B6CDB"/>
    <w:rsid w:val="006B6D30"/>
    <w:rsid w:val="006B6D4F"/>
    <w:rsid w:val="006B6D8A"/>
    <w:rsid w:val="006B6E39"/>
    <w:rsid w:val="006B6E56"/>
    <w:rsid w:val="006B6EA7"/>
    <w:rsid w:val="006B6EEE"/>
    <w:rsid w:val="006B6F07"/>
    <w:rsid w:val="006B6F34"/>
    <w:rsid w:val="006B6F55"/>
    <w:rsid w:val="006B6F8F"/>
    <w:rsid w:val="006B6F9F"/>
    <w:rsid w:val="006B7009"/>
    <w:rsid w:val="006B7039"/>
    <w:rsid w:val="006B707D"/>
    <w:rsid w:val="006B7098"/>
    <w:rsid w:val="006B70A8"/>
    <w:rsid w:val="006B7254"/>
    <w:rsid w:val="006B7276"/>
    <w:rsid w:val="006B72AC"/>
    <w:rsid w:val="006B72B6"/>
    <w:rsid w:val="006B737A"/>
    <w:rsid w:val="006B738C"/>
    <w:rsid w:val="006B73EC"/>
    <w:rsid w:val="006B7536"/>
    <w:rsid w:val="006B7544"/>
    <w:rsid w:val="006B7564"/>
    <w:rsid w:val="006B7661"/>
    <w:rsid w:val="006B7673"/>
    <w:rsid w:val="006B7710"/>
    <w:rsid w:val="006B77B4"/>
    <w:rsid w:val="006B7930"/>
    <w:rsid w:val="006B798B"/>
    <w:rsid w:val="006B79E1"/>
    <w:rsid w:val="006B7AA2"/>
    <w:rsid w:val="006B7AFA"/>
    <w:rsid w:val="006B7B98"/>
    <w:rsid w:val="006B7BE4"/>
    <w:rsid w:val="006B7BF7"/>
    <w:rsid w:val="006B7C1D"/>
    <w:rsid w:val="006B7C95"/>
    <w:rsid w:val="006B7CF7"/>
    <w:rsid w:val="006B7D02"/>
    <w:rsid w:val="006B7D2D"/>
    <w:rsid w:val="006B7DB9"/>
    <w:rsid w:val="006B7DD0"/>
    <w:rsid w:val="006B7DF6"/>
    <w:rsid w:val="006B7DF7"/>
    <w:rsid w:val="006B7E21"/>
    <w:rsid w:val="006B7E6F"/>
    <w:rsid w:val="006B7EB6"/>
    <w:rsid w:val="006B7EE7"/>
    <w:rsid w:val="006B9008"/>
    <w:rsid w:val="006C0065"/>
    <w:rsid w:val="006C0121"/>
    <w:rsid w:val="006C012E"/>
    <w:rsid w:val="006C0192"/>
    <w:rsid w:val="006C01F6"/>
    <w:rsid w:val="006C0239"/>
    <w:rsid w:val="006C0294"/>
    <w:rsid w:val="006C0333"/>
    <w:rsid w:val="006C036C"/>
    <w:rsid w:val="006C03DB"/>
    <w:rsid w:val="006C03EF"/>
    <w:rsid w:val="006C040C"/>
    <w:rsid w:val="006C0454"/>
    <w:rsid w:val="006C0481"/>
    <w:rsid w:val="006C04DA"/>
    <w:rsid w:val="006C04EE"/>
    <w:rsid w:val="006C04FD"/>
    <w:rsid w:val="006C0559"/>
    <w:rsid w:val="006C057D"/>
    <w:rsid w:val="006C05F1"/>
    <w:rsid w:val="006C06C5"/>
    <w:rsid w:val="006C073D"/>
    <w:rsid w:val="006C0758"/>
    <w:rsid w:val="006C075E"/>
    <w:rsid w:val="006C076C"/>
    <w:rsid w:val="006C09A8"/>
    <w:rsid w:val="006C09D0"/>
    <w:rsid w:val="006C0A7F"/>
    <w:rsid w:val="006C0AD4"/>
    <w:rsid w:val="006C0B04"/>
    <w:rsid w:val="006C0CEF"/>
    <w:rsid w:val="006C0E40"/>
    <w:rsid w:val="006C0FDB"/>
    <w:rsid w:val="006C10D3"/>
    <w:rsid w:val="006C11D4"/>
    <w:rsid w:val="006C1245"/>
    <w:rsid w:val="006C12A2"/>
    <w:rsid w:val="006C12DA"/>
    <w:rsid w:val="006C1301"/>
    <w:rsid w:val="006C1348"/>
    <w:rsid w:val="006C13FC"/>
    <w:rsid w:val="006C1470"/>
    <w:rsid w:val="006C1473"/>
    <w:rsid w:val="006C1561"/>
    <w:rsid w:val="006C15A9"/>
    <w:rsid w:val="006C15F4"/>
    <w:rsid w:val="006C164A"/>
    <w:rsid w:val="006C1655"/>
    <w:rsid w:val="006C174B"/>
    <w:rsid w:val="006C17A7"/>
    <w:rsid w:val="006C18F9"/>
    <w:rsid w:val="006C190C"/>
    <w:rsid w:val="006C1937"/>
    <w:rsid w:val="006C19A0"/>
    <w:rsid w:val="006C19B7"/>
    <w:rsid w:val="006C1A3B"/>
    <w:rsid w:val="006C1C2B"/>
    <w:rsid w:val="006C1C5C"/>
    <w:rsid w:val="006C1D00"/>
    <w:rsid w:val="006C1D4C"/>
    <w:rsid w:val="006C1D66"/>
    <w:rsid w:val="006C1D98"/>
    <w:rsid w:val="006C1E6B"/>
    <w:rsid w:val="006C1E8F"/>
    <w:rsid w:val="006C1E93"/>
    <w:rsid w:val="006C1EB7"/>
    <w:rsid w:val="006C1FFD"/>
    <w:rsid w:val="006C201D"/>
    <w:rsid w:val="006C2059"/>
    <w:rsid w:val="006C2093"/>
    <w:rsid w:val="006C2095"/>
    <w:rsid w:val="006C218B"/>
    <w:rsid w:val="006C222B"/>
    <w:rsid w:val="006C22D8"/>
    <w:rsid w:val="006C246A"/>
    <w:rsid w:val="006C2491"/>
    <w:rsid w:val="006C2517"/>
    <w:rsid w:val="006C263F"/>
    <w:rsid w:val="006C2661"/>
    <w:rsid w:val="006C2690"/>
    <w:rsid w:val="006C26AB"/>
    <w:rsid w:val="006C26DC"/>
    <w:rsid w:val="006C271F"/>
    <w:rsid w:val="006C2810"/>
    <w:rsid w:val="006C2896"/>
    <w:rsid w:val="006C292C"/>
    <w:rsid w:val="006C295E"/>
    <w:rsid w:val="006C2970"/>
    <w:rsid w:val="006C299A"/>
    <w:rsid w:val="006C29A9"/>
    <w:rsid w:val="006C2AB0"/>
    <w:rsid w:val="006C2ACA"/>
    <w:rsid w:val="006C2AF9"/>
    <w:rsid w:val="006C2B4D"/>
    <w:rsid w:val="006C2BE2"/>
    <w:rsid w:val="006C2C16"/>
    <w:rsid w:val="006C2C31"/>
    <w:rsid w:val="006C2CB2"/>
    <w:rsid w:val="006C2CF2"/>
    <w:rsid w:val="006C2DB8"/>
    <w:rsid w:val="006C2DD1"/>
    <w:rsid w:val="006C2E12"/>
    <w:rsid w:val="006C2E62"/>
    <w:rsid w:val="006C2EB8"/>
    <w:rsid w:val="006C2F33"/>
    <w:rsid w:val="006C3073"/>
    <w:rsid w:val="006C30C1"/>
    <w:rsid w:val="006C3143"/>
    <w:rsid w:val="006C3181"/>
    <w:rsid w:val="006C3338"/>
    <w:rsid w:val="006C3447"/>
    <w:rsid w:val="006C34E0"/>
    <w:rsid w:val="006C3537"/>
    <w:rsid w:val="006C358F"/>
    <w:rsid w:val="006C3689"/>
    <w:rsid w:val="006C36BF"/>
    <w:rsid w:val="006C36E7"/>
    <w:rsid w:val="006C39BF"/>
    <w:rsid w:val="006C39C9"/>
    <w:rsid w:val="006C3A0F"/>
    <w:rsid w:val="006C3A2A"/>
    <w:rsid w:val="006C3B06"/>
    <w:rsid w:val="006C3B57"/>
    <w:rsid w:val="006C3B81"/>
    <w:rsid w:val="006C3BD2"/>
    <w:rsid w:val="006C3C3C"/>
    <w:rsid w:val="006C3CCC"/>
    <w:rsid w:val="006C3D00"/>
    <w:rsid w:val="006C3D62"/>
    <w:rsid w:val="006C3E20"/>
    <w:rsid w:val="006C3E4E"/>
    <w:rsid w:val="006C3E56"/>
    <w:rsid w:val="006C3E62"/>
    <w:rsid w:val="006C3E92"/>
    <w:rsid w:val="006C3EE9"/>
    <w:rsid w:val="006C3F76"/>
    <w:rsid w:val="006C40A1"/>
    <w:rsid w:val="006C40D2"/>
    <w:rsid w:val="006C419C"/>
    <w:rsid w:val="006C4232"/>
    <w:rsid w:val="006C4277"/>
    <w:rsid w:val="006C42A6"/>
    <w:rsid w:val="006C42B4"/>
    <w:rsid w:val="006C4310"/>
    <w:rsid w:val="006C4472"/>
    <w:rsid w:val="006C44A2"/>
    <w:rsid w:val="006C44A6"/>
    <w:rsid w:val="006C450C"/>
    <w:rsid w:val="006C45C1"/>
    <w:rsid w:val="006C466B"/>
    <w:rsid w:val="006C46E9"/>
    <w:rsid w:val="006C4792"/>
    <w:rsid w:val="006C4809"/>
    <w:rsid w:val="006C4818"/>
    <w:rsid w:val="006C4939"/>
    <w:rsid w:val="006C4A86"/>
    <w:rsid w:val="006C4AA2"/>
    <w:rsid w:val="006C4AD5"/>
    <w:rsid w:val="006C4B3D"/>
    <w:rsid w:val="006C4B78"/>
    <w:rsid w:val="006C4B92"/>
    <w:rsid w:val="006C4BFC"/>
    <w:rsid w:val="006C4C0B"/>
    <w:rsid w:val="006C4C33"/>
    <w:rsid w:val="006C4C89"/>
    <w:rsid w:val="006C4CBF"/>
    <w:rsid w:val="006C4CE6"/>
    <w:rsid w:val="006C4D31"/>
    <w:rsid w:val="006C4F5F"/>
    <w:rsid w:val="006C50A2"/>
    <w:rsid w:val="006C512E"/>
    <w:rsid w:val="006C5167"/>
    <w:rsid w:val="006C516D"/>
    <w:rsid w:val="006C51C4"/>
    <w:rsid w:val="006C5245"/>
    <w:rsid w:val="006C525B"/>
    <w:rsid w:val="006C52BF"/>
    <w:rsid w:val="006C53AD"/>
    <w:rsid w:val="006C53F1"/>
    <w:rsid w:val="006C555E"/>
    <w:rsid w:val="006C557E"/>
    <w:rsid w:val="006C56A3"/>
    <w:rsid w:val="006C5766"/>
    <w:rsid w:val="006C57C8"/>
    <w:rsid w:val="006C57E2"/>
    <w:rsid w:val="006C5A48"/>
    <w:rsid w:val="006C5A85"/>
    <w:rsid w:val="006C5ABA"/>
    <w:rsid w:val="006C5AC6"/>
    <w:rsid w:val="006C5B89"/>
    <w:rsid w:val="006C5B9F"/>
    <w:rsid w:val="006C5C22"/>
    <w:rsid w:val="006C5D06"/>
    <w:rsid w:val="006C5D0B"/>
    <w:rsid w:val="006C5D46"/>
    <w:rsid w:val="006C5D9E"/>
    <w:rsid w:val="006C5DC2"/>
    <w:rsid w:val="006C5DDF"/>
    <w:rsid w:val="006C5DF1"/>
    <w:rsid w:val="006C5F06"/>
    <w:rsid w:val="006C5FFE"/>
    <w:rsid w:val="006C6078"/>
    <w:rsid w:val="006C60BD"/>
    <w:rsid w:val="006C60C6"/>
    <w:rsid w:val="006C60DB"/>
    <w:rsid w:val="006C61F1"/>
    <w:rsid w:val="006C6254"/>
    <w:rsid w:val="006C6316"/>
    <w:rsid w:val="006C633C"/>
    <w:rsid w:val="006C6408"/>
    <w:rsid w:val="006C6585"/>
    <w:rsid w:val="006C6628"/>
    <w:rsid w:val="006C66B9"/>
    <w:rsid w:val="006C6724"/>
    <w:rsid w:val="006C6755"/>
    <w:rsid w:val="006C6764"/>
    <w:rsid w:val="006C67C3"/>
    <w:rsid w:val="006C67D1"/>
    <w:rsid w:val="006C6937"/>
    <w:rsid w:val="006C6A01"/>
    <w:rsid w:val="006C6A35"/>
    <w:rsid w:val="006C6A40"/>
    <w:rsid w:val="006C6A98"/>
    <w:rsid w:val="006C6B7D"/>
    <w:rsid w:val="006C6B86"/>
    <w:rsid w:val="006C6C0A"/>
    <w:rsid w:val="006C6CDA"/>
    <w:rsid w:val="006C6D77"/>
    <w:rsid w:val="006C6E04"/>
    <w:rsid w:val="006C6E0E"/>
    <w:rsid w:val="006C6E78"/>
    <w:rsid w:val="006C6FA7"/>
    <w:rsid w:val="006C6FBA"/>
    <w:rsid w:val="006C70D2"/>
    <w:rsid w:val="006C7187"/>
    <w:rsid w:val="006C7272"/>
    <w:rsid w:val="006C72AB"/>
    <w:rsid w:val="006C73B6"/>
    <w:rsid w:val="006C75A5"/>
    <w:rsid w:val="006C7629"/>
    <w:rsid w:val="006C76B9"/>
    <w:rsid w:val="006C76BC"/>
    <w:rsid w:val="006C7712"/>
    <w:rsid w:val="006C7732"/>
    <w:rsid w:val="006C77BF"/>
    <w:rsid w:val="006C7819"/>
    <w:rsid w:val="006C78FF"/>
    <w:rsid w:val="006C7940"/>
    <w:rsid w:val="006C7956"/>
    <w:rsid w:val="006C799C"/>
    <w:rsid w:val="006C79D2"/>
    <w:rsid w:val="006C7B5E"/>
    <w:rsid w:val="006C7B74"/>
    <w:rsid w:val="006C7BA2"/>
    <w:rsid w:val="006C7BCF"/>
    <w:rsid w:val="006C7CA0"/>
    <w:rsid w:val="006C7DA4"/>
    <w:rsid w:val="006C7DB5"/>
    <w:rsid w:val="006C7DBE"/>
    <w:rsid w:val="006C7E1D"/>
    <w:rsid w:val="006C7E25"/>
    <w:rsid w:val="006C7E45"/>
    <w:rsid w:val="006C7E57"/>
    <w:rsid w:val="006D002C"/>
    <w:rsid w:val="006D002E"/>
    <w:rsid w:val="006D003C"/>
    <w:rsid w:val="006D0062"/>
    <w:rsid w:val="006D00A2"/>
    <w:rsid w:val="006D00E7"/>
    <w:rsid w:val="006D0123"/>
    <w:rsid w:val="006D016D"/>
    <w:rsid w:val="006D0178"/>
    <w:rsid w:val="006D02AD"/>
    <w:rsid w:val="006D0393"/>
    <w:rsid w:val="006D03E3"/>
    <w:rsid w:val="006D0491"/>
    <w:rsid w:val="006D051A"/>
    <w:rsid w:val="006D054D"/>
    <w:rsid w:val="006D05DA"/>
    <w:rsid w:val="006D05EB"/>
    <w:rsid w:val="006D065C"/>
    <w:rsid w:val="006D0697"/>
    <w:rsid w:val="006D06B6"/>
    <w:rsid w:val="006D06F0"/>
    <w:rsid w:val="006D0750"/>
    <w:rsid w:val="006D0751"/>
    <w:rsid w:val="006D07C9"/>
    <w:rsid w:val="006D07DB"/>
    <w:rsid w:val="006D086B"/>
    <w:rsid w:val="006D08A7"/>
    <w:rsid w:val="006D08F7"/>
    <w:rsid w:val="006D09A0"/>
    <w:rsid w:val="006D09EC"/>
    <w:rsid w:val="006D0A76"/>
    <w:rsid w:val="006D0A79"/>
    <w:rsid w:val="006D0ADF"/>
    <w:rsid w:val="006D0B39"/>
    <w:rsid w:val="006D0C0E"/>
    <w:rsid w:val="006D0E93"/>
    <w:rsid w:val="006D0F16"/>
    <w:rsid w:val="006D0F3D"/>
    <w:rsid w:val="006D0F89"/>
    <w:rsid w:val="006D0FA0"/>
    <w:rsid w:val="006D107E"/>
    <w:rsid w:val="006D10B2"/>
    <w:rsid w:val="006D10B6"/>
    <w:rsid w:val="006D111B"/>
    <w:rsid w:val="006D117D"/>
    <w:rsid w:val="006D129C"/>
    <w:rsid w:val="006D1318"/>
    <w:rsid w:val="006D1338"/>
    <w:rsid w:val="006D13B0"/>
    <w:rsid w:val="006D13DF"/>
    <w:rsid w:val="006D1427"/>
    <w:rsid w:val="006D152F"/>
    <w:rsid w:val="006D154D"/>
    <w:rsid w:val="006D15F9"/>
    <w:rsid w:val="006D1668"/>
    <w:rsid w:val="006D16AE"/>
    <w:rsid w:val="006D1715"/>
    <w:rsid w:val="006D18C4"/>
    <w:rsid w:val="006D1911"/>
    <w:rsid w:val="006D1994"/>
    <w:rsid w:val="006D19E6"/>
    <w:rsid w:val="006D19FF"/>
    <w:rsid w:val="006D1AC9"/>
    <w:rsid w:val="006D1B43"/>
    <w:rsid w:val="006D1B4A"/>
    <w:rsid w:val="006D1B5D"/>
    <w:rsid w:val="006D1BD8"/>
    <w:rsid w:val="006D1C20"/>
    <w:rsid w:val="006D1CA4"/>
    <w:rsid w:val="006D1D4D"/>
    <w:rsid w:val="006D1DB3"/>
    <w:rsid w:val="006D1DD5"/>
    <w:rsid w:val="006D1E2F"/>
    <w:rsid w:val="006D1E6F"/>
    <w:rsid w:val="006D1F0C"/>
    <w:rsid w:val="006D1F64"/>
    <w:rsid w:val="006D200D"/>
    <w:rsid w:val="006D20CB"/>
    <w:rsid w:val="006D21E6"/>
    <w:rsid w:val="006D21F9"/>
    <w:rsid w:val="006D2268"/>
    <w:rsid w:val="006D228B"/>
    <w:rsid w:val="006D22CC"/>
    <w:rsid w:val="006D2345"/>
    <w:rsid w:val="006D236B"/>
    <w:rsid w:val="006D237E"/>
    <w:rsid w:val="006D238A"/>
    <w:rsid w:val="006D23C5"/>
    <w:rsid w:val="006D23EB"/>
    <w:rsid w:val="006D240E"/>
    <w:rsid w:val="006D2530"/>
    <w:rsid w:val="006D2551"/>
    <w:rsid w:val="006D25A5"/>
    <w:rsid w:val="006D2616"/>
    <w:rsid w:val="006D26D7"/>
    <w:rsid w:val="006D2753"/>
    <w:rsid w:val="006D2994"/>
    <w:rsid w:val="006D2A12"/>
    <w:rsid w:val="006D2A3E"/>
    <w:rsid w:val="006D2A51"/>
    <w:rsid w:val="006D2C2A"/>
    <w:rsid w:val="006D2C5C"/>
    <w:rsid w:val="006D2C9F"/>
    <w:rsid w:val="006D2D3B"/>
    <w:rsid w:val="006D2D66"/>
    <w:rsid w:val="006D2E1D"/>
    <w:rsid w:val="006D2E91"/>
    <w:rsid w:val="006D2EAB"/>
    <w:rsid w:val="006D2EEA"/>
    <w:rsid w:val="006D304D"/>
    <w:rsid w:val="006D3073"/>
    <w:rsid w:val="006D345F"/>
    <w:rsid w:val="006D3587"/>
    <w:rsid w:val="006D362D"/>
    <w:rsid w:val="006D3648"/>
    <w:rsid w:val="006D37B8"/>
    <w:rsid w:val="006D37BD"/>
    <w:rsid w:val="006D37CD"/>
    <w:rsid w:val="006D381D"/>
    <w:rsid w:val="006D384C"/>
    <w:rsid w:val="006D3870"/>
    <w:rsid w:val="006D38B3"/>
    <w:rsid w:val="006D38DB"/>
    <w:rsid w:val="006D3914"/>
    <w:rsid w:val="006D397B"/>
    <w:rsid w:val="006D3AA9"/>
    <w:rsid w:val="006D3B2F"/>
    <w:rsid w:val="006D3B42"/>
    <w:rsid w:val="006D3B82"/>
    <w:rsid w:val="006D3BCF"/>
    <w:rsid w:val="006D3D1E"/>
    <w:rsid w:val="006D3D53"/>
    <w:rsid w:val="006D3DA2"/>
    <w:rsid w:val="006D3DE1"/>
    <w:rsid w:val="006D3DE8"/>
    <w:rsid w:val="006D3E16"/>
    <w:rsid w:val="006D3E40"/>
    <w:rsid w:val="006D3E7C"/>
    <w:rsid w:val="006D3E99"/>
    <w:rsid w:val="006D3EB1"/>
    <w:rsid w:val="006D3F0B"/>
    <w:rsid w:val="006D3F2E"/>
    <w:rsid w:val="006D3F68"/>
    <w:rsid w:val="006D3FB6"/>
    <w:rsid w:val="006D3FF1"/>
    <w:rsid w:val="006D4049"/>
    <w:rsid w:val="006D40E7"/>
    <w:rsid w:val="006D41C5"/>
    <w:rsid w:val="006D4217"/>
    <w:rsid w:val="006D4296"/>
    <w:rsid w:val="006D4314"/>
    <w:rsid w:val="006D441A"/>
    <w:rsid w:val="006D446C"/>
    <w:rsid w:val="006D44F9"/>
    <w:rsid w:val="006D4627"/>
    <w:rsid w:val="006D463C"/>
    <w:rsid w:val="006D467C"/>
    <w:rsid w:val="006D480E"/>
    <w:rsid w:val="006D4838"/>
    <w:rsid w:val="006D4846"/>
    <w:rsid w:val="006D493B"/>
    <w:rsid w:val="006D4A63"/>
    <w:rsid w:val="006D4AEC"/>
    <w:rsid w:val="006D4B41"/>
    <w:rsid w:val="006D4BAC"/>
    <w:rsid w:val="006D4C50"/>
    <w:rsid w:val="006D4C7E"/>
    <w:rsid w:val="006D4D8B"/>
    <w:rsid w:val="006D4D8F"/>
    <w:rsid w:val="006D4DC2"/>
    <w:rsid w:val="006D4DF9"/>
    <w:rsid w:val="006D4E15"/>
    <w:rsid w:val="006D4FA5"/>
    <w:rsid w:val="006D4FD1"/>
    <w:rsid w:val="006D5059"/>
    <w:rsid w:val="006D5164"/>
    <w:rsid w:val="006D51F8"/>
    <w:rsid w:val="006D5270"/>
    <w:rsid w:val="006D52FF"/>
    <w:rsid w:val="006D5346"/>
    <w:rsid w:val="006D537F"/>
    <w:rsid w:val="006D5383"/>
    <w:rsid w:val="006D53DE"/>
    <w:rsid w:val="006D543D"/>
    <w:rsid w:val="006D556F"/>
    <w:rsid w:val="006D564C"/>
    <w:rsid w:val="006D5650"/>
    <w:rsid w:val="006D56DB"/>
    <w:rsid w:val="006D56F3"/>
    <w:rsid w:val="006D5813"/>
    <w:rsid w:val="006D58BC"/>
    <w:rsid w:val="006D58BF"/>
    <w:rsid w:val="006D5940"/>
    <w:rsid w:val="006D594C"/>
    <w:rsid w:val="006D5A84"/>
    <w:rsid w:val="006D5AA0"/>
    <w:rsid w:val="006D5B80"/>
    <w:rsid w:val="006D5C72"/>
    <w:rsid w:val="006D5C8D"/>
    <w:rsid w:val="006D5C9B"/>
    <w:rsid w:val="006D5D11"/>
    <w:rsid w:val="006D5D12"/>
    <w:rsid w:val="006D5D70"/>
    <w:rsid w:val="006D5D9C"/>
    <w:rsid w:val="006D5F10"/>
    <w:rsid w:val="006D5FD8"/>
    <w:rsid w:val="006D607D"/>
    <w:rsid w:val="006D60E3"/>
    <w:rsid w:val="006D6136"/>
    <w:rsid w:val="006D616A"/>
    <w:rsid w:val="006D62B1"/>
    <w:rsid w:val="006D633B"/>
    <w:rsid w:val="006D6424"/>
    <w:rsid w:val="006D6457"/>
    <w:rsid w:val="006D6482"/>
    <w:rsid w:val="006D64B0"/>
    <w:rsid w:val="006D6538"/>
    <w:rsid w:val="006D65D3"/>
    <w:rsid w:val="006D662A"/>
    <w:rsid w:val="006D66A8"/>
    <w:rsid w:val="006D66EE"/>
    <w:rsid w:val="006D6797"/>
    <w:rsid w:val="006D67B8"/>
    <w:rsid w:val="006D68CF"/>
    <w:rsid w:val="006D6973"/>
    <w:rsid w:val="006D697B"/>
    <w:rsid w:val="006D697D"/>
    <w:rsid w:val="006D6AC3"/>
    <w:rsid w:val="006D6BC0"/>
    <w:rsid w:val="006D6C1B"/>
    <w:rsid w:val="006D6C7E"/>
    <w:rsid w:val="006D6CCC"/>
    <w:rsid w:val="006D6CEC"/>
    <w:rsid w:val="006D6D85"/>
    <w:rsid w:val="006D6E4C"/>
    <w:rsid w:val="006D6F2D"/>
    <w:rsid w:val="006D6F7A"/>
    <w:rsid w:val="006D6F99"/>
    <w:rsid w:val="006D7017"/>
    <w:rsid w:val="006D7101"/>
    <w:rsid w:val="006D7110"/>
    <w:rsid w:val="006D712C"/>
    <w:rsid w:val="006D725B"/>
    <w:rsid w:val="006D726A"/>
    <w:rsid w:val="006D7288"/>
    <w:rsid w:val="006D7325"/>
    <w:rsid w:val="006D7393"/>
    <w:rsid w:val="006D73F9"/>
    <w:rsid w:val="006D7414"/>
    <w:rsid w:val="006D742A"/>
    <w:rsid w:val="006D74D2"/>
    <w:rsid w:val="006D7527"/>
    <w:rsid w:val="006D757D"/>
    <w:rsid w:val="006D75F6"/>
    <w:rsid w:val="006D75FE"/>
    <w:rsid w:val="006D762D"/>
    <w:rsid w:val="006D7662"/>
    <w:rsid w:val="006D7755"/>
    <w:rsid w:val="006D77D5"/>
    <w:rsid w:val="006D780F"/>
    <w:rsid w:val="006D7838"/>
    <w:rsid w:val="006D78A2"/>
    <w:rsid w:val="006D78AE"/>
    <w:rsid w:val="006D78C2"/>
    <w:rsid w:val="006D78E1"/>
    <w:rsid w:val="006D79C4"/>
    <w:rsid w:val="006D7A41"/>
    <w:rsid w:val="006D7A45"/>
    <w:rsid w:val="006D7AF3"/>
    <w:rsid w:val="006D7AFA"/>
    <w:rsid w:val="006D7B42"/>
    <w:rsid w:val="006D7B5D"/>
    <w:rsid w:val="006D7B70"/>
    <w:rsid w:val="006D7B7B"/>
    <w:rsid w:val="006D7B97"/>
    <w:rsid w:val="006D7BB2"/>
    <w:rsid w:val="006D7C21"/>
    <w:rsid w:val="006D7C6D"/>
    <w:rsid w:val="006D7CAF"/>
    <w:rsid w:val="006D7E21"/>
    <w:rsid w:val="006D7E38"/>
    <w:rsid w:val="006D7E5D"/>
    <w:rsid w:val="006D7E89"/>
    <w:rsid w:val="006D7ED8"/>
    <w:rsid w:val="006D7EF9"/>
    <w:rsid w:val="006D7F16"/>
    <w:rsid w:val="006E0018"/>
    <w:rsid w:val="006E005A"/>
    <w:rsid w:val="006E02DC"/>
    <w:rsid w:val="006E03A2"/>
    <w:rsid w:val="006E0413"/>
    <w:rsid w:val="006E043E"/>
    <w:rsid w:val="006E0446"/>
    <w:rsid w:val="006E04CF"/>
    <w:rsid w:val="006E04DB"/>
    <w:rsid w:val="006E0569"/>
    <w:rsid w:val="006E05FF"/>
    <w:rsid w:val="006E0622"/>
    <w:rsid w:val="006E0755"/>
    <w:rsid w:val="006E07B1"/>
    <w:rsid w:val="006E07D9"/>
    <w:rsid w:val="006E0878"/>
    <w:rsid w:val="006E0A99"/>
    <w:rsid w:val="006E0ABF"/>
    <w:rsid w:val="006E0ADF"/>
    <w:rsid w:val="006E0B7B"/>
    <w:rsid w:val="006E0BE6"/>
    <w:rsid w:val="006E0C6B"/>
    <w:rsid w:val="006E0C96"/>
    <w:rsid w:val="006E0D56"/>
    <w:rsid w:val="006E0DB7"/>
    <w:rsid w:val="006E0F30"/>
    <w:rsid w:val="006E0F55"/>
    <w:rsid w:val="006E10CF"/>
    <w:rsid w:val="006E110C"/>
    <w:rsid w:val="006E113C"/>
    <w:rsid w:val="006E12F0"/>
    <w:rsid w:val="006E137B"/>
    <w:rsid w:val="006E13F8"/>
    <w:rsid w:val="006E1457"/>
    <w:rsid w:val="006E1469"/>
    <w:rsid w:val="006E1493"/>
    <w:rsid w:val="006E14BB"/>
    <w:rsid w:val="006E165D"/>
    <w:rsid w:val="006E16CC"/>
    <w:rsid w:val="006E170D"/>
    <w:rsid w:val="006E1714"/>
    <w:rsid w:val="006E1858"/>
    <w:rsid w:val="006E18EA"/>
    <w:rsid w:val="006E19E6"/>
    <w:rsid w:val="006E1ADD"/>
    <w:rsid w:val="006E1B45"/>
    <w:rsid w:val="006E1CC7"/>
    <w:rsid w:val="006E1CE4"/>
    <w:rsid w:val="006E1D52"/>
    <w:rsid w:val="006E1D59"/>
    <w:rsid w:val="006E1E94"/>
    <w:rsid w:val="006E1EAD"/>
    <w:rsid w:val="006E210A"/>
    <w:rsid w:val="006E21E6"/>
    <w:rsid w:val="006E21EE"/>
    <w:rsid w:val="006E238E"/>
    <w:rsid w:val="006E24A2"/>
    <w:rsid w:val="006E2518"/>
    <w:rsid w:val="006E252B"/>
    <w:rsid w:val="006E256C"/>
    <w:rsid w:val="006E2671"/>
    <w:rsid w:val="006E2879"/>
    <w:rsid w:val="006E290E"/>
    <w:rsid w:val="006E297F"/>
    <w:rsid w:val="006E2A5F"/>
    <w:rsid w:val="006E2AB7"/>
    <w:rsid w:val="006E2B18"/>
    <w:rsid w:val="006E2B7D"/>
    <w:rsid w:val="006E2BAB"/>
    <w:rsid w:val="006E2BBC"/>
    <w:rsid w:val="006E2C59"/>
    <w:rsid w:val="006E2CA2"/>
    <w:rsid w:val="006E2CE6"/>
    <w:rsid w:val="006E2D29"/>
    <w:rsid w:val="006E2D7F"/>
    <w:rsid w:val="006E2D81"/>
    <w:rsid w:val="006E2DE5"/>
    <w:rsid w:val="006E2E26"/>
    <w:rsid w:val="006E2FC9"/>
    <w:rsid w:val="006E2FDA"/>
    <w:rsid w:val="006E306E"/>
    <w:rsid w:val="006E3086"/>
    <w:rsid w:val="006E30DA"/>
    <w:rsid w:val="006E30EB"/>
    <w:rsid w:val="006E3146"/>
    <w:rsid w:val="006E314D"/>
    <w:rsid w:val="006E3168"/>
    <w:rsid w:val="006E318A"/>
    <w:rsid w:val="006E320B"/>
    <w:rsid w:val="006E3247"/>
    <w:rsid w:val="006E329F"/>
    <w:rsid w:val="006E32A7"/>
    <w:rsid w:val="006E32C2"/>
    <w:rsid w:val="006E32CC"/>
    <w:rsid w:val="006E344A"/>
    <w:rsid w:val="006E348A"/>
    <w:rsid w:val="006E34F7"/>
    <w:rsid w:val="006E3554"/>
    <w:rsid w:val="006E35A0"/>
    <w:rsid w:val="006E3761"/>
    <w:rsid w:val="006E395C"/>
    <w:rsid w:val="006E3AA2"/>
    <w:rsid w:val="006E3C23"/>
    <w:rsid w:val="006E3D64"/>
    <w:rsid w:val="006E3DFC"/>
    <w:rsid w:val="006E3E26"/>
    <w:rsid w:val="006E3E5C"/>
    <w:rsid w:val="006E4017"/>
    <w:rsid w:val="006E41B9"/>
    <w:rsid w:val="006E4250"/>
    <w:rsid w:val="006E425C"/>
    <w:rsid w:val="006E426A"/>
    <w:rsid w:val="006E439A"/>
    <w:rsid w:val="006E4414"/>
    <w:rsid w:val="006E441C"/>
    <w:rsid w:val="006E4434"/>
    <w:rsid w:val="006E4435"/>
    <w:rsid w:val="006E44C9"/>
    <w:rsid w:val="006E44D4"/>
    <w:rsid w:val="006E44EB"/>
    <w:rsid w:val="006E44F5"/>
    <w:rsid w:val="006E454C"/>
    <w:rsid w:val="006E4631"/>
    <w:rsid w:val="006E4696"/>
    <w:rsid w:val="006E46FC"/>
    <w:rsid w:val="006E470C"/>
    <w:rsid w:val="006E4941"/>
    <w:rsid w:val="006E495A"/>
    <w:rsid w:val="006E4B29"/>
    <w:rsid w:val="006E4B4F"/>
    <w:rsid w:val="006E4C03"/>
    <w:rsid w:val="006E4CED"/>
    <w:rsid w:val="006E4CFA"/>
    <w:rsid w:val="006E4D15"/>
    <w:rsid w:val="006E4D63"/>
    <w:rsid w:val="006E4DA0"/>
    <w:rsid w:val="006E4E67"/>
    <w:rsid w:val="006E4E74"/>
    <w:rsid w:val="006E4F51"/>
    <w:rsid w:val="006E4F86"/>
    <w:rsid w:val="006E5055"/>
    <w:rsid w:val="006E5098"/>
    <w:rsid w:val="006E51D7"/>
    <w:rsid w:val="006E5256"/>
    <w:rsid w:val="006E52AB"/>
    <w:rsid w:val="006E531A"/>
    <w:rsid w:val="006E537A"/>
    <w:rsid w:val="006E538B"/>
    <w:rsid w:val="006E541B"/>
    <w:rsid w:val="006E548F"/>
    <w:rsid w:val="006E54AB"/>
    <w:rsid w:val="006E54F2"/>
    <w:rsid w:val="006E5529"/>
    <w:rsid w:val="006E559F"/>
    <w:rsid w:val="006E55A3"/>
    <w:rsid w:val="006E5628"/>
    <w:rsid w:val="006E5675"/>
    <w:rsid w:val="006E56C2"/>
    <w:rsid w:val="006E575B"/>
    <w:rsid w:val="006E5779"/>
    <w:rsid w:val="006E57C8"/>
    <w:rsid w:val="006E5851"/>
    <w:rsid w:val="006E5893"/>
    <w:rsid w:val="006E5991"/>
    <w:rsid w:val="006E59B3"/>
    <w:rsid w:val="006E59D4"/>
    <w:rsid w:val="006E59FE"/>
    <w:rsid w:val="006E5A39"/>
    <w:rsid w:val="006E5AAE"/>
    <w:rsid w:val="006E5B13"/>
    <w:rsid w:val="006E5BCF"/>
    <w:rsid w:val="006E5BF2"/>
    <w:rsid w:val="006E5C54"/>
    <w:rsid w:val="006E5C57"/>
    <w:rsid w:val="006E5CBD"/>
    <w:rsid w:val="006E5D7E"/>
    <w:rsid w:val="006E5D94"/>
    <w:rsid w:val="006E5DD6"/>
    <w:rsid w:val="006E5E24"/>
    <w:rsid w:val="006E5E8A"/>
    <w:rsid w:val="006E5F13"/>
    <w:rsid w:val="006E5FDF"/>
    <w:rsid w:val="006E604E"/>
    <w:rsid w:val="006E60BB"/>
    <w:rsid w:val="006E611E"/>
    <w:rsid w:val="006E61C0"/>
    <w:rsid w:val="006E61CE"/>
    <w:rsid w:val="006E6332"/>
    <w:rsid w:val="006E63BB"/>
    <w:rsid w:val="006E63C2"/>
    <w:rsid w:val="006E63F9"/>
    <w:rsid w:val="006E6404"/>
    <w:rsid w:val="006E6488"/>
    <w:rsid w:val="006E6524"/>
    <w:rsid w:val="006E65D0"/>
    <w:rsid w:val="006E6682"/>
    <w:rsid w:val="006E6716"/>
    <w:rsid w:val="006E671A"/>
    <w:rsid w:val="006E671B"/>
    <w:rsid w:val="006E6744"/>
    <w:rsid w:val="006E68DC"/>
    <w:rsid w:val="006E69DD"/>
    <w:rsid w:val="006E6A89"/>
    <w:rsid w:val="006E6ADF"/>
    <w:rsid w:val="006E6BFA"/>
    <w:rsid w:val="006E6C27"/>
    <w:rsid w:val="006E6C81"/>
    <w:rsid w:val="006E6CAE"/>
    <w:rsid w:val="006E6D8D"/>
    <w:rsid w:val="006E6E12"/>
    <w:rsid w:val="006E6EC7"/>
    <w:rsid w:val="006E6EFE"/>
    <w:rsid w:val="006E6F93"/>
    <w:rsid w:val="006E6FD3"/>
    <w:rsid w:val="006E7019"/>
    <w:rsid w:val="006E7125"/>
    <w:rsid w:val="006E71E9"/>
    <w:rsid w:val="006E7239"/>
    <w:rsid w:val="006E7244"/>
    <w:rsid w:val="006E7257"/>
    <w:rsid w:val="006E72AD"/>
    <w:rsid w:val="006E72CC"/>
    <w:rsid w:val="006E736D"/>
    <w:rsid w:val="006E7394"/>
    <w:rsid w:val="006E73A1"/>
    <w:rsid w:val="006E73AC"/>
    <w:rsid w:val="006E73FF"/>
    <w:rsid w:val="006E7416"/>
    <w:rsid w:val="006E7581"/>
    <w:rsid w:val="006E7585"/>
    <w:rsid w:val="006E7601"/>
    <w:rsid w:val="006E7673"/>
    <w:rsid w:val="006E7696"/>
    <w:rsid w:val="006E769A"/>
    <w:rsid w:val="006E76B1"/>
    <w:rsid w:val="006E76BD"/>
    <w:rsid w:val="006E774A"/>
    <w:rsid w:val="006E7793"/>
    <w:rsid w:val="006E7915"/>
    <w:rsid w:val="006E79D1"/>
    <w:rsid w:val="006E7A4D"/>
    <w:rsid w:val="006E7A6E"/>
    <w:rsid w:val="006E7A85"/>
    <w:rsid w:val="006E7ACB"/>
    <w:rsid w:val="006E7AE9"/>
    <w:rsid w:val="006E7B17"/>
    <w:rsid w:val="006E7B3B"/>
    <w:rsid w:val="006E7BF1"/>
    <w:rsid w:val="006E7D61"/>
    <w:rsid w:val="006E7E07"/>
    <w:rsid w:val="006E7E3E"/>
    <w:rsid w:val="006E7E42"/>
    <w:rsid w:val="006E7ECD"/>
    <w:rsid w:val="006E7F98"/>
    <w:rsid w:val="006F00CB"/>
    <w:rsid w:val="006F0124"/>
    <w:rsid w:val="006F021F"/>
    <w:rsid w:val="006F027A"/>
    <w:rsid w:val="006F02A5"/>
    <w:rsid w:val="006F0306"/>
    <w:rsid w:val="006F0329"/>
    <w:rsid w:val="006F0416"/>
    <w:rsid w:val="006F04C3"/>
    <w:rsid w:val="006F0590"/>
    <w:rsid w:val="006F05AE"/>
    <w:rsid w:val="006F0623"/>
    <w:rsid w:val="006F0681"/>
    <w:rsid w:val="006F06F3"/>
    <w:rsid w:val="006F077D"/>
    <w:rsid w:val="006F07CD"/>
    <w:rsid w:val="006F08A1"/>
    <w:rsid w:val="006F08F0"/>
    <w:rsid w:val="006F0906"/>
    <w:rsid w:val="006F0958"/>
    <w:rsid w:val="006F0A73"/>
    <w:rsid w:val="006F0A8C"/>
    <w:rsid w:val="006F0A90"/>
    <w:rsid w:val="006F0AC9"/>
    <w:rsid w:val="006F0AD3"/>
    <w:rsid w:val="006F0B30"/>
    <w:rsid w:val="006F0B31"/>
    <w:rsid w:val="006F0C3A"/>
    <w:rsid w:val="006F0C75"/>
    <w:rsid w:val="006F0CE3"/>
    <w:rsid w:val="006F0D1A"/>
    <w:rsid w:val="006F0D1B"/>
    <w:rsid w:val="006F0D3C"/>
    <w:rsid w:val="006F0D5C"/>
    <w:rsid w:val="006F0D62"/>
    <w:rsid w:val="006F0DAA"/>
    <w:rsid w:val="006F0DF1"/>
    <w:rsid w:val="006F0E48"/>
    <w:rsid w:val="006F1066"/>
    <w:rsid w:val="006F10C7"/>
    <w:rsid w:val="006F10CD"/>
    <w:rsid w:val="006F11CA"/>
    <w:rsid w:val="006F11D8"/>
    <w:rsid w:val="006F13AE"/>
    <w:rsid w:val="006F1401"/>
    <w:rsid w:val="006F1632"/>
    <w:rsid w:val="006F163A"/>
    <w:rsid w:val="006F1756"/>
    <w:rsid w:val="006F175D"/>
    <w:rsid w:val="006F1808"/>
    <w:rsid w:val="006F182F"/>
    <w:rsid w:val="006F18BE"/>
    <w:rsid w:val="006F1982"/>
    <w:rsid w:val="006F19CE"/>
    <w:rsid w:val="006F1B1A"/>
    <w:rsid w:val="006F1B8E"/>
    <w:rsid w:val="006F1C07"/>
    <w:rsid w:val="006F1C13"/>
    <w:rsid w:val="006F1C2E"/>
    <w:rsid w:val="006F1CB7"/>
    <w:rsid w:val="006F1E6B"/>
    <w:rsid w:val="006F1EDB"/>
    <w:rsid w:val="006F1F52"/>
    <w:rsid w:val="006F1F5B"/>
    <w:rsid w:val="006F20CC"/>
    <w:rsid w:val="006F2122"/>
    <w:rsid w:val="006F213B"/>
    <w:rsid w:val="006F21ED"/>
    <w:rsid w:val="006F229F"/>
    <w:rsid w:val="006F22A0"/>
    <w:rsid w:val="006F2470"/>
    <w:rsid w:val="006F250D"/>
    <w:rsid w:val="006F2577"/>
    <w:rsid w:val="006F26A2"/>
    <w:rsid w:val="006F26B6"/>
    <w:rsid w:val="006F275A"/>
    <w:rsid w:val="006F2806"/>
    <w:rsid w:val="006F28A2"/>
    <w:rsid w:val="006F28D0"/>
    <w:rsid w:val="006F298E"/>
    <w:rsid w:val="006F29AC"/>
    <w:rsid w:val="006F2A49"/>
    <w:rsid w:val="006F2A77"/>
    <w:rsid w:val="006F2A92"/>
    <w:rsid w:val="006F2A98"/>
    <w:rsid w:val="006F2AE0"/>
    <w:rsid w:val="006F2B4B"/>
    <w:rsid w:val="006F2B6E"/>
    <w:rsid w:val="006F2B79"/>
    <w:rsid w:val="006F2C5B"/>
    <w:rsid w:val="006F2CE9"/>
    <w:rsid w:val="006F2D6F"/>
    <w:rsid w:val="006F2DB2"/>
    <w:rsid w:val="006F2DC0"/>
    <w:rsid w:val="006F2E6A"/>
    <w:rsid w:val="006F2E83"/>
    <w:rsid w:val="006F2F55"/>
    <w:rsid w:val="006F3007"/>
    <w:rsid w:val="006F300F"/>
    <w:rsid w:val="006F3015"/>
    <w:rsid w:val="006F30B2"/>
    <w:rsid w:val="006F311E"/>
    <w:rsid w:val="006F311F"/>
    <w:rsid w:val="006F3163"/>
    <w:rsid w:val="006F323E"/>
    <w:rsid w:val="006F323F"/>
    <w:rsid w:val="006F3310"/>
    <w:rsid w:val="006F331E"/>
    <w:rsid w:val="006F332C"/>
    <w:rsid w:val="006F340B"/>
    <w:rsid w:val="006F341C"/>
    <w:rsid w:val="006F3421"/>
    <w:rsid w:val="006F3456"/>
    <w:rsid w:val="006F351A"/>
    <w:rsid w:val="006F3543"/>
    <w:rsid w:val="006F354C"/>
    <w:rsid w:val="006F3580"/>
    <w:rsid w:val="006F35E0"/>
    <w:rsid w:val="006F3658"/>
    <w:rsid w:val="006F369D"/>
    <w:rsid w:val="006F3793"/>
    <w:rsid w:val="006F37D9"/>
    <w:rsid w:val="006F37EA"/>
    <w:rsid w:val="006F3851"/>
    <w:rsid w:val="006F3999"/>
    <w:rsid w:val="006F39D0"/>
    <w:rsid w:val="006F39E5"/>
    <w:rsid w:val="006F39ED"/>
    <w:rsid w:val="006F3A46"/>
    <w:rsid w:val="006F3AE2"/>
    <w:rsid w:val="006F3B14"/>
    <w:rsid w:val="006F3B34"/>
    <w:rsid w:val="006F3B35"/>
    <w:rsid w:val="006F3D23"/>
    <w:rsid w:val="006F3D4A"/>
    <w:rsid w:val="006F3E30"/>
    <w:rsid w:val="006F3E74"/>
    <w:rsid w:val="006F3F4E"/>
    <w:rsid w:val="006F3F7A"/>
    <w:rsid w:val="006F3FE6"/>
    <w:rsid w:val="006F40EF"/>
    <w:rsid w:val="006F4175"/>
    <w:rsid w:val="006F4250"/>
    <w:rsid w:val="006F4257"/>
    <w:rsid w:val="006F42F4"/>
    <w:rsid w:val="006F4311"/>
    <w:rsid w:val="006F4363"/>
    <w:rsid w:val="006F4404"/>
    <w:rsid w:val="006F440C"/>
    <w:rsid w:val="006F444E"/>
    <w:rsid w:val="006F44FF"/>
    <w:rsid w:val="006F45AF"/>
    <w:rsid w:val="006F45DB"/>
    <w:rsid w:val="006F463C"/>
    <w:rsid w:val="006F464E"/>
    <w:rsid w:val="006F46B3"/>
    <w:rsid w:val="006F46BA"/>
    <w:rsid w:val="006F4707"/>
    <w:rsid w:val="006F4710"/>
    <w:rsid w:val="006F474E"/>
    <w:rsid w:val="006F4789"/>
    <w:rsid w:val="006F47A1"/>
    <w:rsid w:val="006F487F"/>
    <w:rsid w:val="006F48E8"/>
    <w:rsid w:val="006F492C"/>
    <w:rsid w:val="006F4995"/>
    <w:rsid w:val="006F49AA"/>
    <w:rsid w:val="006F49C6"/>
    <w:rsid w:val="006F4A30"/>
    <w:rsid w:val="006F4A43"/>
    <w:rsid w:val="006F4A84"/>
    <w:rsid w:val="006F4ABA"/>
    <w:rsid w:val="006F4B47"/>
    <w:rsid w:val="006F4B71"/>
    <w:rsid w:val="006F4BB6"/>
    <w:rsid w:val="006F4C12"/>
    <w:rsid w:val="006F4C9F"/>
    <w:rsid w:val="006F4E32"/>
    <w:rsid w:val="006F4E49"/>
    <w:rsid w:val="006F4EB3"/>
    <w:rsid w:val="006F4ECA"/>
    <w:rsid w:val="006F4F99"/>
    <w:rsid w:val="006F4FF7"/>
    <w:rsid w:val="006F50A1"/>
    <w:rsid w:val="006F50A7"/>
    <w:rsid w:val="006F50B2"/>
    <w:rsid w:val="006F5104"/>
    <w:rsid w:val="006F514B"/>
    <w:rsid w:val="006F5196"/>
    <w:rsid w:val="006F51B9"/>
    <w:rsid w:val="006F525A"/>
    <w:rsid w:val="006F5351"/>
    <w:rsid w:val="006F536C"/>
    <w:rsid w:val="006F53A9"/>
    <w:rsid w:val="006F5462"/>
    <w:rsid w:val="006F54D5"/>
    <w:rsid w:val="006F54EE"/>
    <w:rsid w:val="006F55CB"/>
    <w:rsid w:val="006F560B"/>
    <w:rsid w:val="006F565D"/>
    <w:rsid w:val="006F56AF"/>
    <w:rsid w:val="006F57C8"/>
    <w:rsid w:val="006F583A"/>
    <w:rsid w:val="006F584F"/>
    <w:rsid w:val="006F5969"/>
    <w:rsid w:val="006F5980"/>
    <w:rsid w:val="006F5982"/>
    <w:rsid w:val="006F598D"/>
    <w:rsid w:val="006F59AD"/>
    <w:rsid w:val="006F59B3"/>
    <w:rsid w:val="006F5A0F"/>
    <w:rsid w:val="006F5A82"/>
    <w:rsid w:val="006F5ACB"/>
    <w:rsid w:val="006F5ADC"/>
    <w:rsid w:val="006F5BED"/>
    <w:rsid w:val="006F5CEB"/>
    <w:rsid w:val="006F5D3D"/>
    <w:rsid w:val="006F5D60"/>
    <w:rsid w:val="006F5DD2"/>
    <w:rsid w:val="006F5DF7"/>
    <w:rsid w:val="006F5EFA"/>
    <w:rsid w:val="006F5F6A"/>
    <w:rsid w:val="006F5FE8"/>
    <w:rsid w:val="006F6054"/>
    <w:rsid w:val="006F60C9"/>
    <w:rsid w:val="006F60DE"/>
    <w:rsid w:val="006F610F"/>
    <w:rsid w:val="006F616D"/>
    <w:rsid w:val="006F6269"/>
    <w:rsid w:val="006F62A9"/>
    <w:rsid w:val="006F62AC"/>
    <w:rsid w:val="006F6337"/>
    <w:rsid w:val="006F63DA"/>
    <w:rsid w:val="006F653C"/>
    <w:rsid w:val="006F6551"/>
    <w:rsid w:val="006F6563"/>
    <w:rsid w:val="006F65D9"/>
    <w:rsid w:val="006F65E6"/>
    <w:rsid w:val="006F6634"/>
    <w:rsid w:val="006F6640"/>
    <w:rsid w:val="006F66D5"/>
    <w:rsid w:val="006F6864"/>
    <w:rsid w:val="006F68A9"/>
    <w:rsid w:val="006F68D3"/>
    <w:rsid w:val="006F690B"/>
    <w:rsid w:val="006F6920"/>
    <w:rsid w:val="006F69A1"/>
    <w:rsid w:val="006F69A8"/>
    <w:rsid w:val="006F69B0"/>
    <w:rsid w:val="006F69D5"/>
    <w:rsid w:val="006F6B5F"/>
    <w:rsid w:val="006F6BE0"/>
    <w:rsid w:val="006F6C1C"/>
    <w:rsid w:val="006F6C4B"/>
    <w:rsid w:val="006F6C56"/>
    <w:rsid w:val="006F6C62"/>
    <w:rsid w:val="006F6C94"/>
    <w:rsid w:val="006F6CB7"/>
    <w:rsid w:val="006F6CBA"/>
    <w:rsid w:val="006F6D91"/>
    <w:rsid w:val="006F6DFE"/>
    <w:rsid w:val="006F6E04"/>
    <w:rsid w:val="006F6E88"/>
    <w:rsid w:val="006F6E9C"/>
    <w:rsid w:val="006F6EAE"/>
    <w:rsid w:val="006F6F8E"/>
    <w:rsid w:val="006F70AD"/>
    <w:rsid w:val="006F710B"/>
    <w:rsid w:val="006F71A5"/>
    <w:rsid w:val="006F720F"/>
    <w:rsid w:val="006F72BC"/>
    <w:rsid w:val="006F72F1"/>
    <w:rsid w:val="006F7336"/>
    <w:rsid w:val="006F73DB"/>
    <w:rsid w:val="006F7544"/>
    <w:rsid w:val="006F754F"/>
    <w:rsid w:val="006F75B7"/>
    <w:rsid w:val="006F75D8"/>
    <w:rsid w:val="006F75E5"/>
    <w:rsid w:val="006F7653"/>
    <w:rsid w:val="006F7665"/>
    <w:rsid w:val="006F77F9"/>
    <w:rsid w:val="006F789B"/>
    <w:rsid w:val="006F7900"/>
    <w:rsid w:val="006F7A31"/>
    <w:rsid w:val="006F7A9B"/>
    <w:rsid w:val="006F7B4E"/>
    <w:rsid w:val="006F7C40"/>
    <w:rsid w:val="006F7C4E"/>
    <w:rsid w:val="006F7C94"/>
    <w:rsid w:val="006F7CEC"/>
    <w:rsid w:val="006F7D3D"/>
    <w:rsid w:val="006F7D63"/>
    <w:rsid w:val="006F7DA8"/>
    <w:rsid w:val="006F7DF1"/>
    <w:rsid w:val="006F7E0A"/>
    <w:rsid w:val="006F7E3A"/>
    <w:rsid w:val="006F7E57"/>
    <w:rsid w:val="006F7E6C"/>
    <w:rsid w:val="006F7EE5"/>
    <w:rsid w:val="006F7EFC"/>
    <w:rsid w:val="006F7F70"/>
    <w:rsid w:val="006F7F95"/>
    <w:rsid w:val="006F7FCE"/>
    <w:rsid w:val="00700047"/>
    <w:rsid w:val="00700091"/>
    <w:rsid w:val="007000EF"/>
    <w:rsid w:val="00700101"/>
    <w:rsid w:val="007001AD"/>
    <w:rsid w:val="0070024A"/>
    <w:rsid w:val="00700269"/>
    <w:rsid w:val="007002F2"/>
    <w:rsid w:val="00700319"/>
    <w:rsid w:val="0070041C"/>
    <w:rsid w:val="00700470"/>
    <w:rsid w:val="007004CB"/>
    <w:rsid w:val="007005AC"/>
    <w:rsid w:val="00700656"/>
    <w:rsid w:val="0070065B"/>
    <w:rsid w:val="00700671"/>
    <w:rsid w:val="00700683"/>
    <w:rsid w:val="007006D9"/>
    <w:rsid w:val="0070079F"/>
    <w:rsid w:val="0070085F"/>
    <w:rsid w:val="007008AD"/>
    <w:rsid w:val="007008FA"/>
    <w:rsid w:val="007009C3"/>
    <w:rsid w:val="00700A31"/>
    <w:rsid w:val="00700A49"/>
    <w:rsid w:val="00700C98"/>
    <w:rsid w:val="00700D84"/>
    <w:rsid w:val="00700D85"/>
    <w:rsid w:val="00700D96"/>
    <w:rsid w:val="00700E17"/>
    <w:rsid w:val="00700EB7"/>
    <w:rsid w:val="00700F4C"/>
    <w:rsid w:val="00700FF7"/>
    <w:rsid w:val="0070115E"/>
    <w:rsid w:val="00701262"/>
    <w:rsid w:val="00701285"/>
    <w:rsid w:val="00701291"/>
    <w:rsid w:val="007012B5"/>
    <w:rsid w:val="0070131C"/>
    <w:rsid w:val="00701334"/>
    <w:rsid w:val="00701407"/>
    <w:rsid w:val="00701409"/>
    <w:rsid w:val="0070147A"/>
    <w:rsid w:val="0070155E"/>
    <w:rsid w:val="0070157F"/>
    <w:rsid w:val="0070176D"/>
    <w:rsid w:val="00701861"/>
    <w:rsid w:val="007018C8"/>
    <w:rsid w:val="0070196F"/>
    <w:rsid w:val="00701978"/>
    <w:rsid w:val="007019A6"/>
    <w:rsid w:val="00701A99"/>
    <w:rsid w:val="00701A9E"/>
    <w:rsid w:val="00701AEB"/>
    <w:rsid w:val="00701BEB"/>
    <w:rsid w:val="00701BF6"/>
    <w:rsid w:val="00701C58"/>
    <w:rsid w:val="00701C8C"/>
    <w:rsid w:val="00701D6C"/>
    <w:rsid w:val="00701DDA"/>
    <w:rsid w:val="00701E08"/>
    <w:rsid w:val="00701E58"/>
    <w:rsid w:val="00701EF1"/>
    <w:rsid w:val="00701F50"/>
    <w:rsid w:val="00701FD3"/>
    <w:rsid w:val="007020B5"/>
    <w:rsid w:val="0070218A"/>
    <w:rsid w:val="00702214"/>
    <w:rsid w:val="007022AC"/>
    <w:rsid w:val="007022CD"/>
    <w:rsid w:val="007022F0"/>
    <w:rsid w:val="0070235B"/>
    <w:rsid w:val="007023F4"/>
    <w:rsid w:val="00702417"/>
    <w:rsid w:val="00702439"/>
    <w:rsid w:val="00702445"/>
    <w:rsid w:val="0070245E"/>
    <w:rsid w:val="00702464"/>
    <w:rsid w:val="007024C8"/>
    <w:rsid w:val="007024FE"/>
    <w:rsid w:val="00702555"/>
    <w:rsid w:val="007025CB"/>
    <w:rsid w:val="007025F4"/>
    <w:rsid w:val="00702656"/>
    <w:rsid w:val="007026AC"/>
    <w:rsid w:val="007026DF"/>
    <w:rsid w:val="007026EE"/>
    <w:rsid w:val="007026FB"/>
    <w:rsid w:val="0070270F"/>
    <w:rsid w:val="00702791"/>
    <w:rsid w:val="00702826"/>
    <w:rsid w:val="00702918"/>
    <w:rsid w:val="007029EA"/>
    <w:rsid w:val="00702A12"/>
    <w:rsid w:val="00702B0C"/>
    <w:rsid w:val="00702CCB"/>
    <w:rsid w:val="00702D4C"/>
    <w:rsid w:val="00702DC8"/>
    <w:rsid w:val="00702EF2"/>
    <w:rsid w:val="00702F44"/>
    <w:rsid w:val="00702F7A"/>
    <w:rsid w:val="00703023"/>
    <w:rsid w:val="0070308D"/>
    <w:rsid w:val="0070317B"/>
    <w:rsid w:val="007031C2"/>
    <w:rsid w:val="007031F6"/>
    <w:rsid w:val="0070321F"/>
    <w:rsid w:val="007032EE"/>
    <w:rsid w:val="0070340D"/>
    <w:rsid w:val="00703475"/>
    <w:rsid w:val="007034F5"/>
    <w:rsid w:val="00703538"/>
    <w:rsid w:val="007035AA"/>
    <w:rsid w:val="007035E1"/>
    <w:rsid w:val="007035E5"/>
    <w:rsid w:val="0070367E"/>
    <w:rsid w:val="007036B7"/>
    <w:rsid w:val="007036EB"/>
    <w:rsid w:val="0070379F"/>
    <w:rsid w:val="007037DB"/>
    <w:rsid w:val="00703868"/>
    <w:rsid w:val="007039AE"/>
    <w:rsid w:val="007039AF"/>
    <w:rsid w:val="00703AA3"/>
    <w:rsid w:val="00703AD7"/>
    <w:rsid w:val="00703ADE"/>
    <w:rsid w:val="00703AFE"/>
    <w:rsid w:val="00703B14"/>
    <w:rsid w:val="00703B3C"/>
    <w:rsid w:val="00703BE9"/>
    <w:rsid w:val="00703C1C"/>
    <w:rsid w:val="00703C69"/>
    <w:rsid w:val="00703CE9"/>
    <w:rsid w:val="00703D15"/>
    <w:rsid w:val="00703D2E"/>
    <w:rsid w:val="00703DA3"/>
    <w:rsid w:val="00703E69"/>
    <w:rsid w:val="00703F84"/>
    <w:rsid w:val="00703FBF"/>
    <w:rsid w:val="00703FEA"/>
    <w:rsid w:val="00704041"/>
    <w:rsid w:val="00704064"/>
    <w:rsid w:val="007040F0"/>
    <w:rsid w:val="007040F2"/>
    <w:rsid w:val="00704389"/>
    <w:rsid w:val="00704415"/>
    <w:rsid w:val="00704480"/>
    <w:rsid w:val="00704494"/>
    <w:rsid w:val="007044FC"/>
    <w:rsid w:val="00704502"/>
    <w:rsid w:val="00704508"/>
    <w:rsid w:val="00704535"/>
    <w:rsid w:val="007045A5"/>
    <w:rsid w:val="00704643"/>
    <w:rsid w:val="00704659"/>
    <w:rsid w:val="007046CD"/>
    <w:rsid w:val="007046F9"/>
    <w:rsid w:val="00704772"/>
    <w:rsid w:val="007047C0"/>
    <w:rsid w:val="00704957"/>
    <w:rsid w:val="00704975"/>
    <w:rsid w:val="00704ABC"/>
    <w:rsid w:val="00704B04"/>
    <w:rsid w:val="00704B71"/>
    <w:rsid w:val="00704BA6"/>
    <w:rsid w:val="00704BCE"/>
    <w:rsid w:val="00704C1B"/>
    <w:rsid w:val="00704D35"/>
    <w:rsid w:val="00704D38"/>
    <w:rsid w:val="00704DE2"/>
    <w:rsid w:val="00704E7B"/>
    <w:rsid w:val="00704EA9"/>
    <w:rsid w:val="00704EBC"/>
    <w:rsid w:val="00704ECA"/>
    <w:rsid w:val="00704F47"/>
    <w:rsid w:val="00705022"/>
    <w:rsid w:val="00705221"/>
    <w:rsid w:val="00705290"/>
    <w:rsid w:val="0070530B"/>
    <w:rsid w:val="00705331"/>
    <w:rsid w:val="00705373"/>
    <w:rsid w:val="007053C1"/>
    <w:rsid w:val="007053E8"/>
    <w:rsid w:val="00705498"/>
    <w:rsid w:val="007054BA"/>
    <w:rsid w:val="00705510"/>
    <w:rsid w:val="0070552C"/>
    <w:rsid w:val="007055C8"/>
    <w:rsid w:val="00705683"/>
    <w:rsid w:val="00705694"/>
    <w:rsid w:val="00705698"/>
    <w:rsid w:val="007056D7"/>
    <w:rsid w:val="007058D3"/>
    <w:rsid w:val="0070591A"/>
    <w:rsid w:val="00705924"/>
    <w:rsid w:val="007059F8"/>
    <w:rsid w:val="00705A17"/>
    <w:rsid w:val="00705A38"/>
    <w:rsid w:val="00705A49"/>
    <w:rsid w:val="00705AF0"/>
    <w:rsid w:val="00705B1C"/>
    <w:rsid w:val="00705B67"/>
    <w:rsid w:val="00705B80"/>
    <w:rsid w:val="00705BAC"/>
    <w:rsid w:val="00705CFC"/>
    <w:rsid w:val="00705D2E"/>
    <w:rsid w:val="00705D37"/>
    <w:rsid w:val="00705EC0"/>
    <w:rsid w:val="00705EE0"/>
    <w:rsid w:val="00705F2C"/>
    <w:rsid w:val="00705F4E"/>
    <w:rsid w:val="00705FF6"/>
    <w:rsid w:val="0070605E"/>
    <w:rsid w:val="007060D2"/>
    <w:rsid w:val="00706176"/>
    <w:rsid w:val="007061FC"/>
    <w:rsid w:val="00706229"/>
    <w:rsid w:val="00706291"/>
    <w:rsid w:val="007062EE"/>
    <w:rsid w:val="0070630C"/>
    <w:rsid w:val="00706325"/>
    <w:rsid w:val="00706430"/>
    <w:rsid w:val="0070643B"/>
    <w:rsid w:val="0070658A"/>
    <w:rsid w:val="007065CC"/>
    <w:rsid w:val="00706612"/>
    <w:rsid w:val="00706666"/>
    <w:rsid w:val="00706679"/>
    <w:rsid w:val="0070667F"/>
    <w:rsid w:val="0070682D"/>
    <w:rsid w:val="00706857"/>
    <w:rsid w:val="007068E4"/>
    <w:rsid w:val="007069FB"/>
    <w:rsid w:val="00706AAA"/>
    <w:rsid w:val="00706ACA"/>
    <w:rsid w:val="00706C32"/>
    <w:rsid w:val="00706C68"/>
    <w:rsid w:val="00706D65"/>
    <w:rsid w:val="00706DE1"/>
    <w:rsid w:val="00706E08"/>
    <w:rsid w:val="00706E48"/>
    <w:rsid w:val="00706EDE"/>
    <w:rsid w:val="00706FA4"/>
    <w:rsid w:val="0070701B"/>
    <w:rsid w:val="007070BA"/>
    <w:rsid w:val="007071C7"/>
    <w:rsid w:val="007071EF"/>
    <w:rsid w:val="00707205"/>
    <w:rsid w:val="0070721E"/>
    <w:rsid w:val="0070722F"/>
    <w:rsid w:val="00707257"/>
    <w:rsid w:val="007072C9"/>
    <w:rsid w:val="00707305"/>
    <w:rsid w:val="0070735C"/>
    <w:rsid w:val="0070742C"/>
    <w:rsid w:val="0070749E"/>
    <w:rsid w:val="0070756C"/>
    <w:rsid w:val="00707599"/>
    <w:rsid w:val="0070759C"/>
    <w:rsid w:val="0070765B"/>
    <w:rsid w:val="007076EF"/>
    <w:rsid w:val="0070774F"/>
    <w:rsid w:val="00707801"/>
    <w:rsid w:val="0070782F"/>
    <w:rsid w:val="00707AB9"/>
    <w:rsid w:val="00707B87"/>
    <w:rsid w:val="00707BE7"/>
    <w:rsid w:val="00707BE9"/>
    <w:rsid w:val="00707C2A"/>
    <w:rsid w:val="00707C4B"/>
    <w:rsid w:val="00707C58"/>
    <w:rsid w:val="00707C94"/>
    <w:rsid w:val="00707C9B"/>
    <w:rsid w:val="00707CC2"/>
    <w:rsid w:val="00707D0F"/>
    <w:rsid w:val="00707DB7"/>
    <w:rsid w:val="00707DF3"/>
    <w:rsid w:val="00707E6C"/>
    <w:rsid w:val="00707F76"/>
    <w:rsid w:val="00707FFA"/>
    <w:rsid w:val="00710075"/>
    <w:rsid w:val="00710089"/>
    <w:rsid w:val="007100AC"/>
    <w:rsid w:val="007100F5"/>
    <w:rsid w:val="007101AE"/>
    <w:rsid w:val="00710242"/>
    <w:rsid w:val="00710352"/>
    <w:rsid w:val="007103A7"/>
    <w:rsid w:val="007103C7"/>
    <w:rsid w:val="00710405"/>
    <w:rsid w:val="00710422"/>
    <w:rsid w:val="007104A9"/>
    <w:rsid w:val="00710532"/>
    <w:rsid w:val="00710567"/>
    <w:rsid w:val="00710643"/>
    <w:rsid w:val="007106B0"/>
    <w:rsid w:val="00710A3F"/>
    <w:rsid w:val="00710B7F"/>
    <w:rsid w:val="00710C64"/>
    <w:rsid w:val="00710CF4"/>
    <w:rsid w:val="00710D6B"/>
    <w:rsid w:val="00710D71"/>
    <w:rsid w:val="00710DE0"/>
    <w:rsid w:val="00710E1D"/>
    <w:rsid w:val="00710E36"/>
    <w:rsid w:val="00710E65"/>
    <w:rsid w:val="00710E9E"/>
    <w:rsid w:val="00710FF2"/>
    <w:rsid w:val="00710FF4"/>
    <w:rsid w:val="00711125"/>
    <w:rsid w:val="00711305"/>
    <w:rsid w:val="0071132A"/>
    <w:rsid w:val="00711364"/>
    <w:rsid w:val="00711724"/>
    <w:rsid w:val="0071173F"/>
    <w:rsid w:val="00711761"/>
    <w:rsid w:val="007117AD"/>
    <w:rsid w:val="007117F4"/>
    <w:rsid w:val="0071186F"/>
    <w:rsid w:val="00711887"/>
    <w:rsid w:val="007118AC"/>
    <w:rsid w:val="00711961"/>
    <w:rsid w:val="00711973"/>
    <w:rsid w:val="0071198C"/>
    <w:rsid w:val="00711A1A"/>
    <w:rsid w:val="00711AB5"/>
    <w:rsid w:val="00711AB7"/>
    <w:rsid w:val="00711AFB"/>
    <w:rsid w:val="00711B4F"/>
    <w:rsid w:val="00711B84"/>
    <w:rsid w:val="00711C60"/>
    <w:rsid w:val="00711C77"/>
    <w:rsid w:val="00711D9C"/>
    <w:rsid w:val="00711E4D"/>
    <w:rsid w:val="00711E77"/>
    <w:rsid w:val="00711EF3"/>
    <w:rsid w:val="00711EFB"/>
    <w:rsid w:val="00711FDD"/>
    <w:rsid w:val="00712017"/>
    <w:rsid w:val="0071209D"/>
    <w:rsid w:val="00712144"/>
    <w:rsid w:val="00712150"/>
    <w:rsid w:val="00712156"/>
    <w:rsid w:val="00712204"/>
    <w:rsid w:val="00712237"/>
    <w:rsid w:val="007122A6"/>
    <w:rsid w:val="0071238A"/>
    <w:rsid w:val="007124CC"/>
    <w:rsid w:val="007124D7"/>
    <w:rsid w:val="007125F4"/>
    <w:rsid w:val="00712600"/>
    <w:rsid w:val="007126AB"/>
    <w:rsid w:val="007126D8"/>
    <w:rsid w:val="00712792"/>
    <w:rsid w:val="00712799"/>
    <w:rsid w:val="00712804"/>
    <w:rsid w:val="00712858"/>
    <w:rsid w:val="007128A6"/>
    <w:rsid w:val="007128CA"/>
    <w:rsid w:val="007128CD"/>
    <w:rsid w:val="007128E2"/>
    <w:rsid w:val="007129C5"/>
    <w:rsid w:val="00712B79"/>
    <w:rsid w:val="00712B81"/>
    <w:rsid w:val="00712B9B"/>
    <w:rsid w:val="00712BEB"/>
    <w:rsid w:val="00712BF3"/>
    <w:rsid w:val="00712BFF"/>
    <w:rsid w:val="00712C69"/>
    <w:rsid w:val="00712D0D"/>
    <w:rsid w:val="00712DF7"/>
    <w:rsid w:val="00712E09"/>
    <w:rsid w:val="00712E6C"/>
    <w:rsid w:val="00712F01"/>
    <w:rsid w:val="00712FE8"/>
    <w:rsid w:val="007130D0"/>
    <w:rsid w:val="007130F2"/>
    <w:rsid w:val="00713190"/>
    <w:rsid w:val="007131D3"/>
    <w:rsid w:val="00713357"/>
    <w:rsid w:val="0071338E"/>
    <w:rsid w:val="00713395"/>
    <w:rsid w:val="0071339C"/>
    <w:rsid w:val="007133A0"/>
    <w:rsid w:val="0071349B"/>
    <w:rsid w:val="00713512"/>
    <w:rsid w:val="00713596"/>
    <w:rsid w:val="007136E2"/>
    <w:rsid w:val="0071372B"/>
    <w:rsid w:val="0071373B"/>
    <w:rsid w:val="00713806"/>
    <w:rsid w:val="00713807"/>
    <w:rsid w:val="00713809"/>
    <w:rsid w:val="0071383A"/>
    <w:rsid w:val="0071383E"/>
    <w:rsid w:val="007138AF"/>
    <w:rsid w:val="007138DC"/>
    <w:rsid w:val="007139DD"/>
    <w:rsid w:val="00713A51"/>
    <w:rsid w:val="00713A9A"/>
    <w:rsid w:val="00713B3F"/>
    <w:rsid w:val="00713B88"/>
    <w:rsid w:val="00713C43"/>
    <w:rsid w:val="00713D0A"/>
    <w:rsid w:val="00713D10"/>
    <w:rsid w:val="00713DC1"/>
    <w:rsid w:val="00713E31"/>
    <w:rsid w:val="00713E61"/>
    <w:rsid w:val="00713F79"/>
    <w:rsid w:val="00714082"/>
    <w:rsid w:val="00714114"/>
    <w:rsid w:val="00714117"/>
    <w:rsid w:val="007141AF"/>
    <w:rsid w:val="007141CE"/>
    <w:rsid w:val="007141CF"/>
    <w:rsid w:val="00714224"/>
    <w:rsid w:val="0071424E"/>
    <w:rsid w:val="0071426C"/>
    <w:rsid w:val="007142D9"/>
    <w:rsid w:val="007142DC"/>
    <w:rsid w:val="00714387"/>
    <w:rsid w:val="007143A1"/>
    <w:rsid w:val="00714409"/>
    <w:rsid w:val="00714567"/>
    <w:rsid w:val="00714571"/>
    <w:rsid w:val="0071466C"/>
    <w:rsid w:val="007147B6"/>
    <w:rsid w:val="00714981"/>
    <w:rsid w:val="00714A97"/>
    <w:rsid w:val="00714CE6"/>
    <w:rsid w:val="00714D4F"/>
    <w:rsid w:val="00714D97"/>
    <w:rsid w:val="00714EA5"/>
    <w:rsid w:val="00714F23"/>
    <w:rsid w:val="00714F40"/>
    <w:rsid w:val="00714F78"/>
    <w:rsid w:val="00714F89"/>
    <w:rsid w:val="00715032"/>
    <w:rsid w:val="00715095"/>
    <w:rsid w:val="007150C9"/>
    <w:rsid w:val="00715223"/>
    <w:rsid w:val="00715271"/>
    <w:rsid w:val="007152D3"/>
    <w:rsid w:val="00715332"/>
    <w:rsid w:val="00715382"/>
    <w:rsid w:val="007153CE"/>
    <w:rsid w:val="00715435"/>
    <w:rsid w:val="007154EA"/>
    <w:rsid w:val="00715507"/>
    <w:rsid w:val="007155C4"/>
    <w:rsid w:val="007155D4"/>
    <w:rsid w:val="00715750"/>
    <w:rsid w:val="00715AB3"/>
    <w:rsid w:val="00715B2C"/>
    <w:rsid w:val="00715B95"/>
    <w:rsid w:val="00715BB2"/>
    <w:rsid w:val="00715BBB"/>
    <w:rsid w:val="00715C0B"/>
    <w:rsid w:val="00715C18"/>
    <w:rsid w:val="00715C20"/>
    <w:rsid w:val="00715C7E"/>
    <w:rsid w:val="00715CB3"/>
    <w:rsid w:val="00715CEB"/>
    <w:rsid w:val="00715DB9"/>
    <w:rsid w:val="00715E5E"/>
    <w:rsid w:val="00715EC2"/>
    <w:rsid w:val="00715F0E"/>
    <w:rsid w:val="00715FC5"/>
    <w:rsid w:val="0071604F"/>
    <w:rsid w:val="00716098"/>
    <w:rsid w:val="007160D0"/>
    <w:rsid w:val="00716158"/>
    <w:rsid w:val="007161C9"/>
    <w:rsid w:val="0071623F"/>
    <w:rsid w:val="00716317"/>
    <w:rsid w:val="007163E2"/>
    <w:rsid w:val="00716485"/>
    <w:rsid w:val="007164A2"/>
    <w:rsid w:val="00716549"/>
    <w:rsid w:val="00716577"/>
    <w:rsid w:val="007165B8"/>
    <w:rsid w:val="007165F0"/>
    <w:rsid w:val="00716689"/>
    <w:rsid w:val="00716778"/>
    <w:rsid w:val="00716788"/>
    <w:rsid w:val="007167B5"/>
    <w:rsid w:val="007168B2"/>
    <w:rsid w:val="00716957"/>
    <w:rsid w:val="007169A1"/>
    <w:rsid w:val="00716A74"/>
    <w:rsid w:val="00716ACC"/>
    <w:rsid w:val="00716BFA"/>
    <w:rsid w:val="00716C37"/>
    <w:rsid w:val="00716C56"/>
    <w:rsid w:val="00716C6B"/>
    <w:rsid w:val="00716DE8"/>
    <w:rsid w:val="00716E26"/>
    <w:rsid w:val="00716EC1"/>
    <w:rsid w:val="00716F1E"/>
    <w:rsid w:val="00716FA2"/>
    <w:rsid w:val="00716FB1"/>
    <w:rsid w:val="00717006"/>
    <w:rsid w:val="007170E8"/>
    <w:rsid w:val="00717140"/>
    <w:rsid w:val="007171A4"/>
    <w:rsid w:val="00717287"/>
    <w:rsid w:val="007172B7"/>
    <w:rsid w:val="007172BB"/>
    <w:rsid w:val="0071742C"/>
    <w:rsid w:val="00717522"/>
    <w:rsid w:val="0071752D"/>
    <w:rsid w:val="007176BB"/>
    <w:rsid w:val="007176CE"/>
    <w:rsid w:val="00717702"/>
    <w:rsid w:val="0071774B"/>
    <w:rsid w:val="007177B8"/>
    <w:rsid w:val="00717841"/>
    <w:rsid w:val="007178C0"/>
    <w:rsid w:val="00717939"/>
    <w:rsid w:val="00717987"/>
    <w:rsid w:val="007179CA"/>
    <w:rsid w:val="00717A0A"/>
    <w:rsid w:val="00717A19"/>
    <w:rsid w:val="00717C21"/>
    <w:rsid w:val="00717C23"/>
    <w:rsid w:val="00717D46"/>
    <w:rsid w:val="00717D6D"/>
    <w:rsid w:val="00717DA2"/>
    <w:rsid w:val="00717DB5"/>
    <w:rsid w:val="00717EB9"/>
    <w:rsid w:val="00717EF8"/>
    <w:rsid w:val="00717F14"/>
    <w:rsid w:val="00717F3F"/>
    <w:rsid w:val="00717F64"/>
    <w:rsid w:val="0072003A"/>
    <w:rsid w:val="00720060"/>
    <w:rsid w:val="0072009A"/>
    <w:rsid w:val="0072018B"/>
    <w:rsid w:val="007201CF"/>
    <w:rsid w:val="00720325"/>
    <w:rsid w:val="007203ED"/>
    <w:rsid w:val="0072055E"/>
    <w:rsid w:val="00720589"/>
    <w:rsid w:val="007205BB"/>
    <w:rsid w:val="0072061A"/>
    <w:rsid w:val="0072077F"/>
    <w:rsid w:val="0072078F"/>
    <w:rsid w:val="007207A7"/>
    <w:rsid w:val="00720808"/>
    <w:rsid w:val="0072084F"/>
    <w:rsid w:val="0072089C"/>
    <w:rsid w:val="00720935"/>
    <w:rsid w:val="00720941"/>
    <w:rsid w:val="007209B0"/>
    <w:rsid w:val="007209DB"/>
    <w:rsid w:val="00720A49"/>
    <w:rsid w:val="00720C1D"/>
    <w:rsid w:val="00720C27"/>
    <w:rsid w:val="00720CBE"/>
    <w:rsid w:val="00720E94"/>
    <w:rsid w:val="00720FC4"/>
    <w:rsid w:val="00721035"/>
    <w:rsid w:val="007210B6"/>
    <w:rsid w:val="007210C7"/>
    <w:rsid w:val="00721180"/>
    <w:rsid w:val="007211A9"/>
    <w:rsid w:val="0072125A"/>
    <w:rsid w:val="007212AD"/>
    <w:rsid w:val="007214D4"/>
    <w:rsid w:val="007214DF"/>
    <w:rsid w:val="00721512"/>
    <w:rsid w:val="00721600"/>
    <w:rsid w:val="00721656"/>
    <w:rsid w:val="007216A7"/>
    <w:rsid w:val="00721782"/>
    <w:rsid w:val="0072179D"/>
    <w:rsid w:val="0072192F"/>
    <w:rsid w:val="00721939"/>
    <w:rsid w:val="00721968"/>
    <w:rsid w:val="0072199D"/>
    <w:rsid w:val="00721AE2"/>
    <w:rsid w:val="00721B21"/>
    <w:rsid w:val="00721B44"/>
    <w:rsid w:val="00721B57"/>
    <w:rsid w:val="00721BA3"/>
    <w:rsid w:val="00721D68"/>
    <w:rsid w:val="00721DAD"/>
    <w:rsid w:val="00721DDB"/>
    <w:rsid w:val="00721EFD"/>
    <w:rsid w:val="00721FE1"/>
    <w:rsid w:val="0072207F"/>
    <w:rsid w:val="0072219F"/>
    <w:rsid w:val="007221E6"/>
    <w:rsid w:val="00722279"/>
    <w:rsid w:val="00722363"/>
    <w:rsid w:val="0072236B"/>
    <w:rsid w:val="007223DA"/>
    <w:rsid w:val="00722400"/>
    <w:rsid w:val="00722445"/>
    <w:rsid w:val="00722453"/>
    <w:rsid w:val="00722460"/>
    <w:rsid w:val="007224F2"/>
    <w:rsid w:val="007225B3"/>
    <w:rsid w:val="0072261B"/>
    <w:rsid w:val="0072265D"/>
    <w:rsid w:val="0072267D"/>
    <w:rsid w:val="007226AF"/>
    <w:rsid w:val="00722735"/>
    <w:rsid w:val="00722747"/>
    <w:rsid w:val="0072274D"/>
    <w:rsid w:val="0072279D"/>
    <w:rsid w:val="007227A3"/>
    <w:rsid w:val="00722A57"/>
    <w:rsid w:val="00722A60"/>
    <w:rsid w:val="00722A9E"/>
    <w:rsid w:val="00722AD9"/>
    <w:rsid w:val="00722B83"/>
    <w:rsid w:val="00722C0F"/>
    <w:rsid w:val="00722C2D"/>
    <w:rsid w:val="00722C77"/>
    <w:rsid w:val="00722CA1"/>
    <w:rsid w:val="00722CAE"/>
    <w:rsid w:val="00722CD0"/>
    <w:rsid w:val="00722D09"/>
    <w:rsid w:val="00722E62"/>
    <w:rsid w:val="00722F2C"/>
    <w:rsid w:val="00722F42"/>
    <w:rsid w:val="00722F47"/>
    <w:rsid w:val="00723044"/>
    <w:rsid w:val="007230F3"/>
    <w:rsid w:val="0072311F"/>
    <w:rsid w:val="00723143"/>
    <w:rsid w:val="00723245"/>
    <w:rsid w:val="0072333C"/>
    <w:rsid w:val="00723381"/>
    <w:rsid w:val="007233D8"/>
    <w:rsid w:val="0072343A"/>
    <w:rsid w:val="0072348B"/>
    <w:rsid w:val="007234D6"/>
    <w:rsid w:val="00723503"/>
    <w:rsid w:val="00723513"/>
    <w:rsid w:val="0072359B"/>
    <w:rsid w:val="00723645"/>
    <w:rsid w:val="0072374F"/>
    <w:rsid w:val="0072384F"/>
    <w:rsid w:val="007238A1"/>
    <w:rsid w:val="007238B3"/>
    <w:rsid w:val="007238E1"/>
    <w:rsid w:val="00723A0B"/>
    <w:rsid w:val="00723A92"/>
    <w:rsid w:val="00723B7C"/>
    <w:rsid w:val="00723B9C"/>
    <w:rsid w:val="00723BD0"/>
    <w:rsid w:val="00723C08"/>
    <w:rsid w:val="00723D15"/>
    <w:rsid w:val="00723D18"/>
    <w:rsid w:val="00723D6B"/>
    <w:rsid w:val="00723D70"/>
    <w:rsid w:val="00723E86"/>
    <w:rsid w:val="00723E8A"/>
    <w:rsid w:val="00723EA1"/>
    <w:rsid w:val="00723EA4"/>
    <w:rsid w:val="00723F29"/>
    <w:rsid w:val="00723FA5"/>
    <w:rsid w:val="00723FCF"/>
    <w:rsid w:val="00723FD0"/>
    <w:rsid w:val="0072400C"/>
    <w:rsid w:val="0072401D"/>
    <w:rsid w:val="00724029"/>
    <w:rsid w:val="00724048"/>
    <w:rsid w:val="007241B2"/>
    <w:rsid w:val="00724284"/>
    <w:rsid w:val="007242F4"/>
    <w:rsid w:val="00724377"/>
    <w:rsid w:val="0072447B"/>
    <w:rsid w:val="0072448F"/>
    <w:rsid w:val="007244B7"/>
    <w:rsid w:val="007244FB"/>
    <w:rsid w:val="0072451F"/>
    <w:rsid w:val="00724520"/>
    <w:rsid w:val="00724550"/>
    <w:rsid w:val="00724552"/>
    <w:rsid w:val="00724716"/>
    <w:rsid w:val="0072484A"/>
    <w:rsid w:val="00724870"/>
    <w:rsid w:val="00724876"/>
    <w:rsid w:val="00724920"/>
    <w:rsid w:val="00724970"/>
    <w:rsid w:val="007249AB"/>
    <w:rsid w:val="00724A69"/>
    <w:rsid w:val="00724BCE"/>
    <w:rsid w:val="00724C00"/>
    <w:rsid w:val="00724C28"/>
    <w:rsid w:val="00724E24"/>
    <w:rsid w:val="00724E52"/>
    <w:rsid w:val="00724EAA"/>
    <w:rsid w:val="00724EB6"/>
    <w:rsid w:val="00724FD2"/>
    <w:rsid w:val="00724FE2"/>
    <w:rsid w:val="00724FFF"/>
    <w:rsid w:val="007250DA"/>
    <w:rsid w:val="0072518D"/>
    <w:rsid w:val="00725197"/>
    <w:rsid w:val="007251C2"/>
    <w:rsid w:val="007251E6"/>
    <w:rsid w:val="00725215"/>
    <w:rsid w:val="00725258"/>
    <w:rsid w:val="00725287"/>
    <w:rsid w:val="0072534F"/>
    <w:rsid w:val="007253C4"/>
    <w:rsid w:val="007253F1"/>
    <w:rsid w:val="0072540F"/>
    <w:rsid w:val="0072547C"/>
    <w:rsid w:val="0072553D"/>
    <w:rsid w:val="00725662"/>
    <w:rsid w:val="00725710"/>
    <w:rsid w:val="0072573A"/>
    <w:rsid w:val="00725835"/>
    <w:rsid w:val="00725837"/>
    <w:rsid w:val="0072590D"/>
    <w:rsid w:val="00725970"/>
    <w:rsid w:val="00725AB9"/>
    <w:rsid w:val="00725C0D"/>
    <w:rsid w:val="00725C57"/>
    <w:rsid w:val="00725C87"/>
    <w:rsid w:val="00725CC3"/>
    <w:rsid w:val="00725D06"/>
    <w:rsid w:val="00725E3E"/>
    <w:rsid w:val="00725E62"/>
    <w:rsid w:val="00725EEE"/>
    <w:rsid w:val="00725F76"/>
    <w:rsid w:val="00725FBD"/>
    <w:rsid w:val="00726048"/>
    <w:rsid w:val="0072606C"/>
    <w:rsid w:val="007260CA"/>
    <w:rsid w:val="007260D8"/>
    <w:rsid w:val="00726130"/>
    <w:rsid w:val="007261FF"/>
    <w:rsid w:val="0072637C"/>
    <w:rsid w:val="00726391"/>
    <w:rsid w:val="00726460"/>
    <w:rsid w:val="0072651E"/>
    <w:rsid w:val="00726522"/>
    <w:rsid w:val="00726532"/>
    <w:rsid w:val="00726602"/>
    <w:rsid w:val="00726622"/>
    <w:rsid w:val="00726640"/>
    <w:rsid w:val="0072666F"/>
    <w:rsid w:val="007266CE"/>
    <w:rsid w:val="0072672B"/>
    <w:rsid w:val="007267A9"/>
    <w:rsid w:val="007267B4"/>
    <w:rsid w:val="00726825"/>
    <w:rsid w:val="00726885"/>
    <w:rsid w:val="007268E4"/>
    <w:rsid w:val="0072694B"/>
    <w:rsid w:val="00726953"/>
    <w:rsid w:val="00726962"/>
    <w:rsid w:val="00726AB7"/>
    <w:rsid w:val="00726BB8"/>
    <w:rsid w:val="00726BE8"/>
    <w:rsid w:val="00726C15"/>
    <w:rsid w:val="00726CFB"/>
    <w:rsid w:val="00726D1D"/>
    <w:rsid w:val="00726D6A"/>
    <w:rsid w:val="00726D8D"/>
    <w:rsid w:val="00726DD7"/>
    <w:rsid w:val="00726E57"/>
    <w:rsid w:val="00726E77"/>
    <w:rsid w:val="00726EF8"/>
    <w:rsid w:val="00726F08"/>
    <w:rsid w:val="00726F24"/>
    <w:rsid w:val="00726F4A"/>
    <w:rsid w:val="00727011"/>
    <w:rsid w:val="007270E4"/>
    <w:rsid w:val="00727175"/>
    <w:rsid w:val="00727238"/>
    <w:rsid w:val="00727239"/>
    <w:rsid w:val="0072726D"/>
    <w:rsid w:val="0072732D"/>
    <w:rsid w:val="007273ED"/>
    <w:rsid w:val="007273FC"/>
    <w:rsid w:val="00727432"/>
    <w:rsid w:val="0072744E"/>
    <w:rsid w:val="0072744F"/>
    <w:rsid w:val="007274B5"/>
    <w:rsid w:val="00727515"/>
    <w:rsid w:val="0072751A"/>
    <w:rsid w:val="007275D1"/>
    <w:rsid w:val="0072760E"/>
    <w:rsid w:val="00727619"/>
    <w:rsid w:val="0072767C"/>
    <w:rsid w:val="007276E0"/>
    <w:rsid w:val="007276E6"/>
    <w:rsid w:val="00727701"/>
    <w:rsid w:val="00727746"/>
    <w:rsid w:val="0072774B"/>
    <w:rsid w:val="0072774D"/>
    <w:rsid w:val="00727860"/>
    <w:rsid w:val="00727984"/>
    <w:rsid w:val="007279CD"/>
    <w:rsid w:val="00727A4A"/>
    <w:rsid w:val="00727A5C"/>
    <w:rsid w:val="00727A8C"/>
    <w:rsid w:val="00727A9E"/>
    <w:rsid w:val="00727ADE"/>
    <w:rsid w:val="00727B7B"/>
    <w:rsid w:val="00727BCD"/>
    <w:rsid w:val="00727DA3"/>
    <w:rsid w:val="00727DAA"/>
    <w:rsid w:val="00727DFB"/>
    <w:rsid w:val="00727E8E"/>
    <w:rsid w:val="00727F94"/>
    <w:rsid w:val="00730033"/>
    <w:rsid w:val="007300E7"/>
    <w:rsid w:val="00730229"/>
    <w:rsid w:val="00730349"/>
    <w:rsid w:val="0073034F"/>
    <w:rsid w:val="0073038A"/>
    <w:rsid w:val="007303AA"/>
    <w:rsid w:val="0073066B"/>
    <w:rsid w:val="007306F1"/>
    <w:rsid w:val="00730739"/>
    <w:rsid w:val="00730742"/>
    <w:rsid w:val="007307D0"/>
    <w:rsid w:val="00730948"/>
    <w:rsid w:val="00730965"/>
    <w:rsid w:val="007309FE"/>
    <w:rsid w:val="00730A8F"/>
    <w:rsid w:val="00730A97"/>
    <w:rsid w:val="00730C18"/>
    <w:rsid w:val="00730C6C"/>
    <w:rsid w:val="00730C6D"/>
    <w:rsid w:val="00730C82"/>
    <w:rsid w:val="00730CBA"/>
    <w:rsid w:val="00730E55"/>
    <w:rsid w:val="00730EFC"/>
    <w:rsid w:val="00730F1C"/>
    <w:rsid w:val="00730F7B"/>
    <w:rsid w:val="00730FB8"/>
    <w:rsid w:val="007310CE"/>
    <w:rsid w:val="00731115"/>
    <w:rsid w:val="007311E1"/>
    <w:rsid w:val="00731269"/>
    <w:rsid w:val="007312AB"/>
    <w:rsid w:val="007312B0"/>
    <w:rsid w:val="0073131A"/>
    <w:rsid w:val="00731358"/>
    <w:rsid w:val="00731376"/>
    <w:rsid w:val="0073138A"/>
    <w:rsid w:val="007313A4"/>
    <w:rsid w:val="007313CA"/>
    <w:rsid w:val="00731416"/>
    <w:rsid w:val="00731541"/>
    <w:rsid w:val="007315E1"/>
    <w:rsid w:val="00731658"/>
    <w:rsid w:val="00731685"/>
    <w:rsid w:val="007316E8"/>
    <w:rsid w:val="0073175F"/>
    <w:rsid w:val="00731775"/>
    <w:rsid w:val="007317EA"/>
    <w:rsid w:val="007318B2"/>
    <w:rsid w:val="00731924"/>
    <w:rsid w:val="0073192B"/>
    <w:rsid w:val="007319DF"/>
    <w:rsid w:val="00731A26"/>
    <w:rsid w:val="00731A70"/>
    <w:rsid w:val="00731AE7"/>
    <w:rsid w:val="00731AE9"/>
    <w:rsid w:val="00731AFB"/>
    <w:rsid w:val="00731B60"/>
    <w:rsid w:val="00731C3B"/>
    <w:rsid w:val="00731C55"/>
    <w:rsid w:val="00731CE3"/>
    <w:rsid w:val="00731CEF"/>
    <w:rsid w:val="00731ECC"/>
    <w:rsid w:val="00731F66"/>
    <w:rsid w:val="00731F7A"/>
    <w:rsid w:val="0073201F"/>
    <w:rsid w:val="00732097"/>
    <w:rsid w:val="007320A7"/>
    <w:rsid w:val="007320B4"/>
    <w:rsid w:val="007320EA"/>
    <w:rsid w:val="00732205"/>
    <w:rsid w:val="00732210"/>
    <w:rsid w:val="00732307"/>
    <w:rsid w:val="00732406"/>
    <w:rsid w:val="00732441"/>
    <w:rsid w:val="00732475"/>
    <w:rsid w:val="007325E8"/>
    <w:rsid w:val="007325FF"/>
    <w:rsid w:val="007326B6"/>
    <w:rsid w:val="007326D9"/>
    <w:rsid w:val="0073270A"/>
    <w:rsid w:val="0073271A"/>
    <w:rsid w:val="00732784"/>
    <w:rsid w:val="007327C8"/>
    <w:rsid w:val="00732952"/>
    <w:rsid w:val="00732A0E"/>
    <w:rsid w:val="00732A56"/>
    <w:rsid w:val="00732A9B"/>
    <w:rsid w:val="00732ABF"/>
    <w:rsid w:val="00732B4F"/>
    <w:rsid w:val="00732C02"/>
    <w:rsid w:val="00732C14"/>
    <w:rsid w:val="00732C19"/>
    <w:rsid w:val="00732C55"/>
    <w:rsid w:val="00732C5C"/>
    <w:rsid w:val="00732CA0"/>
    <w:rsid w:val="00732CEB"/>
    <w:rsid w:val="00732D65"/>
    <w:rsid w:val="00732D6A"/>
    <w:rsid w:val="00732DB2"/>
    <w:rsid w:val="00732E30"/>
    <w:rsid w:val="00732E7F"/>
    <w:rsid w:val="00733003"/>
    <w:rsid w:val="00733010"/>
    <w:rsid w:val="00733107"/>
    <w:rsid w:val="00733164"/>
    <w:rsid w:val="007332ED"/>
    <w:rsid w:val="00733312"/>
    <w:rsid w:val="00733459"/>
    <w:rsid w:val="0073348F"/>
    <w:rsid w:val="007334F3"/>
    <w:rsid w:val="00733509"/>
    <w:rsid w:val="007335CF"/>
    <w:rsid w:val="007336DC"/>
    <w:rsid w:val="007336F2"/>
    <w:rsid w:val="00733723"/>
    <w:rsid w:val="007337CC"/>
    <w:rsid w:val="0073388C"/>
    <w:rsid w:val="007338F4"/>
    <w:rsid w:val="0073394B"/>
    <w:rsid w:val="007339DF"/>
    <w:rsid w:val="007339E4"/>
    <w:rsid w:val="00733A01"/>
    <w:rsid w:val="00733AAA"/>
    <w:rsid w:val="00733B16"/>
    <w:rsid w:val="00733C1B"/>
    <w:rsid w:val="00733C28"/>
    <w:rsid w:val="00733CDE"/>
    <w:rsid w:val="00733CE0"/>
    <w:rsid w:val="00733CEB"/>
    <w:rsid w:val="00733D88"/>
    <w:rsid w:val="00733E13"/>
    <w:rsid w:val="00733EED"/>
    <w:rsid w:val="00733F17"/>
    <w:rsid w:val="00733F47"/>
    <w:rsid w:val="00733F9D"/>
    <w:rsid w:val="0073405C"/>
    <w:rsid w:val="00734135"/>
    <w:rsid w:val="00734184"/>
    <w:rsid w:val="007341B2"/>
    <w:rsid w:val="0073428B"/>
    <w:rsid w:val="007342CC"/>
    <w:rsid w:val="0073431C"/>
    <w:rsid w:val="00734331"/>
    <w:rsid w:val="00734381"/>
    <w:rsid w:val="00734405"/>
    <w:rsid w:val="00734455"/>
    <w:rsid w:val="00734497"/>
    <w:rsid w:val="007344B8"/>
    <w:rsid w:val="007344C2"/>
    <w:rsid w:val="0073463B"/>
    <w:rsid w:val="00734660"/>
    <w:rsid w:val="007346D9"/>
    <w:rsid w:val="007346E4"/>
    <w:rsid w:val="00734734"/>
    <w:rsid w:val="0073476B"/>
    <w:rsid w:val="007348EA"/>
    <w:rsid w:val="007349EB"/>
    <w:rsid w:val="00734A34"/>
    <w:rsid w:val="00734ABD"/>
    <w:rsid w:val="00734B82"/>
    <w:rsid w:val="00734C5F"/>
    <w:rsid w:val="00734CC5"/>
    <w:rsid w:val="00734D3A"/>
    <w:rsid w:val="00734D74"/>
    <w:rsid w:val="00734E69"/>
    <w:rsid w:val="00734EB7"/>
    <w:rsid w:val="00734EC8"/>
    <w:rsid w:val="00734EEE"/>
    <w:rsid w:val="00734F40"/>
    <w:rsid w:val="00734F68"/>
    <w:rsid w:val="00734F7C"/>
    <w:rsid w:val="00734F88"/>
    <w:rsid w:val="00735102"/>
    <w:rsid w:val="0073511D"/>
    <w:rsid w:val="0073515C"/>
    <w:rsid w:val="00735174"/>
    <w:rsid w:val="0073518B"/>
    <w:rsid w:val="00735201"/>
    <w:rsid w:val="0073520A"/>
    <w:rsid w:val="0073535D"/>
    <w:rsid w:val="0073535F"/>
    <w:rsid w:val="0073539E"/>
    <w:rsid w:val="00735465"/>
    <w:rsid w:val="00735481"/>
    <w:rsid w:val="007354CA"/>
    <w:rsid w:val="007354D2"/>
    <w:rsid w:val="00735532"/>
    <w:rsid w:val="0073557E"/>
    <w:rsid w:val="007355A1"/>
    <w:rsid w:val="007355EE"/>
    <w:rsid w:val="00735696"/>
    <w:rsid w:val="00735790"/>
    <w:rsid w:val="007357A2"/>
    <w:rsid w:val="0073583F"/>
    <w:rsid w:val="007358BE"/>
    <w:rsid w:val="007359FC"/>
    <w:rsid w:val="00735AD6"/>
    <w:rsid w:val="00735BAB"/>
    <w:rsid w:val="00735C5C"/>
    <w:rsid w:val="00735C71"/>
    <w:rsid w:val="00735D00"/>
    <w:rsid w:val="00735D1B"/>
    <w:rsid w:val="00735D43"/>
    <w:rsid w:val="00735D50"/>
    <w:rsid w:val="00735DA4"/>
    <w:rsid w:val="00735DF5"/>
    <w:rsid w:val="00735DF8"/>
    <w:rsid w:val="00735E24"/>
    <w:rsid w:val="00735F63"/>
    <w:rsid w:val="00735FAC"/>
    <w:rsid w:val="00736077"/>
    <w:rsid w:val="0073609C"/>
    <w:rsid w:val="0073616F"/>
    <w:rsid w:val="007362B0"/>
    <w:rsid w:val="007362D1"/>
    <w:rsid w:val="007362D7"/>
    <w:rsid w:val="007362F1"/>
    <w:rsid w:val="0073634F"/>
    <w:rsid w:val="0073639C"/>
    <w:rsid w:val="007363DA"/>
    <w:rsid w:val="007364B3"/>
    <w:rsid w:val="007365B5"/>
    <w:rsid w:val="00736689"/>
    <w:rsid w:val="0073668D"/>
    <w:rsid w:val="0073668F"/>
    <w:rsid w:val="0073669A"/>
    <w:rsid w:val="007366C9"/>
    <w:rsid w:val="00736713"/>
    <w:rsid w:val="00736755"/>
    <w:rsid w:val="0073677A"/>
    <w:rsid w:val="007367AE"/>
    <w:rsid w:val="007367CB"/>
    <w:rsid w:val="007367F0"/>
    <w:rsid w:val="0073682B"/>
    <w:rsid w:val="0073684D"/>
    <w:rsid w:val="007368C9"/>
    <w:rsid w:val="00736950"/>
    <w:rsid w:val="00736967"/>
    <w:rsid w:val="007369CF"/>
    <w:rsid w:val="007369F5"/>
    <w:rsid w:val="00736A14"/>
    <w:rsid w:val="00736B0C"/>
    <w:rsid w:val="00736B23"/>
    <w:rsid w:val="00736C2A"/>
    <w:rsid w:val="00736C46"/>
    <w:rsid w:val="00736D2A"/>
    <w:rsid w:val="00736E95"/>
    <w:rsid w:val="00736EB5"/>
    <w:rsid w:val="00736F8A"/>
    <w:rsid w:val="00736FE1"/>
    <w:rsid w:val="00737042"/>
    <w:rsid w:val="00737077"/>
    <w:rsid w:val="007370DD"/>
    <w:rsid w:val="0073715C"/>
    <w:rsid w:val="00737270"/>
    <w:rsid w:val="0073729A"/>
    <w:rsid w:val="007372D9"/>
    <w:rsid w:val="00737347"/>
    <w:rsid w:val="0073739F"/>
    <w:rsid w:val="00737474"/>
    <w:rsid w:val="00737552"/>
    <w:rsid w:val="007375AE"/>
    <w:rsid w:val="007375BF"/>
    <w:rsid w:val="00737708"/>
    <w:rsid w:val="0073777C"/>
    <w:rsid w:val="00737923"/>
    <w:rsid w:val="00737943"/>
    <w:rsid w:val="007379BA"/>
    <w:rsid w:val="00737A20"/>
    <w:rsid w:val="00737C36"/>
    <w:rsid w:val="00737E19"/>
    <w:rsid w:val="00737E8A"/>
    <w:rsid w:val="00737EB0"/>
    <w:rsid w:val="00737FFC"/>
    <w:rsid w:val="00740085"/>
    <w:rsid w:val="00740133"/>
    <w:rsid w:val="00740156"/>
    <w:rsid w:val="00740231"/>
    <w:rsid w:val="0074023B"/>
    <w:rsid w:val="007402C5"/>
    <w:rsid w:val="00740347"/>
    <w:rsid w:val="0074036D"/>
    <w:rsid w:val="0074040F"/>
    <w:rsid w:val="007404D6"/>
    <w:rsid w:val="007404E6"/>
    <w:rsid w:val="00740564"/>
    <w:rsid w:val="00740583"/>
    <w:rsid w:val="007405B1"/>
    <w:rsid w:val="007405E1"/>
    <w:rsid w:val="00740768"/>
    <w:rsid w:val="007408D6"/>
    <w:rsid w:val="007408D8"/>
    <w:rsid w:val="00740921"/>
    <w:rsid w:val="007409C5"/>
    <w:rsid w:val="00740A28"/>
    <w:rsid w:val="00740A29"/>
    <w:rsid w:val="00740AC3"/>
    <w:rsid w:val="00740AD2"/>
    <w:rsid w:val="00740B59"/>
    <w:rsid w:val="00740B75"/>
    <w:rsid w:val="00740C4E"/>
    <w:rsid w:val="00740D43"/>
    <w:rsid w:val="00740DD1"/>
    <w:rsid w:val="00740F37"/>
    <w:rsid w:val="00740FE7"/>
    <w:rsid w:val="00740FF1"/>
    <w:rsid w:val="00741001"/>
    <w:rsid w:val="00741041"/>
    <w:rsid w:val="00741085"/>
    <w:rsid w:val="007411FC"/>
    <w:rsid w:val="00741215"/>
    <w:rsid w:val="00741237"/>
    <w:rsid w:val="00741341"/>
    <w:rsid w:val="0074134B"/>
    <w:rsid w:val="0074135E"/>
    <w:rsid w:val="0074141B"/>
    <w:rsid w:val="00741464"/>
    <w:rsid w:val="0074146D"/>
    <w:rsid w:val="007414E6"/>
    <w:rsid w:val="0074158C"/>
    <w:rsid w:val="007415F9"/>
    <w:rsid w:val="0074162D"/>
    <w:rsid w:val="00741664"/>
    <w:rsid w:val="00741698"/>
    <w:rsid w:val="007416B4"/>
    <w:rsid w:val="00741724"/>
    <w:rsid w:val="00741808"/>
    <w:rsid w:val="00741831"/>
    <w:rsid w:val="0074183B"/>
    <w:rsid w:val="007419BE"/>
    <w:rsid w:val="00741B58"/>
    <w:rsid w:val="00741BFC"/>
    <w:rsid w:val="00741CED"/>
    <w:rsid w:val="00741D84"/>
    <w:rsid w:val="00741D90"/>
    <w:rsid w:val="00741DC3"/>
    <w:rsid w:val="00741DDA"/>
    <w:rsid w:val="00741E40"/>
    <w:rsid w:val="00741F37"/>
    <w:rsid w:val="00741F67"/>
    <w:rsid w:val="00741F9C"/>
    <w:rsid w:val="00741FE1"/>
    <w:rsid w:val="00741FE4"/>
    <w:rsid w:val="0074201A"/>
    <w:rsid w:val="00742074"/>
    <w:rsid w:val="0074209E"/>
    <w:rsid w:val="007421DE"/>
    <w:rsid w:val="0074223E"/>
    <w:rsid w:val="00742289"/>
    <w:rsid w:val="007422D1"/>
    <w:rsid w:val="00742434"/>
    <w:rsid w:val="00742507"/>
    <w:rsid w:val="007425F1"/>
    <w:rsid w:val="007425FE"/>
    <w:rsid w:val="0074262D"/>
    <w:rsid w:val="0074264B"/>
    <w:rsid w:val="007426B8"/>
    <w:rsid w:val="0074277A"/>
    <w:rsid w:val="0074278C"/>
    <w:rsid w:val="0074282A"/>
    <w:rsid w:val="0074284F"/>
    <w:rsid w:val="0074286E"/>
    <w:rsid w:val="00742877"/>
    <w:rsid w:val="00742895"/>
    <w:rsid w:val="007429BF"/>
    <w:rsid w:val="00742A64"/>
    <w:rsid w:val="00742C0C"/>
    <w:rsid w:val="00742C84"/>
    <w:rsid w:val="00742CB8"/>
    <w:rsid w:val="00742CCB"/>
    <w:rsid w:val="00742CD2"/>
    <w:rsid w:val="00742CD7"/>
    <w:rsid w:val="00742E5E"/>
    <w:rsid w:val="00742E6E"/>
    <w:rsid w:val="00742EDF"/>
    <w:rsid w:val="00742FCC"/>
    <w:rsid w:val="00743022"/>
    <w:rsid w:val="0074307F"/>
    <w:rsid w:val="00743099"/>
    <w:rsid w:val="0074317C"/>
    <w:rsid w:val="007431A8"/>
    <w:rsid w:val="007431EE"/>
    <w:rsid w:val="00743275"/>
    <w:rsid w:val="007432A6"/>
    <w:rsid w:val="007432B2"/>
    <w:rsid w:val="00743303"/>
    <w:rsid w:val="00743340"/>
    <w:rsid w:val="0074338F"/>
    <w:rsid w:val="007434AC"/>
    <w:rsid w:val="007434B2"/>
    <w:rsid w:val="00743501"/>
    <w:rsid w:val="00743543"/>
    <w:rsid w:val="00743596"/>
    <w:rsid w:val="007435A2"/>
    <w:rsid w:val="007435DE"/>
    <w:rsid w:val="0074361E"/>
    <w:rsid w:val="0074364A"/>
    <w:rsid w:val="007436D9"/>
    <w:rsid w:val="007436E2"/>
    <w:rsid w:val="00743718"/>
    <w:rsid w:val="0074371E"/>
    <w:rsid w:val="0074375B"/>
    <w:rsid w:val="00743843"/>
    <w:rsid w:val="00743921"/>
    <w:rsid w:val="00743982"/>
    <w:rsid w:val="00743AEC"/>
    <w:rsid w:val="00743B4E"/>
    <w:rsid w:val="00743B6C"/>
    <w:rsid w:val="00743B7E"/>
    <w:rsid w:val="00743C11"/>
    <w:rsid w:val="00743D21"/>
    <w:rsid w:val="00743D6A"/>
    <w:rsid w:val="00743DF3"/>
    <w:rsid w:val="00743E2C"/>
    <w:rsid w:val="00743E42"/>
    <w:rsid w:val="00743F91"/>
    <w:rsid w:val="00744039"/>
    <w:rsid w:val="00744076"/>
    <w:rsid w:val="00744157"/>
    <w:rsid w:val="007441B3"/>
    <w:rsid w:val="0074421D"/>
    <w:rsid w:val="00744223"/>
    <w:rsid w:val="0074432A"/>
    <w:rsid w:val="00744346"/>
    <w:rsid w:val="007444CF"/>
    <w:rsid w:val="007444EC"/>
    <w:rsid w:val="0074467F"/>
    <w:rsid w:val="007446B6"/>
    <w:rsid w:val="00744791"/>
    <w:rsid w:val="007447AB"/>
    <w:rsid w:val="00744809"/>
    <w:rsid w:val="0074481E"/>
    <w:rsid w:val="007448D8"/>
    <w:rsid w:val="007448EB"/>
    <w:rsid w:val="0074493C"/>
    <w:rsid w:val="0074494E"/>
    <w:rsid w:val="00744A56"/>
    <w:rsid w:val="00744C96"/>
    <w:rsid w:val="00744DBA"/>
    <w:rsid w:val="00744EAA"/>
    <w:rsid w:val="00744F6A"/>
    <w:rsid w:val="0074500F"/>
    <w:rsid w:val="00745162"/>
    <w:rsid w:val="00745170"/>
    <w:rsid w:val="0074533A"/>
    <w:rsid w:val="0074535F"/>
    <w:rsid w:val="00745411"/>
    <w:rsid w:val="007454D3"/>
    <w:rsid w:val="0074551E"/>
    <w:rsid w:val="00745644"/>
    <w:rsid w:val="00745725"/>
    <w:rsid w:val="00745813"/>
    <w:rsid w:val="0074585D"/>
    <w:rsid w:val="00745869"/>
    <w:rsid w:val="0074586F"/>
    <w:rsid w:val="00745896"/>
    <w:rsid w:val="00745BE6"/>
    <w:rsid w:val="00745CDF"/>
    <w:rsid w:val="00745D20"/>
    <w:rsid w:val="00745D34"/>
    <w:rsid w:val="00745DC9"/>
    <w:rsid w:val="00745DE0"/>
    <w:rsid w:val="00745ECD"/>
    <w:rsid w:val="00745EE3"/>
    <w:rsid w:val="00745FA8"/>
    <w:rsid w:val="007460DE"/>
    <w:rsid w:val="007462CF"/>
    <w:rsid w:val="007462DC"/>
    <w:rsid w:val="007463B6"/>
    <w:rsid w:val="007463EA"/>
    <w:rsid w:val="00746472"/>
    <w:rsid w:val="007464C8"/>
    <w:rsid w:val="00746529"/>
    <w:rsid w:val="00746540"/>
    <w:rsid w:val="00746603"/>
    <w:rsid w:val="00746625"/>
    <w:rsid w:val="00746694"/>
    <w:rsid w:val="007466B0"/>
    <w:rsid w:val="007466C3"/>
    <w:rsid w:val="007466E6"/>
    <w:rsid w:val="00746739"/>
    <w:rsid w:val="00746740"/>
    <w:rsid w:val="0074689B"/>
    <w:rsid w:val="007468EA"/>
    <w:rsid w:val="00746926"/>
    <w:rsid w:val="007469A0"/>
    <w:rsid w:val="007469A8"/>
    <w:rsid w:val="007469D4"/>
    <w:rsid w:val="00746A84"/>
    <w:rsid w:val="00746AC5"/>
    <w:rsid w:val="00746B86"/>
    <w:rsid w:val="00746C91"/>
    <w:rsid w:val="00746CEE"/>
    <w:rsid w:val="00746D33"/>
    <w:rsid w:val="00746D53"/>
    <w:rsid w:val="00746D9E"/>
    <w:rsid w:val="00746E76"/>
    <w:rsid w:val="00746F9E"/>
    <w:rsid w:val="0074704E"/>
    <w:rsid w:val="00747053"/>
    <w:rsid w:val="007470FE"/>
    <w:rsid w:val="00747279"/>
    <w:rsid w:val="007472ED"/>
    <w:rsid w:val="007472F0"/>
    <w:rsid w:val="0074735C"/>
    <w:rsid w:val="00747443"/>
    <w:rsid w:val="0074744D"/>
    <w:rsid w:val="00747475"/>
    <w:rsid w:val="00747490"/>
    <w:rsid w:val="00747499"/>
    <w:rsid w:val="007474E0"/>
    <w:rsid w:val="0074756A"/>
    <w:rsid w:val="007475EF"/>
    <w:rsid w:val="0074763D"/>
    <w:rsid w:val="007476A0"/>
    <w:rsid w:val="00747770"/>
    <w:rsid w:val="007477CE"/>
    <w:rsid w:val="007477D8"/>
    <w:rsid w:val="0074798C"/>
    <w:rsid w:val="00747A49"/>
    <w:rsid w:val="00747AAF"/>
    <w:rsid w:val="00747AFA"/>
    <w:rsid w:val="00747BA8"/>
    <w:rsid w:val="00747C2D"/>
    <w:rsid w:val="00747C93"/>
    <w:rsid w:val="00747E1C"/>
    <w:rsid w:val="00747EBD"/>
    <w:rsid w:val="00747ED9"/>
    <w:rsid w:val="00747EF4"/>
    <w:rsid w:val="00747F11"/>
    <w:rsid w:val="00747FF1"/>
    <w:rsid w:val="0075002A"/>
    <w:rsid w:val="00750217"/>
    <w:rsid w:val="007502D9"/>
    <w:rsid w:val="007503AC"/>
    <w:rsid w:val="0075040E"/>
    <w:rsid w:val="007504DD"/>
    <w:rsid w:val="007504EE"/>
    <w:rsid w:val="00750597"/>
    <w:rsid w:val="007506B8"/>
    <w:rsid w:val="007506BA"/>
    <w:rsid w:val="0075072E"/>
    <w:rsid w:val="0075076C"/>
    <w:rsid w:val="007507CB"/>
    <w:rsid w:val="00750823"/>
    <w:rsid w:val="00750857"/>
    <w:rsid w:val="00750889"/>
    <w:rsid w:val="00750909"/>
    <w:rsid w:val="00750944"/>
    <w:rsid w:val="007509F6"/>
    <w:rsid w:val="00750A23"/>
    <w:rsid w:val="00750A28"/>
    <w:rsid w:val="00750ACD"/>
    <w:rsid w:val="00750AF2"/>
    <w:rsid w:val="00750B21"/>
    <w:rsid w:val="00750B5C"/>
    <w:rsid w:val="00750BB8"/>
    <w:rsid w:val="00750C33"/>
    <w:rsid w:val="00750C3D"/>
    <w:rsid w:val="00750CA8"/>
    <w:rsid w:val="00750D1B"/>
    <w:rsid w:val="00750D35"/>
    <w:rsid w:val="00750D5C"/>
    <w:rsid w:val="00750D6F"/>
    <w:rsid w:val="00750EBD"/>
    <w:rsid w:val="00750F47"/>
    <w:rsid w:val="00750F81"/>
    <w:rsid w:val="00750FBA"/>
    <w:rsid w:val="0075103A"/>
    <w:rsid w:val="00751137"/>
    <w:rsid w:val="00751154"/>
    <w:rsid w:val="0075118E"/>
    <w:rsid w:val="00751346"/>
    <w:rsid w:val="00751396"/>
    <w:rsid w:val="0075139F"/>
    <w:rsid w:val="0075141B"/>
    <w:rsid w:val="00751468"/>
    <w:rsid w:val="007514AA"/>
    <w:rsid w:val="0075161E"/>
    <w:rsid w:val="007516F3"/>
    <w:rsid w:val="00751857"/>
    <w:rsid w:val="00751858"/>
    <w:rsid w:val="0075189A"/>
    <w:rsid w:val="007518D0"/>
    <w:rsid w:val="00751906"/>
    <w:rsid w:val="007519B9"/>
    <w:rsid w:val="007519CC"/>
    <w:rsid w:val="00751A87"/>
    <w:rsid w:val="00751B1D"/>
    <w:rsid w:val="00751B95"/>
    <w:rsid w:val="00751BD1"/>
    <w:rsid w:val="00751BD4"/>
    <w:rsid w:val="00751C2F"/>
    <w:rsid w:val="00751C35"/>
    <w:rsid w:val="00751C9A"/>
    <w:rsid w:val="00751D08"/>
    <w:rsid w:val="00751D43"/>
    <w:rsid w:val="00751E12"/>
    <w:rsid w:val="00751EB5"/>
    <w:rsid w:val="00751EB6"/>
    <w:rsid w:val="00751EEC"/>
    <w:rsid w:val="007520EF"/>
    <w:rsid w:val="007522BB"/>
    <w:rsid w:val="007523AC"/>
    <w:rsid w:val="00752467"/>
    <w:rsid w:val="00752503"/>
    <w:rsid w:val="0075250D"/>
    <w:rsid w:val="0075254A"/>
    <w:rsid w:val="007525D4"/>
    <w:rsid w:val="007525F2"/>
    <w:rsid w:val="0075262F"/>
    <w:rsid w:val="007527DF"/>
    <w:rsid w:val="00752817"/>
    <w:rsid w:val="00752849"/>
    <w:rsid w:val="0075286B"/>
    <w:rsid w:val="0075286E"/>
    <w:rsid w:val="007528DD"/>
    <w:rsid w:val="00752930"/>
    <w:rsid w:val="007529E2"/>
    <w:rsid w:val="00752A0D"/>
    <w:rsid w:val="00752B22"/>
    <w:rsid w:val="00752B8C"/>
    <w:rsid w:val="00752B9A"/>
    <w:rsid w:val="00752BC7"/>
    <w:rsid w:val="00752BD2"/>
    <w:rsid w:val="00752CA6"/>
    <w:rsid w:val="00752CAE"/>
    <w:rsid w:val="00752CF7"/>
    <w:rsid w:val="00752D47"/>
    <w:rsid w:val="00752DB1"/>
    <w:rsid w:val="00752E14"/>
    <w:rsid w:val="00752EE2"/>
    <w:rsid w:val="00752EEA"/>
    <w:rsid w:val="0075300E"/>
    <w:rsid w:val="00753019"/>
    <w:rsid w:val="00753033"/>
    <w:rsid w:val="0075304B"/>
    <w:rsid w:val="007530E8"/>
    <w:rsid w:val="0075310C"/>
    <w:rsid w:val="00753139"/>
    <w:rsid w:val="0075314A"/>
    <w:rsid w:val="007531A3"/>
    <w:rsid w:val="007531B0"/>
    <w:rsid w:val="00753241"/>
    <w:rsid w:val="007532B9"/>
    <w:rsid w:val="0075333C"/>
    <w:rsid w:val="007533A3"/>
    <w:rsid w:val="007533F3"/>
    <w:rsid w:val="00753466"/>
    <w:rsid w:val="0075349E"/>
    <w:rsid w:val="007534DF"/>
    <w:rsid w:val="0075365F"/>
    <w:rsid w:val="007536BE"/>
    <w:rsid w:val="007536F3"/>
    <w:rsid w:val="007536F7"/>
    <w:rsid w:val="0075371E"/>
    <w:rsid w:val="00753735"/>
    <w:rsid w:val="00753754"/>
    <w:rsid w:val="00753760"/>
    <w:rsid w:val="007537B3"/>
    <w:rsid w:val="007537DB"/>
    <w:rsid w:val="00753815"/>
    <w:rsid w:val="007538CD"/>
    <w:rsid w:val="00753A23"/>
    <w:rsid w:val="00753A37"/>
    <w:rsid w:val="00753BBC"/>
    <w:rsid w:val="00753BDB"/>
    <w:rsid w:val="00753C53"/>
    <w:rsid w:val="00753CD5"/>
    <w:rsid w:val="00753DD1"/>
    <w:rsid w:val="00753F98"/>
    <w:rsid w:val="00754096"/>
    <w:rsid w:val="00754181"/>
    <w:rsid w:val="00754330"/>
    <w:rsid w:val="00754366"/>
    <w:rsid w:val="00754445"/>
    <w:rsid w:val="00754574"/>
    <w:rsid w:val="007545A0"/>
    <w:rsid w:val="00754632"/>
    <w:rsid w:val="007546C4"/>
    <w:rsid w:val="00754898"/>
    <w:rsid w:val="0075491C"/>
    <w:rsid w:val="00754CB7"/>
    <w:rsid w:val="00754CBA"/>
    <w:rsid w:val="00754CCD"/>
    <w:rsid w:val="00754D24"/>
    <w:rsid w:val="00754D2A"/>
    <w:rsid w:val="00754D8B"/>
    <w:rsid w:val="00754E02"/>
    <w:rsid w:val="00754E0D"/>
    <w:rsid w:val="00754E2B"/>
    <w:rsid w:val="00754E46"/>
    <w:rsid w:val="00754EA5"/>
    <w:rsid w:val="00754ECF"/>
    <w:rsid w:val="00755135"/>
    <w:rsid w:val="00755142"/>
    <w:rsid w:val="0075520C"/>
    <w:rsid w:val="00755266"/>
    <w:rsid w:val="00755389"/>
    <w:rsid w:val="007553C5"/>
    <w:rsid w:val="0075541E"/>
    <w:rsid w:val="007554D3"/>
    <w:rsid w:val="0075554A"/>
    <w:rsid w:val="00755589"/>
    <w:rsid w:val="00755617"/>
    <w:rsid w:val="00755646"/>
    <w:rsid w:val="0075578B"/>
    <w:rsid w:val="00755824"/>
    <w:rsid w:val="00755964"/>
    <w:rsid w:val="00755991"/>
    <w:rsid w:val="00755B2D"/>
    <w:rsid w:val="00755B94"/>
    <w:rsid w:val="00755BE7"/>
    <w:rsid w:val="00755C57"/>
    <w:rsid w:val="00755D71"/>
    <w:rsid w:val="00755EA9"/>
    <w:rsid w:val="00755EED"/>
    <w:rsid w:val="00755EEF"/>
    <w:rsid w:val="00755F07"/>
    <w:rsid w:val="00755FA7"/>
    <w:rsid w:val="00755FC4"/>
    <w:rsid w:val="00756044"/>
    <w:rsid w:val="0075605E"/>
    <w:rsid w:val="00756159"/>
    <w:rsid w:val="00756264"/>
    <w:rsid w:val="00756274"/>
    <w:rsid w:val="007562D0"/>
    <w:rsid w:val="00756321"/>
    <w:rsid w:val="00756324"/>
    <w:rsid w:val="00756389"/>
    <w:rsid w:val="00756392"/>
    <w:rsid w:val="007563B2"/>
    <w:rsid w:val="007564BA"/>
    <w:rsid w:val="007564DE"/>
    <w:rsid w:val="007564E1"/>
    <w:rsid w:val="0075651E"/>
    <w:rsid w:val="00756610"/>
    <w:rsid w:val="00756656"/>
    <w:rsid w:val="007566B2"/>
    <w:rsid w:val="00756760"/>
    <w:rsid w:val="0075682F"/>
    <w:rsid w:val="007568BE"/>
    <w:rsid w:val="00756985"/>
    <w:rsid w:val="00756AE1"/>
    <w:rsid w:val="00756B25"/>
    <w:rsid w:val="00756B46"/>
    <w:rsid w:val="00756B50"/>
    <w:rsid w:val="00756C17"/>
    <w:rsid w:val="00756C70"/>
    <w:rsid w:val="00756C9A"/>
    <w:rsid w:val="00756E06"/>
    <w:rsid w:val="00756E1F"/>
    <w:rsid w:val="00756F41"/>
    <w:rsid w:val="00756FF2"/>
    <w:rsid w:val="007570B3"/>
    <w:rsid w:val="007571CC"/>
    <w:rsid w:val="0075721A"/>
    <w:rsid w:val="0075723A"/>
    <w:rsid w:val="00757276"/>
    <w:rsid w:val="007574EF"/>
    <w:rsid w:val="0075751B"/>
    <w:rsid w:val="0075767B"/>
    <w:rsid w:val="007576BA"/>
    <w:rsid w:val="007576D7"/>
    <w:rsid w:val="007576FC"/>
    <w:rsid w:val="00757705"/>
    <w:rsid w:val="00757706"/>
    <w:rsid w:val="00757861"/>
    <w:rsid w:val="00757978"/>
    <w:rsid w:val="00757985"/>
    <w:rsid w:val="00757A74"/>
    <w:rsid w:val="00757A84"/>
    <w:rsid w:val="00757AFF"/>
    <w:rsid w:val="00757B39"/>
    <w:rsid w:val="00757BDF"/>
    <w:rsid w:val="00757C10"/>
    <w:rsid w:val="00757C2C"/>
    <w:rsid w:val="00757CA2"/>
    <w:rsid w:val="00757CB4"/>
    <w:rsid w:val="00757CF5"/>
    <w:rsid w:val="00757D47"/>
    <w:rsid w:val="00757D56"/>
    <w:rsid w:val="00757DC6"/>
    <w:rsid w:val="00757E11"/>
    <w:rsid w:val="00757EC9"/>
    <w:rsid w:val="00757F6F"/>
    <w:rsid w:val="00757F7F"/>
    <w:rsid w:val="00757F87"/>
    <w:rsid w:val="00757FAD"/>
    <w:rsid w:val="00757FF2"/>
    <w:rsid w:val="00760002"/>
    <w:rsid w:val="00760020"/>
    <w:rsid w:val="00760023"/>
    <w:rsid w:val="00760028"/>
    <w:rsid w:val="00760080"/>
    <w:rsid w:val="007600C7"/>
    <w:rsid w:val="0076012A"/>
    <w:rsid w:val="007601A6"/>
    <w:rsid w:val="00760322"/>
    <w:rsid w:val="00760373"/>
    <w:rsid w:val="00760500"/>
    <w:rsid w:val="00760562"/>
    <w:rsid w:val="007605E9"/>
    <w:rsid w:val="00760600"/>
    <w:rsid w:val="0076061B"/>
    <w:rsid w:val="0076066E"/>
    <w:rsid w:val="00760707"/>
    <w:rsid w:val="0076071C"/>
    <w:rsid w:val="00760729"/>
    <w:rsid w:val="007607F4"/>
    <w:rsid w:val="00760844"/>
    <w:rsid w:val="00760895"/>
    <w:rsid w:val="00760896"/>
    <w:rsid w:val="007608D6"/>
    <w:rsid w:val="007608F4"/>
    <w:rsid w:val="00760950"/>
    <w:rsid w:val="00760962"/>
    <w:rsid w:val="00760996"/>
    <w:rsid w:val="007609C2"/>
    <w:rsid w:val="00760A27"/>
    <w:rsid w:val="00760AC1"/>
    <w:rsid w:val="00760ACC"/>
    <w:rsid w:val="00760B05"/>
    <w:rsid w:val="00760CB3"/>
    <w:rsid w:val="00760CE8"/>
    <w:rsid w:val="00760D05"/>
    <w:rsid w:val="00760D51"/>
    <w:rsid w:val="00760DAA"/>
    <w:rsid w:val="00760E22"/>
    <w:rsid w:val="00760E4A"/>
    <w:rsid w:val="00760E86"/>
    <w:rsid w:val="00760FF3"/>
    <w:rsid w:val="00761015"/>
    <w:rsid w:val="007610B3"/>
    <w:rsid w:val="007610D5"/>
    <w:rsid w:val="007610EF"/>
    <w:rsid w:val="00761106"/>
    <w:rsid w:val="0076112B"/>
    <w:rsid w:val="00761178"/>
    <w:rsid w:val="007611E2"/>
    <w:rsid w:val="00761212"/>
    <w:rsid w:val="00761308"/>
    <w:rsid w:val="00761385"/>
    <w:rsid w:val="00761409"/>
    <w:rsid w:val="007614A7"/>
    <w:rsid w:val="007615D5"/>
    <w:rsid w:val="007615DC"/>
    <w:rsid w:val="00761621"/>
    <w:rsid w:val="00761692"/>
    <w:rsid w:val="00761774"/>
    <w:rsid w:val="007617C6"/>
    <w:rsid w:val="0076180D"/>
    <w:rsid w:val="00761875"/>
    <w:rsid w:val="0076197E"/>
    <w:rsid w:val="00761A53"/>
    <w:rsid w:val="00761AB4"/>
    <w:rsid w:val="00761B70"/>
    <w:rsid w:val="00761BEB"/>
    <w:rsid w:val="00761CA5"/>
    <w:rsid w:val="00761CEB"/>
    <w:rsid w:val="00761D55"/>
    <w:rsid w:val="00761D71"/>
    <w:rsid w:val="00761DDE"/>
    <w:rsid w:val="00761DE0"/>
    <w:rsid w:val="00761E77"/>
    <w:rsid w:val="00761E7A"/>
    <w:rsid w:val="00761F5F"/>
    <w:rsid w:val="0076206B"/>
    <w:rsid w:val="0076208D"/>
    <w:rsid w:val="00762189"/>
    <w:rsid w:val="007621E6"/>
    <w:rsid w:val="00762287"/>
    <w:rsid w:val="0076229A"/>
    <w:rsid w:val="00762345"/>
    <w:rsid w:val="00762394"/>
    <w:rsid w:val="007623EC"/>
    <w:rsid w:val="00762428"/>
    <w:rsid w:val="0076246D"/>
    <w:rsid w:val="00762490"/>
    <w:rsid w:val="00762676"/>
    <w:rsid w:val="007626C5"/>
    <w:rsid w:val="007626F5"/>
    <w:rsid w:val="00762780"/>
    <w:rsid w:val="007627A6"/>
    <w:rsid w:val="007627DB"/>
    <w:rsid w:val="00762857"/>
    <w:rsid w:val="00762900"/>
    <w:rsid w:val="00762949"/>
    <w:rsid w:val="007629DA"/>
    <w:rsid w:val="007629F6"/>
    <w:rsid w:val="00762A14"/>
    <w:rsid w:val="00762A69"/>
    <w:rsid w:val="00762ABA"/>
    <w:rsid w:val="00762C34"/>
    <w:rsid w:val="00762C36"/>
    <w:rsid w:val="00762C46"/>
    <w:rsid w:val="00762C9D"/>
    <w:rsid w:val="00762D1E"/>
    <w:rsid w:val="00762D62"/>
    <w:rsid w:val="00762D6A"/>
    <w:rsid w:val="00762D83"/>
    <w:rsid w:val="00762E40"/>
    <w:rsid w:val="00762E88"/>
    <w:rsid w:val="00762F17"/>
    <w:rsid w:val="00762FD8"/>
    <w:rsid w:val="0076302C"/>
    <w:rsid w:val="007630EC"/>
    <w:rsid w:val="00763207"/>
    <w:rsid w:val="00763330"/>
    <w:rsid w:val="0076340E"/>
    <w:rsid w:val="00763471"/>
    <w:rsid w:val="0076353B"/>
    <w:rsid w:val="007635DE"/>
    <w:rsid w:val="00763648"/>
    <w:rsid w:val="00763661"/>
    <w:rsid w:val="007636F5"/>
    <w:rsid w:val="00763760"/>
    <w:rsid w:val="00763877"/>
    <w:rsid w:val="007638C1"/>
    <w:rsid w:val="00763912"/>
    <w:rsid w:val="00763917"/>
    <w:rsid w:val="00763923"/>
    <w:rsid w:val="00763998"/>
    <w:rsid w:val="007639E3"/>
    <w:rsid w:val="00763A36"/>
    <w:rsid w:val="00763AC2"/>
    <w:rsid w:val="00763B4B"/>
    <w:rsid w:val="00763B63"/>
    <w:rsid w:val="00763C3D"/>
    <w:rsid w:val="00763C7A"/>
    <w:rsid w:val="00763D14"/>
    <w:rsid w:val="00763D41"/>
    <w:rsid w:val="00763E20"/>
    <w:rsid w:val="00763E32"/>
    <w:rsid w:val="00763E63"/>
    <w:rsid w:val="00763E68"/>
    <w:rsid w:val="00763EAD"/>
    <w:rsid w:val="00763F7B"/>
    <w:rsid w:val="00763F7F"/>
    <w:rsid w:val="0076400F"/>
    <w:rsid w:val="00764050"/>
    <w:rsid w:val="00764109"/>
    <w:rsid w:val="0076415D"/>
    <w:rsid w:val="00764163"/>
    <w:rsid w:val="007641BC"/>
    <w:rsid w:val="007641D1"/>
    <w:rsid w:val="007641E8"/>
    <w:rsid w:val="0076425F"/>
    <w:rsid w:val="00764269"/>
    <w:rsid w:val="007642E1"/>
    <w:rsid w:val="00764362"/>
    <w:rsid w:val="007643CD"/>
    <w:rsid w:val="007643DF"/>
    <w:rsid w:val="007643E0"/>
    <w:rsid w:val="0076444C"/>
    <w:rsid w:val="0076450E"/>
    <w:rsid w:val="0076458A"/>
    <w:rsid w:val="00764843"/>
    <w:rsid w:val="007648BE"/>
    <w:rsid w:val="00764921"/>
    <w:rsid w:val="007649CF"/>
    <w:rsid w:val="00764B70"/>
    <w:rsid w:val="00764C46"/>
    <w:rsid w:val="00764C7F"/>
    <w:rsid w:val="00764C98"/>
    <w:rsid w:val="00764CAE"/>
    <w:rsid w:val="00764D77"/>
    <w:rsid w:val="00764DD2"/>
    <w:rsid w:val="00764E52"/>
    <w:rsid w:val="00764EC7"/>
    <w:rsid w:val="00764EE0"/>
    <w:rsid w:val="00764F0D"/>
    <w:rsid w:val="00764F15"/>
    <w:rsid w:val="00764F30"/>
    <w:rsid w:val="00764FAE"/>
    <w:rsid w:val="00765015"/>
    <w:rsid w:val="00765057"/>
    <w:rsid w:val="00765097"/>
    <w:rsid w:val="007650C1"/>
    <w:rsid w:val="007650C4"/>
    <w:rsid w:val="007650F8"/>
    <w:rsid w:val="00765147"/>
    <w:rsid w:val="00765181"/>
    <w:rsid w:val="00765183"/>
    <w:rsid w:val="007651C9"/>
    <w:rsid w:val="00765266"/>
    <w:rsid w:val="00765272"/>
    <w:rsid w:val="007652B5"/>
    <w:rsid w:val="0076537D"/>
    <w:rsid w:val="007653F2"/>
    <w:rsid w:val="00765523"/>
    <w:rsid w:val="00765525"/>
    <w:rsid w:val="0076554F"/>
    <w:rsid w:val="00765550"/>
    <w:rsid w:val="007655CB"/>
    <w:rsid w:val="00765631"/>
    <w:rsid w:val="00765736"/>
    <w:rsid w:val="0076580B"/>
    <w:rsid w:val="00765821"/>
    <w:rsid w:val="00765859"/>
    <w:rsid w:val="0076588A"/>
    <w:rsid w:val="007658B9"/>
    <w:rsid w:val="00765906"/>
    <w:rsid w:val="007659E6"/>
    <w:rsid w:val="00765A1E"/>
    <w:rsid w:val="00765A7D"/>
    <w:rsid w:val="00765BBC"/>
    <w:rsid w:val="00765CE4"/>
    <w:rsid w:val="00765D26"/>
    <w:rsid w:val="00765DC8"/>
    <w:rsid w:val="00765E5A"/>
    <w:rsid w:val="00765F0E"/>
    <w:rsid w:val="00765F15"/>
    <w:rsid w:val="00765F38"/>
    <w:rsid w:val="00765F6F"/>
    <w:rsid w:val="00765F7F"/>
    <w:rsid w:val="00765F87"/>
    <w:rsid w:val="00766003"/>
    <w:rsid w:val="007660A1"/>
    <w:rsid w:val="0076611E"/>
    <w:rsid w:val="007661AE"/>
    <w:rsid w:val="007661B0"/>
    <w:rsid w:val="007661CE"/>
    <w:rsid w:val="007661FB"/>
    <w:rsid w:val="00766216"/>
    <w:rsid w:val="0076627F"/>
    <w:rsid w:val="007662CA"/>
    <w:rsid w:val="007662FD"/>
    <w:rsid w:val="0076631B"/>
    <w:rsid w:val="00766391"/>
    <w:rsid w:val="007663E0"/>
    <w:rsid w:val="007664C1"/>
    <w:rsid w:val="007665D4"/>
    <w:rsid w:val="007665E3"/>
    <w:rsid w:val="00766609"/>
    <w:rsid w:val="0076669D"/>
    <w:rsid w:val="007666A6"/>
    <w:rsid w:val="00766710"/>
    <w:rsid w:val="007667D5"/>
    <w:rsid w:val="0076680A"/>
    <w:rsid w:val="00766827"/>
    <w:rsid w:val="00766876"/>
    <w:rsid w:val="007668A1"/>
    <w:rsid w:val="00766903"/>
    <w:rsid w:val="00766924"/>
    <w:rsid w:val="00766974"/>
    <w:rsid w:val="007669C3"/>
    <w:rsid w:val="00766A29"/>
    <w:rsid w:val="00766A84"/>
    <w:rsid w:val="00766CC5"/>
    <w:rsid w:val="00766D03"/>
    <w:rsid w:val="00766D0C"/>
    <w:rsid w:val="00766D35"/>
    <w:rsid w:val="00766FAA"/>
    <w:rsid w:val="00767010"/>
    <w:rsid w:val="00767030"/>
    <w:rsid w:val="00767086"/>
    <w:rsid w:val="007670A5"/>
    <w:rsid w:val="007670FE"/>
    <w:rsid w:val="00767130"/>
    <w:rsid w:val="00767398"/>
    <w:rsid w:val="0076740E"/>
    <w:rsid w:val="0076740F"/>
    <w:rsid w:val="0076741C"/>
    <w:rsid w:val="00767589"/>
    <w:rsid w:val="00767689"/>
    <w:rsid w:val="00767695"/>
    <w:rsid w:val="0076769B"/>
    <w:rsid w:val="0076776B"/>
    <w:rsid w:val="0076779B"/>
    <w:rsid w:val="00767811"/>
    <w:rsid w:val="0076781B"/>
    <w:rsid w:val="00767851"/>
    <w:rsid w:val="00767916"/>
    <w:rsid w:val="00767961"/>
    <w:rsid w:val="00767967"/>
    <w:rsid w:val="007679E5"/>
    <w:rsid w:val="00767ABF"/>
    <w:rsid w:val="00767ACB"/>
    <w:rsid w:val="00767B09"/>
    <w:rsid w:val="00767B4F"/>
    <w:rsid w:val="00767B66"/>
    <w:rsid w:val="00767C01"/>
    <w:rsid w:val="00767C1B"/>
    <w:rsid w:val="00767C76"/>
    <w:rsid w:val="00767C8D"/>
    <w:rsid w:val="00767C9D"/>
    <w:rsid w:val="00767D0E"/>
    <w:rsid w:val="00767D29"/>
    <w:rsid w:val="00767DCB"/>
    <w:rsid w:val="00767E48"/>
    <w:rsid w:val="00767E9E"/>
    <w:rsid w:val="00767F24"/>
    <w:rsid w:val="00767FA0"/>
    <w:rsid w:val="0076CA53"/>
    <w:rsid w:val="00770022"/>
    <w:rsid w:val="00770086"/>
    <w:rsid w:val="007700F4"/>
    <w:rsid w:val="0077017B"/>
    <w:rsid w:val="007701D8"/>
    <w:rsid w:val="00770206"/>
    <w:rsid w:val="0077025A"/>
    <w:rsid w:val="00770319"/>
    <w:rsid w:val="0077034E"/>
    <w:rsid w:val="00770444"/>
    <w:rsid w:val="00770480"/>
    <w:rsid w:val="00770542"/>
    <w:rsid w:val="007705D9"/>
    <w:rsid w:val="007705EA"/>
    <w:rsid w:val="007706AA"/>
    <w:rsid w:val="007706B1"/>
    <w:rsid w:val="00770718"/>
    <w:rsid w:val="0077077E"/>
    <w:rsid w:val="0077079B"/>
    <w:rsid w:val="00770A6D"/>
    <w:rsid w:val="00770AF7"/>
    <w:rsid w:val="00770B50"/>
    <w:rsid w:val="00770C1E"/>
    <w:rsid w:val="00770C48"/>
    <w:rsid w:val="00770D65"/>
    <w:rsid w:val="00770D8D"/>
    <w:rsid w:val="00770D97"/>
    <w:rsid w:val="00770E07"/>
    <w:rsid w:val="00770EAF"/>
    <w:rsid w:val="00770F6A"/>
    <w:rsid w:val="00770FFC"/>
    <w:rsid w:val="00771067"/>
    <w:rsid w:val="00771094"/>
    <w:rsid w:val="007710A0"/>
    <w:rsid w:val="007710F1"/>
    <w:rsid w:val="00771145"/>
    <w:rsid w:val="007712B4"/>
    <w:rsid w:val="007713C5"/>
    <w:rsid w:val="00771492"/>
    <w:rsid w:val="0077149B"/>
    <w:rsid w:val="0077154A"/>
    <w:rsid w:val="00771582"/>
    <w:rsid w:val="007715BC"/>
    <w:rsid w:val="00771644"/>
    <w:rsid w:val="007716B6"/>
    <w:rsid w:val="00771791"/>
    <w:rsid w:val="007718A9"/>
    <w:rsid w:val="007718F3"/>
    <w:rsid w:val="00771ACE"/>
    <w:rsid w:val="00771B0F"/>
    <w:rsid w:val="00771B3F"/>
    <w:rsid w:val="00771B55"/>
    <w:rsid w:val="00771B5D"/>
    <w:rsid w:val="00771B62"/>
    <w:rsid w:val="00771B89"/>
    <w:rsid w:val="00771B8A"/>
    <w:rsid w:val="00771CE0"/>
    <w:rsid w:val="00771D41"/>
    <w:rsid w:val="00771DBB"/>
    <w:rsid w:val="00771E45"/>
    <w:rsid w:val="00771E5F"/>
    <w:rsid w:val="00771E9E"/>
    <w:rsid w:val="00771EA0"/>
    <w:rsid w:val="00771F61"/>
    <w:rsid w:val="00771FF4"/>
    <w:rsid w:val="0077202C"/>
    <w:rsid w:val="00772046"/>
    <w:rsid w:val="007720DC"/>
    <w:rsid w:val="0077212C"/>
    <w:rsid w:val="0077212D"/>
    <w:rsid w:val="00772131"/>
    <w:rsid w:val="00772250"/>
    <w:rsid w:val="0077229C"/>
    <w:rsid w:val="007722A4"/>
    <w:rsid w:val="007722F1"/>
    <w:rsid w:val="0077239C"/>
    <w:rsid w:val="00772523"/>
    <w:rsid w:val="0077256E"/>
    <w:rsid w:val="0077260E"/>
    <w:rsid w:val="00772765"/>
    <w:rsid w:val="0077295D"/>
    <w:rsid w:val="00772999"/>
    <w:rsid w:val="007729B4"/>
    <w:rsid w:val="007729BB"/>
    <w:rsid w:val="007729EE"/>
    <w:rsid w:val="00772A0C"/>
    <w:rsid w:val="00772A5C"/>
    <w:rsid w:val="00772B68"/>
    <w:rsid w:val="00772B8A"/>
    <w:rsid w:val="00772B96"/>
    <w:rsid w:val="00772BAB"/>
    <w:rsid w:val="00772BCA"/>
    <w:rsid w:val="00772BEA"/>
    <w:rsid w:val="00772BF1"/>
    <w:rsid w:val="00772BF5"/>
    <w:rsid w:val="00772CCE"/>
    <w:rsid w:val="00772D65"/>
    <w:rsid w:val="00772D8D"/>
    <w:rsid w:val="00772DC6"/>
    <w:rsid w:val="00772E4D"/>
    <w:rsid w:val="00772E59"/>
    <w:rsid w:val="00772E73"/>
    <w:rsid w:val="00772E81"/>
    <w:rsid w:val="00772ED7"/>
    <w:rsid w:val="00772FDE"/>
    <w:rsid w:val="0077309B"/>
    <w:rsid w:val="007731A1"/>
    <w:rsid w:val="007731B2"/>
    <w:rsid w:val="007731C5"/>
    <w:rsid w:val="00773208"/>
    <w:rsid w:val="0077322E"/>
    <w:rsid w:val="0077323C"/>
    <w:rsid w:val="00773263"/>
    <w:rsid w:val="00773361"/>
    <w:rsid w:val="0077338D"/>
    <w:rsid w:val="007733C6"/>
    <w:rsid w:val="00773473"/>
    <w:rsid w:val="007734EF"/>
    <w:rsid w:val="00773510"/>
    <w:rsid w:val="0077351B"/>
    <w:rsid w:val="0077364A"/>
    <w:rsid w:val="007736AF"/>
    <w:rsid w:val="0077373B"/>
    <w:rsid w:val="007737A1"/>
    <w:rsid w:val="007737BE"/>
    <w:rsid w:val="007737D7"/>
    <w:rsid w:val="00773882"/>
    <w:rsid w:val="00773A2B"/>
    <w:rsid w:val="00773A61"/>
    <w:rsid w:val="00773AD4"/>
    <w:rsid w:val="00773C14"/>
    <w:rsid w:val="00773C28"/>
    <w:rsid w:val="00773C2E"/>
    <w:rsid w:val="00773CC3"/>
    <w:rsid w:val="00773D0E"/>
    <w:rsid w:val="00773D24"/>
    <w:rsid w:val="00773D39"/>
    <w:rsid w:val="00773E86"/>
    <w:rsid w:val="00773F70"/>
    <w:rsid w:val="00773F80"/>
    <w:rsid w:val="00774019"/>
    <w:rsid w:val="0077409B"/>
    <w:rsid w:val="0077417B"/>
    <w:rsid w:val="00774190"/>
    <w:rsid w:val="007741EF"/>
    <w:rsid w:val="007743CC"/>
    <w:rsid w:val="007743D1"/>
    <w:rsid w:val="007743FE"/>
    <w:rsid w:val="00774442"/>
    <w:rsid w:val="007745D7"/>
    <w:rsid w:val="007746C8"/>
    <w:rsid w:val="0077472F"/>
    <w:rsid w:val="0077475C"/>
    <w:rsid w:val="00774839"/>
    <w:rsid w:val="00774848"/>
    <w:rsid w:val="007749A6"/>
    <w:rsid w:val="007749DB"/>
    <w:rsid w:val="00774A29"/>
    <w:rsid w:val="00774A78"/>
    <w:rsid w:val="00774A8A"/>
    <w:rsid w:val="00774AA0"/>
    <w:rsid w:val="00774B5A"/>
    <w:rsid w:val="00774BA7"/>
    <w:rsid w:val="00774BB7"/>
    <w:rsid w:val="00774BD1"/>
    <w:rsid w:val="00774BDE"/>
    <w:rsid w:val="00774CED"/>
    <w:rsid w:val="00774D3F"/>
    <w:rsid w:val="00774D54"/>
    <w:rsid w:val="00774E05"/>
    <w:rsid w:val="00774EF8"/>
    <w:rsid w:val="00774F2F"/>
    <w:rsid w:val="00774F3D"/>
    <w:rsid w:val="00774F46"/>
    <w:rsid w:val="00774F8B"/>
    <w:rsid w:val="00774FAA"/>
    <w:rsid w:val="007750AB"/>
    <w:rsid w:val="00775260"/>
    <w:rsid w:val="007752BD"/>
    <w:rsid w:val="007752D2"/>
    <w:rsid w:val="007753B9"/>
    <w:rsid w:val="007754F4"/>
    <w:rsid w:val="00775525"/>
    <w:rsid w:val="0077558C"/>
    <w:rsid w:val="007755BD"/>
    <w:rsid w:val="0077562F"/>
    <w:rsid w:val="00775703"/>
    <w:rsid w:val="00775825"/>
    <w:rsid w:val="00775985"/>
    <w:rsid w:val="00775BEE"/>
    <w:rsid w:val="00775C62"/>
    <w:rsid w:val="00775C92"/>
    <w:rsid w:val="00775CAF"/>
    <w:rsid w:val="00775D3A"/>
    <w:rsid w:val="00775D67"/>
    <w:rsid w:val="00775D75"/>
    <w:rsid w:val="00775D81"/>
    <w:rsid w:val="00776162"/>
    <w:rsid w:val="0077619A"/>
    <w:rsid w:val="007761E3"/>
    <w:rsid w:val="0077624B"/>
    <w:rsid w:val="0077636C"/>
    <w:rsid w:val="0077646F"/>
    <w:rsid w:val="00776481"/>
    <w:rsid w:val="007764A2"/>
    <w:rsid w:val="00776501"/>
    <w:rsid w:val="0077651F"/>
    <w:rsid w:val="00776529"/>
    <w:rsid w:val="00776533"/>
    <w:rsid w:val="007765EC"/>
    <w:rsid w:val="00776637"/>
    <w:rsid w:val="00776705"/>
    <w:rsid w:val="007767DB"/>
    <w:rsid w:val="007768B9"/>
    <w:rsid w:val="00776936"/>
    <w:rsid w:val="007769C5"/>
    <w:rsid w:val="00776AAC"/>
    <w:rsid w:val="00776AF4"/>
    <w:rsid w:val="00776B7E"/>
    <w:rsid w:val="00776BCE"/>
    <w:rsid w:val="00776BD0"/>
    <w:rsid w:val="00776CD8"/>
    <w:rsid w:val="00776DF6"/>
    <w:rsid w:val="00776EC0"/>
    <w:rsid w:val="00776ED4"/>
    <w:rsid w:val="00776F0E"/>
    <w:rsid w:val="00776FA7"/>
    <w:rsid w:val="00776FBD"/>
    <w:rsid w:val="007770A1"/>
    <w:rsid w:val="00777155"/>
    <w:rsid w:val="00777158"/>
    <w:rsid w:val="007771A7"/>
    <w:rsid w:val="007771FE"/>
    <w:rsid w:val="00777251"/>
    <w:rsid w:val="0077731C"/>
    <w:rsid w:val="00777377"/>
    <w:rsid w:val="00777388"/>
    <w:rsid w:val="00777458"/>
    <w:rsid w:val="00777474"/>
    <w:rsid w:val="007774A3"/>
    <w:rsid w:val="007774AD"/>
    <w:rsid w:val="00777500"/>
    <w:rsid w:val="00777513"/>
    <w:rsid w:val="007776B9"/>
    <w:rsid w:val="00777712"/>
    <w:rsid w:val="0077772A"/>
    <w:rsid w:val="007777C8"/>
    <w:rsid w:val="00777813"/>
    <w:rsid w:val="00777837"/>
    <w:rsid w:val="00777904"/>
    <w:rsid w:val="00777907"/>
    <w:rsid w:val="0077792E"/>
    <w:rsid w:val="0077799C"/>
    <w:rsid w:val="00777AFB"/>
    <w:rsid w:val="00777BCF"/>
    <w:rsid w:val="00777BE8"/>
    <w:rsid w:val="00777CB1"/>
    <w:rsid w:val="00777CC0"/>
    <w:rsid w:val="00777CD3"/>
    <w:rsid w:val="00777D1A"/>
    <w:rsid w:val="00777D21"/>
    <w:rsid w:val="00777D3C"/>
    <w:rsid w:val="00777D72"/>
    <w:rsid w:val="00777DAF"/>
    <w:rsid w:val="00777F46"/>
    <w:rsid w:val="00777FA8"/>
    <w:rsid w:val="00777FDE"/>
    <w:rsid w:val="00780030"/>
    <w:rsid w:val="00780044"/>
    <w:rsid w:val="00780081"/>
    <w:rsid w:val="0078016C"/>
    <w:rsid w:val="0078026B"/>
    <w:rsid w:val="007802CF"/>
    <w:rsid w:val="0078032A"/>
    <w:rsid w:val="00780359"/>
    <w:rsid w:val="007803B9"/>
    <w:rsid w:val="007803EB"/>
    <w:rsid w:val="007803F7"/>
    <w:rsid w:val="0078041E"/>
    <w:rsid w:val="00780444"/>
    <w:rsid w:val="00780452"/>
    <w:rsid w:val="007804A6"/>
    <w:rsid w:val="007804EA"/>
    <w:rsid w:val="007804F1"/>
    <w:rsid w:val="00780519"/>
    <w:rsid w:val="0078056A"/>
    <w:rsid w:val="007805BC"/>
    <w:rsid w:val="007805DE"/>
    <w:rsid w:val="007806D1"/>
    <w:rsid w:val="00780741"/>
    <w:rsid w:val="00780742"/>
    <w:rsid w:val="00780781"/>
    <w:rsid w:val="0078080B"/>
    <w:rsid w:val="0078084F"/>
    <w:rsid w:val="00780871"/>
    <w:rsid w:val="007809BB"/>
    <w:rsid w:val="00780A2B"/>
    <w:rsid w:val="00780A38"/>
    <w:rsid w:val="00780A3F"/>
    <w:rsid w:val="00780AAE"/>
    <w:rsid w:val="00780B0B"/>
    <w:rsid w:val="00780B36"/>
    <w:rsid w:val="00780CDA"/>
    <w:rsid w:val="00780DE4"/>
    <w:rsid w:val="00780E0A"/>
    <w:rsid w:val="00780EE9"/>
    <w:rsid w:val="00780EF4"/>
    <w:rsid w:val="00780F0E"/>
    <w:rsid w:val="00780FAE"/>
    <w:rsid w:val="007810E1"/>
    <w:rsid w:val="00781185"/>
    <w:rsid w:val="007811B9"/>
    <w:rsid w:val="007811E0"/>
    <w:rsid w:val="00781210"/>
    <w:rsid w:val="007812E5"/>
    <w:rsid w:val="007812E8"/>
    <w:rsid w:val="0078134B"/>
    <w:rsid w:val="0078135E"/>
    <w:rsid w:val="00781414"/>
    <w:rsid w:val="00781415"/>
    <w:rsid w:val="00781458"/>
    <w:rsid w:val="00781462"/>
    <w:rsid w:val="00781513"/>
    <w:rsid w:val="00781531"/>
    <w:rsid w:val="0078154E"/>
    <w:rsid w:val="007815E5"/>
    <w:rsid w:val="00781613"/>
    <w:rsid w:val="00781646"/>
    <w:rsid w:val="00781688"/>
    <w:rsid w:val="007816D0"/>
    <w:rsid w:val="00781721"/>
    <w:rsid w:val="00781742"/>
    <w:rsid w:val="0078175C"/>
    <w:rsid w:val="007817F4"/>
    <w:rsid w:val="00781842"/>
    <w:rsid w:val="007819A4"/>
    <w:rsid w:val="007819D6"/>
    <w:rsid w:val="007819EB"/>
    <w:rsid w:val="00781A65"/>
    <w:rsid w:val="00781A94"/>
    <w:rsid w:val="00781A96"/>
    <w:rsid w:val="00781AEE"/>
    <w:rsid w:val="00781BC0"/>
    <w:rsid w:val="00781BE9"/>
    <w:rsid w:val="00781C47"/>
    <w:rsid w:val="00781C98"/>
    <w:rsid w:val="00781CDA"/>
    <w:rsid w:val="00781CF3"/>
    <w:rsid w:val="00781D7D"/>
    <w:rsid w:val="00781DAF"/>
    <w:rsid w:val="00781E0D"/>
    <w:rsid w:val="00781E21"/>
    <w:rsid w:val="00781ED1"/>
    <w:rsid w:val="00781EE3"/>
    <w:rsid w:val="00781F22"/>
    <w:rsid w:val="00781F91"/>
    <w:rsid w:val="00782086"/>
    <w:rsid w:val="0078210A"/>
    <w:rsid w:val="0078214A"/>
    <w:rsid w:val="00782164"/>
    <w:rsid w:val="007821E3"/>
    <w:rsid w:val="00782269"/>
    <w:rsid w:val="0078227A"/>
    <w:rsid w:val="00782390"/>
    <w:rsid w:val="007823E4"/>
    <w:rsid w:val="007824EA"/>
    <w:rsid w:val="00782562"/>
    <w:rsid w:val="00782577"/>
    <w:rsid w:val="0078264C"/>
    <w:rsid w:val="0078268F"/>
    <w:rsid w:val="007827F4"/>
    <w:rsid w:val="00782882"/>
    <w:rsid w:val="007829A0"/>
    <w:rsid w:val="007829C1"/>
    <w:rsid w:val="00782A93"/>
    <w:rsid w:val="00782B9D"/>
    <w:rsid w:val="00782C1E"/>
    <w:rsid w:val="00782CDC"/>
    <w:rsid w:val="00782D80"/>
    <w:rsid w:val="00782E67"/>
    <w:rsid w:val="00782EE6"/>
    <w:rsid w:val="00783008"/>
    <w:rsid w:val="00783055"/>
    <w:rsid w:val="0078309C"/>
    <w:rsid w:val="007830F2"/>
    <w:rsid w:val="00783140"/>
    <w:rsid w:val="0078318B"/>
    <w:rsid w:val="00783252"/>
    <w:rsid w:val="007832D3"/>
    <w:rsid w:val="007832F0"/>
    <w:rsid w:val="00783374"/>
    <w:rsid w:val="007833F3"/>
    <w:rsid w:val="00783408"/>
    <w:rsid w:val="00783440"/>
    <w:rsid w:val="00783591"/>
    <w:rsid w:val="00783610"/>
    <w:rsid w:val="00783799"/>
    <w:rsid w:val="007837C4"/>
    <w:rsid w:val="007837D2"/>
    <w:rsid w:val="007837ED"/>
    <w:rsid w:val="007839B4"/>
    <w:rsid w:val="00783B27"/>
    <w:rsid w:val="00783B2A"/>
    <w:rsid w:val="00783B2F"/>
    <w:rsid w:val="00783BD9"/>
    <w:rsid w:val="00783CF2"/>
    <w:rsid w:val="00783DBF"/>
    <w:rsid w:val="00783E8A"/>
    <w:rsid w:val="00783F61"/>
    <w:rsid w:val="00783FB2"/>
    <w:rsid w:val="00783FCA"/>
    <w:rsid w:val="00783FDA"/>
    <w:rsid w:val="00784012"/>
    <w:rsid w:val="0078402E"/>
    <w:rsid w:val="00784047"/>
    <w:rsid w:val="00784095"/>
    <w:rsid w:val="007841F6"/>
    <w:rsid w:val="007842A5"/>
    <w:rsid w:val="00784396"/>
    <w:rsid w:val="007843B0"/>
    <w:rsid w:val="007843CD"/>
    <w:rsid w:val="007843D9"/>
    <w:rsid w:val="0078441D"/>
    <w:rsid w:val="0078446B"/>
    <w:rsid w:val="00784492"/>
    <w:rsid w:val="007844CE"/>
    <w:rsid w:val="00784651"/>
    <w:rsid w:val="00784658"/>
    <w:rsid w:val="0078465C"/>
    <w:rsid w:val="0078472C"/>
    <w:rsid w:val="007847E3"/>
    <w:rsid w:val="00784856"/>
    <w:rsid w:val="00784906"/>
    <w:rsid w:val="00784965"/>
    <w:rsid w:val="007849AD"/>
    <w:rsid w:val="007849BB"/>
    <w:rsid w:val="00784A0F"/>
    <w:rsid w:val="00784AA0"/>
    <w:rsid w:val="00784AE3"/>
    <w:rsid w:val="00784B45"/>
    <w:rsid w:val="00784BAE"/>
    <w:rsid w:val="00784BC5"/>
    <w:rsid w:val="00784C1C"/>
    <w:rsid w:val="00784C1D"/>
    <w:rsid w:val="00784C75"/>
    <w:rsid w:val="00784D0B"/>
    <w:rsid w:val="00784D24"/>
    <w:rsid w:val="00784D84"/>
    <w:rsid w:val="00784DEA"/>
    <w:rsid w:val="00784DF3"/>
    <w:rsid w:val="00784E80"/>
    <w:rsid w:val="00784E8A"/>
    <w:rsid w:val="00784ED5"/>
    <w:rsid w:val="00784FE7"/>
    <w:rsid w:val="0078503F"/>
    <w:rsid w:val="00785046"/>
    <w:rsid w:val="0078515A"/>
    <w:rsid w:val="007851BE"/>
    <w:rsid w:val="00785239"/>
    <w:rsid w:val="007852C9"/>
    <w:rsid w:val="00785329"/>
    <w:rsid w:val="00785435"/>
    <w:rsid w:val="00785548"/>
    <w:rsid w:val="00785650"/>
    <w:rsid w:val="00785798"/>
    <w:rsid w:val="00785844"/>
    <w:rsid w:val="007858D5"/>
    <w:rsid w:val="007858E9"/>
    <w:rsid w:val="00785966"/>
    <w:rsid w:val="0078596A"/>
    <w:rsid w:val="007859C6"/>
    <w:rsid w:val="00785BB4"/>
    <w:rsid w:val="00785BFC"/>
    <w:rsid w:val="00785C46"/>
    <w:rsid w:val="00785CDE"/>
    <w:rsid w:val="00785D2A"/>
    <w:rsid w:val="00785D46"/>
    <w:rsid w:val="00785D77"/>
    <w:rsid w:val="00785D93"/>
    <w:rsid w:val="00785DD9"/>
    <w:rsid w:val="00785E11"/>
    <w:rsid w:val="00785E58"/>
    <w:rsid w:val="00785E6B"/>
    <w:rsid w:val="00785EDA"/>
    <w:rsid w:val="00785F4F"/>
    <w:rsid w:val="0078608C"/>
    <w:rsid w:val="00786091"/>
    <w:rsid w:val="00786099"/>
    <w:rsid w:val="007860CA"/>
    <w:rsid w:val="007860CE"/>
    <w:rsid w:val="007860E0"/>
    <w:rsid w:val="007860FC"/>
    <w:rsid w:val="00786142"/>
    <w:rsid w:val="00786162"/>
    <w:rsid w:val="007861A1"/>
    <w:rsid w:val="007861D6"/>
    <w:rsid w:val="007862C8"/>
    <w:rsid w:val="00786385"/>
    <w:rsid w:val="007864CC"/>
    <w:rsid w:val="0078651E"/>
    <w:rsid w:val="00786528"/>
    <w:rsid w:val="0078652A"/>
    <w:rsid w:val="00786584"/>
    <w:rsid w:val="007865BF"/>
    <w:rsid w:val="007866B1"/>
    <w:rsid w:val="007866FD"/>
    <w:rsid w:val="00786724"/>
    <w:rsid w:val="007867B0"/>
    <w:rsid w:val="007867C0"/>
    <w:rsid w:val="00786984"/>
    <w:rsid w:val="007869D1"/>
    <w:rsid w:val="007869F8"/>
    <w:rsid w:val="00786B59"/>
    <w:rsid w:val="00786BBB"/>
    <w:rsid w:val="00786BD1"/>
    <w:rsid w:val="00786CBF"/>
    <w:rsid w:val="00786F2C"/>
    <w:rsid w:val="00786F68"/>
    <w:rsid w:val="0078700A"/>
    <w:rsid w:val="0078701A"/>
    <w:rsid w:val="007870E1"/>
    <w:rsid w:val="007870F8"/>
    <w:rsid w:val="007871CC"/>
    <w:rsid w:val="007871F5"/>
    <w:rsid w:val="0078726F"/>
    <w:rsid w:val="007872EE"/>
    <w:rsid w:val="0078735C"/>
    <w:rsid w:val="007873ED"/>
    <w:rsid w:val="007874B4"/>
    <w:rsid w:val="00787593"/>
    <w:rsid w:val="007875E6"/>
    <w:rsid w:val="007875F2"/>
    <w:rsid w:val="0078768C"/>
    <w:rsid w:val="00787758"/>
    <w:rsid w:val="007877B2"/>
    <w:rsid w:val="00787890"/>
    <w:rsid w:val="00787B67"/>
    <w:rsid w:val="00787C4F"/>
    <w:rsid w:val="00787D10"/>
    <w:rsid w:val="00787D17"/>
    <w:rsid w:val="00787D20"/>
    <w:rsid w:val="00787D26"/>
    <w:rsid w:val="00787E6E"/>
    <w:rsid w:val="00787E8B"/>
    <w:rsid w:val="00787EB3"/>
    <w:rsid w:val="00787F50"/>
    <w:rsid w:val="00787FB9"/>
    <w:rsid w:val="00787FBF"/>
    <w:rsid w:val="00787FEF"/>
    <w:rsid w:val="0078A61D"/>
    <w:rsid w:val="00790064"/>
    <w:rsid w:val="007901B9"/>
    <w:rsid w:val="007901D7"/>
    <w:rsid w:val="00790233"/>
    <w:rsid w:val="0079027E"/>
    <w:rsid w:val="007902AA"/>
    <w:rsid w:val="007902E1"/>
    <w:rsid w:val="0079038A"/>
    <w:rsid w:val="00790398"/>
    <w:rsid w:val="007903BE"/>
    <w:rsid w:val="007903FF"/>
    <w:rsid w:val="007904D3"/>
    <w:rsid w:val="00790589"/>
    <w:rsid w:val="0079058B"/>
    <w:rsid w:val="007905CC"/>
    <w:rsid w:val="0079068E"/>
    <w:rsid w:val="007906D1"/>
    <w:rsid w:val="007906F8"/>
    <w:rsid w:val="00790711"/>
    <w:rsid w:val="00790767"/>
    <w:rsid w:val="0079076E"/>
    <w:rsid w:val="007907C8"/>
    <w:rsid w:val="00790902"/>
    <w:rsid w:val="0079091E"/>
    <w:rsid w:val="00790A49"/>
    <w:rsid w:val="00790A59"/>
    <w:rsid w:val="00790AFB"/>
    <w:rsid w:val="00790B0D"/>
    <w:rsid w:val="00790B75"/>
    <w:rsid w:val="00790B92"/>
    <w:rsid w:val="00790CE8"/>
    <w:rsid w:val="00790DAF"/>
    <w:rsid w:val="00790F95"/>
    <w:rsid w:val="00791126"/>
    <w:rsid w:val="0079113B"/>
    <w:rsid w:val="007911E4"/>
    <w:rsid w:val="0079124D"/>
    <w:rsid w:val="007912B3"/>
    <w:rsid w:val="007912CA"/>
    <w:rsid w:val="007913AB"/>
    <w:rsid w:val="007913C7"/>
    <w:rsid w:val="00791472"/>
    <w:rsid w:val="00791496"/>
    <w:rsid w:val="007914CD"/>
    <w:rsid w:val="007915E5"/>
    <w:rsid w:val="007917F2"/>
    <w:rsid w:val="00791844"/>
    <w:rsid w:val="007918CB"/>
    <w:rsid w:val="007918CD"/>
    <w:rsid w:val="007918F0"/>
    <w:rsid w:val="0079190B"/>
    <w:rsid w:val="0079190E"/>
    <w:rsid w:val="0079192F"/>
    <w:rsid w:val="0079193D"/>
    <w:rsid w:val="00791A1D"/>
    <w:rsid w:val="00791A36"/>
    <w:rsid w:val="00791AA9"/>
    <w:rsid w:val="00791AD9"/>
    <w:rsid w:val="00791BE8"/>
    <w:rsid w:val="00791D83"/>
    <w:rsid w:val="00791DF7"/>
    <w:rsid w:val="00791DFB"/>
    <w:rsid w:val="00791EE4"/>
    <w:rsid w:val="00791F0E"/>
    <w:rsid w:val="00791FBD"/>
    <w:rsid w:val="00791FC6"/>
    <w:rsid w:val="00792002"/>
    <w:rsid w:val="00792014"/>
    <w:rsid w:val="00792023"/>
    <w:rsid w:val="007920EA"/>
    <w:rsid w:val="00792229"/>
    <w:rsid w:val="0079230E"/>
    <w:rsid w:val="00792359"/>
    <w:rsid w:val="0079247B"/>
    <w:rsid w:val="0079248B"/>
    <w:rsid w:val="007924F6"/>
    <w:rsid w:val="00792511"/>
    <w:rsid w:val="00792541"/>
    <w:rsid w:val="0079254F"/>
    <w:rsid w:val="0079255E"/>
    <w:rsid w:val="0079276E"/>
    <w:rsid w:val="0079278C"/>
    <w:rsid w:val="007927A4"/>
    <w:rsid w:val="007927DD"/>
    <w:rsid w:val="007928D4"/>
    <w:rsid w:val="00792990"/>
    <w:rsid w:val="00792ACA"/>
    <w:rsid w:val="00792AE0"/>
    <w:rsid w:val="00792B35"/>
    <w:rsid w:val="00792B3F"/>
    <w:rsid w:val="00792B9F"/>
    <w:rsid w:val="00792BF0"/>
    <w:rsid w:val="00792C22"/>
    <w:rsid w:val="00792C41"/>
    <w:rsid w:val="00792E81"/>
    <w:rsid w:val="00792F3D"/>
    <w:rsid w:val="00793069"/>
    <w:rsid w:val="0079306B"/>
    <w:rsid w:val="00793078"/>
    <w:rsid w:val="00793132"/>
    <w:rsid w:val="0079313F"/>
    <w:rsid w:val="00793190"/>
    <w:rsid w:val="007931CB"/>
    <w:rsid w:val="00793359"/>
    <w:rsid w:val="007933C7"/>
    <w:rsid w:val="007933EE"/>
    <w:rsid w:val="00793430"/>
    <w:rsid w:val="00793447"/>
    <w:rsid w:val="0079344E"/>
    <w:rsid w:val="0079345F"/>
    <w:rsid w:val="007934A0"/>
    <w:rsid w:val="007936D3"/>
    <w:rsid w:val="007936F3"/>
    <w:rsid w:val="00793834"/>
    <w:rsid w:val="007938CB"/>
    <w:rsid w:val="00793914"/>
    <w:rsid w:val="00793A72"/>
    <w:rsid w:val="00793A79"/>
    <w:rsid w:val="00793C14"/>
    <w:rsid w:val="00793CC4"/>
    <w:rsid w:val="00793D19"/>
    <w:rsid w:val="00793D29"/>
    <w:rsid w:val="00793DAD"/>
    <w:rsid w:val="00793DE3"/>
    <w:rsid w:val="00793DFD"/>
    <w:rsid w:val="00793E5D"/>
    <w:rsid w:val="00793EDD"/>
    <w:rsid w:val="00793F18"/>
    <w:rsid w:val="00793F49"/>
    <w:rsid w:val="00793F8E"/>
    <w:rsid w:val="00794219"/>
    <w:rsid w:val="00794224"/>
    <w:rsid w:val="0079429C"/>
    <w:rsid w:val="007943FD"/>
    <w:rsid w:val="00794518"/>
    <w:rsid w:val="0079457E"/>
    <w:rsid w:val="007945B0"/>
    <w:rsid w:val="007945B9"/>
    <w:rsid w:val="007945E1"/>
    <w:rsid w:val="00794604"/>
    <w:rsid w:val="007946BB"/>
    <w:rsid w:val="0079474A"/>
    <w:rsid w:val="007947BA"/>
    <w:rsid w:val="007947F1"/>
    <w:rsid w:val="007948AF"/>
    <w:rsid w:val="0079496A"/>
    <w:rsid w:val="00794A03"/>
    <w:rsid w:val="00794A0E"/>
    <w:rsid w:val="00794A8F"/>
    <w:rsid w:val="00794AC8"/>
    <w:rsid w:val="00794B86"/>
    <w:rsid w:val="00794D00"/>
    <w:rsid w:val="00794D33"/>
    <w:rsid w:val="00794EA0"/>
    <w:rsid w:val="00794EE8"/>
    <w:rsid w:val="00794EFF"/>
    <w:rsid w:val="00794F28"/>
    <w:rsid w:val="00794F98"/>
    <w:rsid w:val="00795071"/>
    <w:rsid w:val="0079532C"/>
    <w:rsid w:val="007953FD"/>
    <w:rsid w:val="0079545A"/>
    <w:rsid w:val="007954CD"/>
    <w:rsid w:val="007954D1"/>
    <w:rsid w:val="007954D7"/>
    <w:rsid w:val="007954F4"/>
    <w:rsid w:val="007955AA"/>
    <w:rsid w:val="007955BC"/>
    <w:rsid w:val="007955E7"/>
    <w:rsid w:val="00795625"/>
    <w:rsid w:val="00795639"/>
    <w:rsid w:val="007956E0"/>
    <w:rsid w:val="007956F1"/>
    <w:rsid w:val="0079572A"/>
    <w:rsid w:val="00795746"/>
    <w:rsid w:val="007957A7"/>
    <w:rsid w:val="007957F7"/>
    <w:rsid w:val="0079589C"/>
    <w:rsid w:val="0079591F"/>
    <w:rsid w:val="00795922"/>
    <w:rsid w:val="00795925"/>
    <w:rsid w:val="00795941"/>
    <w:rsid w:val="00795A71"/>
    <w:rsid w:val="00795AEF"/>
    <w:rsid w:val="00795AF5"/>
    <w:rsid w:val="00795C74"/>
    <w:rsid w:val="00795DF3"/>
    <w:rsid w:val="00795E79"/>
    <w:rsid w:val="00795E8E"/>
    <w:rsid w:val="00795EDE"/>
    <w:rsid w:val="00795F0B"/>
    <w:rsid w:val="00795F6A"/>
    <w:rsid w:val="007960A3"/>
    <w:rsid w:val="00796127"/>
    <w:rsid w:val="00796283"/>
    <w:rsid w:val="00796317"/>
    <w:rsid w:val="00796358"/>
    <w:rsid w:val="007963AA"/>
    <w:rsid w:val="00796430"/>
    <w:rsid w:val="007964C5"/>
    <w:rsid w:val="007965E0"/>
    <w:rsid w:val="00796608"/>
    <w:rsid w:val="00796632"/>
    <w:rsid w:val="00796655"/>
    <w:rsid w:val="007966CE"/>
    <w:rsid w:val="0079670D"/>
    <w:rsid w:val="0079677F"/>
    <w:rsid w:val="00796937"/>
    <w:rsid w:val="00796959"/>
    <w:rsid w:val="007969CF"/>
    <w:rsid w:val="007969D8"/>
    <w:rsid w:val="00796A4E"/>
    <w:rsid w:val="00796A6B"/>
    <w:rsid w:val="00796AB4"/>
    <w:rsid w:val="00796BBF"/>
    <w:rsid w:val="00796DE6"/>
    <w:rsid w:val="00796E51"/>
    <w:rsid w:val="00796EDE"/>
    <w:rsid w:val="007971B4"/>
    <w:rsid w:val="007971DD"/>
    <w:rsid w:val="00797211"/>
    <w:rsid w:val="00797221"/>
    <w:rsid w:val="00797408"/>
    <w:rsid w:val="00797470"/>
    <w:rsid w:val="0079748A"/>
    <w:rsid w:val="00797502"/>
    <w:rsid w:val="00797506"/>
    <w:rsid w:val="007975AB"/>
    <w:rsid w:val="007975AF"/>
    <w:rsid w:val="007975B8"/>
    <w:rsid w:val="00797652"/>
    <w:rsid w:val="00797656"/>
    <w:rsid w:val="0079775C"/>
    <w:rsid w:val="00797804"/>
    <w:rsid w:val="00797828"/>
    <w:rsid w:val="007978B7"/>
    <w:rsid w:val="0079794B"/>
    <w:rsid w:val="00797AF3"/>
    <w:rsid w:val="00797BC9"/>
    <w:rsid w:val="00797CD5"/>
    <w:rsid w:val="00797DC2"/>
    <w:rsid w:val="00797DC4"/>
    <w:rsid w:val="00797E34"/>
    <w:rsid w:val="00797E99"/>
    <w:rsid w:val="00797F24"/>
    <w:rsid w:val="00797F4A"/>
    <w:rsid w:val="00797FBC"/>
    <w:rsid w:val="007A0068"/>
    <w:rsid w:val="007A00F0"/>
    <w:rsid w:val="007A01A1"/>
    <w:rsid w:val="007A01B3"/>
    <w:rsid w:val="007A01C8"/>
    <w:rsid w:val="007A025C"/>
    <w:rsid w:val="007A0273"/>
    <w:rsid w:val="007A033D"/>
    <w:rsid w:val="007A03CC"/>
    <w:rsid w:val="007A03DB"/>
    <w:rsid w:val="007A0459"/>
    <w:rsid w:val="007A04B4"/>
    <w:rsid w:val="007A0656"/>
    <w:rsid w:val="007A06CB"/>
    <w:rsid w:val="007A074B"/>
    <w:rsid w:val="007A0800"/>
    <w:rsid w:val="007A0821"/>
    <w:rsid w:val="007A0853"/>
    <w:rsid w:val="007A0875"/>
    <w:rsid w:val="007A08A1"/>
    <w:rsid w:val="007A08EF"/>
    <w:rsid w:val="007A0946"/>
    <w:rsid w:val="007A0A05"/>
    <w:rsid w:val="007A0A22"/>
    <w:rsid w:val="007A0A7B"/>
    <w:rsid w:val="007A0B49"/>
    <w:rsid w:val="007A0B7B"/>
    <w:rsid w:val="007A0BFB"/>
    <w:rsid w:val="007A0C9F"/>
    <w:rsid w:val="007A0CFB"/>
    <w:rsid w:val="007A0DCB"/>
    <w:rsid w:val="007A0DDB"/>
    <w:rsid w:val="007A0DF1"/>
    <w:rsid w:val="007A0E1B"/>
    <w:rsid w:val="007A0EE2"/>
    <w:rsid w:val="007A0F11"/>
    <w:rsid w:val="007A0F1C"/>
    <w:rsid w:val="007A0F54"/>
    <w:rsid w:val="007A0F7D"/>
    <w:rsid w:val="007A0FDD"/>
    <w:rsid w:val="007A102C"/>
    <w:rsid w:val="007A10BC"/>
    <w:rsid w:val="007A10CA"/>
    <w:rsid w:val="007A1110"/>
    <w:rsid w:val="007A112F"/>
    <w:rsid w:val="007A1173"/>
    <w:rsid w:val="007A1194"/>
    <w:rsid w:val="007A1240"/>
    <w:rsid w:val="007A127B"/>
    <w:rsid w:val="007A12C9"/>
    <w:rsid w:val="007A137E"/>
    <w:rsid w:val="007A13C8"/>
    <w:rsid w:val="007A147B"/>
    <w:rsid w:val="007A1504"/>
    <w:rsid w:val="007A1553"/>
    <w:rsid w:val="007A1555"/>
    <w:rsid w:val="007A1559"/>
    <w:rsid w:val="007A15D0"/>
    <w:rsid w:val="007A1616"/>
    <w:rsid w:val="007A1627"/>
    <w:rsid w:val="007A1629"/>
    <w:rsid w:val="007A1684"/>
    <w:rsid w:val="007A169C"/>
    <w:rsid w:val="007A177C"/>
    <w:rsid w:val="007A17BE"/>
    <w:rsid w:val="007A1884"/>
    <w:rsid w:val="007A1A09"/>
    <w:rsid w:val="007A1A0C"/>
    <w:rsid w:val="007A1A2D"/>
    <w:rsid w:val="007A1A8A"/>
    <w:rsid w:val="007A1BDC"/>
    <w:rsid w:val="007A1CF0"/>
    <w:rsid w:val="007A1CF6"/>
    <w:rsid w:val="007A1D07"/>
    <w:rsid w:val="007A1D47"/>
    <w:rsid w:val="007A1EBD"/>
    <w:rsid w:val="007A1F45"/>
    <w:rsid w:val="007A1F9A"/>
    <w:rsid w:val="007A1FDE"/>
    <w:rsid w:val="007A2074"/>
    <w:rsid w:val="007A208B"/>
    <w:rsid w:val="007A20CE"/>
    <w:rsid w:val="007A20E2"/>
    <w:rsid w:val="007A2204"/>
    <w:rsid w:val="007A2298"/>
    <w:rsid w:val="007A22B5"/>
    <w:rsid w:val="007A22D4"/>
    <w:rsid w:val="007A23A3"/>
    <w:rsid w:val="007A240B"/>
    <w:rsid w:val="007A24DC"/>
    <w:rsid w:val="007A251A"/>
    <w:rsid w:val="007A2593"/>
    <w:rsid w:val="007A25E7"/>
    <w:rsid w:val="007A2602"/>
    <w:rsid w:val="007A260D"/>
    <w:rsid w:val="007A2636"/>
    <w:rsid w:val="007A2654"/>
    <w:rsid w:val="007A265B"/>
    <w:rsid w:val="007A268D"/>
    <w:rsid w:val="007A2767"/>
    <w:rsid w:val="007A27A5"/>
    <w:rsid w:val="007A2855"/>
    <w:rsid w:val="007A293A"/>
    <w:rsid w:val="007A2A35"/>
    <w:rsid w:val="007A2A6A"/>
    <w:rsid w:val="007A2AA5"/>
    <w:rsid w:val="007A2C10"/>
    <w:rsid w:val="007A2C6D"/>
    <w:rsid w:val="007A2CDE"/>
    <w:rsid w:val="007A2D49"/>
    <w:rsid w:val="007A2D86"/>
    <w:rsid w:val="007A2E02"/>
    <w:rsid w:val="007A2E22"/>
    <w:rsid w:val="007A2F00"/>
    <w:rsid w:val="007A30CE"/>
    <w:rsid w:val="007A3161"/>
    <w:rsid w:val="007A316A"/>
    <w:rsid w:val="007A31AC"/>
    <w:rsid w:val="007A32E9"/>
    <w:rsid w:val="007A32EF"/>
    <w:rsid w:val="007A334F"/>
    <w:rsid w:val="007A33D2"/>
    <w:rsid w:val="007A33F1"/>
    <w:rsid w:val="007A3411"/>
    <w:rsid w:val="007A3428"/>
    <w:rsid w:val="007A346D"/>
    <w:rsid w:val="007A351F"/>
    <w:rsid w:val="007A358F"/>
    <w:rsid w:val="007A3599"/>
    <w:rsid w:val="007A35AC"/>
    <w:rsid w:val="007A375A"/>
    <w:rsid w:val="007A3800"/>
    <w:rsid w:val="007A3898"/>
    <w:rsid w:val="007A38C5"/>
    <w:rsid w:val="007A39A5"/>
    <w:rsid w:val="007A3A0C"/>
    <w:rsid w:val="007A3A50"/>
    <w:rsid w:val="007A3ADB"/>
    <w:rsid w:val="007A3B63"/>
    <w:rsid w:val="007A3B69"/>
    <w:rsid w:val="007A3BC5"/>
    <w:rsid w:val="007A3C62"/>
    <w:rsid w:val="007A3C8A"/>
    <w:rsid w:val="007A3C8D"/>
    <w:rsid w:val="007A3CAE"/>
    <w:rsid w:val="007A3EFF"/>
    <w:rsid w:val="007A3F5B"/>
    <w:rsid w:val="007A3F65"/>
    <w:rsid w:val="007A3F84"/>
    <w:rsid w:val="007A3FA2"/>
    <w:rsid w:val="007A3FC3"/>
    <w:rsid w:val="007A3FE2"/>
    <w:rsid w:val="007A413B"/>
    <w:rsid w:val="007A416D"/>
    <w:rsid w:val="007A4195"/>
    <w:rsid w:val="007A4204"/>
    <w:rsid w:val="007A4385"/>
    <w:rsid w:val="007A43DF"/>
    <w:rsid w:val="007A4453"/>
    <w:rsid w:val="007A445A"/>
    <w:rsid w:val="007A44D9"/>
    <w:rsid w:val="007A4528"/>
    <w:rsid w:val="007A4579"/>
    <w:rsid w:val="007A45BA"/>
    <w:rsid w:val="007A45CF"/>
    <w:rsid w:val="007A45FF"/>
    <w:rsid w:val="007A464C"/>
    <w:rsid w:val="007A486A"/>
    <w:rsid w:val="007A48CD"/>
    <w:rsid w:val="007A4937"/>
    <w:rsid w:val="007A4955"/>
    <w:rsid w:val="007A498C"/>
    <w:rsid w:val="007A49A6"/>
    <w:rsid w:val="007A4A04"/>
    <w:rsid w:val="007A4B6A"/>
    <w:rsid w:val="007A4C06"/>
    <w:rsid w:val="007A4C4B"/>
    <w:rsid w:val="007A4CCB"/>
    <w:rsid w:val="007A4D27"/>
    <w:rsid w:val="007A4D41"/>
    <w:rsid w:val="007A4D56"/>
    <w:rsid w:val="007A4E3E"/>
    <w:rsid w:val="007A4E6E"/>
    <w:rsid w:val="007A4E82"/>
    <w:rsid w:val="007A4E9F"/>
    <w:rsid w:val="007A4EEA"/>
    <w:rsid w:val="007A4F19"/>
    <w:rsid w:val="007A4F2F"/>
    <w:rsid w:val="007A4FCF"/>
    <w:rsid w:val="007A50FF"/>
    <w:rsid w:val="007A5183"/>
    <w:rsid w:val="007A52AE"/>
    <w:rsid w:val="007A52BB"/>
    <w:rsid w:val="007A53D2"/>
    <w:rsid w:val="007A53F9"/>
    <w:rsid w:val="007A54D4"/>
    <w:rsid w:val="007A5517"/>
    <w:rsid w:val="007A5524"/>
    <w:rsid w:val="007A552D"/>
    <w:rsid w:val="007A5595"/>
    <w:rsid w:val="007A56C9"/>
    <w:rsid w:val="007A56D5"/>
    <w:rsid w:val="007A56D6"/>
    <w:rsid w:val="007A5790"/>
    <w:rsid w:val="007A57F4"/>
    <w:rsid w:val="007A58AD"/>
    <w:rsid w:val="007A58CA"/>
    <w:rsid w:val="007A59A7"/>
    <w:rsid w:val="007A5AA5"/>
    <w:rsid w:val="007A5AF3"/>
    <w:rsid w:val="007A5B5D"/>
    <w:rsid w:val="007A5BCD"/>
    <w:rsid w:val="007A5E5B"/>
    <w:rsid w:val="007A5E5E"/>
    <w:rsid w:val="007A5E85"/>
    <w:rsid w:val="007A5F4D"/>
    <w:rsid w:val="007A5F92"/>
    <w:rsid w:val="007A5FDD"/>
    <w:rsid w:val="007A609C"/>
    <w:rsid w:val="007A60C3"/>
    <w:rsid w:val="007A60ED"/>
    <w:rsid w:val="007A6114"/>
    <w:rsid w:val="007A6118"/>
    <w:rsid w:val="007A6141"/>
    <w:rsid w:val="007A6179"/>
    <w:rsid w:val="007A619A"/>
    <w:rsid w:val="007A61DD"/>
    <w:rsid w:val="007A61EA"/>
    <w:rsid w:val="007A6255"/>
    <w:rsid w:val="007A631E"/>
    <w:rsid w:val="007A638C"/>
    <w:rsid w:val="007A6392"/>
    <w:rsid w:val="007A63C3"/>
    <w:rsid w:val="007A649E"/>
    <w:rsid w:val="007A64E9"/>
    <w:rsid w:val="007A6706"/>
    <w:rsid w:val="007A67AF"/>
    <w:rsid w:val="007A68B2"/>
    <w:rsid w:val="007A6939"/>
    <w:rsid w:val="007A69EC"/>
    <w:rsid w:val="007A69F1"/>
    <w:rsid w:val="007A6A58"/>
    <w:rsid w:val="007A6AC9"/>
    <w:rsid w:val="007A6B5F"/>
    <w:rsid w:val="007A6B6F"/>
    <w:rsid w:val="007A6BAA"/>
    <w:rsid w:val="007A6C41"/>
    <w:rsid w:val="007A6C71"/>
    <w:rsid w:val="007A6DB9"/>
    <w:rsid w:val="007A6F31"/>
    <w:rsid w:val="007A6F40"/>
    <w:rsid w:val="007A7003"/>
    <w:rsid w:val="007A7016"/>
    <w:rsid w:val="007A7044"/>
    <w:rsid w:val="007A708C"/>
    <w:rsid w:val="007A7145"/>
    <w:rsid w:val="007A7161"/>
    <w:rsid w:val="007A71D3"/>
    <w:rsid w:val="007A7258"/>
    <w:rsid w:val="007A72DF"/>
    <w:rsid w:val="007A72F9"/>
    <w:rsid w:val="007A7364"/>
    <w:rsid w:val="007A73A0"/>
    <w:rsid w:val="007A73F7"/>
    <w:rsid w:val="007A73FD"/>
    <w:rsid w:val="007A74A6"/>
    <w:rsid w:val="007A74C1"/>
    <w:rsid w:val="007A74E9"/>
    <w:rsid w:val="007A74EE"/>
    <w:rsid w:val="007A75AB"/>
    <w:rsid w:val="007A75CA"/>
    <w:rsid w:val="007A760D"/>
    <w:rsid w:val="007A771F"/>
    <w:rsid w:val="007A7794"/>
    <w:rsid w:val="007A77B8"/>
    <w:rsid w:val="007A7976"/>
    <w:rsid w:val="007A79B4"/>
    <w:rsid w:val="007A79BA"/>
    <w:rsid w:val="007A7A3B"/>
    <w:rsid w:val="007A7A7A"/>
    <w:rsid w:val="007A7B37"/>
    <w:rsid w:val="007A7B96"/>
    <w:rsid w:val="007A7BDA"/>
    <w:rsid w:val="007A7CD7"/>
    <w:rsid w:val="007A7D09"/>
    <w:rsid w:val="007A7D5D"/>
    <w:rsid w:val="007A7DD0"/>
    <w:rsid w:val="007A7E46"/>
    <w:rsid w:val="007A7ECB"/>
    <w:rsid w:val="007A7ED0"/>
    <w:rsid w:val="007A7FAB"/>
    <w:rsid w:val="007B00DF"/>
    <w:rsid w:val="007B00E2"/>
    <w:rsid w:val="007B01AA"/>
    <w:rsid w:val="007B0293"/>
    <w:rsid w:val="007B02FB"/>
    <w:rsid w:val="007B0319"/>
    <w:rsid w:val="007B034D"/>
    <w:rsid w:val="007B03C4"/>
    <w:rsid w:val="007B03E1"/>
    <w:rsid w:val="007B047A"/>
    <w:rsid w:val="007B048A"/>
    <w:rsid w:val="007B050F"/>
    <w:rsid w:val="007B0540"/>
    <w:rsid w:val="007B0621"/>
    <w:rsid w:val="007B0638"/>
    <w:rsid w:val="007B065B"/>
    <w:rsid w:val="007B06B3"/>
    <w:rsid w:val="007B075E"/>
    <w:rsid w:val="007B0768"/>
    <w:rsid w:val="007B0783"/>
    <w:rsid w:val="007B0814"/>
    <w:rsid w:val="007B0A50"/>
    <w:rsid w:val="007B0B2C"/>
    <w:rsid w:val="007B0C22"/>
    <w:rsid w:val="007B0C35"/>
    <w:rsid w:val="007B0C3B"/>
    <w:rsid w:val="007B0CCE"/>
    <w:rsid w:val="007B0CFB"/>
    <w:rsid w:val="007B0D10"/>
    <w:rsid w:val="007B0DD6"/>
    <w:rsid w:val="007B0E88"/>
    <w:rsid w:val="007B0EF8"/>
    <w:rsid w:val="007B0F26"/>
    <w:rsid w:val="007B0F86"/>
    <w:rsid w:val="007B1030"/>
    <w:rsid w:val="007B1040"/>
    <w:rsid w:val="007B104A"/>
    <w:rsid w:val="007B11CE"/>
    <w:rsid w:val="007B130E"/>
    <w:rsid w:val="007B1390"/>
    <w:rsid w:val="007B1394"/>
    <w:rsid w:val="007B13B8"/>
    <w:rsid w:val="007B144A"/>
    <w:rsid w:val="007B1487"/>
    <w:rsid w:val="007B14AE"/>
    <w:rsid w:val="007B15F0"/>
    <w:rsid w:val="007B168C"/>
    <w:rsid w:val="007B16EA"/>
    <w:rsid w:val="007B170B"/>
    <w:rsid w:val="007B173A"/>
    <w:rsid w:val="007B17CF"/>
    <w:rsid w:val="007B1838"/>
    <w:rsid w:val="007B1867"/>
    <w:rsid w:val="007B18D5"/>
    <w:rsid w:val="007B18EB"/>
    <w:rsid w:val="007B1922"/>
    <w:rsid w:val="007B19DF"/>
    <w:rsid w:val="007B1A59"/>
    <w:rsid w:val="007B1CAE"/>
    <w:rsid w:val="007B1D13"/>
    <w:rsid w:val="007B1DDA"/>
    <w:rsid w:val="007B1FCA"/>
    <w:rsid w:val="007B1FE1"/>
    <w:rsid w:val="007B1FED"/>
    <w:rsid w:val="007B2000"/>
    <w:rsid w:val="007B2130"/>
    <w:rsid w:val="007B216D"/>
    <w:rsid w:val="007B2265"/>
    <w:rsid w:val="007B2268"/>
    <w:rsid w:val="007B2286"/>
    <w:rsid w:val="007B22C8"/>
    <w:rsid w:val="007B22D6"/>
    <w:rsid w:val="007B22DA"/>
    <w:rsid w:val="007B23C6"/>
    <w:rsid w:val="007B2460"/>
    <w:rsid w:val="007B2492"/>
    <w:rsid w:val="007B2578"/>
    <w:rsid w:val="007B2592"/>
    <w:rsid w:val="007B267F"/>
    <w:rsid w:val="007B2715"/>
    <w:rsid w:val="007B2801"/>
    <w:rsid w:val="007B2804"/>
    <w:rsid w:val="007B28D3"/>
    <w:rsid w:val="007B2925"/>
    <w:rsid w:val="007B2971"/>
    <w:rsid w:val="007B297C"/>
    <w:rsid w:val="007B2998"/>
    <w:rsid w:val="007B29AD"/>
    <w:rsid w:val="007B2A0B"/>
    <w:rsid w:val="007B2B73"/>
    <w:rsid w:val="007B2BA1"/>
    <w:rsid w:val="007B2BB7"/>
    <w:rsid w:val="007B2BCA"/>
    <w:rsid w:val="007B2C72"/>
    <w:rsid w:val="007B2D2A"/>
    <w:rsid w:val="007B2D75"/>
    <w:rsid w:val="007B2D76"/>
    <w:rsid w:val="007B2DCF"/>
    <w:rsid w:val="007B2E15"/>
    <w:rsid w:val="007B2E88"/>
    <w:rsid w:val="007B3024"/>
    <w:rsid w:val="007B306C"/>
    <w:rsid w:val="007B330F"/>
    <w:rsid w:val="007B3380"/>
    <w:rsid w:val="007B3445"/>
    <w:rsid w:val="007B34FB"/>
    <w:rsid w:val="007B3543"/>
    <w:rsid w:val="007B35B7"/>
    <w:rsid w:val="007B363C"/>
    <w:rsid w:val="007B393C"/>
    <w:rsid w:val="007B39BE"/>
    <w:rsid w:val="007B3B64"/>
    <w:rsid w:val="007B3B82"/>
    <w:rsid w:val="007B3C16"/>
    <w:rsid w:val="007B3C3A"/>
    <w:rsid w:val="007B3C8C"/>
    <w:rsid w:val="007B3C98"/>
    <w:rsid w:val="007B3CCE"/>
    <w:rsid w:val="007B3D60"/>
    <w:rsid w:val="007B3D88"/>
    <w:rsid w:val="007B3D8E"/>
    <w:rsid w:val="007B3DB6"/>
    <w:rsid w:val="007B3E08"/>
    <w:rsid w:val="007B3EF5"/>
    <w:rsid w:val="007B3F5A"/>
    <w:rsid w:val="007B401B"/>
    <w:rsid w:val="007B403E"/>
    <w:rsid w:val="007B40C4"/>
    <w:rsid w:val="007B4114"/>
    <w:rsid w:val="007B4194"/>
    <w:rsid w:val="007B41A5"/>
    <w:rsid w:val="007B41D7"/>
    <w:rsid w:val="007B42C4"/>
    <w:rsid w:val="007B4345"/>
    <w:rsid w:val="007B43D1"/>
    <w:rsid w:val="007B43E2"/>
    <w:rsid w:val="007B4421"/>
    <w:rsid w:val="007B442C"/>
    <w:rsid w:val="007B445E"/>
    <w:rsid w:val="007B4569"/>
    <w:rsid w:val="007B4588"/>
    <w:rsid w:val="007B4710"/>
    <w:rsid w:val="007B4728"/>
    <w:rsid w:val="007B47C2"/>
    <w:rsid w:val="007B4820"/>
    <w:rsid w:val="007B491E"/>
    <w:rsid w:val="007B498C"/>
    <w:rsid w:val="007B49F6"/>
    <w:rsid w:val="007B4A72"/>
    <w:rsid w:val="007B4B14"/>
    <w:rsid w:val="007B4BCF"/>
    <w:rsid w:val="007B4C25"/>
    <w:rsid w:val="007B4D37"/>
    <w:rsid w:val="007B4D6A"/>
    <w:rsid w:val="007B4E16"/>
    <w:rsid w:val="007B4EA3"/>
    <w:rsid w:val="007B4F3B"/>
    <w:rsid w:val="007B4FD1"/>
    <w:rsid w:val="007B511A"/>
    <w:rsid w:val="007B5167"/>
    <w:rsid w:val="007B516E"/>
    <w:rsid w:val="007B520A"/>
    <w:rsid w:val="007B5213"/>
    <w:rsid w:val="007B52DC"/>
    <w:rsid w:val="007B5344"/>
    <w:rsid w:val="007B5345"/>
    <w:rsid w:val="007B5348"/>
    <w:rsid w:val="007B5409"/>
    <w:rsid w:val="007B548C"/>
    <w:rsid w:val="007B5592"/>
    <w:rsid w:val="007B55EB"/>
    <w:rsid w:val="007B561B"/>
    <w:rsid w:val="007B5621"/>
    <w:rsid w:val="007B564D"/>
    <w:rsid w:val="007B56E4"/>
    <w:rsid w:val="007B56F0"/>
    <w:rsid w:val="007B5734"/>
    <w:rsid w:val="007B579F"/>
    <w:rsid w:val="007B57B1"/>
    <w:rsid w:val="007B57BD"/>
    <w:rsid w:val="007B5831"/>
    <w:rsid w:val="007B593C"/>
    <w:rsid w:val="007B5940"/>
    <w:rsid w:val="007B59C5"/>
    <w:rsid w:val="007B59CB"/>
    <w:rsid w:val="007B59D9"/>
    <w:rsid w:val="007B59F2"/>
    <w:rsid w:val="007B5A05"/>
    <w:rsid w:val="007B5A0A"/>
    <w:rsid w:val="007B5A6D"/>
    <w:rsid w:val="007B5B55"/>
    <w:rsid w:val="007B5D50"/>
    <w:rsid w:val="007B5DD7"/>
    <w:rsid w:val="007B5E66"/>
    <w:rsid w:val="007B5EF6"/>
    <w:rsid w:val="007B5EF9"/>
    <w:rsid w:val="007B5F0B"/>
    <w:rsid w:val="007B5F6B"/>
    <w:rsid w:val="007B5FCE"/>
    <w:rsid w:val="007B5FFB"/>
    <w:rsid w:val="007B6181"/>
    <w:rsid w:val="007B6265"/>
    <w:rsid w:val="007B62EA"/>
    <w:rsid w:val="007B62F4"/>
    <w:rsid w:val="007B634D"/>
    <w:rsid w:val="007B64B9"/>
    <w:rsid w:val="007B6586"/>
    <w:rsid w:val="007B65D7"/>
    <w:rsid w:val="007B6651"/>
    <w:rsid w:val="007B66D4"/>
    <w:rsid w:val="007B66FA"/>
    <w:rsid w:val="007B672F"/>
    <w:rsid w:val="007B6739"/>
    <w:rsid w:val="007B6799"/>
    <w:rsid w:val="007B67E5"/>
    <w:rsid w:val="007B6964"/>
    <w:rsid w:val="007B6967"/>
    <w:rsid w:val="007B6994"/>
    <w:rsid w:val="007B69F6"/>
    <w:rsid w:val="007B6A47"/>
    <w:rsid w:val="007B6AE3"/>
    <w:rsid w:val="007B6C63"/>
    <w:rsid w:val="007B6D87"/>
    <w:rsid w:val="007B6F88"/>
    <w:rsid w:val="007B7028"/>
    <w:rsid w:val="007B703F"/>
    <w:rsid w:val="007B70FC"/>
    <w:rsid w:val="007B7127"/>
    <w:rsid w:val="007B7185"/>
    <w:rsid w:val="007B718E"/>
    <w:rsid w:val="007B71B2"/>
    <w:rsid w:val="007B72D7"/>
    <w:rsid w:val="007B7300"/>
    <w:rsid w:val="007B73CE"/>
    <w:rsid w:val="007B73F4"/>
    <w:rsid w:val="007B7483"/>
    <w:rsid w:val="007B7486"/>
    <w:rsid w:val="007B757B"/>
    <w:rsid w:val="007B75B3"/>
    <w:rsid w:val="007B7690"/>
    <w:rsid w:val="007B76CD"/>
    <w:rsid w:val="007B76FC"/>
    <w:rsid w:val="007B778E"/>
    <w:rsid w:val="007B77A8"/>
    <w:rsid w:val="007B77CE"/>
    <w:rsid w:val="007B7819"/>
    <w:rsid w:val="007B79FD"/>
    <w:rsid w:val="007B7A3D"/>
    <w:rsid w:val="007B7A8D"/>
    <w:rsid w:val="007B7ABE"/>
    <w:rsid w:val="007B7B8E"/>
    <w:rsid w:val="007B7BBE"/>
    <w:rsid w:val="007B7BDA"/>
    <w:rsid w:val="007B7C15"/>
    <w:rsid w:val="007B7C2A"/>
    <w:rsid w:val="007B7C2E"/>
    <w:rsid w:val="007B7C62"/>
    <w:rsid w:val="007B7D2F"/>
    <w:rsid w:val="007B7D31"/>
    <w:rsid w:val="007B7D75"/>
    <w:rsid w:val="007B7E14"/>
    <w:rsid w:val="007B7E4B"/>
    <w:rsid w:val="007B7F40"/>
    <w:rsid w:val="007C0101"/>
    <w:rsid w:val="007C01AD"/>
    <w:rsid w:val="007C02B2"/>
    <w:rsid w:val="007C0363"/>
    <w:rsid w:val="007C03B8"/>
    <w:rsid w:val="007C0440"/>
    <w:rsid w:val="007C04D7"/>
    <w:rsid w:val="007C052F"/>
    <w:rsid w:val="007C059C"/>
    <w:rsid w:val="007C05D1"/>
    <w:rsid w:val="007C077E"/>
    <w:rsid w:val="007C0857"/>
    <w:rsid w:val="007C09F0"/>
    <w:rsid w:val="007C0A36"/>
    <w:rsid w:val="007C0A37"/>
    <w:rsid w:val="007C0C24"/>
    <w:rsid w:val="007C0C54"/>
    <w:rsid w:val="007C0CDA"/>
    <w:rsid w:val="007C0D15"/>
    <w:rsid w:val="007C0D8C"/>
    <w:rsid w:val="007C0DAE"/>
    <w:rsid w:val="007C0DCF"/>
    <w:rsid w:val="007C0DD7"/>
    <w:rsid w:val="007C0DDB"/>
    <w:rsid w:val="007C0E06"/>
    <w:rsid w:val="007C0E0C"/>
    <w:rsid w:val="007C0E53"/>
    <w:rsid w:val="007C0F47"/>
    <w:rsid w:val="007C0F78"/>
    <w:rsid w:val="007C0FFF"/>
    <w:rsid w:val="007C109C"/>
    <w:rsid w:val="007C11A4"/>
    <w:rsid w:val="007C11F5"/>
    <w:rsid w:val="007C1246"/>
    <w:rsid w:val="007C1276"/>
    <w:rsid w:val="007C12E6"/>
    <w:rsid w:val="007C1360"/>
    <w:rsid w:val="007C144F"/>
    <w:rsid w:val="007C14A2"/>
    <w:rsid w:val="007C14AB"/>
    <w:rsid w:val="007C152F"/>
    <w:rsid w:val="007C1576"/>
    <w:rsid w:val="007C15FD"/>
    <w:rsid w:val="007C1617"/>
    <w:rsid w:val="007C173B"/>
    <w:rsid w:val="007C1793"/>
    <w:rsid w:val="007C180B"/>
    <w:rsid w:val="007C1823"/>
    <w:rsid w:val="007C189A"/>
    <w:rsid w:val="007C189B"/>
    <w:rsid w:val="007C194B"/>
    <w:rsid w:val="007C19CF"/>
    <w:rsid w:val="007C1A22"/>
    <w:rsid w:val="007C1A5C"/>
    <w:rsid w:val="007C1A9A"/>
    <w:rsid w:val="007C1B40"/>
    <w:rsid w:val="007C1BA6"/>
    <w:rsid w:val="007C1BE2"/>
    <w:rsid w:val="007C1BE8"/>
    <w:rsid w:val="007C1C59"/>
    <w:rsid w:val="007C1CA2"/>
    <w:rsid w:val="007C1CBA"/>
    <w:rsid w:val="007C1CD8"/>
    <w:rsid w:val="007C1D85"/>
    <w:rsid w:val="007C1DFF"/>
    <w:rsid w:val="007C1FBB"/>
    <w:rsid w:val="007C202A"/>
    <w:rsid w:val="007C2158"/>
    <w:rsid w:val="007C21BD"/>
    <w:rsid w:val="007C220B"/>
    <w:rsid w:val="007C2241"/>
    <w:rsid w:val="007C2267"/>
    <w:rsid w:val="007C22C9"/>
    <w:rsid w:val="007C238B"/>
    <w:rsid w:val="007C2421"/>
    <w:rsid w:val="007C246F"/>
    <w:rsid w:val="007C24B2"/>
    <w:rsid w:val="007C24C8"/>
    <w:rsid w:val="007C251D"/>
    <w:rsid w:val="007C2545"/>
    <w:rsid w:val="007C2559"/>
    <w:rsid w:val="007C25CB"/>
    <w:rsid w:val="007C2659"/>
    <w:rsid w:val="007C2693"/>
    <w:rsid w:val="007C2836"/>
    <w:rsid w:val="007C283F"/>
    <w:rsid w:val="007C2843"/>
    <w:rsid w:val="007C2850"/>
    <w:rsid w:val="007C295E"/>
    <w:rsid w:val="007C2979"/>
    <w:rsid w:val="007C2A69"/>
    <w:rsid w:val="007C2ADD"/>
    <w:rsid w:val="007C2B2A"/>
    <w:rsid w:val="007C2B30"/>
    <w:rsid w:val="007C2B36"/>
    <w:rsid w:val="007C2B7D"/>
    <w:rsid w:val="007C2BD5"/>
    <w:rsid w:val="007C2C3B"/>
    <w:rsid w:val="007C2C43"/>
    <w:rsid w:val="007C2C87"/>
    <w:rsid w:val="007C2CC2"/>
    <w:rsid w:val="007C2D1B"/>
    <w:rsid w:val="007C2D31"/>
    <w:rsid w:val="007C2D39"/>
    <w:rsid w:val="007C2D9D"/>
    <w:rsid w:val="007C2E58"/>
    <w:rsid w:val="007C2F4B"/>
    <w:rsid w:val="007C2F56"/>
    <w:rsid w:val="007C2F60"/>
    <w:rsid w:val="007C2F8A"/>
    <w:rsid w:val="007C2FB0"/>
    <w:rsid w:val="007C3032"/>
    <w:rsid w:val="007C3070"/>
    <w:rsid w:val="007C30C7"/>
    <w:rsid w:val="007C3240"/>
    <w:rsid w:val="007C348B"/>
    <w:rsid w:val="007C3494"/>
    <w:rsid w:val="007C352A"/>
    <w:rsid w:val="007C3537"/>
    <w:rsid w:val="007C353C"/>
    <w:rsid w:val="007C358A"/>
    <w:rsid w:val="007C3637"/>
    <w:rsid w:val="007C3653"/>
    <w:rsid w:val="007C3658"/>
    <w:rsid w:val="007C36CA"/>
    <w:rsid w:val="007C3784"/>
    <w:rsid w:val="007C37EC"/>
    <w:rsid w:val="007C3854"/>
    <w:rsid w:val="007C387E"/>
    <w:rsid w:val="007C38F3"/>
    <w:rsid w:val="007C391A"/>
    <w:rsid w:val="007C3977"/>
    <w:rsid w:val="007C3982"/>
    <w:rsid w:val="007C39C8"/>
    <w:rsid w:val="007C3BE4"/>
    <w:rsid w:val="007C3C0A"/>
    <w:rsid w:val="007C3D93"/>
    <w:rsid w:val="007C3DC7"/>
    <w:rsid w:val="007C3EDE"/>
    <w:rsid w:val="007C3FCB"/>
    <w:rsid w:val="007C401F"/>
    <w:rsid w:val="007C4058"/>
    <w:rsid w:val="007C40DA"/>
    <w:rsid w:val="007C420E"/>
    <w:rsid w:val="007C424C"/>
    <w:rsid w:val="007C4264"/>
    <w:rsid w:val="007C429F"/>
    <w:rsid w:val="007C44EF"/>
    <w:rsid w:val="007C4559"/>
    <w:rsid w:val="007C45DA"/>
    <w:rsid w:val="007C46A6"/>
    <w:rsid w:val="007C4715"/>
    <w:rsid w:val="007C478D"/>
    <w:rsid w:val="007C4797"/>
    <w:rsid w:val="007C481D"/>
    <w:rsid w:val="007C484F"/>
    <w:rsid w:val="007C49A4"/>
    <w:rsid w:val="007C4A8F"/>
    <w:rsid w:val="007C4AC1"/>
    <w:rsid w:val="007C4BEB"/>
    <w:rsid w:val="007C4BF6"/>
    <w:rsid w:val="007C4D69"/>
    <w:rsid w:val="007C4E35"/>
    <w:rsid w:val="007C4F94"/>
    <w:rsid w:val="007C507D"/>
    <w:rsid w:val="007C50DF"/>
    <w:rsid w:val="007C5151"/>
    <w:rsid w:val="007C51C4"/>
    <w:rsid w:val="007C528D"/>
    <w:rsid w:val="007C52E1"/>
    <w:rsid w:val="007C5306"/>
    <w:rsid w:val="007C5343"/>
    <w:rsid w:val="007C540D"/>
    <w:rsid w:val="007C5435"/>
    <w:rsid w:val="007C543E"/>
    <w:rsid w:val="007C54A7"/>
    <w:rsid w:val="007C561E"/>
    <w:rsid w:val="007C566B"/>
    <w:rsid w:val="007C568B"/>
    <w:rsid w:val="007C56B6"/>
    <w:rsid w:val="007C56DA"/>
    <w:rsid w:val="007C576D"/>
    <w:rsid w:val="007C5778"/>
    <w:rsid w:val="007C5815"/>
    <w:rsid w:val="007C58C8"/>
    <w:rsid w:val="007C58F7"/>
    <w:rsid w:val="007C591E"/>
    <w:rsid w:val="007C598A"/>
    <w:rsid w:val="007C59E1"/>
    <w:rsid w:val="007C5A07"/>
    <w:rsid w:val="007C5AA8"/>
    <w:rsid w:val="007C5B5F"/>
    <w:rsid w:val="007C5C40"/>
    <w:rsid w:val="007C5C52"/>
    <w:rsid w:val="007C5C6F"/>
    <w:rsid w:val="007C5D6F"/>
    <w:rsid w:val="007C5DCF"/>
    <w:rsid w:val="007C5E7A"/>
    <w:rsid w:val="007C5E83"/>
    <w:rsid w:val="007C5EE1"/>
    <w:rsid w:val="007C5EFE"/>
    <w:rsid w:val="007C5F21"/>
    <w:rsid w:val="007C5FE8"/>
    <w:rsid w:val="007C608B"/>
    <w:rsid w:val="007C60BC"/>
    <w:rsid w:val="007C6197"/>
    <w:rsid w:val="007C61C1"/>
    <w:rsid w:val="007C61F3"/>
    <w:rsid w:val="007C626D"/>
    <w:rsid w:val="007C638C"/>
    <w:rsid w:val="007C63B7"/>
    <w:rsid w:val="007C63BA"/>
    <w:rsid w:val="007C6402"/>
    <w:rsid w:val="007C640C"/>
    <w:rsid w:val="007C6421"/>
    <w:rsid w:val="007C6453"/>
    <w:rsid w:val="007C64C2"/>
    <w:rsid w:val="007C64D5"/>
    <w:rsid w:val="007C6537"/>
    <w:rsid w:val="007C6558"/>
    <w:rsid w:val="007C658F"/>
    <w:rsid w:val="007C65E2"/>
    <w:rsid w:val="007C66A9"/>
    <w:rsid w:val="007C673C"/>
    <w:rsid w:val="007C6791"/>
    <w:rsid w:val="007C688D"/>
    <w:rsid w:val="007C6922"/>
    <w:rsid w:val="007C6A30"/>
    <w:rsid w:val="007C6A31"/>
    <w:rsid w:val="007C6A9E"/>
    <w:rsid w:val="007C6B7A"/>
    <w:rsid w:val="007C6BB4"/>
    <w:rsid w:val="007C6C2A"/>
    <w:rsid w:val="007C6C2B"/>
    <w:rsid w:val="007C6C39"/>
    <w:rsid w:val="007C6C8A"/>
    <w:rsid w:val="007C6CC8"/>
    <w:rsid w:val="007C6D0C"/>
    <w:rsid w:val="007C6E64"/>
    <w:rsid w:val="007C6E9B"/>
    <w:rsid w:val="007C6F33"/>
    <w:rsid w:val="007C6F84"/>
    <w:rsid w:val="007C7238"/>
    <w:rsid w:val="007C7281"/>
    <w:rsid w:val="007C730F"/>
    <w:rsid w:val="007C737E"/>
    <w:rsid w:val="007C7462"/>
    <w:rsid w:val="007C74E0"/>
    <w:rsid w:val="007C756B"/>
    <w:rsid w:val="007C75CA"/>
    <w:rsid w:val="007C75CD"/>
    <w:rsid w:val="007C7649"/>
    <w:rsid w:val="007C7675"/>
    <w:rsid w:val="007C7678"/>
    <w:rsid w:val="007C76B0"/>
    <w:rsid w:val="007C76C3"/>
    <w:rsid w:val="007C76D5"/>
    <w:rsid w:val="007C7757"/>
    <w:rsid w:val="007C7913"/>
    <w:rsid w:val="007C7B07"/>
    <w:rsid w:val="007C7B0C"/>
    <w:rsid w:val="007C7B8A"/>
    <w:rsid w:val="007C7F76"/>
    <w:rsid w:val="007D0088"/>
    <w:rsid w:val="007D008A"/>
    <w:rsid w:val="007D00FE"/>
    <w:rsid w:val="007D0149"/>
    <w:rsid w:val="007D01C2"/>
    <w:rsid w:val="007D02A0"/>
    <w:rsid w:val="007D03A4"/>
    <w:rsid w:val="007D03C2"/>
    <w:rsid w:val="007D03E5"/>
    <w:rsid w:val="007D0405"/>
    <w:rsid w:val="007D0456"/>
    <w:rsid w:val="007D0472"/>
    <w:rsid w:val="007D04F9"/>
    <w:rsid w:val="007D050E"/>
    <w:rsid w:val="007D05AB"/>
    <w:rsid w:val="007D05C2"/>
    <w:rsid w:val="007D05FF"/>
    <w:rsid w:val="007D0636"/>
    <w:rsid w:val="007D06A8"/>
    <w:rsid w:val="007D074A"/>
    <w:rsid w:val="007D07D5"/>
    <w:rsid w:val="007D07EE"/>
    <w:rsid w:val="007D0827"/>
    <w:rsid w:val="007D089D"/>
    <w:rsid w:val="007D0A81"/>
    <w:rsid w:val="007D0A9D"/>
    <w:rsid w:val="007D0AB5"/>
    <w:rsid w:val="007D0B02"/>
    <w:rsid w:val="007D0BBF"/>
    <w:rsid w:val="007D0C56"/>
    <w:rsid w:val="007D0D3F"/>
    <w:rsid w:val="007D0F69"/>
    <w:rsid w:val="007D0FEA"/>
    <w:rsid w:val="007D1057"/>
    <w:rsid w:val="007D1070"/>
    <w:rsid w:val="007D1154"/>
    <w:rsid w:val="007D119C"/>
    <w:rsid w:val="007D11CD"/>
    <w:rsid w:val="007D1345"/>
    <w:rsid w:val="007D1442"/>
    <w:rsid w:val="007D14F9"/>
    <w:rsid w:val="007D1591"/>
    <w:rsid w:val="007D15A0"/>
    <w:rsid w:val="007D1620"/>
    <w:rsid w:val="007D167F"/>
    <w:rsid w:val="007D16CB"/>
    <w:rsid w:val="007D173F"/>
    <w:rsid w:val="007D1741"/>
    <w:rsid w:val="007D17B3"/>
    <w:rsid w:val="007D17F3"/>
    <w:rsid w:val="007D18C5"/>
    <w:rsid w:val="007D190B"/>
    <w:rsid w:val="007D1953"/>
    <w:rsid w:val="007D1977"/>
    <w:rsid w:val="007D19AD"/>
    <w:rsid w:val="007D19C2"/>
    <w:rsid w:val="007D19C4"/>
    <w:rsid w:val="007D1A63"/>
    <w:rsid w:val="007D1ABA"/>
    <w:rsid w:val="007D1AE9"/>
    <w:rsid w:val="007D1B12"/>
    <w:rsid w:val="007D1C0B"/>
    <w:rsid w:val="007D1CA1"/>
    <w:rsid w:val="007D1CE0"/>
    <w:rsid w:val="007D1E2A"/>
    <w:rsid w:val="007D1E73"/>
    <w:rsid w:val="007D1E74"/>
    <w:rsid w:val="007D1EE1"/>
    <w:rsid w:val="007D1F33"/>
    <w:rsid w:val="007D1F78"/>
    <w:rsid w:val="007D1F93"/>
    <w:rsid w:val="007D1FFF"/>
    <w:rsid w:val="007D20E5"/>
    <w:rsid w:val="007D21BC"/>
    <w:rsid w:val="007D2230"/>
    <w:rsid w:val="007D2247"/>
    <w:rsid w:val="007D2248"/>
    <w:rsid w:val="007D224A"/>
    <w:rsid w:val="007D2271"/>
    <w:rsid w:val="007D228A"/>
    <w:rsid w:val="007D23C4"/>
    <w:rsid w:val="007D23C5"/>
    <w:rsid w:val="007D23E8"/>
    <w:rsid w:val="007D2509"/>
    <w:rsid w:val="007D2532"/>
    <w:rsid w:val="007D2587"/>
    <w:rsid w:val="007D26A4"/>
    <w:rsid w:val="007D270A"/>
    <w:rsid w:val="007D276A"/>
    <w:rsid w:val="007D28A9"/>
    <w:rsid w:val="007D2A0C"/>
    <w:rsid w:val="007D2A80"/>
    <w:rsid w:val="007D2AE2"/>
    <w:rsid w:val="007D2C29"/>
    <w:rsid w:val="007D2C59"/>
    <w:rsid w:val="007D2CAF"/>
    <w:rsid w:val="007D2CD3"/>
    <w:rsid w:val="007D2DC0"/>
    <w:rsid w:val="007D2E3D"/>
    <w:rsid w:val="007D2E72"/>
    <w:rsid w:val="007D2E82"/>
    <w:rsid w:val="007D2F4B"/>
    <w:rsid w:val="007D2F50"/>
    <w:rsid w:val="007D303E"/>
    <w:rsid w:val="007D3095"/>
    <w:rsid w:val="007D31EE"/>
    <w:rsid w:val="007D32B7"/>
    <w:rsid w:val="007D3354"/>
    <w:rsid w:val="007D337B"/>
    <w:rsid w:val="007D33B7"/>
    <w:rsid w:val="007D33E4"/>
    <w:rsid w:val="007D349D"/>
    <w:rsid w:val="007D3540"/>
    <w:rsid w:val="007D357A"/>
    <w:rsid w:val="007D3598"/>
    <w:rsid w:val="007D35F6"/>
    <w:rsid w:val="007D3604"/>
    <w:rsid w:val="007D3615"/>
    <w:rsid w:val="007D3640"/>
    <w:rsid w:val="007D36FB"/>
    <w:rsid w:val="007D3757"/>
    <w:rsid w:val="007D3780"/>
    <w:rsid w:val="007D37CD"/>
    <w:rsid w:val="007D37D1"/>
    <w:rsid w:val="007D382F"/>
    <w:rsid w:val="007D38A7"/>
    <w:rsid w:val="007D39AE"/>
    <w:rsid w:val="007D3A9B"/>
    <w:rsid w:val="007D3B04"/>
    <w:rsid w:val="007D3B3E"/>
    <w:rsid w:val="007D3B98"/>
    <w:rsid w:val="007D3BA5"/>
    <w:rsid w:val="007D3BDB"/>
    <w:rsid w:val="007D3C11"/>
    <w:rsid w:val="007D3C46"/>
    <w:rsid w:val="007D3C75"/>
    <w:rsid w:val="007D3C83"/>
    <w:rsid w:val="007D3CC9"/>
    <w:rsid w:val="007D3D28"/>
    <w:rsid w:val="007D3DEE"/>
    <w:rsid w:val="007D3ECC"/>
    <w:rsid w:val="007D400A"/>
    <w:rsid w:val="007D40A7"/>
    <w:rsid w:val="007D410D"/>
    <w:rsid w:val="007D414E"/>
    <w:rsid w:val="007D4199"/>
    <w:rsid w:val="007D41DE"/>
    <w:rsid w:val="007D425A"/>
    <w:rsid w:val="007D433E"/>
    <w:rsid w:val="007D43AA"/>
    <w:rsid w:val="007D43BA"/>
    <w:rsid w:val="007D43F8"/>
    <w:rsid w:val="007D44A8"/>
    <w:rsid w:val="007D44D1"/>
    <w:rsid w:val="007D4663"/>
    <w:rsid w:val="007D4683"/>
    <w:rsid w:val="007D469D"/>
    <w:rsid w:val="007D46A0"/>
    <w:rsid w:val="007D485C"/>
    <w:rsid w:val="007D48CE"/>
    <w:rsid w:val="007D497D"/>
    <w:rsid w:val="007D4A32"/>
    <w:rsid w:val="007D4A51"/>
    <w:rsid w:val="007D4B7D"/>
    <w:rsid w:val="007D4C43"/>
    <w:rsid w:val="007D4C73"/>
    <w:rsid w:val="007D4CCA"/>
    <w:rsid w:val="007D4E35"/>
    <w:rsid w:val="007D4EA3"/>
    <w:rsid w:val="007D4EE2"/>
    <w:rsid w:val="007D4F9A"/>
    <w:rsid w:val="007D5012"/>
    <w:rsid w:val="007D5021"/>
    <w:rsid w:val="007D503D"/>
    <w:rsid w:val="007D515C"/>
    <w:rsid w:val="007D5171"/>
    <w:rsid w:val="007D522F"/>
    <w:rsid w:val="007D5240"/>
    <w:rsid w:val="007D5330"/>
    <w:rsid w:val="007D538C"/>
    <w:rsid w:val="007D5467"/>
    <w:rsid w:val="007D547C"/>
    <w:rsid w:val="007D5497"/>
    <w:rsid w:val="007D550C"/>
    <w:rsid w:val="007D5531"/>
    <w:rsid w:val="007D554A"/>
    <w:rsid w:val="007D55E1"/>
    <w:rsid w:val="007D564E"/>
    <w:rsid w:val="007D565E"/>
    <w:rsid w:val="007D56BB"/>
    <w:rsid w:val="007D5779"/>
    <w:rsid w:val="007D577D"/>
    <w:rsid w:val="007D5811"/>
    <w:rsid w:val="007D582E"/>
    <w:rsid w:val="007D5863"/>
    <w:rsid w:val="007D58DA"/>
    <w:rsid w:val="007D58EA"/>
    <w:rsid w:val="007D5923"/>
    <w:rsid w:val="007D592A"/>
    <w:rsid w:val="007D5995"/>
    <w:rsid w:val="007D5A3D"/>
    <w:rsid w:val="007D5A87"/>
    <w:rsid w:val="007D5A89"/>
    <w:rsid w:val="007D5A9E"/>
    <w:rsid w:val="007D5AA2"/>
    <w:rsid w:val="007D5AAB"/>
    <w:rsid w:val="007D5AE6"/>
    <w:rsid w:val="007D5B63"/>
    <w:rsid w:val="007D5BEA"/>
    <w:rsid w:val="007D5C25"/>
    <w:rsid w:val="007D5C66"/>
    <w:rsid w:val="007D5D79"/>
    <w:rsid w:val="007D5D8A"/>
    <w:rsid w:val="007D5E42"/>
    <w:rsid w:val="007D5E73"/>
    <w:rsid w:val="007D5EBE"/>
    <w:rsid w:val="007D5F83"/>
    <w:rsid w:val="007D5F87"/>
    <w:rsid w:val="007D601F"/>
    <w:rsid w:val="007D602A"/>
    <w:rsid w:val="007D611C"/>
    <w:rsid w:val="007D6221"/>
    <w:rsid w:val="007D629A"/>
    <w:rsid w:val="007D62AB"/>
    <w:rsid w:val="007D6319"/>
    <w:rsid w:val="007D6358"/>
    <w:rsid w:val="007D636D"/>
    <w:rsid w:val="007D6387"/>
    <w:rsid w:val="007D63A1"/>
    <w:rsid w:val="007D6465"/>
    <w:rsid w:val="007D6499"/>
    <w:rsid w:val="007D649C"/>
    <w:rsid w:val="007D6649"/>
    <w:rsid w:val="007D691A"/>
    <w:rsid w:val="007D692A"/>
    <w:rsid w:val="007D69F8"/>
    <w:rsid w:val="007D6A64"/>
    <w:rsid w:val="007D6ADB"/>
    <w:rsid w:val="007D6B9B"/>
    <w:rsid w:val="007D6BED"/>
    <w:rsid w:val="007D6C58"/>
    <w:rsid w:val="007D6C6A"/>
    <w:rsid w:val="007D6D1E"/>
    <w:rsid w:val="007D6D59"/>
    <w:rsid w:val="007D6E70"/>
    <w:rsid w:val="007D70E4"/>
    <w:rsid w:val="007D7161"/>
    <w:rsid w:val="007D71B0"/>
    <w:rsid w:val="007D7226"/>
    <w:rsid w:val="007D7238"/>
    <w:rsid w:val="007D7282"/>
    <w:rsid w:val="007D72C2"/>
    <w:rsid w:val="007D733C"/>
    <w:rsid w:val="007D741B"/>
    <w:rsid w:val="007D7426"/>
    <w:rsid w:val="007D7463"/>
    <w:rsid w:val="007D7487"/>
    <w:rsid w:val="007D74EA"/>
    <w:rsid w:val="007D75F0"/>
    <w:rsid w:val="007D76E9"/>
    <w:rsid w:val="007D77DE"/>
    <w:rsid w:val="007D77E7"/>
    <w:rsid w:val="007D780D"/>
    <w:rsid w:val="007D7881"/>
    <w:rsid w:val="007D78C0"/>
    <w:rsid w:val="007D790E"/>
    <w:rsid w:val="007D7997"/>
    <w:rsid w:val="007D7B88"/>
    <w:rsid w:val="007D7BD1"/>
    <w:rsid w:val="007D7C0F"/>
    <w:rsid w:val="007D7C15"/>
    <w:rsid w:val="007D7CDE"/>
    <w:rsid w:val="007D7D09"/>
    <w:rsid w:val="007D7D80"/>
    <w:rsid w:val="007D7D92"/>
    <w:rsid w:val="007D7E06"/>
    <w:rsid w:val="007D7F49"/>
    <w:rsid w:val="007D7F4A"/>
    <w:rsid w:val="007D7FEE"/>
    <w:rsid w:val="007E004A"/>
    <w:rsid w:val="007E006E"/>
    <w:rsid w:val="007E00EA"/>
    <w:rsid w:val="007E00FC"/>
    <w:rsid w:val="007E0218"/>
    <w:rsid w:val="007E022C"/>
    <w:rsid w:val="007E029C"/>
    <w:rsid w:val="007E030A"/>
    <w:rsid w:val="007E03AB"/>
    <w:rsid w:val="007E0474"/>
    <w:rsid w:val="007E04D5"/>
    <w:rsid w:val="007E0580"/>
    <w:rsid w:val="007E05AB"/>
    <w:rsid w:val="007E06AF"/>
    <w:rsid w:val="007E06D8"/>
    <w:rsid w:val="007E0704"/>
    <w:rsid w:val="007E076B"/>
    <w:rsid w:val="007E0852"/>
    <w:rsid w:val="007E08D6"/>
    <w:rsid w:val="007E08F3"/>
    <w:rsid w:val="007E091B"/>
    <w:rsid w:val="007E097F"/>
    <w:rsid w:val="007E09BB"/>
    <w:rsid w:val="007E0A6F"/>
    <w:rsid w:val="007E0ABC"/>
    <w:rsid w:val="007E0ACC"/>
    <w:rsid w:val="007E0B22"/>
    <w:rsid w:val="007E0BD0"/>
    <w:rsid w:val="007E0C75"/>
    <w:rsid w:val="007E0D5C"/>
    <w:rsid w:val="007E0D69"/>
    <w:rsid w:val="007E0E2B"/>
    <w:rsid w:val="007E1001"/>
    <w:rsid w:val="007E100E"/>
    <w:rsid w:val="007E11FA"/>
    <w:rsid w:val="007E1211"/>
    <w:rsid w:val="007E12C9"/>
    <w:rsid w:val="007E12CF"/>
    <w:rsid w:val="007E12D0"/>
    <w:rsid w:val="007E1381"/>
    <w:rsid w:val="007E13AA"/>
    <w:rsid w:val="007E14BA"/>
    <w:rsid w:val="007E14D1"/>
    <w:rsid w:val="007E1553"/>
    <w:rsid w:val="007E1559"/>
    <w:rsid w:val="007E15E7"/>
    <w:rsid w:val="007E1648"/>
    <w:rsid w:val="007E1694"/>
    <w:rsid w:val="007E16A4"/>
    <w:rsid w:val="007E16E1"/>
    <w:rsid w:val="007E1791"/>
    <w:rsid w:val="007E17F3"/>
    <w:rsid w:val="007E1949"/>
    <w:rsid w:val="007E198F"/>
    <w:rsid w:val="007E199A"/>
    <w:rsid w:val="007E1B4E"/>
    <w:rsid w:val="007E1B6D"/>
    <w:rsid w:val="007E1C31"/>
    <w:rsid w:val="007E1D65"/>
    <w:rsid w:val="007E1D67"/>
    <w:rsid w:val="007E1D8A"/>
    <w:rsid w:val="007E1DA9"/>
    <w:rsid w:val="007E1DE0"/>
    <w:rsid w:val="007E1E6F"/>
    <w:rsid w:val="007E1EE0"/>
    <w:rsid w:val="007E1EF7"/>
    <w:rsid w:val="007E1EFB"/>
    <w:rsid w:val="007E1F77"/>
    <w:rsid w:val="007E1FA4"/>
    <w:rsid w:val="007E203C"/>
    <w:rsid w:val="007E21D0"/>
    <w:rsid w:val="007E225E"/>
    <w:rsid w:val="007E226C"/>
    <w:rsid w:val="007E22BF"/>
    <w:rsid w:val="007E22DC"/>
    <w:rsid w:val="007E22EA"/>
    <w:rsid w:val="007E22FB"/>
    <w:rsid w:val="007E2457"/>
    <w:rsid w:val="007E2469"/>
    <w:rsid w:val="007E247B"/>
    <w:rsid w:val="007E247C"/>
    <w:rsid w:val="007E24E7"/>
    <w:rsid w:val="007E250A"/>
    <w:rsid w:val="007E25A3"/>
    <w:rsid w:val="007E269C"/>
    <w:rsid w:val="007E26ED"/>
    <w:rsid w:val="007E2773"/>
    <w:rsid w:val="007E277F"/>
    <w:rsid w:val="007E27D6"/>
    <w:rsid w:val="007E2892"/>
    <w:rsid w:val="007E2923"/>
    <w:rsid w:val="007E2971"/>
    <w:rsid w:val="007E29EA"/>
    <w:rsid w:val="007E2B3B"/>
    <w:rsid w:val="007E2BB8"/>
    <w:rsid w:val="007E2C48"/>
    <w:rsid w:val="007E2C7D"/>
    <w:rsid w:val="007E2CE9"/>
    <w:rsid w:val="007E2D6F"/>
    <w:rsid w:val="007E2DC9"/>
    <w:rsid w:val="007E2E8A"/>
    <w:rsid w:val="007E2EA8"/>
    <w:rsid w:val="007E2EBF"/>
    <w:rsid w:val="007E2F22"/>
    <w:rsid w:val="007E2F73"/>
    <w:rsid w:val="007E2F9E"/>
    <w:rsid w:val="007E2FAF"/>
    <w:rsid w:val="007E3031"/>
    <w:rsid w:val="007E3141"/>
    <w:rsid w:val="007E317B"/>
    <w:rsid w:val="007E319F"/>
    <w:rsid w:val="007E320C"/>
    <w:rsid w:val="007E3376"/>
    <w:rsid w:val="007E337F"/>
    <w:rsid w:val="007E341A"/>
    <w:rsid w:val="007E3499"/>
    <w:rsid w:val="007E34C1"/>
    <w:rsid w:val="007E34EB"/>
    <w:rsid w:val="007E35B6"/>
    <w:rsid w:val="007E35B7"/>
    <w:rsid w:val="007E35B8"/>
    <w:rsid w:val="007E35F2"/>
    <w:rsid w:val="007E35FC"/>
    <w:rsid w:val="007E361F"/>
    <w:rsid w:val="007E3640"/>
    <w:rsid w:val="007E36D3"/>
    <w:rsid w:val="007E36F3"/>
    <w:rsid w:val="007E3729"/>
    <w:rsid w:val="007E381D"/>
    <w:rsid w:val="007E3840"/>
    <w:rsid w:val="007E388A"/>
    <w:rsid w:val="007E39C2"/>
    <w:rsid w:val="007E39E1"/>
    <w:rsid w:val="007E3A22"/>
    <w:rsid w:val="007E3A2B"/>
    <w:rsid w:val="007E3A32"/>
    <w:rsid w:val="007E3AB2"/>
    <w:rsid w:val="007E3B16"/>
    <w:rsid w:val="007E3B28"/>
    <w:rsid w:val="007E3B8C"/>
    <w:rsid w:val="007E3BAD"/>
    <w:rsid w:val="007E3BBD"/>
    <w:rsid w:val="007E3BD8"/>
    <w:rsid w:val="007E3C58"/>
    <w:rsid w:val="007E3C5F"/>
    <w:rsid w:val="007E3D2E"/>
    <w:rsid w:val="007E3EFE"/>
    <w:rsid w:val="007E4004"/>
    <w:rsid w:val="007E4192"/>
    <w:rsid w:val="007E41B1"/>
    <w:rsid w:val="007E41BE"/>
    <w:rsid w:val="007E4244"/>
    <w:rsid w:val="007E439C"/>
    <w:rsid w:val="007E43B7"/>
    <w:rsid w:val="007E4459"/>
    <w:rsid w:val="007E447E"/>
    <w:rsid w:val="007E44E1"/>
    <w:rsid w:val="007E450E"/>
    <w:rsid w:val="007E4606"/>
    <w:rsid w:val="007E4A8D"/>
    <w:rsid w:val="007E4AD1"/>
    <w:rsid w:val="007E4B0E"/>
    <w:rsid w:val="007E4B38"/>
    <w:rsid w:val="007E4BD8"/>
    <w:rsid w:val="007E4C27"/>
    <w:rsid w:val="007E4CED"/>
    <w:rsid w:val="007E4CFF"/>
    <w:rsid w:val="007E4E98"/>
    <w:rsid w:val="007E4F28"/>
    <w:rsid w:val="007E5009"/>
    <w:rsid w:val="007E503E"/>
    <w:rsid w:val="007E50A2"/>
    <w:rsid w:val="007E522E"/>
    <w:rsid w:val="007E52B1"/>
    <w:rsid w:val="007E5341"/>
    <w:rsid w:val="007E537A"/>
    <w:rsid w:val="007E5387"/>
    <w:rsid w:val="007E541C"/>
    <w:rsid w:val="007E542D"/>
    <w:rsid w:val="007E54B1"/>
    <w:rsid w:val="007E54CA"/>
    <w:rsid w:val="007E5517"/>
    <w:rsid w:val="007E561E"/>
    <w:rsid w:val="007E5635"/>
    <w:rsid w:val="007E5645"/>
    <w:rsid w:val="007E56FF"/>
    <w:rsid w:val="007E5745"/>
    <w:rsid w:val="007E57A9"/>
    <w:rsid w:val="007E57E4"/>
    <w:rsid w:val="007E58A3"/>
    <w:rsid w:val="007E5941"/>
    <w:rsid w:val="007E599E"/>
    <w:rsid w:val="007E59B4"/>
    <w:rsid w:val="007E5A7D"/>
    <w:rsid w:val="007E5B43"/>
    <w:rsid w:val="007E5BB5"/>
    <w:rsid w:val="007E5BF7"/>
    <w:rsid w:val="007E5C30"/>
    <w:rsid w:val="007E5CF6"/>
    <w:rsid w:val="007E5D37"/>
    <w:rsid w:val="007E5DB2"/>
    <w:rsid w:val="007E5DB7"/>
    <w:rsid w:val="007E5DC7"/>
    <w:rsid w:val="007E5E2A"/>
    <w:rsid w:val="007E5E67"/>
    <w:rsid w:val="007E5E93"/>
    <w:rsid w:val="007E5F57"/>
    <w:rsid w:val="007E5F7A"/>
    <w:rsid w:val="007E5FCE"/>
    <w:rsid w:val="007E5FD4"/>
    <w:rsid w:val="007E609A"/>
    <w:rsid w:val="007E60C7"/>
    <w:rsid w:val="007E625F"/>
    <w:rsid w:val="007E626F"/>
    <w:rsid w:val="007E62B5"/>
    <w:rsid w:val="007E6495"/>
    <w:rsid w:val="007E6602"/>
    <w:rsid w:val="007E6613"/>
    <w:rsid w:val="007E66BB"/>
    <w:rsid w:val="007E6713"/>
    <w:rsid w:val="007E6765"/>
    <w:rsid w:val="007E68BE"/>
    <w:rsid w:val="007E68F2"/>
    <w:rsid w:val="007E691B"/>
    <w:rsid w:val="007E693B"/>
    <w:rsid w:val="007E6955"/>
    <w:rsid w:val="007E699C"/>
    <w:rsid w:val="007E69EF"/>
    <w:rsid w:val="007E6C33"/>
    <w:rsid w:val="007E6C50"/>
    <w:rsid w:val="007E6C62"/>
    <w:rsid w:val="007E6D21"/>
    <w:rsid w:val="007E6D2D"/>
    <w:rsid w:val="007E6DA0"/>
    <w:rsid w:val="007E6DFC"/>
    <w:rsid w:val="007E6E15"/>
    <w:rsid w:val="007E6E9A"/>
    <w:rsid w:val="007E6EA6"/>
    <w:rsid w:val="007E6ECF"/>
    <w:rsid w:val="007E6EFC"/>
    <w:rsid w:val="007E6F29"/>
    <w:rsid w:val="007E6F32"/>
    <w:rsid w:val="007E6F57"/>
    <w:rsid w:val="007E6F90"/>
    <w:rsid w:val="007E7059"/>
    <w:rsid w:val="007E70A0"/>
    <w:rsid w:val="007E71F0"/>
    <w:rsid w:val="007E721D"/>
    <w:rsid w:val="007E7344"/>
    <w:rsid w:val="007E73AB"/>
    <w:rsid w:val="007E73FE"/>
    <w:rsid w:val="007E7422"/>
    <w:rsid w:val="007E7440"/>
    <w:rsid w:val="007E7528"/>
    <w:rsid w:val="007E754C"/>
    <w:rsid w:val="007E757A"/>
    <w:rsid w:val="007E75A9"/>
    <w:rsid w:val="007E7662"/>
    <w:rsid w:val="007E7682"/>
    <w:rsid w:val="007E76A1"/>
    <w:rsid w:val="007E76D6"/>
    <w:rsid w:val="007E7715"/>
    <w:rsid w:val="007E78DB"/>
    <w:rsid w:val="007E7981"/>
    <w:rsid w:val="007E7A52"/>
    <w:rsid w:val="007E7B0F"/>
    <w:rsid w:val="007E7B84"/>
    <w:rsid w:val="007E7BC6"/>
    <w:rsid w:val="007E7C07"/>
    <w:rsid w:val="007E7C37"/>
    <w:rsid w:val="007E7C3C"/>
    <w:rsid w:val="007E7C95"/>
    <w:rsid w:val="007E7D1B"/>
    <w:rsid w:val="007E7D22"/>
    <w:rsid w:val="007E7DBF"/>
    <w:rsid w:val="007E7E8A"/>
    <w:rsid w:val="007E7EBD"/>
    <w:rsid w:val="007E7F13"/>
    <w:rsid w:val="007E7F4F"/>
    <w:rsid w:val="007E7F61"/>
    <w:rsid w:val="007E7FC3"/>
    <w:rsid w:val="007F0045"/>
    <w:rsid w:val="007F008F"/>
    <w:rsid w:val="007F00BD"/>
    <w:rsid w:val="007F00C3"/>
    <w:rsid w:val="007F0102"/>
    <w:rsid w:val="007F03FA"/>
    <w:rsid w:val="007F041A"/>
    <w:rsid w:val="007F0468"/>
    <w:rsid w:val="007F04D9"/>
    <w:rsid w:val="007F058C"/>
    <w:rsid w:val="007F05E1"/>
    <w:rsid w:val="007F0600"/>
    <w:rsid w:val="007F0678"/>
    <w:rsid w:val="007F068D"/>
    <w:rsid w:val="007F0831"/>
    <w:rsid w:val="007F0841"/>
    <w:rsid w:val="007F08DD"/>
    <w:rsid w:val="007F08F5"/>
    <w:rsid w:val="007F0919"/>
    <w:rsid w:val="007F0A21"/>
    <w:rsid w:val="007F0A43"/>
    <w:rsid w:val="007F0A8E"/>
    <w:rsid w:val="007F0AB9"/>
    <w:rsid w:val="007F0AD4"/>
    <w:rsid w:val="007F0B8C"/>
    <w:rsid w:val="007F0B93"/>
    <w:rsid w:val="007F0BC6"/>
    <w:rsid w:val="007F0BEB"/>
    <w:rsid w:val="007F0C1B"/>
    <w:rsid w:val="007F0C3A"/>
    <w:rsid w:val="007F0D09"/>
    <w:rsid w:val="007F0DE1"/>
    <w:rsid w:val="007F0E4A"/>
    <w:rsid w:val="007F0E6C"/>
    <w:rsid w:val="007F0EBE"/>
    <w:rsid w:val="007F0F29"/>
    <w:rsid w:val="007F0F69"/>
    <w:rsid w:val="007F0FD9"/>
    <w:rsid w:val="007F0FDB"/>
    <w:rsid w:val="007F100E"/>
    <w:rsid w:val="007F1021"/>
    <w:rsid w:val="007F102E"/>
    <w:rsid w:val="007F1066"/>
    <w:rsid w:val="007F10DC"/>
    <w:rsid w:val="007F10EA"/>
    <w:rsid w:val="007F111A"/>
    <w:rsid w:val="007F1129"/>
    <w:rsid w:val="007F11A2"/>
    <w:rsid w:val="007F12F5"/>
    <w:rsid w:val="007F1320"/>
    <w:rsid w:val="007F13B2"/>
    <w:rsid w:val="007F13D5"/>
    <w:rsid w:val="007F1482"/>
    <w:rsid w:val="007F14A8"/>
    <w:rsid w:val="007F14BA"/>
    <w:rsid w:val="007F1599"/>
    <w:rsid w:val="007F15AB"/>
    <w:rsid w:val="007F1607"/>
    <w:rsid w:val="007F1623"/>
    <w:rsid w:val="007F1646"/>
    <w:rsid w:val="007F1720"/>
    <w:rsid w:val="007F179F"/>
    <w:rsid w:val="007F17CC"/>
    <w:rsid w:val="007F1816"/>
    <w:rsid w:val="007F1899"/>
    <w:rsid w:val="007F18EA"/>
    <w:rsid w:val="007F1929"/>
    <w:rsid w:val="007F19B9"/>
    <w:rsid w:val="007F19C6"/>
    <w:rsid w:val="007F1B97"/>
    <w:rsid w:val="007F1B9C"/>
    <w:rsid w:val="007F1BC3"/>
    <w:rsid w:val="007F1C82"/>
    <w:rsid w:val="007F1D86"/>
    <w:rsid w:val="007F1DB0"/>
    <w:rsid w:val="007F1DFE"/>
    <w:rsid w:val="007F1E96"/>
    <w:rsid w:val="007F1F21"/>
    <w:rsid w:val="007F1F26"/>
    <w:rsid w:val="007F1F78"/>
    <w:rsid w:val="007F20F2"/>
    <w:rsid w:val="007F2136"/>
    <w:rsid w:val="007F2139"/>
    <w:rsid w:val="007F2194"/>
    <w:rsid w:val="007F2221"/>
    <w:rsid w:val="007F223A"/>
    <w:rsid w:val="007F2298"/>
    <w:rsid w:val="007F23C8"/>
    <w:rsid w:val="007F24C0"/>
    <w:rsid w:val="007F2524"/>
    <w:rsid w:val="007F2534"/>
    <w:rsid w:val="007F2578"/>
    <w:rsid w:val="007F25D9"/>
    <w:rsid w:val="007F25FF"/>
    <w:rsid w:val="007F2649"/>
    <w:rsid w:val="007F266F"/>
    <w:rsid w:val="007F2740"/>
    <w:rsid w:val="007F280A"/>
    <w:rsid w:val="007F2855"/>
    <w:rsid w:val="007F2895"/>
    <w:rsid w:val="007F28CF"/>
    <w:rsid w:val="007F2A7F"/>
    <w:rsid w:val="007F2B53"/>
    <w:rsid w:val="007F2C5B"/>
    <w:rsid w:val="007F2CA9"/>
    <w:rsid w:val="007F2DF3"/>
    <w:rsid w:val="007F2E4E"/>
    <w:rsid w:val="007F2EF2"/>
    <w:rsid w:val="007F2F29"/>
    <w:rsid w:val="007F2F88"/>
    <w:rsid w:val="007F2FE0"/>
    <w:rsid w:val="007F3029"/>
    <w:rsid w:val="007F302F"/>
    <w:rsid w:val="007F3043"/>
    <w:rsid w:val="007F3094"/>
    <w:rsid w:val="007F30FD"/>
    <w:rsid w:val="007F3106"/>
    <w:rsid w:val="007F315C"/>
    <w:rsid w:val="007F31A2"/>
    <w:rsid w:val="007F31AB"/>
    <w:rsid w:val="007F3200"/>
    <w:rsid w:val="007F3226"/>
    <w:rsid w:val="007F3263"/>
    <w:rsid w:val="007F32C6"/>
    <w:rsid w:val="007F3315"/>
    <w:rsid w:val="007F333F"/>
    <w:rsid w:val="007F3354"/>
    <w:rsid w:val="007F33DB"/>
    <w:rsid w:val="007F342C"/>
    <w:rsid w:val="007F3538"/>
    <w:rsid w:val="007F35F8"/>
    <w:rsid w:val="007F366F"/>
    <w:rsid w:val="007F36A6"/>
    <w:rsid w:val="007F36BC"/>
    <w:rsid w:val="007F3750"/>
    <w:rsid w:val="007F3761"/>
    <w:rsid w:val="007F37CD"/>
    <w:rsid w:val="007F3852"/>
    <w:rsid w:val="007F38A0"/>
    <w:rsid w:val="007F38B3"/>
    <w:rsid w:val="007F39B9"/>
    <w:rsid w:val="007F39D5"/>
    <w:rsid w:val="007F3A49"/>
    <w:rsid w:val="007F3A95"/>
    <w:rsid w:val="007F3BAA"/>
    <w:rsid w:val="007F3C28"/>
    <w:rsid w:val="007F3CA0"/>
    <w:rsid w:val="007F3F54"/>
    <w:rsid w:val="007F3FB7"/>
    <w:rsid w:val="007F3FD6"/>
    <w:rsid w:val="007F40A6"/>
    <w:rsid w:val="007F41AF"/>
    <w:rsid w:val="007F41F6"/>
    <w:rsid w:val="007F42BE"/>
    <w:rsid w:val="007F42C4"/>
    <w:rsid w:val="007F430F"/>
    <w:rsid w:val="007F4466"/>
    <w:rsid w:val="007F447F"/>
    <w:rsid w:val="007F4547"/>
    <w:rsid w:val="007F45BB"/>
    <w:rsid w:val="007F45C3"/>
    <w:rsid w:val="007F45C8"/>
    <w:rsid w:val="007F45E4"/>
    <w:rsid w:val="007F462E"/>
    <w:rsid w:val="007F464B"/>
    <w:rsid w:val="007F468A"/>
    <w:rsid w:val="007F4725"/>
    <w:rsid w:val="007F4749"/>
    <w:rsid w:val="007F477D"/>
    <w:rsid w:val="007F480B"/>
    <w:rsid w:val="007F4941"/>
    <w:rsid w:val="007F49FC"/>
    <w:rsid w:val="007F4A5C"/>
    <w:rsid w:val="007F4A5D"/>
    <w:rsid w:val="007F4A86"/>
    <w:rsid w:val="007F4BA5"/>
    <w:rsid w:val="007F4BD1"/>
    <w:rsid w:val="007F4BF0"/>
    <w:rsid w:val="007F4BF2"/>
    <w:rsid w:val="007F4D42"/>
    <w:rsid w:val="007F4FBC"/>
    <w:rsid w:val="007F5058"/>
    <w:rsid w:val="007F505A"/>
    <w:rsid w:val="007F50E9"/>
    <w:rsid w:val="007F5133"/>
    <w:rsid w:val="007F528B"/>
    <w:rsid w:val="007F52A9"/>
    <w:rsid w:val="007F5357"/>
    <w:rsid w:val="007F53A9"/>
    <w:rsid w:val="007F53C4"/>
    <w:rsid w:val="007F546C"/>
    <w:rsid w:val="007F546E"/>
    <w:rsid w:val="007F54E3"/>
    <w:rsid w:val="007F54FF"/>
    <w:rsid w:val="007F558F"/>
    <w:rsid w:val="007F5602"/>
    <w:rsid w:val="007F569F"/>
    <w:rsid w:val="007F56AD"/>
    <w:rsid w:val="007F56EC"/>
    <w:rsid w:val="007F57A8"/>
    <w:rsid w:val="007F57C9"/>
    <w:rsid w:val="007F59BF"/>
    <w:rsid w:val="007F59D7"/>
    <w:rsid w:val="007F59E6"/>
    <w:rsid w:val="007F59E9"/>
    <w:rsid w:val="007F5A32"/>
    <w:rsid w:val="007F5A72"/>
    <w:rsid w:val="007F5B35"/>
    <w:rsid w:val="007F5BC9"/>
    <w:rsid w:val="007F5C46"/>
    <w:rsid w:val="007F5CFB"/>
    <w:rsid w:val="007F5D43"/>
    <w:rsid w:val="007F5E0C"/>
    <w:rsid w:val="007F5E11"/>
    <w:rsid w:val="007F5E12"/>
    <w:rsid w:val="007F5EFA"/>
    <w:rsid w:val="007F5EFF"/>
    <w:rsid w:val="007F5F25"/>
    <w:rsid w:val="007F5FC7"/>
    <w:rsid w:val="007F617A"/>
    <w:rsid w:val="007F61D3"/>
    <w:rsid w:val="007F620F"/>
    <w:rsid w:val="007F6263"/>
    <w:rsid w:val="007F6277"/>
    <w:rsid w:val="007F62FA"/>
    <w:rsid w:val="007F63B6"/>
    <w:rsid w:val="007F6421"/>
    <w:rsid w:val="007F643B"/>
    <w:rsid w:val="007F6477"/>
    <w:rsid w:val="007F6509"/>
    <w:rsid w:val="007F651C"/>
    <w:rsid w:val="007F66B2"/>
    <w:rsid w:val="007F6706"/>
    <w:rsid w:val="007F6789"/>
    <w:rsid w:val="007F6869"/>
    <w:rsid w:val="007F68B1"/>
    <w:rsid w:val="007F68E7"/>
    <w:rsid w:val="007F6A5F"/>
    <w:rsid w:val="007F6B7D"/>
    <w:rsid w:val="007F6B9B"/>
    <w:rsid w:val="007F6CA6"/>
    <w:rsid w:val="007F6CDE"/>
    <w:rsid w:val="007F6D42"/>
    <w:rsid w:val="007F6D46"/>
    <w:rsid w:val="007F6E28"/>
    <w:rsid w:val="007F6FD8"/>
    <w:rsid w:val="007F6FFD"/>
    <w:rsid w:val="007F70D1"/>
    <w:rsid w:val="007F714B"/>
    <w:rsid w:val="007F717D"/>
    <w:rsid w:val="007F718E"/>
    <w:rsid w:val="007F71A3"/>
    <w:rsid w:val="007F71D6"/>
    <w:rsid w:val="007F71DB"/>
    <w:rsid w:val="007F7207"/>
    <w:rsid w:val="007F7297"/>
    <w:rsid w:val="007F729A"/>
    <w:rsid w:val="007F72CB"/>
    <w:rsid w:val="007F72DC"/>
    <w:rsid w:val="007F730F"/>
    <w:rsid w:val="007F733C"/>
    <w:rsid w:val="007F737B"/>
    <w:rsid w:val="007F7456"/>
    <w:rsid w:val="007F74C3"/>
    <w:rsid w:val="007F7526"/>
    <w:rsid w:val="007F7600"/>
    <w:rsid w:val="007F7691"/>
    <w:rsid w:val="007F7722"/>
    <w:rsid w:val="007F775C"/>
    <w:rsid w:val="007F7801"/>
    <w:rsid w:val="007F780A"/>
    <w:rsid w:val="007F7828"/>
    <w:rsid w:val="007F78B4"/>
    <w:rsid w:val="007F791B"/>
    <w:rsid w:val="007F7993"/>
    <w:rsid w:val="007F7AD2"/>
    <w:rsid w:val="007F7AE5"/>
    <w:rsid w:val="007F7B2B"/>
    <w:rsid w:val="007F7B5A"/>
    <w:rsid w:val="007F7B7A"/>
    <w:rsid w:val="007F7BE2"/>
    <w:rsid w:val="007F7CBC"/>
    <w:rsid w:val="007F7CDF"/>
    <w:rsid w:val="007F7D00"/>
    <w:rsid w:val="007F7D7C"/>
    <w:rsid w:val="007F7E44"/>
    <w:rsid w:val="007F7F9C"/>
    <w:rsid w:val="00800012"/>
    <w:rsid w:val="00800078"/>
    <w:rsid w:val="0080008E"/>
    <w:rsid w:val="008000CC"/>
    <w:rsid w:val="0080024B"/>
    <w:rsid w:val="00800482"/>
    <w:rsid w:val="00800513"/>
    <w:rsid w:val="0080051E"/>
    <w:rsid w:val="00800596"/>
    <w:rsid w:val="008005AC"/>
    <w:rsid w:val="00800646"/>
    <w:rsid w:val="00800777"/>
    <w:rsid w:val="008007DD"/>
    <w:rsid w:val="008007F0"/>
    <w:rsid w:val="0080082E"/>
    <w:rsid w:val="00800865"/>
    <w:rsid w:val="00800869"/>
    <w:rsid w:val="008009A5"/>
    <w:rsid w:val="00800A3E"/>
    <w:rsid w:val="00800A9F"/>
    <w:rsid w:val="00800B34"/>
    <w:rsid w:val="00800BA1"/>
    <w:rsid w:val="00800BD5"/>
    <w:rsid w:val="00800D46"/>
    <w:rsid w:val="00800FDE"/>
    <w:rsid w:val="0080106D"/>
    <w:rsid w:val="008010B4"/>
    <w:rsid w:val="008011B9"/>
    <w:rsid w:val="008011EB"/>
    <w:rsid w:val="0080120A"/>
    <w:rsid w:val="00801322"/>
    <w:rsid w:val="00801331"/>
    <w:rsid w:val="00801386"/>
    <w:rsid w:val="00801397"/>
    <w:rsid w:val="00801447"/>
    <w:rsid w:val="00801449"/>
    <w:rsid w:val="00801494"/>
    <w:rsid w:val="0080157E"/>
    <w:rsid w:val="008016DC"/>
    <w:rsid w:val="00801791"/>
    <w:rsid w:val="0080179B"/>
    <w:rsid w:val="008017C7"/>
    <w:rsid w:val="008019DA"/>
    <w:rsid w:val="00801A7B"/>
    <w:rsid w:val="00801AA0"/>
    <w:rsid w:val="00801BFB"/>
    <w:rsid w:val="00801C3D"/>
    <w:rsid w:val="00801C70"/>
    <w:rsid w:val="00801C77"/>
    <w:rsid w:val="00801D47"/>
    <w:rsid w:val="00801D9E"/>
    <w:rsid w:val="00801DE2"/>
    <w:rsid w:val="00801DF7"/>
    <w:rsid w:val="00801E60"/>
    <w:rsid w:val="00801F32"/>
    <w:rsid w:val="00801F59"/>
    <w:rsid w:val="00801F81"/>
    <w:rsid w:val="00801F9D"/>
    <w:rsid w:val="00802022"/>
    <w:rsid w:val="0080204F"/>
    <w:rsid w:val="00802099"/>
    <w:rsid w:val="00802105"/>
    <w:rsid w:val="00802194"/>
    <w:rsid w:val="00802219"/>
    <w:rsid w:val="0080231D"/>
    <w:rsid w:val="0080232D"/>
    <w:rsid w:val="00802333"/>
    <w:rsid w:val="00802359"/>
    <w:rsid w:val="0080247A"/>
    <w:rsid w:val="0080247E"/>
    <w:rsid w:val="0080250D"/>
    <w:rsid w:val="0080259F"/>
    <w:rsid w:val="008025C7"/>
    <w:rsid w:val="008025D5"/>
    <w:rsid w:val="00802640"/>
    <w:rsid w:val="008027EC"/>
    <w:rsid w:val="00802930"/>
    <w:rsid w:val="00802964"/>
    <w:rsid w:val="00802AAE"/>
    <w:rsid w:val="00802ABD"/>
    <w:rsid w:val="00802AEC"/>
    <w:rsid w:val="00802B4E"/>
    <w:rsid w:val="00802BCB"/>
    <w:rsid w:val="00802C6E"/>
    <w:rsid w:val="00802CB1"/>
    <w:rsid w:val="00802CD1"/>
    <w:rsid w:val="00802D89"/>
    <w:rsid w:val="00802DAE"/>
    <w:rsid w:val="00802DB2"/>
    <w:rsid w:val="00802F80"/>
    <w:rsid w:val="00802F92"/>
    <w:rsid w:val="00802FAA"/>
    <w:rsid w:val="00802FC7"/>
    <w:rsid w:val="00803008"/>
    <w:rsid w:val="008030B1"/>
    <w:rsid w:val="008030F3"/>
    <w:rsid w:val="008031B1"/>
    <w:rsid w:val="008031B9"/>
    <w:rsid w:val="008031E0"/>
    <w:rsid w:val="008032C9"/>
    <w:rsid w:val="0080332F"/>
    <w:rsid w:val="0080334E"/>
    <w:rsid w:val="00803362"/>
    <w:rsid w:val="00803377"/>
    <w:rsid w:val="008033DE"/>
    <w:rsid w:val="0080340D"/>
    <w:rsid w:val="008034D2"/>
    <w:rsid w:val="008034E7"/>
    <w:rsid w:val="0080356D"/>
    <w:rsid w:val="00803574"/>
    <w:rsid w:val="008035B7"/>
    <w:rsid w:val="0080369A"/>
    <w:rsid w:val="0080369F"/>
    <w:rsid w:val="0080387A"/>
    <w:rsid w:val="00803886"/>
    <w:rsid w:val="0080389E"/>
    <w:rsid w:val="008038BA"/>
    <w:rsid w:val="0080391D"/>
    <w:rsid w:val="0080392D"/>
    <w:rsid w:val="00803980"/>
    <w:rsid w:val="00803A06"/>
    <w:rsid w:val="00803AB5"/>
    <w:rsid w:val="00803ABC"/>
    <w:rsid w:val="00803AD7"/>
    <w:rsid w:val="00803AF6"/>
    <w:rsid w:val="00803B9F"/>
    <w:rsid w:val="00803BD9"/>
    <w:rsid w:val="00803C63"/>
    <w:rsid w:val="00803CE9"/>
    <w:rsid w:val="00803D01"/>
    <w:rsid w:val="00803E1E"/>
    <w:rsid w:val="00803E72"/>
    <w:rsid w:val="00803EC2"/>
    <w:rsid w:val="00803EC8"/>
    <w:rsid w:val="00803EFB"/>
    <w:rsid w:val="00803FAC"/>
    <w:rsid w:val="0080400B"/>
    <w:rsid w:val="00804025"/>
    <w:rsid w:val="00804069"/>
    <w:rsid w:val="008040A1"/>
    <w:rsid w:val="008040C6"/>
    <w:rsid w:val="00804112"/>
    <w:rsid w:val="0080412A"/>
    <w:rsid w:val="00804136"/>
    <w:rsid w:val="008041A8"/>
    <w:rsid w:val="008041C4"/>
    <w:rsid w:val="008041DD"/>
    <w:rsid w:val="0080426B"/>
    <w:rsid w:val="0080428F"/>
    <w:rsid w:val="008044EF"/>
    <w:rsid w:val="00804585"/>
    <w:rsid w:val="0080461B"/>
    <w:rsid w:val="0080465E"/>
    <w:rsid w:val="0080490C"/>
    <w:rsid w:val="0080495B"/>
    <w:rsid w:val="008049C8"/>
    <w:rsid w:val="00804A26"/>
    <w:rsid w:val="00804ACA"/>
    <w:rsid w:val="00804B06"/>
    <w:rsid w:val="00804B16"/>
    <w:rsid w:val="00804B68"/>
    <w:rsid w:val="00804B6F"/>
    <w:rsid w:val="00804C7D"/>
    <w:rsid w:val="00804C92"/>
    <w:rsid w:val="00804D1D"/>
    <w:rsid w:val="00804D22"/>
    <w:rsid w:val="00804D3B"/>
    <w:rsid w:val="00804EBC"/>
    <w:rsid w:val="00804EC3"/>
    <w:rsid w:val="00804EE0"/>
    <w:rsid w:val="00804F11"/>
    <w:rsid w:val="00805004"/>
    <w:rsid w:val="0080509D"/>
    <w:rsid w:val="008050CE"/>
    <w:rsid w:val="008050D8"/>
    <w:rsid w:val="0080514C"/>
    <w:rsid w:val="0080516C"/>
    <w:rsid w:val="008052C5"/>
    <w:rsid w:val="008053DF"/>
    <w:rsid w:val="008053F1"/>
    <w:rsid w:val="0080550A"/>
    <w:rsid w:val="00805606"/>
    <w:rsid w:val="00805634"/>
    <w:rsid w:val="0080566B"/>
    <w:rsid w:val="00805709"/>
    <w:rsid w:val="00805796"/>
    <w:rsid w:val="00805896"/>
    <w:rsid w:val="008058A7"/>
    <w:rsid w:val="008058BC"/>
    <w:rsid w:val="00805971"/>
    <w:rsid w:val="0080598C"/>
    <w:rsid w:val="008059D7"/>
    <w:rsid w:val="00805A53"/>
    <w:rsid w:val="00805A78"/>
    <w:rsid w:val="00805A89"/>
    <w:rsid w:val="00805AA0"/>
    <w:rsid w:val="00805AF5"/>
    <w:rsid w:val="00805B20"/>
    <w:rsid w:val="00805B40"/>
    <w:rsid w:val="00805C70"/>
    <w:rsid w:val="00805C9A"/>
    <w:rsid w:val="00805D21"/>
    <w:rsid w:val="00805D26"/>
    <w:rsid w:val="00805E27"/>
    <w:rsid w:val="00805ECE"/>
    <w:rsid w:val="00805F24"/>
    <w:rsid w:val="0080603B"/>
    <w:rsid w:val="0080607A"/>
    <w:rsid w:val="0080607C"/>
    <w:rsid w:val="0080608C"/>
    <w:rsid w:val="0080609F"/>
    <w:rsid w:val="008060B5"/>
    <w:rsid w:val="00806123"/>
    <w:rsid w:val="00806211"/>
    <w:rsid w:val="0080627C"/>
    <w:rsid w:val="00806311"/>
    <w:rsid w:val="00806315"/>
    <w:rsid w:val="00806323"/>
    <w:rsid w:val="00806348"/>
    <w:rsid w:val="008063AA"/>
    <w:rsid w:val="00806462"/>
    <w:rsid w:val="0080650A"/>
    <w:rsid w:val="00806682"/>
    <w:rsid w:val="0080669C"/>
    <w:rsid w:val="008066A6"/>
    <w:rsid w:val="008068F4"/>
    <w:rsid w:val="008069CF"/>
    <w:rsid w:val="008069F5"/>
    <w:rsid w:val="00806AA6"/>
    <w:rsid w:val="00806AB4"/>
    <w:rsid w:val="00806B11"/>
    <w:rsid w:val="00806B1C"/>
    <w:rsid w:val="00806BEE"/>
    <w:rsid w:val="00806CFF"/>
    <w:rsid w:val="00806DFC"/>
    <w:rsid w:val="00806DFF"/>
    <w:rsid w:val="00806E45"/>
    <w:rsid w:val="00806E90"/>
    <w:rsid w:val="00806FC0"/>
    <w:rsid w:val="00807103"/>
    <w:rsid w:val="00807133"/>
    <w:rsid w:val="00807167"/>
    <w:rsid w:val="00807184"/>
    <w:rsid w:val="00807195"/>
    <w:rsid w:val="008071ED"/>
    <w:rsid w:val="0080721B"/>
    <w:rsid w:val="0080728C"/>
    <w:rsid w:val="0080731D"/>
    <w:rsid w:val="00807356"/>
    <w:rsid w:val="0080739E"/>
    <w:rsid w:val="008073C7"/>
    <w:rsid w:val="00807407"/>
    <w:rsid w:val="0080742C"/>
    <w:rsid w:val="00807469"/>
    <w:rsid w:val="00807537"/>
    <w:rsid w:val="008075FB"/>
    <w:rsid w:val="00807688"/>
    <w:rsid w:val="008076E9"/>
    <w:rsid w:val="00807776"/>
    <w:rsid w:val="008077D3"/>
    <w:rsid w:val="00807800"/>
    <w:rsid w:val="00807845"/>
    <w:rsid w:val="00807849"/>
    <w:rsid w:val="0080796D"/>
    <w:rsid w:val="00807999"/>
    <w:rsid w:val="008079D5"/>
    <w:rsid w:val="008079F9"/>
    <w:rsid w:val="00807A3B"/>
    <w:rsid w:val="00807BF0"/>
    <w:rsid w:val="00807BF1"/>
    <w:rsid w:val="00807C11"/>
    <w:rsid w:val="00807D22"/>
    <w:rsid w:val="00807E3A"/>
    <w:rsid w:val="00807E75"/>
    <w:rsid w:val="00807E88"/>
    <w:rsid w:val="00807EEA"/>
    <w:rsid w:val="00807F54"/>
    <w:rsid w:val="00807F7B"/>
    <w:rsid w:val="00807F90"/>
    <w:rsid w:val="00807FB4"/>
    <w:rsid w:val="0081003C"/>
    <w:rsid w:val="00810161"/>
    <w:rsid w:val="008101C2"/>
    <w:rsid w:val="008101FF"/>
    <w:rsid w:val="00810286"/>
    <w:rsid w:val="008102E4"/>
    <w:rsid w:val="00810309"/>
    <w:rsid w:val="00810328"/>
    <w:rsid w:val="00810411"/>
    <w:rsid w:val="0081042C"/>
    <w:rsid w:val="008104DB"/>
    <w:rsid w:val="00810517"/>
    <w:rsid w:val="008105CB"/>
    <w:rsid w:val="0081060D"/>
    <w:rsid w:val="0081061A"/>
    <w:rsid w:val="0081068C"/>
    <w:rsid w:val="008106C3"/>
    <w:rsid w:val="008107F3"/>
    <w:rsid w:val="0081080A"/>
    <w:rsid w:val="008108CC"/>
    <w:rsid w:val="00810974"/>
    <w:rsid w:val="008109BC"/>
    <w:rsid w:val="00810AF0"/>
    <w:rsid w:val="00810B26"/>
    <w:rsid w:val="00810BC6"/>
    <w:rsid w:val="00810C31"/>
    <w:rsid w:val="00810C68"/>
    <w:rsid w:val="00810D0A"/>
    <w:rsid w:val="00810D19"/>
    <w:rsid w:val="00810D7E"/>
    <w:rsid w:val="00810DB2"/>
    <w:rsid w:val="00810DE3"/>
    <w:rsid w:val="00810E66"/>
    <w:rsid w:val="00810EE5"/>
    <w:rsid w:val="00810F18"/>
    <w:rsid w:val="00810F70"/>
    <w:rsid w:val="00811024"/>
    <w:rsid w:val="00811045"/>
    <w:rsid w:val="0081107D"/>
    <w:rsid w:val="008110C5"/>
    <w:rsid w:val="00811152"/>
    <w:rsid w:val="0081117F"/>
    <w:rsid w:val="008111ED"/>
    <w:rsid w:val="0081123C"/>
    <w:rsid w:val="00811255"/>
    <w:rsid w:val="008112FA"/>
    <w:rsid w:val="008113AD"/>
    <w:rsid w:val="008113B5"/>
    <w:rsid w:val="0081140D"/>
    <w:rsid w:val="0081147A"/>
    <w:rsid w:val="0081148B"/>
    <w:rsid w:val="0081160B"/>
    <w:rsid w:val="00811664"/>
    <w:rsid w:val="0081177C"/>
    <w:rsid w:val="008117B5"/>
    <w:rsid w:val="008117CA"/>
    <w:rsid w:val="008117EF"/>
    <w:rsid w:val="00811837"/>
    <w:rsid w:val="008118CE"/>
    <w:rsid w:val="00811979"/>
    <w:rsid w:val="00811AA9"/>
    <w:rsid w:val="00811AB1"/>
    <w:rsid w:val="00811AC0"/>
    <w:rsid w:val="00811B05"/>
    <w:rsid w:val="00811B34"/>
    <w:rsid w:val="00811BA3"/>
    <w:rsid w:val="00811BFC"/>
    <w:rsid w:val="00811C10"/>
    <w:rsid w:val="00811C1A"/>
    <w:rsid w:val="00811C85"/>
    <w:rsid w:val="00811CF2"/>
    <w:rsid w:val="00811D91"/>
    <w:rsid w:val="00811DA6"/>
    <w:rsid w:val="00811DD3"/>
    <w:rsid w:val="00811E71"/>
    <w:rsid w:val="00811F2A"/>
    <w:rsid w:val="00811F55"/>
    <w:rsid w:val="0081204A"/>
    <w:rsid w:val="00812069"/>
    <w:rsid w:val="008120D4"/>
    <w:rsid w:val="0081216D"/>
    <w:rsid w:val="0081217C"/>
    <w:rsid w:val="0081218D"/>
    <w:rsid w:val="008121D6"/>
    <w:rsid w:val="00812244"/>
    <w:rsid w:val="00812277"/>
    <w:rsid w:val="008122A2"/>
    <w:rsid w:val="008122D9"/>
    <w:rsid w:val="00812382"/>
    <w:rsid w:val="0081239F"/>
    <w:rsid w:val="008123A2"/>
    <w:rsid w:val="008123DE"/>
    <w:rsid w:val="0081240D"/>
    <w:rsid w:val="0081242F"/>
    <w:rsid w:val="00812439"/>
    <w:rsid w:val="00812476"/>
    <w:rsid w:val="0081249E"/>
    <w:rsid w:val="00812514"/>
    <w:rsid w:val="0081256C"/>
    <w:rsid w:val="00812610"/>
    <w:rsid w:val="00812775"/>
    <w:rsid w:val="008127E1"/>
    <w:rsid w:val="008127F1"/>
    <w:rsid w:val="00812834"/>
    <w:rsid w:val="008128AD"/>
    <w:rsid w:val="00812917"/>
    <w:rsid w:val="00812978"/>
    <w:rsid w:val="00812A08"/>
    <w:rsid w:val="00812A21"/>
    <w:rsid w:val="00812A40"/>
    <w:rsid w:val="00812A4A"/>
    <w:rsid w:val="00812A7F"/>
    <w:rsid w:val="00812AD2"/>
    <w:rsid w:val="00812B2B"/>
    <w:rsid w:val="00812B44"/>
    <w:rsid w:val="00812B4E"/>
    <w:rsid w:val="00812C1C"/>
    <w:rsid w:val="00812C59"/>
    <w:rsid w:val="00812C66"/>
    <w:rsid w:val="00812C8A"/>
    <w:rsid w:val="00812D7E"/>
    <w:rsid w:val="00812DE1"/>
    <w:rsid w:val="00812F04"/>
    <w:rsid w:val="0081301A"/>
    <w:rsid w:val="008130A6"/>
    <w:rsid w:val="00813280"/>
    <w:rsid w:val="00813358"/>
    <w:rsid w:val="00813373"/>
    <w:rsid w:val="0081338A"/>
    <w:rsid w:val="008133DB"/>
    <w:rsid w:val="008135A9"/>
    <w:rsid w:val="008135BF"/>
    <w:rsid w:val="00813629"/>
    <w:rsid w:val="00813649"/>
    <w:rsid w:val="0081365E"/>
    <w:rsid w:val="008136D9"/>
    <w:rsid w:val="00813771"/>
    <w:rsid w:val="008137A8"/>
    <w:rsid w:val="00813876"/>
    <w:rsid w:val="00813949"/>
    <w:rsid w:val="00813999"/>
    <w:rsid w:val="008139D5"/>
    <w:rsid w:val="00813A07"/>
    <w:rsid w:val="00813AAC"/>
    <w:rsid w:val="00813AEB"/>
    <w:rsid w:val="00813B27"/>
    <w:rsid w:val="00813B52"/>
    <w:rsid w:val="00813BB1"/>
    <w:rsid w:val="00813CE6"/>
    <w:rsid w:val="00813FD3"/>
    <w:rsid w:val="0081403D"/>
    <w:rsid w:val="0081419C"/>
    <w:rsid w:val="00814216"/>
    <w:rsid w:val="00814278"/>
    <w:rsid w:val="00814331"/>
    <w:rsid w:val="008143FD"/>
    <w:rsid w:val="008144A8"/>
    <w:rsid w:val="0081453E"/>
    <w:rsid w:val="00814552"/>
    <w:rsid w:val="008145B4"/>
    <w:rsid w:val="00814633"/>
    <w:rsid w:val="00814635"/>
    <w:rsid w:val="00814690"/>
    <w:rsid w:val="00814753"/>
    <w:rsid w:val="00814821"/>
    <w:rsid w:val="0081482A"/>
    <w:rsid w:val="00814891"/>
    <w:rsid w:val="0081490C"/>
    <w:rsid w:val="00814A43"/>
    <w:rsid w:val="00814B20"/>
    <w:rsid w:val="00814BC2"/>
    <w:rsid w:val="00814BFF"/>
    <w:rsid w:val="00814C02"/>
    <w:rsid w:val="00814C19"/>
    <w:rsid w:val="00814C6B"/>
    <w:rsid w:val="00814C94"/>
    <w:rsid w:val="00814CC0"/>
    <w:rsid w:val="00814CCE"/>
    <w:rsid w:val="00814D07"/>
    <w:rsid w:val="00814DB5"/>
    <w:rsid w:val="00814DD7"/>
    <w:rsid w:val="00814E73"/>
    <w:rsid w:val="0081508C"/>
    <w:rsid w:val="008150A1"/>
    <w:rsid w:val="008150A8"/>
    <w:rsid w:val="008150E0"/>
    <w:rsid w:val="00815137"/>
    <w:rsid w:val="00815141"/>
    <w:rsid w:val="008151CA"/>
    <w:rsid w:val="00815204"/>
    <w:rsid w:val="0081527D"/>
    <w:rsid w:val="0081531E"/>
    <w:rsid w:val="008153C7"/>
    <w:rsid w:val="0081547D"/>
    <w:rsid w:val="008154B6"/>
    <w:rsid w:val="008154D1"/>
    <w:rsid w:val="0081557D"/>
    <w:rsid w:val="00815690"/>
    <w:rsid w:val="008156D4"/>
    <w:rsid w:val="00815712"/>
    <w:rsid w:val="00815808"/>
    <w:rsid w:val="00815981"/>
    <w:rsid w:val="00815985"/>
    <w:rsid w:val="008159D0"/>
    <w:rsid w:val="00815A8F"/>
    <w:rsid w:val="00815B7C"/>
    <w:rsid w:val="00815BA6"/>
    <w:rsid w:val="00815BE8"/>
    <w:rsid w:val="00815C2B"/>
    <w:rsid w:val="00815C34"/>
    <w:rsid w:val="00815CC6"/>
    <w:rsid w:val="00815D15"/>
    <w:rsid w:val="00815D50"/>
    <w:rsid w:val="00815DCA"/>
    <w:rsid w:val="00815DD0"/>
    <w:rsid w:val="00815DE9"/>
    <w:rsid w:val="00815DF6"/>
    <w:rsid w:val="00815F48"/>
    <w:rsid w:val="00815F7E"/>
    <w:rsid w:val="0081609C"/>
    <w:rsid w:val="0081613A"/>
    <w:rsid w:val="0081614B"/>
    <w:rsid w:val="0081619B"/>
    <w:rsid w:val="00816240"/>
    <w:rsid w:val="00816255"/>
    <w:rsid w:val="00816297"/>
    <w:rsid w:val="008162D7"/>
    <w:rsid w:val="008162E7"/>
    <w:rsid w:val="008162EF"/>
    <w:rsid w:val="0081639B"/>
    <w:rsid w:val="008163D6"/>
    <w:rsid w:val="008164CC"/>
    <w:rsid w:val="008164EE"/>
    <w:rsid w:val="008165CA"/>
    <w:rsid w:val="00816620"/>
    <w:rsid w:val="00816655"/>
    <w:rsid w:val="008166B9"/>
    <w:rsid w:val="008166CD"/>
    <w:rsid w:val="008166E0"/>
    <w:rsid w:val="008166E9"/>
    <w:rsid w:val="00816782"/>
    <w:rsid w:val="00816883"/>
    <w:rsid w:val="0081690B"/>
    <w:rsid w:val="00816956"/>
    <w:rsid w:val="00816A09"/>
    <w:rsid w:val="00816A95"/>
    <w:rsid w:val="00816AE3"/>
    <w:rsid w:val="00816AFD"/>
    <w:rsid w:val="00816B0E"/>
    <w:rsid w:val="00816BDF"/>
    <w:rsid w:val="00816C5D"/>
    <w:rsid w:val="00816CC6"/>
    <w:rsid w:val="00816CFC"/>
    <w:rsid w:val="00816D53"/>
    <w:rsid w:val="00816ED7"/>
    <w:rsid w:val="00816F1B"/>
    <w:rsid w:val="00816FC8"/>
    <w:rsid w:val="00817084"/>
    <w:rsid w:val="0081709B"/>
    <w:rsid w:val="008170E8"/>
    <w:rsid w:val="00817108"/>
    <w:rsid w:val="0081713E"/>
    <w:rsid w:val="00817172"/>
    <w:rsid w:val="008171BB"/>
    <w:rsid w:val="008171F6"/>
    <w:rsid w:val="00817210"/>
    <w:rsid w:val="00817331"/>
    <w:rsid w:val="0081736B"/>
    <w:rsid w:val="008173BF"/>
    <w:rsid w:val="008173C2"/>
    <w:rsid w:val="00817422"/>
    <w:rsid w:val="00817436"/>
    <w:rsid w:val="00817470"/>
    <w:rsid w:val="0081757B"/>
    <w:rsid w:val="0081757F"/>
    <w:rsid w:val="0081765F"/>
    <w:rsid w:val="008177C0"/>
    <w:rsid w:val="008177F7"/>
    <w:rsid w:val="00817884"/>
    <w:rsid w:val="008178E8"/>
    <w:rsid w:val="0081794E"/>
    <w:rsid w:val="00817980"/>
    <w:rsid w:val="00817A23"/>
    <w:rsid w:val="00817A24"/>
    <w:rsid w:val="00817A34"/>
    <w:rsid w:val="00817A57"/>
    <w:rsid w:val="00817AB7"/>
    <w:rsid w:val="00817B95"/>
    <w:rsid w:val="00817C17"/>
    <w:rsid w:val="00817C50"/>
    <w:rsid w:val="00817CB4"/>
    <w:rsid w:val="00817D0D"/>
    <w:rsid w:val="00817D4A"/>
    <w:rsid w:val="00817DD5"/>
    <w:rsid w:val="00817E30"/>
    <w:rsid w:val="00817EED"/>
    <w:rsid w:val="00817F26"/>
    <w:rsid w:val="00817F56"/>
    <w:rsid w:val="00817FF2"/>
    <w:rsid w:val="00820034"/>
    <w:rsid w:val="00820072"/>
    <w:rsid w:val="008200C5"/>
    <w:rsid w:val="0082013C"/>
    <w:rsid w:val="00820288"/>
    <w:rsid w:val="0082033A"/>
    <w:rsid w:val="00820397"/>
    <w:rsid w:val="008203CC"/>
    <w:rsid w:val="008203F6"/>
    <w:rsid w:val="00820461"/>
    <w:rsid w:val="00820494"/>
    <w:rsid w:val="00820513"/>
    <w:rsid w:val="008205A8"/>
    <w:rsid w:val="00820658"/>
    <w:rsid w:val="0082069A"/>
    <w:rsid w:val="0082079E"/>
    <w:rsid w:val="008207FF"/>
    <w:rsid w:val="00820834"/>
    <w:rsid w:val="0082085B"/>
    <w:rsid w:val="0082086D"/>
    <w:rsid w:val="00820889"/>
    <w:rsid w:val="008208FB"/>
    <w:rsid w:val="00820943"/>
    <w:rsid w:val="008209F5"/>
    <w:rsid w:val="00820A41"/>
    <w:rsid w:val="00820A84"/>
    <w:rsid w:val="00820B9A"/>
    <w:rsid w:val="00820C2F"/>
    <w:rsid w:val="00820C44"/>
    <w:rsid w:val="00820C8B"/>
    <w:rsid w:val="00820CE9"/>
    <w:rsid w:val="00820D09"/>
    <w:rsid w:val="00820D2C"/>
    <w:rsid w:val="00820D5B"/>
    <w:rsid w:val="00820D9B"/>
    <w:rsid w:val="00820DA7"/>
    <w:rsid w:val="00820E0A"/>
    <w:rsid w:val="00820E38"/>
    <w:rsid w:val="00820E45"/>
    <w:rsid w:val="00820F8E"/>
    <w:rsid w:val="00820FBE"/>
    <w:rsid w:val="00821017"/>
    <w:rsid w:val="00821035"/>
    <w:rsid w:val="0082106E"/>
    <w:rsid w:val="008210CB"/>
    <w:rsid w:val="0082116A"/>
    <w:rsid w:val="008211B0"/>
    <w:rsid w:val="00821270"/>
    <w:rsid w:val="0082127F"/>
    <w:rsid w:val="008212E8"/>
    <w:rsid w:val="008212F1"/>
    <w:rsid w:val="0082141C"/>
    <w:rsid w:val="0082145A"/>
    <w:rsid w:val="0082149C"/>
    <w:rsid w:val="008214FC"/>
    <w:rsid w:val="00821565"/>
    <w:rsid w:val="00821567"/>
    <w:rsid w:val="00821573"/>
    <w:rsid w:val="008215C4"/>
    <w:rsid w:val="0082168E"/>
    <w:rsid w:val="00821692"/>
    <w:rsid w:val="00821724"/>
    <w:rsid w:val="0082174E"/>
    <w:rsid w:val="0082177E"/>
    <w:rsid w:val="0082178B"/>
    <w:rsid w:val="0082188D"/>
    <w:rsid w:val="008218A3"/>
    <w:rsid w:val="00821B08"/>
    <w:rsid w:val="00821B85"/>
    <w:rsid w:val="00821BF2"/>
    <w:rsid w:val="00821C07"/>
    <w:rsid w:val="00821C47"/>
    <w:rsid w:val="00821D08"/>
    <w:rsid w:val="00821D56"/>
    <w:rsid w:val="00821D89"/>
    <w:rsid w:val="00821D99"/>
    <w:rsid w:val="00821D9A"/>
    <w:rsid w:val="00821E1E"/>
    <w:rsid w:val="00821E8E"/>
    <w:rsid w:val="00821E9B"/>
    <w:rsid w:val="00821EB5"/>
    <w:rsid w:val="00821F8C"/>
    <w:rsid w:val="00821FB2"/>
    <w:rsid w:val="0082204A"/>
    <w:rsid w:val="00822092"/>
    <w:rsid w:val="00822291"/>
    <w:rsid w:val="0082233C"/>
    <w:rsid w:val="008223AE"/>
    <w:rsid w:val="00822437"/>
    <w:rsid w:val="00822523"/>
    <w:rsid w:val="00822538"/>
    <w:rsid w:val="00822565"/>
    <w:rsid w:val="008225EA"/>
    <w:rsid w:val="00822613"/>
    <w:rsid w:val="0082264B"/>
    <w:rsid w:val="008226C3"/>
    <w:rsid w:val="0082271C"/>
    <w:rsid w:val="008227A2"/>
    <w:rsid w:val="00822812"/>
    <w:rsid w:val="0082288F"/>
    <w:rsid w:val="00822968"/>
    <w:rsid w:val="00822A17"/>
    <w:rsid w:val="00822A6E"/>
    <w:rsid w:val="00822A96"/>
    <w:rsid w:val="00822AB3"/>
    <w:rsid w:val="00822AC9"/>
    <w:rsid w:val="00822D6F"/>
    <w:rsid w:val="00822DFF"/>
    <w:rsid w:val="00822E01"/>
    <w:rsid w:val="00822E8B"/>
    <w:rsid w:val="00822F6F"/>
    <w:rsid w:val="00822FE1"/>
    <w:rsid w:val="00822FF2"/>
    <w:rsid w:val="00823214"/>
    <w:rsid w:val="0082329A"/>
    <w:rsid w:val="008232ED"/>
    <w:rsid w:val="00823356"/>
    <w:rsid w:val="008233BD"/>
    <w:rsid w:val="008233C5"/>
    <w:rsid w:val="008233E5"/>
    <w:rsid w:val="008234D0"/>
    <w:rsid w:val="00823503"/>
    <w:rsid w:val="00823526"/>
    <w:rsid w:val="0082358B"/>
    <w:rsid w:val="008235D3"/>
    <w:rsid w:val="0082364C"/>
    <w:rsid w:val="00823674"/>
    <w:rsid w:val="00823783"/>
    <w:rsid w:val="008237D6"/>
    <w:rsid w:val="008237F3"/>
    <w:rsid w:val="008238EB"/>
    <w:rsid w:val="00823A23"/>
    <w:rsid w:val="00823AD2"/>
    <w:rsid w:val="00823BC1"/>
    <w:rsid w:val="00823CB2"/>
    <w:rsid w:val="00823D13"/>
    <w:rsid w:val="00823D70"/>
    <w:rsid w:val="00823D80"/>
    <w:rsid w:val="00823E1F"/>
    <w:rsid w:val="00823E25"/>
    <w:rsid w:val="00823E81"/>
    <w:rsid w:val="00824052"/>
    <w:rsid w:val="0082406F"/>
    <w:rsid w:val="0082407E"/>
    <w:rsid w:val="008240A2"/>
    <w:rsid w:val="00824203"/>
    <w:rsid w:val="0082422E"/>
    <w:rsid w:val="008242AF"/>
    <w:rsid w:val="0082444A"/>
    <w:rsid w:val="00824490"/>
    <w:rsid w:val="00824581"/>
    <w:rsid w:val="00824728"/>
    <w:rsid w:val="008247B3"/>
    <w:rsid w:val="00824819"/>
    <w:rsid w:val="0082483B"/>
    <w:rsid w:val="008248E4"/>
    <w:rsid w:val="00824913"/>
    <w:rsid w:val="00824934"/>
    <w:rsid w:val="0082493A"/>
    <w:rsid w:val="008249B4"/>
    <w:rsid w:val="008249FD"/>
    <w:rsid w:val="00824A1B"/>
    <w:rsid w:val="00824A49"/>
    <w:rsid w:val="00824A56"/>
    <w:rsid w:val="00824A81"/>
    <w:rsid w:val="00824A9E"/>
    <w:rsid w:val="00824ABD"/>
    <w:rsid w:val="00824C30"/>
    <w:rsid w:val="00824C3B"/>
    <w:rsid w:val="00824C3C"/>
    <w:rsid w:val="00824D34"/>
    <w:rsid w:val="00824D8E"/>
    <w:rsid w:val="00824E0E"/>
    <w:rsid w:val="00824FF7"/>
    <w:rsid w:val="00825073"/>
    <w:rsid w:val="0082508B"/>
    <w:rsid w:val="008251B1"/>
    <w:rsid w:val="008252C8"/>
    <w:rsid w:val="008252DA"/>
    <w:rsid w:val="00825300"/>
    <w:rsid w:val="00825424"/>
    <w:rsid w:val="00825486"/>
    <w:rsid w:val="00825530"/>
    <w:rsid w:val="0082554C"/>
    <w:rsid w:val="008256CD"/>
    <w:rsid w:val="00825733"/>
    <w:rsid w:val="00825736"/>
    <w:rsid w:val="00825866"/>
    <w:rsid w:val="0082593A"/>
    <w:rsid w:val="0082597A"/>
    <w:rsid w:val="008259B4"/>
    <w:rsid w:val="00825A07"/>
    <w:rsid w:val="00825A10"/>
    <w:rsid w:val="00825A25"/>
    <w:rsid w:val="00825ABA"/>
    <w:rsid w:val="00825B04"/>
    <w:rsid w:val="00825B96"/>
    <w:rsid w:val="00825BB8"/>
    <w:rsid w:val="00825BDB"/>
    <w:rsid w:val="00825C0D"/>
    <w:rsid w:val="00825C7D"/>
    <w:rsid w:val="00825D89"/>
    <w:rsid w:val="00825EB6"/>
    <w:rsid w:val="00825FB1"/>
    <w:rsid w:val="00825FCE"/>
    <w:rsid w:val="00825FFD"/>
    <w:rsid w:val="008260B1"/>
    <w:rsid w:val="008260D5"/>
    <w:rsid w:val="008260F0"/>
    <w:rsid w:val="0082616D"/>
    <w:rsid w:val="0082616E"/>
    <w:rsid w:val="0082618D"/>
    <w:rsid w:val="008261C8"/>
    <w:rsid w:val="008261CE"/>
    <w:rsid w:val="008261EB"/>
    <w:rsid w:val="008261F1"/>
    <w:rsid w:val="008261FE"/>
    <w:rsid w:val="0082628E"/>
    <w:rsid w:val="008262D6"/>
    <w:rsid w:val="008263FA"/>
    <w:rsid w:val="0082641C"/>
    <w:rsid w:val="00826445"/>
    <w:rsid w:val="0082645A"/>
    <w:rsid w:val="00826535"/>
    <w:rsid w:val="008265A4"/>
    <w:rsid w:val="00826612"/>
    <w:rsid w:val="00826624"/>
    <w:rsid w:val="008266C9"/>
    <w:rsid w:val="008266F6"/>
    <w:rsid w:val="00826788"/>
    <w:rsid w:val="008268D8"/>
    <w:rsid w:val="008269A7"/>
    <w:rsid w:val="008269AC"/>
    <w:rsid w:val="008269C5"/>
    <w:rsid w:val="00826A01"/>
    <w:rsid w:val="00826A9D"/>
    <w:rsid w:val="00826C02"/>
    <w:rsid w:val="00826C29"/>
    <w:rsid w:val="00826C2B"/>
    <w:rsid w:val="00826D03"/>
    <w:rsid w:val="00826D6D"/>
    <w:rsid w:val="00826EE2"/>
    <w:rsid w:val="00826F64"/>
    <w:rsid w:val="0082708C"/>
    <w:rsid w:val="00827109"/>
    <w:rsid w:val="008271E4"/>
    <w:rsid w:val="008271FD"/>
    <w:rsid w:val="008271FF"/>
    <w:rsid w:val="008272DB"/>
    <w:rsid w:val="00827350"/>
    <w:rsid w:val="00827393"/>
    <w:rsid w:val="00827441"/>
    <w:rsid w:val="008274F6"/>
    <w:rsid w:val="00827504"/>
    <w:rsid w:val="008276E9"/>
    <w:rsid w:val="0082770F"/>
    <w:rsid w:val="0082775A"/>
    <w:rsid w:val="00827792"/>
    <w:rsid w:val="008277E6"/>
    <w:rsid w:val="0082783E"/>
    <w:rsid w:val="00827860"/>
    <w:rsid w:val="00827867"/>
    <w:rsid w:val="0082788C"/>
    <w:rsid w:val="008278A0"/>
    <w:rsid w:val="008278B7"/>
    <w:rsid w:val="00827905"/>
    <w:rsid w:val="0082792E"/>
    <w:rsid w:val="00827A12"/>
    <w:rsid w:val="00827A1B"/>
    <w:rsid w:val="00827A78"/>
    <w:rsid w:val="00827B2E"/>
    <w:rsid w:val="00827BB8"/>
    <w:rsid w:val="00827BE8"/>
    <w:rsid w:val="00827CA3"/>
    <w:rsid w:val="00827CB4"/>
    <w:rsid w:val="00827CD8"/>
    <w:rsid w:val="00827CEF"/>
    <w:rsid w:val="00827CFE"/>
    <w:rsid w:val="00827DE5"/>
    <w:rsid w:val="00827E06"/>
    <w:rsid w:val="00827EC8"/>
    <w:rsid w:val="00827F44"/>
    <w:rsid w:val="008300FA"/>
    <w:rsid w:val="00830103"/>
    <w:rsid w:val="00830127"/>
    <w:rsid w:val="0083014A"/>
    <w:rsid w:val="00830151"/>
    <w:rsid w:val="0083029D"/>
    <w:rsid w:val="00830375"/>
    <w:rsid w:val="0083039B"/>
    <w:rsid w:val="0083047F"/>
    <w:rsid w:val="008304F1"/>
    <w:rsid w:val="008306AC"/>
    <w:rsid w:val="008306EB"/>
    <w:rsid w:val="00830746"/>
    <w:rsid w:val="0083085F"/>
    <w:rsid w:val="00830885"/>
    <w:rsid w:val="008309A0"/>
    <w:rsid w:val="008309E1"/>
    <w:rsid w:val="00830A25"/>
    <w:rsid w:val="00830A28"/>
    <w:rsid w:val="00830AE5"/>
    <w:rsid w:val="00830AFE"/>
    <w:rsid w:val="00830B0F"/>
    <w:rsid w:val="00830B51"/>
    <w:rsid w:val="00830BE8"/>
    <w:rsid w:val="00830C28"/>
    <w:rsid w:val="00830CF2"/>
    <w:rsid w:val="00830D37"/>
    <w:rsid w:val="00830DBE"/>
    <w:rsid w:val="00830DF7"/>
    <w:rsid w:val="00830E10"/>
    <w:rsid w:val="00830E1F"/>
    <w:rsid w:val="00830E6D"/>
    <w:rsid w:val="00831005"/>
    <w:rsid w:val="0083134D"/>
    <w:rsid w:val="008313D2"/>
    <w:rsid w:val="008313F1"/>
    <w:rsid w:val="00831446"/>
    <w:rsid w:val="008314D2"/>
    <w:rsid w:val="00831626"/>
    <w:rsid w:val="00831697"/>
    <w:rsid w:val="008316C1"/>
    <w:rsid w:val="008316E2"/>
    <w:rsid w:val="00831803"/>
    <w:rsid w:val="0083184D"/>
    <w:rsid w:val="00831880"/>
    <w:rsid w:val="008318A8"/>
    <w:rsid w:val="00831A86"/>
    <w:rsid w:val="00831AD5"/>
    <w:rsid w:val="00831AE4"/>
    <w:rsid w:val="00831BD6"/>
    <w:rsid w:val="00831BEE"/>
    <w:rsid w:val="00831C6C"/>
    <w:rsid w:val="00831D1C"/>
    <w:rsid w:val="00831D49"/>
    <w:rsid w:val="00831D57"/>
    <w:rsid w:val="00831DB3"/>
    <w:rsid w:val="00831DB5"/>
    <w:rsid w:val="00831DBE"/>
    <w:rsid w:val="00831DD1"/>
    <w:rsid w:val="00831E2A"/>
    <w:rsid w:val="00831EE3"/>
    <w:rsid w:val="00831F69"/>
    <w:rsid w:val="00831F77"/>
    <w:rsid w:val="00831F91"/>
    <w:rsid w:val="00831FAE"/>
    <w:rsid w:val="00832033"/>
    <w:rsid w:val="0083203E"/>
    <w:rsid w:val="00832065"/>
    <w:rsid w:val="0083215E"/>
    <w:rsid w:val="00832235"/>
    <w:rsid w:val="00832334"/>
    <w:rsid w:val="00832385"/>
    <w:rsid w:val="008323CA"/>
    <w:rsid w:val="008323DE"/>
    <w:rsid w:val="008324A2"/>
    <w:rsid w:val="008324B8"/>
    <w:rsid w:val="00832650"/>
    <w:rsid w:val="0083272E"/>
    <w:rsid w:val="00832736"/>
    <w:rsid w:val="0083285E"/>
    <w:rsid w:val="0083291C"/>
    <w:rsid w:val="0083297C"/>
    <w:rsid w:val="008329CC"/>
    <w:rsid w:val="008329DF"/>
    <w:rsid w:val="008329FC"/>
    <w:rsid w:val="00832B61"/>
    <w:rsid w:val="00832D6F"/>
    <w:rsid w:val="00832DE3"/>
    <w:rsid w:val="00832DF0"/>
    <w:rsid w:val="00832EA4"/>
    <w:rsid w:val="00832EDC"/>
    <w:rsid w:val="00832F0D"/>
    <w:rsid w:val="00832F84"/>
    <w:rsid w:val="00833036"/>
    <w:rsid w:val="008330B5"/>
    <w:rsid w:val="008330BC"/>
    <w:rsid w:val="008330CC"/>
    <w:rsid w:val="008330E6"/>
    <w:rsid w:val="008331C4"/>
    <w:rsid w:val="00833286"/>
    <w:rsid w:val="008332D8"/>
    <w:rsid w:val="008332DE"/>
    <w:rsid w:val="008332F2"/>
    <w:rsid w:val="008332FB"/>
    <w:rsid w:val="008333AD"/>
    <w:rsid w:val="00833592"/>
    <w:rsid w:val="008335D1"/>
    <w:rsid w:val="008335DC"/>
    <w:rsid w:val="00833623"/>
    <w:rsid w:val="00833660"/>
    <w:rsid w:val="008336A7"/>
    <w:rsid w:val="008336C8"/>
    <w:rsid w:val="008336D5"/>
    <w:rsid w:val="0083371B"/>
    <w:rsid w:val="008337BC"/>
    <w:rsid w:val="00833837"/>
    <w:rsid w:val="00833877"/>
    <w:rsid w:val="00833923"/>
    <w:rsid w:val="0083394B"/>
    <w:rsid w:val="008339D1"/>
    <w:rsid w:val="00833A0F"/>
    <w:rsid w:val="00833A56"/>
    <w:rsid w:val="00833B1F"/>
    <w:rsid w:val="00833B4D"/>
    <w:rsid w:val="00833B6C"/>
    <w:rsid w:val="00833BC8"/>
    <w:rsid w:val="00833C4F"/>
    <w:rsid w:val="00833CA6"/>
    <w:rsid w:val="00833CCD"/>
    <w:rsid w:val="00833DBE"/>
    <w:rsid w:val="00833DFA"/>
    <w:rsid w:val="00833E3C"/>
    <w:rsid w:val="00833E81"/>
    <w:rsid w:val="00833E93"/>
    <w:rsid w:val="00833EC6"/>
    <w:rsid w:val="00833EE5"/>
    <w:rsid w:val="00833EEE"/>
    <w:rsid w:val="00833EFA"/>
    <w:rsid w:val="00833F2E"/>
    <w:rsid w:val="00833F37"/>
    <w:rsid w:val="00833F3F"/>
    <w:rsid w:val="00833F5F"/>
    <w:rsid w:val="00833F67"/>
    <w:rsid w:val="00833FCE"/>
    <w:rsid w:val="00834089"/>
    <w:rsid w:val="00834134"/>
    <w:rsid w:val="008341CD"/>
    <w:rsid w:val="00834222"/>
    <w:rsid w:val="00834275"/>
    <w:rsid w:val="00834289"/>
    <w:rsid w:val="0083429D"/>
    <w:rsid w:val="008342FE"/>
    <w:rsid w:val="00834369"/>
    <w:rsid w:val="00834464"/>
    <w:rsid w:val="00834485"/>
    <w:rsid w:val="008344B0"/>
    <w:rsid w:val="00834502"/>
    <w:rsid w:val="00834536"/>
    <w:rsid w:val="00834543"/>
    <w:rsid w:val="008345D1"/>
    <w:rsid w:val="008346F3"/>
    <w:rsid w:val="008347FB"/>
    <w:rsid w:val="008348DF"/>
    <w:rsid w:val="008349B6"/>
    <w:rsid w:val="00834BD8"/>
    <w:rsid w:val="00834D26"/>
    <w:rsid w:val="00834DA6"/>
    <w:rsid w:val="00834DAC"/>
    <w:rsid w:val="00834EC9"/>
    <w:rsid w:val="00834F46"/>
    <w:rsid w:val="00834F62"/>
    <w:rsid w:val="00834F7D"/>
    <w:rsid w:val="00835026"/>
    <w:rsid w:val="00835118"/>
    <w:rsid w:val="00835135"/>
    <w:rsid w:val="00835182"/>
    <w:rsid w:val="00835205"/>
    <w:rsid w:val="0083527C"/>
    <w:rsid w:val="00835385"/>
    <w:rsid w:val="008353D9"/>
    <w:rsid w:val="0083541C"/>
    <w:rsid w:val="00835443"/>
    <w:rsid w:val="008354F1"/>
    <w:rsid w:val="00835569"/>
    <w:rsid w:val="008355F1"/>
    <w:rsid w:val="00835646"/>
    <w:rsid w:val="008356ED"/>
    <w:rsid w:val="008357DB"/>
    <w:rsid w:val="008357FB"/>
    <w:rsid w:val="00835823"/>
    <w:rsid w:val="008358A2"/>
    <w:rsid w:val="008358AC"/>
    <w:rsid w:val="0083597E"/>
    <w:rsid w:val="00835980"/>
    <w:rsid w:val="00835A35"/>
    <w:rsid w:val="00835A37"/>
    <w:rsid w:val="00835A70"/>
    <w:rsid w:val="00835AA1"/>
    <w:rsid w:val="00835B1A"/>
    <w:rsid w:val="00835B3B"/>
    <w:rsid w:val="00835C53"/>
    <w:rsid w:val="00835C96"/>
    <w:rsid w:val="00835CC5"/>
    <w:rsid w:val="00835D63"/>
    <w:rsid w:val="00835D9E"/>
    <w:rsid w:val="00835DAB"/>
    <w:rsid w:val="00835DC6"/>
    <w:rsid w:val="00835DD3"/>
    <w:rsid w:val="00835E14"/>
    <w:rsid w:val="00835E53"/>
    <w:rsid w:val="00835F07"/>
    <w:rsid w:val="00835F84"/>
    <w:rsid w:val="00836198"/>
    <w:rsid w:val="008361D4"/>
    <w:rsid w:val="00836276"/>
    <w:rsid w:val="00836288"/>
    <w:rsid w:val="008362A8"/>
    <w:rsid w:val="008362F0"/>
    <w:rsid w:val="0083636C"/>
    <w:rsid w:val="0083638E"/>
    <w:rsid w:val="0083640D"/>
    <w:rsid w:val="00836440"/>
    <w:rsid w:val="00836532"/>
    <w:rsid w:val="00836541"/>
    <w:rsid w:val="008365BF"/>
    <w:rsid w:val="00836629"/>
    <w:rsid w:val="00836694"/>
    <w:rsid w:val="008366B4"/>
    <w:rsid w:val="008366D1"/>
    <w:rsid w:val="00836812"/>
    <w:rsid w:val="0083688A"/>
    <w:rsid w:val="0083689F"/>
    <w:rsid w:val="00836952"/>
    <w:rsid w:val="0083697E"/>
    <w:rsid w:val="00836995"/>
    <w:rsid w:val="00836A26"/>
    <w:rsid w:val="00836A33"/>
    <w:rsid w:val="00836A96"/>
    <w:rsid w:val="00836AF0"/>
    <w:rsid w:val="00836B83"/>
    <w:rsid w:val="00836CB8"/>
    <w:rsid w:val="00836D45"/>
    <w:rsid w:val="00836DEF"/>
    <w:rsid w:val="00836F44"/>
    <w:rsid w:val="00836F7F"/>
    <w:rsid w:val="00837025"/>
    <w:rsid w:val="00837039"/>
    <w:rsid w:val="0083708B"/>
    <w:rsid w:val="0083711B"/>
    <w:rsid w:val="00837167"/>
    <w:rsid w:val="0083717D"/>
    <w:rsid w:val="00837194"/>
    <w:rsid w:val="00837250"/>
    <w:rsid w:val="00837257"/>
    <w:rsid w:val="008372B7"/>
    <w:rsid w:val="008372EB"/>
    <w:rsid w:val="00837309"/>
    <w:rsid w:val="00837396"/>
    <w:rsid w:val="008373A0"/>
    <w:rsid w:val="008373F9"/>
    <w:rsid w:val="00837467"/>
    <w:rsid w:val="00837514"/>
    <w:rsid w:val="008376AE"/>
    <w:rsid w:val="00837718"/>
    <w:rsid w:val="00837733"/>
    <w:rsid w:val="008377C1"/>
    <w:rsid w:val="008378AB"/>
    <w:rsid w:val="0083797F"/>
    <w:rsid w:val="00837991"/>
    <w:rsid w:val="00837BE8"/>
    <w:rsid w:val="00837BEF"/>
    <w:rsid w:val="00837EF8"/>
    <w:rsid w:val="00837FC9"/>
    <w:rsid w:val="0084000C"/>
    <w:rsid w:val="008400A0"/>
    <w:rsid w:val="008400DA"/>
    <w:rsid w:val="00840142"/>
    <w:rsid w:val="00840155"/>
    <w:rsid w:val="0084017B"/>
    <w:rsid w:val="008402C6"/>
    <w:rsid w:val="008402F7"/>
    <w:rsid w:val="00840325"/>
    <w:rsid w:val="0084033A"/>
    <w:rsid w:val="00840372"/>
    <w:rsid w:val="00840440"/>
    <w:rsid w:val="00840453"/>
    <w:rsid w:val="0084052A"/>
    <w:rsid w:val="0084053A"/>
    <w:rsid w:val="00840574"/>
    <w:rsid w:val="00840589"/>
    <w:rsid w:val="00840597"/>
    <w:rsid w:val="00840607"/>
    <w:rsid w:val="0084060F"/>
    <w:rsid w:val="0084069B"/>
    <w:rsid w:val="0084073C"/>
    <w:rsid w:val="008407C6"/>
    <w:rsid w:val="008408A4"/>
    <w:rsid w:val="008409A1"/>
    <w:rsid w:val="00840A46"/>
    <w:rsid w:val="00840A8D"/>
    <w:rsid w:val="00840B7C"/>
    <w:rsid w:val="00840CAE"/>
    <w:rsid w:val="00840CC4"/>
    <w:rsid w:val="00840CED"/>
    <w:rsid w:val="00840D06"/>
    <w:rsid w:val="00840D7F"/>
    <w:rsid w:val="00840D9E"/>
    <w:rsid w:val="00840DDF"/>
    <w:rsid w:val="00840EBC"/>
    <w:rsid w:val="00840F45"/>
    <w:rsid w:val="00840FDE"/>
    <w:rsid w:val="00841009"/>
    <w:rsid w:val="0084103A"/>
    <w:rsid w:val="00841067"/>
    <w:rsid w:val="008410C5"/>
    <w:rsid w:val="00841126"/>
    <w:rsid w:val="0084117D"/>
    <w:rsid w:val="00841180"/>
    <w:rsid w:val="00841216"/>
    <w:rsid w:val="00841293"/>
    <w:rsid w:val="00841297"/>
    <w:rsid w:val="008412A8"/>
    <w:rsid w:val="008413A8"/>
    <w:rsid w:val="008413DF"/>
    <w:rsid w:val="00841413"/>
    <w:rsid w:val="00841446"/>
    <w:rsid w:val="0084145D"/>
    <w:rsid w:val="00841467"/>
    <w:rsid w:val="00841477"/>
    <w:rsid w:val="0084152E"/>
    <w:rsid w:val="0084155F"/>
    <w:rsid w:val="0084158E"/>
    <w:rsid w:val="008415FF"/>
    <w:rsid w:val="0084160E"/>
    <w:rsid w:val="00841809"/>
    <w:rsid w:val="00841895"/>
    <w:rsid w:val="00841899"/>
    <w:rsid w:val="008418A9"/>
    <w:rsid w:val="008418DE"/>
    <w:rsid w:val="00841979"/>
    <w:rsid w:val="008419B5"/>
    <w:rsid w:val="008419FA"/>
    <w:rsid w:val="00841A02"/>
    <w:rsid w:val="00841A24"/>
    <w:rsid w:val="00841A71"/>
    <w:rsid w:val="00841AC9"/>
    <w:rsid w:val="00841B65"/>
    <w:rsid w:val="00841B66"/>
    <w:rsid w:val="00841B88"/>
    <w:rsid w:val="00841C63"/>
    <w:rsid w:val="00841C90"/>
    <w:rsid w:val="00841CE4"/>
    <w:rsid w:val="00841D5E"/>
    <w:rsid w:val="00841F4F"/>
    <w:rsid w:val="00841FAD"/>
    <w:rsid w:val="00841FCC"/>
    <w:rsid w:val="00842025"/>
    <w:rsid w:val="008420E5"/>
    <w:rsid w:val="00842240"/>
    <w:rsid w:val="0084226F"/>
    <w:rsid w:val="008422AC"/>
    <w:rsid w:val="008422B5"/>
    <w:rsid w:val="00842308"/>
    <w:rsid w:val="008423DA"/>
    <w:rsid w:val="00842400"/>
    <w:rsid w:val="0084240F"/>
    <w:rsid w:val="00842450"/>
    <w:rsid w:val="00842489"/>
    <w:rsid w:val="00842566"/>
    <w:rsid w:val="008425B3"/>
    <w:rsid w:val="008425B5"/>
    <w:rsid w:val="008425BF"/>
    <w:rsid w:val="008425D4"/>
    <w:rsid w:val="00842688"/>
    <w:rsid w:val="00842707"/>
    <w:rsid w:val="00842773"/>
    <w:rsid w:val="00842834"/>
    <w:rsid w:val="008428E4"/>
    <w:rsid w:val="00842933"/>
    <w:rsid w:val="00842943"/>
    <w:rsid w:val="0084299A"/>
    <w:rsid w:val="00842A9D"/>
    <w:rsid w:val="00842B8D"/>
    <w:rsid w:val="00842BFF"/>
    <w:rsid w:val="00842C4C"/>
    <w:rsid w:val="00842CB4"/>
    <w:rsid w:val="00842CBB"/>
    <w:rsid w:val="00842CDC"/>
    <w:rsid w:val="00842CF3"/>
    <w:rsid w:val="00842DFC"/>
    <w:rsid w:val="00842EE9"/>
    <w:rsid w:val="00842F6A"/>
    <w:rsid w:val="00842F7C"/>
    <w:rsid w:val="00842FBD"/>
    <w:rsid w:val="00842FCF"/>
    <w:rsid w:val="0084300F"/>
    <w:rsid w:val="008431EC"/>
    <w:rsid w:val="0084324F"/>
    <w:rsid w:val="00843261"/>
    <w:rsid w:val="00843372"/>
    <w:rsid w:val="00843384"/>
    <w:rsid w:val="00843430"/>
    <w:rsid w:val="008435A5"/>
    <w:rsid w:val="00843657"/>
    <w:rsid w:val="008436A6"/>
    <w:rsid w:val="00843705"/>
    <w:rsid w:val="00843732"/>
    <w:rsid w:val="00843737"/>
    <w:rsid w:val="00843756"/>
    <w:rsid w:val="00843759"/>
    <w:rsid w:val="00843764"/>
    <w:rsid w:val="00843773"/>
    <w:rsid w:val="00843779"/>
    <w:rsid w:val="008437A3"/>
    <w:rsid w:val="008437B1"/>
    <w:rsid w:val="00843882"/>
    <w:rsid w:val="008438AE"/>
    <w:rsid w:val="0084397D"/>
    <w:rsid w:val="00843A27"/>
    <w:rsid w:val="00843A60"/>
    <w:rsid w:val="00843A71"/>
    <w:rsid w:val="00843A9F"/>
    <w:rsid w:val="00843B3C"/>
    <w:rsid w:val="00843C8F"/>
    <w:rsid w:val="00843D24"/>
    <w:rsid w:val="00843EC7"/>
    <w:rsid w:val="00843FA3"/>
    <w:rsid w:val="00843FB0"/>
    <w:rsid w:val="00844022"/>
    <w:rsid w:val="008440B0"/>
    <w:rsid w:val="0084411C"/>
    <w:rsid w:val="0084419A"/>
    <w:rsid w:val="008441A2"/>
    <w:rsid w:val="0084428C"/>
    <w:rsid w:val="008442DA"/>
    <w:rsid w:val="008442FB"/>
    <w:rsid w:val="00844479"/>
    <w:rsid w:val="00844495"/>
    <w:rsid w:val="008444CB"/>
    <w:rsid w:val="00844543"/>
    <w:rsid w:val="00844580"/>
    <w:rsid w:val="00844582"/>
    <w:rsid w:val="008445C6"/>
    <w:rsid w:val="008446D1"/>
    <w:rsid w:val="0084472B"/>
    <w:rsid w:val="0084477F"/>
    <w:rsid w:val="008447BA"/>
    <w:rsid w:val="008447C4"/>
    <w:rsid w:val="0084485B"/>
    <w:rsid w:val="008448A9"/>
    <w:rsid w:val="008448B1"/>
    <w:rsid w:val="008449AE"/>
    <w:rsid w:val="00844A5A"/>
    <w:rsid w:val="00844A6E"/>
    <w:rsid w:val="00844AA4"/>
    <w:rsid w:val="00844B07"/>
    <w:rsid w:val="00844B9D"/>
    <w:rsid w:val="00844C21"/>
    <w:rsid w:val="00844C38"/>
    <w:rsid w:val="00844D88"/>
    <w:rsid w:val="00844DE7"/>
    <w:rsid w:val="00844E60"/>
    <w:rsid w:val="00844F1D"/>
    <w:rsid w:val="00844F6C"/>
    <w:rsid w:val="00844FB0"/>
    <w:rsid w:val="00844FDE"/>
    <w:rsid w:val="00845058"/>
    <w:rsid w:val="00845086"/>
    <w:rsid w:val="008452BD"/>
    <w:rsid w:val="008452FD"/>
    <w:rsid w:val="008453E7"/>
    <w:rsid w:val="0084541E"/>
    <w:rsid w:val="0084543F"/>
    <w:rsid w:val="008455A9"/>
    <w:rsid w:val="008455CE"/>
    <w:rsid w:val="0084566A"/>
    <w:rsid w:val="0084567A"/>
    <w:rsid w:val="008456A0"/>
    <w:rsid w:val="008456BF"/>
    <w:rsid w:val="00845898"/>
    <w:rsid w:val="008458AC"/>
    <w:rsid w:val="0084592D"/>
    <w:rsid w:val="0084599E"/>
    <w:rsid w:val="00845A38"/>
    <w:rsid w:val="00845B5F"/>
    <w:rsid w:val="00845BD2"/>
    <w:rsid w:val="00845C3B"/>
    <w:rsid w:val="00845C40"/>
    <w:rsid w:val="00845CF5"/>
    <w:rsid w:val="00845D93"/>
    <w:rsid w:val="00845DB7"/>
    <w:rsid w:val="00845E39"/>
    <w:rsid w:val="00845EE4"/>
    <w:rsid w:val="00845F2F"/>
    <w:rsid w:val="00845FC4"/>
    <w:rsid w:val="00845FF3"/>
    <w:rsid w:val="00846009"/>
    <w:rsid w:val="00846053"/>
    <w:rsid w:val="00846062"/>
    <w:rsid w:val="00846082"/>
    <w:rsid w:val="00846120"/>
    <w:rsid w:val="00846225"/>
    <w:rsid w:val="008462A8"/>
    <w:rsid w:val="00846315"/>
    <w:rsid w:val="00846396"/>
    <w:rsid w:val="008463CF"/>
    <w:rsid w:val="00846488"/>
    <w:rsid w:val="008464AD"/>
    <w:rsid w:val="0084661B"/>
    <w:rsid w:val="0084678F"/>
    <w:rsid w:val="0084685A"/>
    <w:rsid w:val="00846883"/>
    <w:rsid w:val="008468C7"/>
    <w:rsid w:val="008468E6"/>
    <w:rsid w:val="00846922"/>
    <w:rsid w:val="00846A03"/>
    <w:rsid w:val="00846A0A"/>
    <w:rsid w:val="00846A49"/>
    <w:rsid w:val="00846A66"/>
    <w:rsid w:val="00846AAB"/>
    <w:rsid w:val="00846AB4"/>
    <w:rsid w:val="00846BBB"/>
    <w:rsid w:val="00846C22"/>
    <w:rsid w:val="00846C65"/>
    <w:rsid w:val="00846CFD"/>
    <w:rsid w:val="00846E1C"/>
    <w:rsid w:val="00846E78"/>
    <w:rsid w:val="00846ED6"/>
    <w:rsid w:val="00846F1A"/>
    <w:rsid w:val="00846F5B"/>
    <w:rsid w:val="00846FF8"/>
    <w:rsid w:val="0084700E"/>
    <w:rsid w:val="00847036"/>
    <w:rsid w:val="0084705A"/>
    <w:rsid w:val="008470AA"/>
    <w:rsid w:val="008470BA"/>
    <w:rsid w:val="008471D0"/>
    <w:rsid w:val="008471E2"/>
    <w:rsid w:val="00847225"/>
    <w:rsid w:val="00847273"/>
    <w:rsid w:val="00847305"/>
    <w:rsid w:val="00847354"/>
    <w:rsid w:val="0084735A"/>
    <w:rsid w:val="00847386"/>
    <w:rsid w:val="008474AB"/>
    <w:rsid w:val="008474FD"/>
    <w:rsid w:val="00847538"/>
    <w:rsid w:val="0084754A"/>
    <w:rsid w:val="0084754D"/>
    <w:rsid w:val="00847551"/>
    <w:rsid w:val="00847580"/>
    <w:rsid w:val="008475B4"/>
    <w:rsid w:val="008475B7"/>
    <w:rsid w:val="00847673"/>
    <w:rsid w:val="008476E9"/>
    <w:rsid w:val="008476F9"/>
    <w:rsid w:val="0084771A"/>
    <w:rsid w:val="008478C3"/>
    <w:rsid w:val="008478FA"/>
    <w:rsid w:val="00847908"/>
    <w:rsid w:val="0084794D"/>
    <w:rsid w:val="00847A2F"/>
    <w:rsid w:val="00847A38"/>
    <w:rsid w:val="00847A43"/>
    <w:rsid w:val="00847A8E"/>
    <w:rsid w:val="00847B6D"/>
    <w:rsid w:val="00847B8E"/>
    <w:rsid w:val="00847B90"/>
    <w:rsid w:val="00847BBA"/>
    <w:rsid w:val="00847C18"/>
    <w:rsid w:val="00847D19"/>
    <w:rsid w:val="00847DC6"/>
    <w:rsid w:val="00847E25"/>
    <w:rsid w:val="00847F23"/>
    <w:rsid w:val="00847F34"/>
    <w:rsid w:val="00847F59"/>
    <w:rsid w:val="00847F8A"/>
    <w:rsid w:val="00847FB4"/>
    <w:rsid w:val="0085005C"/>
    <w:rsid w:val="008500D5"/>
    <w:rsid w:val="008500E2"/>
    <w:rsid w:val="008501FB"/>
    <w:rsid w:val="00850206"/>
    <w:rsid w:val="00850213"/>
    <w:rsid w:val="00850262"/>
    <w:rsid w:val="00850315"/>
    <w:rsid w:val="00850327"/>
    <w:rsid w:val="008503D7"/>
    <w:rsid w:val="008504ED"/>
    <w:rsid w:val="008505E2"/>
    <w:rsid w:val="008505E9"/>
    <w:rsid w:val="00850635"/>
    <w:rsid w:val="00850769"/>
    <w:rsid w:val="00850770"/>
    <w:rsid w:val="00850783"/>
    <w:rsid w:val="00850787"/>
    <w:rsid w:val="008507B7"/>
    <w:rsid w:val="008508C0"/>
    <w:rsid w:val="008509CA"/>
    <w:rsid w:val="008509CC"/>
    <w:rsid w:val="008509E5"/>
    <w:rsid w:val="00850A56"/>
    <w:rsid w:val="00850A6B"/>
    <w:rsid w:val="00850B01"/>
    <w:rsid w:val="00850B6F"/>
    <w:rsid w:val="00850BB4"/>
    <w:rsid w:val="00850BCA"/>
    <w:rsid w:val="00850D04"/>
    <w:rsid w:val="00850D54"/>
    <w:rsid w:val="00850E0A"/>
    <w:rsid w:val="00850E1E"/>
    <w:rsid w:val="00850F88"/>
    <w:rsid w:val="00850FEF"/>
    <w:rsid w:val="00851193"/>
    <w:rsid w:val="008511DC"/>
    <w:rsid w:val="00851396"/>
    <w:rsid w:val="008513A8"/>
    <w:rsid w:val="008513C0"/>
    <w:rsid w:val="008513DA"/>
    <w:rsid w:val="008514C1"/>
    <w:rsid w:val="0085159D"/>
    <w:rsid w:val="008515F9"/>
    <w:rsid w:val="00851679"/>
    <w:rsid w:val="0085168F"/>
    <w:rsid w:val="008516FC"/>
    <w:rsid w:val="008517E2"/>
    <w:rsid w:val="00851820"/>
    <w:rsid w:val="00851915"/>
    <w:rsid w:val="00851932"/>
    <w:rsid w:val="00851A1C"/>
    <w:rsid w:val="00851A5B"/>
    <w:rsid w:val="00851A74"/>
    <w:rsid w:val="00851A9F"/>
    <w:rsid w:val="00851B0C"/>
    <w:rsid w:val="00851BAC"/>
    <w:rsid w:val="00851BE8"/>
    <w:rsid w:val="00851C38"/>
    <w:rsid w:val="00851C49"/>
    <w:rsid w:val="00851C4B"/>
    <w:rsid w:val="00851C9E"/>
    <w:rsid w:val="00851CC8"/>
    <w:rsid w:val="00851D1F"/>
    <w:rsid w:val="00851DE6"/>
    <w:rsid w:val="00851E3A"/>
    <w:rsid w:val="00851E75"/>
    <w:rsid w:val="00851EAD"/>
    <w:rsid w:val="00851EE4"/>
    <w:rsid w:val="00851F4B"/>
    <w:rsid w:val="00851FA4"/>
    <w:rsid w:val="00851FC0"/>
    <w:rsid w:val="00852045"/>
    <w:rsid w:val="0085204C"/>
    <w:rsid w:val="008520CA"/>
    <w:rsid w:val="008520D6"/>
    <w:rsid w:val="008520E1"/>
    <w:rsid w:val="00852143"/>
    <w:rsid w:val="008521DF"/>
    <w:rsid w:val="008521F3"/>
    <w:rsid w:val="0085225E"/>
    <w:rsid w:val="0085235C"/>
    <w:rsid w:val="00852435"/>
    <w:rsid w:val="00852445"/>
    <w:rsid w:val="008525E7"/>
    <w:rsid w:val="0085263A"/>
    <w:rsid w:val="00852699"/>
    <w:rsid w:val="00852731"/>
    <w:rsid w:val="00852737"/>
    <w:rsid w:val="00852841"/>
    <w:rsid w:val="008528E2"/>
    <w:rsid w:val="00852957"/>
    <w:rsid w:val="008529DF"/>
    <w:rsid w:val="00852A08"/>
    <w:rsid w:val="00852A77"/>
    <w:rsid w:val="00852AC5"/>
    <w:rsid w:val="00852AE5"/>
    <w:rsid w:val="00852BC6"/>
    <w:rsid w:val="00852C24"/>
    <w:rsid w:val="00852D0D"/>
    <w:rsid w:val="00852D9B"/>
    <w:rsid w:val="00852DDF"/>
    <w:rsid w:val="00852F26"/>
    <w:rsid w:val="00852F51"/>
    <w:rsid w:val="00852FB9"/>
    <w:rsid w:val="00853026"/>
    <w:rsid w:val="0085314D"/>
    <w:rsid w:val="0085322F"/>
    <w:rsid w:val="00853266"/>
    <w:rsid w:val="008532C0"/>
    <w:rsid w:val="0085330A"/>
    <w:rsid w:val="0085345F"/>
    <w:rsid w:val="008534BE"/>
    <w:rsid w:val="008534EF"/>
    <w:rsid w:val="00853585"/>
    <w:rsid w:val="0085368F"/>
    <w:rsid w:val="008536AC"/>
    <w:rsid w:val="0085384F"/>
    <w:rsid w:val="00853869"/>
    <w:rsid w:val="0085390E"/>
    <w:rsid w:val="0085392D"/>
    <w:rsid w:val="00853B20"/>
    <w:rsid w:val="00853BC8"/>
    <w:rsid w:val="00853C13"/>
    <w:rsid w:val="00853C1A"/>
    <w:rsid w:val="00853C20"/>
    <w:rsid w:val="00853C8A"/>
    <w:rsid w:val="00853CC7"/>
    <w:rsid w:val="00853D05"/>
    <w:rsid w:val="00853D7F"/>
    <w:rsid w:val="00853DD2"/>
    <w:rsid w:val="00853E52"/>
    <w:rsid w:val="00853E58"/>
    <w:rsid w:val="00853EA3"/>
    <w:rsid w:val="00853EB6"/>
    <w:rsid w:val="00853EE8"/>
    <w:rsid w:val="00853F36"/>
    <w:rsid w:val="00853F47"/>
    <w:rsid w:val="00853F6E"/>
    <w:rsid w:val="00853F8E"/>
    <w:rsid w:val="00854004"/>
    <w:rsid w:val="00854072"/>
    <w:rsid w:val="00854127"/>
    <w:rsid w:val="00854199"/>
    <w:rsid w:val="008541D4"/>
    <w:rsid w:val="0085423E"/>
    <w:rsid w:val="0085427B"/>
    <w:rsid w:val="00854363"/>
    <w:rsid w:val="0085436B"/>
    <w:rsid w:val="0085438F"/>
    <w:rsid w:val="008543C8"/>
    <w:rsid w:val="008543D8"/>
    <w:rsid w:val="00854465"/>
    <w:rsid w:val="00854484"/>
    <w:rsid w:val="00854486"/>
    <w:rsid w:val="008544B3"/>
    <w:rsid w:val="008544F3"/>
    <w:rsid w:val="0085454A"/>
    <w:rsid w:val="0085458F"/>
    <w:rsid w:val="008545D6"/>
    <w:rsid w:val="00854685"/>
    <w:rsid w:val="00854693"/>
    <w:rsid w:val="00854750"/>
    <w:rsid w:val="00854853"/>
    <w:rsid w:val="00854873"/>
    <w:rsid w:val="00854876"/>
    <w:rsid w:val="008549E2"/>
    <w:rsid w:val="00854B73"/>
    <w:rsid w:val="00854BC7"/>
    <w:rsid w:val="00854BFE"/>
    <w:rsid w:val="00854C89"/>
    <w:rsid w:val="00854CB8"/>
    <w:rsid w:val="00854D12"/>
    <w:rsid w:val="00854D80"/>
    <w:rsid w:val="00854DBD"/>
    <w:rsid w:val="00854DC4"/>
    <w:rsid w:val="00854E03"/>
    <w:rsid w:val="00854E49"/>
    <w:rsid w:val="00854E6F"/>
    <w:rsid w:val="00854F7C"/>
    <w:rsid w:val="00854F95"/>
    <w:rsid w:val="0085503A"/>
    <w:rsid w:val="00855099"/>
    <w:rsid w:val="008550C5"/>
    <w:rsid w:val="008551DF"/>
    <w:rsid w:val="0085524C"/>
    <w:rsid w:val="008552F1"/>
    <w:rsid w:val="008552F2"/>
    <w:rsid w:val="00855316"/>
    <w:rsid w:val="00855394"/>
    <w:rsid w:val="008553CA"/>
    <w:rsid w:val="00855495"/>
    <w:rsid w:val="008554BA"/>
    <w:rsid w:val="00855500"/>
    <w:rsid w:val="0085557B"/>
    <w:rsid w:val="008555E5"/>
    <w:rsid w:val="00855665"/>
    <w:rsid w:val="00855673"/>
    <w:rsid w:val="008556F0"/>
    <w:rsid w:val="008557ED"/>
    <w:rsid w:val="00855828"/>
    <w:rsid w:val="00855880"/>
    <w:rsid w:val="00855895"/>
    <w:rsid w:val="008559EF"/>
    <w:rsid w:val="00855A0D"/>
    <w:rsid w:val="00855B2B"/>
    <w:rsid w:val="00855C01"/>
    <w:rsid w:val="00855C12"/>
    <w:rsid w:val="00855C2B"/>
    <w:rsid w:val="00855C34"/>
    <w:rsid w:val="00855D02"/>
    <w:rsid w:val="00855D0A"/>
    <w:rsid w:val="00855D40"/>
    <w:rsid w:val="00855D95"/>
    <w:rsid w:val="00855E4A"/>
    <w:rsid w:val="00855E97"/>
    <w:rsid w:val="00855EFB"/>
    <w:rsid w:val="00855F3B"/>
    <w:rsid w:val="00855FDE"/>
    <w:rsid w:val="00855FDF"/>
    <w:rsid w:val="008560DA"/>
    <w:rsid w:val="008561FF"/>
    <w:rsid w:val="0085622D"/>
    <w:rsid w:val="00856275"/>
    <w:rsid w:val="008563CA"/>
    <w:rsid w:val="00856429"/>
    <w:rsid w:val="008564B6"/>
    <w:rsid w:val="008564EF"/>
    <w:rsid w:val="008564FD"/>
    <w:rsid w:val="0085659D"/>
    <w:rsid w:val="008566D9"/>
    <w:rsid w:val="008566F3"/>
    <w:rsid w:val="00856706"/>
    <w:rsid w:val="008567C1"/>
    <w:rsid w:val="00856805"/>
    <w:rsid w:val="008568BA"/>
    <w:rsid w:val="008568F6"/>
    <w:rsid w:val="00856915"/>
    <w:rsid w:val="0085695F"/>
    <w:rsid w:val="00856A0D"/>
    <w:rsid w:val="00856A99"/>
    <w:rsid w:val="00856AB6"/>
    <w:rsid w:val="00856B5A"/>
    <w:rsid w:val="00856BDD"/>
    <w:rsid w:val="00856D11"/>
    <w:rsid w:val="00856D7B"/>
    <w:rsid w:val="00856DB8"/>
    <w:rsid w:val="00856DD6"/>
    <w:rsid w:val="00856DF5"/>
    <w:rsid w:val="00856EF4"/>
    <w:rsid w:val="00856F40"/>
    <w:rsid w:val="00856FBC"/>
    <w:rsid w:val="008570F6"/>
    <w:rsid w:val="008570FB"/>
    <w:rsid w:val="00857171"/>
    <w:rsid w:val="008572AF"/>
    <w:rsid w:val="008572D1"/>
    <w:rsid w:val="0085734B"/>
    <w:rsid w:val="00857486"/>
    <w:rsid w:val="008574B6"/>
    <w:rsid w:val="008574CB"/>
    <w:rsid w:val="0085756A"/>
    <w:rsid w:val="00857577"/>
    <w:rsid w:val="00857637"/>
    <w:rsid w:val="0085768B"/>
    <w:rsid w:val="00857707"/>
    <w:rsid w:val="00857734"/>
    <w:rsid w:val="00857761"/>
    <w:rsid w:val="00857796"/>
    <w:rsid w:val="008577B0"/>
    <w:rsid w:val="008577C4"/>
    <w:rsid w:val="0085781D"/>
    <w:rsid w:val="00857837"/>
    <w:rsid w:val="008578B0"/>
    <w:rsid w:val="00857930"/>
    <w:rsid w:val="00857957"/>
    <w:rsid w:val="008579DD"/>
    <w:rsid w:val="00857A27"/>
    <w:rsid w:val="00857A34"/>
    <w:rsid w:val="00857B04"/>
    <w:rsid w:val="00857B4F"/>
    <w:rsid w:val="00857B91"/>
    <w:rsid w:val="00857C6B"/>
    <w:rsid w:val="00857DC3"/>
    <w:rsid w:val="00857DD4"/>
    <w:rsid w:val="00857DFA"/>
    <w:rsid w:val="00857E15"/>
    <w:rsid w:val="00857F1E"/>
    <w:rsid w:val="00857F5D"/>
    <w:rsid w:val="00857F7D"/>
    <w:rsid w:val="00857F96"/>
    <w:rsid w:val="00857FA6"/>
    <w:rsid w:val="008601D1"/>
    <w:rsid w:val="0086020C"/>
    <w:rsid w:val="00860247"/>
    <w:rsid w:val="0086030E"/>
    <w:rsid w:val="00860339"/>
    <w:rsid w:val="00860388"/>
    <w:rsid w:val="0086039D"/>
    <w:rsid w:val="008603C0"/>
    <w:rsid w:val="00860401"/>
    <w:rsid w:val="008604F8"/>
    <w:rsid w:val="0086052A"/>
    <w:rsid w:val="00860557"/>
    <w:rsid w:val="00860618"/>
    <w:rsid w:val="00860634"/>
    <w:rsid w:val="00860676"/>
    <w:rsid w:val="008606B9"/>
    <w:rsid w:val="00860732"/>
    <w:rsid w:val="00860735"/>
    <w:rsid w:val="0086075F"/>
    <w:rsid w:val="008607F4"/>
    <w:rsid w:val="008608BE"/>
    <w:rsid w:val="00860A38"/>
    <w:rsid w:val="00860A89"/>
    <w:rsid w:val="00860A8F"/>
    <w:rsid w:val="00860B7B"/>
    <w:rsid w:val="00860BD3"/>
    <w:rsid w:val="00860BDC"/>
    <w:rsid w:val="00860CE1"/>
    <w:rsid w:val="00860E95"/>
    <w:rsid w:val="00860EFF"/>
    <w:rsid w:val="00860FDE"/>
    <w:rsid w:val="00861016"/>
    <w:rsid w:val="0086108E"/>
    <w:rsid w:val="00861090"/>
    <w:rsid w:val="008610DE"/>
    <w:rsid w:val="00861114"/>
    <w:rsid w:val="00861120"/>
    <w:rsid w:val="008611B2"/>
    <w:rsid w:val="008611D1"/>
    <w:rsid w:val="0086122D"/>
    <w:rsid w:val="00861278"/>
    <w:rsid w:val="00861290"/>
    <w:rsid w:val="008612E3"/>
    <w:rsid w:val="008613D6"/>
    <w:rsid w:val="008614C3"/>
    <w:rsid w:val="0086154A"/>
    <w:rsid w:val="008615C5"/>
    <w:rsid w:val="008615FD"/>
    <w:rsid w:val="00861672"/>
    <w:rsid w:val="008616F1"/>
    <w:rsid w:val="00861743"/>
    <w:rsid w:val="0086179E"/>
    <w:rsid w:val="008618A6"/>
    <w:rsid w:val="0086198F"/>
    <w:rsid w:val="008619FD"/>
    <w:rsid w:val="00861B29"/>
    <w:rsid w:val="00861BA3"/>
    <w:rsid w:val="00861C0E"/>
    <w:rsid w:val="00861CF9"/>
    <w:rsid w:val="00861D0E"/>
    <w:rsid w:val="00861D6B"/>
    <w:rsid w:val="00861ECB"/>
    <w:rsid w:val="00861F22"/>
    <w:rsid w:val="00861F67"/>
    <w:rsid w:val="0086202C"/>
    <w:rsid w:val="00862039"/>
    <w:rsid w:val="008620B3"/>
    <w:rsid w:val="00862107"/>
    <w:rsid w:val="00862316"/>
    <w:rsid w:val="00862393"/>
    <w:rsid w:val="008624AC"/>
    <w:rsid w:val="008624AF"/>
    <w:rsid w:val="008625BE"/>
    <w:rsid w:val="00862611"/>
    <w:rsid w:val="00862629"/>
    <w:rsid w:val="008626B8"/>
    <w:rsid w:val="00862727"/>
    <w:rsid w:val="0086272D"/>
    <w:rsid w:val="00862739"/>
    <w:rsid w:val="00862748"/>
    <w:rsid w:val="00862772"/>
    <w:rsid w:val="0086282C"/>
    <w:rsid w:val="0086289F"/>
    <w:rsid w:val="008628BA"/>
    <w:rsid w:val="008628F9"/>
    <w:rsid w:val="0086299C"/>
    <w:rsid w:val="00862A2A"/>
    <w:rsid w:val="00862B0E"/>
    <w:rsid w:val="00862B62"/>
    <w:rsid w:val="00862BB7"/>
    <w:rsid w:val="00862BC2"/>
    <w:rsid w:val="00862C47"/>
    <w:rsid w:val="00862C58"/>
    <w:rsid w:val="00862C67"/>
    <w:rsid w:val="00862C7A"/>
    <w:rsid w:val="00862D62"/>
    <w:rsid w:val="00862D88"/>
    <w:rsid w:val="00862E38"/>
    <w:rsid w:val="00862EFC"/>
    <w:rsid w:val="00862FA3"/>
    <w:rsid w:val="008630F0"/>
    <w:rsid w:val="00863122"/>
    <w:rsid w:val="00863132"/>
    <w:rsid w:val="00863149"/>
    <w:rsid w:val="0086318E"/>
    <w:rsid w:val="00863199"/>
    <w:rsid w:val="0086320E"/>
    <w:rsid w:val="008632C1"/>
    <w:rsid w:val="008632D4"/>
    <w:rsid w:val="00863315"/>
    <w:rsid w:val="00863391"/>
    <w:rsid w:val="008633E2"/>
    <w:rsid w:val="0086344D"/>
    <w:rsid w:val="00863489"/>
    <w:rsid w:val="0086348C"/>
    <w:rsid w:val="00863521"/>
    <w:rsid w:val="00863555"/>
    <w:rsid w:val="00863625"/>
    <w:rsid w:val="0086367C"/>
    <w:rsid w:val="00863770"/>
    <w:rsid w:val="00863797"/>
    <w:rsid w:val="008637B0"/>
    <w:rsid w:val="008637F9"/>
    <w:rsid w:val="0086381D"/>
    <w:rsid w:val="0086383B"/>
    <w:rsid w:val="00863869"/>
    <w:rsid w:val="00863897"/>
    <w:rsid w:val="008638BD"/>
    <w:rsid w:val="008638DB"/>
    <w:rsid w:val="00863905"/>
    <w:rsid w:val="0086392B"/>
    <w:rsid w:val="008639A9"/>
    <w:rsid w:val="008639B5"/>
    <w:rsid w:val="00863A07"/>
    <w:rsid w:val="00863A55"/>
    <w:rsid w:val="00863A7E"/>
    <w:rsid w:val="00863AD7"/>
    <w:rsid w:val="00863BEE"/>
    <w:rsid w:val="00863BF5"/>
    <w:rsid w:val="00863CDE"/>
    <w:rsid w:val="00863DED"/>
    <w:rsid w:val="00863E2A"/>
    <w:rsid w:val="00863E37"/>
    <w:rsid w:val="00863E4F"/>
    <w:rsid w:val="00863E59"/>
    <w:rsid w:val="00863EF3"/>
    <w:rsid w:val="008640F8"/>
    <w:rsid w:val="0086416B"/>
    <w:rsid w:val="00864176"/>
    <w:rsid w:val="00864244"/>
    <w:rsid w:val="00864282"/>
    <w:rsid w:val="00864296"/>
    <w:rsid w:val="00864298"/>
    <w:rsid w:val="008642E9"/>
    <w:rsid w:val="00864338"/>
    <w:rsid w:val="0086437D"/>
    <w:rsid w:val="008643D2"/>
    <w:rsid w:val="0086446A"/>
    <w:rsid w:val="00864482"/>
    <w:rsid w:val="00864494"/>
    <w:rsid w:val="008644AD"/>
    <w:rsid w:val="008644BF"/>
    <w:rsid w:val="008644EC"/>
    <w:rsid w:val="00864531"/>
    <w:rsid w:val="00864554"/>
    <w:rsid w:val="00864584"/>
    <w:rsid w:val="008645FE"/>
    <w:rsid w:val="0086469E"/>
    <w:rsid w:val="0086473A"/>
    <w:rsid w:val="00864756"/>
    <w:rsid w:val="0086482B"/>
    <w:rsid w:val="0086484C"/>
    <w:rsid w:val="008648CF"/>
    <w:rsid w:val="008648F1"/>
    <w:rsid w:val="00864920"/>
    <w:rsid w:val="00864A56"/>
    <w:rsid w:val="00864ACA"/>
    <w:rsid w:val="00864B25"/>
    <w:rsid w:val="00864B59"/>
    <w:rsid w:val="00864C06"/>
    <w:rsid w:val="00864C08"/>
    <w:rsid w:val="00864C71"/>
    <w:rsid w:val="00864C78"/>
    <w:rsid w:val="00864D74"/>
    <w:rsid w:val="00864D7D"/>
    <w:rsid w:val="00864D94"/>
    <w:rsid w:val="00864DA7"/>
    <w:rsid w:val="00864DB2"/>
    <w:rsid w:val="00864EEA"/>
    <w:rsid w:val="00864FCE"/>
    <w:rsid w:val="0086502D"/>
    <w:rsid w:val="00865093"/>
    <w:rsid w:val="0086510D"/>
    <w:rsid w:val="008651C0"/>
    <w:rsid w:val="00865235"/>
    <w:rsid w:val="00865258"/>
    <w:rsid w:val="00865274"/>
    <w:rsid w:val="0086528F"/>
    <w:rsid w:val="008652EB"/>
    <w:rsid w:val="0086534C"/>
    <w:rsid w:val="00865353"/>
    <w:rsid w:val="0086549A"/>
    <w:rsid w:val="00865607"/>
    <w:rsid w:val="00865657"/>
    <w:rsid w:val="0086568C"/>
    <w:rsid w:val="0086570B"/>
    <w:rsid w:val="008657FB"/>
    <w:rsid w:val="00865886"/>
    <w:rsid w:val="0086589C"/>
    <w:rsid w:val="0086596B"/>
    <w:rsid w:val="008659AF"/>
    <w:rsid w:val="00865A01"/>
    <w:rsid w:val="00865AD3"/>
    <w:rsid w:val="00865AE4"/>
    <w:rsid w:val="00865AE9"/>
    <w:rsid w:val="00865AF2"/>
    <w:rsid w:val="00865AFC"/>
    <w:rsid w:val="00865B47"/>
    <w:rsid w:val="00865C26"/>
    <w:rsid w:val="00865CAA"/>
    <w:rsid w:val="00865CC9"/>
    <w:rsid w:val="00865D34"/>
    <w:rsid w:val="00865D9B"/>
    <w:rsid w:val="00865E16"/>
    <w:rsid w:val="00865EB3"/>
    <w:rsid w:val="00865EE0"/>
    <w:rsid w:val="00865EE2"/>
    <w:rsid w:val="00865FC8"/>
    <w:rsid w:val="00866005"/>
    <w:rsid w:val="008660BB"/>
    <w:rsid w:val="008660C7"/>
    <w:rsid w:val="00866131"/>
    <w:rsid w:val="0086616E"/>
    <w:rsid w:val="008661D2"/>
    <w:rsid w:val="00866348"/>
    <w:rsid w:val="00866493"/>
    <w:rsid w:val="008664B1"/>
    <w:rsid w:val="00866536"/>
    <w:rsid w:val="0086657A"/>
    <w:rsid w:val="008665B1"/>
    <w:rsid w:val="008665B2"/>
    <w:rsid w:val="008665CA"/>
    <w:rsid w:val="0086660B"/>
    <w:rsid w:val="0086665A"/>
    <w:rsid w:val="008666C1"/>
    <w:rsid w:val="00866741"/>
    <w:rsid w:val="00866771"/>
    <w:rsid w:val="00866794"/>
    <w:rsid w:val="008667D9"/>
    <w:rsid w:val="0086680B"/>
    <w:rsid w:val="00866908"/>
    <w:rsid w:val="0086690C"/>
    <w:rsid w:val="008669D0"/>
    <w:rsid w:val="008669FD"/>
    <w:rsid w:val="00866A58"/>
    <w:rsid w:val="00866BAF"/>
    <w:rsid w:val="00866BEC"/>
    <w:rsid w:val="00866C83"/>
    <w:rsid w:val="00866CA8"/>
    <w:rsid w:val="00866CC6"/>
    <w:rsid w:val="00866CF7"/>
    <w:rsid w:val="00866DBF"/>
    <w:rsid w:val="00866F03"/>
    <w:rsid w:val="00866F3E"/>
    <w:rsid w:val="00866F7B"/>
    <w:rsid w:val="008670E6"/>
    <w:rsid w:val="0086713A"/>
    <w:rsid w:val="0086719E"/>
    <w:rsid w:val="0086720F"/>
    <w:rsid w:val="00867264"/>
    <w:rsid w:val="008672E0"/>
    <w:rsid w:val="00867333"/>
    <w:rsid w:val="0086734D"/>
    <w:rsid w:val="0086737E"/>
    <w:rsid w:val="0086745D"/>
    <w:rsid w:val="008674B2"/>
    <w:rsid w:val="008674E8"/>
    <w:rsid w:val="008674F8"/>
    <w:rsid w:val="00867573"/>
    <w:rsid w:val="008675AD"/>
    <w:rsid w:val="00867710"/>
    <w:rsid w:val="00867715"/>
    <w:rsid w:val="00867724"/>
    <w:rsid w:val="008677CF"/>
    <w:rsid w:val="008677ED"/>
    <w:rsid w:val="0086787E"/>
    <w:rsid w:val="008679B2"/>
    <w:rsid w:val="00867A2D"/>
    <w:rsid w:val="00867A48"/>
    <w:rsid w:val="00867B54"/>
    <w:rsid w:val="00867C2F"/>
    <w:rsid w:val="00867C38"/>
    <w:rsid w:val="00867C48"/>
    <w:rsid w:val="00867CA8"/>
    <w:rsid w:val="00867CCE"/>
    <w:rsid w:val="00867CF4"/>
    <w:rsid w:val="00867D31"/>
    <w:rsid w:val="00867D49"/>
    <w:rsid w:val="00867D80"/>
    <w:rsid w:val="00867DEC"/>
    <w:rsid w:val="00867FB3"/>
    <w:rsid w:val="00868956"/>
    <w:rsid w:val="0087001A"/>
    <w:rsid w:val="0087012A"/>
    <w:rsid w:val="008701CD"/>
    <w:rsid w:val="00870226"/>
    <w:rsid w:val="0087022C"/>
    <w:rsid w:val="00870242"/>
    <w:rsid w:val="0087026C"/>
    <w:rsid w:val="00870353"/>
    <w:rsid w:val="0087035C"/>
    <w:rsid w:val="008703DC"/>
    <w:rsid w:val="008703DD"/>
    <w:rsid w:val="008704AE"/>
    <w:rsid w:val="008704F9"/>
    <w:rsid w:val="0087050D"/>
    <w:rsid w:val="00870523"/>
    <w:rsid w:val="008705BD"/>
    <w:rsid w:val="00870638"/>
    <w:rsid w:val="0087064A"/>
    <w:rsid w:val="008706A2"/>
    <w:rsid w:val="008709BB"/>
    <w:rsid w:val="00870A2B"/>
    <w:rsid w:val="00870A38"/>
    <w:rsid w:val="00870A46"/>
    <w:rsid w:val="00870BE7"/>
    <w:rsid w:val="00870C47"/>
    <w:rsid w:val="00870C85"/>
    <w:rsid w:val="00870D9F"/>
    <w:rsid w:val="00870E10"/>
    <w:rsid w:val="00870E59"/>
    <w:rsid w:val="00870E6B"/>
    <w:rsid w:val="00870E7C"/>
    <w:rsid w:val="00870F07"/>
    <w:rsid w:val="00871056"/>
    <w:rsid w:val="0087106E"/>
    <w:rsid w:val="00871075"/>
    <w:rsid w:val="00871085"/>
    <w:rsid w:val="00871123"/>
    <w:rsid w:val="008711A3"/>
    <w:rsid w:val="008712AD"/>
    <w:rsid w:val="008712AE"/>
    <w:rsid w:val="0087132C"/>
    <w:rsid w:val="0087142C"/>
    <w:rsid w:val="0087142D"/>
    <w:rsid w:val="0087144C"/>
    <w:rsid w:val="0087144F"/>
    <w:rsid w:val="00871574"/>
    <w:rsid w:val="008715C3"/>
    <w:rsid w:val="0087164B"/>
    <w:rsid w:val="008716FF"/>
    <w:rsid w:val="0087175B"/>
    <w:rsid w:val="00871819"/>
    <w:rsid w:val="00871893"/>
    <w:rsid w:val="008718EF"/>
    <w:rsid w:val="00871910"/>
    <w:rsid w:val="008719E1"/>
    <w:rsid w:val="00871A3B"/>
    <w:rsid w:val="00871A99"/>
    <w:rsid w:val="00871AED"/>
    <w:rsid w:val="00871C0E"/>
    <w:rsid w:val="00871D06"/>
    <w:rsid w:val="00871D60"/>
    <w:rsid w:val="00871D84"/>
    <w:rsid w:val="00871DD1"/>
    <w:rsid w:val="00871EAA"/>
    <w:rsid w:val="00871EE2"/>
    <w:rsid w:val="00871FB6"/>
    <w:rsid w:val="00872038"/>
    <w:rsid w:val="0087207A"/>
    <w:rsid w:val="0087214F"/>
    <w:rsid w:val="0087237A"/>
    <w:rsid w:val="008723D6"/>
    <w:rsid w:val="008724BA"/>
    <w:rsid w:val="0087257F"/>
    <w:rsid w:val="0087258E"/>
    <w:rsid w:val="008725F1"/>
    <w:rsid w:val="00872664"/>
    <w:rsid w:val="008727E1"/>
    <w:rsid w:val="00872817"/>
    <w:rsid w:val="0087288C"/>
    <w:rsid w:val="008728BA"/>
    <w:rsid w:val="00872950"/>
    <w:rsid w:val="00872A44"/>
    <w:rsid w:val="00872A4C"/>
    <w:rsid w:val="00872ADE"/>
    <w:rsid w:val="00872B30"/>
    <w:rsid w:val="00872BC1"/>
    <w:rsid w:val="00872CEF"/>
    <w:rsid w:val="00872DB9"/>
    <w:rsid w:val="00872DD7"/>
    <w:rsid w:val="00872E68"/>
    <w:rsid w:val="00872E6B"/>
    <w:rsid w:val="00872EC9"/>
    <w:rsid w:val="00872EED"/>
    <w:rsid w:val="00872F12"/>
    <w:rsid w:val="00872FFB"/>
    <w:rsid w:val="008730D4"/>
    <w:rsid w:val="00873209"/>
    <w:rsid w:val="0087327E"/>
    <w:rsid w:val="008732D9"/>
    <w:rsid w:val="00873303"/>
    <w:rsid w:val="00873442"/>
    <w:rsid w:val="00873472"/>
    <w:rsid w:val="008734B4"/>
    <w:rsid w:val="00873578"/>
    <w:rsid w:val="008735C6"/>
    <w:rsid w:val="00873615"/>
    <w:rsid w:val="00873621"/>
    <w:rsid w:val="00873622"/>
    <w:rsid w:val="0087363C"/>
    <w:rsid w:val="00873657"/>
    <w:rsid w:val="0087366B"/>
    <w:rsid w:val="008737E9"/>
    <w:rsid w:val="00873851"/>
    <w:rsid w:val="00873878"/>
    <w:rsid w:val="0087397E"/>
    <w:rsid w:val="008739B0"/>
    <w:rsid w:val="008739F7"/>
    <w:rsid w:val="00873A72"/>
    <w:rsid w:val="00873ABB"/>
    <w:rsid w:val="00873AF8"/>
    <w:rsid w:val="00873B65"/>
    <w:rsid w:val="00873B7D"/>
    <w:rsid w:val="00873BFA"/>
    <w:rsid w:val="00873C22"/>
    <w:rsid w:val="00873C98"/>
    <w:rsid w:val="00873D9A"/>
    <w:rsid w:val="00873E59"/>
    <w:rsid w:val="00873E85"/>
    <w:rsid w:val="00873EC7"/>
    <w:rsid w:val="0087410B"/>
    <w:rsid w:val="0087419A"/>
    <w:rsid w:val="00874261"/>
    <w:rsid w:val="008742EC"/>
    <w:rsid w:val="008743D1"/>
    <w:rsid w:val="008744CE"/>
    <w:rsid w:val="008744F9"/>
    <w:rsid w:val="00874505"/>
    <w:rsid w:val="0087455D"/>
    <w:rsid w:val="0087461C"/>
    <w:rsid w:val="008747C6"/>
    <w:rsid w:val="008747F2"/>
    <w:rsid w:val="0087493A"/>
    <w:rsid w:val="00874954"/>
    <w:rsid w:val="0087497C"/>
    <w:rsid w:val="00874A06"/>
    <w:rsid w:val="00874A0D"/>
    <w:rsid w:val="00874A1F"/>
    <w:rsid w:val="00874B2C"/>
    <w:rsid w:val="00874B4D"/>
    <w:rsid w:val="00874BDE"/>
    <w:rsid w:val="00874C2F"/>
    <w:rsid w:val="00874C62"/>
    <w:rsid w:val="00874C6B"/>
    <w:rsid w:val="00874C79"/>
    <w:rsid w:val="00874CC6"/>
    <w:rsid w:val="00874D5C"/>
    <w:rsid w:val="00874D71"/>
    <w:rsid w:val="00874DBD"/>
    <w:rsid w:val="00874DD3"/>
    <w:rsid w:val="00874E0C"/>
    <w:rsid w:val="00874E30"/>
    <w:rsid w:val="00874E67"/>
    <w:rsid w:val="00874ED4"/>
    <w:rsid w:val="00874EE5"/>
    <w:rsid w:val="00874F14"/>
    <w:rsid w:val="00874F42"/>
    <w:rsid w:val="00875020"/>
    <w:rsid w:val="00875053"/>
    <w:rsid w:val="0087507E"/>
    <w:rsid w:val="00875093"/>
    <w:rsid w:val="008750C0"/>
    <w:rsid w:val="008751B8"/>
    <w:rsid w:val="00875231"/>
    <w:rsid w:val="00875253"/>
    <w:rsid w:val="00875272"/>
    <w:rsid w:val="008752B0"/>
    <w:rsid w:val="00875388"/>
    <w:rsid w:val="008753B8"/>
    <w:rsid w:val="008753FF"/>
    <w:rsid w:val="00875489"/>
    <w:rsid w:val="0087549B"/>
    <w:rsid w:val="008754F9"/>
    <w:rsid w:val="0087555A"/>
    <w:rsid w:val="008755A6"/>
    <w:rsid w:val="00875655"/>
    <w:rsid w:val="00875755"/>
    <w:rsid w:val="00875763"/>
    <w:rsid w:val="00875797"/>
    <w:rsid w:val="008757BA"/>
    <w:rsid w:val="00875887"/>
    <w:rsid w:val="00875975"/>
    <w:rsid w:val="008759D5"/>
    <w:rsid w:val="008759F2"/>
    <w:rsid w:val="00875A4A"/>
    <w:rsid w:val="00875A7F"/>
    <w:rsid w:val="00875A86"/>
    <w:rsid w:val="00875AA7"/>
    <w:rsid w:val="00875ABE"/>
    <w:rsid w:val="00875B3E"/>
    <w:rsid w:val="00875B73"/>
    <w:rsid w:val="00875B77"/>
    <w:rsid w:val="00875C0B"/>
    <w:rsid w:val="00875C26"/>
    <w:rsid w:val="00875C67"/>
    <w:rsid w:val="00875C73"/>
    <w:rsid w:val="00875CBE"/>
    <w:rsid w:val="00875D4C"/>
    <w:rsid w:val="00875DA8"/>
    <w:rsid w:val="00875DAE"/>
    <w:rsid w:val="00875E00"/>
    <w:rsid w:val="00875EFC"/>
    <w:rsid w:val="00875F02"/>
    <w:rsid w:val="00875F7F"/>
    <w:rsid w:val="00875FDF"/>
    <w:rsid w:val="0087613F"/>
    <w:rsid w:val="00876153"/>
    <w:rsid w:val="00876169"/>
    <w:rsid w:val="00876398"/>
    <w:rsid w:val="00876429"/>
    <w:rsid w:val="0087646F"/>
    <w:rsid w:val="00876478"/>
    <w:rsid w:val="008764A5"/>
    <w:rsid w:val="0087650A"/>
    <w:rsid w:val="0087654C"/>
    <w:rsid w:val="00876599"/>
    <w:rsid w:val="00876608"/>
    <w:rsid w:val="0087664F"/>
    <w:rsid w:val="00876665"/>
    <w:rsid w:val="008766B9"/>
    <w:rsid w:val="008766D5"/>
    <w:rsid w:val="00876721"/>
    <w:rsid w:val="0087682B"/>
    <w:rsid w:val="00876835"/>
    <w:rsid w:val="00876884"/>
    <w:rsid w:val="00876885"/>
    <w:rsid w:val="008768C0"/>
    <w:rsid w:val="00876931"/>
    <w:rsid w:val="00876936"/>
    <w:rsid w:val="008769E3"/>
    <w:rsid w:val="00876A04"/>
    <w:rsid w:val="00876AE3"/>
    <w:rsid w:val="00876B38"/>
    <w:rsid w:val="00876B43"/>
    <w:rsid w:val="00876D52"/>
    <w:rsid w:val="00876F0B"/>
    <w:rsid w:val="00876F32"/>
    <w:rsid w:val="00877064"/>
    <w:rsid w:val="0087708D"/>
    <w:rsid w:val="008772A6"/>
    <w:rsid w:val="008772C7"/>
    <w:rsid w:val="008772F6"/>
    <w:rsid w:val="008774C4"/>
    <w:rsid w:val="00877528"/>
    <w:rsid w:val="008776C3"/>
    <w:rsid w:val="008776CF"/>
    <w:rsid w:val="00877795"/>
    <w:rsid w:val="0087788B"/>
    <w:rsid w:val="008778EA"/>
    <w:rsid w:val="00877A48"/>
    <w:rsid w:val="00877A7F"/>
    <w:rsid w:val="00877AFB"/>
    <w:rsid w:val="00877B7D"/>
    <w:rsid w:val="00877B99"/>
    <w:rsid w:val="00877BC7"/>
    <w:rsid w:val="00877C5B"/>
    <w:rsid w:val="00877DDB"/>
    <w:rsid w:val="00877DE8"/>
    <w:rsid w:val="00877EC3"/>
    <w:rsid w:val="00877EC6"/>
    <w:rsid w:val="00877EE7"/>
    <w:rsid w:val="00877F44"/>
    <w:rsid w:val="00877FDB"/>
    <w:rsid w:val="00877FF5"/>
    <w:rsid w:val="00880016"/>
    <w:rsid w:val="008800E3"/>
    <w:rsid w:val="00880115"/>
    <w:rsid w:val="008801D6"/>
    <w:rsid w:val="0088026D"/>
    <w:rsid w:val="00880297"/>
    <w:rsid w:val="0088029C"/>
    <w:rsid w:val="008802C3"/>
    <w:rsid w:val="008802CF"/>
    <w:rsid w:val="00880341"/>
    <w:rsid w:val="00880488"/>
    <w:rsid w:val="008804F0"/>
    <w:rsid w:val="00880500"/>
    <w:rsid w:val="00880533"/>
    <w:rsid w:val="00880550"/>
    <w:rsid w:val="00880593"/>
    <w:rsid w:val="008805A3"/>
    <w:rsid w:val="0088064E"/>
    <w:rsid w:val="0088073F"/>
    <w:rsid w:val="00880A82"/>
    <w:rsid w:val="00880B33"/>
    <w:rsid w:val="00880B3A"/>
    <w:rsid w:val="00880B65"/>
    <w:rsid w:val="00880CAC"/>
    <w:rsid w:val="00880CCB"/>
    <w:rsid w:val="00880CCC"/>
    <w:rsid w:val="00880D2D"/>
    <w:rsid w:val="00880D51"/>
    <w:rsid w:val="00880D6E"/>
    <w:rsid w:val="00880DDB"/>
    <w:rsid w:val="00880DEE"/>
    <w:rsid w:val="00880EAE"/>
    <w:rsid w:val="00880F0C"/>
    <w:rsid w:val="00880F6C"/>
    <w:rsid w:val="00880FC4"/>
    <w:rsid w:val="00880FDB"/>
    <w:rsid w:val="00881063"/>
    <w:rsid w:val="008810AC"/>
    <w:rsid w:val="008810E5"/>
    <w:rsid w:val="00881165"/>
    <w:rsid w:val="00881167"/>
    <w:rsid w:val="0088120E"/>
    <w:rsid w:val="008812B5"/>
    <w:rsid w:val="00881307"/>
    <w:rsid w:val="0088132F"/>
    <w:rsid w:val="0088159A"/>
    <w:rsid w:val="00881622"/>
    <w:rsid w:val="0088168A"/>
    <w:rsid w:val="008816B3"/>
    <w:rsid w:val="00881783"/>
    <w:rsid w:val="008817D4"/>
    <w:rsid w:val="008817D7"/>
    <w:rsid w:val="00881856"/>
    <w:rsid w:val="0088185F"/>
    <w:rsid w:val="00881881"/>
    <w:rsid w:val="00881A55"/>
    <w:rsid w:val="00881AD5"/>
    <w:rsid w:val="00881AEF"/>
    <w:rsid w:val="00881B15"/>
    <w:rsid w:val="00881C36"/>
    <w:rsid w:val="00881D70"/>
    <w:rsid w:val="00881D7B"/>
    <w:rsid w:val="00881DF1"/>
    <w:rsid w:val="00881E3E"/>
    <w:rsid w:val="00881E88"/>
    <w:rsid w:val="00881FC4"/>
    <w:rsid w:val="00882008"/>
    <w:rsid w:val="0088201D"/>
    <w:rsid w:val="0088204A"/>
    <w:rsid w:val="00882106"/>
    <w:rsid w:val="0088212E"/>
    <w:rsid w:val="00882242"/>
    <w:rsid w:val="008823B5"/>
    <w:rsid w:val="00882505"/>
    <w:rsid w:val="00882519"/>
    <w:rsid w:val="00882545"/>
    <w:rsid w:val="008825B9"/>
    <w:rsid w:val="008826CC"/>
    <w:rsid w:val="008826E7"/>
    <w:rsid w:val="008829D4"/>
    <w:rsid w:val="008829E1"/>
    <w:rsid w:val="008829E4"/>
    <w:rsid w:val="00882A1E"/>
    <w:rsid w:val="00882A57"/>
    <w:rsid w:val="00882B1A"/>
    <w:rsid w:val="00882B54"/>
    <w:rsid w:val="00882B77"/>
    <w:rsid w:val="00882CDB"/>
    <w:rsid w:val="00882D1C"/>
    <w:rsid w:val="00882F7D"/>
    <w:rsid w:val="00882FF5"/>
    <w:rsid w:val="00883072"/>
    <w:rsid w:val="00883156"/>
    <w:rsid w:val="0088320F"/>
    <w:rsid w:val="0088325D"/>
    <w:rsid w:val="00883293"/>
    <w:rsid w:val="0088340B"/>
    <w:rsid w:val="00883454"/>
    <w:rsid w:val="00883505"/>
    <w:rsid w:val="0088358B"/>
    <w:rsid w:val="00883609"/>
    <w:rsid w:val="00883617"/>
    <w:rsid w:val="00883619"/>
    <w:rsid w:val="00883664"/>
    <w:rsid w:val="00883672"/>
    <w:rsid w:val="0088368B"/>
    <w:rsid w:val="00883742"/>
    <w:rsid w:val="0088379A"/>
    <w:rsid w:val="008837B3"/>
    <w:rsid w:val="008838E8"/>
    <w:rsid w:val="00883948"/>
    <w:rsid w:val="00883B2C"/>
    <w:rsid w:val="00883B6C"/>
    <w:rsid w:val="00883BA4"/>
    <w:rsid w:val="00883C07"/>
    <w:rsid w:val="00883C41"/>
    <w:rsid w:val="00883CF8"/>
    <w:rsid w:val="00883D4A"/>
    <w:rsid w:val="00883DC5"/>
    <w:rsid w:val="00883DE6"/>
    <w:rsid w:val="00883DF4"/>
    <w:rsid w:val="00883E8C"/>
    <w:rsid w:val="00883EAA"/>
    <w:rsid w:val="00883FC1"/>
    <w:rsid w:val="00883FFD"/>
    <w:rsid w:val="0088416E"/>
    <w:rsid w:val="00884243"/>
    <w:rsid w:val="0088442E"/>
    <w:rsid w:val="00884521"/>
    <w:rsid w:val="00884619"/>
    <w:rsid w:val="0088462E"/>
    <w:rsid w:val="00884669"/>
    <w:rsid w:val="008846F2"/>
    <w:rsid w:val="008846F3"/>
    <w:rsid w:val="00884756"/>
    <w:rsid w:val="008847EF"/>
    <w:rsid w:val="00884825"/>
    <w:rsid w:val="00884856"/>
    <w:rsid w:val="00884883"/>
    <w:rsid w:val="008848F3"/>
    <w:rsid w:val="008849BD"/>
    <w:rsid w:val="00884A37"/>
    <w:rsid w:val="00884AD1"/>
    <w:rsid w:val="00884B4A"/>
    <w:rsid w:val="00884BB9"/>
    <w:rsid w:val="00884C0E"/>
    <w:rsid w:val="00884D62"/>
    <w:rsid w:val="00884DDF"/>
    <w:rsid w:val="00884F04"/>
    <w:rsid w:val="00884F30"/>
    <w:rsid w:val="00884F4C"/>
    <w:rsid w:val="00884F5A"/>
    <w:rsid w:val="008850A0"/>
    <w:rsid w:val="008853D2"/>
    <w:rsid w:val="008853FD"/>
    <w:rsid w:val="0088545D"/>
    <w:rsid w:val="0088548B"/>
    <w:rsid w:val="008854A0"/>
    <w:rsid w:val="008855C8"/>
    <w:rsid w:val="008855CE"/>
    <w:rsid w:val="0088564A"/>
    <w:rsid w:val="0088569A"/>
    <w:rsid w:val="008856DE"/>
    <w:rsid w:val="00885719"/>
    <w:rsid w:val="0088571D"/>
    <w:rsid w:val="008857E6"/>
    <w:rsid w:val="00885900"/>
    <w:rsid w:val="0088591C"/>
    <w:rsid w:val="0088591F"/>
    <w:rsid w:val="008859B8"/>
    <w:rsid w:val="00885A2D"/>
    <w:rsid w:val="00885A57"/>
    <w:rsid w:val="00885AF0"/>
    <w:rsid w:val="00885B95"/>
    <w:rsid w:val="00885BC8"/>
    <w:rsid w:val="00885BD9"/>
    <w:rsid w:val="00885C22"/>
    <w:rsid w:val="00885D19"/>
    <w:rsid w:val="00885E3E"/>
    <w:rsid w:val="00885E76"/>
    <w:rsid w:val="00885F0C"/>
    <w:rsid w:val="00885F2A"/>
    <w:rsid w:val="00885F5D"/>
    <w:rsid w:val="00885F88"/>
    <w:rsid w:val="00885F8E"/>
    <w:rsid w:val="00885FD6"/>
    <w:rsid w:val="0088602C"/>
    <w:rsid w:val="00886097"/>
    <w:rsid w:val="008860A9"/>
    <w:rsid w:val="008860AD"/>
    <w:rsid w:val="008860F0"/>
    <w:rsid w:val="0088612F"/>
    <w:rsid w:val="0088613A"/>
    <w:rsid w:val="0088613F"/>
    <w:rsid w:val="008861C1"/>
    <w:rsid w:val="00886211"/>
    <w:rsid w:val="00886228"/>
    <w:rsid w:val="00886245"/>
    <w:rsid w:val="008862AD"/>
    <w:rsid w:val="008862DB"/>
    <w:rsid w:val="008862F2"/>
    <w:rsid w:val="008863D1"/>
    <w:rsid w:val="00886414"/>
    <w:rsid w:val="00886474"/>
    <w:rsid w:val="00886492"/>
    <w:rsid w:val="0088658E"/>
    <w:rsid w:val="008867B4"/>
    <w:rsid w:val="008867C3"/>
    <w:rsid w:val="008867C6"/>
    <w:rsid w:val="00886885"/>
    <w:rsid w:val="0088688A"/>
    <w:rsid w:val="00886944"/>
    <w:rsid w:val="00886A8F"/>
    <w:rsid w:val="00886AE7"/>
    <w:rsid w:val="00886C54"/>
    <w:rsid w:val="00886CE7"/>
    <w:rsid w:val="00886D4B"/>
    <w:rsid w:val="00886D8D"/>
    <w:rsid w:val="00886D9B"/>
    <w:rsid w:val="00886DB8"/>
    <w:rsid w:val="00886E0B"/>
    <w:rsid w:val="00886E5D"/>
    <w:rsid w:val="00886E98"/>
    <w:rsid w:val="00886EC7"/>
    <w:rsid w:val="00886F1F"/>
    <w:rsid w:val="00886F74"/>
    <w:rsid w:val="00886F91"/>
    <w:rsid w:val="00886FD8"/>
    <w:rsid w:val="008871BD"/>
    <w:rsid w:val="00887388"/>
    <w:rsid w:val="008873AC"/>
    <w:rsid w:val="008873C5"/>
    <w:rsid w:val="008873C9"/>
    <w:rsid w:val="00887582"/>
    <w:rsid w:val="00887591"/>
    <w:rsid w:val="00887661"/>
    <w:rsid w:val="0088771E"/>
    <w:rsid w:val="00887806"/>
    <w:rsid w:val="008878CB"/>
    <w:rsid w:val="00887970"/>
    <w:rsid w:val="008879F6"/>
    <w:rsid w:val="00887B25"/>
    <w:rsid w:val="00887B4C"/>
    <w:rsid w:val="00887BF6"/>
    <w:rsid w:val="00887C75"/>
    <w:rsid w:val="00887C8F"/>
    <w:rsid w:val="00887CCE"/>
    <w:rsid w:val="00887D5D"/>
    <w:rsid w:val="00887DF3"/>
    <w:rsid w:val="00887E08"/>
    <w:rsid w:val="00887E84"/>
    <w:rsid w:val="00887ED2"/>
    <w:rsid w:val="00887EE7"/>
    <w:rsid w:val="00887F02"/>
    <w:rsid w:val="00887FA3"/>
    <w:rsid w:val="00887FC6"/>
    <w:rsid w:val="008900ED"/>
    <w:rsid w:val="00890171"/>
    <w:rsid w:val="008902E7"/>
    <w:rsid w:val="0089031A"/>
    <w:rsid w:val="008903E9"/>
    <w:rsid w:val="00890409"/>
    <w:rsid w:val="008904D0"/>
    <w:rsid w:val="008904FF"/>
    <w:rsid w:val="0089052A"/>
    <w:rsid w:val="00890547"/>
    <w:rsid w:val="00890563"/>
    <w:rsid w:val="00890752"/>
    <w:rsid w:val="0089078D"/>
    <w:rsid w:val="008908C5"/>
    <w:rsid w:val="0089096D"/>
    <w:rsid w:val="00890989"/>
    <w:rsid w:val="008909AF"/>
    <w:rsid w:val="00890A3E"/>
    <w:rsid w:val="00890A40"/>
    <w:rsid w:val="00890AD9"/>
    <w:rsid w:val="00890AE2"/>
    <w:rsid w:val="00890AF7"/>
    <w:rsid w:val="00890B81"/>
    <w:rsid w:val="00890C4C"/>
    <w:rsid w:val="00890CAC"/>
    <w:rsid w:val="00890CEB"/>
    <w:rsid w:val="00890D75"/>
    <w:rsid w:val="00890DB4"/>
    <w:rsid w:val="00890DDE"/>
    <w:rsid w:val="00890DF7"/>
    <w:rsid w:val="00890E56"/>
    <w:rsid w:val="00890ED3"/>
    <w:rsid w:val="00890F5B"/>
    <w:rsid w:val="00890F60"/>
    <w:rsid w:val="00890FDB"/>
    <w:rsid w:val="00890FED"/>
    <w:rsid w:val="00891026"/>
    <w:rsid w:val="00891108"/>
    <w:rsid w:val="0089113E"/>
    <w:rsid w:val="0089119D"/>
    <w:rsid w:val="00891200"/>
    <w:rsid w:val="00891276"/>
    <w:rsid w:val="00891326"/>
    <w:rsid w:val="0089134E"/>
    <w:rsid w:val="0089144D"/>
    <w:rsid w:val="0089150B"/>
    <w:rsid w:val="0089154D"/>
    <w:rsid w:val="0089156A"/>
    <w:rsid w:val="00891594"/>
    <w:rsid w:val="00891662"/>
    <w:rsid w:val="0089169B"/>
    <w:rsid w:val="00891705"/>
    <w:rsid w:val="0089174B"/>
    <w:rsid w:val="008917F8"/>
    <w:rsid w:val="0089180E"/>
    <w:rsid w:val="00891840"/>
    <w:rsid w:val="00891880"/>
    <w:rsid w:val="00891895"/>
    <w:rsid w:val="008918F8"/>
    <w:rsid w:val="00891932"/>
    <w:rsid w:val="00891A00"/>
    <w:rsid w:val="00891A91"/>
    <w:rsid w:val="00891ABF"/>
    <w:rsid w:val="00891AD1"/>
    <w:rsid w:val="00891AD6"/>
    <w:rsid w:val="00891B45"/>
    <w:rsid w:val="00891B56"/>
    <w:rsid w:val="00891B5F"/>
    <w:rsid w:val="00891B68"/>
    <w:rsid w:val="00891BA6"/>
    <w:rsid w:val="00891C13"/>
    <w:rsid w:val="00891CD3"/>
    <w:rsid w:val="00891CD4"/>
    <w:rsid w:val="00891D60"/>
    <w:rsid w:val="00891DEF"/>
    <w:rsid w:val="00891DFC"/>
    <w:rsid w:val="00891EF6"/>
    <w:rsid w:val="00891EF7"/>
    <w:rsid w:val="00891F41"/>
    <w:rsid w:val="00891F6F"/>
    <w:rsid w:val="00891F7C"/>
    <w:rsid w:val="00891F7E"/>
    <w:rsid w:val="00891F8F"/>
    <w:rsid w:val="00891FFE"/>
    <w:rsid w:val="00892057"/>
    <w:rsid w:val="0089205D"/>
    <w:rsid w:val="0089209D"/>
    <w:rsid w:val="008920A7"/>
    <w:rsid w:val="008920DC"/>
    <w:rsid w:val="00892134"/>
    <w:rsid w:val="00892139"/>
    <w:rsid w:val="008921B8"/>
    <w:rsid w:val="00892252"/>
    <w:rsid w:val="008922DD"/>
    <w:rsid w:val="00892387"/>
    <w:rsid w:val="008923E3"/>
    <w:rsid w:val="008924D4"/>
    <w:rsid w:val="008924DD"/>
    <w:rsid w:val="0089252A"/>
    <w:rsid w:val="00892556"/>
    <w:rsid w:val="0089256C"/>
    <w:rsid w:val="00892661"/>
    <w:rsid w:val="00892662"/>
    <w:rsid w:val="008926D3"/>
    <w:rsid w:val="00892707"/>
    <w:rsid w:val="00892733"/>
    <w:rsid w:val="00892788"/>
    <w:rsid w:val="008927E4"/>
    <w:rsid w:val="0089282C"/>
    <w:rsid w:val="0089291C"/>
    <w:rsid w:val="00892932"/>
    <w:rsid w:val="0089294C"/>
    <w:rsid w:val="0089295E"/>
    <w:rsid w:val="008929B7"/>
    <w:rsid w:val="00892BF7"/>
    <w:rsid w:val="00892C72"/>
    <w:rsid w:val="00892D68"/>
    <w:rsid w:val="00892DA8"/>
    <w:rsid w:val="00892DCD"/>
    <w:rsid w:val="00892F12"/>
    <w:rsid w:val="00892FB9"/>
    <w:rsid w:val="00893009"/>
    <w:rsid w:val="00893023"/>
    <w:rsid w:val="00893108"/>
    <w:rsid w:val="00893127"/>
    <w:rsid w:val="00893200"/>
    <w:rsid w:val="0089327D"/>
    <w:rsid w:val="008932BC"/>
    <w:rsid w:val="0089333C"/>
    <w:rsid w:val="00893430"/>
    <w:rsid w:val="008934EC"/>
    <w:rsid w:val="00893511"/>
    <w:rsid w:val="00893583"/>
    <w:rsid w:val="00893695"/>
    <w:rsid w:val="008936AD"/>
    <w:rsid w:val="00893739"/>
    <w:rsid w:val="00893745"/>
    <w:rsid w:val="00893797"/>
    <w:rsid w:val="0089382B"/>
    <w:rsid w:val="00893844"/>
    <w:rsid w:val="00893857"/>
    <w:rsid w:val="008938C2"/>
    <w:rsid w:val="008938C9"/>
    <w:rsid w:val="00893909"/>
    <w:rsid w:val="008939A4"/>
    <w:rsid w:val="00893A2C"/>
    <w:rsid w:val="00893AFA"/>
    <w:rsid w:val="00893B48"/>
    <w:rsid w:val="00893B54"/>
    <w:rsid w:val="00893BED"/>
    <w:rsid w:val="00893C36"/>
    <w:rsid w:val="00893C4F"/>
    <w:rsid w:val="00893CA7"/>
    <w:rsid w:val="00893E0F"/>
    <w:rsid w:val="00893E70"/>
    <w:rsid w:val="00893E99"/>
    <w:rsid w:val="00893EC6"/>
    <w:rsid w:val="00893FE2"/>
    <w:rsid w:val="00893FE9"/>
    <w:rsid w:val="0089400C"/>
    <w:rsid w:val="0089405F"/>
    <w:rsid w:val="008940D8"/>
    <w:rsid w:val="0089412A"/>
    <w:rsid w:val="0089417E"/>
    <w:rsid w:val="00894286"/>
    <w:rsid w:val="008944FC"/>
    <w:rsid w:val="00894507"/>
    <w:rsid w:val="00894599"/>
    <w:rsid w:val="00894614"/>
    <w:rsid w:val="0089471E"/>
    <w:rsid w:val="00894779"/>
    <w:rsid w:val="008947CE"/>
    <w:rsid w:val="008947DE"/>
    <w:rsid w:val="008948D5"/>
    <w:rsid w:val="00894959"/>
    <w:rsid w:val="008949B8"/>
    <w:rsid w:val="008949E1"/>
    <w:rsid w:val="00894ABE"/>
    <w:rsid w:val="00894AEE"/>
    <w:rsid w:val="00894C10"/>
    <w:rsid w:val="00894CB3"/>
    <w:rsid w:val="00894D77"/>
    <w:rsid w:val="00894DA9"/>
    <w:rsid w:val="00894DC9"/>
    <w:rsid w:val="0089509B"/>
    <w:rsid w:val="00895123"/>
    <w:rsid w:val="00895135"/>
    <w:rsid w:val="00895137"/>
    <w:rsid w:val="008951C6"/>
    <w:rsid w:val="00895243"/>
    <w:rsid w:val="0089528E"/>
    <w:rsid w:val="0089529C"/>
    <w:rsid w:val="008953A8"/>
    <w:rsid w:val="008953BE"/>
    <w:rsid w:val="008953C7"/>
    <w:rsid w:val="008953DE"/>
    <w:rsid w:val="00895405"/>
    <w:rsid w:val="00895457"/>
    <w:rsid w:val="0089546F"/>
    <w:rsid w:val="00895495"/>
    <w:rsid w:val="008954EB"/>
    <w:rsid w:val="00895516"/>
    <w:rsid w:val="008955D8"/>
    <w:rsid w:val="00895758"/>
    <w:rsid w:val="0089577D"/>
    <w:rsid w:val="0089583B"/>
    <w:rsid w:val="008958FE"/>
    <w:rsid w:val="00895906"/>
    <w:rsid w:val="00895B47"/>
    <w:rsid w:val="00895DB3"/>
    <w:rsid w:val="00895DD7"/>
    <w:rsid w:val="00895E86"/>
    <w:rsid w:val="00895E9F"/>
    <w:rsid w:val="00895EC3"/>
    <w:rsid w:val="00895F9F"/>
    <w:rsid w:val="00895FD4"/>
    <w:rsid w:val="00895FE5"/>
    <w:rsid w:val="00896072"/>
    <w:rsid w:val="0089611B"/>
    <w:rsid w:val="008961A7"/>
    <w:rsid w:val="008961C6"/>
    <w:rsid w:val="00896245"/>
    <w:rsid w:val="008963F5"/>
    <w:rsid w:val="0089641B"/>
    <w:rsid w:val="00896560"/>
    <w:rsid w:val="0089663B"/>
    <w:rsid w:val="008966D6"/>
    <w:rsid w:val="008966FE"/>
    <w:rsid w:val="008967AF"/>
    <w:rsid w:val="008967BA"/>
    <w:rsid w:val="00896801"/>
    <w:rsid w:val="008968A2"/>
    <w:rsid w:val="0089693B"/>
    <w:rsid w:val="00896964"/>
    <w:rsid w:val="00896A13"/>
    <w:rsid w:val="00896A15"/>
    <w:rsid w:val="00896A25"/>
    <w:rsid w:val="00896A62"/>
    <w:rsid w:val="00896A9B"/>
    <w:rsid w:val="00896C18"/>
    <w:rsid w:val="00896CBF"/>
    <w:rsid w:val="00896D58"/>
    <w:rsid w:val="00896EB3"/>
    <w:rsid w:val="00896F04"/>
    <w:rsid w:val="00896F2A"/>
    <w:rsid w:val="00896FEE"/>
    <w:rsid w:val="0089700E"/>
    <w:rsid w:val="008970B4"/>
    <w:rsid w:val="008970BF"/>
    <w:rsid w:val="00897116"/>
    <w:rsid w:val="008971A3"/>
    <w:rsid w:val="008971AA"/>
    <w:rsid w:val="0089722C"/>
    <w:rsid w:val="008972E6"/>
    <w:rsid w:val="008972EF"/>
    <w:rsid w:val="00897375"/>
    <w:rsid w:val="008973C3"/>
    <w:rsid w:val="0089741B"/>
    <w:rsid w:val="0089743C"/>
    <w:rsid w:val="0089747A"/>
    <w:rsid w:val="008974AF"/>
    <w:rsid w:val="0089753A"/>
    <w:rsid w:val="0089754B"/>
    <w:rsid w:val="00897701"/>
    <w:rsid w:val="008977C1"/>
    <w:rsid w:val="0089783D"/>
    <w:rsid w:val="00897897"/>
    <w:rsid w:val="008978BE"/>
    <w:rsid w:val="0089797D"/>
    <w:rsid w:val="008979C5"/>
    <w:rsid w:val="00897A14"/>
    <w:rsid w:val="00897A37"/>
    <w:rsid w:val="00897A40"/>
    <w:rsid w:val="00897A92"/>
    <w:rsid w:val="00897B73"/>
    <w:rsid w:val="00897B92"/>
    <w:rsid w:val="00897C27"/>
    <w:rsid w:val="00897CCF"/>
    <w:rsid w:val="00897CF7"/>
    <w:rsid w:val="00897D42"/>
    <w:rsid w:val="00897D77"/>
    <w:rsid w:val="00897D7E"/>
    <w:rsid w:val="00897D81"/>
    <w:rsid w:val="00897EA8"/>
    <w:rsid w:val="00897F8A"/>
    <w:rsid w:val="00897FA0"/>
    <w:rsid w:val="008A00FB"/>
    <w:rsid w:val="008A0130"/>
    <w:rsid w:val="008A0165"/>
    <w:rsid w:val="008A01B0"/>
    <w:rsid w:val="008A021A"/>
    <w:rsid w:val="008A0331"/>
    <w:rsid w:val="008A045B"/>
    <w:rsid w:val="008A04B7"/>
    <w:rsid w:val="008A05AE"/>
    <w:rsid w:val="008A05FB"/>
    <w:rsid w:val="008A0671"/>
    <w:rsid w:val="008A0784"/>
    <w:rsid w:val="008A07E0"/>
    <w:rsid w:val="008A0871"/>
    <w:rsid w:val="008A08CB"/>
    <w:rsid w:val="008A09B9"/>
    <w:rsid w:val="008A09DD"/>
    <w:rsid w:val="008A0ADF"/>
    <w:rsid w:val="008A0B7A"/>
    <w:rsid w:val="008A0B8E"/>
    <w:rsid w:val="008A0BA4"/>
    <w:rsid w:val="008A0C4E"/>
    <w:rsid w:val="008A0C90"/>
    <w:rsid w:val="008A0CE6"/>
    <w:rsid w:val="008A0DA0"/>
    <w:rsid w:val="008A0E58"/>
    <w:rsid w:val="008A0E95"/>
    <w:rsid w:val="008A0F31"/>
    <w:rsid w:val="008A0F6B"/>
    <w:rsid w:val="008A102C"/>
    <w:rsid w:val="008A1132"/>
    <w:rsid w:val="008A1218"/>
    <w:rsid w:val="008A128E"/>
    <w:rsid w:val="008A1298"/>
    <w:rsid w:val="008A1344"/>
    <w:rsid w:val="008A1386"/>
    <w:rsid w:val="008A13A5"/>
    <w:rsid w:val="008A1558"/>
    <w:rsid w:val="008A15C9"/>
    <w:rsid w:val="008A1641"/>
    <w:rsid w:val="008A1768"/>
    <w:rsid w:val="008A177A"/>
    <w:rsid w:val="008A1786"/>
    <w:rsid w:val="008A17A5"/>
    <w:rsid w:val="008A180E"/>
    <w:rsid w:val="008A18A3"/>
    <w:rsid w:val="008A196B"/>
    <w:rsid w:val="008A19A9"/>
    <w:rsid w:val="008A19AE"/>
    <w:rsid w:val="008A1A8B"/>
    <w:rsid w:val="008A1AA9"/>
    <w:rsid w:val="008A1AC1"/>
    <w:rsid w:val="008A1ACE"/>
    <w:rsid w:val="008A1BD6"/>
    <w:rsid w:val="008A1BEA"/>
    <w:rsid w:val="008A1C84"/>
    <w:rsid w:val="008A1E8C"/>
    <w:rsid w:val="008A1EE0"/>
    <w:rsid w:val="008A1EEF"/>
    <w:rsid w:val="008A1F1E"/>
    <w:rsid w:val="008A1FB8"/>
    <w:rsid w:val="008A1FE1"/>
    <w:rsid w:val="008A205D"/>
    <w:rsid w:val="008A20AE"/>
    <w:rsid w:val="008A20C3"/>
    <w:rsid w:val="008A20DC"/>
    <w:rsid w:val="008A2106"/>
    <w:rsid w:val="008A21AE"/>
    <w:rsid w:val="008A2216"/>
    <w:rsid w:val="008A225C"/>
    <w:rsid w:val="008A238A"/>
    <w:rsid w:val="008A23B6"/>
    <w:rsid w:val="008A245A"/>
    <w:rsid w:val="008A2524"/>
    <w:rsid w:val="008A2614"/>
    <w:rsid w:val="008A2672"/>
    <w:rsid w:val="008A2679"/>
    <w:rsid w:val="008A2689"/>
    <w:rsid w:val="008A2699"/>
    <w:rsid w:val="008A26CD"/>
    <w:rsid w:val="008A26EA"/>
    <w:rsid w:val="008A2773"/>
    <w:rsid w:val="008A2778"/>
    <w:rsid w:val="008A27ED"/>
    <w:rsid w:val="008A2826"/>
    <w:rsid w:val="008A2899"/>
    <w:rsid w:val="008A289A"/>
    <w:rsid w:val="008A293F"/>
    <w:rsid w:val="008A29FC"/>
    <w:rsid w:val="008A2A5C"/>
    <w:rsid w:val="008A2ABA"/>
    <w:rsid w:val="008A2D29"/>
    <w:rsid w:val="008A2D32"/>
    <w:rsid w:val="008A2DFD"/>
    <w:rsid w:val="008A2E14"/>
    <w:rsid w:val="008A2E1F"/>
    <w:rsid w:val="008A2E23"/>
    <w:rsid w:val="008A2E84"/>
    <w:rsid w:val="008A2F68"/>
    <w:rsid w:val="008A2F91"/>
    <w:rsid w:val="008A2FB2"/>
    <w:rsid w:val="008A2FC6"/>
    <w:rsid w:val="008A30E1"/>
    <w:rsid w:val="008A3150"/>
    <w:rsid w:val="008A32B4"/>
    <w:rsid w:val="008A337C"/>
    <w:rsid w:val="008A343A"/>
    <w:rsid w:val="008A35B2"/>
    <w:rsid w:val="008A35E7"/>
    <w:rsid w:val="008A360B"/>
    <w:rsid w:val="008A367E"/>
    <w:rsid w:val="008A37B6"/>
    <w:rsid w:val="008A3807"/>
    <w:rsid w:val="008A38A9"/>
    <w:rsid w:val="008A38C6"/>
    <w:rsid w:val="008A397E"/>
    <w:rsid w:val="008A3BE6"/>
    <w:rsid w:val="008A3CD0"/>
    <w:rsid w:val="008A3D3D"/>
    <w:rsid w:val="008A3D9C"/>
    <w:rsid w:val="008A3E1C"/>
    <w:rsid w:val="008A3E6F"/>
    <w:rsid w:val="008A3F73"/>
    <w:rsid w:val="008A4018"/>
    <w:rsid w:val="008A4065"/>
    <w:rsid w:val="008A4143"/>
    <w:rsid w:val="008A4178"/>
    <w:rsid w:val="008A41F2"/>
    <w:rsid w:val="008A4246"/>
    <w:rsid w:val="008A430B"/>
    <w:rsid w:val="008A43D1"/>
    <w:rsid w:val="008A444C"/>
    <w:rsid w:val="008A44E1"/>
    <w:rsid w:val="008A45F8"/>
    <w:rsid w:val="008A4620"/>
    <w:rsid w:val="008A468E"/>
    <w:rsid w:val="008A46FB"/>
    <w:rsid w:val="008A4939"/>
    <w:rsid w:val="008A49B2"/>
    <w:rsid w:val="008A49F4"/>
    <w:rsid w:val="008A4A32"/>
    <w:rsid w:val="008A4AC4"/>
    <w:rsid w:val="008A4ADB"/>
    <w:rsid w:val="008A4AE8"/>
    <w:rsid w:val="008A4B0E"/>
    <w:rsid w:val="008A4C8C"/>
    <w:rsid w:val="008A4C9C"/>
    <w:rsid w:val="008A4D06"/>
    <w:rsid w:val="008A4DE0"/>
    <w:rsid w:val="008A4E68"/>
    <w:rsid w:val="008A4EF8"/>
    <w:rsid w:val="008A4EFC"/>
    <w:rsid w:val="008A4FAA"/>
    <w:rsid w:val="008A5017"/>
    <w:rsid w:val="008A5171"/>
    <w:rsid w:val="008A5237"/>
    <w:rsid w:val="008A5259"/>
    <w:rsid w:val="008A533B"/>
    <w:rsid w:val="008A534F"/>
    <w:rsid w:val="008A535F"/>
    <w:rsid w:val="008A5364"/>
    <w:rsid w:val="008A5389"/>
    <w:rsid w:val="008A53F9"/>
    <w:rsid w:val="008A5524"/>
    <w:rsid w:val="008A55AC"/>
    <w:rsid w:val="008A5607"/>
    <w:rsid w:val="008A5650"/>
    <w:rsid w:val="008A5666"/>
    <w:rsid w:val="008A566A"/>
    <w:rsid w:val="008A5694"/>
    <w:rsid w:val="008A569C"/>
    <w:rsid w:val="008A5734"/>
    <w:rsid w:val="008A57CF"/>
    <w:rsid w:val="008A5820"/>
    <w:rsid w:val="008A5831"/>
    <w:rsid w:val="008A593D"/>
    <w:rsid w:val="008A59E0"/>
    <w:rsid w:val="008A5A0D"/>
    <w:rsid w:val="008A5A6D"/>
    <w:rsid w:val="008A5A6F"/>
    <w:rsid w:val="008A5A70"/>
    <w:rsid w:val="008A5AAE"/>
    <w:rsid w:val="008A5AB4"/>
    <w:rsid w:val="008A5B58"/>
    <w:rsid w:val="008A5B8B"/>
    <w:rsid w:val="008A5B95"/>
    <w:rsid w:val="008A5BB7"/>
    <w:rsid w:val="008A5BB8"/>
    <w:rsid w:val="008A5C54"/>
    <w:rsid w:val="008A5E9A"/>
    <w:rsid w:val="008A5ED3"/>
    <w:rsid w:val="008A5F67"/>
    <w:rsid w:val="008A5FAF"/>
    <w:rsid w:val="008A6008"/>
    <w:rsid w:val="008A6062"/>
    <w:rsid w:val="008A60B2"/>
    <w:rsid w:val="008A6142"/>
    <w:rsid w:val="008A617D"/>
    <w:rsid w:val="008A6277"/>
    <w:rsid w:val="008A62D8"/>
    <w:rsid w:val="008A630C"/>
    <w:rsid w:val="008A6338"/>
    <w:rsid w:val="008A6432"/>
    <w:rsid w:val="008A649C"/>
    <w:rsid w:val="008A64A9"/>
    <w:rsid w:val="008A66B8"/>
    <w:rsid w:val="008A6744"/>
    <w:rsid w:val="008A67A2"/>
    <w:rsid w:val="008A680B"/>
    <w:rsid w:val="008A6818"/>
    <w:rsid w:val="008A6893"/>
    <w:rsid w:val="008A68AD"/>
    <w:rsid w:val="008A68DB"/>
    <w:rsid w:val="008A6920"/>
    <w:rsid w:val="008A6978"/>
    <w:rsid w:val="008A69C2"/>
    <w:rsid w:val="008A69CC"/>
    <w:rsid w:val="008A69F0"/>
    <w:rsid w:val="008A6ACF"/>
    <w:rsid w:val="008A6AEB"/>
    <w:rsid w:val="008A6B17"/>
    <w:rsid w:val="008A6B30"/>
    <w:rsid w:val="008A6BC8"/>
    <w:rsid w:val="008A6CBD"/>
    <w:rsid w:val="008A6CCD"/>
    <w:rsid w:val="008A6D12"/>
    <w:rsid w:val="008A6D40"/>
    <w:rsid w:val="008A6DE4"/>
    <w:rsid w:val="008A6FF2"/>
    <w:rsid w:val="008A7024"/>
    <w:rsid w:val="008A7080"/>
    <w:rsid w:val="008A7085"/>
    <w:rsid w:val="008A70E9"/>
    <w:rsid w:val="008A711F"/>
    <w:rsid w:val="008A718E"/>
    <w:rsid w:val="008A720E"/>
    <w:rsid w:val="008A7219"/>
    <w:rsid w:val="008A7329"/>
    <w:rsid w:val="008A737A"/>
    <w:rsid w:val="008A737D"/>
    <w:rsid w:val="008A73EA"/>
    <w:rsid w:val="008A74F3"/>
    <w:rsid w:val="008A7505"/>
    <w:rsid w:val="008A7612"/>
    <w:rsid w:val="008A7638"/>
    <w:rsid w:val="008A773A"/>
    <w:rsid w:val="008A7746"/>
    <w:rsid w:val="008A7787"/>
    <w:rsid w:val="008A77A8"/>
    <w:rsid w:val="008A77CD"/>
    <w:rsid w:val="008A77D6"/>
    <w:rsid w:val="008A78E4"/>
    <w:rsid w:val="008A78EB"/>
    <w:rsid w:val="008A7925"/>
    <w:rsid w:val="008A795B"/>
    <w:rsid w:val="008A79B7"/>
    <w:rsid w:val="008A79DA"/>
    <w:rsid w:val="008A7A35"/>
    <w:rsid w:val="008A7A8F"/>
    <w:rsid w:val="008A7AC6"/>
    <w:rsid w:val="008A7ADC"/>
    <w:rsid w:val="008A7B45"/>
    <w:rsid w:val="008A7D81"/>
    <w:rsid w:val="008A7E63"/>
    <w:rsid w:val="008A7EDD"/>
    <w:rsid w:val="008A7FAD"/>
    <w:rsid w:val="008B0078"/>
    <w:rsid w:val="008B007A"/>
    <w:rsid w:val="008B00ED"/>
    <w:rsid w:val="008B0105"/>
    <w:rsid w:val="008B021E"/>
    <w:rsid w:val="008B02EF"/>
    <w:rsid w:val="008B030A"/>
    <w:rsid w:val="008B034E"/>
    <w:rsid w:val="008B0399"/>
    <w:rsid w:val="008B0422"/>
    <w:rsid w:val="008B0443"/>
    <w:rsid w:val="008B0472"/>
    <w:rsid w:val="008B0502"/>
    <w:rsid w:val="008B056A"/>
    <w:rsid w:val="008B0587"/>
    <w:rsid w:val="008B05F7"/>
    <w:rsid w:val="008B0628"/>
    <w:rsid w:val="008B0647"/>
    <w:rsid w:val="008B06FE"/>
    <w:rsid w:val="008B0815"/>
    <w:rsid w:val="008B0851"/>
    <w:rsid w:val="008B08D2"/>
    <w:rsid w:val="008B08FF"/>
    <w:rsid w:val="008B09B5"/>
    <w:rsid w:val="008B0A5D"/>
    <w:rsid w:val="008B0A6F"/>
    <w:rsid w:val="008B0A81"/>
    <w:rsid w:val="008B0B50"/>
    <w:rsid w:val="008B0BDB"/>
    <w:rsid w:val="008B0C76"/>
    <w:rsid w:val="008B0D2E"/>
    <w:rsid w:val="008B0D2F"/>
    <w:rsid w:val="008B0E5F"/>
    <w:rsid w:val="008B0EA0"/>
    <w:rsid w:val="008B0EC1"/>
    <w:rsid w:val="008B0F0F"/>
    <w:rsid w:val="008B1073"/>
    <w:rsid w:val="008B114E"/>
    <w:rsid w:val="008B11E0"/>
    <w:rsid w:val="008B11E2"/>
    <w:rsid w:val="008B134D"/>
    <w:rsid w:val="008B144E"/>
    <w:rsid w:val="008B146D"/>
    <w:rsid w:val="008B149C"/>
    <w:rsid w:val="008B14C6"/>
    <w:rsid w:val="008B1548"/>
    <w:rsid w:val="008B168D"/>
    <w:rsid w:val="008B173C"/>
    <w:rsid w:val="008B1797"/>
    <w:rsid w:val="008B1813"/>
    <w:rsid w:val="008B18AF"/>
    <w:rsid w:val="008B18B5"/>
    <w:rsid w:val="008B192F"/>
    <w:rsid w:val="008B195A"/>
    <w:rsid w:val="008B1968"/>
    <w:rsid w:val="008B19E9"/>
    <w:rsid w:val="008B19FF"/>
    <w:rsid w:val="008B1AC2"/>
    <w:rsid w:val="008B1AE7"/>
    <w:rsid w:val="008B1B8A"/>
    <w:rsid w:val="008B1BD2"/>
    <w:rsid w:val="008B1C7B"/>
    <w:rsid w:val="008B1CEC"/>
    <w:rsid w:val="008B1CF3"/>
    <w:rsid w:val="008B1E2B"/>
    <w:rsid w:val="008B1E56"/>
    <w:rsid w:val="008B1E5C"/>
    <w:rsid w:val="008B1E72"/>
    <w:rsid w:val="008B1E93"/>
    <w:rsid w:val="008B1EBB"/>
    <w:rsid w:val="008B1F53"/>
    <w:rsid w:val="008B1F5D"/>
    <w:rsid w:val="008B1F92"/>
    <w:rsid w:val="008B1FD7"/>
    <w:rsid w:val="008B207B"/>
    <w:rsid w:val="008B207C"/>
    <w:rsid w:val="008B2094"/>
    <w:rsid w:val="008B212A"/>
    <w:rsid w:val="008B22DC"/>
    <w:rsid w:val="008B2333"/>
    <w:rsid w:val="008B23E4"/>
    <w:rsid w:val="008B2410"/>
    <w:rsid w:val="008B2471"/>
    <w:rsid w:val="008B251A"/>
    <w:rsid w:val="008B2597"/>
    <w:rsid w:val="008B266C"/>
    <w:rsid w:val="008B26A6"/>
    <w:rsid w:val="008B2776"/>
    <w:rsid w:val="008B2815"/>
    <w:rsid w:val="008B283E"/>
    <w:rsid w:val="008B28B3"/>
    <w:rsid w:val="008B29E3"/>
    <w:rsid w:val="008B2A07"/>
    <w:rsid w:val="008B2AAC"/>
    <w:rsid w:val="008B2B4D"/>
    <w:rsid w:val="008B2BA4"/>
    <w:rsid w:val="008B2C16"/>
    <w:rsid w:val="008B2C7D"/>
    <w:rsid w:val="008B2C7E"/>
    <w:rsid w:val="008B2D07"/>
    <w:rsid w:val="008B2D58"/>
    <w:rsid w:val="008B2E86"/>
    <w:rsid w:val="008B2F34"/>
    <w:rsid w:val="008B2F49"/>
    <w:rsid w:val="008B2FBC"/>
    <w:rsid w:val="008B2FCB"/>
    <w:rsid w:val="008B308A"/>
    <w:rsid w:val="008B31A2"/>
    <w:rsid w:val="008B3211"/>
    <w:rsid w:val="008B327D"/>
    <w:rsid w:val="008B332D"/>
    <w:rsid w:val="008B338D"/>
    <w:rsid w:val="008B343A"/>
    <w:rsid w:val="008B3452"/>
    <w:rsid w:val="008B346C"/>
    <w:rsid w:val="008B3524"/>
    <w:rsid w:val="008B353A"/>
    <w:rsid w:val="008B3599"/>
    <w:rsid w:val="008B35AC"/>
    <w:rsid w:val="008B3631"/>
    <w:rsid w:val="008B364F"/>
    <w:rsid w:val="008B38B4"/>
    <w:rsid w:val="008B3909"/>
    <w:rsid w:val="008B395D"/>
    <w:rsid w:val="008B3969"/>
    <w:rsid w:val="008B398D"/>
    <w:rsid w:val="008B39BD"/>
    <w:rsid w:val="008B39FE"/>
    <w:rsid w:val="008B3A28"/>
    <w:rsid w:val="008B3A58"/>
    <w:rsid w:val="008B3A8E"/>
    <w:rsid w:val="008B3AA1"/>
    <w:rsid w:val="008B3AAA"/>
    <w:rsid w:val="008B3C62"/>
    <w:rsid w:val="008B3C79"/>
    <w:rsid w:val="008B3C83"/>
    <w:rsid w:val="008B3CD6"/>
    <w:rsid w:val="008B3D5D"/>
    <w:rsid w:val="008B3D74"/>
    <w:rsid w:val="008B3FCE"/>
    <w:rsid w:val="008B4026"/>
    <w:rsid w:val="008B405C"/>
    <w:rsid w:val="008B40F3"/>
    <w:rsid w:val="008B418A"/>
    <w:rsid w:val="008B429B"/>
    <w:rsid w:val="008B42D0"/>
    <w:rsid w:val="008B4327"/>
    <w:rsid w:val="008B437F"/>
    <w:rsid w:val="008B43A6"/>
    <w:rsid w:val="008B43F8"/>
    <w:rsid w:val="008B4425"/>
    <w:rsid w:val="008B445F"/>
    <w:rsid w:val="008B44F9"/>
    <w:rsid w:val="008B45D4"/>
    <w:rsid w:val="008B46C5"/>
    <w:rsid w:val="008B4754"/>
    <w:rsid w:val="008B4764"/>
    <w:rsid w:val="008B4809"/>
    <w:rsid w:val="008B4832"/>
    <w:rsid w:val="008B486E"/>
    <w:rsid w:val="008B48A3"/>
    <w:rsid w:val="008B48AF"/>
    <w:rsid w:val="008B4A36"/>
    <w:rsid w:val="008B4A4B"/>
    <w:rsid w:val="008B4A97"/>
    <w:rsid w:val="008B4A9B"/>
    <w:rsid w:val="008B4AB1"/>
    <w:rsid w:val="008B4AC2"/>
    <w:rsid w:val="008B4AF4"/>
    <w:rsid w:val="008B4B4A"/>
    <w:rsid w:val="008B4B8E"/>
    <w:rsid w:val="008B4BB3"/>
    <w:rsid w:val="008B4C1F"/>
    <w:rsid w:val="008B4C2F"/>
    <w:rsid w:val="008B4C5E"/>
    <w:rsid w:val="008B4CD2"/>
    <w:rsid w:val="008B4CF0"/>
    <w:rsid w:val="008B4D1E"/>
    <w:rsid w:val="008B4D65"/>
    <w:rsid w:val="008B4DBC"/>
    <w:rsid w:val="008B4E43"/>
    <w:rsid w:val="008B4F2F"/>
    <w:rsid w:val="008B4F98"/>
    <w:rsid w:val="008B518A"/>
    <w:rsid w:val="008B5307"/>
    <w:rsid w:val="008B53A5"/>
    <w:rsid w:val="008B543C"/>
    <w:rsid w:val="008B549C"/>
    <w:rsid w:val="008B54E3"/>
    <w:rsid w:val="008B54F4"/>
    <w:rsid w:val="008B563C"/>
    <w:rsid w:val="008B5654"/>
    <w:rsid w:val="008B578E"/>
    <w:rsid w:val="008B57D6"/>
    <w:rsid w:val="008B57E7"/>
    <w:rsid w:val="008B5841"/>
    <w:rsid w:val="008B5860"/>
    <w:rsid w:val="008B58BA"/>
    <w:rsid w:val="008B58CD"/>
    <w:rsid w:val="008B58E0"/>
    <w:rsid w:val="008B591D"/>
    <w:rsid w:val="008B5959"/>
    <w:rsid w:val="008B59A3"/>
    <w:rsid w:val="008B5A3C"/>
    <w:rsid w:val="008B5A7F"/>
    <w:rsid w:val="008B5A98"/>
    <w:rsid w:val="008B5B4F"/>
    <w:rsid w:val="008B5B5B"/>
    <w:rsid w:val="008B5C06"/>
    <w:rsid w:val="008B5C27"/>
    <w:rsid w:val="008B5C32"/>
    <w:rsid w:val="008B5C72"/>
    <w:rsid w:val="008B5D28"/>
    <w:rsid w:val="008B5DE5"/>
    <w:rsid w:val="008B5E47"/>
    <w:rsid w:val="008B6026"/>
    <w:rsid w:val="008B6196"/>
    <w:rsid w:val="008B6218"/>
    <w:rsid w:val="008B6280"/>
    <w:rsid w:val="008B634B"/>
    <w:rsid w:val="008B6512"/>
    <w:rsid w:val="008B6532"/>
    <w:rsid w:val="008B6553"/>
    <w:rsid w:val="008B65DA"/>
    <w:rsid w:val="008B66A0"/>
    <w:rsid w:val="008B66C2"/>
    <w:rsid w:val="008B676D"/>
    <w:rsid w:val="008B6794"/>
    <w:rsid w:val="008B67EA"/>
    <w:rsid w:val="008B6823"/>
    <w:rsid w:val="008B68AF"/>
    <w:rsid w:val="008B68F9"/>
    <w:rsid w:val="008B69F3"/>
    <w:rsid w:val="008B6A16"/>
    <w:rsid w:val="008B6A21"/>
    <w:rsid w:val="008B6AB4"/>
    <w:rsid w:val="008B6ACC"/>
    <w:rsid w:val="008B6B21"/>
    <w:rsid w:val="008B6B2F"/>
    <w:rsid w:val="008B6B8D"/>
    <w:rsid w:val="008B6C79"/>
    <w:rsid w:val="008B6D13"/>
    <w:rsid w:val="008B6D92"/>
    <w:rsid w:val="008B6DAF"/>
    <w:rsid w:val="008B6DCE"/>
    <w:rsid w:val="008B6E56"/>
    <w:rsid w:val="008B6E81"/>
    <w:rsid w:val="008B6F9E"/>
    <w:rsid w:val="008B719D"/>
    <w:rsid w:val="008B71BE"/>
    <w:rsid w:val="008B71D9"/>
    <w:rsid w:val="008B71F7"/>
    <w:rsid w:val="008B7203"/>
    <w:rsid w:val="008B7260"/>
    <w:rsid w:val="008B7274"/>
    <w:rsid w:val="008B72FE"/>
    <w:rsid w:val="008B7323"/>
    <w:rsid w:val="008B735A"/>
    <w:rsid w:val="008B7422"/>
    <w:rsid w:val="008B74CA"/>
    <w:rsid w:val="008B754C"/>
    <w:rsid w:val="008B759B"/>
    <w:rsid w:val="008B75F1"/>
    <w:rsid w:val="008B75FE"/>
    <w:rsid w:val="008B765C"/>
    <w:rsid w:val="008B7779"/>
    <w:rsid w:val="008B77F6"/>
    <w:rsid w:val="008B77FB"/>
    <w:rsid w:val="008B781E"/>
    <w:rsid w:val="008B7903"/>
    <w:rsid w:val="008B7913"/>
    <w:rsid w:val="008B7914"/>
    <w:rsid w:val="008B7947"/>
    <w:rsid w:val="008B794B"/>
    <w:rsid w:val="008B7B43"/>
    <w:rsid w:val="008B7B61"/>
    <w:rsid w:val="008B7B7D"/>
    <w:rsid w:val="008B7BC4"/>
    <w:rsid w:val="008B7C7B"/>
    <w:rsid w:val="008B7CF4"/>
    <w:rsid w:val="008B7D38"/>
    <w:rsid w:val="008B7D48"/>
    <w:rsid w:val="008B7DB3"/>
    <w:rsid w:val="008B7EF6"/>
    <w:rsid w:val="008C003A"/>
    <w:rsid w:val="008C004C"/>
    <w:rsid w:val="008C00EF"/>
    <w:rsid w:val="008C0128"/>
    <w:rsid w:val="008C0219"/>
    <w:rsid w:val="008C0362"/>
    <w:rsid w:val="008C044D"/>
    <w:rsid w:val="008C047C"/>
    <w:rsid w:val="008C0485"/>
    <w:rsid w:val="008C051E"/>
    <w:rsid w:val="008C0526"/>
    <w:rsid w:val="008C05F8"/>
    <w:rsid w:val="008C06C7"/>
    <w:rsid w:val="008C06FE"/>
    <w:rsid w:val="008C090F"/>
    <w:rsid w:val="008C099A"/>
    <w:rsid w:val="008C0A2B"/>
    <w:rsid w:val="008C0B4F"/>
    <w:rsid w:val="008C0B61"/>
    <w:rsid w:val="008C0BB7"/>
    <w:rsid w:val="008C0BEA"/>
    <w:rsid w:val="008C0C5A"/>
    <w:rsid w:val="008C0C8A"/>
    <w:rsid w:val="008C0D56"/>
    <w:rsid w:val="008C0D58"/>
    <w:rsid w:val="008C0E07"/>
    <w:rsid w:val="008C0F28"/>
    <w:rsid w:val="008C0FB9"/>
    <w:rsid w:val="008C1061"/>
    <w:rsid w:val="008C10C6"/>
    <w:rsid w:val="008C10E1"/>
    <w:rsid w:val="008C1145"/>
    <w:rsid w:val="008C1193"/>
    <w:rsid w:val="008C122E"/>
    <w:rsid w:val="008C1250"/>
    <w:rsid w:val="008C1258"/>
    <w:rsid w:val="008C1295"/>
    <w:rsid w:val="008C13B6"/>
    <w:rsid w:val="008C13E0"/>
    <w:rsid w:val="008C13FE"/>
    <w:rsid w:val="008C141F"/>
    <w:rsid w:val="008C14DE"/>
    <w:rsid w:val="008C14E3"/>
    <w:rsid w:val="008C14E7"/>
    <w:rsid w:val="008C15B4"/>
    <w:rsid w:val="008C1610"/>
    <w:rsid w:val="008C161A"/>
    <w:rsid w:val="008C161C"/>
    <w:rsid w:val="008C16F8"/>
    <w:rsid w:val="008C1709"/>
    <w:rsid w:val="008C1745"/>
    <w:rsid w:val="008C188B"/>
    <w:rsid w:val="008C18A3"/>
    <w:rsid w:val="008C1909"/>
    <w:rsid w:val="008C1943"/>
    <w:rsid w:val="008C1960"/>
    <w:rsid w:val="008C1A11"/>
    <w:rsid w:val="008C1AD4"/>
    <w:rsid w:val="008C1C57"/>
    <w:rsid w:val="008C1C98"/>
    <w:rsid w:val="008C1D41"/>
    <w:rsid w:val="008C1D51"/>
    <w:rsid w:val="008C1DF0"/>
    <w:rsid w:val="008C1EB6"/>
    <w:rsid w:val="008C1ED0"/>
    <w:rsid w:val="008C1EEB"/>
    <w:rsid w:val="008C1F35"/>
    <w:rsid w:val="008C1FB5"/>
    <w:rsid w:val="008C2068"/>
    <w:rsid w:val="008C210C"/>
    <w:rsid w:val="008C2120"/>
    <w:rsid w:val="008C2166"/>
    <w:rsid w:val="008C2206"/>
    <w:rsid w:val="008C2248"/>
    <w:rsid w:val="008C22D3"/>
    <w:rsid w:val="008C231B"/>
    <w:rsid w:val="008C2388"/>
    <w:rsid w:val="008C23ED"/>
    <w:rsid w:val="008C245E"/>
    <w:rsid w:val="008C247A"/>
    <w:rsid w:val="008C24A2"/>
    <w:rsid w:val="008C24D5"/>
    <w:rsid w:val="008C24F5"/>
    <w:rsid w:val="008C24F7"/>
    <w:rsid w:val="008C2535"/>
    <w:rsid w:val="008C255F"/>
    <w:rsid w:val="008C259D"/>
    <w:rsid w:val="008C2648"/>
    <w:rsid w:val="008C2752"/>
    <w:rsid w:val="008C27ED"/>
    <w:rsid w:val="008C28A7"/>
    <w:rsid w:val="008C28C7"/>
    <w:rsid w:val="008C28FC"/>
    <w:rsid w:val="008C2933"/>
    <w:rsid w:val="008C2958"/>
    <w:rsid w:val="008C2983"/>
    <w:rsid w:val="008C2A17"/>
    <w:rsid w:val="008C2A53"/>
    <w:rsid w:val="008C2A75"/>
    <w:rsid w:val="008C2A93"/>
    <w:rsid w:val="008C2AA5"/>
    <w:rsid w:val="008C2BCB"/>
    <w:rsid w:val="008C2C35"/>
    <w:rsid w:val="008C2C6F"/>
    <w:rsid w:val="008C2C97"/>
    <w:rsid w:val="008C2D32"/>
    <w:rsid w:val="008C2E11"/>
    <w:rsid w:val="008C2E87"/>
    <w:rsid w:val="008C2F62"/>
    <w:rsid w:val="008C2F71"/>
    <w:rsid w:val="008C2F9D"/>
    <w:rsid w:val="008C3030"/>
    <w:rsid w:val="008C3034"/>
    <w:rsid w:val="008C308D"/>
    <w:rsid w:val="008C3154"/>
    <w:rsid w:val="008C31D6"/>
    <w:rsid w:val="008C3200"/>
    <w:rsid w:val="008C3228"/>
    <w:rsid w:val="008C3308"/>
    <w:rsid w:val="008C332D"/>
    <w:rsid w:val="008C339F"/>
    <w:rsid w:val="008C33A4"/>
    <w:rsid w:val="008C341A"/>
    <w:rsid w:val="008C34FD"/>
    <w:rsid w:val="008C3508"/>
    <w:rsid w:val="008C35E1"/>
    <w:rsid w:val="008C36E2"/>
    <w:rsid w:val="008C3703"/>
    <w:rsid w:val="008C3859"/>
    <w:rsid w:val="008C38A8"/>
    <w:rsid w:val="008C3907"/>
    <w:rsid w:val="008C395D"/>
    <w:rsid w:val="008C3992"/>
    <w:rsid w:val="008C39C0"/>
    <w:rsid w:val="008C3A8B"/>
    <w:rsid w:val="008C3AD1"/>
    <w:rsid w:val="008C3AE0"/>
    <w:rsid w:val="008C3B0E"/>
    <w:rsid w:val="008C3B25"/>
    <w:rsid w:val="008C3B33"/>
    <w:rsid w:val="008C3BC0"/>
    <w:rsid w:val="008C3BF6"/>
    <w:rsid w:val="008C3C03"/>
    <w:rsid w:val="008C3CBD"/>
    <w:rsid w:val="008C3D07"/>
    <w:rsid w:val="008C3EF7"/>
    <w:rsid w:val="008C3F82"/>
    <w:rsid w:val="008C3FB9"/>
    <w:rsid w:val="008C400A"/>
    <w:rsid w:val="008C4090"/>
    <w:rsid w:val="008C40AF"/>
    <w:rsid w:val="008C41E6"/>
    <w:rsid w:val="008C432C"/>
    <w:rsid w:val="008C4343"/>
    <w:rsid w:val="008C4458"/>
    <w:rsid w:val="008C4473"/>
    <w:rsid w:val="008C451B"/>
    <w:rsid w:val="008C46CB"/>
    <w:rsid w:val="008C470C"/>
    <w:rsid w:val="008C4736"/>
    <w:rsid w:val="008C4883"/>
    <w:rsid w:val="008C48ED"/>
    <w:rsid w:val="008C4926"/>
    <w:rsid w:val="008C49F7"/>
    <w:rsid w:val="008C4A55"/>
    <w:rsid w:val="008C4AF5"/>
    <w:rsid w:val="008C4C20"/>
    <w:rsid w:val="008C4C54"/>
    <w:rsid w:val="008C4C5D"/>
    <w:rsid w:val="008C4D33"/>
    <w:rsid w:val="008C4E20"/>
    <w:rsid w:val="008C4EAF"/>
    <w:rsid w:val="008C5038"/>
    <w:rsid w:val="008C51F4"/>
    <w:rsid w:val="008C5288"/>
    <w:rsid w:val="008C52B9"/>
    <w:rsid w:val="008C52E8"/>
    <w:rsid w:val="008C52F9"/>
    <w:rsid w:val="008C53BA"/>
    <w:rsid w:val="008C53E0"/>
    <w:rsid w:val="008C5434"/>
    <w:rsid w:val="008C5468"/>
    <w:rsid w:val="008C548D"/>
    <w:rsid w:val="008C5694"/>
    <w:rsid w:val="008C56BC"/>
    <w:rsid w:val="008C56D7"/>
    <w:rsid w:val="008C5702"/>
    <w:rsid w:val="008C577E"/>
    <w:rsid w:val="008C5790"/>
    <w:rsid w:val="008C57A1"/>
    <w:rsid w:val="008C57F1"/>
    <w:rsid w:val="008C5843"/>
    <w:rsid w:val="008C5957"/>
    <w:rsid w:val="008C5961"/>
    <w:rsid w:val="008C5A55"/>
    <w:rsid w:val="008C5ABB"/>
    <w:rsid w:val="008C5B50"/>
    <w:rsid w:val="008C5D7A"/>
    <w:rsid w:val="008C5E1E"/>
    <w:rsid w:val="008C5ED4"/>
    <w:rsid w:val="008C5EE4"/>
    <w:rsid w:val="008C5F89"/>
    <w:rsid w:val="008C5F8B"/>
    <w:rsid w:val="008C6172"/>
    <w:rsid w:val="008C6188"/>
    <w:rsid w:val="008C6283"/>
    <w:rsid w:val="008C629E"/>
    <w:rsid w:val="008C6403"/>
    <w:rsid w:val="008C6404"/>
    <w:rsid w:val="008C646E"/>
    <w:rsid w:val="008C64D4"/>
    <w:rsid w:val="008C6530"/>
    <w:rsid w:val="008C6551"/>
    <w:rsid w:val="008C6658"/>
    <w:rsid w:val="008C666C"/>
    <w:rsid w:val="008C6692"/>
    <w:rsid w:val="008C66A2"/>
    <w:rsid w:val="008C688C"/>
    <w:rsid w:val="008C68FF"/>
    <w:rsid w:val="008C693E"/>
    <w:rsid w:val="008C6A02"/>
    <w:rsid w:val="008C6A6E"/>
    <w:rsid w:val="008C6A74"/>
    <w:rsid w:val="008C6C0B"/>
    <w:rsid w:val="008C6CD4"/>
    <w:rsid w:val="008C6CF4"/>
    <w:rsid w:val="008C6D9C"/>
    <w:rsid w:val="008C6DD3"/>
    <w:rsid w:val="008C6DF7"/>
    <w:rsid w:val="008C6E69"/>
    <w:rsid w:val="008C6F7A"/>
    <w:rsid w:val="008C709D"/>
    <w:rsid w:val="008C70D6"/>
    <w:rsid w:val="008C7115"/>
    <w:rsid w:val="008C7127"/>
    <w:rsid w:val="008C7180"/>
    <w:rsid w:val="008C71DE"/>
    <w:rsid w:val="008C71F4"/>
    <w:rsid w:val="008C72BF"/>
    <w:rsid w:val="008C730C"/>
    <w:rsid w:val="008C731E"/>
    <w:rsid w:val="008C733A"/>
    <w:rsid w:val="008C73E3"/>
    <w:rsid w:val="008C7417"/>
    <w:rsid w:val="008C7528"/>
    <w:rsid w:val="008C7573"/>
    <w:rsid w:val="008C75EE"/>
    <w:rsid w:val="008C761D"/>
    <w:rsid w:val="008C77D6"/>
    <w:rsid w:val="008C77EE"/>
    <w:rsid w:val="008C7910"/>
    <w:rsid w:val="008C7912"/>
    <w:rsid w:val="008C791A"/>
    <w:rsid w:val="008C7A59"/>
    <w:rsid w:val="008C7B94"/>
    <w:rsid w:val="008C7BA4"/>
    <w:rsid w:val="008C7E95"/>
    <w:rsid w:val="008C7F48"/>
    <w:rsid w:val="008D003A"/>
    <w:rsid w:val="008D00B8"/>
    <w:rsid w:val="008D010B"/>
    <w:rsid w:val="008D0263"/>
    <w:rsid w:val="008D0279"/>
    <w:rsid w:val="008D0281"/>
    <w:rsid w:val="008D02C0"/>
    <w:rsid w:val="008D030C"/>
    <w:rsid w:val="008D0334"/>
    <w:rsid w:val="008D03A1"/>
    <w:rsid w:val="008D03EF"/>
    <w:rsid w:val="008D0559"/>
    <w:rsid w:val="008D0605"/>
    <w:rsid w:val="008D06F3"/>
    <w:rsid w:val="008D071E"/>
    <w:rsid w:val="008D0725"/>
    <w:rsid w:val="008D07C9"/>
    <w:rsid w:val="008D0809"/>
    <w:rsid w:val="008D0940"/>
    <w:rsid w:val="008D09E1"/>
    <w:rsid w:val="008D0A7F"/>
    <w:rsid w:val="008D0AF1"/>
    <w:rsid w:val="008D0B84"/>
    <w:rsid w:val="008D0C51"/>
    <w:rsid w:val="008D0CBD"/>
    <w:rsid w:val="008D0D0D"/>
    <w:rsid w:val="008D0E3E"/>
    <w:rsid w:val="008D0E9D"/>
    <w:rsid w:val="008D0EB3"/>
    <w:rsid w:val="008D0F0C"/>
    <w:rsid w:val="008D0F10"/>
    <w:rsid w:val="008D0FA0"/>
    <w:rsid w:val="008D0FF4"/>
    <w:rsid w:val="008D101A"/>
    <w:rsid w:val="008D1035"/>
    <w:rsid w:val="008D10DC"/>
    <w:rsid w:val="008D10FE"/>
    <w:rsid w:val="008D1155"/>
    <w:rsid w:val="008D115F"/>
    <w:rsid w:val="008D1218"/>
    <w:rsid w:val="008D130E"/>
    <w:rsid w:val="008D1367"/>
    <w:rsid w:val="008D1557"/>
    <w:rsid w:val="008D15B2"/>
    <w:rsid w:val="008D167D"/>
    <w:rsid w:val="008D16A4"/>
    <w:rsid w:val="008D170A"/>
    <w:rsid w:val="008D178A"/>
    <w:rsid w:val="008D1929"/>
    <w:rsid w:val="008D194E"/>
    <w:rsid w:val="008D1AE4"/>
    <w:rsid w:val="008D1B34"/>
    <w:rsid w:val="008D1B73"/>
    <w:rsid w:val="008D1B88"/>
    <w:rsid w:val="008D1CD3"/>
    <w:rsid w:val="008D1D13"/>
    <w:rsid w:val="008D1D35"/>
    <w:rsid w:val="008D1E50"/>
    <w:rsid w:val="008D200C"/>
    <w:rsid w:val="008D21AD"/>
    <w:rsid w:val="008D21D4"/>
    <w:rsid w:val="008D21DF"/>
    <w:rsid w:val="008D221D"/>
    <w:rsid w:val="008D22DB"/>
    <w:rsid w:val="008D22FF"/>
    <w:rsid w:val="008D2327"/>
    <w:rsid w:val="008D2363"/>
    <w:rsid w:val="008D236E"/>
    <w:rsid w:val="008D2429"/>
    <w:rsid w:val="008D246D"/>
    <w:rsid w:val="008D2472"/>
    <w:rsid w:val="008D2495"/>
    <w:rsid w:val="008D25AD"/>
    <w:rsid w:val="008D25DA"/>
    <w:rsid w:val="008D2664"/>
    <w:rsid w:val="008D26B8"/>
    <w:rsid w:val="008D27E5"/>
    <w:rsid w:val="008D2892"/>
    <w:rsid w:val="008D28A2"/>
    <w:rsid w:val="008D28B7"/>
    <w:rsid w:val="008D2972"/>
    <w:rsid w:val="008D298F"/>
    <w:rsid w:val="008D29DC"/>
    <w:rsid w:val="008D2C20"/>
    <w:rsid w:val="008D2C33"/>
    <w:rsid w:val="008D2CA5"/>
    <w:rsid w:val="008D2CAB"/>
    <w:rsid w:val="008D2CC2"/>
    <w:rsid w:val="008D2D21"/>
    <w:rsid w:val="008D2DC0"/>
    <w:rsid w:val="008D2E0C"/>
    <w:rsid w:val="008D2E5E"/>
    <w:rsid w:val="008D2E95"/>
    <w:rsid w:val="008D2EDD"/>
    <w:rsid w:val="008D2EFB"/>
    <w:rsid w:val="008D2F5F"/>
    <w:rsid w:val="008D2FF8"/>
    <w:rsid w:val="008D3080"/>
    <w:rsid w:val="008D30A7"/>
    <w:rsid w:val="008D3122"/>
    <w:rsid w:val="008D3162"/>
    <w:rsid w:val="008D318E"/>
    <w:rsid w:val="008D31D2"/>
    <w:rsid w:val="008D31F5"/>
    <w:rsid w:val="008D327C"/>
    <w:rsid w:val="008D32A6"/>
    <w:rsid w:val="008D3316"/>
    <w:rsid w:val="008D3352"/>
    <w:rsid w:val="008D3358"/>
    <w:rsid w:val="008D3379"/>
    <w:rsid w:val="008D3417"/>
    <w:rsid w:val="008D3481"/>
    <w:rsid w:val="008D34F6"/>
    <w:rsid w:val="008D350F"/>
    <w:rsid w:val="008D3548"/>
    <w:rsid w:val="008D3592"/>
    <w:rsid w:val="008D35D0"/>
    <w:rsid w:val="008D3659"/>
    <w:rsid w:val="008D36BB"/>
    <w:rsid w:val="008D370B"/>
    <w:rsid w:val="008D374C"/>
    <w:rsid w:val="008D39DC"/>
    <w:rsid w:val="008D3AB9"/>
    <w:rsid w:val="008D3B1D"/>
    <w:rsid w:val="008D3B49"/>
    <w:rsid w:val="008D3B52"/>
    <w:rsid w:val="008D3B53"/>
    <w:rsid w:val="008D3B57"/>
    <w:rsid w:val="008D3C7F"/>
    <w:rsid w:val="008D3E3D"/>
    <w:rsid w:val="008D3E65"/>
    <w:rsid w:val="008D3E9E"/>
    <w:rsid w:val="008D3F8D"/>
    <w:rsid w:val="008D3FB7"/>
    <w:rsid w:val="008D404F"/>
    <w:rsid w:val="008D4055"/>
    <w:rsid w:val="008D40E4"/>
    <w:rsid w:val="008D40FD"/>
    <w:rsid w:val="008D40FF"/>
    <w:rsid w:val="008D4110"/>
    <w:rsid w:val="008D4140"/>
    <w:rsid w:val="008D4158"/>
    <w:rsid w:val="008D4198"/>
    <w:rsid w:val="008D426B"/>
    <w:rsid w:val="008D4278"/>
    <w:rsid w:val="008D435D"/>
    <w:rsid w:val="008D439D"/>
    <w:rsid w:val="008D43A3"/>
    <w:rsid w:val="008D442B"/>
    <w:rsid w:val="008D4543"/>
    <w:rsid w:val="008D457B"/>
    <w:rsid w:val="008D4669"/>
    <w:rsid w:val="008D46C6"/>
    <w:rsid w:val="008D484A"/>
    <w:rsid w:val="008D48BE"/>
    <w:rsid w:val="008D4960"/>
    <w:rsid w:val="008D4AA1"/>
    <w:rsid w:val="008D4ABD"/>
    <w:rsid w:val="008D4ACC"/>
    <w:rsid w:val="008D4AE8"/>
    <w:rsid w:val="008D4AF3"/>
    <w:rsid w:val="008D4C16"/>
    <w:rsid w:val="008D4C7B"/>
    <w:rsid w:val="008D4CB1"/>
    <w:rsid w:val="008D4D15"/>
    <w:rsid w:val="008D4D36"/>
    <w:rsid w:val="008D4D61"/>
    <w:rsid w:val="008D4EE2"/>
    <w:rsid w:val="008D4EEB"/>
    <w:rsid w:val="008D4F6B"/>
    <w:rsid w:val="008D4F9A"/>
    <w:rsid w:val="008D50E5"/>
    <w:rsid w:val="008D5108"/>
    <w:rsid w:val="008D5134"/>
    <w:rsid w:val="008D51F8"/>
    <w:rsid w:val="008D5363"/>
    <w:rsid w:val="008D5423"/>
    <w:rsid w:val="008D546F"/>
    <w:rsid w:val="008D5486"/>
    <w:rsid w:val="008D5514"/>
    <w:rsid w:val="008D5530"/>
    <w:rsid w:val="008D561C"/>
    <w:rsid w:val="008D5646"/>
    <w:rsid w:val="008D5657"/>
    <w:rsid w:val="008D58A1"/>
    <w:rsid w:val="008D58FF"/>
    <w:rsid w:val="008D5948"/>
    <w:rsid w:val="008D5954"/>
    <w:rsid w:val="008D5965"/>
    <w:rsid w:val="008D5986"/>
    <w:rsid w:val="008D5AA8"/>
    <w:rsid w:val="008D5ABD"/>
    <w:rsid w:val="008D5AD7"/>
    <w:rsid w:val="008D5AF8"/>
    <w:rsid w:val="008D5B35"/>
    <w:rsid w:val="008D5B60"/>
    <w:rsid w:val="008D5B6F"/>
    <w:rsid w:val="008D5B82"/>
    <w:rsid w:val="008D5B88"/>
    <w:rsid w:val="008D5BFF"/>
    <w:rsid w:val="008D5C1E"/>
    <w:rsid w:val="008D5D0B"/>
    <w:rsid w:val="008D5DBE"/>
    <w:rsid w:val="008D5DE6"/>
    <w:rsid w:val="008D5E27"/>
    <w:rsid w:val="008D5E7A"/>
    <w:rsid w:val="008D5E96"/>
    <w:rsid w:val="008D5ED6"/>
    <w:rsid w:val="008D60CA"/>
    <w:rsid w:val="008D60E7"/>
    <w:rsid w:val="008D61A9"/>
    <w:rsid w:val="008D61B2"/>
    <w:rsid w:val="008D61F2"/>
    <w:rsid w:val="008D6213"/>
    <w:rsid w:val="008D6231"/>
    <w:rsid w:val="008D6322"/>
    <w:rsid w:val="008D632B"/>
    <w:rsid w:val="008D639B"/>
    <w:rsid w:val="008D64A1"/>
    <w:rsid w:val="008D64BF"/>
    <w:rsid w:val="008D656B"/>
    <w:rsid w:val="008D65A5"/>
    <w:rsid w:val="008D66ED"/>
    <w:rsid w:val="008D67AD"/>
    <w:rsid w:val="008D67F6"/>
    <w:rsid w:val="008D680B"/>
    <w:rsid w:val="008D68A5"/>
    <w:rsid w:val="008D6919"/>
    <w:rsid w:val="008D6A57"/>
    <w:rsid w:val="008D6B20"/>
    <w:rsid w:val="008D6BA2"/>
    <w:rsid w:val="008D6BFC"/>
    <w:rsid w:val="008D6C34"/>
    <w:rsid w:val="008D6E3B"/>
    <w:rsid w:val="008D6F68"/>
    <w:rsid w:val="008D70B4"/>
    <w:rsid w:val="008D70EB"/>
    <w:rsid w:val="008D7100"/>
    <w:rsid w:val="008D710A"/>
    <w:rsid w:val="008D712D"/>
    <w:rsid w:val="008D715C"/>
    <w:rsid w:val="008D7163"/>
    <w:rsid w:val="008D719E"/>
    <w:rsid w:val="008D7228"/>
    <w:rsid w:val="008D72DA"/>
    <w:rsid w:val="008D7303"/>
    <w:rsid w:val="008D7342"/>
    <w:rsid w:val="008D7396"/>
    <w:rsid w:val="008D7443"/>
    <w:rsid w:val="008D7492"/>
    <w:rsid w:val="008D7493"/>
    <w:rsid w:val="008D7572"/>
    <w:rsid w:val="008D75C2"/>
    <w:rsid w:val="008D75CB"/>
    <w:rsid w:val="008D75D5"/>
    <w:rsid w:val="008D75E9"/>
    <w:rsid w:val="008D77E5"/>
    <w:rsid w:val="008D7859"/>
    <w:rsid w:val="008D78A3"/>
    <w:rsid w:val="008D78AE"/>
    <w:rsid w:val="008D78C3"/>
    <w:rsid w:val="008D78DD"/>
    <w:rsid w:val="008D796E"/>
    <w:rsid w:val="008D79C1"/>
    <w:rsid w:val="008D79D0"/>
    <w:rsid w:val="008D7A17"/>
    <w:rsid w:val="008D7A33"/>
    <w:rsid w:val="008D7B0B"/>
    <w:rsid w:val="008D7B12"/>
    <w:rsid w:val="008D7B2B"/>
    <w:rsid w:val="008D7B86"/>
    <w:rsid w:val="008D7B91"/>
    <w:rsid w:val="008D7C07"/>
    <w:rsid w:val="008D7C91"/>
    <w:rsid w:val="008D7D8A"/>
    <w:rsid w:val="008D7DB8"/>
    <w:rsid w:val="008D7DD6"/>
    <w:rsid w:val="008D7E3A"/>
    <w:rsid w:val="008D7E43"/>
    <w:rsid w:val="008D7E97"/>
    <w:rsid w:val="008D7EB0"/>
    <w:rsid w:val="008E001F"/>
    <w:rsid w:val="008E0058"/>
    <w:rsid w:val="008E008C"/>
    <w:rsid w:val="008E00CC"/>
    <w:rsid w:val="008E0140"/>
    <w:rsid w:val="008E01B7"/>
    <w:rsid w:val="008E01C7"/>
    <w:rsid w:val="008E023F"/>
    <w:rsid w:val="008E0243"/>
    <w:rsid w:val="008E0377"/>
    <w:rsid w:val="008E0384"/>
    <w:rsid w:val="008E0411"/>
    <w:rsid w:val="008E0539"/>
    <w:rsid w:val="008E0544"/>
    <w:rsid w:val="008E068F"/>
    <w:rsid w:val="008E07CA"/>
    <w:rsid w:val="008E085F"/>
    <w:rsid w:val="008E087A"/>
    <w:rsid w:val="008E088C"/>
    <w:rsid w:val="008E0959"/>
    <w:rsid w:val="008E0962"/>
    <w:rsid w:val="008E0A53"/>
    <w:rsid w:val="008E0A84"/>
    <w:rsid w:val="008E0AFB"/>
    <w:rsid w:val="008E0B1B"/>
    <w:rsid w:val="008E0B32"/>
    <w:rsid w:val="008E0BE6"/>
    <w:rsid w:val="008E0CA1"/>
    <w:rsid w:val="008E0CC8"/>
    <w:rsid w:val="008E0CE6"/>
    <w:rsid w:val="008E0CF0"/>
    <w:rsid w:val="008E0D0A"/>
    <w:rsid w:val="008E0DE3"/>
    <w:rsid w:val="008E0EA0"/>
    <w:rsid w:val="008E0F75"/>
    <w:rsid w:val="008E0F85"/>
    <w:rsid w:val="008E0F98"/>
    <w:rsid w:val="008E0FE5"/>
    <w:rsid w:val="008E1042"/>
    <w:rsid w:val="008E1066"/>
    <w:rsid w:val="008E10A6"/>
    <w:rsid w:val="008E1144"/>
    <w:rsid w:val="008E1239"/>
    <w:rsid w:val="008E1304"/>
    <w:rsid w:val="008E1307"/>
    <w:rsid w:val="008E13FC"/>
    <w:rsid w:val="008E145C"/>
    <w:rsid w:val="008E14A6"/>
    <w:rsid w:val="008E1514"/>
    <w:rsid w:val="008E15BA"/>
    <w:rsid w:val="008E170B"/>
    <w:rsid w:val="008E176D"/>
    <w:rsid w:val="008E181E"/>
    <w:rsid w:val="008E185F"/>
    <w:rsid w:val="008E187E"/>
    <w:rsid w:val="008E19D7"/>
    <w:rsid w:val="008E1A26"/>
    <w:rsid w:val="008E1A54"/>
    <w:rsid w:val="008E1B77"/>
    <w:rsid w:val="008E1B8F"/>
    <w:rsid w:val="008E1C2E"/>
    <w:rsid w:val="008E1C83"/>
    <w:rsid w:val="008E1CC3"/>
    <w:rsid w:val="008E1E09"/>
    <w:rsid w:val="008E1EF2"/>
    <w:rsid w:val="008E204A"/>
    <w:rsid w:val="008E209C"/>
    <w:rsid w:val="008E22AF"/>
    <w:rsid w:val="008E2410"/>
    <w:rsid w:val="008E2473"/>
    <w:rsid w:val="008E24CB"/>
    <w:rsid w:val="008E2532"/>
    <w:rsid w:val="008E2543"/>
    <w:rsid w:val="008E258B"/>
    <w:rsid w:val="008E265B"/>
    <w:rsid w:val="008E276B"/>
    <w:rsid w:val="008E27A3"/>
    <w:rsid w:val="008E2855"/>
    <w:rsid w:val="008E2889"/>
    <w:rsid w:val="008E28CC"/>
    <w:rsid w:val="008E2919"/>
    <w:rsid w:val="008E29C9"/>
    <w:rsid w:val="008E29FD"/>
    <w:rsid w:val="008E2A51"/>
    <w:rsid w:val="008E2A8C"/>
    <w:rsid w:val="008E2A8E"/>
    <w:rsid w:val="008E2BA4"/>
    <w:rsid w:val="008E2BF4"/>
    <w:rsid w:val="008E2C13"/>
    <w:rsid w:val="008E2C59"/>
    <w:rsid w:val="008E2CB4"/>
    <w:rsid w:val="008E2D2A"/>
    <w:rsid w:val="008E2D66"/>
    <w:rsid w:val="008E2E5E"/>
    <w:rsid w:val="008E2F3D"/>
    <w:rsid w:val="008E3062"/>
    <w:rsid w:val="008E30C0"/>
    <w:rsid w:val="008E30FF"/>
    <w:rsid w:val="008E319C"/>
    <w:rsid w:val="008E3231"/>
    <w:rsid w:val="008E3335"/>
    <w:rsid w:val="008E334F"/>
    <w:rsid w:val="008E33C8"/>
    <w:rsid w:val="008E3435"/>
    <w:rsid w:val="008E355C"/>
    <w:rsid w:val="008E356E"/>
    <w:rsid w:val="008E3570"/>
    <w:rsid w:val="008E3577"/>
    <w:rsid w:val="008E3608"/>
    <w:rsid w:val="008E3638"/>
    <w:rsid w:val="008E3713"/>
    <w:rsid w:val="008E380F"/>
    <w:rsid w:val="008E382C"/>
    <w:rsid w:val="008E3855"/>
    <w:rsid w:val="008E38AC"/>
    <w:rsid w:val="008E391C"/>
    <w:rsid w:val="008E3A1B"/>
    <w:rsid w:val="008E3ABD"/>
    <w:rsid w:val="008E3AF0"/>
    <w:rsid w:val="008E3C38"/>
    <w:rsid w:val="008E3CF5"/>
    <w:rsid w:val="008E3F0A"/>
    <w:rsid w:val="008E4159"/>
    <w:rsid w:val="008E4168"/>
    <w:rsid w:val="008E4255"/>
    <w:rsid w:val="008E4257"/>
    <w:rsid w:val="008E42AB"/>
    <w:rsid w:val="008E42FA"/>
    <w:rsid w:val="008E4336"/>
    <w:rsid w:val="008E433B"/>
    <w:rsid w:val="008E4344"/>
    <w:rsid w:val="008E43DD"/>
    <w:rsid w:val="008E440F"/>
    <w:rsid w:val="008E449A"/>
    <w:rsid w:val="008E44D9"/>
    <w:rsid w:val="008E44DE"/>
    <w:rsid w:val="008E45BE"/>
    <w:rsid w:val="008E4601"/>
    <w:rsid w:val="008E4635"/>
    <w:rsid w:val="008E46B7"/>
    <w:rsid w:val="008E46D2"/>
    <w:rsid w:val="008E4716"/>
    <w:rsid w:val="008E473E"/>
    <w:rsid w:val="008E4815"/>
    <w:rsid w:val="008E482C"/>
    <w:rsid w:val="008E4840"/>
    <w:rsid w:val="008E4872"/>
    <w:rsid w:val="008E487C"/>
    <w:rsid w:val="008E48F7"/>
    <w:rsid w:val="008E49CA"/>
    <w:rsid w:val="008E49E8"/>
    <w:rsid w:val="008E4A21"/>
    <w:rsid w:val="008E4A8B"/>
    <w:rsid w:val="008E4AB5"/>
    <w:rsid w:val="008E4B6F"/>
    <w:rsid w:val="008E4B9C"/>
    <w:rsid w:val="008E4C4D"/>
    <w:rsid w:val="008E4CAA"/>
    <w:rsid w:val="008E4CC4"/>
    <w:rsid w:val="008E4D5D"/>
    <w:rsid w:val="008E4D7C"/>
    <w:rsid w:val="008E4D9A"/>
    <w:rsid w:val="008E4DB8"/>
    <w:rsid w:val="008E4DD3"/>
    <w:rsid w:val="008E4DE5"/>
    <w:rsid w:val="008E4EBF"/>
    <w:rsid w:val="008E4F58"/>
    <w:rsid w:val="008E4FF7"/>
    <w:rsid w:val="008E5064"/>
    <w:rsid w:val="008E5174"/>
    <w:rsid w:val="008E5240"/>
    <w:rsid w:val="008E5438"/>
    <w:rsid w:val="008E54CE"/>
    <w:rsid w:val="008E5536"/>
    <w:rsid w:val="008E5544"/>
    <w:rsid w:val="008E55B1"/>
    <w:rsid w:val="008E55B3"/>
    <w:rsid w:val="008E55F8"/>
    <w:rsid w:val="008E5616"/>
    <w:rsid w:val="008E56A8"/>
    <w:rsid w:val="008E5774"/>
    <w:rsid w:val="008E5839"/>
    <w:rsid w:val="008E58B6"/>
    <w:rsid w:val="008E58CF"/>
    <w:rsid w:val="008E58D8"/>
    <w:rsid w:val="008E592E"/>
    <w:rsid w:val="008E59E4"/>
    <w:rsid w:val="008E5AA9"/>
    <w:rsid w:val="008E5ABF"/>
    <w:rsid w:val="008E5AD6"/>
    <w:rsid w:val="008E5BAC"/>
    <w:rsid w:val="008E5BBF"/>
    <w:rsid w:val="008E5BD9"/>
    <w:rsid w:val="008E5BFA"/>
    <w:rsid w:val="008E5C39"/>
    <w:rsid w:val="008E5C64"/>
    <w:rsid w:val="008E5C67"/>
    <w:rsid w:val="008E5CC6"/>
    <w:rsid w:val="008E5DAC"/>
    <w:rsid w:val="008E5DB0"/>
    <w:rsid w:val="008E5EB3"/>
    <w:rsid w:val="008E5EF7"/>
    <w:rsid w:val="008E5F05"/>
    <w:rsid w:val="008E5F6B"/>
    <w:rsid w:val="008E5F71"/>
    <w:rsid w:val="008E5F8D"/>
    <w:rsid w:val="008E5FAA"/>
    <w:rsid w:val="008E5FF0"/>
    <w:rsid w:val="008E6130"/>
    <w:rsid w:val="008E61F7"/>
    <w:rsid w:val="008E6205"/>
    <w:rsid w:val="008E6281"/>
    <w:rsid w:val="008E6297"/>
    <w:rsid w:val="008E62BB"/>
    <w:rsid w:val="008E6309"/>
    <w:rsid w:val="008E6321"/>
    <w:rsid w:val="008E6500"/>
    <w:rsid w:val="008E65DC"/>
    <w:rsid w:val="008E6622"/>
    <w:rsid w:val="008E6817"/>
    <w:rsid w:val="008E688D"/>
    <w:rsid w:val="008E689D"/>
    <w:rsid w:val="008E6915"/>
    <w:rsid w:val="008E6918"/>
    <w:rsid w:val="008E6A6C"/>
    <w:rsid w:val="008E6CD2"/>
    <w:rsid w:val="008E6D87"/>
    <w:rsid w:val="008E6DF1"/>
    <w:rsid w:val="008E701E"/>
    <w:rsid w:val="008E7036"/>
    <w:rsid w:val="008E706B"/>
    <w:rsid w:val="008E7074"/>
    <w:rsid w:val="008E7139"/>
    <w:rsid w:val="008E71CA"/>
    <w:rsid w:val="008E735C"/>
    <w:rsid w:val="008E7393"/>
    <w:rsid w:val="008E73F4"/>
    <w:rsid w:val="008E7428"/>
    <w:rsid w:val="008E7567"/>
    <w:rsid w:val="008E7582"/>
    <w:rsid w:val="008E75FE"/>
    <w:rsid w:val="008E7634"/>
    <w:rsid w:val="008E7750"/>
    <w:rsid w:val="008E77B0"/>
    <w:rsid w:val="008E78BE"/>
    <w:rsid w:val="008E78E1"/>
    <w:rsid w:val="008E78EF"/>
    <w:rsid w:val="008E79DD"/>
    <w:rsid w:val="008E7A79"/>
    <w:rsid w:val="008E7AF9"/>
    <w:rsid w:val="008E7AFE"/>
    <w:rsid w:val="008E7B47"/>
    <w:rsid w:val="008E7CCD"/>
    <w:rsid w:val="008E7CF8"/>
    <w:rsid w:val="008E7D03"/>
    <w:rsid w:val="008E7D42"/>
    <w:rsid w:val="008E7DC3"/>
    <w:rsid w:val="008E7EAE"/>
    <w:rsid w:val="008E7EDA"/>
    <w:rsid w:val="008E7F86"/>
    <w:rsid w:val="008E7F9A"/>
    <w:rsid w:val="008F0020"/>
    <w:rsid w:val="008F0037"/>
    <w:rsid w:val="008F0133"/>
    <w:rsid w:val="008F0141"/>
    <w:rsid w:val="008F01AA"/>
    <w:rsid w:val="008F01EC"/>
    <w:rsid w:val="008F02F4"/>
    <w:rsid w:val="008F031D"/>
    <w:rsid w:val="008F0374"/>
    <w:rsid w:val="008F03A2"/>
    <w:rsid w:val="008F040B"/>
    <w:rsid w:val="008F0434"/>
    <w:rsid w:val="008F048A"/>
    <w:rsid w:val="008F05B9"/>
    <w:rsid w:val="008F05BA"/>
    <w:rsid w:val="008F0640"/>
    <w:rsid w:val="008F06E9"/>
    <w:rsid w:val="008F071A"/>
    <w:rsid w:val="008F0722"/>
    <w:rsid w:val="008F075B"/>
    <w:rsid w:val="008F08A5"/>
    <w:rsid w:val="008F08DC"/>
    <w:rsid w:val="008F08FD"/>
    <w:rsid w:val="008F096D"/>
    <w:rsid w:val="008F0973"/>
    <w:rsid w:val="008F0A00"/>
    <w:rsid w:val="008F0AC4"/>
    <w:rsid w:val="008F0C33"/>
    <w:rsid w:val="008F0C58"/>
    <w:rsid w:val="008F0C5B"/>
    <w:rsid w:val="008F0EAD"/>
    <w:rsid w:val="008F0EBE"/>
    <w:rsid w:val="008F0F71"/>
    <w:rsid w:val="008F0FCA"/>
    <w:rsid w:val="008F0FF3"/>
    <w:rsid w:val="008F109D"/>
    <w:rsid w:val="008F10CF"/>
    <w:rsid w:val="008F111E"/>
    <w:rsid w:val="008F11A1"/>
    <w:rsid w:val="008F11D9"/>
    <w:rsid w:val="008F11DF"/>
    <w:rsid w:val="008F1353"/>
    <w:rsid w:val="008F13AB"/>
    <w:rsid w:val="008F13AF"/>
    <w:rsid w:val="008F13FF"/>
    <w:rsid w:val="008F1402"/>
    <w:rsid w:val="008F1565"/>
    <w:rsid w:val="008F1597"/>
    <w:rsid w:val="008F1614"/>
    <w:rsid w:val="008F16FD"/>
    <w:rsid w:val="008F176A"/>
    <w:rsid w:val="008F1830"/>
    <w:rsid w:val="008F1862"/>
    <w:rsid w:val="008F1913"/>
    <w:rsid w:val="008F196F"/>
    <w:rsid w:val="008F19BE"/>
    <w:rsid w:val="008F19D1"/>
    <w:rsid w:val="008F1A51"/>
    <w:rsid w:val="008F1A62"/>
    <w:rsid w:val="008F1AD4"/>
    <w:rsid w:val="008F1B3C"/>
    <w:rsid w:val="008F1BD4"/>
    <w:rsid w:val="008F1D3C"/>
    <w:rsid w:val="008F1DF1"/>
    <w:rsid w:val="008F1E09"/>
    <w:rsid w:val="008F1ECC"/>
    <w:rsid w:val="008F1F02"/>
    <w:rsid w:val="008F1F48"/>
    <w:rsid w:val="008F1F4D"/>
    <w:rsid w:val="008F1F61"/>
    <w:rsid w:val="008F1FC9"/>
    <w:rsid w:val="008F1FEE"/>
    <w:rsid w:val="008F2051"/>
    <w:rsid w:val="008F209B"/>
    <w:rsid w:val="008F20BC"/>
    <w:rsid w:val="008F2197"/>
    <w:rsid w:val="008F21ED"/>
    <w:rsid w:val="008F2287"/>
    <w:rsid w:val="008F22EC"/>
    <w:rsid w:val="008F232F"/>
    <w:rsid w:val="008F23B0"/>
    <w:rsid w:val="008F2410"/>
    <w:rsid w:val="008F2447"/>
    <w:rsid w:val="008F24B3"/>
    <w:rsid w:val="008F2554"/>
    <w:rsid w:val="008F2563"/>
    <w:rsid w:val="008F2578"/>
    <w:rsid w:val="008F2590"/>
    <w:rsid w:val="008F262B"/>
    <w:rsid w:val="008F2696"/>
    <w:rsid w:val="008F26DA"/>
    <w:rsid w:val="008F27A9"/>
    <w:rsid w:val="008F27AE"/>
    <w:rsid w:val="008F2808"/>
    <w:rsid w:val="008F2839"/>
    <w:rsid w:val="008F288C"/>
    <w:rsid w:val="008F28B1"/>
    <w:rsid w:val="008F29E6"/>
    <w:rsid w:val="008F2A75"/>
    <w:rsid w:val="008F2A7E"/>
    <w:rsid w:val="008F2AD9"/>
    <w:rsid w:val="008F2AEB"/>
    <w:rsid w:val="008F2B25"/>
    <w:rsid w:val="008F2BBB"/>
    <w:rsid w:val="008F2BF2"/>
    <w:rsid w:val="008F2BFF"/>
    <w:rsid w:val="008F2CD1"/>
    <w:rsid w:val="008F2D0C"/>
    <w:rsid w:val="008F2DA9"/>
    <w:rsid w:val="008F2DAE"/>
    <w:rsid w:val="008F2DF7"/>
    <w:rsid w:val="008F2E05"/>
    <w:rsid w:val="008F2E09"/>
    <w:rsid w:val="008F2E7B"/>
    <w:rsid w:val="008F2EC1"/>
    <w:rsid w:val="008F2F79"/>
    <w:rsid w:val="008F2F96"/>
    <w:rsid w:val="008F3089"/>
    <w:rsid w:val="008F3356"/>
    <w:rsid w:val="008F337E"/>
    <w:rsid w:val="008F33B5"/>
    <w:rsid w:val="008F33C7"/>
    <w:rsid w:val="008F33CA"/>
    <w:rsid w:val="008F3404"/>
    <w:rsid w:val="008F341A"/>
    <w:rsid w:val="008F3483"/>
    <w:rsid w:val="008F353D"/>
    <w:rsid w:val="008F367A"/>
    <w:rsid w:val="008F367C"/>
    <w:rsid w:val="008F3693"/>
    <w:rsid w:val="008F36C8"/>
    <w:rsid w:val="008F37D1"/>
    <w:rsid w:val="008F3816"/>
    <w:rsid w:val="008F38B7"/>
    <w:rsid w:val="008F396A"/>
    <w:rsid w:val="008F399F"/>
    <w:rsid w:val="008F3BE9"/>
    <w:rsid w:val="008F3DD0"/>
    <w:rsid w:val="008F3E34"/>
    <w:rsid w:val="008F3E3C"/>
    <w:rsid w:val="008F3EF5"/>
    <w:rsid w:val="008F3FC6"/>
    <w:rsid w:val="008F3FDF"/>
    <w:rsid w:val="008F40A7"/>
    <w:rsid w:val="008F40B8"/>
    <w:rsid w:val="008F40DC"/>
    <w:rsid w:val="008F4148"/>
    <w:rsid w:val="008F430D"/>
    <w:rsid w:val="008F4351"/>
    <w:rsid w:val="008F4385"/>
    <w:rsid w:val="008F4388"/>
    <w:rsid w:val="008F441C"/>
    <w:rsid w:val="008F451F"/>
    <w:rsid w:val="008F453E"/>
    <w:rsid w:val="008F45DB"/>
    <w:rsid w:val="008F4622"/>
    <w:rsid w:val="008F4646"/>
    <w:rsid w:val="008F4727"/>
    <w:rsid w:val="008F4759"/>
    <w:rsid w:val="008F47B8"/>
    <w:rsid w:val="008F486E"/>
    <w:rsid w:val="008F4883"/>
    <w:rsid w:val="008F4977"/>
    <w:rsid w:val="008F4A07"/>
    <w:rsid w:val="008F4A29"/>
    <w:rsid w:val="008F4AE4"/>
    <w:rsid w:val="008F4BF8"/>
    <w:rsid w:val="008F4C10"/>
    <w:rsid w:val="008F4D7E"/>
    <w:rsid w:val="008F4DFC"/>
    <w:rsid w:val="008F4EED"/>
    <w:rsid w:val="008F4F6B"/>
    <w:rsid w:val="008F5008"/>
    <w:rsid w:val="008F5065"/>
    <w:rsid w:val="008F5080"/>
    <w:rsid w:val="008F50A6"/>
    <w:rsid w:val="008F5193"/>
    <w:rsid w:val="008F527D"/>
    <w:rsid w:val="008F52F3"/>
    <w:rsid w:val="008F53A0"/>
    <w:rsid w:val="008F53EC"/>
    <w:rsid w:val="008F550C"/>
    <w:rsid w:val="008F5547"/>
    <w:rsid w:val="008F5598"/>
    <w:rsid w:val="008F559C"/>
    <w:rsid w:val="008F55DF"/>
    <w:rsid w:val="008F55EB"/>
    <w:rsid w:val="008F563C"/>
    <w:rsid w:val="008F5677"/>
    <w:rsid w:val="008F56CC"/>
    <w:rsid w:val="008F5783"/>
    <w:rsid w:val="008F57A9"/>
    <w:rsid w:val="008F5824"/>
    <w:rsid w:val="008F596E"/>
    <w:rsid w:val="008F5A4A"/>
    <w:rsid w:val="008F5A5A"/>
    <w:rsid w:val="008F5AD8"/>
    <w:rsid w:val="008F5B4C"/>
    <w:rsid w:val="008F5B60"/>
    <w:rsid w:val="008F5C42"/>
    <w:rsid w:val="008F5C9E"/>
    <w:rsid w:val="008F5CFE"/>
    <w:rsid w:val="008F5D74"/>
    <w:rsid w:val="008F5D85"/>
    <w:rsid w:val="008F5DC7"/>
    <w:rsid w:val="008F5E6F"/>
    <w:rsid w:val="008F5E77"/>
    <w:rsid w:val="008F5F30"/>
    <w:rsid w:val="008F5F3C"/>
    <w:rsid w:val="008F602F"/>
    <w:rsid w:val="008F60D0"/>
    <w:rsid w:val="008F6115"/>
    <w:rsid w:val="008F61B6"/>
    <w:rsid w:val="008F628B"/>
    <w:rsid w:val="008F62F0"/>
    <w:rsid w:val="008F6386"/>
    <w:rsid w:val="008F640E"/>
    <w:rsid w:val="008F6430"/>
    <w:rsid w:val="008F6489"/>
    <w:rsid w:val="008F64C8"/>
    <w:rsid w:val="008F6592"/>
    <w:rsid w:val="008F65E9"/>
    <w:rsid w:val="008F666C"/>
    <w:rsid w:val="008F66E7"/>
    <w:rsid w:val="008F66EE"/>
    <w:rsid w:val="008F6711"/>
    <w:rsid w:val="008F6731"/>
    <w:rsid w:val="008F6733"/>
    <w:rsid w:val="008F67F8"/>
    <w:rsid w:val="008F67FA"/>
    <w:rsid w:val="008F6887"/>
    <w:rsid w:val="008F6998"/>
    <w:rsid w:val="008F69CE"/>
    <w:rsid w:val="008F6A84"/>
    <w:rsid w:val="008F6AA0"/>
    <w:rsid w:val="008F6B90"/>
    <w:rsid w:val="008F6C13"/>
    <w:rsid w:val="008F6C24"/>
    <w:rsid w:val="008F6D09"/>
    <w:rsid w:val="008F6D15"/>
    <w:rsid w:val="008F6D39"/>
    <w:rsid w:val="008F6E42"/>
    <w:rsid w:val="008F6E5C"/>
    <w:rsid w:val="008F6E8B"/>
    <w:rsid w:val="008F6EAE"/>
    <w:rsid w:val="008F6F9A"/>
    <w:rsid w:val="008F703A"/>
    <w:rsid w:val="008F70FA"/>
    <w:rsid w:val="008F71FD"/>
    <w:rsid w:val="008F720C"/>
    <w:rsid w:val="008F724F"/>
    <w:rsid w:val="008F733F"/>
    <w:rsid w:val="008F73FD"/>
    <w:rsid w:val="008F74D2"/>
    <w:rsid w:val="008F75AF"/>
    <w:rsid w:val="008F7625"/>
    <w:rsid w:val="008F7675"/>
    <w:rsid w:val="008F76F9"/>
    <w:rsid w:val="008F7811"/>
    <w:rsid w:val="008F7878"/>
    <w:rsid w:val="008F78CA"/>
    <w:rsid w:val="008F78E6"/>
    <w:rsid w:val="008F7977"/>
    <w:rsid w:val="008F7982"/>
    <w:rsid w:val="008F7A48"/>
    <w:rsid w:val="008F7B16"/>
    <w:rsid w:val="008F7BB0"/>
    <w:rsid w:val="008F7C38"/>
    <w:rsid w:val="008F7C6C"/>
    <w:rsid w:val="008F7C8D"/>
    <w:rsid w:val="008F7CCE"/>
    <w:rsid w:val="008F7D20"/>
    <w:rsid w:val="008F7D5F"/>
    <w:rsid w:val="008F7DFE"/>
    <w:rsid w:val="008F7EF1"/>
    <w:rsid w:val="008F7F03"/>
    <w:rsid w:val="00900035"/>
    <w:rsid w:val="00900071"/>
    <w:rsid w:val="0090016B"/>
    <w:rsid w:val="00900206"/>
    <w:rsid w:val="0090020B"/>
    <w:rsid w:val="009002DB"/>
    <w:rsid w:val="009002DE"/>
    <w:rsid w:val="00900397"/>
    <w:rsid w:val="009003B8"/>
    <w:rsid w:val="009003EB"/>
    <w:rsid w:val="009004AC"/>
    <w:rsid w:val="009004BE"/>
    <w:rsid w:val="009005FE"/>
    <w:rsid w:val="0090062D"/>
    <w:rsid w:val="0090065D"/>
    <w:rsid w:val="00900721"/>
    <w:rsid w:val="009007EF"/>
    <w:rsid w:val="0090089C"/>
    <w:rsid w:val="009008B4"/>
    <w:rsid w:val="009008BD"/>
    <w:rsid w:val="00900AB7"/>
    <w:rsid w:val="00900AE2"/>
    <w:rsid w:val="00900BD8"/>
    <w:rsid w:val="00900BF5"/>
    <w:rsid w:val="00900C46"/>
    <w:rsid w:val="00900C8D"/>
    <w:rsid w:val="00900DAE"/>
    <w:rsid w:val="00900E21"/>
    <w:rsid w:val="00900E2F"/>
    <w:rsid w:val="00900EDF"/>
    <w:rsid w:val="00900F2D"/>
    <w:rsid w:val="00900F67"/>
    <w:rsid w:val="00900F78"/>
    <w:rsid w:val="00900F92"/>
    <w:rsid w:val="00900FEE"/>
    <w:rsid w:val="0090102D"/>
    <w:rsid w:val="0090103A"/>
    <w:rsid w:val="00901077"/>
    <w:rsid w:val="009010AF"/>
    <w:rsid w:val="009010F2"/>
    <w:rsid w:val="0090113C"/>
    <w:rsid w:val="00901171"/>
    <w:rsid w:val="009011AF"/>
    <w:rsid w:val="009011D3"/>
    <w:rsid w:val="00901205"/>
    <w:rsid w:val="00901217"/>
    <w:rsid w:val="00901221"/>
    <w:rsid w:val="00901243"/>
    <w:rsid w:val="0090126B"/>
    <w:rsid w:val="00901290"/>
    <w:rsid w:val="009012E2"/>
    <w:rsid w:val="0090137A"/>
    <w:rsid w:val="00901592"/>
    <w:rsid w:val="009016C1"/>
    <w:rsid w:val="009017F8"/>
    <w:rsid w:val="00901925"/>
    <w:rsid w:val="00901A99"/>
    <w:rsid w:val="00901BA8"/>
    <w:rsid w:val="00901BC9"/>
    <w:rsid w:val="00901C0A"/>
    <w:rsid w:val="00901C63"/>
    <w:rsid w:val="00901D1B"/>
    <w:rsid w:val="00901E70"/>
    <w:rsid w:val="00901E74"/>
    <w:rsid w:val="00901F14"/>
    <w:rsid w:val="00901F65"/>
    <w:rsid w:val="00902012"/>
    <w:rsid w:val="00902019"/>
    <w:rsid w:val="00902122"/>
    <w:rsid w:val="00902174"/>
    <w:rsid w:val="00902239"/>
    <w:rsid w:val="00902302"/>
    <w:rsid w:val="0090235E"/>
    <w:rsid w:val="00902397"/>
    <w:rsid w:val="009023AF"/>
    <w:rsid w:val="0090240C"/>
    <w:rsid w:val="0090244D"/>
    <w:rsid w:val="00902462"/>
    <w:rsid w:val="009024DD"/>
    <w:rsid w:val="009025D4"/>
    <w:rsid w:val="00902620"/>
    <w:rsid w:val="0090263D"/>
    <w:rsid w:val="00902640"/>
    <w:rsid w:val="009027B1"/>
    <w:rsid w:val="009027B4"/>
    <w:rsid w:val="00902841"/>
    <w:rsid w:val="009028B7"/>
    <w:rsid w:val="00902974"/>
    <w:rsid w:val="009029B8"/>
    <w:rsid w:val="00902A00"/>
    <w:rsid w:val="00902A30"/>
    <w:rsid w:val="00902AA4"/>
    <w:rsid w:val="00902AE3"/>
    <w:rsid w:val="00902AF8"/>
    <w:rsid w:val="00902B0C"/>
    <w:rsid w:val="00902B3C"/>
    <w:rsid w:val="00902BBF"/>
    <w:rsid w:val="00902BC4"/>
    <w:rsid w:val="00902C5E"/>
    <w:rsid w:val="00902D61"/>
    <w:rsid w:val="00902D75"/>
    <w:rsid w:val="00902E19"/>
    <w:rsid w:val="00902F59"/>
    <w:rsid w:val="0090311A"/>
    <w:rsid w:val="0090329C"/>
    <w:rsid w:val="009032FF"/>
    <w:rsid w:val="0090336E"/>
    <w:rsid w:val="009033B9"/>
    <w:rsid w:val="0090346B"/>
    <w:rsid w:val="00903475"/>
    <w:rsid w:val="0090347E"/>
    <w:rsid w:val="009034C7"/>
    <w:rsid w:val="00903522"/>
    <w:rsid w:val="00903562"/>
    <w:rsid w:val="009035A3"/>
    <w:rsid w:val="0090361E"/>
    <w:rsid w:val="00903670"/>
    <w:rsid w:val="009036C7"/>
    <w:rsid w:val="0090375E"/>
    <w:rsid w:val="00903796"/>
    <w:rsid w:val="00903849"/>
    <w:rsid w:val="0090395B"/>
    <w:rsid w:val="009039F7"/>
    <w:rsid w:val="00903A0E"/>
    <w:rsid w:val="00903A29"/>
    <w:rsid w:val="00903AC0"/>
    <w:rsid w:val="00903B07"/>
    <w:rsid w:val="00903B10"/>
    <w:rsid w:val="00903B32"/>
    <w:rsid w:val="00903BA6"/>
    <w:rsid w:val="00903BC2"/>
    <w:rsid w:val="00903C0E"/>
    <w:rsid w:val="00903CA5"/>
    <w:rsid w:val="00903CB1"/>
    <w:rsid w:val="00903D4E"/>
    <w:rsid w:val="00903DAC"/>
    <w:rsid w:val="00903DD0"/>
    <w:rsid w:val="00903DD2"/>
    <w:rsid w:val="00903E68"/>
    <w:rsid w:val="00903F16"/>
    <w:rsid w:val="00903F27"/>
    <w:rsid w:val="00903F92"/>
    <w:rsid w:val="00903FC3"/>
    <w:rsid w:val="00903FD6"/>
    <w:rsid w:val="0090402B"/>
    <w:rsid w:val="0090404A"/>
    <w:rsid w:val="0090407B"/>
    <w:rsid w:val="00904093"/>
    <w:rsid w:val="009040BD"/>
    <w:rsid w:val="009040DA"/>
    <w:rsid w:val="009040F5"/>
    <w:rsid w:val="00904101"/>
    <w:rsid w:val="00904220"/>
    <w:rsid w:val="009042DC"/>
    <w:rsid w:val="009042EF"/>
    <w:rsid w:val="00904388"/>
    <w:rsid w:val="009043C3"/>
    <w:rsid w:val="00904509"/>
    <w:rsid w:val="0090454D"/>
    <w:rsid w:val="0090458C"/>
    <w:rsid w:val="00904662"/>
    <w:rsid w:val="009047FE"/>
    <w:rsid w:val="0090488C"/>
    <w:rsid w:val="00904905"/>
    <w:rsid w:val="00904A38"/>
    <w:rsid w:val="00904A77"/>
    <w:rsid w:val="00904A91"/>
    <w:rsid w:val="00904C46"/>
    <w:rsid w:val="00904C56"/>
    <w:rsid w:val="00904D1E"/>
    <w:rsid w:val="00904DDE"/>
    <w:rsid w:val="00904E77"/>
    <w:rsid w:val="00905024"/>
    <w:rsid w:val="009050BC"/>
    <w:rsid w:val="00905136"/>
    <w:rsid w:val="009052BD"/>
    <w:rsid w:val="009052D3"/>
    <w:rsid w:val="009052ED"/>
    <w:rsid w:val="00905395"/>
    <w:rsid w:val="009054B6"/>
    <w:rsid w:val="009056F1"/>
    <w:rsid w:val="0090580B"/>
    <w:rsid w:val="00905817"/>
    <w:rsid w:val="009058CA"/>
    <w:rsid w:val="009058D6"/>
    <w:rsid w:val="0090594A"/>
    <w:rsid w:val="009059BA"/>
    <w:rsid w:val="009059CC"/>
    <w:rsid w:val="009059D1"/>
    <w:rsid w:val="00905A1C"/>
    <w:rsid w:val="00905A83"/>
    <w:rsid w:val="00905A84"/>
    <w:rsid w:val="00905AB4"/>
    <w:rsid w:val="00905AE3"/>
    <w:rsid w:val="00905C44"/>
    <w:rsid w:val="00905C5F"/>
    <w:rsid w:val="00905C9A"/>
    <w:rsid w:val="00905CC9"/>
    <w:rsid w:val="00905D3D"/>
    <w:rsid w:val="00905DA2"/>
    <w:rsid w:val="00905DE6"/>
    <w:rsid w:val="00905EAA"/>
    <w:rsid w:val="00905EB1"/>
    <w:rsid w:val="00905ED5"/>
    <w:rsid w:val="00905F06"/>
    <w:rsid w:val="00905F42"/>
    <w:rsid w:val="00905F6D"/>
    <w:rsid w:val="00905F9F"/>
    <w:rsid w:val="00905FAE"/>
    <w:rsid w:val="00905FE1"/>
    <w:rsid w:val="009060EF"/>
    <w:rsid w:val="00906157"/>
    <w:rsid w:val="00906194"/>
    <w:rsid w:val="009062B1"/>
    <w:rsid w:val="009063C5"/>
    <w:rsid w:val="00906424"/>
    <w:rsid w:val="00906486"/>
    <w:rsid w:val="009064BF"/>
    <w:rsid w:val="009064C3"/>
    <w:rsid w:val="009065B8"/>
    <w:rsid w:val="009065BE"/>
    <w:rsid w:val="0090672F"/>
    <w:rsid w:val="009067CA"/>
    <w:rsid w:val="009068A5"/>
    <w:rsid w:val="009068BF"/>
    <w:rsid w:val="009068C1"/>
    <w:rsid w:val="009068D5"/>
    <w:rsid w:val="00906939"/>
    <w:rsid w:val="009069FA"/>
    <w:rsid w:val="00906ABC"/>
    <w:rsid w:val="00906B87"/>
    <w:rsid w:val="00906B98"/>
    <w:rsid w:val="00906BAE"/>
    <w:rsid w:val="00906C12"/>
    <w:rsid w:val="00906C1B"/>
    <w:rsid w:val="00906CC8"/>
    <w:rsid w:val="00906D37"/>
    <w:rsid w:val="00906EE5"/>
    <w:rsid w:val="009071F5"/>
    <w:rsid w:val="00907272"/>
    <w:rsid w:val="00907330"/>
    <w:rsid w:val="00907354"/>
    <w:rsid w:val="009073C6"/>
    <w:rsid w:val="009074DB"/>
    <w:rsid w:val="0090759F"/>
    <w:rsid w:val="0090765C"/>
    <w:rsid w:val="009076FD"/>
    <w:rsid w:val="00907759"/>
    <w:rsid w:val="00907771"/>
    <w:rsid w:val="0090780C"/>
    <w:rsid w:val="00907819"/>
    <w:rsid w:val="009078D7"/>
    <w:rsid w:val="009079CB"/>
    <w:rsid w:val="00907A05"/>
    <w:rsid w:val="00907AFE"/>
    <w:rsid w:val="00907B0B"/>
    <w:rsid w:val="00907CC5"/>
    <w:rsid w:val="00907CD1"/>
    <w:rsid w:val="00907DB5"/>
    <w:rsid w:val="00907E2F"/>
    <w:rsid w:val="00907E4D"/>
    <w:rsid w:val="00907FCF"/>
    <w:rsid w:val="0091014A"/>
    <w:rsid w:val="0091014F"/>
    <w:rsid w:val="009101A2"/>
    <w:rsid w:val="00910280"/>
    <w:rsid w:val="00910289"/>
    <w:rsid w:val="00910298"/>
    <w:rsid w:val="009102F1"/>
    <w:rsid w:val="009104CC"/>
    <w:rsid w:val="009105D1"/>
    <w:rsid w:val="00910611"/>
    <w:rsid w:val="009106E7"/>
    <w:rsid w:val="0091083C"/>
    <w:rsid w:val="0091090F"/>
    <w:rsid w:val="00910946"/>
    <w:rsid w:val="00910951"/>
    <w:rsid w:val="009109B8"/>
    <w:rsid w:val="009109FF"/>
    <w:rsid w:val="00910A50"/>
    <w:rsid w:val="00910ADC"/>
    <w:rsid w:val="00910AF6"/>
    <w:rsid w:val="00910B08"/>
    <w:rsid w:val="00910B4E"/>
    <w:rsid w:val="00910BAD"/>
    <w:rsid w:val="00910DE3"/>
    <w:rsid w:val="00910E40"/>
    <w:rsid w:val="00910E44"/>
    <w:rsid w:val="00910EF5"/>
    <w:rsid w:val="00910F48"/>
    <w:rsid w:val="00910FCC"/>
    <w:rsid w:val="00910FF5"/>
    <w:rsid w:val="009110A1"/>
    <w:rsid w:val="009110FA"/>
    <w:rsid w:val="00911111"/>
    <w:rsid w:val="009111ED"/>
    <w:rsid w:val="00911235"/>
    <w:rsid w:val="00911272"/>
    <w:rsid w:val="009112ED"/>
    <w:rsid w:val="009112FA"/>
    <w:rsid w:val="00911378"/>
    <w:rsid w:val="00911399"/>
    <w:rsid w:val="00911626"/>
    <w:rsid w:val="009116DC"/>
    <w:rsid w:val="00911706"/>
    <w:rsid w:val="0091179B"/>
    <w:rsid w:val="009118CB"/>
    <w:rsid w:val="009118EE"/>
    <w:rsid w:val="00911A53"/>
    <w:rsid w:val="00911A75"/>
    <w:rsid w:val="00911AC4"/>
    <w:rsid w:val="00911C35"/>
    <w:rsid w:val="00911CBD"/>
    <w:rsid w:val="00911D38"/>
    <w:rsid w:val="00911DF5"/>
    <w:rsid w:val="00911E9C"/>
    <w:rsid w:val="00911EA2"/>
    <w:rsid w:val="00911F5D"/>
    <w:rsid w:val="00911FB2"/>
    <w:rsid w:val="00912035"/>
    <w:rsid w:val="0091206D"/>
    <w:rsid w:val="0091209E"/>
    <w:rsid w:val="009120F2"/>
    <w:rsid w:val="0091214A"/>
    <w:rsid w:val="00912159"/>
    <w:rsid w:val="009121B5"/>
    <w:rsid w:val="009121ED"/>
    <w:rsid w:val="0091222B"/>
    <w:rsid w:val="00912232"/>
    <w:rsid w:val="0091229A"/>
    <w:rsid w:val="0091229C"/>
    <w:rsid w:val="009122A4"/>
    <w:rsid w:val="00912383"/>
    <w:rsid w:val="009123DB"/>
    <w:rsid w:val="0091249C"/>
    <w:rsid w:val="00912554"/>
    <w:rsid w:val="00912575"/>
    <w:rsid w:val="00912586"/>
    <w:rsid w:val="009125AC"/>
    <w:rsid w:val="009125C3"/>
    <w:rsid w:val="00912676"/>
    <w:rsid w:val="00912678"/>
    <w:rsid w:val="009126A7"/>
    <w:rsid w:val="009126D1"/>
    <w:rsid w:val="009126E3"/>
    <w:rsid w:val="009127A6"/>
    <w:rsid w:val="00912888"/>
    <w:rsid w:val="009128BB"/>
    <w:rsid w:val="009128D3"/>
    <w:rsid w:val="009128E8"/>
    <w:rsid w:val="00912944"/>
    <w:rsid w:val="0091297C"/>
    <w:rsid w:val="009129DD"/>
    <w:rsid w:val="00912A4D"/>
    <w:rsid w:val="00912A9E"/>
    <w:rsid w:val="00912AC8"/>
    <w:rsid w:val="00912AE3"/>
    <w:rsid w:val="00912B47"/>
    <w:rsid w:val="00912C26"/>
    <w:rsid w:val="00912C68"/>
    <w:rsid w:val="00912C6F"/>
    <w:rsid w:val="00912D22"/>
    <w:rsid w:val="00912D3D"/>
    <w:rsid w:val="00912E04"/>
    <w:rsid w:val="00912E3D"/>
    <w:rsid w:val="00912E44"/>
    <w:rsid w:val="00912EAD"/>
    <w:rsid w:val="00912F30"/>
    <w:rsid w:val="00912FC6"/>
    <w:rsid w:val="00913047"/>
    <w:rsid w:val="009130D9"/>
    <w:rsid w:val="009130E5"/>
    <w:rsid w:val="00913105"/>
    <w:rsid w:val="0091311A"/>
    <w:rsid w:val="009131FB"/>
    <w:rsid w:val="009132FE"/>
    <w:rsid w:val="0091330C"/>
    <w:rsid w:val="00913389"/>
    <w:rsid w:val="009133E9"/>
    <w:rsid w:val="009134A2"/>
    <w:rsid w:val="00913543"/>
    <w:rsid w:val="00913574"/>
    <w:rsid w:val="009136E5"/>
    <w:rsid w:val="00913740"/>
    <w:rsid w:val="009137AA"/>
    <w:rsid w:val="009137F4"/>
    <w:rsid w:val="00913888"/>
    <w:rsid w:val="009138F5"/>
    <w:rsid w:val="009138F9"/>
    <w:rsid w:val="00913904"/>
    <w:rsid w:val="00913AC0"/>
    <w:rsid w:val="00913B13"/>
    <w:rsid w:val="00913BB5"/>
    <w:rsid w:val="00913C17"/>
    <w:rsid w:val="00913C6E"/>
    <w:rsid w:val="00913CE5"/>
    <w:rsid w:val="00913D7E"/>
    <w:rsid w:val="00913D9A"/>
    <w:rsid w:val="00913DD9"/>
    <w:rsid w:val="00913DFF"/>
    <w:rsid w:val="00913E40"/>
    <w:rsid w:val="00913E47"/>
    <w:rsid w:val="00913E7D"/>
    <w:rsid w:val="00913EC7"/>
    <w:rsid w:val="00913EE2"/>
    <w:rsid w:val="00913F06"/>
    <w:rsid w:val="00913F30"/>
    <w:rsid w:val="00913F5C"/>
    <w:rsid w:val="00913FBB"/>
    <w:rsid w:val="00914000"/>
    <w:rsid w:val="009140D6"/>
    <w:rsid w:val="00914140"/>
    <w:rsid w:val="009141C8"/>
    <w:rsid w:val="0091422C"/>
    <w:rsid w:val="00914345"/>
    <w:rsid w:val="00914386"/>
    <w:rsid w:val="00914396"/>
    <w:rsid w:val="0091448E"/>
    <w:rsid w:val="00914579"/>
    <w:rsid w:val="009145A6"/>
    <w:rsid w:val="00914615"/>
    <w:rsid w:val="00914621"/>
    <w:rsid w:val="00914625"/>
    <w:rsid w:val="00914641"/>
    <w:rsid w:val="0091465F"/>
    <w:rsid w:val="00914706"/>
    <w:rsid w:val="00914727"/>
    <w:rsid w:val="009147AD"/>
    <w:rsid w:val="009147C1"/>
    <w:rsid w:val="009147F6"/>
    <w:rsid w:val="0091481C"/>
    <w:rsid w:val="00914827"/>
    <w:rsid w:val="00914876"/>
    <w:rsid w:val="00914882"/>
    <w:rsid w:val="00914934"/>
    <w:rsid w:val="00914A45"/>
    <w:rsid w:val="00914A94"/>
    <w:rsid w:val="00914AE4"/>
    <w:rsid w:val="00914B20"/>
    <w:rsid w:val="00914B39"/>
    <w:rsid w:val="00914BA1"/>
    <w:rsid w:val="00914C2D"/>
    <w:rsid w:val="00914C6A"/>
    <w:rsid w:val="00914D12"/>
    <w:rsid w:val="00914D42"/>
    <w:rsid w:val="00914E13"/>
    <w:rsid w:val="00914E4D"/>
    <w:rsid w:val="00914ECB"/>
    <w:rsid w:val="00914ED1"/>
    <w:rsid w:val="00914EF2"/>
    <w:rsid w:val="00915017"/>
    <w:rsid w:val="009150B5"/>
    <w:rsid w:val="009150EA"/>
    <w:rsid w:val="009150F9"/>
    <w:rsid w:val="00915260"/>
    <w:rsid w:val="009152C7"/>
    <w:rsid w:val="0091530A"/>
    <w:rsid w:val="0091547C"/>
    <w:rsid w:val="009154A9"/>
    <w:rsid w:val="00915508"/>
    <w:rsid w:val="0091550F"/>
    <w:rsid w:val="00915614"/>
    <w:rsid w:val="009156F5"/>
    <w:rsid w:val="00915705"/>
    <w:rsid w:val="009157EF"/>
    <w:rsid w:val="009159E3"/>
    <w:rsid w:val="00915B74"/>
    <w:rsid w:val="00915BC5"/>
    <w:rsid w:val="00915BF7"/>
    <w:rsid w:val="00915C28"/>
    <w:rsid w:val="00915C79"/>
    <w:rsid w:val="00915CC7"/>
    <w:rsid w:val="00915D22"/>
    <w:rsid w:val="00915D32"/>
    <w:rsid w:val="00915D6D"/>
    <w:rsid w:val="00915E33"/>
    <w:rsid w:val="00915F71"/>
    <w:rsid w:val="00915FB9"/>
    <w:rsid w:val="00916008"/>
    <w:rsid w:val="0091608D"/>
    <w:rsid w:val="009160C2"/>
    <w:rsid w:val="009160C3"/>
    <w:rsid w:val="009160E6"/>
    <w:rsid w:val="0091617C"/>
    <w:rsid w:val="0091619A"/>
    <w:rsid w:val="009161E6"/>
    <w:rsid w:val="0091626C"/>
    <w:rsid w:val="009162B1"/>
    <w:rsid w:val="009162D4"/>
    <w:rsid w:val="0091648D"/>
    <w:rsid w:val="009164B0"/>
    <w:rsid w:val="009164D8"/>
    <w:rsid w:val="009164EB"/>
    <w:rsid w:val="00916535"/>
    <w:rsid w:val="0091657D"/>
    <w:rsid w:val="0091658C"/>
    <w:rsid w:val="0091661C"/>
    <w:rsid w:val="0091670F"/>
    <w:rsid w:val="0091675B"/>
    <w:rsid w:val="009167B1"/>
    <w:rsid w:val="0091685D"/>
    <w:rsid w:val="00916A26"/>
    <w:rsid w:val="00916A87"/>
    <w:rsid w:val="00916A98"/>
    <w:rsid w:val="00916ADB"/>
    <w:rsid w:val="00916B18"/>
    <w:rsid w:val="00916B63"/>
    <w:rsid w:val="00916BD1"/>
    <w:rsid w:val="00916C01"/>
    <w:rsid w:val="00916CBD"/>
    <w:rsid w:val="00916D72"/>
    <w:rsid w:val="00916D85"/>
    <w:rsid w:val="00916DC7"/>
    <w:rsid w:val="00916E0F"/>
    <w:rsid w:val="00916E8F"/>
    <w:rsid w:val="00916F2E"/>
    <w:rsid w:val="00916F77"/>
    <w:rsid w:val="00916F7C"/>
    <w:rsid w:val="00917033"/>
    <w:rsid w:val="009171D0"/>
    <w:rsid w:val="00917272"/>
    <w:rsid w:val="009172D3"/>
    <w:rsid w:val="009172EC"/>
    <w:rsid w:val="00917337"/>
    <w:rsid w:val="009173DA"/>
    <w:rsid w:val="009174BB"/>
    <w:rsid w:val="009174EF"/>
    <w:rsid w:val="0091750E"/>
    <w:rsid w:val="00917516"/>
    <w:rsid w:val="00917519"/>
    <w:rsid w:val="00917613"/>
    <w:rsid w:val="0091762F"/>
    <w:rsid w:val="00917668"/>
    <w:rsid w:val="009177AD"/>
    <w:rsid w:val="00917805"/>
    <w:rsid w:val="0091782B"/>
    <w:rsid w:val="00917837"/>
    <w:rsid w:val="009178D9"/>
    <w:rsid w:val="00917904"/>
    <w:rsid w:val="00917949"/>
    <w:rsid w:val="0091795C"/>
    <w:rsid w:val="0091797E"/>
    <w:rsid w:val="009179D0"/>
    <w:rsid w:val="00917A9A"/>
    <w:rsid w:val="00917BB8"/>
    <w:rsid w:val="00917BDF"/>
    <w:rsid w:val="00917C18"/>
    <w:rsid w:val="00917C1F"/>
    <w:rsid w:val="00917E46"/>
    <w:rsid w:val="00917E53"/>
    <w:rsid w:val="00917EDC"/>
    <w:rsid w:val="00917F11"/>
    <w:rsid w:val="00917F86"/>
    <w:rsid w:val="00920034"/>
    <w:rsid w:val="009200C8"/>
    <w:rsid w:val="009200DA"/>
    <w:rsid w:val="009200F5"/>
    <w:rsid w:val="00920133"/>
    <w:rsid w:val="009201E4"/>
    <w:rsid w:val="009201FC"/>
    <w:rsid w:val="00920266"/>
    <w:rsid w:val="009202B4"/>
    <w:rsid w:val="0092033B"/>
    <w:rsid w:val="0092049A"/>
    <w:rsid w:val="009204FA"/>
    <w:rsid w:val="0092053D"/>
    <w:rsid w:val="00920565"/>
    <w:rsid w:val="00920639"/>
    <w:rsid w:val="00920757"/>
    <w:rsid w:val="00920815"/>
    <w:rsid w:val="0092083C"/>
    <w:rsid w:val="00920858"/>
    <w:rsid w:val="0092085F"/>
    <w:rsid w:val="00920889"/>
    <w:rsid w:val="009208BC"/>
    <w:rsid w:val="009209AE"/>
    <w:rsid w:val="00920A85"/>
    <w:rsid w:val="00920A98"/>
    <w:rsid w:val="00920AA7"/>
    <w:rsid w:val="00920AE1"/>
    <w:rsid w:val="00920B01"/>
    <w:rsid w:val="00920B58"/>
    <w:rsid w:val="00920B82"/>
    <w:rsid w:val="00920C4A"/>
    <w:rsid w:val="00920C74"/>
    <w:rsid w:val="00920C86"/>
    <w:rsid w:val="00920C8D"/>
    <w:rsid w:val="00920D69"/>
    <w:rsid w:val="00920DD5"/>
    <w:rsid w:val="00920FEF"/>
    <w:rsid w:val="0092100C"/>
    <w:rsid w:val="009210DF"/>
    <w:rsid w:val="009210F0"/>
    <w:rsid w:val="00921105"/>
    <w:rsid w:val="009211E5"/>
    <w:rsid w:val="0092124F"/>
    <w:rsid w:val="0092125C"/>
    <w:rsid w:val="0092130A"/>
    <w:rsid w:val="00921491"/>
    <w:rsid w:val="00921531"/>
    <w:rsid w:val="0092156C"/>
    <w:rsid w:val="00921645"/>
    <w:rsid w:val="00921675"/>
    <w:rsid w:val="009216F2"/>
    <w:rsid w:val="009217F6"/>
    <w:rsid w:val="00921954"/>
    <w:rsid w:val="009219B4"/>
    <w:rsid w:val="009219CC"/>
    <w:rsid w:val="00921A4A"/>
    <w:rsid w:val="00921A7E"/>
    <w:rsid w:val="00921B1B"/>
    <w:rsid w:val="00921B2E"/>
    <w:rsid w:val="00921B3C"/>
    <w:rsid w:val="00921B7F"/>
    <w:rsid w:val="00921BFE"/>
    <w:rsid w:val="00921D38"/>
    <w:rsid w:val="00921DC1"/>
    <w:rsid w:val="00921E4C"/>
    <w:rsid w:val="00921ED4"/>
    <w:rsid w:val="00921ED5"/>
    <w:rsid w:val="00921F2F"/>
    <w:rsid w:val="00922090"/>
    <w:rsid w:val="009220F8"/>
    <w:rsid w:val="00922112"/>
    <w:rsid w:val="009221BD"/>
    <w:rsid w:val="009221FE"/>
    <w:rsid w:val="0092220A"/>
    <w:rsid w:val="00922265"/>
    <w:rsid w:val="0092231A"/>
    <w:rsid w:val="00922335"/>
    <w:rsid w:val="009223F0"/>
    <w:rsid w:val="0092244E"/>
    <w:rsid w:val="0092245E"/>
    <w:rsid w:val="009224C1"/>
    <w:rsid w:val="009226F2"/>
    <w:rsid w:val="0092273C"/>
    <w:rsid w:val="0092285E"/>
    <w:rsid w:val="0092286A"/>
    <w:rsid w:val="009228C5"/>
    <w:rsid w:val="009228CD"/>
    <w:rsid w:val="00922902"/>
    <w:rsid w:val="00922993"/>
    <w:rsid w:val="009229E5"/>
    <w:rsid w:val="00922B99"/>
    <w:rsid w:val="00922C11"/>
    <w:rsid w:val="00922C27"/>
    <w:rsid w:val="00922C6F"/>
    <w:rsid w:val="00922CE6"/>
    <w:rsid w:val="00922D40"/>
    <w:rsid w:val="00922D53"/>
    <w:rsid w:val="00922DDD"/>
    <w:rsid w:val="00922E59"/>
    <w:rsid w:val="00922E6D"/>
    <w:rsid w:val="00922F7E"/>
    <w:rsid w:val="00922FB4"/>
    <w:rsid w:val="00923085"/>
    <w:rsid w:val="009230C7"/>
    <w:rsid w:val="009230E5"/>
    <w:rsid w:val="009231C5"/>
    <w:rsid w:val="00923265"/>
    <w:rsid w:val="00923267"/>
    <w:rsid w:val="0092328B"/>
    <w:rsid w:val="00923296"/>
    <w:rsid w:val="009232B3"/>
    <w:rsid w:val="009232F9"/>
    <w:rsid w:val="00923427"/>
    <w:rsid w:val="009234A6"/>
    <w:rsid w:val="0092352E"/>
    <w:rsid w:val="00923538"/>
    <w:rsid w:val="009235B5"/>
    <w:rsid w:val="009235BC"/>
    <w:rsid w:val="009235E0"/>
    <w:rsid w:val="009235EC"/>
    <w:rsid w:val="0092367A"/>
    <w:rsid w:val="0092380F"/>
    <w:rsid w:val="0092393F"/>
    <w:rsid w:val="0092394A"/>
    <w:rsid w:val="0092395E"/>
    <w:rsid w:val="00923A0D"/>
    <w:rsid w:val="00923A7C"/>
    <w:rsid w:val="00923A94"/>
    <w:rsid w:val="00923B1B"/>
    <w:rsid w:val="00923B1C"/>
    <w:rsid w:val="00923B7A"/>
    <w:rsid w:val="00923B81"/>
    <w:rsid w:val="00923C29"/>
    <w:rsid w:val="00923CFF"/>
    <w:rsid w:val="00923D03"/>
    <w:rsid w:val="00923D23"/>
    <w:rsid w:val="00923D7C"/>
    <w:rsid w:val="00923DA7"/>
    <w:rsid w:val="00923FC0"/>
    <w:rsid w:val="00923FD2"/>
    <w:rsid w:val="009240E2"/>
    <w:rsid w:val="00924112"/>
    <w:rsid w:val="0092415C"/>
    <w:rsid w:val="00924229"/>
    <w:rsid w:val="00924250"/>
    <w:rsid w:val="00924283"/>
    <w:rsid w:val="009242B4"/>
    <w:rsid w:val="0092438C"/>
    <w:rsid w:val="009243F1"/>
    <w:rsid w:val="0092454D"/>
    <w:rsid w:val="009245DC"/>
    <w:rsid w:val="00924662"/>
    <w:rsid w:val="00924717"/>
    <w:rsid w:val="0092474C"/>
    <w:rsid w:val="00924852"/>
    <w:rsid w:val="009248C7"/>
    <w:rsid w:val="0092490F"/>
    <w:rsid w:val="00924A50"/>
    <w:rsid w:val="00924ABD"/>
    <w:rsid w:val="00924B0E"/>
    <w:rsid w:val="00924B89"/>
    <w:rsid w:val="00924BDA"/>
    <w:rsid w:val="00924C23"/>
    <w:rsid w:val="00924C31"/>
    <w:rsid w:val="00924D7C"/>
    <w:rsid w:val="00924D94"/>
    <w:rsid w:val="00924EAD"/>
    <w:rsid w:val="00924ED3"/>
    <w:rsid w:val="00924EFA"/>
    <w:rsid w:val="00924FCB"/>
    <w:rsid w:val="009250DC"/>
    <w:rsid w:val="009251AB"/>
    <w:rsid w:val="009251C7"/>
    <w:rsid w:val="009252E5"/>
    <w:rsid w:val="009253D8"/>
    <w:rsid w:val="009253E6"/>
    <w:rsid w:val="00925479"/>
    <w:rsid w:val="0092548C"/>
    <w:rsid w:val="00925496"/>
    <w:rsid w:val="0092549E"/>
    <w:rsid w:val="00925556"/>
    <w:rsid w:val="009255B7"/>
    <w:rsid w:val="00925762"/>
    <w:rsid w:val="00925793"/>
    <w:rsid w:val="009257F4"/>
    <w:rsid w:val="00925813"/>
    <w:rsid w:val="00925874"/>
    <w:rsid w:val="009258DB"/>
    <w:rsid w:val="00925970"/>
    <w:rsid w:val="009259E3"/>
    <w:rsid w:val="009259FB"/>
    <w:rsid w:val="00925AD6"/>
    <w:rsid w:val="00925B30"/>
    <w:rsid w:val="00925B46"/>
    <w:rsid w:val="00925B61"/>
    <w:rsid w:val="00925BCB"/>
    <w:rsid w:val="00925D01"/>
    <w:rsid w:val="00925D64"/>
    <w:rsid w:val="00925DD7"/>
    <w:rsid w:val="00925E1E"/>
    <w:rsid w:val="00925E6B"/>
    <w:rsid w:val="00925E77"/>
    <w:rsid w:val="00925E93"/>
    <w:rsid w:val="00925F6A"/>
    <w:rsid w:val="00925F70"/>
    <w:rsid w:val="00926021"/>
    <w:rsid w:val="0092612D"/>
    <w:rsid w:val="009262E2"/>
    <w:rsid w:val="0092635C"/>
    <w:rsid w:val="00926381"/>
    <w:rsid w:val="0092639C"/>
    <w:rsid w:val="0092642C"/>
    <w:rsid w:val="0092643C"/>
    <w:rsid w:val="0092646C"/>
    <w:rsid w:val="009264BD"/>
    <w:rsid w:val="00926517"/>
    <w:rsid w:val="00926536"/>
    <w:rsid w:val="0092655A"/>
    <w:rsid w:val="00926587"/>
    <w:rsid w:val="009265A2"/>
    <w:rsid w:val="009265B9"/>
    <w:rsid w:val="009265CC"/>
    <w:rsid w:val="009266F0"/>
    <w:rsid w:val="00926787"/>
    <w:rsid w:val="00926803"/>
    <w:rsid w:val="009268A2"/>
    <w:rsid w:val="00926975"/>
    <w:rsid w:val="0092698A"/>
    <w:rsid w:val="00926B9D"/>
    <w:rsid w:val="00926C0A"/>
    <w:rsid w:val="00926CF5"/>
    <w:rsid w:val="00926DCA"/>
    <w:rsid w:val="00926E10"/>
    <w:rsid w:val="00926E8F"/>
    <w:rsid w:val="00926FAD"/>
    <w:rsid w:val="00927067"/>
    <w:rsid w:val="00927069"/>
    <w:rsid w:val="0092708B"/>
    <w:rsid w:val="009270A0"/>
    <w:rsid w:val="0092712A"/>
    <w:rsid w:val="009271C7"/>
    <w:rsid w:val="009271F3"/>
    <w:rsid w:val="00927205"/>
    <w:rsid w:val="00927214"/>
    <w:rsid w:val="0092728D"/>
    <w:rsid w:val="009272D1"/>
    <w:rsid w:val="0092733F"/>
    <w:rsid w:val="00927417"/>
    <w:rsid w:val="0092754D"/>
    <w:rsid w:val="0092763C"/>
    <w:rsid w:val="00927709"/>
    <w:rsid w:val="009278EA"/>
    <w:rsid w:val="00927987"/>
    <w:rsid w:val="00927A03"/>
    <w:rsid w:val="00927A15"/>
    <w:rsid w:val="00927A8F"/>
    <w:rsid w:val="00927B11"/>
    <w:rsid w:val="00927B17"/>
    <w:rsid w:val="00927BC7"/>
    <w:rsid w:val="00927C36"/>
    <w:rsid w:val="00927C53"/>
    <w:rsid w:val="00927D51"/>
    <w:rsid w:val="00927D7F"/>
    <w:rsid w:val="00927E26"/>
    <w:rsid w:val="00927E9D"/>
    <w:rsid w:val="00927F7F"/>
    <w:rsid w:val="00927F9F"/>
    <w:rsid w:val="00930089"/>
    <w:rsid w:val="009300BE"/>
    <w:rsid w:val="009301C7"/>
    <w:rsid w:val="009301F9"/>
    <w:rsid w:val="00930299"/>
    <w:rsid w:val="00930342"/>
    <w:rsid w:val="00930354"/>
    <w:rsid w:val="0093037C"/>
    <w:rsid w:val="00930395"/>
    <w:rsid w:val="009304A6"/>
    <w:rsid w:val="00930513"/>
    <w:rsid w:val="0093055E"/>
    <w:rsid w:val="00930588"/>
    <w:rsid w:val="00930598"/>
    <w:rsid w:val="009305CD"/>
    <w:rsid w:val="00930604"/>
    <w:rsid w:val="00930607"/>
    <w:rsid w:val="009306BC"/>
    <w:rsid w:val="009306D2"/>
    <w:rsid w:val="009306EF"/>
    <w:rsid w:val="0093070B"/>
    <w:rsid w:val="009307A8"/>
    <w:rsid w:val="009308D5"/>
    <w:rsid w:val="00930A76"/>
    <w:rsid w:val="00930AEC"/>
    <w:rsid w:val="00930C89"/>
    <w:rsid w:val="00930CFF"/>
    <w:rsid w:val="00930E18"/>
    <w:rsid w:val="00930FA4"/>
    <w:rsid w:val="00930FB4"/>
    <w:rsid w:val="00930FD6"/>
    <w:rsid w:val="00930FDB"/>
    <w:rsid w:val="00931068"/>
    <w:rsid w:val="00931080"/>
    <w:rsid w:val="00931130"/>
    <w:rsid w:val="0093113A"/>
    <w:rsid w:val="0093114F"/>
    <w:rsid w:val="00931171"/>
    <w:rsid w:val="00931199"/>
    <w:rsid w:val="009311EA"/>
    <w:rsid w:val="009311FA"/>
    <w:rsid w:val="00931224"/>
    <w:rsid w:val="00931230"/>
    <w:rsid w:val="00931289"/>
    <w:rsid w:val="009312A1"/>
    <w:rsid w:val="0093133C"/>
    <w:rsid w:val="0093145B"/>
    <w:rsid w:val="00931510"/>
    <w:rsid w:val="0093165A"/>
    <w:rsid w:val="009316A5"/>
    <w:rsid w:val="009317F2"/>
    <w:rsid w:val="009318E5"/>
    <w:rsid w:val="00931917"/>
    <w:rsid w:val="00931936"/>
    <w:rsid w:val="009319F9"/>
    <w:rsid w:val="00931B15"/>
    <w:rsid w:val="00931B5F"/>
    <w:rsid w:val="00931B62"/>
    <w:rsid w:val="00931B74"/>
    <w:rsid w:val="00931C76"/>
    <w:rsid w:val="00931CAA"/>
    <w:rsid w:val="00931D0E"/>
    <w:rsid w:val="00931E05"/>
    <w:rsid w:val="00931E0D"/>
    <w:rsid w:val="00931E49"/>
    <w:rsid w:val="00931EAE"/>
    <w:rsid w:val="00931F44"/>
    <w:rsid w:val="0093204B"/>
    <w:rsid w:val="00932138"/>
    <w:rsid w:val="00932157"/>
    <w:rsid w:val="0093217B"/>
    <w:rsid w:val="009321EE"/>
    <w:rsid w:val="009322D2"/>
    <w:rsid w:val="009322D3"/>
    <w:rsid w:val="009322EB"/>
    <w:rsid w:val="0093231A"/>
    <w:rsid w:val="00932389"/>
    <w:rsid w:val="00932493"/>
    <w:rsid w:val="0093253D"/>
    <w:rsid w:val="00932578"/>
    <w:rsid w:val="009325AC"/>
    <w:rsid w:val="00932646"/>
    <w:rsid w:val="00932649"/>
    <w:rsid w:val="00932670"/>
    <w:rsid w:val="00932846"/>
    <w:rsid w:val="009328CF"/>
    <w:rsid w:val="009328D3"/>
    <w:rsid w:val="0093298A"/>
    <w:rsid w:val="009329ED"/>
    <w:rsid w:val="00932A3D"/>
    <w:rsid w:val="00932A7F"/>
    <w:rsid w:val="00932AA2"/>
    <w:rsid w:val="00932AED"/>
    <w:rsid w:val="00932BAA"/>
    <w:rsid w:val="00932C19"/>
    <w:rsid w:val="00932CCE"/>
    <w:rsid w:val="00932D3D"/>
    <w:rsid w:val="00932DC6"/>
    <w:rsid w:val="00932DC9"/>
    <w:rsid w:val="00932E32"/>
    <w:rsid w:val="00932E5D"/>
    <w:rsid w:val="00932EAB"/>
    <w:rsid w:val="00932EEC"/>
    <w:rsid w:val="00932F2A"/>
    <w:rsid w:val="00932FD5"/>
    <w:rsid w:val="0093308F"/>
    <w:rsid w:val="009330C5"/>
    <w:rsid w:val="009330CB"/>
    <w:rsid w:val="009332B0"/>
    <w:rsid w:val="009332D6"/>
    <w:rsid w:val="00933338"/>
    <w:rsid w:val="00933376"/>
    <w:rsid w:val="009333F4"/>
    <w:rsid w:val="009334BD"/>
    <w:rsid w:val="00933504"/>
    <w:rsid w:val="00933510"/>
    <w:rsid w:val="00933552"/>
    <w:rsid w:val="0093367C"/>
    <w:rsid w:val="009336FF"/>
    <w:rsid w:val="0093384A"/>
    <w:rsid w:val="00933851"/>
    <w:rsid w:val="0093385B"/>
    <w:rsid w:val="0093387A"/>
    <w:rsid w:val="009338E4"/>
    <w:rsid w:val="009338FC"/>
    <w:rsid w:val="00933926"/>
    <w:rsid w:val="0093398F"/>
    <w:rsid w:val="009339FE"/>
    <w:rsid w:val="00933A68"/>
    <w:rsid w:val="00933B0F"/>
    <w:rsid w:val="00933B28"/>
    <w:rsid w:val="00933C76"/>
    <w:rsid w:val="00933CA6"/>
    <w:rsid w:val="00933D0A"/>
    <w:rsid w:val="00933D58"/>
    <w:rsid w:val="00933DDA"/>
    <w:rsid w:val="00933DDE"/>
    <w:rsid w:val="00933E4E"/>
    <w:rsid w:val="00933EF0"/>
    <w:rsid w:val="00934131"/>
    <w:rsid w:val="009341BD"/>
    <w:rsid w:val="009341D6"/>
    <w:rsid w:val="009341EF"/>
    <w:rsid w:val="00934247"/>
    <w:rsid w:val="0093424C"/>
    <w:rsid w:val="009342B1"/>
    <w:rsid w:val="009342EF"/>
    <w:rsid w:val="00934325"/>
    <w:rsid w:val="00934368"/>
    <w:rsid w:val="009343B0"/>
    <w:rsid w:val="00934444"/>
    <w:rsid w:val="0093445B"/>
    <w:rsid w:val="0093449E"/>
    <w:rsid w:val="00934539"/>
    <w:rsid w:val="0093453E"/>
    <w:rsid w:val="00934548"/>
    <w:rsid w:val="009345E9"/>
    <w:rsid w:val="00934664"/>
    <w:rsid w:val="00934870"/>
    <w:rsid w:val="0093488A"/>
    <w:rsid w:val="009348D0"/>
    <w:rsid w:val="009348D4"/>
    <w:rsid w:val="0093492B"/>
    <w:rsid w:val="00934960"/>
    <w:rsid w:val="00934A8B"/>
    <w:rsid w:val="00934AFE"/>
    <w:rsid w:val="00934B21"/>
    <w:rsid w:val="00934B26"/>
    <w:rsid w:val="00934B90"/>
    <w:rsid w:val="00934CD3"/>
    <w:rsid w:val="00934CFA"/>
    <w:rsid w:val="00934D0D"/>
    <w:rsid w:val="00934D64"/>
    <w:rsid w:val="00934D71"/>
    <w:rsid w:val="00934DD2"/>
    <w:rsid w:val="00934EB7"/>
    <w:rsid w:val="00934ECC"/>
    <w:rsid w:val="00934EEC"/>
    <w:rsid w:val="00934FD8"/>
    <w:rsid w:val="009350AA"/>
    <w:rsid w:val="00935109"/>
    <w:rsid w:val="009351A5"/>
    <w:rsid w:val="009351AC"/>
    <w:rsid w:val="009351B7"/>
    <w:rsid w:val="0093525E"/>
    <w:rsid w:val="0093530E"/>
    <w:rsid w:val="0093533F"/>
    <w:rsid w:val="00935449"/>
    <w:rsid w:val="009354BB"/>
    <w:rsid w:val="009354E6"/>
    <w:rsid w:val="0093552B"/>
    <w:rsid w:val="0093573A"/>
    <w:rsid w:val="00935759"/>
    <w:rsid w:val="0093583F"/>
    <w:rsid w:val="00935887"/>
    <w:rsid w:val="009358B1"/>
    <w:rsid w:val="00935903"/>
    <w:rsid w:val="0093594C"/>
    <w:rsid w:val="009359EF"/>
    <w:rsid w:val="00935AB5"/>
    <w:rsid w:val="00935BA8"/>
    <w:rsid w:val="00935BCC"/>
    <w:rsid w:val="00935E54"/>
    <w:rsid w:val="00935E5C"/>
    <w:rsid w:val="00935E63"/>
    <w:rsid w:val="00935E65"/>
    <w:rsid w:val="00935ED0"/>
    <w:rsid w:val="00935FC6"/>
    <w:rsid w:val="0093606C"/>
    <w:rsid w:val="00936074"/>
    <w:rsid w:val="00936096"/>
    <w:rsid w:val="009360D7"/>
    <w:rsid w:val="00936273"/>
    <w:rsid w:val="009362AA"/>
    <w:rsid w:val="009362FA"/>
    <w:rsid w:val="00936394"/>
    <w:rsid w:val="00936399"/>
    <w:rsid w:val="009363BA"/>
    <w:rsid w:val="00936408"/>
    <w:rsid w:val="0093644C"/>
    <w:rsid w:val="0093647A"/>
    <w:rsid w:val="00936506"/>
    <w:rsid w:val="00936595"/>
    <w:rsid w:val="009365D8"/>
    <w:rsid w:val="0093666F"/>
    <w:rsid w:val="00936846"/>
    <w:rsid w:val="00936858"/>
    <w:rsid w:val="009368A8"/>
    <w:rsid w:val="0093691D"/>
    <w:rsid w:val="0093699E"/>
    <w:rsid w:val="009369D8"/>
    <w:rsid w:val="00936A83"/>
    <w:rsid w:val="00936A96"/>
    <w:rsid w:val="00936ACF"/>
    <w:rsid w:val="00936B5D"/>
    <w:rsid w:val="00936BCF"/>
    <w:rsid w:val="00936C3E"/>
    <w:rsid w:val="00936C9A"/>
    <w:rsid w:val="00936CD2"/>
    <w:rsid w:val="00936D84"/>
    <w:rsid w:val="00936DCE"/>
    <w:rsid w:val="00936DD1"/>
    <w:rsid w:val="00936DFB"/>
    <w:rsid w:val="00936E02"/>
    <w:rsid w:val="00936FBF"/>
    <w:rsid w:val="009370E3"/>
    <w:rsid w:val="009371FB"/>
    <w:rsid w:val="0093722D"/>
    <w:rsid w:val="009372DF"/>
    <w:rsid w:val="00937335"/>
    <w:rsid w:val="0093751D"/>
    <w:rsid w:val="0093752D"/>
    <w:rsid w:val="00937554"/>
    <w:rsid w:val="0093756D"/>
    <w:rsid w:val="00937574"/>
    <w:rsid w:val="00937607"/>
    <w:rsid w:val="00937629"/>
    <w:rsid w:val="0093766D"/>
    <w:rsid w:val="0093780D"/>
    <w:rsid w:val="00937A20"/>
    <w:rsid w:val="00937AA9"/>
    <w:rsid w:val="00937B08"/>
    <w:rsid w:val="00937BA7"/>
    <w:rsid w:val="00937BE1"/>
    <w:rsid w:val="00937C38"/>
    <w:rsid w:val="00937D3D"/>
    <w:rsid w:val="00937D9F"/>
    <w:rsid w:val="00937EA0"/>
    <w:rsid w:val="00937EB3"/>
    <w:rsid w:val="00937F79"/>
    <w:rsid w:val="00937FF8"/>
    <w:rsid w:val="0094000B"/>
    <w:rsid w:val="0094004A"/>
    <w:rsid w:val="009400F0"/>
    <w:rsid w:val="00940191"/>
    <w:rsid w:val="00940258"/>
    <w:rsid w:val="009402FC"/>
    <w:rsid w:val="00940312"/>
    <w:rsid w:val="0094032A"/>
    <w:rsid w:val="0094034C"/>
    <w:rsid w:val="00940358"/>
    <w:rsid w:val="00940414"/>
    <w:rsid w:val="009404E4"/>
    <w:rsid w:val="0094059D"/>
    <w:rsid w:val="009405AB"/>
    <w:rsid w:val="009405E4"/>
    <w:rsid w:val="009405F7"/>
    <w:rsid w:val="0094072B"/>
    <w:rsid w:val="009407AB"/>
    <w:rsid w:val="009407B6"/>
    <w:rsid w:val="0094081B"/>
    <w:rsid w:val="00940849"/>
    <w:rsid w:val="00940925"/>
    <w:rsid w:val="00940984"/>
    <w:rsid w:val="0094098E"/>
    <w:rsid w:val="00940A01"/>
    <w:rsid w:val="00940A24"/>
    <w:rsid w:val="00940A75"/>
    <w:rsid w:val="00940AB6"/>
    <w:rsid w:val="00940ADD"/>
    <w:rsid w:val="00940B74"/>
    <w:rsid w:val="00940BE6"/>
    <w:rsid w:val="00940BEA"/>
    <w:rsid w:val="00940DBB"/>
    <w:rsid w:val="00940E0A"/>
    <w:rsid w:val="00940E16"/>
    <w:rsid w:val="00940E2A"/>
    <w:rsid w:val="00940E49"/>
    <w:rsid w:val="00940E9C"/>
    <w:rsid w:val="00940EED"/>
    <w:rsid w:val="00940EF5"/>
    <w:rsid w:val="00940F60"/>
    <w:rsid w:val="00940F62"/>
    <w:rsid w:val="00940FD9"/>
    <w:rsid w:val="009410BE"/>
    <w:rsid w:val="009410EF"/>
    <w:rsid w:val="00941116"/>
    <w:rsid w:val="009411F3"/>
    <w:rsid w:val="00941227"/>
    <w:rsid w:val="0094124C"/>
    <w:rsid w:val="0094125B"/>
    <w:rsid w:val="0094127D"/>
    <w:rsid w:val="00941307"/>
    <w:rsid w:val="00941318"/>
    <w:rsid w:val="0094132B"/>
    <w:rsid w:val="0094137B"/>
    <w:rsid w:val="00941392"/>
    <w:rsid w:val="00941405"/>
    <w:rsid w:val="00941418"/>
    <w:rsid w:val="0094147B"/>
    <w:rsid w:val="00941529"/>
    <w:rsid w:val="00941577"/>
    <w:rsid w:val="00941662"/>
    <w:rsid w:val="00941718"/>
    <w:rsid w:val="009417BC"/>
    <w:rsid w:val="00941818"/>
    <w:rsid w:val="00941824"/>
    <w:rsid w:val="00941860"/>
    <w:rsid w:val="009418E6"/>
    <w:rsid w:val="009418FE"/>
    <w:rsid w:val="00941993"/>
    <w:rsid w:val="00941A02"/>
    <w:rsid w:val="00941A4E"/>
    <w:rsid w:val="00941A63"/>
    <w:rsid w:val="00941A8A"/>
    <w:rsid w:val="00941A9F"/>
    <w:rsid w:val="00941B65"/>
    <w:rsid w:val="00941B90"/>
    <w:rsid w:val="00941C15"/>
    <w:rsid w:val="00941CAF"/>
    <w:rsid w:val="00941D3C"/>
    <w:rsid w:val="00941D93"/>
    <w:rsid w:val="00941EA8"/>
    <w:rsid w:val="00941F8D"/>
    <w:rsid w:val="00942109"/>
    <w:rsid w:val="009422A8"/>
    <w:rsid w:val="00942317"/>
    <w:rsid w:val="0094234D"/>
    <w:rsid w:val="009423D3"/>
    <w:rsid w:val="009423EB"/>
    <w:rsid w:val="009424A5"/>
    <w:rsid w:val="00942529"/>
    <w:rsid w:val="0094253B"/>
    <w:rsid w:val="00942579"/>
    <w:rsid w:val="009425BF"/>
    <w:rsid w:val="00942659"/>
    <w:rsid w:val="009427B1"/>
    <w:rsid w:val="0094282B"/>
    <w:rsid w:val="009428B7"/>
    <w:rsid w:val="00942930"/>
    <w:rsid w:val="0094298B"/>
    <w:rsid w:val="00942A74"/>
    <w:rsid w:val="00942AC0"/>
    <w:rsid w:val="00942AD7"/>
    <w:rsid w:val="00942C12"/>
    <w:rsid w:val="00942D27"/>
    <w:rsid w:val="00942D86"/>
    <w:rsid w:val="00942D97"/>
    <w:rsid w:val="00942E38"/>
    <w:rsid w:val="00942E70"/>
    <w:rsid w:val="00942E87"/>
    <w:rsid w:val="00942EB4"/>
    <w:rsid w:val="0094310B"/>
    <w:rsid w:val="00943262"/>
    <w:rsid w:val="009433BC"/>
    <w:rsid w:val="00943475"/>
    <w:rsid w:val="009434B3"/>
    <w:rsid w:val="00943514"/>
    <w:rsid w:val="0094376C"/>
    <w:rsid w:val="00943790"/>
    <w:rsid w:val="009437E8"/>
    <w:rsid w:val="0094384B"/>
    <w:rsid w:val="00943882"/>
    <w:rsid w:val="0094388C"/>
    <w:rsid w:val="00943A04"/>
    <w:rsid w:val="00943A3C"/>
    <w:rsid w:val="00943A4E"/>
    <w:rsid w:val="00943A74"/>
    <w:rsid w:val="00943A8B"/>
    <w:rsid w:val="00943B58"/>
    <w:rsid w:val="00943B9A"/>
    <w:rsid w:val="00943BE9"/>
    <w:rsid w:val="00943BFC"/>
    <w:rsid w:val="00943C16"/>
    <w:rsid w:val="00943CBB"/>
    <w:rsid w:val="00943CBF"/>
    <w:rsid w:val="00943CED"/>
    <w:rsid w:val="00943E5D"/>
    <w:rsid w:val="00943E70"/>
    <w:rsid w:val="00943EE8"/>
    <w:rsid w:val="00943EF9"/>
    <w:rsid w:val="00943F2E"/>
    <w:rsid w:val="00943FC5"/>
    <w:rsid w:val="0094414C"/>
    <w:rsid w:val="00944183"/>
    <w:rsid w:val="0094421F"/>
    <w:rsid w:val="0094424B"/>
    <w:rsid w:val="009442ED"/>
    <w:rsid w:val="009442FF"/>
    <w:rsid w:val="00944352"/>
    <w:rsid w:val="0094437E"/>
    <w:rsid w:val="0094439D"/>
    <w:rsid w:val="009443C3"/>
    <w:rsid w:val="00944463"/>
    <w:rsid w:val="0094448D"/>
    <w:rsid w:val="0094459F"/>
    <w:rsid w:val="009446BA"/>
    <w:rsid w:val="009447D6"/>
    <w:rsid w:val="00944835"/>
    <w:rsid w:val="00944889"/>
    <w:rsid w:val="009448E6"/>
    <w:rsid w:val="009449BC"/>
    <w:rsid w:val="00944A2E"/>
    <w:rsid w:val="00944A35"/>
    <w:rsid w:val="00944AB4"/>
    <w:rsid w:val="00944BDB"/>
    <w:rsid w:val="00944C23"/>
    <w:rsid w:val="00944C2C"/>
    <w:rsid w:val="00944C85"/>
    <w:rsid w:val="00944CB6"/>
    <w:rsid w:val="00944CF8"/>
    <w:rsid w:val="00944DAC"/>
    <w:rsid w:val="00944E89"/>
    <w:rsid w:val="00944ECA"/>
    <w:rsid w:val="00944FA5"/>
    <w:rsid w:val="00944FBA"/>
    <w:rsid w:val="00944FC5"/>
    <w:rsid w:val="00944FE4"/>
    <w:rsid w:val="009450B7"/>
    <w:rsid w:val="0094513D"/>
    <w:rsid w:val="0094515A"/>
    <w:rsid w:val="00945164"/>
    <w:rsid w:val="009452E0"/>
    <w:rsid w:val="00945411"/>
    <w:rsid w:val="00945518"/>
    <w:rsid w:val="00945569"/>
    <w:rsid w:val="009455B7"/>
    <w:rsid w:val="009455C9"/>
    <w:rsid w:val="00945636"/>
    <w:rsid w:val="00945649"/>
    <w:rsid w:val="0094564F"/>
    <w:rsid w:val="00945732"/>
    <w:rsid w:val="00945752"/>
    <w:rsid w:val="009457A7"/>
    <w:rsid w:val="009457D6"/>
    <w:rsid w:val="00945908"/>
    <w:rsid w:val="00945912"/>
    <w:rsid w:val="00945928"/>
    <w:rsid w:val="0094594C"/>
    <w:rsid w:val="00945959"/>
    <w:rsid w:val="0094599A"/>
    <w:rsid w:val="009459C2"/>
    <w:rsid w:val="009459CA"/>
    <w:rsid w:val="00945AD5"/>
    <w:rsid w:val="00945AD9"/>
    <w:rsid w:val="00945B06"/>
    <w:rsid w:val="00945B49"/>
    <w:rsid w:val="00945B8F"/>
    <w:rsid w:val="00945BD8"/>
    <w:rsid w:val="00945C29"/>
    <w:rsid w:val="00945C7E"/>
    <w:rsid w:val="00945C96"/>
    <w:rsid w:val="00945C9C"/>
    <w:rsid w:val="00945D21"/>
    <w:rsid w:val="00945E41"/>
    <w:rsid w:val="00945EB9"/>
    <w:rsid w:val="00945F8C"/>
    <w:rsid w:val="00945F92"/>
    <w:rsid w:val="00945FAF"/>
    <w:rsid w:val="009460A7"/>
    <w:rsid w:val="00946282"/>
    <w:rsid w:val="00946296"/>
    <w:rsid w:val="00946405"/>
    <w:rsid w:val="00946440"/>
    <w:rsid w:val="0094655A"/>
    <w:rsid w:val="0094656A"/>
    <w:rsid w:val="0094670A"/>
    <w:rsid w:val="009468DE"/>
    <w:rsid w:val="00946945"/>
    <w:rsid w:val="00946974"/>
    <w:rsid w:val="0094699C"/>
    <w:rsid w:val="009469FB"/>
    <w:rsid w:val="00946A20"/>
    <w:rsid w:val="00946A7A"/>
    <w:rsid w:val="00946A81"/>
    <w:rsid w:val="00946A9A"/>
    <w:rsid w:val="00946ADA"/>
    <w:rsid w:val="00946B5F"/>
    <w:rsid w:val="00946B9B"/>
    <w:rsid w:val="00946CE7"/>
    <w:rsid w:val="00946D1F"/>
    <w:rsid w:val="00946D23"/>
    <w:rsid w:val="00946D25"/>
    <w:rsid w:val="00946D38"/>
    <w:rsid w:val="00946D68"/>
    <w:rsid w:val="00946DE2"/>
    <w:rsid w:val="00946E18"/>
    <w:rsid w:val="00946E60"/>
    <w:rsid w:val="00946E8A"/>
    <w:rsid w:val="00946ED4"/>
    <w:rsid w:val="00946F2A"/>
    <w:rsid w:val="00946F46"/>
    <w:rsid w:val="00946FA6"/>
    <w:rsid w:val="00947072"/>
    <w:rsid w:val="00947083"/>
    <w:rsid w:val="00947257"/>
    <w:rsid w:val="009472CF"/>
    <w:rsid w:val="00947364"/>
    <w:rsid w:val="009473C0"/>
    <w:rsid w:val="00947410"/>
    <w:rsid w:val="00947436"/>
    <w:rsid w:val="0094746D"/>
    <w:rsid w:val="009474EF"/>
    <w:rsid w:val="0094757E"/>
    <w:rsid w:val="00947692"/>
    <w:rsid w:val="00947740"/>
    <w:rsid w:val="009477B0"/>
    <w:rsid w:val="009477C4"/>
    <w:rsid w:val="009477E2"/>
    <w:rsid w:val="0094780C"/>
    <w:rsid w:val="00947952"/>
    <w:rsid w:val="00947969"/>
    <w:rsid w:val="0094796A"/>
    <w:rsid w:val="009479AA"/>
    <w:rsid w:val="009479C3"/>
    <w:rsid w:val="00947AA4"/>
    <w:rsid w:val="00947AE1"/>
    <w:rsid w:val="00947B2C"/>
    <w:rsid w:val="00947C94"/>
    <w:rsid w:val="00947D0A"/>
    <w:rsid w:val="00947DC7"/>
    <w:rsid w:val="00947DFB"/>
    <w:rsid w:val="00947E27"/>
    <w:rsid w:val="00947E87"/>
    <w:rsid w:val="00947EA4"/>
    <w:rsid w:val="00947EDB"/>
    <w:rsid w:val="00947F13"/>
    <w:rsid w:val="00947FAE"/>
    <w:rsid w:val="00950080"/>
    <w:rsid w:val="009500F7"/>
    <w:rsid w:val="0095014C"/>
    <w:rsid w:val="00950196"/>
    <w:rsid w:val="009501C4"/>
    <w:rsid w:val="0095035A"/>
    <w:rsid w:val="00950496"/>
    <w:rsid w:val="0095053F"/>
    <w:rsid w:val="00950684"/>
    <w:rsid w:val="0095073C"/>
    <w:rsid w:val="00950818"/>
    <w:rsid w:val="00950855"/>
    <w:rsid w:val="009508FA"/>
    <w:rsid w:val="009508FC"/>
    <w:rsid w:val="0095090E"/>
    <w:rsid w:val="00950920"/>
    <w:rsid w:val="00950A74"/>
    <w:rsid w:val="00950BC2"/>
    <w:rsid w:val="00950BF9"/>
    <w:rsid w:val="00950C03"/>
    <w:rsid w:val="00950C6A"/>
    <w:rsid w:val="00950C89"/>
    <w:rsid w:val="00950D84"/>
    <w:rsid w:val="00950DB8"/>
    <w:rsid w:val="00950E24"/>
    <w:rsid w:val="00950E3C"/>
    <w:rsid w:val="00950E60"/>
    <w:rsid w:val="00950E6F"/>
    <w:rsid w:val="00950F1B"/>
    <w:rsid w:val="00950F33"/>
    <w:rsid w:val="00950FA9"/>
    <w:rsid w:val="0095101F"/>
    <w:rsid w:val="0095105E"/>
    <w:rsid w:val="009510E9"/>
    <w:rsid w:val="0095116B"/>
    <w:rsid w:val="009511BC"/>
    <w:rsid w:val="00951239"/>
    <w:rsid w:val="00951241"/>
    <w:rsid w:val="00951334"/>
    <w:rsid w:val="00951341"/>
    <w:rsid w:val="009513AC"/>
    <w:rsid w:val="009513AE"/>
    <w:rsid w:val="0095145C"/>
    <w:rsid w:val="009514B3"/>
    <w:rsid w:val="009514B6"/>
    <w:rsid w:val="00951553"/>
    <w:rsid w:val="00951556"/>
    <w:rsid w:val="009515AC"/>
    <w:rsid w:val="009515AE"/>
    <w:rsid w:val="009515E3"/>
    <w:rsid w:val="009515FF"/>
    <w:rsid w:val="00951626"/>
    <w:rsid w:val="009516BE"/>
    <w:rsid w:val="009517C4"/>
    <w:rsid w:val="009517D7"/>
    <w:rsid w:val="00951869"/>
    <w:rsid w:val="009519A0"/>
    <w:rsid w:val="009519E3"/>
    <w:rsid w:val="00951A12"/>
    <w:rsid w:val="00951BA8"/>
    <w:rsid w:val="00951BF8"/>
    <w:rsid w:val="00951C31"/>
    <w:rsid w:val="00951D43"/>
    <w:rsid w:val="00951D92"/>
    <w:rsid w:val="00951DA3"/>
    <w:rsid w:val="00951DFC"/>
    <w:rsid w:val="00951EBF"/>
    <w:rsid w:val="00951EDB"/>
    <w:rsid w:val="00951F0A"/>
    <w:rsid w:val="00951F66"/>
    <w:rsid w:val="00951FCB"/>
    <w:rsid w:val="0095204A"/>
    <w:rsid w:val="00952133"/>
    <w:rsid w:val="00952185"/>
    <w:rsid w:val="009521F1"/>
    <w:rsid w:val="00952289"/>
    <w:rsid w:val="009523AB"/>
    <w:rsid w:val="009523B6"/>
    <w:rsid w:val="009523E2"/>
    <w:rsid w:val="0095241C"/>
    <w:rsid w:val="00952564"/>
    <w:rsid w:val="0095263F"/>
    <w:rsid w:val="0095264D"/>
    <w:rsid w:val="0095269E"/>
    <w:rsid w:val="00952718"/>
    <w:rsid w:val="0095272A"/>
    <w:rsid w:val="009527B6"/>
    <w:rsid w:val="009528AA"/>
    <w:rsid w:val="00952957"/>
    <w:rsid w:val="00952973"/>
    <w:rsid w:val="009529BD"/>
    <w:rsid w:val="009529C2"/>
    <w:rsid w:val="009529EE"/>
    <w:rsid w:val="00952A60"/>
    <w:rsid w:val="00952A83"/>
    <w:rsid w:val="00952AA0"/>
    <w:rsid w:val="00952B78"/>
    <w:rsid w:val="00952C06"/>
    <w:rsid w:val="00952CDC"/>
    <w:rsid w:val="00952E1C"/>
    <w:rsid w:val="00953115"/>
    <w:rsid w:val="00953117"/>
    <w:rsid w:val="0095313D"/>
    <w:rsid w:val="0095319F"/>
    <w:rsid w:val="0095330E"/>
    <w:rsid w:val="00953310"/>
    <w:rsid w:val="009533F2"/>
    <w:rsid w:val="00953404"/>
    <w:rsid w:val="0095363B"/>
    <w:rsid w:val="00953657"/>
    <w:rsid w:val="0095366D"/>
    <w:rsid w:val="00953681"/>
    <w:rsid w:val="00953717"/>
    <w:rsid w:val="0095374C"/>
    <w:rsid w:val="00953752"/>
    <w:rsid w:val="00953774"/>
    <w:rsid w:val="00953830"/>
    <w:rsid w:val="00953849"/>
    <w:rsid w:val="009538BD"/>
    <w:rsid w:val="0095391D"/>
    <w:rsid w:val="0095395F"/>
    <w:rsid w:val="00953980"/>
    <w:rsid w:val="00953A34"/>
    <w:rsid w:val="00953BB3"/>
    <w:rsid w:val="00953BDD"/>
    <w:rsid w:val="00953C91"/>
    <w:rsid w:val="00953D03"/>
    <w:rsid w:val="00953D3C"/>
    <w:rsid w:val="00953D89"/>
    <w:rsid w:val="00953E3D"/>
    <w:rsid w:val="00953EA4"/>
    <w:rsid w:val="00953FD5"/>
    <w:rsid w:val="00954027"/>
    <w:rsid w:val="0095414E"/>
    <w:rsid w:val="009541FA"/>
    <w:rsid w:val="00954201"/>
    <w:rsid w:val="00954225"/>
    <w:rsid w:val="00954229"/>
    <w:rsid w:val="0095422F"/>
    <w:rsid w:val="00954249"/>
    <w:rsid w:val="009542BC"/>
    <w:rsid w:val="009542F5"/>
    <w:rsid w:val="009543A3"/>
    <w:rsid w:val="009543A7"/>
    <w:rsid w:val="00954460"/>
    <w:rsid w:val="00954465"/>
    <w:rsid w:val="0095449B"/>
    <w:rsid w:val="009545E6"/>
    <w:rsid w:val="0095469D"/>
    <w:rsid w:val="00954713"/>
    <w:rsid w:val="0095481B"/>
    <w:rsid w:val="00954897"/>
    <w:rsid w:val="00954926"/>
    <w:rsid w:val="00954968"/>
    <w:rsid w:val="00954A11"/>
    <w:rsid w:val="00954ACD"/>
    <w:rsid w:val="00954B25"/>
    <w:rsid w:val="00954C0E"/>
    <w:rsid w:val="00954C67"/>
    <w:rsid w:val="00954D4F"/>
    <w:rsid w:val="00954D6B"/>
    <w:rsid w:val="00954D8B"/>
    <w:rsid w:val="00954DDE"/>
    <w:rsid w:val="00954DE2"/>
    <w:rsid w:val="00954E6D"/>
    <w:rsid w:val="00954E93"/>
    <w:rsid w:val="00954EC4"/>
    <w:rsid w:val="00954ECE"/>
    <w:rsid w:val="00954F1B"/>
    <w:rsid w:val="00954F8E"/>
    <w:rsid w:val="00954FAF"/>
    <w:rsid w:val="00954FDA"/>
    <w:rsid w:val="009550F1"/>
    <w:rsid w:val="0095514E"/>
    <w:rsid w:val="009551AE"/>
    <w:rsid w:val="009551CC"/>
    <w:rsid w:val="00955256"/>
    <w:rsid w:val="0095525F"/>
    <w:rsid w:val="009552F3"/>
    <w:rsid w:val="00955449"/>
    <w:rsid w:val="00955479"/>
    <w:rsid w:val="00955510"/>
    <w:rsid w:val="0095563E"/>
    <w:rsid w:val="009556AB"/>
    <w:rsid w:val="00955824"/>
    <w:rsid w:val="00955829"/>
    <w:rsid w:val="0095585C"/>
    <w:rsid w:val="009558BA"/>
    <w:rsid w:val="009558DD"/>
    <w:rsid w:val="00955999"/>
    <w:rsid w:val="009559C7"/>
    <w:rsid w:val="00955A34"/>
    <w:rsid w:val="00955AA9"/>
    <w:rsid w:val="00955ADA"/>
    <w:rsid w:val="00955AEA"/>
    <w:rsid w:val="00955AF4"/>
    <w:rsid w:val="00955C16"/>
    <w:rsid w:val="00955C80"/>
    <w:rsid w:val="00955D0D"/>
    <w:rsid w:val="00955DA5"/>
    <w:rsid w:val="00955DAF"/>
    <w:rsid w:val="00955E26"/>
    <w:rsid w:val="00955E90"/>
    <w:rsid w:val="00955E9D"/>
    <w:rsid w:val="00955F2B"/>
    <w:rsid w:val="00955FC1"/>
    <w:rsid w:val="0095601D"/>
    <w:rsid w:val="009561D1"/>
    <w:rsid w:val="009562CB"/>
    <w:rsid w:val="00956340"/>
    <w:rsid w:val="00956408"/>
    <w:rsid w:val="0095648D"/>
    <w:rsid w:val="009564CE"/>
    <w:rsid w:val="009564F5"/>
    <w:rsid w:val="00956523"/>
    <w:rsid w:val="009565DA"/>
    <w:rsid w:val="009565E3"/>
    <w:rsid w:val="009566B0"/>
    <w:rsid w:val="009566B9"/>
    <w:rsid w:val="0095676C"/>
    <w:rsid w:val="00956947"/>
    <w:rsid w:val="009569B7"/>
    <w:rsid w:val="009569FF"/>
    <w:rsid w:val="00956A15"/>
    <w:rsid w:val="00956A4C"/>
    <w:rsid w:val="00956BBF"/>
    <w:rsid w:val="00956BC6"/>
    <w:rsid w:val="00956C2B"/>
    <w:rsid w:val="00956C8C"/>
    <w:rsid w:val="00956D27"/>
    <w:rsid w:val="00956D53"/>
    <w:rsid w:val="00956D7F"/>
    <w:rsid w:val="00956DCC"/>
    <w:rsid w:val="00956DF2"/>
    <w:rsid w:val="00956DFA"/>
    <w:rsid w:val="00956EC3"/>
    <w:rsid w:val="00956EF1"/>
    <w:rsid w:val="00956F0F"/>
    <w:rsid w:val="00956F3B"/>
    <w:rsid w:val="00957210"/>
    <w:rsid w:val="00957241"/>
    <w:rsid w:val="009572BE"/>
    <w:rsid w:val="00957352"/>
    <w:rsid w:val="009573F9"/>
    <w:rsid w:val="00957401"/>
    <w:rsid w:val="00957433"/>
    <w:rsid w:val="00957534"/>
    <w:rsid w:val="0095755D"/>
    <w:rsid w:val="00957561"/>
    <w:rsid w:val="0095759E"/>
    <w:rsid w:val="009575BD"/>
    <w:rsid w:val="00957652"/>
    <w:rsid w:val="009576A0"/>
    <w:rsid w:val="009576A2"/>
    <w:rsid w:val="009576BA"/>
    <w:rsid w:val="009576CD"/>
    <w:rsid w:val="0095771E"/>
    <w:rsid w:val="00957723"/>
    <w:rsid w:val="00957861"/>
    <w:rsid w:val="009578D5"/>
    <w:rsid w:val="0095794A"/>
    <w:rsid w:val="009579CB"/>
    <w:rsid w:val="00957A7A"/>
    <w:rsid w:val="00957AA9"/>
    <w:rsid w:val="00957AB7"/>
    <w:rsid w:val="00957B41"/>
    <w:rsid w:val="00957BAC"/>
    <w:rsid w:val="00957C48"/>
    <w:rsid w:val="00957D04"/>
    <w:rsid w:val="00957D2D"/>
    <w:rsid w:val="00957D97"/>
    <w:rsid w:val="00957EA9"/>
    <w:rsid w:val="00957F09"/>
    <w:rsid w:val="00957F52"/>
    <w:rsid w:val="00957F5F"/>
    <w:rsid w:val="00957F96"/>
    <w:rsid w:val="00960022"/>
    <w:rsid w:val="00960098"/>
    <w:rsid w:val="009601C6"/>
    <w:rsid w:val="009601C7"/>
    <w:rsid w:val="0096025A"/>
    <w:rsid w:val="00960367"/>
    <w:rsid w:val="00960398"/>
    <w:rsid w:val="009604AE"/>
    <w:rsid w:val="0096062D"/>
    <w:rsid w:val="009606EC"/>
    <w:rsid w:val="00960761"/>
    <w:rsid w:val="00960778"/>
    <w:rsid w:val="00960792"/>
    <w:rsid w:val="009607BA"/>
    <w:rsid w:val="009607F7"/>
    <w:rsid w:val="0096080B"/>
    <w:rsid w:val="0096083E"/>
    <w:rsid w:val="00960870"/>
    <w:rsid w:val="00960873"/>
    <w:rsid w:val="009608E7"/>
    <w:rsid w:val="00960960"/>
    <w:rsid w:val="00960965"/>
    <w:rsid w:val="00960984"/>
    <w:rsid w:val="00960A1A"/>
    <w:rsid w:val="00960A98"/>
    <w:rsid w:val="00960AB3"/>
    <w:rsid w:val="00960AFB"/>
    <w:rsid w:val="00960B61"/>
    <w:rsid w:val="00960B9C"/>
    <w:rsid w:val="00960BA2"/>
    <w:rsid w:val="00960C04"/>
    <w:rsid w:val="00960C18"/>
    <w:rsid w:val="00960CFD"/>
    <w:rsid w:val="00960D68"/>
    <w:rsid w:val="00960DC5"/>
    <w:rsid w:val="00960DD1"/>
    <w:rsid w:val="00960E15"/>
    <w:rsid w:val="00960EA7"/>
    <w:rsid w:val="00960EC3"/>
    <w:rsid w:val="00960F53"/>
    <w:rsid w:val="00960FD9"/>
    <w:rsid w:val="0096100E"/>
    <w:rsid w:val="00961018"/>
    <w:rsid w:val="0096103C"/>
    <w:rsid w:val="0096108A"/>
    <w:rsid w:val="00961105"/>
    <w:rsid w:val="009611F4"/>
    <w:rsid w:val="0096121C"/>
    <w:rsid w:val="0096126B"/>
    <w:rsid w:val="00961288"/>
    <w:rsid w:val="009612BE"/>
    <w:rsid w:val="0096132E"/>
    <w:rsid w:val="0096139A"/>
    <w:rsid w:val="009613BF"/>
    <w:rsid w:val="009613E1"/>
    <w:rsid w:val="00961485"/>
    <w:rsid w:val="009614B0"/>
    <w:rsid w:val="0096150A"/>
    <w:rsid w:val="00961517"/>
    <w:rsid w:val="00961548"/>
    <w:rsid w:val="0096158F"/>
    <w:rsid w:val="00961627"/>
    <w:rsid w:val="009616AA"/>
    <w:rsid w:val="00961749"/>
    <w:rsid w:val="00961789"/>
    <w:rsid w:val="00961795"/>
    <w:rsid w:val="0096179B"/>
    <w:rsid w:val="009617E2"/>
    <w:rsid w:val="00961815"/>
    <w:rsid w:val="0096197A"/>
    <w:rsid w:val="0096197B"/>
    <w:rsid w:val="0096199B"/>
    <w:rsid w:val="009619C9"/>
    <w:rsid w:val="009619DF"/>
    <w:rsid w:val="009619F8"/>
    <w:rsid w:val="00961A64"/>
    <w:rsid w:val="00961ADE"/>
    <w:rsid w:val="00961AE1"/>
    <w:rsid w:val="00961AF1"/>
    <w:rsid w:val="00961B0A"/>
    <w:rsid w:val="00961B99"/>
    <w:rsid w:val="00961B9A"/>
    <w:rsid w:val="00961BF2"/>
    <w:rsid w:val="00961C2A"/>
    <w:rsid w:val="00961C9F"/>
    <w:rsid w:val="00961EF3"/>
    <w:rsid w:val="0096202D"/>
    <w:rsid w:val="00962186"/>
    <w:rsid w:val="009621ED"/>
    <w:rsid w:val="00962263"/>
    <w:rsid w:val="009622A7"/>
    <w:rsid w:val="00962322"/>
    <w:rsid w:val="0096232E"/>
    <w:rsid w:val="0096237F"/>
    <w:rsid w:val="00962398"/>
    <w:rsid w:val="009623BF"/>
    <w:rsid w:val="0096240F"/>
    <w:rsid w:val="00962463"/>
    <w:rsid w:val="00962519"/>
    <w:rsid w:val="0096252C"/>
    <w:rsid w:val="009625E8"/>
    <w:rsid w:val="009625F3"/>
    <w:rsid w:val="00962617"/>
    <w:rsid w:val="009626C4"/>
    <w:rsid w:val="009626EB"/>
    <w:rsid w:val="0096274F"/>
    <w:rsid w:val="00962771"/>
    <w:rsid w:val="0096278E"/>
    <w:rsid w:val="0096282D"/>
    <w:rsid w:val="0096283A"/>
    <w:rsid w:val="00962845"/>
    <w:rsid w:val="009628C7"/>
    <w:rsid w:val="00962950"/>
    <w:rsid w:val="009629C3"/>
    <w:rsid w:val="00962A18"/>
    <w:rsid w:val="00962A39"/>
    <w:rsid w:val="00962B7D"/>
    <w:rsid w:val="00962BFA"/>
    <w:rsid w:val="00962C3F"/>
    <w:rsid w:val="00962D33"/>
    <w:rsid w:val="00962D68"/>
    <w:rsid w:val="00962D7F"/>
    <w:rsid w:val="00962D84"/>
    <w:rsid w:val="00962DDC"/>
    <w:rsid w:val="00962E73"/>
    <w:rsid w:val="00962EB8"/>
    <w:rsid w:val="00962F1F"/>
    <w:rsid w:val="00962F93"/>
    <w:rsid w:val="00963013"/>
    <w:rsid w:val="009630A6"/>
    <w:rsid w:val="009630DB"/>
    <w:rsid w:val="0096327F"/>
    <w:rsid w:val="0096328E"/>
    <w:rsid w:val="009632F4"/>
    <w:rsid w:val="009633D7"/>
    <w:rsid w:val="0096345A"/>
    <w:rsid w:val="00963548"/>
    <w:rsid w:val="0096356D"/>
    <w:rsid w:val="00963634"/>
    <w:rsid w:val="009637F2"/>
    <w:rsid w:val="009637FC"/>
    <w:rsid w:val="00963829"/>
    <w:rsid w:val="009639A0"/>
    <w:rsid w:val="00963A1D"/>
    <w:rsid w:val="00963AB5"/>
    <w:rsid w:val="00963AC3"/>
    <w:rsid w:val="00963AF1"/>
    <w:rsid w:val="00963AFA"/>
    <w:rsid w:val="00963B3B"/>
    <w:rsid w:val="00963B59"/>
    <w:rsid w:val="00963B63"/>
    <w:rsid w:val="00963B6C"/>
    <w:rsid w:val="00963C10"/>
    <w:rsid w:val="00963C12"/>
    <w:rsid w:val="00963C70"/>
    <w:rsid w:val="00963CFA"/>
    <w:rsid w:val="00963D5A"/>
    <w:rsid w:val="00963E4D"/>
    <w:rsid w:val="00963E5E"/>
    <w:rsid w:val="00963EF6"/>
    <w:rsid w:val="00963F28"/>
    <w:rsid w:val="00963FCB"/>
    <w:rsid w:val="0096402E"/>
    <w:rsid w:val="00964085"/>
    <w:rsid w:val="009640E4"/>
    <w:rsid w:val="00964105"/>
    <w:rsid w:val="00964186"/>
    <w:rsid w:val="009641B1"/>
    <w:rsid w:val="00964293"/>
    <w:rsid w:val="009642A7"/>
    <w:rsid w:val="009642EA"/>
    <w:rsid w:val="0096435B"/>
    <w:rsid w:val="009643A6"/>
    <w:rsid w:val="00964401"/>
    <w:rsid w:val="009644E0"/>
    <w:rsid w:val="00964569"/>
    <w:rsid w:val="0096457F"/>
    <w:rsid w:val="009645E3"/>
    <w:rsid w:val="009646A8"/>
    <w:rsid w:val="009646F0"/>
    <w:rsid w:val="00964767"/>
    <w:rsid w:val="009647B5"/>
    <w:rsid w:val="009647C5"/>
    <w:rsid w:val="00964862"/>
    <w:rsid w:val="00964877"/>
    <w:rsid w:val="0096488D"/>
    <w:rsid w:val="009649EC"/>
    <w:rsid w:val="009649F9"/>
    <w:rsid w:val="00964A06"/>
    <w:rsid w:val="00964A55"/>
    <w:rsid w:val="00964B48"/>
    <w:rsid w:val="00964B55"/>
    <w:rsid w:val="00964C45"/>
    <w:rsid w:val="00964C81"/>
    <w:rsid w:val="00964C87"/>
    <w:rsid w:val="00964EFE"/>
    <w:rsid w:val="00964F06"/>
    <w:rsid w:val="00964F20"/>
    <w:rsid w:val="00965070"/>
    <w:rsid w:val="0096507A"/>
    <w:rsid w:val="009650C5"/>
    <w:rsid w:val="00965353"/>
    <w:rsid w:val="0096535A"/>
    <w:rsid w:val="009653C2"/>
    <w:rsid w:val="00965526"/>
    <w:rsid w:val="009655C1"/>
    <w:rsid w:val="009655FA"/>
    <w:rsid w:val="0096563F"/>
    <w:rsid w:val="0096565C"/>
    <w:rsid w:val="009656D9"/>
    <w:rsid w:val="009656EA"/>
    <w:rsid w:val="0096577F"/>
    <w:rsid w:val="009657DE"/>
    <w:rsid w:val="009658F4"/>
    <w:rsid w:val="0096592A"/>
    <w:rsid w:val="0096595F"/>
    <w:rsid w:val="009659A5"/>
    <w:rsid w:val="00965A0C"/>
    <w:rsid w:val="00965A45"/>
    <w:rsid w:val="00965A8A"/>
    <w:rsid w:val="00965ACE"/>
    <w:rsid w:val="00965B61"/>
    <w:rsid w:val="00965C52"/>
    <w:rsid w:val="00965CC9"/>
    <w:rsid w:val="00965D53"/>
    <w:rsid w:val="00965DF4"/>
    <w:rsid w:val="00965E2B"/>
    <w:rsid w:val="00965E8C"/>
    <w:rsid w:val="00965E94"/>
    <w:rsid w:val="00965ECA"/>
    <w:rsid w:val="00965F69"/>
    <w:rsid w:val="00965FDC"/>
    <w:rsid w:val="00966046"/>
    <w:rsid w:val="0096608B"/>
    <w:rsid w:val="00966122"/>
    <w:rsid w:val="0096616A"/>
    <w:rsid w:val="00966185"/>
    <w:rsid w:val="0096625C"/>
    <w:rsid w:val="0096627E"/>
    <w:rsid w:val="0096634E"/>
    <w:rsid w:val="009663F0"/>
    <w:rsid w:val="00966401"/>
    <w:rsid w:val="00966404"/>
    <w:rsid w:val="00966443"/>
    <w:rsid w:val="00966481"/>
    <w:rsid w:val="0096650E"/>
    <w:rsid w:val="0096651B"/>
    <w:rsid w:val="00966582"/>
    <w:rsid w:val="0096660B"/>
    <w:rsid w:val="009666B4"/>
    <w:rsid w:val="00966746"/>
    <w:rsid w:val="00966769"/>
    <w:rsid w:val="0096676F"/>
    <w:rsid w:val="009667C3"/>
    <w:rsid w:val="00966904"/>
    <w:rsid w:val="00966B34"/>
    <w:rsid w:val="00966D43"/>
    <w:rsid w:val="00966D66"/>
    <w:rsid w:val="00966E39"/>
    <w:rsid w:val="00966EF8"/>
    <w:rsid w:val="00966F75"/>
    <w:rsid w:val="00966FA3"/>
    <w:rsid w:val="0096702C"/>
    <w:rsid w:val="00967087"/>
    <w:rsid w:val="00967112"/>
    <w:rsid w:val="00967290"/>
    <w:rsid w:val="009672FE"/>
    <w:rsid w:val="009674A5"/>
    <w:rsid w:val="009674BD"/>
    <w:rsid w:val="00967536"/>
    <w:rsid w:val="00967543"/>
    <w:rsid w:val="0096755A"/>
    <w:rsid w:val="009675B9"/>
    <w:rsid w:val="009675BA"/>
    <w:rsid w:val="009675E3"/>
    <w:rsid w:val="00967601"/>
    <w:rsid w:val="00967644"/>
    <w:rsid w:val="00967697"/>
    <w:rsid w:val="00967747"/>
    <w:rsid w:val="0096784B"/>
    <w:rsid w:val="00967929"/>
    <w:rsid w:val="0096796A"/>
    <w:rsid w:val="00967A65"/>
    <w:rsid w:val="00967A8D"/>
    <w:rsid w:val="00967A95"/>
    <w:rsid w:val="00967AA0"/>
    <w:rsid w:val="00967AC0"/>
    <w:rsid w:val="00967ADA"/>
    <w:rsid w:val="00967BEA"/>
    <w:rsid w:val="00967C27"/>
    <w:rsid w:val="00967C88"/>
    <w:rsid w:val="00967D7E"/>
    <w:rsid w:val="00967DC0"/>
    <w:rsid w:val="00967DD3"/>
    <w:rsid w:val="00967E76"/>
    <w:rsid w:val="00967EBA"/>
    <w:rsid w:val="0097007B"/>
    <w:rsid w:val="009700B8"/>
    <w:rsid w:val="00970107"/>
    <w:rsid w:val="00970186"/>
    <w:rsid w:val="0097023E"/>
    <w:rsid w:val="0097029A"/>
    <w:rsid w:val="009702A2"/>
    <w:rsid w:val="0097032F"/>
    <w:rsid w:val="00970393"/>
    <w:rsid w:val="009704AD"/>
    <w:rsid w:val="00970502"/>
    <w:rsid w:val="00970572"/>
    <w:rsid w:val="00970636"/>
    <w:rsid w:val="0097064D"/>
    <w:rsid w:val="0097066B"/>
    <w:rsid w:val="0097069E"/>
    <w:rsid w:val="009706A2"/>
    <w:rsid w:val="009706AB"/>
    <w:rsid w:val="009706AE"/>
    <w:rsid w:val="009706D4"/>
    <w:rsid w:val="00970761"/>
    <w:rsid w:val="00970806"/>
    <w:rsid w:val="0097082C"/>
    <w:rsid w:val="00970839"/>
    <w:rsid w:val="0097085C"/>
    <w:rsid w:val="009708D2"/>
    <w:rsid w:val="00970901"/>
    <w:rsid w:val="00970A5F"/>
    <w:rsid w:val="00970B4A"/>
    <w:rsid w:val="00970BDB"/>
    <w:rsid w:val="00970C7F"/>
    <w:rsid w:val="00970CC9"/>
    <w:rsid w:val="00970CE6"/>
    <w:rsid w:val="00970D00"/>
    <w:rsid w:val="00970D2D"/>
    <w:rsid w:val="00970D82"/>
    <w:rsid w:val="00970E66"/>
    <w:rsid w:val="00970E8A"/>
    <w:rsid w:val="00970EC0"/>
    <w:rsid w:val="00970ECA"/>
    <w:rsid w:val="00970F15"/>
    <w:rsid w:val="00970F6D"/>
    <w:rsid w:val="00970FBF"/>
    <w:rsid w:val="00970FD0"/>
    <w:rsid w:val="00971008"/>
    <w:rsid w:val="00971041"/>
    <w:rsid w:val="0097105F"/>
    <w:rsid w:val="00971095"/>
    <w:rsid w:val="009710AE"/>
    <w:rsid w:val="0097115E"/>
    <w:rsid w:val="009711BD"/>
    <w:rsid w:val="009711F6"/>
    <w:rsid w:val="0097124E"/>
    <w:rsid w:val="009713B3"/>
    <w:rsid w:val="009713BD"/>
    <w:rsid w:val="00971482"/>
    <w:rsid w:val="00971493"/>
    <w:rsid w:val="009714B9"/>
    <w:rsid w:val="009714D0"/>
    <w:rsid w:val="009714E7"/>
    <w:rsid w:val="009714F0"/>
    <w:rsid w:val="009715FE"/>
    <w:rsid w:val="009716C6"/>
    <w:rsid w:val="0097171D"/>
    <w:rsid w:val="00971764"/>
    <w:rsid w:val="009717B0"/>
    <w:rsid w:val="009717D8"/>
    <w:rsid w:val="00971872"/>
    <w:rsid w:val="009718F6"/>
    <w:rsid w:val="00971927"/>
    <w:rsid w:val="00971ABF"/>
    <w:rsid w:val="00971B9F"/>
    <w:rsid w:val="00971BB9"/>
    <w:rsid w:val="00971C11"/>
    <w:rsid w:val="00971C8B"/>
    <w:rsid w:val="00971D1B"/>
    <w:rsid w:val="00971DCA"/>
    <w:rsid w:val="00971DD1"/>
    <w:rsid w:val="00971E9C"/>
    <w:rsid w:val="0097204F"/>
    <w:rsid w:val="0097206D"/>
    <w:rsid w:val="0097217C"/>
    <w:rsid w:val="0097219F"/>
    <w:rsid w:val="009721E4"/>
    <w:rsid w:val="009721EC"/>
    <w:rsid w:val="00972238"/>
    <w:rsid w:val="0097223A"/>
    <w:rsid w:val="0097224B"/>
    <w:rsid w:val="009722C0"/>
    <w:rsid w:val="00972310"/>
    <w:rsid w:val="00972336"/>
    <w:rsid w:val="00972339"/>
    <w:rsid w:val="00972380"/>
    <w:rsid w:val="009723B7"/>
    <w:rsid w:val="009724B3"/>
    <w:rsid w:val="009725AF"/>
    <w:rsid w:val="009725BD"/>
    <w:rsid w:val="00972614"/>
    <w:rsid w:val="009726A8"/>
    <w:rsid w:val="00972703"/>
    <w:rsid w:val="00972708"/>
    <w:rsid w:val="009727E0"/>
    <w:rsid w:val="00972850"/>
    <w:rsid w:val="00972964"/>
    <w:rsid w:val="009729A1"/>
    <w:rsid w:val="009729AC"/>
    <w:rsid w:val="009729E3"/>
    <w:rsid w:val="00972A5D"/>
    <w:rsid w:val="00972A5E"/>
    <w:rsid w:val="00972A7D"/>
    <w:rsid w:val="00972BE2"/>
    <w:rsid w:val="00972BEA"/>
    <w:rsid w:val="00972D32"/>
    <w:rsid w:val="00972E20"/>
    <w:rsid w:val="00972F50"/>
    <w:rsid w:val="00972FF2"/>
    <w:rsid w:val="00973019"/>
    <w:rsid w:val="009730AA"/>
    <w:rsid w:val="009731CB"/>
    <w:rsid w:val="009731E0"/>
    <w:rsid w:val="009731E4"/>
    <w:rsid w:val="00973217"/>
    <w:rsid w:val="0097329F"/>
    <w:rsid w:val="00973319"/>
    <w:rsid w:val="00973329"/>
    <w:rsid w:val="00973346"/>
    <w:rsid w:val="00973379"/>
    <w:rsid w:val="00973393"/>
    <w:rsid w:val="009733B2"/>
    <w:rsid w:val="0097343A"/>
    <w:rsid w:val="0097348C"/>
    <w:rsid w:val="0097352E"/>
    <w:rsid w:val="0097365E"/>
    <w:rsid w:val="009736AB"/>
    <w:rsid w:val="009736C3"/>
    <w:rsid w:val="00973833"/>
    <w:rsid w:val="0097383C"/>
    <w:rsid w:val="009738F0"/>
    <w:rsid w:val="009739EF"/>
    <w:rsid w:val="00973A4B"/>
    <w:rsid w:val="00973ADE"/>
    <w:rsid w:val="00973B68"/>
    <w:rsid w:val="00973BF9"/>
    <w:rsid w:val="00973C24"/>
    <w:rsid w:val="00973C50"/>
    <w:rsid w:val="00973C9C"/>
    <w:rsid w:val="00973D8B"/>
    <w:rsid w:val="00973E5E"/>
    <w:rsid w:val="00973ED5"/>
    <w:rsid w:val="00973F80"/>
    <w:rsid w:val="00973FB8"/>
    <w:rsid w:val="00974022"/>
    <w:rsid w:val="0097403E"/>
    <w:rsid w:val="00974078"/>
    <w:rsid w:val="009740EB"/>
    <w:rsid w:val="009741CA"/>
    <w:rsid w:val="009742AB"/>
    <w:rsid w:val="0097433E"/>
    <w:rsid w:val="009743C9"/>
    <w:rsid w:val="00974492"/>
    <w:rsid w:val="009744C5"/>
    <w:rsid w:val="009744EC"/>
    <w:rsid w:val="00974567"/>
    <w:rsid w:val="009746B3"/>
    <w:rsid w:val="009747FB"/>
    <w:rsid w:val="0097484C"/>
    <w:rsid w:val="009748BF"/>
    <w:rsid w:val="009748ED"/>
    <w:rsid w:val="0097494D"/>
    <w:rsid w:val="00974A99"/>
    <w:rsid w:val="00974B4B"/>
    <w:rsid w:val="00974B86"/>
    <w:rsid w:val="00974B98"/>
    <w:rsid w:val="00974C43"/>
    <w:rsid w:val="00974C5C"/>
    <w:rsid w:val="00974D8C"/>
    <w:rsid w:val="00974E2F"/>
    <w:rsid w:val="00974EC7"/>
    <w:rsid w:val="00974F5D"/>
    <w:rsid w:val="00974FA3"/>
    <w:rsid w:val="009750B4"/>
    <w:rsid w:val="009750E6"/>
    <w:rsid w:val="0097522B"/>
    <w:rsid w:val="009752F3"/>
    <w:rsid w:val="0097539A"/>
    <w:rsid w:val="009753A9"/>
    <w:rsid w:val="00975419"/>
    <w:rsid w:val="009754CF"/>
    <w:rsid w:val="009754F2"/>
    <w:rsid w:val="00975558"/>
    <w:rsid w:val="009756AE"/>
    <w:rsid w:val="009756B0"/>
    <w:rsid w:val="009758F2"/>
    <w:rsid w:val="00975AC6"/>
    <w:rsid w:val="00975CA3"/>
    <w:rsid w:val="00975D5C"/>
    <w:rsid w:val="00975DED"/>
    <w:rsid w:val="00975E41"/>
    <w:rsid w:val="00976169"/>
    <w:rsid w:val="00976208"/>
    <w:rsid w:val="00976267"/>
    <w:rsid w:val="0097626E"/>
    <w:rsid w:val="009762C9"/>
    <w:rsid w:val="00976333"/>
    <w:rsid w:val="00976343"/>
    <w:rsid w:val="0097642D"/>
    <w:rsid w:val="00976457"/>
    <w:rsid w:val="0097647D"/>
    <w:rsid w:val="009764DA"/>
    <w:rsid w:val="00976551"/>
    <w:rsid w:val="0097662F"/>
    <w:rsid w:val="00976637"/>
    <w:rsid w:val="00976638"/>
    <w:rsid w:val="0097671D"/>
    <w:rsid w:val="00976750"/>
    <w:rsid w:val="009767C2"/>
    <w:rsid w:val="009767FD"/>
    <w:rsid w:val="00976937"/>
    <w:rsid w:val="00976974"/>
    <w:rsid w:val="009769A8"/>
    <w:rsid w:val="009769AA"/>
    <w:rsid w:val="00976A1E"/>
    <w:rsid w:val="00976A5A"/>
    <w:rsid w:val="00976A6D"/>
    <w:rsid w:val="00976B28"/>
    <w:rsid w:val="00976B37"/>
    <w:rsid w:val="00976B67"/>
    <w:rsid w:val="00976BA1"/>
    <w:rsid w:val="00976D58"/>
    <w:rsid w:val="00976D70"/>
    <w:rsid w:val="00976D93"/>
    <w:rsid w:val="00976E89"/>
    <w:rsid w:val="00976F35"/>
    <w:rsid w:val="00976F45"/>
    <w:rsid w:val="00976FC6"/>
    <w:rsid w:val="00977031"/>
    <w:rsid w:val="009770BB"/>
    <w:rsid w:val="009770EF"/>
    <w:rsid w:val="00977138"/>
    <w:rsid w:val="009771E9"/>
    <w:rsid w:val="00977205"/>
    <w:rsid w:val="0097721B"/>
    <w:rsid w:val="00977237"/>
    <w:rsid w:val="00977272"/>
    <w:rsid w:val="00977287"/>
    <w:rsid w:val="009772B8"/>
    <w:rsid w:val="0097732E"/>
    <w:rsid w:val="00977365"/>
    <w:rsid w:val="00977390"/>
    <w:rsid w:val="009773C2"/>
    <w:rsid w:val="009774B7"/>
    <w:rsid w:val="009775F2"/>
    <w:rsid w:val="009775F8"/>
    <w:rsid w:val="00977602"/>
    <w:rsid w:val="009776A0"/>
    <w:rsid w:val="009776DC"/>
    <w:rsid w:val="00977788"/>
    <w:rsid w:val="009777A9"/>
    <w:rsid w:val="009777C6"/>
    <w:rsid w:val="00977825"/>
    <w:rsid w:val="00977829"/>
    <w:rsid w:val="0097783B"/>
    <w:rsid w:val="0097784A"/>
    <w:rsid w:val="00977930"/>
    <w:rsid w:val="0097796D"/>
    <w:rsid w:val="009779A3"/>
    <w:rsid w:val="00977A56"/>
    <w:rsid w:val="00977A9B"/>
    <w:rsid w:val="00977ADC"/>
    <w:rsid w:val="00977B7A"/>
    <w:rsid w:val="00977CB3"/>
    <w:rsid w:val="00977CEE"/>
    <w:rsid w:val="00977DCD"/>
    <w:rsid w:val="00977DD0"/>
    <w:rsid w:val="00977E74"/>
    <w:rsid w:val="00977F47"/>
    <w:rsid w:val="00977F5D"/>
    <w:rsid w:val="00977F6C"/>
    <w:rsid w:val="00977F70"/>
    <w:rsid w:val="00977F8D"/>
    <w:rsid w:val="00977FA2"/>
    <w:rsid w:val="00977FBB"/>
    <w:rsid w:val="00980002"/>
    <w:rsid w:val="00980078"/>
    <w:rsid w:val="0098015E"/>
    <w:rsid w:val="009803F3"/>
    <w:rsid w:val="009803F9"/>
    <w:rsid w:val="009806A9"/>
    <w:rsid w:val="009806C4"/>
    <w:rsid w:val="009806EC"/>
    <w:rsid w:val="009806EE"/>
    <w:rsid w:val="00980956"/>
    <w:rsid w:val="009809E8"/>
    <w:rsid w:val="00980A91"/>
    <w:rsid w:val="00980AE6"/>
    <w:rsid w:val="00980B4E"/>
    <w:rsid w:val="00980C62"/>
    <w:rsid w:val="00980CC8"/>
    <w:rsid w:val="00980D99"/>
    <w:rsid w:val="00980DDD"/>
    <w:rsid w:val="00980E1B"/>
    <w:rsid w:val="00980EB7"/>
    <w:rsid w:val="00980EBB"/>
    <w:rsid w:val="009810B3"/>
    <w:rsid w:val="009810C8"/>
    <w:rsid w:val="00981156"/>
    <w:rsid w:val="0098119B"/>
    <w:rsid w:val="0098120E"/>
    <w:rsid w:val="00981270"/>
    <w:rsid w:val="00981316"/>
    <w:rsid w:val="0098140B"/>
    <w:rsid w:val="0098149F"/>
    <w:rsid w:val="00981508"/>
    <w:rsid w:val="009815BE"/>
    <w:rsid w:val="009815CF"/>
    <w:rsid w:val="009815E4"/>
    <w:rsid w:val="00981628"/>
    <w:rsid w:val="009816B7"/>
    <w:rsid w:val="00981737"/>
    <w:rsid w:val="00981925"/>
    <w:rsid w:val="00981926"/>
    <w:rsid w:val="00981A2C"/>
    <w:rsid w:val="00981B62"/>
    <w:rsid w:val="00981BD2"/>
    <w:rsid w:val="00981C3D"/>
    <w:rsid w:val="00981DE9"/>
    <w:rsid w:val="00981E28"/>
    <w:rsid w:val="00981E75"/>
    <w:rsid w:val="00981E89"/>
    <w:rsid w:val="00981F62"/>
    <w:rsid w:val="00981FA8"/>
    <w:rsid w:val="00981FF2"/>
    <w:rsid w:val="00981FF7"/>
    <w:rsid w:val="00982147"/>
    <w:rsid w:val="00982186"/>
    <w:rsid w:val="009821A7"/>
    <w:rsid w:val="009821FB"/>
    <w:rsid w:val="009822BA"/>
    <w:rsid w:val="009822EC"/>
    <w:rsid w:val="00982308"/>
    <w:rsid w:val="00982397"/>
    <w:rsid w:val="009823A7"/>
    <w:rsid w:val="009823BE"/>
    <w:rsid w:val="009823FC"/>
    <w:rsid w:val="00982574"/>
    <w:rsid w:val="00982578"/>
    <w:rsid w:val="009825B8"/>
    <w:rsid w:val="0098264F"/>
    <w:rsid w:val="009826D3"/>
    <w:rsid w:val="00982789"/>
    <w:rsid w:val="0098278E"/>
    <w:rsid w:val="009827BE"/>
    <w:rsid w:val="009827E1"/>
    <w:rsid w:val="009828AC"/>
    <w:rsid w:val="009828CA"/>
    <w:rsid w:val="009828F9"/>
    <w:rsid w:val="00982A1D"/>
    <w:rsid w:val="00982A93"/>
    <w:rsid w:val="00982A9C"/>
    <w:rsid w:val="00982AC9"/>
    <w:rsid w:val="00982B5A"/>
    <w:rsid w:val="00982B74"/>
    <w:rsid w:val="00982BFA"/>
    <w:rsid w:val="00982CEF"/>
    <w:rsid w:val="00982D10"/>
    <w:rsid w:val="00982D3B"/>
    <w:rsid w:val="00982E04"/>
    <w:rsid w:val="00982E70"/>
    <w:rsid w:val="00982F7C"/>
    <w:rsid w:val="00982FC7"/>
    <w:rsid w:val="00982FF9"/>
    <w:rsid w:val="0098312E"/>
    <w:rsid w:val="009831AB"/>
    <w:rsid w:val="00983220"/>
    <w:rsid w:val="00983228"/>
    <w:rsid w:val="00983244"/>
    <w:rsid w:val="00983254"/>
    <w:rsid w:val="00983302"/>
    <w:rsid w:val="0098338C"/>
    <w:rsid w:val="009833A3"/>
    <w:rsid w:val="0098343E"/>
    <w:rsid w:val="00983448"/>
    <w:rsid w:val="009834A1"/>
    <w:rsid w:val="009834D5"/>
    <w:rsid w:val="009834E0"/>
    <w:rsid w:val="00983507"/>
    <w:rsid w:val="0098355E"/>
    <w:rsid w:val="00983574"/>
    <w:rsid w:val="0098376B"/>
    <w:rsid w:val="00983886"/>
    <w:rsid w:val="009838EB"/>
    <w:rsid w:val="0098397D"/>
    <w:rsid w:val="00983981"/>
    <w:rsid w:val="00983A0F"/>
    <w:rsid w:val="00983A7D"/>
    <w:rsid w:val="00983A87"/>
    <w:rsid w:val="00983ABD"/>
    <w:rsid w:val="00983ADF"/>
    <w:rsid w:val="00983BC2"/>
    <w:rsid w:val="00983CBF"/>
    <w:rsid w:val="00983D37"/>
    <w:rsid w:val="00983D39"/>
    <w:rsid w:val="00983DE6"/>
    <w:rsid w:val="00983DF8"/>
    <w:rsid w:val="00983F7A"/>
    <w:rsid w:val="00983FF6"/>
    <w:rsid w:val="0098412B"/>
    <w:rsid w:val="00984200"/>
    <w:rsid w:val="00984309"/>
    <w:rsid w:val="00984315"/>
    <w:rsid w:val="009843B8"/>
    <w:rsid w:val="00984483"/>
    <w:rsid w:val="00984486"/>
    <w:rsid w:val="009844E7"/>
    <w:rsid w:val="00984502"/>
    <w:rsid w:val="00984506"/>
    <w:rsid w:val="00984528"/>
    <w:rsid w:val="009845F1"/>
    <w:rsid w:val="0098463D"/>
    <w:rsid w:val="009846A8"/>
    <w:rsid w:val="00984741"/>
    <w:rsid w:val="009847E8"/>
    <w:rsid w:val="0098491D"/>
    <w:rsid w:val="00984981"/>
    <w:rsid w:val="00984A0A"/>
    <w:rsid w:val="00984A4D"/>
    <w:rsid w:val="00984C64"/>
    <w:rsid w:val="00984CB5"/>
    <w:rsid w:val="00984D3C"/>
    <w:rsid w:val="00984D8A"/>
    <w:rsid w:val="00984E40"/>
    <w:rsid w:val="00984EA5"/>
    <w:rsid w:val="00984F06"/>
    <w:rsid w:val="00984F1F"/>
    <w:rsid w:val="0098502A"/>
    <w:rsid w:val="0098507F"/>
    <w:rsid w:val="009850A8"/>
    <w:rsid w:val="009850AE"/>
    <w:rsid w:val="00985146"/>
    <w:rsid w:val="009851FF"/>
    <w:rsid w:val="00985220"/>
    <w:rsid w:val="00985236"/>
    <w:rsid w:val="009852E0"/>
    <w:rsid w:val="00985636"/>
    <w:rsid w:val="009857B9"/>
    <w:rsid w:val="0098583B"/>
    <w:rsid w:val="00985864"/>
    <w:rsid w:val="009858DE"/>
    <w:rsid w:val="0098590F"/>
    <w:rsid w:val="009859F8"/>
    <w:rsid w:val="00985A0A"/>
    <w:rsid w:val="00985A92"/>
    <w:rsid w:val="00985ABA"/>
    <w:rsid w:val="00985AFC"/>
    <w:rsid w:val="00985B4C"/>
    <w:rsid w:val="00985B95"/>
    <w:rsid w:val="00985C55"/>
    <w:rsid w:val="00985C86"/>
    <w:rsid w:val="00985CE1"/>
    <w:rsid w:val="00985D32"/>
    <w:rsid w:val="00985D9B"/>
    <w:rsid w:val="00985DA9"/>
    <w:rsid w:val="00985E2F"/>
    <w:rsid w:val="00985FEA"/>
    <w:rsid w:val="00986041"/>
    <w:rsid w:val="00986195"/>
    <w:rsid w:val="009861D2"/>
    <w:rsid w:val="009861E6"/>
    <w:rsid w:val="00986254"/>
    <w:rsid w:val="0098627A"/>
    <w:rsid w:val="0098629F"/>
    <w:rsid w:val="00986322"/>
    <w:rsid w:val="00986369"/>
    <w:rsid w:val="00986451"/>
    <w:rsid w:val="0098645A"/>
    <w:rsid w:val="009864BA"/>
    <w:rsid w:val="009864D3"/>
    <w:rsid w:val="009864FA"/>
    <w:rsid w:val="0098658B"/>
    <w:rsid w:val="009865E3"/>
    <w:rsid w:val="00986690"/>
    <w:rsid w:val="009867DC"/>
    <w:rsid w:val="00986831"/>
    <w:rsid w:val="009868EA"/>
    <w:rsid w:val="0098697C"/>
    <w:rsid w:val="00986A22"/>
    <w:rsid w:val="00986A2F"/>
    <w:rsid w:val="00986A4B"/>
    <w:rsid w:val="00986A53"/>
    <w:rsid w:val="00986A73"/>
    <w:rsid w:val="00986A85"/>
    <w:rsid w:val="00986A8C"/>
    <w:rsid w:val="00986AD2"/>
    <w:rsid w:val="00986B3E"/>
    <w:rsid w:val="00986B5D"/>
    <w:rsid w:val="00986B7D"/>
    <w:rsid w:val="00986C0F"/>
    <w:rsid w:val="00986D50"/>
    <w:rsid w:val="00986D55"/>
    <w:rsid w:val="00986DE2"/>
    <w:rsid w:val="00986E2F"/>
    <w:rsid w:val="00986F8C"/>
    <w:rsid w:val="00986FB4"/>
    <w:rsid w:val="009870DB"/>
    <w:rsid w:val="009870E3"/>
    <w:rsid w:val="0098714D"/>
    <w:rsid w:val="0098714F"/>
    <w:rsid w:val="0098721F"/>
    <w:rsid w:val="0098728A"/>
    <w:rsid w:val="009872D3"/>
    <w:rsid w:val="009874C2"/>
    <w:rsid w:val="009874D2"/>
    <w:rsid w:val="0098750C"/>
    <w:rsid w:val="00987539"/>
    <w:rsid w:val="009875F9"/>
    <w:rsid w:val="0098760D"/>
    <w:rsid w:val="00987640"/>
    <w:rsid w:val="00987658"/>
    <w:rsid w:val="0098771E"/>
    <w:rsid w:val="00987777"/>
    <w:rsid w:val="009877AC"/>
    <w:rsid w:val="009877D2"/>
    <w:rsid w:val="00987808"/>
    <w:rsid w:val="00987857"/>
    <w:rsid w:val="009878E8"/>
    <w:rsid w:val="00987925"/>
    <w:rsid w:val="0098799C"/>
    <w:rsid w:val="009879F2"/>
    <w:rsid w:val="00987A51"/>
    <w:rsid w:val="00987A67"/>
    <w:rsid w:val="00987B2F"/>
    <w:rsid w:val="00987B6D"/>
    <w:rsid w:val="00987BF9"/>
    <w:rsid w:val="00987BFC"/>
    <w:rsid w:val="00987C1C"/>
    <w:rsid w:val="00987C7C"/>
    <w:rsid w:val="00987DFA"/>
    <w:rsid w:val="00987E4E"/>
    <w:rsid w:val="00987EAF"/>
    <w:rsid w:val="00987EFB"/>
    <w:rsid w:val="00990035"/>
    <w:rsid w:val="0099012F"/>
    <w:rsid w:val="00990263"/>
    <w:rsid w:val="009902B3"/>
    <w:rsid w:val="009903CA"/>
    <w:rsid w:val="0099042A"/>
    <w:rsid w:val="0099042F"/>
    <w:rsid w:val="00990466"/>
    <w:rsid w:val="00990470"/>
    <w:rsid w:val="009904A7"/>
    <w:rsid w:val="009904D6"/>
    <w:rsid w:val="009904EC"/>
    <w:rsid w:val="009904FF"/>
    <w:rsid w:val="00990524"/>
    <w:rsid w:val="00990646"/>
    <w:rsid w:val="0099065C"/>
    <w:rsid w:val="0099076A"/>
    <w:rsid w:val="00990800"/>
    <w:rsid w:val="00990AC8"/>
    <w:rsid w:val="00990AC9"/>
    <w:rsid w:val="00990AE8"/>
    <w:rsid w:val="00990B86"/>
    <w:rsid w:val="00990BED"/>
    <w:rsid w:val="00990BFA"/>
    <w:rsid w:val="00990CC3"/>
    <w:rsid w:val="00990D31"/>
    <w:rsid w:val="00990D81"/>
    <w:rsid w:val="00990DC5"/>
    <w:rsid w:val="00990E29"/>
    <w:rsid w:val="00990ED3"/>
    <w:rsid w:val="00990F0A"/>
    <w:rsid w:val="00990F17"/>
    <w:rsid w:val="00990FD5"/>
    <w:rsid w:val="00990FE9"/>
    <w:rsid w:val="0099100E"/>
    <w:rsid w:val="00991062"/>
    <w:rsid w:val="00991069"/>
    <w:rsid w:val="009910AA"/>
    <w:rsid w:val="009910F0"/>
    <w:rsid w:val="00991150"/>
    <w:rsid w:val="00991196"/>
    <w:rsid w:val="00991267"/>
    <w:rsid w:val="00991295"/>
    <w:rsid w:val="0099130A"/>
    <w:rsid w:val="00991378"/>
    <w:rsid w:val="00991449"/>
    <w:rsid w:val="00991462"/>
    <w:rsid w:val="00991575"/>
    <w:rsid w:val="009915DE"/>
    <w:rsid w:val="009915F9"/>
    <w:rsid w:val="009916A4"/>
    <w:rsid w:val="009917C3"/>
    <w:rsid w:val="009917F3"/>
    <w:rsid w:val="0099188F"/>
    <w:rsid w:val="0099195F"/>
    <w:rsid w:val="0099197B"/>
    <w:rsid w:val="009919EF"/>
    <w:rsid w:val="00991A08"/>
    <w:rsid w:val="00991AC6"/>
    <w:rsid w:val="00991AF1"/>
    <w:rsid w:val="00991B11"/>
    <w:rsid w:val="00991D90"/>
    <w:rsid w:val="00991DE3"/>
    <w:rsid w:val="00991EE1"/>
    <w:rsid w:val="00991F00"/>
    <w:rsid w:val="00991F05"/>
    <w:rsid w:val="0099207E"/>
    <w:rsid w:val="009920A2"/>
    <w:rsid w:val="009920AB"/>
    <w:rsid w:val="009920C4"/>
    <w:rsid w:val="0099213F"/>
    <w:rsid w:val="0099218A"/>
    <w:rsid w:val="0099220F"/>
    <w:rsid w:val="00992252"/>
    <w:rsid w:val="0099226B"/>
    <w:rsid w:val="009922AC"/>
    <w:rsid w:val="009922BD"/>
    <w:rsid w:val="009922D5"/>
    <w:rsid w:val="00992388"/>
    <w:rsid w:val="0099240B"/>
    <w:rsid w:val="00992427"/>
    <w:rsid w:val="00992447"/>
    <w:rsid w:val="009924EE"/>
    <w:rsid w:val="009925C8"/>
    <w:rsid w:val="009925EA"/>
    <w:rsid w:val="0099263A"/>
    <w:rsid w:val="0099270B"/>
    <w:rsid w:val="00992800"/>
    <w:rsid w:val="0099280E"/>
    <w:rsid w:val="0099284E"/>
    <w:rsid w:val="009928E8"/>
    <w:rsid w:val="00992954"/>
    <w:rsid w:val="009929B3"/>
    <w:rsid w:val="009929B4"/>
    <w:rsid w:val="00992ADC"/>
    <w:rsid w:val="00992B2F"/>
    <w:rsid w:val="00992BF1"/>
    <w:rsid w:val="00992BFD"/>
    <w:rsid w:val="00992C02"/>
    <w:rsid w:val="00992D16"/>
    <w:rsid w:val="00992E5A"/>
    <w:rsid w:val="00992FB7"/>
    <w:rsid w:val="009930CF"/>
    <w:rsid w:val="009930D7"/>
    <w:rsid w:val="009930E4"/>
    <w:rsid w:val="0099317A"/>
    <w:rsid w:val="009931BA"/>
    <w:rsid w:val="0099331C"/>
    <w:rsid w:val="009933BD"/>
    <w:rsid w:val="0099342E"/>
    <w:rsid w:val="0099347A"/>
    <w:rsid w:val="009934A9"/>
    <w:rsid w:val="009934C0"/>
    <w:rsid w:val="00993509"/>
    <w:rsid w:val="00993581"/>
    <w:rsid w:val="009935E3"/>
    <w:rsid w:val="00993803"/>
    <w:rsid w:val="0099382B"/>
    <w:rsid w:val="0099386B"/>
    <w:rsid w:val="0099386F"/>
    <w:rsid w:val="009938EA"/>
    <w:rsid w:val="0099393C"/>
    <w:rsid w:val="009939CC"/>
    <w:rsid w:val="009939CE"/>
    <w:rsid w:val="009939F6"/>
    <w:rsid w:val="00993A39"/>
    <w:rsid w:val="00993A5C"/>
    <w:rsid w:val="00993B21"/>
    <w:rsid w:val="00993B70"/>
    <w:rsid w:val="00993C78"/>
    <w:rsid w:val="00993E47"/>
    <w:rsid w:val="00993ED7"/>
    <w:rsid w:val="00993FA1"/>
    <w:rsid w:val="00993FCC"/>
    <w:rsid w:val="00994039"/>
    <w:rsid w:val="0099404B"/>
    <w:rsid w:val="00994281"/>
    <w:rsid w:val="00994297"/>
    <w:rsid w:val="0099442E"/>
    <w:rsid w:val="00994467"/>
    <w:rsid w:val="0099448A"/>
    <w:rsid w:val="00994502"/>
    <w:rsid w:val="0099457B"/>
    <w:rsid w:val="009945D4"/>
    <w:rsid w:val="00994613"/>
    <w:rsid w:val="00994652"/>
    <w:rsid w:val="009946AD"/>
    <w:rsid w:val="009946C8"/>
    <w:rsid w:val="009946D1"/>
    <w:rsid w:val="009946E5"/>
    <w:rsid w:val="00994799"/>
    <w:rsid w:val="009947C6"/>
    <w:rsid w:val="0099482B"/>
    <w:rsid w:val="00994847"/>
    <w:rsid w:val="009948C5"/>
    <w:rsid w:val="00994922"/>
    <w:rsid w:val="009949F9"/>
    <w:rsid w:val="00994A21"/>
    <w:rsid w:val="00994A38"/>
    <w:rsid w:val="00994B4A"/>
    <w:rsid w:val="00994B99"/>
    <w:rsid w:val="00994BB9"/>
    <w:rsid w:val="00994BCE"/>
    <w:rsid w:val="00994D02"/>
    <w:rsid w:val="00994D3B"/>
    <w:rsid w:val="00994D73"/>
    <w:rsid w:val="00994DB1"/>
    <w:rsid w:val="00994DBE"/>
    <w:rsid w:val="00994DE5"/>
    <w:rsid w:val="00994E1D"/>
    <w:rsid w:val="00994E75"/>
    <w:rsid w:val="00994EDC"/>
    <w:rsid w:val="00994F05"/>
    <w:rsid w:val="00994FC7"/>
    <w:rsid w:val="00994FE8"/>
    <w:rsid w:val="0099505E"/>
    <w:rsid w:val="00995096"/>
    <w:rsid w:val="00995109"/>
    <w:rsid w:val="009951C0"/>
    <w:rsid w:val="009951E6"/>
    <w:rsid w:val="009951E8"/>
    <w:rsid w:val="0099524F"/>
    <w:rsid w:val="0099528E"/>
    <w:rsid w:val="0099534A"/>
    <w:rsid w:val="00995452"/>
    <w:rsid w:val="009954B7"/>
    <w:rsid w:val="009954D8"/>
    <w:rsid w:val="00995503"/>
    <w:rsid w:val="00995527"/>
    <w:rsid w:val="00995593"/>
    <w:rsid w:val="009955C4"/>
    <w:rsid w:val="009956AC"/>
    <w:rsid w:val="0099575C"/>
    <w:rsid w:val="00995793"/>
    <w:rsid w:val="009958DE"/>
    <w:rsid w:val="00995958"/>
    <w:rsid w:val="009959F1"/>
    <w:rsid w:val="00995A33"/>
    <w:rsid w:val="00995A9C"/>
    <w:rsid w:val="00995AC8"/>
    <w:rsid w:val="00995AF4"/>
    <w:rsid w:val="00995B10"/>
    <w:rsid w:val="00995B54"/>
    <w:rsid w:val="00995B77"/>
    <w:rsid w:val="00995BAF"/>
    <w:rsid w:val="00995BD6"/>
    <w:rsid w:val="00995CC6"/>
    <w:rsid w:val="00995CFA"/>
    <w:rsid w:val="00995D55"/>
    <w:rsid w:val="00995E07"/>
    <w:rsid w:val="00995F74"/>
    <w:rsid w:val="00995F88"/>
    <w:rsid w:val="00995F95"/>
    <w:rsid w:val="00995F9F"/>
    <w:rsid w:val="009960AC"/>
    <w:rsid w:val="009960BF"/>
    <w:rsid w:val="009960C4"/>
    <w:rsid w:val="0099615A"/>
    <w:rsid w:val="009961AE"/>
    <w:rsid w:val="009962D1"/>
    <w:rsid w:val="009962DB"/>
    <w:rsid w:val="00996308"/>
    <w:rsid w:val="0099637D"/>
    <w:rsid w:val="009963F8"/>
    <w:rsid w:val="00996443"/>
    <w:rsid w:val="0099645F"/>
    <w:rsid w:val="009964B2"/>
    <w:rsid w:val="00996503"/>
    <w:rsid w:val="0099650F"/>
    <w:rsid w:val="00996575"/>
    <w:rsid w:val="009965D2"/>
    <w:rsid w:val="00996613"/>
    <w:rsid w:val="0099663F"/>
    <w:rsid w:val="0099667F"/>
    <w:rsid w:val="009966B2"/>
    <w:rsid w:val="009966D6"/>
    <w:rsid w:val="00996768"/>
    <w:rsid w:val="0099689D"/>
    <w:rsid w:val="009968E5"/>
    <w:rsid w:val="009968EA"/>
    <w:rsid w:val="00996987"/>
    <w:rsid w:val="009969EF"/>
    <w:rsid w:val="00996A62"/>
    <w:rsid w:val="00996A81"/>
    <w:rsid w:val="00996A9F"/>
    <w:rsid w:val="00996B3E"/>
    <w:rsid w:val="00996BA1"/>
    <w:rsid w:val="00996C0B"/>
    <w:rsid w:val="00996C16"/>
    <w:rsid w:val="00996C1B"/>
    <w:rsid w:val="00996D07"/>
    <w:rsid w:val="00996D7E"/>
    <w:rsid w:val="00996E57"/>
    <w:rsid w:val="00996E8B"/>
    <w:rsid w:val="00996F81"/>
    <w:rsid w:val="00996F84"/>
    <w:rsid w:val="00996FC8"/>
    <w:rsid w:val="00997313"/>
    <w:rsid w:val="00997342"/>
    <w:rsid w:val="0099738C"/>
    <w:rsid w:val="009973F2"/>
    <w:rsid w:val="00997405"/>
    <w:rsid w:val="00997429"/>
    <w:rsid w:val="00997542"/>
    <w:rsid w:val="00997581"/>
    <w:rsid w:val="009975AE"/>
    <w:rsid w:val="00997643"/>
    <w:rsid w:val="009976A0"/>
    <w:rsid w:val="009976D1"/>
    <w:rsid w:val="00997793"/>
    <w:rsid w:val="009977C4"/>
    <w:rsid w:val="00997859"/>
    <w:rsid w:val="009979C2"/>
    <w:rsid w:val="00997A85"/>
    <w:rsid w:val="00997B26"/>
    <w:rsid w:val="00997BCE"/>
    <w:rsid w:val="00997BE6"/>
    <w:rsid w:val="00997BEB"/>
    <w:rsid w:val="00997C1E"/>
    <w:rsid w:val="00997C32"/>
    <w:rsid w:val="00997C71"/>
    <w:rsid w:val="00997DC4"/>
    <w:rsid w:val="00997E01"/>
    <w:rsid w:val="00997E14"/>
    <w:rsid w:val="00997E34"/>
    <w:rsid w:val="00997EEE"/>
    <w:rsid w:val="009A00B7"/>
    <w:rsid w:val="009A00F5"/>
    <w:rsid w:val="009A00F7"/>
    <w:rsid w:val="009A020D"/>
    <w:rsid w:val="009A021A"/>
    <w:rsid w:val="009A0394"/>
    <w:rsid w:val="009A03B8"/>
    <w:rsid w:val="009A04AA"/>
    <w:rsid w:val="009A0506"/>
    <w:rsid w:val="009A05F3"/>
    <w:rsid w:val="009A0612"/>
    <w:rsid w:val="009A067B"/>
    <w:rsid w:val="009A0796"/>
    <w:rsid w:val="009A07AD"/>
    <w:rsid w:val="009A07D8"/>
    <w:rsid w:val="009A07DE"/>
    <w:rsid w:val="009A0846"/>
    <w:rsid w:val="009A0867"/>
    <w:rsid w:val="009A0901"/>
    <w:rsid w:val="009A0905"/>
    <w:rsid w:val="009A0916"/>
    <w:rsid w:val="009A0937"/>
    <w:rsid w:val="009A0A49"/>
    <w:rsid w:val="009A0A97"/>
    <w:rsid w:val="009A0AA5"/>
    <w:rsid w:val="009A0B13"/>
    <w:rsid w:val="009A0B2D"/>
    <w:rsid w:val="009A0B89"/>
    <w:rsid w:val="009A0D3F"/>
    <w:rsid w:val="009A0D89"/>
    <w:rsid w:val="009A0E29"/>
    <w:rsid w:val="009A0E3A"/>
    <w:rsid w:val="009A0E5E"/>
    <w:rsid w:val="009A0EDC"/>
    <w:rsid w:val="009A0FDC"/>
    <w:rsid w:val="009A0FF7"/>
    <w:rsid w:val="009A1010"/>
    <w:rsid w:val="009A1065"/>
    <w:rsid w:val="009A108E"/>
    <w:rsid w:val="009A10C3"/>
    <w:rsid w:val="009A11BE"/>
    <w:rsid w:val="009A11E2"/>
    <w:rsid w:val="009A11E4"/>
    <w:rsid w:val="009A13DA"/>
    <w:rsid w:val="009A1462"/>
    <w:rsid w:val="009A146B"/>
    <w:rsid w:val="009A14D2"/>
    <w:rsid w:val="009A14F0"/>
    <w:rsid w:val="009A151A"/>
    <w:rsid w:val="009A1565"/>
    <w:rsid w:val="009A15C9"/>
    <w:rsid w:val="009A1639"/>
    <w:rsid w:val="009A163B"/>
    <w:rsid w:val="009A16B6"/>
    <w:rsid w:val="009A16B8"/>
    <w:rsid w:val="009A1778"/>
    <w:rsid w:val="009A17D1"/>
    <w:rsid w:val="009A1812"/>
    <w:rsid w:val="009A19ED"/>
    <w:rsid w:val="009A1A1C"/>
    <w:rsid w:val="009A1A21"/>
    <w:rsid w:val="009A1ABC"/>
    <w:rsid w:val="009A1B24"/>
    <w:rsid w:val="009A1B44"/>
    <w:rsid w:val="009A1C75"/>
    <w:rsid w:val="009A1DD1"/>
    <w:rsid w:val="009A1F17"/>
    <w:rsid w:val="009A1F2F"/>
    <w:rsid w:val="009A1F4A"/>
    <w:rsid w:val="009A2072"/>
    <w:rsid w:val="009A21FB"/>
    <w:rsid w:val="009A2221"/>
    <w:rsid w:val="009A2243"/>
    <w:rsid w:val="009A229F"/>
    <w:rsid w:val="009A23C6"/>
    <w:rsid w:val="009A2492"/>
    <w:rsid w:val="009A249F"/>
    <w:rsid w:val="009A24B5"/>
    <w:rsid w:val="009A24CD"/>
    <w:rsid w:val="009A258A"/>
    <w:rsid w:val="009A25D4"/>
    <w:rsid w:val="009A267A"/>
    <w:rsid w:val="009A2736"/>
    <w:rsid w:val="009A27AA"/>
    <w:rsid w:val="009A27B6"/>
    <w:rsid w:val="009A28A2"/>
    <w:rsid w:val="009A294A"/>
    <w:rsid w:val="009A2978"/>
    <w:rsid w:val="009A29A0"/>
    <w:rsid w:val="009A2AED"/>
    <w:rsid w:val="009A2BD6"/>
    <w:rsid w:val="009A2C40"/>
    <w:rsid w:val="009A2E28"/>
    <w:rsid w:val="009A2E5B"/>
    <w:rsid w:val="009A2ECE"/>
    <w:rsid w:val="009A2ED1"/>
    <w:rsid w:val="009A3063"/>
    <w:rsid w:val="009A3064"/>
    <w:rsid w:val="009A3077"/>
    <w:rsid w:val="009A308C"/>
    <w:rsid w:val="009A30A1"/>
    <w:rsid w:val="009A30BC"/>
    <w:rsid w:val="009A3121"/>
    <w:rsid w:val="009A3149"/>
    <w:rsid w:val="009A31F2"/>
    <w:rsid w:val="009A327B"/>
    <w:rsid w:val="009A329C"/>
    <w:rsid w:val="009A3348"/>
    <w:rsid w:val="009A33A9"/>
    <w:rsid w:val="009A33CE"/>
    <w:rsid w:val="009A3474"/>
    <w:rsid w:val="009A3574"/>
    <w:rsid w:val="009A369B"/>
    <w:rsid w:val="009A3723"/>
    <w:rsid w:val="009A3788"/>
    <w:rsid w:val="009A3811"/>
    <w:rsid w:val="009A394C"/>
    <w:rsid w:val="009A3A3F"/>
    <w:rsid w:val="009A3A83"/>
    <w:rsid w:val="009A3A84"/>
    <w:rsid w:val="009A3AA1"/>
    <w:rsid w:val="009A3B27"/>
    <w:rsid w:val="009A3C37"/>
    <w:rsid w:val="009A3CBC"/>
    <w:rsid w:val="009A3D21"/>
    <w:rsid w:val="009A3D39"/>
    <w:rsid w:val="009A3D7C"/>
    <w:rsid w:val="009A3F84"/>
    <w:rsid w:val="009A40AE"/>
    <w:rsid w:val="009A40FD"/>
    <w:rsid w:val="009A416C"/>
    <w:rsid w:val="009A4177"/>
    <w:rsid w:val="009A418F"/>
    <w:rsid w:val="009A419B"/>
    <w:rsid w:val="009A41F0"/>
    <w:rsid w:val="009A4211"/>
    <w:rsid w:val="009A4297"/>
    <w:rsid w:val="009A438B"/>
    <w:rsid w:val="009A43A3"/>
    <w:rsid w:val="009A4409"/>
    <w:rsid w:val="009A447F"/>
    <w:rsid w:val="009A44EA"/>
    <w:rsid w:val="009A450D"/>
    <w:rsid w:val="009A458E"/>
    <w:rsid w:val="009A4624"/>
    <w:rsid w:val="009A4727"/>
    <w:rsid w:val="009A4756"/>
    <w:rsid w:val="009A4812"/>
    <w:rsid w:val="009A482B"/>
    <w:rsid w:val="009A4857"/>
    <w:rsid w:val="009A487C"/>
    <w:rsid w:val="009A4888"/>
    <w:rsid w:val="009A4929"/>
    <w:rsid w:val="009A4971"/>
    <w:rsid w:val="009A498E"/>
    <w:rsid w:val="009A4B05"/>
    <w:rsid w:val="009A4B6F"/>
    <w:rsid w:val="009A4B99"/>
    <w:rsid w:val="009A4BAE"/>
    <w:rsid w:val="009A4BC1"/>
    <w:rsid w:val="009A4C77"/>
    <w:rsid w:val="009A4CCB"/>
    <w:rsid w:val="009A4CD7"/>
    <w:rsid w:val="009A4D37"/>
    <w:rsid w:val="009A4DC0"/>
    <w:rsid w:val="009A4DEE"/>
    <w:rsid w:val="009A4E46"/>
    <w:rsid w:val="009A4E6B"/>
    <w:rsid w:val="009A4F3F"/>
    <w:rsid w:val="009A4F43"/>
    <w:rsid w:val="009A5004"/>
    <w:rsid w:val="009A504A"/>
    <w:rsid w:val="009A50B2"/>
    <w:rsid w:val="009A50C0"/>
    <w:rsid w:val="009A50DD"/>
    <w:rsid w:val="009A5108"/>
    <w:rsid w:val="009A511D"/>
    <w:rsid w:val="009A51A2"/>
    <w:rsid w:val="009A51FD"/>
    <w:rsid w:val="009A5237"/>
    <w:rsid w:val="009A5259"/>
    <w:rsid w:val="009A53D9"/>
    <w:rsid w:val="009A54A9"/>
    <w:rsid w:val="009A54DD"/>
    <w:rsid w:val="009A559D"/>
    <w:rsid w:val="009A55D1"/>
    <w:rsid w:val="009A55F2"/>
    <w:rsid w:val="009A5647"/>
    <w:rsid w:val="009A5769"/>
    <w:rsid w:val="009A582D"/>
    <w:rsid w:val="009A5914"/>
    <w:rsid w:val="009A5954"/>
    <w:rsid w:val="009A59B2"/>
    <w:rsid w:val="009A59C7"/>
    <w:rsid w:val="009A5B22"/>
    <w:rsid w:val="009A5B4E"/>
    <w:rsid w:val="009A5B7B"/>
    <w:rsid w:val="009A5C27"/>
    <w:rsid w:val="009A5C36"/>
    <w:rsid w:val="009A5C3C"/>
    <w:rsid w:val="009A5C74"/>
    <w:rsid w:val="009A5CB2"/>
    <w:rsid w:val="009A5D94"/>
    <w:rsid w:val="009A5DFE"/>
    <w:rsid w:val="009A5EC8"/>
    <w:rsid w:val="009A5F8E"/>
    <w:rsid w:val="009A5FCC"/>
    <w:rsid w:val="009A6089"/>
    <w:rsid w:val="009A60D9"/>
    <w:rsid w:val="009A60E2"/>
    <w:rsid w:val="009A616D"/>
    <w:rsid w:val="009A61D1"/>
    <w:rsid w:val="009A61E4"/>
    <w:rsid w:val="009A628D"/>
    <w:rsid w:val="009A62F2"/>
    <w:rsid w:val="009A63FA"/>
    <w:rsid w:val="009A643E"/>
    <w:rsid w:val="009A6517"/>
    <w:rsid w:val="009A6526"/>
    <w:rsid w:val="009A6529"/>
    <w:rsid w:val="009A654E"/>
    <w:rsid w:val="009A658F"/>
    <w:rsid w:val="009A65DD"/>
    <w:rsid w:val="009A6690"/>
    <w:rsid w:val="009A6693"/>
    <w:rsid w:val="009A6745"/>
    <w:rsid w:val="009A67EA"/>
    <w:rsid w:val="009A6837"/>
    <w:rsid w:val="009A6885"/>
    <w:rsid w:val="009A68A1"/>
    <w:rsid w:val="009A6905"/>
    <w:rsid w:val="009A6B35"/>
    <w:rsid w:val="009A6BE8"/>
    <w:rsid w:val="009A6BF2"/>
    <w:rsid w:val="009A6C33"/>
    <w:rsid w:val="009A6C7C"/>
    <w:rsid w:val="009A6CBE"/>
    <w:rsid w:val="009A6CE2"/>
    <w:rsid w:val="009A6D21"/>
    <w:rsid w:val="009A6D50"/>
    <w:rsid w:val="009A6E10"/>
    <w:rsid w:val="009A6E14"/>
    <w:rsid w:val="009A6E1D"/>
    <w:rsid w:val="009A6E46"/>
    <w:rsid w:val="009A6E4A"/>
    <w:rsid w:val="009A6E5C"/>
    <w:rsid w:val="009A6EF2"/>
    <w:rsid w:val="009A6F35"/>
    <w:rsid w:val="009A6F78"/>
    <w:rsid w:val="009A7037"/>
    <w:rsid w:val="009A703B"/>
    <w:rsid w:val="009A705D"/>
    <w:rsid w:val="009A70A3"/>
    <w:rsid w:val="009A717F"/>
    <w:rsid w:val="009A7266"/>
    <w:rsid w:val="009A72DB"/>
    <w:rsid w:val="009A7354"/>
    <w:rsid w:val="009A74AE"/>
    <w:rsid w:val="009A74DA"/>
    <w:rsid w:val="009A750E"/>
    <w:rsid w:val="009A751A"/>
    <w:rsid w:val="009A75BE"/>
    <w:rsid w:val="009A75D0"/>
    <w:rsid w:val="009A7699"/>
    <w:rsid w:val="009A7744"/>
    <w:rsid w:val="009A7794"/>
    <w:rsid w:val="009A78DB"/>
    <w:rsid w:val="009A78EB"/>
    <w:rsid w:val="009A7991"/>
    <w:rsid w:val="009A79B6"/>
    <w:rsid w:val="009A7AD8"/>
    <w:rsid w:val="009A7B12"/>
    <w:rsid w:val="009A7B52"/>
    <w:rsid w:val="009A7B6E"/>
    <w:rsid w:val="009A7B9D"/>
    <w:rsid w:val="009A7C2B"/>
    <w:rsid w:val="009A7C91"/>
    <w:rsid w:val="009A7C9A"/>
    <w:rsid w:val="009A7CD5"/>
    <w:rsid w:val="009A7E5F"/>
    <w:rsid w:val="009A7F12"/>
    <w:rsid w:val="009A7F3A"/>
    <w:rsid w:val="009A7FAF"/>
    <w:rsid w:val="009A7FB1"/>
    <w:rsid w:val="009AA3E3"/>
    <w:rsid w:val="009B0018"/>
    <w:rsid w:val="009B001F"/>
    <w:rsid w:val="009B01AB"/>
    <w:rsid w:val="009B01B0"/>
    <w:rsid w:val="009B01B7"/>
    <w:rsid w:val="009B0250"/>
    <w:rsid w:val="009B0280"/>
    <w:rsid w:val="009B0293"/>
    <w:rsid w:val="009B0325"/>
    <w:rsid w:val="009B036E"/>
    <w:rsid w:val="009B03CA"/>
    <w:rsid w:val="009B0449"/>
    <w:rsid w:val="009B0458"/>
    <w:rsid w:val="009B05D9"/>
    <w:rsid w:val="009B07F6"/>
    <w:rsid w:val="009B093D"/>
    <w:rsid w:val="009B09C3"/>
    <w:rsid w:val="009B0AE8"/>
    <w:rsid w:val="009B0CBB"/>
    <w:rsid w:val="009B0D32"/>
    <w:rsid w:val="009B0E0F"/>
    <w:rsid w:val="009B0E4E"/>
    <w:rsid w:val="009B0E88"/>
    <w:rsid w:val="009B0EFC"/>
    <w:rsid w:val="009B0F75"/>
    <w:rsid w:val="009B1031"/>
    <w:rsid w:val="009B109C"/>
    <w:rsid w:val="009B1113"/>
    <w:rsid w:val="009B118F"/>
    <w:rsid w:val="009B1236"/>
    <w:rsid w:val="009B13B5"/>
    <w:rsid w:val="009B13EB"/>
    <w:rsid w:val="009B153F"/>
    <w:rsid w:val="009B1676"/>
    <w:rsid w:val="009B1695"/>
    <w:rsid w:val="009B172C"/>
    <w:rsid w:val="009B17BF"/>
    <w:rsid w:val="009B17DD"/>
    <w:rsid w:val="009B1877"/>
    <w:rsid w:val="009B1898"/>
    <w:rsid w:val="009B190B"/>
    <w:rsid w:val="009B19E6"/>
    <w:rsid w:val="009B1A3A"/>
    <w:rsid w:val="009B1A47"/>
    <w:rsid w:val="009B1B02"/>
    <w:rsid w:val="009B1B2A"/>
    <w:rsid w:val="009B1B54"/>
    <w:rsid w:val="009B1CC5"/>
    <w:rsid w:val="009B1CC6"/>
    <w:rsid w:val="009B1D17"/>
    <w:rsid w:val="009B1D19"/>
    <w:rsid w:val="009B1D94"/>
    <w:rsid w:val="009B1E02"/>
    <w:rsid w:val="009B1E7C"/>
    <w:rsid w:val="009B1E97"/>
    <w:rsid w:val="009B2119"/>
    <w:rsid w:val="009B21BA"/>
    <w:rsid w:val="009B21E7"/>
    <w:rsid w:val="009B21F7"/>
    <w:rsid w:val="009B23C7"/>
    <w:rsid w:val="009B2412"/>
    <w:rsid w:val="009B246C"/>
    <w:rsid w:val="009B24A6"/>
    <w:rsid w:val="009B24D7"/>
    <w:rsid w:val="009B2560"/>
    <w:rsid w:val="009B2597"/>
    <w:rsid w:val="009B25C3"/>
    <w:rsid w:val="009B25C5"/>
    <w:rsid w:val="009B268F"/>
    <w:rsid w:val="009B2704"/>
    <w:rsid w:val="009B2782"/>
    <w:rsid w:val="009B27B1"/>
    <w:rsid w:val="009B27FD"/>
    <w:rsid w:val="009B2861"/>
    <w:rsid w:val="009B2878"/>
    <w:rsid w:val="009B28E2"/>
    <w:rsid w:val="009B2A1F"/>
    <w:rsid w:val="009B2A4A"/>
    <w:rsid w:val="009B2A57"/>
    <w:rsid w:val="009B2B8B"/>
    <w:rsid w:val="009B2B9A"/>
    <w:rsid w:val="009B2BED"/>
    <w:rsid w:val="009B2C6D"/>
    <w:rsid w:val="009B2DB4"/>
    <w:rsid w:val="009B2EBA"/>
    <w:rsid w:val="009B3062"/>
    <w:rsid w:val="009B3084"/>
    <w:rsid w:val="009B31EE"/>
    <w:rsid w:val="009B3372"/>
    <w:rsid w:val="009B338F"/>
    <w:rsid w:val="009B3393"/>
    <w:rsid w:val="009B33C8"/>
    <w:rsid w:val="009B3441"/>
    <w:rsid w:val="009B34A0"/>
    <w:rsid w:val="009B34C1"/>
    <w:rsid w:val="009B34DE"/>
    <w:rsid w:val="009B359F"/>
    <w:rsid w:val="009B360C"/>
    <w:rsid w:val="009B3655"/>
    <w:rsid w:val="009B37BA"/>
    <w:rsid w:val="009B3957"/>
    <w:rsid w:val="009B3973"/>
    <w:rsid w:val="009B398C"/>
    <w:rsid w:val="009B39ED"/>
    <w:rsid w:val="009B3A3E"/>
    <w:rsid w:val="009B3A95"/>
    <w:rsid w:val="009B3AD5"/>
    <w:rsid w:val="009B3AD9"/>
    <w:rsid w:val="009B3AE9"/>
    <w:rsid w:val="009B3B57"/>
    <w:rsid w:val="009B3C56"/>
    <w:rsid w:val="009B3CEF"/>
    <w:rsid w:val="009B3D69"/>
    <w:rsid w:val="009B3DBC"/>
    <w:rsid w:val="009B3DEC"/>
    <w:rsid w:val="009B3E26"/>
    <w:rsid w:val="009B3E44"/>
    <w:rsid w:val="009B3E84"/>
    <w:rsid w:val="009B3F69"/>
    <w:rsid w:val="009B4025"/>
    <w:rsid w:val="009B4100"/>
    <w:rsid w:val="009B4118"/>
    <w:rsid w:val="009B4122"/>
    <w:rsid w:val="009B42C6"/>
    <w:rsid w:val="009B42DD"/>
    <w:rsid w:val="009B4318"/>
    <w:rsid w:val="009B433C"/>
    <w:rsid w:val="009B43AC"/>
    <w:rsid w:val="009B43D0"/>
    <w:rsid w:val="009B43D1"/>
    <w:rsid w:val="009B441A"/>
    <w:rsid w:val="009B4521"/>
    <w:rsid w:val="009B4728"/>
    <w:rsid w:val="009B47A7"/>
    <w:rsid w:val="009B48A7"/>
    <w:rsid w:val="009B48F0"/>
    <w:rsid w:val="009B4923"/>
    <w:rsid w:val="009B4990"/>
    <w:rsid w:val="009B4A06"/>
    <w:rsid w:val="009B4A37"/>
    <w:rsid w:val="009B4B33"/>
    <w:rsid w:val="009B4BEF"/>
    <w:rsid w:val="009B4C79"/>
    <w:rsid w:val="009B4CFA"/>
    <w:rsid w:val="009B4D48"/>
    <w:rsid w:val="009B4D61"/>
    <w:rsid w:val="009B4D77"/>
    <w:rsid w:val="009B4D78"/>
    <w:rsid w:val="009B4DF3"/>
    <w:rsid w:val="009B4E73"/>
    <w:rsid w:val="009B4EBD"/>
    <w:rsid w:val="009B4F0B"/>
    <w:rsid w:val="009B5066"/>
    <w:rsid w:val="009B510F"/>
    <w:rsid w:val="009B5192"/>
    <w:rsid w:val="009B51B4"/>
    <w:rsid w:val="009B51F4"/>
    <w:rsid w:val="009B524E"/>
    <w:rsid w:val="009B52CC"/>
    <w:rsid w:val="009B5380"/>
    <w:rsid w:val="009B53A6"/>
    <w:rsid w:val="009B541F"/>
    <w:rsid w:val="009B542F"/>
    <w:rsid w:val="009B54EA"/>
    <w:rsid w:val="009B5532"/>
    <w:rsid w:val="009B55AD"/>
    <w:rsid w:val="009B55D2"/>
    <w:rsid w:val="009B5610"/>
    <w:rsid w:val="009B5613"/>
    <w:rsid w:val="009B56B1"/>
    <w:rsid w:val="009B575C"/>
    <w:rsid w:val="009B5796"/>
    <w:rsid w:val="009B5831"/>
    <w:rsid w:val="009B5850"/>
    <w:rsid w:val="009B58BD"/>
    <w:rsid w:val="009B5924"/>
    <w:rsid w:val="009B597A"/>
    <w:rsid w:val="009B597B"/>
    <w:rsid w:val="009B5A18"/>
    <w:rsid w:val="009B5A54"/>
    <w:rsid w:val="009B5AA6"/>
    <w:rsid w:val="009B5AC0"/>
    <w:rsid w:val="009B5B31"/>
    <w:rsid w:val="009B5B80"/>
    <w:rsid w:val="009B5BF8"/>
    <w:rsid w:val="009B5C36"/>
    <w:rsid w:val="009B5C39"/>
    <w:rsid w:val="009B5D49"/>
    <w:rsid w:val="009B5D67"/>
    <w:rsid w:val="009B5D7B"/>
    <w:rsid w:val="009B5D94"/>
    <w:rsid w:val="009B5DB9"/>
    <w:rsid w:val="009B5EA9"/>
    <w:rsid w:val="009B5EC5"/>
    <w:rsid w:val="009B5ED4"/>
    <w:rsid w:val="009B5F64"/>
    <w:rsid w:val="009B5F90"/>
    <w:rsid w:val="009B5F95"/>
    <w:rsid w:val="009B60BA"/>
    <w:rsid w:val="009B6104"/>
    <w:rsid w:val="009B610C"/>
    <w:rsid w:val="009B614F"/>
    <w:rsid w:val="009B61E7"/>
    <w:rsid w:val="009B620B"/>
    <w:rsid w:val="009B6225"/>
    <w:rsid w:val="009B6263"/>
    <w:rsid w:val="009B6311"/>
    <w:rsid w:val="009B63AB"/>
    <w:rsid w:val="009B648D"/>
    <w:rsid w:val="009B64CF"/>
    <w:rsid w:val="009B650E"/>
    <w:rsid w:val="009B6541"/>
    <w:rsid w:val="009B658C"/>
    <w:rsid w:val="009B6594"/>
    <w:rsid w:val="009B65DC"/>
    <w:rsid w:val="009B6674"/>
    <w:rsid w:val="009B66A3"/>
    <w:rsid w:val="009B671E"/>
    <w:rsid w:val="009B675E"/>
    <w:rsid w:val="009B6765"/>
    <w:rsid w:val="009B67EB"/>
    <w:rsid w:val="009B68C3"/>
    <w:rsid w:val="009B6972"/>
    <w:rsid w:val="009B6A9A"/>
    <w:rsid w:val="009B6AE8"/>
    <w:rsid w:val="009B6AF3"/>
    <w:rsid w:val="009B6B39"/>
    <w:rsid w:val="009B6BAD"/>
    <w:rsid w:val="009B6BBC"/>
    <w:rsid w:val="009B6C92"/>
    <w:rsid w:val="009B6D1E"/>
    <w:rsid w:val="009B6D52"/>
    <w:rsid w:val="009B6D62"/>
    <w:rsid w:val="009B6D72"/>
    <w:rsid w:val="009B6D9B"/>
    <w:rsid w:val="009B6DD7"/>
    <w:rsid w:val="009B6E96"/>
    <w:rsid w:val="009B6EAA"/>
    <w:rsid w:val="009B6EBD"/>
    <w:rsid w:val="009B6F21"/>
    <w:rsid w:val="009B6F32"/>
    <w:rsid w:val="009B6F7D"/>
    <w:rsid w:val="009B7004"/>
    <w:rsid w:val="009B709D"/>
    <w:rsid w:val="009B723F"/>
    <w:rsid w:val="009B726A"/>
    <w:rsid w:val="009B73C7"/>
    <w:rsid w:val="009B7446"/>
    <w:rsid w:val="009B755A"/>
    <w:rsid w:val="009B7805"/>
    <w:rsid w:val="009B78BC"/>
    <w:rsid w:val="009B78CB"/>
    <w:rsid w:val="009B7938"/>
    <w:rsid w:val="009B79BF"/>
    <w:rsid w:val="009B7A75"/>
    <w:rsid w:val="009B7B89"/>
    <w:rsid w:val="009B7BCF"/>
    <w:rsid w:val="009B7CE8"/>
    <w:rsid w:val="009B7D76"/>
    <w:rsid w:val="009B7D86"/>
    <w:rsid w:val="009B7D9B"/>
    <w:rsid w:val="009B7E7D"/>
    <w:rsid w:val="009B7E8B"/>
    <w:rsid w:val="009B7ED8"/>
    <w:rsid w:val="009B7EFB"/>
    <w:rsid w:val="009B7F26"/>
    <w:rsid w:val="009B7F3F"/>
    <w:rsid w:val="009B7FB4"/>
    <w:rsid w:val="009C008A"/>
    <w:rsid w:val="009C00DE"/>
    <w:rsid w:val="009C0166"/>
    <w:rsid w:val="009C01BA"/>
    <w:rsid w:val="009C021F"/>
    <w:rsid w:val="009C02D9"/>
    <w:rsid w:val="009C03DA"/>
    <w:rsid w:val="009C03DE"/>
    <w:rsid w:val="009C041E"/>
    <w:rsid w:val="009C0448"/>
    <w:rsid w:val="009C049F"/>
    <w:rsid w:val="009C0574"/>
    <w:rsid w:val="009C05A2"/>
    <w:rsid w:val="009C05BD"/>
    <w:rsid w:val="009C0666"/>
    <w:rsid w:val="009C06D1"/>
    <w:rsid w:val="009C06E8"/>
    <w:rsid w:val="009C0724"/>
    <w:rsid w:val="009C08BD"/>
    <w:rsid w:val="009C08D7"/>
    <w:rsid w:val="009C092F"/>
    <w:rsid w:val="009C0964"/>
    <w:rsid w:val="009C0AB4"/>
    <w:rsid w:val="009C0B42"/>
    <w:rsid w:val="009C0B58"/>
    <w:rsid w:val="009C0BD0"/>
    <w:rsid w:val="009C0C1D"/>
    <w:rsid w:val="009C0C36"/>
    <w:rsid w:val="009C0C8A"/>
    <w:rsid w:val="009C0CE1"/>
    <w:rsid w:val="009C0CF6"/>
    <w:rsid w:val="009C0E1E"/>
    <w:rsid w:val="009C0E34"/>
    <w:rsid w:val="009C0E91"/>
    <w:rsid w:val="009C0EE0"/>
    <w:rsid w:val="009C0EEC"/>
    <w:rsid w:val="009C0F24"/>
    <w:rsid w:val="009C0F46"/>
    <w:rsid w:val="009C0FFF"/>
    <w:rsid w:val="009C1017"/>
    <w:rsid w:val="009C1107"/>
    <w:rsid w:val="009C11A0"/>
    <w:rsid w:val="009C11F1"/>
    <w:rsid w:val="009C1226"/>
    <w:rsid w:val="009C1288"/>
    <w:rsid w:val="009C12C8"/>
    <w:rsid w:val="009C1436"/>
    <w:rsid w:val="009C143B"/>
    <w:rsid w:val="009C150D"/>
    <w:rsid w:val="009C1646"/>
    <w:rsid w:val="009C1680"/>
    <w:rsid w:val="009C16EB"/>
    <w:rsid w:val="009C1762"/>
    <w:rsid w:val="009C176C"/>
    <w:rsid w:val="009C1806"/>
    <w:rsid w:val="009C185D"/>
    <w:rsid w:val="009C193B"/>
    <w:rsid w:val="009C19FC"/>
    <w:rsid w:val="009C1AA3"/>
    <w:rsid w:val="009C1AE1"/>
    <w:rsid w:val="009C1B23"/>
    <w:rsid w:val="009C1B5C"/>
    <w:rsid w:val="009C1BB7"/>
    <w:rsid w:val="009C1BB9"/>
    <w:rsid w:val="009C1DC9"/>
    <w:rsid w:val="009C1DD5"/>
    <w:rsid w:val="009C1F31"/>
    <w:rsid w:val="009C1F38"/>
    <w:rsid w:val="009C1F4B"/>
    <w:rsid w:val="009C209E"/>
    <w:rsid w:val="009C2136"/>
    <w:rsid w:val="009C2137"/>
    <w:rsid w:val="009C21FE"/>
    <w:rsid w:val="009C2259"/>
    <w:rsid w:val="009C2271"/>
    <w:rsid w:val="009C22A1"/>
    <w:rsid w:val="009C2317"/>
    <w:rsid w:val="009C2319"/>
    <w:rsid w:val="009C2379"/>
    <w:rsid w:val="009C2490"/>
    <w:rsid w:val="009C24CB"/>
    <w:rsid w:val="009C2558"/>
    <w:rsid w:val="009C25D2"/>
    <w:rsid w:val="009C2706"/>
    <w:rsid w:val="009C272E"/>
    <w:rsid w:val="009C2744"/>
    <w:rsid w:val="009C287F"/>
    <w:rsid w:val="009C2899"/>
    <w:rsid w:val="009C2910"/>
    <w:rsid w:val="009C2915"/>
    <w:rsid w:val="009C297F"/>
    <w:rsid w:val="009C2A53"/>
    <w:rsid w:val="009C2A6F"/>
    <w:rsid w:val="009C2AD1"/>
    <w:rsid w:val="009C2AD3"/>
    <w:rsid w:val="009C2B4F"/>
    <w:rsid w:val="009C2BAB"/>
    <w:rsid w:val="009C2C1F"/>
    <w:rsid w:val="009C2C5D"/>
    <w:rsid w:val="009C2CBA"/>
    <w:rsid w:val="009C2CED"/>
    <w:rsid w:val="009C2D9A"/>
    <w:rsid w:val="009C2E12"/>
    <w:rsid w:val="009C2E5F"/>
    <w:rsid w:val="009C2E9C"/>
    <w:rsid w:val="009C2F3D"/>
    <w:rsid w:val="009C2F5B"/>
    <w:rsid w:val="009C2FE3"/>
    <w:rsid w:val="009C306E"/>
    <w:rsid w:val="009C321D"/>
    <w:rsid w:val="009C32C9"/>
    <w:rsid w:val="009C33CB"/>
    <w:rsid w:val="009C33D2"/>
    <w:rsid w:val="009C3416"/>
    <w:rsid w:val="009C3445"/>
    <w:rsid w:val="009C359B"/>
    <w:rsid w:val="009C35EF"/>
    <w:rsid w:val="009C35F3"/>
    <w:rsid w:val="009C35F4"/>
    <w:rsid w:val="009C36A3"/>
    <w:rsid w:val="009C373B"/>
    <w:rsid w:val="009C3790"/>
    <w:rsid w:val="009C37AA"/>
    <w:rsid w:val="009C3806"/>
    <w:rsid w:val="009C390D"/>
    <w:rsid w:val="009C39B4"/>
    <w:rsid w:val="009C39D4"/>
    <w:rsid w:val="009C3A0B"/>
    <w:rsid w:val="009C3A8C"/>
    <w:rsid w:val="009C3ACC"/>
    <w:rsid w:val="009C3B85"/>
    <w:rsid w:val="009C3BDE"/>
    <w:rsid w:val="009C3C5F"/>
    <w:rsid w:val="009C3CD3"/>
    <w:rsid w:val="009C3F9F"/>
    <w:rsid w:val="009C3FF2"/>
    <w:rsid w:val="009C4024"/>
    <w:rsid w:val="009C40B2"/>
    <w:rsid w:val="009C4256"/>
    <w:rsid w:val="009C4343"/>
    <w:rsid w:val="009C43CF"/>
    <w:rsid w:val="009C4467"/>
    <w:rsid w:val="009C4478"/>
    <w:rsid w:val="009C44F7"/>
    <w:rsid w:val="009C4501"/>
    <w:rsid w:val="009C4585"/>
    <w:rsid w:val="009C463C"/>
    <w:rsid w:val="009C46B1"/>
    <w:rsid w:val="009C46FD"/>
    <w:rsid w:val="009C4709"/>
    <w:rsid w:val="009C4717"/>
    <w:rsid w:val="009C486B"/>
    <w:rsid w:val="009C4988"/>
    <w:rsid w:val="009C49DD"/>
    <w:rsid w:val="009C49E1"/>
    <w:rsid w:val="009C4A57"/>
    <w:rsid w:val="009C4A75"/>
    <w:rsid w:val="009C4A80"/>
    <w:rsid w:val="009C4B26"/>
    <w:rsid w:val="009C4C47"/>
    <w:rsid w:val="009C4C9C"/>
    <w:rsid w:val="009C4E86"/>
    <w:rsid w:val="009C4EE5"/>
    <w:rsid w:val="009C4F09"/>
    <w:rsid w:val="009C4F0B"/>
    <w:rsid w:val="009C4FDB"/>
    <w:rsid w:val="009C5000"/>
    <w:rsid w:val="009C502B"/>
    <w:rsid w:val="009C502E"/>
    <w:rsid w:val="009C50EF"/>
    <w:rsid w:val="009C538D"/>
    <w:rsid w:val="009C53F5"/>
    <w:rsid w:val="009C5451"/>
    <w:rsid w:val="009C548C"/>
    <w:rsid w:val="009C54C8"/>
    <w:rsid w:val="009C54C9"/>
    <w:rsid w:val="009C5506"/>
    <w:rsid w:val="009C552C"/>
    <w:rsid w:val="009C556B"/>
    <w:rsid w:val="009C55A1"/>
    <w:rsid w:val="009C55B0"/>
    <w:rsid w:val="009C5717"/>
    <w:rsid w:val="009C5761"/>
    <w:rsid w:val="009C576B"/>
    <w:rsid w:val="009C5828"/>
    <w:rsid w:val="009C5843"/>
    <w:rsid w:val="009C5848"/>
    <w:rsid w:val="009C5874"/>
    <w:rsid w:val="009C5884"/>
    <w:rsid w:val="009C588A"/>
    <w:rsid w:val="009C58D1"/>
    <w:rsid w:val="009C598E"/>
    <w:rsid w:val="009C59B2"/>
    <w:rsid w:val="009C59FE"/>
    <w:rsid w:val="009C5A2C"/>
    <w:rsid w:val="009C5A55"/>
    <w:rsid w:val="009C5AD9"/>
    <w:rsid w:val="009C5B0A"/>
    <w:rsid w:val="009C5B23"/>
    <w:rsid w:val="009C5CF5"/>
    <w:rsid w:val="009C5D33"/>
    <w:rsid w:val="009C5E21"/>
    <w:rsid w:val="009C5EE2"/>
    <w:rsid w:val="009C5EF2"/>
    <w:rsid w:val="009C5F53"/>
    <w:rsid w:val="009C5F8A"/>
    <w:rsid w:val="009C5FC9"/>
    <w:rsid w:val="009C6074"/>
    <w:rsid w:val="009C6165"/>
    <w:rsid w:val="009C61BB"/>
    <w:rsid w:val="009C6251"/>
    <w:rsid w:val="009C6274"/>
    <w:rsid w:val="009C6297"/>
    <w:rsid w:val="009C6370"/>
    <w:rsid w:val="009C63B3"/>
    <w:rsid w:val="009C63BF"/>
    <w:rsid w:val="009C63C1"/>
    <w:rsid w:val="009C63ED"/>
    <w:rsid w:val="009C63FB"/>
    <w:rsid w:val="009C64CE"/>
    <w:rsid w:val="009C653C"/>
    <w:rsid w:val="009C65F8"/>
    <w:rsid w:val="009C6601"/>
    <w:rsid w:val="009C66BD"/>
    <w:rsid w:val="009C66BE"/>
    <w:rsid w:val="009C66E7"/>
    <w:rsid w:val="009C674B"/>
    <w:rsid w:val="009C6803"/>
    <w:rsid w:val="009C682B"/>
    <w:rsid w:val="009C68BB"/>
    <w:rsid w:val="009C6918"/>
    <w:rsid w:val="009C697B"/>
    <w:rsid w:val="009C6A48"/>
    <w:rsid w:val="009C6A51"/>
    <w:rsid w:val="009C6ACD"/>
    <w:rsid w:val="009C6B07"/>
    <w:rsid w:val="009C6B77"/>
    <w:rsid w:val="009C6C5C"/>
    <w:rsid w:val="009C6D9D"/>
    <w:rsid w:val="009C6E4F"/>
    <w:rsid w:val="009C6EBC"/>
    <w:rsid w:val="009C6ECB"/>
    <w:rsid w:val="009C6EF2"/>
    <w:rsid w:val="009C6FAD"/>
    <w:rsid w:val="009C6FB3"/>
    <w:rsid w:val="009C706C"/>
    <w:rsid w:val="009C72A5"/>
    <w:rsid w:val="009C72A8"/>
    <w:rsid w:val="009C72FA"/>
    <w:rsid w:val="009C7421"/>
    <w:rsid w:val="009C7488"/>
    <w:rsid w:val="009C7524"/>
    <w:rsid w:val="009C753E"/>
    <w:rsid w:val="009C7619"/>
    <w:rsid w:val="009C76D7"/>
    <w:rsid w:val="009C771C"/>
    <w:rsid w:val="009C77B9"/>
    <w:rsid w:val="009C783C"/>
    <w:rsid w:val="009C7845"/>
    <w:rsid w:val="009C7890"/>
    <w:rsid w:val="009C78E2"/>
    <w:rsid w:val="009C7932"/>
    <w:rsid w:val="009C796F"/>
    <w:rsid w:val="009C79A8"/>
    <w:rsid w:val="009C79D9"/>
    <w:rsid w:val="009C7A72"/>
    <w:rsid w:val="009C7C63"/>
    <w:rsid w:val="009C7C68"/>
    <w:rsid w:val="009C7CAC"/>
    <w:rsid w:val="009C7D03"/>
    <w:rsid w:val="009C7E00"/>
    <w:rsid w:val="009C7E63"/>
    <w:rsid w:val="009C7E92"/>
    <w:rsid w:val="009C7EC0"/>
    <w:rsid w:val="009C7EFA"/>
    <w:rsid w:val="009C7F05"/>
    <w:rsid w:val="009C7F60"/>
    <w:rsid w:val="009CE6D6"/>
    <w:rsid w:val="009D0054"/>
    <w:rsid w:val="009D0060"/>
    <w:rsid w:val="009D0070"/>
    <w:rsid w:val="009D00C2"/>
    <w:rsid w:val="009D0105"/>
    <w:rsid w:val="009D0154"/>
    <w:rsid w:val="009D0281"/>
    <w:rsid w:val="009D02BF"/>
    <w:rsid w:val="009D02F4"/>
    <w:rsid w:val="009D0499"/>
    <w:rsid w:val="009D066F"/>
    <w:rsid w:val="009D06F7"/>
    <w:rsid w:val="009D0733"/>
    <w:rsid w:val="009D079F"/>
    <w:rsid w:val="009D0818"/>
    <w:rsid w:val="009D088E"/>
    <w:rsid w:val="009D0904"/>
    <w:rsid w:val="009D0A3A"/>
    <w:rsid w:val="009D0A43"/>
    <w:rsid w:val="009D0ABE"/>
    <w:rsid w:val="009D0B00"/>
    <w:rsid w:val="009D0B01"/>
    <w:rsid w:val="009D0B71"/>
    <w:rsid w:val="009D0CC4"/>
    <w:rsid w:val="009D0DAC"/>
    <w:rsid w:val="009D0E1A"/>
    <w:rsid w:val="009D0E1C"/>
    <w:rsid w:val="009D0E4D"/>
    <w:rsid w:val="009D0F70"/>
    <w:rsid w:val="009D0FFE"/>
    <w:rsid w:val="009D0FFF"/>
    <w:rsid w:val="009D1028"/>
    <w:rsid w:val="009D114B"/>
    <w:rsid w:val="009D12D5"/>
    <w:rsid w:val="009D13A9"/>
    <w:rsid w:val="009D14D9"/>
    <w:rsid w:val="009D151C"/>
    <w:rsid w:val="009D1632"/>
    <w:rsid w:val="009D1636"/>
    <w:rsid w:val="009D163F"/>
    <w:rsid w:val="009D16A3"/>
    <w:rsid w:val="009D1813"/>
    <w:rsid w:val="009D18E9"/>
    <w:rsid w:val="009D1923"/>
    <w:rsid w:val="009D1AB9"/>
    <w:rsid w:val="009D1B04"/>
    <w:rsid w:val="009D1B8E"/>
    <w:rsid w:val="009D1C6E"/>
    <w:rsid w:val="009D1CEE"/>
    <w:rsid w:val="009D1D2E"/>
    <w:rsid w:val="009D1D36"/>
    <w:rsid w:val="009D1DC0"/>
    <w:rsid w:val="009D1E5B"/>
    <w:rsid w:val="009D1EED"/>
    <w:rsid w:val="009D202C"/>
    <w:rsid w:val="009D2042"/>
    <w:rsid w:val="009D208A"/>
    <w:rsid w:val="009D20FA"/>
    <w:rsid w:val="009D2179"/>
    <w:rsid w:val="009D2181"/>
    <w:rsid w:val="009D21E6"/>
    <w:rsid w:val="009D22D0"/>
    <w:rsid w:val="009D2334"/>
    <w:rsid w:val="009D2387"/>
    <w:rsid w:val="009D2513"/>
    <w:rsid w:val="009D2690"/>
    <w:rsid w:val="009D26FB"/>
    <w:rsid w:val="009D272B"/>
    <w:rsid w:val="009D2778"/>
    <w:rsid w:val="009D27EE"/>
    <w:rsid w:val="009D286C"/>
    <w:rsid w:val="009D289E"/>
    <w:rsid w:val="009D28BC"/>
    <w:rsid w:val="009D2B77"/>
    <w:rsid w:val="009D2BA4"/>
    <w:rsid w:val="009D2BA7"/>
    <w:rsid w:val="009D2C81"/>
    <w:rsid w:val="009D2D73"/>
    <w:rsid w:val="009D2E7E"/>
    <w:rsid w:val="009D2EC4"/>
    <w:rsid w:val="009D2EC5"/>
    <w:rsid w:val="009D306B"/>
    <w:rsid w:val="009D30A8"/>
    <w:rsid w:val="009D3135"/>
    <w:rsid w:val="009D31D9"/>
    <w:rsid w:val="009D34AB"/>
    <w:rsid w:val="009D34FD"/>
    <w:rsid w:val="009D3621"/>
    <w:rsid w:val="009D3647"/>
    <w:rsid w:val="009D368C"/>
    <w:rsid w:val="009D36B9"/>
    <w:rsid w:val="009D36DC"/>
    <w:rsid w:val="009D3747"/>
    <w:rsid w:val="009D3786"/>
    <w:rsid w:val="009D37AA"/>
    <w:rsid w:val="009D37FD"/>
    <w:rsid w:val="009D38F9"/>
    <w:rsid w:val="009D3953"/>
    <w:rsid w:val="009D39EA"/>
    <w:rsid w:val="009D3A19"/>
    <w:rsid w:val="009D3B4B"/>
    <w:rsid w:val="009D3B5D"/>
    <w:rsid w:val="009D3C5E"/>
    <w:rsid w:val="009D3DAB"/>
    <w:rsid w:val="009D3DF7"/>
    <w:rsid w:val="009D3E1D"/>
    <w:rsid w:val="009D3FC1"/>
    <w:rsid w:val="009D41C8"/>
    <w:rsid w:val="009D4284"/>
    <w:rsid w:val="009D43A1"/>
    <w:rsid w:val="009D43BB"/>
    <w:rsid w:val="009D445E"/>
    <w:rsid w:val="009D4490"/>
    <w:rsid w:val="009D44D4"/>
    <w:rsid w:val="009D4519"/>
    <w:rsid w:val="009D4549"/>
    <w:rsid w:val="009D4552"/>
    <w:rsid w:val="009D4572"/>
    <w:rsid w:val="009D45CD"/>
    <w:rsid w:val="009D462A"/>
    <w:rsid w:val="009D465F"/>
    <w:rsid w:val="009D4685"/>
    <w:rsid w:val="009D469C"/>
    <w:rsid w:val="009D470E"/>
    <w:rsid w:val="009D475A"/>
    <w:rsid w:val="009D477A"/>
    <w:rsid w:val="009D47E3"/>
    <w:rsid w:val="009D487F"/>
    <w:rsid w:val="009D488D"/>
    <w:rsid w:val="009D4900"/>
    <w:rsid w:val="009D494F"/>
    <w:rsid w:val="009D499D"/>
    <w:rsid w:val="009D4A52"/>
    <w:rsid w:val="009D4A53"/>
    <w:rsid w:val="009D4B49"/>
    <w:rsid w:val="009D4BA9"/>
    <w:rsid w:val="009D4C2E"/>
    <w:rsid w:val="009D4C4D"/>
    <w:rsid w:val="009D4D38"/>
    <w:rsid w:val="009D4E0B"/>
    <w:rsid w:val="009D4E33"/>
    <w:rsid w:val="009D4EA6"/>
    <w:rsid w:val="009D4EC2"/>
    <w:rsid w:val="009D4F10"/>
    <w:rsid w:val="009D4F2B"/>
    <w:rsid w:val="009D4F44"/>
    <w:rsid w:val="009D4F6A"/>
    <w:rsid w:val="009D4FCC"/>
    <w:rsid w:val="009D506F"/>
    <w:rsid w:val="009D5095"/>
    <w:rsid w:val="009D50A1"/>
    <w:rsid w:val="009D50B7"/>
    <w:rsid w:val="009D50B9"/>
    <w:rsid w:val="009D50D5"/>
    <w:rsid w:val="009D5168"/>
    <w:rsid w:val="009D5178"/>
    <w:rsid w:val="009D5192"/>
    <w:rsid w:val="009D521A"/>
    <w:rsid w:val="009D5223"/>
    <w:rsid w:val="009D525F"/>
    <w:rsid w:val="009D52BB"/>
    <w:rsid w:val="009D52F5"/>
    <w:rsid w:val="009D53D3"/>
    <w:rsid w:val="009D5461"/>
    <w:rsid w:val="009D54A8"/>
    <w:rsid w:val="009D5503"/>
    <w:rsid w:val="009D551B"/>
    <w:rsid w:val="009D5575"/>
    <w:rsid w:val="009D55DF"/>
    <w:rsid w:val="009D56CB"/>
    <w:rsid w:val="009D57F5"/>
    <w:rsid w:val="009D582D"/>
    <w:rsid w:val="009D58EB"/>
    <w:rsid w:val="009D5902"/>
    <w:rsid w:val="009D59F2"/>
    <w:rsid w:val="009D5A43"/>
    <w:rsid w:val="009D5BA9"/>
    <w:rsid w:val="009D5BF9"/>
    <w:rsid w:val="009D5C4C"/>
    <w:rsid w:val="009D5C88"/>
    <w:rsid w:val="009D5C91"/>
    <w:rsid w:val="009D5CD5"/>
    <w:rsid w:val="009D5D37"/>
    <w:rsid w:val="009D5D59"/>
    <w:rsid w:val="009D5D88"/>
    <w:rsid w:val="009D5D8B"/>
    <w:rsid w:val="009D5D95"/>
    <w:rsid w:val="009D5E1B"/>
    <w:rsid w:val="009D5EA3"/>
    <w:rsid w:val="009D5EDA"/>
    <w:rsid w:val="009D5EDB"/>
    <w:rsid w:val="009D5EF6"/>
    <w:rsid w:val="009D5F25"/>
    <w:rsid w:val="009D5F31"/>
    <w:rsid w:val="009D6177"/>
    <w:rsid w:val="009D617E"/>
    <w:rsid w:val="009D61C8"/>
    <w:rsid w:val="009D627D"/>
    <w:rsid w:val="009D62F6"/>
    <w:rsid w:val="009D634A"/>
    <w:rsid w:val="009D636F"/>
    <w:rsid w:val="009D6399"/>
    <w:rsid w:val="009D63D2"/>
    <w:rsid w:val="009D642B"/>
    <w:rsid w:val="009D6460"/>
    <w:rsid w:val="009D6461"/>
    <w:rsid w:val="009D6498"/>
    <w:rsid w:val="009D64E9"/>
    <w:rsid w:val="009D651A"/>
    <w:rsid w:val="009D6596"/>
    <w:rsid w:val="009D6680"/>
    <w:rsid w:val="009D6688"/>
    <w:rsid w:val="009D66B3"/>
    <w:rsid w:val="009D66F2"/>
    <w:rsid w:val="009D66FB"/>
    <w:rsid w:val="009D6719"/>
    <w:rsid w:val="009D6774"/>
    <w:rsid w:val="009D6833"/>
    <w:rsid w:val="009D6840"/>
    <w:rsid w:val="009D6871"/>
    <w:rsid w:val="009D6957"/>
    <w:rsid w:val="009D69D0"/>
    <w:rsid w:val="009D6A18"/>
    <w:rsid w:val="009D6A36"/>
    <w:rsid w:val="009D6A85"/>
    <w:rsid w:val="009D6B21"/>
    <w:rsid w:val="009D6B66"/>
    <w:rsid w:val="009D6C8B"/>
    <w:rsid w:val="009D6CBD"/>
    <w:rsid w:val="009D6CDE"/>
    <w:rsid w:val="009D6DB1"/>
    <w:rsid w:val="009D6F18"/>
    <w:rsid w:val="009D6F66"/>
    <w:rsid w:val="009D70B1"/>
    <w:rsid w:val="009D71DC"/>
    <w:rsid w:val="009D71DE"/>
    <w:rsid w:val="009D724D"/>
    <w:rsid w:val="009D753B"/>
    <w:rsid w:val="009D7634"/>
    <w:rsid w:val="009D767D"/>
    <w:rsid w:val="009D76B3"/>
    <w:rsid w:val="009D7798"/>
    <w:rsid w:val="009D77C1"/>
    <w:rsid w:val="009D77C2"/>
    <w:rsid w:val="009D785B"/>
    <w:rsid w:val="009D7916"/>
    <w:rsid w:val="009D7A23"/>
    <w:rsid w:val="009D7B17"/>
    <w:rsid w:val="009D7B22"/>
    <w:rsid w:val="009D7B40"/>
    <w:rsid w:val="009D7B74"/>
    <w:rsid w:val="009D7BEC"/>
    <w:rsid w:val="009D7CC7"/>
    <w:rsid w:val="009D7CCF"/>
    <w:rsid w:val="009D7D80"/>
    <w:rsid w:val="009D7E59"/>
    <w:rsid w:val="009D7E91"/>
    <w:rsid w:val="009D7EA5"/>
    <w:rsid w:val="009D7F98"/>
    <w:rsid w:val="009D7FC7"/>
    <w:rsid w:val="009E004E"/>
    <w:rsid w:val="009E0087"/>
    <w:rsid w:val="009E0157"/>
    <w:rsid w:val="009E0180"/>
    <w:rsid w:val="009E01EB"/>
    <w:rsid w:val="009E027D"/>
    <w:rsid w:val="009E02B9"/>
    <w:rsid w:val="009E02E2"/>
    <w:rsid w:val="009E032E"/>
    <w:rsid w:val="009E03B9"/>
    <w:rsid w:val="009E041D"/>
    <w:rsid w:val="009E04A5"/>
    <w:rsid w:val="009E05CD"/>
    <w:rsid w:val="009E0606"/>
    <w:rsid w:val="009E0640"/>
    <w:rsid w:val="009E0662"/>
    <w:rsid w:val="009E0722"/>
    <w:rsid w:val="009E07AF"/>
    <w:rsid w:val="009E07F2"/>
    <w:rsid w:val="009E0951"/>
    <w:rsid w:val="009E09D5"/>
    <w:rsid w:val="009E0A13"/>
    <w:rsid w:val="009E0A74"/>
    <w:rsid w:val="009E0A84"/>
    <w:rsid w:val="009E0C7E"/>
    <w:rsid w:val="009E0C9F"/>
    <w:rsid w:val="009E0D17"/>
    <w:rsid w:val="009E0D51"/>
    <w:rsid w:val="009E0EAF"/>
    <w:rsid w:val="009E0EDC"/>
    <w:rsid w:val="009E0F30"/>
    <w:rsid w:val="009E1089"/>
    <w:rsid w:val="009E108D"/>
    <w:rsid w:val="009E1093"/>
    <w:rsid w:val="009E12DD"/>
    <w:rsid w:val="009E12DF"/>
    <w:rsid w:val="009E12EA"/>
    <w:rsid w:val="009E1497"/>
    <w:rsid w:val="009E15C6"/>
    <w:rsid w:val="009E15D0"/>
    <w:rsid w:val="009E15EE"/>
    <w:rsid w:val="009E15F5"/>
    <w:rsid w:val="009E1669"/>
    <w:rsid w:val="009E16B0"/>
    <w:rsid w:val="009E16E5"/>
    <w:rsid w:val="009E16FD"/>
    <w:rsid w:val="009E1785"/>
    <w:rsid w:val="009E178E"/>
    <w:rsid w:val="009E1929"/>
    <w:rsid w:val="009E1946"/>
    <w:rsid w:val="009E194F"/>
    <w:rsid w:val="009E1967"/>
    <w:rsid w:val="009E1A39"/>
    <w:rsid w:val="009E1ABC"/>
    <w:rsid w:val="009E1B88"/>
    <w:rsid w:val="009E1BE9"/>
    <w:rsid w:val="009E1CF5"/>
    <w:rsid w:val="009E1D9B"/>
    <w:rsid w:val="009E1DB8"/>
    <w:rsid w:val="009E1DEE"/>
    <w:rsid w:val="009E1DF2"/>
    <w:rsid w:val="009E1EA1"/>
    <w:rsid w:val="009E1EC0"/>
    <w:rsid w:val="009E1F98"/>
    <w:rsid w:val="009E1FAB"/>
    <w:rsid w:val="009E211C"/>
    <w:rsid w:val="009E2192"/>
    <w:rsid w:val="009E219B"/>
    <w:rsid w:val="009E21A0"/>
    <w:rsid w:val="009E21F6"/>
    <w:rsid w:val="009E22C1"/>
    <w:rsid w:val="009E22CA"/>
    <w:rsid w:val="009E22F4"/>
    <w:rsid w:val="009E2473"/>
    <w:rsid w:val="009E24C0"/>
    <w:rsid w:val="009E2547"/>
    <w:rsid w:val="009E255A"/>
    <w:rsid w:val="009E2578"/>
    <w:rsid w:val="009E266B"/>
    <w:rsid w:val="009E26A1"/>
    <w:rsid w:val="009E26B7"/>
    <w:rsid w:val="009E27D7"/>
    <w:rsid w:val="009E2953"/>
    <w:rsid w:val="009E2A08"/>
    <w:rsid w:val="009E2AE8"/>
    <w:rsid w:val="009E2BCD"/>
    <w:rsid w:val="009E2C1D"/>
    <w:rsid w:val="009E2C30"/>
    <w:rsid w:val="009E2CB1"/>
    <w:rsid w:val="009E2CF2"/>
    <w:rsid w:val="009E2D06"/>
    <w:rsid w:val="009E2D79"/>
    <w:rsid w:val="009E2DEB"/>
    <w:rsid w:val="009E2DF3"/>
    <w:rsid w:val="009E2E88"/>
    <w:rsid w:val="009E3032"/>
    <w:rsid w:val="009E30C2"/>
    <w:rsid w:val="009E3120"/>
    <w:rsid w:val="009E3148"/>
    <w:rsid w:val="009E31F8"/>
    <w:rsid w:val="009E3414"/>
    <w:rsid w:val="009E3462"/>
    <w:rsid w:val="009E349E"/>
    <w:rsid w:val="009E3544"/>
    <w:rsid w:val="009E3565"/>
    <w:rsid w:val="009E35AB"/>
    <w:rsid w:val="009E3644"/>
    <w:rsid w:val="009E3801"/>
    <w:rsid w:val="009E395A"/>
    <w:rsid w:val="009E3AE8"/>
    <w:rsid w:val="009E3B06"/>
    <w:rsid w:val="009E3B2F"/>
    <w:rsid w:val="009E3B73"/>
    <w:rsid w:val="009E3B78"/>
    <w:rsid w:val="009E3BB4"/>
    <w:rsid w:val="009E3C4C"/>
    <w:rsid w:val="009E3C89"/>
    <w:rsid w:val="009E3D3C"/>
    <w:rsid w:val="009E3E8A"/>
    <w:rsid w:val="009E3EB1"/>
    <w:rsid w:val="009E3F37"/>
    <w:rsid w:val="009E4048"/>
    <w:rsid w:val="009E40B3"/>
    <w:rsid w:val="009E40D1"/>
    <w:rsid w:val="009E411F"/>
    <w:rsid w:val="009E41AF"/>
    <w:rsid w:val="009E421C"/>
    <w:rsid w:val="009E4238"/>
    <w:rsid w:val="009E4272"/>
    <w:rsid w:val="009E42A7"/>
    <w:rsid w:val="009E42DD"/>
    <w:rsid w:val="009E43FE"/>
    <w:rsid w:val="009E4440"/>
    <w:rsid w:val="009E446F"/>
    <w:rsid w:val="009E46AC"/>
    <w:rsid w:val="009E471C"/>
    <w:rsid w:val="009E47D3"/>
    <w:rsid w:val="009E47F3"/>
    <w:rsid w:val="009E4802"/>
    <w:rsid w:val="009E4912"/>
    <w:rsid w:val="009E4C0E"/>
    <w:rsid w:val="009E4C14"/>
    <w:rsid w:val="009E4C77"/>
    <w:rsid w:val="009E4CC4"/>
    <w:rsid w:val="009E4CFC"/>
    <w:rsid w:val="009E4D97"/>
    <w:rsid w:val="009E4DC5"/>
    <w:rsid w:val="009E4E3A"/>
    <w:rsid w:val="009E4E6B"/>
    <w:rsid w:val="009E4FA4"/>
    <w:rsid w:val="009E5005"/>
    <w:rsid w:val="009E5078"/>
    <w:rsid w:val="009E50DF"/>
    <w:rsid w:val="009E51FD"/>
    <w:rsid w:val="009E522A"/>
    <w:rsid w:val="009E524F"/>
    <w:rsid w:val="009E5288"/>
    <w:rsid w:val="009E52C6"/>
    <w:rsid w:val="009E5311"/>
    <w:rsid w:val="009E5388"/>
    <w:rsid w:val="009E53C3"/>
    <w:rsid w:val="009E5414"/>
    <w:rsid w:val="009E548C"/>
    <w:rsid w:val="009E549E"/>
    <w:rsid w:val="009E54EF"/>
    <w:rsid w:val="009E5517"/>
    <w:rsid w:val="009E55B0"/>
    <w:rsid w:val="009E55B5"/>
    <w:rsid w:val="009E5662"/>
    <w:rsid w:val="009E56F6"/>
    <w:rsid w:val="009E573D"/>
    <w:rsid w:val="009E597E"/>
    <w:rsid w:val="009E59FE"/>
    <w:rsid w:val="009E5A29"/>
    <w:rsid w:val="009E5A2B"/>
    <w:rsid w:val="009E5A2C"/>
    <w:rsid w:val="009E5A62"/>
    <w:rsid w:val="009E5A77"/>
    <w:rsid w:val="009E5AAA"/>
    <w:rsid w:val="009E5AB0"/>
    <w:rsid w:val="009E5AD8"/>
    <w:rsid w:val="009E5AFC"/>
    <w:rsid w:val="009E5B2E"/>
    <w:rsid w:val="009E5B74"/>
    <w:rsid w:val="009E5B7B"/>
    <w:rsid w:val="009E5BAB"/>
    <w:rsid w:val="009E5CE0"/>
    <w:rsid w:val="009E5D95"/>
    <w:rsid w:val="009E5E0D"/>
    <w:rsid w:val="009E5F67"/>
    <w:rsid w:val="009E5F73"/>
    <w:rsid w:val="009E5F7D"/>
    <w:rsid w:val="009E6004"/>
    <w:rsid w:val="009E6065"/>
    <w:rsid w:val="009E6074"/>
    <w:rsid w:val="009E62C7"/>
    <w:rsid w:val="009E62E7"/>
    <w:rsid w:val="009E631A"/>
    <w:rsid w:val="009E6358"/>
    <w:rsid w:val="009E6365"/>
    <w:rsid w:val="009E63A5"/>
    <w:rsid w:val="009E65DB"/>
    <w:rsid w:val="009E65FC"/>
    <w:rsid w:val="009E677C"/>
    <w:rsid w:val="009E6787"/>
    <w:rsid w:val="009E684E"/>
    <w:rsid w:val="009E689C"/>
    <w:rsid w:val="009E6B29"/>
    <w:rsid w:val="009E6B91"/>
    <w:rsid w:val="009E6C20"/>
    <w:rsid w:val="009E6C38"/>
    <w:rsid w:val="009E6CB0"/>
    <w:rsid w:val="009E6CCF"/>
    <w:rsid w:val="009E6CEC"/>
    <w:rsid w:val="009E6CF1"/>
    <w:rsid w:val="009E6E68"/>
    <w:rsid w:val="009E6F2B"/>
    <w:rsid w:val="009E6F63"/>
    <w:rsid w:val="009E6F80"/>
    <w:rsid w:val="009E700E"/>
    <w:rsid w:val="009E709F"/>
    <w:rsid w:val="009E7158"/>
    <w:rsid w:val="009E722C"/>
    <w:rsid w:val="009E7238"/>
    <w:rsid w:val="009E7256"/>
    <w:rsid w:val="009E7383"/>
    <w:rsid w:val="009E73AF"/>
    <w:rsid w:val="009E73BD"/>
    <w:rsid w:val="009E74B1"/>
    <w:rsid w:val="009E74D5"/>
    <w:rsid w:val="009E7535"/>
    <w:rsid w:val="009E75B5"/>
    <w:rsid w:val="009E7618"/>
    <w:rsid w:val="009E769C"/>
    <w:rsid w:val="009E76EE"/>
    <w:rsid w:val="009E7752"/>
    <w:rsid w:val="009E795A"/>
    <w:rsid w:val="009E7A99"/>
    <w:rsid w:val="009E7AAD"/>
    <w:rsid w:val="009E7ABA"/>
    <w:rsid w:val="009E7AF0"/>
    <w:rsid w:val="009E7BF6"/>
    <w:rsid w:val="009E7D85"/>
    <w:rsid w:val="009E7DB2"/>
    <w:rsid w:val="009E7EE1"/>
    <w:rsid w:val="009E7F29"/>
    <w:rsid w:val="009E7FCF"/>
    <w:rsid w:val="009F0018"/>
    <w:rsid w:val="009F001E"/>
    <w:rsid w:val="009F0038"/>
    <w:rsid w:val="009F00A6"/>
    <w:rsid w:val="009F00C9"/>
    <w:rsid w:val="009F0172"/>
    <w:rsid w:val="009F0283"/>
    <w:rsid w:val="009F02A6"/>
    <w:rsid w:val="009F036F"/>
    <w:rsid w:val="009F037E"/>
    <w:rsid w:val="009F03C4"/>
    <w:rsid w:val="009F0509"/>
    <w:rsid w:val="009F059F"/>
    <w:rsid w:val="009F05FE"/>
    <w:rsid w:val="009F0638"/>
    <w:rsid w:val="009F06E3"/>
    <w:rsid w:val="009F06EC"/>
    <w:rsid w:val="009F0738"/>
    <w:rsid w:val="009F073F"/>
    <w:rsid w:val="009F0790"/>
    <w:rsid w:val="009F07C7"/>
    <w:rsid w:val="009F0877"/>
    <w:rsid w:val="009F0888"/>
    <w:rsid w:val="009F08C1"/>
    <w:rsid w:val="009F0981"/>
    <w:rsid w:val="009F0986"/>
    <w:rsid w:val="009F09B2"/>
    <w:rsid w:val="009F09CA"/>
    <w:rsid w:val="009F0A06"/>
    <w:rsid w:val="009F0A22"/>
    <w:rsid w:val="009F0AD8"/>
    <w:rsid w:val="009F0AF8"/>
    <w:rsid w:val="009F0B10"/>
    <w:rsid w:val="009F0B2D"/>
    <w:rsid w:val="009F0B6F"/>
    <w:rsid w:val="009F0B71"/>
    <w:rsid w:val="009F0CC8"/>
    <w:rsid w:val="009F0D08"/>
    <w:rsid w:val="009F0D0B"/>
    <w:rsid w:val="009F0D6F"/>
    <w:rsid w:val="009F0F59"/>
    <w:rsid w:val="009F0F93"/>
    <w:rsid w:val="009F0FBB"/>
    <w:rsid w:val="009F0FFB"/>
    <w:rsid w:val="009F1008"/>
    <w:rsid w:val="009F1046"/>
    <w:rsid w:val="009F1048"/>
    <w:rsid w:val="009F104F"/>
    <w:rsid w:val="009F108B"/>
    <w:rsid w:val="009F10AB"/>
    <w:rsid w:val="009F10E3"/>
    <w:rsid w:val="009F10FC"/>
    <w:rsid w:val="009F1172"/>
    <w:rsid w:val="009F1173"/>
    <w:rsid w:val="009F1279"/>
    <w:rsid w:val="009F12DC"/>
    <w:rsid w:val="009F12F1"/>
    <w:rsid w:val="009F130D"/>
    <w:rsid w:val="009F133C"/>
    <w:rsid w:val="009F133E"/>
    <w:rsid w:val="009F146F"/>
    <w:rsid w:val="009F14BF"/>
    <w:rsid w:val="009F14F5"/>
    <w:rsid w:val="009F153C"/>
    <w:rsid w:val="009F15AF"/>
    <w:rsid w:val="009F15DD"/>
    <w:rsid w:val="009F16B1"/>
    <w:rsid w:val="009F16C2"/>
    <w:rsid w:val="009F16DE"/>
    <w:rsid w:val="009F16E9"/>
    <w:rsid w:val="009F1708"/>
    <w:rsid w:val="009F1765"/>
    <w:rsid w:val="009F1778"/>
    <w:rsid w:val="009F181E"/>
    <w:rsid w:val="009F183D"/>
    <w:rsid w:val="009F1845"/>
    <w:rsid w:val="009F1878"/>
    <w:rsid w:val="009F1885"/>
    <w:rsid w:val="009F18E2"/>
    <w:rsid w:val="009F1902"/>
    <w:rsid w:val="009F1919"/>
    <w:rsid w:val="009F19D5"/>
    <w:rsid w:val="009F1A60"/>
    <w:rsid w:val="009F1A63"/>
    <w:rsid w:val="009F1A7A"/>
    <w:rsid w:val="009F1ADF"/>
    <w:rsid w:val="009F1AE6"/>
    <w:rsid w:val="009F1B05"/>
    <w:rsid w:val="009F1B5D"/>
    <w:rsid w:val="009F1B96"/>
    <w:rsid w:val="009F1B97"/>
    <w:rsid w:val="009F1BAB"/>
    <w:rsid w:val="009F1BE2"/>
    <w:rsid w:val="009F1CE7"/>
    <w:rsid w:val="009F1D17"/>
    <w:rsid w:val="009F1D6F"/>
    <w:rsid w:val="009F1E37"/>
    <w:rsid w:val="009F1E3B"/>
    <w:rsid w:val="009F1E6E"/>
    <w:rsid w:val="009F1E75"/>
    <w:rsid w:val="009F1ED0"/>
    <w:rsid w:val="009F20C3"/>
    <w:rsid w:val="009F20C5"/>
    <w:rsid w:val="009F20E5"/>
    <w:rsid w:val="009F20F5"/>
    <w:rsid w:val="009F21C6"/>
    <w:rsid w:val="009F21D6"/>
    <w:rsid w:val="009F21E3"/>
    <w:rsid w:val="009F232A"/>
    <w:rsid w:val="009F243B"/>
    <w:rsid w:val="009F2571"/>
    <w:rsid w:val="009F25A3"/>
    <w:rsid w:val="009F25B7"/>
    <w:rsid w:val="009F25D4"/>
    <w:rsid w:val="009F2627"/>
    <w:rsid w:val="009F2685"/>
    <w:rsid w:val="009F2703"/>
    <w:rsid w:val="009F27A2"/>
    <w:rsid w:val="009F287C"/>
    <w:rsid w:val="009F28DF"/>
    <w:rsid w:val="009F2916"/>
    <w:rsid w:val="009F29F1"/>
    <w:rsid w:val="009F2BFE"/>
    <w:rsid w:val="009F2C65"/>
    <w:rsid w:val="009F2CB2"/>
    <w:rsid w:val="009F2D41"/>
    <w:rsid w:val="009F2D59"/>
    <w:rsid w:val="009F2D8D"/>
    <w:rsid w:val="009F2DC7"/>
    <w:rsid w:val="009F2E37"/>
    <w:rsid w:val="009F2E50"/>
    <w:rsid w:val="009F3000"/>
    <w:rsid w:val="009F30D3"/>
    <w:rsid w:val="009F30FA"/>
    <w:rsid w:val="009F312F"/>
    <w:rsid w:val="009F3145"/>
    <w:rsid w:val="009F3157"/>
    <w:rsid w:val="009F315D"/>
    <w:rsid w:val="009F31B2"/>
    <w:rsid w:val="009F32D3"/>
    <w:rsid w:val="009F3389"/>
    <w:rsid w:val="009F3414"/>
    <w:rsid w:val="009F3580"/>
    <w:rsid w:val="009F360C"/>
    <w:rsid w:val="009F36C4"/>
    <w:rsid w:val="009F37BA"/>
    <w:rsid w:val="009F3874"/>
    <w:rsid w:val="009F391D"/>
    <w:rsid w:val="009F3950"/>
    <w:rsid w:val="009F3973"/>
    <w:rsid w:val="009F39F8"/>
    <w:rsid w:val="009F3A6B"/>
    <w:rsid w:val="009F3B02"/>
    <w:rsid w:val="009F3CA3"/>
    <w:rsid w:val="009F3CD5"/>
    <w:rsid w:val="009F3CDC"/>
    <w:rsid w:val="009F3D13"/>
    <w:rsid w:val="009F3D7A"/>
    <w:rsid w:val="009F3DB2"/>
    <w:rsid w:val="009F3E6B"/>
    <w:rsid w:val="009F3EFB"/>
    <w:rsid w:val="009F3F78"/>
    <w:rsid w:val="009F400D"/>
    <w:rsid w:val="009F40E7"/>
    <w:rsid w:val="009F4125"/>
    <w:rsid w:val="009F4148"/>
    <w:rsid w:val="009F41CB"/>
    <w:rsid w:val="009F41EA"/>
    <w:rsid w:val="009F41F2"/>
    <w:rsid w:val="009F42B0"/>
    <w:rsid w:val="009F42F9"/>
    <w:rsid w:val="009F430A"/>
    <w:rsid w:val="009F438D"/>
    <w:rsid w:val="009F43F7"/>
    <w:rsid w:val="009F442C"/>
    <w:rsid w:val="009F446A"/>
    <w:rsid w:val="009F44BB"/>
    <w:rsid w:val="009F4504"/>
    <w:rsid w:val="009F456E"/>
    <w:rsid w:val="009F461D"/>
    <w:rsid w:val="009F4632"/>
    <w:rsid w:val="009F46C0"/>
    <w:rsid w:val="009F4848"/>
    <w:rsid w:val="009F4976"/>
    <w:rsid w:val="009F49DE"/>
    <w:rsid w:val="009F4A45"/>
    <w:rsid w:val="009F4A85"/>
    <w:rsid w:val="009F4AA5"/>
    <w:rsid w:val="009F4AF9"/>
    <w:rsid w:val="009F4C76"/>
    <w:rsid w:val="009F4DAE"/>
    <w:rsid w:val="009F4E05"/>
    <w:rsid w:val="009F4EFC"/>
    <w:rsid w:val="009F4F73"/>
    <w:rsid w:val="009F4FA1"/>
    <w:rsid w:val="009F4FFB"/>
    <w:rsid w:val="009F517F"/>
    <w:rsid w:val="009F51ED"/>
    <w:rsid w:val="009F523D"/>
    <w:rsid w:val="009F5284"/>
    <w:rsid w:val="009F528F"/>
    <w:rsid w:val="009F53DE"/>
    <w:rsid w:val="009F5444"/>
    <w:rsid w:val="009F545D"/>
    <w:rsid w:val="009F548A"/>
    <w:rsid w:val="009F5572"/>
    <w:rsid w:val="009F5604"/>
    <w:rsid w:val="009F5667"/>
    <w:rsid w:val="009F56D8"/>
    <w:rsid w:val="009F5710"/>
    <w:rsid w:val="009F571C"/>
    <w:rsid w:val="009F5739"/>
    <w:rsid w:val="009F5884"/>
    <w:rsid w:val="009F58B1"/>
    <w:rsid w:val="009F5925"/>
    <w:rsid w:val="009F5A1A"/>
    <w:rsid w:val="009F5B33"/>
    <w:rsid w:val="009F5C4F"/>
    <w:rsid w:val="009F5C52"/>
    <w:rsid w:val="009F5C76"/>
    <w:rsid w:val="009F5C96"/>
    <w:rsid w:val="009F5CA1"/>
    <w:rsid w:val="009F5CD0"/>
    <w:rsid w:val="009F5DB0"/>
    <w:rsid w:val="009F5E00"/>
    <w:rsid w:val="009F5E29"/>
    <w:rsid w:val="009F5E9D"/>
    <w:rsid w:val="009F5F0A"/>
    <w:rsid w:val="009F5F0F"/>
    <w:rsid w:val="009F5F55"/>
    <w:rsid w:val="009F5F94"/>
    <w:rsid w:val="009F5FD0"/>
    <w:rsid w:val="009F6008"/>
    <w:rsid w:val="009F6071"/>
    <w:rsid w:val="009F60E1"/>
    <w:rsid w:val="009F6184"/>
    <w:rsid w:val="009F61AA"/>
    <w:rsid w:val="009F623D"/>
    <w:rsid w:val="009F62A5"/>
    <w:rsid w:val="009F633C"/>
    <w:rsid w:val="009F63D9"/>
    <w:rsid w:val="009F6460"/>
    <w:rsid w:val="009F648A"/>
    <w:rsid w:val="009F64A5"/>
    <w:rsid w:val="009F64BA"/>
    <w:rsid w:val="009F6590"/>
    <w:rsid w:val="009F6599"/>
    <w:rsid w:val="009F65A1"/>
    <w:rsid w:val="009F65A3"/>
    <w:rsid w:val="009F65A6"/>
    <w:rsid w:val="009F65B6"/>
    <w:rsid w:val="009F65C7"/>
    <w:rsid w:val="009F65E6"/>
    <w:rsid w:val="009F65E8"/>
    <w:rsid w:val="009F6620"/>
    <w:rsid w:val="009F6623"/>
    <w:rsid w:val="009F6689"/>
    <w:rsid w:val="009F66C3"/>
    <w:rsid w:val="009F66CD"/>
    <w:rsid w:val="009F6790"/>
    <w:rsid w:val="009F68A9"/>
    <w:rsid w:val="009F6911"/>
    <w:rsid w:val="009F6986"/>
    <w:rsid w:val="009F69F0"/>
    <w:rsid w:val="009F6A6F"/>
    <w:rsid w:val="009F6AA6"/>
    <w:rsid w:val="009F6B34"/>
    <w:rsid w:val="009F6B41"/>
    <w:rsid w:val="009F6BA0"/>
    <w:rsid w:val="009F6BD6"/>
    <w:rsid w:val="009F6C10"/>
    <w:rsid w:val="009F6C24"/>
    <w:rsid w:val="009F6C40"/>
    <w:rsid w:val="009F6C83"/>
    <w:rsid w:val="009F6CC4"/>
    <w:rsid w:val="009F6D1C"/>
    <w:rsid w:val="009F6D24"/>
    <w:rsid w:val="009F6D27"/>
    <w:rsid w:val="009F6E16"/>
    <w:rsid w:val="009F6E27"/>
    <w:rsid w:val="009F6E2C"/>
    <w:rsid w:val="009F6E74"/>
    <w:rsid w:val="009F6F36"/>
    <w:rsid w:val="009F7085"/>
    <w:rsid w:val="009F71B4"/>
    <w:rsid w:val="009F71EB"/>
    <w:rsid w:val="009F7208"/>
    <w:rsid w:val="009F7290"/>
    <w:rsid w:val="009F72BC"/>
    <w:rsid w:val="009F72E0"/>
    <w:rsid w:val="009F736E"/>
    <w:rsid w:val="009F737E"/>
    <w:rsid w:val="009F7426"/>
    <w:rsid w:val="009F7429"/>
    <w:rsid w:val="009F74D7"/>
    <w:rsid w:val="009F7581"/>
    <w:rsid w:val="009F75A0"/>
    <w:rsid w:val="009F75CB"/>
    <w:rsid w:val="009F760F"/>
    <w:rsid w:val="009F7658"/>
    <w:rsid w:val="009F76A8"/>
    <w:rsid w:val="009F76D4"/>
    <w:rsid w:val="009F7740"/>
    <w:rsid w:val="009F787D"/>
    <w:rsid w:val="009F7894"/>
    <w:rsid w:val="009F799A"/>
    <w:rsid w:val="009F7A60"/>
    <w:rsid w:val="009F7A77"/>
    <w:rsid w:val="009F7AAB"/>
    <w:rsid w:val="009F7B36"/>
    <w:rsid w:val="009F7B6D"/>
    <w:rsid w:val="009F7B8F"/>
    <w:rsid w:val="009F7BB5"/>
    <w:rsid w:val="009F7C30"/>
    <w:rsid w:val="009F7C37"/>
    <w:rsid w:val="009F7CDF"/>
    <w:rsid w:val="009F7D4F"/>
    <w:rsid w:val="009F7DED"/>
    <w:rsid w:val="009F7E5E"/>
    <w:rsid w:val="009F7E98"/>
    <w:rsid w:val="009F7EB9"/>
    <w:rsid w:val="009F7F2E"/>
    <w:rsid w:val="009F7FCC"/>
    <w:rsid w:val="00A00050"/>
    <w:rsid w:val="00A000E2"/>
    <w:rsid w:val="00A00105"/>
    <w:rsid w:val="00A0010E"/>
    <w:rsid w:val="00A0016D"/>
    <w:rsid w:val="00A001E1"/>
    <w:rsid w:val="00A001F0"/>
    <w:rsid w:val="00A001FB"/>
    <w:rsid w:val="00A00282"/>
    <w:rsid w:val="00A00314"/>
    <w:rsid w:val="00A004CC"/>
    <w:rsid w:val="00A0050E"/>
    <w:rsid w:val="00A0057D"/>
    <w:rsid w:val="00A00647"/>
    <w:rsid w:val="00A00658"/>
    <w:rsid w:val="00A00917"/>
    <w:rsid w:val="00A00927"/>
    <w:rsid w:val="00A0094A"/>
    <w:rsid w:val="00A00AC1"/>
    <w:rsid w:val="00A00AFE"/>
    <w:rsid w:val="00A00B71"/>
    <w:rsid w:val="00A00BC5"/>
    <w:rsid w:val="00A00BF1"/>
    <w:rsid w:val="00A00CD7"/>
    <w:rsid w:val="00A00D6D"/>
    <w:rsid w:val="00A00DAD"/>
    <w:rsid w:val="00A00DF1"/>
    <w:rsid w:val="00A00E65"/>
    <w:rsid w:val="00A00EE1"/>
    <w:rsid w:val="00A00F6F"/>
    <w:rsid w:val="00A00FCB"/>
    <w:rsid w:val="00A01011"/>
    <w:rsid w:val="00A01125"/>
    <w:rsid w:val="00A011B5"/>
    <w:rsid w:val="00A011D9"/>
    <w:rsid w:val="00A0125F"/>
    <w:rsid w:val="00A0128B"/>
    <w:rsid w:val="00A01368"/>
    <w:rsid w:val="00A013D8"/>
    <w:rsid w:val="00A013FB"/>
    <w:rsid w:val="00A0140E"/>
    <w:rsid w:val="00A0142C"/>
    <w:rsid w:val="00A01465"/>
    <w:rsid w:val="00A014A9"/>
    <w:rsid w:val="00A014CE"/>
    <w:rsid w:val="00A01515"/>
    <w:rsid w:val="00A016E0"/>
    <w:rsid w:val="00A0187B"/>
    <w:rsid w:val="00A0188E"/>
    <w:rsid w:val="00A01959"/>
    <w:rsid w:val="00A019D0"/>
    <w:rsid w:val="00A01A0B"/>
    <w:rsid w:val="00A01A4F"/>
    <w:rsid w:val="00A01AA9"/>
    <w:rsid w:val="00A01AB8"/>
    <w:rsid w:val="00A01B0C"/>
    <w:rsid w:val="00A01B7A"/>
    <w:rsid w:val="00A01BB7"/>
    <w:rsid w:val="00A01BDC"/>
    <w:rsid w:val="00A01C0D"/>
    <w:rsid w:val="00A01C88"/>
    <w:rsid w:val="00A01CB5"/>
    <w:rsid w:val="00A01CE0"/>
    <w:rsid w:val="00A01D47"/>
    <w:rsid w:val="00A01D48"/>
    <w:rsid w:val="00A01D54"/>
    <w:rsid w:val="00A01D6C"/>
    <w:rsid w:val="00A01DA2"/>
    <w:rsid w:val="00A01DB8"/>
    <w:rsid w:val="00A01DEA"/>
    <w:rsid w:val="00A01EF3"/>
    <w:rsid w:val="00A01EF4"/>
    <w:rsid w:val="00A01F1E"/>
    <w:rsid w:val="00A01FE9"/>
    <w:rsid w:val="00A0203F"/>
    <w:rsid w:val="00A0204D"/>
    <w:rsid w:val="00A020E1"/>
    <w:rsid w:val="00A02190"/>
    <w:rsid w:val="00A021C2"/>
    <w:rsid w:val="00A0223E"/>
    <w:rsid w:val="00A023BA"/>
    <w:rsid w:val="00A02462"/>
    <w:rsid w:val="00A02530"/>
    <w:rsid w:val="00A025BB"/>
    <w:rsid w:val="00A02608"/>
    <w:rsid w:val="00A0262C"/>
    <w:rsid w:val="00A026B5"/>
    <w:rsid w:val="00A027BE"/>
    <w:rsid w:val="00A0280D"/>
    <w:rsid w:val="00A02913"/>
    <w:rsid w:val="00A02952"/>
    <w:rsid w:val="00A029A4"/>
    <w:rsid w:val="00A02A2C"/>
    <w:rsid w:val="00A02A92"/>
    <w:rsid w:val="00A02A95"/>
    <w:rsid w:val="00A02AAF"/>
    <w:rsid w:val="00A02AED"/>
    <w:rsid w:val="00A02B1C"/>
    <w:rsid w:val="00A02BA9"/>
    <w:rsid w:val="00A02D47"/>
    <w:rsid w:val="00A02DA6"/>
    <w:rsid w:val="00A02DCF"/>
    <w:rsid w:val="00A02E7A"/>
    <w:rsid w:val="00A02FA2"/>
    <w:rsid w:val="00A0300E"/>
    <w:rsid w:val="00A03063"/>
    <w:rsid w:val="00A0306D"/>
    <w:rsid w:val="00A03073"/>
    <w:rsid w:val="00A0308D"/>
    <w:rsid w:val="00A0312A"/>
    <w:rsid w:val="00A031AA"/>
    <w:rsid w:val="00A03218"/>
    <w:rsid w:val="00A0321F"/>
    <w:rsid w:val="00A03250"/>
    <w:rsid w:val="00A032B3"/>
    <w:rsid w:val="00A03316"/>
    <w:rsid w:val="00A03321"/>
    <w:rsid w:val="00A03346"/>
    <w:rsid w:val="00A0336A"/>
    <w:rsid w:val="00A0339E"/>
    <w:rsid w:val="00A03426"/>
    <w:rsid w:val="00A03489"/>
    <w:rsid w:val="00A0349B"/>
    <w:rsid w:val="00A034E3"/>
    <w:rsid w:val="00A034EC"/>
    <w:rsid w:val="00A03611"/>
    <w:rsid w:val="00A03678"/>
    <w:rsid w:val="00A0374F"/>
    <w:rsid w:val="00A0379D"/>
    <w:rsid w:val="00A0379F"/>
    <w:rsid w:val="00A03848"/>
    <w:rsid w:val="00A0389D"/>
    <w:rsid w:val="00A039CA"/>
    <w:rsid w:val="00A03A12"/>
    <w:rsid w:val="00A03A64"/>
    <w:rsid w:val="00A03ADF"/>
    <w:rsid w:val="00A03C0A"/>
    <w:rsid w:val="00A03C4A"/>
    <w:rsid w:val="00A03D31"/>
    <w:rsid w:val="00A03D50"/>
    <w:rsid w:val="00A03D7E"/>
    <w:rsid w:val="00A03D80"/>
    <w:rsid w:val="00A03DC0"/>
    <w:rsid w:val="00A03DF8"/>
    <w:rsid w:val="00A03E4D"/>
    <w:rsid w:val="00A03E80"/>
    <w:rsid w:val="00A03E91"/>
    <w:rsid w:val="00A03F16"/>
    <w:rsid w:val="00A03F5A"/>
    <w:rsid w:val="00A04087"/>
    <w:rsid w:val="00A040AF"/>
    <w:rsid w:val="00A040FD"/>
    <w:rsid w:val="00A04100"/>
    <w:rsid w:val="00A0411D"/>
    <w:rsid w:val="00A041BF"/>
    <w:rsid w:val="00A041D2"/>
    <w:rsid w:val="00A04212"/>
    <w:rsid w:val="00A04241"/>
    <w:rsid w:val="00A04336"/>
    <w:rsid w:val="00A04354"/>
    <w:rsid w:val="00A043EE"/>
    <w:rsid w:val="00A04461"/>
    <w:rsid w:val="00A04476"/>
    <w:rsid w:val="00A0452A"/>
    <w:rsid w:val="00A047C0"/>
    <w:rsid w:val="00A04838"/>
    <w:rsid w:val="00A048B8"/>
    <w:rsid w:val="00A04A38"/>
    <w:rsid w:val="00A04A74"/>
    <w:rsid w:val="00A04AB4"/>
    <w:rsid w:val="00A04B3F"/>
    <w:rsid w:val="00A04B86"/>
    <w:rsid w:val="00A04C3D"/>
    <w:rsid w:val="00A04D46"/>
    <w:rsid w:val="00A04DC0"/>
    <w:rsid w:val="00A04DDF"/>
    <w:rsid w:val="00A04E5A"/>
    <w:rsid w:val="00A04E6C"/>
    <w:rsid w:val="00A05184"/>
    <w:rsid w:val="00A0518B"/>
    <w:rsid w:val="00A0519F"/>
    <w:rsid w:val="00A052F2"/>
    <w:rsid w:val="00A0530A"/>
    <w:rsid w:val="00A0538F"/>
    <w:rsid w:val="00A053BF"/>
    <w:rsid w:val="00A05504"/>
    <w:rsid w:val="00A05552"/>
    <w:rsid w:val="00A05578"/>
    <w:rsid w:val="00A05628"/>
    <w:rsid w:val="00A05697"/>
    <w:rsid w:val="00A0570D"/>
    <w:rsid w:val="00A0578B"/>
    <w:rsid w:val="00A057AC"/>
    <w:rsid w:val="00A057BE"/>
    <w:rsid w:val="00A057C7"/>
    <w:rsid w:val="00A05850"/>
    <w:rsid w:val="00A05955"/>
    <w:rsid w:val="00A05A0F"/>
    <w:rsid w:val="00A05A88"/>
    <w:rsid w:val="00A05BED"/>
    <w:rsid w:val="00A05C33"/>
    <w:rsid w:val="00A05C56"/>
    <w:rsid w:val="00A05CCC"/>
    <w:rsid w:val="00A05D2D"/>
    <w:rsid w:val="00A05D35"/>
    <w:rsid w:val="00A05E2C"/>
    <w:rsid w:val="00A05E3D"/>
    <w:rsid w:val="00A05F29"/>
    <w:rsid w:val="00A05FAC"/>
    <w:rsid w:val="00A05FC9"/>
    <w:rsid w:val="00A05FF9"/>
    <w:rsid w:val="00A0605D"/>
    <w:rsid w:val="00A06103"/>
    <w:rsid w:val="00A06135"/>
    <w:rsid w:val="00A06144"/>
    <w:rsid w:val="00A06172"/>
    <w:rsid w:val="00A062C9"/>
    <w:rsid w:val="00A06479"/>
    <w:rsid w:val="00A064A1"/>
    <w:rsid w:val="00A06539"/>
    <w:rsid w:val="00A065AE"/>
    <w:rsid w:val="00A065DA"/>
    <w:rsid w:val="00A065ED"/>
    <w:rsid w:val="00A0683E"/>
    <w:rsid w:val="00A069AB"/>
    <w:rsid w:val="00A06A03"/>
    <w:rsid w:val="00A06A9F"/>
    <w:rsid w:val="00A06AA4"/>
    <w:rsid w:val="00A06AB8"/>
    <w:rsid w:val="00A06AEB"/>
    <w:rsid w:val="00A06B23"/>
    <w:rsid w:val="00A06C97"/>
    <w:rsid w:val="00A06CE1"/>
    <w:rsid w:val="00A06E8B"/>
    <w:rsid w:val="00A06F40"/>
    <w:rsid w:val="00A06F8A"/>
    <w:rsid w:val="00A06FB1"/>
    <w:rsid w:val="00A0708A"/>
    <w:rsid w:val="00A070B1"/>
    <w:rsid w:val="00A070EE"/>
    <w:rsid w:val="00A0711F"/>
    <w:rsid w:val="00A07152"/>
    <w:rsid w:val="00A07176"/>
    <w:rsid w:val="00A07186"/>
    <w:rsid w:val="00A07201"/>
    <w:rsid w:val="00A07250"/>
    <w:rsid w:val="00A07255"/>
    <w:rsid w:val="00A072D3"/>
    <w:rsid w:val="00A07375"/>
    <w:rsid w:val="00A07396"/>
    <w:rsid w:val="00A073EF"/>
    <w:rsid w:val="00A0752E"/>
    <w:rsid w:val="00A0754E"/>
    <w:rsid w:val="00A07707"/>
    <w:rsid w:val="00A07797"/>
    <w:rsid w:val="00A07879"/>
    <w:rsid w:val="00A078A5"/>
    <w:rsid w:val="00A07954"/>
    <w:rsid w:val="00A07A0C"/>
    <w:rsid w:val="00A07AB8"/>
    <w:rsid w:val="00A07B0B"/>
    <w:rsid w:val="00A07B3A"/>
    <w:rsid w:val="00A07B80"/>
    <w:rsid w:val="00A07BB9"/>
    <w:rsid w:val="00A07BF6"/>
    <w:rsid w:val="00A07C7A"/>
    <w:rsid w:val="00A07C91"/>
    <w:rsid w:val="00A07CA3"/>
    <w:rsid w:val="00A07CF4"/>
    <w:rsid w:val="00A07D6D"/>
    <w:rsid w:val="00A07DB8"/>
    <w:rsid w:val="00A07E49"/>
    <w:rsid w:val="00A07EC6"/>
    <w:rsid w:val="00A07F20"/>
    <w:rsid w:val="00A07F42"/>
    <w:rsid w:val="00A07F6C"/>
    <w:rsid w:val="00A10055"/>
    <w:rsid w:val="00A10182"/>
    <w:rsid w:val="00A10190"/>
    <w:rsid w:val="00A101F9"/>
    <w:rsid w:val="00A10281"/>
    <w:rsid w:val="00A102B2"/>
    <w:rsid w:val="00A102B5"/>
    <w:rsid w:val="00A103D3"/>
    <w:rsid w:val="00A1041C"/>
    <w:rsid w:val="00A10553"/>
    <w:rsid w:val="00A10577"/>
    <w:rsid w:val="00A105F3"/>
    <w:rsid w:val="00A10685"/>
    <w:rsid w:val="00A106BF"/>
    <w:rsid w:val="00A106CB"/>
    <w:rsid w:val="00A107DF"/>
    <w:rsid w:val="00A1089E"/>
    <w:rsid w:val="00A108B0"/>
    <w:rsid w:val="00A108C7"/>
    <w:rsid w:val="00A10A10"/>
    <w:rsid w:val="00A10A87"/>
    <w:rsid w:val="00A10AD1"/>
    <w:rsid w:val="00A10B03"/>
    <w:rsid w:val="00A10B48"/>
    <w:rsid w:val="00A10C1F"/>
    <w:rsid w:val="00A10C94"/>
    <w:rsid w:val="00A10CCE"/>
    <w:rsid w:val="00A10D60"/>
    <w:rsid w:val="00A10DB1"/>
    <w:rsid w:val="00A10EB0"/>
    <w:rsid w:val="00A10ED7"/>
    <w:rsid w:val="00A10F10"/>
    <w:rsid w:val="00A10F1A"/>
    <w:rsid w:val="00A10F90"/>
    <w:rsid w:val="00A10FE7"/>
    <w:rsid w:val="00A11083"/>
    <w:rsid w:val="00A11163"/>
    <w:rsid w:val="00A111F3"/>
    <w:rsid w:val="00A1124A"/>
    <w:rsid w:val="00A1124F"/>
    <w:rsid w:val="00A1125B"/>
    <w:rsid w:val="00A1129D"/>
    <w:rsid w:val="00A1131D"/>
    <w:rsid w:val="00A1131E"/>
    <w:rsid w:val="00A1145C"/>
    <w:rsid w:val="00A11463"/>
    <w:rsid w:val="00A11479"/>
    <w:rsid w:val="00A114A3"/>
    <w:rsid w:val="00A11537"/>
    <w:rsid w:val="00A11599"/>
    <w:rsid w:val="00A115E4"/>
    <w:rsid w:val="00A1169C"/>
    <w:rsid w:val="00A116B9"/>
    <w:rsid w:val="00A117A4"/>
    <w:rsid w:val="00A117BA"/>
    <w:rsid w:val="00A11821"/>
    <w:rsid w:val="00A11853"/>
    <w:rsid w:val="00A1195D"/>
    <w:rsid w:val="00A11971"/>
    <w:rsid w:val="00A11992"/>
    <w:rsid w:val="00A11A21"/>
    <w:rsid w:val="00A11AC2"/>
    <w:rsid w:val="00A11AFD"/>
    <w:rsid w:val="00A11B40"/>
    <w:rsid w:val="00A11B80"/>
    <w:rsid w:val="00A11B99"/>
    <w:rsid w:val="00A11BA5"/>
    <w:rsid w:val="00A11BF8"/>
    <w:rsid w:val="00A11C35"/>
    <w:rsid w:val="00A11C3A"/>
    <w:rsid w:val="00A11D86"/>
    <w:rsid w:val="00A11DC4"/>
    <w:rsid w:val="00A11DE3"/>
    <w:rsid w:val="00A11DE6"/>
    <w:rsid w:val="00A11E0C"/>
    <w:rsid w:val="00A11E31"/>
    <w:rsid w:val="00A11E3E"/>
    <w:rsid w:val="00A11E4A"/>
    <w:rsid w:val="00A12152"/>
    <w:rsid w:val="00A121B0"/>
    <w:rsid w:val="00A121F4"/>
    <w:rsid w:val="00A1222A"/>
    <w:rsid w:val="00A12290"/>
    <w:rsid w:val="00A122AC"/>
    <w:rsid w:val="00A122FE"/>
    <w:rsid w:val="00A122FF"/>
    <w:rsid w:val="00A12382"/>
    <w:rsid w:val="00A123A1"/>
    <w:rsid w:val="00A12459"/>
    <w:rsid w:val="00A12486"/>
    <w:rsid w:val="00A124F5"/>
    <w:rsid w:val="00A1250B"/>
    <w:rsid w:val="00A12567"/>
    <w:rsid w:val="00A125C4"/>
    <w:rsid w:val="00A126F7"/>
    <w:rsid w:val="00A12723"/>
    <w:rsid w:val="00A12809"/>
    <w:rsid w:val="00A1286F"/>
    <w:rsid w:val="00A128E9"/>
    <w:rsid w:val="00A12910"/>
    <w:rsid w:val="00A12921"/>
    <w:rsid w:val="00A12949"/>
    <w:rsid w:val="00A1294C"/>
    <w:rsid w:val="00A129B4"/>
    <w:rsid w:val="00A129BE"/>
    <w:rsid w:val="00A12A14"/>
    <w:rsid w:val="00A12A3F"/>
    <w:rsid w:val="00A12A56"/>
    <w:rsid w:val="00A12A6A"/>
    <w:rsid w:val="00A12A7E"/>
    <w:rsid w:val="00A12AC6"/>
    <w:rsid w:val="00A12B6B"/>
    <w:rsid w:val="00A12B94"/>
    <w:rsid w:val="00A12BA9"/>
    <w:rsid w:val="00A12C85"/>
    <w:rsid w:val="00A12D12"/>
    <w:rsid w:val="00A12D5A"/>
    <w:rsid w:val="00A12EA1"/>
    <w:rsid w:val="00A12F3F"/>
    <w:rsid w:val="00A12FD8"/>
    <w:rsid w:val="00A12FE0"/>
    <w:rsid w:val="00A13001"/>
    <w:rsid w:val="00A13010"/>
    <w:rsid w:val="00A13065"/>
    <w:rsid w:val="00A1325A"/>
    <w:rsid w:val="00A13263"/>
    <w:rsid w:val="00A13279"/>
    <w:rsid w:val="00A13347"/>
    <w:rsid w:val="00A133AD"/>
    <w:rsid w:val="00A133C5"/>
    <w:rsid w:val="00A133F9"/>
    <w:rsid w:val="00A13481"/>
    <w:rsid w:val="00A13567"/>
    <w:rsid w:val="00A13638"/>
    <w:rsid w:val="00A13776"/>
    <w:rsid w:val="00A137A0"/>
    <w:rsid w:val="00A137CF"/>
    <w:rsid w:val="00A13833"/>
    <w:rsid w:val="00A13853"/>
    <w:rsid w:val="00A1387F"/>
    <w:rsid w:val="00A13880"/>
    <w:rsid w:val="00A138B1"/>
    <w:rsid w:val="00A13958"/>
    <w:rsid w:val="00A13AC6"/>
    <w:rsid w:val="00A13ACE"/>
    <w:rsid w:val="00A13B5A"/>
    <w:rsid w:val="00A13C02"/>
    <w:rsid w:val="00A13C15"/>
    <w:rsid w:val="00A13C62"/>
    <w:rsid w:val="00A13D1F"/>
    <w:rsid w:val="00A13D51"/>
    <w:rsid w:val="00A13DD0"/>
    <w:rsid w:val="00A13E24"/>
    <w:rsid w:val="00A13E74"/>
    <w:rsid w:val="00A13E8B"/>
    <w:rsid w:val="00A13EB7"/>
    <w:rsid w:val="00A13EF8"/>
    <w:rsid w:val="00A13F23"/>
    <w:rsid w:val="00A13F42"/>
    <w:rsid w:val="00A13F47"/>
    <w:rsid w:val="00A14014"/>
    <w:rsid w:val="00A140B3"/>
    <w:rsid w:val="00A14125"/>
    <w:rsid w:val="00A14141"/>
    <w:rsid w:val="00A1422D"/>
    <w:rsid w:val="00A14263"/>
    <w:rsid w:val="00A14289"/>
    <w:rsid w:val="00A1429A"/>
    <w:rsid w:val="00A14313"/>
    <w:rsid w:val="00A14332"/>
    <w:rsid w:val="00A14429"/>
    <w:rsid w:val="00A144D0"/>
    <w:rsid w:val="00A14530"/>
    <w:rsid w:val="00A14537"/>
    <w:rsid w:val="00A14569"/>
    <w:rsid w:val="00A14599"/>
    <w:rsid w:val="00A145B1"/>
    <w:rsid w:val="00A146A5"/>
    <w:rsid w:val="00A146F3"/>
    <w:rsid w:val="00A146F4"/>
    <w:rsid w:val="00A1478D"/>
    <w:rsid w:val="00A147DB"/>
    <w:rsid w:val="00A147E3"/>
    <w:rsid w:val="00A14844"/>
    <w:rsid w:val="00A148DC"/>
    <w:rsid w:val="00A14901"/>
    <w:rsid w:val="00A14961"/>
    <w:rsid w:val="00A14977"/>
    <w:rsid w:val="00A149CA"/>
    <w:rsid w:val="00A14A19"/>
    <w:rsid w:val="00A14AC7"/>
    <w:rsid w:val="00A14B33"/>
    <w:rsid w:val="00A14B4B"/>
    <w:rsid w:val="00A14B52"/>
    <w:rsid w:val="00A14B87"/>
    <w:rsid w:val="00A14BD8"/>
    <w:rsid w:val="00A14C15"/>
    <w:rsid w:val="00A14C96"/>
    <w:rsid w:val="00A14D5F"/>
    <w:rsid w:val="00A14D61"/>
    <w:rsid w:val="00A14E64"/>
    <w:rsid w:val="00A14EAC"/>
    <w:rsid w:val="00A14F66"/>
    <w:rsid w:val="00A14FFC"/>
    <w:rsid w:val="00A15188"/>
    <w:rsid w:val="00A1525F"/>
    <w:rsid w:val="00A152C5"/>
    <w:rsid w:val="00A153C4"/>
    <w:rsid w:val="00A15514"/>
    <w:rsid w:val="00A15579"/>
    <w:rsid w:val="00A15622"/>
    <w:rsid w:val="00A15640"/>
    <w:rsid w:val="00A15668"/>
    <w:rsid w:val="00A15873"/>
    <w:rsid w:val="00A15876"/>
    <w:rsid w:val="00A158A2"/>
    <w:rsid w:val="00A158D5"/>
    <w:rsid w:val="00A1596F"/>
    <w:rsid w:val="00A1598F"/>
    <w:rsid w:val="00A159A3"/>
    <w:rsid w:val="00A159DC"/>
    <w:rsid w:val="00A15B38"/>
    <w:rsid w:val="00A15B59"/>
    <w:rsid w:val="00A15B8D"/>
    <w:rsid w:val="00A15CD6"/>
    <w:rsid w:val="00A15CF5"/>
    <w:rsid w:val="00A15FC3"/>
    <w:rsid w:val="00A16003"/>
    <w:rsid w:val="00A16027"/>
    <w:rsid w:val="00A160D6"/>
    <w:rsid w:val="00A16120"/>
    <w:rsid w:val="00A16149"/>
    <w:rsid w:val="00A1618A"/>
    <w:rsid w:val="00A1629C"/>
    <w:rsid w:val="00A162A3"/>
    <w:rsid w:val="00A16329"/>
    <w:rsid w:val="00A1637D"/>
    <w:rsid w:val="00A16385"/>
    <w:rsid w:val="00A163FD"/>
    <w:rsid w:val="00A16419"/>
    <w:rsid w:val="00A1643D"/>
    <w:rsid w:val="00A16490"/>
    <w:rsid w:val="00A164C5"/>
    <w:rsid w:val="00A164EE"/>
    <w:rsid w:val="00A16560"/>
    <w:rsid w:val="00A165A4"/>
    <w:rsid w:val="00A165BD"/>
    <w:rsid w:val="00A165F0"/>
    <w:rsid w:val="00A1661B"/>
    <w:rsid w:val="00A166A0"/>
    <w:rsid w:val="00A169B2"/>
    <w:rsid w:val="00A169DF"/>
    <w:rsid w:val="00A16A22"/>
    <w:rsid w:val="00A16A7F"/>
    <w:rsid w:val="00A16AD4"/>
    <w:rsid w:val="00A16B2F"/>
    <w:rsid w:val="00A16C08"/>
    <w:rsid w:val="00A16E72"/>
    <w:rsid w:val="00A16EDA"/>
    <w:rsid w:val="00A16EEF"/>
    <w:rsid w:val="00A16F33"/>
    <w:rsid w:val="00A16F44"/>
    <w:rsid w:val="00A16F4E"/>
    <w:rsid w:val="00A16FA4"/>
    <w:rsid w:val="00A16FBE"/>
    <w:rsid w:val="00A16FC5"/>
    <w:rsid w:val="00A17041"/>
    <w:rsid w:val="00A170E1"/>
    <w:rsid w:val="00A17155"/>
    <w:rsid w:val="00A17168"/>
    <w:rsid w:val="00A171BA"/>
    <w:rsid w:val="00A172C2"/>
    <w:rsid w:val="00A17312"/>
    <w:rsid w:val="00A17396"/>
    <w:rsid w:val="00A173C6"/>
    <w:rsid w:val="00A1747C"/>
    <w:rsid w:val="00A174E0"/>
    <w:rsid w:val="00A174EA"/>
    <w:rsid w:val="00A174F3"/>
    <w:rsid w:val="00A17646"/>
    <w:rsid w:val="00A17721"/>
    <w:rsid w:val="00A17772"/>
    <w:rsid w:val="00A17797"/>
    <w:rsid w:val="00A17891"/>
    <w:rsid w:val="00A1792D"/>
    <w:rsid w:val="00A1797E"/>
    <w:rsid w:val="00A179E9"/>
    <w:rsid w:val="00A17A6D"/>
    <w:rsid w:val="00A17B84"/>
    <w:rsid w:val="00A17BFA"/>
    <w:rsid w:val="00A17C2F"/>
    <w:rsid w:val="00A17C5E"/>
    <w:rsid w:val="00A17C81"/>
    <w:rsid w:val="00A17C86"/>
    <w:rsid w:val="00A17D76"/>
    <w:rsid w:val="00A17E44"/>
    <w:rsid w:val="00A17EE8"/>
    <w:rsid w:val="00A17FC7"/>
    <w:rsid w:val="00A17FEA"/>
    <w:rsid w:val="00A2001A"/>
    <w:rsid w:val="00A2006C"/>
    <w:rsid w:val="00A20155"/>
    <w:rsid w:val="00A20189"/>
    <w:rsid w:val="00A201F8"/>
    <w:rsid w:val="00A2022D"/>
    <w:rsid w:val="00A2022F"/>
    <w:rsid w:val="00A20331"/>
    <w:rsid w:val="00A20339"/>
    <w:rsid w:val="00A20352"/>
    <w:rsid w:val="00A2036D"/>
    <w:rsid w:val="00A203E5"/>
    <w:rsid w:val="00A203EC"/>
    <w:rsid w:val="00A20526"/>
    <w:rsid w:val="00A205BB"/>
    <w:rsid w:val="00A206A1"/>
    <w:rsid w:val="00A20750"/>
    <w:rsid w:val="00A20795"/>
    <w:rsid w:val="00A208A0"/>
    <w:rsid w:val="00A208C2"/>
    <w:rsid w:val="00A208F9"/>
    <w:rsid w:val="00A20991"/>
    <w:rsid w:val="00A209B7"/>
    <w:rsid w:val="00A209FC"/>
    <w:rsid w:val="00A20A41"/>
    <w:rsid w:val="00A20AB6"/>
    <w:rsid w:val="00A20BD6"/>
    <w:rsid w:val="00A20C57"/>
    <w:rsid w:val="00A20CEE"/>
    <w:rsid w:val="00A20CF1"/>
    <w:rsid w:val="00A20D5F"/>
    <w:rsid w:val="00A20DF5"/>
    <w:rsid w:val="00A20E17"/>
    <w:rsid w:val="00A20E55"/>
    <w:rsid w:val="00A20E6A"/>
    <w:rsid w:val="00A20F26"/>
    <w:rsid w:val="00A20F89"/>
    <w:rsid w:val="00A20FCC"/>
    <w:rsid w:val="00A21113"/>
    <w:rsid w:val="00A21153"/>
    <w:rsid w:val="00A211C9"/>
    <w:rsid w:val="00A2125E"/>
    <w:rsid w:val="00A212CD"/>
    <w:rsid w:val="00A21366"/>
    <w:rsid w:val="00A214CA"/>
    <w:rsid w:val="00A2154A"/>
    <w:rsid w:val="00A21597"/>
    <w:rsid w:val="00A21647"/>
    <w:rsid w:val="00A21733"/>
    <w:rsid w:val="00A21769"/>
    <w:rsid w:val="00A219A3"/>
    <w:rsid w:val="00A21A82"/>
    <w:rsid w:val="00A21A8F"/>
    <w:rsid w:val="00A21B5A"/>
    <w:rsid w:val="00A21B70"/>
    <w:rsid w:val="00A21BA5"/>
    <w:rsid w:val="00A21C83"/>
    <w:rsid w:val="00A21CA6"/>
    <w:rsid w:val="00A21CB2"/>
    <w:rsid w:val="00A21DD3"/>
    <w:rsid w:val="00A21ECF"/>
    <w:rsid w:val="00A21FA1"/>
    <w:rsid w:val="00A22195"/>
    <w:rsid w:val="00A2219E"/>
    <w:rsid w:val="00A221E7"/>
    <w:rsid w:val="00A2224E"/>
    <w:rsid w:val="00A22277"/>
    <w:rsid w:val="00A2238A"/>
    <w:rsid w:val="00A223AF"/>
    <w:rsid w:val="00A223D9"/>
    <w:rsid w:val="00A2243C"/>
    <w:rsid w:val="00A22483"/>
    <w:rsid w:val="00A224C9"/>
    <w:rsid w:val="00A224CD"/>
    <w:rsid w:val="00A22514"/>
    <w:rsid w:val="00A22589"/>
    <w:rsid w:val="00A225CC"/>
    <w:rsid w:val="00A22626"/>
    <w:rsid w:val="00A22666"/>
    <w:rsid w:val="00A226AC"/>
    <w:rsid w:val="00A22713"/>
    <w:rsid w:val="00A227D0"/>
    <w:rsid w:val="00A227FF"/>
    <w:rsid w:val="00A22945"/>
    <w:rsid w:val="00A22A19"/>
    <w:rsid w:val="00A22D01"/>
    <w:rsid w:val="00A22DE7"/>
    <w:rsid w:val="00A22FE0"/>
    <w:rsid w:val="00A2300C"/>
    <w:rsid w:val="00A23094"/>
    <w:rsid w:val="00A230D3"/>
    <w:rsid w:val="00A23113"/>
    <w:rsid w:val="00A23473"/>
    <w:rsid w:val="00A234D3"/>
    <w:rsid w:val="00A2353C"/>
    <w:rsid w:val="00A2353E"/>
    <w:rsid w:val="00A23585"/>
    <w:rsid w:val="00A23591"/>
    <w:rsid w:val="00A235FC"/>
    <w:rsid w:val="00A23626"/>
    <w:rsid w:val="00A2368B"/>
    <w:rsid w:val="00A23770"/>
    <w:rsid w:val="00A238BB"/>
    <w:rsid w:val="00A23940"/>
    <w:rsid w:val="00A2396A"/>
    <w:rsid w:val="00A23ABE"/>
    <w:rsid w:val="00A23B06"/>
    <w:rsid w:val="00A23B1C"/>
    <w:rsid w:val="00A23B61"/>
    <w:rsid w:val="00A23C66"/>
    <w:rsid w:val="00A23C77"/>
    <w:rsid w:val="00A23C83"/>
    <w:rsid w:val="00A23D03"/>
    <w:rsid w:val="00A23F83"/>
    <w:rsid w:val="00A240EC"/>
    <w:rsid w:val="00A240F9"/>
    <w:rsid w:val="00A24115"/>
    <w:rsid w:val="00A24146"/>
    <w:rsid w:val="00A241AE"/>
    <w:rsid w:val="00A2422C"/>
    <w:rsid w:val="00A24261"/>
    <w:rsid w:val="00A24289"/>
    <w:rsid w:val="00A242EB"/>
    <w:rsid w:val="00A244A1"/>
    <w:rsid w:val="00A244B1"/>
    <w:rsid w:val="00A244E2"/>
    <w:rsid w:val="00A244EF"/>
    <w:rsid w:val="00A2450D"/>
    <w:rsid w:val="00A24540"/>
    <w:rsid w:val="00A24541"/>
    <w:rsid w:val="00A2456C"/>
    <w:rsid w:val="00A2459A"/>
    <w:rsid w:val="00A245B1"/>
    <w:rsid w:val="00A2462F"/>
    <w:rsid w:val="00A24807"/>
    <w:rsid w:val="00A2480D"/>
    <w:rsid w:val="00A24999"/>
    <w:rsid w:val="00A249C5"/>
    <w:rsid w:val="00A24A63"/>
    <w:rsid w:val="00A24AB7"/>
    <w:rsid w:val="00A24BF7"/>
    <w:rsid w:val="00A24C99"/>
    <w:rsid w:val="00A24CB3"/>
    <w:rsid w:val="00A24CCC"/>
    <w:rsid w:val="00A24DAD"/>
    <w:rsid w:val="00A24E9A"/>
    <w:rsid w:val="00A24F29"/>
    <w:rsid w:val="00A24FE3"/>
    <w:rsid w:val="00A2504F"/>
    <w:rsid w:val="00A250CC"/>
    <w:rsid w:val="00A251CA"/>
    <w:rsid w:val="00A25249"/>
    <w:rsid w:val="00A252B0"/>
    <w:rsid w:val="00A2532D"/>
    <w:rsid w:val="00A2533E"/>
    <w:rsid w:val="00A25432"/>
    <w:rsid w:val="00A25450"/>
    <w:rsid w:val="00A2547F"/>
    <w:rsid w:val="00A254C6"/>
    <w:rsid w:val="00A2553B"/>
    <w:rsid w:val="00A255BB"/>
    <w:rsid w:val="00A255DB"/>
    <w:rsid w:val="00A255DF"/>
    <w:rsid w:val="00A2561B"/>
    <w:rsid w:val="00A25672"/>
    <w:rsid w:val="00A256A5"/>
    <w:rsid w:val="00A25792"/>
    <w:rsid w:val="00A257CE"/>
    <w:rsid w:val="00A258F1"/>
    <w:rsid w:val="00A258F4"/>
    <w:rsid w:val="00A25A27"/>
    <w:rsid w:val="00A25AF9"/>
    <w:rsid w:val="00A25B5B"/>
    <w:rsid w:val="00A25BE1"/>
    <w:rsid w:val="00A25D1C"/>
    <w:rsid w:val="00A25D66"/>
    <w:rsid w:val="00A25DC0"/>
    <w:rsid w:val="00A25DD6"/>
    <w:rsid w:val="00A25E48"/>
    <w:rsid w:val="00A25E71"/>
    <w:rsid w:val="00A26087"/>
    <w:rsid w:val="00A260E1"/>
    <w:rsid w:val="00A2627C"/>
    <w:rsid w:val="00A262A9"/>
    <w:rsid w:val="00A262D1"/>
    <w:rsid w:val="00A26358"/>
    <w:rsid w:val="00A26416"/>
    <w:rsid w:val="00A2642F"/>
    <w:rsid w:val="00A26577"/>
    <w:rsid w:val="00A26589"/>
    <w:rsid w:val="00A26719"/>
    <w:rsid w:val="00A26723"/>
    <w:rsid w:val="00A2672B"/>
    <w:rsid w:val="00A267A0"/>
    <w:rsid w:val="00A267C5"/>
    <w:rsid w:val="00A268AB"/>
    <w:rsid w:val="00A26A03"/>
    <w:rsid w:val="00A26B23"/>
    <w:rsid w:val="00A26B25"/>
    <w:rsid w:val="00A26BBC"/>
    <w:rsid w:val="00A26C05"/>
    <w:rsid w:val="00A26CE1"/>
    <w:rsid w:val="00A26D70"/>
    <w:rsid w:val="00A26D7E"/>
    <w:rsid w:val="00A26DD3"/>
    <w:rsid w:val="00A26DDE"/>
    <w:rsid w:val="00A26F18"/>
    <w:rsid w:val="00A26FBA"/>
    <w:rsid w:val="00A27005"/>
    <w:rsid w:val="00A27039"/>
    <w:rsid w:val="00A27070"/>
    <w:rsid w:val="00A270B6"/>
    <w:rsid w:val="00A27105"/>
    <w:rsid w:val="00A2711E"/>
    <w:rsid w:val="00A2722A"/>
    <w:rsid w:val="00A2730F"/>
    <w:rsid w:val="00A27323"/>
    <w:rsid w:val="00A2732C"/>
    <w:rsid w:val="00A2736B"/>
    <w:rsid w:val="00A27509"/>
    <w:rsid w:val="00A27556"/>
    <w:rsid w:val="00A2769B"/>
    <w:rsid w:val="00A276B7"/>
    <w:rsid w:val="00A2774B"/>
    <w:rsid w:val="00A27774"/>
    <w:rsid w:val="00A27887"/>
    <w:rsid w:val="00A2793A"/>
    <w:rsid w:val="00A27A0A"/>
    <w:rsid w:val="00A27AF2"/>
    <w:rsid w:val="00A27C58"/>
    <w:rsid w:val="00A27C83"/>
    <w:rsid w:val="00A27CD0"/>
    <w:rsid w:val="00A27D02"/>
    <w:rsid w:val="00A27D0C"/>
    <w:rsid w:val="00A27DE5"/>
    <w:rsid w:val="00A27F02"/>
    <w:rsid w:val="00A27F96"/>
    <w:rsid w:val="00A27F9D"/>
    <w:rsid w:val="00A27FD7"/>
    <w:rsid w:val="00A30011"/>
    <w:rsid w:val="00A30058"/>
    <w:rsid w:val="00A30087"/>
    <w:rsid w:val="00A3008B"/>
    <w:rsid w:val="00A300BC"/>
    <w:rsid w:val="00A3012E"/>
    <w:rsid w:val="00A30234"/>
    <w:rsid w:val="00A3031C"/>
    <w:rsid w:val="00A30340"/>
    <w:rsid w:val="00A30342"/>
    <w:rsid w:val="00A30443"/>
    <w:rsid w:val="00A30466"/>
    <w:rsid w:val="00A30797"/>
    <w:rsid w:val="00A307FB"/>
    <w:rsid w:val="00A30908"/>
    <w:rsid w:val="00A30932"/>
    <w:rsid w:val="00A3095A"/>
    <w:rsid w:val="00A30983"/>
    <w:rsid w:val="00A309DC"/>
    <w:rsid w:val="00A30A0A"/>
    <w:rsid w:val="00A30A9A"/>
    <w:rsid w:val="00A30B37"/>
    <w:rsid w:val="00A30B62"/>
    <w:rsid w:val="00A30BCA"/>
    <w:rsid w:val="00A30BF5"/>
    <w:rsid w:val="00A30CBF"/>
    <w:rsid w:val="00A30E1C"/>
    <w:rsid w:val="00A30E36"/>
    <w:rsid w:val="00A30E61"/>
    <w:rsid w:val="00A30E90"/>
    <w:rsid w:val="00A30ED4"/>
    <w:rsid w:val="00A30F02"/>
    <w:rsid w:val="00A30F6D"/>
    <w:rsid w:val="00A30F8C"/>
    <w:rsid w:val="00A3100A"/>
    <w:rsid w:val="00A3101A"/>
    <w:rsid w:val="00A31112"/>
    <w:rsid w:val="00A31180"/>
    <w:rsid w:val="00A311FD"/>
    <w:rsid w:val="00A31240"/>
    <w:rsid w:val="00A313F2"/>
    <w:rsid w:val="00A3142E"/>
    <w:rsid w:val="00A31472"/>
    <w:rsid w:val="00A3156A"/>
    <w:rsid w:val="00A315C5"/>
    <w:rsid w:val="00A31612"/>
    <w:rsid w:val="00A316BF"/>
    <w:rsid w:val="00A31722"/>
    <w:rsid w:val="00A3173F"/>
    <w:rsid w:val="00A3180A"/>
    <w:rsid w:val="00A31848"/>
    <w:rsid w:val="00A31971"/>
    <w:rsid w:val="00A31A39"/>
    <w:rsid w:val="00A31A40"/>
    <w:rsid w:val="00A31A54"/>
    <w:rsid w:val="00A31A9A"/>
    <w:rsid w:val="00A31B9F"/>
    <w:rsid w:val="00A31CDA"/>
    <w:rsid w:val="00A31D84"/>
    <w:rsid w:val="00A31D98"/>
    <w:rsid w:val="00A31DCA"/>
    <w:rsid w:val="00A31DF8"/>
    <w:rsid w:val="00A31E06"/>
    <w:rsid w:val="00A31E82"/>
    <w:rsid w:val="00A31EF6"/>
    <w:rsid w:val="00A31F1A"/>
    <w:rsid w:val="00A31F66"/>
    <w:rsid w:val="00A31FC1"/>
    <w:rsid w:val="00A31FC8"/>
    <w:rsid w:val="00A32063"/>
    <w:rsid w:val="00A320EB"/>
    <w:rsid w:val="00A32122"/>
    <w:rsid w:val="00A321C8"/>
    <w:rsid w:val="00A321E7"/>
    <w:rsid w:val="00A32254"/>
    <w:rsid w:val="00A322C7"/>
    <w:rsid w:val="00A322D0"/>
    <w:rsid w:val="00A322D2"/>
    <w:rsid w:val="00A32396"/>
    <w:rsid w:val="00A32556"/>
    <w:rsid w:val="00A325AC"/>
    <w:rsid w:val="00A325E1"/>
    <w:rsid w:val="00A325EA"/>
    <w:rsid w:val="00A3265B"/>
    <w:rsid w:val="00A32710"/>
    <w:rsid w:val="00A3274C"/>
    <w:rsid w:val="00A32781"/>
    <w:rsid w:val="00A3282B"/>
    <w:rsid w:val="00A328C3"/>
    <w:rsid w:val="00A328E9"/>
    <w:rsid w:val="00A32928"/>
    <w:rsid w:val="00A32967"/>
    <w:rsid w:val="00A3299D"/>
    <w:rsid w:val="00A329B2"/>
    <w:rsid w:val="00A32A52"/>
    <w:rsid w:val="00A32AFA"/>
    <w:rsid w:val="00A32B57"/>
    <w:rsid w:val="00A32BF9"/>
    <w:rsid w:val="00A32BFE"/>
    <w:rsid w:val="00A32C14"/>
    <w:rsid w:val="00A32C56"/>
    <w:rsid w:val="00A32CAC"/>
    <w:rsid w:val="00A32CCE"/>
    <w:rsid w:val="00A32CDE"/>
    <w:rsid w:val="00A32E5D"/>
    <w:rsid w:val="00A32E79"/>
    <w:rsid w:val="00A32ED8"/>
    <w:rsid w:val="00A32F35"/>
    <w:rsid w:val="00A32FCE"/>
    <w:rsid w:val="00A33059"/>
    <w:rsid w:val="00A330A7"/>
    <w:rsid w:val="00A33238"/>
    <w:rsid w:val="00A33242"/>
    <w:rsid w:val="00A3324B"/>
    <w:rsid w:val="00A334B4"/>
    <w:rsid w:val="00A3365C"/>
    <w:rsid w:val="00A3365D"/>
    <w:rsid w:val="00A336FB"/>
    <w:rsid w:val="00A337B0"/>
    <w:rsid w:val="00A337B3"/>
    <w:rsid w:val="00A33826"/>
    <w:rsid w:val="00A338A4"/>
    <w:rsid w:val="00A338DC"/>
    <w:rsid w:val="00A338EF"/>
    <w:rsid w:val="00A33976"/>
    <w:rsid w:val="00A33986"/>
    <w:rsid w:val="00A339BA"/>
    <w:rsid w:val="00A339BB"/>
    <w:rsid w:val="00A33AEC"/>
    <w:rsid w:val="00A33B00"/>
    <w:rsid w:val="00A33BED"/>
    <w:rsid w:val="00A33CFE"/>
    <w:rsid w:val="00A33DD2"/>
    <w:rsid w:val="00A33E07"/>
    <w:rsid w:val="00A33E18"/>
    <w:rsid w:val="00A33F5A"/>
    <w:rsid w:val="00A33F65"/>
    <w:rsid w:val="00A33F7C"/>
    <w:rsid w:val="00A33FED"/>
    <w:rsid w:val="00A34070"/>
    <w:rsid w:val="00A34075"/>
    <w:rsid w:val="00A34088"/>
    <w:rsid w:val="00A3413F"/>
    <w:rsid w:val="00A34178"/>
    <w:rsid w:val="00A34213"/>
    <w:rsid w:val="00A342D8"/>
    <w:rsid w:val="00A3433C"/>
    <w:rsid w:val="00A3435D"/>
    <w:rsid w:val="00A34397"/>
    <w:rsid w:val="00A34399"/>
    <w:rsid w:val="00A343DD"/>
    <w:rsid w:val="00A34445"/>
    <w:rsid w:val="00A34464"/>
    <w:rsid w:val="00A34486"/>
    <w:rsid w:val="00A344B6"/>
    <w:rsid w:val="00A34501"/>
    <w:rsid w:val="00A34529"/>
    <w:rsid w:val="00A34537"/>
    <w:rsid w:val="00A34580"/>
    <w:rsid w:val="00A34665"/>
    <w:rsid w:val="00A346FB"/>
    <w:rsid w:val="00A348B1"/>
    <w:rsid w:val="00A348D2"/>
    <w:rsid w:val="00A349CD"/>
    <w:rsid w:val="00A34A83"/>
    <w:rsid w:val="00A34AD9"/>
    <w:rsid w:val="00A34AE3"/>
    <w:rsid w:val="00A34B00"/>
    <w:rsid w:val="00A34B48"/>
    <w:rsid w:val="00A34B89"/>
    <w:rsid w:val="00A34BC3"/>
    <w:rsid w:val="00A34C2F"/>
    <w:rsid w:val="00A34CA3"/>
    <w:rsid w:val="00A34D39"/>
    <w:rsid w:val="00A34DB7"/>
    <w:rsid w:val="00A34E64"/>
    <w:rsid w:val="00A34E98"/>
    <w:rsid w:val="00A34EC1"/>
    <w:rsid w:val="00A34F44"/>
    <w:rsid w:val="00A34FE5"/>
    <w:rsid w:val="00A35015"/>
    <w:rsid w:val="00A3502C"/>
    <w:rsid w:val="00A35040"/>
    <w:rsid w:val="00A35059"/>
    <w:rsid w:val="00A35181"/>
    <w:rsid w:val="00A35320"/>
    <w:rsid w:val="00A353A0"/>
    <w:rsid w:val="00A3559F"/>
    <w:rsid w:val="00A35610"/>
    <w:rsid w:val="00A35691"/>
    <w:rsid w:val="00A3569D"/>
    <w:rsid w:val="00A356CD"/>
    <w:rsid w:val="00A356EC"/>
    <w:rsid w:val="00A3570F"/>
    <w:rsid w:val="00A35850"/>
    <w:rsid w:val="00A358AC"/>
    <w:rsid w:val="00A358DF"/>
    <w:rsid w:val="00A359B6"/>
    <w:rsid w:val="00A359FC"/>
    <w:rsid w:val="00A35A81"/>
    <w:rsid w:val="00A35B0F"/>
    <w:rsid w:val="00A35B3D"/>
    <w:rsid w:val="00A35B89"/>
    <w:rsid w:val="00A35BE8"/>
    <w:rsid w:val="00A35C1D"/>
    <w:rsid w:val="00A35CA6"/>
    <w:rsid w:val="00A35CDB"/>
    <w:rsid w:val="00A35D07"/>
    <w:rsid w:val="00A35D12"/>
    <w:rsid w:val="00A35D45"/>
    <w:rsid w:val="00A35DC7"/>
    <w:rsid w:val="00A35EB6"/>
    <w:rsid w:val="00A35F40"/>
    <w:rsid w:val="00A35F48"/>
    <w:rsid w:val="00A35FCC"/>
    <w:rsid w:val="00A360BE"/>
    <w:rsid w:val="00A36136"/>
    <w:rsid w:val="00A36143"/>
    <w:rsid w:val="00A3619B"/>
    <w:rsid w:val="00A361B7"/>
    <w:rsid w:val="00A36287"/>
    <w:rsid w:val="00A36293"/>
    <w:rsid w:val="00A362C6"/>
    <w:rsid w:val="00A362D0"/>
    <w:rsid w:val="00A363F7"/>
    <w:rsid w:val="00A3640B"/>
    <w:rsid w:val="00A364D0"/>
    <w:rsid w:val="00A36569"/>
    <w:rsid w:val="00A36574"/>
    <w:rsid w:val="00A365C9"/>
    <w:rsid w:val="00A365DD"/>
    <w:rsid w:val="00A36634"/>
    <w:rsid w:val="00A36671"/>
    <w:rsid w:val="00A36719"/>
    <w:rsid w:val="00A36751"/>
    <w:rsid w:val="00A36775"/>
    <w:rsid w:val="00A367BF"/>
    <w:rsid w:val="00A36816"/>
    <w:rsid w:val="00A368A3"/>
    <w:rsid w:val="00A368FA"/>
    <w:rsid w:val="00A36903"/>
    <w:rsid w:val="00A36949"/>
    <w:rsid w:val="00A369DA"/>
    <w:rsid w:val="00A369FC"/>
    <w:rsid w:val="00A36ABA"/>
    <w:rsid w:val="00A36B71"/>
    <w:rsid w:val="00A36BE3"/>
    <w:rsid w:val="00A36C1B"/>
    <w:rsid w:val="00A36CA5"/>
    <w:rsid w:val="00A36CC7"/>
    <w:rsid w:val="00A36CE9"/>
    <w:rsid w:val="00A36D16"/>
    <w:rsid w:val="00A36E00"/>
    <w:rsid w:val="00A36F06"/>
    <w:rsid w:val="00A37005"/>
    <w:rsid w:val="00A37086"/>
    <w:rsid w:val="00A370E4"/>
    <w:rsid w:val="00A3715F"/>
    <w:rsid w:val="00A371D5"/>
    <w:rsid w:val="00A37237"/>
    <w:rsid w:val="00A3726D"/>
    <w:rsid w:val="00A37277"/>
    <w:rsid w:val="00A37320"/>
    <w:rsid w:val="00A37353"/>
    <w:rsid w:val="00A37597"/>
    <w:rsid w:val="00A375C0"/>
    <w:rsid w:val="00A376B6"/>
    <w:rsid w:val="00A37789"/>
    <w:rsid w:val="00A37880"/>
    <w:rsid w:val="00A378B0"/>
    <w:rsid w:val="00A378B9"/>
    <w:rsid w:val="00A378EF"/>
    <w:rsid w:val="00A3792F"/>
    <w:rsid w:val="00A37930"/>
    <w:rsid w:val="00A379B8"/>
    <w:rsid w:val="00A37A3F"/>
    <w:rsid w:val="00A37B10"/>
    <w:rsid w:val="00A37C79"/>
    <w:rsid w:val="00A37CD1"/>
    <w:rsid w:val="00A37CDC"/>
    <w:rsid w:val="00A37DBC"/>
    <w:rsid w:val="00A37DCE"/>
    <w:rsid w:val="00A37E55"/>
    <w:rsid w:val="00A37F8D"/>
    <w:rsid w:val="00A37F8F"/>
    <w:rsid w:val="00A37F99"/>
    <w:rsid w:val="00A400DE"/>
    <w:rsid w:val="00A40280"/>
    <w:rsid w:val="00A402A0"/>
    <w:rsid w:val="00A402B5"/>
    <w:rsid w:val="00A402DF"/>
    <w:rsid w:val="00A402FE"/>
    <w:rsid w:val="00A4035A"/>
    <w:rsid w:val="00A4036C"/>
    <w:rsid w:val="00A4039C"/>
    <w:rsid w:val="00A404EF"/>
    <w:rsid w:val="00A4056F"/>
    <w:rsid w:val="00A40671"/>
    <w:rsid w:val="00A40741"/>
    <w:rsid w:val="00A407B7"/>
    <w:rsid w:val="00A407E0"/>
    <w:rsid w:val="00A407F4"/>
    <w:rsid w:val="00A40937"/>
    <w:rsid w:val="00A409EB"/>
    <w:rsid w:val="00A40B77"/>
    <w:rsid w:val="00A40BF4"/>
    <w:rsid w:val="00A40C29"/>
    <w:rsid w:val="00A40C46"/>
    <w:rsid w:val="00A40CA2"/>
    <w:rsid w:val="00A40DC2"/>
    <w:rsid w:val="00A40DCC"/>
    <w:rsid w:val="00A40E02"/>
    <w:rsid w:val="00A40E43"/>
    <w:rsid w:val="00A40E81"/>
    <w:rsid w:val="00A40ECC"/>
    <w:rsid w:val="00A41073"/>
    <w:rsid w:val="00A41087"/>
    <w:rsid w:val="00A41094"/>
    <w:rsid w:val="00A410CE"/>
    <w:rsid w:val="00A4110B"/>
    <w:rsid w:val="00A41367"/>
    <w:rsid w:val="00A41458"/>
    <w:rsid w:val="00A4145C"/>
    <w:rsid w:val="00A41488"/>
    <w:rsid w:val="00A414EB"/>
    <w:rsid w:val="00A41510"/>
    <w:rsid w:val="00A41534"/>
    <w:rsid w:val="00A4154C"/>
    <w:rsid w:val="00A41558"/>
    <w:rsid w:val="00A41589"/>
    <w:rsid w:val="00A41614"/>
    <w:rsid w:val="00A416A6"/>
    <w:rsid w:val="00A41732"/>
    <w:rsid w:val="00A4184F"/>
    <w:rsid w:val="00A4190C"/>
    <w:rsid w:val="00A4191E"/>
    <w:rsid w:val="00A41925"/>
    <w:rsid w:val="00A41952"/>
    <w:rsid w:val="00A41A6A"/>
    <w:rsid w:val="00A41A9D"/>
    <w:rsid w:val="00A41AD6"/>
    <w:rsid w:val="00A41B05"/>
    <w:rsid w:val="00A41B38"/>
    <w:rsid w:val="00A41B74"/>
    <w:rsid w:val="00A41C5C"/>
    <w:rsid w:val="00A41CB3"/>
    <w:rsid w:val="00A41CDA"/>
    <w:rsid w:val="00A41D4D"/>
    <w:rsid w:val="00A41E01"/>
    <w:rsid w:val="00A41E61"/>
    <w:rsid w:val="00A41E83"/>
    <w:rsid w:val="00A41EC7"/>
    <w:rsid w:val="00A4208B"/>
    <w:rsid w:val="00A420B3"/>
    <w:rsid w:val="00A42170"/>
    <w:rsid w:val="00A421B8"/>
    <w:rsid w:val="00A421F6"/>
    <w:rsid w:val="00A423B2"/>
    <w:rsid w:val="00A4245F"/>
    <w:rsid w:val="00A424BD"/>
    <w:rsid w:val="00A42569"/>
    <w:rsid w:val="00A425B2"/>
    <w:rsid w:val="00A425BC"/>
    <w:rsid w:val="00A426DA"/>
    <w:rsid w:val="00A426EE"/>
    <w:rsid w:val="00A42779"/>
    <w:rsid w:val="00A427B0"/>
    <w:rsid w:val="00A427C9"/>
    <w:rsid w:val="00A42836"/>
    <w:rsid w:val="00A42862"/>
    <w:rsid w:val="00A42889"/>
    <w:rsid w:val="00A42903"/>
    <w:rsid w:val="00A42906"/>
    <w:rsid w:val="00A4293F"/>
    <w:rsid w:val="00A429AF"/>
    <w:rsid w:val="00A429D5"/>
    <w:rsid w:val="00A42A75"/>
    <w:rsid w:val="00A42AC3"/>
    <w:rsid w:val="00A42B4C"/>
    <w:rsid w:val="00A42BD9"/>
    <w:rsid w:val="00A42BF1"/>
    <w:rsid w:val="00A42CF9"/>
    <w:rsid w:val="00A42D05"/>
    <w:rsid w:val="00A42D4D"/>
    <w:rsid w:val="00A42D5E"/>
    <w:rsid w:val="00A42DA6"/>
    <w:rsid w:val="00A42DB7"/>
    <w:rsid w:val="00A42DF4"/>
    <w:rsid w:val="00A42E58"/>
    <w:rsid w:val="00A42FFC"/>
    <w:rsid w:val="00A431DB"/>
    <w:rsid w:val="00A43293"/>
    <w:rsid w:val="00A432AF"/>
    <w:rsid w:val="00A433CB"/>
    <w:rsid w:val="00A43507"/>
    <w:rsid w:val="00A435C3"/>
    <w:rsid w:val="00A435F0"/>
    <w:rsid w:val="00A436AF"/>
    <w:rsid w:val="00A436DE"/>
    <w:rsid w:val="00A43717"/>
    <w:rsid w:val="00A437EE"/>
    <w:rsid w:val="00A4384D"/>
    <w:rsid w:val="00A43859"/>
    <w:rsid w:val="00A4387F"/>
    <w:rsid w:val="00A438C4"/>
    <w:rsid w:val="00A43923"/>
    <w:rsid w:val="00A43938"/>
    <w:rsid w:val="00A439BA"/>
    <w:rsid w:val="00A43A9A"/>
    <w:rsid w:val="00A43C8A"/>
    <w:rsid w:val="00A43CBC"/>
    <w:rsid w:val="00A43DA7"/>
    <w:rsid w:val="00A43F25"/>
    <w:rsid w:val="00A43F46"/>
    <w:rsid w:val="00A43F87"/>
    <w:rsid w:val="00A4409A"/>
    <w:rsid w:val="00A440D9"/>
    <w:rsid w:val="00A441F3"/>
    <w:rsid w:val="00A44268"/>
    <w:rsid w:val="00A4427D"/>
    <w:rsid w:val="00A442DD"/>
    <w:rsid w:val="00A442E4"/>
    <w:rsid w:val="00A44314"/>
    <w:rsid w:val="00A4431A"/>
    <w:rsid w:val="00A443A9"/>
    <w:rsid w:val="00A44414"/>
    <w:rsid w:val="00A4446E"/>
    <w:rsid w:val="00A444A4"/>
    <w:rsid w:val="00A445C0"/>
    <w:rsid w:val="00A446D4"/>
    <w:rsid w:val="00A446E8"/>
    <w:rsid w:val="00A446E9"/>
    <w:rsid w:val="00A44704"/>
    <w:rsid w:val="00A44720"/>
    <w:rsid w:val="00A447B4"/>
    <w:rsid w:val="00A447F6"/>
    <w:rsid w:val="00A4480D"/>
    <w:rsid w:val="00A4482C"/>
    <w:rsid w:val="00A4490B"/>
    <w:rsid w:val="00A44986"/>
    <w:rsid w:val="00A449BB"/>
    <w:rsid w:val="00A44A27"/>
    <w:rsid w:val="00A44AEF"/>
    <w:rsid w:val="00A44B0B"/>
    <w:rsid w:val="00A44B70"/>
    <w:rsid w:val="00A44B94"/>
    <w:rsid w:val="00A44BD7"/>
    <w:rsid w:val="00A44C2A"/>
    <w:rsid w:val="00A44D1E"/>
    <w:rsid w:val="00A44D31"/>
    <w:rsid w:val="00A44D35"/>
    <w:rsid w:val="00A44DB7"/>
    <w:rsid w:val="00A44DFE"/>
    <w:rsid w:val="00A44E30"/>
    <w:rsid w:val="00A44E51"/>
    <w:rsid w:val="00A44E72"/>
    <w:rsid w:val="00A44E9E"/>
    <w:rsid w:val="00A44EAE"/>
    <w:rsid w:val="00A44F99"/>
    <w:rsid w:val="00A44FAC"/>
    <w:rsid w:val="00A4504B"/>
    <w:rsid w:val="00A45097"/>
    <w:rsid w:val="00A4509D"/>
    <w:rsid w:val="00A4512B"/>
    <w:rsid w:val="00A4524C"/>
    <w:rsid w:val="00A452FB"/>
    <w:rsid w:val="00A45407"/>
    <w:rsid w:val="00A45435"/>
    <w:rsid w:val="00A4543F"/>
    <w:rsid w:val="00A455A9"/>
    <w:rsid w:val="00A45606"/>
    <w:rsid w:val="00A45626"/>
    <w:rsid w:val="00A4564F"/>
    <w:rsid w:val="00A456FF"/>
    <w:rsid w:val="00A45774"/>
    <w:rsid w:val="00A457B6"/>
    <w:rsid w:val="00A45841"/>
    <w:rsid w:val="00A4588C"/>
    <w:rsid w:val="00A45947"/>
    <w:rsid w:val="00A45978"/>
    <w:rsid w:val="00A459A7"/>
    <w:rsid w:val="00A45A57"/>
    <w:rsid w:val="00A45A70"/>
    <w:rsid w:val="00A45A90"/>
    <w:rsid w:val="00A45B0C"/>
    <w:rsid w:val="00A45BB2"/>
    <w:rsid w:val="00A45C1F"/>
    <w:rsid w:val="00A45CCD"/>
    <w:rsid w:val="00A45D62"/>
    <w:rsid w:val="00A45DA3"/>
    <w:rsid w:val="00A45DC4"/>
    <w:rsid w:val="00A45DEB"/>
    <w:rsid w:val="00A45E2C"/>
    <w:rsid w:val="00A45EF8"/>
    <w:rsid w:val="00A45F21"/>
    <w:rsid w:val="00A45F9C"/>
    <w:rsid w:val="00A45FAF"/>
    <w:rsid w:val="00A45FBA"/>
    <w:rsid w:val="00A45FC9"/>
    <w:rsid w:val="00A46077"/>
    <w:rsid w:val="00A460FB"/>
    <w:rsid w:val="00A4614E"/>
    <w:rsid w:val="00A46153"/>
    <w:rsid w:val="00A46255"/>
    <w:rsid w:val="00A462AA"/>
    <w:rsid w:val="00A462B2"/>
    <w:rsid w:val="00A46321"/>
    <w:rsid w:val="00A46327"/>
    <w:rsid w:val="00A463E4"/>
    <w:rsid w:val="00A463FE"/>
    <w:rsid w:val="00A46454"/>
    <w:rsid w:val="00A46475"/>
    <w:rsid w:val="00A4649E"/>
    <w:rsid w:val="00A4659A"/>
    <w:rsid w:val="00A465AB"/>
    <w:rsid w:val="00A465CE"/>
    <w:rsid w:val="00A46616"/>
    <w:rsid w:val="00A4664F"/>
    <w:rsid w:val="00A466FC"/>
    <w:rsid w:val="00A4677B"/>
    <w:rsid w:val="00A467F0"/>
    <w:rsid w:val="00A4685F"/>
    <w:rsid w:val="00A46A74"/>
    <w:rsid w:val="00A46AA8"/>
    <w:rsid w:val="00A46B30"/>
    <w:rsid w:val="00A46B36"/>
    <w:rsid w:val="00A46BBF"/>
    <w:rsid w:val="00A46C8D"/>
    <w:rsid w:val="00A46DFE"/>
    <w:rsid w:val="00A46EE5"/>
    <w:rsid w:val="00A46EEC"/>
    <w:rsid w:val="00A47093"/>
    <w:rsid w:val="00A471AD"/>
    <w:rsid w:val="00A471C3"/>
    <w:rsid w:val="00A471E8"/>
    <w:rsid w:val="00A471FE"/>
    <w:rsid w:val="00A4729D"/>
    <w:rsid w:val="00A472E4"/>
    <w:rsid w:val="00A47354"/>
    <w:rsid w:val="00A473A2"/>
    <w:rsid w:val="00A473C2"/>
    <w:rsid w:val="00A47483"/>
    <w:rsid w:val="00A474A8"/>
    <w:rsid w:val="00A474CC"/>
    <w:rsid w:val="00A4756A"/>
    <w:rsid w:val="00A475B8"/>
    <w:rsid w:val="00A475BD"/>
    <w:rsid w:val="00A475CC"/>
    <w:rsid w:val="00A47680"/>
    <w:rsid w:val="00A476C7"/>
    <w:rsid w:val="00A47765"/>
    <w:rsid w:val="00A478C4"/>
    <w:rsid w:val="00A47979"/>
    <w:rsid w:val="00A47AE6"/>
    <w:rsid w:val="00A47B56"/>
    <w:rsid w:val="00A47B6C"/>
    <w:rsid w:val="00A47C86"/>
    <w:rsid w:val="00A47CB9"/>
    <w:rsid w:val="00A47CC3"/>
    <w:rsid w:val="00A47E13"/>
    <w:rsid w:val="00A47E3A"/>
    <w:rsid w:val="00A47E53"/>
    <w:rsid w:val="00A47FD5"/>
    <w:rsid w:val="00A47FEE"/>
    <w:rsid w:val="00A5004A"/>
    <w:rsid w:val="00A50161"/>
    <w:rsid w:val="00A5021C"/>
    <w:rsid w:val="00A502A6"/>
    <w:rsid w:val="00A502CD"/>
    <w:rsid w:val="00A50359"/>
    <w:rsid w:val="00A503AD"/>
    <w:rsid w:val="00A503D4"/>
    <w:rsid w:val="00A503E3"/>
    <w:rsid w:val="00A50401"/>
    <w:rsid w:val="00A50438"/>
    <w:rsid w:val="00A5045A"/>
    <w:rsid w:val="00A5045C"/>
    <w:rsid w:val="00A5049C"/>
    <w:rsid w:val="00A50512"/>
    <w:rsid w:val="00A5055E"/>
    <w:rsid w:val="00A50654"/>
    <w:rsid w:val="00A5065E"/>
    <w:rsid w:val="00A5067D"/>
    <w:rsid w:val="00A50759"/>
    <w:rsid w:val="00A50768"/>
    <w:rsid w:val="00A50771"/>
    <w:rsid w:val="00A507B0"/>
    <w:rsid w:val="00A507F0"/>
    <w:rsid w:val="00A5081C"/>
    <w:rsid w:val="00A50930"/>
    <w:rsid w:val="00A50948"/>
    <w:rsid w:val="00A50A56"/>
    <w:rsid w:val="00A50AEC"/>
    <w:rsid w:val="00A50B01"/>
    <w:rsid w:val="00A50B02"/>
    <w:rsid w:val="00A50B15"/>
    <w:rsid w:val="00A50B1D"/>
    <w:rsid w:val="00A50BEA"/>
    <w:rsid w:val="00A50C3B"/>
    <w:rsid w:val="00A50DE3"/>
    <w:rsid w:val="00A50DEB"/>
    <w:rsid w:val="00A50E76"/>
    <w:rsid w:val="00A51033"/>
    <w:rsid w:val="00A5105B"/>
    <w:rsid w:val="00A512B9"/>
    <w:rsid w:val="00A512C9"/>
    <w:rsid w:val="00A513A6"/>
    <w:rsid w:val="00A513F9"/>
    <w:rsid w:val="00A5146C"/>
    <w:rsid w:val="00A51494"/>
    <w:rsid w:val="00A514BA"/>
    <w:rsid w:val="00A51508"/>
    <w:rsid w:val="00A51519"/>
    <w:rsid w:val="00A515ED"/>
    <w:rsid w:val="00A5176F"/>
    <w:rsid w:val="00A51859"/>
    <w:rsid w:val="00A518AD"/>
    <w:rsid w:val="00A518B8"/>
    <w:rsid w:val="00A51980"/>
    <w:rsid w:val="00A51B06"/>
    <w:rsid w:val="00A51B37"/>
    <w:rsid w:val="00A51BC4"/>
    <w:rsid w:val="00A51D61"/>
    <w:rsid w:val="00A51E49"/>
    <w:rsid w:val="00A51E8C"/>
    <w:rsid w:val="00A51EBA"/>
    <w:rsid w:val="00A51EC0"/>
    <w:rsid w:val="00A51ED5"/>
    <w:rsid w:val="00A51F41"/>
    <w:rsid w:val="00A51F50"/>
    <w:rsid w:val="00A51FB1"/>
    <w:rsid w:val="00A51FCC"/>
    <w:rsid w:val="00A52023"/>
    <w:rsid w:val="00A5207F"/>
    <w:rsid w:val="00A5209D"/>
    <w:rsid w:val="00A52126"/>
    <w:rsid w:val="00A52240"/>
    <w:rsid w:val="00A5225C"/>
    <w:rsid w:val="00A522D7"/>
    <w:rsid w:val="00A52376"/>
    <w:rsid w:val="00A523CB"/>
    <w:rsid w:val="00A523DB"/>
    <w:rsid w:val="00A525A2"/>
    <w:rsid w:val="00A525AA"/>
    <w:rsid w:val="00A52617"/>
    <w:rsid w:val="00A526C3"/>
    <w:rsid w:val="00A5283B"/>
    <w:rsid w:val="00A528A8"/>
    <w:rsid w:val="00A529CB"/>
    <w:rsid w:val="00A529F7"/>
    <w:rsid w:val="00A52ADC"/>
    <w:rsid w:val="00A52AE5"/>
    <w:rsid w:val="00A52B3D"/>
    <w:rsid w:val="00A52BA6"/>
    <w:rsid w:val="00A52C1B"/>
    <w:rsid w:val="00A52C30"/>
    <w:rsid w:val="00A52C3E"/>
    <w:rsid w:val="00A52C4E"/>
    <w:rsid w:val="00A52CB0"/>
    <w:rsid w:val="00A52D7A"/>
    <w:rsid w:val="00A52D96"/>
    <w:rsid w:val="00A52DE3"/>
    <w:rsid w:val="00A52E05"/>
    <w:rsid w:val="00A52E46"/>
    <w:rsid w:val="00A52F02"/>
    <w:rsid w:val="00A52F5A"/>
    <w:rsid w:val="00A52FA9"/>
    <w:rsid w:val="00A52FD7"/>
    <w:rsid w:val="00A52FDF"/>
    <w:rsid w:val="00A52FFE"/>
    <w:rsid w:val="00A53025"/>
    <w:rsid w:val="00A5302E"/>
    <w:rsid w:val="00A530FD"/>
    <w:rsid w:val="00A5313C"/>
    <w:rsid w:val="00A53228"/>
    <w:rsid w:val="00A53232"/>
    <w:rsid w:val="00A5324D"/>
    <w:rsid w:val="00A53261"/>
    <w:rsid w:val="00A53306"/>
    <w:rsid w:val="00A5331F"/>
    <w:rsid w:val="00A53356"/>
    <w:rsid w:val="00A533BC"/>
    <w:rsid w:val="00A53471"/>
    <w:rsid w:val="00A534E3"/>
    <w:rsid w:val="00A53506"/>
    <w:rsid w:val="00A53559"/>
    <w:rsid w:val="00A53643"/>
    <w:rsid w:val="00A5366B"/>
    <w:rsid w:val="00A536D1"/>
    <w:rsid w:val="00A536D5"/>
    <w:rsid w:val="00A53720"/>
    <w:rsid w:val="00A53792"/>
    <w:rsid w:val="00A537D9"/>
    <w:rsid w:val="00A53990"/>
    <w:rsid w:val="00A539AB"/>
    <w:rsid w:val="00A539E0"/>
    <w:rsid w:val="00A53ACA"/>
    <w:rsid w:val="00A53BD3"/>
    <w:rsid w:val="00A53BD7"/>
    <w:rsid w:val="00A53C2D"/>
    <w:rsid w:val="00A53C60"/>
    <w:rsid w:val="00A53C7B"/>
    <w:rsid w:val="00A53DA7"/>
    <w:rsid w:val="00A53DB6"/>
    <w:rsid w:val="00A53E85"/>
    <w:rsid w:val="00A53F91"/>
    <w:rsid w:val="00A5407F"/>
    <w:rsid w:val="00A54169"/>
    <w:rsid w:val="00A5418D"/>
    <w:rsid w:val="00A542D8"/>
    <w:rsid w:val="00A543E6"/>
    <w:rsid w:val="00A543F2"/>
    <w:rsid w:val="00A54457"/>
    <w:rsid w:val="00A54463"/>
    <w:rsid w:val="00A5448F"/>
    <w:rsid w:val="00A545D5"/>
    <w:rsid w:val="00A54674"/>
    <w:rsid w:val="00A546C3"/>
    <w:rsid w:val="00A5472D"/>
    <w:rsid w:val="00A54753"/>
    <w:rsid w:val="00A54808"/>
    <w:rsid w:val="00A54868"/>
    <w:rsid w:val="00A54886"/>
    <w:rsid w:val="00A54899"/>
    <w:rsid w:val="00A5492A"/>
    <w:rsid w:val="00A54981"/>
    <w:rsid w:val="00A54B0F"/>
    <w:rsid w:val="00A54B80"/>
    <w:rsid w:val="00A54C51"/>
    <w:rsid w:val="00A54C9E"/>
    <w:rsid w:val="00A54CBF"/>
    <w:rsid w:val="00A54CC6"/>
    <w:rsid w:val="00A54D13"/>
    <w:rsid w:val="00A54D2C"/>
    <w:rsid w:val="00A54D4F"/>
    <w:rsid w:val="00A54DFC"/>
    <w:rsid w:val="00A54E00"/>
    <w:rsid w:val="00A54F1A"/>
    <w:rsid w:val="00A54FC1"/>
    <w:rsid w:val="00A5500F"/>
    <w:rsid w:val="00A550B4"/>
    <w:rsid w:val="00A551DA"/>
    <w:rsid w:val="00A5522A"/>
    <w:rsid w:val="00A55358"/>
    <w:rsid w:val="00A5536B"/>
    <w:rsid w:val="00A55485"/>
    <w:rsid w:val="00A554B1"/>
    <w:rsid w:val="00A5553E"/>
    <w:rsid w:val="00A55630"/>
    <w:rsid w:val="00A556DA"/>
    <w:rsid w:val="00A556EB"/>
    <w:rsid w:val="00A55792"/>
    <w:rsid w:val="00A5579B"/>
    <w:rsid w:val="00A55809"/>
    <w:rsid w:val="00A5583F"/>
    <w:rsid w:val="00A5589B"/>
    <w:rsid w:val="00A55940"/>
    <w:rsid w:val="00A559B7"/>
    <w:rsid w:val="00A55A93"/>
    <w:rsid w:val="00A55C80"/>
    <w:rsid w:val="00A55C9A"/>
    <w:rsid w:val="00A55D08"/>
    <w:rsid w:val="00A55E3A"/>
    <w:rsid w:val="00A55E3F"/>
    <w:rsid w:val="00A55E7D"/>
    <w:rsid w:val="00A55E93"/>
    <w:rsid w:val="00A55F23"/>
    <w:rsid w:val="00A55F78"/>
    <w:rsid w:val="00A55FEF"/>
    <w:rsid w:val="00A55FF7"/>
    <w:rsid w:val="00A56098"/>
    <w:rsid w:val="00A560AA"/>
    <w:rsid w:val="00A56160"/>
    <w:rsid w:val="00A561CD"/>
    <w:rsid w:val="00A56215"/>
    <w:rsid w:val="00A56296"/>
    <w:rsid w:val="00A562A1"/>
    <w:rsid w:val="00A562CD"/>
    <w:rsid w:val="00A5637C"/>
    <w:rsid w:val="00A563B9"/>
    <w:rsid w:val="00A5643F"/>
    <w:rsid w:val="00A5647C"/>
    <w:rsid w:val="00A5648C"/>
    <w:rsid w:val="00A564B2"/>
    <w:rsid w:val="00A56507"/>
    <w:rsid w:val="00A56508"/>
    <w:rsid w:val="00A5663F"/>
    <w:rsid w:val="00A5667E"/>
    <w:rsid w:val="00A5676D"/>
    <w:rsid w:val="00A567D2"/>
    <w:rsid w:val="00A56888"/>
    <w:rsid w:val="00A568EE"/>
    <w:rsid w:val="00A5694D"/>
    <w:rsid w:val="00A56A3F"/>
    <w:rsid w:val="00A56B44"/>
    <w:rsid w:val="00A56BEF"/>
    <w:rsid w:val="00A56BFA"/>
    <w:rsid w:val="00A56C6A"/>
    <w:rsid w:val="00A56C79"/>
    <w:rsid w:val="00A56CA5"/>
    <w:rsid w:val="00A56D0C"/>
    <w:rsid w:val="00A56DCD"/>
    <w:rsid w:val="00A56F1E"/>
    <w:rsid w:val="00A57074"/>
    <w:rsid w:val="00A57092"/>
    <w:rsid w:val="00A5715B"/>
    <w:rsid w:val="00A57165"/>
    <w:rsid w:val="00A573DA"/>
    <w:rsid w:val="00A57545"/>
    <w:rsid w:val="00A57577"/>
    <w:rsid w:val="00A5757B"/>
    <w:rsid w:val="00A57599"/>
    <w:rsid w:val="00A575AA"/>
    <w:rsid w:val="00A5768E"/>
    <w:rsid w:val="00A576A2"/>
    <w:rsid w:val="00A576C7"/>
    <w:rsid w:val="00A577C2"/>
    <w:rsid w:val="00A57836"/>
    <w:rsid w:val="00A57844"/>
    <w:rsid w:val="00A578DF"/>
    <w:rsid w:val="00A57948"/>
    <w:rsid w:val="00A579E5"/>
    <w:rsid w:val="00A57A8C"/>
    <w:rsid w:val="00A57B09"/>
    <w:rsid w:val="00A57B14"/>
    <w:rsid w:val="00A57B44"/>
    <w:rsid w:val="00A57BF9"/>
    <w:rsid w:val="00A57C3F"/>
    <w:rsid w:val="00A57DFF"/>
    <w:rsid w:val="00A57E4F"/>
    <w:rsid w:val="00A57F3B"/>
    <w:rsid w:val="00A57FD4"/>
    <w:rsid w:val="00A600A1"/>
    <w:rsid w:val="00A600DB"/>
    <w:rsid w:val="00A60127"/>
    <w:rsid w:val="00A60198"/>
    <w:rsid w:val="00A60258"/>
    <w:rsid w:val="00A602D3"/>
    <w:rsid w:val="00A603AD"/>
    <w:rsid w:val="00A60433"/>
    <w:rsid w:val="00A60469"/>
    <w:rsid w:val="00A60491"/>
    <w:rsid w:val="00A604E8"/>
    <w:rsid w:val="00A604EA"/>
    <w:rsid w:val="00A604F9"/>
    <w:rsid w:val="00A60594"/>
    <w:rsid w:val="00A605E9"/>
    <w:rsid w:val="00A60670"/>
    <w:rsid w:val="00A60682"/>
    <w:rsid w:val="00A60690"/>
    <w:rsid w:val="00A606D5"/>
    <w:rsid w:val="00A606D9"/>
    <w:rsid w:val="00A6073E"/>
    <w:rsid w:val="00A60785"/>
    <w:rsid w:val="00A60878"/>
    <w:rsid w:val="00A608A5"/>
    <w:rsid w:val="00A608DA"/>
    <w:rsid w:val="00A6092D"/>
    <w:rsid w:val="00A609D4"/>
    <w:rsid w:val="00A60B4A"/>
    <w:rsid w:val="00A60CD2"/>
    <w:rsid w:val="00A60D23"/>
    <w:rsid w:val="00A60FF4"/>
    <w:rsid w:val="00A6121C"/>
    <w:rsid w:val="00A612CF"/>
    <w:rsid w:val="00A61337"/>
    <w:rsid w:val="00A61356"/>
    <w:rsid w:val="00A613BD"/>
    <w:rsid w:val="00A6146C"/>
    <w:rsid w:val="00A61558"/>
    <w:rsid w:val="00A615CC"/>
    <w:rsid w:val="00A615E7"/>
    <w:rsid w:val="00A615EA"/>
    <w:rsid w:val="00A61685"/>
    <w:rsid w:val="00A616C3"/>
    <w:rsid w:val="00A6178A"/>
    <w:rsid w:val="00A617C1"/>
    <w:rsid w:val="00A61929"/>
    <w:rsid w:val="00A6193E"/>
    <w:rsid w:val="00A61999"/>
    <w:rsid w:val="00A61C0E"/>
    <w:rsid w:val="00A61C43"/>
    <w:rsid w:val="00A61CE2"/>
    <w:rsid w:val="00A61D20"/>
    <w:rsid w:val="00A61D37"/>
    <w:rsid w:val="00A61D70"/>
    <w:rsid w:val="00A61D86"/>
    <w:rsid w:val="00A61E64"/>
    <w:rsid w:val="00A61F33"/>
    <w:rsid w:val="00A61F44"/>
    <w:rsid w:val="00A61F46"/>
    <w:rsid w:val="00A620DF"/>
    <w:rsid w:val="00A6216B"/>
    <w:rsid w:val="00A62286"/>
    <w:rsid w:val="00A622A7"/>
    <w:rsid w:val="00A622FA"/>
    <w:rsid w:val="00A623DF"/>
    <w:rsid w:val="00A62439"/>
    <w:rsid w:val="00A62462"/>
    <w:rsid w:val="00A624BC"/>
    <w:rsid w:val="00A6259A"/>
    <w:rsid w:val="00A62620"/>
    <w:rsid w:val="00A62730"/>
    <w:rsid w:val="00A62744"/>
    <w:rsid w:val="00A62766"/>
    <w:rsid w:val="00A627C6"/>
    <w:rsid w:val="00A62843"/>
    <w:rsid w:val="00A6286E"/>
    <w:rsid w:val="00A6286F"/>
    <w:rsid w:val="00A62889"/>
    <w:rsid w:val="00A6292B"/>
    <w:rsid w:val="00A62989"/>
    <w:rsid w:val="00A629A7"/>
    <w:rsid w:val="00A629C1"/>
    <w:rsid w:val="00A62B5B"/>
    <w:rsid w:val="00A62BE1"/>
    <w:rsid w:val="00A62C55"/>
    <w:rsid w:val="00A62C83"/>
    <w:rsid w:val="00A62CBC"/>
    <w:rsid w:val="00A62CF7"/>
    <w:rsid w:val="00A62D70"/>
    <w:rsid w:val="00A62D9D"/>
    <w:rsid w:val="00A62E8A"/>
    <w:rsid w:val="00A62E91"/>
    <w:rsid w:val="00A62ED7"/>
    <w:rsid w:val="00A62EF3"/>
    <w:rsid w:val="00A62F5F"/>
    <w:rsid w:val="00A63075"/>
    <w:rsid w:val="00A63108"/>
    <w:rsid w:val="00A63193"/>
    <w:rsid w:val="00A631DC"/>
    <w:rsid w:val="00A63219"/>
    <w:rsid w:val="00A63254"/>
    <w:rsid w:val="00A632F1"/>
    <w:rsid w:val="00A632F5"/>
    <w:rsid w:val="00A633E1"/>
    <w:rsid w:val="00A63429"/>
    <w:rsid w:val="00A634A1"/>
    <w:rsid w:val="00A634EE"/>
    <w:rsid w:val="00A63757"/>
    <w:rsid w:val="00A637B4"/>
    <w:rsid w:val="00A637FB"/>
    <w:rsid w:val="00A6385C"/>
    <w:rsid w:val="00A63871"/>
    <w:rsid w:val="00A638C4"/>
    <w:rsid w:val="00A639FA"/>
    <w:rsid w:val="00A63A5F"/>
    <w:rsid w:val="00A63AE9"/>
    <w:rsid w:val="00A63B70"/>
    <w:rsid w:val="00A63BC5"/>
    <w:rsid w:val="00A63C01"/>
    <w:rsid w:val="00A63CB3"/>
    <w:rsid w:val="00A63CE9"/>
    <w:rsid w:val="00A63CF1"/>
    <w:rsid w:val="00A63CFC"/>
    <w:rsid w:val="00A63D5A"/>
    <w:rsid w:val="00A63D6C"/>
    <w:rsid w:val="00A63DEE"/>
    <w:rsid w:val="00A63E53"/>
    <w:rsid w:val="00A64052"/>
    <w:rsid w:val="00A64073"/>
    <w:rsid w:val="00A64080"/>
    <w:rsid w:val="00A640A1"/>
    <w:rsid w:val="00A64170"/>
    <w:rsid w:val="00A641A8"/>
    <w:rsid w:val="00A6426A"/>
    <w:rsid w:val="00A642C7"/>
    <w:rsid w:val="00A64315"/>
    <w:rsid w:val="00A64369"/>
    <w:rsid w:val="00A64386"/>
    <w:rsid w:val="00A645DA"/>
    <w:rsid w:val="00A645EE"/>
    <w:rsid w:val="00A645FC"/>
    <w:rsid w:val="00A64641"/>
    <w:rsid w:val="00A64695"/>
    <w:rsid w:val="00A646BE"/>
    <w:rsid w:val="00A646C8"/>
    <w:rsid w:val="00A647A1"/>
    <w:rsid w:val="00A6483B"/>
    <w:rsid w:val="00A64869"/>
    <w:rsid w:val="00A64872"/>
    <w:rsid w:val="00A648D2"/>
    <w:rsid w:val="00A648F9"/>
    <w:rsid w:val="00A64A45"/>
    <w:rsid w:val="00A64A68"/>
    <w:rsid w:val="00A64A76"/>
    <w:rsid w:val="00A64B53"/>
    <w:rsid w:val="00A64BF8"/>
    <w:rsid w:val="00A64C1E"/>
    <w:rsid w:val="00A64C39"/>
    <w:rsid w:val="00A64C4F"/>
    <w:rsid w:val="00A64C54"/>
    <w:rsid w:val="00A64C5F"/>
    <w:rsid w:val="00A64D7C"/>
    <w:rsid w:val="00A64D91"/>
    <w:rsid w:val="00A64DE7"/>
    <w:rsid w:val="00A64E93"/>
    <w:rsid w:val="00A64F27"/>
    <w:rsid w:val="00A64F32"/>
    <w:rsid w:val="00A65070"/>
    <w:rsid w:val="00A6540D"/>
    <w:rsid w:val="00A65475"/>
    <w:rsid w:val="00A65478"/>
    <w:rsid w:val="00A654D6"/>
    <w:rsid w:val="00A6554F"/>
    <w:rsid w:val="00A65565"/>
    <w:rsid w:val="00A65617"/>
    <w:rsid w:val="00A6566F"/>
    <w:rsid w:val="00A656F3"/>
    <w:rsid w:val="00A6573F"/>
    <w:rsid w:val="00A657CA"/>
    <w:rsid w:val="00A6592E"/>
    <w:rsid w:val="00A659D8"/>
    <w:rsid w:val="00A65A5A"/>
    <w:rsid w:val="00A65A63"/>
    <w:rsid w:val="00A65A80"/>
    <w:rsid w:val="00A65A86"/>
    <w:rsid w:val="00A65ABD"/>
    <w:rsid w:val="00A65B77"/>
    <w:rsid w:val="00A65BAA"/>
    <w:rsid w:val="00A65BC1"/>
    <w:rsid w:val="00A65C0B"/>
    <w:rsid w:val="00A65E29"/>
    <w:rsid w:val="00A65F69"/>
    <w:rsid w:val="00A65FCF"/>
    <w:rsid w:val="00A660A6"/>
    <w:rsid w:val="00A663DB"/>
    <w:rsid w:val="00A6641F"/>
    <w:rsid w:val="00A66439"/>
    <w:rsid w:val="00A664AE"/>
    <w:rsid w:val="00A66588"/>
    <w:rsid w:val="00A665AF"/>
    <w:rsid w:val="00A6660C"/>
    <w:rsid w:val="00A666AC"/>
    <w:rsid w:val="00A66785"/>
    <w:rsid w:val="00A6687C"/>
    <w:rsid w:val="00A66890"/>
    <w:rsid w:val="00A6690A"/>
    <w:rsid w:val="00A66989"/>
    <w:rsid w:val="00A66A42"/>
    <w:rsid w:val="00A66A4A"/>
    <w:rsid w:val="00A66AD6"/>
    <w:rsid w:val="00A66B2F"/>
    <w:rsid w:val="00A66C34"/>
    <w:rsid w:val="00A66C52"/>
    <w:rsid w:val="00A66CBD"/>
    <w:rsid w:val="00A66D7C"/>
    <w:rsid w:val="00A66D8D"/>
    <w:rsid w:val="00A66DCB"/>
    <w:rsid w:val="00A66EBB"/>
    <w:rsid w:val="00A66EE5"/>
    <w:rsid w:val="00A66EEA"/>
    <w:rsid w:val="00A66FAA"/>
    <w:rsid w:val="00A66FC4"/>
    <w:rsid w:val="00A6700D"/>
    <w:rsid w:val="00A670B3"/>
    <w:rsid w:val="00A67207"/>
    <w:rsid w:val="00A672BA"/>
    <w:rsid w:val="00A6736A"/>
    <w:rsid w:val="00A673C2"/>
    <w:rsid w:val="00A673EC"/>
    <w:rsid w:val="00A6746C"/>
    <w:rsid w:val="00A674A4"/>
    <w:rsid w:val="00A675C2"/>
    <w:rsid w:val="00A675DB"/>
    <w:rsid w:val="00A67632"/>
    <w:rsid w:val="00A67640"/>
    <w:rsid w:val="00A67703"/>
    <w:rsid w:val="00A67718"/>
    <w:rsid w:val="00A67795"/>
    <w:rsid w:val="00A677C9"/>
    <w:rsid w:val="00A677DF"/>
    <w:rsid w:val="00A67830"/>
    <w:rsid w:val="00A6787B"/>
    <w:rsid w:val="00A678BE"/>
    <w:rsid w:val="00A67971"/>
    <w:rsid w:val="00A67A51"/>
    <w:rsid w:val="00A67A7B"/>
    <w:rsid w:val="00A67A9D"/>
    <w:rsid w:val="00A67B00"/>
    <w:rsid w:val="00A67B07"/>
    <w:rsid w:val="00A67C54"/>
    <w:rsid w:val="00A67C6E"/>
    <w:rsid w:val="00A67D01"/>
    <w:rsid w:val="00A67D8A"/>
    <w:rsid w:val="00A67E78"/>
    <w:rsid w:val="00A67F12"/>
    <w:rsid w:val="00A67F81"/>
    <w:rsid w:val="00A67F94"/>
    <w:rsid w:val="00A70009"/>
    <w:rsid w:val="00A7003E"/>
    <w:rsid w:val="00A7003F"/>
    <w:rsid w:val="00A700BA"/>
    <w:rsid w:val="00A70103"/>
    <w:rsid w:val="00A70138"/>
    <w:rsid w:val="00A70156"/>
    <w:rsid w:val="00A701CB"/>
    <w:rsid w:val="00A702DC"/>
    <w:rsid w:val="00A702E5"/>
    <w:rsid w:val="00A70328"/>
    <w:rsid w:val="00A70357"/>
    <w:rsid w:val="00A70358"/>
    <w:rsid w:val="00A70372"/>
    <w:rsid w:val="00A70394"/>
    <w:rsid w:val="00A704BA"/>
    <w:rsid w:val="00A70566"/>
    <w:rsid w:val="00A705A3"/>
    <w:rsid w:val="00A705CA"/>
    <w:rsid w:val="00A706D3"/>
    <w:rsid w:val="00A706E3"/>
    <w:rsid w:val="00A706FC"/>
    <w:rsid w:val="00A70751"/>
    <w:rsid w:val="00A707FA"/>
    <w:rsid w:val="00A70837"/>
    <w:rsid w:val="00A70861"/>
    <w:rsid w:val="00A70894"/>
    <w:rsid w:val="00A708AA"/>
    <w:rsid w:val="00A70915"/>
    <w:rsid w:val="00A709AD"/>
    <w:rsid w:val="00A70A0B"/>
    <w:rsid w:val="00A70A70"/>
    <w:rsid w:val="00A70B8E"/>
    <w:rsid w:val="00A70B94"/>
    <w:rsid w:val="00A70C26"/>
    <w:rsid w:val="00A70CBD"/>
    <w:rsid w:val="00A70CC7"/>
    <w:rsid w:val="00A70D39"/>
    <w:rsid w:val="00A70D3A"/>
    <w:rsid w:val="00A70D65"/>
    <w:rsid w:val="00A70D70"/>
    <w:rsid w:val="00A70E6A"/>
    <w:rsid w:val="00A70EB4"/>
    <w:rsid w:val="00A70FA5"/>
    <w:rsid w:val="00A70FE4"/>
    <w:rsid w:val="00A70FED"/>
    <w:rsid w:val="00A7102B"/>
    <w:rsid w:val="00A71078"/>
    <w:rsid w:val="00A710E6"/>
    <w:rsid w:val="00A71182"/>
    <w:rsid w:val="00A7118E"/>
    <w:rsid w:val="00A7126E"/>
    <w:rsid w:val="00A71398"/>
    <w:rsid w:val="00A713A6"/>
    <w:rsid w:val="00A713D3"/>
    <w:rsid w:val="00A713F7"/>
    <w:rsid w:val="00A71530"/>
    <w:rsid w:val="00A7153D"/>
    <w:rsid w:val="00A7160B"/>
    <w:rsid w:val="00A71612"/>
    <w:rsid w:val="00A7163F"/>
    <w:rsid w:val="00A71721"/>
    <w:rsid w:val="00A71738"/>
    <w:rsid w:val="00A717A6"/>
    <w:rsid w:val="00A7185E"/>
    <w:rsid w:val="00A71901"/>
    <w:rsid w:val="00A71904"/>
    <w:rsid w:val="00A71933"/>
    <w:rsid w:val="00A71AFA"/>
    <w:rsid w:val="00A71B0B"/>
    <w:rsid w:val="00A71B76"/>
    <w:rsid w:val="00A71B7A"/>
    <w:rsid w:val="00A71B7C"/>
    <w:rsid w:val="00A71B8F"/>
    <w:rsid w:val="00A71BD0"/>
    <w:rsid w:val="00A71CD4"/>
    <w:rsid w:val="00A71D7D"/>
    <w:rsid w:val="00A71DBA"/>
    <w:rsid w:val="00A71EB6"/>
    <w:rsid w:val="00A71EDD"/>
    <w:rsid w:val="00A71FA7"/>
    <w:rsid w:val="00A72066"/>
    <w:rsid w:val="00A720F1"/>
    <w:rsid w:val="00A7215F"/>
    <w:rsid w:val="00A721CA"/>
    <w:rsid w:val="00A722CB"/>
    <w:rsid w:val="00A72458"/>
    <w:rsid w:val="00A724E7"/>
    <w:rsid w:val="00A72557"/>
    <w:rsid w:val="00A72597"/>
    <w:rsid w:val="00A725B3"/>
    <w:rsid w:val="00A725E8"/>
    <w:rsid w:val="00A725F5"/>
    <w:rsid w:val="00A72658"/>
    <w:rsid w:val="00A7272F"/>
    <w:rsid w:val="00A7279D"/>
    <w:rsid w:val="00A72925"/>
    <w:rsid w:val="00A72986"/>
    <w:rsid w:val="00A729A2"/>
    <w:rsid w:val="00A729FC"/>
    <w:rsid w:val="00A72A2E"/>
    <w:rsid w:val="00A72A73"/>
    <w:rsid w:val="00A72AC6"/>
    <w:rsid w:val="00A72AFF"/>
    <w:rsid w:val="00A72B17"/>
    <w:rsid w:val="00A72B29"/>
    <w:rsid w:val="00A72B97"/>
    <w:rsid w:val="00A72BB4"/>
    <w:rsid w:val="00A72BBB"/>
    <w:rsid w:val="00A72C81"/>
    <w:rsid w:val="00A72D19"/>
    <w:rsid w:val="00A72DAD"/>
    <w:rsid w:val="00A72DBA"/>
    <w:rsid w:val="00A72DBE"/>
    <w:rsid w:val="00A72DFA"/>
    <w:rsid w:val="00A72E39"/>
    <w:rsid w:val="00A72E7B"/>
    <w:rsid w:val="00A72EBF"/>
    <w:rsid w:val="00A72ED8"/>
    <w:rsid w:val="00A72F5F"/>
    <w:rsid w:val="00A72F9C"/>
    <w:rsid w:val="00A73004"/>
    <w:rsid w:val="00A73022"/>
    <w:rsid w:val="00A7304C"/>
    <w:rsid w:val="00A73112"/>
    <w:rsid w:val="00A73174"/>
    <w:rsid w:val="00A731E2"/>
    <w:rsid w:val="00A7327B"/>
    <w:rsid w:val="00A7327E"/>
    <w:rsid w:val="00A7330E"/>
    <w:rsid w:val="00A73352"/>
    <w:rsid w:val="00A733BD"/>
    <w:rsid w:val="00A7345A"/>
    <w:rsid w:val="00A7345B"/>
    <w:rsid w:val="00A734E4"/>
    <w:rsid w:val="00A735C0"/>
    <w:rsid w:val="00A7364C"/>
    <w:rsid w:val="00A73675"/>
    <w:rsid w:val="00A73681"/>
    <w:rsid w:val="00A736AF"/>
    <w:rsid w:val="00A736D3"/>
    <w:rsid w:val="00A73750"/>
    <w:rsid w:val="00A737EA"/>
    <w:rsid w:val="00A73818"/>
    <w:rsid w:val="00A7384E"/>
    <w:rsid w:val="00A739AF"/>
    <w:rsid w:val="00A73A23"/>
    <w:rsid w:val="00A73A82"/>
    <w:rsid w:val="00A73AB1"/>
    <w:rsid w:val="00A73AD6"/>
    <w:rsid w:val="00A73B14"/>
    <w:rsid w:val="00A73B23"/>
    <w:rsid w:val="00A73B52"/>
    <w:rsid w:val="00A73BF3"/>
    <w:rsid w:val="00A73C05"/>
    <w:rsid w:val="00A73C5E"/>
    <w:rsid w:val="00A73CB1"/>
    <w:rsid w:val="00A73CBB"/>
    <w:rsid w:val="00A73CC5"/>
    <w:rsid w:val="00A73CF9"/>
    <w:rsid w:val="00A73DB9"/>
    <w:rsid w:val="00A73EAB"/>
    <w:rsid w:val="00A73F65"/>
    <w:rsid w:val="00A73FC6"/>
    <w:rsid w:val="00A74007"/>
    <w:rsid w:val="00A7400F"/>
    <w:rsid w:val="00A740FE"/>
    <w:rsid w:val="00A74105"/>
    <w:rsid w:val="00A74124"/>
    <w:rsid w:val="00A7415B"/>
    <w:rsid w:val="00A741BB"/>
    <w:rsid w:val="00A741DF"/>
    <w:rsid w:val="00A74362"/>
    <w:rsid w:val="00A74439"/>
    <w:rsid w:val="00A74470"/>
    <w:rsid w:val="00A7452E"/>
    <w:rsid w:val="00A7458A"/>
    <w:rsid w:val="00A745C2"/>
    <w:rsid w:val="00A74603"/>
    <w:rsid w:val="00A74619"/>
    <w:rsid w:val="00A74632"/>
    <w:rsid w:val="00A746A1"/>
    <w:rsid w:val="00A747E7"/>
    <w:rsid w:val="00A747FA"/>
    <w:rsid w:val="00A74823"/>
    <w:rsid w:val="00A74845"/>
    <w:rsid w:val="00A748B0"/>
    <w:rsid w:val="00A74971"/>
    <w:rsid w:val="00A74B06"/>
    <w:rsid w:val="00A74B1C"/>
    <w:rsid w:val="00A74B68"/>
    <w:rsid w:val="00A74C51"/>
    <w:rsid w:val="00A74C7A"/>
    <w:rsid w:val="00A74CA7"/>
    <w:rsid w:val="00A74E53"/>
    <w:rsid w:val="00A74EE9"/>
    <w:rsid w:val="00A74FD2"/>
    <w:rsid w:val="00A75017"/>
    <w:rsid w:val="00A75058"/>
    <w:rsid w:val="00A75075"/>
    <w:rsid w:val="00A750C8"/>
    <w:rsid w:val="00A750E2"/>
    <w:rsid w:val="00A75114"/>
    <w:rsid w:val="00A751A9"/>
    <w:rsid w:val="00A7527D"/>
    <w:rsid w:val="00A753BF"/>
    <w:rsid w:val="00A753FC"/>
    <w:rsid w:val="00A7551E"/>
    <w:rsid w:val="00A756FC"/>
    <w:rsid w:val="00A75789"/>
    <w:rsid w:val="00A757E7"/>
    <w:rsid w:val="00A75802"/>
    <w:rsid w:val="00A7587F"/>
    <w:rsid w:val="00A75900"/>
    <w:rsid w:val="00A7596D"/>
    <w:rsid w:val="00A75AAC"/>
    <w:rsid w:val="00A75AD5"/>
    <w:rsid w:val="00A75CA0"/>
    <w:rsid w:val="00A75CE5"/>
    <w:rsid w:val="00A75CFD"/>
    <w:rsid w:val="00A75D55"/>
    <w:rsid w:val="00A75DAA"/>
    <w:rsid w:val="00A75E0F"/>
    <w:rsid w:val="00A75E35"/>
    <w:rsid w:val="00A75E7F"/>
    <w:rsid w:val="00A75F1C"/>
    <w:rsid w:val="00A75FA7"/>
    <w:rsid w:val="00A76096"/>
    <w:rsid w:val="00A760DA"/>
    <w:rsid w:val="00A7612D"/>
    <w:rsid w:val="00A76148"/>
    <w:rsid w:val="00A761DA"/>
    <w:rsid w:val="00A76211"/>
    <w:rsid w:val="00A763D2"/>
    <w:rsid w:val="00A76468"/>
    <w:rsid w:val="00A7648A"/>
    <w:rsid w:val="00A76492"/>
    <w:rsid w:val="00A76493"/>
    <w:rsid w:val="00A764AB"/>
    <w:rsid w:val="00A764C0"/>
    <w:rsid w:val="00A764E2"/>
    <w:rsid w:val="00A76569"/>
    <w:rsid w:val="00A7657D"/>
    <w:rsid w:val="00A76649"/>
    <w:rsid w:val="00A76668"/>
    <w:rsid w:val="00A76694"/>
    <w:rsid w:val="00A76768"/>
    <w:rsid w:val="00A76794"/>
    <w:rsid w:val="00A76888"/>
    <w:rsid w:val="00A769A7"/>
    <w:rsid w:val="00A769BB"/>
    <w:rsid w:val="00A769C7"/>
    <w:rsid w:val="00A76AAE"/>
    <w:rsid w:val="00A76B1A"/>
    <w:rsid w:val="00A76B34"/>
    <w:rsid w:val="00A76B48"/>
    <w:rsid w:val="00A76B88"/>
    <w:rsid w:val="00A76BBA"/>
    <w:rsid w:val="00A76BE7"/>
    <w:rsid w:val="00A76CAB"/>
    <w:rsid w:val="00A76CEB"/>
    <w:rsid w:val="00A76CFA"/>
    <w:rsid w:val="00A76D43"/>
    <w:rsid w:val="00A76D69"/>
    <w:rsid w:val="00A76DA7"/>
    <w:rsid w:val="00A76E36"/>
    <w:rsid w:val="00A76E62"/>
    <w:rsid w:val="00A77168"/>
    <w:rsid w:val="00A771CE"/>
    <w:rsid w:val="00A7720C"/>
    <w:rsid w:val="00A77302"/>
    <w:rsid w:val="00A77325"/>
    <w:rsid w:val="00A77406"/>
    <w:rsid w:val="00A7744A"/>
    <w:rsid w:val="00A774EB"/>
    <w:rsid w:val="00A775E4"/>
    <w:rsid w:val="00A77712"/>
    <w:rsid w:val="00A7777A"/>
    <w:rsid w:val="00A77830"/>
    <w:rsid w:val="00A778A9"/>
    <w:rsid w:val="00A77941"/>
    <w:rsid w:val="00A779DD"/>
    <w:rsid w:val="00A779FB"/>
    <w:rsid w:val="00A77A5F"/>
    <w:rsid w:val="00A77A65"/>
    <w:rsid w:val="00A77A7F"/>
    <w:rsid w:val="00A77AB5"/>
    <w:rsid w:val="00A77B74"/>
    <w:rsid w:val="00A77B76"/>
    <w:rsid w:val="00A77E2D"/>
    <w:rsid w:val="00A77EA6"/>
    <w:rsid w:val="00A77EBB"/>
    <w:rsid w:val="00A77F72"/>
    <w:rsid w:val="00A800F1"/>
    <w:rsid w:val="00A801D9"/>
    <w:rsid w:val="00A801ED"/>
    <w:rsid w:val="00A803B0"/>
    <w:rsid w:val="00A804C0"/>
    <w:rsid w:val="00A804C4"/>
    <w:rsid w:val="00A804DD"/>
    <w:rsid w:val="00A805E9"/>
    <w:rsid w:val="00A80661"/>
    <w:rsid w:val="00A80714"/>
    <w:rsid w:val="00A8071C"/>
    <w:rsid w:val="00A80754"/>
    <w:rsid w:val="00A80756"/>
    <w:rsid w:val="00A80776"/>
    <w:rsid w:val="00A807A6"/>
    <w:rsid w:val="00A807B1"/>
    <w:rsid w:val="00A80926"/>
    <w:rsid w:val="00A8092D"/>
    <w:rsid w:val="00A8093A"/>
    <w:rsid w:val="00A80971"/>
    <w:rsid w:val="00A809C3"/>
    <w:rsid w:val="00A809EC"/>
    <w:rsid w:val="00A80A6A"/>
    <w:rsid w:val="00A80AEB"/>
    <w:rsid w:val="00A80B30"/>
    <w:rsid w:val="00A80B5A"/>
    <w:rsid w:val="00A80C6F"/>
    <w:rsid w:val="00A80CC4"/>
    <w:rsid w:val="00A80D41"/>
    <w:rsid w:val="00A80DC8"/>
    <w:rsid w:val="00A80E08"/>
    <w:rsid w:val="00A80EA0"/>
    <w:rsid w:val="00A80EC9"/>
    <w:rsid w:val="00A80ED8"/>
    <w:rsid w:val="00A80FB9"/>
    <w:rsid w:val="00A80FED"/>
    <w:rsid w:val="00A81022"/>
    <w:rsid w:val="00A810CF"/>
    <w:rsid w:val="00A810FD"/>
    <w:rsid w:val="00A81153"/>
    <w:rsid w:val="00A81162"/>
    <w:rsid w:val="00A81201"/>
    <w:rsid w:val="00A8122F"/>
    <w:rsid w:val="00A8129C"/>
    <w:rsid w:val="00A812BB"/>
    <w:rsid w:val="00A8131E"/>
    <w:rsid w:val="00A81379"/>
    <w:rsid w:val="00A813AE"/>
    <w:rsid w:val="00A813F8"/>
    <w:rsid w:val="00A81446"/>
    <w:rsid w:val="00A81651"/>
    <w:rsid w:val="00A816DB"/>
    <w:rsid w:val="00A816E9"/>
    <w:rsid w:val="00A8180D"/>
    <w:rsid w:val="00A8181A"/>
    <w:rsid w:val="00A81820"/>
    <w:rsid w:val="00A8183A"/>
    <w:rsid w:val="00A818D6"/>
    <w:rsid w:val="00A81931"/>
    <w:rsid w:val="00A819AF"/>
    <w:rsid w:val="00A819E3"/>
    <w:rsid w:val="00A81A43"/>
    <w:rsid w:val="00A81B3F"/>
    <w:rsid w:val="00A81BFE"/>
    <w:rsid w:val="00A81C35"/>
    <w:rsid w:val="00A81C9D"/>
    <w:rsid w:val="00A81D11"/>
    <w:rsid w:val="00A81E3F"/>
    <w:rsid w:val="00A81E50"/>
    <w:rsid w:val="00A81EA1"/>
    <w:rsid w:val="00A81EDB"/>
    <w:rsid w:val="00A81F24"/>
    <w:rsid w:val="00A81F27"/>
    <w:rsid w:val="00A81FB9"/>
    <w:rsid w:val="00A81FDF"/>
    <w:rsid w:val="00A82082"/>
    <w:rsid w:val="00A82099"/>
    <w:rsid w:val="00A82136"/>
    <w:rsid w:val="00A82213"/>
    <w:rsid w:val="00A822C2"/>
    <w:rsid w:val="00A82304"/>
    <w:rsid w:val="00A824C7"/>
    <w:rsid w:val="00A8254D"/>
    <w:rsid w:val="00A82569"/>
    <w:rsid w:val="00A825C5"/>
    <w:rsid w:val="00A825D3"/>
    <w:rsid w:val="00A8260D"/>
    <w:rsid w:val="00A82619"/>
    <w:rsid w:val="00A82664"/>
    <w:rsid w:val="00A826C7"/>
    <w:rsid w:val="00A826FF"/>
    <w:rsid w:val="00A82718"/>
    <w:rsid w:val="00A82779"/>
    <w:rsid w:val="00A828B6"/>
    <w:rsid w:val="00A8291D"/>
    <w:rsid w:val="00A8293A"/>
    <w:rsid w:val="00A8294C"/>
    <w:rsid w:val="00A82977"/>
    <w:rsid w:val="00A82997"/>
    <w:rsid w:val="00A829DD"/>
    <w:rsid w:val="00A82B1C"/>
    <w:rsid w:val="00A82B32"/>
    <w:rsid w:val="00A82BDB"/>
    <w:rsid w:val="00A82C3A"/>
    <w:rsid w:val="00A82DC4"/>
    <w:rsid w:val="00A82E75"/>
    <w:rsid w:val="00A82ED3"/>
    <w:rsid w:val="00A82EFF"/>
    <w:rsid w:val="00A82F26"/>
    <w:rsid w:val="00A82FA8"/>
    <w:rsid w:val="00A8307B"/>
    <w:rsid w:val="00A830B6"/>
    <w:rsid w:val="00A830BB"/>
    <w:rsid w:val="00A83141"/>
    <w:rsid w:val="00A83149"/>
    <w:rsid w:val="00A83151"/>
    <w:rsid w:val="00A8318A"/>
    <w:rsid w:val="00A831C8"/>
    <w:rsid w:val="00A83213"/>
    <w:rsid w:val="00A8329E"/>
    <w:rsid w:val="00A8329F"/>
    <w:rsid w:val="00A8330A"/>
    <w:rsid w:val="00A834C0"/>
    <w:rsid w:val="00A8353E"/>
    <w:rsid w:val="00A835E9"/>
    <w:rsid w:val="00A836EA"/>
    <w:rsid w:val="00A83810"/>
    <w:rsid w:val="00A83832"/>
    <w:rsid w:val="00A8387A"/>
    <w:rsid w:val="00A83894"/>
    <w:rsid w:val="00A83912"/>
    <w:rsid w:val="00A839AD"/>
    <w:rsid w:val="00A839B7"/>
    <w:rsid w:val="00A839DB"/>
    <w:rsid w:val="00A83A20"/>
    <w:rsid w:val="00A83A53"/>
    <w:rsid w:val="00A83ABA"/>
    <w:rsid w:val="00A83AF8"/>
    <w:rsid w:val="00A83C13"/>
    <w:rsid w:val="00A83C81"/>
    <w:rsid w:val="00A83C90"/>
    <w:rsid w:val="00A83C9E"/>
    <w:rsid w:val="00A83D48"/>
    <w:rsid w:val="00A83E51"/>
    <w:rsid w:val="00A83ECE"/>
    <w:rsid w:val="00A83FA8"/>
    <w:rsid w:val="00A84038"/>
    <w:rsid w:val="00A84052"/>
    <w:rsid w:val="00A84069"/>
    <w:rsid w:val="00A8414E"/>
    <w:rsid w:val="00A84249"/>
    <w:rsid w:val="00A84272"/>
    <w:rsid w:val="00A8428C"/>
    <w:rsid w:val="00A842E6"/>
    <w:rsid w:val="00A842EA"/>
    <w:rsid w:val="00A843FB"/>
    <w:rsid w:val="00A84417"/>
    <w:rsid w:val="00A84456"/>
    <w:rsid w:val="00A84459"/>
    <w:rsid w:val="00A844CA"/>
    <w:rsid w:val="00A84531"/>
    <w:rsid w:val="00A8460C"/>
    <w:rsid w:val="00A846A2"/>
    <w:rsid w:val="00A84742"/>
    <w:rsid w:val="00A84759"/>
    <w:rsid w:val="00A847C2"/>
    <w:rsid w:val="00A847CB"/>
    <w:rsid w:val="00A847D2"/>
    <w:rsid w:val="00A84855"/>
    <w:rsid w:val="00A849DB"/>
    <w:rsid w:val="00A84A09"/>
    <w:rsid w:val="00A84A3B"/>
    <w:rsid w:val="00A84B63"/>
    <w:rsid w:val="00A84C71"/>
    <w:rsid w:val="00A84CC7"/>
    <w:rsid w:val="00A84D18"/>
    <w:rsid w:val="00A84D5E"/>
    <w:rsid w:val="00A84D82"/>
    <w:rsid w:val="00A84DBC"/>
    <w:rsid w:val="00A84E00"/>
    <w:rsid w:val="00A84E10"/>
    <w:rsid w:val="00A84E13"/>
    <w:rsid w:val="00A84E74"/>
    <w:rsid w:val="00A84E91"/>
    <w:rsid w:val="00A84EF3"/>
    <w:rsid w:val="00A84F1D"/>
    <w:rsid w:val="00A84F5F"/>
    <w:rsid w:val="00A85100"/>
    <w:rsid w:val="00A8514B"/>
    <w:rsid w:val="00A85281"/>
    <w:rsid w:val="00A852D1"/>
    <w:rsid w:val="00A852D5"/>
    <w:rsid w:val="00A85377"/>
    <w:rsid w:val="00A8540D"/>
    <w:rsid w:val="00A8547F"/>
    <w:rsid w:val="00A85489"/>
    <w:rsid w:val="00A854F7"/>
    <w:rsid w:val="00A85533"/>
    <w:rsid w:val="00A85551"/>
    <w:rsid w:val="00A855AD"/>
    <w:rsid w:val="00A85720"/>
    <w:rsid w:val="00A857A7"/>
    <w:rsid w:val="00A85808"/>
    <w:rsid w:val="00A85829"/>
    <w:rsid w:val="00A85833"/>
    <w:rsid w:val="00A85955"/>
    <w:rsid w:val="00A8595A"/>
    <w:rsid w:val="00A8595D"/>
    <w:rsid w:val="00A85967"/>
    <w:rsid w:val="00A85970"/>
    <w:rsid w:val="00A85982"/>
    <w:rsid w:val="00A85A74"/>
    <w:rsid w:val="00A85AE7"/>
    <w:rsid w:val="00A85B0E"/>
    <w:rsid w:val="00A85B13"/>
    <w:rsid w:val="00A85B3C"/>
    <w:rsid w:val="00A85BA4"/>
    <w:rsid w:val="00A85BB7"/>
    <w:rsid w:val="00A85BCD"/>
    <w:rsid w:val="00A85BF2"/>
    <w:rsid w:val="00A85CAA"/>
    <w:rsid w:val="00A85CED"/>
    <w:rsid w:val="00A85D1F"/>
    <w:rsid w:val="00A85E12"/>
    <w:rsid w:val="00A85E6C"/>
    <w:rsid w:val="00A85E70"/>
    <w:rsid w:val="00A85F0D"/>
    <w:rsid w:val="00A86086"/>
    <w:rsid w:val="00A860B9"/>
    <w:rsid w:val="00A86110"/>
    <w:rsid w:val="00A86187"/>
    <w:rsid w:val="00A86276"/>
    <w:rsid w:val="00A862C3"/>
    <w:rsid w:val="00A863A8"/>
    <w:rsid w:val="00A864CB"/>
    <w:rsid w:val="00A864CC"/>
    <w:rsid w:val="00A864F9"/>
    <w:rsid w:val="00A865EC"/>
    <w:rsid w:val="00A8668D"/>
    <w:rsid w:val="00A866BD"/>
    <w:rsid w:val="00A8676E"/>
    <w:rsid w:val="00A86786"/>
    <w:rsid w:val="00A867B4"/>
    <w:rsid w:val="00A8684E"/>
    <w:rsid w:val="00A868DA"/>
    <w:rsid w:val="00A86921"/>
    <w:rsid w:val="00A86929"/>
    <w:rsid w:val="00A869FC"/>
    <w:rsid w:val="00A86A0C"/>
    <w:rsid w:val="00A86B19"/>
    <w:rsid w:val="00A86C2F"/>
    <w:rsid w:val="00A86C6B"/>
    <w:rsid w:val="00A86CCE"/>
    <w:rsid w:val="00A86CE6"/>
    <w:rsid w:val="00A86D9D"/>
    <w:rsid w:val="00A86E2B"/>
    <w:rsid w:val="00A86E54"/>
    <w:rsid w:val="00A86EDA"/>
    <w:rsid w:val="00A86EDF"/>
    <w:rsid w:val="00A86F87"/>
    <w:rsid w:val="00A86FB3"/>
    <w:rsid w:val="00A8702B"/>
    <w:rsid w:val="00A8704B"/>
    <w:rsid w:val="00A8704F"/>
    <w:rsid w:val="00A870E5"/>
    <w:rsid w:val="00A87103"/>
    <w:rsid w:val="00A87232"/>
    <w:rsid w:val="00A8725B"/>
    <w:rsid w:val="00A87313"/>
    <w:rsid w:val="00A87371"/>
    <w:rsid w:val="00A873AF"/>
    <w:rsid w:val="00A873B9"/>
    <w:rsid w:val="00A874DD"/>
    <w:rsid w:val="00A87505"/>
    <w:rsid w:val="00A87518"/>
    <w:rsid w:val="00A87519"/>
    <w:rsid w:val="00A87559"/>
    <w:rsid w:val="00A87585"/>
    <w:rsid w:val="00A875C5"/>
    <w:rsid w:val="00A875EF"/>
    <w:rsid w:val="00A8761C"/>
    <w:rsid w:val="00A87640"/>
    <w:rsid w:val="00A87692"/>
    <w:rsid w:val="00A876CE"/>
    <w:rsid w:val="00A876F2"/>
    <w:rsid w:val="00A8774E"/>
    <w:rsid w:val="00A8781E"/>
    <w:rsid w:val="00A87884"/>
    <w:rsid w:val="00A87992"/>
    <w:rsid w:val="00A87A07"/>
    <w:rsid w:val="00A87AF6"/>
    <w:rsid w:val="00A87B48"/>
    <w:rsid w:val="00A87B5D"/>
    <w:rsid w:val="00A87CD5"/>
    <w:rsid w:val="00A87CE2"/>
    <w:rsid w:val="00A87D30"/>
    <w:rsid w:val="00A87D95"/>
    <w:rsid w:val="00A87DB5"/>
    <w:rsid w:val="00A87E27"/>
    <w:rsid w:val="00A87E3D"/>
    <w:rsid w:val="00A87EAF"/>
    <w:rsid w:val="00A87EB1"/>
    <w:rsid w:val="00A87EBF"/>
    <w:rsid w:val="00A87F35"/>
    <w:rsid w:val="00A900B0"/>
    <w:rsid w:val="00A900B6"/>
    <w:rsid w:val="00A900C8"/>
    <w:rsid w:val="00A90109"/>
    <w:rsid w:val="00A90120"/>
    <w:rsid w:val="00A9012D"/>
    <w:rsid w:val="00A901B6"/>
    <w:rsid w:val="00A90247"/>
    <w:rsid w:val="00A902EC"/>
    <w:rsid w:val="00A90370"/>
    <w:rsid w:val="00A903B7"/>
    <w:rsid w:val="00A9048C"/>
    <w:rsid w:val="00A90529"/>
    <w:rsid w:val="00A9056D"/>
    <w:rsid w:val="00A9058E"/>
    <w:rsid w:val="00A905B8"/>
    <w:rsid w:val="00A9062B"/>
    <w:rsid w:val="00A906A5"/>
    <w:rsid w:val="00A906CE"/>
    <w:rsid w:val="00A906F8"/>
    <w:rsid w:val="00A90726"/>
    <w:rsid w:val="00A90738"/>
    <w:rsid w:val="00A9076C"/>
    <w:rsid w:val="00A907B3"/>
    <w:rsid w:val="00A908C4"/>
    <w:rsid w:val="00A9090E"/>
    <w:rsid w:val="00A90A98"/>
    <w:rsid w:val="00A90BBC"/>
    <w:rsid w:val="00A90C40"/>
    <w:rsid w:val="00A90C94"/>
    <w:rsid w:val="00A90CF7"/>
    <w:rsid w:val="00A90DC8"/>
    <w:rsid w:val="00A90E40"/>
    <w:rsid w:val="00A90EC9"/>
    <w:rsid w:val="00A90F97"/>
    <w:rsid w:val="00A91079"/>
    <w:rsid w:val="00A9108C"/>
    <w:rsid w:val="00A91154"/>
    <w:rsid w:val="00A91194"/>
    <w:rsid w:val="00A91293"/>
    <w:rsid w:val="00A912F2"/>
    <w:rsid w:val="00A913CD"/>
    <w:rsid w:val="00A91491"/>
    <w:rsid w:val="00A914DD"/>
    <w:rsid w:val="00A9154C"/>
    <w:rsid w:val="00A9156D"/>
    <w:rsid w:val="00A916B5"/>
    <w:rsid w:val="00A916D5"/>
    <w:rsid w:val="00A91724"/>
    <w:rsid w:val="00A91748"/>
    <w:rsid w:val="00A9176D"/>
    <w:rsid w:val="00A91786"/>
    <w:rsid w:val="00A9187C"/>
    <w:rsid w:val="00A918D7"/>
    <w:rsid w:val="00A919DE"/>
    <w:rsid w:val="00A91ADB"/>
    <w:rsid w:val="00A91ADC"/>
    <w:rsid w:val="00A91B9B"/>
    <w:rsid w:val="00A91BE4"/>
    <w:rsid w:val="00A91BE5"/>
    <w:rsid w:val="00A91C32"/>
    <w:rsid w:val="00A91CC2"/>
    <w:rsid w:val="00A91DCC"/>
    <w:rsid w:val="00A91E70"/>
    <w:rsid w:val="00A91F6D"/>
    <w:rsid w:val="00A91F6E"/>
    <w:rsid w:val="00A91F92"/>
    <w:rsid w:val="00A9211C"/>
    <w:rsid w:val="00A92140"/>
    <w:rsid w:val="00A921A5"/>
    <w:rsid w:val="00A92222"/>
    <w:rsid w:val="00A92231"/>
    <w:rsid w:val="00A92288"/>
    <w:rsid w:val="00A922DB"/>
    <w:rsid w:val="00A9234A"/>
    <w:rsid w:val="00A92461"/>
    <w:rsid w:val="00A9247D"/>
    <w:rsid w:val="00A924A8"/>
    <w:rsid w:val="00A926BC"/>
    <w:rsid w:val="00A926DE"/>
    <w:rsid w:val="00A927AD"/>
    <w:rsid w:val="00A928B2"/>
    <w:rsid w:val="00A928B4"/>
    <w:rsid w:val="00A928B8"/>
    <w:rsid w:val="00A928C0"/>
    <w:rsid w:val="00A9290B"/>
    <w:rsid w:val="00A92978"/>
    <w:rsid w:val="00A929A3"/>
    <w:rsid w:val="00A929AA"/>
    <w:rsid w:val="00A929D9"/>
    <w:rsid w:val="00A92B3E"/>
    <w:rsid w:val="00A92BA9"/>
    <w:rsid w:val="00A92C4D"/>
    <w:rsid w:val="00A92CB0"/>
    <w:rsid w:val="00A92D04"/>
    <w:rsid w:val="00A92D5E"/>
    <w:rsid w:val="00A92DE2"/>
    <w:rsid w:val="00A92EBF"/>
    <w:rsid w:val="00A9301E"/>
    <w:rsid w:val="00A9309A"/>
    <w:rsid w:val="00A930DD"/>
    <w:rsid w:val="00A930F7"/>
    <w:rsid w:val="00A931E9"/>
    <w:rsid w:val="00A931FC"/>
    <w:rsid w:val="00A93256"/>
    <w:rsid w:val="00A93263"/>
    <w:rsid w:val="00A93286"/>
    <w:rsid w:val="00A93376"/>
    <w:rsid w:val="00A933DD"/>
    <w:rsid w:val="00A9347C"/>
    <w:rsid w:val="00A93494"/>
    <w:rsid w:val="00A9349C"/>
    <w:rsid w:val="00A934DA"/>
    <w:rsid w:val="00A93525"/>
    <w:rsid w:val="00A93550"/>
    <w:rsid w:val="00A93567"/>
    <w:rsid w:val="00A93694"/>
    <w:rsid w:val="00A9387C"/>
    <w:rsid w:val="00A9389C"/>
    <w:rsid w:val="00A938E3"/>
    <w:rsid w:val="00A93A21"/>
    <w:rsid w:val="00A93A3E"/>
    <w:rsid w:val="00A93A70"/>
    <w:rsid w:val="00A93A79"/>
    <w:rsid w:val="00A93B4F"/>
    <w:rsid w:val="00A93C47"/>
    <w:rsid w:val="00A93D57"/>
    <w:rsid w:val="00A93E04"/>
    <w:rsid w:val="00A93F05"/>
    <w:rsid w:val="00A93F82"/>
    <w:rsid w:val="00A93F92"/>
    <w:rsid w:val="00A93FBA"/>
    <w:rsid w:val="00A93FBD"/>
    <w:rsid w:val="00A93FD6"/>
    <w:rsid w:val="00A942ED"/>
    <w:rsid w:val="00A94428"/>
    <w:rsid w:val="00A94466"/>
    <w:rsid w:val="00A9448B"/>
    <w:rsid w:val="00A944A5"/>
    <w:rsid w:val="00A944F9"/>
    <w:rsid w:val="00A9455D"/>
    <w:rsid w:val="00A94579"/>
    <w:rsid w:val="00A945FF"/>
    <w:rsid w:val="00A94644"/>
    <w:rsid w:val="00A94682"/>
    <w:rsid w:val="00A946D7"/>
    <w:rsid w:val="00A94722"/>
    <w:rsid w:val="00A94768"/>
    <w:rsid w:val="00A947BF"/>
    <w:rsid w:val="00A947F1"/>
    <w:rsid w:val="00A9483D"/>
    <w:rsid w:val="00A94864"/>
    <w:rsid w:val="00A948F0"/>
    <w:rsid w:val="00A94963"/>
    <w:rsid w:val="00A9498F"/>
    <w:rsid w:val="00A949B1"/>
    <w:rsid w:val="00A94A2C"/>
    <w:rsid w:val="00A94AB4"/>
    <w:rsid w:val="00A94AF9"/>
    <w:rsid w:val="00A94BB0"/>
    <w:rsid w:val="00A94BBD"/>
    <w:rsid w:val="00A94BE5"/>
    <w:rsid w:val="00A94C29"/>
    <w:rsid w:val="00A94C93"/>
    <w:rsid w:val="00A94D63"/>
    <w:rsid w:val="00A94D9B"/>
    <w:rsid w:val="00A94E9B"/>
    <w:rsid w:val="00A94E9C"/>
    <w:rsid w:val="00A94F33"/>
    <w:rsid w:val="00A94F40"/>
    <w:rsid w:val="00A94FC1"/>
    <w:rsid w:val="00A9501E"/>
    <w:rsid w:val="00A9504D"/>
    <w:rsid w:val="00A95106"/>
    <w:rsid w:val="00A9516B"/>
    <w:rsid w:val="00A95198"/>
    <w:rsid w:val="00A951DA"/>
    <w:rsid w:val="00A9527B"/>
    <w:rsid w:val="00A9534B"/>
    <w:rsid w:val="00A95370"/>
    <w:rsid w:val="00A953B6"/>
    <w:rsid w:val="00A953BC"/>
    <w:rsid w:val="00A95479"/>
    <w:rsid w:val="00A9547D"/>
    <w:rsid w:val="00A95491"/>
    <w:rsid w:val="00A954B5"/>
    <w:rsid w:val="00A954D4"/>
    <w:rsid w:val="00A954E6"/>
    <w:rsid w:val="00A9574A"/>
    <w:rsid w:val="00A9575A"/>
    <w:rsid w:val="00A957CA"/>
    <w:rsid w:val="00A959A0"/>
    <w:rsid w:val="00A959B4"/>
    <w:rsid w:val="00A95A8D"/>
    <w:rsid w:val="00A95B4A"/>
    <w:rsid w:val="00A95B70"/>
    <w:rsid w:val="00A95BF0"/>
    <w:rsid w:val="00A95C18"/>
    <w:rsid w:val="00A95D90"/>
    <w:rsid w:val="00A95E2E"/>
    <w:rsid w:val="00A95E4F"/>
    <w:rsid w:val="00A95E61"/>
    <w:rsid w:val="00A95E8C"/>
    <w:rsid w:val="00A95F96"/>
    <w:rsid w:val="00A95FD0"/>
    <w:rsid w:val="00A9604D"/>
    <w:rsid w:val="00A960A4"/>
    <w:rsid w:val="00A9614E"/>
    <w:rsid w:val="00A96180"/>
    <w:rsid w:val="00A9626E"/>
    <w:rsid w:val="00A962A1"/>
    <w:rsid w:val="00A962AD"/>
    <w:rsid w:val="00A962C4"/>
    <w:rsid w:val="00A962FE"/>
    <w:rsid w:val="00A963B7"/>
    <w:rsid w:val="00A963E8"/>
    <w:rsid w:val="00A9641D"/>
    <w:rsid w:val="00A96461"/>
    <w:rsid w:val="00A96502"/>
    <w:rsid w:val="00A96515"/>
    <w:rsid w:val="00A9659B"/>
    <w:rsid w:val="00A96639"/>
    <w:rsid w:val="00A966ED"/>
    <w:rsid w:val="00A9678E"/>
    <w:rsid w:val="00A967D3"/>
    <w:rsid w:val="00A96821"/>
    <w:rsid w:val="00A9689B"/>
    <w:rsid w:val="00A9690A"/>
    <w:rsid w:val="00A9693E"/>
    <w:rsid w:val="00A96A55"/>
    <w:rsid w:val="00A96A78"/>
    <w:rsid w:val="00A96AB4"/>
    <w:rsid w:val="00A96AE7"/>
    <w:rsid w:val="00A96B56"/>
    <w:rsid w:val="00A96BDA"/>
    <w:rsid w:val="00A96C50"/>
    <w:rsid w:val="00A96C62"/>
    <w:rsid w:val="00A96DA4"/>
    <w:rsid w:val="00A96DFD"/>
    <w:rsid w:val="00A96E18"/>
    <w:rsid w:val="00A96E53"/>
    <w:rsid w:val="00A96E84"/>
    <w:rsid w:val="00A97056"/>
    <w:rsid w:val="00A97166"/>
    <w:rsid w:val="00A97232"/>
    <w:rsid w:val="00A97298"/>
    <w:rsid w:val="00A9735C"/>
    <w:rsid w:val="00A97396"/>
    <w:rsid w:val="00A97440"/>
    <w:rsid w:val="00A9747C"/>
    <w:rsid w:val="00A974FC"/>
    <w:rsid w:val="00A9762E"/>
    <w:rsid w:val="00A97643"/>
    <w:rsid w:val="00A97749"/>
    <w:rsid w:val="00A97760"/>
    <w:rsid w:val="00A977CD"/>
    <w:rsid w:val="00A977D5"/>
    <w:rsid w:val="00A9784E"/>
    <w:rsid w:val="00A97887"/>
    <w:rsid w:val="00A978CB"/>
    <w:rsid w:val="00A978D4"/>
    <w:rsid w:val="00A9798A"/>
    <w:rsid w:val="00A97C45"/>
    <w:rsid w:val="00A97C49"/>
    <w:rsid w:val="00A97D3A"/>
    <w:rsid w:val="00A97D53"/>
    <w:rsid w:val="00A97D89"/>
    <w:rsid w:val="00A97DDC"/>
    <w:rsid w:val="00A97E1C"/>
    <w:rsid w:val="00A97E25"/>
    <w:rsid w:val="00A97E4B"/>
    <w:rsid w:val="00A97ED4"/>
    <w:rsid w:val="00AA0083"/>
    <w:rsid w:val="00AA008E"/>
    <w:rsid w:val="00AA016B"/>
    <w:rsid w:val="00AA019E"/>
    <w:rsid w:val="00AA01F7"/>
    <w:rsid w:val="00AA0265"/>
    <w:rsid w:val="00AA0296"/>
    <w:rsid w:val="00AA029E"/>
    <w:rsid w:val="00AA0398"/>
    <w:rsid w:val="00AA03B6"/>
    <w:rsid w:val="00AA03F6"/>
    <w:rsid w:val="00AA044B"/>
    <w:rsid w:val="00AA0457"/>
    <w:rsid w:val="00AA04BF"/>
    <w:rsid w:val="00AA05B4"/>
    <w:rsid w:val="00AA07C6"/>
    <w:rsid w:val="00AA085B"/>
    <w:rsid w:val="00AA0861"/>
    <w:rsid w:val="00AA08A8"/>
    <w:rsid w:val="00AA08B5"/>
    <w:rsid w:val="00AA08ED"/>
    <w:rsid w:val="00AA0A04"/>
    <w:rsid w:val="00AA0B48"/>
    <w:rsid w:val="00AA0C1E"/>
    <w:rsid w:val="00AA0E46"/>
    <w:rsid w:val="00AA0E55"/>
    <w:rsid w:val="00AA0EEF"/>
    <w:rsid w:val="00AA0F16"/>
    <w:rsid w:val="00AA0FA3"/>
    <w:rsid w:val="00AA0FE0"/>
    <w:rsid w:val="00AA100C"/>
    <w:rsid w:val="00AA1099"/>
    <w:rsid w:val="00AA10EA"/>
    <w:rsid w:val="00AA1104"/>
    <w:rsid w:val="00AA113A"/>
    <w:rsid w:val="00AA118A"/>
    <w:rsid w:val="00AA1216"/>
    <w:rsid w:val="00AA1239"/>
    <w:rsid w:val="00AA12A9"/>
    <w:rsid w:val="00AA13D8"/>
    <w:rsid w:val="00AA1479"/>
    <w:rsid w:val="00AA14D3"/>
    <w:rsid w:val="00AA150D"/>
    <w:rsid w:val="00AA1556"/>
    <w:rsid w:val="00AA15B4"/>
    <w:rsid w:val="00AA1666"/>
    <w:rsid w:val="00AA1759"/>
    <w:rsid w:val="00AA17C8"/>
    <w:rsid w:val="00AA182B"/>
    <w:rsid w:val="00AA1841"/>
    <w:rsid w:val="00AA189A"/>
    <w:rsid w:val="00AA18AD"/>
    <w:rsid w:val="00AA18DB"/>
    <w:rsid w:val="00AA1930"/>
    <w:rsid w:val="00AA1972"/>
    <w:rsid w:val="00AA19AC"/>
    <w:rsid w:val="00AA19AD"/>
    <w:rsid w:val="00AA1A57"/>
    <w:rsid w:val="00AA1A73"/>
    <w:rsid w:val="00AA1B5A"/>
    <w:rsid w:val="00AA1C25"/>
    <w:rsid w:val="00AA1C67"/>
    <w:rsid w:val="00AA1D42"/>
    <w:rsid w:val="00AA1E39"/>
    <w:rsid w:val="00AA1E69"/>
    <w:rsid w:val="00AA1F44"/>
    <w:rsid w:val="00AA20CC"/>
    <w:rsid w:val="00AA21C5"/>
    <w:rsid w:val="00AA226B"/>
    <w:rsid w:val="00AA24B6"/>
    <w:rsid w:val="00AA2636"/>
    <w:rsid w:val="00AA273C"/>
    <w:rsid w:val="00AA27B5"/>
    <w:rsid w:val="00AA27BC"/>
    <w:rsid w:val="00AA27C0"/>
    <w:rsid w:val="00AA27D0"/>
    <w:rsid w:val="00AA2854"/>
    <w:rsid w:val="00AA28B9"/>
    <w:rsid w:val="00AA2943"/>
    <w:rsid w:val="00AA2ACC"/>
    <w:rsid w:val="00AA2AE4"/>
    <w:rsid w:val="00AA2DC3"/>
    <w:rsid w:val="00AA2DFE"/>
    <w:rsid w:val="00AA2E5D"/>
    <w:rsid w:val="00AA2E70"/>
    <w:rsid w:val="00AA2FB5"/>
    <w:rsid w:val="00AA3024"/>
    <w:rsid w:val="00AA30C1"/>
    <w:rsid w:val="00AA313F"/>
    <w:rsid w:val="00AA32AF"/>
    <w:rsid w:val="00AA32C5"/>
    <w:rsid w:val="00AA3314"/>
    <w:rsid w:val="00AA331C"/>
    <w:rsid w:val="00AA3386"/>
    <w:rsid w:val="00AA33AA"/>
    <w:rsid w:val="00AA340F"/>
    <w:rsid w:val="00AA3456"/>
    <w:rsid w:val="00AA3482"/>
    <w:rsid w:val="00AA349B"/>
    <w:rsid w:val="00AA360C"/>
    <w:rsid w:val="00AA3753"/>
    <w:rsid w:val="00AA37BF"/>
    <w:rsid w:val="00AA37D2"/>
    <w:rsid w:val="00AA3844"/>
    <w:rsid w:val="00AA3853"/>
    <w:rsid w:val="00AA38DE"/>
    <w:rsid w:val="00AA3978"/>
    <w:rsid w:val="00AA39D3"/>
    <w:rsid w:val="00AA3A97"/>
    <w:rsid w:val="00AA3B12"/>
    <w:rsid w:val="00AA3B27"/>
    <w:rsid w:val="00AA3B3D"/>
    <w:rsid w:val="00AA3BCC"/>
    <w:rsid w:val="00AA3C1A"/>
    <w:rsid w:val="00AA3C86"/>
    <w:rsid w:val="00AA3D27"/>
    <w:rsid w:val="00AA3D8E"/>
    <w:rsid w:val="00AA3DCD"/>
    <w:rsid w:val="00AA3DDF"/>
    <w:rsid w:val="00AA3E51"/>
    <w:rsid w:val="00AA3EC1"/>
    <w:rsid w:val="00AA3F04"/>
    <w:rsid w:val="00AA3F5F"/>
    <w:rsid w:val="00AA3F6C"/>
    <w:rsid w:val="00AA4008"/>
    <w:rsid w:val="00AA400F"/>
    <w:rsid w:val="00AA406A"/>
    <w:rsid w:val="00AA4233"/>
    <w:rsid w:val="00AA43AC"/>
    <w:rsid w:val="00AA43AE"/>
    <w:rsid w:val="00AA43E5"/>
    <w:rsid w:val="00AA44E7"/>
    <w:rsid w:val="00AA4658"/>
    <w:rsid w:val="00AA46D5"/>
    <w:rsid w:val="00AA4729"/>
    <w:rsid w:val="00AA4770"/>
    <w:rsid w:val="00AA47C2"/>
    <w:rsid w:val="00AA47F0"/>
    <w:rsid w:val="00AA47FD"/>
    <w:rsid w:val="00AA4814"/>
    <w:rsid w:val="00AA49BD"/>
    <w:rsid w:val="00AA4ADD"/>
    <w:rsid w:val="00AA4B1D"/>
    <w:rsid w:val="00AA4B7C"/>
    <w:rsid w:val="00AA4C86"/>
    <w:rsid w:val="00AA4CC0"/>
    <w:rsid w:val="00AA4CE1"/>
    <w:rsid w:val="00AA4CE2"/>
    <w:rsid w:val="00AA4D4C"/>
    <w:rsid w:val="00AA4D5D"/>
    <w:rsid w:val="00AA4DF9"/>
    <w:rsid w:val="00AA4DFC"/>
    <w:rsid w:val="00AA4E50"/>
    <w:rsid w:val="00AA4E8A"/>
    <w:rsid w:val="00AA4EA9"/>
    <w:rsid w:val="00AA4ECA"/>
    <w:rsid w:val="00AA4EF6"/>
    <w:rsid w:val="00AA4F23"/>
    <w:rsid w:val="00AA5007"/>
    <w:rsid w:val="00AA5009"/>
    <w:rsid w:val="00AA505B"/>
    <w:rsid w:val="00AA5101"/>
    <w:rsid w:val="00AA5193"/>
    <w:rsid w:val="00AA523D"/>
    <w:rsid w:val="00AA5284"/>
    <w:rsid w:val="00AA53EE"/>
    <w:rsid w:val="00AA543B"/>
    <w:rsid w:val="00AA547E"/>
    <w:rsid w:val="00AA54EA"/>
    <w:rsid w:val="00AA5521"/>
    <w:rsid w:val="00AA5600"/>
    <w:rsid w:val="00AA5640"/>
    <w:rsid w:val="00AA569D"/>
    <w:rsid w:val="00AA56B4"/>
    <w:rsid w:val="00AA56FF"/>
    <w:rsid w:val="00AA5732"/>
    <w:rsid w:val="00AA579A"/>
    <w:rsid w:val="00AA57BB"/>
    <w:rsid w:val="00AA57E2"/>
    <w:rsid w:val="00AA57EA"/>
    <w:rsid w:val="00AA5A87"/>
    <w:rsid w:val="00AA5A96"/>
    <w:rsid w:val="00AA5A9C"/>
    <w:rsid w:val="00AA5AC2"/>
    <w:rsid w:val="00AA5ACF"/>
    <w:rsid w:val="00AA5B1D"/>
    <w:rsid w:val="00AA5BDC"/>
    <w:rsid w:val="00AA5C07"/>
    <w:rsid w:val="00AA5C12"/>
    <w:rsid w:val="00AA5C2B"/>
    <w:rsid w:val="00AA5C44"/>
    <w:rsid w:val="00AA5CA7"/>
    <w:rsid w:val="00AA5CF6"/>
    <w:rsid w:val="00AA5D1F"/>
    <w:rsid w:val="00AA5D42"/>
    <w:rsid w:val="00AA5F82"/>
    <w:rsid w:val="00AA5FB4"/>
    <w:rsid w:val="00AA5FC6"/>
    <w:rsid w:val="00AA60C2"/>
    <w:rsid w:val="00AA60DC"/>
    <w:rsid w:val="00AA6122"/>
    <w:rsid w:val="00AA614D"/>
    <w:rsid w:val="00AA6176"/>
    <w:rsid w:val="00AA61EF"/>
    <w:rsid w:val="00AA621A"/>
    <w:rsid w:val="00AA6263"/>
    <w:rsid w:val="00AA6268"/>
    <w:rsid w:val="00AA6428"/>
    <w:rsid w:val="00AA64E7"/>
    <w:rsid w:val="00AA6532"/>
    <w:rsid w:val="00AA664A"/>
    <w:rsid w:val="00AA6772"/>
    <w:rsid w:val="00AA67E8"/>
    <w:rsid w:val="00AA684B"/>
    <w:rsid w:val="00AA68A9"/>
    <w:rsid w:val="00AA68CF"/>
    <w:rsid w:val="00AA68D7"/>
    <w:rsid w:val="00AA68E1"/>
    <w:rsid w:val="00AA68FD"/>
    <w:rsid w:val="00AA69DB"/>
    <w:rsid w:val="00AA6A17"/>
    <w:rsid w:val="00AA6A8A"/>
    <w:rsid w:val="00AA6AA0"/>
    <w:rsid w:val="00AA6BDF"/>
    <w:rsid w:val="00AA6BF1"/>
    <w:rsid w:val="00AA6C11"/>
    <w:rsid w:val="00AA6C2E"/>
    <w:rsid w:val="00AA6D75"/>
    <w:rsid w:val="00AA6E15"/>
    <w:rsid w:val="00AA6E23"/>
    <w:rsid w:val="00AA6E4E"/>
    <w:rsid w:val="00AA6E6D"/>
    <w:rsid w:val="00AA6EB8"/>
    <w:rsid w:val="00AA6F0B"/>
    <w:rsid w:val="00AA6F92"/>
    <w:rsid w:val="00AA7026"/>
    <w:rsid w:val="00AA7072"/>
    <w:rsid w:val="00AA707A"/>
    <w:rsid w:val="00AA70A2"/>
    <w:rsid w:val="00AA70B3"/>
    <w:rsid w:val="00AA70D6"/>
    <w:rsid w:val="00AA70FB"/>
    <w:rsid w:val="00AA71B7"/>
    <w:rsid w:val="00AA7204"/>
    <w:rsid w:val="00AA7211"/>
    <w:rsid w:val="00AA72E4"/>
    <w:rsid w:val="00AA7313"/>
    <w:rsid w:val="00AA7347"/>
    <w:rsid w:val="00AA7484"/>
    <w:rsid w:val="00AA74CA"/>
    <w:rsid w:val="00AA7507"/>
    <w:rsid w:val="00AA750E"/>
    <w:rsid w:val="00AA7597"/>
    <w:rsid w:val="00AA75C2"/>
    <w:rsid w:val="00AA75E5"/>
    <w:rsid w:val="00AA762A"/>
    <w:rsid w:val="00AA7672"/>
    <w:rsid w:val="00AA775A"/>
    <w:rsid w:val="00AA778C"/>
    <w:rsid w:val="00AA779D"/>
    <w:rsid w:val="00AA7846"/>
    <w:rsid w:val="00AA784B"/>
    <w:rsid w:val="00AA78B8"/>
    <w:rsid w:val="00AA7A1D"/>
    <w:rsid w:val="00AA7AA1"/>
    <w:rsid w:val="00AA7BE0"/>
    <w:rsid w:val="00AA7BF4"/>
    <w:rsid w:val="00AA7C1C"/>
    <w:rsid w:val="00AA7C4C"/>
    <w:rsid w:val="00AA7D6D"/>
    <w:rsid w:val="00AA7DAC"/>
    <w:rsid w:val="00AA7DC3"/>
    <w:rsid w:val="00AA7EB4"/>
    <w:rsid w:val="00AA7F04"/>
    <w:rsid w:val="00AA7F1E"/>
    <w:rsid w:val="00AA7F63"/>
    <w:rsid w:val="00AA7FF1"/>
    <w:rsid w:val="00AB00AF"/>
    <w:rsid w:val="00AB0161"/>
    <w:rsid w:val="00AB01A7"/>
    <w:rsid w:val="00AB01CD"/>
    <w:rsid w:val="00AB01F5"/>
    <w:rsid w:val="00AB0200"/>
    <w:rsid w:val="00AB022A"/>
    <w:rsid w:val="00AB02BD"/>
    <w:rsid w:val="00AB036A"/>
    <w:rsid w:val="00AB03EC"/>
    <w:rsid w:val="00AB0433"/>
    <w:rsid w:val="00AB0475"/>
    <w:rsid w:val="00AB04F2"/>
    <w:rsid w:val="00AB0576"/>
    <w:rsid w:val="00AB0604"/>
    <w:rsid w:val="00AB0695"/>
    <w:rsid w:val="00AB0707"/>
    <w:rsid w:val="00AB0753"/>
    <w:rsid w:val="00AB0789"/>
    <w:rsid w:val="00AB079C"/>
    <w:rsid w:val="00AB07AA"/>
    <w:rsid w:val="00AB07E1"/>
    <w:rsid w:val="00AB083A"/>
    <w:rsid w:val="00AB0869"/>
    <w:rsid w:val="00AB08AC"/>
    <w:rsid w:val="00AB0A31"/>
    <w:rsid w:val="00AB0AA6"/>
    <w:rsid w:val="00AB0AB5"/>
    <w:rsid w:val="00AB0AB6"/>
    <w:rsid w:val="00AB0B46"/>
    <w:rsid w:val="00AB0B9B"/>
    <w:rsid w:val="00AB0C2E"/>
    <w:rsid w:val="00AB0C7F"/>
    <w:rsid w:val="00AB0D8B"/>
    <w:rsid w:val="00AB0E14"/>
    <w:rsid w:val="00AB0E1C"/>
    <w:rsid w:val="00AB0E1D"/>
    <w:rsid w:val="00AB0E81"/>
    <w:rsid w:val="00AB0E8D"/>
    <w:rsid w:val="00AB0EE0"/>
    <w:rsid w:val="00AB0F18"/>
    <w:rsid w:val="00AB10CA"/>
    <w:rsid w:val="00AB11FF"/>
    <w:rsid w:val="00AB1261"/>
    <w:rsid w:val="00AB12C8"/>
    <w:rsid w:val="00AB1318"/>
    <w:rsid w:val="00AB1350"/>
    <w:rsid w:val="00AB13A5"/>
    <w:rsid w:val="00AB14C5"/>
    <w:rsid w:val="00AB1552"/>
    <w:rsid w:val="00AB15F2"/>
    <w:rsid w:val="00AB1662"/>
    <w:rsid w:val="00AB16E8"/>
    <w:rsid w:val="00AB17BF"/>
    <w:rsid w:val="00AB1929"/>
    <w:rsid w:val="00AB192D"/>
    <w:rsid w:val="00AB19B3"/>
    <w:rsid w:val="00AB1B95"/>
    <w:rsid w:val="00AB1BF4"/>
    <w:rsid w:val="00AB1C61"/>
    <w:rsid w:val="00AB1CCC"/>
    <w:rsid w:val="00AB1CF8"/>
    <w:rsid w:val="00AB1DC1"/>
    <w:rsid w:val="00AB1DE4"/>
    <w:rsid w:val="00AB1E1D"/>
    <w:rsid w:val="00AB1E59"/>
    <w:rsid w:val="00AB1F17"/>
    <w:rsid w:val="00AB1FB7"/>
    <w:rsid w:val="00AB1FE8"/>
    <w:rsid w:val="00AB20C8"/>
    <w:rsid w:val="00AB21D1"/>
    <w:rsid w:val="00AB2220"/>
    <w:rsid w:val="00AB2384"/>
    <w:rsid w:val="00AB2405"/>
    <w:rsid w:val="00AB244F"/>
    <w:rsid w:val="00AB24CB"/>
    <w:rsid w:val="00AB25AB"/>
    <w:rsid w:val="00AB25CC"/>
    <w:rsid w:val="00AB25E3"/>
    <w:rsid w:val="00AB2792"/>
    <w:rsid w:val="00AB28BB"/>
    <w:rsid w:val="00AB28F5"/>
    <w:rsid w:val="00AB291F"/>
    <w:rsid w:val="00AB293F"/>
    <w:rsid w:val="00AB2942"/>
    <w:rsid w:val="00AB2960"/>
    <w:rsid w:val="00AB29BC"/>
    <w:rsid w:val="00AB2B3F"/>
    <w:rsid w:val="00AB2BA0"/>
    <w:rsid w:val="00AB2C25"/>
    <w:rsid w:val="00AB2CD2"/>
    <w:rsid w:val="00AB2CEC"/>
    <w:rsid w:val="00AB2CEE"/>
    <w:rsid w:val="00AB2D06"/>
    <w:rsid w:val="00AB2D69"/>
    <w:rsid w:val="00AB2DB7"/>
    <w:rsid w:val="00AB2DC2"/>
    <w:rsid w:val="00AB2E83"/>
    <w:rsid w:val="00AB2F1B"/>
    <w:rsid w:val="00AB2F55"/>
    <w:rsid w:val="00AB2F64"/>
    <w:rsid w:val="00AB2FD7"/>
    <w:rsid w:val="00AB300A"/>
    <w:rsid w:val="00AB303E"/>
    <w:rsid w:val="00AB3058"/>
    <w:rsid w:val="00AB30C3"/>
    <w:rsid w:val="00AB315E"/>
    <w:rsid w:val="00AB31FB"/>
    <w:rsid w:val="00AB3237"/>
    <w:rsid w:val="00AB326D"/>
    <w:rsid w:val="00AB32E6"/>
    <w:rsid w:val="00AB3308"/>
    <w:rsid w:val="00AB33C3"/>
    <w:rsid w:val="00AB33D5"/>
    <w:rsid w:val="00AB3468"/>
    <w:rsid w:val="00AB34CC"/>
    <w:rsid w:val="00AB35C3"/>
    <w:rsid w:val="00AB3622"/>
    <w:rsid w:val="00AB3648"/>
    <w:rsid w:val="00AB369E"/>
    <w:rsid w:val="00AB36F4"/>
    <w:rsid w:val="00AB389F"/>
    <w:rsid w:val="00AB38CA"/>
    <w:rsid w:val="00AB39C7"/>
    <w:rsid w:val="00AB3A28"/>
    <w:rsid w:val="00AB3ACA"/>
    <w:rsid w:val="00AB3B5B"/>
    <w:rsid w:val="00AB3B90"/>
    <w:rsid w:val="00AB3C19"/>
    <w:rsid w:val="00AB3CB5"/>
    <w:rsid w:val="00AB3CFC"/>
    <w:rsid w:val="00AB3D22"/>
    <w:rsid w:val="00AB3D30"/>
    <w:rsid w:val="00AB3D50"/>
    <w:rsid w:val="00AB3D89"/>
    <w:rsid w:val="00AB3E64"/>
    <w:rsid w:val="00AB3E8B"/>
    <w:rsid w:val="00AB3F15"/>
    <w:rsid w:val="00AB3F23"/>
    <w:rsid w:val="00AB3F46"/>
    <w:rsid w:val="00AB3F4B"/>
    <w:rsid w:val="00AB400A"/>
    <w:rsid w:val="00AB4044"/>
    <w:rsid w:val="00AB411D"/>
    <w:rsid w:val="00AB41C2"/>
    <w:rsid w:val="00AB41E1"/>
    <w:rsid w:val="00AB4366"/>
    <w:rsid w:val="00AB43D2"/>
    <w:rsid w:val="00AB43EC"/>
    <w:rsid w:val="00AB4430"/>
    <w:rsid w:val="00AB44B4"/>
    <w:rsid w:val="00AB44C1"/>
    <w:rsid w:val="00AB4508"/>
    <w:rsid w:val="00AB4522"/>
    <w:rsid w:val="00AB46CC"/>
    <w:rsid w:val="00AB4733"/>
    <w:rsid w:val="00AB478B"/>
    <w:rsid w:val="00AB478C"/>
    <w:rsid w:val="00AB47B8"/>
    <w:rsid w:val="00AB47D5"/>
    <w:rsid w:val="00AB4838"/>
    <w:rsid w:val="00AB48A6"/>
    <w:rsid w:val="00AB48B0"/>
    <w:rsid w:val="00AB48E2"/>
    <w:rsid w:val="00AB49AF"/>
    <w:rsid w:val="00AB49BB"/>
    <w:rsid w:val="00AB49E6"/>
    <w:rsid w:val="00AB49FC"/>
    <w:rsid w:val="00AB4A21"/>
    <w:rsid w:val="00AB4A62"/>
    <w:rsid w:val="00AB4B53"/>
    <w:rsid w:val="00AB4C5F"/>
    <w:rsid w:val="00AB4C9E"/>
    <w:rsid w:val="00AB4CAB"/>
    <w:rsid w:val="00AB4DDD"/>
    <w:rsid w:val="00AB4E6D"/>
    <w:rsid w:val="00AB4E70"/>
    <w:rsid w:val="00AB4F14"/>
    <w:rsid w:val="00AB4F27"/>
    <w:rsid w:val="00AB4F33"/>
    <w:rsid w:val="00AB4FCB"/>
    <w:rsid w:val="00AB4FD3"/>
    <w:rsid w:val="00AB4FEF"/>
    <w:rsid w:val="00AB50CC"/>
    <w:rsid w:val="00AB5164"/>
    <w:rsid w:val="00AB518E"/>
    <w:rsid w:val="00AB51B2"/>
    <w:rsid w:val="00AB52C2"/>
    <w:rsid w:val="00AB5391"/>
    <w:rsid w:val="00AB544C"/>
    <w:rsid w:val="00AB54E3"/>
    <w:rsid w:val="00AB5543"/>
    <w:rsid w:val="00AB55B4"/>
    <w:rsid w:val="00AB55E8"/>
    <w:rsid w:val="00AB575D"/>
    <w:rsid w:val="00AB5763"/>
    <w:rsid w:val="00AB576D"/>
    <w:rsid w:val="00AB57E4"/>
    <w:rsid w:val="00AB5898"/>
    <w:rsid w:val="00AB58C6"/>
    <w:rsid w:val="00AB596F"/>
    <w:rsid w:val="00AB59A9"/>
    <w:rsid w:val="00AB59D2"/>
    <w:rsid w:val="00AB59E2"/>
    <w:rsid w:val="00AB5A24"/>
    <w:rsid w:val="00AB5AD5"/>
    <w:rsid w:val="00AB5ADA"/>
    <w:rsid w:val="00AB5B97"/>
    <w:rsid w:val="00AB5CD1"/>
    <w:rsid w:val="00AB5D0E"/>
    <w:rsid w:val="00AB5D35"/>
    <w:rsid w:val="00AB5D59"/>
    <w:rsid w:val="00AB5D85"/>
    <w:rsid w:val="00AB5E28"/>
    <w:rsid w:val="00AB5E72"/>
    <w:rsid w:val="00AB6035"/>
    <w:rsid w:val="00AB608D"/>
    <w:rsid w:val="00AB60F4"/>
    <w:rsid w:val="00AB61A0"/>
    <w:rsid w:val="00AB620F"/>
    <w:rsid w:val="00AB633F"/>
    <w:rsid w:val="00AB6349"/>
    <w:rsid w:val="00AB6445"/>
    <w:rsid w:val="00AB64E5"/>
    <w:rsid w:val="00AB64FB"/>
    <w:rsid w:val="00AB65A6"/>
    <w:rsid w:val="00AB65D0"/>
    <w:rsid w:val="00AB65E7"/>
    <w:rsid w:val="00AB6672"/>
    <w:rsid w:val="00AB66AB"/>
    <w:rsid w:val="00AB66ED"/>
    <w:rsid w:val="00AB66FA"/>
    <w:rsid w:val="00AB6719"/>
    <w:rsid w:val="00AB67DB"/>
    <w:rsid w:val="00AB6898"/>
    <w:rsid w:val="00AB690F"/>
    <w:rsid w:val="00AB69F0"/>
    <w:rsid w:val="00AB6A0D"/>
    <w:rsid w:val="00AB6A74"/>
    <w:rsid w:val="00AB6A7F"/>
    <w:rsid w:val="00AB6AA4"/>
    <w:rsid w:val="00AB6C49"/>
    <w:rsid w:val="00AB6C7F"/>
    <w:rsid w:val="00AB6CAC"/>
    <w:rsid w:val="00AB6CF0"/>
    <w:rsid w:val="00AB6E0B"/>
    <w:rsid w:val="00AB6EEB"/>
    <w:rsid w:val="00AB6F09"/>
    <w:rsid w:val="00AB6F8E"/>
    <w:rsid w:val="00AB6FEF"/>
    <w:rsid w:val="00AB7007"/>
    <w:rsid w:val="00AB700E"/>
    <w:rsid w:val="00AB70E8"/>
    <w:rsid w:val="00AB724A"/>
    <w:rsid w:val="00AB7254"/>
    <w:rsid w:val="00AB736D"/>
    <w:rsid w:val="00AB7372"/>
    <w:rsid w:val="00AB73E7"/>
    <w:rsid w:val="00AB7473"/>
    <w:rsid w:val="00AB74DF"/>
    <w:rsid w:val="00AB757E"/>
    <w:rsid w:val="00AB758A"/>
    <w:rsid w:val="00AB75E9"/>
    <w:rsid w:val="00AB7737"/>
    <w:rsid w:val="00AB7767"/>
    <w:rsid w:val="00AB7890"/>
    <w:rsid w:val="00AB79F0"/>
    <w:rsid w:val="00AB7A3E"/>
    <w:rsid w:val="00AB7A79"/>
    <w:rsid w:val="00AB7AB0"/>
    <w:rsid w:val="00AB7AC2"/>
    <w:rsid w:val="00AB7B83"/>
    <w:rsid w:val="00AB7BAD"/>
    <w:rsid w:val="00AB7BF9"/>
    <w:rsid w:val="00AB7C40"/>
    <w:rsid w:val="00AB7D43"/>
    <w:rsid w:val="00AB7D53"/>
    <w:rsid w:val="00AB7E3E"/>
    <w:rsid w:val="00AB7EA3"/>
    <w:rsid w:val="00AB7F35"/>
    <w:rsid w:val="00AB7F76"/>
    <w:rsid w:val="00AC0011"/>
    <w:rsid w:val="00AC00CA"/>
    <w:rsid w:val="00AC0113"/>
    <w:rsid w:val="00AC0143"/>
    <w:rsid w:val="00AC0158"/>
    <w:rsid w:val="00AC017A"/>
    <w:rsid w:val="00AC0198"/>
    <w:rsid w:val="00AC041D"/>
    <w:rsid w:val="00AC049E"/>
    <w:rsid w:val="00AC0540"/>
    <w:rsid w:val="00AC054E"/>
    <w:rsid w:val="00AC0654"/>
    <w:rsid w:val="00AC06E5"/>
    <w:rsid w:val="00AC06E6"/>
    <w:rsid w:val="00AC06FA"/>
    <w:rsid w:val="00AC078B"/>
    <w:rsid w:val="00AC07ED"/>
    <w:rsid w:val="00AC0828"/>
    <w:rsid w:val="00AC08A0"/>
    <w:rsid w:val="00AC08F3"/>
    <w:rsid w:val="00AC097E"/>
    <w:rsid w:val="00AC0981"/>
    <w:rsid w:val="00AC0A36"/>
    <w:rsid w:val="00AC0B18"/>
    <w:rsid w:val="00AC0BD3"/>
    <w:rsid w:val="00AC0C86"/>
    <w:rsid w:val="00AC0D4F"/>
    <w:rsid w:val="00AC0DCD"/>
    <w:rsid w:val="00AC0E3D"/>
    <w:rsid w:val="00AC0ED0"/>
    <w:rsid w:val="00AC0EF8"/>
    <w:rsid w:val="00AC0F0A"/>
    <w:rsid w:val="00AC0F77"/>
    <w:rsid w:val="00AC0FDE"/>
    <w:rsid w:val="00AC103E"/>
    <w:rsid w:val="00AC108B"/>
    <w:rsid w:val="00AC1196"/>
    <w:rsid w:val="00AC1198"/>
    <w:rsid w:val="00AC11B4"/>
    <w:rsid w:val="00AC11CB"/>
    <w:rsid w:val="00AC11DA"/>
    <w:rsid w:val="00AC11E6"/>
    <w:rsid w:val="00AC122A"/>
    <w:rsid w:val="00AC122F"/>
    <w:rsid w:val="00AC1234"/>
    <w:rsid w:val="00AC13A3"/>
    <w:rsid w:val="00AC1465"/>
    <w:rsid w:val="00AC147B"/>
    <w:rsid w:val="00AC149F"/>
    <w:rsid w:val="00AC152B"/>
    <w:rsid w:val="00AC1556"/>
    <w:rsid w:val="00AC156D"/>
    <w:rsid w:val="00AC15C1"/>
    <w:rsid w:val="00AC1847"/>
    <w:rsid w:val="00AC19F3"/>
    <w:rsid w:val="00AC1A68"/>
    <w:rsid w:val="00AC1B09"/>
    <w:rsid w:val="00AC1BE6"/>
    <w:rsid w:val="00AC1C0B"/>
    <w:rsid w:val="00AC1C63"/>
    <w:rsid w:val="00AC1D5E"/>
    <w:rsid w:val="00AC1D7A"/>
    <w:rsid w:val="00AC1E21"/>
    <w:rsid w:val="00AC1E4A"/>
    <w:rsid w:val="00AC1E53"/>
    <w:rsid w:val="00AC1E80"/>
    <w:rsid w:val="00AC1FAA"/>
    <w:rsid w:val="00AC211D"/>
    <w:rsid w:val="00AC21D7"/>
    <w:rsid w:val="00AC2297"/>
    <w:rsid w:val="00AC2298"/>
    <w:rsid w:val="00AC2321"/>
    <w:rsid w:val="00AC233C"/>
    <w:rsid w:val="00AC238C"/>
    <w:rsid w:val="00AC2453"/>
    <w:rsid w:val="00AC2473"/>
    <w:rsid w:val="00AC2484"/>
    <w:rsid w:val="00AC24F6"/>
    <w:rsid w:val="00AC266D"/>
    <w:rsid w:val="00AC26A2"/>
    <w:rsid w:val="00AC26B4"/>
    <w:rsid w:val="00AC2741"/>
    <w:rsid w:val="00AC27F7"/>
    <w:rsid w:val="00AC282F"/>
    <w:rsid w:val="00AC2844"/>
    <w:rsid w:val="00AC29A1"/>
    <w:rsid w:val="00AC2A24"/>
    <w:rsid w:val="00AC2A37"/>
    <w:rsid w:val="00AC2BEC"/>
    <w:rsid w:val="00AC2C38"/>
    <w:rsid w:val="00AC2C69"/>
    <w:rsid w:val="00AC2CE1"/>
    <w:rsid w:val="00AC2E07"/>
    <w:rsid w:val="00AC2E87"/>
    <w:rsid w:val="00AC2EFF"/>
    <w:rsid w:val="00AC2F28"/>
    <w:rsid w:val="00AC2F4D"/>
    <w:rsid w:val="00AC2FB3"/>
    <w:rsid w:val="00AC30CC"/>
    <w:rsid w:val="00AC3108"/>
    <w:rsid w:val="00AC31DF"/>
    <w:rsid w:val="00AC31E0"/>
    <w:rsid w:val="00AC324F"/>
    <w:rsid w:val="00AC3265"/>
    <w:rsid w:val="00AC32A4"/>
    <w:rsid w:val="00AC3375"/>
    <w:rsid w:val="00AC343C"/>
    <w:rsid w:val="00AC3487"/>
    <w:rsid w:val="00AC3534"/>
    <w:rsid w:val="00AC3545"/>
    <w:rsid w:val="00AC359E"/>
    <w:rsid w:val="00AC3632"/>
    <w:rsid w:val="00AC374D"/>
    <w:rsid w:val="00AC3769"/>
    <w:rsid w:val="00AC37C5"/>
    <w:rsid w:val="00AC3801"/>
    <w:rsid w:val="00AC3813"/>
    <w:rsid w:val="00AC3869"/>
    <w:rsid w:val="00AC3876"/>
    <w:rsid w:val="00AC38C3"/>
    <w:rsid w:val="00AC3900"/>
    <w:rsid w:val="00AC395B"/>
    <w:rsid w:val="00AC3A04"/>
    <w:rsid w:val="00AC3AEC"/>
    <w:rsid w:val="00AC3B11"/>
    <w:rsid w:val="00AC3C0C"/>
    <w:rsid w:val="00AC3D7B"/>
    <w:rsid w:val="00AC3DA5"/>
    <w:rsid w:val="00AC3DC4"/>
    <w:rsid w:val="00AC3EA3"/>
    <w:rsid w:val="00AC3F79"/>
    <w:rsid w:val="00AC3F81"/>
    <w:rsid w:val="00AC3F9B"/>
    <w:rsid w:val="00AC3FD2"/>
    <w:rsid w:val="00AC401C"/>
    <w:rsid w:val="00AC4098"/>
    <w:rsid w:val="00AC40C3"/>
    <w:rsid w:val="00AC40E2"/>
    <w:rsid w:val="00AC40F1"/>
    <w:rsid w:val="00AC4215"/>
    <w:rsid w:val="00AC4221"/>
    <w:rsid w:val="00AC431B"/>
    <w:rsid w:val="00AC4472"/>
    <w:rsid w:val="00AC447A"/>
    <w:rsid w:val="00AC44D9"/>
    <w:rsid w:val="00AC454D"/>
    <w:rsid w:val="00AC458D"/>
    <w:rsid w:val="00AC46A0"/>
    <w:rsid w:val="00AC4711"/>
    <w:rsid w:val="00AC474E"/>
    <w:rsid w:val="00AC47AB"/>
    <w:rsid w:val="00AC4814"/>
    <w:rsid w:val="00AC481D"/>
    <w:rsid w:val="00AC4848"/>
    <w:rsid w:val="00AC485F"/>
    <w:rsid w:val="00AC4879"/>
    <w:rsid w:val="00AC48A3"/>
    <w:rsid w:val="00AC48B9"/>
    <w:rsid w:val="00AC48DC"/>
    <w:rsid w:val="00AC4939"/>
    <w:rsid w:val="00AC4961"/>
    <w:rsid w:val="00AC4AE2"/>
    <w:rsid w:val="00AC4BE2"/>
    <w:rsid w:val="00AC4C06"/>
    <w:rsid w:val="00AC4C45"/>
    <w:rsid w:val="00AC4C5E"/>
    <w:rsid w:val="00AC4C6E"/>
    <w:rsid w:val="00AC4CB3"/>
    <w:rsid w:val="00AC4D2F"/>
    <w:rsid w:val="00AC4DE8"/>
    <w:rsid w:val="00AC4E03"/>
    <w:rsid w:val="00AC4F59"/>
    <w:rsid w:val="00AC4F68"/>
    <w:rsid w:val="00AC4F98"/>
    <w:rsid w:val="00AC4FE9"/>
    <w:rsid w:val="00AC503C"/>
    <w:rsid w:val="00AC5127"/>
    <w:rsid w:val="00AC5194"/>
    <w:rsid w:val="00AC51E1"/>
    <w:rsid w:val="00AC5261"/>
    <w:rsid w:val="00AC52EF"/>
    <w:rsid w:val="00AC532D"/>
    <w:rsid w:val="00AC5336"/>
    <w:rsid w:val="00AC5393"/>
    <w:rsid w:val="00AC5539"/>
    <w:rsid w:val="00AC557D"/>
    <w:rsid w:val="00AC5595"/>
    <w:rsid w:val="00AC55C9"/>
    <w:rsid w:val="00AC57A0"/>
    <w:rsid w:val="00AC57B1"/>
    <w:rsid w:val="00AC57DD"/>
    <w:rsid w:val="00AC57E3"/>
    <w:rsid w:val="00AC5824"/>
    <w:rsid w:val="00AC5834"/>
    <w:rsid w:val="00AC5869"/>
    <w:rsid w:val="00AC58F7"/>
    <w:rsid w:val="00AC5A05"/>
    <w:rsid w:val="00AC5A54"/>
    <w:rsid w:val="00AC5BD1"/>
    <w:rsid w:val="00AC5BFD"/>
    <w:rsid w:val="00AC5CCA"/>
    <w:rsid w:val="00AC5DAE"/>
    <w:rsid w:val="00AC5DF3"/>
    <w:rsid w:val="00AC5DFE"/>
    <w:rsid w:val="00AC5E09"/>
    <w:rsid w:val="00AC5E2A"/>
    <w:rsid w:val="00AC5E55"/>
    <w:rsid w:val="00AC5EB9"/>
    <w:rsid w:val="00AC5EC1"/>
    <w:rsid w:val="00AC5F11"/>
    <w:rsid w:val="00AC5F56"/>
    <w:rsid w:val="00AC5F63"/>
    <w:rsid w:val="00AC604E"/>
    <w:rsid w:val="00AC604F"/>
    <w:rsid w:val="00AC6083"/>
    <w:rsid w:val="00AC60CB"/>
    <w:rsid w:val="00AC61DB"/>
    <w:rsid w:val="00AC6269"/>
    <w:rsid w:val="00AC6280"/>
    <w:rsid w:val="00AC62BD"/>
    <w:rsid w:val="00AC62D1"/>
    <w:rsid w:val="00AC6340"/>
    <w:rsid w:val="00AC641B"/>
    <w:rsid w:val="00AC6439"/>
    <w:rsid w:val="00AC657E"/>
    <w:rsid w:val="00AC663D"/>
    <w:rsid w:val="00AC66CF"/>
    <w:rsid w:val="00AC66F4"/>
    <w:rsid w:val="00AC675F"/>
    <w:rsid w:val="00AC6877"/>
    <w:rsid w:val="00AC68A7"/>
    <w:rsid w:val="00AC692D"/>
    <w:rsid w:val="00AC69AC"/>
    <w:rsid w:val="00AC6A62"/>
    <w:rsid w:val="00AC6B06"/>
    <w:rsid w:val="00AC6B20"/>
    <w:rsid w:val="00AC6C07"/>
    <w:rsid w:val="00AC6D2C"/>
    <w:rsid w:val="00AC6DB3"/>
    <w:rsid w:val="00AC6E00"/>
    <w:rsid w:val="00AC6EBB"/>
    <w:rsid w:val="00AC6F4B"/>
    <w:rsid w:val="00AC6FD5"/>
    <w:rsid w:val="00AC7015"/>
    <w:rsid w:val="00AC70A1"/>
    <w:rsid w:val="00AC70D0"/>
    <w:rsid w:val="00AC7296"/>
    <w:rsid w:val="00AC72A0"/>
    <w:rsid w:val="00AC731F"/>
    <w:rsid w:val="00AC735D"/>
    <w:rsid w:val="00AC7541"/>
    <w:rsid w:val="00AC75D8"/>
    <w:rsid w:val="00AC771B"/>
    <w:rsid w:val="00AC776C"/>
    <w:rsid w:val="00AC78AC"/>
    <w:rsid w:val="00AC78BA"/>
    <w:rsid w:val="00AC78CA"/>
    <w:rsid w:val="00AC7A65"/>
    <w:rsid w:val="00AC7A97"/>
    <w:rsid w:val="00AC7B56"/>
    <w:rsid w:val="00AC7BEE"/>
    <w:rsid w:val="00AC7C29"/>
    <w:rsid w:val="00AC7C47"/>
    <w:rsid w:val="00AC7C79"/>
    <w:rsid w:val="00AC7C95"/>
    <w:rsid w:val="00AC7CB5"/>
    <w:rsid w:val="00AC7D67"/>
    <w:rsid w:val="00AC7D7D"/>
    <w:rsid w:val="00AC7DE2"/>
    <w:rsid w:val="00AC7DF8"/>
    <w:rsid w:val="00AC7E3C"/>
    <w:rsid w:val="00AC7E61"/>
    <w:rsid w:val="00AC7E69"/>
    <w:rsid w:val="00AD00D4"/>
    <w:rsid w:val="00AD00EB"/>
    <w:rsid w:val="00AD0198"/>
    <w:rsid w:val="00AD01D5"/>
    <w:rsid w:val="00AD0219"/>
    <w:rsid w:val="00AD0224"/>
    <w:rsid w:val="00AD0261"/>
    <w:rsid w:val="00AD0264"/>
    <w:rsid w:val="00AD031C"/>
    <w:rsid w:val="00AD039F"/>
    <w:rsid w:val="00AD0431"/>
    <w:rsid w:val="00AD0547"/>
    <w:rsid w:val="00AD064F"/>
    <w:rsid w:val="00AD0670"/>
    <w:rsid w:val="00AD06DF"/>
    <w:rsid w:val="00AD0707"/>
    <w:rsid w:val="00AD072B"/>
    <w:rsid w:val="00AD0752"/>
    <w:rsid w:val="00AD076C"/>
    <w:rsid w:val="00AD09CC"/>
    <w:rsid w:val="00AD09EE"/>
    <w:rsid w:val="00AD0A92"/>
    <w:rsid w:val="00AD0AE8"/>
    <w:rsid w:val="00AD0B88"/>
    <w:rsid w:val="00AD0C96"/>
    <w:rsid w:val="00AD0CD9"/>
    <w:rsid w:val="00AD0D0B"/>
    <w:rsid w:val="00AD0D16"/>
    <w:rsid w:val="00AD0E8A"/>
    <w:rsid w:val="00AD1000"/>
    <w:rsid w:val="00AD1041"/>
    <w:rsid w:val="00AD1054"/>
    <w:rsid w:val="00AD1059"/>
    <w:rsid w:val="00AD1078"/>
    <w:rsid w:val="00AD10B8"/>
    <w:rsid w:val="00AD1120"/>
    <w:rsid w:val="00AD1217"/>
    <w:rsid w:val="00AD1364"/>
    <w:rsid w:val="00AD1370"/>
    <w:rsid w:val="00AD13F2"/>
    <w:rsid w:val="00AD1403"/>
    <w:rsid w:val="00AD142E"/>
    <w:rsid w:val="00AD1549"/>
    <w:rsid w:val="00AD1601"/>
    <w:rsid w:val="00AD1610"/>
    <w:rsid w:val="00AD1669"/>
    <w:rsid w:val="00AD170E"/>
    <w:rsid w:val="00AD1780"/>
    <w:rsid w:val="00AD17D1"/>
    <w:rsid w:val="00AD17FF"/>
    <w:rsid w:val="00AD1819"/>
    <w:rsid w:val="00AD181F"/>
    <w:rsid w:val="00AD1840"/>
    <w:rsid w:val="00AD1924"/>
    <w:rsid w:val="00AD1B69"/>
    <w:rsid w:val="00AD1B8E"/>
    <w:rsid w:val="00AD1C2C"/>
    <w:rsid w:val="00AD1D49"/>
    <w:rsid w:val="00AD1D86"/>
    <w:rsid w:val="00AD1DE6"/>
    <w:rsid w:val="00AD1DF9"/>
    <w:rsid w:val="00AD1E01"/>
    <w:rsid w:val="00AD1F0E"/>
    <w:rsid w:val="00AD1F86"/>
    <w:rsid w:val="00AD1FFB"/>
    <w:rsid w:val="00AD204F"/>
    <w:rsid w:val="00AD2051"/>
    <w:rsid w:val="00AD2114"/>
    <w:rsid w:val="00AD21F6"/>
    <w:rsid w:val="00AD22E5"/>
    <w:rsid w:val="00AD2395"/>
    <w:rsid w:val="00AD2413"/>
    <w:rsid w:val="00AD247E"/>
    <w:rsid w:val="00AD248C"/>
    <w:rsid w:val="00AD24F4"/>
    <w:rsid w:val="00AD2568"/>
    <w:rsid w:val="00AD25C8"/>
    <w:rsid w:val="00AD26AC"/>
    <w:rsid w:val="00AD2718"/>
    <w:rsid w:val="00AD273D"/>
    <w:rsid w:val="00AD276E"/>
    <w:rsid w:val="00AD27F5"/>
    <w:rsid w:val="00AD2A16"/>
    <w:rsid w:val="00AD2A1C"/>
    <w:rsid w:val="00AD2A73"/>
    <w:rsid w:val="00AD2AA2"/>
    <w:rsid w:val="00AD2B27"/>
    <w:rsid w:val="00AD2B70"/>
    <w:rsid w:val="00AD2B7D"/>
    <w:rsid w:val="00AD2B8D"/>
    <w:rsid w:val="00AD2C80"/>
    <w:rsid w:val="00AD2CD9"/>
    <w:rsid w:val="00AD2CDF"/>
    <w:rsid w:val="00AD2CF7"/>
    <w:rsid w:val="00AD2E46"/>
    <w:rsid w:val="00AD2E4A"/>
    <w:rsid w:val="00AD2EAF"/>
    <w:rsid w:val="00AD2ECC"/>
    <w:rsid w:val="00AD2F4F"/>
    <w:rsid w:val="00AD2F59"/>
    <w:rsid w:val="00AD2FBC"/>
    <w:rsid w:val="00AD2FCC"/>
    <w:rsid w:val="00AD3002"/>
    <w:rsid w:val="00AD309A"/>
    <w:rsid w:val="00AD3178"/>
    <w:rsid w:val="00AD329A"/>
    <w:rsid w:val="00AD32C6"/>
    <w:rsid w:val="00AD32D7"/>
    <w:rsid w:val="00AD35D6"/>
    <w:rsid w:val="00AD35FB"/>
    <w:rsid w:val="00AD3741"/>
    <w:rsid w:val="00AD379F"/>
    <w:rsid w:val="00AD37B9"/>
    <w:rsid w:val="00AD3A29"/>
    <w:rsid w:val="00AD3A58"/>
    <w:rsid w:val="00AD3AF4"/>
    <w:rsid w:val="00AD3B75"/>
    <w:rsid w:val="00AD3BCF"/>
    <w:rsid w:val="00AD3BED"/>
    <w:rsid w:val="00AD3C23"/>
    <w:rsid w:val="00AD3C3E"/>
    <w:rsid w:val="00AD3D00"/>
    <w:rsid w:val="00AD3D6D"/>
    <w:rsid w:val="00AD3D73"/>
    <w:rsid w:val="00AD3E75"/>
    <w:rsid w:val="00AD3E8D"/>
    <w:rsid w:val="00AD3EE9"/>
    <w:rsid w:val="00AD3F52"/>
    <w:rsid w:val="00AD3F72"/>
    <w:rsid w:val="00AD3FEB"/>
    <w:rsid w:val="00AD4025"/>
    <w:rsid w:val="00AD40D7"/>
    <w:rsid w:val="00AD4156"/>
    <w:rsid w:val="00AD4399"/>
    <w:rsid w:val="00AD4402"/>
    <w:rsid w:val="00AD440A"/>
    <w:rsid w:val="00AD4413"/>
    <w:rsid w:val="00AD4485"/>
    <w:rsid w:val="00AD45C0"/>
    <w:rsid w:val="00AD4667"/>
    <w:rsid w:val="00AD470E"/>
    <w:rsid w:val="00AD4732"/>
    <w:rsid w:val="00AD47C4"/>
    <w:rsid w:val="00AD47C6"/>
    <w:rsid w:val="00AD47F6"/>
    <w:rsid w:val="00AD481A"/>
    <w:rsid w:val="00AD4866"/>
    <w:rsid w:val="00AD4888"/>
    <w:rsid w:val="00AD4940"/>
    <w:rsid w:val="00AD4952"/>
    <w:rsid w:val="00AD4A08"/>
    <w:rsid w:val="00AD4A1E"/>
    <w:rsid w:val="00AD4A2C"/>
    <w:rsid w:val="00AD4A83"/>
    <w:rsid w:val="00AD4A9F"/>
    <w:rsid w:val="00AD4BAD"/>
    <w:rsid w:val="00AD4C21"/>
    <w:rsid w:val="00AD4C2D"/>
    <w:rsid w:val="00AD4C77"/>
    <w:rsid w:val="00AD4CAF"/>
    <w:rsid w:val="00AD4CB2"/>
    <w:rsid w:val="00AD4D8C"/>
    <w:rsid w:val="00AD4F65"/>
    <w:rsid w:val="00AD5077"/>
    <w:rsid w:val="00AD50A5"/>
    <w:rsid w:val="00AD5108"/>
    <w:rsid w:val="00AD534B"/>
    <w:rsid w:val="00AD5380"/>
    <w:rsid w:val="00AD539A"/>
    <w:rsid w:val="00AD55B1"/>
    <w:rsid w:val="00AD55BE"/>
    <w:rsid w:val="00AD5603"/>
    <w:rsid w:val="00AD5612"/>
    <w:rsid w:val="00AD561C"/>
    <w:rsid w:val="00AD565B"/>
    <w:rsid w:val="00AD5728"/>
    <w:rsid w:val="00AD5736"/>
    <w:rsid w:val="00AD579C"/>
    <w:rsid w:val="00AD57D2"/>
    <w:rsid w:val="00AD5807"/>
    <w:rsid w:val="00AD590B"/>
    <w:rsid w:val="00AD5972"/>
    <w:rsid w:val="00AD59A8"/>
    <w:rsid w:val="00AD59C9"/>
    <w:rsid w:val="00AD59CE"/>
    <w:rsid w:val="00AD5A12"/>
    <w:rsid w:val="00AD5A91"/>
    <w:rsid w:val="00AD5AB6"/>
    <w:rsid w:val="00AD5B49"/>
    <w:rsid w:val="00AD5B88"/>
    <w:rsid w:val="00AD5C18"/>
    <w:rsid w:val="00AD5D09"/>
    <w:rsid w:val="00AD5E8C"/>
    <w:rsid w:val="00AD607B"/>
    <w:rsid w:val="00AD6126"/>
    <w:rsid w:val="00AD6173"/>
    <w:rsid w:val="00AD6197"/>
    <w:rsid w:val="00AD6240"/>
    <w:rsid w:val="00AD6251"/>
    <w:rsid w:val="00AD6297"/>
    <w:rsid w:val="00AD62A6"/>
    <w:rsid w:val="00AD62B4"/>
    <w:rsid w:val="00AD630C"/>
    <w:rsid w:val="00AD6353"/>
    <w:rsid w:val="00AD6439"/>
    <w:rsid w:val="00AD66CC"/>
    <w:rsid w:val="00AD66EA"/>
    <w:rsid w:val="00AD6764"/>
    <w:rsid w:val="00AD68CC"/>
    <w:rsid w:val="00AD68F0"/>
    <w:rsid w:val="00AD6968"/>
    <w:rsid w:val="00AD69BE"/>
    <w:rsid w:val="00AD6A1C"/>
    <w:rsid w:val="00AD6A3C"/>
    <w:rsid w:val="00AD6A91"/>
    <w:rsid w:val="00AD6C7D"/>
    <w:rsid w:val="00AD6E50"/>
    <w:rsid w:val="00AD6E65"/>
    <w:rsid w:val="00AD6EED"/>
    <w:rsid w:val="00AD6EFB"/>
    <w:rsid w:val="00AD6FDF"/>
    <w:rsid w:val="00AD7079"/>
    <w:rsid w:val="00AD7223"/>
    <w:rsid w:val="00AD7252"/>
    <w:rsid w:val="00AD7293"/>
    <w:rsid w:val="00AD7387"/>
    <w:rsid w:val="00AD73D4"/>
    <w:rsid w:val="00AD7466"/>
    <w:rsid w:val="00AD7523"/>
    <w:rsid w:val="00AD75B4"/>
    <w:rsid w:val="00AD75B5"/>
    <w:rsid w:val="00AD75C6"/>
    <w:rsid w:val="00AD7615"/>
    <w:rsid w:val="00AD76C4"/>
    <w:rsid w:val="00AD76E8"/>
    <w:rsid w:val="00AD7854"/>
    <w:rsid w:val="00AD78B6"/>
    <w:rsid w:val="00AD78DB"/>
    <w:rsid w:val="00AD7915"/>
    <w:rsid w:val="00AD7997"/>
    <w:rsid w:val="00AD79C7"/>
    <w:rsid w:val="00AD7AD9"/>
    <w:rsid w:val="00AD7B36"/>
    <w:rsid w:val="00AD7B4E"/>
    <w:rsid w:val="00AD7BA0"/>
    <w:rsid w:val="00AD7C0C"/>
    <w:rsid w:val="00AD7C26"/>
    <w:rsid w:val="00AD7CDA"/>
    <w:rsid w:val="00AD7D4B"/>
    <w:rsid w:val="00AD7D50"/>
    <w:rsid w:val="00AD7D96"/>
    <w:rsid w:val="00AD7D9D"/>
    <w:rsid w:val="00AD7DE2"/>
    <w:rsid w:val="00AD7DF3"/>
    <w:rsid w:val="00AD7E27"/>
    <w:rsid w:val="00AD7F35"/>
    <w:rsid w:val="00AD7F5E"/>
    <w:rsid w:val="00AD7F7A"/>
    <w:rsid w:val="00AD7FC1"/>
    <w:rsid w:val="00AE009A"/>
    <w:rsid w:val="00AE00D9"/>
    <w:rsid w:val="00AE0130"/>
    <w:rsid w:val="00AE0216"/>
    <w:rsid w:val="00AE03B5"/>
    <w:rsid w:val="00AE03D3"/>
    <w:rsid w:val="00AE04B6"/>
    <w:rsid w:val="00AE057B"/>
    <w:rsid w:val="00AE0654"/>
    <w:rsid w:val="00AE06CE"/>
    <w:rsid w:val="00AE0783"/>
    <w:rsid w:val="00AE080F"/>
    <w:rsid w:val="00AE098A"/>
    <w:rsid w:val="00AE0A44"/>
    <w:rsid w:val="00AE0A4D"/>
    <w:rsid w:val="00AE0BB7"/>
    <w:rsid w:val="00AE0C82"/>
    <w:rsid w:val="00AE0CB0"/>
    <w:rsid w:val="00AE0D08"/>
    <w:rsid w:val="00AE0DB6"/>
    <w:rsid w:val="00AE0F98"/>
    <w:rsid w:val="00AE0FC0"/>
    <w:rsid w:val="00AE1043"/>
    <w:rsid w:val="00AE1066"/>
    <w:rsid w:val="00AE108F"/>
    <w:rsid w:val="00AE1156"/>
    <w:rsid w:val="00AE118A"/>
    <w:rsid w:val="00AE11EB"/>
    <w:rsid w:val="00AE1257"/>
    <w:rsid w:val="00AE1365"/>
    <w:rsid w:val="00AE1389"/>
    <w:rsid w:val="00AE148A"/>
    <w:rsid w:val="00AE14F3"/>
    <w:rsid w:val="00AE1520"/>
    <w:rsid w:val="00AE1575"/>
    <w:rsid w:val="00AE159B"/>
    <w:rsid w:val="00AE1701"/>
    <w:rsid w:val="00AE17B8"/>
    <w:rsid w:val="00AE1856"/>
    <w:rsid w:val="00AE18D1"/>
    <w:rsid w:val="00AE18DB"/>
    <w:rsid w:val="00AE18F5"/>
    <w:rsid w:val="00AE194C"/>
    <w:rsid w:val="00AE194E"/>
    <w:rsid w:val="00AE1A54"/>
    <w:rsid w:val="00AE1B04"/>
    <w:rsid w:val="00AE1B92"/>
    <w:rsid w:val="00AE1C70"/>
    <w:rsid w:val="00AE1D49"/>
    <w:rsid w:val="00AE1D77"/>
    <w:rsid w:val="00AE1D97"/>
    <w:rsid w:val="00AE1E30"/>
    <w:rsid w:val="00AE1E89"/>
    <w:rsid w:val="00AE1F7C"/>
    <w:rsid w:val="00AE2016"/>
    <w:rsid w:val="00AE2068"/>
    <w:rsid w:val="00AE2086"/>
    <w:rsid w:val="00AE208E"/>
    <w:rsid w:val="00AE21D9"/>
    <w:rsid w:val="00AE21DA"/>
    <w:rsid w:val="00AE2203"/>
    <w:rsid w:val="00AE2248"/>
    <w:rsid w:val="00AE227F"/>
    <w:rsid w:val="00AE2284"/>
    <w:rsid w:val="00AE22BA"/>
    <w:rsid w:val="00AE22E7"/>
    <w:rsid w:val="00AE2326"/>
    <w:rsid w:val="00AE2341"/>
    <w:rsid w:val="00AE2353"/>
    <w:rsid w:val="00AE2398"/>
    <w:rsid w:val="00AE247F"/>
    <w:rsid w:val="00AE24E4"/>
    <w:rsid w:val="00AE2539"/>
    <w:rsid w:val="00AE25F1"/>
    <w:rsid w:val="00AE2628"/>
    <w:rsid w:val="00AE262E"/>
    <w:rsid w:val="00AE26DE"/>
    <w:rsid w:val="00AE2714"/>
    <w:rsid w:val="00AE272F"/>
    <w:rsid w:val="00AE2784"/>
    <w:rsid w:val="00AE27A7"/>
    <w:rsid w:val="00AE27B8"/>
    <w:rsid w:val="00AE27BD"/>
    <w:rsid w:val="00AE284C"/>
    <w:rsid w:val="00AE2867"/>
    <w:rsid w:val="00AE28A3"/>
    <w:rsid w:val="00AE28BA"/>
    <w:rsid w:val="00AE29B3"/>
    <w:rsid w:val="00AE29BD"/>
    <w:rsid w:val="00AE29C2"/>
    <w:rsid w:val="00AE29C7"/>
    <w:rsid w:val="00AE2B6C"/>
    <w:rsid w:val="00AE2B94"/>
    <w:rsid w:val="00AE2BF4"/>
    <w:rsid w:val="00AE2BFA"/>
    <w:rsid w:val="00AE2C68"/>
    <w:rsid w:val="00AE2D0C"/>
    <w:rsid w:val="00AE2DD3"/>
    <w:rsid w:val="00AE2E3D"/>
    <w:rsid w:val="00AE2E94"/>
    <w:rsid w:val="00AE2EA8"/>
    <w:rsid w:val="00AE2F6F"/>
    <w:rsid w:val="00AE2FBA"/>
    <w:rsid w:val="00AE306C"/>
    <w:rsid w:val="00AE316F"/>
    <w:rsid w:val="00AE31D7"/>
    <w:rsid w:val="00AE324D"/>
    <w:rsid w:val="00AE3254"/>
    <w:rsid w:val="00AE32A2"/>
    <w:rsid w:val="00AE32AC"/>
    <w:rsid w:val="00AE3350"/>
    <w:rsid w:val="00AE338F"/>
    <w:rsid w:val="00AE3431"/>
    <w:rsid w:val="00AE346C"/>
    <w:rsid w:val="00AE3482"/>
    <w:rsid w:val="00AE350C"/>
    <w:rsid w:val="00AE3578"/>
    <w:rsid w:val="00AE35C8"/>
    <w:rsid w:val="00AE35D3"/>
    <w:rsid w:val="00AE35E0"/>
    <w:rsid w:val="00AE36AA"/>
    <w:rsid w:val="00AE36E7"/>
    <w:rsid w:val="00AE36F3"/>
    <w:rsid w:val="00AE3719"/>
    <w:rsid w:val="00AE3730"/>
    <w:rsid w:val="00AE37E3"/>
    <w:rsid w:val="00AE3845"/>
    <w:rsid w:val="00AE38CB"/>
    <w:rsid w:val="00AE3941"/>
    <w:rsid w:val="00AE3972"/>
    <w:rsid w:val="00AE3A7E"/>
    <w:rsid w:val="00AE3BE0"/>
    <w:rsid w:val="00AE3C1B"/>
    <w:rsid w:val="00AE3C22"/>
    <w:rsid w:val="00AE3C48"/>
    <w:rsid w:val="00AE3C9D"/>
    <w:rsid w:val="00AE3CB2"/>
    <w:rsid w:val="00AE3CCB"/>
    <w:rsid w:val="00AE3D6F"/>
    <w:rsid w:val="00AE3E0C"/>
    <w:rsid w:val="00AE3E68"/>
    <w:rsid w:val="00AE3E9D"/>
    <w:rsid w:val="00AE3EAA"/>
    <w:rsid w:val="00AE40A6"/>
    <w:rsid w:val="00AE40AB"/>
    <w:rsid w:val="00AE42F9"/>
    <w:rsid w:val="00AE4352"/>
    <w:rsid w:val="00AE4382"/>
    <w:rsid w:val="00AE43D5"/>
    <w:rsid w:val="00AE43ED"/>
    <w:rsid w:val="00AE44F3"/>
    <w:rsid w:val="00AE4525"/>
    <w:rsid w:val="00AE46CB"/>
    <w:rsid w:val="00AE46EF"/>
    <w:rsid w:val="00AE46F8"/>
    <w:rsid w:val="00AE4751"/>
    <w:rsid w:val="00AE475C"/>
    <w:rsid w:val="00AE4762"/>
    <w:rsid w:val="00AE476D"/>
    <w:rsid w:val="00AE47C8"/>
    <w:rsid w:val="00AE47D0"/>
    <w:rsid w:val="00AE47D3"/>
    <w:rsid w:val="00AE480D"/>
    <w:rsid w:val="00AE4814"/>
    <w:rsid w:val="00AE4974"/>
    <w:rsid w:val="00AE49C0"/>
    <w:rsid w:val="00AE4A24"/>
    <w:rsid w:val="00AE4A2F"/>
    <w:rsid w:val="00AE4A5F"/>
    <w:rsid w:val="00AE4AD7"/>
    <w:rsid w:val="00AE4B04"/>
    <w:rsid w:val="00AE4B6E"/>
    <w:rsid w:val="00AE4B6F"/>
    <w:rsid w:val="00AE4C6B"/>
    <w:rsid w:val="00AE4D90"/>
    <w:rsid w:val="00AE4D91"/>
    <w:rsid w:val="00AE4DF0"/>
    <w:rsid w:val="00AE4E08"/>
    <w:rsid w:val="00AE4E1F"/>
    <w:rsid w:val="00AE4E2B"/>
    <w:rsid w:val="00AE4E4E"/>
    <w:rsid w:val="00AE4E7F"/>
    <w:rsid w:val="00AE4F40"/>
    <w:rsid w:val="00AE4F67"/>
    <w:rsid w:val="00AE4FC3"/>
    <w:rsid w:val="00AE50A0"/>
    <w:rsid w:val="00AE50B3"/>
    <w:rsid w:val="00AE511D"/>
    <w:rsid w:val="00AE5145"/>
    <w:rsid w:val="00AE52B4"/>
    <w:rsid w:val="00AE52EC"/>
    <w:rsid w:val="00AE537B"/>
    <w:rsid w:val="00AE5386"/>
    <w:rsid w:val="00AE539B"/>
    <w:rsid w:val="00AE53F0"/>
    <w:rsid w:val="00AE54E0"/>
    <w:rsid w:val="00AE551C"/>
    <w:rsid w:val="00AE5672"/>
    <w:rsid w:val="00AE5945"/>
    <w:rsid w:val="00AE594C"/>
    <w:rsid w:val="00AE59A4"/>
    <w:rsid w:val="00AE5AC7"/>
    <w:rsid w:val="00AE5B8C"/>
    <w:rsid w:val="00AE5BB9"/>
    <w:rsid w:val="00AE5C78"/>
    <w:rsid w:val="00AE5D9D"/>
    <w:rsid w:val="00AE5E37"/>
    <w:rsid w:val="00AE5E47"/>
    <w:rsid w:val="00AE5E55"/>
    <w:rsid w:val="00AE5EAD"/>
    <w:rsid w:val="00AE5FCA"/>
    <w:rsid w:val="00AE6005"/>
    <w:rsid w:val="00AE6111"/>
    <w:rsid w:val="00AE618D"/>
    <w:rsid w:val="00AE61B5"/>
    <w:rsid w:val="00AE6260"/>
    <w:rsid w:val="00AE626A"/>
    <w:rsid w:val="00AE62CF"/>
    <w:rsid w:val="00AE6433"/>
    <w:rsid w:val="00AE6445"/>
    <w:rsid w:val="00AE653E"/>
    <w:rsid w:val="00AE6557"/>
    <w:rsid w:val="00AE6562"/>
    <w:rsid w:val="00AE6599"/>
    <w:rsid w:val="00AE6697"/>
    <w:rsid w:val="00AE6701"/>
    <w:rsid w:val="00AE6719"/>
    <w:rsid w:val="00AE673F"/>
    <w:rsid w:val="00AE67FA"/>
    <w:rsid w:val="00AE6808"/>
    <w:rsid w:val="00AE6820"/>
    <w:rsid w:val="00AE682B"/>
    <w:rsid w:val="00AE6862"/>
    <w:rsid w:val="00AE6898"/>
    <w:rsid w:val="00AE68FE"/>
    <w:rsid w:val="00AE6924"/>
    <w:rsid w:val="00AE69B6"/>
    <w:rsid w:val="00AE69BE"/>
    <w:rsid w:val="00AE69D8"/>
    <w:rsid w:val="00AE6A37"/>
    <w:rsid w:val="00AE6A78"/>
    <w:rsid w:val="00AE6AF0"/>
    <w:rsid w:val="00AE6AFC"/>
    <w:rsid w:val="00AE6B0D"/>
    <w:rsid w:val="00AE6B2B"/>
    <w:rsid w:val="00AE6BEA"/>
    <w:rsid w:val="00AE6C5D"/>
    <w:rsid w:val="00AE6CC4"/>
    <w:rsid w:val="00AE6D03"/>
    <w:rsid w:val="00AE6DA2"/>
    <w:rsid w:val="00AE6E84"/>
    <w:rsid w:val="00AE70B6"/>
    <w:rsid w:val="00AE71A0"/>
    <w:rsid w:val="00AE7268"/>
    <w:rsid w:val="00AE7322"/>
    <w:rsid w:val="00AE74D8"/>
    <w:rsid w:val="00AE75A5"/>
    <w:rsid w:val="00AE75EC"/>
    <w:rsid w:val="00AE763A"/>
    <w:rsid w:val="00AE76E7"/>
    <w:rsid w:val="00AE7753"/>
    <w:rsid w:val="00AE77A2"/>
    <w:rsid w:val="00AE7884"/>
    <w:rsid w:val="00AE7897"/>
    <w:rsid w:val="00AE798D"/>
    <w:rsid w:val="00AE79C9"/>
    <w:rsid w:val="00AE7A31"/>
    <w:rsid w:val="00AE7B0D"/>
    <w:rsid w:val="00AE7BE9"/>
    <w:rsid w:val="00AE7C34"/>
    <w:rsid w:val="00AE7C94"/>
    <w:rsid w:val="00AE7CCB"/>
    <w:rsid w:val="00AE7D96"/>
    <w:rsid w:val="00AE7DB5"/>
    <w:rsid w:val="00AE7E20"/>
    <w:rsid w:val="00AE7F16"/>
    <w:rsid w:val="00AF0050"/>
    <w:rsid w:val="00AF0058"/>
    <w:rsid w:val="00AF0201"/>
    <w:rsid w:val="00AF020F"/>
    <w:rsid w:val="00AF02EE"/>
    <w:rsid w:val="00AF031E"/>
    <w:rsid w:val="00AF03BA"/>
    <w:rsid w:val="00AF0404"/>
    <w:rsid w:val="00AF049C"/>
    <w:rsid w:val="00AF0513"/>
    <w:rsid w:val="00AF0564"/>
    <w:rsid w:val="00AF058A"/>
    <w:rsid w:val="00AF068B"/>
    <w:rsid w:val="00AF07A7"/>
    <w:rsid w:val="00AF07BD"/>
    <w:rsid w:val="00AF07F5"/>
    <w:rsid w:val="00AF08FD"/>
    <w:rsid w:val="00AF0923"/>
    <w:rsid w:val="00AF0A7A"/>
    <w:rsid w:val="00AF0CD4"/>
    <w:rsid w:val="00AF0D55"/>
    <w:rsid w:val="00AF0D89"/>
    <w:rsid w:val="00AF0E15"/>
    <w:rsid w:val="00AF0E9D"/>
    <w:rsid w:val="00AF0EDF"/>
    <w:rsid w:val="00AF10A7"/>
    <w:rsid w:val="00AF10E2"/>
    <w:rsid w:val="00AF1139"/>
    <w:rsid w:val="00AF113E"/>
    <w:rsid w:val="00AF114F"/>
    <w:rsid w:val="00AF11EB"/>
    <w:rsid w:val="00AF11FB"/>
    <w:rsid w:val="00AF1281"/>
    <w:rsid w:val="00AF12B4"/>
    <w:rsid w:val="00AF12DB"/>
    <w:rsid w:val="00AF1362"/>
    <w:rsid w:val="00AF13DF"/>
    <w:rsid w:val="00AF14BB"/>
    <w:rsid w:val="00AF15BC"/>
    <w:rsid w:val="00AF168D"/>
    <w:rsid w:val="00AF1690"/>
    <w:rsid w:val="00AF1723"/>
    <w:rsid w:val="00AF1737"/>
    <w:rsid w:val="00AF1786"/>
    <w:rsid w:val="00AF17C1"/>
    <w:rsid w:val="00AF18C2"/>
    <w:rsid w:val="00AF19D8"/>
    <w:rsid w:val="00AF1A08"/>
    <w:rsid w:val="00AF1A21"/>
    <w:rsid w:val="00AF1AC2"/>
    <w:rsid w:val="00AF1B55"/>
    <w:rsid w:val="00AF1B5C"/>
    <w:rsid w:val="00AF1BA2"/>
    <w:rsid w:val="00AF1C83"/>
    <w:rsid w:val="00AF1CDD"/>
    <w:rsid w:val="00AF1D9D"/>
    <w:rsid w:val="00AF1DE5"/>
    <w:rsid w:val="00AF1EB3"/>
    <w:rsid w:val="00AF1ECE"/>
    <w:rsid w:val="00AF2004"/>
    <w:rsid w:val="00AF214C"/>
    <w:rsid w:val="00AF215F"/>
    <w:rsid w:val="00AF2165"/>
    <w:rsid w:val="00AF21A2"/>
    <w:rsid w:val="00AF21D6"/>
    <w:rsid w:val="00AF23BB"/>
    <w:rsid w:val="00AF2554"/>
    <w:rsid w:val="00AF2641"/>
    <w:rsid w:val="00AF27A1"/>
    <w:rsid w:val="00AF27FB"/>
    <w:rsid w:val="00AF2814"/>
    <w:rsid w:val="00AF281A"/>
    <w:rsid w:val="00AF281B"/>
    <w:rsid w:val="00AF28A1"/>
    <w:rsid w:val="00AF28FD"/>
    <w:rsid w:val="00AF2965"/>
    <w:rsid w:val="00AF297C"/>
    <w:rsid w:val="00AF29A3"/>
    <w:rsid w:val="00AF29EE"/>
    <w:rsid w:val="00AF2A43"/>
    <w:rsid w:val="00AF2A48"/>
    <w:rsid w:val="00AF2C2C"/>
    <w:rsid w:val="00AF2CC2"/>
    <w:rsid w:val="00AF2CF1"/>
    <w:rsid w:val="00AF2E77"/>
    <w:rsid w:val="00AF2EB6"/>
    <w:rsid w:val="00AF2F01"/>
    <w:rsid w:val="00AF2F0C"/>
    <w:rsid w:val="00AF2F10"/>
    <w:rsid w:val="00AF2FCF"/>
    <w:rsid w:val="00AF3042"/>
    <w:rsid w:val="00AF3178"/>
    <w:rsid w:val="00AF3207"/>
    <w:rsid w:val="00AF3223"/>
    <w:rsid w:val="00AF3365"/>
    <w:rsid w:val="00AF3386"/>
    <w:rsid w:val="00AF33B5"/>
    <w:rsid w:val="00AF33D4"/>
    <w:rsid w:val="00AF341D"/>
    <w:rsid w:val="00AF3478"/>
    <w:rsid w:val="00AF348F"/>
    <w:rsid w:val="00AF3495"/>
    <w:rsid w:val="00AF359B"/>
    <w:rsid w:val="00AF3611"/>
    <w:rsid w:val="00AF3659"/>
    <w:rsid w:val="00AF3740"/>
    <w:rsid w:val="00AF3817"/>
    <w:rsid w:val="00AF3887"/>
    <w:rsid w:val="00AF3AAD"/>
    <w:rsid w:val="00AF3AAF"/>
    <w:rsid w:val="00AF3B48"/>
    <w:rsid w:val="00AF3B4A"/>
    <w:rsid w:val="00AF3B4F"/>
    <w:rsid w:val="00AF3C52"/>
    <w:rsid w:val="00AF3D8A"/>
    <w:rsid w:val="00AF3EAE"/>
    <w:rsid w:val="00AF3F18"/>
    <w:rsid w:val="00AF3F60"/>
    <w:rsid w:val="00AF3F80"/>
    <w:rsid w:val="00AF3FAA"/>
    <w:rsid w:val="00AF400E"/>
    <w:rsid w:val="00AF4043"/>
    <w:rsid w:val="00AF4101"/>
    <w:rsid w:val="00AF426F"/>
    <w:rsid w:val="00AF4358"/>
    <w:rsid w:val="00AF43A9"/>
    <w:rsid w:val="00AF44D7"/>
    <w:rsid w:val="00AF4543"/>
    <w:rsid w:val="00AF45DB"/>
    <w:rsid w:val="00AF45F4"/>
    <w:rsid w:val="00AF45FC"/>
    <w:rsid w:val="00AF463F"/>
    <w:rsid w:val="00AF468E"/>
    <w:rsid w:val="00AF4726"/>
    <w:rsid w:val="00AF482A"/>
    <w:rsid w:val="00AF4858"/>
    <w:rsid w:val="00AF4980"/>
    <w:rsid w:val="00AF49B5"/>
    <w:rsid w:val="00AF4A50"/>
    <w:rsid w:val="00AF4AAA"/>
    <w:rsid w:val="00AF4AF4"/>
    <w:rsid w:val="00AF4B2F"/>
    <w:rsid w:val="00AF4B4E"/>
    <w:rsid w:val="00AF4BA9"/>
    <w:rsid w:val="00AF4BBF"/>
    <w:rsid w:val="00AF4C38"/>
    <w:rsid w:val="00AF4D0B"/>
    <w:rsid w:val="00AF4D84"/>
    <w:rsid w:val="00AF4D98"/>
    <w:rsid w:val="00AF4E01"/>
    <w:rsid w:val="00AF4E1D"/>
    <w:rsid w:val="00AF4F32"/>
    <w:rsid w:val="00AF4F5C"/>
    <w:rsid w:val="00AF5124"/>
    <w:rsid w:val="00AF51A6"/>
    <w:rsid w:val="00AF543F"/>
    <w:rsid w:val="00AF5518"/>
    <w:rsid w:val="00AF554B"/>
    <w:rsid w:val="00AF5590"/>
    <w:rsid w:val="00AF571C"/>
    <w:rsid w:val="00AF5847"/>
    <w:rsid w:val="00AF589B"/>
    <w:rsid w:val="00AF58BF"/>
    <w:rsid w:val="00AF58D2"/>
    <w:rsid w:val="00AF5A10"/>
    <w:rsid w:val="00AF5A8E"/>
    <w:rsid w:val="00AF5ACE"/>
    <w:rsid w:val="00AF5B3E"/>
    <w:rsid w:val="00AF5BB0"/>
    <w:rsid w:val="00AF5BD6"/>
    <w:rsid w:val="00AF5C60"/>
    <w:rsid w:val="00AF5C63"/>
    <w:rsid w:val="00AF5D32"/>
    <w:rsid w:val="00AF5D5C"/>
    <w:rsid w:val="00AF5E38"/>
    <w:rsid w:val="00AF5F0E"/>
    <w:rsid w:val="00AF5F5C"/>
    <w:rsid w:val="00AF5FCD"/>
    <w:rsid w:val="00AF617B"/>
    <w:rsid w:val="00AF61A8"/>
    <w:rsid w:val="00AF6206"/>
    <w:rsid w:val="00AF6207"/>
    <w:rsid w:val="00AF62A6"/>
    <w:rsid w:val="00AF62B9"/>
    <w:rsid w:val="00AF62C0"/>
    <w:rsid w:val="00AF62E0"/>
    <w:rsid w:val="00AF62E3"/>
    <w:rsid w:val="00AF62EA"/>
    <w:rsid w:val="00AF6327"/>
    <w:rsid w:val="00AF634C"/>
    <w:rsid w:val="00AF635A"/>
    <w:rsid w:val="00AF638F"/>
    <w:rsid w:val="00AF6394"/>
    <w:rsid w:val="00AF6430"/>
    <w:rsid w:val="00AF6784"/>
    <w:rsid w:val="00AF6786"/>
    <w:rsid w:val="00AF67C7"/>
    <w:rsid w:val="00AF6831"/>
    <w:rsid w:val="00AF6938"/>
    <w:rsid w:val="00AF693C"/>
    <w:rsid w:val="00AF6979"/>
    <w:rsid w:val="00AF698B"/>
    <w:rsid w:val="00AF69FE"/>
    <w:rsid w:val="00AF6A50"/>
    <w:rsid w:val="00AF6AB1"/>
    <w:rsid w:val="00AF6ADB"/>
    <w:rsid w:val="00AF6B54"/>
    <w:rsid w:val="00AF6C45"/>
    <w:rsid w:val="00AF6CDC"/>
    <w:rsid w:val="00AF6CDD"/>
    <w:rsid w:val="00AF6D4E"/>
    <w:rsid w:val="00AF6FA9"/>
    <w:rsid w:val="00AF7009"/>
    <w:rsid w:val="00AF700C"/>
    <w:rsid w:val="00AF705C"/>
    <w:rsid w:val="00AF707C"/>
    <w:rsid w:val="00AF70A1"/>
    <w:rsid w:val="00AF70F5"/>
    <w:rsid w:val="00AF7167"/>
    <w:rsid w:val="00AF71B6"/>
    <w:rsid w:val="00AF7350"/>
    <w:rsid w:val="00AF7423"/>
    <w:rsid w:val="00AF7525"/>
    <w:rsid w:val="00AF7596"/>
    <w:rsid w:val="00AF75AD"/>
    <w:rsid w:val="00AF7684"/>
    <w:rsid w:val="00AF7738"/>
    <w:rsid w:val="00AF7821"/>
    <w:rsid w:val="00AF78BE"/>
    <w:rsid w:val="00AF798E"/>
    <w:rsid w:val="00AF7990"/>
    <w:rsid w:val="00AF79A9"/>
    <w:rsid w:val="00AF79AA"/>
    <w:rsid w:val="00AF79BA"/>
    <w:rsid w:val="00AF7AA5"/>
    <w:rsid w:val="00AF7AAC"/>
    <w:rsid w:val="00AF7ADF"/>
    <w:rsid w:val="00AF7C7C"/>
    <w:rsid w:val="00AF7D1A"/>
    <w:rsid w:val="00AF7D69"/>
    <w:rsid w:val="00AF7DE5"/>
    <w:rsid w:val="00AF7EA3"/>
    <w:rsid w:val="00AF7F15"/>
    <w:rsid w:val="00AF7FA0"/>
    <w:rsid w:val="00AF7FDE"/>
    <w:rsid w:val="00B000C0"/>
    <w:rsid w:val="00B000C2"/>
    <w:rsid w:val="00B00133"/>
    <w:rsid w:val="00B002B3"/>
    <w:rsid w:val="00B002BD"/>
    <w:rsid w:val="00B002DB"/>
    <w:rsid w:val="00B00309"/>
    <w:rsid w:val="00B003A7"/>
    <w:rsid w:val="00B004F2"/>
    <w:rsid w:val="00B004FE"/>
    <w:rsid w:val="00B00661"/>
    <w:rsid w:val="00B00668"/>
    <w:rsid w:val="00B00687"/>
    <w:rsid w:val="00B0069A"/>
    <w:rsid w:val="00B006A8"/>
    <w:rsid w:val="00B006D1"/>
    <w:rsid w:val="00B006D2"/>
    <w:rsid w:val="00B006FA"/>
    <w:rsid w:val="00B00724"/>
    <w:rsid w:val="00B00725"/>
    <w:rsid w:val="00B00748"/>
    <w:rsid w:val="00B00877"/>
    <w:rsid w:val="00B0098D"/>
    <w:rsid w:val="00B009CA"/>
    <w:rsid w:val="00B00A2B"/>
    <w:rsid w:val="00B00A36"/>
    <w:rsid w:val="00B00A7C"/>
    <w:rsid w:val="00B00AA9"/>
    <w:rsid w:val="00B00B0F"/>
    <w:rsid w:val="00B00B1C"/>
    <w:rsid w:val="00B00BAA"/>
    <w:rsid w:val="00B00BC0"/>
    <w:rsid w:val="00B00C37"/>
    <w:rsid w:val="00B00C86"/>
    <w:rsid w:val="00B00DC0"/>
    <w:rsid w:val="00B00DF8"/>
    <w:rsid w:val="00B00EC7"/>
    <w:rsid w:val="00B0108F"/>
    <w:rsid w:val="00B010F6"/>
    <w:rsid w:val="00B0113D"/>
    <w:rsid w:val="00B0113E"/>
    <w:rsid w:val="00B01187"/>
    <w:rsid w:val="00B01217"/>
    <w:rsid w:val="00B01238"/>
    <w:rsid w:val="00B01296"/>
    <w:rsid w:val="00B012E3"/>
    <w:rsid w:val="00B013BE"/>
    <w:rsid w:val="00B01489"/>
    <w:rsid w:val="00B014D1"/>
    <w:rsid w:val="00B014F7"/>
    <w:rsid w:val="00B01543"/>
    <w:rsid w:val="00B015A9"/>
    <w:rsid w:val="00B015B7"/>
    <w:rsid w:val="00B01694"/>
    <w:rsid w:val="00B01710"/>
    <w:rsid w:val="00B01784"/>
    <w:rsid w:val="00B017CE"/>
    <w:rsid w:val="00B017E4"/>
    <w:rsid w:val="00B01814"/>
    <w:rsid w:val="00B01898"/>
    <w:rsid w:val="00B018B2"/>
    <w:rsid w:val="00B0190A"/>
    <w:rsid w:val="00B019B3"/>
    <w:rsid w:val="00B01A0A"/>
    <w:rsid w:val="00B01D92"/>
    <w:rsid w:val="00B01D99"/>
    <w:rsid w:val="00B01D9B"/>
    <w:rsid w:val="00B01DB0"/>
    <w:rsid w:val="00B01DF8"/>
    <w:rsid w:val="00B01EE3"/>
    <w:rsid w:val="00B01FD6"/>
    <w:rsid w:val="00B01FE7"/>
    <w:rsid w:val="00B02035"/>
    <w:rsid w:val="00B020F7"/>
    <w:rsid w:val="00B02125"/>
    <w:rsid w:val="00B021B6"/>
    <w:rsid w:val="00B02343"/>
    <w:rsid w:val="00B0234B"/>
    <w:rsid w:val="00B02357"/>
    <w:rsid w:val="00B0237D"/>
    <w:rsid w:val="00B0242C"/>
    <w:rsid w:val="00B024A7"/>
    <w:rsid w:val="00B024E9"/>
    <w:rsid w:val="00B0256E"/>
    <w:rsid w:val="00B02572"/>
    <w:rsid w:val="00B025B4"/>
    <w:rsid w:val="00B025EF"/>
    <w:rsid w:val="00B02834"/>
    <w:rsid w:val="00B02921"/>
    <w:rsid w:val="00B02AD3"/>
    <w:rsid w:val="00B02B61"/>
    <w:rsid w:val="00B02BA4"/>
    <w:rsid w:val="00B02C24"/>
    <w:rsid w:val="00B02DE5"/>
    <w:rsid w:val="00B02E19"/>
    <w:rsid w:val="00B02F14"/>
    <w:rsid w:val="00B02F7B"/>
    <w:rsid w:val="00B03021"/>
    <w:rsid w:val="00B03088"/>
    <w:rsid w:val="00B030E8"/>
    <w:rsid w:val="00B03152"/>
    <w:rsid w:val="00B031AA"/>
    <w:rsid w:val="00B03263"/>
    <w:rsid w:val="00B0329E"/>
    <w:rsid w:val="00B032DE"/>
    <w:rsid w:val="00B03383"/>
    <w:rsid w:val="00B033BD"/>
    <w:rsid w:val="00B033CE"/>
    <w:rsid w:val="00B03454"/>
    <w:rsid w:val="00B034EA"/>
    <w:rsid w:val="00B03531"/>
    <w:rsid w:val="00B0358F"/>
    <w:rsid w:val="00B035A8"/>
    <w:rsid w:val="00B035D4"/>
    <w:rsid w:val="00B035FB"/>
    <w:rsid w:val="00B03626"/>
    <w:rsid w:val="00B0362A"/>
    <w:rsid w:val="00B036BA"/>
    <w:rsid w:val="00B03765"/>
    <w:rsid w:val="00B03777"/>
    <w:rsid w:val="00B03833"/>
    <w:rsid w:val="00B03837"/>
    <w:rsid w:val="00B038BE"/>
    <w:rsid w:val="00B03906"/>
    <w:rsid w:val="00B0398A"/>
    <w:rsid w:val="00B03B0D"/>
    <w:rsid w:val="00B03B88"/>
    <w:rsid w:val="00B03C7D"/>
    <w:rsid w:val="00B03CA7"/>
    <w:rsid w:val="00B03CA9"/>
    <w:rsid w:val="00B03D69"/>
    <w:rsid w:val="00B03D6E"/>
    <w:rsid w:val="00B03DEF"/>
    <w:rsid w:val="00B03E25"/>
    <w:rsid w:val="00B03E72"/>
    <w:rsid w:val="00B03E94"/>
    <w:rsid w:val="00B03F00"/>
    <w:rsid w:val="00B03F20"/>
    <w:rsid w:val="00B03FBD"/>
    <w:rsid w:val="00B040CE"/>
    <w:rsid w:val="00B0416E"/>
    <w:rsid w:val="00B04230"/>
    <w:rsid w:val="00B042D2"/>
    <w:rsid w:val="00B04315"/>
    <w:rsid w:val="00B04402"/>
    <w:rsid w:val="00B04410"/>
    <w:rsid w:val="00B04468"/>
    <w:rsid w:val="00B044CB"/>
    <w:rsid w:val="00B0450A"/>
    <w:rsid w:val="00B04565"/>
    <w:rsid w:val="00B045DC"/>
    <w:rsid w:val="00B04662"/>
    <w:rsid w:val="00B04671"/>
    <w:rsid w:val="00B0469B"/>
    <w:rsid w:val="00B046F2"/>
    <w:rsid w:val="00B04719"/>
    <w:rsid w:val="00B04745"/>
    <w:rsid w:val="00B0487E"/>
    <w:rsid w:val="00B04958"/>
    <w:rsid w:val="00B04988"/>
    <w:rsid w:val="00B04994"/>
    <w:rsid w:val="00B049EB"/>
    <w:rsid w:val="00B04A65"/>
    <w:rsid w:val="00B04B81"/>
    <w:rsid w:val="00B04B93"/>
    <w:rsid w:val="00B04B96"/>
    <w:rsid w:val="00B04C41"/>
    <w:rsid w:val="00B04C44"/>
    <w:rsid w:val="00B04C57"/>
    <w:rsid w:val="00B04C5F"/>
    <w:rsid w:val="00B04CC7"/>
    <w:rsid w:val="00B04CF5"/>
    <w:rsid w:val="00B04D71"/>
    <w:rsid w:val="00B04E1B"/>
    <w:rsid w:val="00B04E3A"/>
    <w:rsid w:val="00B04E7A"/>
    <w:rsid w:val="00B04F19"/>
    <w:rsid w:val="00B04F47"/>
    <w:rsid w:val="00B04F63"/>
    <w:rsid w:val="00B04F6B"/>
    <w:rsid w:val="00B04FC1"/>
    <w:rsid w:val="00B0500E"/>
    <w:rsid w:val="00B05020"/>
    <w:rsid w:val="00B05075"/>
    <w:rsid w:val="00B050D1"/>
    <w:rsid w:val="00B050D9"/>
    <w:rsid w:val="00B050E1"/>
    <w:rsid w:val="00B051E3"/>
    <w:rsid w:val="00B05215"/>
    <w:rsid w:val="00B0530C"/>
    <w:rsid w:val="00B05313"/>
    <w:rsid w:val="00B0544E"/>
    <w:rsid w:val="00B054A2"/>
    <w:rsid w:val="00B054CE"/>
    <w:rsid w:val="00B0554B"/>
    <w:rsid w:val="00B055AE"/>
    <w:rsid w:val="00B0566B"/>
    <w:rsid w:val="00B056D3"/>
    <w:rsid w:val="00B059FE"/>
    <w:rsid w:val="00B05A49"/>
    <w:rsid w:val="00B05ADC"/>
    <w:rsid w:val="00B05B45"/>
    <w:rsid w:val="00B05BD0"/>
    <w:rsid w:val="00B05BD4"/>
    <w:rsid w:val="00B05C90"/>
    <w:rsid w:val="00B05D44"/>
    <w:rsid w:val="00B05DFE"/>
    <w:rsid w:val="00B05E65"/>
    <w:rsid w:val="00B05F81"/>
    <w:rsid w:val="00B06154"/>
    <w:rsid w:val="00B06195"/>
    <w:rsid w:val="00B06357"/>
    <w:rsid w:val="00B063F1"/>
    <w:rsid w:val="00B06508"/>
    <w:rsid w:val="00B0652C"/>
    <w:rsid w:val="00B06584"/>
    <w:rsid w:val="00B065AD"/>
    <w:rsid w:val="00B065BD"/>
    <w:rsid w:val="00B0664C"/>
    <w:rsid w:val="00B06738"/>
    <w:rsid w:val="00B067DA"/>
    <w:rsid w:val="00B06820"/>
    <w:rsid w:val="00B06824"/>
    <w:rsid w:val="00B0682A"/>
    <w:rsid w:val="00B0683A"/>
    <w:rsid w:val="00B0686D"/>
    <w:rsid w:val="00B0692C"/>
    <w:rsid w:val="00B06AFF"/>
    <w:rsid w:val="00B06B07"/>
    <w:rsid w:val="00B06BC1"/>
    <w:rsid w:val="00B06BCB"/>
    <w:rsid w:val="00B06BFD"/>
    <w:rsid w:val="00B06C66"/>
    <w:rsid w:val="00B06C81"/>
    <w:rsid w:val="00B06DDC"/>
    <w:rsid w:val="00B06DDD"/>
    <w:rsid w:val="00B06DE1"/>
    <w:rsid w:val="00B06ECF"/>
    <w:rsid w:val="00B06EDD"/>
    <w:rsid w:val="00B06FA5"/>
    <w:rsid w:val="00B07000"/>
    <w:rsid w:val="00B07060"/>
    <w:rsid w:val="00B0715D"/>
    <w:rsid w:val="00B07212"/>
    <w:rsid w:val="00B0727B"/>
    <w:rsid w:val="00B072E7"/>
    <w:rsid w:val="00B07304"/>
    <w:rsid w:val="00B07307"/>
    <w:rsid w:val="00B07323"/>
    <w:rsid w:val="00B0732B"/>
    <w:rsid w:val="00B07351"/>
    <w:rsid w:val="00B07390"/>
    <w:rsid w:val="00B074B6"/>
    <w:rsid w:val="00B07518"/>
    <w:rsid w:val="00B076C3"/>
    <w:rsid w:val="00B076C7"/>
    <w:rsid w:val="00B07734"/>
    <w:rsid w:val="00B077D7"/>
    <w:rsid w:val="00B07827"/>
    <w:rsid w:val="00B078AB"/>
    <w:rsid w:val="00B078B6"/>
    <w:rsid w:val="00B078C6"/>
    <w:rsid w:val="00B078DA"/>
    <w:rsid w:val="00B0790F"/>
    <w:rsid w:val="00B07943"/>
    <w:rsid w:val="00B0794C"/>
    <w:rsid w:val="00B079B5"/>
    <w:rsid w:val="00B07A6A"/>
    <w:rsid w:val="00B07A7D"/>
    <w:rsid w:val="00B07AAD"/>
    <w:rsid w:val="00B07B1D"/>
    <w:rsid w:val="00B07BFF"/>
    <w:rsid w:val="00B07C84"/>
    <w:rsid w:val="00B07CA2"/>
    <w:rsid w:val="00B07CB3"/>
    <w:rsid w:val="00B07CE5"/>
    <w:rsid w:val="00B07EBF"/>
    <w:rsid w:val="00B07F42"/>
    <w:rsid w:val="00B100B2"/>
    <w:rsid w:val="00B10181"/>
    <w:rsid w:val="00B101AE"/>
    <w:rsid w:val="00B101E0"/>
    <w:rsid w:val="00B1023D"/>
    <w:rsid w:val="00B10263"/>
    <w:rsid w:val="00B10303"/>
    <w:rsid w:val="00B10318"/>
    <w:rsid w:val="00B1034D"/>
    <w:rsid w:val="00B10395"/>
    <w:rsid w:val="00B103C0"/>
    <w:rsid w:val="00B10424"/>
    <w:rsid w:val="00B104DA"/>
    <w:rsid w:val="00B105F0"/>
    <w:rsid w:val="00B10608"/>
    <w:rsid w:val="00B10661"/>
    <w:rsid w:val="00B1078E"/>
    <w:rsid w:val="00B107E1"/>
    <w:rsid w:val="00B108B2"/>
    <w:rsid w:val="00B10929"/>
    <w:rsid w:val="00B1093C"/>
    <w:rsid w:val="00B10C1C"/>
    <w:rsid w:val="00B10C49"/>
    <w:rsid w:val="00B10C4F"/>
    <w:rsid w:val="00B10C8E"/>
    <w:rsid w:val="00B10CA5"/>
    <w:rsid w:val="00B10CC4"/>
    <w:rsid w:val="00B10CE4"/>
    <w:rsid w:val="00B10CF7"/>
    <w:rsid w:val="00B10DC0"/>
    <w:rsid w:val="00B10E29"/>
    <w:rsid w:val="00B10F02"/>
    <w:rsid w:val="00B10F1F"/>
    <w:rsid w:val="00B10FAE"/>
    <w:rsid w:val="00B10FEB"/>
    <w:rsid w:val="00B1116A"/>
    <w:rsid w:val="00B1118E"/>
    <w:rsid w:val="00B11221"/>
    <w:rsid w:val="00B112A4"/>
    <w:rsid w:val="00B11308"/>
    <w:rsid w:val="00B11314"/>
    <w:rsid w:val="00B11331"/>
    <w:rsid w:val="00B113DB"/>
    <w:rsid w:val="00B113F1"/>
    <w:rsid w:val="00B113FF"/>
    <w:rsid w:val="00B114DF"/>
    <w:rsid w:val="00B116C4"/>
    <w:rsid w:val="00B116EA"/>
    <w:rsid w:val="00B11710"/>
    <w:rsid w:val="00B1179F"/>
    <w:rsid w:val="00B11849"/>
    <w:rsid w:val="00B11880"/>
    <w:rsid w:val="00B118D3"/>
    <w:rsid w:val="00B118D7"/>
    <w:rsid w:val="00B118FB"/>
    <w:rsid w:val="00B1195C"/>
    <w:rsid w:val="00B11A27"/>
    <w:rsid w:val="00B11B52"/>
    <w:rsid w:val="00B11B6E"/>
    <w:rsid w:val="00B11C6B"/>
    <w:rsid w:val="00B11C6E"/>
    <w:rsid w:val="00B11CA4"/>
    <w:rsid w:val="00B11D5D"/>
    <w:rsid w:val="00B11DAD"/>
    <w:rsid w:val="00B11E29"/>
    <w:rsid w:val="00B11ED0"/>
    <w:rsid w:val="00B11F37"/>
    <w:rsid w:val="00B1209D"/>
    <w:rsid w:val="00B121B4"/>
    <w:rsid w:val="00B121B8"/>
    <w:rsid w:val="00B12216"/>
    <w:rsid w:val="00B1224D"/>
    <w:rsid w:val="00B122C5"/>
    <w:rsid w:val="00B12333"/>
    <w:rsid w:val="00B1249A"/>
    <w:rsid w:val="00B124AA"/>
    <w:rsid w:val="00B124D6"/>
    <w:rsid w:val="00B1250E"/>
    <w:rsid w:val="00B12542"/>
    <w:rsid w:val="00B12549"/>
    <w:rsid w:val="00B125EE"/>
    <w:rsid w:val="00B12664"/>
    <w:rsid w:val="00B1280B"/>
    <w:rsid w:val="00B12827"/>
    <w:rsid w:val="00B128EB"/>
    <w:rsid w:val="00B12AEC"/>
    <w:rsid w:val="00B12BA0"/>
    <w:rsid w:val="00B12BFE"/>
    <w:rsid w:val="00B12C01"/>
    <w:rsid w:val="00B12CC7"/>
    <w:rsid w:val="00B12E1B"/>
    <w:rsid w:val="00B12E33"/>
    <w:rsid w:val="00B12EA8"/>
    <w:rsid w:val="00B1304A"/>
    <w:rsid w:val="00B13053"/>
    <w:rsid w:val="00B13071"/>
    <w:rsid w:val="00B1310A"/>
    <w:rsid w:val="00B131CA"/>
    <w:rsid w:val="00B1329D"/>
    <w:rsid w:val="00B13360"/>
    <w:rsid w:val="00B13363"/>
    <w:rsid w:val="00B13415"/>
    <w:rsid w:val="00B1341D"/>
    <w:rsid w:val="00B134DF"/>
    <w:rsid w:val="00B1351A"/>
    <w:rsid w:val="00B13547"/>
    <w:rsid w:val="00B135AC"/>
    <w:rsid w:val="00B135F7"/>
    <w:rsid w:val="00B1361C"/>
    <w:rsid w:val="00B13641"/>
    <w:rsid w:val="00B13659"/>
    <w:rsid w:val="00B13673"/>
    <w:rsid w:val="00B13777"/>
    <w:rsid w:val="00B137B3"/>
    <w:rsid w:val="00B13832"/>
    <w:rsid w:val="00B138A3"/>
    <w:rsid w:val="00B13971"/>
    <w:rsid w:val="00B139EB"/>
    <w:rsid w:val="00B13AE2"/>
    <w:rsid w:val="00B13B28"/>
    <w:rsid w:val="00B13B77"/>
    <w:rsid w:val="00B13BCF"/>
    <w:rsid w:val="00B13BDF"/>
    <w:rsid w:val="00B13CA4"/>
    <w:rsid w:val="00B13DB6"/>
    <w:rsid w:val="00B13DDF"/>
    <w:rsid w:val="00B13DF6"/>
    <w:rsid w:val="00B13E1B"/>
    <w:rsid w:val="00B13F13"/>
    <w:rsid w:val="00B13F7D"/>
    <w:rsid w:val="00B1406A"/>
    <w:rsid w:val="00B1408A"/>
    <w:rsid w:val="00B140CC"/>
    <w:rsid w:val="00B14114"/>
    <w:rsid w:val="00B14138"/>
    <w:rsid w:val="00B1415B"/>
    <w:rsid w:val="00B14161"/>
    <w:rsid w:val="00B1428A"/>
    <w:rsid w:val="00B1440C"/>
    <w:rsid w:val="00B14480"/>
    <w:rsid w:val="00B144D2"/>
    <w:rsid w:val="00B145AF"/>
    <w:rsid w:val="00B1469D"/>
    <w:rsid w:val="00B146A2"/>
    <w:rsid w:val="00B146B1"/>
    <w:rsid w:val="00B14732"/>
    <w:rsid w:val="00B14788"/>
    <w:rsid w:val="00B147CE"/>
    <w:rsid w:val="00B147F1"/>
    <w:rsid w:val="00B14815"/>
    <w:rsid w:val="00B1488B"/>
    <w:rsid w:val="00B14892"/>
    <w:rsid w:val="00B148EB"/>
    <w:rsid w:val="00B14922"/>
    <w:rsid w:val="00B149A2"/>
    <w:rsid w:val="00B14A16"/>
    <w:rsid w:val="00B14A52"/>
    <w:rsid w:val="00B14A9A"/>
    <w:rsid w:val="00B14AF1"/>
    <w:rsid w:val="00B14B33"/>
    <w:rsid w:val="00B14B4A"/>
    <w:rsid w:val="00B14BBE"/>
    <w:rsid w:val="00B14C62"/>
    <w:rsid w:val="00B14D75"/>
    <w:rsid w:val="00B14E48"/>
    <w:rsid w:val="00B14E5C"/>
    <w:rsid w:val="00B14E9A"/>
    <w:rsid w:val="00B14EB8"/>
    <w:rsid w:val="00B14F02"/>
    <w:rsid w:val="00B14F5E"/>
    <w:rsid w:val="00B14FA2"/>
    <w:rsid w:val="00B150CD"/>
    <w:rsid w:val="00B150EB"/>
    <w:rsid w:val="00B150F5"/>
    <w:rsid w:val="00B15158"/>
    <w:rsid w:val="00B1519C"/>
    <w:rsid w:val="00B151FC"/>
    <w:rsid w:val="00B151FE"/>
    <w:rsid w:val="00B15285"/>
    <w:rsid w:val="00B152BA"/>
    <w:rsid w:val="00B1534E"/>
    <w:rsid w:val="00B1535D"/>
    <w:rsid w:val="00B15464"/>
    <w:rsid w:val="00B155E2"/>
    <w:rsid w:val="00B156F5"/>
    <w:rsid w:val="00B1573C"/>
    <w:rsid w:val="00B15767"/>
    <w:rsid w:val="00B1576B"/>
    <w:rsid w:val="00B1578F"/>
    <w:rsid w:val="00B1584C"/>
    <w:rsid w:val="00B158C4"/>
    <w:rsid w:val="00B1591A"/>
    <w:rsid w:val="00B1596C"/>
    <w:rsid w:val="00B15974"/>
    <w:rsid w:val="00B159F2"/>
    <w:rsid w:val="00B15A2E"/>
    <w:rsid w:val="00B15A4C"/>
    <w:rsid w:val="00B15A66"/>
    <w:rsid w:val="00B15AD1"/>
    <w:rsid w:val="00B15AD8"/>
    <w:rsid w:val="00B15AE9"/>
    <w:rsid w:val="00B15B2B"/>
    <w:rsid w:val="00B15B5E"/>
    <w:rsid w:val="00B15BB3"/>
    <w:rsid w:val="00B15C3C"/>
    <w:rsid w:val="00B15C80"/>
    <w:rsid w:val="00B15D0A"/>
    <w:rsid w:val="00B15DE2"/>
    <w:rsid w:val="00B15DFE"/>
    <w:rsid w:val="00B15E6B"/>
    <w:rsid w:val="00B15E85"/>
    <w:rsid w:val="00B15F22"/>
    <w:rsid w:val="00B15F52"/>
    <w:rsid w:val="00B16024"/>
    <w:rsid w:val="00B1602B"/>
    <w:rsid w:val="00B16053"/>
    <w:rsid w:val="00B160B5"/>
    <w:rsid w:val="00B16102"/>
    <w:rsid w:val="00B161E1"/>
    <w:rsid w:val="00B16265"/>
    <w:rsid w:val="00B1629A"/>
    <w:rsid w:val="00B164F6"/>
    <w:rsid w:val="00B1653F"/>
    <w:rsid w:val="00B16571"/>
    <w:rsid w:val="00B165EC"/>
    <w:rsid w:val="00B16626"/>
    <w:rsid w:val="00B166D7"/>
    <w:rsid w:val="00B1676D"/>
    <w:rsid w:val="00B167F9"/>
    <w:rsid w:val="00B16812"/>
    <w:rsid w:val="00B16827"/>
    <w:rsid w:val="00B168AE"/>
    <w:rsid w:val="00B168D7"/>
    <w:rsid w:val="00B168E7"/>
    <w:rsid w:val="00B16916"/>
    <w:rsid w:val="00B16961"/>
    <w:rsid w:val="00B16988"/>
    <w:rsid w:val="00B16A03"/>
    <w:rsid w:val="00B16A25"/>
    <w:rsid w:val="00B16A63"/>
    <w:rsid w:val="00B16BC6"/>
    <w:rsid w:val="00B16C38"/>
    <w:rsid w:val="00B16CA1"/>
    <w:rsid w:val="00B16CD9"/>
    <w:rsid w:val="00B16CEE"/>
    <w:rsid w:val="00B16CFF"/>
    <w:rsid w:val="00B16D14"/>
    <w:rsid w:val="00B16E24"/>
    <w:rsid w:val="00B16E6F"/>
    <w:rsid w:val="00B16FAA"/>
    <w:rsid w:val="00B1718F"/>
    <w:rsid w:val="00B171F3"/>
    <w:rsid w:val="00B172F9"/>
    <w:rsid w:val="00B173BB"/>
    <w:rsid w:val="00B1745D"/>
    <w:rsid w:val="00B17482"/>
    <w:rsid w:val="00B174A5"/>
    <w:rsid w:val="00B1750D"/>
    <w:rsid w:val="00B17518"/>
    <w:rsid w:val="00B17552"/>
    <w:rsid w:val="00B17576"/>
    <w:rsid w:val="00B175B0"/>
    <w:rsid w:val="00B17636"/>
    <w:rsid w:val="00B1765F"/>
    <w:rsid w:val="00B1770C"/>
    <w:rsid w:val="00B1776E"/>
    <w:rsid w:val="00B1779C"/>
    <w:rsid w:val="00B17879"/>
    <w:rsid w:val="00B1793D"/>
    <w:rsid w:val="00B17A40"/>
    <w:rsid w:val="00B17A63"/>
    <w:rsid w:val="00B17B69"/>
    <w:rsid w:val="00B17B83"/>
    <w:rsid w:val="00B17B9F"/>
    <w:rsid w:val="00B17DB8"/>
    <w:rsid w:val="00B17DDC"/>
    <w:rsid w:val="00B17E63"/>
    <w:rsid w:val="00B17FE5"/>
    <w:rsid w:val="00B20009"/>
    <w:rsid w:val="00B20166"/>
    <w:rsid w:val="00B201AF"/>
    <w:rsid w:val="00B201C6"/>
    <w:rsid w:val="00B20244"/>
    <w:rsid w:val="00B202CD"/>
    <w:rsid w:val="00B203E8"/>
    <w:rsid w:val="00B2046F"/>
    <w:rsid w:val="00B205C8"/>
    <w:rsid w:val="00B206EA"/>
    <w:rsid w:val="00B20781"/>
    <w:rsid w:val="00B207AE"/>
    <w:rsid w:val="00B207CB"/>
    <w:rsid w:val="00B207F6"/>
    <w:rsid w:val="00B2087A"/>
    <w:rsid w:val="00B208A3"/>
    <w:rsid w:val="00B20927"/>
    <w:rsid w:val="00B20969"/>
    <w:rsid w:val="00B20A23"/>
    <w:rsid w:val="00B20A9C"/>
    <w:rsid w:val="00B20B97"/>
    <w:rsid w:val="00B20BB3"/>
    <w:rsid w:val="00B20C9F"/>
    <w:rsid w:val="00B20CF3"/>
    <w:rsid w:val="00B20D60"/>
    <w:rsid w:val="00B20E9E"/>
    <w:rsid w:val="00B20ED7"/>
    <w:rsid w:val="00B20FAB"/>
    <w:rsid w:val="00B2103C"/>
    <w:rsid w:val="00B21132"/>
    <w:rsid w:val="00B21143"/>
    <w:rsid w:val="00B211AF"/>
    <w:rsid w:val="00B211F7"/>
    <w:rsid w:val="00B21390"/>
    <w:rsid w:val="00B2148A"/>
    <w:rsid w:val="00B21624"/>
    <w:rsid w:val="00B21652"/>
    <w:rsid w:val="00B21704"/>
    <w:rsid w:val="00B2175D"/>
    <w:rsid w:val="00B21844"/>
    <w:rsid w:val="00B218C4"/>
    <w:rsid w:val="00B218DA"/>
    <w:rsid w:val="00B21905"/>
    <w:rsid w:val="00B21936"/>
    <w:rsid w:val="00B21A25"/>
    <w:rsid w:val="00B21A52"/>
    <w:rsid w:val="00B21B91"/>
    <w:rsid w:val="00B21BC6"/>
    <w:rsid w:val="00B21C2F"/>
    <w:rsid w:val="00B21C3D"/>
    <w:rsid w:val="00B21C87"/>
    <w:rsid w:val="00B21CC0"/>
    <w:rsid w:val="00B21CD7"/>
    <w:rsid w:val="00B21DC4"/>
    <w:rsid w:val="00B21DD5"/>
    <w:rsid w:val="00B21E8A"/>
    <w:rsid w:val="00B21EA5"/>
    <w:rsid w:val="00B21EAE"/>
    <w:rsid w:val="00B21EB2"/>
    <w:rsid w:val="00B21EC6"/>
    <w:rsid w:val="00B21EF9"/>
    <w:rsid w:val="00B2208B"/>
    <w:rsid w:val="00B2212F"/>
    <w:rsid w:val="00B22176"/>
    <w:rsid w:val="00B22226"/>
    <w:rsid w:val="00B22304"/>
    <w:rsid w:val="00B22432"/>
    <w:rsid w:val="00B224A4"/>
    <w:rsid w:val="00B224FA"/>
    <w:rsid w:val="00B2259A"/>
    <w:rsid w:val="00B225EC"/>
    <w:rsid w:val="00B22600"/>
    <w:rsid w:val="00B22761"/>
    <w:rsid w:val="00B22913"/>
    <w:rsid w:val="00B229C6"/>
    <w:rsid w:val="00B22A5E"/>
    <w:rsid w:val="00B22A79"/>
    <w:rsid w:val="00B22A7B"/>
    <w:rsid w:val="00B22AFB"/>
    <w:rsid w:val="00B22BAE"/>
    <w:rsid w:val="00B22CEB"/>
    <w:rsid w:val="00B22CFE"/>
    <w:rsid w:val="00B22D0D"/>
    <w:rsid w:val="00B22D93"/>
    <w:rsid w:val="00B22DA6"/>
    <w:rsid w:val="00B22E19"/>
    <w:rsid w:val="00B22E3A"/>
    <w:rsid w:val="00B22E9F"/>
    <w:rsid w:val="00B22F3D"/>
    <w:rsid w:val="00B22F4E"/>
    <w:rsid w:val="00B22FB4"/>
    <w:rsid w:val="00B22FB6"/>
    <w:rsid w:val="00B23056"/>
    <w:rsid w:val="00B230D7"/>
    <w:rsid w:val="00B23127"/>
    <w:rsid w:val="00B231C9"/>
    <w:rsid w:val="00B231D7"/>
    <w:rsid w:val="00B23326"/>
    <w:rsid w:val="00B23365"/>
    <w:rsid w:val="00B2344D"/>
    <w:rsid w:val="00B23473"/>
    <w:rsid w:val="00B2354D"/>
    <w:rsid w:val="00B235BC"/>
    <w:rsid w:val="00B23650"/>
    <w:rsid w:val="00B238AA"/>
    <w:rsid w:val="00B238C7"/>
    <w:rsid w:val="00B23969"/>
    <w:rsid w:val="00B239C3"/>
    <w:rsid w:val="00B239E3"/>
    <w:rsid w:val="00B23A89"/>
    <w:rsid w:val="00B23AE8"/>
    <w:rsid w:val="00B23B80"/>
    <w:rsid w:val="00B23C1B"/>
    <w:rsid w:val="00B23CF3"/>
    <w:rsid w:val="00B23E29"/>
    <w:rsid w:val="00B23E65"/>
    <w:rsid w:val="00B23E6E"/>
    <w:rsid w:val="00B23F00"/>
    <w:rsid w:val="00B23F94"/>
    <w:rsid w:val="00B23FAA"/>
    <w:rsid w:val="00B240E2"/>
    <w:rsid w:val="00B2415E"/>
    <w:rsid w:val="00B241A6"/>
    <w:rsid w:val="00B241E4"/>
    <w:rsid w:val="00B24287"/>
    <w:rsid w:val="00B242CB"/>
    <w:rsid w:val="00B24310"/>
    <w:rsid w:val="00B243BF"/>
    <w:rsid w:val="00B24517"/>
    <w:rsid w:val="00B2456A"/>
    <w:rsid w:val="00B245C2"/>
    <w:rsid w:val="00B245F9"/>
    <w:rsid w:val="00B24607"/>
    <w:rsid w:val="00B24638"/>
    <w:rsid w:val="00B2465D"/>
    <w:rsid w:val="00B24665"/>
    <w:rsid w:val="00B247C1"/>
    <w:rsid w:val="00B247D3"/>
    <w:rsid w:val="00B247F0"/>
    <w:rsid w:val="00B2482C"/>
    <w:rsid w:val="00B24864"/>
    <w:rsid w:val="00B2492C"/>
    <w:rsid w:val="00B24979"/>
    <w:rsid w:val="00B249DA"/>
    <w:rsid w:val="00B24BC2"/>
    <w:rsid w:val="00B24C1A"/>
    <w:rsid w:val="00B24C4A"/>
    <w:rsid w:val="00B24CE1"/>
    <w:rsid w:val="00B24D5C"/>
    <w:rsid w:val="00B24D7F"/>
    <w:rsid w:val="00B24DF9"/>
    <w:rsid w:val="00B24F24"/>
    <w:rsid w:val="00B24FB1"/>
    <w:rsid w:val="00B24FDD"/>
    <w:rsid w:val="00B25076"/>
    <w:rsid w:val="00B2508E"/>
    <w:rsid w:val="00B25108"/>
    <w:rsid w:val="00B25169"/>
    <w:rsid w:val="00B2528B"/>
    <w:rsid w:val="00B25392"/>
    <w:rsid w:val="00B253A9"/>
    <w:rsid w:val="00B253DE"/>
    <w:rsid w:val="00B253ED"/>
    <w:rsid w:val="00B253FB"/>
    <w:rsid w:val="00B2543B"/>
    <w:rsid w:val="00B25495"/>
    <w:rsid w:val="00B2555A"/>
    <w:rsid w:val="00B255BD"/>
    <w:rsid w:val="00B256C8"/>
    <w:rsid w:val="00B256C9"/>
    <w:rsid w:val="00B256EC"/>
    <w:rsid w:val="00B257BE"/>
    <w:rsid w:val="00B25899"/>
    <w:rsid w:val="00B259ED"/>
    <w:rsid w:val="00B25B4C"/>
    <w:rsid w:val="00B25BB4"/>
    <w:rsid w:val="00B25BFB"/>
    <w:rsid w:val="00B25C05"/>
    <w:rsid w:val="00B25CD3"/>
    <w:rsid w:val="00B25D89"/>
    <w:rsid w:val="00B25E8C"/>
    <w:rsid w:val="00B260BA"/>
    <w:rsid w:val="00B26122"/>
    <w:rsid w:val="00B26145"/>
    <w:rsid w:val="00B26150"/>
    <w:rsid w:val="00B26190"/>
    <w:rsid w:val="00B26236"/>
    <w:rsid w:val="00B26299"/>
    <w:rsid w:val="00B262FE"/>
    <w:rsid w:val="00B263EC"/>
    <w:rsid w:val="00B2645C"/>
    <w:rsid w:val="00B264FC"/>
    <w:rsid w:val="00B26560"/>
    <w:rsid w:val="00B2657B"/>
    <w:rsid w:val="00B265FE"/>
    <w:rsid w:val="00B26640"/>
    <w:rsid w:val="00B2664E"/>
    <w:rsid w:val="00B2666E"/>
    <w:rsid w:val="00B26725"/>
    <w:rsid w:val="00B2676F"/>
    <w:rsid w:val="00B2688F"/>
    <w:rsid w:val="00B26892"/>
    <w:rsid w:val="00B269CC"/>
    <w:rsid w:val="00B269FD"/>
    <w:rsid w:val="00B26A0F"/>
    <w:rsid w:val="00B26B51"/>
    <w:rsid w:val="00B26C42"/>
    <w:rsid w:val="00B26C48"/>
    <w:rsid w:val="00B26D34"/>
    <w:rsid w:val="00B26DD1"/>
    <w:rsid w:val="00B26DF8"/>
    <w:rsid w:val="00B26E8E"/>
    <w:rsid w:val="00B26E9A"/>
    <w:rsid w:val="00B26EF3"/>
    <w:rsid w:val="00B26F8A"/>
    <w:rsid w:val="00B26F98"/>
    <w:rsid w:val="00B26F9B"/>
    <w:rsid w:val="00B27056"/>
    <w:rsid w:val="00B270AA"/>
    <w:rsid w:val="00B270CE"/>
    <w:rsid w:val="00B2715D"/>
    <w:rsid w:val="00B2717E"/>
    <w:rsid w:val="00B27183"/>
    <w:rsid w:val="00B271BB"/>
    <w:rsid w:val="00B271D4"/>
    <w:rsid w:val="00B27321"/>
    <w:rsid w:val="00B27346"/>
    <w:rsid w:val="00B2742A"/>
    <w:rsid w:val="00B2746B"/>
    <w:rsid w:val="00B2748F"/>
    <w:rsid w:val="00B274D1"/>
    <w:rsid w:val="00B274E4"/>
    <w:rsid w:val="00B274F5"/>
    <w:rsid w:val="00B27502"/>
    <w:rsid w:val="00B2756C"/>
    <w:rsid w:val="00B276A8"/>
    <w:rsid w:val="00B27716"/>
    <w:rsid w:val="00B27723"/>
    <w:rsid w:val="00B27788"/>
    <w:rsid w:val="00B27819"/>
    <w:rsid w:val="00B2785E"/>
    <w:rsid w:val="00B2786A"/>
    <w:rsid w:val="00B27896"/>
    <w:rsid w:val="00B27A0D"/>
    <w:rsid w:val="00B27AA0"/>
    <w:rsid w:val="00B27B1B"/>
    <w:rsid w:val="00B27B27"/>
    <w:rsid w:val="00B27B51"/>
    <w:rsid w:val="00B27BA8"/>
    <w:rsid w:val="00B27C37"/>
    <w:rsid w:val="00B27C72"/>
    <w:rsid w:val="00B27D54"/>
    <w:rsid w:val="00B27DFB"/>
    <w:rsid w:val="00B27EDF"/>
    <w:rsid w:val="00B27F63"/>
    <w:rsid w:val="00B30031"/>
    <w:rsid w:val="00B300BA"/>
    <w:rsid w:val="00B300CF"/>
    <w:rsid w:val="00B300E5"/>
    <w:rsid w:val="00B3015C"/>
    <w:rsid w:val="00B30207"/>
    <w:rsid w:val="00B30286"/>
    <w:rsid w:val="00B30323"/>
    <w:rsid w:val="00B30461"/>
    <w:rsid w:val="00B30648"/>
    <w:rsid w:val="00B306CD"/>
    <w:rsid w:val="00B3074A"/>
    <w:rsid w:val="00B307B6"/>
    <w:rsid w:val="00B307D5"/>
    <w:rsid w:val="00B307D9"/>
    <w:rsid w:val="00B30896"/>
    <w:rsid w:val="00B308F2"/>
    <w:rsid w:val="00B30986"/>
    <w:rsid w:val="00B30B66"/>
    <w:rsid w:val="00B30C57"/>
    <w:rsid w:val="00B30CA6"/>
    <w:rsid w:val="00B30CDA"/>
    <w:rsid w:val="00B30D26"/>
    <w:rsid w:val="00B30D7B"/>
    <w:rsid w:val="00B30DAD"/>
    <w:rsid w:val="00B30DD2"/>
    <w:rsid w:val="00B30FF5"/>
    <w:rsid w:val="00B3128D"/>
    <w:rsid w:val="00B312B7"/>
    <w:rsid w:val="00B312F0"/>
    <w:rsid w:val="00B313CF"/>
    <w:rsid w:val="00B313E0"/>
    <w:rsid w:val="00B313EB"/>
    <w:rsid w:val="00B314DF"/>
    <w:rsid w:val="00B316BC"/>
    <w:rsid w:val="00B31879"/>
    <w:rsid w:val="00B3188A"/>
    <w:rsid w:val="00B318D5"/>
    <w:rsid w:val="00B31946"/>
    <w:rsid w:val="00B31A00"/>
    <w:rsid w:val="00B31A87"/>
    <w:rsid w:val="00B31ACF"/>
    <w:rsid w:val="00B31C67"/>
    <w:rsid w:val="00B31CE8"/>
    <w:rsid w:val="00B31CFA"/>
    <w:rsid w:val="00B31DD4"/>
    <w:rsid w:val="00B31DF0"/>
    <w:rsid w:val="00B31DF5"/>
    <w:rsid w:val="00B31F10"/>
    <w:rsid w:val="00B31F41"/>
    <w:rsid w:val="00B31FBE"/>
    <w:rsid w:val="00B31FD0"/>
    <w:rsid w:val="00B31FE5"/>
    <w:rsid w:val="00B32038"/>
    <w:rsid w:val="00B32073"/>
    <w:rsid w:val="00B320DC"/>
    <w:rsid w:val="00B321AB"/>
    <w:rsid w:val="00B32252"/>
    <w:rsid w:val="00B3225E"/>
    <w:rsid w:val="00B322BC"/>
    <w:rsid w:val="00B322C3"/>
    <w:rsid w:val="00B322EE"/>
    <w:rsid w:val="00B323AD"/>
    <w:rsid w:val="00B32501"/>
    <w:rsid w:val="00B32658"/>
    <w:rsid w:val="00B32752"/>
    <w:rsid w:val="00B3282C"/>
    <w:rsid w:val="00B32836"/>
    <w:rsid w:val="00B3298A"/>
    <w:rsid w:val="00B32A38"/>
    <w:rsid w:val="00B32A4E"/>
    <w:rsid w:val="00B32A79"/>
    <w:rsid w:val="00B32AA2"/>
    <w:rsid w:val="00B32AF6"/>
    <w:rsid w:val="00B32B2F"/>
    <w:rsid w:val="00B32B4C"/>
    <w:rsid w:val="00B32B64"/>
    <w:rsid w:val="00B32C05"/>
    <w:rsid w:val="00B32CD4"/>
    <w:rsid w:val="00B32DE0"/>
    <w:rsid w:val="00B32E03"/>
    <w:rsid w:val="00B32E40"/>
    <w:rsid w:val="00B32E96"/>
    <w:rsid w:val="00B32EFE"/>
    <w:rsid w:val="00B32F2C"/>
    <w:rsid w:val="00B3302A"/>
    <w:rsid w:val="00B3304F"/>
    <w:rsid w:val="00B330D1"/>
    <w:rsid w:val="00B330D6"/>
    <w:rsid w:val="00B33199"/>
    <w:rsid w:val="00B33311"/>
    <w:rsid w:val="00B33353"/>
    <w:rsid w:val="00B33464"/>
    <w:rsid w:val="00B334D6"/>
    <w:rsid w:val="00B335A5"/>
    <w:rsid w:val="00B33685"/>
    <w:rsid w:val="00B3368D"/>
    <w:rsid w:val="00B336CD"/>
    <w:rsid w:val="00B336DA"/>
    <w:rsid w:val="00B33726"/>
    <w:rsid w:val="00B33735"/>
    <w:rsid w:val="00B3379B"/>
    <w:rsid w:val="00B33867"/>
    <w:rsid w:val="00B33876"/>
    <w:rsid w:val="00B3390D"/>
    <w:rsid w:val="00B339E2"/>
    <w:rsid w:val="00B33A68"/>
    <w:rsid w:val="00B33AFE"/>
    <w:rsid w:val="00B33B74"/>
    <w:rsid w:val="00B33CCB"/>
    <w:rsid w:val="00B33DEB"/>
    <w:rsid w:val="00B33E44"/>
    <w:rsid w:val="00B33E50"/>
    <w:rsid w:val="00B33E83"/>
    <w:rsid w:val="00B33EBA"/>
    <w:rsid w:val="00B33F09"/>
    <w:rsid w:val="00B33F55"/>
    <w:rsid w:val="00B34037"/>
    <w:rsid w:val="00B3408E"/>
    <w:rsid w:val="00B34094"/>
    <w:rsid w:val="00B3417F"/>
    <w:rsid w:val="00B34235"/>
    <w:rsid w:val="00B3424C"/>
    <w:rsid w:val="00B3428C"/>
    <w:rsid w:val="00B342B5"/>
    <w:rsid w:val="00B343E0"/>
    <w:rsid w:val="00B34402"/>
    <w:rsid w:val="00B34405"/>
    <w:rsid w:val="00B3442F"/>
    <w:rsid w:val="00B34497"/>
    <w:rsid w:val="00B34514"/>
    <w:rsid w:val="00B3454C"/>
    <w:rsid w:val="00B34589"/>
    <w:rsid w:val="00B345B5"/>
    <w:rsid w:val="00B345BF"/>
    <w:rsid w:val="00B34665"/>
    <w:rsid w:val="00B346E1"/>
    <w:rsid w:val="00B34764"/>
    <w:rsid w:val="00B34769"/>
    <w:rsid w:val="00B347AF"/>
    <w:rsid w:val="00B34807"/>
    <w:rsid w:val="00B3483F"/>
    <w:rsid w:val="00B348D1"/>
    <w:rsid w:val="00B348D5"/>
    <w:rsid w:val="00B34992"/>
    <w:rsid w:val="00B34ADE"/>
    <w:rsid w:val="00B34AE1"/>
    <w:rsid w:val="00B34BE0"/>
    <w:rsid w:val="00B34BEB"/>
    <w:rsid w:val="00B34CBE"/>
    <w:rsid w:val="00B34D66"/>
    <w:rsid w:val="00B34E40"/>
    <w:rsid w:val="00B34ED4"/>
    <w:rsid w:val="00B34FE7"/>
    <w:rsid w:val="00B350DC"/>
    <w:rsid w:val="00B350E9"/>
    <w:rsid w:val="00B35196"/>
    <w:rsid w:val="00B35249"/>
    <w:rsid w:val="00B35307"/>
    <w:rsid w:val="00B35351"/>
    <w:rsid w:val="00B35393"/>
    <w:rsid w:val="00B354C6"/>
    <w:rsid w:val="00B354D9"/>
    <w:rsid w:val="00B355C9"/>
    <w:rsid w:val="00B35614"/>
    <w:rsid w:val="00B356E9"/>
    <w:rsid w:val="00B3575C"/>
    <w:rsid w:val="00B35785"/>
    <w:rsid w:val="00B35793"/>
    <w:rsid w:val="00B3580D"/>
    <w:rsid w:val="00B35818"/>
    <w:rsid w:val="00B35832"/>
    <w:rsid w:val="00B35848"/>
    <w:rsid w:val="00B35898"/>
    <w:rsid w:val="00B3593F"/>
    <w:rsid w:val="00B359A3"/>
    <w:rsid w:val="00B35A31"/>
    <w:rsid w:val="00B35B23"/>
    <w:rsid w:val="00B35B9A"/>
    <w:rsid w:val="00B35C27"/>
    <w:rsid w:val="00B35D3A"/>
    <w:rsid w:val="00B35D59"/>
    <w:rsid w:val="00B35DF3"/>
    <w:rsid w:val="00B35E00"/>
    <w:rsid w:val="00B35E41"/>
    <w:rsid w:val="00B35F25"/>
    <w:rsid w:val="00B35F31"/>
    <w:rsid w:val="00B3605D"/>
    <w:rsid w:val="00B36066"/>
    <w:rsid w:val="00B36128"/>
    <w:rsid w:val="00B36144"/>
    <w:rsid w:val="00B3620B"/>
    <w:rsid w:val="00B36222"/>
    <w:rsid w:val="00B36281"/>
    <w:rsid w:val="00B362B4"/>
    <w:rsid w:val="00B362D5"/>
    <w:rsid w:val="00B3642C"/>
    <w:rsid w:val="00B36435"/>
    <w:rsid w:val="00B3643A"/>
    <w:rsid w:val="00B36440"/>
    <w:rsid w:val="00B364F6"/>
    <w:rsid w:val="00B364F9"/>
    <w:rsid w:val="00B36524"/>
    <w:rsid w:val="00B36563"/>
    <w:rsid w:val="00B36591"/>
    <w:rsid w:val="00B365F1"/>
    <w:rsid w:val="00B365F6"/>
    <w:rsid w:val="00B365FE"/>
    <w:rsid w:val="00B3660F"/>
    <w:rsid w:val="00B36616"/>
    <w:rsid w:val="00B36656"/>
    <w:rsid w:val="00B366F8"/>
    <w:rsid w:val="00B36706"/>
    <w:rsid w:val="00B36732"/>
    <w:rsid w:val="00B367C5"/>
    <w:rsid w:val="00B367E4"/>
    <w:rsid w:val="00B367E9"/>
    <w:rsid w:val="00B368DD"/>
    <w:rsid w:val="00B369D1"/>
    <w:rsid w:val="00B36A61"/>
    <w:rsid w:val="00B36A6B"/>
    <w:rsid w:val="00B36BFC"/>
    <w:rsid w:val="00B36CA7"/>
    <w:rsid w:val="00B36CB1"/>
    <w:rsid w:val="00B36D42"/>
    <w:rsid w:val="00B36D68"/>
    <w:rsid w:val="00B36D6C"/>
    <w:rsid w:val="00B36E72"/>
    <w:rsid w:val="00B36ED1"/>
    <w:rsid w:val="00B36EE5"/>
    <w:rsid w:val="00B36EF7"/>
    <w:rsid w:val="00B36F08"/>
    <w:rsid w:val="00B36F70"/>
    <w:rsid w:val="00B37036"/>
    <w:rsid w:val="00B370A4"/>
    <w:rsid w:val="00B370AB"/>
    <w:rsid w:val="00B370C4"/>
    <w:rsid w:val="00B3711F"/>
    <w:rsid w:val="00B3712F"/>
    <w:rsid w:val="00B37178"/>
    <w:rsid w:val="00B3725B"/>
    <w:rsid w:val="00B372B3"/>
    <w:rsid w:val="00B372B7"/>
    <w:rsid w:val="00B372D3"/>
    <w:rsid w:val="00B37333"/>
    <w:rsid w:val="00B373C2"/>
    <w:rsid w:val="00B3741C"/>
    <w:rsid w:val="00B375C5"/>
    <w:rsid w:val="00B375DC"/>
    <w:rsid w:val="00B37609"/>
    <w:rsid w:val="00B3762C"/>
    <w:rsid w:val="00B3777A"/>
    <w:rsid w:val="00B377D2"/>
    <w:rsid w:val="00B3786A"/>
    <w:rsid w:val="00B3786E"/>
    <w:rsid w:val="00B37920"/>
    <w:rsid w:val="00B379A2"/>
    <w:rsid w:val="00B379D9"/>
    <w:rsid w:val="00B37A0D"/>
    <w:rsid w:val="00B37BD3"/>
    <w:rsid w:val="00B37C2E"/>
    <w:rsid w:val="00B37C43"/>
    <w:rsid w:val="00B37C6F"/>
    <w:rsid w:val="00B37C8D"/>
    <w:rsid w:val="00B37CCF"/>
    <w:rsid w:val="00B37D24"/>
    <w:rsid w:val="00B37DFC"/>
    <w:rsid w:val="00B37E6E"/>
    <w:rsid w:val="00B37E77"/>
    <w:rsid w:val="00B37EFB"/>
    <w:rsid w:val="00B37F09"/>
    <w:rsid w:val="00B37F21"/>
    <w:rsid w:val="00B37F3F"/>
    <w:rsid w:val="00B3C11B"/>
    <w:rsid w:val="00B40124"/>
    <w:rsid w:val="00B4016A"/>
    <w:rsid w:val="00B402AC"/>
    <w:rsid w:val="00B40308"/>
    <w:rsid w:val="00B40372"/>
    <w:rsid w:val="00B403E4"/>
    <w:rsid w:val="00B403EA"/>
    <w:rsid w:val="00B40425"/>
    <w:rsid w:val="00B4042E"/>
    <w:rsid w:val="00B4050F"/>
    <w:rsid w:val="00B4057D"/>
    <w:rsid w:val="00B405D7"/>
    <w:rsid w:val="00B405E3"/>
    <w:rsid w:val="00B4062B"/>
    <w:rsid w:val="00B406DA"/>
    <w:rsid w:val="00B40753"/>
    <w:rsid w:val="00B407EF"/>
    <w:rsid w:val="00B40801"/>
    <w:rsid w:val="00B408D7"/>
    <w:rsid w:val="00B4093A"/>
    <w:rsid w:val="00B4095C"/>
    <w:rsid w:val="00B40988"/>
    <w:rsid w:val="00B409A5"/>
    <w:rsid w:val="00B409E9"/>
    <w:rsid w:val="00B40A42"/>
    <w:rsid w:val="00B40A66"/>
    <w:rsid w:val="00B40AD8"/>
    <w:rsid w:val="00B40AFE"/>
    <w:rsid w:val="00B40B00"/>
    <w:rsid w:val="00B40BD7"/>
    <w:rsid w:val="00B40BDA"/>
    <w:rsid w:val="00B40CB2"/>
    <w:rsid w:val="00B40CDD"/>
    <w:rsid w:val="00B40D99"/>
    <w:rsid w:val="00B40DDB"/>
    <w:rsid w:val="00B40F6B"/>
    <w:rsid w:val="00B40F6F"/>
    <w:rsid w:val="00B40FD4"/>
    <w:rsid w:val="00B4103B"/>
    <w:rsid w:val="00B410AB"/>
    <w:rsid w:val="00B410AE"/>
    <w:rsid w:val="00B411BC"/>
    <w:rsid w:val="00B41214"/>
    <w:rsid w:val="00B4129D"/>
    <w:rsid w:val="00B412C3"/>
    <w:rsid w:val="00B412F5"/>
    <w:rsid w:val="00B41318"/>
    <w:rsid w:val="00B41454"/>
    <w:rsid w:val="00B41456"/>
    <w:rsid w:val="00B41475"/>
    <w:rsid w:val="00B41483"/>
    <w:rsid w:val="00B415E5"/>
    <w:rsid w:val="00B41656"/>
    <w:rsid w:val="00B4171D"/>
    <w:rsid w:val="00B4181D"/>
    <w:rsid w:val="00B4181F"/>
    <w:rsid w:val="00B4190F"/>
    <w:rsid w:val="00B4192F"/>
    <w:rsid w:val="00B41930"/>
    <w:rsid w:val="00B419A8"/>
    <w:rsid w:val="00B41A3B"/>
    <w:rsid w:val="00B41D49"/>
    <w:rsid w:val="00B41D91"/>
    <w:rsid w:val="00B41DAC"/>
    <w:rsid w:val="00B41ECA"/>
    <w:rsid w:val="00B41F67"/>
    <w:rsid w:val="00B41FCE"/>
    <w:rsid w:val="00B421B6"/>
    <w:rsid w:val="00B421FC"/>
    <w:rsid w:val="00B42266"/>
    <w:rsid w:val="00B422F1"/>
    <w:rsid w:val="00B4237F"/>
    <w:rsid w:val="00B4258B"/>
    <w:rsid w:val="00B425B5"/>
    <w:rsid w:val="00B42658"/>
    <w:rsid w:val="00B426F3"/>
    <w:rsid w:val="00B42729"/>
    <w:rsid w:val="00B42897"/>
    <w:rsid w:val="00B42950"/>
    <w:rsid w:val="00B42A2A"/>
    <w:rsid w:val="00B42A7E"/>
    <w:rsid w:val="00B42AA5"/>
    <w:rsid w:val="00B42AEC"/>
    <w:rsid w:val="00B42B1E"/>
    <w:rsid w:val="00B42B37"/>
    <w:rsid w:val="00B42BBF"/>
    <w:rsid w:val="00B42CC1"/>
    <w:rsid w:val="00B42CF0"/>
    <w:rsid w:val="00B42D5F"/>
    <w:rsid w:val="00B42DBF"/>
    <w:rsid w:val="00B42E8D"/>
    <w:rsid w:val="00B42E90"/>
    <w:rsid w:val="00B42EA1"/>
    <w:rsid w:val="00B42F62"/>
    <w:rsid w:val="00B42FD1"/>
    <w:rsid w:val="00B43097"/>
    <w:rsid w:val="00B43144"/>
    <w:rsid w:val="00B431B9"/>
    <w:rsid w:val="00B431FC"/>
    <w:rsid w:val="00B4326E"/>
    <w:rsid w:val="00B43317"/>
    <w:rsid w:val="00B433C4"/>
    <w:rsid w:val="00B433CE"/>
    <w:rsid w:val="00B435D1"/>
    <w:rsid w:val="00B43675"/>
    <w:rsid w:val="00B4367A"/>
    <w:rsid w:val="00B436AB"/>
    <w:rsid w:val="00B436DA"/>
    <w:rsid w:val="00B4377D"/>
    <w:rsid w:val="00B437BD"/>
    <w:rsid w:val="00B4384B"/>
    <w:rsid w:val="00B438D8"/>
    <w:rsid w:val="00B439E3"/>
    <w:rsid w:val="00B43A4C"/>
    <w:rsid w:val="00B43A90"/>
    <w:rsid w:val="00B43BF5"/>
    <w:rsid w:val="00B43C95"/>
    <w:rsid w:val="00B43CBD"/>
    <w:rsid w:val="00B43CF4"/>
    <w:rsid w:val="00B43D46"/>
    <w:rsid w:val="00B43DAD"/>
    <w:rsid w:val="00B43E28"/>
    <w:rsid w:val="00B43E6E"/>
    <w:rsid w:val="00B43EE4"/>
    <w:rsid w:val="00B43EF6"/>
    <w:rsid w:val="00B43FDA"/>
    <w:rsid w:val="00B44039"/>
    <w:rsid w:val="00B440AA"/>
    <w:rsid w:val="00B440B7"/>
    <w:rsid w:val="00B4412C"/>
    <w:rsid w:val="00B4422A"/>
    <w:rsid w:val="00B44233"/>
    <w:rsid w:val="00B44253"/>
    <w:rsid w:val="00B442CE"/>
    <w:rsid w:val="00B44396"/>
    <w:rsid w:val="00B44492"/>
    <w:rsid w:val="00B44589"/>
    <w:rsid w:val="00B4460B"/>
    <w:rsid w:val="00B4463E"/>
    <w:rsid w:val="00B446AB"/>
    <w:rsid w:val="00B446C0"/>
    <w:rsid w:val="00B44776"/>
    <w:rsid w:val="00B447D0"/>
    <w:rsid w:val="00B447D2"/>
    <w:rsid w:val="00B44849"/>
    <w:rsid w:val="00B44A67"/>
    <w:rsid w:val="00B44AAF"/>
    <w:rsid w:val="00B44C51"/>
    <w:rsid w:val="00B44C6B"/>
    <w:rsid w:val="00B44D97"/>
    <w:rsid w:val="00B44DB4"/>
    <w:rsid w:val="00B44E01"/>
    <w:rsid w:val="00B44E05"/>
    <w:rsid w:val="00B44EA2"/>
    <w:rsid w:val="00B44F1E"/>
    <w:rsid w:val="00B44FBE"/>
    <w:rsid w:val="00B45020"/>
    <w:rsid w:val="00B45063"/>
    <w:rsid w:val="00B450DE"/>
    <w:rsid w:val="00B45168"/>
    <w:rsid w:val="00B451A6"/>
    <w:rsid w:val="00B4523F"/>
    <w:rsid w:val="00B4529A"/>
    <w:rsid w:val="00B45347"/>
    <w:rsid w:val="00B4535B"/>
    <w:rsid w:val="00B45402"/>
    <w:rsid w:val="00B45419"/>
    <w:rsid w:val="00B45473"/>
    <w:rsid w:val="00B45529"/>
    <w:rsid w:val="00B4556E"/>
    <w:rsid w:val="00B45573"/>
    <w:rsid w:val="00B455F4"/>
    <w:rsid w:val="00B45679"/>
    <w:rsid w:val="00B456EE"/>
    <w:rsid w:val="00B4572F"/>
    <w:rsid w:val="00B4574F"/>
    <w:rsid w:val="00B45778"/>
    <w:rsid w:val="00B457E2"/>
    <w:rsid w:val="00B4581D"/>
    <w:rsid w:val="00B4591D"/>
    <w:rsid w:val="00B45982"/>
    <w:rsid w:val="00B45AEB"/>
    <w:rsid w:val="00B45AF8"/>
    <w:rsid w:val="00B45B3D"/>
    <w:rsid w:val="00B45C8E"/>
    <w:rsid w:val="00B45D0C"/>
    <w:rsid w:val="00B45E5B"/>
    <w:rsid w:val="00B45E69"/>
    <w:rsid w:val="00B45E75"/>
    <w:rsid w:val="00B45E9E"/>
    <w:rsid w:val="00B45EF5"/>
    <w:rsid w:val="00B45F06"/>
    <w:rsid w:val="00B45F39"/>
    <w:rsid w:val="00B4603F"/>
    <w:rsid w:val="00B46052"/>
    <w:rsid w:val="00B46150"/>
    <w:rsid w:val="00B461F1"/>
    <w:rsid w:val="00B461F4"/>
    <w:rsid w:val="00B46296"/>
    <w:rsid w:val="00B462D5"/>
    <w:rsid w:val="00B46338"/>
    <w:rsid w:val="00B46395"/>
    <w:rsid w:val="00B463B2"/>
    <w:rsid w:val="00B463C6"/>
    <w:rsid w:val="00B46483"/>
    <w:rsid w:val="00B4658A"/>
    <w:rsid w:val="00B465D1"/>
    <w:rsid w:val="00B46656"/>
    <w:rsid w:val="00B466BC"/>
    <w:rsid w:val="00B466C3"/>
    <w:rsid w:val="00B466C5"/>
    <w:rsid w:val="00B46739"/>
    <w:rsid w:val="00B4673B"/>
    <w:rsid w:val="00B46791"/>
    <w:rsid w:val="00B46813"/>
    <w:rsid w:val="00B4682C"/>
    <w:rsid w:val="00B468AE"/>
    <w:rsid w:val="00B468C0"/>
    <w:rsid w:val="00B468DC"/>
    <w:rsid w:val="00B468DF"/>
    <w:rsid w:val="00B469EA"/>
    <w:rsid w:val="00B469FF"/>
    <w:rsid w:val="00B46A57"/>
    <w:rsid w:val="00B46A8F"/>
    <w:rsid w:val="00B46B09"/>
    <w:rsid w:val="00B46B2A"/>
    <w:rsid w:val="00B46B3C"/>
    <w:rsid w:val="00B46B56"/>
    <w:rsid w:val="00B46BC8"/>
    <w:rsid w:val="00B46C56"/>
    <w:rsid w:val="00B46D2D"/>
    <w:rsid w:val="00B46DB0"/>
    <w:rsid w:val="00B46F10"/>
    <w:rsid w:val="00B46F17"/>
    <w:rsid w:val="00B46F2C"/>
    <w:rsid w:val="00B46FD2"/>
    <w:rsid w:val="00B46FFA"/>
    <w:rsid w:val="00B47008"/>
    <w:rsid w:val="00B47010"/>
    <w:rsid w:val="00B4708D"/>
    <w:rsid w:val="00B470BD"/>
    <w:rsid w:val="00B47149"/>
    <w:rsid w:val="00B47188"/>
    <w:rsid w:val="00B471D7"/>
    <w:rsid w:val="00B471F4"/>
    <w:rsid w:val="00B47213"/>
    <w:rsid w:val="00B47247"/>
    <w:rsid w:val="00B47261"/>
    <w:rsid w:val="00B472C4"/>
    <w:rsid w:val="00B472C9"/>
    <w:rsid w:val="00B473A1"/>
    <w:rsid w:val="00B4741E"/>
    <w:rsid w:val="00B4744B"/>
    <w:rsid w:val="00B47467"/>
    <w:rsid w:val="00B47543"/>
    <w:rsid w:val="00B47602"/>
    <w:rsid w:val="00B476FA"/>
    <w:rsid w:val="00B476FB"/>
    <w:rsid w:val="00B47848"/>
    <w:rsid w:val="00B478C5"/>
    <w:rsid w:val="00B478DA"/>
    <w:rsid w:val="00B478F1"/>
    <w:rsid w:val="00B47953"/>
    <w:rsid w:val="00B479E1"/>
    <w:rsid w:val="00B47BC0"/>
    <w:rsid w:val="00B47BD2"/>
    <w:rsid w:val="00B47C38"/>
    <w:rsid w:val="00B47D28"/>
    <w:rsid w:val="00B47DD8"/>
    <w:rsid w:val="00B47ED1"/>
    <w:rsid w:val="00B47EF3"/>
    <w:rsid w:val="00B47FAD"/>
    <w:rsid w:val="00B47FE2"/>
    <w:rsid w:val="00B500C1"/>
    <w:rsid w:val="00B50145"/>
    <w:rsid w:val="00B501B8"/>
    <w:rsid w:val="00B501F9"/>
    <w:rsid w:val="00B502CE"/>
    <w:rsid w:val="00B502E0"/>
    <w:rsid w:val="00B503C0"/>
    <w:rsid w:val="00B503C9"/>
    <w:rsid w:val="00B5046C"/>
    <w:rsid w:val="00B504D8"/>
    <w:rsid w:val="00B5055A"/>
    <w:rsid w:val="00B50567"/>
    <w:rsid w:val="00B50640"/>
    <w:rsid w:val="00B50642"/>
    <w:rsid w:val="00B50663"/>
    <w:rsid w:val="00B506D6"/>
    <w:rsid w:val="00B50717"/>
    <w:rsid w:val="00B50735"/>
    <w:rsid w:val="00B507C5"/>
    <w:rsid w:val="00B50818"/>
    <w:rsid w:val="00B508D9"/>
    <w:rsid w:val="00B508F1"/>
    <w:rsid w:val="00B50915"/>
    <w:rsid w:val="00B509DA"/>
    <w:rsid w:val="00B50A87"/>
    <w:rsid w:val="00B50BDD"/>
    <w:rsid w:val="00B50C03"/>
    <w:rsid w:val="00B50C31"/>
    <w:rsid w:val="00B50C67"/>
    <w:rsid w:val="00B50D11"/>
    <w:rsid w:val="00B50D51"/>
    <w:rsid w:val="00B50D86"/>
    <w:rsid w:val="00B50E06"/>
    <w:rsid w:val="00B50E73"/>
    <w:rsid w:val="00B50E8B"/>
    <w:rsid w:val="00B50F69"/>
    <w:rsid w:val="00B510A7"/>
    <w:rsid w:val="00B51218"/>
    <w:rsid w:val="00B51235"/>
    <w:rsid w:val="00B5128E"/>
    <w:rsid w:val="00B512B2"/>
    <w:rsid w:val="00B512C3"/>
    <w:rsid w:val="00B51314"/>
    <w:rsid w:val="00B51395"/>
    <w:rsid w:val="00B513F3"/>
    <w:rsid w:val="00B514D9"/>
    <w:rsid w:val="00B514ED"/>
    <w:rsid w:val="00B514EF"/>
    <w:rsid w:val="00B51507"/>
    <w:rsid w:val="00B51602"/>
    <w:rsid w:val="00B5160F"/>
    <w:rsid w:val="00B5172E"/>
    <w:rsid w:val="00B51754"/>
    <w:rsid w:val="00B518BB"/>
    <w:rsid w:val="00B51914"/>
    <w:rsid w:val="00B519A9"/>
    <w:rsid w:val="00B51A25"/>
    <w:rsid w:val="00B51AB9"/>
    <w:rsid w:val="00B51B0B"/>
    <w:rsid w:val="00B51B10"/>
    <w:rsid w:val="00B51B81"/>
    <w:rsid w:val="00B51BD5"/>
    <w:rsid w:val="00B51E5B"/>
    <w:rsid w:val="00B51E9D"/>
    <w:rsid w:val="00B51F04"/>
    <w:rsid w:val="00B51F27"/>
    <w:rsid w:val="00B51F98"/>
    <w:rsid w:val="00B520FC"/>
    <w:rsid w:val="00B5211B"/>
    <w:rsid w:val="00B521E9"/>
    <w:rsid w:val="00B52364"/>
    <w:rsid w:val="00B523E3"/>
    <w:rsid w:val="00B52431"/>
    <w:rsid w:val="00B52491"/>
    <w:rsid w:val="00B524FB"/>
    <w:rsid w:val="00B52516"/>
    <w:rsid w:val="00B525DA"/>
    <w:rsid w:val="00B525DF"/>
    <w:rsid w:val="00B525FE"/>
    <w:rsid w:val="00B526AA"/>
    <w:rsid w:val="00B526E0"/>
    <w:rsid w:val="00B526E4"/>
    <w:rsid w:val="00B526F8"/>
    <w:rsid w:val="00B52743"/>
    <w:rsid w:val="00B52791"/>
    <w:rsid w:val="00B527E7"/>
    <w:rsid w:val="00B52829"/>
    <w:rsid w:val="00B52867"/>
    <w:rsid w:val="00B528A4"/>
    <w:rsid w:val="00B529D3"/>
    <w:rsid w:val="00B52A39"/>
    <w:rsid w:val="00B52A7A"/>
    <w:rsid w:val="00B52B24"/>
    <w:rsid w:val="00B52B33"/>
    <w:rsid w:val="00B52B9D"/>
    <w:rsid w:val="00B52BC4"/>
    <w:rsid w:val="00B52BDE"/>
    <w:rsid w:val="00B52C21"/>
    <w:rsid w:val="00B52CBD"/>
    <w:rsid w:val="00B52D4C"/>
    <w:rsid w:val="00B52D5C"/>
    <w:rsid w:val="00B52D88"/>
    <w:rsid w:val="00B52DFF"/>
    <w:rsid w:val="00B52E24"/>
    <w:rsid w:val="00B52E6B"/>
    <w:rsid w:val="00B52E8B"/>
    <w:rsid w:val="00B5312C"/>
    <w:rsid w:val="00B53152"/>
    <w:rsid w:val="00B5318A"/>
    <w:rsid w:val="00B53289"/>
    <w:rsid w:val="00B532D9"/>
    <w:rsid w:val="00B53308"/>
    <w:rsid w:val="00B533FD"/>
    <w:rsid w:val="00B5342A"/>
    <w:rsid w:val="00B53443"/>
    <w:rsid w:val="00B535C7"/>
    <w:rsid w:val="00B53711"/>
    <w:rsid w:val="00B537F2"/>
    <w:rsid w:val="00B5385F"/>
    <w:rsid w:val="00B53872"/>
    <w:rsid w:val="00B538AA"/>
    <w:rsid w:val="00B53957"/>
    <w:rsid w:val="00B539B7"/>
    <w:rsid w:val="00B539E0"/>
    <w:rsid w:val="00B53AC6"/>
    <w:rsid w:val="00B53ACE"/>
    <w:rsid w:val="00B53B18"/>
    <w:rsid w:val="00B53C23"/>
    <w:rsid w:val="00B53D67"/>
    <w:rsid w:val="00B53D8C"/>
    <w:rsid w:val="00B53DE8"/>
    <w:rsid w:val="00B53F0E"/>
    <w:rsid w:val="00B53F31"/>
    <w:rsid w:val="00B53FD2"/>
    <w:rsid w:val="00B54079"/>
    <w:rsid w:val="00B540B7"/>
    <w:rsid w:val="00B5412E"/>
    <w:rsid w:val="00B541F6"/>
    <w:rsid w:val="00B54230"/>
    <w:rsid w:val="00B54254"/>
    <w:rsid w:val="00B54265"/>
    <w:rsid w:val="00B54357"/>
    <w:rsid w:val="00B543CD"/>
    <w:rsid w:val="00B54480"/>
    <w:rsid w:val="00B545DF"/>
    <w:rsid w:val="00B54784"/>
    <w:rsid w:val="00B5483E"/>
    <w:rsid w:val="00B54852"/>
    <w:rsid w:val="00B549A0"/>
    <w:rsid w:val="00B54A29"/>
    <w:rsid w:val="00B54A2C"/>
    <w:rsid w:val="00B54A31"/>
    <w:rsid w:val="00B54A51"/>
    <w:rsid w:val="00B54AD5"/>
    <w:rsid w:val="00B54B19"/>
    <w:rsid w:val="00B54C34"/>
    <w:rsid w:val="00B54C84"/>
    <w:rsid w:val="00B54D43"/>
    <w:rsid w:val="00B54DCE"/>
    <w:rsid w:val="00B54E6A"/>
    <w:rsid w:val="00B54E9E"/>
    <w:rsid w:val="00B54EB3"/>
    <w:rsid w:val="00B54F2F"/>
    <w:rsid w:val="00B5506C"/>
    <w:rsid w:val="00B550C5"/>
    <w:rsid w:val="00B5510A"/>
    <w:rsid w:val="00B55125"/>
    <w:rsid w:val="00B5526B"/>
    <w:rsid w:val="00B5527D"/>
    <w:rsid w:val="00B552CD"/>
    <w:rsid w:val="00B5534A"/>
    <w:rsid w:val="00B55366"/>
    <w:rsid w:val="00B5538F"/>
    <w:rsid w:val="00B5539A"/>
    <w:rsid w:val="00B553A0"/>
    <w:rsid w:val="00B553F2"/>
    <w:rsid w:val="00B5543B"/>
    <w:rsid w:val="00B554C8"/>
    <w:rsid w:val="00B554D1"/>
    <w:rsid w:val="00B55507"/>
    <w:rsid w:val="00B55518"/>
    <w:rsid w:val="00B55581"/>
    <w:rsid w:val="00B55591"/>
    <w:rsid w:val="00B55660"/>
    <w:rsid w:val="00B5566C"/>
    <w:rsid w:val="00B55695"/>
    <w:rsid w:val="00B556B9"/>
    <w:rsid w:val="00B556DD"/>
    <w:rsid w:val="00B55701"/>
    <w:rsid w:val="00B5578F"/>
    <w:rsid w:val="00B557CC"/>
    <w:rsid w:val="00B55804"/>
    <w:rsid w:val="00B55806"/>
    <w:rsid w:val="00B558A8"/>
    <w:rsid w:val="00B558EB"/>
    <w:rsid w:val="00B55A83"/>
    <w:rsid w:val="00B55A8E"/>
    <w:rsid w:val="00B55A97"/>
    <w:rsid w:val="00B55AA1"/>
    <w:rsid w:val="00B55B53"/>
    <w:rsid w:val="00B55BC0"/>
    <w:rsid w:val="00B55CD4"/>
    <w:rsid w:val="00B55CDA"/>
    <w:rsid w:val="00B55DF3"/>
    <w:rsid w:val="00B55E01"/>
    <w:rsid w:val="00B55E4F"/>
    <w:rsid w:val="00B55EAC"/>
    <w:rsid w:val="00B55EB0"/>
    <w:rsid w:val="00B55EBD"/>
    <w:rsid w:val="00B55EDA"/>
    <w:rsid w:val="00B55F62"/>
    <w:rsid w:val="00B55FFD"/>
    <w:rsid w:val="00B56051"/>
    <w:rsid w:val="00B5607F"/>
    <w:rsid w:val="00B560B9"/>
    <w:rsid w:val="00B56106"/>
    <w:rsid w:val="00B5616E"/>
    <w:rsid w:val="00B561FC"/>
    <w:rsid w:val="00B56203"/>
    <w:rsid w:val="00B56249"/>
    <w:rsid w:val="00B5636C"/>
    <w:rsid w:val="00B563B1"/>
    <w:rsid w:val="00B563E2"/>
    <w:rsid w:val="00B56408"/>
    <w:rsid w:val="00B56522"/>
    <w:rsid w:val="00B56569"/>
    <w:rsid w:val="00B56574"/>
    <w:rsid w:val="00B56576"/>
    <w:rsid w:val="00B56592"/>
    <w:rsid w:val="00B565B3"/>
    <w:rsid w:val="00B565EC"/>
    <w:rsid w:val="00B5665D"/>
    <w:rsid w:val="00B5667D"/>
    <w:rsid w:val="00B56719"/>
    <w:rsid w:val="00B5679C"/>
    <w:rsid w:val="00B5679D"/>
    <w:rsid w:val="00B568B0"/>
    <w:rsid w:val="00B568FD"/>
    <w:rsid w:val="00B56925"/>
    <w:rsid w:val="00B569E6"/>
    <w:rsid w:val="00B56A29"/>
    <w:rsid w:val="00B56A9D"/>
    <w:rsid w:val="00B56BAA"/>
    <w:rsid w:val="00B56CCE"/>
    <w:rsid w:val="00B56D0F"/>
    <w:rsid w:val="00B56D75"/>
    <w:rsid w:val="00B5706C"/>
    <w:rsid w:val="00B570AD"/>
    <w:rsid w:val="00B5714C"/>
    <w:rsid w:val="00B57153"/>
    <w:rsid w:val="00B57155"/>
    <w:rsid w:val="00B57254"/>
    <w:rsid w:val="00B57262"/>
    <w:rsid w:val="00B5737D"/>
    <w:rsid w:val="00B57530"/>
    <w:rsid w:val="00B575C7"/>
    <w:rsid w:val="00B575CF"/>
    <w:rsid w:val="00B575F6"/>
    <w:rsid w:val="00B57690"/>
    <w:rsid w:val="00B5771E"/>
    <w:rsid w:val="00B5773E"/>
    <w:rsid w:val="00B57782"/>
    <w:rsid w:val="00B577DE"/>
    <w:rsid w:val="00B5781F"/>
    <w:rsid w:val="00B57B03"/>
    <w:rsid w:val="00B57B74"/>
    <w:rsid w:val="00B57BEF"/>
    <w:rsid w:val="00B57CDA"/>
    <w:rsid w:val="00B57CEF"/>
    <w:rsid w:val="00B57CF0"/>
    <w:rsid w:val="00B57CF7"/>
    <w:rsid w:val="00B57E06"/>
    <w:rsid w:val="00B57E9B"/>
    <w:rsid w:val="00B57EE4"/>
    <w:rsid w:val="00B57FCB"/>
    <w:rsid w:val="00B60002"/>
    <w:rsid w:val="00B60009"/>
    <w:rsid w:val="00B600D8"/>
    <w:rsid w:val="00B600DF"/>
    <w:rsid w:val="00B60108"/>
    <w:rsid w:val="00B6010F"/>
    <w:rsid w:val="00B601BB"/>
    <w:rsid w:val="00B6020B"/>
    <w:rsid w:val="00B603B7"/>
    <w:rsid w:val="00B603E8"/>
    <w:rsid w:val="00B604A4"/>
    <w:rsid w:val="00B60590"/>
    <w:rsid w:val="00B605C3"/>
    <w:rsid w:val="00B605E6"/>
    <w:rsid w:val="00B6060E"/>
    <w:rsid w:val="00B60629"/>
    <w:rsid w:val="00B6067A"/>
    <w:rsid w:val="00B606D2"/>
    <w:rsid w:val="00B606EF"/>
    <w:rsid w:val="00B60755"/>
    <w:rsid w:val="00B6075A"/>
    <w:rsid w:val="00B6077B"/>
    <w:rsid w:val="00B607AD"/>
    <w:rsid w:val="00B608E4"/>
    <w:rsid w:val="00B60C67"/>
    <w:rsid w:val="00B60D51"/>
    <w:rsid w:val="00B60E31"/>
    <w:rsid w:val="00B60E3A"/>
    <w:rsid w:val="00B60F16"/>
    <w:rsid w:val="00B60F26"/>
    <w:rsid w:val="00B60F32"/>
    <w:rsid w:val="00B61053"/>
    <w:rsid w:val="00B6110A"/>
    <w:rsid w:val="00B61113"/>
    <w:rsid w:val="00B61159"/>
    <w:rsid w:val="00B611CE"/>
    <w:rsid w:val="00B6121D"/>
    <w:rsid w:val="00B6125E"/>
    <w:rsid w:val="00B612DA"/>
    <w:rsid w:val="00B612DC"/>
    <w:rsid w:val="00B61326"/>
    <w:rsid w:val="00B61461"/>
    <w:rsid w:val="00B61478"/>
    <w:rsid w:val="00B614A2"/>
    <w:rsid w:val="00B6156D"/>
    <w:rsid w:val="00B61583"/>
    <w:rsid w:val="00B61590"/>
    <w:rsid w:val="00B61595"/>
    <w:rsid w:val="00B615DE"/>
    <w:rsid w:val="00B616B8"/>
    <w:rsid w:val="00B61770"/>
    <w:rsid w:val="00B617CC"/>
    <w:rsid w:val="00B61979"/>
    <w:rsid w:val="00B61990"/>
    <w:rsid w:val="00B619A9"/>
    <w:rsid w:val="00B61A4A"/>
    <w:rsid w:val="00B61A94"/>
    <w:rsid w:val="00B61AD1"/>
    <w:rsid w:val="00B61ADA"/>
    <w:rsid w:val="00B61B47"/>
    <w:rsid w:val="00B61B5D"/>
    <w:rsid w:val="00B61BA6"/>
    <w:rsid w:val="00B61C11"/>
    <w:rsid w:val="00B61C27"/>
    <w:rsid w:val="00B61D04"/>
    <w:rsid w:val="00B61D54"/>
    <w:rsid w:val="00B61EF9"/>
    <w:rsid w:val="00B61FE0"/>
    <w:rsid w:val="00B62068"/>
    <w:rsid w:val="00B620AA"/>
    <w:rsid w:val="00B620E5"/>
    <w:rsid w:val="00B6220B"/>
    <w:rsid w:val="00B622FC"/>
    <w:rsid w:val="00B6233A"/>
    <w:rsid w:val="00B62384"/>
    <w:rsid w:val="00B625F0"/>
    <w:rsid w:val="00B6266E"/>
    <w:rsid w:val="00B626B5"/>
    <w:rsid w:val="00B626F5"/>
    <w:rsid w:val="00B62735"/>
    <w:rsid w:val="00B628E1"/>
    <w:rsid w:val="00B629D1"/>
    <w:rsid w:val="00B62A00"/>
    <w:rsid w:val="00B62A43"/>
    <w:rsid w:val="00B62B1F"/>
    <w:rsid w:val="00B62C75"/>
    <w:rsid w:val="00B62C9D"/>
    <w:rsid w:val="00B62CA5"/>
    <w:rsid w:val="00B62CC6"/>
    <w:rsid w:val="00B62DF2"/>
    <w:rsid w:val="00B62DFE"/>
    <w:rsid w:val="00B62E88"/>
    <w:rsid w:val="00B62FD9"/>
    <w:rsid w:val="00B6303E"/>
    <w:rsid w:val="00B63044"/>
    <w:rsid w:val="00B6308C"/>
    <w:rsid w:val="00B63118"/>
    <w:rsid w:val="00B631C3"/>
    <w:rsid w:val="00B631CB"/>
    <w:rsid w:val="00B6324F"/>
    <w:rsid w:val="00B632D3"/>
    <w:rsid w:val="00B6330A"/>
    <w:rsid w:val="00B633A8"/>
    <w:rsid w:val="00B633AA"/>
    <w:rsid w:val="00B633EE"/>
    <w:rsid w:val="00B634A4"/>
    <w:rsid w:val="00B63527"/>
    <w:rsid w:val="00B63543"/>
    <w:rsid w:val="00B63556"/>
    <w:rsid w:val="00B635A2"/>
    <w:rsid w:val="00B635D7"/>
    <w:rsid w:val="00B635DA"/>
    <w:rsid w:val="00B6368D"/>
    <w:rsid w:val="00B636DC"/>
    <w:rsid w:val="00B63728"/>
    <w:rsid w:val="00B637AA"/>
    <w:rsid w:val="00B638AA"/>
    <w:rsid w:val="00B638BD"/>
    <w:rsid w:val="00B63907"/>
    <w:rsid w:val="00B63999"/>
    <w:rsid w:val="00B63BC2"/>
    <w:rsid w:val="00B63BE3"/>
    <w:rsid w:val="00B63BF1"/>
    <w:rsid w:val="00B63C90"/>
    <w:rsid w:val="00B63CF5"/>
    <w:rsid w:val="00B63DA2"/>
    <w:rsid w:val="00B63DDE"/>
    <w:rsid w:val="00B63ECF"/>
    <w:rsid w:val="00B63F49"/>
    <w:rsid w:val="00B64053"/>
    <w:rsid w:val="00B640FA"/>
    <w:rsid w:val="00B640FB"/>
    <w:rsid w:val="00B641F1"/>
    <w:rsid w:val="00B64240"/>
    <w:rsid w:val="00B6425B"/>
    <w:rsid w:val="00B642D5"/>
    <w:rsid w:val="00B643D6"/>
    <w:rsid w:val="00B643F4"/>
    <w:rsid w:val="00B64448"/>
    <w:rsid w:val="00B64521"/>
    <w:rsid w:val="00B6455B"/>
    <w:rsid w:val="00B6459F"/>
    <w:rsid w:val="00B645E7"/>
    <w:rsid w:val="00B6461E"/>
    <w:rsid w:val="00B64648"/>
    <w:rsid w:val="00B64700"/>
    <w:rsid w:val="00B64711"/>
    <w:rsid w:val="00B64758"/>
    <w:rsid w:val="00B647CA"/>
    <w:rsid w:val="00B64908"/>
    <w:rsid w:val="00B64959"/>
    <w:rsid w:val="00B64A9D"/>
    <w:rsid w:val="00B64AB1"/>
    <w:rsid w:val="00B64AD1"/>
    <w:rsid w:val="00B64BAA"/>
    <w:rsid w:val="00B64C58"/>
    <w:rsid w:val="00B64CB0"/>
    <w:rsid w:val="00B64CCA"/>
    <w:rsid w:val="00B64CFB"/>
    <w:rsid w:val="00B64D30"/>
    <w:rsid w:val="00B64DB1"/>
    <w:rsid w:val="00B64E74"/>
    <w:rsid w:val="00B64EA6"/>
    <w:rsid w:val="00B64EAD"/>
    <w:rsid w:val="00B64F94"/>
    <w:rsid w:val="00B64FB3"/>
    <w:rsid w:val="00B64FD3"/>
    <w:rsid w:val="00B651CA"/>
    <w:rsid w:val="00B651CD"/>
    <w:rsid w:val="00B6534A"/>
    <w:rsid w:val="00B65364"/>
    <w:rsid w:val="00B653BE"/>
    <w:rsid w:val="00B65488"/>
    <w:rsid w:val="00B6553E"/>
    <w:rsid w:val="00B6559D"/>
    <w:rsid w:val="00B6566B"/>
    <w:rsid w:val="00B656FB"/>
    <w:rsid w:val="00B65777"/>
    <w:rsid w:val="00B657BF"/>
    <w:rsid w:val="00B65871"/>
    <w:rsid w:val="00B65925"/>
    <w:rsid w:val="00B65A13"/>
    <w:rsid w:val="00B65B91"/>
    <w:rsid w:val="00B65BC7"/>
    <w:rsid w:val="00B65BFB"/>
    <w:rsid w:val="00B65C1D"/>
    <w:rsid w:val="00B65CA8"/>
    <w:rsid w:val="00B65CB7"/>
    <w:rsid w:val="00B65D21"/>
    <w:rsid w:val="00B65D2C"/>
    <w:rsid w:val="00B65D55"/>
    <w:rsid w:val="00B65D82"/>
    <w:rsid w:val="00B65E6F"/>
    <w:rsid w:val="00B65EC8"/>
    <w:rsid w:val="00B65ED8"/>
    <w:rsid w:val="00B65F0D"/>
    <w:rsid w:val="00B65F23"/>
    <w:rsid w:val="00B65FA2"/>
    <w:rsid w:val="00B6605B"/>
    <w:rsid w:val="00B66081"/>
    <w:rsid w:val="00B660DE"/>
    <w:rsid w:val="00B660E4"/>
    <w:rsid w:val="00B66191"/>
    <w:rsid w:val="00B661CD"/>
    <w:rsid w:val="00B661CE"/>
    <w:rsid w:val="00B6623B"/>
    <w:rsid w:val="00B6626C"/>
    <w:rsid w:val="00B662EA"/>
    <w:rsid w:val="00B66303"/>
    <w:rsid w:val="00B6630E"/>
    <w:rsid w:val="00B664AB"/>
    <w:rsid w:val="00B66526"/>
    <w:rsid w:val="00B6654A"/>
    <w:rsid w:val="00B6654C"/>
    <w:rsid w:val="00B66595"/>
    <w:rsid w:val="00B6664F"/>
    <w:rsid w:val="00B66663"/>
    <w:rsid w:val="00B6669A"/>
    <w:rsid w:val="00B666EA"/>
    <w:rsid w:val="00B667F1"/>
    <w:rsid w:val="00B668AF"/>
    <w:rsid w:val="00B668DE"/>
    <w:rsid w:val="00B66919"/>
    <w:rsid w:val="00B66964"/>
    <w:rsid w:val="00B6699B"/>
    <w:rsid w:val="00B669C0"/>
    <w:rsid w:val="00B66A53"/>
    <w:rsid w:val="00B66BF4"/>
    <w:rsid w:val="00B66C91"/>
    <w:rsid w:val="00B66CD2"/>
    <w:rsid w:val="00B66DAB"/>
    <w:rsid w:val="00B66E90"/>
    <w:rsid w:val="00B66F17"/>
    <w:rsid w:val="00B66F98"/>
    <w:rsid w:val="00B66FBB"/>
    <w:rsid w:val="00B66FCB"/>
    <w:rsid w:val="00B67013"/>
    <w:rsid w:val="00B6711A"/>
    <w:rsid w:val="00B67180"/>
    <w:rsid w:val="00B67234"/>
    <w:rsid w:val="00B67297"/>
    <w:rsid w:val="00B672A4"/>
    <w:rsid w:val="00B672DA"/>
    <w:rsid w:val="00B67306"/>
    <w:rsid w:val="00B6731E"/>
    <w:rsid w:val="00B67326"/>
    <w:rsid w:val="00B67384"/>
    <w:rsid w:val="00B67390"/>
    <w:rsid w:val="00B673AD"/>
    <w:rsid w:val="00B673CF"/>
    <w:rsid w:val="00B67405"/>
    <w:rsid w:val="00B6766D"/>
    <w:rsid w:val="00B67698"/>
    <w:rsid w:val="00B676BC"/>
    <w:rsid w:val="00B676E8"/>
    <w:rsid w:val="00B676F4"/>
    <w:rsid w:val="00B67714"/>
    <w:rsid w:val="00B67749"/>
    <w:rsid w:val="00B67765"/>
    <w:rsid w:val="00B67783"/>
    <w:rsid w:val="00B67803"/>
    <w:rsid w:val="00B67885"/>
    <w:rsid w:val="00B67AFD"/>
    <w:rsid w:val="00B67C55"/>
    <w:rsid w:val="00B67D07"/>
    <w:rsid w:val="00B67DD5"/>
    <w:rsid w:val="00B67E21"/>
    <w:rsid w:val="00B67E79"/>
    <w:rsid w:val="00B67EBD"/>
    <w:rsid w:val="00B67EEE"/>
    <w:rsid w:val="00B67F78"/>
    <w:rsid w:val="00B67FD0"/>
    <w:rsid w:val="00B70008"/>
    <w:rsid w:val="00B700EF"/>
    <w:rsid w:val="00B70182"/>
    <w:rsid w:val="00B7027E"/>
    <w:rsid w:val="00B70295"/>
    <w:rsid w:val="00B70303"/>
    <w:rsid w:val="00B703AF"/>
    <w:rsid w:val="00B7044A"/>
    <w:rsid w:val="00B704A9"/>
    <w:rsid w:val="00B70512"/>
    <w:rsid w:val="00B705D8"/>
    <w:rsid w:val="00B70667"/>
    <w:rsid w:val="00B706DB"/>
    <w:rsid w:val="00B70775"/>
    <w:rsid w:val="00B707AF"/>
    <w:rsid w:val="00B707BD"/>
    <w:rsid w:val="00B707C7"/>
    <w:rsid w:val="00B70808"/>
    <w:rsid w:val="00B7085B"/>
    <w:rsid w:val="00B708BF"/>
    <w:rsid w:val="00B709DD"/>
    <w:rsid w:val="00B709EF"/>
    <w:rsid w:val="00B70BB4"/>
    <w:rsid w:val="00B70BC7"/>
    <w:rsid w:val="00B70C9A"/>
    <w:rsid w:val="00B70D81"/>
    <w:rsid w:val="00B70D90"/>
    <w:rsid w:val="00B70E5F"/>
    <w:rsid w:val="00B70F69"/>
    <w:rsid w:val="00B70FCA"/>
    <w:rsid w:val="00B7107F"/>
    <w:rsid w:val="00B710C4"/>
    <w:rsid w:val="00B710D6"/>
    <w:rsid w:val="00B712FF"/>
    <w:rsid w:val="00B7134E"/>
    <w:rsid w:val="00B71449"/>
    <w:rsid w:val="00B71482"/>
    <w:rsid w:val="00B71600"/>
    <w:rsid w:val="00B71758"/>
    <w:rsid w:val="00B71850"/>
    <w:rsid w:val="00B71A25"/>
    <w:rsid w:val="00B71A85"/>
    <w:rsid w:val="00B71AD1"/>
    <w:rsid w:val="00B71AF4"/>
    <w:rsid w:val="00B71B54"/>
    <w:rsid w:val="00B71B5D"/>
    <w:rsid w:val="00B71D4C"/>
    <w:rsid w:val="00B71D68"/>
    <w:rsid w:val="00B71DBA"/>
    <w:rsid w:val="00B71DD7"/>
    <w:rsid w:val="00B71EDD"/>
    <w:rsid w:val="00B71F82"/>
    <w:rsid w:val="00B71F8A"/>
    <w:rsid w:val="00B71F99"/>
    <w:rsid w:val="00B71FAF"/>
    <w:rsid w:val="00B71FD9"/>
    <w:rsid w:val="00B72043"/>
    <w:rsid w:val="00B72069"/>
    <w:rsid w:val="00B720CE"/>
    <w:rsid w:val="00B7212C"/>
    <w:rsid w:val="00B7212F"/>
    <w:rsid w:val="00B72139"/>
    <w:rsid w:val="00B72160"/>
    <w:rsid w:val="00B72186"/>
    <w:rsid w:val="00B72228"/>
    <w:rsid w:val="00B72233"/>
    <w:rsid w:val="00B722B3"/>
    <w:rsid w:val="00B7233F"/>
    <w:rsid w:val="00B72343"/>
    <w:rsid w:val="00B723D3"/>
    <w:rsid w:val="00B72575"/>
    <w:rsid w:val="00B725BE"/>
    <w:rsid w:val="00B725E5"/>
    <w:rsid w:val="00B72638"/>
    <w:rsid w:val="00B726AE"/>
    <w:rsid w:val="00B727B6"/>
    <w:rsid w:val="00B727C6"/>
    <w:rsid w:val="00B728A4"/>
    <w:rsid w:val="00B72941"/>
    <w:rsid w:val="00B72948"/>
    <w:rsid w:val="00B72A0E"/>
    <w:rsid w:val="00B72A56"/>
    <w:rsid w:val="00B72A75"/>
    <w:rsid w:val="00B72AEB"/>
    <w:rsid w:val="00B72B31"/>
    <w:rsid w:val="00B72BBB"/>
    <w:rsid w:val="00B72C4B"/>
    <w:rsid w:val="00B72D90"/>
    <w:rsid w:val="00B72E8E"/>
    <w:rsid w:val="00B72ECB"/>
    <w:rsid w:val="00B73082"/>
    <w:rsid w:val="00B730D6"/>
    <w:rsid w:val="00B731AD"/>
    <w:rsid w:val="00B73287"/>
    <w:rsid w:val="00B732C1"/>
    <w:rsid w:val="00B73344"/>
    <w:rsid w:val="00B73440"/>
    <w:rsid w:val="00B73442"/>
    <w:rsid w:val="00B7347D"/>
    <w:rsid w:val="00B734B6"/>
    <w:rsid w:val="00B734BB"/>
    <w:rsid w:val="00B73528"/>
    <w:rsid w:val="00B736A2"/>
    <w:rsid w:val="00B736A4"/>
    <w:rsid w:val="00B737B7"/>
    <w:rsid w:val="00B7385E"/>
    <w:rsid w:val="00B738BA"/>
    <w:rsid w:val="00B738C7"/>
    <w:rsid w:val="00B73AC6"/>
    <w:rsid w:val="00B73B95"/>
    <w:rsid w:val="00B73BC3"/>
    <w:rsid w:val="00B73CE9"/>
    <w:rsid w:val="00B73D6F"/>
    <w:rsid w:val="00B73D79"/>
    <w:rsid w:val="00B73D7E"/>
    <w:rsid w:val="00B73EFA"/>
    <w:rsid w:val="00B73F2B"/>
    <w:rsid w:val="00B73F65"/>
    <w:rsid w:val="00B73F77"/>
    <w:rsid w:val="00B73FC9"/>
    <w:rsid w:val="00B740C6"/>
    <w:rsid w:val="00B74123"/>
    <w:rsid w:val="00B7418A"/>
    <w:rsid w:val="00B741FB"/>
    <w:rsid w:val="00B74213"/>
    <w:rsid w:val="00B74300"/>
    <w:rsid w:val="00B74305"/>
    <w:rsid w:val="00B74341"/>
    <w:rsid w:val="00B743BA"/>
    <w:rsid w:val="00B743C4"/>
    <w:rsid w:val="00B74483"/>
    <w:rsid w:val="00B744EB"/>
    <w:rsid w:val="00B74574"/>
    <w:rsid w:val="00B745BE"/>
    <w:rsid w:val="00B7463E"/>
    <w:rsid w:val="00B7466A"/>
    <w:rsid w:val="00B74695"/>
    <w:rsid w:val="00B746B9"/>
    <w:rsid w:val="00B746C5"/>
    <w:rsid w:val="00B746DE"/>
    <w:rsid w:val="00B746DF"/>
    <w:rsid w:val="00B74729"/>
    <w:rsid w:val="00B7474A"/>
    <w:rsid w:val="00B7481D"/>
    <w:rsid w:val="00B74919"/>
    <w:rsid w:val="00B74A06"/>
    <w:rsid w:val="00B74AEA"/>
    <w:rsid w:val="00B74BC1"/>
    <w:rsid w:val="00B74CA2"/>
    <w:rsid w:val="00B74CBD"/>
    <w:rsid w:val="00B74D5A"/>
    <w:rsid w:val="00B74DEC"/>
    <w:rsid w:val="00B74E13"/>
    <w:rsid w:val="00B74EF7"/>
    <w:rsid w:val="00B74F06"/>
    <w:rsid w:val="00B74F6F"/>
    <w:rsid w:val="00B74F7E"/>
    <w:rsid w:val="00B74FA8"/>
    <w:rsid w:val="00B74FAE"/>
    <w:rsid w:val="00B75003"/>
    <w:rsid w:val="00B75011"/>
    <w:rsid w:val="00B7504A"/>
    <w:rsid w:val="00B750ED"/>
    <w:rsid w:val="00B7511C"/>
    <w:rsid w:val="00B75141"/>
    <w:rsid w:val="00B751E4"/>
    <w:rsid w:val="00B7523A"/>
    <w:rsid w:val="00B752D3"/>
    <w:rsid w:val="00B75303"/>
    <w:rsid w:val="00B75317"/>
    <w:rsid w:val="00B75482"/>
    <w:rsid w:val="00B75493"/>
    <w:rsid w:val="00B754BE"/>
    <w:rsid w:val="00B75509"/>
    <w:rsid w:val="00B7564F"/>
    <w:rsid w:val="00B756E0"/>
    <w:rsid w:val="00B756E6"/>
    <w:rsid w:val="00B75738"/>
    <w:rsid w:val="00B75780"/>
    <w:rsid w:val="00B7583D"/>
    <w:rsid w:val="00B758D0"/>
    <w:rsid w:val="00B75972"/>
    <w:rsid w:val="00B75997"/>
    <w:rsid w:val="00B759B5"/>
    <w:rsid w:val="00B759B8"/>
    <w:rsid w:val="00B759EE"/>
    <w:rsid w:val="00B75A0D"/>
    <w:rsid w:val="00B75B12"/>
    <w:rsid w:val="00B75B1A"/>
    <w:rsid w:val="00B75B37"/>
    <w:rsid w:val="00B75B83"/>
    <w:rsid w:val="00B75BDE"/>
    <w:rsid w:val="00B75C7F"/>
    <w:rsid w:val="00B75D5C"/>
    <w:rsid w:val="00B75D87"/>
    <w:rsid w:val="00B75D92"/>
    <w:rsid w:val="00B75D9A"/>
    <w:rsid w:val="00B75DD7"/>
    <w:rsid w:val="00B75E33"/>
    <w:rsid w:val="00B75EE6"/>
    <w:rsid w:val="00B75F6C"/>
    <w:rsid w:val="00B75F92"/>
    <w:rsid w:val="00B75F99"/>
    <w:rsid w:val="00B75FCC"/>
    <w:rsid w:val="00B75FD3"/>
    <w:rsid w:val="00B75FDB"/>
    <w:rsid w:val="00B76144"/>
    <w:rsid w:val="00B761F9"/>
    <w:rsid w:val="00B7621E"/>
    <w:rsid w:val="00B7633E"/>
    <w:rsid w:val="00B76470"/>
    <w:rsid w:val="00B764C3"/>
    <w:rsid w:val="00B764F9"/>
    <w:rsid w:val="00B765B8"/>
    <w:rsid w:val="00B76696"/>
    <w:rsid w:val="00B766CB"/>
    <w:rsid w:val="00B76825"/>
    <w:rsid w:val="00B769D5"/>
    <w:rsid w:val="00B76A9F"/>
    <w:rsid w:val="00B76B89"/>
    <w:rsid w:val="00B76B9C"/>
    <w:rsid w:val="00B76C09"/>
    <w:rsid w:val="00B76C7C"/>
    <w:rsid w:val="00B76CFB"/>
    <w:rsid w:val="00B76D75"/>
    <w:rsid w:val="00B76E03"/>
    <w:rsid w:val="00B76F4B"/>
    <w:rsid w:val="00B77005"/>
    <w:rsid w:val="00B77053"/>
    <w:rsid w:val="00B771C6"/>
    <w:rsid w:val="00B77227"/>
    <w:rsid w:val="00B77249"/>
    <w:rsid w:val="00B772A1"/>
    <w:rsid w:val="00B772F2"/>
    <w:rsid w:val="00B7741D"/>
    <w:rsid w:val="00B774AD"/>
    <w:rsid w:val="00B774F2"/>
    <w:rsid w:val="00B774FB"/>
    <w:rsid w:val="00B77526"/>
    <w:rsid w:val="00B7763F"/>
    <w:rsid w:val="00B7765C"/>
    <w:rsid w:val="00B776AD"/>
    <w:rsid w:val="00B77784"/>
    <w:rsid w:val="00B777FF"/>
    <w:rsid w:val="00B77858"/>
    <w:rsid w:val="00B778CA"/>
    <w:rsid w:val="00B7792A"/>
    <w:rsid w:val="00B779D9"/>
    <w:rsid w:val="00B779E1"/>
    <w:rsid w:val="00B779E5"/>
    <w:rsid w:val="00B77BCA"/>
    <w:rsid w:val="00B77C28"/>
    <w:rsid w:val="00B77D3F"/>
    <w:rsid w:val="00B77D47"/>
    <w:rsid w:val="00B77DC9"/>
    <w:rsid w:val="00B77E75"/>
    <w:rsid w:val="00B77FA3"/>
    <w:rsid w:val="00B8008D"/>
    <w:rsid w:val="00B800E3"/>
    <w:rsid w:val="00B80166"/>
    <w:rsid w:val="00B8021F"/>
    <w:rsid w:val="00B8026D"/>
    <w:rsid w:val="00B802EB"/>
    <w:rsid w:val="00B80334"/>
    <w:rsid w:val="00B80335"/>
    <w:rsid w:val="00B80395"/>
    <w:rsid w:val="00B803AC"/>
    <w:rsid w:val="00B80402"/>
    <w:rsid w:val="00B80485"/>
    <w:rsid w:val="00B804F0"/>
    <w:rsid w:val="00B8051F"/>
    <w:rsid w:val="00B80528"/>
    <w:rsid w:val="00B80530"/>
    <w:rsid w:val="00B8055F"/>
    <w:rsid w:val="00B8067F"/>
    <w:rsid w:val="00B80758"/>
    <w:rsid w:val="00B80784"/>
    <w:rsid w:val="00B80809"/>
    <w:rsid w:val="00B80860"/>
    <w:rsid w:val="00B80932"/>
    <w:rsid w:val="00B8093D"/>
    <w:rsid w:val="00B80963"/>
    <w:rsid w:val="00B80A12"/>
    <w:rsid w:val="00B80A5A"/>
    <w:rsid w:val="00B80A65"/>
    <w:rsid w:val="00B80A84"/>
    <w:rsid w:val="00B80ACB"/>
    <w:rsid w:val="00B80AEB"/>
    <w:rsid w:val="00B80AF3"/>
    <w:rsid w:val="00B80B14"/>
    <w:rsid w:val="00B80B83"/>
    <w:rsid w:val="00B80BBC"/>
    <w:rsid w:val="00B80BE4"/>
    <w:rsid w:val="00B80C7A"/>
    <w:rsid w:val="00B80CCA"/>
    <w:rsid w:val="00B80CD1"/>
    <w:rsid w:val="00B80D02"/>
    <w:rsid w:val="00B80DBA"/>
    <w:rsid w:val="00B80E84"/>
    <w:rsid w:val="00B80E92"/>
    <w:rsid w:val="00B80F47"/>
    <w:rsid w:val="00B80F87"/>
    <w:rsid w:val="00B80FD0"/>
    <w:rsid w:val="00B81007"/>
    <w:rsid w:val="00B8102D"/>
    <w:rsid w:val="00B810B6"/>
    <w:rsid w:val="00B810D6"/>
    <w:rsid w:val="00B81146"/>
    <w:rsid w:val="00B81154"/>
    <w:rsid w:val="00B81161"/>
    <w:rsid w:val="00B8119F"/>
    <w:rsid w:val="00B81223"/>
    <w:rsid w:val="00B8122D"/>
    <w:rsid w:val="00B81251"/>
    <w:rsid w:val="00B8131A"/>
    <w:rsid w:val="00B8131F"/>
    <w:rsid w:val="00B81331"/>
    <w:rsid w:val="00B81343"/>
    <w:rsid w:val="00B8145A"/>
    <w:rsid w:val="00B81528"/>
    <w:rsid w:val="00B81555"/>
    <w:rsid w:val="00B816FC"/>
    <w:rsid w:val="00B81750"/>
    <w:rsid w:val="00B8177E"/>
    <w:rsid w:val="00B817B5"/>
    <w:rsid w:val="00B81833"/>
    <w:rsid w:val="00B81904"/>
    <w:rsid w:val="00B81985"/>
    <w:rsid w:val="00B81A4F"/>
    <w:rsid w:val="00B81A68"/>
    <w:rsid w:val="00B81A9D"/>
    <w:rsid w:val="00B81BB1"/>
    <w:rsid w:val="00B81BDF"/>
    <w:rsid w:val="00B81BE9"/>
    <w:rsid w:val="00B81D2E"/>
    <w:rsid w:val="00B81D6F"/>
    <w:rsid w:val="00B81D9F"/>
    <w:rsid w:val="00B81DC2"/>
    <w:rsid w:val="00B81DE0"/>
    <w:rsid w:val="00B81E91"/>
    <w:rsid w:val="00B81EAF"/>
    <w:rsid w:val="00B81F29"/>
    <w:rsid w:val="00B81F52"/>
    <w:rsid w:val="00B81F6B"/>
    <w:rsid w:val="00B820AC"/>
    <w:rsid w:val="00B82156"/>
    <w:rsid w:val="00B821F4"/>
    <w:rsid w:val="00B822A7"/>
    <w:rsid w:val="00B82305"/>
    <w:rsid w:val="00B82330"/>
    <w:rsid w:val="00B8235C"/>
    <w:rsid w:val="00B824CA"/>
    <w:rsid w:val="00B824E9"/>
    <w:rsid w:val="00B824F6"/>
    <w:rsid w:val="00B82508"/>
    <w:rsid w:val="00B8252A"/>
    <w:rsid w:val="00B82551"/>
    <w:rsid w:val="00B825A1"/>
    <w:rsid w:val="00B825A9"/>
    <w:rsid w:val="00B825E5"/>
    <w:rsid w:val="00B82711"/>
    <w:rsid w:val="00B8273F"/>
    <w:rsid w:val="00B82807"/>
    <w:rsid w:val="00B82899"/>
    <w:rsid w:val="00B828A0"/>
    <w:rsid w:val="00B828E7"/>
    <w:rsid w:val="00B82989"/>
    <w:rsid w:val="00B829F3"/>
    <w:rsid w:val="00B82A27"/>
    <w:rsid w:val="00B82A73"/>
    <w:rsid w:val="00B82AF3"/>
    <w:rsid w:val="00B82B1C"/>
    <w:rsid w:val="00B82B25"/>
    <w:rsid w:val="00B82B66"/>
    <w:rsid w:val="00B82C84"/>
    <w:rsid w:val="00B82C91"/>
    <w:rsid w:val="00B82C97"/>
    <w:rsid w:val="00B82C9A"/>
    <w:rsid w:val="00B82D0C"/>
    <w:rsid w:val="00B82D6A"/>
    <w:rsid w:val="00B82E6B"/>
    <w:rsid w:val="00B82EB6"/>
    <w:rsid w:val="00B82ECF"/>
    <w:rsid w:val="00B82FAC"/>
    <w:rsid w:val="00B82FC0"/>
    <w:rsid w:val="00B83005"/>
    <w:rsid w:val="00B83064"/>
    <w:rsid w:val="00B8306D"/>
    <w:rsid w:val="00B830AD"/>
    <w:rsid w:val="00B830D4"/>
    <w:rsid w:val="00B83183"/>
    <w:rsid w:val="00B831B2"/>
    <w:rsid w:val="00B832BB"/>
    <w:rsid w:val="00B832C7"/>
    <w:rsid w:val="00B832C9"/>
    <w:rsid w:val="00B83361"/>
    <w:rsid w:val="00B83571"/>
    <w:rsid w:val="00B835CA"/>
    <w:rsid w:val="00B836B3"/>
    <w:rsid w:val="00B83779"/>
    <w:rsid w:val="00B837CE"/>
    <w:rsid w:val="00B837DE"/>
    <w:rsid w:val="00B83803"/>
    <w:rsid w:val="00B83824"/>
    <w:rsid w:val="00B83918"/>
    <w:rsid w:val="00B8392B"/>
    <w:rsid w:val="00B839E8"/>
    <w:rsid w:val="00B83A40"/>
    <w:rsid w:val="00B83BF9"/>
    <w:rsid w:val="00B83D60"/>
    <w:rsid w:val="00B83EAB"/>
    <w:rsid w:val="00B83EBF"/>
    <w:rsid w:val="00B83F17"/>
    <w:rsid w:val="00B83F53"/>
    <w:rsid w:val="00B83FCD"/>
    <w:rsid w:val="00B84027"/>
    <w:rsid w:val="00B84085"/>
    <w:rsid w:val="00B840A2"/>
    <w:rsid w:val="00B840D7"/>
    <w:rsid w:val="00B8419B"/>
    <w:rsid w:val="00B841BF"/>
    <w:rsid w:val="00B84213"/>
    <w:rsid w:val="00B84262"/>
    <w:rsid w:val="00B842E5"/>
    <w:rsid w:val="00B84313"/>
    <w:rsid w:val="00B84370"/>
    <w:rsid w:val="00B843F2"/>
    <w:rsid w:val="00B84475"/>
    <w:rsid w:val="00B844DA"/>
    <w:rsid w:val="00B844DD"/>
    <w:rsid w:val="00B84540"/>
    <w:rsid w:val="00B845B8"/>
    <w:rsid w:val="00B845D5"/>
    <w:rsid w:val="00B845E3"/>
    <w:rsid w:val="00B845E6"/>
    <w:rsid w:val="00B8470F"/>
    <w:rsid w:val="00B8478C"/>
    <w:rsid w:val="00B847D2"/>
    <w:rsid w:val="00B8489C"/>
    <w:rsid w:val="00B848CB"/>
    <w:rsid w:val="00B848DF"/>
    <w:rsid w:val="00B84907"/>
    <w:rsid w:val="00B8495B"/>
    <w:rsid w:val="00B84A2A"/>
    <w:rsid w:val="00B84A7E"/>
    <w:rsid w:val="00B84A98"/>
    <w:rsid w:val="00B84AAF"/>
    <w:rsid w:val="00B84AB0"/>
    <w:rsid w:val="00B84B88"/>
    <w:rsid w:val="00B84CA8"/>
    <w:rsid w:val="00B84CE0"/>
    <w:rsid w:val="00B84D2E"/>
    <w:rsid w:val="00B84D98"/>
    <w:rsid w:val="00B84DF5"/>
    <w:rsid w:val="00B84E16"/>
    <w:rsid w:val="00B84E35"/>
    <w:rsid w:val="00B84E44"/>
    <w:rsid w:val="00B84E56"/>
    <w:rsid w:val="00B84E9D"/>
    <w:rsid w:val="00B84F9A"/>
    <w:rsid w:val="00B84FCD"/>
    <w:rsid w:val="00B8503B"/>
    <w:rsid w:val="00B850E3"/>
    <w:rsid w:val="00B851A4"/>
    <w:rsid w:val="00B851C1"/>
    <w:rsid w:val="00B85258"/>
    <w:rsid w:val="00B85327"/>
    <w:rsid w:val="00B85349"/>
    <w:rsid w:val="00B853D4"/>
    <w:rsid w:val="00B853E8"/>
    <w:rsid w:val="00B85420"/>
    <w:rsid w:val="00B8543F"/>
    <w:rsid w:val="00B855C8"/>
    <w:rsid w:val="00B856B5"/>
    <w:rsid w:val="00B856CC"/>
    <w:rsid w:val="00B85818"/>
    <w:rsid w:val="00B858C1"/>
    <w:rsid w:val="00B85A04"/>
    <w:rsid w:val="00B85A22"/>
    <w:rsid w:val="00B85A63"/>
    <w:rsid w:val="00B85A87"/>
    <w:rsid w:val="00B85ABA"/>
    <w:rsid w:val="00B85B5C"/>
    <w:rsid w:val="00B85BAD"/>
    <w:rsid w:val="00B85BBE"/>
    <w:rsid w:val="00B85C51"/>
    <w:rsid w:val="00B85D29"/>
    <w:rsid w:val="00B85DF8"/>
    <w:rsid w:val="00B85ECD"/>
    <w:rsid w:val="00B85F76"/>
    <w:rsid w:val="00B86038"/>
    <w:rsid w:val="00B8613D"/>
    <w:rsid w:val="00B8622E"/>
    <w:rsid w:val="00B86285"/>
    <w:rsid w:val="00B862E9"/>
    <w:rsid w:val="00B86383"/>
    <w:rsid w:val="00B863CF"/>
    <w:rsid w:val="00B864E8"/>
    <w:rsid w:val="00B86541"/>
    <w:rsid w:val="00B865AE"/>
    <w:rsid w:val="00B866F8"/>
    <w:rsid w:val="00B86728"/>
    <w:rsid w:val="00B8675D"/>
    <w:rsid w:val="00B869E5"/>
    <w:rsid w:val="00B86A26"/>
    <w:rsid w:val="00B86A9D"/>
    <w:rsid w:val="00B86BC0"/>
    <w:rsid w:val="00B86BDB"/>
    <w:rsid w:val="00B86CAD"/>
    <w:rsid w:val="00B86CB5"/>
    <w:rsid w:val="00B86CC0"/>
    <w:rsid w:val="00B86D99"/>
    <w:rsid w:val="00B86D9C"/>
    <w:rsid w:val="00B86E12"/>
    <w:rsid w:val="00B86E1C"/>
    <w:rsid w:val="00B86ECC"/>
    <w:rsid w:val="00B86F7F"/>
    <w:rsid w:val="00B86F97"/>
    <w:rsid w:val="00B86FDE"/>
    <w:rsid w:val="00B87042"/>
    <w:rsid w:val="00B870DB"/>
    <w:rsid w:val="00B8711C"/>
    <w:rsid w:val="00B87196"/>
    <w:rsid w:val="00B871F0"/>
    <w:rsid w:val="00B87380"/>
    <w:rsid w:val="00B8741C"/>
    <w:rsid w:val="00B87498"/>
    <w:rsid w:val="00B8749E"/>
    <w:rsid w:val="00B874BF"/>
    <w:rsid w:val="00B87550"/>
    <w:rsid w:val="00B87793"/>
    <w:rsid w:val="00B877ED"/>
    <w:rsid w:val="00B877FA"/>
    <w:rsid w:val="00B87807"/>
    <w:rsid w:val="00B87830"/>
    <w:rsid w:val="00B87944"/>
    <w:rsid w:val="00B8795F"/>
    <w:rsid w:val="00B87A21"/>
    <w:rsid w:val="00B87AAB"/>
    <w:rsid w:val="00B87BE2"/>
    <w:rsid w:val="00B87BE9"/>
    <w:rsid w:val="00B87C10"/>
    <w:rsid w:val="00B87C48"/>
    <w:rsid w:val="00B87C50"/>
    <w:rsid w:val="00B87C5D"/>
    <w:rsid w:val="00B87D11"/>
    <w:rsid w:val="00B87D41"/>
    <w:rsid w:val="00B87E01"/>
    <w:rsid w:val="00B87E1A"/>
    <w:rsid w:val="00B87E31"/>
    <w:rsid w:val="00B87E5A"/>
    <w:rsid w:val="00B87F6F"/>
    <w:rsid w:val="00B87FAD"/>
    <w:rsid w:val="00B87FB3"/>
    <w:rsid w:val="00B90005"/>
    <w:rsid w:val="00B9012B"/>
    <w:rsid w:val="00B901C1"/>
    <w:rsid w:val="00B90268"/>
    <w:rsid w:val="00B90320"/>
    <w:rsid w:val="00B90358"/>
    <w:rsid w:val="00B90419"/>
    <w:rsid w:val="00B9042B"/>
    <w:rsid w:val="00B9047C"/>
    <w:rsid w:val="00B9059B"/>
    <w:rsid w:val="00B906F3"/>
    <w:rsid w:val="00B90716"/>
    <w:rsid w:val="00B9082C"/>
    <w:rsid w:val="00B9085C"/>
    <w:rsid w:val="00B9087A"/>
    <w:rsid w:val="00B9088A"/>
    <w:rsid w:val="00B909B6"/>
    <w:rsid w:val="00B909DE"/>
    <w:rsid w:val="00B90A1E"/>
    <w:rsid w:val="00B90A42"/>
    <w:rsid w:val="00B90B8D"/>
    <w:rsid w:val="00B90CB6"/>
    <w:rsid w:val="00B90CDD"/>
    <w:rsid w:val="00B90DF8"/>
    <w:rsid w:val="00B90EE3"/>
    <w:rsid w:val="00B90F69"/>
    <w:rsid w:val="00B90FE2"/>
    <w:rsid w:val="00B91060"/>
    <w:rsid w:val="00B9107A"/>
    <w:rsid w:val="00B910B7"/>
    <w:rsid w:val="00B910C8"/>
    <w:rsid w:val="00B91155"/>
    <w:rsid w:val="00B911C8"/>
    <w:rsid w:val="00B911DA"/>
    <w:rsid w:val="00B91251"/>
    <w:rsid w:val="00B91295"/>
    <w:rsid w:val="00B912A9"/>
    <w:rsid w:val="00B912B1"/>
    <w:rsid w:val="00B912F8"/>
    <w:rsid w:val="00B9130A"/>
    <w:rsid w:val="00B913E7"/>
    <w:rsid w:val="00B91426"/>
    <w:rsid w:val="00B9143C"/>
    <w:rsid w:val="00B9154B"/>
    <w:rsid w:val="00B91628"/>
    <w:rsid w:val="00B91646"/>
    <w:rsid w:val="00B91658"/>
    <w:rsid w:val="00B916F6"/>
    <w:rsid w:val="00B917EE"/>
    <w:rsid w:val="00B918C9"/>
    <w:rsid w:val="00B91906"/>
    <w:rsid w:val="00B9198D"/>
    <w:rsid w:val="00B919DC"/>
    <w:rsid w:val="00B91A28"/>
    <w:rsid w:val="00B91A6C"/>
    <w:rsid w:val="00B91B0A"/>
    <w:rsid w:val="00B91C22"/>
    <w:rsid w:val="00B91CAB"/>
    <w:rsid w:val="00B91CB1"/>
    <w:rsid w:val="00B91CD5"/>
    <w:rsid w:val="00B91D1C"/>
    <w:rsid w:val="00B91E85"/>
    <w:rsid w:val="00B91EA6"/>
    <w:rsid w:val="00B91ED8"/>
    <w:rsid w:val="00B91EF7"/>
    <w:rsid w:val="00B91F26"/>
    <w:rsid w:val="00B91FD4"/>
    <w:rsid w:val="00B91FEC"/>
    <w:rsid w:val="00B92131"/>
    <w:rsid w:val="00B9215F"/>
    <w:rsid w:val="00B92165"/>
    <w:rsid w:val="00B92187"/>
    <w:rsid w:val="00B92197"/>
    <w:rsid w:val="00B921F6"/>
    <w:rsid w:val="00B921F8"/>
    <w:rsid w:val="00B9223F"/>
    <w:rsid w:val="00B9232D"/>
    <w:rsid w:val="00B92362"/>
    <w:rsid w:val="00B923F0"/>
    <w:rsid w:val="00B923F7"/>
    <w:rsid w:val="00B9245D"/>
    <w:rsid w:val="00B9253D"/>
    <w:rsid w:val="00B92589"/>
    <w:rsid w:val="00B92592"/>
    <w:rsid w:val="00B92630"/>
    <w:rsid w:val="00B9265D"/>
    <w:rsid w:val="00B9266A"/>
    <w:rsid w:val="00B926E0"/>
    <w:rsid w:val="00B92768"/>
    <w:rsid w:val="00B92920"/>
    <w:rsid w:val="00B92975"/>
    <w:rsid w:val="00B92A2D"/>
    <w:rsid w:val="00B92A48"/>
    <w:rsid w:val="00B92B14"/>
    <w:rsid w:val="00B92B62"/>
    <w:rsid w:val="00B92C5E"/>
    <w:rsid w:val="00B92CBB"/>
    <w:rsid w:val="00B92D19"/>
    <w:rsid w:val="00B92E7C"/>
    <w:rsid w:val="00B92EC0"/>
    <w:rsid w:val="00B92ECD"/>
    <w:rsid w:val="00B92F50"/>
    <w:rsid w:val="00B93031"/>
    <w:rsid w:val="00B930B6"/>
    <w:rsid w:val="00B9321C"/>
    <w:rsid w:val="00B93263"/>
    <w:rsid w:val="00B9328F"/>
    <w:rsid w:val="00B933C0"/>
    <w:rsid w:val="00B93487"/>
    <w:rsid w:val="00B934F4"/>
    <w:rsid w:val="00B9354A"/>
    <w:rsid w:val="00B935C5"/>
    <w:rsid w:val="00B93610"/>
    <w:rsid w:val="00B936D0"/>
    <w:rsid w:val="00B93723"/>
    <w:rsid w:val="00B9378A"/>
    <w:rsid w:val="00B93856"/>
    <w:rsid w:val="00B93974"/>
    <w:rsid w:val="00B939F0"/>
    <w:rsid w:val="00B93A31"/>
    <w:rsid w:val="00B93A41"/>
    <w:rsid w:val="00B93A7A"/>
    <w:rsid w:val="00B93ADF"/>
    <w:rsid w:val="00B93BC5"/>
    <w:rsid w:val="00B93C1C"/>
    <w:rsid w:val="00B93C83"/>
    <w:rsid w:val="00B93C8E"/>
    <w:rsid w:val="00B93D4D"/>
    <w:rsid w:val="00B93DB3"/>
    <w:rsid w:val="00B93DD2"/>
    <w:rsid w:val="00B93E05"/>
    <w:rsid w:val="00B93E61"/>
    <w:rsid w:val="00B93FDA"/>
    <w:rsid w:val="00B940BB"/>
    <w:rsid w:val="00B940E0"/>
    <w:rsid w:val="00B94127"/>
    <w:rsid w:val="00B94197"/>
    <w:rsid w:val="00B9423A"/>
    <w:rsid w:val="00B9426C"/>
    <w:rsid w:val="00B9427C"/>
    <w:rsid w:val="00B94359"/>
    <w:rsid w:val="00B9444C"/>
    <w:rsid w:val="00B944A4"/>
    <w:rsid w:val="00B94532"/>
    <w:rsid w:val="00B94544"/>
    <w:rsid w:val="00B9454B"/>
    <w:rsid w:val="00B9462D"/>
    <w:rsid w:val="00B9464C"/>
    <w:rsid w:val="00B94652"/>
    <w:rsid w:val="00B94665"/>
    <w:rsid w:val="00B946ED"/>
    <w:rsid w:val="00B94740"/>
    <w:rsid w:val="00B9479F"/>
    <w:rsid w:val="00B9484D"/>
    <w:rsid w:val="00B94883"/>
    <w:rsid w:val="00B94971"/>
    <w:rsid w:val="00B94A51"/>
    <w:rsid w:val="00B94A7B"/>
    <w:rsid w:val="00B94B4B"/>
    <w:rsid w:val="00B94B74"/>
    <w:rsid w:val="00B94B8F"/>
    <w:rsid w:val="00B94B94"/>
    <w:rsid w:val="00B94CEA"/>
    <w:rsid w:val="00B94D30"/>
    <w:rsid w:val="00B94D6C"/>
    <w:rsid w:val="00B94DA9"/>
    <w:rsid w:val="00B94E53"/>
    <w:rsid w:val="00B94E79"/>
    <w:rsid w:val="00B94EB0"/>
    <w:rsid w:val="00B94FE4"/>
    <w:rsid w:val="00B9500A"/>
    <w:rsid w:val="00B9507E"/>
    <w:rsid w:val="00B9511B"/>
    <w:rsid w:val="00B95201"/>
    <w:rsid w:val="00B95210"/>
    <w:rsid w:val="00B953CC"/>
    <w:rsid w:val="00B95406"/>
    <w:rsid w:val="00B95437"/>
    <w:rsid w:val="00B95450"/>
    <w:rsid w:val="00B95453"/>
    <w:rsid w:val="00B954DC"/>
    <w:rsid w:val="00B9563F"/>
    <w:rsid w:val="00B95665"/>
    <w:rsid w:val="00B956B0"/>
    <w:rsid w:val="00B956C3"/>
    <w:rsid w:val="00B95794"/>
    <w:rsid w:val="00B957BE"/>
    <w:rsid w:val="00B957F9"/>
    <w:rsid w:val="00B95912"/>
    <w:rsid w:val="00B9596B"/>
    <w:rsid w:val="00B95B21"/>
    <w:rsid w:val="00B95B2C"/>
    <w:rsid w:val="00B95C18"/>
    <w:rsid w:val="00B95CF8"/>
    <w:rsid w:val="00B95D0B"/>
    <w:rsid w:val="00B95D8B"/>
    <w:rsid w:val="00B95DD5"/>
    <w:rsid w:val="00B95E00"/>
    <w:rsid w:val="00B95ED8"/>
    <w:rsid w:val="00B95EFB"/>
    <w:rsid w:val="00B95F00"/>
    <w:rsid w:val="00B95F5D"/>
    <w:rsid w:val="00B95F7E"/>
    <w:rsid w:val="00B96100"/>
    <w:rsid w:val="00B96105"/>
    <w:rsid w:val="00B9613A"/>
    <w:rsid w:val="00B9616D"/>
    <w:rsid w:val="00B9616E"/>
    <w:rsid w:val="00B96171"/>
    <w:rsid w:val="00B96344"/>
    <w:rsid w:val="00B963CC"/>
    <w:rsid w:val="00B963DD"/>
    <w:rsid w:val="00B963F2"/>
    <w:rsid w:val="00B96427"/>
    <w:rsid w:val="00B96437"/>
    <w:rsid w:val="00B96438"/>
    <w:rsid w:val="00B96494"/>
    <w:rsid w:val="00B96593"/>
    <w:rsid w:val="00B965DD"/>
    <w:rsid w:val="00B96684"/>
    <w:rsid w:val="00B96737"/>
    <w:rsid w:val="00B967D0"/>
    <w:rsid w:val="00B96855"/>
    <w:rsid w:val="00B9688D"/>
    <w:rsid w:val="00B969BF"/>
    <w:rsid w:val="00B96A0E"/>
    <w:rsid w:val="00B96AA4"/>
    <w:rsid w:val="00B96ABB"/>
    <w:rsid w:val="00B96AEB"/>
    <w:rsid w:val="00B96B48"/>
    <w:rsid w:val="00B96B6E"/>
    <w:rsid w:val="00B96B71"/>
    <w:rsid w:val="00B96BB4"/>
    <w:rsid w:val="00B96BC6"/>
    <w:rsid w:val="00B96C07"/>
    <w:rsid w:val="00B96C29"/>
    <w:rsid w:val="00B96C4B"/>
    <w:rsid w:val="00B96D08"/>
    <w:rsid w:val="00B96D94"/>
    <w:rsid w:val="00B96DEE"/>
    <w:rsid w:val="00B96E31"/>
    <w:rsid w:val="00B96E65"/>
    <w:rsid w:val="00B96ECC"/>
    <w:rsid w:val="00B96F13"/>
    <w:rsid w:val="00B96FC2"/>
    <w:rsid w:val="00B970E7"/>
    <w:rsid w:val="00B9719F"/>
    <w:rsid w:val="00B971C4"/>
    <w:rsid w:val="00B971F3"/>
    <w:rsid w:val="00B971F5"/>
    <w:rsid w:val="00B97210"/>
    <w:rsid w:val="00B9729C"/>
    <w:rsid w:val="00B972BA"/>
    <w:rsid w:val="00B97376"/>
    <w:rsid w:val="00B973B4"/>
    <w:rsid w:val="00B973ED"/>
    <w:rsid w:val="00B973F8"/>
    <w:rsid w:val="00B9745D"/>
    <w:rsid w:val="00B97584"/>
    <w:rsid w:val="00B975C9"/>
    <w:rsid w:val="00B9760C"/>
    <w:rsid w:val="00B9764C"/>
    <w:rsid w:val="00B976DC"/>
    <w:rsid w:val="00B97764"/>
    <w:rsid w:val="00B97891"/>
    <w:rsid w:val="00B978EB"/>
    <w:rsid w:val="00B97921"/>
    <w:rsid w:val="00B97932"/>
    <w:rsid w:val="00B97987"/>
    <w:rsid w:val="00B979AB"/>
    <w:rsid w:val="00B97A97"/>
    <w:rsid w:val="00B97B5F"/>
    <w:rsid w:val="00B97B8F"/>
    <w:rsid w:val="00B97BF0"/>
    <w:rsid w:val="00B97CC5"/>
    <w:rsid w:val="00B97CF3"/>
    <w:rsid w:val="00B97D41"/>
    <w:rsid w:val="00B97D5E"/>
    <w:rsid w:val="00B97E03"/>
    <w:rsid w:val="00B97E07"/>
    <w:rsid w:val="00B97FE3"/>
    <w:rsid w:val="00BA004F"/>
    <w:rsid w:val="00BA008D"/>
    <w:rsid w:val="00BA0097"/>
    <w:rsid w:val="00BA011F"/>
    <w:rsid w:val="00BA01ED"/>
    <w:rsid w:val="00BA0210"/>
    <w:rsid w:val="00BA028B"/>
    <w:rsid w:val="00BA03B4"/>
    <w:rsid w:val="00BA0411"/>
    <w:rsid w:val="00BA044F"/>
    <w:rsid w:val="00BA046D"/>
    <w:rsid w:val="00BA051B"/>
    <w:rsid w:val="00BA0540"/>
    <w:rsid w:val="00BA0642"/>
    <w:rsid w:val="00BA0662"/>
    <w:rsid w:val="00BA0742"/>
    <w:rsid w:val="00BA077F"/>
    <w:rsid w:val="00BA087F"/>
    <w:rsid w:val="00BA0895"/>
    <w:rsid w:val="00BA0983"/>
    <w:rsid w:val="00BA09B3"/>
    <w:rsid w:val="00BA09F7"/>
    <w:rsid w:val="00BA0A26"/>
    <w:rsid w:val="00BA0A7B"/>
    <w:rsid w:val="00BA0A86"/>
    <w:rsid w:val="00BA0C05"/>
    <w:rsid w:val="00BA0C5F"/>
    <w:rsid w:val="00BA0C7F"/>
    <w:rsid w:val="00BA0D9B"/>
    <w:rsid w:val="00BA1007"/>
    <w:rsid w:val="00BA10FB"/>
    <w:rsid w:val="00BA111B"/>
    <w:rsid w:val="00BA1149"/>
    <w:rsid w:val="00BA1204"/>
    <w:rsid w:val="00BA1255"/>
    <w:rsid w:val="00BA1316"/>
    <w:rsid w:val="00BA1427"/>
    <w:rsid w:val="00BA14B1"/>
    <w:rsid w:val="00BA169E"/>
    <w:rsid w:val="00BA16C9"/>
    <w:rsid w:val="00BA16F0"/>
    <w:rsid w:val="00BA17A4"/>
    <w:rsid w:val="00BA18D1"/>
    <w:rsid w:val="00BA18F4"/>
    <w:rsid w:val="00BA1923"/>
    <w:rsid w:val="00BA198E"/>
    <w:rsid w:val="00BA19B8"/>
    <w:rsid w:val="00BA19CE"/>
    <w:rsid w:val="00BA1A17"/>
    <w:rsid w:val="00BA1A7B"/>
    <w:rsid w:val="00BA1AA6"/>
    <w:rsid w:val="00BA1AA7"/>
    <w:rsid w:val="00BA1AD2"/>
    <w:rsid w:val="00BA1B05"/>
    <w:rsid w:val="00BA1B28"/>
    <w:rsid w:val="00BA1BB4"/>
    <w:rsid w:val="00BA1BFF"/>
    <w:rsid w:val="00BA1C31"/>
    <w:rsid w:val="00BA1C84"/>
    <w:rsid w:val="00BA1C88"/>
    <w:rsid w:val="00BA1CA5"/>
    <w:rsid w:val="00BA1D89"/>
    <w:rsid w:val="00BA1E3F"/>
    <w:rsid w:val="00BA1F05"/>
    <w:rsid w:val="00BA1F10"/>
    <w:rsid w:val="00BA1FA8"/>
    <w:rsid w:val="00BA2051"/>
    <w:rsid w:val="00BA2138"/>
    <w:rsid w:val="00BA2240"/>
    <w:rsid w:val="00BA22FC"/>
    <w:rsid w:val="00BA23B8"/>
    <w:rsid w:val="00BA23D1"/>
    <w:rsid w:val="00BA2422"/>
    <w:rsid w:val="00BA25AA"/>
    <w:rsid w:val="00BA25D9"/>
    <w:rsid w:val="00BA2705"/>
    <w:rsid w:val="00BA27B0"/>
    <w:rsid w:val="00BA27F2"/>
    <w:rsid w:val="00BA2909"/>
    <w:rsid w:val="00BA29E8"/>
    <w:rsid w:val="00BA2A3D"/>
    <w:rsid w:val="00BA2A9D"/>
    <w:rsid w:val="00BA2AD6"/>
    <w:rsid w:val="00BA2BEF"/>
    <w:rsid w:val="00BA2CB3"/>
    <w:rsid w:val="00BA2CC0"/>
    <w:rsid w:val="00BA2CD8"/>
    <w:rsid w:val="00BA2CE1"/>
    <w:rsid w:val="00BA2D50"/>
    <w:rsid w:val="00BA2DCA"/>
    <w:rsid w:val="00BA2E28"/>
    <w:rsid w:val="00BA2EB9"/>
    <w:rsid w:val="00BA2EEA"/>
    <w:rsid w:val="00BA2F40"/>
    <w:rsid w:val="00BA2F46"/>
    <w:rsid w:val="00BA2F51"/>
    <w:rsid w:val="00BA2FB3"/>
    <w:rsid w:val="00BA3275"/>
    <w:rsid w:val="00BA3312"/>
    <w:rsid w:val="00BA336C"/>
    <w:rsid w:val="00BA33DF"/>
    <w:rsid w:val="00BA33E4"/>
    <w:rsid w:val="00BA342A"/>
    <w:rsid w:val="00BA3453"/>
    <w:rsid w:val="00BA3567"/>
    <w:rsid w:val="00BA3608"/>
    <w:rsid w:val="00BA3705"/>
    <w:rsid w:val="00BA3769"/>
    <w:rsid w:val="00BA37D3"/>
    <w:rsid w:val="00BA37F4"/>
    <w:rsid w:val="00BA384C"/>
    <w:rsid w:val="00BA391A"/>
    <w:rsid w:val="00BA3960"/>
    <w:rsid w:val="00BA396B"/>
    <w:rsid w:val="00BA3A32"/>
    <w:rsid w:val="00BA3AA4"/>
    <w:rsid w:val="00BA3B5D"/>
    <w:rsid w:val="00BA3B96"/>
    <w:rsid w:val="00BA3C23"/>
    <w:rsid w:val="00BA3C87"/>
    <w:rsid w:val="00BA3CF0"/>
    <w:rsid w:val="00BA3D05"/>
    <w:rsid w:val="00BA3D3F"/>
    <w:rsid w:val="00BA3D63"/>
    <w:rsid w:val="00BA3D6B"/>
    <w:rsid w:val="00BA3DAC"/>
    <w:rsid w:val="00BA3DBA"/>
    <w:rsid w:val="00BA3DF6"/>
    <w:rsid w:val="00BA3F5C"/>
    <w:rsid w:val="00BA3F82"/>
    <w:rsid w:val="00BA3F9C"/>
    <w:rsid w:val="00BA3FD3"/>
    <w:rsid w:val="00BA3FD5"/>
    <w:rsid w:val="00BA403A"/>
    <w:rsid w:val="00BA4047"/>
    <w:rsid w:val="00BA41AE"/>
    <w:rsid w:val="00BA4200"/>
    <w:rsid w:val="00BA4230"/>
    <w:rsid w:val="00BA42D6"/>
    <w:rsid w:val="00BA42DF"/>
    <w:rsid w:val="00BA42FD"/>
    <w:rsid w:val="00BA4314"/>
    <w:rsid w:val="00BA432B"/>
    <w:rsid w:val="00BA4356"/>
    <w:rsid w:val="00BA4388"/>
    <w:rsid w:val="00BA43B0"/>
    <w:rsid w:val="00BA442A"/>
    <w:rsid w:val="00BA44A3"/>
    <w:rsid w:val="00BA452D"/>
    <w:rsid w:val="00BA45C6"/>
    <w:rsid w:val="00BA460E"/>
    <w:rsid w:val="00BA4641"/>
    <w:rsid w:val="00BA464F"/>
    <w:rsid w:val="00BA4751"/>
    <w:rsid w:val="00BA4754"/>
    <w:rsid w:val="00BA477E"/>
    <w:rsid w:val="00BA4903"/>
    <w:rsid w:val="00BA4997"/>
    <w:rsid w:val="00BA4A23"/>
    <w:rsid w:val="00BA4A5A"/>
    <w:rsid w:val="00BA4B6C"/>
    <w:rsid w:val="00BA4BE7"/>
    <w:rsid w:val="00BA4BF3"/>
    <w:rsid w:val="00BA4C89"/>
    <w:rsid w:val="00BA4D2E"/>
    <w:rsid w:val="00BA4D3A"/>
    <w:rsid w:val="00BA4DA6"/>
    <w:rsid w:val="00BA4DE8"/>
    <w:rsid w:val="00BA4E51"/>
    <w:rsid w:val="00BA4EF3"/>
    <w:rsid w:val="00BA4F0C"/>
    <w:rsid w:val="00BA4F58"/>
    <w:rsid w:val="00BA4F83"/>
    <w:rsid w:val="00BA4F9F"/>
    <w:rsid w:val="00BA4FD1"/>
    <w:rsid w:val="00BA5012"/>
    <w:rsid w:val="00BA50BB"/>
    <w:rsid w:val="00BA5141"/>
    <w:rsid w:val="00BA5227"/>
    <w:rsid w:val="00BA5228"/>
    <w:rsid w:val="00BA5286"/>
    <w:rsid w:val="00BA534A"/>
    <w:rsid w:val="00BA535D"/>
    <w:rsid w:val="00BA538F"/>
    <w:rsid w:val="00BA53AB"/>
    <w:rsid w:val="00BA5416"/>
    <w:rsid w:val="00BA5426"/>
    <w:rsid w:val="00BA546A"/>
    <w:rsid w:val="00BA551F"/>
    <w:rsid w:val="00BA5565"/>
    <w:rsid w:val="00BA5587"/>
    <w:rsid w:val="00BA55B4"/>
    <w:rsid w:val="00BA55FA"/>
    <w:rsid w:val="00BA567E"/>
    <w:rsid w:val="00BA56FA"/>
    <w:rsid w:val="00BA5737"/>
    <w:rsid w:val="00BA5740"/>
    <w:rsid w:val="00BA57D7"/>
    <w:rsid w:val="00BA5816"/>
    <w:rsid w:val="00BA582D"/>
    <w:rsid w:val="00BA5877"/>
    <w:rsid w:val="00BA58B9"/>
    <w:rsid w:val="00BA59B7"/>
    <w:rsid w:val="00BA59BB"/>
    <w:rsid w:val="00BA5A4B"/>
    <w:rsid w:val="00BA5B42"/>
    <w:rsid w:val="00BA5B57"/>
    <w:rsid w:val="00BA5B71"/>
    <w:rsid w:val="00BA5B7B"/>
    <w:rsid w:val="00BA5BD4"/>
    <w:rsid w:val="00BA5C3E"/>
    <w:rsid w:val="00BA5D1D"/>
    <w:rsid w:val="00BA5D9D"/>
    <w:rsid w:val="00BA5F27"/>
    <w:rsid w:val="00BA5F69"/>
    <w:rsid w:val="00BA5F7F"/>
    <w:rsid w:val="00BA5F97"/>
    <w:rsid w:val="00BA602E"/>
    <w:rsid w:val="00BA6038"/>
    <w:rsid w:val="00BA603E"/>
    <w:rsid w:val="00BA6082"/>
    <w:rsid w:val="00BA60CF"/>
    <w:rsid w:val="00BA60E9"/>
    <w:rsid w:val="00BA60FD"/>
    <w:rsid w:val="00BA613E"/>
    <w:rsid w:val="00BA61C1"/>
    <w:rsid w:val="00BA6224"/>
    <w:rsid w:val="00BA634B"/>
    <w:rsid w:val="00BA6361"/>
    <w:rsid w:val="00BA63AC"/>
    <w:rsid w:val="00BA63E6"/>
    <w:rsid w:val="00BA643E"/>
    <w:rsid w:val="00BA6460"/>
    <w:rsid w:val="00BA64FD"/>
    <w:rsid w:val="00BA6513"/>
    <w:rsid w:val="00BA6587"/>
    <w:rsid w:val="00BA65E4"/>
    <w:rsid w:val="00BA6628"/>
    <w:rsid w:val="00BA6673"/>
    <w:rsid w:val="00BA66FA"/>
    <w:rsid w:val="00BA6800"/>
    <w:rsid w:val="00BA6824"/>
    <w:rsid w:val="00BA6897"/>
    <w:rsid w:val="00BA6977"/>
    <w:rsid w:val="00BA6984"/>
    <w:rsid w:val="00BA6986"/>
    <w:rsid w:val="00BA6A04"/>
    <w:rsid w:val="00BA6A58"/>
    <w:rsid w:val="00BA6AA3"/>
    <w:rsid w:val="00BA6B2B"/>
    <w:rsid w:val="00BA6B44"/>
    <w:rsid w:val="00BA6B6D"/>
    <w:rsid w:val="00BA6B9F"/>
    <w:rsid w:val="00BA6C9C"/>
    <w:rsid w:val="00BA6CA9"/>
    <w:rsid w:val="00BA6CFD"/>
    <w:rsid w:val="00BA6D99"/>
    <w:rsid w:val="00BA6E81"/>
    <w:rsid w:val="00BA6F1C"/>
    <w:rsid w:val="00BA6F45"/>
    <w:rsid w:val="00BA6FF0"/>
    <w:rsid w:val="00BA7043"/>
    <w:rsid w:val="00BA705D"/>
    <w:rsid w:val="00BA70B2"/>
    <w:rsid w:val="00BA70C1"/>
    <w:rsid w:val="00BA70C8"/>
    <w:rsid w:val="00BA70E2"/>
    <w:rsid w:val="00BA7124"/>
    <w:rsid w:val="00BA7151"/>
    <w:rsid w:val="00BA71F9"/>
    <w:rsid w:val="00BA7213"/>
    <w:rsid w:val="00BA7349"/>
    <w:rsid w:val="00BA73B4"/>
    <w:rsid w:val="00BA743D"/>
    <w:rsid w:val="00BA7519"/>
    <w:rsid w:val="00BA7596"/>
    <w:rsid w:val="00BA762C"/>
    <w:rsid w:val="00BA7637"/>
    <w:rsid w:val="00BA78C6"/>
    <w:rsid w:val="00BA7958"/>
    <w:rsid w:val="00BA79E1"/>
    <w:rsid w:val="00BA7A76"/>
    <w:rsid w:val="00BA7ABB"/>
    <w:rsid w:val="00BA7AEB"/>
    <w:rsid w:val="00BA7B6A"/>
    <w:rsid w:val="00BA7BA2"/>
    <w:rsid w:val="00BA7CB8"/>
    <w:rsid w:val="00BA7ED3"/>
    <w:rsid w:val="00BA7EFB"/>
    <w:rsid w:val="00BA7F9F"/>
    <w:rsid w:val="00BA7FCC"/>
    <w:rsid w:val="00BB00AE"/>
    <w:rsid w:val="00BB00FC"/>
    <w:rsid w:val="00BB010D"/>
    <w:rsid w:val="00BB0131"/>
    <w:rsid w:val="00BB021C"/>
    <w:rsid w:val="00BB02EC"/>
    <w:rsid w:val="00BB02FC"/>
    <w:rsid w:val="00BB0321"/>
    <w:rsid w:val="00BB0400"/>
    <w:rsid w:val="00BB0408"/>
    <w:rsid w:val="00BB0479"/>
    <w:rsid w:val="00BB04C4"/>
    <w:rsid w:val="00BB04CA"/>
    <w:rsid w:val="00BB05BF"/>
    <w:rsid w:val="00BB063E"/>
    <w:rsid w:val="00BB0640"/>
    <w:rsid w:val="00BB064A"/>
    <w:rsid w:val="00BB0771"/>
    <w:rsid w:val="00BB07C8"/>
    <w:rsid w:val="00BB07E6"/>
    <w:rsid w:val="00BB0808"/>
    <w:rsid w:val="00BB080E"/>
    <w:rsid w:val="00BB0874"/>
    <w:rsid w:val="00BB08BA"/>
    <w:rsid w:val="00BB08F1"/>
    <w:rsid w:val="00BB09D6"/>
    <w:rsid w:val="00BB0BE0"/>
    <w:rsid w:val="00BB0D0F"/>
    <w:rsid w:val="00BB0D58"/>
    <w:rsid w:val="00BB0DB5"/>
    <w:rsid w:val="00BB0DDC"/>
    <w:rsid w:val="00BB1001"/>
    <w:rsid w:val="00BB10AA"/>
    <w:rsid w:val="00BB110B"/>
    <w:rsid w:val="00BB1118"/>
    <w:rsid w:val="00BB115B"/>
    <w:rsid w:val="00BB116B"/>
    <w:rsid w:val="00BB118D"/>
    <w:rsid w:val="00BB1236"/>
    <w:rsid w:val="00BB12B5"/>
    <w:rsid w:val="00BB13B3"/>
    <w:rsid w:val="00BB1531"/>
    <w:rsid w:val="00BB1588"/>
    <w:rsid w:val="00BB15C7"/>
    <w:rsid w:val="00BB1622"/>
    <w:rsid w:val="00BB163E"/>
    <w:rsid w:val="00BB16E2"/>
    <w:rsid w:val="00BB16F7"/>
    <w:rsid w:val="00BB175A"/>
    <w:rsid w:val="00BB17A2"/>
    <w:rsid w:val="00BB1856"/>
    <w:rsid w:val="00BB19DE"/>
    <w:rsid w:val="00BB1B25"/>
    <w:rsid w:val="00BB1BA0"/>
    <w:rsid w:val="00BB1C93"/>
    <w:rsid w:val="00BB1D42"/>
    <w:rsid w:val="00BB1D60"/>
    <w:rsid w:val="00BB1DA2"/>
    <w:rsid w:val="00BB1DF1"/>
    <w:rsid w:val="00BB1E5B"/>
    <w:rsid w:val="00BB1EA9"/>
    <w:rsid w:val="00BB1EB7"/>
    <w:rsid w:val="00BB1EE8"/>
    <w:rsid w:val="00BB1EED"/>
    <w:rsid w:val="00BB1F23"/>
    <w:rsid w:val="00BB1FB9"/>
    <w:rsid w:val="00BB2068"/>
    <w:rsid w:val="00BB2084"/>
    <w:rsid w:val="00BB20C0"/>
    <w:rsid w:val="00BB2127"/>
    <w:rsid w:val="00BB212D"/>
    <w:rsid w:val="00BB2147"/>
    <w:rsid w:val="00BB2171"/>
    <w:rsid w:val="00BB2180"/>
    <w:rsid w:val="00BB21D9"/>
    <w:rsid w:val="00BB224E"/>
    <w:rsid w:val="00BB235A"/>
    <w:rsid w:val="00BB2396"/>
    <w:rsid w:val="00BB241F"/>
    <w:rsid w:val="00BB2426"/>
    <w:rsid w:val="00BB24BD"/>
    <w:rsid w:val="00BB256A"/>
    <w:rsid w:val="00BB25BE"/>
    <w:rsid w:val="00BB2642"/>
    <w:rsid w:val="00BB2694"/>
    <w:rsid w:val="00BB269D"/>
    <w:rsid w:val="00BB271C"/>
    <w:rsid w:val="00BB272B"/>
    <w:rsid w:val="00BB278E"/>
    <w:rsid w:val="00BB280D"/>
    <w:rsid w:val="00BB2829"/>
    <w:rsid w:val="00BB2843"/>
    <w:rsid w:val="00BB2A13"/>
    <w:rsid w:val="00BB2A2C"/>
    <w:rsid w:val="00BB2ABA"/>
    <w:rsid w:val="00BB2C88"/>
    <w:rsid w:val="00BB2CC4"/>
    <w:rsid w:val="00BB2D15"/>
    <w:rsid w:val="00BB2D8A"/>
    <w:rsid w:val="00BB2DCB"/>
    <w:rsid w:val="00BB2DDF"/>
    <w:rsid w:val="00BB2E1D"/>
    <w:rsid w:val="00BB2EC8"/>
    <w:rsid w:val="00BB2F5A"/>
    <w:rsid w:val="00BB2F90"/>
    <w:rsid w:val="00BB303C"/>
    <w:rsid w:val="00BB3071"/>
    <w:rsid w:val="00BB3123"/>
    <w:rsid w:val="00BB3126"/>
    <w:rsid w:val="00BB31D6"/>
    <w:rsid w:val="00BB3213"/>
    <w:rsid w:val="00BB3259"/>
    <w:rsid w:val="00BB327B"/>
    <w:rsid w:val="00BB32ED"/>
    <w:rsid w:val="00BB32EE"/>
    <w:rsid w:val="00BB3314"/>
    <w:rsid w:val="00BB3476"/>
    <w:rsid w:val="00BB360C"/>
    <w:rsid w:val="00BB3617"/>
    <w:rsid w:val="00BB363E"/>
    <w:rsid w:val="00BB3643"/>
    <w:rsid w:val="00BB364A"/>
    <w:rsid w:val="00BB3661"/>
    <w:rsid w:val="00BB3662"/>
    <w:rsid w:val="00BB3694"/>
    <w:rsid w:val="00BB3777"/>
    <w:rsid w:val="00BB3799"/>
    <w:rsid w:val="00BB37D8"/>
    <w:rsid w:val="00BB38C5"/>
    <w:rsid w:val="00BB38DB"/>
    <w:rsid w:val="00BB3913"/>
    <w:rsid w:val="00BB3940"/>
    <w:rsid w:val="00BB3962"/>
    <w:rsid w:val="00BB39F3"/>
    <w:rsid w:val="00BB3AAD"/>
    <w:rsid w:val="00BB3AD8"/>
    <w:rsid w:val="00BB3B62"/>
    <w:rsid w:val="00BB3B67"/>
    <w:rsid w:val="00BB3C4D"/>
    <w:rsid w:val="00BB3C64"/>
    <w:rsid w:val="00BB3D23"/>
    <w:rsid w:val="00BB3D50"/>
    <w:rsid w:val="00BB3D88"/>
    <w:rsid w:val="00BB3F2A"/>
    <w:rsid w:val="00BB403E"/>
    <w:rsid w:val="00BB4061"/>
    <w:rsid w:val="00BB40A8"/>
    <w:rsid w:val="00BB40C9"/>
    <w:rsid w:val="00BB422E"/>
    <w:rsid w:val="00BB4253"/>
    <w:rsid w:val="00BB42F6"/>
    <w:rsid w:val="00BB4403"/>
    <w:rsid w:val="00BB4445"/>
    <w:rsid w:val="00BB446A"/>
    <w:rsid w:val="00BB44C2"/>
    <w:rsid w:val="00BB44CC"/>
    <w:rsid w:val="00BB4512"/>
    <w:rsid w:val="00BB4513"/>
    <w:rsid w:val="00BB453A"/>
    <w:rsid w:val="00BB45D9"/>
    <w:rsid w:val="00BB4641"/>
    <w:rsid w:val="00BB472C"/>
    <w:rsid w:val="00BB47EF"/>
    <w:rsid w:val="00BB4825"/>
    <w:rsid w:val="00BB48D8"/>
    <w:rsid w:val="00BB4943"/>
    <w:rsid w:val="00BB4963"/>
    <w:rsid w:val="00BB49AC"/>
    <w:rsid w:val="00BB49E9"/>
    <w:rsid w:val="00BB4AA7"/>
    <w:rsid w:val="00BB4B56"/>
    <w:rsid w:val="00BB4C43"/>
    <w:rsid w:val="00BB4C7C"/>
    <w:rsid w:val="00BB4DD9"/>
    <w:rsid w:val="00BB4DF1"/>
    <w:rsid w:val="00BB4E37"/>
    <w:rsid w:val="00BB4E73"/>
    <w:rsid w:val="00BB4EAE"/>
    <w:rsid w:val="00BB4F15"/>
    <w:rsid w:val="00BB5056"/>
    <w:rsid w:val="00BB512D"/>
    <w:rsid w:val="00BB5132"/>
    <w:rsid w:val="00BB527F"/>
    <w:rsid w:val="00BB5394"/>
    <w:rsid w:val="00BB5463"/>
    <w:rsid w:val="00BB5469"/>
    <w:rsid w:val="00BB5526"/>
    <w:rsid w:val="00BB5702"/>
    <w:rsid w:val="00BB57D6"/>
    <w:rsid w:val="00BB57FE"/>
    <w:rsid w:val="00BB5964"/>
    <w:rsid w:val="00BB59C2"/>
    <w:rsid w:val="00BB59F6"/>
    <w:rsid w:val="00BB5B2A"/>
    <w:rsid w:val="00BB5B64"/>
    <w:rsid w:val="00BB5BF9"/>
    <w:rsid w:val="00BB5C05"/>
    <w:rsid w:val="00BB5CA5"/>
    <w:rsid w:val="00BB5D09"/>
    <w:rsid w:val="00BB5D51"/>
    <w:rsid w:val="00BB5D7D"/>
    <w:rsid w:val="00BB5D9F"/>
    <w:rsid w:val="00BB5DD4"/>
    <w:rsid w:val="00BB5E43"/>
    <w:rsid w:val="00BB5EBB"/>
    <w:rsid w:val="00BB5FD9"/>
    <w:rsid w:val="00BB60A7"/>
    <w:rsid w:val="00BB616A"/>
    <w:rsid w:val="00BB61FB"/>
    <w:rsid w:val="00BB621C"/>
    <w:rsid w:val="00BB6223"/>
    <w:rsid w:val="00BB63FD"/>
    <w:rsid w:val="00BB6401"/>
    <w:rsid w:val="00BB643E"/>
    <w:rsid w:val="00BB6445"/>
    <w:rsid w:val="00BB6549"/>
    <w:rsid w:val="00BB654C"/>
    <w:rsid w:val="00BB65BF"/>
    <w:rsid w:val="00BB65F9"/>
    <w:rsid w:val="00BB6683"/>
    <w:rsid w:val="00BB668B"/>
    <w:rsid w:val="00BB6842"/>
    <w:rsid w:val="00BB68DD"/>
    <w:rsid w:val="00BB68E3"/>
    <w:rsid w:val="00BB68F1"/>
    <w:rsid w:val="00BB6922"/>
    <w:rsid w:val="00BB6A32"/>
    <w:rsid w:val="00BB6A7C"/>
    <w:rsid w:val="00BB6A7F"/>
    <w:rsid w:val="00BB6AC1"/>
    <w:rsid w:val="00BB6ACD"/>
    <w:rsid w:val="00BB6AEC"/>
    <w:rsid w:val="00BB6B16"/>
    <w:rsid w:val="00BB6BF8"/>
    <w:rsid w:val="00BB6C23"/>
    <w:rsid w:val="00BB6C8E"/>
    <w:rsid w:val="00BB6CCD"/>
    <w:rsid w:val="00BB6D32"/>
    <w:rsid w:val="00BB6D36"/>
    <w:rsid w:val="00BB6DE7"/>
    <w:rsid w:val="00BB6E7E"/>
    <w:rsid w:val="00BB6EE2"/>
    <w:rsid w:val="00BB700C"/>
    <w:rsid w:val="00BB7052"/>
    <w:rsid w:val="00BB7101"/>
    <w:rsid w:val="00BB7122"/>
    <w:rsid w:val="00BB712D"/>
    <w:rsid w:val="00BB71C2"/>
    <w:rsid w:val="00BB71F6"/>
    <w:rsid w:val="00BB721A"/>
    <w:rsid w:val="00BB7231"/>
    <w:rsid w:val="00BB7246"/>
    <w:rsid w:val="00BB7368"/>
    <w:rsid w:val="00BB7397"/>
    <w:rsid w:val="00BB74C4"/>
    <w:rsid w:val="00BB74D5"/>
    <w:rsid w:val="00BB74DD"/>
    <w:rsid w:val="00BB7505"/>
    <w:rsid w:val="00BB7569"/>
    <w:rsid w:val="00BB7601"/>
    <w:rsid w:val="00BB7677"/>
    <w:rsid w:val="00BB76C9"/>
    <w:rsid w:val="00BB783F"/>
    <w:rsid w:val="00BB795F"/>
    <w:rsid w:val="00BB799D"/>
    <w:rsid w:val="00BB79C5"/>
    <w:rsid w:val="00BB79E8"/>
    <w:rsid w:val="00BB7B24"/>
    <w:rsid w:val="00BB7B36"/>
    <w:rsid w:val="00BB7BFE"/>
    <w:rsid w:val="00BB7C1A"/>
    <w:rsid w:val="00BB7C7E"/>
    <w:rsid w:val="00BB7CE7"/>
    <w:rsid w:val="00BB7D11"/>
    <w:rsid w:val="00BB7D1A"/>
    <w:rsid w:val="00BB7D5A"/>
    <w:rsid w:val="00BB7E9D"/>
    <w:rsid w:val="00BB7EB8"/>
    <w:rsid w:val="00BB7ECD"/>
    <w:rsid w:val="00BB7EDD"/>
    <w:rsid w:val="00BB7F2F"/>
    <w:rsid w:val="00BB7F45"/>
    <w:rsid w:val="00BB7F77"/>
    <w:rsid w:val="00BB7FA0"/>
    <w:rsid w:val="00BB7FAE"/>
    <w:rsid w:val="00BC009D"/>
    <w:rsid w:val="00BC00F7"/>
    <w:rsid w:val="00BC012D"/>
    <w:rsid w:val="00BC012E"/>
    <w:rsid w:val="00BC0192"/>
    <w:rsid w:val="00BC01DB"/>
    <w:rsid w:val="00BC024B"/>
    <w:rsid w:val="00BC0330"/>
    <w:rsid w:val="00BC0354"/>
    <w:rsid w:val="00BC0396"/>
    <w:rsid w:val="00BC03C2"/>
    <w:rsid w:val="00BC03E6"/>
    <w:rsid w:val="00BC03F1"/>
    <w:rsid w:val="00BC0454"/>
    <w:rsid w:val="00BC05C0"/>
    <w:rsid w:val="00BC05CA"/>
    <w:rsid w:val="00BC05F8"/>
    <w:rsid w:val="00BC0681"/>
    <w:rsid w:val="00BC0697"/>
    <w:rsid w:val="00BC0734"/>
    <w:rsid w:val="00BC0751"/>
    <w:rsid w:val="00BC07B4"/>
    <w:rsid w:val="00BC07BA"/>
    <w:rsid w:val="00BC07F1"/>
    <w:rsid w:val="00BC085B"/>
    <w:rsid w:val="00BC08AF"/>
    <w:rsid w:val="00BC0AB2"/>
    <w:rsid w:val="00BC0D77"/>
    <w:rsid w:val="00BC0D93"/>
    <w:rsid w:val="00BC0DC5"/>
    <w:rsid w:val="00BC0DFE"/>
    <w:rsid w:val="00BC0E64"/>
    <w:rsid w:val="00BC0EA4"/>
    <w:rsid w:val="00BC0EAC"/>
    <w:rsid w:val="00BC0F23"/>
    <w:rsid w:val="00BC0F3F"/>
    <w:rsid w:val="00BC0FA6"/>
    <w:rsid w:val="00BC0FB3"/>
    <w:rsid w:val="00BC10B8"/>
    <w:rsid w:val="00BC1125"/>
    <w:rsid w:val="00BC11CE"/>
    <w:rsid w:val="00BC127F"/>
    <w:rsid w:val="00BC12BC"/>
    <w:rsid w:val="00BC1468"/>
    <w:rsid w:val="00BC14BD"/>
    <w:rsid w:val="00BC14CE"/>
    <w:rsid w:val="00BC1585"/>
    <w:rsid w:val="00BC1656"/>
    <w:rsid w:val="00BC16D3"/>
    <w:rsid w:val="00BC175A"/>
    <w:rsid w:val="00BC1782"/>
    <w:rsid w:val="00BC17A7"/>
    <w:rsid w:val="00BC17C8"/>
    <w:rsid w:val="00BC1869"/>
    <w:rsid w:val="00BC186A"/>
    <w:rsid w:val="00BC187A"/>
    <w:rsid w:val="00BC1913"/>
    <w:rsid w:val="00BC1940"/>
    <w:rsid w:val="00BC197B"/>
    <w:rsid w:val="00BC19D4"/>
    <w:rsid w:val="00BC19F1"/>
    <w:rsid w:val="00BC1A51"/>
    <w:rsid w:val="00BC1A84"/>
    <w:rsid w:val="00BC1C19"/>
    <w:rsid w:val="00BC1C28"/>
    <w:rsid w:val="00BC1C9E"/>
    <w:rsid w:val="00BC1CF7"/>
    <w:rsid w:val="00BC1D5F"/>
    <w:rsid w:val="00BC1D79"/>
    <w:rsid w:val="00BC1E27"/>
    <w:rsid w:val="00BC1E36"/>
    <w:rsid w:val="00BC1E37"/>
    <w:rsid w:val="00BC1E5E"/>
    <w:rsid w:val="00BC1E5F"/>
    <w:rsid w:val="00BC1E81"/>
    <w:rsid w:val="00BC1F99"/>
    <w:rsid w:val="00BC2041"/>
    <w:rsid w:val="00BC2086"/>
    <w:rsid w:val="00BC212A"/>
    <w:rsid w:val="00BC2136"/>
    <w:rsid w:val="00BC213E"/>
    <w:rsid w:val="00BC21C6"/>
    <w:rsid w:val="00BC21EF"/>
    <w:rsid w:val="00BC2206"/>
    <w:rsid w:val="00BC226C"/>
    <w:rsid w:val="00BC22D8"/>
    <w:rsid w:val="00BC2346"/>
    <w:rsid w:val="00BC23BF"/>
    <w:rsid w:val="00BC23F1"/>
    <w:rsid w:val="00BC24DA"/>
    <w:rsid w:val="00BC25DD"/>
    <w:rsid w:val="00BC25FC"/>
    <w:rsid w:val="00BC2665"/>
    <w:rsid w:val="00BC26B4"/>
    <w:rsid w:val="00BC26F2"/>
    <w:rsid w:val="00BC276D"/>
    <w:rsid w:val="00BC279D"/>
    <w:rsid w:val="00BC280B"/>
    <w:rsid w:val="00BC2822"/>
    <w:rsid w:val="00BC2909"/>
    <w:rsid w:val="00BC2A8E"/>
    <w:rsid w:val="00BC2AF3"/>
    <w:rsid w:val="00BC2B96"/>
    <w:rsid w:val="00BC2BCC"/>
    <w:rsid w:val="00BC2CE4"/>
    <w:rsid w:val="00BC2D3D"/>
    <w:rsid w:val="00BC2DAB"/>
    <w:rsid w:val="00BC2DB6"/>
    <w:rsid w:val="00BC2DFD"/>
    <w:rsid w:val="00BC2DFF"/>
    <w:rsid w:val="00BC2E17"/>
    <w:rsid w:val="00BC2E23"/>
    <w:rsid w:val="00BC2F8B"/>
    <w:rsid w:val="00BC2FB8"/>
    <w:rsid w:val="00BC304C"/>
    <w:rsid w:val="00BC307C"/>
    <w:rsid w:val="00BC31E2"/>
    <w:rsid w:val="00BC31F9"/>
    <w:rsid w:val="00BC3279"/>
    <w:rsid w:val="00BC32B3"/>
    <w:rsid w:val="00BC32F8"/>
    <w:rsid w:val="00BC333D"/>
    <w:rsid w:val="00BC33BF"/>
    <w:rsid w:val="00BC3412"/>
    <w:rsid w:val="00BC3457"/>
    <w:rsid w:val="00BC3463"/>
    <w:rsid w:val="00BC3466"/>
    <w:rsid w:val="00BC34BA"/>
    <w:rsid w:val="00BC34BD"/>
    <w:rsid w:val="00BC3587"/>
    <w:rsid w:val="00BC35FA"/>
    <w:rsid w:val="00BC360E"/>
    <w:rsid w:val="00BC37A3"/>
    <w:rsid w:val="00BC382B"/>
    <w:rsid w:val="00BC391A"/>
    <w:rsid w:val="00BC391D"/>
    <w:rsid w:val="00BC39A7"/>
    <w:rsid w:val="00BC39DF"/>
    <w:rsid w:val="00BC3B16"/>
    <w:rsid w:val="00BC3B64"/>
    <w:rsid w:val="00BC3C0F"/>
    <w:rsid w:val="00BC3C35"/>
    <w:rsid w:val="00BC3C67"/>
    <w:rsid w:val="00BC3CDF"/>
    <w:rsid w:val="00BC3CFA"/>
    <w:rsid w:val="00BC3D2C"/>
    <w:rsid w:val="00BC3FA2"/>
    <w:rsid w:val="00BC3FD5"/>
    <w:rsid w:val="00BC3FD9"/>
    <w:rsid w:val="00BC409D"/>
    <w:rsid w:val="00BC40C9"/>
    <w:rsid w:val="00BC41A2"/>
    <w:rsid w:val="00BC41AD"/>
    <w:rsid w:val="00BC4211"/>
    <w:rsid w:val="00BC428F"/>
    <w:rsid w:val="00BC42C2"/>
    <w:rsid w:val="00BC42CF"/>
    <w:rsid w:val="00BC42D5"/>
    <w:rsid w:val="00BC4340"/>
    <w:rsid w:val="00BC4344"/>
    <w:rsid w:val="00BC4416"/>
    <w:rsid w:val="00BC44D9"/>
    <w:rsid w:val="00BC4533"/>
    <w:rsid w:val="00BC45EF"/>
    <w:rsid w:val="00BC46DE"/>
    <w:rsid w:val="00BC47F1"/>
    <w:rsid w:val="00BC48FD"/>
    <w:rsid w:val="00BC49F0"/>
    <w:rsid w:val="00BC4B62"/>
    <w:rsid w:val="00BC4BE4"/>
    <w:rsid w:val="00BC4C08"/>
    <w:rsid w:val="00BC4CAC"/>
    <w:rsid w:val="00BC4CBD"/>
    <w:rsid w:val="00BC4D02"/>
    <w:rsid w:val="00BC4D2C"/>
    <w:rsid w:val="00BC4D6E"/>
    <w:rsid w:val="00BC4E00"/>
    <w:rsid w:val="00BC4E13"/>
    <w:rsid w:val="00BC4E6D"/>
    <w:rsid w:val="00BC4FFE"/>
    <w:rsid w:val="00BC505B"/>
    <w:rsid w:val="00BC50B5"/>
    <w:rsid w:val="00BC510E"/>
    <w:rsid w:val="00BC5158"/>
    <w:rsid w:val="00BC51BD"/>
    <w:rsid w:val="00BC538C"/>
    <w:rsid w:val="00BC53D6"/>
    <w:rsid w:val="00BC5553"/>
    <w:rsid w:val="00BC563D"/>
    <w:rsid w:val="00BC564E"/>
    <w:rsid w:val="00BC56E0"/>
    <w:rsid w:val="00BC5704"/>
    <w:rsid w:val="00BC5719"/>
    <w:rsid w:val="00BC57EA"/>
    <w:rsid w:val="00BC5810"/>
    <w:rsid w:val="00BC5817"/>
    <w:rsid w:val="00BC5909"/>
    <w:rsid w:val="00BC5948"/>
    <w:rsid w:val="00BC5958"/>
    <w:rsid w:val="00BC59C0"/>
    <w:rsid w:val="00BC5A57"/>
    <w:rsid w:val="00BC5B31"/>
    <w:rsid w:val="00BC5B3D"/>
    <w:rsid w:val="00BC5B7E"/>
    <w:rsid w:val="00BC5BB7"/>
    <w:rsid w:val="00BC5BFD"/>
    <w:rsid w:val="00BC5C20"/>
    <w:rsid w:val="00BC5CF4"/>
    <w:rsid w:val="00BC5CF8"/>
    <w:rsid w:val="00BC5D90"/>
    <w:rsid w:val="00BC5DBE"/>
    <w:rsid w:val="00BC5E52"/>
    <w:rsid w:val="00BC5EC1"/>
    <w:rsid w:val="00BC5EC3"/>
    <w:rsid w:val="00BC5F61"/>
    <w:rsid w:val="00BC6254"/>
    <w:rsid w:val="00BC626F"/>
    <w:rsid w:val="00BC62AC"/>
    <w:rsid w:val="00BC631F"/>
    <w:rsid w:val="00BC6323"/>
    <w:rsid w:val="00BC6328"/>
    <w:rsid w:val="00BC647E"/>
    <w:rsid w:val="00BC65BE"/>
    <w:rsid w:val="00BC66AE"/>
    <w:rsid w:val="00BC680B"/>
    <w:rsid w:val="00BC683C"/>
    <w:rsid w:val="00BC692D"/>
    <w:rsid w:val="00BC6A32"/>
    <w:rsid w:val="00BC6AB4"/>
    <w:rsid w:val="00BC6B01"/>
    <w:rsid w:val="00BC6B13"/>
    <w:rsid w:val="00BC6B9B"/>
    <w:rsid w:val="00BC6BB4"/>
    <w:rsid w:val="00BC6C7D"/>
    <w:rsid w:val="00BC6D1B"/>
    <w:rsid w:val="00BC6D38"/>
    <w:rsid w:val="00BC6DB9"/>
    <w:rsid w:val="00BC6E1F"/>
    <w:rsid w:val="00BC6E3A"/>
    <w:rsid w:val="00BC6F06"/>
    <w:rsid w:val="00BC6F27"/>
    <w:rsid w:val="00BC70D6"/>
    <w:rsid w:val="00BC7184"/>
    <w:rsid w:val="00BC71DE"/>
    <w:rsid w:val="00BC7238"/>
    <w:rsid w:val="00BC7249"/>
    <w:rsid w:val="00BC727A"/>
    <w:rsid w:val="00BC727D"/>
    <w:rsid w:val="00BC72B1"/>
    <w:rsid w:val="00BC72E2"/>
    <w:rsid w:val="00BC72FA"/>
    <w:rsid w:val="00BC7364"/>
    <w:rsid w:val="00BC736E"/>
    <w:rsid w:val="00BC7396"/>
    <w:rsid w:val="00BC73D1"/>
    <w:rsid w:val="00BC7418"/>
    <w:rsid w:val="00BC7439"/>
    <w:rsid w:val="00BC745F"/>
    <w:rsid w:val="00BC7593"/>
    <w:rsid w:val="00BC7624"/>
    <w:rsid w:val="00BC76A6"/>
    <w:rsid w:val="00BC7735"/>
    <w:rsid w:val="00BC7876"/>
    <w:rsid w:val="00BC791D"/>
    <w:rsid w:val="00BC7933"/>
    <w:rsid w:val="00BC7948"/>
    <w:rsid w:val="00BC7986"/>
    <w:rsid w:val="00BC79FF"/>
    <w:rsid w:val="00BC7B40"/>
    <w:rsid w:val="00BC7C11"/>
    <w:rsid w:val="00BC7C33"/>
    <w:rsid w:val="00BC7E4F"/>
    <w:rsid w:val="00BC7E57"/>
    <w:rsid w:val="00BC7E85"/>
    <w:rsid w:val="00BC7E93"/>
    <w:rsid w:val="00BC7EF9"/>
    <w:rsid w:val="00BC7F9A"/>
    <w:rsid w:val="00BD0003"/>
    <w:rsid w:val="00BD003F"/>
    <w:rsid w:val="00BD00B3"/>
    <w:rsid w:val="00BD00C3"/>
    <w:rsid w:val="00BD00F0"/>
    <w:rsid w:val="00BD014F"/>
    <w:rsid w:val="00BD0205"/>
    <w:rsid w:val="00BD0216"/>
    <w:rsid w:val="00BD02EB"/>
    <w:rsid w:val="00BD02FE"/>
    <w:rsid w:val="00BD0414"/>
    <w:rsid w:val="00BD04E9"/>
    <w:rsid w:val="00BD0521"/>
    <w:rsid w:val="00BD05A4"/>
    <w:rsid w:val="00BD0602"/>
    <w:rsid w:val="00BD0647"/>
    <w:rsid w:val="00BD064A"/>
    <w:rsid w:val="00BD0668"/>
    <w:rsid w:val="00BD06A1"/>
    <w:rsid w:val="00BD074A"/>
    <w:rsid w:val="00BD0788"/>
    <w:rsid w:val="00BD07A0"/>
    <w:rsid w:val="00BD086A"/>
    <w:rsid w:val="00BD08C7"/>
    <w:rsid w:val="00BD08D7"/>
    <w:rsid w:val="00BD0932"/>
    <w:rsid w:val="00BD0984"/>
    <w:rsid w:val="00BD0AF5"/>
    <w:rsid w:val="00BD0B4D"/>
    <w:rsid w:val="00BD0C2D"/>
    <w:rsid w:val="00BD0C65"/>
    <w:rsid w:val="00BD0CDE"/>
    <w:rsid w:val="00BD0F19"/>
    <w:rsid w:val="00BD0FE3"/>
    <w:rsid w:val="00BD1016"/>
    <w:rsid w:val="00BD102D"/>
    <w:rsid w:val="00BD1037"/>
    <w:rsid w:val="00BD10E0"/>
    <w:rsid w:val="00BD10FC"/>
    <w:rsid w:val="00BD121E"/>
    <w:rsid w:val="00BD1281"/>
    <w:rsid w:val="00BD12CC"/>
    <w:rsid w:val="00BD12DC"/>
    <w:rsid w:val="00BD130E"/>
    <w:rsid w:val="00BD1317"/>
    <w:rsid w:val="00BD1375"/>
    <w:rsid w:val="00BD1415"/>
    <w:rsid w:val="00BD14D1"/>
    <w:rsid w:val="00BD1541"/>
    <w:rsid w:val="00BD157D"/>
    <w:rsid w:val="00BD15C6"/>
    <w:rsid w:val="00BD1606"/>
    <w:rsid w:val="00BD164E"/>
    <w:rsid w:val="00BD16D9"/>
    <w:rsid w:val="00BD184D"/>
    <w:rsid w:val="00BD19BD"/>
    <w:rsid w:val="00BD19F2"/>
    <w:rsid w:val="00BD1A31"/>
    <w:rsid w:val="00BD1B2F"/>
    <w:rsid w:val="00BD1B6A"/>
    <w:rsid w:val="00BD1BC8"/>
    <w:rsid w:val="00BD1C5C"/>
    <w:rsid w:val="00BD1D47"/>
    <w:rsid w:val="00BD1D5F"/>
    <w:rsid w:val="00BD1D61"/>
    <w:rsid w:val="00BD1EAE"/>
    <w:rsid w:val="00BD1FA6"/>
    <w:rsid w:val="00BD1FE1"/>
    <w:rsid w:val="00BD2127"/>
    <w:rsid w:val="00BD21D5"/>
    <w:rsid w:val="00BD23B1"/>
    <w:rsid w:val="00BD23E5"/>
    <w:rsid w:val="00BD2443"/>
    <w:rsid w:val="00BD24A7"/>
    <w:rsid w:val="00BD2686"/>
    <w:rsid w:val="00BD26E9"/>
    <w:rsid w:val="00BD2784"/>
    <w:rsid w:val="00BD27E3"/>
    <w:rsid w:val="00BD298E"/>
    <w:rsid w:val="00BD29B8"/>
    <w:rsid w:val="00BD2A11"/>
    <w:rsid w:val="00BD2A4D"/>
    <w:rsid w:val="00BD2AE8"/>
    <w:rsid w:val="00BD2C2B"/>
    <w:rsid w:val="00BD2C6D"/>
    <w:rsid w:val="00BD2C9C"/>
    <w:rsid w:val="00BD2CD9"/>
    <w:rsid w:val="00BD2D65"/>
    <w:rsid w:val="00BD2E16"/>
    <w:rsid w:val="00BD2E4A"/>
    <w:rsid w:val="00BD2EDA"/>
    <w:rsid w:val="00BD2F3C"/>
    <w:rsid w:val="00BD2F4E"/>
    <w:rsid w:val="00BD30D5"/>
    <w:rsid w:val="00BD316A"/>
    <w:rsid w:val="00BD3266"/>
    <w:rsid w:val="00BD3413"/>
    <w:rsid w:val="00BD3449"/>
    <w:rsid w:val="00BD3549"/>
    <w:rsid w:val="00BD35D3"/>
    <w:rsid w:val="00BD35FC"/>
    <w:rsid w:val="00BD36E2"/>
    <w:rsid w:val="00BD370F"/>
    <w:rsid w:val="00BD3752"/>
    <w:rsid w:val="00BD383C"/>
    <w:rsid w:val="00BD3876"/>
    <w:rsid w:val="00BD3891"/>
    <w:rsid w:val="00BD3896"/>
    <w:rsid w:val="00BD3910"/>
    <w:rsid w:val="00BD391B"/>
    <w:rsid w:val="00BD3973"/>
    <w:rsid w:val="00BD39D0"/>
    <w:rsid w:val="00BD39F4"/>
    <w:rsid w:val="00BD3B1C"/>
    <w:rsid w:val="00BD3CB1"/>
    <w:rsid w:val="00BD3D4B"/>
    <w:rsid w:val="00BD3D78"/>
    <w:rsid w:val="00BD3D98"/>
    <w:rsid w:val="00BD3D9D"/>
    <w:rsid w:val="00BD3E5F"/>
    <w:rsid w:val="00BD3E7B"/>
    <w:rsid w:val="00BD4059"/>
    <w:rsid w:val="00BD406D"/>
    <w:rsid w:val="00BD408C"/>
    <w:rsid w:val="00BD41F7"/>
    <w:rsid w:val="00BD431D"/>
    <w:rsid w:val="00BD4345"/>
    <w:rsid w:val="00BD43BB"/>
    <w:rsid w:val="00BD4421"/>
    <w:rsid w:val="00BD4493"/>
    <w:rsid w:val="00BD4496"/>
    <w:rsid w:val="00BD44CD"/>
    <w:rsid w:val="00BD44F5"/>
    <w:rsid w:val="00BD464B"/>
    <w:rsid w:val="00BD46CA"/>
    <w:rsid w:val="00BD4725"/>
    <w:rsid w:val="00BD4747"/>
    <w:rsid w:val="00BD4759"/>
    <w:rsid w:val="00BD47EC"/>
    <w:rsid w:val="00BD4874"/>
    <w:rsid w:val="00BD4877"/>
    <w:rsid w:val="00BD4A40"/>
    <w:rsid w:val="00BD4A90"/>
    <w:rsid w:val="00BD4B28"/>
    <w:rsid w:val="00BD4B3F"/>
    <w:rsid w:val="00BD4B7C"/>
    <w:rsid w:val="00BD4CAF"/>
    <w:rsid w:val="00BD4D12"/>
    <w:rsid w:val="00BD4D30"/>
    <w:rsid w:val="00BD4D33"/>
    <w:rsid w:val="00BD4D97"/>
    <w:rsid w:val="00BD4F18"/>
    <w:rsid w:val="00BD4F26"/>
    <w:rsid w:val="00BD4FC0"/>
    <w:rsid w:val="00BD5019"/>
    <w:rsid w:val="00BD5127"/>
    <w:rsid w:val="00BD5146"/>
    <w:rsid w:val="00BD51C9"/>
    <w:rsid w:val="00BD51EB"/>
    <w:rsid w:val="00BD51FE"/>
    <w:rsid w:val="00BD53B7"/>
    <w:rsid w:val="00BD53CB"/>
    <w:rsid w:val="00BD5406"/>
    <w:rsid w:val="00BD5410"/>
    <w:rsid w:val="00BD5474"/>
    <w:rsid w:val="00BD547D"/>
    <w:rsid w:val="00BD5586"/>
    <w:rsid w:val="00BD5647"/>
    <w:rsid w:val="00BD5666"/>
    <w:rsid w:val="00BD568B"/>
    <w:rsid w:val="00BD57A4"/>
    <w:rsid w:val="00BD57D7"/>
    <w:rsid w:val="00BD586D"/>
    <w:rsid w:val="00BD58F3"/>
    <w:rsid w:val="00BD58FE"/>
    <w:rsid w:val="00BD595E"/>
    <w:rsid w:val="00BD59AB"/>
    <w:rsid w:val="00BD59BA"/>
    <w:rsid w:val="00BD5A06"/>
    <w:rsid w:val="00BD5A1D"/>
    <w:rsid w:val="00BD5A5A"/>
    <w:rsid w:val="00BD5A6A"/>
    <w:rsid w:val="00BD5B9F"/>
    <w:rsid w:val="00BD5C21"/>
    <w:rsid w:val="00BD5C29"/>
    <w:rsid w:val="00BD5D42"/>
    <w:rsid w:val="00BD5D6C"/>
    <w:rsid w:val="00BD5DB0"/>
    <w:rsid w:val="00BD5E00"/>
    <w:rsid w:val="00BD5E2A"/>
    <w:rsid w:val="00BD5F50"/>
    <w:rsid w:val="00BD5F72"/>
    <w:rsid w:val="00BD5F98"/>
    <w:rsid w:val="00BD5FAD"/>
    <w:rsid w:val="00BD5FB6"/>
    <w:rsid w:val="00BD5FF0"/>
    <w:rsid w:val="00BD6033"/>
    <w:rsid w:val="00BD6129"/>
    <w:rsid w:val="00BD61CB"/>
    <w:rsid w:val="00BD629E"/>
    <w:rsid w:val="00BD62CF"/>
    <w:rsid w:val="00BD62D3"/>
    <w:rsid w:val="00BD632B"/>
    <w:rsid w:val="00BD634C"/>
    <w:rsid w:val="00BD638B"/>
    <w:rsid w:val="00BD6396"/>
    <w:rsid w:val="00BD6398"/>
    <w:rsid w:val="00BD6474"/>
    <w:rsid w:val="00BD652F"/>
    <w:rsid w:val="00BD6564"/>
    <w:rsid w:val="00BD65CB"/>
    <w:rsid w:val="00BD6632"/>
    <w:rsid w:val="00BD66AB"/>
    <w:rsid w:val="00BD678D"/>
    <w:rsid w:val="00BD68C1"/>
    <w:rsid w:val="00BD6953"/>
    <w:rsid w:val="00BD696D"/>
    <w:rsid w:val="00BD6F3C"/>
    <w:rsid w:val="00BD6FD9"/>
    <w:rsid w:val="00BD709E"/>
    <w:rsid w:val="00BD710D"/>
    <w:rsid w:val="00BD711E"/>
    <w:rsid w:val="00BD7192"/>
    <w:rsid w:val="00BD72A5"/>
    <w:rsid w:val="00BD731A"/>
    <w:rsid w:val="00BD7464"/>
    <w:rsid w:val="00BD74FA"/>
    <w:rsid w:val="00BD7671"/>
    <w:rsid w:val="00BD7680"/>
    <w:rsid w:val="00BD773B"/>
    <w:rsid w:val="00BD7740"/>
    <w:rsid w:val="00BD784D"/>
    <w:rsid w:val="00BD787E"/>
    <w:rsid w:val="00BD78EE"/>
    <w:rsid w:val="00BD78F4"/>
    <w:rsid w:val="00BD7A40"/>
    <w:rsid w:val="00BD7B13"/>
    <w:rsid w:val="00BD7B86"/>
    <w:rsid w:val="00BD7C9F"/>
    <w:rsid w:val="00BD7D05"/>
    <w:rsid w:val="00BD7EDF"/>
    <w:rsid w:val="00BD7FBA"/>
    <w:rsid w:val="00BE000A"/>
    <w:rsid w:val="00BE0017"/>
    <w:rsid w:val="00BE008B"/>
    <w:rsid w:val="00BE00EC"/>
    <w:rsid w:val="00BE00EE"/>
    <w:rsid w:val="00BE01BB"/>
    <w:rsid w:val="00BE0222"/>
    <w:rsid w:val="00BE026F"/>
    <w:rsid w:val="00BE031A"/>
    <w:rsid w:val="00BE0337"/>
    <w:rsid w:val="00BE0426"/>
    <w:rsid w:val="00BE0487"/>
    <w:rsid w:val="00BE04A4"/>
    <w:rsid w:val="00BE04C1"/>
    <w:rsid w:val="00BE04D0"/>
    <w:rsid w:val="00BE0518"/>
    <w:rsid w:val="00BE0563"/>
    <w:rsid w:val="00BE0592"/>
    <w:rsid w:val="00BE05F0"/>
    <w:rsid w:val="00BE06C4"/>
    <w:rsid w:val="00BE06D3"/>
    <w:rsid w:val="00BE0730"/>
    <w:rsid w:val="00BE074C"/>
    <w:rsid w:val="00BE081C"/>
    <w:rsid w:val="00BE085E"/>
    <w:rsid w:val="00BE0889"/>
    <w:rsid w:val="00BE08DD"/>
    <w:rsid w:val="00BE0936"/>
    <w:rsid w:val="00BE0A2B"/>
    <w:rsid w:val="00BE0BAB"/>
    <w:rsid w:val="00BE0BAC"/>
    <w:rsid w:val="00BE0C08"/>
    <w:rsid w:val="00BE0C0C"/>
    <w:rsid w:val="00BE0CC8"/>
    <w:rsid w:val="00BE0CF5"/>
    <w:rsid w:val="00BE0E2A"/>
    <w:rsid w:val="00BE0E86"/>
    <w:rsid w:val="00BE0E95"/>
    <w:rsid w:val="00BE0E99"/>
    <w:rsid w:val="00BE0EA2"/>
    <w:rsid w:val="00BE0EA5"/>
    <w:rsid w:val="00BE0F18"/>
    <w:rsid w:val="00BE0F35"/>
    <w:rsid w:val="00BE0FA3"/>
    <w:rsid w:val="00BE100E"/>
    <w:rsid w:val="00BE1046"/>
    <w:rsid w:val="00BE10E6"/>
    <w:rsid w:val="00BE11A0"/>
    <w:rsid w:val="00BE11FA"/>
    <w:rsid w:val="00BE12A2"/>
    <w:rsid w:val="00BE12A4"/>
    <w:rsid w:val="00BE12D0"/>
    <w:rsid w:val="00BE1478"/>
    <w:rsid w:val="00BE14F2"/>
    <w:rsid w:val="00BE15A2"/>
    <w:rsid w:val="00BE15CF"/>
    <w:rsid w:val="00BE1617"/>
    <w:rsid w:val="00BE161A"/>
    <w:rsid w:val="00BE16F6"/>
    <w:rsid w:val="00BE17CF"/>
    <w:rsid w:val="00BE17D8"/>
    <w:rsid w:val="00BE17FA"/>
    <w:rsid w:val="00BE184C"/>
    <w:rsid w:val="00BE18C1"/>
    <w:rsid w:val="00BE1972"/>
    <w:rsid w:val="00BE1A2D"/>
    <w:rsid w:val="00BE1A55"/>
    <w:rsid w:val="00BE1A7E"/>
    <w:rsid w:val="00BE1B34"/>
    <w:rsid w:val="00BE1B55"/>
    <w:rsid w:val="00BE1B5E"/>
    <w:rsid w:val="00BE1CA8"/>
    <w:rsid w:val="00BE1CDE"/>
    <w:rsid w:val="00BE1D32"/>
    <w:rsid w:val="00BE1DBC"/>
    <w:rsid w:val="00BE1E81"/>
    <w:rsid w:val="00BE1EF8"/>
    <w:rsid w:val="00BE1F3F"/>
    <w:rsid w:val="00BE1F48"/>
    <w:rsid w:val="00BE202F"/>
    <w:rsid w:val="00BE2179"/>
    <w:rsid w:val="00BE2230"/>
    <w:rsid w:val="00BE228A"/>
    <w:rsid w:val="00BE234E"/>
    <w:rsid w:val="00BE240D"/>
    <w:rsid w:val="00BE2419"/>
    <w:rsid w:val="00BE243E"/>
    <w:rsid w:val="00BE2508"/>
    <w:rsid w:val="00BE254D"/>
    <w:rsid w:val="00BE25FE"/>
    <w:rsid w:val="00BE262D"/>
    <w:rsid w:val="00BE275C"/>
    <w:rsid w:val="00BE2871"/>
    <w:rsid w:val="00BE2894"/>
    <w:rsid w:val="00BE28E0"/>
    <w:rsid w:val="00BE28FF"/>
    <w:rsid w:val="00BE29B2"/>
    <w:rsid w:val="00BE2A04"/>
    <w:rsid w:val="00BE2A6F"/>
    <w:rsid w:val="00BE2B87"/>
    <w:rsid w:val="00BE2BC1"/>
    <w:rsid w:val="00BE2CB1"/>
    <w:rsid w:val="00BE2E59"/>
    <w:rsid w:val="00BE2EBB"/>
    <w:rsid w:val="00BE2ECC"/>
    <w:rsid w:val="00BE2EE3"/>
    <w:rsid w:val="00BE2EE4"/>
    <w:rsid w:val="00BE2EEB"/>
    <w:rsid w:val="00BE2EED"/>
    <w:rsid w:val="00BE2F80"/>
    <w:rsid w:val="00BE303D"/>
    <w:rsid w:val="00BE3132"/>
    <w:rsid w:val="00BE3180"/>
    <w:rsid w:val="00BE31B9"/>
    <w:rsid w:val="00BE31F7"/>
    <w:rsid w:val="00BE3205"/>
    <w:rsid w:val="00BE323D"/>
    <w:rsid w:val="00BE324B"/>
    <w:rsid w:val="00BE3307"/>
    <w:rsid w:val="00BE330D"/>
    <w:rsid w:val="00BE3398"/>
    <w:rsid w:val="00BE344C"/>
    <w:rsid w:val="00BE347A"/>
    <w:rsid w:val="00BE351D"/>
    <w:rsid w:val="00BE355D"/>
    <w:rsid w:val="00BE358E"/>
    <w:rsid w:val="00BE3699"/>
    <w:rsid w:val="00BE36CD"/>
    <w:rsid w:val="00BE37B6"/>
    <w:rsid w:val="00BE37EE"/>
    <w:rsid w:val="00BE3816"/>
    <w:rsid w:val="00BE3834"/>
    <w:rsid w:val="00BE3877"/>
    <w:rsid w:val="00BE388C"/>
    <w:rsid w:val="00BE38A4"/>
    <w:rsid w:val="00BE38C5"/>
    <w:rsid w:val="00BE39E2"/>
    <w:rsid w:val="00BE3A02"/>
    <w:rsid w:val="00BE3A4F"/>
    <w:rsid w:val="00BE3A98"/>
    <w:rsid w:val="00BE3AEC"/>
    <w:rsid w:val="00BE3BC9"/>
    <w:rsid w:val="00BE3BDA"/>
    <w:rsid w:val="00BE3BE2"/>
    <w:rsid w:val="00BE3C23"/>
    <w:rsid w:val="00BE3C57"/>
    <w:rsid w:val="00BE3C8B"/>
    <w:rsid w:val="00BE3D3A"/>
    <w:rsid w:val="00BE3D3B"/>
    <w:rsid w:val="00BE3DE2"/>
    <w:rsid w:val="00BE3E9B"/>
    <w:rsid w:val="00BE3EEC"/>
    <w:rsid w:val="00BE3F4B"/>
    <w:rsid w:val="00BE3FC1"/>
    <w:rsid w:val="00BE3FE9"/>
    <w:rsid w:val="00BE400D"/>
    <w:rsid w:val="00BE401C"/>
    <w:rsid w:val="00BE4046"/>
    <w:rsid w:val="00BE405D"/>
    <w:rsid w:val="00BE40A5"/>
    <w:rsid w:val="00BE4128"/>
    <w:rsid w:val="00BE4186"/>
    <w:rsid w:val="00BE41DD"/>
    <w:rsid w:val="00BE41FE"/>
    <w:rsid w:val="00BE4221"/>
    <w:rsid w:val="00BE4388"/>
    <w:rsid w:val="00BE451F"/>
    <w:rsid w:val="00BE45F6"/>
    <w:rsid w:val="00BE45FA"/>
    <w:rsid w:val="00BE4686"/>
    <w:rsid w:val="00BE46E1"/>
    <w:rsid w:val="00BE4734"/>
    <w:rsid w:val="00BE475B"/>
    <w:rsid w:val="00BE4782"/>
    <w:rsid w:val="00BE47C2"/>
    <w:rsid w:val="00BE47FD"/>
    <w:rsid w:val="00BE484E"/>
    <w:rsid w:val="00BE493E"/>
    <w:rsid w:val="00BE4955"/>
    <w:rsid w:val="00BE4AFD"/>
    <w:rsid w:val="00BE4B7A"/>
    <w:rsid w:val="00BE4BB8"/>
    <w:rsid w:val="00BE4BE4"/>
    <w:rsid w:val="00BE4C7D"/>
    <w:rsid w:val="00BE4D7A"/>
    <w:rsid w:val="00BE4D8C"/>
    <w:rsid w:val="00BE4DAB"/>
    <w:rsid w:val="00BE4E30"/>
    <w:rsid w:val="00BE4E49"/>
    <w:rsid w:val="00BE4E6E"/>
    <w:rsid w:val="00BE4EA1"/>
    <w:rsid w:val="00BE4F50"/>
    <w:rsid w:val="00BE5084"/>
    <w:rsid w:val="00BE516C"/>
    <w:rsid w:val="00BE5225"/>
    <w:rsid w:val="00BE5243"/>
    <w:rsid w:val="00BE527B"/>
    <w:rsid w:val="00BE52E1"/>
    <w:rsid w:val="00BE52FD"/>
    <w:rsid w:val="00BE534B"/>
    <w:rsid w:val="00BE5419"/>
    <w:rsid w:val="00BE54AE"/>
    <w:rsid w:val="00BE54EE"/>
    <w:rsid w:val="00BE5612"/>
    <w:rsid w:val="00BE5677"/>
    <w:rsid w:val="00BE56D9"/>
    <w:rsid w:val="00BE5706"/>
    <w:rsid w:val="00BE5726"/>
    <w:rsid w:val="00BE5779"/>
    <w:rsid w:val="00BE5850"/>
    <w:rsid w:val="00BE585A"/>
    <w:rsid w:val="00BE58FB"/>
    <w:rsid w:val="00BE5912"/>
    <w:rsid w:val="00BE5B30"/>
    <w:rsid w:val="00BE5BDE"/>
    <w:rsid w:val="00BE5D4F"/>
    <w:rsid w:val="00BE5D73"/>
    <w:rsid w:val="00BE5E0E"/>
    <w:rsid w:val="00BE5E17"/>
    <w:rsid w:val="00BE5ED1"/>
    <w:rsid w:val="00BE5EEB"/>
    <w:rsid w:val="00BE5F82"/>
    <w:rsid w:val="00BE5FAA"/>
    <w:rsid w:val="00BE6018"/>
    <w:rsid w:val="00BE6119"/>
    <w:rsid w:val="00BE611F"/>
    <w:rsid w:val="00BE6129"/>
    <w:rsid w:val="00BE6171"/>
    <w:rsid w:val="00BE6200"/>
    <w:rsid w:val="00BE620F"/>
    <w:rsid w:val="00BE6224"/>
    <w:rsid w:val="00BE6260"/>
    <w:rsid w:val="00BE6314"/>
    <w:rsid w:val="00BE6333"/>
    <w:rsid w:val="00BE635F"/>
    <w:rsid w:val="00BE63A5"/>
    <w:rsid w:val="00BE63E6"/>
    <w:rsid w:val="00BE63E8"/>
    <w:rsid w:val="00BE6475"/>
    <w:rsid w:val="00BE64C4"/>
    <w:rsid w:val="00BE64C8"/>
    <w:rsid w:val="00BE659C"/>
    <w:rsid w:val="00BE6672"/>
    <w:rsid w:val="00BE67BC"/>
    <w:rsid w:val="00BE696A"/>
    <w:rsid w:val="00BE6A6B"/>
    <w:rsid w:val="00BE6A6C"/>
    <w:rsid w:val="00BE6A6E"/>
    <w:rsid w:val="00BE6BCF"/>
    <w:rsid w:val="00BE6CCF"/>
    <w:rsid w:val="00BE6DBF"/>
    <w:rsid w:val="00BE6DDF"/>
    <w:rsid w:val="00BE6E06"/>
    <w:rsid w:val="00BE6E47"/>
    <w:rsid w:val="00BE6F02"/>
    <w:rsid w:val="00BE6F62"/>
    <w:rsid w:val="00BE6F65"/>
    <w:rsid w:val="00BE6F86"/>
    <w:rsid w:val="00BE6FA8"/>
    <w:rsid w:val="00BE6FB8"/>
    <w:rsid w:val="00BE7015"/>
    <w:rsid w:val="00BE7119"/>
    <w:rsid w:val="00BE714C"/>
    <w:rsid w:val="00BE71B8"/>
    <w:rsid w:val="00BE71FA"/>
    <w:rsid w:val="00BE723D"/>
    <w:rsid w:val="00BE72E4"/>
    <w:rsid w:val="00BE74BF"/>
    <w:rsid w:val="00BE74CD"/>
    <w:rsid w:val="00BE7535"/>
    <w:rsid w:val="00BE7542"/>
    <w:rsid w:val="00BE7584"/>
    <w:rsid w:val="00BE7598"/>
    <w:rsid w:val="00BE75E4"/>
    <w:rsid w:val="00BE766E"/>
    <w:rsid w:val="00BE777F"/>
    <w:rsid w:val="00BE77D0"/>
    <w:rsid w:val="00BE7804"/>
    <w:rsid w:val="00BE7835"/>
    <w:rsid w:val="00BE784F"/>
    <w:rsid w:val="00BE789C"/>
    <w:rsid w:val="00BE7950"/>
    <w:rsid w:val="00BE7972"/>
    <w:rsid w:val="00BE79B8"/>
    <w:rsid w:val="00BE79C7"/>
    <w:rsid w:val="00BE7B86"/>
    <w:rsid w:val="00BE7BEB"/>
    <w:rsid w:val="00BE7CC1"/>
    <w:rsid w:val="00BE7CD9"/>
    <w:rsid w:val="00BE7CE8"/>
    <w:rsid w:val="00BE7D0E"/>
    <w:rsid w:val="00BE7D8C"/>
    <w:rsid w:val="00BE7E9B"/>
    <w:rsid w:val="00BE7ED5"/>
    <w:rsid w:val="00BE7F1D"/>
    <w:rsid w:val="00BE7F7A"/>
    <w:rsid w:val="00BF0065"/>
    <w:rsid w:val="00BF0075"/>
    <w:rsid w:val="00BF0108"/>
    <w:rsid w:val="00BF01BC"/>
    <w:rsid w:val="00BF01F3"/>
    <w:rsid w:val="00BF0238"/>
    <w:rsid w:val="00BF0280"/>
    <w:rsid w:val="00BF02B4"/>
    <w:rsid w:val="00BF02CF"/>
    <w:rsid w:val="00BF02E5"/>
    <w:rsid w:val="00BF0337"/>
    <w:rsid w:val="00BF039B"/>
    <w:rsid w:val="00BF03F0"/>
    <w:rsid w:val="00BF0435"/>
    <w:rsid w:val="00BF04A2"/>
    <w:rsid w:val="00BF053D"/>
    <w:rsid w:val="00BF058A"/>
    <w:rsid w:val="00BF05D0"/>
    <w:rsid w:val="00BF0621"/>
    <w:rsid w:val="00BF065F"/>
    <w:rsid w:val="00BF0793"/>
    <w:rsid w:val="00BF079A"/>
    <w:rsid w:val="00BF080A"/>
    <w:rsid w:val="00BF0869"/>
    <w:rsid w:val="00BF08C3"/>
    <w:rsid w:val="00BF0905"/>
    <w:rsid w:val="00BF093A"/>
    <w:rsid w:val="00BF0988"/>
    <w:rsid w:val="00BF099E"/>
    <w:rsid w:val="00BF09AA"/>
    <w:rsid w:val="00BF09F4"/>
    <w:rsid w:val="00BF0A0F"/>
    <w:rsid w:val="00BF0AA4"/>
    <w:rsid w:val="00BF0ABC"/>
    <w:rsid w:val="00BF0B1D"/>
    <w:rsid w:val="00BF0B86"/>
    <w:rsid w:val="00BF0C09"/>
    <w:rsid w:val="00BF0C0D"/>
    <w:rsid w:val="00BF0C6F"/>
    <w:rsid w:val="00BF0D18"/>
    <w:rsid w:val="00BF0D50"/>
    <w:rsid w:val="00BF0DC5"/>
    <w:rsid w:val="00BF0DEC"/>
    <w:rsid w:val="00BF0E7D"/>
    <w:rsid w:val="00BF0ED9"/>
    <w:rsid w:val="00BF107F"/>
    <w:rsid w:val="00BF10A9"/>
    <w:rsid w:val="00BF110E"/>
    <w:rsid w:val="00BF1175"/>
    <w:rsid w:val="00BF1253"/>
    <w:rsid w:val="00BF1271"/>
    <w:rsid w:val="00BF146B"/>
    <w:rsid w:val="00BF1543"/>
    <w:rsid w:val="00BF1594"/>
    <w:rsid w:val="00BF169C"/>
    <w:rsid w:val="00BF1751"/>
    <w:rsid w:val="00BF1890"/>
    <w:rsid w:val="00BF18FE"/>
    <w:rsid w:val="00BF19D0"/>
    <w:rsid w:val="00BF1A7A"/>
    <w:rsid w:val="00BF1AFB"/>
    <w:rsid w:val="00BF1B67"/>
    <w:rsid w:val="00BF1D91"/>
    <w:rsid w:val="00BF1DF7"/>
    <w:rsid w:val="00BF1E29"/>
    <w:rsid w:val="00BF1F27"/>
    <w:rsid w:val="00BF206A"/>
    <w:rsid w:val="00BF2085"/>
    <w:rsid w:val="00BF20F7"/>
    <w:rsid w:val="00BF22AC"/>
    <w:rsid w:val="00BF233D"/>
    <w:rsid w:val="00BF235D"/>
    <w:rsid w:val="00BF23E4"/>
    <w:rsid w:val="00BF2408"/>
    <w:rsid w:val="00BF24E4"/>
    <w:rsid w:val="00BF2609"/>
    <w:rsid w:val="00BF2610"/>
    <w:rsid w:val="00BF2616"/>
    <w:rsid w:val="00BF262E"/>
    <w:rsid w:val="00BF264F"/>
    <w:rsid w:val="00BF26F3"/>
    <w:rsid w:val="00BF274E"/>
    <w:rsid w:val="00BF279D"/>
    <w:rsid w:val="00BF27F8"/>
    <w:rsid w:val="00BF2867"/>
    <w:rsid w:val="00BF28FE"/>
    <w:rsid w:val="00BF290B"/>
    <w:rsid w:val="00BF292E"/>
    <w:rsid w:val="00BF2949"/>
    <w:rsid w:val="00BF294D"/>
    <w:rsid w:val="00BF2989"/>
    <w:rsid w:val="00BF29B1"/>
    <w:rsid w:val="00BF29C9"/>
    <w:rsid w:val="00BF29D4"/>
    <w:rsid w:val="00BF2A20"/>
    <w:rsid w:val="00BF2AC2"/>
    <w:rsid w:val="00BF2AEE"/>
    <w:rsid w:val="00BF2B2B"/>
    <w:rsid w:val="00BF2B9E"/>
    <w:rsid w:val="00BF2C35"/>
    <w:rsid w:val="00BF2C41"/>
    <w:rsid w:val="00BF2C6F"/>
    <w:rsid w:val="00BF2C83"/>
    <w:rsid w:val="00BF2CE9"/>
    <w:rsid w:val="00BF2DC7"/>
    <w:rsid w:val="00BF2DE8"/>
    <w:rsid w:val="00BF2EA0"/>
    <w:rsid w:val="00BF2ED8"/>
    <w:rsid w:val="00BF2F21"/>
    <w:rsid w:val="00BF3036"/>
    <w:rsid w:val="00BF305B"/>
    <w:rsid w:val="00BF3105"/>
    <w:rsid w:val="00BF3149"/>
    <w:rsid w:val="00BF31A9"/>
    <w:rsid w:val="00BF3203"/>
    <w:rsid w:val="00BF327D"/>
    <w:rsid w:val="00BF32C9"/>
    <w:rsid w:val="00BF3333"/>
    <w:rsid w:val="00BF3361"/>
    <w:rsid w:val="00BF337B"/>
    <w:rsid w:val="00BF34A3"/>
    <w:rsid w:val="00BF3577"/>
    <w:rsid w:val="00BF357B"/>
    <w:rsid w:val="00BF35C1"/>
    <w:rsid w:val="00BF3617"/>
    <w:rsid w:val="00BF367A"/>
    <w:rsid w:val="00BF36A3"/>
    <w:rsid w:val="00BF36E1"/>
    <w:rsid w:val="00BF3727"/>
    <w:rsid w:val="00BF385C"/>
    <w:rsid w:val="00BF38F2"/>
    <w:rsid w:val="00BF3904"/>
    <w:rsid w:val="00BF3948"/>
    <w:rsid w:val="00BF394F"/>
    <w:rsid w:val="00BF39C6"/>
    <w:rsid w:val="00BF3A0F"/>
    <w:rsid w:val="00BF3B3D"/>
    <w:rsid w:val="00BF3CF1"/>
    <w:rsid w:val="00BF3D00"/>
    <w:rsid w:val="00BF3D72"/>
    <w:rsid w:val="00BF3DC1"/>
    <w:rsid w:val="00BF3E17"/>
    <w:rsid w:val="00BF3E6F"/>
    <w:rsid w:val="00BF3F05"/>
    <w:rsid w:val="00BF3F49"/>
    <w:rsid w:val="00BF404C"/>
    <w:rsid w:val="00BF40F0"/>
    <w:rsid w:val="00BF4159"/>
    <w:rsid w:val="00BF41F6"/>
    <w:rsid w:val="00BF420E"/>
    <w:rsid w:val="00BF42C1"/>
    <w:rsid w:val="00BF4469"/>
    <w:rsid w:val="00BF44EE"/>
    <w:rsid w:val="00BF455B"/>
    <w:rsid w:val="00BF45FF"/>
    <w:rsid w:val="00BF4601"/>
    <w:rsid w:val="00BF4767"/>
    <w:rsid w:val="00BF4798"/>
    <w:rsid w:val="00BF47A9"/>
    <w:rsid w:val="00BF47F7"/>
    <w:rsid w:val="00BF482A"/>
    <w:rsid w:val="00BF48DF"/>
    <w:rsid w:val="00BF49AC"/>
    <w:rsid w:val="00BF49D0"/>
    <w:rsid w:val="00BF4A17"/>
    <w:rsid w:val="00BF4B1B"/>
    <w:rsid w:val="00BF4CB4"/>
    <w:rsid w:val="00BF4D00"/>
    <w:rsid w:val="00BF4D98"/>
    <w:rsid w:val="00BF4FDD"/>
    <w:rsid w:val="00BF4FE3"/>
    <w:rsid w:val="00BF515A"/>
    <w:rsid w:val="00BF524E"/>
    <w:rsid w:val="00BF526A"/>
    <w:rsid w:val="00BF52CB"/>
    <w:rsid w:val="00BF5359"/>
    <w:rsid w:val="00BF53EE"/>
    <w:rsid w:val="00BF5451"/>
    <w:rsid w:val="00BF5486"/>
    <w:rsid w:val="00BF558D"/>
    <w:rsid w:val="00BF55AC"/>
    <w:rsid w:val="00BF55B3"/>
    <w:rsid w:val="00BF561D"/>
    <w:rsid w:val="00BF5637"/>
    <w:rsid w:val="00BF56EB"/>
    <w:rsid w:val="00BF56EE"/>
    <w:rsid w:val="00BF59C2"/>
    <w:rsid w:val="00BF59E0"/>
    <w:rsid w:val="00BF5A0E"/>
    <w:rsid w:val="00BF5B3C"/>
    <w:rsid w:val="00BF5B62"/>
    <w:rsid w:val="00BF5B84"/>
    <w:rsid w:val="00BF5B93"/>
    <w:rsid w:val="00BF5CC8"/>
    <w:rsid w:val="00BF5E95"/>
    <w:rsid w:val="00BF5EF5"/>
    <w:rsid w:val="00BF5F9A"/>
    <w:rsid w:val="00BF5FE2"/>
    <w:rsid w:val="00BF605D"/>
    <w:rsid w:val="00BF60C0"/>
    <w:rsid w:val="00BF60D8"/>
    <w:rsid w:val="00BF6167"/>
    <w:rsid w:val="00BF6172"/>
    <w:rsid w:val="00BF6212"/>
    <w:rsid w:val="00BF62F1"/>
    <w:rsid w:val="00BF63B5"/>
    <w:rsid w:val="00BF63BC"/>
    <w:rsid w:val="00BF64EA"/>
    <w:rsid w:val="00BF651D"/>
    <w:rsid w:val="00BF6533"/>
    <w:rsid w:val="00BF654B"/>
    <w:rsid w:val="00BF65CA"/>
    <w:rsid w:val="00BF6678"/>
    <w:rsid w:val="00BF68A6"/>
    <w:rsid w:val="00BF68F5"/>
    <w:rsid w:val="00BF6A71"/>
    <w:rsid w:val="00BF6B66"/>
    <w:rsid w:val="00BF6B6C"/>
    <w:rsid w:val="00BF6C23"/>
    <w:rsid w:val="00BF6C82"/>
    <w:rsid w:val="00BF6CFA"/>
    <w:rsid w:val="00BF6D31"/>
    <w:rsid w:val="00BF6D64"/>
    <w:rsid w:val="00BF6D79"/>
    <w:rsid w:val="00BF6DEC"/>
    <w:rsid w:val="00BF6E0C"/>
    <w:rsid w:val="00BF6E71"/>
    <w:rsid w:val="00BF6E7E"/>
    <w:rsid w:val="00BF6E92"/>
    <w:rsid w:val="00BF6EAA"/>
    <w:rsid w:val="00BF6F22"/>
    <w:rsid w:val="00BF6F3D"/>
    <w:rsid w:val="00BF7008"/>
    <w:rsid w:val="00BF70A4"/>
    <w:rsid w:val="00BF70C5"/>
    <w:rsid w:val="00BF70EE"/>
    <w:rsid w:val="00BF7116"/>
    <w:rsid w:val="00BF71C0"/>
    <w:rsid w:val="00BF7275"/>
    <w:rsid w:val="00BF7308"/>
    <w:rsid w:val="00BF7318"/>
    <w:rsid w:val="00BF7348"/>
    <w:rsid w:val="00BF741B"/>
    <w:rsid w:val="00BF747A"/>
    <w:rsid w:val="00BF74B7"/>
    <w:rsid w:val="00BF7567"/>
    <w:rsid w:val="00BF76D9"/>
    <w:rsid w:val="00BF776C"/>
    <w:rsid w:val="00BF7785"/>
    <w:rsid w:val="00BF786E"/>
    <w:rsid w:val="00BF7A32"/>
    <w:rsid w:val="00BF7A80"/>
    <w:rsid w:val="00BF7B2F"/>
    <w:rsid w:val="00BF7B80"/>
    <w:rsid w:val="00BF7BDF"/>
    <w:rsid w:val="00BF7CD9"/>
    <w:rsid w:val="00BF7D09"/>
    <w:rsid w:val="00BF7E07"/>
    <w:rsid w:val="00BF7E96"/>
    <w:rsid w:val="00BF7F15"/>
    <w:rsid w:val="00BF7F2B"/>
    <w:rsid w:val="00BF7F52"/>
    <w:rsid w:val="00BF7FAB"/>
    <w:rsid w:val="00BF7FBD"/>
    <w:rsid w:val="00C0000A"/>
    <w:rsid w:val="00C00051"/>
    <w:rsid w:val="00C00055"/>
    <w:rsid w:val="00C0008B"/>
    <w:rsid w:val="00C0009C"/>
    <w:rsid w:val="00C000A6"/>
    <w:rsid w:val="00C00126"/>
    <w:rsid w:val="00C00146"/>
    <w:rsid w:val="00C001D7"/>
    <w:rsid w:val="00C00268"/>
    <w:rsid w:val="00C003C2"/>
    <w:rsid w:val="00C004B1"/>
    <w:rsid w:val="00C004C4"/>
    <w:rsid w:val="00C00627"/>
    <w:rsid w:val="00C00649"/>
    <w:rsid w:val="00C00716"/>
    <w:rsid w:val="00C007B2"/>
    <w:rsid w:val="00C009CF"/>
    <w:rsid w:val="00C00A1E"/>
    <w:rsid w:val="00C00B86"/>
    <w:rsid w:val="00C00C1A"/>
    <w:rsid w:val="00C00CC8"/>
    <w:rsid w:val="00C00D38"/>
    <w:rsid w:val="00C00D4C"/>
    <w:rsid w:val="00C00DA8"/>
    <w:rsid w:val="00C00E18"/>
    <w:rsid w:val="00C00E71"/>
    <w:rsid w:val="00C00E72"/>
    <w:rsid w:val="00C00E74"/>
    <w:rsid w:val="00C00E9C"/>
    <w:rsid w:val="00C00F68"/>
    <w:rsid w:val="00C01007"/>
    <w:rsid w:val="00C01053"/>
    <w:rsid w:val="00C0105B"/>
    <w:rsid w:val="00C0106A"/>
    <w:rsid w:val="00C0106F"/>
    <w:rsid w:val="00C010E7"/>
    <w:rsid w:val="00C010F6"/>
    <w:rsid w:val="00C01122"/>
    <w:rsid w:val="00C011D5"/>
    <w:rsid w:val="00C012C7"/>
    <w:rsid w:val="00C012ED"/>
    <w:rsid w:val="00C012FD"/>
    <w:rsid w:val="00C0136C"/>
    <w:rsid w:val="00C01385"/>
    <w:rsid w:val="00C0147B"/>
    <w:rsid w:val="00C0156F"/>
    <w:rsid w:val="00C01653"/>
    <w:rsid w:val="00C016A4"/>
    <w:rsid w:val="00C016B0"/>
    <w:rsid w:val="00C016FC"/>
    <w:rsid w:val="00C01711"/>
    <w:rsid w:val="00C0178E"/>
    <w:rsid w:val="00C01801"/>
    <w:rsid w:val="00C01850"/>
    <w:rsid w:val="00C01861"/>
    <w:rsid w:val="00C01902"/>
    <w:rsid w:val="00C01927"/>
    <w:rsid w:val="00C01AB3"/>
    <w:rsid w:val="00C01AFE"/>
    <w:rsid w:val="00C01B14"/>
    <w:rsid w:val="00C01B30"/>
    <w:rsid w:val="00C01C00"/>
    <w:rsid w:val="00C01C18"/>
    <w:rsid w:val="00C01D02"/>
    <w:rsid w:val="00C01D2A"/>
    <w:rsid w:val="00C01DCE"/>
    <w:rsid w:val="00C01DE6"/>
    <w:rsid w:val="00C01E28"/>
    <w:rsid w:val="00C01E32"/>
    <w:rsid w:val="00C01E64"/>
    <w:rsid w:val="00C01F5C"/>
    <w:rsid w:val="00C01FAB"/>
    <w:rsid w:val="00C02024"/>
    <w:rsid w:val="00C02044"/>
    <w:rsid w:val="00C02088"/>
    <w:rsid w:val="00C0208F"/>
    <w:rsid w:val="00C020B7"/>
    <w:rsid w:val="00C020E9"/>
    <w:rsid w:val="00C021BC"/>
    <w:rsid w:val="00C0221B"/>
    <w:rsid w:val="00C022C5"/>
    <w:rsid w:val="00C02345"/>
    <w:rsid w:val="00C0238E"/>
    <w:rsid w:val="00C0244E"/>
    <w:rsid w:val="00C0249E"/>
    <w:rsid w:val="00C0256E"/>
    <w:rsid w:val="00C02650"/>
    <w:rsid w:val="00C026EA"/>
    <w:rsid w:val="00C0280A"/>
    <w:rsid w:val="00C02826"/>
    <w:rsid w:val="00C02886"/>
    <w:rsid w:val="00C028A5"/>
    <w:rsid w:val="00C02B50"/>
    <w:rsid w:val="00C02BAA"/>
    <w:rsid w:val="00C02BD3"/>
    <w:rsid w:val="00C02BDF"/>
    <w:rsid w:val="00C02CF6"/>
    <w:rsid w:val="00C02D98"/>
    <w:rsid w:val="00C02DBB"/>
    <w:rsid w:val="00C02DC1"/>
    <w:rsid w:val="00C02E30"/>
    <w:rsid w:val="00C02E3E"/>
    <w:rsid w:val="00C02F2A"/>
    <w:rsid w:val="00C02FC7"/>
    <w:rsid w:val="00C0308F"/>
    <w:rsid w:val="00C030C1"/>
    <w:rsid w:val="00C03123"/>
    <w:rsid w:val="00C0317F"/>
    <w:rsid w:val="00C03187"/>
    <w:rsid w:val="00C0321F"/>
    <w:rsid w:val="00C03227"/>
    <w:rsid w:val="00C03273"/>
    <w:rsid w:val="00C03298"/>
    <w:rsid w:val="00C0333E"/>
    <w:rsid w:val="00C033CE"/>
    <w:rsid w:val="00C033E6"/>
    <w:rsid w:val="00C0340E"/>
    <w:rsid w:val="00C0341F"/>
    <w:rsid w:val="00C03441"/>
    <w:rsid w:val="00C03488"/>
    <w:rsid w:val="00C0355C"/>
    <w:rsid w:val="00C036AF"/>
    <w:rsid w:val="00C036D3"/>
    <w:rsid w:val="00C037B5"/>
    <w:rsid w:val="00C0382D"/>
    <w:rsid w:val="00C0389E"/>
    <w:rsid w:val="00C03927"/>
    <w:rsid w:val="00C039AF"/>
    <w:rsid w:val="00C039D1"/>
    <w:rsid w:val="00C03A2A"/>
    <w:rsid w:val="00C03A8C"/>
    <w:rsid w:val="00C03ACD"/>
    <w:rsid w:val="00C03BE0"/>
    <w:rsid w:val="00C03C3A"/>
    <w:rsid w:val="00C03CB3"/>
    <w:rsid w:val="00C03CC6"/>
    <w:rsid w:val="00C03CCC"/>
    <w:rsid w:val="00C03D2B"/>
    <w:rsid w:val="00C03D55"/>
    <w:rsid w:val="00C03DB4"/>
    <w:rsid w:val="00C03E6F"/>
    <w:rsid w:val="00C03E79"/>
    <w:rsid w:val="00C04032"/>
    <w:rsid w:val="00C04162"/>
    <w:rsid w:val="00C04167"/>
    <w:rsid w:val="00C042D6"/>
    <w:rsid w:val="00C042DE"/>
    <w:rsid w:val="00C04332"/>
    <w:rsid w:val="00C04372"/>
    <w:rsid w:val="00C0440D"/>
    <w:rsid w:val="00C04474"/>
    <w:rsid w:val="00C044E7"/>
    <w:rsid w:val="00C04586"/>
    <w:rsid w:val="00C045AC"/>
    <w:rsid w:val="00C0465D"/>
    <w:rsid w:val="00C046CF"/>
    <w:rsid w:val="00C046E0"/>
    <w:rsid w:val="00C046FE"/>
    <w:rsid w:val="00C0473F"/>
    <w:rsid w:val="00C04779"/>
    <w:rsid w:val="00C0477A"/>
    <w:rsid w:val="00C04792"/>
    <w:rsid w:val="00C04796"/>
    <w:rsid w:val="00C047A3"/>
    <w:rsid w:val="00C04802"/>
    <w:rsid w:val="00C04807"/>
    <w:rsid w:val="00C04845"/>
    <w:rsid w:val="00C048C1"/>
    <w:rsid w:val="00C04938"/>
    <w:rsid w:val="00C04992"/>
    <w:rsid w:val="00C04A5F"/>
    <w:rsid w:val="00C04A7E"/>
    <w:rsid w:val="00C04B12"/>
    <w:rsid w:val="00C04B43"/>
    <w:rsid w:val="00C04BB5"/>
    <w:rsid w:val="00C04CC6"/>
    <w:rsid w:val="00C04D1F"/>
    <w:rsid w:val="00C04DED"/>
    <w:rsid w:val="00C04E1A"/>
    <w:rsid w:val="00C04E6E"/>
    <w:rsid w:val="00C04E85"/>
    <w:rsid w:val="00C04EDB"/>
    <w:rsid w:val="00C04EF4"/>
    <w:rsid w:val="00C04F43"/>
    <w:rsid w:val="00C04F9E"/>
    <w:rsid w:val="00C05006"/>
    <w:rsid w:val="00C05024"/>
    <w:rsid w:val="00C0503C"/>
    <w:rsid w:val="00C0503F"/>
    <w:rsid w:val="00C05076"/>
    <w:rsid w:val="00C050EA"/>
    <w:rsid w:val="00C050FA"/>
    <w:rsid w:val="00C05178"/>
    <w:rsid w:val="00C051A9"/>
    <w:rsid w:val="00C05217"/>
    <w:rsid w:val="00C05236"/>
    <w:rsid w:val="00C05265"/>
    <w:rsid w:val="00C052EF"/>
    <w:rsid w:val="00C0536C"/>
    <w:rsid w:val="00C053D3"/>
    <w:rsid w:val="00C05457"/>
    <w:rsid w:val="00C054C0"/>
    <w:rsid w:val="00C05517"/>
    <w:rsid w:val="00C05597"/>
    <w:rsid w:val="00C056CE"/>
    <w:rsid w:val="00C056D3"/>
    <w:rsid w:val="00C05729"/>
    <w:rsid w:val="00C057B6"/>
    <w:rsid w:val="00C058F1"/>
    <w:rsid w:val="00C05918"/>
    <w:rsid w:val="00C05ACA"/>
    <w:rsid w:val="00C05B1F"/>
    <w:rsid w:val="00C05B60"/>
    <w:rsid w:val="00C05B6C"/>
    <w:rsid w:val="00C05B86"/>
    <w:rsid w:val="00C05BB7"/>
    <w:rsid w:val="00C05C53"/>
    <w:rsid w:val="00C05D43"/>
    <w:rsid w:val="00C05DE4"/>
    <w:rsid w:val="00C05E05"/>
    <w:rsid w:val="00C05E8F"/>
    <w:rsid w:val="00C05EAB"/>
    <w:rsid w:val="00C05F74"/>
    <w:rsid w:val="00C05F79"/>
    <w:rsid w:val="00C05F90"/>
    <w:rsid w:val="00C05FA0"/>
    <w:rsid w:val="00C05FAA"/>
    <w:rsid w:val="00C05FB0"/>
    <w:rsid w:val="00C06063"/>
    <w:rsid w:val="00C06097"/>
    <w:rsid w:val="00C060C5"/>
    <w:rsid w:val="00C06153"/>
    <w:rsid w:val="00C0616C"/>
    <w:rsid w:val="00C06218"/>
    <w:rsid w:val="00C062FC"/>
    <w:rsid w:val="00C06344"/>
    <w:rsid w:val="00C0638D"/>
    <w:rsid w:val="00C06423"/>
    <w:rsid w:val="00C064DB"/>
    <w:rsid w:val="00C06549"/>
    <w:rsid w:val="00C065A6"/>
    <w:rsid w:val="00C06600"/>
    <w:rsid w:val="00C06650"/>
    <w:rsid w:val="00C066A8"/>
    <w:rsid w:val="00C06828"/>
    <w:rsid w:val="00C0683A"/>
    <w:rsid w:val="00C068EB"/>
    <w:rsid w:val="00C0692E"/>
    <w:rsid w:val="00C06B27"/>
    <w:rsid w:val="00C06B78"/>
    <w:rsid w:val="00C06BD9"/>
    <w:rsid w:val="00C06C82"/>
    <w:rsid w:val="00C06CC8"/>
    <w:rsid w:val="00C06E99"/>
    <w:rsid w:val="00C06F0B"/>
    <w:rsid w:val="00C06F1C"/>
    <w:rsid w:val="00C06F25"/>
    <w:rsid w:val="00C06FCC"/>
    <w:rsid w:val="00C06FE6"/>
    <w:rsid w:val="00C0706C"/>
    <w:rsid w:val="00C07111"/>
    <w:rsid w:val="00C07151"/>
    <w:rsid w:val="00C0717F"/>
    <w:rsid w:val="00C0726E"/>
    <w:rsid w:val="00C0728F"/>
    <w:rsid w:val="00C072FF"/>
    <w:rsid w:val="00C07333"/>
    <w:rsid w:val="00C07394"/>
    <w:rsid w:val="00C073BB"/>
    <w:rsid w:val="00C0748F"/>
    <w:rsid w:val="00C074E5"/>
    <w:rsid w:val="00C07528"/>
    <w:rsid w:val="00C0769D"/>
    <w:rsid w:val="00C076CC"/>
    <w:rsid w:val="00C0778E"/>
    <w:rsid w:val="00C07829"/>
    <w:rsid w:val="00C0792E"/>
    <w:rsid w:val="00C07AEA"/>
    <w:rsid w:val="00C07B47"/>
    <w:rsid w:val="00C07B6D"/>
    <w:rsid w:val="00C07B7F"/>
    <w:rsid w:val="00C07B9E"/>
    <w:rsid w:val="00C07C22"/>
    <w:rsid w:val="00C07C3D"/>
    <w:rsid w:val="00C07C7D"/>
    <w:rsid w:val="00C07CC8"/>
    <w:rsid w:val="00C07D65"/>
    <w:rsid w:val="00C07D80"/>
    <w:rsid w:val="00C07D81"/>
    <w:rsid w:val="00C07E2F"/>
    <w:rsid w:val="00C07EC3"/>
    <w:rsid w:val="00C07F98"/>
    <w:rsid w:val="00C1002D"/>
    <w:rsid w:val="00C100A3"/>
    <w:rsid w:val="00C1011D"/>
    <w:rsid w:val="00C101B6"/>
    <w:rsid w:val="00C1034F"/>
    <w:rsid w:val="00C10444"/>
    <w:rsid w:val="00C10449"/>
    <w:rsid w:val="00C104E9"/>
    <w:rsid w:val="00C105D0"/>
    <w:rsid w:val="00C106DD"/>
    <w:rsid w:val="00C1074D"/>
    <w:rsid w:val="00C10781"/>
    <w:rsid w:val="00C107F6"/>
    <w:rsid w:val="00C10876"/>
    <w:rsid w:val="00C108C1"/>
    <w:rsid w:val="00C108FA"/>
    <w:rsid w:val="00C10938"/>
    <w:rsid w:val="00C10A2E"/>
    <w:rsid w:val="00C10A30"/>
    <w:rsid w:val="00C10A54"/>
    <w:rsid w:val="00C10A76"/>
    <w:rsid w:val="00C10AB9"/>
    <w:rsid w:val="00C10B2A"/>
    <w:rsid w:val="00C10B67"/>
    <w:rsid w:val="00C10C3D"/>
    <w:rsid w:val="00C10C40"/>
    <w:rsid w:val="00C10C47"/>
    <w:rsid w:val="00C10C86"/>
    <w:rsid w:val="00C10C90"/>
    <w:rsid w:val="00C10D6F"/>
    <w:rsid w:val="00C10D72"/>
    <w:rsid w:val="00C10DBF"/>
    <w:rsid w:val="00C10E3B"/>
    <w:rsid w:val="00C10E3D"/>
    <w:rsid w:val="00C10EDA"/>
    <w:rsid w:val="00C10EF8"/>
    <w:rsid w:val="00C10FA8"/>
    <w:rsid w:val="00C10FC7"/>
    <w:rsid w:val="00C11004"/>
    <w:rsid w:val="00C1108F"/>
    <w:rsid w:val="00C110FC"/>
    <w:rsid w:val="00C11233"/>
    <w:rsid w:val="00C11264"/>
    <w:rsid w:val="00C1137A"/>
    <w:rsid w:val="00C113ED"/>
    <w:rsid w:val="00C11515"/>
    <w:rsid w:val="00C11584"/>
    <w:rsid w:val="00C11661"/>
    <w:rsid w:val="00C116FD"/>
    <w:rsid w:val="00C11700"/>
    <w:rsid w:val="00C1176C"/>
    <w:rsid w:val="00C117E7"/>
    <w:rsid w:val="00C118C1"/>
    <w:rsid w:val="00C119E3"/>
    <w:rsid w:val="00C11A56"/>
    <w:rsid w:val="00C11AA7"/>
    <w:rsid w:val="00C11B30"/>
    <w:rsid w:val="00C11BEC"/>
    <w:rsid w:val="00C11CAA"/>
    <w:rsid w:val="00C11CC8"/>
    <w:rsid w:val="00C11D76"/>
    <w:rsid w:val="00C11DE9"/>
    <w:rsid w:val="00C11E63"/>
    <w:rsid w:val="00C11E65"/>
    <w:rsid w:val="00C11F4F"/>
    <w:rsid w:val="00C11F96"/>
    <w:rsid w:val="00C1200E"/>
    <w:rsid w:val="00C1203F"/>
    <w:rsid w:val="00C120C0"/>
    <w:rsid w:val="00C120E2"/>
    <w:rsid w:val="00C1212D"/>
    <w:rsid w:val="00C1216F"/>
    <w:rsid w:val="00C12196"/>
    <w:rsid w:val="00C12204"/>
    <w:rsid w:val="00C12312"/>
    <w:rsid w:val="00C1232A"/>
    <w:rsid w:val="00C1238E"/>
    <w:rsid w:val="00C1241C"/>
    <w:rsid w:val="00C12424"/>
    <w:rsid w:val="00C1256F"/>
    <w:rsid w:val="00C12585"/>
    <w:rsid w:val="00C125B5"/>
    <w:rsid w:val="00C125C2"/>
    <w:rsid w:val="00C1261E"/>
    <w:rsid w:val="00C1263E"/>
    <w:rsid w:val="00C1272F"/>
    <w:rsid w:val="00C127CD"/>
    <w:rsid w:val="00C127D8"/>
    <w:rsid w:val="00C12861"/>
    <w:rsid w:val="00C12984"/>
    <w:rsid w:val="00C1298E"/>
    <w:rsid w:val="00C12BBA"/>
    <w:rsid w:val="00C12C9D"/>
    <w:rsid w:val="00C12CBE"/>
    <w:rsid w:val="00C12E01"/>
    <w:rsid w:val="00C12EBD"/>
    <w:rsid w:val="00C12F3E"/>
    <w:rsid w:val="00C12F68"/>
    <w:rsid w:val="00C1307C"/>
    <w:rsid w:val="00C13137"/>
    <w:rsid w:val="00C131C5"/>
    <w:rsid w:val="00C131CB"/>
    <w:rsid w:val="00C131EB"/>
    <w:rsid w:val="00C1322C"/>
    <w:rsid w:val="00C132E6"/>
    <w:rsid w:val="00C132ED"/>
    <w:rsid w:val="00C1331E"/>
    <w:rsid w:val="00C13351"/>
    <w:rsid w:val="00C13367"/>
    <w:rsid w:val="00C13462"/>
    <w:rsid w:val="00C13492"/>
    <w:rsid w:val="00C134B7"/>
    <w:rsid w:val="00C134D0"/>
    <w:rsid w:val="00C13512"/>
    <w:rsid w:val="00C1352D"/>
    <w:rsid w:val="00C13605"/>
    <w:rsid w:val="00C13621"/>
    <w:rsid w:val="00C136F3"/>
    <w:rsid w:val="00C1375F"/>
    <w:rsid w:val="00C1379F"/>
    <w:rsid w:val="00C13844"/>
    <w:rsid w:val="00C13847"/>
    <w:rsid w:val="00C13848"/>
    <w:rsid w:val="00C13965"/>
    <w:rsid w:val="00C139A9"/>
    <w:rsid w:val="00C139E9"/>
    <w:rsid w:val="00C13A91"/>
    <w:rsid w:val="00C13B98"/>
    <w:rsid w:val="00C13C02"/>
    <w:rsid w:val="00C13C38"/>
    <w:rsid w:val="00C13C79"/>
    <w:rsid w:val="00C13C87"/>
    <w:rsid w:val="00C13CA0"/>
    <w:rsid w:val="00C13CA2"/>
    <w:rsid w:val="00C13D2F"/>
    <w:rsid w:val="00C13DF3"/>
    <w:rsid w:val="00C13E28"/>
    <w:rsid w:val="00C13F43"/>
    <w:rsid w:val="00C13FB8"/>
    <w:rsid w:val="00C13FF6"/>
    <w:rsid w:val="00C1410A"/>
    <w:rsid w:val="00C141A8"/>
    <w:rsid w:val="00C14237"/>
    <w:rsid w:val="00C14249"/>
    <w:rsid w:val="00C142D6"/>
    <w:rsid w:val="00C1435D"/>
    <w:rsid w:val="00C144A7"/>
    <w:rsid w:val="00C14525"/>
    <w:rsid w:val="00C14534"/>
    <w:rsid w:val="00C14575"/>
    <w:rsid w:val="00C145FF"/>
    <w:rsid w:val="00C147B8"/>
    <w:rsid w:val="00C148DF"/>
    <w:rsid w:val="00C149AC"/>
    <w:rsid w:val="00C14AA1"/>
    <w:rsid w:val="00C14B13"/>
    <w:rsid w:val="00C14BE5"/>
    <w:rsid w:val="00C14CCC"/>
    <w:rsid w:val="00C14CDF"/>
    <w:rsid w:val="00C14DA0"/>
    <w:rsid w:val="00C14DF9"/>
    <w:rsid w:val="00C14DFD"/>
    <w:rsid w:val="00C14EB9"/>
    <w:rsid w:val="00C1503E"/>
    <w:rsid w:val="00C15060"/>
    <w:rsid w:val="00C1507A"/>
    <w:rsid w:val="00C150A0"/>
    <w:rsid w:val="00C150FB"/>
    <w:rsid w:val="00C150FE"/>
    <w:rsid w:val="00C1514C"/>
    <w:rsid w:val="00C15151"/>
    <w:rsid w:val="00C151B7"/>
    <w:rsid w:val="00C15200"/>
    <w:rsid w:val="00C15301"/>
    <w:rsid w:val="00C15419"/>
    <w:rsid w:val="00C15461"/>
    <w:rsid w:val="00C1548A"/>
    <w:rsid w:val="00C154EE"/>
    <w:rsid w:val="00C155AC"/>
    <w:rsid w:val="00C1563E"/>
    <w:rsid w:val="00C1565E"/>
    <w:rsid w:val="00C15689"/>
    <w:rsid w:val="00C1569B"/>
    <w:rsid w:val="00C156D8"/>
    <w:rsid w:val="00C1575A"/>
    <w:rsid w:val="00C15872"/>
    <w:rsid w:val="00C1587D"/>
    <w:rsid w:val="00C158FE"/>
    <w:rsid w:val="00C1595F"/>
    <w:rsid w:val="00C159CA"/>
    <w:rsid w:val="00C159FE"/>
    <w:rsid w:val="00C15A01"/>
    <w:rsid w:val="00C15BC2"/>
    <w:rsid w:val="00C15BD0"/>
    <w:rsid w:val="00C15BDB"/>
    <w:rsid w:val="00C15CB7"/>
    <w:rsid w:val="00C15CDE"/>
    <w:rsid w:val="00C15D16"/>
    <w:rsid w:val="00C15D58"/>
    <w:rsid w:val="00C15DE5"/>
    <w:rsid w:val="00C15ECC"/>
    <w:rsid w:val="00C15F73"/>
    <w:rsid w:val="00C15FC4"/>
    <w:rsid w:val="00C15FC6"/>
    <w:rsid w:val="00C1602E"/>
    <w:rsid w:val="00C1607B"/>
    <w:rsid w:val="00C16118"/>
    <w:rsid w:val="00C1615D"/>
    <w:rsid w:val="00C16283"/>
    <w:rsid w:val="00C162A9"/>
    <w:rsid w:val="00C1631F"/>
    <w:rsid w:val="00C16322"/>
    <w:rsid w:val="00C163C1"/>
    <w:rsid w:val="00C163F8"/>
    <w:rsid w:val="00C16407"/>
    <w:rsid w:val="00C16483"/>
    <w:rsid w:val="00C1654C"/>
    <w:rsid w:val="00C16550"/>
    <w:rsid w:val="00C1655E"/>
    <w:rsid w:val="00C1658E"/>
    <w:rsid w:val="00C165A0"/>
    <w:rsid w:val="00C165A4"/>
    <w:rsid w:val="00C16631"/>
    <w:rsid w:val="00C1663A"/>
    <w:rsid w:val="00C167AD"/>
    <w:rsid w:val="00C16800"/>
    <w:rsid w:val="00C1681D"/>
    <w:rsid w:val="00C16897"/>
    <w:rsid w:val="00C1693E"/>
    <w:rsid w:val="00C16A2B"/>
    <w:rsid w:val="00C16A46"/>
    <w:rsid w:val="00C16A5F"/>
    <w:rsid w:val="00C16AD8"/>
    <w:rsid w:val="00C16B2A"/>
    <w:rsid w:val="00C16B53"/>
    <w:rsid w:val="00C16C0E"/>
    <w:rsid w:val="00C16C25"/>
    <w:rsid w:val="00C16CC3"/>
    <w:rsid w:val="00C16D53"/>
    <w:rsid w:val="00C16D62"/>
    <w:rsid w:val="00C16DEA"/>
    <w:rsid w:val="00C16DF4"/>
    <w:rsid w:val="00C16E2D"/>
    <w:rsid w:val="00C16E50"/>
    <w:rsid w:val="00C17017"/>
    <w:rsid w:val="00C17021"/>
    <w:rsid w:val="00C17045"/>
    <w:rsid w:val="00C17048"/>
    <w:rsid w:val="00C17070"/>
    <w:rsid w:val="00C17127"/>
    <w:rsid w:val="00C17138"/>
    <w:rsid w:val="00C1719B"/>
    <w:rsid w:val="00C17240"/>
    <w:rsid w:val="00C172A7"/>
    <w:rsid w:val="00C17444"/>
    <w:rsid w:val="00C17445"/>
    <w:rsid w:val="00C174EB"/>
    <w:rsid w:val="00C17525"/>
    <w:rsid w:val="00C175F5"/>
    <w:rsid w:val="00C17632"/>
    <w:rsid w:val="00C17654"/>
    <w:rsid w:val="00C17695"/>
    <w:rsid w:val="00C176EA"/>
    <w:rsid w:val="00C177AA"/>
    <w:rsid w:val="00C177CB"/>
    <w:rsid w:val="00C177E2"/>
    <w:rsid w:val="00C1786E"/>
    <w:rsid w:val="00C17896"/>
    <w:rsid w:val="00C17937"/>
    <w:rsid w:val="00C17A14"/>
    <w:rsid w:val="00C17A59"/>
    <w:rsid w:val="00C17B23"/>
    <w:rsid w:val="00C17B7F"/>
    <w:rsid w:val="00C17C44"/>
    <w:rsid w:val="00C17C5C"/>
    <w:rsid w:val="00C17C72"/>
    <w:rsid w:val="00C17D2D"/>
    <w:rsid w:val="00C17D30"/>
    <w:rsid w:val="00C17DD7"/>
    <w:rsid w:val="00C17E65"/>
    <w:rsid w:val="00C17FD2"/>
    <w:rsid w:val="00C2010C"/>
    <w:rsid w:val="00C201D6"/>
    <w:rsid w:val="00C201FF"/>
    <w:rsid w:val="00C20234"/>
    <w:rsid w:val="00C20257"/>
    <w:rsid w:val="00C20264"/>
    <w:rsid w:val="00C20282"/>
    <w:rsid w:val="00C202BC"/>
    <w:rsid w:val="00C202C5"/>
    <w:rsid w:val="00C202E3"/>
    <w:rsid w:val="00C202E5"/>
    <w:rsid w:val="00C20317"/>
    <w:rsid w:val="00C20431"/>
    <w:rsid w:val="00C2043A"/>
    <w:rsid w:val="00C2047F"/>
    <w:rsid w:val="00C204B0"/>
    <w:rsid w:val="00C204DE"/>
    <w:rsid w:val="00C204E5"/>
    <w:rsid w:val="00C2054E"/>
    <w:rsid w:val="00C20595"/>
    <w:rsid w:val="00C2059C"/>
    <w:rsid w:val="00C205B6"/>
    <w:rsid w:val="00C20747"/>
    <w:rsid w:val="00C2076A"/>
    <w:rsid w:val="00C207A4"/>
    <w:rsid w:val="00C2082F"/>
    <w:rsid w:val="00C2099A"/>
    <w:rsid w:val="00C209A9"/>
    <w:rsid w:val="00C209C7"/>
    <w:rsid w:val="00C20BB8"/>
    <w:rsid w:val="00C20C6A"/>
    <w:rsid w:val="00C20CD6"/>
    <w:rsid w:val="00C20CE5"/>
    <w:rsid w:val="00C20D58"/>
    <w:rsid w:val="00C20DF7"/>
    <w:rsid w:val="00C20EBA"/>
    <w:rsid w:val="00C20EF9"/>
    <w:rsid w:val="00C20F81"/>
    <w:rsid w:val="00C20FAE"/>
    <w:rsid w:val="00C20FD1"/>
    <w:rsid w:val="00C21077"/>
    <w:rsid w:val="00C210F3"/>
    <w:rsid w:val="00C2110F"/>
    <w:rsid w:val="00C2113C"/>
    <w:rsid w:val="00C211B7"/>
    <w:rsid w:val="00C2120C"/>
    <w:rsid w:val="00C21259"/>
    <w:rsid w:val="00C212F0"/>
    <w:rsid w:val="00C2132D"/>
    <w:rsid w:val="00C2139E"/>
    <w:rsid w:val="00C21457"/>
    <w:rsid w:val="00C21497"/>
    <w:rsid w:val="00C215A0"/>
    <w:rsid w:val="00C215E1"/>
    <w:rsid w:val="00C215F4"/>
    <w:rsid w:val="00C217AC"/>
    <w:rsid w:val="00C217BA"/>
    <w:rsid w:val="00C217F0"/>
    <w:rsid w:val="00C218D3"/>
    <w:rsid w:val="00C218EB"/>
    <w:rsid w:val="00C21940"/>
    <w:rsid w:val="00C21949"/>
    <w:rsid w:val="00C2199B"/>
    <w:rsid w:val="00C219AB"/>
    <w:rsid w:val="00C21AAF"/>
    <w:rsid w:val="00C21B36"/>
    <w:rsid w:val="00C21BE1"/>
    <w:rsid w:val="00C21C5C"/>
    <w:rsid w:val="00C21E43"/>
    <w:rsid w:val="00C21E55"/>
    <w:rsid w:val="00C21E9A"/>
    <w:rsid w:val="00C22075"/>
    <w:rsid w:val="00C220AD"/>
    <w:rsid w:val="00C2213D"/>
    <w:rsid w:val="00C221EF"/>
    <w:rsid w:val="00C22365"/>
    <w:rsid w:val="00C2241C"/>
    <w:rsid w:val="00C2252D"/>
    <w:rsid w:val="00C2259E"/>
    <w:rsid w:val="00C2260F"/>
    <w:rsid w:val="00C22679"/>
    <w:rsid w:val="00C22692"/>
    <w:rsid w:val="00C226CB"/>
    <w:rsid w:val="00C2274A"/>
    <w:rsid w:val="00C227B1"/>
    <w:rsid w:val="00C22822"/>
    <w:rsid w:val="00C22864"/>
    <w:rsid w:val="00C2288A"/>
    <w:rsid w:val="00C2295B"/>
    <w:rsid w:val="00C229F0"/>
    <w:rsid w:val="00C22A9A"/>
    <w:rsid w:val="00C22B0A"/>
    <w:rsid w:val="00C22B6E"/>
    <w:rsid w:val="00C22B7C"/>
    <w:rsid w:val="00C22C30"/>
    <w:rsid w:val="00C22C6E"/>
    <w:rsid w:val="00C22D9C"/>
    <w:rsid w:val="00C22F9C"/>
    <w:rsid w:val="00C231E6"/>
    <w:rsid w:val="00C231EB"/>
    <w:rsid w:val="00C232A1"/>
    <w:rsid w:val="00C2330F"/>
    <w:rsid w:val="00C23376"/>
    <w:rsid w:val="00C233DE"/>
    <w:rsid w:val="00C23477"/>
    <w:rsid w:val="00C234DD"/>
    <w:rsid w:val="00C23533"/>
    <w:rsid w:val="00C23590"/>
    <w:rsid w:val="00C235DD"/>
    <w:rsid w:val="00C235EB"/>
    <w:rsid w:val="00C236C4"/>
    <w:rsid w:val="00C2385F"/>
    <w:rsid w:val="00C2386B"/>
    <w:rsid w:val="00C238DD"/>
    <w:rsid w:val="00C23986"/>
    <w:rsid w:val="00C23A1F"/>
    <w:rsid w:val="00C23ABF"/>
    <w:rsid w:val="00C23AF3"/>
    <w:rsid w:val="00C23B71"/>
    <w:rsid w:val="00C23B90"/>
    <w:rsid w:val="00C23C71"/>
    <w:rsid w:val="00C23D1A"/>
    <w:rsid w:val="00C23D1F"/>
    <w:rsid w:val="00C23D86"/>
    <w:rsid w:val="00C23DC8"/>
    <w:rsid w:val="00C23E83"/>
    <w:rsid w:val="00C23EAD"/>
    <w:rsid w:val="00C23F14"/>
    <w:rsid w:val="00C23F4D"/>
    <w:rsid w:val="00C24016"/>
    <w:rsid w:val="00C2404C"/>
    <w:rsid w:val="00C240A9"/>
    <w:rsid w:val="00C241C6"/>
    <w:rsid w:val="00C2424D"/>
    <w:rsid w:val="00C2424F"/>
    <w:rsid w:val="00C242DE"/>
    <w:rsid w:val="00C2430B"/>
    <w:rsid w:val="00C2432C"/>
    <w:rsid w:val="00C2435F"/>
    <w:rsid w:val="00C245F8"/>
    <w:rsid w:val="00C24609"/>
    <w:rsid w:val="00C2461D"/>
    <w:rsid w:val="00C24682"/>
    <w:rsid w:val="00C246B0"/>
    <w:rsid w:val="00C246E4"/>
    <w:rsid w:val="00C24703"/>
    <w:rsid w:val="00C24767"/>
    <w:rsid w:val="00C247FA"/>
    <w:rsid w:val="00C24868"/>
    <w:rsid w:val="00C24873"/>
    <w:rsid w:val="00C24988"/>
    <w:rsid w:val="00C24A3F"/>
    <w:rsid w:val="00C24A82"/>
    <w:rsid w:val="00C24AD5"/>
    <w:rsid w:val="00C24B15"/>
    <w:rsid w:val="00C24B73"/>
    <w:rsid w:val="00C24BAD"/>
    <w:rsid w:val="00C24BF0"/>
    <w:rsid w:val="00C24BF5"/>
    <w:rsid w:val="00C24C04"/>
    <w:rsid w:val="00C24C90"/>
    <w:rsid w:val="00C24D1D"/>
    <w:rsid w:val="00C24D73"/>
    <w:rsid w:val="00C24DB7"/>
    <w:rsid w:val="00C24EA1"/>
    <w:rsid w:val="00C24F55"/>
    <w:rsid w:val="00C24F65"/>
    <w:rsid w:val="00C24FCB"/>
    <w:rsid w:val="00C24FE8"/>
    <w:rsid w:val="00C250EE"/>
    <w:rsid w:val="00C25177"/>
    <w:rsid w:val="00C251CF"/>
    <w:rsid w:val="00C251DE"/>
    <w:rsid w:val="00C25224"/>
    <w:rsid w:val="00C2522D"/>
    <w:rsid w:val="00C252B5"/>
    <w:rsid w:val="00C2534E"/>
    <w:rsid w:val="00C253FE"/>
    <w:rsid w:val="00C25418"/>
    <w:rsid w:val="00C2547A"/>
    <w:rsid w:val="00C254BA"/>
    <w:rsid w:val="00C254BC"/>
    <w:rsid w:val="00C25511"/>
    <w:rsid w:val="00C255A4"/>
    <w:rsid w:val="00C25667"/>
    <w:rsid w:val="00C25669"/>
    <w:rsid w:val="00C25673"/>
    <w:rsid w:val="00C256D4"/>
    <w:rsid w:val="00C25762"/>
    <w:rsid w:val="00C2577C"/>
    <w:rsid w:val="00C25782"/>
    <w:rsid w:val="00C257E8"/>
    <w:rsid w:val="00C25876"/>
    <w:rsid w:val="00C259DB"/>
    <w:rsid w:val="00C25A06"/>
    <w:rsid w:val="00C25A76"/>
    <w:rsid w:val="00C25B9E"/>
    <w:rsid w:val="00C25C63"/>
    <w:rsid w:val="00C25CBD"/>
    <w:rsid w:val="00C25D33"/>
    <w:rsid w:val="00C25D36"/>
    <w:rsid w:val="00C25D39"/>
    <w:rsid w:val="00C25D45"/>
    <w:rsid w:val="00C25D6A"/>
    <w:rsid w:val="00C25DAB"/>
    <w:rsid w:val="00C25ED2"/>
    <w:rsid w:val="00C25EDB"/>
    <w:rsid w:val="00C25F0D"/>
    <w:rsid w:val="00C25FA6"/>
    <w:rsid w:val="00C26026"/>
    <w:rsid w:val="00C26090"/>
    <w:rsid w:val="00C261E7"/>
    <w:rsid w:val="00C26302"/>
    <w:rsid w:val="00C2632B"/>
    <w:rsid w:val="00C26330"/>
    <w:rsid w:val="00C263CA"/>
    <w:rsid w:val="00C263D6"/>
    <w:rsid w:val="00C264B1"/>
    <w:rsid w:val="00C26566"/>
    <w:rsid w:val="00C2656D"/>
    <w:rsid w:val="00C26592"/>
    <w:rsid w:val="00C265C9"/>
    <w:rsid w:val="00C26707"/>
    <w:rsid w:val="00C26709"/>
    <w:rsid w:val="00C26760"/>
    <w:rsid w:val="00C2676F"/>
    <w:rsid w:val="00C26772"/>
    <w:rsid w:val="00C267BB"/>
    <w:rsid w:val="00C26801"/>
    <w:rsid w:val="00C268B8"/>
    <w:rsid w:val="00C268D4"/>
    <w:rsid w:val="00C26958"/>
    <w:rsid w:val="00C269AC"/>
    <w:rsid w:val="00C26A9F"/>
    <w:rsid w:val="00C26ACA"/>
    <w:rsid w:val="00C26ACC"/>
    <w:rsid w:val="00C26C18"/>
    <w:rsid w:val="00C26CBD"/>
    <w:rsid w:val="00C26CC9"/>
    <w:rsid w:val="00C26D24"/>
    <w:rsid w:val="00C26DBB"/>
    <w:rsid w:val="00C26E49"/>
    <w:rsid w:val="00C26E95"/>
    <w:rsid w:val="00C26FA1"/>
    <w:rsid w:val="00C270B2"/>
    <w:rsid w:val="00C270DB"/>
    <w:rsid w:val="00C27221"/>
    <w:rsid w:val="00C2723F"/>
    <w:rsid w:val="00C2728D"/>
    <w:rsid w:val="00C272EB"/>
    <w:rsid w:val="00C273DF"/>
    <w:rsid w:val="00C273FB"/>
    <w:rsid w:val="00C27466"/>
    <w:rsid w:val="00C275CA"/>
    <w:rsid w:val="00C27616"/>
    <w:rsid w:val="00C27621"/>
    <w:rsid w:val="00C27628"/>
    <w:rsid w:val="00C27673"/>
    <w:rsid w:val="00C276B7"/>
    <w:rsid w:val="00C277A8"/>
    <w:rsid w:val="00C277BC"/>
    <w:rsid w:val="00C277F7"/>
    <w:rsid w:val="00C27899"/>
    <w:rsid w:val="00C278A5"/>
    <w:rsid w:val="00C278FB"/>
    <w:rsid w:val="00C27913"/>
    <w:rsid w:val="00C27980"/>
    <w:rsid w:val="00C279BB"/>
    <w:rsid w:val="00C27A38"/>
    <w:rsid w:val="00C27B4A"/>
    <w:rsid w:val="00C27C60"/>
    <w:rsid w:val="00C27D34"/>
    <w:rsid w:val="00C27E41"/>
    <w:rsid w:val="00C27EF9"/>
    <w:rsid w:val="00C27F5C"/>
    <w:rsid w:val="00C27F6D"/>
    <w:rsid w:val="00C3005D"/>
    <w:rsid w:val="00C300D6"/>
    <w:rsid w:val="00C30114"/>
    <w:rsid w:val="00C30167"/>
    <w:rsid w:val="00C301EB"/>
    <w:rsid w:val="00C30230"/>
    <w:rsid w:val="00C30253"/>
    <w:rsid w:val="00C30278"/>
    <w:rsid w:val="00C302B5"/>
    <w:rsid w:val="00C302F4"/>
    <w:rsid w:val="00C30366"/>
    <w:rsid w:val="00C30405"/>
    <w:rsid w:val="00C3043E"/>
    <w:rsid w:val="00C304BC"/>
    <w:rsid w:val="00C30572"/>
    <w:rsid w:val="00C305AA"/>
    <w:rsid w:val="00C305BD"/>
    <w:rsid w:val="00C305E6"/>
    <w:rsid w:val="00C30681"/>
    <w:rsid w:val="00C308DD"/>
    <w:rsid w:val="00C30963"/>
    <w:rsid w:val="00C309A9"/>
    <w:rsid w:val="00C309C4"/>
    <w:rsid w:val="00C309D7"/>
    <w:rsid w:val="00C30A8C"/>
    <w:rsid w:val="00C30BDE"/>
    <w:rsid w:val="00C30BF9"/>
    <w:rsid w:val="00C30C07"/>
    <w:rsid w:val="00C30C24"/>
    <w:rsid w:val="00C30C38"/>
    <w:rsid w:val="00C30D48"/>
    <w:rsid w:val="00C30E36"/>
    <w:rsid w:val="00C30EC9"/>
    <w:rsid w:val="00C30F48"/>
    <w:rsid w:val="00C310DF"/>
    <w:rsid w:val="00C3110D"/>
    <w:rsid w:val="00C31213"/>
    <w:rsid w:val="00C312B8"/>
    <w:rsid w:val="00C312C9"/>
    <w:rsid w:val="00C312DE"/>
    <w:rsid w:val="00C31304"/>
    <w:rsid w:val="00C31368"/>
    <w:rsid w:val="00C313D4"/>
    <w:rsid w:val="00C3156D"/>
    <w:rsid w:val="00C3163B"/>
    <w:rsid w:val="00C31657"/>
    <w:rsid w:val="00C31683"/>
    <w:rsid w:val="00C317A5"/>
    <w:rsid w:val="00C317BC"/>
    <w:rsid w:val="00C31806"/>
    <w:rsid w:val="00C31817"/>
    <w:rsid w:val="00C3185C"/>
    <w:rsid w:val="00C31896"/>
    <w:rsid w:val="00C31996"/>
    <w:rsid w:val="00C319FD"/>
    <w:rsid w:val="00C31A4B"/>
    <w:rsid w:val="00C31A5B"/>
    <w:rsid w:val="00C31AA0"/>
    <w:rsid w:val="00C31B07"/>
    <w:rsid w:val="00C31B6D"/>
    <w:rsid w:val="00C31B9D"/>
    <w:rsid w:val="00C31C21"/>
    <w:rsid w:val="00C31D06"/>
    <w:rsid w:val="00C31D47"/>
    <w:rsid w:val="00C31E2F"/>
    <w:rsid w:val="00C31EBC"/>
    <w:rsid w:val="00C31F01"/>
    <w:rsid w:val="00C31FB8"/>
    <w:rsid w:val="00C31FCE"/>
    <w:rsid w:val="00C32072"/>
    <w:rsid w:val="00C3217C"/>
    <w:rsid w:val="00C32193"/>
    <w:rsid w:val="00C321DC"/>
    <w:rsid w:val="00C3226D"/>
    <w:rsid w:val="00C32333"/>
    <w:rsid w:val="00C32350"/>
    <w:rsid w:val="00C3238D"/>
    <w:rsid w:val="00C3253E"/>
    <w:rsid w:val="00C32577"/>
    <w:rsid w:val="00C325AC"/>
    <w:rsid w:val="00C32751"/>
    <w:rsid w:val="00C327DA"/>
    <w:rsid w:val="00C327FA"/>
    <w:rsid w:val="00C3284F"/>
    <w:rsid w:val="00C32883"/>
    <w:rsid w:val="00C32895"/>
    <w:rsid w:val="00C32934"/>
    <w:rsid w:val="00C3294C"/>
    <w:rsid w:val="00C3297F"/>
    <w:rsid w:val="00C32A3A"/>
    <w:rsid w:val="00C32B50"/>
    <w:rsid w:val="00C32C0D"/>
    <w:rsid w:val="00C32CFA"/>
    <w:rsid w:val="00C32D75"/>
    <w:rsid w:val="00C32F9A"/>
    <w:rsid w:val="00C33038"/>
    <w:rsid w:val="00C330A1"/>
    <w:rsid w:val="00C33139"/>
    <w:rsid w:val="00C33208"/>
    <w:rsid w:val="00C33275"/>
    <w:rsid w:val="00C332DB"/>
    <w:rsid w:val="00C3331E"/>
    <w:rsid w:val="00C333FF"/>
    <w:rsid w:val="00C33449"/>
    <w:rsid w:val="00C3348F"/>
    <w:rsid w:val="00C33495"/>
    <w:rsid w:val="00C335DB"/>
    <w:rsid w:val="00C33629"/>
    <w:rsid w:val="00C33635"/>
    <w:rsid w:val="00C33653"/>
    <w:rsid w:val="00C337A3"/>
    <w:rsid w:val="00C3382D"/>
    <w:rsid w:val="00C338C5"/>
    <w:rsid w:val="00C33A05"/>
    <w:rsid w:val="00C33B46"/>
    <w:rsid w:val="00C33BCF"/>
    <w:rsid w:val="00C33C35"/>
    <w:rsid w:val="00C33C60"/>
    <w:rsid w:val="00C33CA1"/>
    <w:rsid w:val="00C33CBE"/>
    <w:rsid w:val="00C33DF2"/>
    <w:rsid w:val="00C33E15"/>
    <w:rsid w:val="00C33E75"/>
    <w:rsid w:val="00C33EA8"/>
    <w:rsid w:val="00C33EAD"/>
    <w:rsid w:val="00C33EBF"/>
    <w:rsid w:val="00C33EC9"/>
    <w:rsid w:val="00C33EF8"/>
    <w:rsid w:val="00C33F41"/>
    <w:rsid w:val="00C33F9C"/>
    <w:rsid w:val="00C34044"/>
    <w:rsid w:val="00C340D7"/>
    <w:rsid w:val="00C34195"/>
    <w:rsid w:val="00C34199"/>
    <w:rsid w:val="00C3427B"/>
    <w:rsid w:val="00C342DB"/>
    <w:rsid w:val="00C34362"/>
    <w:rsid w:val="00C343BD"/>
    <w:rsid w:val="00C34456"/>
    <w:rsid w:val="00C344FC"/>
    <w:rsid w:val="00C345BA"/>
    <w:rsid w:val="00C345D7"/>
    <w:rsid w:val="00C345D8"/>
    <w:rsid w:val="00C34623"/>
    <w:rsid w:val="00C3467C"/>
    <w:rsid w:val="00C346F0"/>
    <w:rsid w:val="00C3470A"/>
    <w:rsid w:val="00C34751"/>
    <w:rsid w:val="00C3475A"/>
    <w:rsid w:val="00C34842"/>
    <w:rsid w:val="00C3486E"/>
    <w:rsid w:val="00C348A4"/>
    <w:rsid w:val="00C34901"/>
    <w:rsid w:val="00C34951"/>
    <w:rsid w:val="00C34968"/>
    <w:rsid w:val="00C349A7"/>
    <w:rsid w:val="00C349E7"/>
    <w:rsid w:val="00C34A06"/>
    <w:rsid w:val="00C34AFD"/>
    <w:rsid w:val="00C34B6E"/>
    <w:rsid w:val="00C34CAE"/>
    <w:rsid w:val="00C34D01"/>
    <w:rsid w:val="00C34D2A"/>
    <w:rsid w:val="00C34D82"/>
    <w:rsid w:val="00C34D8B"/>
    <w:rsid w:val="00C34E0A"/>
    <w:rsid w:val="00C34E58"/>
    <w:rsid w:val="00C34F96"/>
    <w:rsid w:val="00C34FC1"/>
    <w:rsid w:val="00C35103"/>
    <w:rsid w:val="00C35121"/>
    <w:rsid w:val="00C35137"/>
    <w:rsid w:val="00C35247"/>
    <w:rsid w:val="00C352AB"/>
    <w:rsid w:val="00C35339"/>
    <w:rsid w:val="00C354A1"/>
    <w:rsid w:val="00C354F6"/>
    <w:rsid w:val="00C35555"/>
    <w:rsid w:val="00C35631"/>
    <w:rsid w:val="00C35668"/>
    <w:rsid w:val="00C356C6"/>
    <w:rsid w:val="00C35741"/>
    <w:rsid w:val="00C357E4"/>
    <w:rsid w:val="00C35A4A"/>
    <w:rsid w:val="00C35A95"/>
    <w:rsid w:val="00C35AD9"/>
    <w:rsid w:val="00C35ADA"/>
    <w:rsid w:val="00C35AE1"/>
    <w:rsid w:val="00C35AEC"/>
    <w:rsid w:val="00C35B5A"/>
    <w:rsid w:val="00C35B7E"/>
    <w:rsid w:val="00C35C16"/>
    <w:rsid w:val="00C35C3D"/>
    <w:rsid w:val="00C35C40"/>
    <w:rsid w:val="00C35C4C"/>
    <w:rsid w:val="00C35CAA"/>
    <w:rsid w:val="00C35D1A"/>
    <w:rsid w:val="00C35F3E"/>
    <w:rsid w:val="00C35F67"/>
    <w:rsid w:val="00C35F82"/>
    <w:rsid w:val="00C35FB4"/>
    <w:rsid w:val="00C3611C"/>
    <w:rsid w:val="00C3616C"/>
    <w:rsid w:val="00C3617C"/>
    <w:rsid w:val="00C361C7"/>
    <w:rsid w:val="00C3624C"/>
    <w:rsid w:val="00C3629A"/>
    <w:rsid w:val="00C362AF"/>
    <w:rsid w:val="00C362D1"/>
    <w:rsid w:val="00C362EC"/>
    <w:rsid w:val="00C362F4"/>
    <w:rsid w:val="00C36347"/>
    <w:rsid w:val="00C363D4"/>
    <w:rsid w:val="00C363F6"/>
    <w:rsid w:val="00C3643B"/>
    <w:rsid w:val="00C364A6"/>
    <w:rsid w:val="00C364B1"/>
    <w:rsid w:val="00C3650A"/>
    <w:rsid w:val="00C36539"/>
    <w:rsid w:val="00C36543"/>
    <w:rsid w:val="00C36592"/>
    <w:rsid w:val="00C3659B"/>
    <w:rsid w:val="00C365AB"/>
    <w:rsid w:val="00C36673"/>
    <w:rsid w:val="00C366DE"/>
    <w:rsid w:val="00C36772"/>
    <w:rsid w:val="00C367D8"/>
    <w:rsid w:val="00C367F5"/>
    <w:rsid w:val="00C36800"/>
    <w:rsid w:val="00C36845"/>
    <w:rsid w:val="00C368B0"/>
    <w:rsid w:val="00C368D7"/>
    <w:rsid w:val="00C36954"/>
    <w:rsid w:val="00C3699D"/>
    <w:rsid w:val="00C36AE5"/>
    <w:rsid w:val="00C36B44"/>
    <w:rsid w:val="00C36BC6"/>
    <w:rsid w:val="00C36C01"/>
    <w:rsid w:val="00C36C7E"/>
    <w:rsid w:val="00C36CA3"/>
    <w:rsid w:val="00C36CC0"/>
    <w:rsid w:val="00C36D0E"/>
    <w:rsid w:val="00C36D1A"/>
    <w:rsid w:val="00C36D82"/>
    <w:rsid w:val="00C36DEE"/>
    <w:rsid w:val="00C36E4B"/>
    <w:rsid w:val="00C36E51"/>
    <w:rsid w:val="00C36E95"/>
    <w:rsid w:val="00C36EA9"/>
    <w:rsid w:val="00C36ED1"/>
    <w:rsid w:val="00C36EEB"/>
    <w:rsid w:val="00C37035"/>
    <w:rsid w:val="00C3703D"/>
    <w:rsid w:val="00C3704C"/>
    <w:rsid w:val="00C3707B"/>
    <w:rsid w:val="00C3708D"/>
    <w:rsid w:val="00C370E3"/>
    <w:rsid w:val="00C370E6"/>
    <w:rsid w:val="00C37132"/>
    <w:rsid w:val="00C371D6"/>
    <w:rsid w:val="00C3727D"/>
    <w:rsid w:val="00C3736F"/>
    <w:rsid w:val="00C373BD"/>
    <w:rsid w:val="00C373C7"/>
    <w:rsid w:val="00C373F8"/>
    <w:rsid w:val="00C374DA"/>
    <w:rsid w:val="00C3757A"/>
    <w:rsid w:val="00C375B8"/>
    <w:rsid w:val="00C37648"/>
    <w:rsid w:val="00C3764F"/>
    <w:rsid w:val="00C3766B"/>
    <w:rsid w:val="00C3768E"/>
    <w:rsid w:val="00C376D9"/>
    <w:rsid w:val="00C377AC"/>
    <w:rsid w:val="00C37844"/>
    <w:rsid w:val="00C378AC"/>
    <w:rsid w:val="00C378E7"/>
    <w:rsid w:val="00C378F5"/>
    <w:rsid w:val="00C378F7"/>
    <w:rsid w:val="00C37939"/>
    <w:rsid w:val="00C3799D"/>
    <w:rsid w:val="00C379AF"/>
    <w:rsid w:val="00C379BF"/>
    <w:rsid w:val="00C379CE"/>
    <w:rsid w:val="00C37A7A"/>
    <w:rsid w:val="00C37A7E"/>
    <w:rsid w:val="00C37B21"/>
    <w:rsid w:val="00C37B7E"/>
    <w:rsid w:val="00C37CC2"/>
    <w:rsid w:val="00C37D8B"/>
    <w:rsid w:val="00C37DEB"/>
    <w:rsid w:val="00C37E79"/>
    <w:rsid w:val="00C37EA8"/>
    <w:rsid w:val="00C37EC8"/>
    <w:rsid w:val="00C40019"/>
    <w:rsid w:val="00C4001F"/>
    <w:rsid w:val="00C40041"/>
    <w:rsid w:val="00C400A6"/>
    <w:rsid w:val="00C400FE"/>
    <w:rsid w:val="00C40197"/>
    <w:rsid w:val="00C4020B"/>
    <w:rsid w:val="00C40231"/>
    <w:rsid w:val="00C4024E"/>
    <w:rsid w:val="00C40257"/>
    <w:rsid w:val="00C4025D"/>
    <w:rsid w:val="00C4032F"/>
    <w:rsid w:val="00C4033E"/>
    <w:rsid w:val="00C403A2"/>
    <w:rsid w:val="00C4043D"/>
    <w:rsid w:val="00C404DE"/>
    <w:rsid w:val="00C40509"/>
    <w:rsid w:val="00C4052D"/>
    <w:rsid w:val="00C4059E"/>
    <w:rsid w:val="00C4060A"/>
    <w:rsid w:val="00C406FC"/>
    <w:rsid w:val="00C40731"/>
    <w:rsid w:val="00C407E8"/>
    <w:rsid w:val="00C40808"/>
    <w:rsid w:val="00C40837"/>
    <w:rsid w:val="00C40865"/>
    <w:rsid w:val="00C408DC"/>
    <w:rsid w:val="00C408F1"/>
    <w:rsid w:val="00C4093E"/>
    <w:rsid w:val="00C40972"/>
    <w:rsid w:val="00C40991"/>
    <w:rsid w:val="00C40A27"/>
    <w:rsid w:val="00C40A9F"/>
    <w:rsid w:val="00C40AD9"/>
    <w:rsid w:val="00C40B66"/>
    <w:rsid w:val="00C40CE6"/>
    <w:rsid w:val="00C40D16"/>
    <w:rsid w:val="00C40DCE"/>
    <w:rsid w:val="00C40E12"/>
    <w:rsid w:val="00C40E5C"/>
    <w:rsid w:val="00C40E83"/>
    <w:rsid w:val="00C40FF8"/>
    <w:rsid w:val="00C41030"/>
    <w:rsid w:val="00C41059"/>
    <w:rsid w:val="00C410B2"/>
    <w:rsid w:val="00C41139"/>
    <w:rsid w:val="00C411C2"/>
    <w:rsid w:val="00C411D1"/>
    <w:rsid w:val="00C4123A"/>
    <w:rsid w:val="00C412EB"/>
    <w:rsid w:val="00C4132B"/>
    <w:rsid w:val="00C413D0"/>
    <w:rsid w:val="00C414AE"/>
    <w:rsid w:val="00C41515"/>
    <w:rsid w:val="00C415A6"/>
    <w:rsid w:val="00C415B3"/>
    <w:rsid w:val="00C41629"/>
    <w:rsid w:val="00C416F8"/>
    <w:rsid w:val="00C41732"/>
    <w:rsid w:val="00C41786"/>
    <w:rsid w:val="00C41801"/>
    <w:rsid w:val="00C41821"/>
    <w:rsid w:val="00C41823"/>
    <w:rsid w:val="00C4191A"/>
    <w:rsid w:val="00C41992"/>
    <w:rsid w:val="00C41A8A"/>
    <w:rsid w:val="00C41A9B"/>
    <w:rsid w:val="00C41ABC"/>
    <w:rsid w:val="00C41AF1"/>
    <w:rsid w:val="00C41C05"/>
    <w:rsid w:val="00C41C0E"/>
    <w:rsid w:val="00C41CE4"/>
    <w:rsid w:val="00C41D5D"/>
    <w:rsid w:val="00C41E69"/>
    <w:rsid w:val="00C41E6B"/>
    <w:rsid w:val="00C41EAA"/>
    <w:rsid w:val="00C41F3A"/>
    <w:rsid w:val="00C41F64"/>
    <w:rsid w:val="00C42052"/>
    <w:rsid w:val="00C42103"/>
    <w:rsid w:val="00C4215F"/>
    <w:rsid w:val="00C42191"/>
    <w:rsid w:val="00C421B1"/>
    <w:rsid w:val="00C42231"/>
    <w:rsid w:val="00C42292"/>
    <w:rsid w:val="00C422A3"/>
    <w:rsid w:val="00C422D0"/>
    <w:rsid w:val="00C422D1"/>
    <w:rsid w:val="00C4231F"/>
    <w:rsid w:val="00C42325"/>
    <w:rsid w:val="00C4236C"/>
    <w:rsid w:val="00C4236E"/>
    <w:rsid w:val="00C4244C"/>
    <w:rsid w:val="00C42525"/>
    <w:rsid w:val="00C42561"/>
    <w:rsid w:val="00C42591"/>
    <w:rsid w:val="00C42688"/>
    <w:rsid w:val="00C42698"/>
    <w:rsid w:val="00C426DA"/>
    <w:rsid w:val="00C4273A"/>
    <w:rsid w:val="00C4276C"/>
    <w:rsid w:val="00C427C7"/>
    <w:rsid w:val="00C427FB"/>
    <w:rsid w:val="00C4280E"/>
    <w:rsid w:val="00C42827"/>
    <w:rsid w:val="00C429B5"/>
    <w:rsid w:val="00C429EC"/>
    <w:rsid w:val="00C42A0B"/>
    <w:rsid w:val="00C42A2D"/>
    <w:rsid w:val="00C42A74"/>
    <w:rsid w:val="00C42AAA"/>
    <w:rsid w:val="00C42AD8"/>
    <w:rsid w:val="00C42D3F"/>
    <w:rsid w:val="00C42D69"/>
    <w:rsid w:val="00C42D98"/>
    <w:rsid w:val="00C42F06"/>
    <w:rsid w:val="00C43018"/>
    <w:rsid w:val="00C43058"/>
    <w:rsid w:val="00C4311C"/>
    <w:rsid w:val="00C4313A"/>
    <w:rsid w:val="00C43171"/>
    <w:rsid w:val="00C43206"/>
    <w:rsid w:val="00C43284"/>
    <w:rsid w:val="00C4330D"/>
    <w:rsid w:val="00C43327"/>
    <w:rsid w:val="00C43340"/>
    <w:rsid w:val="00C433DF"/>
    <w:rsid w:val="00C433FE"/>
    <w:rsid w:val="00C434BF"/>
    <w:rsid w:val="00C435E0"/>
    <w:rsid w:val="00C435F5"/>
    <w:rsid w:val="00C4360B"/>
    <w:rsid w:val="00C4361C"/>
    <w:rsid w:val="00C436A4"/>
    <w:rsid w:val="00C436D0"/>
    <w:rsid w:val="00C43742"/>
    <w:rsid w:val="00C43777"/>
    <w:rsid w:val="00C437BC"/>
    <w:rsid w:val="00C437F3"/>
    <w:rsid w:val="00C438BD"/>
    <w:rsid w:val="00C439AE"/>
    <w:rsid w:val="00C439DA"/>
    <w:rsid w:val="00C43A2D"/>
    <w:rsid w:val="00C43B8E"/>
    <w:rsid w:val="00C43BF4"/>
    <w:rsid w:val="00C43C82"/>
    <w:rsid w:val="00C43C86"/>
    <w:rsid w:val="00C43CCC"/>
    <w:rsid w:val="00C43D27"/>
    <w:rsid w:val="00C43DF2"/>
    <w:rsid w:val="00C43E4E"/>
    <w:rsid w:val="00C43ED0"/>
    <w:rsid w:val="00C43EE2"/>
    <w:rsid w:val="00C44004"/>
    <w:rsid w:val="00C440F4"/>
    <w:rsid w:val="00C4413A"/>
    <w:rsid w:val="00C44162"/>
    <w:rsid w:val="00C441C0"/>
    <w:rsid w:val="00C441DF"/>
    <w:rsid w:val="00C4420D"/>
    <w:rsid w:val="00C4421F"/>
    <w:rsid w:val="00C44252"/>
    <w:rsid w:val="00C4426B"/>
    <w:rsid w:val="00C44376"/>
    <w:rsid w:val="00C44443"/>
    <w:rsid w:val="00C444DA"/>
    <w:rsid w:val="00C44539"/>
    <w:rsid w:val="00C44554"/>
    <w:rsid w:val="00C445AC"/>
    <w:rsid w:val="00C44652"/>
    <w:rsid w:val="00C44698"/>
    <w:rsid w:val="00C4471A"/>
    <w:rsid w:val="00C447E6"/>
    <w:rsid w:val="00C448E0"/>
    <w:rsid w:val="00C448E1"/>
    <w:rsid w:val="00C448E5"/>
    <w:rsid w:val="00C44929"/>
    <w:rsid w:val="00C44A0D"/>
    <w:rsid w:val="00C44A1E"/>
    <w:rsid w:val="00C44AD7"/>
    <w:rsid w:val="00C44B17"/>
    <w:rsid w:val="00C44BAA"/>
    <w:rsid w:val="00C44C01"/>
    <w:rsid w:val="00C44C24"/>
    <w:rsid w:val="00C44C88"/>
    <w:rsid w:val="00C44CD7"/>
    <w:rsid w:val="00C44D54"/>
    <w:rsid w:val="00C44D64"/>
    <w:rsid w:val="00C44DEA"/>
    <w:rsid w:val="00C44DF9"/>
    <w:rsid w:val="00C44E00"/>
    <w:rsid w:val="00C44E18"/>
    <w:rsid w:val="00C44E4D"/>
    <w:rsid w:val="00C44E60"/>
    <w:rsid w:val="00C44F54"/>
    <w:rsid w:val="00C44FF3"/>
    <w:rsid w:val="00C4500E"/>
    <w:rsid w:val="00C4514A"/>
    <w:rsid w:val="00C45158"/>
    <w:rsid w:val="00C451F2"/>
    <w:rsid w:val="00C451FE"/>
    <w:rsid w:val="00C4529E"/>
    <w:rsid w:val="00C45370"/>
    <w:rsid w:val="00C45464"/>
    <w:rsid w:val="00C45469"/>
    <w:rsid w:val="00C45499"/>
    <w:rsid w:val="00C454F5"/>
    <w:rsid w:val="00C45633"/>
    <w:rsid w:val="00C45684"/>
    <w:rsid w:val="00C4568A"/>
    <w:rsid w:val="00C456DB"/>
    <w:rsid w:val="00C4575C"/>
    <w:rsid w:val="00C45808"/>
    <w:rsid w:val="00C45825"/>
    <w:rsid w:val="00C4584B"/>
    <w:rsid w:val="00C45911"/>
    <w:rsid w:val="00C45944"/>
    <w:rsid w:val="00C4597B"/>
    <w:rsid w:val="00C459D3"/>
    <w:rsid w:val="00C45A71"/>
    <w:rsid w:val="00C45ADF"/>
    <w:rsid w:val="00C45AE6"/>
    <w:rsid w:val="00C45AF4"/>
    <w:rsid w:val="00C45B14"/>
    <w:rsid w:val="00C45B6D"/>
    <w:rsid w:val="00C45BB0"/>
    <w:rsid w:val="00C45BEF"/>
    <w:rsid w:val="00C45C78"/>
    <w:rsid w:val="00C45CAA"/>
    <w:rsid w:val="00C45D56"/>
    <w:rsid w:val="00C45DF2"/>
    <w:rsid w:val="00C45E23"/>
    <w:rsid w:val="00C45F2A"/>
    <w:rsid w:val="00C45F47"/>
    <w:rsid w:val="00C45FD8"/>
    <w:rsid w:val="00C46289"/>
    <w:rsid w:val="00C4629E"/>
    <w:rsid w:val="00C462C6"/>
    <w:rsid w:val="00C463D6"/>
    <w:rsid w:val="00C4643C"/>
    <w:rsid w:val="00C46454"/>
    <w:rsid w:val="00C46463"/>
    <w:rsid w:val="00C4646D"/>
    <w:rsid w:val="00C46494"/>
    <w:rsid w:val="00C464F2"/>
    <w:rsid w:val="00C46527"/>
    <w:rsid w:val="00C4654A"/>
    <w:rsid w:val="00C4656A"/>
    <w:rsid w:val="00C46601"/>
    <w:rsid w:val="00C46606"/>
    <w:rsid w:val="00C4660A"/>
    <w:rsid w:val="00C46765"/>
    <w:rsid w:val="00C467E5"/>
    <w:rsid w:val="00C46892"/>
    <w:rsid w:val="00C46895"/>
    <w:rsid w:val="00C468AD"/>
    <w:rsid w:val="00C46911"/>
    <w:rsid w:val="00C469FA"/>
    <w:rsid w:val="00C46A5E"/>
    <w:rsid w:val="00C46A91"/>
    <w:rsid w:val="00C46AC8"/>
    <w:rsid w:val="00C46AEE"/>
    <w:rsid w:val="00C46BCD"/>
    <w:rsid w:val="00C46BF0"/>
    <w:rsid w:val="00C46C86"/>
    <w:rsid w:val="00C46C8C"/>
    <w:rsid w:val="00C46CAB"/>
    <w:rsid w:val="00C46CAD"/>
    <w:rsid w:val="00C46D01"/>
    <w:rsid w:val="00C46D56"/>
    <w:rsid w:val="00C46E15"/>
    <w:rsid w:val="00C46EA4"/>
    <w:rsid w:val="00C46EB2"/>
    <w:rsid w:val="00C46F8D"/>
    <w:rsid w:val="00C46FAB"/>
    <w:rsid w:val="00C46FCC"/>
    <w:rsid w:val="00C46FE9"/>
    <w:rsid w:val="00C4704E"/>
    <w:rsid w:val="00C471A1"/>
    <w:rsid w:val="00C471D2"/>
    <w:rsid w:val="00C47223"/>
    <w:rsid w:val="00C47287"/>
    <w:rsid w:val="00C47361"/>
    <w:rsid w:val="00C47405"/>
    <w:rsid w:val="00C4740A"/>
    <w:rsid w:val="00C47414"/>
    <w:rsid w:val="00C47552"/>
    <w:rsid w:val="00C47556"/>
    <w:rsid w:val="00C47562"/>
    <w:rsid w:val="00C47589"/>
    <w:rsid w:val="00C47679"/>
    <w:rsid w:val="00C4776A"/>
    <w:rsid w:val="00C477D9"/>
    <w:rsid w:val="00C478C3"/>
    <w:rsid w:val="00C47912"/>
    <w:rsid w:val="00C47955"/>
    <w:rsid w:val="00C4797B"/>
    <w:rsid w:val="00C479F1"/>
    <w:rsid w:val="00C479F5"/>
    <w:rsid w:val="00C47A3E"/>
    <w:rsid w:val="00C47A8E"/>
    <w:rsid w:val="00C47AC4"/>
    <w:rsid w:val="00C47AF6"/>
    <w:rsid w:val="00C47B37"/>
    <w:rsid w:val="00C47BFB"/>
    <w:rsid w:val="00C47D09"/>
    <w:rsid w:val="00C47D73"/>
    <w:rsid w:val="00C47D91"/>
    <w:rsid w:val="00C47DA1"/>
    <w:rsid w:val="00C47E54"/>
    <w:rsid w:val="00C47E76"/>
    <w:rsid w:val="00C47EC8"/>
    <w:rsid w:val="00C47F19"/>
    <w:rsid w:val="00C47F6A"/>
    <w:rsid w:val="00C50013"/>
    <w:rsid w:val="00C5001A"/>
    <w:rsid w:val="00C50023"/>
    <w:rsid w:val="00C5003F"/>
    <w:rsid w:val="00C50242"/>
    <w:rsid w:val="00C50296"/>
    <w:rsid w:val="00C502B6"/>
    <w:rsid w:val="00C502D7"/>
    <w:rsid w:val="00C503B8"/>
    <w:rsid w:val="00C503EE"/>
    <w:rsid w:val="00C50413"/>
    <w:rsid w:val="00C50483"/>
    <w:rsid w:val="00C504AD"/>
    <w:rsid w:val="00C50524"/>
    <w:rsid w:val="00C50547"/>
    <w:rsid w:val="00C50565"/>
    <w:rsid w:val="00C50567"/>
    <w:rsid w:val="00C505AF"/>
    <w:rsid w:val="00C506CD"/>
    <w:rsid w:val="00C506E7"/>
    <w:rsid w:val="00C5078B"/>
    <w:rsid w:val="00C508C7"/>
    <w:rsid w:val="00C50920"/>
    <w:rsid w:val="00C50974"/>
    <w:rsid w:val="00C509FE"/>
    <w:rsid w:val="00C50A6E"/>
    <w:rsid w:val="00C50AF9"/>
    <w:rsid w:val="00C50B05"/>
    <w:rsid w:val="00C50C21"/>
    <w:rsid w:val="00C50C5A"/>
    <w:rsid w:val="00C50C6D"/>
    <w:rsid w:val="00C50C74"/>
    <w:rsid w:val="00C50C7E"/>
    <w:rsid w:val="00C50C9B"/>
    <w:rsid w:val="00C50D01"/>
    <w:rsid w:val="00C50E81"/>
    <w:rsid w:val="00C50E97"/>
    <w:rsid w:val="00C50F3D"/>
    <w:rsid w:val="00C50FDC"/>
    <w:rsid w:val="00C51069"/>
    <w:rsid w:val="00C51100"/>
    <w:rsid w:val="00C511F0"/>
    <w:rsid w:val="00C51373"/>
    <w:rsid w:val="00C513C6"/>
    <w:rsid w:val="00C51402"/>
    <w:rsid w:val="00C5142C"/>
    <w:rsid w:val="00C51451"/>
    <w:rsid w:val="00C51493"/>
    <w:rsid w:val="00C51501"/>
    <w:rsid w:val="00C515BE"/>
    <w:rsid w:val="00C51605"/>
    <w:rsid w:val="00C5174D"/>
    <w:rsid w:val="00C51783"/>
    <w:rsid w:val="00C5179D"/>
    <w:rsid w:val="00C51903"/>
    <w:rsid w:val="00C519E0"/>
    <w:rsid w:val="00C519EE"/>
    <w:rsid w:val="00C519F9"/>
    <w:rsid w:val="00C51A8C"/>
    <w:rsid w:val="00C51AA9"/>
    <w:rsid w:val="00C51C3F"/>
    <w:rsid w:val="00C51C48"/>
    <w:rsid w:val="00C51C4D"/>
    <w:rsid w:val="00C51D20"/>
    <w:rsid w:val="00C51D97"/>
    <w:rsid w:val="00C51DCD"/>
    <w:rsid w:val="00C51E32"/>
    <w:rsid w:val="00C51E5F"/>
    <w:rsid w:val="00C51F09"/>
    <w:rsid w:val="00C51F60"/>
    <w:rsid w:val="00C51FFE"/>
    <w:rsid w:val="00C52010"/>
    <w:rsid w:val="00C5207F"/>
    <w:rsid w:val="00C521A6"/>
    <w:rsid w:val="00C52237"/>
    <w:rsid w:val="00C52285"/>
    <w:rsid w:val="00C52299"/>
    <w:rsid w:val="00C523AE"/>
    <w:rsid w:val="00C523CE"/>
    <w:rsid w:val="00C52419"/>
    <w:rsid w:val="00C524A8"/>
    <w:rsid w:val="00C524E0"/>
    <w:rsid w:val="00C52500"/>
    <w:rsid w:val="00C52547"/>
    <w:rsid w:val="00C52617"/>
    <w:rsid w:val="00C5261C"/>
    <w:rsid w:val="00C5272D"/>
    <w:rsid w:val="00C527C1"/>
    <w:rsid w:val="00C52811"/>
    <w:rsid w:val="00C5297A"/>
    <w:rsid w:val="00C52A20"/>
    <w:rsid w:val="00C52B05"/>
    <w:rsid w:val="00C52B25"/>
    <w:rsid w:val="00C52B8D"/>
    <w:rsid w:val="00C52CC5"/>
    <w:rsid w:val="00C52D74"/>
    <w:rsid w:val="00C52DA9"/>
    <w:rsid w:val="00C52DF4"/>
    <w:rsid w:val="00C52E40"/>
    <w:rsid w:val="00C52F1C"/>
    <w:rsid w:val="00C53004"/>
    <w:rsid w:val="00C53081"/>
    <w:rsid w:val="00C5310B"/>
    <w:rsid w:val="00C5319F"/>
    <w:rsid w:val="00C531BC"/>
    <w:rsid w:val="00C5327A"/>
    <w:rsid w:val="00C53281"/>
    <w:rsid w:val="00C533F5"/>
    <w:rsid w:val="00C53411"/>
    <w:rsid w:val="00C5343F"/>
    <w:rsid w:val="00C53471"/>
    <w:rsid w:val="00C5350F"/>
    <w:rsid w:val="00C5352B"/>
    <w:rsid w:val="00C53622"/>
    <w:rsid w:val="00C53652"/>
    <w:rsid w:val="00C536F2"/>
    <w:rsid w:val="00C53721"/>
    <w:rsid w:val="00C53790"/>
    <w:rsid w:val="00C537E5"/>
    <w:rsid w:val="00C5381D"/>
    <w:rsid w:val="00C5393B"/>
    <w:rsid w:val="00C53979"/>
    <w:rsid w:val="00C53B9A"/>
    <w:rsid w:val="00C53BD1"/>
    <w:rsid w:val="00C53BDC"/>
    <w:rsid w:val="00C53C49"/>
    <w:rsid w:val="00C53D1E"/>
    <w:rsid w:val="00C53DBF"/>
    <w:rsid w:val="00C53E96"/>
    <w:rsid w:val="00C53ED5"/>
    <w:rsid w:val="00C53EF7"/>
    <w:rsid w:val="00C53F8B"/>
    <w:rsid w:val="00C54008"/>
    <w:rsid w:val="00C54083"/>
    <w:rsid w:val="00C54084"/>
    <w:rsid w:val="00C5417E"/>
    <w:rsid w:val="00C541ED"/>
    <w:rsid w:val="00C542D4"/>
    <w:rsid w:val="00C54314"/>
    <w:rsid w:val="00C54329"/>
    <w:rsid w:val="00C5432F"/>
    <w:rsid w:val="00C543EC"/>
    <w:rsid w:val="00C545B7"/>
    <w:rsid w:val="00C545F1"/>
    <w:rsid w:val="00C545F4"/>
    <w:rsid w:val="00C5460E"/>
    <w:rsid w:val="00C547D1"/>
    <w:rsid w:val="00C547DA"/>
    <w:rsid w:val="00C547FD"/>
    <w:rsid w:val="00C54810"/>
    <w:rsid w:val="00C548E1"/>
    <w:rsid w:val="00C54A14"/>
    <w:rsid w:val="00C54A52"/>
    <w:rsid w:val="00C54B2A"/>
    <w:rsid w:val="00C54B57"/>
    <w:rsid w:val="00C54C93"/>
    <w:rsid w:val="00C54C9D"/>
    <w:rsid w:val="00C54CEF"/>
    <w:rsid w:val="00C54D59"/>
    <w:rsid w:val="00C54E58"/>
    <w:rsid w:val="00C5501D"/>
    <w:rsid w:val="00C5507B"/>
    <w:rsid w:val="00C55125"/>
    <w:rsid w:val="00C55157"/>
    <w:rsid w:val="00C5516B"/>
    <w:rsid w:val="00C55264"/>
    <w:rsid w:val="00C55394"/>
    <w:rsid w:val="00C55400"/>
    <w:rsid w:val="00C55409"/>
    <w:rsid w:val="00C5547F"/>
    <w:rsid w:val="00C5551F"/>
    <w:rsid w:val="00C55535"/>
    <w:rsid w:val="00C5554B"/>
    <w:rsid w:val="00C55577"/>
    <w:rsid w:val="00C555ED"/>
    <w:rsid w:val="00C55682"/>
    <w:rsid w:val="00C556FF"/>
    <w:rsid w:val="00C55702"/>
    <w:rsid w:val="00C557B1"/>
    <w:rsid w:val="00C55823"/>
    <w:rsid w:val="00C5590E"/>
    <w:rsid w:val="00C55912"/>
    <w:rsid w:val="00C55948"/>
    <w:rsid w:val="00C55A23"/>
    <w:rsid w:val="00C55A42"/>
    <w:rsid w:val="00C55A5F"/>
    <w:rsid w:val="00C55ADF"/>
    <w:rsid w:val="00C55AFC"/>
    <w:rsid w:val="00C55B7E"/>
    <w:rsid w:val="00C55BAA"/>
    <w:rsid w:val="00C55C36"/>
    <w:rsid w:val="00C55CB5"/>
    <w:rsid w:val="00C55CC0"/>
    <w:rsid w:val="00C55CD6"/>
    <w:rsid w:val="00C55D00"/>
    <w:rsid w:val="00C55D07"/>
    <w:rsid w:val="00C55D12"/>
    <w:rsid w:val="00C55D2E"/>
    <w:rsid w:val="00C55E4C"/>
    <w:rsid w:val="00C55EF4"/>
    <w:rsid w:val="00C55F31"/>
    <w:rsid w:val="00C55F68"/>
    <w:rsid w:val="00C55FA9"/>
    <w:rsid w:val="00C5604A"/>
    <w:rsid w:val="00C560B6"/>
    <w:rsid w:val="00C560C7"/>
    <w:rsid w:val="00C560FE"/>
    <w:rsid w:val="00C5611F"/>
    <w:rsid w:val="00C56136"/>
    <w:rsid w:val="00C562C0"/>
    <w:rsid w:val="00C562F2"/>
    <w:rsid w:val="00C563B5"/>
    <w:rsid w:val="00C5644D"/>
    <w:rsid w:val="00C56452"/>
    <w:rsid w:val="00C5646D"/>
    <w:rsid w:val="00C56470"/>
    <w:rsid w:val="00C564EC"/>
    <w:rsid w:val="00C56550"/>
    <w:rsid w:val="00C5657F"/>
    <w:rsid w:val="00C565E3"/>
    <w:rsid w:val="00C56609"/>
    <w:rsid w:val="00C56660"/>
    <w:rsid w:val="00C56703"/>
    <w:rsid w:val="00C56746"/>
    <w:rsid w:val="00C567E3"/>
    <w:rsid w:val="00C56871"/>
    <w:rsid w:val="00C56964"/>
    <w:rsid w:val="00C569B4"/>
    <w:rsid w:val="00C56A76"/>
    <w:rsid w:val="00C56AE5"/>
    <w:rsid w:val="00C56B61"/>
    <w:rsid w:val="00C56B97"/>
    <w:rsid w:val="00C56B9B"/>
    <w:rsid w:val="00C56C0D"/>
    <w:rsid w:val="00C56C17"/>
    <w:rsid w:val="00C56C74"/>
    <w:rsid w:val="00C56C84"/>
    <w:rsid w:val="00C56D3A"/>
    <w:rsid w:val="00C56D78"/>
    <w:rsid w:val="00C56E12"/>
    <w:rsid w:val="00C56E3B"/>
    <w:rsid w:val="00C56E49"/>
    <w:rsid w:val="00C56E95"/>
    <w:rsid w:val="00C56F06"/>
    <w:rsid w:val="00C56F99"/>
    <w:rsid w:val="00C57080"/>
    <w:rsid w:val="00C57090"/>
    <w:rsid w:val="00C5713A"/>
    <w:rsid w:val="00C57141"/>
    <w:rsid w:val="00C5735B"/>
    <w:rsid w:val="00C573F7"/>
    <w:rsid w:val="00C57409"/>
    <w:rsid w:val="00C57499"/>
    <w:rsid w:val="00C5754D"/>
    <w:rsid w:val="00C5758B"/>
    <w:rsid w:val="00C57592"/>
    <w:rsid w:val="00C575FB"/>
    <w:rsid w:val="00C5767D"/>
    <w:rsid w:val="00C5781B"/>
    <w:rsid w:val="00C57883"/>
    <w:rsid w:val="00C57953"/>
    <w:rsid w:val="00C57984"/>
    <w:rsid w:val="00C579FB"/>
    <w:rsid w:val="00C57AA9"/>
    <w:rsid w:val="00C57AAF"/>
    <w:rsid w:val="00C57B15"/>
    <w:rsid w:val="00C57B6A"/>
    <w:rsid w:val="00C57BBE"/>
    <w:rsid w:val="00C57BEB"/>
    <w:rsid w:val="00C57C0D"/>
    <w:rsid w:val="00C57C42"/>
    <w:rsid w:val="00C57C57"/>
    <w:rsid w:val="00C57C73"/>
    <w:rsid w:val="00C57CBA"/>
    <w:rsid w:val="00C57CBF"/>
    <w:rsid w:val="00C57E1D"/>
    <w:rsid w:val="00C57E41"/>
    <w:rsid w:val="00C57F0E"/>
    <w:rsid w:val="00C57F25"/>
    <w:rsid w:val="00C57F3B"/>
    <w:rsid w:val="00C60022"/>
    <w:rsid w:val="00C600AD"/>
    <w:rsid w:val="00C6012E"/>
    <w:rsid w:val="00C601A9"/>
    <w:rsid w:val="00C602DF"/>
    <w:rsid w:val="00C602FC"/>
    <w:rsid w:val="00C60324"/>
    <w:rsid w:val="00C6035A"/>
    <w:rsid w:val="00C6035E"/>
    <w:rsid w:val="00C6041F"/>
    <w:rsid w:val="00C60428"/>
    <w:rsid w:val="00C60480"/>
    <w:rsid w:val="00C6048C"/>
    <w:rsid w:val="00C604CE"/>
    <w:rsid w:val="00C6053D"/>
    <w:rsid w:val="00C605F0"/>
    <w:rsid w:val="00C60674"/>
    <w:rsid w:val="00C607D4"/>
    <w:rsid w:val="00C607E3"/>
    <w:rsid w:val="00C6088D"/>
    <w:rsid w:val="00C60916"/>
    <w:rsid w:val="00C60A58"/>
    <w:rsid w:val="00C60A94"/>
    <w:rsid w:val="00C60B92"/>
    <w:rsid w:val="00C60BF9"/>
    <w:rsid w:val="00C60C32"/>
    <w:rsid w:val="00C60C40"/>
    <w:rsid w:val="00C60CB3"/>
    <w:rsid w:val="00C60D1D"/>
    <w:rsid w:val="00C60D2A"/>
    <w:rsid w:val="00C60D52"/>
    <w:rsid w:val="00C60D70"/>
    <w:rsid w:val="00C60DDF"/>
    <w:rsid w:val="00C60E2D"/>
    <w:rsid w:val="00C60E6D"/>
    <w:rsid w:val="00C60EB2"/>
    <w:rsid w:val="00C60F1F"/>
    <w:rsid w:val="00C60F4C"/>
    <w:rsid w:val="00C60FF4"/>
    <w:rsid w:val="00C61044"/>
    <w:rsid w:val="00C61069"/>
    <w:rsid w:val="00C610B2"/>
    <w:rsid w:val="00C61154"/>
    <w:rsid w:val="00C61281"/>
    <w:rsid w:val="00C612B0"/>
    <w:rsid w:val="00C61359"/>
    <w:rsid w:val="00C61428"/>
    <w:rsid w:val="00C614E1"/>
    <w:rsid w:val="00C614F2"/>
    <w:rsid w:val="00C61677"/>
    <w:rsid w:val="00C6169E"/>
    <w:rsid w:val="00C6173E"/>
    <w:rsid w:val="00C6176C"/>
    <w:rsid w:val="00C6179A"/>
    <w:rsid w:val="00C617E7"/>
    <w:rsid w:val="00C617EA"/>
    <w:rsid w:val="00C61840"/>
    <w:rsid w:val="00C61848"/>
    <w:rsid w:val="00C6187B"/>
    <w:rsid w:val="00C61937"/>
    <w:rsid w:val="00C61976"/>
    <w:rsid w:val="00C619FE"/>
    <w:rsid w:val="00C61A0E"/>
    <w:rsid w:val="00C61AC0"/>
    <w:rsid w:val="00C61AC6"/>
    <w:rsid w:val="00C61AD7"/>
    <w:rsid w:val="00C61AE7"/>
    <w:rsid w:val="00C61B02"/>
    <w:rsid w:val="00C61B22"/>
    <w:rsid w:val="00C61B58"/>
    <w:rsid w:val="00C61B7A"/>
    <w:rsid w:val="00C61B89"/>
    <w:rsid w:val="00C61BEE"/>
    <w:rsid w:val="00C61CC0"/>
    <w:rsid w:val="00C61D27"/>
    <w:rsid w:val="00C61D5B"/>
    <w:rsid w:val="00C61D7A"/>
    <w:rsid w:val="00C61D8F"/>
    <w:rsid w:val="00C61EBF"/>
    <w:rsid w:val="00C61EF6"/>
    <w:rsid w:val="00C61F00"/>
    <w:rsid w:val="00C61F51"/>
    <w:rsid w:val="00C61F8D"/>
    <w:rsid w:val="00C61FB2"/>
    <w:rsid w:val="00C62039"/>
    <w:rsid w:val="00C62073"/>
    <w:rsid w:val="00C620AF"/>
    <w:rsid w:val="00C6219C"/>
    <w:rsid w:val="00C621BF"/>
    <w:rsid w:val="00C62366"/>
    <w:rsid w:val="00C6236D"/>
    <w:rsid w:val="00C6239A"/>
    <w:rsid w:val="00C623A7"/>
    <w:rsid w:val="00C62416"/>
    <w:rsid w:val="00C62475"/>
    <w:rsid w:val="00C624EB"/>
    <w:rsid w:val="00C624ED"/>
    <w:rsid w:val="00C62526"/>
    <w:rsid w:val="00C6256D"/>
    <w:rsid w:val="00C625A4"/>
    <w:rsid w:val="00C62607"/>
    <w:rsid w:val="00C62644"/>
    <w:rsid w:val="00C626A8"/>
    <w:rsid w:val="00C626F2"/>
    <w:rsid w:val="00C62879"/>
    <w:rsid w:val="00C628A1"/>
    <w:rsid w:val="00C629A1"/>
    <w:rsid w:val="00C62A0A"/>
    <w:rsid w:val="00C62A1D"/>
    <w:rsid w:val="00C62B18"/>
    <w:rsid w:val="00C62B1E"/>
    <w:rsid w:val="00C62C3E"/>
    <w:rsid w:val="00C62C64"/>
    <w:rsid w:val="00C62CA6"/>
    <w:rsid w:val="00C62DF1"/>
    <w:rsid w:val="00C62E3A"/>
    <w:rsid w:val="00C62E45"/>
    <w:rsid w:val="00C62F0D"/>
    <w:rsid w:val="00C62F77"/>
    <w:rsid w:val="00C63008"/>
    <w:rsid w:val="00C630B2"/>
    <w:rsid w:val="00C630D2"/>
    <w:rsid w:val="00C63138"/>
    <w:rsid w:val="00C63164"/>
    <w:rsid w:val="00C632B9"/>
    <w:rsid w:val="00C632F1"/>
    <w:rsid w:val="00C63328"/>
    <w:rsid w:val="00C63391"/>
    <w:rsid w:val="00C63433"/>
    <w:rsid w:val="00C634BC"/>
    <w:rsid w:val="00C63568"/>
    <w:rsid w:val="00C63592"/>
    <w:rsid w:val="00C63626"/>
    <w:rsid w:val="00C63646"/>
    <w:rsid w:val="00C63677"/>
    <w:rsid w:val="00C636A5"/>
    <w:rsid w:val="00C6372D"/>
    <w:rsid w:val="00C63944"/>
    <w:rsid w:val="00C63B08"/>
    <w:rsid w:val="00C63C30"/>
    <w:rsid w:val="00C63CC3"/>
    <w:rsid w:val="00C63D3F"/>
    <w:rsid w:val="00C63F47"/>
    <w:rsid w:val="00C63F59"/>
    <w:rsid w:val="00C63FC2"/>
    <w:rsid w:val="00C64034"/>
    <w:rsid w:val="00C6403E"/>
    <w:rsid w:val="00C64083"/>
    <w:rsid w:val="00C641E1"/>
    <w:rsid w:val="00C6427E"/>
    <w:rsid w:val="00C64291"/>
    <w:rsid w:val="00C64373"/>
    <w:rsid w:val="00C644A3"/>
    <w:rsid w:val="00C646ED"/>
    <w:rsid w:val="00C646FE"/>
    <w:rsid w:val="00C647C5"/>
    <w:rsid w:val="00C64814"/>
    <w:rsid w:val="00C64818"/>
    <w:rsid w:val="00C64856"/>
    <w:rsid w:val="00C64875"/>
    <w:rsid w:val="00C64905"/>
    <w:rsid w:val="00C64937"/>
    <w:rsid w:val="00C64ACF"/>
    <w:rsid w:val="00C64B3F"/>
    <w:rsid w:val="00C64B47"/>
    <w:rsid w:val="00C64BC1"/>
    <w:rsid w:val="00C64CCC"/>
    <w:rsid w:val="00C64DF1"/>
    <w:rsid w:val="00C64E01"/>
    <w:rsid w:val="00C64EA2"/>
    <w:rsid w:val="00C64EF7"/>
    <w:rsid w:val="00C64F1A"/>
    <w:rsid w:val="00C64F66"/>
    <w:rsid w:val="00C64F77"/>
    <w:rsid w:val="00C64F9D"/>
    <w:rsid w:val="00C64FAF"/>
    <w:rsid w:val="00C6501B"/>
    <w:rsid w:val="00C650B1"/>
    <w:rsid w:val="00C65104"/>
    <w:rsid w:val="00C65207"/>
    <w:rsid w:val="00C65225"/>
    <w:rsid w:val="00C6526E"/>
    <w:rsid w:val="00C652A4"/>
    <w:rsid w:val="00C652DA"/>
    <w:rsid w:val="00C65321"/>
    <w:rsid w:val="00C65327"/>
    <w:rsid w:val="00C6541E"/>
    <w:rsid w:val="00C654DC"/>
    <w:rsid w:val="00C65571"/>
    <w:rsid w:val="00C65575"/>
    <w:rsid w:val="00C65582"/>
    <w:rsid w:val="00C6559F"/>
    <w:rsid w:val="00C655B4"/>
    <w:rsid w:val="00C655C9"/>
    <w:rsid w:val="00C6568D"/>
    <w:rsid w:val="00C65862"/>
    <w:rsid w:val="00C658B4"/>
    <w:rsid w:val="00C658B8"/>
    <w:rsid w:val="00C659BE"/>
    <w:rsid w:val="00C659D6"/>
    <w:rsid w:val="00C65AA0"/>
    <w:rsid w:val="00C65B8C"/>
    <w:rsid w:val="00C65BD3"/>
    <w:rsid w:val="00C65BEA"/>
    <w:rsid w:val="00C65C2C"/>
    <w:rsid w:val="00C65CE8"/>
    <w:rsid w:val="00C65D0E"/>
    <w:rsid w:val="00C65D1B"/>
    <w:rsid w:val="00C65D2B"/>
    <w:rsid w:val="00C65DED"/>
    <w:rsid w:val="00C65E1C"/>
    <w:rsid w:val="00C65E36"/>
    <w:rsid w:val="00C65E7B"/>
    <w:rsid w:val="00C65E81"/>
    <w:rsid w:val="00C65E8A"/>
    <w:rsid w:val="00C65F12"/>
    <w:rsid w:val="00C65F13"/>
    <w:rsid w:val="00C6606E"/>
    <w:rsid w:val="00C660F5"/>
    <w:rsid w:val="00C66186"/>
    <w:rsid w:val="00C661A2"/>
    <w:rsid w:val="00C661A8"/>
    <w:rsid w:val="00C661D5"/>
    <w:rsid w:val="00C66297"/>
    <w:rsid w:val="00C66316"/>
    <w:rsid w:val="00C663D3"/>
    <w:rsid w:val="00C66406"/>
    <w:rsid w:val="00C66426"/>
    <w:rsid w:val="00C6642D"/>
    <w:rsid w:val="00C66469"/>
    <w:rsid w:val="00C665E6"/>
    <w:rsid w:val="00C66662"/>
    <w:rsid w:val="00C6666F"/>
    <w:rsid w:val="00C66711"/>
    <w:rsid w:val="00C66817"/>
    <w:rsid w:val="00C6692C"/>
    <w:rsid w:val="00C66AF6"/>
    <w:rsid w:val="00C66B71"/>
    <w:rsid w:val="00C66BDE"/>
    <w:rsid w:val="00C66CE7"/>
    <w:rsid w:val="00C66DC1"/>
    <w:rsid w:val="00C66DEE"/>
    <w:rsid w:val="00C66E7E"/>
    <w:rsid w:val="00C66EB2"/>
    <w:rsid w:val="00C66ED7"/>
    <w:rsid w:val="00C66F18"/>
    <w:rsid w:val="00C66F85"/>
    <w:rsid w:val="00C66FD2"/>
    <w:rsid w:val="00C66FEC"/>
    <w:rsid w:val="00C670A2"/>
    <w:rsid w:val="00C670D2"/>
    <w:rsid w:val="00C670D8"/>
    <w:rsid w:val="00C67102"/>
    <w:rsid w:val="00C671F0"/>
    <w:rsid w:val="00C671F9"/>
    <w:rsid w:val="00C67260"/>
    <w:rsid w:val="00C67262"/>
    <w:rsid w:val="00C672CA"/>
    <w:rsid w:val="00C672DB"/>
    <w:rsid w:val="00C6734B"/>
    <w:rsid w:val="00C67353"/>
    <w:rsid w:val="00C673F5"/>
    <w:rsid w:val="00C67448"/>
    <w:rsid w:val="00C6749F"/>
    <w:rsid w:val="00C674C4"/>
    <w:rsid w:val="00C67571"/>
    <w:rsid w:val="00C675E5"/>
    <w:rsid w:val="00C675F2"/>
    <w:rsid w:val="00C675F3"/>
    <w:rsid w:val="00C67601"/>
    <w:rsid w:val="00C67653"/>
    <w:rsid w:val="00C676C7"/>
    <w:rsid w:val="00C67732"/>
    <w:rsid w:val="00C67748"/>
    <w:rsid w:val="00C6778A"/>
    <w:rsid w:val="00C677BB"/>
    <w:rsid w:val="00C679C4"/>
    <w:rsid w:val="00C67A0D"/>
    <w:rsid w:val="00C67AA1"/>
    <w:rsid w:val="00C67AD5"/>
    <w:rsid w:val="00C67AE0"/>
    <w:rsid w:val="00C67B81"/>
    <w:rsid w:val="00C67C7F"/>
    <w:rsid w:val="00C67CEF"/>
    <w:rsid w:val="00C67D07"/>
    <w:rsid w:val="00C67DB2"/>
    <w:rsid w:val="00C67DF7"/>
    <w:rsid w:val="00C67EC6"/>
    <w:rsid w:val="00C67F32"/>
    <w:rsid w:val="00C67F9C"/>
    <w:rsid w:val="00C700A0"/>
    <w:rsid w:val="00C70127"/>
    <w:rsid w:val="00C701D6"/>
    <w:rsid w:val="00C7020C"/>
    <w:rsid w:val="00C702C5"/>
    <w:rsid w:val="00C702DD"/>
    <w:rsid w:val="00C70321"/>
    <w:rsid w:val="00C7035C"/>
    <w:rsid w:val="00C703BA"/>
    <w:rsid w:val="00C70433"/>
    <w:rsid w:val="00C7043B"/>
    <w:rsid w:val="00C70475"/>
    <w:rsid w:val="00C704B0"/>
    <w:rsid w:val="00C705F2"/>
    <w:rsid w:val="00C70623"/>
    <w:rsid w:val="00C7067B"/>
    <w:rsid w:val="00C706C0"/>
    <w:rsid w:val="00C707E9"/>
    <w:rsid w:val="00C7085D"/>
    <w:rsid w:val="00C708AD"/>
    <w:rsid w:val="00C70920"/>
    <w:rsid w:val="00C70938"/>
    <w:rsid w:val="00C709F0"/>
    <w:rsid w:val="00C70A79"/>
    <w:rsid w:val="00C70BA9"/>
    <w:rsid w:val="00C70CF6"/>
    <w:rsid w:val="00C70D15"/>
    <w:rsid w:val="00C70D16"/>
    <w:rsid w:val="00C70DCB"/>
    <w:rsid w:val="00C70DF7"/>
    <w:rsid w:val="00C70E4B"/>
    <w:rsid w:val="00C70F46"/>
    <w:rsid w:val="00C70FE5"/>
    <w:rsid w:val="00C71008"/>
    <w:rsid w:val="00C71037"/>
    <w:rsid w:val="00C7116D"/>
    <w:rsid w:val="00C7117D"/>
    <w:rsid w:val="00C71198"/>
    <w:rsid w:val="00C7137C"/>
    <w:rsid w:val="00C713C4"/>
    <w:rsid w:val="00C7147E"/>
    <w:rsid w:val="00C715A0"/>
    <w:rsid w:val="00C71601"/>
    <w:rsid w:val="00C71612"/>
    <w:rsid w:val="00C71849"/>
    <w:rsid w:val="00C718A8"/>
    <w:rsid w:val="00C71A3C"/>
    <w:rsid w:val="00C71A3F"/>
    <w:rsid w:val="00C71A58"/>
    <w:rsid w:val="00C71B41"/>
    <w:rsid w:val="00C71BFA"/>
    <w:rsid w:val="00C71E63"/>
    <w:rsid w:val="00C71FCB"/>
    <w:rsid w:val="00C71FD6"/>
    <w:rsid w:val="00C72015"/>
    <w:rsid w:val="00C72034"/>
    <w:rsid w:val="00C72057"/>
    <w:rsid w:val="00C7213A"/>
    <w:rsid w:val="00C72164"/>
    <w:rsid w:val="00C72303"/>
    <w:rsid w:val="00C7230D"/>
    <w:rsid w:val="00C723EE"/>
    <w:rsid w:val="00C724AC"/>
    <w:rsid w:val="00C725FF"/>
    <w:rsid w:val="00C7275B"/>
    <w:rsid w:val="00C72828"/>
    <w:rsid w:val="00C7284C"/>
    <w:rsid w:val="00C728A0"/>
    <w:rsid w:val="00C72914"/>
    <w:rsid w:val="00C7298D"/>
    <w:rsid w:val="00C72AB9"/>
    <w:rsid w:val="00C72B42"/>
    <w:rsid w:val="00C72C93"/>
    <w:rsid w:val="00C72CC8"/>
    <w:rsid w:val="00C72D54"/>
    <w:rsid w:val="00C72ECB"/>
    <w:rsid w:val="00C72FE8"/>
    <w:rsid w:val="00C73015"/>
    <w:rsid w:val="00C73033"/>
    <w:rsid w:val="00C73070"/>
    <w:rsid w:val="00C73073"/>
    <w:rsid w:val="00C730E3"/>
    <w:rsid w:val="00C73108"/>
    <w:rsid w:val="00C73118"/>
    <w:rsid w:val="00C7312F"/>
    <w:rsid w:val="00C7313A"/>
    <w:rsid w:val="00C731E6"/>
    <w:rsid w:val="00C7323A"/>
    <w:rsid w:val="00C7330C"/>
    <w:rsid w:val="00C73326"/>
    <w:rsid w:val="00C7337B"/>
    <w:rsid w:val="00C7338F"/>
    <w:rsid w:val="00C734E0"/>
    <w:rsid w:val="00C7354D"/>
    <w:rsid w:val="00C735C0"/>
    <w:rsid w:val="00C735CC"/>
    <w:rsid w:val="00C7370D"/>
    <w:rsid w:val="00C7372B"/>
    <w:rsid w:val="00C737A4"/>
    <w:rsid w:val="00C738F7"/>
    <w:rsid w:val="00C7398B"/>
    <w:rsid w:val="00C739DE"/>
    <w:rsid w:val="00C739E8"/>
    <w:rsid w:val="00C739EF"/>
    <w:rsid w:val="00C73A23"/>
    <w:rsid w:val="00C73AA7"/>
    <w:rsid w:val="00C73AE0"/>
    <w:rsid w:val="00C73C14"/>
    <w:rsid w:val="00C73C2F"/>
    <w:rsid w:val="00C73DDA"/>
    <w:rsid w:val="00C73DEE"/>
    <w:rsid w:val="00C73E98"/>
    <w:rsid w:val="00C73EB8"/>
    <w:rsid w:val="00C73F95"/>
    <w:rsid w:val="00C740D6"/>
    <w:rsid w:val="00C74144"/>
    <w:rsid w:val="00C7417B"/>
    <w:rsid w:val="00C741CA"/>
    <w:rsid w:val="00C74205"/>
    <w:rsid w:val="00C74385"/>
    <w:rsid w:val="00C74389"/>
    <w:rsid w:val="00C744A1"/>
    <w:rsid w:val="00C7456D"/>
    <w:rsid w:val="00C74592"/>
    <w:rsid w:val="00C746E4"/>
    <w:rsid w:val="00C74712"/>
    <w:rsid w:val="00C74743"/>
    <w:rsid w:val="00C748ED"/>
    <w:rsid w:val="00C74932"/>
    <w:rsid w:val="00C749E2"/>
    <w:rsid w:val="00C74A1A"/>
    <w:rsid w:val="00C74A72"/>
    <w:rsid w:val="00C74A8A"/>
    <w:rsid w:val="00C74AC6"/>
    <w:rsid w:val="00C74B79"/>
    <w:rsid w:val="00C74B9C"/>
    <w:rsid w:val="00C74C9C"/>
    <w:rsid w:val="00C74CC6"/>
    <w:rsid w:val="00C74D3A"/>
    <w:rsid w:val="00C74DF7"/>
    <w:rsid w:val="00C74EA1"/>
    <w:rsid w:val="00C74EB0"/>
    <w:rsid w:val="00C74FB6"/>
    <w:rsid w:val="00C75083"/>
    <w:rsid w:val="00C75149"/>
    <w:rsid w:val="00C75164"/>
    <w:rsid w:val="00C75244"/>
    <w:rsid w:val="00C75275"/>
    <w:rsid w:val="00C7527B"/>
    <w:rsid w:val="00C7528E"/>
    <w:rsid w:val="00C7537C"/>
    <w:rsid w:val="00C753CC"/>
    <w:rsid w:val="00C75486"/>
    <w:rsid w:val="00C7548D"/>
    <w:rsid w:val="00C754BE"/>
    <w:rsid w:val="00C754D9"/>
    <w:rsid w:val="00C7553A"/>
    <w:rsid w:val="00C75662"/>
    <w:rsid w:val="00C7566D"/>
    <w:rsid w:val="00C75693"/>
    <w:rsid w:val="00C75791"/>
    <w:rsid w:val="00C7585D"/>
    <w:rsid w:val="00C75952"/>
    <w:rsid w:val="00C75987"/>
    <w:rsid w:val="00C759A8"/>
    <w:rsid w:val="00C75A65"/>
    <w:rsid w:val="00C75A6F"/>
    <w:rsid w:val="00C75AF2"/>
    <w:rsid w:val="00C75B53"/>
    <w:rsid w:val="00C75B67"/>
    <w:rsid w:val="00C75BF6"/>
    <w:rsid w:val="00C75CB1"/>
    <w:rsid w:val="00C75CE4"/>
    <w:rsid w:val="00C75D56"/>
    <w:rsid w:val="00C75D82"/>
    <w:rsid w:val="00C75D98"/>
    <w:rsid w:val="00C75E43"/>
    <w:rsid w:val="00C75E4E"/>
    <w:rsid w:val="00C75E8C"/>
    <w:rsid w:val="00C75E92"/>
    <w:rsid w:val="00C75EAB"/>
    <w:rsid w:val="00C75FD6"/>
    <w:rsid w:val="00C7605A"/>
    <w:rsid w:val="00C76092"/>
    <w:rsid w:val="00C760B4"/>
    <w:rsid w:val="00C760CA"/>
    <w:rsid w:val="00C76105"/>
    <w:rsid w:val="00C7610E"/>
    <w:rsid w:val="00C7614C"/>
    <w:rsid w:val="00C7617F"/>
    <w:rsid w:val="00C76239"/>
    <w:rsid w:val="00C7627A"/>
    <w:rsid w:val="00C764B5"/>
    <w:rsid w:val="00C76503"/>
    <w:rsid w:val="00C7655A"/>
    <w:rsid w:val="00C76583"/>
    <w:rsid w:val="00C7661B"/>
    <w:rsid w:val="00C76627"/>
    <w:rsid w:val="00C7680E"/>
    <w:rsid w:val="00C76839"/>
    <w:rsid w:val="00C7688B"/>
    <w:rsid w:val="00C768CB"/>
    <w:rsid w:val="00C768FE"/>
    <w:rsid w:val="00C76920"/>
    <w:rsid w:val="00C76983"/>
    <w:rsid w:val="00C769F6"/>
    <w:rsid w:val="00C76A8F"/>
    <w:rsid w:val="00C76BFA"/>
    <w:rsid w:val="00C76C2E"/>
    <w:rsid w:val="00C76C4F"/>
    <w:rsid w:val="00C76C66"/>
    <w:rsid w:val="00C76C91"/>
    <w:rsid w:val="00C76CDC"/>
    <w:rsid w:val="00C76CFF"/>
    <w:rsid w:val="00C76D93"/>
    <w:rsid w:val="00C76DDC"/>
    <w:rsid w:val="00C76DF6"/>
    <w:rsid w:val="00C76E84"/>
    <w:rsid w:val="00C76F29"/>
    <w:rsid w:val="00C76F34"/>
    <w:rsid w:val="00C76F9E"/>
    <w:rsid w:val="00C770D2"/>
    <w:rsid w:val="00C77175"/>
    <w:rsid w:val="00C771A4"/>
    <w:rsid w:val="00C771D1"/>
    <w:rsid w:val="00C771E2"/>
    <w:rsid w:val="00C77227"/>
    <w:rsid w:val="00C77273"/>
    <w:rsid w:val="00C7730D"/>
    <w:rsid w:val="00C77338"/>
    <w:rsid w:val="00C77367"/>
    <w:rsid w:val="00C773FA"/>
    <w:rsid w:val="00C77410"/>
    <w:rsid w:val="00C77543"/>
    <w:rsid w:val="00C77741"/>
    <w:rsid w:val="00C777B3"/>
    <w:rsid w:val="00C778C7"/>
    <w:rsid w:val="00C7793D"/>
    <w:rsid w:val="00C77960"/>
    <w:rsid w:val="00C779A4"/>
    <w:rsid w:val="00C779B0"/>
    <w:rsid w:val="00C77A06"/>
    <w:rsid w:val="00C77A16"/>
    <w:rsid w:val="00C77A24"/>
    <w:rsid w:val="00C77AF3"/>
    <w:rsid w:val="00C77B02"/>
    <w:rsid w:val="00C77B83"/>
    <w:rsid w:val="00C77C24"/>
    <w:rsid w:val="00C77C6A"/>
    <w:rsid w:val="00C77D54"/>
    <w:rsid w:val="00C77DA2"/>
    <w:rsid w:val="00C77DE3"/>
    <w:rsid w:val="00C77E22"/>
    <w:rsid w:val="00C77E77"/>
    <w:rsid w:val="00C77E98"/>
    <w:rsid w:val="00C77F66"/>
    <w:rsid w:val="00C77FBB"/>
    <w:rsid w:val="00C8010E"/>
    <w:rsid w:val="00C80270"/>
    <w:rsid w:val="00C802B2"/>
    <w:rsid w:val="00C802E4"/>
    <w:rsid w:val="00C802ED"/>
    <w:rsid w:val="00C8031A"/>
    <w:rsid w:val="00C803BC"/>
    <w:rsid w:val="00C803EF"/>
    <w:rsid w:val="00C8040D"/>
    <w:rsid w:val="00C804C7"/>
    <w:rsid w:val="00C80501"/>
    <w:rsid w:val="00C8050A"/>
    <w:rsid w:val="00C80510"/>
    <w:rsid w:val="00C80535"/>
    <w:rsid w:val="00C805D5"/>
    <w:rsid w:val="00C8064E"/>
    <w:rsid w:val="00C806A5"/>
    <w:rsid w:val="00C8071A"/>
    <w:rsid w:val="00C807B3"/>
    <w:rsid w:val="00C808AB"/>
    <w:rsid w:val="00C80914"/>
    <w:rsid w:val="00C80A71"/>
    <w:rsid w:val="00C80AB8"/>
    <w:rsid w:val="00C80B08"/>
    <w:rsid w:val="00C80B19"/>
    <w:rsid w:val="00C80C62"/>
    <w:rsid w:val="00C80C63"/>
    <w:rsid w:val="00C80C88"/>
    <w:rsid w:val="00C80D75"/>
    <w:rsid w:val="00C80D88"/>
    <w:rsid w:val="00C80DE1"/>
    <w:rsid w:val="00C80E61"/>
    <w:rsid w:val="00C8100B"/>
    <w:rsid w:val="00C81035"/>
    <w:rsid w:val="00C810B9"/>
    <w:rsid w:val="00C810CA"/>
    <w:rsid w:val="00C81111"/>
    <w:rsid w:val="00C81137"/>
    <w:rsid w:val="00C8123A"/>
    <w:rsid w:val="00C812A6"/>
    <w:rsid w:val="00C81396"/>
    <w:rsid w:val="00C8156F"/>
    <w:rsid w:val="00C815CE"/>
    <w:rsid w:val="00C81633"/>
    <w:rsid w:val="00C81674"/>
    <w:rsid w:val="00C816AB"/>
    <w:rsid w:val="00C81739"/>
    <w:rsid w:val="00C817CD"/>
    <w:rsid w:val="00C81867"/>
    <w:rsid w:val="00C818B7"/>
    <w:rsid w:val="00C81937"/>
    <w:rsid w:val="00C81952"/>
    <w:rsid w:val="00C819B6"/>
    <w:rsid w:val="00C819FE"/>
    <w:rsid w:val="00C81AC2"/>
    <w:rsid w:val="00C81B76"/>
    <w:rsid w:val="00C81B99"/>
    <w:rsid w:val="00C81BA4"/>
    <w:rsid w:val="00C81BF7"/>
    <w:rsid w:val="00C81BFF"/>
    <w:rsid w:val="00C81C5F"/>
    <w:rsid w:val="00C81C64"/>
    <w:rsid w:val="00C81CB3"/>
    <w:rsid w:val="00C81CD9"/>
    <w:rsid w:val="00C81D5A"/>
    <w:rsid w:val="00C81D79"/>
    <w:rsid w:val="00C81DCF"/>
    <w:rsid w:val="00C81DE1"/>
    <w:rsid w:val="00C81E5A"/>
    <w:rsid w:val="00C81F87"/>
    <w:rsid w:val="00C81FC2"/>
    <w:rsid w:val="00C8208D"/>
    <w:rsid w:val="00C820DD"/>
    <w:rsid w:val="00C82153"/>
    <w:rsid w:val="00C82191"/>
    <w:rsid w:val="00C821AD"/>
    <w:rsid w:val="00C82223"/>
    <w:rsid w:val="00C82261"/>
    <w:rsid w:val="00C8233D"/>
    <w:rsid w:val="00C82365"/>
    <w:rsid w:val="00C823F8"/>
    <w:rsid w:val="00C824CC"/>
    <w:rsid w:val="00C82548"/>
    <w:rsid w:val="00C8261E"/>
    <w:rsid w:val="00C82649"/>
    <w:rsid w:val="00C826E1"/>
    <w:rsid w:val="00C82787"/>
    <w:rsid w:val="00C82875"/>
    <w:rsid w:val="00C828A6"/>
    <w:rsid w:val="00C82932"/>
    <w:rsid w:val="00C82942"/>
    <w:rsid w:val="00C829AF"/>
    <w:rsid w:val="00C82AB7"/>
    <w:rsid w:val="00C82B66"/>
    <w:rsid w:val="00C82B75"/>
    <w:rsid w:val="00C82BC3"/>
    <w:rsid w:val="00C82C20"/>
    <w:rsid w:val="00C82C7D"/>
    <w:rsid w:val="00C82C84"/>
    <w:rsid w:val="00C82D53"/>
    <w:rsid w:val="00C82DAA"/>
    <w:rsid w:val="00C82DDC"/>
    <w:rsid w:val="00C82DE9"/>
    <w:rsid w:val="00C82E29"/>
    <w:rsid w:val="00C82F38"/>
    <w:rsid w:val="00C8300C"/>
    <w:rsid w:val="00C83103"/>
    <w:rsid w:val="00C8316F"/>
    <w:rsid w:val="00C831BD"/>
    <w:rsid w:val="00C831DC"/>
    <w:rsid w:val="00C83286"/>
    <w:rsid w:val="00C83382"/>
    <w:rsid w:val="00C833AF"/>
    <w:rsid w:val="00C833BE"/>
    <w:rsid w:val="00C8344A"/>
    <w:rsid w:val="00C8351B"/>
    <w:rsid w:val="00C835C5"/>
    <w:rsid w:val="00C836B0"/>
    <w:rsid w:val="00C836BB"/>
    <w:rsid w:val="00C836FF"/>
    <w:rsid w:val="00C837C1"/>
    <w:rsid w:val="00C837DC"/>
    <w:rsid w:val="00C83875"/>
    <w:rsid w:val="00C838BA"/>
    <w:rsid w:val="00C838BC"/>
    <w:rsid w:val="00C838FE"/>
    <w:rsid w:val="00C83930"/>
    <w:rsid w:val="00C8399D"/>
    <w:rsid w:val="00C83AC0"/>
    <w:rsid w:val="00C83AEE"/>
    <w:rsid w:val="00C83B71"/>
    <w:rsid w:val="00C83BE2"/>
    <w:rsid w:val="00C83C32"/>
    <w:rsid w:val="00C83C5B"/>
    <w:rsid w:val="00C83CA6"/>
    <w:rsid w:val="00C83CE5"/>
    <w:rsid w:val="00C83D5A"/>
    <w:rsid w:val="00C83D74"/>
    <w:rsid w:val="00C83D8C"/>
    <w:rsid w:val="00C83DBE"/>
    <w:rsid w:val="00C83E25"/>
    <w:rsid w:val="00C83E68"/>
    <w:rsid w:val="00C83EE0"/>
    <w:rsid w:val="00C83FDE"/>
    <w:rsid w:val="00C8407D"/>
    <w:rsid w:val="00C84134"/>
    <w:rsid w:val="00C8427D"/>
    <w:rsid w:val="00C84351"/>
    <w:rsid w:val="00C843AF"/>
    <w:rsid w:val="00C84428"/>
    <w:rsid w:val="00C8442C"/>
    <w:rsid w:val="00C844AC"/>
    <w:rsid w:val="00C844FA"/>
    <w:rsid w:val="00C846C0"/>
    <w:rsid w:val="00C846FD"/>
    <w:rsid w:val="00C848C6"/>
    <w:rsid w:val="00C848E6"/>
    <w:rsid w:val="00C848E7"/>
    <w:rsid w:val="00C848E8"/>
    <w:rsid w:val="00C84959"/>
    <w:rsid w:val="00C849D0"/>
    <w:rsid w:val="00C849FB"/>
    <w:rsid w:val="00C84A90"/>
    <w:rsid w:val="00C84C54"/>
    <w:rsid w:val="00C84C65"/>
    <w:rsid w:val="00C84C79"/>
    <w:rsid w:val="00C84CCA"/>
    <w:rsid w:val="00C84D00"/>
    <w:rsid w:val="00C84DF1"/>
    <w:rsid w:val="00C84E60"/>
    <w:rsid w:val="00C84E8A"/>
    <w:rsid w:val="00C84EC8"/>
    <w:rsid w:val="00C84EFC"/>
    <w:rsid w:val="00C84F19"/>
    <w:rsid w:val="00C84FED"/>
    <w:rsid w:val="00C85088"/>
    <w:rsid w:val="00C85196"/>
    <w:rsid w:val="00C851C4"/>
    <w:rsid w:val="00C851F8"/>
    <w:rsid w:val="00C8524A"/>
    <w:rsid w:val="00C852A8"/>
    <w:rsid w:val="00C852EF"/>
    <w:rsid w:val="00C8531B"/>
    <w:rsid w:val="00C8532E"/>
    <w:rsid w:val="00C85375"/>
    <w:rsid w:val="00C85392"/>
    <w:rsid w:val="00C853BE"/>
    <w:rsid w:val="00C853D2"/>
    <w:rsid w:val="00C853FC"/>
    <w:rsid w:val="00C85413"/>
    <w:rsid w:val="00C85448"/>
    <w:rsid w:val="00C85614"/>
    <w:rsid w:val="00C85738"/>
    <w:rsid w:val="00C857F8"/>
    <w:rsid w:val="00C8580B"/>
    <w:rsid w:val="00C8581C"/>
    <w:rsid w:val="00C85894"/>
    <w:rsid w:val="00C858DB"/>
    <w:rsid w:val="00C85911"/>
    <w:rsid w:val="00C8597C"/>
    <w:rsid w:val="00C859D1"/>
    <w:rsid w:val="00C85A61"/>
    <w:rsid w:val="00C85BE7"/>
    <w:rsid w:val="00C85C0F"/>
    <w:rsid w:val="00C85D7B"/>
    <w:rsid w:val="00C85D80"/>
    <w:rsid w:val="00C85D8E"/>
    <w:rsid w:val="00C85E1C"/>
    <w:rsid w:val="00C85E27"/>
    <w:rsid w:val="00C85E5D"/>
    <w:rsid w:val="00C85E5F"/>
    <w:rsid w:val="00C85E85"/>
    <w:rsid w:val="00C85F07"/>
    <w:rsid w:val="00C85F4E"/>
    <w:rsid w:val="00C85F61"/>
    <w:rsid w:val="00C85FC6"/>
    <w:rsid w:val="00C85FF8"/>
    <w:rsid w:val="00C86018"/>
    <w:rsid w:val="00C86061"/>
    <w:rsid w:val="00C86147"/>
    <w:rsid w:val="00C861C3"/>
    <w:rsid w:val="00C8621D"/>
    <w:rsid w:val="00C863AC"/>
    <w:rsid w:val="00C863C2"/>
    <w:rsid w:val="00C86421"/>
    <w:rsid w:val="00C864E3"/>
    <w:rsid w:val="00C86588"/>
    <w:rsid w:val="00C866AC"/>
    <w:rsid w:val="00C866E9"/>
    <w:rsid w:val="00C86747"/>
    <w:rsid w:val="00C86775"/>
    <w:rsid w:val="00C867D7"/>
    <w:rsid w:val="00C86804"/>
    <w:rsid w:val="00C8681C"/>
    <w:rsid w:val="00C86825"/>
    <w:rsid w:val="00C86874"/>
    <w:rsid w:val="00C868B4"/>
    <w:rsid w:val="00C86955"/>
    <w:rsid w:val="00C869C6"/>
    <w:rsid w:val="00C869E5"/>
    <w:rsid w:val="00C86AE7"/>
    <w:rsid w:val="00C86AE9"/>
    <w:rsid w:val="00C86D31"/>
    <w:rsid w:val="00C86DB9"/>
    <w:rsid w:val="00C86E1D"/>
    <w:rsid w:val="00C86EBA"/>
    <w:rsid w:val="00C86FB2"/>
    <w:rsid w:val="00C86FBE"/>
    <w:rsid w:val="00C871C9"/>
    <w:rsid w:val="00C8730A"/>
    <w:rsid w:val="00C8739C"/>
    <w:rsid w:val="00C873A1"/>
    <w:rsid w:val="00C87409"/>
    <w:rsid w:val="00C87430"/>
    <w:rsid w:val="00C87584"/>
    <w:rsid w:val="00C87673"/>
    <w:rsid w:val="00C8769A"/>
    <w:rsid w:val="00C8769C"/>
    <w:rsid w:val="00C8773D"/>
    <w:rsid w:val="00C87761"/>
    <w:rsid w:val="00C87776"/>
    <w:rsid w:val="00C877B8"/>
    <w:rsid w:val="00C877C1"/>
    <w:rsid w:val="00C878E9"/>
    <w:rsid w:val="00C8792B"/>
    <w:rsid w:val="00C87931"/>
    <w:rsid w:val="00C87951"/>
    <w:rsid w:val="00C87A15"/>
    <w:rsid w:val="00C87A69"/>
    <w:rsid w:val="00C87A98"/>
    <w:rsid w:val="00C87AAB"/>
    <w:rsid w:val="00C87AAE"/>
    <w:rsid w:val="00C87ABB"/>
    <w:rsid w:val="00C87AC3"/>
    <w:rsid w:val="00C87ADA"/>
    <w:rsid w:val="00C87AFD"/>
    <w:rsid w:val="00C87B42"/>
    <w:rsid w:val="00C87BAA"/>
    <w:rsid w:val="00C87BCB"/>
    <w:rsid w:val="00C87C4A"/>
    <w:rsid w:val="00C87C79"/>
    <w:rsid w:val="00C87E31"/>
    <w:rsid w:val="00C87E4E"/>
    <w:rsid w:val="00C87F07"/>
    <w:rsid w:val="00C87F76"/>
    <w:rsid w:val="00C87FD1"/>
    <w:rsid w:val="00C90136"/>
    <w:rsid w:val="00C90166"/>
    <w:rsid w:val="00C90180"/>
    <w:rsid w:val="00C90186"/>
    <w:rsid w:val="00C901CE"/>
    <w:rsid w:val="00C901DA"/>
    <w:rsid w:val="00C90329"/>
    <w:rsid w:val="00C90369"/>
    <w:rsid w:val="00C9038C"/>
    <w:rsid w:val="00C9050C"/>
    <w:rsid w:val="00C90533"/>
    <w:rsid w:val="00C90556"/>
    <w:rsid w:val="00C905CD"/>
    <w:rsid w:val="00C906F2"/>
    <w:rsid w:val="00C90864"/>
    <w:rsid w:val="00C90882"/>
    <w:rsid w:val="00C908ED"/>
    <w:rsid w:val="00C90931"/>
    <w:rsid w:val="00C90945"/>
    <w:rsid w:val="00C90974"/>
    <w:rsid w:val="00C9099C"/>
    <w:rsid w:val="00C90A9C"/>
    <w:rsid w:val="00C90AA6"/>
    <w:rsid w:val="00C90ABA"/>
    <w:rsid w:val="00C90B20"/>
    <w:rsid w:val="00C90B28"/>
    <w:rsid w:val="00C90B80"/>
    <w:rsid w:val="00C90BE8"/>
    <w:rsid w:val="00C90C34"/>
    <w:rsid w:val="00C90C5C"/>
    <w:rsid w:val="00C90C7F"/>
    <w:rsid w:val="00C90CE8"/>
    <w:rsid w:val="00C90D1D"/>
    <w:rsid w:val="00C90D44"/>
    <w:rsid w:val="00C90E23"/>
    <w:rsid w:val="00C90F12"/>
    <w:rsid w:val="00C90F22"/>
    <w:rsid w:val="00C91079"/>
    <w:rsid w:val="00C91137"/>
    <w:rsid w:val="00C91241"/>
    <w:rsid w:val="00C91296"/>
    <w:rsid w:val="00C912B1"/>
    <w:rsid w:val="00C912B3"/>
    <w:rsid w:val="00C912B7"/>
    <w:rsid w:val="00C9134F"/>
    <w:rsid w:val="00C91380"/>
    <w:rsid w:val="00C913F6"/>
    <w:rsid w:val="00C91465"/>
    <w:rsid w:val="00C9151D"/>
    <w:rsid w:val="00C91537"/>
    <w:rsid w:val="00C917D9"/>
    <w:rsid w:val="00C917DC"/>
    <w:rsid w:val="00C9183E"/>
    <w:rsid w:val="00C91888"/>
    <w:rsid w:val="00C918B9"/>
    <w:rsid w:val="00C91940"/>
    <w:rsid w:val="00C919DB"/>
    <w:rsid w:val="00C91A0C"/>
    <w:rsid w:val="00C91A27"/>
    <w:rsid w:val="00C91A4E"/>
    <w:rsid w:val="00C91A6D"/>
    <w:rsid w:val="00C91A9A"/>
    <w:rsid w:val="00C91CBF"/>
    <w:rsid w:val="00C91CC3"/>
    <w:rsid w:val="00C91CC8"/>
    <w:rsid w:val="00C91CD0"/>
    <w:rsid w:val="00C91CD5"/>
    <w:rsid w:val="00C91D62"/>
    <w:rsid w:val="00C91D7B"/>
    <w:rsid w:val="00C91E42"/>
    <w:rsid w:val="00C91E79"/>
    <w:rsid w:val="00C91EA8"/>
    <w:rsid w:val="00C91FBA"/>
    <w:rsid w:val="00C92011"/>
    <w:rsid w:val="00C92054"/>
    <w:rsid w:val="00C920BA"/>
    <w:rsid w:val="00C9218F"/>
    <w:rsid w:val="00C9219A"/>
    <w:rsid w:val="00C92232"/>
    <w:rsid w:val="00C9226F"/>
    <w:rsid w:val="00C9229F"/>
    <w:rsid w:val="00C922B6"/>
    <w:rsid w:val="00C9239C"/>
    <w:rsid w:val="00C923C0"/>
    <w:rsid w:val="00C9240F"/>
    <w:rsid w:val="00C92416"/>
    <w:rsid w:val="00C92499"/>
    <w:rsid w:val="00C92524"/>
    <w:rsid w:val="00C92556"/>
    <w:rsid w:val="00C9259D"/>
    <w:rsid w:val="00C925D0"/>
    <w:rsid w:val="00C92607"/>
    <w:rsid w:val="00C92614"/>
    <w:rsid w:val="00C92618"/>
    <w:rsid w:val="00C9270F"/>
    <w:rsid w:val="00C92783"/>
    <w:rsid w:val="00C927F3"/>
    <w:rsid w:val="00C92844"/>
    <w:rsid w:val="00C92867"/>
    <w:rsid w:val="00C92938"/>
    <w:rsid w:val="00C92949"/>
    <w:rsid w:val="00C929B4"/>
    <w:rsid w:val="00C92B59"/>
    <w:rsid w:val="00C92B86"/>
    <w:rsid w:val="00C92BCF"/>
    <w:rsid w:val="00C92C38"/>
    <w:rsid w:val="00C92C7A"/>
    <w:rsid w:val="00C92D6D"/>
    <w:rsid w:val="00C92E92"/>
    <w:rsid w:val="00C92EE2"/>
    <w:rsid w:val="00C92F2C"/>
    <w:rsid w:val="00C92FA5"/>
    <w:rsid w:val="00C9300C"/>
    <w:rsid w:val="00C930DE"/>
    <w:rsid w:val="00C93115"/>
    <w:rsid w:val="00C93125"/>
    <w:rsid w:val="00C931B7"/>
    <w:rsid w:val="00C93202"/>
    <w:rsid w:val="00C9320C"/>
    <w:rsid w:val="00C93276"/>
    <w:rsid w:val="00C9327A"/>
    <w:rsid w:val="00C9329A"/>
    <w:rsid w:val="00C932B5"/>
    <w:rsid w:val="00C932FE"/>
    <w:rsid w:val="00C93360"/>
    <w:rsid w:val="00C93370"/>
    <w:rsid w:val="00C9339E"/>
    <w:rsid w:val="00C933AB"/>
    <w:rsid w:val="00C933D3"/>
    <w:rsid w:val="00C93418"/>
    <w:rsid w:val="00C9347B"/>
    <w:rsid w:val="00C934FD"/>
    <w:rsid w:val="00C93555"/>
    <w:rsid w:val="00C9359B"/>
    <w:rsid w:val="00C93616"/>
    <w:rsid w:val="00C93635"/>
    <w:rsid w:val="00C93756"/>
    <w:rsid w:val="00C937FA"/>
    <w:rsid w:val="00C93805"/>
    <w:rsid w:val="00C938BB"/>
    <w:rsid w:val="00C93908"/>
    <w:rsid w:val="00C9393C"/>
    <w:rsid w:val="00C939E5"/>
    <w:rsid w:val="00C939EB"/>
    <w:rsid w:val="00C939F6"/>
    <w:rsid w:val="00C93B36"/>
    <w:rsid w:val="00C93B42"/>
    <w:rsid w:val="00C93B73"/>
    <w:rsid w:val="00C93B97"/>
    <w:rsid w:val="00C93BBD"/>
    <w:rsid w:val="00C93BE8"/>
    <w:rsid w:val="00C93BF2"/>
    <w:rsid w:val="00C93CF1"/>
    <w:rsid w:val="00C93D15"/>
    <w:rsid w:val="00C93D48"/>
    <w:rsid w:val="00C93D81"/>
    <w:rsid w:val="00C93E7E"/>
    <w:rsid w:val="00C93EF2"/>
    <w:rsid w:val="00C93F7B"/>
    <w:rsid w:val="00C93F8D"/>
    <w:rsid w:val="00C93F9E"/>
    <w:rsid w:val="00C940B2"/>
    <w:rsid w:val="00C9410E"/>
    <w:rsid w:val="00C94165"/>
    <w:rsid w:val="00C941B6"/>
    <w:rsid w:val="00C941C3"/>
    <w:rsid w:val="00C94267"/>
    <w:rsid w:val="00C94320"/>
    <w:rsid w:val="00C94331"/>
    <w:rsid w:val="00C9436A"/>
    <w:rsid w:val="00C943A6"/>
    <w:rsid w:val="00C94458"/>
    <w:rsid w:val="00C945D3"/>
    <w:rsid w:val="00C945D6"/>
    <w:rsid w:val="00C9462C"/>
    <w:rsid w:val="00C94634"/>
    <w:rsid w:val="00C9467D"/>
    <w:rsid w:val="00C946D0"/>
    <w:rsid w:val="00C948D2"/>
    <w:rsid w:val="00C948F8"/>
    <w:rsid w:val="00C94900"/>
    <w:rsid w:val="00C9490F"/>
    <w:rsid w:val="00C9498B"/>
    <w:rsid w:val="00C949DE"/>
    <w:rsid w:val="00C949EB"/>
    <w:rsid w:val="00C94AE9"/>
    <w:rsid w:val="00C94B17"/>
    <w:rsid w:val="00C94B53"/>
    <w:rsid w:val="00C94BE8"/>
    <w:rsid w:val="00C94BEF"/>
    <w:rsid w:val="00C94C39"/>
    <w:rsid w:val="00C94C68"/>
    <w:rsid w:val="00C94C7B"/>
    <w:rsid w:val="00C94C90"/>
    <w:rsid w:val="00C94D1B"/>
    <w:rsid w:val="00C94D26"/>
    <w:rsid w:val="00C94D32"/>
    <w:rsid w:val="00C94DB9"/>
    <w:rsid w:val="00C94E05"/>
    <w:rsid w:val="00C94E5D"/>
    <w:rsid w:val="00C94E6F"/>
    <w:rsid w:val="00C94EF6"/>
    <w:rsid w:val="00C94F04"/>
    <w:rsid w:val="00C94FCC"/>
    <w:rsid w:val="00C94FFE"/>
    <w:rsid w:val="00C95055"/>
    <w:rsid w:val="00C9514F"/>
    <w:rsid w:val="00C9516B"/>
    <w:rsid w:val="00C951DB"/>
    <w:rsid w:val="00C9531C"/>
    <w:rsid w:val="00C95338"/>
    <w:rsid w:val="00C9534E"/>
    <w:rsid w:val="00C953AC"/>
    <w:rsid w:val="00C95470"/>
    <w:rsid w:val="00C9548E"/>
    <w:rsid w:val="00C954CE"/>
    <w:rsid w:val="00C9555F"/>
    <w:rsid w:val="00C9557A"/>
    <w:rsid w:val="00C955EB"/>
    <w:rsid w:val="00C95632"/>
    <w:rsid w:val="00C9565F"/>
    <w:rsid w:val="00C9569A"/>
    <w:rsid w:val="00C956FA"/>
    <w:rsid w:val="00C95721"/>
    <w:rsid w:val="00C95865"/>
    <w:rsid w:val="00C9597E"/>
    <w:rsid w:val="00C959CB"/>
    <w:rsid w:val="00C95A8F"/>
    <w:rsid w:val="00C95AEB"/>
    <w:rsid w:val="00C95AEC"/>
    <w:rsid w:val="00C95B7A"/>
    <w:rsid w:val="00C95BA3"/>
    <w:rsid w:val="00C95BE6"/>
    <w:rsid w:val="00C95C20"/>
    <w:rsid w:val="00C95D29"/>
    <w:rsid w:val="00C95D6C"/>
    <w:rsid w:val="00C95DAF"/>
    <w:rsid w:val="00C95E17"/>
    <w:rsid w:val="00C95E24"/>
    <w:rsid w:val="00C9604D"/>
    <w:rsid w:val="00C9605F"/>
    <w:rsid w:val="00C960E7"/>
    <w:rsid w:val="00C960FC"/>
    <w:rsid w:val="00C96160"/>
    <w:rsid w:val="00C96214"/>
    <w:rsid w:val="00C9621A"/>
    <w:rsid w:val="00C9622A"/>
    <w:rsid w:val="00C96278"/>
    <w:rsid w:val="00C96281"/>
    <w:rsid w:val="00C962CE"/>
    <w:rsid w:val="00C962FB"/>
    <w:rsid w:val="00C963E3"/>
    <w:rsid w:val="00C9645C"/>
    <w:rsid w:val="00C9646C"/>
    <w:rsid w:val="00C9647D"/>
    <w:rsid w:val="00C964BD"/>
    <w:rsid w:val="00C964DE"/>
    <w:rsid w:val="00C9653A"/>
    <w:rsid w:val="00C9655D"/>
    <w:rsid w:val="00C966D8"/>
    <w:rsid w:val="00C9674A"/>
    <w:rsid w:val="00C967FC"/>
    <w:rsid w:val="00C96804"/>
    <w:rsid w:val="00C96922"/>
    <w:rsid w:val="00C96999"/>
    <w:rsid w:val="00C96A06"/>
    <w:rsid w:val="00C96B2D"/>
    <w:rsid w:val="00C96B60"/>
    <w:rsid w:val="00C96BDF"/>
    <w:rsid w:val="00C96CBE"/>
    <w:rsid w:val="00C96CF3"/>
    <w:rsid w:val="00C96EAF"/>
    <w:rsid w:val="00C96F92"/>
    <w:rsid w:val="00C97092"/>
    <w:rsid w:val="00C970BD"/>
    <w:rsid w:val="00C970D2"/>
    <w:rsid w:val="00C971C1"/>
    <w:rsid w:val="00C97221"/>
    <w:rsid w:val="00C97243"/>
    <w:rsid w:val="00C972A2"/>
    <w:rsid w:val="00C97303"/>
    <w:rsid w:val="00C97319"/>
    <w:rsid w:val="00C9745A"/>
    <w:rsid w:val="00C97497"/>
    <w:rsid w:val="00C9752A"/>
    <w:rsid w:val="00C9760E"/>
    <w:rsid w:val="00C976D4"/>
    <w:rsid w:val="00C976FE"/>
    <w:rsid w:val="00C97712"/>
    <w:rsid w:val="00C97725"/>
    <w:rsid w:val="00C9776C"/>
    <w:rsid w:val="00C9778C"/>
    <w:rsid w:val="00C97872"/>
    <w:rsid w:val="00C9791B"/>
    <w:rsid w:val="00C97995"/>
    <w:rsid w:val="00C97A1E"/>
    <w:rsid w:val="00C97A6C"/>
    <w:rsid w:val="00C97A95"/>
    <w:rsid w:val="00C97AB9"/>
    <w:rsid w:val="00C97ABB"/>
    <w:rsid w:val="00C97B89"/>
    <w:rsid w:val="00C97BBA"/>
    <w:rsid w:val="00C97BCD"/>
    <w:rsid w:val="00C97BCF"/>
    <w:rsid w:val="00C97BFA"/>
    <w:rsid w:val="00C97C81"/>
    <w:rsid w:val="00C97C94"/>
    <w:rsid w:val="00C97CAD"/>
    <w:rsid w:val="00C97CC6"/>
    <w:rsid w:val="00C97D13"/>
    <w:rsid w:val="00C97D32"/>
    <w:rsid w:val="00C97D59"/>
    <w:rsid w:val="00C97DA7"/>
    <w:rsid w:val="00C97DC2"/>
    <w:rsid w:val="00C97E0D"/>
    <w:rsid w:val="00C97E23"/>
    <w:rsid w:val="00C97E41"/>
    <w:rsid w:val="00C97EB7"/>
    <w:rsid w:val="00C97F3F"/>
    <w:rsid w:val="00CA0035"/>
    <w:rsid w:val="00CA00EF"/>
    <w:rsid w:val="00CA017A"/>
    <w:rsid w:val="00CA01C8"/>
    <w:rsid w:val="00CA0204"/>
    <w:rsid w:val="00CA0213"/>
    <w:rsid w:val="00CA029D"/>
    <w:rsid w:val="00CA0371"/>
    <w:rsid w:val="00CA03E8"/>
    <w:rsid w:val="00CA049F"/>
    <w:rsid w:val="00CA06CD"/>
    <w:rsid w:val="00CA0750"/>
    <w:rsid w:val="00CA075A"/>
    <w:rsid w:val="00CA07B1"/>
    <w:rsid w:val="00CA0826"/>
    <w:rsid w:val="00CA0872"/>
    <w:rsid w:val="00CA0885"/>
    <w:rsid w:val="00CA09A9"/>
    <w:rsid w:val="00CA09CB"/>
    <w:rsid w:val="00CA0A0A"/>
    <w:rsid w:val="00CA0A83"/>
    <w:rsid w:val="00CA0BBC"/>
    <w:rsid w:val="00CA0BBF"/>
    <w:rsid w:val="00CA0BFC"/>
    <w:rsid w:val="00CA0C24"/>
    <w:rsid w:val="00CA0D29"/>
    <w:rsid w:val="00CA0D5F"/>
    <w:rsid w:val="00CA0D7C"/>
    <w:rsid w:val="00CA0F3A"/>
    <w:rsid w:val="00CA0FF7"/>
    <w:rsid w:val="00CA105F"/>
    <w:rsid w:val="00CA10CD"/>
    <w:rsid w:val="00CA10F9"/>
    <w:rsid w:val="00CA1140"/>
    <w:rsid w:val="00CA1203"/>
    <w:rsid w:val="00CA122C"/>
    <w:rsid w:val="00CA128A"/>
    <w:rsid w:val="00CA1324"/>
    <w:rsid w:val="00CA134E"/>
    <w:rsid w:val="00CA134F"/>
    <w:rsid w:val="00CA13B5"/>
    <w:rsid w:val="00CA13C9"/>
    <w:rsid w:val="00CA1441"/>
    <w:rsid w:val="00CA1442"/>
    <w:rsid w:val="00CA1461"/>
    <w:rsid w:val="00CA1497"/>
    <w:rsid w:val="00CA14CC"/>
    <w:rsid w:val="00CA14FC"/>
    <w:rsid w:val="00CA1538"/>
    <w:rsid w:val="00CA1684"/>
    <w:rsid w:val="00CA1690"/>
    <w:rsid w:val="00CA16CA"/>
    <w:rsid w:val="00CA171C"/>
    <w:rsid w:val="00CA1727"/>
    <w:rsid w:val="00CA173F"/>
    <w:rsid w:val="00CA1812"/>
    <w:rsid w:val="00CA1880"/>
    <w:rsid w:val="00CA189F"/>
    <w:rsid w:val="00CA190B"/>
    <w:rsid w:val="00CA1A69"/>
    <w:rsid w:val="00CA1A6B"/>
    <w:rsid w:val="00CA1AD4"/>
    <w:rsid w:val="00CA1B5A"/>
    <w:rsid w:val="00CA1BD4"/>
    <w:rsid w:val="00CA1C01"/>
    <w:rsid w:val="00CA1CB5"/>
    <w:rsid w:val="00CA1CCC"/>
    <w:rsid w:val="00CA1D5E"/>
    <w:rsid w:val="00CA1D6E"/>
    <w:rsid w:val="00CA1D7A"/>
    <w:rsid w:val="00CA1D7C"/>
    <w:rsid w:val="00CA1D8E"/>
    <w:rsid w:val="00CA1DA2"/>
    <w:rsid w:val="00CA1E53"/>
    <w:rsid w:val="00CA1EC6"/>
    <w:rsid w:val="00CA1EE9"/>
    <w:rsid w:val="00CA1EFE"/>
    <w:rsid w:val="00CA1FC9"/>
    <w:rsid w:val="00CA203C"/>
    <w:rsid w:val="00CA2046"/>
    <w:rsid w:val="00CA2228"/>
    <w:rsid w:val="00CA225D"/>
    <w:rsid w:val="00CA236D"/>
    <w:rsid w:val="00CA2390"/>
    <w:rsid w:val="00CA239B"/>
    <w:rsid w:val="00CA23F2"/>
    <w:rsid w:val="00CA2519"/>
    <w:rsid w:val="00CA2593"/>
    <w:rsid w:val="00CA25C9"/>
    <w:rsid w:val="00CA2647"/>
    <w:rsid w:val="00CA2724"/>
    <w:rsid w:val="00CA275C"/>
    <w:rsid w:val="00CA2770"/>
    <w:rsid w:val="00CA27BA"/>
    <w:rsid w:val="00CA2912"/>
    <w:rsid w:val="00CA2A07"/>
    <w:rsid w:val="00CA2BEA"/>
    <w:rsid w:val="00CA2C31"/>
    <w:rsid w:val="00CA2C3D"/>
    <w:rsid w:val="00CA2CBE"/>
    <w:rsid w:val="00CA2D65"/>
    <w:rsid w:val="00CA2E04"/>
    <w:rsid w:val="00CA2E0E"/>
    <w:rsid w:val="00CA2E79"/>
    <w:rsid w:val="00CA2EFC"/>
    <w:rsid w:val="00CA2FA3"/>
    <w:rsid w:val="00CA301B"/>
    <w:rsid w:val="00CA3091"/>
    <w:rsid w:val="00CA3096"/>
    <w:rsid w:val="00CA30A3"/>
    <w:rsid w:val="00CA30D2"/>
    <w:rsid w:val="00CA311B"/>
    <w:rsid w:val="00CA3252"/>
    <w:rsid w:val="00CA32F3"/>
    <w:rsid w:val="00CA3389"/>
    <w:rsid w:val="00CA33CD"/>
    <w:rsid w:val="00CA3448"/>
    <w:rsid w:val="00CA3594"/>
    <w:rsid w:val="00CA3637"/>
    <w:rsid w:val="00CA3663"/>
    <w:rsid w:val="00CA36DA"/>
    <w:rsid w:val="00CA36EC"/>
    <w:rsid w:val="00CA3741"/>
    <w:rsid w:val="00CA37BF"/>
    <w:rsid w:val="00CA3809"/>
    <w:rsid w:val="00CA3818"/>
    <w:rsid w:val="00CA395F"/>
    <w:rsid w:val="00CA3A27"/>
    <w:rsid w:val="00CA3A55"/>
    <w:rsid w:val="00CA3A5B"/>
    <w:rsid w:val="00CA3B6E"/>
    <w:rsid w:val="00CA3B7E"/>
    <w:rsid w:val="00CA3B81"/>
    <w:rsid w:val="00CA3BBA"/>
    <w:rsid w:val="00CA3BBD"/>
    <w:rsid w:val="00CA3BF2"/>
    <w:rsid w:val="00CA3C4C"/>
    <w:rsid w:val="00CA3C7C"/>
    <w:rsid w:val="00CA3CDA"/>
    <w:rsid w:val="00CA3D17"/>
    <w:rsid w:val="00CA3D5D"/>
    <w:rsid w:val="00CA3DED"/>
    <w:rsid w:val="00CA4096"/>
    <w:rsid w:val="00CA40F6"/>
    <w:rsid w:val="00CA41D7"/>
    <w:rsid w:val="00CA422D"/>
    <w:rsid w:val="00CA42D2"/>
    <w:rsid w:val="00CA42D3"/>
    <w:rsid w:val="00CA42F8"/>
    <w:rsid w:val="00CA435E"/>
    <w:rsid w:val="00CA447E"/>
    <w:rsid w:val="00CA4505"/>
    <w:rsid w:val="00CA45F8"/>
    <w:rsid w:val="00CA462A"/>
    <w:rsid w:val="00CA4670"/>
    <w:rsid w:val="00CA4672"/>
    <w:rsid w:val="00CA46A7"/>
    <w:rsid w:val="00CA4754"/>
    <w:rsid w:val="00CA482D"/>
    <w:rsid w:val="00CA488F"/>
    <w:rsid w:val="00CA48AD"/>
    <w:rsid w:val="00CA48CB"/>
    <w:rsid w:val="00CA4A74"/>
    <w:rsid w:val="00CA4AA8"/>
    <w:rsid w:val="00CA4B51"/>
    <w:rsid w:val="00CA4BEF"/>
    <w:rsid w:val="00CA4C65"/>
    <w:rsid w:val="00CA4CAB"/>
    <w:rsid w:val="00CA4CB8"/>
    <w:rsid w:val="00CA4CC0"/>
    <w:rsid w:val="00CA4D71"/>
    <w:rsid w:val="00CA4D74"/>
    <w:rsid w:val="00CA4E16"/>
    <w:rsid w:val="00CA4E21"/>
    <w:rsid w:val="00CA4E72"/>
    <w:rsid w:val="00CA4F21"/>
    <w:rsid w:val="00CA4F54"/>
    <w:rsid w:val="00CA4F91"/>
    <w:rsid w:val="00CA4FEC"/>
    <w:rsid w:val="00CA5101"/>
    <w:rsid w:val="00CA5170"/>
    <w:rsid w:val="00CA52B1"/>
    <w:rsid w:val="00CA52ED"/>
    <w:rsid w:val="00CA5301"/>
    <w:rsid w:val="00CA5474"/>
    <w:rsid w:val="00CA5585"/>
    <w:rsid w:val="00CA55BC"/>
    <w:rsid w:val="00CA5659"/>
    <w:rsid w:val="00CA568A"/>
    <w:rsid w:val="00CA57E7"/>
    <w:rsid w:val="00CA58A7"/>
    <w:rsid w:val="00CA58CC"/>
    <w:rsid w:val="00CA5921"/>
    <w:rsid w:val="00CA597F"/>
    <w:rsid w:val="00CA5C2E"/>
    <w:rsid w:val="00CA5C42"/>
    <w:rsid w:val="00CA5D00"/>
    <w:rsid w:val="00CA5D0D"/>
    <w:rsid w:val="00CA5D5A"/>
    <w:rsid w:val="00CA5D8E"/>
    <w:rsid w:val="00CA5E0C"/>
    <w:rsid w:val="00CA5F33"/>
    <w:rsid w:val="00CA5F3C"/>
    <w:rsid w:val="00CA5F84"/>
    <w:rsid w:val="00CA5FC6"/>
    <w:rsid w:val="00CA5FCA"/>
    <w:rsid w:val="00CA60BA"/>
    <w:rsid w:val="00CA60F7"/>
    <w:rsid w:val="00CA6141"/>
    <w:rsid w:val="00CA618D"/>
    <w:rsid w:val="00CA61A7"/>
    <w:rsid w:val="00CA61CE"/>
    <w:rsid w:val="00CA61D1"/>
    <w:rsid w:val="00CA6205"/>
    <w:rsid w:val="00CA636F"/>
    <w:rsid w:val="00CA63A9"/>
    <w:rsid w:val="00CA641D"/>
    <w:rsid w:val="00CA6560"/>
    <w:rsid w:val="00CA660E"/>
    <w:rsid w:val="00CA66B1"/>
    <w:rsid w:val="00CA677F"/>
    <w:rsid w:val="00CA680D"/>
    <w:rsid w:val="00CA680E"/>
    <w:rsid w:val="00CA6884"/>
    <w:rsid w:val="00CA6A1A"/>
    <w:rsid w:val="00CA6A30"/>
    <w:rsid w:val="00CA6A63"/>
    <w:rsid w:val="00CA6AC0"/>
    <w:rsid w:val="00CA6B08"/>
    <w:rsid w:val="00CA6B71"/>
    <w:rsid w:val="00CA6B7A"/>
    <w:rsid w:val="00CA6C4B"/>
    <w:rsid w:val="00CA6CA9"/>
    <w:rsid w:val="00CA6CAB"/>
    <w:rsid w:val="00CA6CDD"/>
    <w:rsid w:val="00CA6D06"/>
    <w:rsid w:val="00CA6D9B"/>
    <w:rsid w:val="00CA6E91"/>
    <w:rsid w:val="00CA6E9A"/>
    <w:rsid w:val="00CA6EE3"/>
    <w:rsid w:val="00CA6EFA"/>
    <w:rsid w:val="00CA6F95"/>
    <w:rsid w:val="00CA6F9E"/>
    <w:rsid w:val="00CA6FBE"/>
    <w:rsid w:val="00CA704B"/>
    <w:rsid w:val="00CA704F"/>
    <w:rsid w:val="00CA7080"/>
    <w:rsid w:val="00CA7088"/>
    <w:rsid w:val="00CA712D"/>
    <w:rsid w:val="00CA719C"/>
    <w:rsid w:val="00CA7232"/>
    <w:rsid w:val="00CA72AA"/>
    <w:rsid w:val="00CA72EF"/>
    <w:rsid w:val="00CA730D"/>
    <w:rsid w:val="00CA739C"/>
    <w:rsid w:val="00CA73AC"/>
    <w:rsid w:val="00CA73E8"/>
    <w:rsid w:val="00CA75D1"/>
    <w:rsid w:val="00CA7686"/>
    <w:rsid w:val="00CA76E2"/>
    <w:rsid w:val="00CA772A"/>
    <w:rsid w:val="00CA77F0"/>
    <w:rsid w:val="00CA78C4"/>
    <w:rsid w:val="00CA78CD"/>
    <w:rsid w:val="00CA78E1"/>
    <w:rsid w:val="00CA7906"/>
    <w:rsid w:val="00CA7967"/>
    <w:rsid w:val="00CA7A88"/>
    <w:rsid w:val="00CA7A95"/>
    <w:rsid w:val="00CA7AC4"/>
    <w:rsid w:val="00CA7AFF"/>
    <w:rsid w:val="00CA7B50"/>
    <w:rsid w:val="00CA7B66"/>
    <w:rsid w:val="00CA7C62"/>
    <w:rsid w:val="00CA7C69"/>
    <w:rsid w:val="00CA7C6B"/>
    <w:rsid w:val="00CA7C6D"/>
    <w:rsid w:val="00CA7D20"/>
    <w:rsid w:val="00CA7DFD"/>
    <w:rsid w:val="00CA7E06"/>
    <w:rsid w:val="00CA7EB6"/>
    <w:rsid w:val="00CA7EDD"/>
    <w:rsid w:val="00CA7F0B"/>
    <w:rsid w:val="00CA7F32"/>
    <w:rsid w:val="00CA7F3E"/>
    <w:rsid w:val="00CA7F5F"/>
    <w:rsid w:val="00CA7F87"/>
    <w:rsid w:val="00CA7FA0"/>
    <w:rsid w:val="00CB0043"/>
    <w:rsid w:val="00CB00BD"/>
    <w:rsid w:val="00CB00F4"/>
    <w:rsid w:val="00CB016D"/>
    <w:rsid w:val="00CB0268"/>
    <w:rsid w:val="00CB03DD"/>
    <w:rsid w:val="00CB0407"/>
    <w:rsid w:val="00CB041D"/>
    <w:rsid w:val="00CB0489"/>
    <w:rsid w:val="00CB04FE"/>
    <w:rsid w:val="00CB052F"/>
    <w:rsid w:val="00CB057E"/>
    <w:rsid w:val="00CB0605"/>
    <w:rsid w:val="00CB0650"/>
    <w:rsid w:val="00CB0751"/>
    <w:rsid w:val="00CB07B7"/>
    <w:rsid w:val="00CB07E1"/>
    <w:rsid w:val="00CB080E"/>
    <w:rsid w:val="00CB0850"/>
    <w:rsid w:val="00CB090C"/>
    <w:rsid w:val="00CB09C6"/>
    <w:rsid w:val="00CB0A21"/>
    <w:rsid w:val="00CB0A95"/>
    <w:rsid w:val="00CB0B19"/>
    <w:rsid w:val="00CB0C17"/>
    <w:rsid w:val="00CB0C6C"/>
    <w:rsid w:val="00CB0CBC"/>
    <w:rsid w:val="00CB0D62"/>
    <w:rsid w:val="00CB0DA0"/>
    <w:rsid w:val="00CB0EBE"/>
    <w:rsid w:val="00CB0F47"/>
    <w:rsid w:val="00CB0F83"/>
    <w:rsid w:val="00CB0FB3"/>
    <w:rsid w:val="00CB104E"/>
    <w:rsid w:val="00CB1067"/>
    <w:rsid w:val="00CB10D8"/>
    <w:rsid w:val="00CB10DC"/>
    <w:rsid w:val="00CB1129"/>
    <w:rsid w:val="00CB1134"/>
    <w:rsid w:val="00CB11CD"/>
    <w:rsid w:val="00CB123F"/>
    <w:rsid w:val="00CB124B"/>
    <w:rsid w:val="00CB1292"/>
    <w:rsid w:val="00CB1317"/>
    <w:rsid w:val="00CB13F2"/>
    <w:rsid w:val="00CB156F"/>
    <w:rsid w:val="00CB1580"/>
    <w:rsid w:val="00CB1636"/>
    <w:rsid w:val="00CB1667"/>
    <w:rsid w:val="00CB166B"/>
    <w:rsid w:val="00CB16A8"/>
    <w:rsid w:val="00CB18C3"/>
    <w:rsid w:val="00CB18F0"/>
    <w:rsid w:val="00CB193D"/>
    <w:rsid w:val="00CB1A39"/>
    <w:rsid w:val="00CB1AB8"/>
    <w:rsid w:val="00CB1ABC"/>
    <w:rsid w:val="00CB1B7A"/>
    <w:rsid w:val="00CB1C54"/>
    <w:rsid w:val="00CB1C6C"/>
    <w:rsid w:val="00CB1CA1"/>
    <w:rsid w:val="00CB1DE7"/>
    <w:rsid w:val="00CB1E22"/>
    <w:rsid w:val="00CB1E3B"/>
    <w:rsid w:val="00CB1F8A"/>
    <w:rsid w:val="00CB2003"/>
    <w:rsid w:val="00CB2030"/>
    <w:rsid w:val="00CB21B6"/>
    <w:rsid w:val="00CB2225"/>
    <w:rsid w:val="00CB223C"/>
    <w:rsid w:val="00CB2286"/>
    <w:rsid w:val="00CB2462"/>
    <w:rsid w:val="00CB247A"/>
    <w:rsid w:val="00CB2487"/>
    <w:rsid w:val="00CB24A2"/>
    <w:rsid w:val="00CB251D"/>
    <w:rsid w:val="00CB2572"/>
    <w:rsid w:val="00CB25C1"/>
    <w:rsid w:val="00CB2672"/>
    <w:rsid w:val="00CB278E"/>
    <w:rsid w:val="00CB27D0"/>
    <w:rsid w:val="00CB2862"/>
    <w:rsid w:val="00CB29A7"/>
    <w:rsid w:val="00CB2A88"/>
    <w:rsid w:val="00CB2AA3"/>
    <w:rsid w:val="00CB2BED"/>
    <w:rsid w:val="00CB2C62"/>
    <w:rsid w:val="00CB2C7A"/>
    <w:rsid w:val="00CB2C98"/>
    <w:rsid w:val="00CB2E9D"/>
    <w:rsid w:val="00CB2EB3"/>
    <w:rsid w:val="00CB30AA"/>
    <w:rsid w:val="00CB3301"/>
    <w:rsid w:val="00CB33C2"/>
    <w:rsid w:val="00CB33CF"/>
    <w:rsid w:val="00CB3422"/>
    <w:rsid w:val="00CB3440"/>
    <w:rsid w:val="00CB344E"/>
    <w:rsid w:val="00CB3486"/>
    <w:rsid w:val="00CB34DA"/>
    <w:rsid w:val="00CB3549"/>
    <w:rsid w:val="00CB3577"/>
    <w:rsid w:val="00CB35A8"/>
    <w:rsid w:val="00CB35C8"/>
    <w:rsid w:val="00CB35E5"/>
    <w:rsid w:val="00CB35F4"/>
    <w:rsid w:val="00CB3643"/>
    <w:rsid w:val="00CB3682"/>
    <w:rsid w:val="00CB3696"/>
    <w:rsid w:val="00CB36FB"/>
    <w:rsid w:val="00CB3734"/>
    <w:rsid w:val="00CB3793"/>
    <w:rsid w:val="00CB37A7"/>
    <w:rsid w:val="00CB37D3"/>
    <w:rsid w:val="00CB3966"/>
    <w:rsid w:val="00CB39D1"/>
    <w:rsid w:val="00CB3A82"/>
    <w:rsid w:val="00CB3AB0"/>
    <w:rsid w:val="00CB3C05"/>
    <w:rsid w:val="00CB3C44"/>
    <w:rsid w:val="00CB3C56"/>
    <w:rsid w:val="00CB3C5E"/>
    <w:rsid w:val="00CB3C71"/>
    <w:rsid w:val="00CB3C96"/>
    <w:rsid w:val="00CB3ECA"/>
    <w:rsid w:val="00CB3F1E"/>
    <w:rsid w:val="00CB3F3D"/>
    <w:rsid w:val="00CB3F63"/>
    <w:rsid w:val="00CB3F8C"/>
    <w:rsid w:val="00CB4114"/>
    <w:rsid w:val="00CB411D"/>
    <w:rsid w:val="00CB4146"/>
    <w:rsid w:val="00CB418D"/>
    <w:rsid w:val="00CB4243"/>
    <w:rsid w:val="00CB4396"/>
    <w:rsid w:val="00CB43A1"/>
    <w:rsid w:val="00CB43F2"/>
    <w:rsid w:val="00CB4437"/>
    <w:rsid w:val="00CB4457"/>
    <w:rsid w:val="00CB446F"/>
    <w:rsid w:val="00CB4470"/>
    <w:rsid w:val="00CB44B8"/>
    <w:rsid w:val="00CB44FC"/>
    <w:rsid w:val="00CB4510"/>
    <w:rsid w:val="00CB45DF"/>
    <w:rsid w:val="00CB45EC"/>
    <w:rsid w:val="00CB4616"/>
    <w:rsid w:val="00CB4657"/>
    <w:rsid w:val="00CB4660"/>
    <w:rsid w:val="00CB4737"/>
    <w:rsid w:val="00CB49BC"/>
    <w:rsid w:val="00CB49E6"/>
    <w:rsid w:val="00CB4A30"/>
    <w:rsid w:val="00CB4AD8"/>
    <w:rsid w:val="00CB4AE8"/>
    <w:rsid w:val="00CB4AFF"/>
    <w:rsid w:val="00CB4B06"/>
    <w:rsid w:val="00CB4B41"/>
    <w:rsid w:val="00CB4BDF"/>
    <w:rsid w:val="00CB4CAD"/>
    <w:rsid w:val="00CB4CEE"/>
    <w:rsid w:val="00CB4D5C"/>
    <w:rsid w:val="00CB4DC0"/>
    <w:rsid w:val="00CB4F13"/>
    <w:rsid w:val="00CB4F42"/>
    <w:rsid w:val="00CB4F5A"/>
    <w:rsid w:val="00CB4F5C"/>
    <w:rsid w:val="00CB5051"/>
    <w:rsid w:val="00CB5061"/>
    <w:rsid w:val="00CB50D9"/>
    <w:rsid w:val="00CB5164"/>
    <w:rsid w:val="00CB523F"/>
    <w:rsid w:val="00CB52A6"/>
    <w:rsid w:val="00CB52AB"/>
    <w:rsid w:val="00CB52D3"/>
    <w:rsid w:val="00CB5395"/>
    <w:rsid w:val="00CB5567"/>
    <w:rsid w:val="00CB5588"/>
    <w:rsid w:val="00CB55B5"/>
    <w:rsid w:val="00CB5604"/>
    <w:rsid w:val="00CB5607"/>
    <w:rsid w:val="00CB5638"/>
    <w:rsid w:val="00CB563E"/>
    <w:rsid w:val="00CB572A"/>
    <w:rsid w:val="00CB572C"/>
    <w:rsid w:val="00CB5760"/>
    <w:rsid w:val="00CB576D"/>
    <w:rsid w:val="00CB5795"/>
    <w:rsid w:val="00CB57E9"/>
    <w:rsid w:val="00CB5811"/>
    <w:rsid w:val="00CB5885"/>
    <w:rsid w:val="00CB58CE"/>
    <w:rsid w:val="00CB58F7"/>
    <w:rsid w:val="00CB5943"/>
    <w:rsid w:val="00CB59CE"/>
    <w:rsid w:val="00CB5A1A"/>
    <w:rsid w:val="00CB5AAB"/>
    <w:rsid w:val="00CB5AC6"/>
    <w:rsid w:val="00CB5AD9"/>
    <w:rsid w:val="00CB5AED"/>
    <w:rsid w:val="00CB5B63"/>
    <w:rsid w:val="00CB5B83"/>
    <w:rsid w:val="00CB5C2F"/>
    <w:rsid w:val="00CB5C47"/>
    <w:rsid w:val="00CB5D98"/>
    <w:rsid w:val="00CB5DBB"/>
    <w:rsid w:val="00CB5DD4"/>
    <w:rsid w:val="00CB5E69"/>
    <w:rsid w:val="00CB5E8E"/>
    <w:rsid w:val="00CB5EA9"/>
    <w:rsid w:val="00CB5F73"/>
    <w:rsid w:val="00CB5F7C"/>
    <w:rsid w:val="00CB5FE1"/>
    <w:rsid w:val="00CB5FE3"/>
    <w:rsid w:val="00CB603B"/>
    <w:rsid w:val="00CB608F"/>
    <w:rsid w:val="00CB60F5"/>
    <w:rsid w:val="00CB6174"/>
    <w:rsid w:val="00CB617E"/>
    <w:rsid w:val="00CB6377"/>
    <w:rsid w:val="00CB6445"/>
    <w:rsid w:val="00CB64B4"/>
    <w:rsid w:val="00CB650E"/>
    <w:rsid w:val="00CB651D"/>
    <w:rsid w:val="00CB6524"/>
    <w:rsid w:val="00CB65CF"/>
    <w:rsid w:val="00CB65F9"/>
    <w:rsid w:val="00CB660A"/>
    <w:rsid w:val="00CB664D"/>
    <w:rsid w:val="00CB6679"/>
    <w:rsid w:val="00CB66FF"/>
    <w:rsid w:val="00CB6765"/>
    <w:rsid w:val="00CB6797"/>
    <w:rsid w:val="00CB69A3"/>
    <w:rsid w:val="00CB69E8"/>
    <w:rsid w:val="00CB69FC"/>
    <w:rsid w:val="00CB6A0B"/>
    <w:rsid w:val="00CB6A82"/>
    <w:rsid w:val="00CB6B04"/>
    <w:rsid w:val="00CB6B05"/>
    <w:rsid w:val="00CB6C1A"/>
    <w:rsid w:val="00CB6CB3"/>
    <w:rsid w:val="00CB6CF0"/>
    <w:rsid w:val="00CB6DFF"/>
    <w:rsid w:val="00CB6E10"/>
    <w:rsid w:val="00CB6E25"/>
    <w:rsid w:val="00CB6E57"/>
    <w:rsid w:val="00CB6E99"/>
    <w:rsid w:val="00CB6EB1"/>
    <w:rsid w:val="00CB6EED"/>
    <w:rsid w:val="00CB6F96"/>
    <w:rsid w:val="00CB6FCB"/>
    <w:rsid w:val="00CB6FD3"/>
    <w:rsid w:val="00CB70C2"/>
    <w:rsid w:val="00CB7166"/>
    <w:rsid w:val="00CB7190"/>
    <w:rsid w:val="00CB71E8"/>
    <w:rsid w:val="00CB728A"/>
    <w:rsid w:val="00CB7389"/>
    <w:rsid w:val="00CB73F0"/>
    <w:rsid w:val="00CB7415"/>
    <w:rsid w:val="00CB7435"/>
    <w:rsid w:val="00CB7450"/>
    <w:rsid w:val="00CB74AA"/>
    <w:rsid w:val="00CB74F5"/>
    <w:rsid w:val="00CB7504"/>
    <w:rsid w:val="00CB75CE"/>
    <w:rsid w:val="00CB7719"/>
    <w:rsid w:val="00CB7735"/>
    <w:rsid w:val="00CB7785"/>
    <w:rsid w:val="00CB77CD"/>
    <w:rsid w:val="00CB7B2F"/>
    <w:rsid w:val="00CB7B57"/>
    <w:rsid w:val="00CB7BA9"/>
    <w:rsid w:val="00CB7BC6"/>
    <w:rsid w:val="00CB7C4E"/>
    <w:rsid w:val="00CB7CB8"/>
    <w:rsid w:val="00CB7D94"/>
    <w:rsid w:val="00CB7FA0"/>
    <w:rsid w:val="00CC0022"/>
    <w:rsid w:val="00CC0036"/>
    <w:rsid w:val="00CC0238"/>
    <w:rsid w:val="00CC023D"/>
    <w:rsid w:val="00CC029C"/>
    <w:rsid w:val="00CC030F"/>
    <w:rsid w:val="00CC0398"/>
    <w:rsid w:val="00CC040C"/>
    <w:rsid w:val="00CC04A9"/>
    <w:rsid w:val="00CC04F8"/>
    <w:rsid w:val="00CC05AE"/>
    <w:rsid w:val="00CC064A"/>
    <w:rsid w:val="00CC081C"/>
    <w:rsid w:val="00CC089D"/>
    <w:rsid w:val="00CC08BA"/>
    <w:rsid w:val="00CC093B"/>
    <w:rsid w:val="00CC099E"/>
    <w:rsid w:val="00CC09B6"/>
    <w:rsid w:val="00CC09CC"/>
    <w:rsid w:val="00CC0A67"/>
    <w:rsid w:val="00CC0B78"/>
    <w:rsid w:val="00CC0B80"/>
    <w:rsid w:val="00CC0BB3"/>
    <w:rsid w:val="00CC0C08"/>
    <w:rsid w:val="00CC0C41"/>
    <w:rsid w:val="00CC0C71"/>
    <w:rsid w:val="00CC0CB0"/>
    <w:rsid w:val="00CC0CC4"/>
    <w:rsid w:val="00CC0D02"/>
    <w:rsid w:val="00CC0DB4"/>
    <w:rsid w:val="00CC0DC8"/>
    <w:rsid w:val="00CC0E0D"/>
    <w:rsid w:val="00CC0ED5"/>
    <w:rsid w:val="00CC0F04"/>
    <w:rsid w:val="00CC0F2A"/>
    <w:rsid w:val="00CC0F33"/>
    <w:rsid w:val="00CC140C"/>
    <w:rsid w:val="00CC146F"/>
    <w:rsid w:val="00CC14FD"/>
    <w:rsid w:val="00CC15A3"/>
    <w:rsid w:val="00CC16EB"/>
    <w:rsid w:val="00CC188C"/>
    <w:rsid w:val="00CC18D6"/>
    <w:rsid w:val="00CC1945"/>
    <w:rsid w:val="00CC1974"/>
    <w:rsid w:val="00CC19B4"/>
    <w:rsid w:val="00CC1A0F"/>
    <w:rsid w:val="00CC1A1F"/>
    <w:rsid w:val="00CC1BDA"/>
    <w:rsid w:val="00CC1BF5"/>
    <w:rsid w:val="00CC1D3B"/>
    <w:rsid w:val="00CC1D58"/>
    <w:rsid w:val="00CC1E31"/>
    <w:rsid w:val="00CC1EB7"/>
    <w:rsid w:val="00CC1EE2"/>
    <w:rsid w:val="00CC1EEA"/>
    <w:rsid w:val="00CC1F0E"/>
    <w:rsid w:val="00CC1F12"/>
    <w:rsid w:val="00CC1FFD"/>
    <w:rsid w:val="00CC2001"/>
    <w:rsid w:val="00CC20C5"/>
    <w:rsid w:val="00CC2105"/>
    <w:rsid w:val="00CC211F"/>
    <w:rsid w:val="00CC2144"/>
    <w:rsid w:val="00CC215C"/>
    <w:rsid w:val="00CC23C5"/>
    <w:rsid w:val="00CC240C"/>
    <w:rsid w:val="00CC24E1"/>
    <w:rsid w:val="00CC26B3"/>
    <w:rsid w:val="00CC26E3"/>
    <w:rsid w:val="00CC27F0"/>
    <w:rsid w:val="00CC2867"/>
    <w:rsid w:val="00CC2963"/>
    <w:rsid w:val="00CC2A5E"/>
    <w:rsid w:val="00CC2A7E"/>
    <w:rsid w:val="00CC2B0A"/>
    <w:rsid w:val="00CC2B88"/>
    <w:rsid w:val="00CC2C57"/>
    <w:rsid w:val="00CC2C60"/>
    <w:rsid w:val="00CC2D3F"/>
    <w:rsid w:val="00CC2D67"/>
    <w:rsid w:val="00CC2E4F"/>
    <w:rsid w:val="00CC2E62"/>
    <w:rsid w:val="00CC2F5B"/>
    <w:rsid w:val="00CC319A"/>
    <w:rsid w:val="00CC3230"/>
    <w:rsid w:val="00CC3306"/>
    <w:rsid w:val="00CC331B"/>
    <w:rsid w:val="00CC3338"/>
    <w:rsid w:val="00CC33B5"/>
    <w:rsid w:val="00CC341A"/>
    <w:rsid w:val="00CC3587"/>
    <w:rsid w:val="00CC3599"/>
    <w:rsid w:val="00CC3710"/>
    <w:rsid w:val="00CC38B9"/>
    <w:rsid w:val="00CC393B"/>
    <w:rsid w:val="00CC3A3F"/>
    <w:rsid w:val="00CC3AF1"/>
    <w:rsid w:val="00CC3B4F"/>
    <w:rsid w:val="00CC3BB5"/>
    <w:rsid w:val="00CC3D0A"/>
    <w:rsid w:val="00CC3D2B"/>
    <w:rsid w:val="00CC3D95"/>
    <w:rsid w:val="00CC3D9B"/>
    <w:rsid w:val="00CC3DB4"/>
    <w:rsid w:val="00CC3DF0"/>
    <w:rsid w:val="00CC3E21"/>
    <w:rsid w:val="00CC3EAA"/>
    <w:rsid w:val="00CC3ED6"/>
    <w:rsid w:val="00CC3F14"/>
    <w:rsid w:val="00CC3FF9"/>
    <w:rsid w:val="00CC4030"/>
    <w:rsid w:val="00CC4045"/>
    <w:rsid w:val="00CC40C7"/>
    <w:rsid w:val="00CC4117"/>
    <w:rsid w:val="00CC4210"/>
    <w:rsid w:val="00CC4293"/>
    <w:rsid w:val="00CC4320"/>
    <w:rsid w:val="00CC43A0"/>
    <w:rsid w:val="00CC44B1"/>
    <w:rsid w:val="00CC4526"/>
    <w:rsid w:val="00CC4590"/>
    <w:rsid w:val="00CC4659"/>
    <w:rsid w:val="00CC468B"/>
    <w:rsid w:val="00CC46FB"/>
    <w:rsid w:val="00CC46FD"/>
    <w:rsid w:val="00CC4798"/>
    <w:rsid w:val="00CC479A"/>
    <w:rsid w:val="00CC4800"/>
    <w:rsid w:val="00CC484F"/>
    <w:rsid w:val="00CC485A"/>
    <w:rsid w:val="00CC48BA"/>
    <w:rsid w:val="00CC48F9"/>
    <w:rsid w:val="00CC4974"/>
    <w:rsid w:val="00CC4AB7"/>
    <w:rsid w:val="00CC4AC4"/>
    <w:rsid w:val="00CC4B0D"/>
    <w:rsid w:val="00CC4B12"/>
    <w:rsid w:val="00CC4B40"/>
    <w:rsid w:val="00CC4B5B"/>
    <w:rsid w:val="00CC4B9F"/>
    <w:rsid w:val="00CC4D6F"/>
    <w:rsid w:val="00CC4E48"/>
    <w:rsid w:val="00CC4F18"/>
    <w:rsid w:val="00CC4F84"/>
    <w:rsid w:val="00CC5100"/>
    <w:rsid w:val="00CC522F"/>
    <w:rsid w:val="00CC5315"/>
    <w:rsid w:val="00CC542E"/>
    <w:rsid w:val="00CC5461"/>
    <w:rsid w:val="00CC550D"/>
    <w:rsid w:val="00CC556A"/>
    <w:rsid w:val="00CC55A0"/>
    <w:rsid w:val="00CC5605"/>
    <w:rsid w:val="00CC5607"/>
    <w:rsid w:val="00CC5634"/>
    <w:rsid w:val="00CC5729"/>
    <w:rsid w:val="00CC5758"/>
    <w:rsid w:val="00CC576A"/>
    <w:rsid w:val="00CC582D"/>
    <w:rsid w:val="00CC59C4"/>
    <w:rsid w:val="00CC59C8"/>
    <w:rsid w:val="00CC59E5"/>
    <w:rsid w:val="00CC59F4"/>
    <w:rsid w:val="00CC5A00"/>
    <w:rsid w:val="00CC5A0F"/>
    <w:rsid w:val="00CC5A42"/>
    <w:rsid w:val="00CC5ACA"/>
    <w:rsid w:val="00CC5B8D"/>
    <w:rsid w:val="00CC5C4B"/>
    <w:rsid w:val="00CC5C72"/>
    <w:rsid w:val="00CC5D18"/>
    <w:rsid w:val="00CC5D2E"/>
    <w:rsid w:val="00CC5D8E"/>
    <w:rsid w:val="00CC5E11"/>
    <w:rsid w:val="00CC5E20"/>
    <w:rsid w:val="00CC5E35"/>
    <w:rsid w:val="00CC5E8A"/>
    <w:rsid w:val="00CC5EF2"/>
    <w:rsid w:val="00CC5F1E"/>
    <w:rsid w:val="00CC5F77"/>
    <w:rsid w:val="00CC5F9E"/>
    <w:rsid w:val="00CC5FD1"/>
    <w:rsid w:val="00CC5FF9"/>
    <w:rsid w:val="00CC6141"/>
    <w:rsid w:val="00CC61C2"/>
    <w:rsid w:val="00CC61C9"/>
    <w:rsid w:val="00CC629A"/>
    <w:rsid w:val="00CC62CB"/>
    <w:rsid w:val="00CC6508"/>
    <w:rsid w:val="00CC6515"/>
    <w:rsid w:val="00CC65D6"/>
    <w:rsid w:val="00CC6764"/>
    <w:rsid w:val="00CC6774"/>
    <w:rsid w:val="00CC6815"/>
    <w:rsid w:val="00CC6840"/>
    <w:rsid w:val="00CC68AB"/>
    <w:rsid w:val="00CC68CE"/>
    <w:rsid w:val="00CC68FB"/>
    <w:rsid w:val="00CC6930"/>
    <w:rsid w:val="00CC6A3E"/>
    <w:rsid w:val="00CC6A82"/>
    <w:rsid w:val="00CC6B0D"/>
    <w:rsid w:val="00CC6B1C"/>
    <w:rsid w:val="00CC6B21"/>
    <w:rsid w:val="00CC6B32"/>
    <w:rsid w:val="00CC6B6B"/>
    <w:rsid w:val="00CC6B73"/>
    <w:rsid w:val="00CC6C16"/>
    <w:rsid w:val="00CC6CAD"/>
    <w:rsid w:val="00CC6FA1"/>
    <w:rsid w:val="00CC6FAD"/>
    <w:rsid w:val="00CC7018"/>
    <w:rsid w:val="00CC70DE"/>
    <w:rsid w:val="00CC711C"/>
    <w:rsid w:val="00CC7173"/>
    <w:rsid w:val="00CC71A0"/>
    <w:rsid w:val="00CC736A"/>
    <w:rsid w:val="00CC73C6"/>
    <w:rsid w:val="00CC753F"/>
    <w:rsid w:val="00CC75B2"/>
    <w:rsid w:val="00CC77C5"/>
    <w:rsid w:val="00CC7807"/>
    <w:rsid w:val="00CC78F2"/>
    <w:rsid w:val="00CC7915"/>
    <w:rsid w:val="00CC791D"/>
    <w:rsid w:val="00CC7984"/>
    <w:rsid w:val="00CC7A4A"/>
    <w:rsid w:val="00CC7A6C"/>
    <w:rsid w:val="00CC7A91"/>
    <w:rsid w:val="00CC7A98"/>
    <w:rsid w:val="00CC7B27"/>
    <w:rsid w:val="00CC7B7E"/>
    <w:rsid w:val="00CC7B93"/>
    <w:rsid w:val="00CC7CCA"/>
    <w:rsid w:val="00CC7D82"/>
    <w:rsid w:val="00CC7D93"/>
    <w:rsid w:val="00CC7E46"/>
    <w:rsid w:val="00CC7F0A"/>
    <w:rsid w:val="00CC7F6F"/>
    <w:rsid w:val="00CD000C"/>
    <w:rsid w:val="00CD0166"/>
    <w:rsid w:val="00CD0178"/>
    <w:rsid w:val="00CD018F"/>
    <w:rsid w:val="00CD01C9"/>
    <w:rsid w:val="00CD020C"/>
    <w:rsid w:val="00CD02E1"/>
    <w:rsid w:val="00CD0335"/>
    <w:rsid w:val="00CD0344"/>
    <w:rsid w:val="00CD039F"/>
    <w:rsid w:val="00CD03D6"/>
    <w:rsid w:val="00CD0607"/>
    <w:rsid w:val="00CD0625"/>
    <w:rsid w:val="00CD0640"/>
    <w:rsid w:val="00CD07BE"/>
    <w:rsid w:val="00CD0887"/>
    <w:rsid w:val="00CD088F"/>
    <w:rsid w:val="00CD094A"/>
    <w:rsid w:val="00CD0984"/>
    <w:rsid w:val="00CD0A30"/>
    <w:rsid w:val="00CD0BAD"/>
    <w:rsid w:val="00CD0BD5"/>
    <w:rsid w:val="00CD0BED"/>
    <w:rsid w:val="00CD0D89"/>
    <w:rsid w:val="00CD0E2E"/>
    <w:rsid w:val="00CD0E49"/>
    <w:rsid w:val="00CD0EB3"/>
    <w:rsid w:val="00CD0ED6"/>
    <w:rsid w:val="00CD0EFE"/>
    <w:rsid w:val="00CD0F28"/>
    <w:rsid w:val="00CD1053"/>
    <w:rsid w:val="00CD11B8"/>
    <w:rsid w:val="00CD129B"/>
    <w:rsid w:val="00CD12EB"/>
    <w:rsid w:val="00CD137B"/>
    <w:rsid w:val="00CD137C"/>
    <w:rsid w:val="00CD141D"/>
    <w:rsid w:val="00CD1565"/>
    <w:rsid w:val="00CD16F8"/>
    <w:rsid w:val="00CD1712"/>
    <w:rsid w:val="00CD1713"/>
    <w:rsid w:val="00CD1778"/>
    <w:rsid w:val="00CD1781"/>
    <w:rsid w:val="00CD19E5"/>
    <w:rsid w:val="00CD1A22"/>
    <w:rsid w:val="00CD1A2E"/>
    <w:rsid w:val="00CD1A53"/>
    <w:rsid w:val="00CD1B1F"/>
    <w:rsid w:val="00CD1BBC"/>
    <w:rsid w:val="00CD1C01"/>
    <w:rsid w:val="00CD1C8B"/>
    <w:rsid w:val="00CD1D21"/>
    <w:rsid w:val="00CD1D2C"/>
    <w:rsid w:val="00CD1D59"/>
    <w:rsid w:val="00CD1D91"/>
    <w:rsid w:val="00CD1DA7"/>
    <w:rsid w:val="00CD1DFF"/>
    <w:rsid w:val="00CD1F6B"/>
    <w:rsid w:val="00CD2028"/>
    <w:rsid w:val="00CD2087"/>
    <w:rsid w:val="00CD20C8"/>
    <w:rsid w:val="00CD216B"/>
    <w:rsid w:val="00CD22A3"/>
    <w:rsid w:val="00CD2310"/>
    <w:rsid w:val="00CD23D6"/>
    <w:rsid w:val="00CD2431"/>
    <w:rsid w:val="00CD24E3"/>
    <w:rsid w:val="00CD24EA"/>
    <w:rsid w:val="00CD2508"/>
    <w:rsid w:val="00CD264E"/>
    <w:rsid w:val="00CD266F"/>
    <w:rsid w:val="00CD2778"/>
    <w:rsid w:val="00CD27AF"/>
    <w:rsid w:val="00CD2889"/>
    <w:rsid w:val="00CD29DA"/>
    <w:rsid w:val="00CD2AAC"/>
    <w:rsid w:val="00CD2B1C"/>
    <w:rsid w:val="00CD2CA4"/>
    <w:rsid w:val="00CD2D23"/>
    <w:rsid w:val="00CD2D83"/>
    <w:rsid w:val="00CD2D92"/>
    <w:rsid w:val="00CD2DCF"/>
    <w:rsid w:val="00CD2ED4"/>
    <w:rsid w:val="00CD2F02"/>
    <w:rsid w:val="00CD2F71"/>
    <w:rsid w:val="00CD2FB2"/>
    <w:rsid w:val="00CD324B"/>
    <w:rsid w:val="00CD3256"/>
    <w:rsid w:val="00CD3275"/>
    <w:rsid w:val="00CD3301"/>
    <w:rsid w:val="00CD3321"/>
    <w:rsid w:val="00CD3387"/>
    <w:rsid w:val="00CD3417"/>
    <w:rsid w:val="00CD34A1"/>
    <w:rsid w:val="00CD355C"/>
    <w:rsid w:val="00CD355F"/>
    <w:rsid w:val="00CD3579"/>
    <w:rsid w:val="00CD35DF"/>
    <w:rsid w:val="00CD3784"/>
    <w:rsid w:val="00CD37E5"/>
    <w:rsid w:val="00CD3823"/>
    <w:rsid w:val="00CD3852"/>
    <w:rsid w:val="00CD38B5"/>
    <w:rsid w:val="00CD38FA"/>
    <w:rsid w:val="00CD398D"/>
    <w:rsid w:val="00CD3990"/>
    <w:rsid w:val="00CD3ACF"/>
    <w:rsid w:val="00CD3BA7"/>
    <w:rsid w:val="00CD3BEA"/>
    <w:rsid w:val="00CD3C25"/>
    <w:rsid w:val="00CD3C3A"/>
    <w:rsid w:val="00CD3CA5"/>
    <w:rsid w:val="00CD3CFF"/>
    <w:rsid w:val="00CD3D22"/>
    <w:rsid w:val="00CD3DBE"/>
    <w:rsid w:val="00CD3DEF"/>
    <w:rsid w:val="00CD3E37"/>
    <w:rsid w:val="00CD3E70"/>
    <w:rsid w:val="00CD3E8D"/>
    <w:rsid w:val="00CD3E8E"/>
    <w:rsid w:val="00CD3EB3"/>
    <w:rsid w:val="00CD3ED4"/>
    <w:rsid w:val="00CD3EEF"/>
    <w:rsid w:val="00CD3F31"/>
    <w:rsid w:val="00CD3F4E"/>
    <w:rsid w:val="00CD4039"/>
    <w:rsid w:val="00CD404B"/>
    <w:rsid w:val="00CD413C"/>
    <w:rsid w:val="00CD4204"/>
    <w:rsid w:val="00CD42C1"/>
    <w:rsid w:val="00CD431A"/>
    <w:rsid w:val="00CD4361"/>
    <w:rsid w:val="00CD4398"/>
    <w:rsid w:val="00CD4517"/>
    <w:rsid w:val="00CD4568"/>
    <w:rsid w:val="00CD468C"/>
    <w:rsid w:val="00CD4695"/>
    <w:rsid w:val="00CD4708"/>
    <w:rsid w:val="00CD4726"/>
    <w:rsid w:val="00CD478A"/>
    <w:rsid w:val="00CD4805"/>
    <w:rsid w:val="00CD483C"/>
    <w:rsid w:val="00CD48B0"/>
    <w:rsid w:val="00CD48B3"/>
    <w:rsid w:val="00CD4921"/>
    <w:rsid w:val="00CD493A"/>
    <w:rsid w:val="00CD499F"/>
    <w:rsid w:val="00CD4ABD"/>
    <w:rsid w:val="00CD4C1A"/>
    <w:rsid w:val="00CD4C4E"/>
    <w:rsid w:val="00CD4C88"/>
    <w:rsid w:val="00CD4C9F"/>
    <w:rsid w:val="00CD4CC9"/>
    <w:rsid w:val="00CD4DBF"/>
    <w:rsid w:val="00CD4DC1"/>
    <w:rsid w:val="00CD4E27"/>
    <w:rsid w:val="00CD4E28"/>
    <w:rsid w:val="00CD4FA5"/>
    <w:rsid w:val="00CD4FB1"/>
    <w:rsid w:val="00CD500D"/>
    <w:rsid w:val="00CD50B4"/>
    <w:rsid w:val="00CD5191"/>
    <w:rsid w:val="00CD5257"/>
    <w:rsid w:val="00CD5301"/>
    <w:rsid w:val="00CD533C"/>
    <w:rsid w:val="00CD54A2"/>
    <w:rsid w:val="00CD54B6"/>
    <w:rsid w:val="00CD54C1"/>
    <w:rsid w:val="00CD553B"/>
    <w:rsid w:val="00CD556C"/>
    <w:rsid w:val="00CD55DA"/>
    <w:rsid w:val="00CD55FE"/>
    <w:rsid w:val="00CD5600"/>
    <w:rsid w:val="00CD5625"/>
    <w:rsid w:val="00CD5655"/>
    <w:rsid w:val="00CD56A2"/>
    <w:rsid w:val="00CD56AC"/>
    <w:rsid w:val="00CD5934"/>
    <w:rsid w:val="00CD598D"/>
    <w:rsid w:val="00CD59D4"/>
    <w:rsid w:val="00CD5C56"/>
    <w:rsid w:val="00CD5C8A"/>
    <w:rsid w:val="00CD5D85"/>
    <w:rsid w:val="00CD5E3E"/>
    <w:rsid w:val="00CD5E7A"/>
    <w:rsid w:val="00CD5ECC"/>
    <w:rsid w:val="00CD604B"/>
    <w:rsid w:val="00CD619C"/>
    <w:rsid w:val="00CD61D5"/>
    <w:rsid w:val="00CD6403"/>
    <w:rsid w:val="00CD645E"/>
    <w:rsid w:val="00CD64BE"/>
    <w:rsid w:val="00CD6500"/>
    <w:rsid w:val="00CD6514"/>
    <w:rsid w:val="00CD657A"/>
    <w:rsid w:val="00CD66CC"/>
    <w:rsid w:val="00CD6725"/>
    <w:rsid w:val="00CD679E"/>
    <w:rsid w:val="00CD67C7"/>
    <w:rsid w:val="00CD68E5"/>
    <w:rsid w:val="00CD68FE"/>
    <w:rsid w:val="00CD69D7"/>
    <w:rsid w:val="00CD6AD7"/>
    <w:rsid w:val="00CD6B59"/>
    <w:rsid w:val="00CD6C85"/>
    <w:rsid w:val="00CD6CA5"/>
    <w:rsid w:val="00CD6D0B"/>
    <w:rsid w:val="00CD6E0E"/>
    <w:rsid w:val="00CD6E3F"/>
    <w:rsid w:val="00CD6EAC"/>
    <w:rsid w:val="00CD6ED7"/>
    <w:rsid w:val="00CD6EF0"/>
    <w:rsid w:val="00CD6F51"/>
    <w:rsid w:val="00CD6FFB"/>
    <w:rsid w:val="00CD703A"/>
    <w:rsid w:val="00CD70C4"/>
    <w:rsid w:val="00CD70CB"/>
    <w:rsid w:val="00CD7208"/>
    <w:rsid w:val="00CD721D"/>
    <w:rsid w:val="00CD7288"/>
    <w:rsid w:val="00CD72A4"/>
    <w:rsid w:val="00CD7345"/>
    <w:rsid w:val="00CD741C"/>
    <w:rsid w:val="00CD741D"/>
    <w:rsid w:val="00CD74C3"/>
    <w:rsid w:val="00CD74D0"/>
    <w:rsid w:val="00CD7513"/>
    <w:rsid w:val="00CD7600"/>
    <w:rsid w:val="00CD7728"/>
    <w:rsid w:val="00CD781C"/>
    <w:rsid w:val="00CD783F"/>
    <w:rsid w:val="00CD7863"/>
    <w:rsid w:val="00CD7928"/>
    <w:rsid w:val="00CD792B"/>
    <w:rsid w:val="00CD794D"/>
    <w:rsid w:val="00CD7953"/>
    <w:rsid w:val="00CD79EE"/>
    <w:rsid w:val="00CD7A53"/>
    <w:rsid w:val="00CD7C5A"/>
    <w:rsid w:val="00CD7CDD"/>
    <w:rsid w:val="00CD7CEA"/>
    <w:rsid w:val="00CD7D36"/>
    <w:rsid w:val="00CD7EA6"/>
    <w:rsid w:val="00CD7EC0"/>
    <w:rsid w:val="00CD7F73"/>
    <w:rsid w:val="00CD9449"/>
    <w:rsid w:val="00CE0045"/>
    <w:rsid w:val="00CE005E"/>
    <w:rsid w:val="00CE00D5"/>
    <w:rsid w:val="00CE0194"/>
    <w:rsid w:val="00CE021C"/>
    <w:rsid w:val="00CE02BD"/>
    <w:rsid w:val="00CE040B"/>
    <w:rsid w:val="00CE0436"/>
    <w:rsid w:val="00CE045C"/>
    <w:rsid w:val="00CE04F2"/>
    <w:rsid w:val="00CE05D5"/>
    <w:rsid w:val="00CE063C"/>
    <w:rsid w:val="00CE0649"/>
    <w:rsid w:val="00CE0940"/>
    <w:rsid w:val="00CE0A86"/>
    <w:rsid w:val="00CE0ABE"/>
    <w:rsid w:val="00CE0AF5"/>
    <w:rsid w:val="00CE0B06"/>
    <w:rsid w:val="00CE0B29"/>
    <w:rsid w:val="00CE0D57"/>
    <w:rsid w:val="00CE0DC2"/>
    <w:rsid w:val="00CE0DC4"/>
    <w:rsid w:val="00CE0F68"/>
    <w:rsid w:val="00CE0FEC"/>
    <w:rsid w:val="00CE109D"/>
    <w:rsid w:val="00CE1136"/>
    <w:rsid w:val="00CE11A0"/>
    <w:rsid w:val="00CE11D9"/>
    <w:rsid w:val="00CE1286"/>
    <w:rsid w:val="00CE1297"/>
    <w:rsid w:val="00CE12C8"/>
    <w:rsid w:val="00CE134B"/>
    <w:rsid w:val="00CE139B"/>
    <w:rsid w:val="00CE1439"/>
    <w:rsid w:val="00CE14BD"/>
    <w:rsid w:val="00CE14BE"/>
    <w:rsid w:val="00CE155C"/>
    <w:rsid w:val="00CE15B1"/>
    <w:rsid w:val="00CE1641"/>
    <w:rsid w:val="00CE16BA"/>
    <w:rsid w:val="00CE174D"/>
    <w:rsid w:val="00CE178F"/>
    <w:rsid w:val="00CE17AE"/>
    <w:rsid w:val="00CE17CD"/>
    <w:rsid w:val="00CE17EC"/>
    <w:rsid w:val="00CE1863"/>
    <w:rsid w:val="00CE18C0"/>
    <w:rsid w:val="00CE190E"/>
    <w:rsid w:val="00CE1962"/>
    <w:rsid w:val="00CE1981"/>
    <w:rsid w:val="00CE19B5"/>
    <w:rsid w:val="00CE19CA"/>
    <w:rsid w:val="00CE1A0E"/>
    <w:rsid w:val="00CE1A1E"/>
    <w:rsid w:val="00CE1A5D"/>
    <w:rsid w:val="00CE1A64"/>
    <w:rsid w:val="00CE1AAE"/>
    <w:rsid w:val="00CE1B11"/>
    <w:rsid w:val="00CE1B64"/>
    <w:rsid w:val="00CE1BCB"/>
    <w:rsid w:val="00CE1BDB"/>
    <w:rsid w:val="00CE1C13"/>
    <w:rsid w:val="00CE1C93"/>
    <w:rsid w:val="00CE1CC1"/>
    <w:rsid w:val="00CE1CC3"/>
    <w:rsid w:val="00CE1D41"/>
    <w:rsid w:val="00CE1D81"/>
    <w:rsid w:val="00CE1DB5"/>
    <w:rsid w:val="00CE1E60"/>
    <w:rsid w:val="00CE1F20"/>
    <w:rsid w:val="00CE1F29"/>
    <w:rsid w:val="00CE1F53"/>
    <w:rsid w:val="00CE1F98"/>
    <w:rsid w:val="00CE1F9A"/>
    <w:rsid w:val="00CE1F9C"/>
    <w:rsid w:val="00CE1FB7"/>
    <w:rsid w:val="00CE1FC4"/>
    <w:rsid w:val="00CE1FEC"/>
    <w:rsid w:val="00CE1FFE"/>
    <w:rsid w:val="00CE2034"/>
    <w:rsid w:val="00CE2089"/>
    <w:rsid w:val="00CE208B"/>
    <w:rsid w:val="00CE20D0"/>
    <w:rsid w:val="00CE20FD"/>
    <w:rsid w:val="00CE2106"/>
    <w:rsid w:val="00CE2274"/>
    <w:rsid w:val="00CE229B"/>
    <w:rsid w:val="00CE23A3"/>
    <w:rsid w:val="00CE23B6"/>
    <w:rsid w:val="00CE24B1"/>
    <w:rsid w:val="00CE24CB"/>
    <w:rsid w:val="00CE252D"/>
    <w:rsid w:val="00CE2632"/>
    <w:rsid w:val="00CE2637"/>
    <w:rsid w:val="00CE2658"/>
    <w:rsid w:val="00CE2752"/>
    <w:rsid w:val="00CE27B3"/>
    <w:rsid w:val="00CE27FE"/>
    <w:rsid w:val="00CE2803"/>
    <w:rsid w:val="00CE287C"/>
    <w:rsid w:val="00CE28E9"/>
    <w:rsid w:val="00CE29BB"/>
    <w:rsid w:val="00CE29CC"/>
    <w:rsid w:val="00CE2A12"/>
    <w:rsid w:val="00CE2AED"/>
    <w:rsid w:val="00CE2B2F"/>
    <w:rsid w:val="00CE2B3F"/>
    <w:rsid w:val="00CE2B51"/>
    <w:rsid w:val="00CE2BAA"/>
    <w:rsid w:val="00CE2BEE"/>
    <w:rsid w:val="00CE2BF0"/>
    <w:rsid w:val="00CE2C3F"/>
    <w:rsid w:val="00CE2D40"/>
    <w:rsid w:val="00CE2D7C"/>
    <w:rsid w:val="00CE2D83"/>
    <w:rsid w:val="00CE2D89"/>
    <w:rsid w:val="00CE2E45"/>
    <w:rsid w:val="00CE2EE5"/>
    <w:rsid w:val="00CE2F07"/>
    <w:rsid w:val="00CE2F29"/>
    <w:rsid w:val="00CE2F32"/>
    <w:rsid w:val="00CE2F3A"/>
    <w:rsid w:val="00CE2FA0"/>
    <w:rsid w:val="00CE2FF1"/>
    <w:rsid w:val="00CE308E"/>
    <w:rsid w:val="00CE3105"/>
    <w:rsid w:val="00CE31E4"/>
    <w:rsid w:val="00CE3224"/>
    <w:rsid w:val="00CE329A"/>
    <w:rsid w:val="00CE3329"/>
    <w:rsid w:val="00CE33F3"/>
    <w:rsid w:val="00CE3445"/>
    <w:rsid w:val="00CE366F"/>
    <w:rsid w:val="00CE36D9"/>
    <w:rsid w:val="00CE36E1"/>
    <w:rsid w:val="00CE370D"/>
    <w:rsid w:val="00CE3739"/>
    <w:rsid w:val="00CE381F"/>
    <w:rsid w:val="00CE3824"/>
    <w:rsid w:val="00CE3A25"/>
    <w:rsid w:val="00CE3A7D"/>
    <w:rsid w:val="00CE3D1A"/>
    <w:rsid w:val="00CE3D6C"/>
    <w:rsid w:val="00CE3E22"/>
    <w:rsid w:val="00CE3E79"/>
    <w:rsid w:val="00CE3E98"/>
    <w:rsid w:val="00CE3EA3"/>
    <w:rsid w:val="00CE3EB4"/>
    <w:rsid w:val="00CE3F99"/>
    <w:rsid w:val="00CE4085"/>
    <w:rsid w:val="00CE4104"/>
    <w:rsid w:val="00CE4217"/>
    <w:rsid w:val="00CE422C"/>
    <w:rsid w:val="00CE429E"/>
    <w:rsid w:val="00CE4391"/>
    <w:rsid w:val="00CE4396"/>
    <w:rsid w:val="00CE43BC"/>
    <w:rsid w:val="00CE43E3"/>
    <w:rsid w:val="00CE441A"/>
    <w:rsid w:val="00CE442B"/>
    <w:rsid w:val="00CE4503"/>
    <w:rsid w:val="00CE4544"/>
    <w:rsid w:val="00CE45BD"/>
    <w:rsid w:val="00CE46E2"/>
    <w:rsid w:val="00CE46E4"/>
    <w:rsid w:val="00CE471C"/>
    <w:rsid w:val="00CE4816"/>
    <w:rsid w:val="00CE4820"/>
    <w:rsid w:val="00CE4824"/>
    <w:rsid w:val="00CE48A4"/>
    <w:rsid w:val="00CE48A6"/>
    <w:rsid w:val="00CE48AE"/>
    <w:rsid w:val="00CE499E"/>
    <w:rsid w:val="00CE49AE"/>
    <w:rsid w:val="00CE49F2"/>
    <w:rsid w:val="00CE4ACD"/>
    <w:rsid w:val="00CE4B3F"/>
    <w:rsid w:val="00CE4BD6"/>
    <w:rsid w:val="00CE4BE8"/>
    <w:rsid w:val="00CE4CA1"/>
    <w:rsid w:val="00CE4D02"/>
    <w:rsid w:val="00CE4D38"/>
    <w:rsid w:val="00CE4D96"/>
    <w:rsid w:val="00CE4E22"/>
    <w:rsid w:val="00CE4E60"/>
    <w:rsid w:val="00CE4EC2"/>
    <w:rsid w:val="00CE4ED2"/>
    <w:rsid w:val="00CE4EE5"/>
    <w:rsid w:val="00CE4EF7"/>
    <w:rsid w:val="00CE4F03"/>
    <w:rsid w:val="00CE4F4B"/>
    <w:rsid w:val="00CE4F57"/>
    <w:rsid w:val="00CE5036"/>
    <w:rsid w:val="00CE5091"/>
    <w:rsid w:val="00CE519B"/>
    <w:rsid w:val="00CE51D2"/>
    <w:rsid w:val="00CE51FA"/>
    <w:rsid w:val="00CE5264"/>
    <w:rsid w:val="00CE53A6"/>
    <w:rsid w:val="00CE53C6"/>
    <w:rsid w:val="00CE543A"/>
    <w:rsid w:val="00CE54F8"/>
    <w:rsid w:val="00CE5601"/>
    <w:rsid w:val="00CE5674"/>
    <w:rsid w:val="00CE570C"/>
    <w:rsid w:val="00CE572D"/>
    <w:rsid w:val="00CE5780"/>
    <w:rsid w:val="00CE595E"/>
    <w:rsid w:val="00CE5A0D"/>
    <w:rsid w:val="00CE5A86"/>
    <w:rsid w:val="00CE5A9D"/>
    <w:rsid w:val="00CE5ACD"/>
    <w:rsid w:val="00CE5B47"/>
    <w:rsid w:val="00CE5B69"/>
    <w:rsid w:val="00CE5B83"/>
    <w:rsid w:val="00CE5BD4"/>
    <w:rsid w:val="00CE5BE9"/>
    <w:rsid w:val="00CE5C86"/>
    <w:rsid w:val="00CE5CA8"/>
    <w:rsid w:val="00CE5D14"/>
    <w:rsid w:val="00CE5D53"/>
    <w:rsid w:val="00CE5D92"/>
    <w:rsid w:val="00CE5DDB"/>
    <w:rsid w:val="00CE60CC"/>
    <w:rsid w:val="00CE60D0"/>
    <w:rsid w:val="00CE6109"/>
    <w:rsid w:val="00CE6223"/>
    <w:rsid w:val="00CE6230"/>
    <w:rsid w:val="00CE6250"/>
    <w:rsid w:val="00CE6333"/>
    <w:rsid w:val="00CE6337"/>
    <w:rsid w:val="00CE638F"/>
    <w:rsid w:val="00CE63CF"/>
    <w:rsid w:val="00CE647B"/>
    <w:rsid w:val="00CE6488"/>
    <w:rsid w:val="00CE64F1"/>
    <w:rsid w:val="00CE650B"/>
    <w:rsid w:val="00CE65A0"/>
    <w:rsid w:val="00CE6608"/>
    <w:rsid w:val="00CE6702"/>
    <w:rsid w:val="00CE670C"/>
    <w:rsid w:val="00CE67D8"/>
    <w:rsid w:val="00CE67E1"/>
    <w:rsid w:val="00CE681E"/>
    <w:rsid w:val="00CE6866"/>
    <w:rsid w:val="00CE68AA"/>
    <w:rsid w:val="00CE6907"/>
    <w:rsid w:val="00CE69E0"/>
    <w:rsid w:val="00CE6A12"/>
    <w:rsid w:val="00CE6A2C"/>
    <w:rsid w:val="00CE6A82"/>
    <w:rsid w:val="00CE6AB9"/>
    <w:rsid w:val="00CE6AD6"/>
    <w:rsid w:val="00CE6B36"/>
    <w:rsid w:val="00CE6B4A"/>
    <w:rsid w:val="00CE6C3A"/>
    <w:rsid w:val="00CE6C47"/>
    <w:rsid w:val="00CE6CAC"/>
    <w:rsid w:val="00CE6CCD"/>
    <w:rsid w:val="00CE6D1E"/>
    <w:rsid w:val="00CE6DC1"/>
    <w:rsid w:val="00CE6EA7"/>
    <w:rsid w:val="00CE6EAD"/>
    <w:rsid w:val="00CE6F83"/>
    <w:rsid w:val="00CE6F9A"/>
    <w:rsid w:val="00CE6F9B"/>
    <w:rsid w:val="00CE6FB7"/>
    <w:rsid w:val="00CE6FBA"/>
    <w:rsid w:val="00CE6FE3"/>
    <w:rsid w:val="00CE703B"/>
    <w:rsid w:val="00CE707D"/>
    <w:rsid w:val="00CE70DB"/>
    <w:rsid w:val="00CE710A"/>
    <w:rsid w:val="00CE7154"/>
    <w:rsid w:val="00CE71F2"/>
    <w:rsid w:val="00CE7201"/>
    <w:rsid w:val="00CE722B"/>
    <w:rsid w:val="00CE72C6"/>
    <w:rsid w:val="00CE7324"/>
    <w:rsid w:val="00CE7357"/>
    <w:rsid w:val="00CE74C5"/>
    <w:rsid w:val="00CE7729"/>
    <w:rsid w:val="00CE77D9"/>
    <w:rsid w:val="00CE7847"/>
    <w:rsid w:val="00CE7875"/>
    <w:rsid w:val="00CE78A2"/>
    <w:rsid w:val="00CE78E5"/>
    <w:rsid w:val="00CE79AE"/>
    <w:rsid w:val="00CE79C1"/>
    <w:rsid w:val="00CE7A1C"/>
    <w:rsid w:val="00CE7A6A"/>
    <w:rsid w:val="00CE7ACD"/>
    <w:rsid w:val="00CE7BA3"/>
    <w:rsid w:val="00CE7BB1"/>
    <w:rsid w:val="00CE7C0E"/>
    <w:rsid w:val="00CE7C33"/>
    <w:rsid w:val="00CE7D13"/>
    <w:rsid w:val="00CE7D30"/>
    <w:rsid w:val="00CE7E39"/>
    <w:rsid w:val="00CE7E63"/>
    <w:rsid w:val="00CE7ED4"/>
    <w:rsid w:val="00CE7F4A"/>
    <w:rsid w:val="00CE7FBC"/>
    <w:rsid w:val="00CE7FBE"/>
    <w:rsid w:val="00CEF79D"/>
    <w:rsid w:val="00CF0059"/>
    <w:rsid w:val="00CF0148"/>
    <w:rsid w:val="00CF0205"/>
    <w:rsid w:val="00CF0275"/>
    <w:rsid w:val="00CF02FA"/>
    <w:rsid w:val="00CF031B"/>
    <w:rsid w:val="00CF0357"/>
    <w:rsid w:val="00CF03D5"/>
    <w:rsid w:val="00CF03E1"/>
    <w:rsid w:val="00CF043E"/>
    <w:rsid w:val="00CF046D"/>
    <w:rsid w:val="00CF04FC"/>
    <w:rsid w:val="00CF0546"/>
    <w:rsid w:val="00CF05A3"/>
    <w:rsid w:val="00CF05AE"/>
    <w:rsid w:val="00CF05B4"/>
    <w:rsid w:val="00CF05DD"/>
    <w:rsid w:val="00CF06E3"/>
    <w:rsid w:val="00CF074A"/>
    <w:rsid w:val="00CF078B"/>
    <w:rsid w:val="00CF07B0"/>
    <w:rsid w:val="00CF0867"/>
    <w:rsid w:val="00CF08E6"/>
    <w:rsid w:val="00CF0904"/>
    <w:rsid w:val="00CF0969"/>
    <w:rsid w:val="00CF0A3C"/>
    <w:rsid w:val="00CF0A8B"/>
    <w:rsid w:val="00CF0A91"/>
    <w:rsid w:val="00CF0B8A"/>
    <w:rsid w:val="00CF0C85"/>
    <w:rsid w:val="00CF0D55"/>
    <w:rsid w:val="00CF0DE9"/>
    <w:rsid w:val="00CF0E03"/>
    <w:rsid w:val="00CF0E44"/>
    <w:rsid w:val="00CF0F12"/>
    <w:rsid w:val="00CF0F1B"/>
    <w:rsid w:val="00CF0F40"/>
    <w:rsid w:val="00CF0FB3"/>
    <w:rsid w:val="00CF0FF0"/>
    <w:rsid w:val="00CF1033"/>
    <w:rsid w:val="00CF1058"/>
    <w:rsid w:val="00CF105E"/>
    <w:rsid w:val="00CF10B8"/>
    <w:rsid w:val="00CF11FF"/>
    <w:rsid w:val="00CF1203"/>
    <w:rsid w:val="00CF12AA"/>
    <w:rsid w:val="00CF1318"/>
    <w:rsid w:val="00CF134D"/>
    <w:rsid w:val="00CF1372"/>
    <w:rsid w:val="00CF138F"/>
    <w:rsid w:val="00CF13C5"/>
    <w:rsid w:val="00CF1485"/>
    <w:rsid w:val="00CF14AB"/>
    <w:rsid w:val="00CF14D0"/>
    <w:rsid w:val="00CF1647"/>
    <w:rsid w:val="00CF16A0"/>
    <w:rsid w:val="00CF173E"/>
    <w:rsid w:val="00CF1745"/>
    <w:rsid w:val="00CF178E"/>
    <w:rsid w:val="00CF17B4"/>
    <w:rsid w:val="00CF17B6"/>
    <w:rsid w:val="00CF18A2"/>
    <w:rsid w:val="00CF18F8"/>
    <w:rsid w:val="00CF1909"/>
    <w:rsid w:val="00CF1A1B"/>
    <w:rsid w:val="00CF1A2D"/>
    <w:rsid w:val="00CF1A93"/>
    <w:rsid w:val="00CF1B1C"/>
    <w:rsid w:val="00CF1B45"/>
    <w:rsid w:val="00CF1C43"/>
    <w:rsid w:val="00CF1D2F"/>
    <w:rsid w:val="00CF1D72"/>
    <w:rsid w:val="00CF1D81"/>
    <w:rsid w:val="00CF1E2E"/>
    <w:rsid w:val="00CF1EAF"/>
    <w:rsid w:val="00CF1F24"/>
    <w:rsid w:val="00CF1F99"/>
    <w:rsid w:val="00CF1FA2"/>
    <w:rsid w:val="00CF2002"/>
    <w:rsid w:val="00CF208D"/>
    <w:rsid w:val="00CF2124"/>
    <w:rsid w:val="00CF2175"/>
    <w:rsid w:val="00CF21EA"/>
    <w:rsid w:val="00CF2297"/>
    <w:rsid w:val="00CF2352"/>
    <w:rsid w:val="00CF2394"/>
    <w:rsid w:val="00CF23A3"/>
    <w:rsid w:val="00CF241C"/>
    <w:rsid w:val="00CF2434"/>
    <w:rsid w:val="00CF24D0"/>
    <w:rsid w:val="00CF2545"/>
    <w:rsid w:val="00CF255F"/>
    <w:rsid w:val="00CF256E"/>
    <w:rsid w:val="00CF25B9"/>
    <w:rsid w:val="00CF25D8"/>
    <w:rsid w:val="00CF260A"/>
    <w:rsid w:val="00CF260D"/>
    <w:rsid w:val="00CF2643"/>
    <w:rsid w:val="00CF26A9"/>
    <w:rsid w:val="00CF26E0"/>
    <w:rsid w:val="00CF2704"/>
    <w:rsid w:val="00CF2792"/>
    <w:rsid w:val="00CF27E8"/>
    <w:rsid w:val="00CF28E0"/>
    <w:rsid w:val="00CF28F9"/>
    <w:rsid w:val="00CF2947"/>
    <w:rsid w:val="00CF2961"/>
    <w:rsid w:val="00CF29B5"/>
    <w:rsid w:val="00CF29FF"/>
    <w:rsid w:val="00CF2A1B"/>
    <w:rsid w:val="00CF2A70"/>
    <w:rsid w:val="00CF2AE7"/>
    <w:rsid w:val="00CF2B35"/>
    <w:rsid w:val="00CF2B84"/>
    <w:rsid w:val="00CF2CD6"/>
    <w:rsid w:val="00CF2D89"/>
    <w:rsid w:val="00CF2DFB"/>
    <w:rsid w:val="00CF2E4C"/>
    <w:rsid w:val="00CF2E6D"/>
    <w:rsid w:val="00CF2E77"/>
    <w:rsid w:val="00CF2E90"/>
    <w:rsid w:val="00CF2EA6"/>
    <w:rsid w:val="00CF2EA8"/>
    <w:rsid w:val="00CF2EAA"/>
    <w:rsid w:val="00CF2EB6"/>
    <w:rsid w:val="00CF2EEE"/>
    <w:rsid w:val="00CF2FE8"/>
    <w:rsid w:val="00CF303A"/>
    <w:rsid w:val="00CF3084"/>
    <w:rsid w:val="00CF311B"/>
    <w:rsid w:val="00CF319E"/>
    <w:rsid w:val="00CF31D4"/>
    <w:rsid w:val="00CF3238"/>
    <w:rsid w:val="00CF330A"/>
    <w:rsid w:val="00CF330C"/>
    <w:rsid w:val="00CF3436"/>
    <w:rsid w:val="00CF3453"/>
    <w:rsid w:val="00CF34C1"/>
    <w:rsid w:val="00CF34D0"/>
    <w:rsid w:val="00CF34F2"/>
    <w:rsid w:val="00CF35FB"/>
    <w:rsid w:val="00CF3696"/>
    <w:rsid w:val="00CF36DC"/>
    <w:rsid w:val="00CF3709"/>
    <w:rsid w:val="00CF3750"/>
    <w:rsid w:val="00CF37D8"/>
    <w:rsid w:val="00CF389C"/>
    <w:rsid w:val="00CF38CF"/>
    <w:rsid w:val="00CF38E7"/>
    <w:rsid w:val="00CF392D"/>
    <w:rsid w:val="00CF39D3"/>
    <w:rsid w:val="00CF39E7"/>
    <w:rsid w:val="00CF39F1"/>
    <w:rsid w:val="00CF3A16"/>
    <w:rsid w:val="00CF3A1E"/>
    <w:rsid w:val="00CF3A26"/>
    <w:rsid w:val="00CF3A53"/>
    <w:rsid w:val="00CF3A6F"/>
    <w:rsid w:val="00CF3C61"/>
    <w:rsid w:val="00CF3D9A"/>
    <w:rsid w:val="00CF3EA2"/>
    <w:rsid w:val="00CF3EC1"/>
    <w:rsid w:val="00CF3EE2"/>
    <w:rsid w:val="00CF3F68"/>
    <w:rsid w:val="00CF40F4"/>
    <w:rsid w:val="00CF414E"/>
    <w:rsid w:val="00CF415E"/>
    <w:rsid w:val="00CF41E5"/>
    <w:rsid w:val="00CF4305"/>
    <w:rsid w:val="00CF43DC"/>
    <w:rsid w:val="00CF44B2"/>
    <w:rsid w:val="00CF458D"/>
    <w:rsid w:val="00CF4663"/>
    <w:rsid w:val="00CF473B"/>
    <w:rsid w:val="00CF475B"/>
    <w:rsid w:val="00CF4817"/>
    <w:rsid w:val="00CF482A"/>
    <w:rsid w:val="00CF485F"/>
    <w:rsid w:val="00CF494D"/>
    <w:rsid w:val="00CF4968"/>
    <w:rsid w:val="00CF49AC"/>
    <w:rsid w:val="00CF49EE"/>
    <w:rsid w:val="00CF4A38"/>
    <w:rsid w:val="00CF4AE5"/>
    <w:rsid w:val="00CF4B27"/>
    <w:rsid w:val="00CF4BCF"/>
    <w:rsid w:val="00CF4BF4"/>
    <w:rsid w:val="00CF4C14"/>
    <w:rsid w:val="00CF4C86"/>
    <w:rsid w:val="00CF4D2F"/>
    <w:rsid w:val="00CF4DCB"/>
    <w:rsid w:val="00CF4DDE"/>
    <w:rsid w:val="00CF4DFB"/>
    <w:rsid w:val="00CF4ECE"/>
    <w:rsid w:val="00CF4F3B"/>
    <w:rsid w:val="00CF4FF1"/>
    <w:rsid w:val="00CF50DF"/>
    <w:rsid w:val="00CF5122"/>
    <w:rsid w:val="00CF52B0"/>
    <w:rsid w:val="00CF5382"/>
    <w:rsid w:val="00CF538A"/>
    <w:rsid w:val="00CF53C4"/>
    <w:rsid w:val="00CF5434"/>
    <w:rsid w:val="00CF5443"/>
    <w:rsid w:val="00CF5512"/>
    <w:rsid w:val="00CF5538"/>
    <w:rsid w:val="00CF555E"/>
    <w:rsid w:val="00CF55D6"/>
    <w:rsid w:val="00CF568E"/>
    <w:rsid w:val="00CF5739"/>
    <w:rsid w:val="00CF5781"/>
    <w:rsid w:val="00CF58AD"/>
    <w:rsid w:val="00CF58C3"/>
    <w:rsid w:val="00CF5A04"/>
    <w:rsid w:val="00CF5A43"/>
    <w:rsid w:val="00CF5A9C"/>
    <w:rsid w:val="00CF5B53"/>
    <w:rsid w:val="00CF5C49"/>
    <w:rsid w:val="00CF5C5B"/>
    <w:rsid w:val="00CF5D74"/>
    <w:rsid w:val="00CF5E1E"/>
    <w:rsid w:val="00CF5F30"/>
    <w:rsid w:val="00CF5F88"/>
    <w:rsid w:val="00CF6022"/>
    <w:rsid w:val="00CF6055"/>
    <w:rsid w:val="00CF609F"/>
    <w:rsid w:val="00CF6111"/>
    <w:rsid w:val="00CF6177"/>
    <w:rsid w:val="00CF6286"/>
    <w:rsid w:val="00CF62B6"/>
    <w:rsid w:val="00CF6303"/>
    <w:rsid w:val="00CF6306"/>
    <w:rsid w:val="00CF6327"/>
    <w:rsid w:val="00CF6361"/>
    <w:rsid w:val="00CF643D"/>
    <w:rsid w:val="00CF645C"/>
    <w:rsid w:val="00CF6461"/>
    <w:rsid w:val="00CF652C"/>
    <w:rsid w:val="00CF6579"/>
    <w:rsid w:val="00CF6583"/>
    <w:rsid w:val="00CF6588"/>
    <w:rsid w:val="00CF65AB"/>
    <w:rsid w:val="00CF65BD"/>
    <w:rsid w:val="00CF65EB"/>
    <w:rsid w:val="00CF67E7"/>
    <w:rsid w:val="00CF6837"/>
    <w:rsid w:val="00CF6877"/>
    <w:rsid w:val="00CF68E0"/>
    <w:rsid w:val="00CF6956"/>
    <w:rsid w:val="00CF69A7"/>
    <w:rsid w:val="00CF6A13"/>
    <w:rsid w:val="00CF6AA3"/>
    <w:rsid w:val="00CF6B43"/>
    <w:rsid w:val="00CF6B98"/>
    <w:rsid w:val="00CF6C85"/>
    <w:rsid w:val="00CF6CD7"/>
    <w:rsid w:val="00CF6D0D"/>
    <w:rsid w:val="00CF6D20"/>
    <w:rsid w:val="00CF6D47"/>
    <w:rsid w:val="00CF6D4C"/>
    <w:rsid w:val="00CF6E09"/>
    <w:rsid w:val="00CF6EC9"/>
    <w:rsid w:val="00CF6EE8"/>
    <w:rsid w:val="00CF6F59"/>
    <w:rsid w:val="00CF6F76"/>
    <w:rsid w:val="00CF6FA7"/>
    <w:rsid w:val="00CF70AA"/>
    <w:rsid w:val="00CF7111"/>
    <w:rsid w:val="00CF7136"/>
    <w:rsid w:val="00CF71A6"/>
    <w:rsid w:val="00CF720C"/>
    <w:rsid w:val="00CF7396"/>
    <w:rsid w:val="00CF73CD"/>
    <w:rsid w:val="00CF73CF"/>
    <w:rsid w:val="00CF742C"/>
    <w:rsid w:val="00CF754C"/>
    <w:rsid w:val="00CF7560"/>
    <w:rsid w:val="00CF75A0"/>
    <w:rsid w:val="00CF75C4"/>
    <w:rsid w:val="00CF76D8"/>
    <w:rsid w:val="00CF776D"/>
    <w:rsid w:val="00CF77AA"/>
    <w:rsid w:val="00CF77B4"/>
    <w:rsid w:val="00CF77D4"/>
    <w:rsid w:val="00CF77E3"/>
    <w:rsid w:val="00CF7852"/>
    <w:rsid w:val="00CF790A"/>
    <w:rsid w:val="00CF793B"/>
    <w:rsid w:val="00CF79E8"/>
    <w:rsid w:val="00CF7A18"/>
    <w:rsid w:val="00CF7A62"/>
    <w:rsid w:val="00CF7B65"/>
    <w:rsid w:val="00CF7CEB"/>
    <w:rsid w:val="00CF7D53"/>
    <w:rsid w:val="00CF7DE7"/>
    <w:rsid w:val="00CF7F7A"/>
    <w:rsid w:val="00CF7F85"/>
    <w:rsid w:val="00CF7FD8"/>
    <w:rsid w:val="00D0006E"/>
    <w:rsid w:val="00D0007B"/>
    <w:rsid w:val="00D00096"/>
    <w:rsid w:val="00D000CE"/>
    <w:rsid w:val="00D00114"/>
    <w:rsid w:val="00D001C5"/>
    <w:rsid w:val="00D003F7"/>
    <w:rsid w:val="00D00427"/>
    <w:rsid w:val="00D004F6"/>
    <w:rsid w:val="00D00504"/>
    <w:rsid w:val="00D00600"/>
    <w:rsid w:val="00D006FD"/>
    <w:rsid w:val="00D007AD"/>
    <w:rsid w:val="00D007C5"/>
    <w:rsid w:val="00D0085F"/>
    <w:rsid w:val="00D008E1"/>
    <w:rsid w:val="00D008E2"/>
    <w:rsid w:val="00D008E3"/>
    <w:rsid w:val="00D00901"/>
    <w:rsid w:val="00D0092C"/>
    <w:rsid w:val="00D009A6"/>
    <w:rsid w:val="00D009E0"/>
    <w:rsid w:val="00D009F3"/>
    <w:rsid w:val="00D00A29"/>
    <w:rsid w:val="00D00A33"/>
    <w:rsid w:val="00D00B3A"/>
    <w:rsid w:val="00D00C1F"/>
    <w:rsid w:val="00D00C91"/>
    <w:rsid w:val="00D00CC4"/>
    <w:rsid w:val="00D00D42"/>
    <w:rsid w:val="00D00D77"/>
    <w:rsid w:val="00D00DF9"/>
    <w:rsid w:val="00D00E66"/>
    <w:rsid w:val="00D00E7F"/>
    <w:rsid w:val="00D00E83"/>
    <w:rsid w:val="00D00E8B"/>
    <w:rsid w:val="00D00EA0"/>
    <w:rsid w:val="00D00EAF"/>
    <w:rsid w:val="00D00FB8"/>
    <w:rsid w:val="00D010E1"/>
    <w:rsid w:val="00D01155"/>
    <w:rsid w:val="00D011B4"/>
    <w:rsid w:val="00D01260"/>
    <w:rsid w:val="00D012DD"/>
    <w:rsid w:val="00D012E5"/>
    <w:rsid w:val="00D012E7"/>
    <w:rsid w:val="00D013B8"/>
    <w:rsid w:val="00D013D1"/>
    <w:rsid w:val="00D013F7"/>
    <w:rsid w:val="00D01493"/>
    <w:rsid w:val="00D014F2"/>
    <w:rsid w:val="00D0167C"/>
    <w:rsid w:val="00D016D3"/>
    <w:rsid w:val="00D016DE"/>
    <w:rsid w:val="00D01706"/>
    <w:rsid w:val="00D0176E"/>
    <w:rsid w:val="00D01776"/>
    <w:rsid w:val="00D017C7"/>
    <w:rsid w:val="00D017EF"/>
    <w:rsid w:val="00D0186E"/>
    <w:rsid w:val="00D01880"/>
    <w:rsid w:val="00D0197B"/>
    <w:rsid w:val="00D01989"/>
    <w:rsid w:val="00D019BF"/>
    <w:rsid w:val="00D019C6"/>
    <w:rsid w:val="00D01A48"/>
    <w:rsid w:val="00D01A84"/>
    <w:rsid w:val="00D01B40"/>
    <w:rsid w:val="00D01B4E"/>
    <w:rsid w:val="00D01BF0"/>
    <w:rsid w:val="00D01BFF"/>
    <w:rsid w:val="00D01C10"/>
    <w:rsid w:val="00D01C88"/>
    <w:rsid w:val="00D01D54"/>
    <w:rsid w:val="00D01E91"/>
    <w:rsid w:val="00D01ED1"/>
    <w:rsid w:val="00D01EDB"/>
    <w:rsid w:val="00D01F53"/>
    <w:rsid w:val="00D01FEC"/>
    <w:rsid w:val="00D0203D"/>
    <w:rsid w:val="00D02041"/>
    <w:rsid w:val="00D020E2"/>
    <w:rsid w:val="00D02122"/>
    <w:rsid w:val="00D021A4"/>
    <w:rsid w:val="00D021D1"/>
    <w:rsid w:val="00D022E2"/>
    <w:rsid w:val="00D0231D"/>
    <w:rsid w:val="00D02338"/>
    <w:rsid w:val="00D02396"/>
    <w:rsid w:val="00D023C5"/>
    <w:rsid w:val="00D024AF"/>
    <w:rsid w:val="00D0253A"/>
    <w:rsid w:val="00D0263C"/>
    <w:rsid w:val="00D026C0"/>
    <w:rsid w:val="00D026D1"/>
    <w:rsid w:val="00D026E8"/>
    <w:rsid w:val="00D02725"/>
    <w:rsid w:val="00D02816"/>
    <w:rsid w:val="00D02939"/>
    <w:rsid w:val="00D02B72"/>
    <w:rsid w:val="00D02BC0"/>
    <w:rsid w:val="00D02BDD"/>
    <w:rsid w:val="00D02D00"/>
    <w:rsid w:val="00D02E0D"/>
    <w:rsid w:val="00D02E64"/>
    <w:rsid w:val="00D02E72"/>
    <w:rsid w:val="00D02FDD"/>
    <w:rsid w:val="00D03013"/>
    <w:rsid w:val="00D03072"/>
    <w:rsid w:val="00D03078"/>
    <w:rsid w:val="00D0309B"/>
    <w:rsid w:val="00D03160"/>
    <w:rsid w:val="00D031A1"/>
    <w:rsid w:val="00D0320B"/>
    <w:rsid w:val="00D032CD"/>
    <w:rsid w:val="00D032E0"/>
    <w:rsid w:val="00D03380"/>
    <w:rsid w:val="00D033F4"/>
    <w:rsid w:val="00D0351E"/>
    <w:rsid w:val="00D0352D"/>
    <w:rsid w:val="00D03546"/>
    <w:rsid w:val="00D0358F"/>
    <w:rsid w:val="00D035A3"/>
    <w:rsid w:val="00D03623"/>
    <w:rsid w:val="00D03636"/>
    <w:rsid w:val="00D03637"/>
    <w:rsid w:val="00D03648"/>
    <w:rsid w:val="00D036B3"/>
    <w:rsid w:val="00D036CC"/>
    <w:rsid w:val="00D0376D"/>
    <w:rsid w:val="00D03773"/>
    <w:rsid w:val="00D03785"/>
    <w:rsid w:val="00D037E3"/>
    <w:rsid w:val="00D0380C"/>
    <w:rsid w:val="00D038BB"/>
    <w:rsid w:val="00D038C3"/>
    <w:rsid w:val="00D038FA"/>
    <w:rsid w:val="00D03948"/>
    <w:rsid w:val="00D039A2"/>
    <w:rsid w:val="00D039B1"/>
    <w:rsid w:val="00D039B8"/>
    <w:rsid w:val="00D03C20"/>
    <w:rsid w:val="00D03C3B"/>
    <w:rsid w:val="00D03C71"/>
    <w:rsid w:val="00D03C84"/>
    <w:rsid w:val="00D03C85"/>
    <w:rsid w:val="00D03D20"/>
    <w:rsid w:val="00D03DC7"/>
    <w:rsid w:val="00D03DCC"/>
    <w:rsid w:val="00D03E05"/>
    <w:rsid w:val="00D03E54"/>
    <w:rsid w:val="00D03EE5"/>
    <w:rsid w:val="00D03EF7"/>
    <w:rsid w:val="00D04078"/>
    <w:rsid w:val="00D04150"/>
    <w:rsid w:val="00D041B1"/>
    <w:rsid w:val="00D0420B"/>
    <w:rsid w:val="00D04233"/>
    <w:rsid w:val="00D04237"/>
    <w:rsid w:val="00D042A0"/>
    <w:rsid w:val="00D0431E"/>
    <w:rsid w:val="00D04327"/>
    <w:rsid w:val="00D04359"/>
    <w:rsid w:val="00D04456"/>
    <w:rsid w:val="00D04492"/>
    <w:rsid w:val="00D0457A"/>
    <w:rsid w:val="00D0461B"/>
    <w:rsid w:val="00D0467A"/>
    <w:rsid w:val="00D04698"/>
    <w:rsid w:val="00D046A8"/>
    <w:rsid w:val="00D04973"/>
    <w:rsid w:val="00D049CF"/>
    <w:rsid w:val="00D049D2"/>
    <w:rsid w:val="00D04AD1"/>
    <w:rsid w:val="00D04ADE"/>
    <w:rsid w:val="00D04B0B"/>
    <w:rsid w:val="00D04B6C"/>
    <w:rsid w:val="00D04B7D"/>
    <w:rsid w:val="00D04CA3"/>
    <w:rsid w:val="00D04EA3"/>
    <w:rsid w:val="00D04F52"/>
    <w:rsid w:val="00D04FFD"/>
    <w:rsid w:val="00D050B8"/>
    <w:rsid w:val="00D050E3"/>
    <w:rsid w:val="00D05251"/>
    <w:rsid w:val="00D052A4"/>
    <w:rsid w:val="00D052CD"/>
    <w:rsid w:val="00D052FD"/>
    <w:rsid w:val="00D05324"/>
    <w:rsid w:val="00D053F9"/>
    <w:rsid w:val="00D0544D"/>
    <w:rsid w:val="00D05475"/>
    <w:rsid w:val="00D054D7"/>
    <w:rsid w:val="00D05518"/>
    <w:rsid w:val="00D0552C"/>
    <w:rsid w:val="00D05578"/>
    <w:rsid w:val="00D05603"/>
    <w:rsid w:val="00D056C9"/>
    <w:rsid w:val="00D05779"/>
    <w:rsid w:val="00D057C8"/>
    <w:rsid w:val="00D057FA"/>
    <w:rsid w:val="00D058BE"/>
    <w:rsid w:val="00D058CA"/>
    <w:rsid w:val="00D05956"/>
    <w:rsid w:val="00D0595B"/>
    <w:rsid w:val="00D05A61"/>
    <w:rsid w:val="00D05B07"/>
    <w:rsid w:val="00D05B4E"/>
    <w:rsid w:val="00D05BFE"/>
    <w:rsid w:val="00D05C2C"/>
    <w:rsid w:val="00D05C4E"/>
    <w:rsid w:val="00D05D0C"/>
    <w:rsid w:val="00D05D1D"/>
    <w:rsid w:val="00D05D33"/>
    <w:rsid w:val="00D05D74"/>
    <w:rsid w:val="00D05D86"/>
    <w:rsid w:val="00D05EA1"/>
    <w:rsid w:val="00D05EA9"/>
    <w:rsid w:val="00D05ECF"/>
    <w:rsid w:val="00D05ED4"/>
    <w:rsid w:val="00D0608A"/>
    <w:rsid w:val="00D0608E"/>
    <w:rsid w:val="00D0610F"/>
    <w:rsid w:val="00D06146"/>
    <w:rsid w:val="00D061A7"/>
    <w:rsid w:val="00D0625E"/>
    <w:rsid w:val="00D06272"/>
    <w:rsid w:val="00D0628F"/>
    <w:rsid w:val="00D062DB"/>
    <w:rsid w:val="00D0635A"/>
    <w:rsid w:val="00D06370"/>
    <w:rsid w:val="00D063BC"/>
    <w:rsid w:val="00D064C6"/>
    <w:rsid w:val="00D065AE"/>
    <w:rsid w:val="00D066A2"/>
    <w:rsid w:val="00D0673F"/>
    <w:rsid w:val="00D06740"/>
    <w:rsid w:val="00D06843"/>
    <w:rsid w:val="00D068BF"/>
    <w:rsid w:val="00D06942"/>
    <w:rsid w:val="00D06A0C"/>
    <w:rsid w:val="00D06AEA"/>
    <w:rsid w:val="00D06B14"/>
    <w:rsid w:val="00D06B1D"/>
    <w:rsid w:val="00D06B25"/>
    <w:rsid w:val="00D06BD1"/>
    <w:rsid w:val="00D06BEB"/>
    <w:rsid w:val="00D06C98"/>
    <w:rsid w:val="00D06CC1"/>
    <w:rsid w:val="00D06CE8"/>
    <w:rsid w:val="00D06DAF"/>
    <w:rsid w:val="00D06E22"/>
    <w:rsid w:val="00D06E4A"/>
    <w:rsid w:val="00D06ECB"/>
    <w:rsid w:val="00D06FFA"/>
    <w:rsid w:val="00D0700F"/>
    <w:rsid w:val="00D070A7"/>
    <w:rsid w:val="00D07193"/>
    <w:rsid w:val="00D07304"/>
    <w:rsid w:val="00D07346"/>
    <w:rsid w:val="00D073F5"/>
    <w:rsid w:val="00D0740A"/>
    <w:rsid w:val="00D07476"/>
    <w:rsid w:val="00D07496"/>
    <w:rsid w:val="00D07502"/>
    <w:rsid w:val="00D0757C"/>
    <w:rsid w:val="00D07597"/>
    <w:rsid w:val="00D07601"/>
    <w:rsid w:val="00D0766E"/>
    <w:rsid w:val="00D07704"/>
    <w:rsid w:val="00D077D5"/>
    <w:rsid w:val="00D077D7"/>
    <w:rsid w:val="00D077DA"/>
    <w:rsid w:val="00D07951"/>
    <w:rsid w:val="00D0795F"/>
    <w:rsid w:val="00D079E1"/>
    <w:rsid w:val="00D079FF"/>
    <w:rsid w:val="00D07A04"/>
    <w:rsid w:val="00D07A29"/>
    <w:rsid w:val="00D07ADE"/>
    <w:rsid w:val="00D07B1B"/>
    <w:rsid w:val="00D07B8B"/>
    <w:rsid w:val="00D07BE8"/>
    <w:rsid w:val="00D07C7F"/>
    <w:rsid w:val="00D07CE7"/>
    <w:rsid w:val="00D07D7F"/>
    <w:rsid w:val="00D07DA6"/>
    <w:rsid w:val="00D07DF2"/>
    <w:rsid w:val="00D07E17"/>
    <w:rsid w:val="00D07EAA"/>
    <w:rsid w:val="00D07ED1"/>
    <w:rsid w:val="00D07EDA"/>
    <w:rsid w:val="00D07EFC"/>
    <w:rsid w:val="00D07F08"/>
    <w:rsid w:val="00D10017"/>
    <w:rsid w:val="00D1001B"/>
    <w:rsid w:val="00D1001F"/>
    <w:rsid w:val="00D10066"/>
    <w:rsid w:val="00D1009E"/>
    <w:rsid w:val="00D100E9"/>
    <w:rsid w:val="00D1014D"/>
    <w:rsid w:val="00D101A9"/>
    <w:rsid w:val="00D101BB"/>
    <w:rsid w:val="00D1023E"/>
    <w:rsid w:val="00D10299"/>
    <w:rsid w:val="00D102B3"/>
    <w:rsid w:val="00D102E5"/>
    <w:rsid w:val="00D103B6"/>
    <w:rsid w:val="00D103CC"/>
    <w:rsid w:val="00D103DF"/>
    <w:rsid w:val="00D10406"/>
    <w:rsid w:val="00D10423"/>
    <w:rsid w:val="00D10462"/>
    <w:rsid w:val="00D104D6"/>
    <w:rsid w:val="00D10504"/>
    <w:rsid w:val="00D105B9"/>
    <w:rsid w:val="00D105FA"/>
    <w:rsid w:val="00D1064E"/>
    <w:rsid w:val="00D1084E"/>
    <w:rsid w:val="00D108A2"/>
    <w:rsid w:val="00D108D2"/>
    <w:rsid w:val="00D108F8"/>
    <w:rsid w:val="00D10A4E"/>
    <w:rsid w:val="00D10ABF"/>
    <w:rsid w:val="00D10ADA"/>
    <w:rsid w:val="00D10B09"/>
    <w:rsid w:val="00D10B89"/>
    <w:rsid w:val="00D10B8B"/>
    <w:rsid w:val="00D10C8F"/>
    <w:rsid w:val="00D10CAB"/>
    <w:rsid w:val="00D10CD6"/>
    <w:rsid w:val="00D10D69"/>
    <w:rsid w:val="00D10F0B"/>
    <w:rsid w:val="00D10FC9"/>
    <w:rsid w:val="00D11030"/>
    <w:rsid w:val="00D11060"/>
    <w:rsid w:val="00D11094"/>
    <w:rsid w:val="00D11121"/>
    <w:rsid w:val="00D11194"/>
    <w:rsid w:val="00D111A9"/>
    <w:rsid w:val="00D111B5"/>
    <w:rsid w:val="00D11218"/>
    <w:rsid w:val="00D11229"/>
    <w:rsid w:val="00D11253"/>
    <w:rsid w:val="00D1126A"/>
    <w:rsid w:val="00D11468"/>
    <w:rsid w:val="00D114B3"/>
    <w:rsid w:val="00D115B2"/>
    <w:rsid w:val="00D115C9"/>
    <w:rsid w:val="00D115FA"/>
    <w:rsid w:val="00D11705"/>
    <w:rsid w:val="00D11750"/>
    <w:rsid w:val="00D11788"/>
    <w:rsid w:val="00D117A9"/>
    <w:rsid w:val="00D118DF"/>
    <w:rsid w:val="00D11901"/>
    <w:rsid w:val="00D11929"/>
    <w:rsid w:val="00D11974"/>
    <w:rsid w:val="00D119E3"/>
    <w:rsid w:val="00D119F7"/>
    <w:rsid w:val="00D11A75"/>
    <w:rsid w:val="00D11AB8"/>
    <w:rsid w:val="00D11AE5"/>
    <w:rsid w:val="00D11B24"/>
    <w:rsid w:val="00D11B9C"/>
    <w:rsid w:val="00D11C3A"/>
    <w:rsid w:val="00D11C45"/>
    <w:rsid w:val="00D11ECC"/>
    <w:rsid w:val="00D11EE7"/>
    <w:rsid w:val="00D1209D"/>
    <w:rsid w:val="00D120A1"/>
    <w:rsid w:val="00D120AE"/>
    <w:rsid w:val="00D120E2"/>
    <w:rsid w:val="00D120ED"/>
    <w:rsid w:val="00D12113"/>
    <w:rsid w:val="00D121C2"/>
    <w:rsid w:val="00D121CA"/>
    <w:rsid w:val="00D121F6"/>
    <w:rsid w:val="00D122E6"/>
    <w:rsid w:val="00D1230E"/>
    <w:rsid w:val="00D12362"/>
    <w:rsid w:val="00D123D9"/>
    <w:rsid w:val="00D124F1"/>
    <w:rsid w:val="00D1253D"/>
    <w:rsid w:val="00D125CC"/>
    <w:rsid w:val="00D1265E"/>
    <w:rsid w:val="00D126A4"/>
    <w:rsid w:val="00D127D2"/>
    <w:rsid w:val="00D127E9"/>
    <w:rsid w:val="00D127EA"/>
    <w:rsid w:val="00D12938"/>
    <w:rsid w:val="00D12955"/>
    <w:rsid w:val="00D1296A"/>
    <w:rsid w:val="00D12991"/>
    <w:rsid w:val="00D12A0D"/>
    <w:rsid w:val="00D12A2E"/>
    <w:rsid w:val="00D12A98"/>
    <w:rsid w:val="00D12AB0"/>
    <w:rsid w:val="00D12B70"/>
    <w:rsid w:val="00D12BA3"/>
    <w:rsid w:val="00D12C5B"/>
    <w:rsid w:val="00D12C7C"/>
    <w:rsid w:val="00D12D13"/>
    <w:rsid w:val="00D12DFE"/>
    <w:rsid w:val="00D12E07"/>
    <w:rsid w:val="00D12E5C"/>
    <w:rsid w:val="00D12F5D"/>
    <w:rsid w:val="00D13031"/>
    <w:rsid w:val="00D13192"/>
    <w:rsid w:val="00D132DB"/>
    <w:rsid w:val="00D132F5"/>
    <w:rsid w:val="00D1332D"/>
    <w:rsid w:val="00D1337E"/>
    <w:rsid w:val="00D1339B"/>
    <w:rsid w:val="00D133B1"/>
    <w:rsid w:val="00D133DA"/>
    <w:rsid w:val="00D13471"/>
    <w:rsid w:val="00D134D6"/>
    <w:rsid w:val="00D13681"/>
    <w:rsid w:val="00D136A3"/>
    <w:rsid w:val="00D13743"/>
    <w:rsid w:val="00D137C2"/>
    <w:rsid w:val="00D137FF"/>
    <w:rsid w:val="00D138DE"/>
    <w:rsid w:val="00D139DB"/>
    <w:rsid w:val="00D13A10"/>
    <w:rsid w:val="00D13CA6"/>
    <w:rsid w:val="00D13D2A"/>
    <w:rsid w:val="00D13E0C"/>
    <w:rsid w:val="00D13E19"/>
    <w:rsid w:val="00D13E29"/>
    <w:rsid w:val="00D13E71"/>
    <w:rsid w:val="00D13EFE"/>
    <w:rsid w:val="00D13F37"/>
    <w:rsid w:val="00D13F8C"/>
    <w:rsid w:val="00D140E5"/>
    <w:rsid w:val="00D140FC"/>
    <w:rsid w:val="00D1410F"/>
    <w:rsid w:val="00D14222"/>
    <w:rsid w:val="00D14231"/>
    <w:rsid w:val="00D142BE"/>
    <w:rsid w:val="00D14408"/>
    <w:rsid w:val="00D14572"/>
    <w:rsid w:val="00D1457D"/>
    <w:rsid w:val="00D145DB"/>
    <w:rsid w:val="00D14656"/>
    <w:rsid w:val="00D14664"/>
    <w:rsid w:val="00D14949"/>
    <w:rsid w:val="00D149C9"/>
    <w:rsid w:val="00D14A34"/>
    <w:rsid w:val="00D14AF3"/>
    <w:rsid w:val="00D14C4D"/>
    <w:rsid w:val="00D14C5A"/>
    <w:rsid w:val="00D14C72"/>
    <w:rsid w:val="00D14C8A"/>
    <w:rsid w:val="00D14CB4"/>
    <w:rsid w:val="00D14CEE"/>
    <w:rsid w:val="00D14CF0"/>
    <w:rsid w:val="00D14D27"/>
    <w:rsid w:val="00D14D6C"/>
    <w:rsid w:val="00D14D80"/>
    <w:rsid w:val="00D14E2F"/>
    <w:rsid w:val="00D14E76"/>
    <w:rsid w:val="00D14F3E"/>
    <w:rsid w:val="00D15020"/>
    <w:rsid w:val="00D15021"/>
    <w:rsid w:val="00D15088"/>
    <w:rsid w:val="00D1508F"/>
    <w:rsid w:val="00D150A4"/>
    <w:rsid w:val="00D150D6"/>
    <w:rsid w:val="00D150EC"/>
    <w:rsid w:val="00D15161"/>
    <w:rsid w:val="00D151FA"/>
    <w:rsid w:val="00D15204"/>
    <w:rsid w:val="00D15355"/>
    <w:rsid w:val="00D153AD"/>
    <w:rsid w:val="00D1548C"/>
    <w:rsid w:val="00D154D5"/>
    <w:rsid w:val="00D15547"/>
    <w:rsid w:val="00D1564D"/>
    <w:rsid w:val="00D15667"/>
    <w:rsid w:val="00D15690"/>
    <w:rsid w:val="00D156B2"/>
    <w:rsid w:val="00D156C1"/>
    <w:rsid w:val="00D15726"/>
    <w:rsid w:val="00D1578A"/>
    <w:rsid w:val="00D157DF"/>
    <w:rsid w:val="00D15945"/>
    <w:rsid w:val="00D1599D"/>
    <w:rsid w:val="00D15A08"/>
    <w:rsid w:val="00D15AEE"/>
    <w:rsid w:val="00D15AF3"/>
    <w:rsid w:val="00D15B5B"/>
    <w:rsid w:val="00D15BF8"/>
    <w:rsid w:val="00D15C3C"/>
    <w:rsid w:val="00D15C7C"/>
    <w:rsid w:val="00D15EB9"/>
    <w:rsid w:val="00D15F4D"/>
    <w:rsid w:val="00D15FC5"/>
    <w:rsid w:val="00D15FCF"/>
    <w:rsid w:val="00D16033"/>
    <w:rsid w:val="00D16069"/>
    <w:rsid w:val="00D16081"/>
    <w:rsid w:val="00D160E0"/>
    <w:rsid w:val="00D16115"/>
    <w:rsid w:val="00D16189"/>
    <w:rsid w:val="00D16229"/>
    <w:rsid w:val="00D1628F"/>
    <w:rsid w:val="00D16390"/>
    <w:rsid w:val="00D16414"/>
    <w:rsid w:val="00D16444"/>
    <w:rsid w:val="00D164E9"/>
    <w:rsid w:val="00D16539"/>
    <w:rsid w:val="00D16644"/>
    <w:rsid w:val="00D1667F"/>
    <w:rsid w:val="00D166E5"/>
    <w:rsid w:val="00D1676A"/>
    <w:rsid w:val="00D16863"/>
    <w:rsid w:val="00D168A2"/>
    <w:rsid w:val="00D16938"/>
    <w:rsid w:val="00D1695B"/>
    <w:rsid w:val="00D169E5"/>
    <w:rsid w:val="00D16A71"/>
    <w:rsid w:val="00D16B55"/>
    <w:rsid w:val="00D16B89"/>
    <w:rsid w:val="00D16BB2"/>
    <w:rsid w:val="00D16C67"/>
    <w:rsid w:val="00D16D92"/>
    <w:rsid w:val="00D16DE7"/>
    <w:rsid w:val="00D16DF1"/>
    <w:rsid w:val="00D16F20"/>
    <w:rsid w:val="00D16F2F"/>
    <w:rsid w:val="00D16FAF"/>
    <w:rsid w:val="00D17065"/>
    <w:rsid w:val="00D17137"/>
    <w:rsid w:val="00D1727F"/>
    <w:rsid w:val="00D1730A"/>
    <w:rsid w:val="00D17338"/>
    <w:rsid w:val="00D173B4"/>
    <w:rsid w:val="00D173B5"/>
    <w:rsid w:val="00D17402"/>
    <w:rsid w:val="00D174F0"/>
    <w:rsid w:val="00D17616"/>
    <w:rsid w:val="00D177B4"/>
    <w:rsid w:val="00D177E3"/>
    <w:rsid w:val="00D178A9"/>
    <w:rsid w:val="00D178AC"/>
    <w:rsid w:val="00D178AE"/>
    <w:rsid w:val="00D178CF"/>
    <w:rsid w:val="00D178EF"/>
    <w:rsid w:val="00D1796A"/>
    <w:rsid w:val="00D17A37"/>
    <w:rsid w:val="00D17AA0"/>
    <w:rsid w:val="00D17AB4"/>
    <w:rsid w:val="00D17ADE"/>
    <w:rsid w:val="00D17B3D"/>
    <w:rsid w:val="00D17B48"/>
    <w:rsid w:val="00D17B7E"/>
    <w:rsid w:val="00D17B92"/>
    <w:rsid w:val="00D17BCB"/>
    <w:rsid w:val="00D17C54"/>
    <w:rsid w:val="00D17CA1"/>
    <w:rsid w:val="00D17CD9"/>
    <w:rsid w:val="00D17D09"/>
    <w:rsid w:val="00D17D16"/>
    <w:rsid w:val="00D17D40"/>
    <w:rsid w:val="00D17DF1"/>
    <w:rsid w:val="00D17E04"/>
    <w:rsid w:val="00D17EB2"/>
    <w:rsid w:val="00D17EBB"/>
    <w:rsid w:val="00D17FBA"/>
    <w:rsid w:val="00D17FF8"/>
    <w:rsid w:val="00D2009C"/>
    <w:rsid w:val="00D200D4"/>
    <w:rsid w:val="00D2016A"/>
    <w:rsid w:val="00D20226"/>
    <w:rsid w:val="00D2024B"/>
    <w:rsid w:val="00D202E9"/>
    <w:rsid w:val="00D20329"/>
    <w:rsid w:val="00D2046D"/>
    <w:rsid w:val="00D2046F"/>
    <w:rsid w:val="00D20476"/>
    <w:rsid w:val="00D20549"/>
    <w:rsid w:val="00D20649"/>
    <w:rsid w:val="00D20799"/>
    <w:rsid w:val="00D207AE"/>
    <w:rsid w:val="00D2081E"/>
    <w:rsid w:val="00D2087A"/>
    <w:rsid w:val="00D2088B"/>
    <w:rsid w:val="00D2088D"/>
    <w:rsid w:val="00D208C2"/>
    <w:rsid w:val="00D20909"/>
    <w:rsid w:val="00D2097F"/>
    <w:rsid w:val="00D20A5B"/>
    <w:rsid w:val="00D20A81"/>
    <w:rsid w:val="00D20A97"/>
    <w:rsid w:val="00D20B24"/>
    <w:rsid w:val="00D20C5F"/>
    <w:rsid w:val="00D20D11"/>
    <w:rsid w:val="00D20D1A"/>
    <w:rsid w:val="00D20E25"/>
    <w:rsid w:val="00D20E4E"/>
    <w:rsid w:val="00D20E59"/>
    <w:rsid w:val="00D20E5F"/>
    <w:rsid w:val="00D20ED5"/>
    <w:rsid w:val="00D20EE8"/>
    <w:rsid w:val="00D2107F"/>
    <w:rsid w:val="00D210C7"/>
    <w:rsid w:val="00D2112B"/>
    <w:rsid w:val="00D21173"/>
    <w:rsid w:val="00D213B4"/>
    <w:rsid w:val="00D213E5"/>
    <w:rsid w:val="00D21401"/>
    <w:rsid w:val="00D21404"/>
    <w:rsid w:val="00D21456"/>
    <w:rsid w:val="00D2145B"/>
    <w:rsid w:val="00D21478"/>
    <w:rsid w:val="00D214E2"/>
    <w:rsid w:val="00D2152D"/>
    <w:rsid w:val="00D21543"/>
    <w:rsid w:val="00D215B7"/>
    <w:rsid w:val="00D2167E"/>
    <w:rsid w:val="00D216AD"/>
    <w:rsid w:val="00D216E6"/>
    <w:rsid w:val="00D21763"/>
    <w:rsid w:val="00D21788"/>
    <w:rsid w:val="00D21796"/>
    <w:rsid w:val="00D21846"/>
    <w:rsid w:val="00D21865"/>
    <w:rsid w:val="00D21883"/>
    <w:rsid w:val="00D218E5"/>
    <w:rsid w:val="00D219A5"/>
    <w:rsid w:val="00D21AF3"/>
    <w:rsid w:val="00D21B47"/>
    <w:rsid w:val="00D21B50"/>
    <w:rsid w:val="00D21B56"/>
    <w:rsid w:val="00D21BDE"/>
    <w:rsid w:val="00D21C04"/>
    <w:rsid w:val="00D21D45"/>
    <w:rsid w:val="00D21DB4"/>
    <w:rsid w:val="00D21E1F"/>
    <w:rsid w:val="00D21E91"/>
    <w:rsid w:val="00D21EC2"/>
    <w:rsid w:val="00D21EF5"/>
    <w:rsid w:val="00D21F23"/>
    <w:rsid w:val="00D21F2E"/>
    <w:rsid w:val="00D21FBF"/>
    <w:rsid w:val="00D22036"/>
    <w:rsid w:val="00D2204E"/>
    <w:rsid w:val="00D22082"/>
    <w:rsid w:val="00D22097"/>
    <w:rsid w:val="00D221C6"/>
    <w:rsid w:val="00D221DB"/>
    <w:rsid w:val="00D221FC"/>
    <w:rsid w:val="00D222F2"/>
    <w:rsid w:val="00D22367"/>
    <w:rsid w:val="00D22402"/>
    <w:rsid w:val="00D2244F"/>
    <w:rsid w:val="00D224A5"/>
    <w:rsid w:val="00D224FE"/>
    <w:rsid w:val="00D22517"/>
    <w:rsid w:val="00D2257B"/>
    <w:rsid w:val="00D22593"/>
    <w:rsid w:val="00D226A5"/>
    <w:rsid w:val="00D226F7"/>
    <w:rsid w:val="00D22766"/>
    <w:rsid w:val="00D227FF"/>
    <w:rsid w:val="00D22801"/>
    <w:rsid w:val="00D2281D"/>
    <w:rsid w:val="00D22845"/>
    <w:rsid w:val="00D22884"/>
    <w:rsid w:val="00D22956"/>
    <w:rsid w:val="00D22964"/>
    <w:rsid w:val="00D22A33"/>
    <w:rsid w:val="00D22A87"/>
    <w:rsid w:val="00D22AB6"/>
    <w:rsid w:val="00D22B1B"/>
    <w:rsid w:val="00D22B75"/>
    <w:rsid w:val="00D22BD0"/>
    <w:rsid w:val="00D22CB9"/>
    <w:rsid w:val="00D22EB3"/>
    <w:rsid w:val="00D22FAE"/>
    <w:rsid w:val="00D23015"/>
    <w:rsid w:val="00D2302E"/>
    <w:rsid w:val="00D230A3"/>
    <w:rsid w:val="00D231D6"/>
    <w:rsid w:val="00D231F4"/>
    <w:rsid w:val="00D2324B"/>
    <w:rsid w:val="00D232A8"/>
    <w:rsid w:val="00D232DC"/>
    <w:rsid w:val="00D233A0"/>
    <w:rsid w:val="00D233E8"/>
    <w:rsid w:val="00D233F6"/>
    <w:rsid w:val="00D234D3"/>
    <w:rsid w:val="00D234FA"/>
    <w:rsid w:val="00D23512"/>
    <w:rsid w:val="00D235D0"/>
    <w:rsid w:val="00D23612"/>
    <w:rsid w:val="00D236BD"/>
    <w:rsid w:val="00D236D1"/>
    <w:rsid w:val="00D2377B"/>
    <w:rsid w:val="00D237A0"/>
    <w:rsid w:val="00D237E3"/>
    <w:rsid w:val="00D239AE"/>
    <w:rsid w:val="00D239BB"/>
    <w:rsid w:val="00D23A2C"/>
    <w:rsid w:val="00D23A9C"/>
    <w:rsid w:val="00D23AA2"/>
    <w:rsid w:val="00D23AB5"/>
    <w:rsid w:val="00D23AE5"/>
    <w:rsid w:val="00D23B55"/>
    <w:rsid w:val="00D23CB2"/>
    <w:rsid w:val="00D23CD0"/>
    <w:rsid w:val="00D23D6F"/>
    <w:rsid w:val="00D23DA4"/>
    <w:rsid w:val="00D23E45"/>
    <w:rsid w:val="00D23E7B"/>
    <w:rsid w:val="00D23E8E"/>
    <w:rsid w:val="00D23EDD"/>
    <w:rsid w:val="00D23EE8"/>
    <w:rsid w:val="00D23FAA"/>
    <w:rsid w:val="00D240B6"/>
    <w:rsid w:val="00D2410D"/>
    <w:rsid w:val="00D24199"/>
    <w:rsid w:val="00D241AE"/>
    <w:rsid w:val="00D24228"/>
    <w:rsid w:val="00D2428C"/>
    <w:rsid w:val="00D242CC"/>
    <w:rsid w:val="00D24318"/>
    <w:rsid w:val="00D245E4"/>
    <w:rsid w:val="00D24613"/>
    <w:rsid w:val="00D24669"/>
    <w:rsid w:val="00D24689"/>
    <w:rsid w:val="00D246E8"/>
    <w:rsid w:val="00D2471C"/>
    <w:rsid w:val="00D24727"/>
    <w:rsid w:val="00D2479C"/>
    <w:rsid w:val="00D247F2"/>
    <w:rsid w:val="00D24857"/>
    <w:rsid w:val="00D2487C"/>
    <w:rsid w:val="00D248B2"/>
    <w:rsid w:val="00D249EB"/>
    <w:rsid w:val="00D24A10"/>
    <w:rsid w:val="00D24A5F"/>
    <w:rsid w:val="00D24A75"/>
    <w:rsid w:val="00D24B02"/>
    <w:rsid w:val="00D24BDE"/>
    <w:rsid w:val="00D24D6B"/>
    <w:rsid w:val="00D24EB1"/>
    <w:rsid w:val="00D24EB6"/>
    <w:rsid w:val="00D24EF4"/>
    <w:rsid w:val="00D24F83"/>
    <w:rsid w:val="00D24F8A"/>
    <w:rsid w:val="00D24FD8"/>
    <w:rsid w:val="00D25036"/>
    <w:rsid w:val="00D25045"/>
    <w:rsid w:val="00D25061"/>
    <w:rsid w:val="00D25161"/>
    <w:rsid w:val="00D252DC"/>
    <w:rsid w:val="00D253B8"/>
    <w:rsid w:val="00D253C6"/>
    <w:rsid w:val="00D2558A"/>
    <w:rsid w:val="00D25641"/>
    <w:rsid w:val="00D256EA"/>
    <w:rsid w:val="00D2572C"/>
    <w:rsid w:val="00D25798"/>
    <w:rsid w:val="00D2582B"/>
    <w:rsid w:val="00D25830"/>
    <w:rsid w:val="00D258FD"/>
    <w:rsid w:val="00D2596E"/>
    <w:rsid w:val="00D25973"/>
    <w:rsid w:val="00D25978"/>
    <w:rsid w:val="00D25980"/>
    <w:rsid w:val="00D25A2A"/>
    <w:rsid w:val="00D25BAF"/>
    <w:rsid w:val="00D25BFE"/>
    <w:rsid w:val="00D25C51"/>
    <w:rsid w:val="00D25D1C"/>
    <w:rsid w:val="00D25D4A"/>
    <w:rsid w:val="00D25D7A"/>
    <w:rsid w:val="00D25D7F"/>
    <w:rsid w:val="00D25E0C"/>
    <w:rsid w:val="00D25E1C"/>
    <w:rsid w:val="00D25E69"/>
    <w:rsid w:val="00D25E72"/>
    <w:rsid w:val="00D25ECB"/>
    <w:rsid w:val="00D25ECC"/>
    <w:rsid w:val="00D25EDA"/>
    <w:rsid w:val="00D2601C"/>
    <w:rsid w:val="00D26065"/>
    <w:rsid w:val="00D2608E"/>
    <w:rsid w:val="00D26264"/>
    <w:rsid w:val="00D2628A"/>
    <w:rsid w:val="00D2628D"/>
    <w:rsid w:val="00D262E2"/>
    <w:rsid w:val="00D26301"/>
    <w:rsid w:val="00D2631B"/>
    <w:rsid w:val="00D2634B"/>
    <w:rsid w:val="00D2646A"/>
    <w:rsid w:val="00D264A0"/>
    <w:rsid w:val="00D264FA"/>
    <w:rsid w:val="00D26508"/>
    <w:rsid w:val="00D26577"/>
    <w:rsid w:val="00D26580"/>
    <w:rsid w:val="00D265A6"/>
    <w:rsid w:val="00D2662B"/>
    <w:rsid w:val="00D267BF"/>
    <w:rsid w:val="00D268C7"/>
    <w:rsid w:val="00D268CE"/>
    <w:rsid w:val="00D26943"/>
    <w:rsid w:val="00D2696D"/>
    <w:rsid w:val="00D269A5"/>
    <w:rsid w:val="00D26A23"/>
    <w:rsid w:val="00D26B9D"/>
    <w:rsid w:val="00D26C64"/>
    <w:rsid w:val="00D26CBC"/>
    <w:rsid w:val="00D26CF2"/>
    <w:rsid w:val="00D26DDB"/>
    <w:rsid w:val="00D26EA5"/>
    <w:rsid w:val="00D26FF3"/>
    <w:rsid w:val="00D26FFA"/>
    <w:rsid w:val="00D270B3"/>
    <w:rsid w:val="00D27110"/>
    <w:rsid w:val="00D27162"/>
    <w:rsid w:val="00D2718B"/>
    <w:rsid w:val="00D2721D"/>
    <w:rsid w:val="00D272C2"/>
    <w:rsid w:val="00D2731E"/>
    <w:rsid w:val="00D27325"/>
    <w:rsid w:val="00D2737C"/>
    <w:rsid w:val="00D273EF"/>
    <w:rsid w:val="00D274AB"/>
    <w:rsid w:val="00D2750E"/>
    <w:rsid w:val="00D2753B"/>
    <w:rsid w:val="00D275AA"/>
    <w:rsid w:val="00D275F5"/>
    <w:rsid w:val="00D27662"/>
    <w:rsid w:val="00D27682"/>
    <w:rsid w:val="00D27687"/>
    <w:rsid w:val="00D2773A"/>
    <w:rsid w:val="00D27740"/>
    <w:rsid w:val="00D2776B"/>
    <w:rsid w:val="00D27781"/>
    <w:rsid w:val="00D27794"/>
    <w:rsid w:val="00D277B1"/>
    <w:rsid w:val="00D277B2"/>
    <w:rsid w:val="00D2793C"/>
    <w:rsid w:val="00D27963"/>
    <w:rsid w:val="00D2796F"/>
    <w:rsid w:val="00D27A66"/>
    <w:rsid w:val="00D27A87"/>
    <w:rsid w:val="00D27AC0"/>
    <w:rsid w:val="00D27B6B"/>
    <w:rsid w:val="00D27B8F"/>
    <w:rsid w:val="00D27BF4"/>
    <w:rsid w:val="00D27DE3"/>
    <w:rsid w:val="00D27E19"/>
    <w:rsid w:val="00D27E88"/>
    <w:rsid w:val="00D27EC5"/>
    <w:rsid w:val="00D27FBE"/>
    <w:rsid w:val="00D30089"/>
    <w:rsid w:val="00D301B3"/>
    <w:rsid w:val="00D301F2"/>
    <w:rsid w:val="00D301FB"/>
    <w:rsid w:val="00D30239"/>
    <w:rsid w:val="00D30285"/>
    <w:rsid w:val="00D30356"/>
    <w:rsid w:val="00D30419"/>
    <w:rsid w:val="00D30456"/>
    <w:rsid w:val="00D305EA"/>
    <w:rsid w:val="00D30691"/>
    <w:rsid w:val="00D30762"/>
    <w:rsid w:val="00D30819"/>
    <w:rsid w:val="00D3086D"/>
    <w:rsid w:val="00D30887"/>
    <w:rsid w:val="00D308AA"/>
    <w:rsid w:val="00D308EA"/>
    <w:rsid w:val="00D3092D"/>
    <w:rsid w:val="00D30930"/>
    <w:rsid w:val="00D30992"/>
    <w:rsid w:val="00D309BA"/>
    <w:rsid w:val="00D30A00"/>
    <w:rsid w:val="00D30A2A"/>
    <w:rsid w:val="00D30B0A"/>
    <w:rsid w:val="00D30BAA"/>
    <w:rsid w:val="00D30BB8"/>
    <w:rsid w:val="00D30BC5"/>
    <w:rsid w:val="00D30C07"/>
    <w:rsid w:val="00D30C13"/>
    <w:rsid w:val="00D30C3D"/>
    <w:rsid w:val="00D30CA6"/>
    <w:rsid w:val="00D30D64"/>
    <w:rsid w:val="00D30D8F"/>
    <w:rsid w:val="00D30DE5"/>
    <w:rsid w:val="00D30E6F"/>
    <w:rsid w:val="00D30E95"/>
    <w:rsid w:val="00D30EDA"/>
    <w:rsid w:val="00D30F40"/>
    <w:rsid w:val="00D30F58"/>
    <w:rsid w:val="00D30FB0"/>
    <w:rsid w:val="00D30FFF"/>
    <w:rsid w:val="00D31072"/>
    <w:rsid w:val="00D310DA"/>
    <w:rsid w:val="00D310EA"/>
    <w:rsid w:val="00D31101"/>
    <w:rsid w:val="00D31118"/>
    <w:rsid w:val="00D3121E"/>
    <w:rsid w:val="00D31238"/>
    <w:rsid w:val="00D312B6"/>
    <w:rsid w:val="00D312F1"/>
    <w:rsid w:val="00D31311"/>
    <w:rsid w:val="00D313B0"/>
    <w:rsid w:val="00D3145B"/>
    <w:rsid w:val="00D31492"/>
    <w:rsid w:val="00D31496"/>
    <w:rsid w:val="00D314DF"/>
    <w:rsid w:val="00D3152A"/>
    <w:rsid w:val="00D315DE"/>
    <w:rsid w:val="00D315FF"/>
    <w:rsid w:val="00D31607"/>
    <w:rsid w:val="00D31648"/>
    <w:rsid w:val="00D3167F"/>
    <w:rsid w:val="00D31742"/>
    <w:rsid w:val="00D317C1"/>
    <w:rsid w:val="00D317D0"/>
    <w:rsid w:val="00D317F0"/>
    <w:rsid w:val="00D317F5"/>
    <w:rsid w:val="00D317F9"/>
    <w:rsid w:val="00D31876"/>
    <w:rsid w:val="00D318A8"/>
    <w:rsid w:val="00D318EE"/>
    <w:rsid w:val="00D318F1"/>
    <w:rsid w:val="00D319AD"/>
    <w:rsid w:val="00D31A7F"/>
    <w:rsid w:val="00D31B12"/>
    <w:rsid w:val="00D31C72"/>
    <w:rsid w:val="00D31CA1"/>
    <w:rsid w:val="00D31CB8"/>
    <w:rsid w:val="00D31CF7"/>
    <w:rsid w:val="00D31D80"/>
    <w:rsid w:val="00D31DDB"/>
    <w:rsid w:val="00D31E4B"/>
    <w:rsid w:val="00D31E69"/>
    <w:rsid w:val="00D31E83"/>
    <w:rsid w:val="00D31F3E"/>
    <w:rsid w:val="00D31FB2"/>
    <w:rsid w:val="00D32004"/>
    <w:rsid w:val="00D32031"/>
    <w:rsid w:val="00D320DB"/>
    <w:rsid w:val="00D320DF"/>
    <w:rsid w:val="00D3224D"/>
    <w:rsid w:val="00D32282"/>
    <w:rsid w:val="00D32331"/>
    <w:rsid w:val="00D323B2"/>
    <w:rsid w:val="00D3240D"/>
    <w:rsid w:val="00D3253D"/>
    <w:rsid w:val="00D326E2"/>
    <w:rsid w:val="00D32764"/>
    <w:rsid w:val="00D327DE"/>
    <w:rsid w:val="00D32850"/>
    <w:rsid w:val="00D3288D"/>
    <w:rsid w:val="00D328E1"/>
    <w:rsid w:val="00D328E9"/>
    <w:rsid w:val="00D329E3"/>
    <w:rsid w:val="00D32A3E"/>
    <w:rsid w:val="00D32AC2"/>
    <w:rsid w:val="00D32B2C"/>
    <w:rsid w:val="00D32BAA"/>
    <w:rsid w:val="00D32BB2"/>
    <w:rsid w:val="00D32BD9"/>
    <w:rsid w:val="00D32C34"/>
    <w:rsid w:val="00D32C5F"/>
    <w:rsid w:val="00D32C72"/>
    <w:rsid w:val="00D32C8A"/>
    <w:rsid w:val="00D32CEB"/>
    <w:rsid w:val="00D32D8D"/>
    <w:rsid w:val="00D32DA8"/>
    <w:rsid w:val="00D32DEC"/>
    <w:rsid w:val="00D32E1C"/>
    <w:rsid w:val="00D32FA6"/>
    <w:rsid w:val="00D32FC5"/>
    <w:rsid w:val="00D330BE"/>
    <w:rsid w:val="00D33107"/>
    <w:rsid w:val="00D33118"/>
    <w:rsid w:val="00D3313B"/>
    <w:rsid w:val="00D33185"/>
    <w:rsid w:val="00D331AE"/>
    <w:rsid w:val="00D331D1"/>
    <w:rsid w:val="00D33263"/>
    <w:rsid w:val="00D33269"/>
    <w:rsid w:val="00D3326F"/>
    <w:rsid w:val="00D332F4"/>
    <w:rsid w:val="00D33323"/>
    <w:rsid w:val="00D333B1"/>
    <w:rsid w:val="00D334A8"/>
    <w:rsid w:val="00D334AD"/>
    <w:rsid w:val="00D334D7"/>
    <w:rsid w:val="00D33605"/>
    <w:rsid w:val="00D336A3"/>
    <w:rsid w:val="00D33728"/>
    <w:rsid w:val="00D337A5"/>
    <w:rsid w:val="00D337BC"/>
    <w:rsid w:val="00D3387E"/>
    <w:rsid w:val="00D33913"/>
    <w:rsid w:val="00D339E9"/>
    <w:rsid w:val="00D33A27"/>
    <w:rsid w:val="00D33AAD"/>
    <w:rsid w:val="00D33ABC"/>
    <w:rsid w:val="00D33AC4"/>
    <w:rsid w:val="00D33AE2"/>
    <w:rsid w:val="00D33B30"/>
    <w:rsid w:val="00D33B4D"/>
    <w:rsid w:val="00D33C9C"/>
    <w:rsid w:val="00D33D3F"/>
    <w:rsid w:val="00D33DA4"/>
    <w:rsid w:val="00D33DB8"/>
    <w:rsid w:val="00D33E18"/>
    <w:rsid w:val="00D33E92"/>
    <w:rsid w:val="00D33EF3"/>
    <w:rsid w:val="00D33FF3"/>
    <w:rsid w:val="00D341D6"/>
    <w:rsid w:val="00D34227"/>
    <w:rsid w:val="00D342AA"/>
    <w:rsid w:val="00D342C6"/>
    <w:rsid w:val="00D342FC"/>
    <w:rsid w:val="00D34300"/>
    <w:rsid w:val="00D34308"/>
    <w:rsid w:val="00D3433C"/>
    <w:rsid w:val="00D3436F"/>
    <w:rsid w:val="00D3438F"/>
    <w:rsid w:val="00D34399"/>
    <w:rsid w:val="00D343BD"/>
    <w:rsid w:val="00D343F7"/>
    <w:rsid w:val="00D343FF"/>
    <w:rsid w:val="00D3440F"/>
    <w:rsid w:val="00D34472"/>
    <w:rsid w:val="00D344F1"/>
    <w:rsid w:val="00D3457C"/>
    <w:rsid w:val="00D3459F"/>
    <w:rsid w:val="00D345CA"/>
    <w:rsid w:val="00D347C6"/>
    <w:rsid w:val="00D34997"/>
    <w:rsid w:val="00D3499A"/>
    <w:rsid w:val="00D349AF"/>
    <w:rsid w:val="00D349B1"/>
    <w:rsid w:val="00D349EB"/>
    <w:rsid w:val="00D349F1"/>
    <w:rsid w:val="00D34A88"/>
    <w:rsid w:val="00D34A98"/>
    <w:rsid w:val="00D34BE5"/>
    <w:rsid w:val="00D34CAC"/>
    <w:rsid w:val="00D34CC6"/>
    <w:rsid w:val="00D34D15"/>
    <w:rsid w:val="00D34D4F"/>
    <w:rsid w:val="00D34E05"/>
    <w:rsid w:val="00D34EC3"/>
    <w:rsid w:val="00D350FD"/>
    <w:rsid w:val="00D35162"/>
    <w:rsid w:val="00D351C9"/>
    <w:rsid w:val="00D35390"/>
    <w:rsid w:val="00D3552F"/>
    <w:rsid w:val="00D35578"/>
    <w:rsid w:val="00D355DB"/>
    <w:rsid w:val="00D35650"/>
    <w:rsid w:val="00D3566B"/>
    <w:rsid w:val="00D357C9"/>
    <w:rsid w:val="00D357E2"/>
    <w:rsid w:val="00D357FD"/>
    <w:rsid w:val="00D359F4"/>
    <w:rsid w:val="00D35A75"/>
    <w:rsid w:val="00D35AFF"/>
    <w:rsid w:val="00D35B25"/>
    <w:rsid w:val="00D35B8B"/>
    <w:rsid w:val="00D35BC1"/>
    <w:rsid w:val="00D35C7D"/>
    <w:rsid w:val="00D35D59"/>
    <w:rsid w:val="00D35FA0"/>
    <w:rsid w:val="00D35FBB"/>
    <w:rsid w:val="00D36002"/>
    <w:rsid w:val="00D36009"/>
    <w:rsid w:val="00D36122"/>
    <w:rsid w:val="00D3612F"/>
    <w:rsid w:val="00D36162"/>
    <w:rsid w:val="00D36188"/>
    <w:rsid w:val="00D3620C"/>
    <w:rsid w:val="00D3627E"/>
    <w:rsid w:val="00D362E7"/>
    <w:rsid w:val="00D3641F"/>
    <w:rsid w:val="00D36450"/>
    <w:rsid w:val="00D36452"/>
    <w:rsid w:val="00D36499"/>
    <w:rsid w:val="00D364B0"/>
    <w:rsid w:val="00D36526"/>
    <w:rsid w:val="00D36560"/>
    <w:rsid w:val="00D36571"/>
    <w:rsid w:val="00D365DD"/>
    <w:rsid w:val="00D36663"/>
    <w:rsid w:val="00D3683F"/>
    <w:rsid w:val="00D3685E"/>
    <w:rsid w:val="00D36877"/>
    <w:rsid w:val="00D36967"/>
    <w:rsid w:val="00D369EE"/>
    <w:rsid w:val="00D36B3C"/>
    <w:rsid w:val="00D36BFB"/>
    <w:rsid w:val="00D36CC3"/>
    <w:rsid w:val="00D36CDD"/>
    <w:rsid w:val="00D36CEC"/>
    <w:rsid w:val="00D36CF4"/>
    <w:rsid w:val="00D36D46"/>
    <w:rsid w:val="00D36DBF"/>
    <w:rsid w:val="00D36DD4"/>
    <w:rsid w:val="00D3708E"/>
    <w:rsid w:val="00D37101"/>
    <w:rsid w:val="00D3718B"/>
    <w:rsid w:val="00D3727B"/>
    <w:rsid w:val="00D372CC"/>
    <w:rsid w:val="00D372D8"/>
    <w:rsid w:val="00D372EA"/>
    <w:rsid w:val="00D3730E"/>
    <w:rsid w:val="00D3741B"/>
    <w:rsid w:val="00D3741F"/>
    <w:rsid w:val="00D37492"/>
    <w:rsid w:val="00D374DB"/>
    <w:rsid w:val="00D375D3"/>
    <w:rsid w:val="00D37636"/>
    <w:rsid w:val="00D37684"/>
    <w:rsid w:val="00D376FF"/>
    <w:rsid w:val="00D377CA"/>
    <w:rsid w:val="00D3780B"/>
    <w:rsid w:val="00D378B3"/>
    <w:rsid w:val="00D37954"/>
    <w:rsid w:val="00D379FD"/>
    <w:rsid w:val="00D37A8B"/>
    <w:rsid w:val="00D37ABF"/>
    <w:rsid w:val="00D37B88"/>
    <w:rsid w:val="00D37BBB"/>
    <w:rsid w:val="00D37C5A"/>
    <w:rsid w:val="00D37D1F"/>
    <w:rsid w:val="00D37D20"/>
    <w:rsid w:val="00D37E5B"/>
    <w:rsid w:val="00D37F06"/>
    <w:rsid w:val="00D37FC3"/>
    <w:rsid w:val="00D40008"/>
    <w:rsid w:val="00D40037"/>
    <w:rsid w:val="00D4007A"/>
    <w:rsid w:val="00D400C5"/>
    <w:rsid w:val="00D400C9"/>
    <w:rsid w:val="00D400D9"/>
    <w:rsid w:val="00D400FE"/>
    <w:rsid w:val="00D4011D"/>
    <w:rsid w:val="00D40181"/>
    <w:rsid w:val="00D401E1"/>
    <w:rsid w:val="00D4021D"/>
    <w:rsid w:val="00D4030D"/>
    <w:rsid w:val="00D403F0"/>
    <w:rsid w:val="00D40459"/>
    <w:rsid w:val="00D40593"/>
    <w:rsid w:val="00D405AB"/>
    <w:rsid w:val="00D40651"/>
    <w:rsid w:val="00D40677"/>
    <w:rsid w:val="00D406B9"/>
    <w:rsid w:val="00D406D1"/>
    <w:rsid w:val="00D40796"/>
    <w:rsid w:val="00D407E4"/>
    <w:rsid w:val="00D40915"/>
    <w:rsid w:val="00D40956"/>
    <w:rsid w:val="00D40983"/>
    <w:rsid w:val="00D40A64"/>
    <w:rsid w:val="00D40A77"/>
    <w:rsid w:val="00D40AA5"/>
    <w:rsid w:val="00D40AB7"/>
    <w:rsid w:val="00D40B60"/>
    <w:rsid w:val="00D40B8D"/>
    <w:rsid w:val="00D40BCA"/>
    <w:rsid w:val="00D40CA4"/>
    <w:rsid w:val="00D40E3A"/>
    <w:rsid w:val="00D40E81"/>
    <w:rsid w:val="00D4117A"/>
    <w:rsid w:val="00D411A3"/>
    <w:rsid w:val="00D411FE"/>
    <w:rsid w:val="00D4130D"/>
    <w:rsid w:val="00D41322"/>
    <w:rsid w:val="00D4137C"/>
    <w:rsid w:val="00D41474"/>
    <w:rsid w:val="00D41522"/>
    <w:rsid w:val="00D41606"/>
    <w:rsid w:val="00D4168A"/>
    <w:rsid w:val="00D416FD"/>
    <w:rsid w:val="00D4170C"/>
    <w:rsid w:val="00D4172C"/>
    <w:rsid w:val="00D41769"/>
    <w:rsid w:val="00D417C9"/>
    <w:rsid w:val="00D417E5"/>
    <w:rsid w:val="00D41834"/>
    <w:rsid w:val="00D41860"/>
    <w:rsid w:val="00D418EF"/>
    <w:rsid w:val="00D419AC"/>
    <w:rsid w:val="00D419C0"/>
    <w:rsid w:val="00D41A2F"/>
    <w:rsid w:val="00D41A4A"/>
    <w:rsid w:val="00D41AEF"/>
    <w:rsid w:val="00D41C08"/>
    <w:rsid w:val="00D41C36"/>
    <w:rsid w:val="00D41C58"/>
    <w:rsid w:val="00D41CBF"/>
    <w:rsid w:val="00D41D2A"/>
    <w:rsid w:val="00D41F00"/>
    <w:rsid w:val="00D41F04"/>
    <w:rsid w:val="00D41F0A"/>
    <w:rsid w:val="00D41F70"/>
    <w:rsid w:val="00D42003"/>
    <w:rsid w:val="00D42006"/>
    <w:rsid w:val="00D42008"/>
    <w:rsid w:val="00D4202A"/>
    <w:rsid w:val="00D42092"/>
    <w:rsid w:val="00D420F8"/>
    <w:rsid w:val="00D42162"/>
    <w:rsid w:val="00D4219C"/>
    <w:rsid w:val="00D4221C"/>
    <w:rsid w:val="00D42281"/>
    <w:rsid w:val="00D4228F"/>
    <w:rsid w:val="00D422B6"/>
    <w:rsid w:val="00D422C0"/>
    <w:rsid w:val="00D42367"/>
    <w:rsid w:val="00D423C1"/>
    <w:rsid w:val="00D423CB"/>
    <w:rsid w:val="00D42428"/>
    <w:rsid w:val="00D4248A"/>
    <w:rsid w:val="00D42572"/>
    <w:rsid w:val="00D425CC"/>
    <w:rsid w:val="00D42671"/>
    <w:rsid w:val="00D42785"/>
    <w:rsid w:val="00D4280F"/>
    <w:rsid w:val="00D42903"/>
    <w:rsid w:val="00D4290A"/>
    <w:rsid w:val="00D42910"/>
    <w:rsid w:val="00D42923"/>
    <w:rsid w:val="00D42930"/>
    <w:rsid w:val="00D42932"/>
    <w:rsid w:val="00D429E7"/>
    <w:rsid w:val="00D42A6D"/>
    <w:rsid w:val="00D42A7C"/>
    <w:rsid w:val="00D42AC1"/>
    <w:rsid w:val="00D42ACC"/>
    <w:rsid w:val="00D42AF2"/>
    <w:rsid w:val="00D42C0F"/>
    <w:rsid w:val="00D42C49"/>
    <w:rsid w:val="00D42C6E"/>
    <w:rsid w:val="00D42C94"/>
    <w:rsid w:val="00D42CB2"/>
    <w:rsid w:val="00D42D5A"/>
    <w:rsid w:val="00D42DE6"/>
    <w:rsid w:val="00D42E27"/>
    <w:rsid w:val="00D42EB5"/>
    <w:rsid w:val="00D42F27"/>
    <w:rsid w:val="00D42F72"/>
    <w:rsid w:val="00D42F78"/>
    <w:rsid w:val="00D42FDE"/>
    <w:rsid w:val="00D43070"/>
    <w:rsid w:val="00D4308E"/>
    <w:rsid w:val="00D43171"/>
    <w:rsid w:val="00D431D2"/>
    <w:rsid w:val="00D4329C"/>
    <w:rsid w:val="00D43336"/>
    <w:rsid w:val="00D433B2"/>
    <w:rsid w:val="00D433D9"/>
    <w:rsid w:val="00D43405"/>
    <w:rsid w:val="00D434A0"/>
    <w:rsid w:val="00D4350A"/>
    <w:rsid w:val="00D4350F"/>
    <w:rsid w:val="00D4352C"/>
    <w:rsid w:val="00D43538"/>
    <w:rsid w:val="00D436B0"/>
    <w:rsid w:val="00D4371D"/>
    <w:rsid w:val="00D4371F"/>
    <w:rsid w:val="00D4374B"/>
    <w:rsid w:val="00D43751"/>
    <w:rsid w:val="00D437BB"/>
    <w:rsid w:val="00D43863"/>
    <w:rsid w:val="00D438DE"/>
    <w:rsid w:val="00D438FE"/>
    <w:rsid w:val="00D43933"/>
    <w:rsid w:val="00D43A41"/>
    <w:rsid w:val="00D43A62"/>
    <w:rsid w:val="00D43B37"/>
    <w:rsid w:val="00D43B5F"/>
    <w:rsid w:val="00D43C0F"/>
    <w:rsid w:val="00D43CE3"/>
    <w:rsid w:val="00D43D32"/>
    <w:rsid w:val="00D43D66"/>
    <w:rsid w:val="00D43E39"/>
    <w:rsid w:val="00D43E56"/>
    <w:rsid w:val="00D43E59"/>
    <w:rsid w:val="00D43EBF"/>
    <w:rsid w:val="00D43FD9"/>
    <w:rsid w:val="00D43FEA"/>
    <w:rsid w:val="00D43FFD"/>
    <w:rsid w:val="00D44094"/>
    <w:rsid w:val="00D440F3"/>
    <w:rsid w:val="00D4423C"/>
    <w:rsid w:val="00D44265"/>
    <w:rsid w:val="00D442F2"/>
    <w:rsid w:val="00D44302"/>
    <w:rsid w:val="00D44303"/>
    <w:rsid w:val="00D44372"/>
    <w:rsid w:val="00D44439"/>
    <w:rsid w:val="00D444B1"/>
    <w:rsid w:val="00D44523"/>
    <w:rsid w:val="00D44524"/>
    <w:rsid w:val="00D44529"/>
    <w:rsid w:val="00D44573"/>
    <w:rsid w:val="00D446EE"/>
    <w:rsid w:val="00D446FE"/>
    <w:rsid w:val="00D448F9"/>
    <w:rsid w:val="00D44948"/>
    <w:rsid w:val="00D449A7"/>
    <w:rsid w:val="00D44A31"/>
    <w:rsid w:val="00D44A7F"/>
    <w:rsid w:val="00D44AC0"/>
    <w:rsid w:val="00D44AC5"/>
    <w:rsid w:val="00D44BAF"/>
    <w:rsid w:val="00D44C0D"/>
    <w:rsid w:val="00D44CB7"/>
    <w:rsid w:val="00D44CDB"/>
    <w:rsid w:val="00D44D47"/>
    <w:rsid w:val="00D44D77"/>
    <w:rsid w:val="00D44FB3"/>
    <w:rsid w:val="00D44FF1"/>
    <w:rsid w:val="00D45017"/>
    <w:rsid w:val="00D450F2"/>
    <w:rsid w:val="00D4513E"/>
    <w:rsid w:val="00D4520E"/>
    <w:rsid w:val="00D45270"/>
    <w:rsid w:val="00D4528C"/>
    <w:rsid w:val="00D45324"/>
    <w:rsid w:val="00D453B6"/>
    <w:rsid w:val="00D453C6"/>
    <w:rsid w:val="00D4554D"/>
    <w:rsid w:val="00D455BF"/>
    <w:rsid w:val="00D4563D"/>
    <w:rsid w:val="00D4564E"/>
    <w:rsid w:val="00D45664"/>
    <w:rsid w:val="00D45749"/>
    <w:rsid w:val="00D45850"/>
    <w:rsid w:val="00D4588D"/>
    <w:rsid w:val="00D45960"/>
    <w:rsid w:val="00D4597C"/>
    <w:rsid w:val="00D459E9"/>
    <w:rsid w:val="00D459F4"/>
    <w:rsid w:val="00D45A0B"/>
    <w:rsid w:val="00D45B12"/>
    <w:rsid w:val="00D45B73"/>
    <w:rsid w:val="00D45B92"/>
    <w:rsid w:val="00D45C6A"/>
    <w:rsid w:val="00D45C7D"/>
    <w:rsid w:val="00D45CA4"/>
    <w:rsid w:val="00D45CAA"/>
    <w:rsid w:val="00D45CCE"/>
    <w:rsid w:val="00D45D1E"/>
    <w:rsid w:val="00D45DB4"/>
    <w:rsid w:val="00D45DE6"/>
    <w:rsid w:val="00D45DFA"/>
    <w:rsid w:val="00D45EF0"/>
    <w:rsid w:val="00D45F9B"/>
    <w:rsid w:val="00D45FA9"/>
    <w:rsid w:val="00D45FF0"/>
    <w:rsid w:val="00D461A6"/>
    <w:rsid w:val="00D461AF"/>
    <w:rsid w:val="00D461E4"/>
    <w:rsid w:val="00D46208"/>
    <w:rsid w:val="00D462F8"/>
    <w:rsid w:val="00D46407"/>
    <w:rsid w:val="00D46480"/>
    <w:rsid w:val="00D46499"/>
    <w:rsid w:val="00D464DF"/>
    <w:rsid w:val="00D46573"/>
    <w:rsid w:val="00D46575"/>
    <w:rsid w:val="00D46579"/>
    <w:rsid w:val="00D4664F"/>
    <w:rsid w:val="00D4674F"/>
    <w:rsid w:val="00D46862"/>
    <w:rsid w:val="00D4688C"/>
    <w:rsid w:val="00D468BF"/>
    <w:rsid w:val="00D468C3"/>
    <w:rsid w:val="00D468C7"/>
    <w:rsid w:val="00D468CD"/>
    <w:rsid w:val="00D46989"/>
    <w:rsid w:val="00D46997"/>
    <w:rsid w:val="00D46ABD"/>
    <w:rsid w:val="00D46B26"/>
    <w:rsid w:val="00D46B6F"/>
    <w:rsid w:val="00D46B7E"/>
    <w:rsid w:val="00D46BAF"/>
    <w:rsid w:val="00D46BE7"/>
    <w:rsid w:val="00D46CDB"/>
    <w:rsid w:val="00D46D49"/>
    <w:rsid w:val="00D46D78"/>
    <w:rsid w:val="00D46DD8"/>
    <w:rsid w:val="00D46E36"/>
    <w:rsid w:val="00D46E39"/>
    <w:rsid w:val="00D46E62"/>
    <w:rsid w:val="00D47037"/>
    <w:rsid w:val="00D4705B"/>
    <w:rsid w:val="00D470AA"/>
    <w:rsid w:val="00D4710F"/>
    <w:rsid w:val="00D47127"/>
    <w:rsid w:val="00D47156"/>
    <w:rsid w:val="00D472D1"/>
    <w:rsid w:val="00D47302"/>
    <w:rsid w:val="00D47335"/>
    <w:rsid w:val="00D4736A"/>
    <w:rsid w:val="00D473BF"/>
    <w:rsid w:val="00D4740C"/>
    <w:rsid w:val="00D47421"/>
    <w:rsid w:val="00D47424"/>
    <w:rsid w:val="00D4748C"/>
    <w:rsid w:val="00D474B1"/>
    <w:rsid w:val="00D474D1"/>
    <w:rsid w:val="00D474F2"/>
    <w:rsid w:val="00D475BD"/>
    <w:rsid w:val="00D4768B"/>
    <w:rsid w:val="00D47699"/>
    <w:rsid w:val="00D476BD"/>
    <w:rsid w:val="00D476DE"/>
    <w:rsid w:val="00D47787"/>
    <w:rsid w:val="00D4780C"/>
    <w:rsid w:val="00D47A54"/>
    <w:rsid w:val="00D47AB9"/>
    <w:rsid w:val="00D47AD1"/>
    <w:rsid w:val="00D47BE5"/>
    <w:rsid w:val="00D47D6D"/>
    <w:rsid w:val="00D47D83"/>
    <w:rsid w:val="00D47DA3"/>
    <w:rsid w:val="00D47E11"/>
    <w:rsid w:val="00D47EA6"/>
    <w:rsid w:val="00D47F10"/>
    <w:rsid w:val="00D47F45"/>
    <w:rsid w:val="00D47F65"/>
    <w:rsid w:val="00D47FC7"/>
    <w:rsid w:val="00D5016F"/>
    <w:rsid w:val="00D50215"/>
    <w:rsid w:val="00D5021C"/>
    <w:rsid w:val="00D5032C"/>
    <w:rsid w:val="00D503CA"/>
    <w:rsid w:val="00D50453"/>
    <w:rsid w:val="00D50464"/>
    <w:rsid w:val="00D504B7"/>
    <w:rsid w:val="00D504D6"/>
    <w:rsid w:val="00D504DE"/>
    <w:rsid w:val="00D5060A"/>
    <w:rsid w:val="00D5065E"/>
    <w:rsid w:val="00D5073E"/>
    <w:rsid w:val="00D50760"/>
    <w:rsid w:val="00D508DA"/>
    <w:rsid w:val="00D50931"/>
    <w:rsid w:val="00D5099F"/>
    <w:rsid w:val="00D50A67"/>
    <w:rsid w:val="00D50AED"/>
    <w:rsid w:val="00D50B46"/>
    <w:rsid w:val="00D50B48"/>
    <w:rsid w:val="00D50B66"/>
    <w:rsid w:val="00D50B6C"/>
    <w:rsid w:val="00D50BA8"/>
    <w:rsid w:val="00D50CA2"/>
    <w:rsid w:val="00D50CB4"/>
    <w:rsid w:val="00D50E5C"/>
    <w:rsid w:val="00D50F28"/>
    <w:rsid w:val="00D50F46"/>
    <w:rsid w:val="00D50F84"/>
    <w:rsid w:val="00D51042"/>
    <w:rsid w:val="00D51136"/>
    <w:rsid w:val="00D51185"/>
    <w:rsid w:val="00D511EE"/>
    <w:rsid w:val="00D51240"/>
    <w:rsid w:val="00D512DC"/>
    <w:rsid w:val="00D512FA"/>
    <w:rsid w:val="00D5133C"/>
    <w:rsid w:val="00D5134B"/>
    <w:rsid w:val="00D513DC"/>
    <w:rsid w:val="00D513F1"/>
    <w:rsid w:val="00D5142F"/>
    <w:rsid w:val="00D51441"/>
    <w:rsid w:val="00D5149A"/>
    <w:rsid w:val="00D51551"/>
    <w:rsid w:val="00D51592"/>
    <w:rsid w:val="00D515C8"/>
    <w:rsid w:val="00D5160E"/>
    <w:rsid w:val="00D5165F"/>
    <w:rsid w:val="00D51674"/>
    <w:rsid w:val="00D51690"/>
    <w:rsid w:val="00D5172B"/>
    <w:rsid w:val="00D5178C"/>
    <w:rsid w:val="00D517B7"/>
    <w:rsid w:val="00D517BE"/>
    <w:rsid w:val="00D51800"/>
    <w:rsid w:val="00D5182E"/>
    <w:rsid w:val="00D5188B"/>
    <w:rsid w:val="00D5191F"/>
    <w:rsid w:val="00D519B8"/>
    <w:rsid w:val="00D51A19"/>
    <w:rsid w:val="00D51A85"/>
    <w:rsid w:val="00D51AE5"/>
    <w:rsid w:val="00D51B62"/>
    <w:rsid w:val="00D51B9B"/>
    <w:rsid w:val="00D51CE4"/>
    <w:rsid w:val="00D51D89"/>
    <w:rsid w:val="00D51DEB"/>
    <w:rsid w:val="00D51E38"/>
    <w:rsid w:val="00D51EDD"/>
    <w:rsid w:val="00D51F10"/>
    <w:rsid w:val="00D51F21"/>
    <w:rsid w:val="00D51F54"/>
    <w:rsid w:val="00D5200C"/>
    <w:rsid w:val="00D52034"/>
    <w:rsid w:val="00D5207F"/>
    <w:rsid w:val="00D520DB"/>
    <w:rsid w:val="00D52199"/>
    <w:rsid w:val="00D522EB"/>
    <w:rsid w:val="00D5233E"/>
    <w:rsid w:val="00D523D8"/>
    <w:rsid w:val="00D52435"/>
    <w:rsid w:val="00D52457"/>
    <w:rsid w:val="00D52473"/>
    <w:rsid w:val="00D52487"/>
    <w:rsid w:val="00D5254E"/>
    <w:rsid w:val="00D52558"/>
    <w:rsid w:val="00D52563"/>
    <w:rsid w:val="00D525C7"/>
    <w:rsid w:val="00D52616"/>
    <w:rsid w:val="00D526CA"/>
    <w:rsid w:val="00D52700"/>
    <w:rsid w:val="00D52723"/>
    <w:rsid w:val="00D527FF"/>
    <w:rsid w:val="00D52829"/>
    <w:rsid w:val="00D528A0"/>
    <w:rsid w:val="00D528B7"/>
    <w:rsid w:val="00D52900"/>
    <w:rsid w:val="00D5290F"/>
    <w:rsid w:val="00D529C1"/>
    <w:rsid w:val="00D529F0"/>
    <w:rsid w:val="00D52A04"/>
    <w:rsid w:val="00D52A3D"/>
    <w:rsid w:val="00D52A86"/>
    <w:rsid w:val="00D52B2D"/>
    <w:rsid w:val="00D52B36"/>
    <w:rsid w:val="00D52B3E"/>
    <w:rsid w:val="00D52BB8"/>
    <w:rsid w:val="00D52CA4"/>
    <w:rsid w:val="00D52CA9"/>
    <w:rsid w:val="00D52CDE"/>
    <w:rsid w:val="00D52DD4"/>
    <w:rsid w:val="00D52E3A"/>
    <w:rsid w:val="00D52EE1"/>
    <w:rsid w:val="00D52F74"/>
    <w:rsid w:val="00D53001"/>
    <w:rsid w:val="00D530AF"/>
    <w:rsid w:val="00D531E5"/>
    <w:rsid w:val="00D531EB"/>
    <w:rsid w:val="00D5325C"/>
    <w:rsid w:val="00D5329B"/>
    <w:rsid w:val="00D532DF"/>
    <w:rsid w:val="00D53325"/>
    <w:rsid w:val="00D533A9"/>
    <w:rsid w:val="00D533F7"/>
    <w:rsid w:val="00D5340B"/>
    <w:rsid w:val="00D53457"/>
    <w:rsid w:val="00D5349F"/>
    <w:rsid w:val="00D5353A"/>
    <w:rsid w:val="00D5357E"/>
    <w:rsid w:val="00D535B1"/>
    <w:rsid w:val="00D535C9"/>
    <w:rsid w:val="00D5360A"/>
    <w:rsid w:val="00D53628"/>
    <w:rsid w:val="00D537E0"/>
    <w:rsid w:val="00D53870"/>
    <w:rsid w:val="00D53995"/>
    <w:rsid w:val="00D53A47"/>
    <w:rsid w:val="00D53B23"/>
    <w:rsid w:val="00D53B79"/>
    <w:rsid w:val="00D53BAE"/>
    <w:rsid w:val="00D53BF3"/>
    <w:rsid w:val="00D53C64"/>
    <w:rsid w:val="00D53CC9"/>
    <w:rsid w:val="00D53D1A"/>
    <w:rsid w:val="00D53D96"/>
    <w:rsid w:val="00D53E3E"/>
    <w:rsid w:val="00D53E62"/>
    <w:rsid w:val="00D53E64"/>
    <w:rsid w:val="00D540A7"/>
    <w:rsid w:val="00D540BC"/>
    <w:rsid w:val="00D540E2"/>
    <w:rsid w:val="00D54104"/>
    <w:rsid w:val="00D54190"/>
    <w:rsid w:val="00D5419F"/>
    <w:rsid w:val="00D541FE"/>
    <w:rsid w:val="00D54207"/>
    <w:rsid w:val="00D542D2"/>
    <w:rsid w:val="00D5438A"/>
    <w:rsid w:val="00D5447A"/>
    <w:rsid w:val="00D5448A"/>
    <w:rsid w:val="00D545ED"/>
    <w:rsid w:val="00D545F5"/>
    <w:rsid w:val="00D54654"/>
    <w:rsid w:val="00D54760"/>
    <w:rsid w:val="00D54814"/>
    <w:rsid w:val="00D5484F"/>
    <w:rsid w:val="00D548AC"/>
    <w:rsid w:val="00D548B3"/>
    <w:rsid w:val="00D549D0"/>
    <w:rsid w:val="00D54A37"/>
    <w:rsid w:val="00D54A84"/>
    <w:rsid w:val="00D54A85"/>
    <w:rsid w:val="00D54AFE"/>
    <w:rsid w:val="00D54C41"/>
    <w:rsid w:val="00D54C62"/>
    <w:rsid w:val="00D54C7C"/>
    <w:rsid w:val="00D54CED"/>
    <w:rsid w:val="00D54D21"/>
    <w:rsid w:val="00D54D52"/>
    <w:rsid w:val="00D54DA3"/>
    <w:rsid w:val="00D54DDC"/>
    <w:rsid w:val="00D54DF7"/>
    <w:rsid w:val="00D54E6D"/>
    <w:rsid w:val="00D54EC9"/>
    <w:rsid w:val="00D54ED4"/>
    <w:rsid w:val="00D54F65"/>
    <w:rsid w:val="00D54FC0"/>
    <w:rsid w:val="00D55076"/>
    <w:rsid w:val="00D5511C"/>
    <w:rsid w:val="00D551B0"/>
    <w:rsid w:val="00D5524D"/>
    <w:rsid w:val="00D554C2"/>
    <w:rsid w:val="00D55676"/>
    <w:rsid w:val="00D556B4"/>
    <w:rsid w:val="00D556FD"/>
    <w:rsid w:val="00D55757"/>
    <w:rsid w:val="00D5584B"/>
    <w:rsid w:val="00D55861"/>
    <w:rsid w:val="00D558FC"/>
    <w:rsid w:val="00D55AD8"/>
    <w:rsid w:val="00D55B24"/>
    <w:rsid w:val="00D55B51"/>
    <w:rsid w:val="00D55C6F"/>
    <w:rsid w:val="00D55CBC"/>
    <w:rsid w:val="00D55D15"/>
    <w:rsid w:val="00D55E59"/>
    <w:rsid w:val="00D55EF6"/>
    <w:rsid w:val="00D55FAE"/>
    <w:rsid w:val="00D56137"/>
    <w:rsid w:val="00D5614B"/>
    <w:rsid w:val="00D561DC"/>
    <w:rsid w:val="00D56231"/>
    <w:rsid w:val="00D562F2"/>
    <w:rsid w:val="00D56397"/>
    <w:rsid w:val="00D563AC"/>
    <w:rsid w:val="00D563DF"/>
    <w:rsid w:val="00D563E5"/>
    <w:rsid w:val="00D564C6"/>
    <w:rsid w:val="00D565CB"/>
    <w:rsid w:val="00D565DE"/>
    <w:rsid w:val="00D56617"/>
    <w:rsid w:val="00D5674C"/>
    <w:rsid w:val="00D5677A"/>
    <w:rsid w:val="00D56899"/>
    <w:rsid w:val="00D568F6"/>
    <w:rsid w:val="00D569C2"/>
    <w:rsid w:val="00D569CB"/>
    <w:rsid w:val="00D56A8D"/>
    <w:rsid w:val="00D56AB7"/>
    <w:rsid w:val="00D56BA4"/>
    <w:rsid w:val="00D56C26"/>
    <w:rsid w:val="00D56C74"/>
    <w:rsid w:val="00D56CBE"/>
    <w:rsid w:val="00D56CE4"/>
    <w:rsid w:val="00D56DB2"/>
    <w:rsid w:val="00D56DFA"/>
    <w:rsid w:val="00D56E26"/>
    <w:rsid w:val="00D56FA2"/>
    <w:rsid w:val="00D57048"/>
    <w:rsid w:val="00D570AF"/>
    <w:rsid w:val="00D570CC"/>
    <w:rsid w:val="00D57106"/>
    <w:rsid w:val="00D5719E"/>
    <w:rsid w:val="00D5720D"/>
    <w:rsid w:val="00D57293"/>
    <w:rsid w:val="00D57422"/>
    <w:rsid w:val="00D5746A"/>
    <w:rsid w:val="00D57590"/>
    <w:rsid w:val="00D575C1"/>
    <w:rsid w:val="00D5774D"/>
    <w:rsid w:val="00D57770"/>
    <w:rsid w:val="00D57935"/>
    <w:rsid w:val="00D57970"/>
    <w:rsid w:val="00D579AB"/>
    <w:rsid w:val="00D579EB"/>
    <w:rsid w:val="00D57AB5"/>
    <w:rsid w:val="00D57B41"/>
    <w:rsid w:val="00D57B6B"/>
    <w:rsid w:val="00D57B6C"/>
    <w:rsid w:val="00D57BCE"/>
    <w:rsid w:val="00D57C5C"/>
    <w:rsid w:val="00D57E5C"/>
    <w:rsid w:val="00D57EB7"/>
    <w:rsid w:val="00D57EDB"/>
    <w:rsid w:val="00D57EFD"/>
    <w:rsid w:val="00D57F47"/>
    <w:rsid w:val="00D57F76"/>
    <w:rsid w:val="00D57FD6"/>
    <w:rsid w:val="00D60069"/>
    <w:rsid w:val="00D600CC"/>
    <w:rsid w:val="00D60113"/>
    <w:rsid w:val="00D6020B"/>
    <w:rsid w:val="00D602BB"/>
    <w:rsid w:val="00D602CE"/>
    <w:rsid w:val="00D6033C"/>
    <w:rsid w:val="00D6036B"/>
    <w:rsid w:val="00D6037C"/>
    <w:rsid w:val="00D60387"/>
    <w:rsid w:val="00D603C1"/>
    <w:rsid w:val="00D6042F"/>
    <w:rsid w:val="00D6044B"/>
    <w:rsid w:val="00D60493"/>
    <w:rsid w:val="00D604DC"/>
    <w:rsid w:val="00D6053F"/>
    <w:rsid w:val="00D6064A"/>
    <w:rsid w:val="00D6066D"/>
    <w:rsid w:val="00D607AA"/>
    <w:rsid w:val="00D608E0"/>
    <w:rsid w:val="00D60920"/>
    <w:rsid w:val="00D609AD"/>
    <w:rsid w:val="00D60A06"/>
    <w:rsid w:val="00D60A08"/>
    <w:rsid w:val="00D60A0E"/>
    <w:rsid w:val="00D60A3E"/>
    <w:rsid w:val="00D60A42"/>
    <w:rsid w:val="00D60AB2"/>
    <w:rsid w:val="00D60AC1"/>
    <w:rsid w:val="00D60AF3"/>
    <w:rsid w:val="00D60B9B"/>
    <w:rsid w:val="00D60DBD"/>
    <w:rsid w:val="00D60DCA"/>
    <w:rsid w:val="00D60DDA"/>
    <w:rsid w:val="00D60DDB"/>
    <w:rsid w:val="00D60E12"/>
    <w:rsid w:val="00D60E51"/>
    <w:rsid w:val="00D60E96"/>
    <w:rsid w:val="00D60EDE"/>
    <w:rsid w:val="00D60EF2"/>
    <w:rsid w:val="00D60F00"/>
    <w:rsid w:val="00D60F60"/>
    <w:rsid w:val="00D61003"/>
    <w:rsid w:val="00D61082"/>
    <w:rsid w:val="00D61130"/>
    <w:rsid w:val="00D611BF"/>
    <w:rsid w:val="00D612E1"/>
    <w:rsid w:val="00D612F9"/>
    <w:rsid w:val="00D612FB"/>
    <w:rsid w:val="00D6133E"/>
    <w:rsid w:val="00D613D7"/>
    <w:rsid w:val="00D61444"/>
    <w:rsid w:val="00D61516"/>
    <w:rsid w:val="00D61542"/>
    <w:rsid w:val="00D61656"/>
    <w:rsid w:val="00D6169E"/>
    <w:rsid w:val="00D616D6"/>
    <w:rsid w:val="00D6175F"/>
    <w:rsid w:val="00D61827"/>
    <w:rsid w:val="00D61845"/>
    <w:rsid w:val="00D61A27"/>
    <w:rsid w:val="00D61A2F"/>
    <w:rsid w:val="00D61A31"/>
    <w:rsid w:val="00D61A37"/>
    <w:rsid w:val="00D61BD2"/>
    <w:rsid w:val="00D61BEE"/>
    <w:rsid w:val="00D61C54"/>
    <w:rsid w:val="00D61C76"/>
    <w:rsid w:val="00D61DAB"/>
    <w:rsid w:val="00D61E3C"/>
    <w:rsid w:val="00D61EF7"/>
    <w:rsid w:val="00D61F61"/>
    <w:rsid w:val="00D61FBE"/>
    <w:rsid w:val="00D6206E"/>
    <w:rsid w:val="00D620A5"/>
    <w:rsid w:val="00D620D6"/>
    <w:rsid w:val="00D62118"/>
    <w:rsid w:val="00D62210"/>
    <w:rsid w:val="00D6225D"/>
    <w:rsid w:val="00D622AA"/>
    <w:rsid w:val="00D622B7"/>
    <w:rsid w:val="00D62493"/>
    <w:rsid w:val="00D624B4"/>
    <w:rsid w:val="00D62527"/>
    <w:rsid w:val="00D625D0"/>
    <w:rsid w:val="00D62618"/>
    <w:rsid w:val="00D6268B"/>
    <w:rsid w:val="00D62692"/>
    <w:rsid w:val="00D626C3"/>
    <w:rsid w:val="00D6270E"/>
    <w:rsid w:val="00D62724"/>
    <w:rsid w:val="00D62744"/>
    <w:rsid w:val="00D62885"/>
    <w:rsid w:val="00D628B6"/>
    <w:rsid w:val="00D628FA"/>
    <w:rsid w:val="00D629A2"/>
    <w:rsid w:val="00D62A10"/>
    <w:rsid w:val="00D62A9A"/>
    <w:rsid w:val="00D62B1F"/>
    <w:rsid w:val="00D62BB2"/>
    <w:rsid w:val="00D62BE9"/>
    <w:rsid w:val="00D62DAE"/>
    <w:rsid w:val="00D62E4E"/>
    <w:rsid w:val="00D62E9A"/>
    <w:rsid w:val="00D62EAB"/>
    <w:rsid w:val="00D62F1C"/>
    <w:rsid w:val="00D62F4D"/>
    <w:rsid w:val="00D62FEB"/>
    <w:rsid w:val="00D63075"/>
    <w:rsid w:val="00D6307A"/>
    <w:rsid w:val="00D63165"/>
    <w:rsid w:val="00D631CC"/>
    <w:rsid w:val="00D631E5"/>
    <w:rsid w:val="00D6333B"/>
    <w:rsid w:val="00D633DA"/>
    <w:rsid w:val="00D63465"/>
    <w:rsid w:val="00D634C9"/>
    <w:rsid w:val="00D63541"/>
    <w:rsid w:val="00D6369C"/>
    <w:rsid w:val="00D63784"/>
    <w:rsid w:val="00D63794"/>
    <w:rsid w:val="00D637E6"/>
    <w:rsid w:val="00D6383C"/>
    <w:rsid w:val="00D6384F"/>
    <w:rsid w:val="00D639A2"/>
    <w:rsid w:val="00D639B4"/>
    <w:rsid w:val="00D639C7"/>
    <w:rsid w:val="00D63A72"/>
    <w:rsid w:val="00D63A7B"/>
    <w:rsid w:val="00D63A8C"/>
    <w:rsid w:val="00D63AF3"/>
    <w:rsid w:val="00D63AF8"/>
    <w:rsid w:val="00D63BC8"/>
    <w:rsid w:val="00D63D29"/>
    <w:rsid w:val="00D63E37"/>
    <w:rsid w:val="00D63E6A"/>
    <w:rsid w:val="00D63F5D"/>
    <w:rsid w:val="00D63FB7"/>
    <w:rsid w:val="00D64170"/>
    <w:rsid w:val="00D64250"/>
    <w:rsid w:val="00D64279"/>
    <w:rsid w:val="00D6429E"/>
    <w:rsid w:val="00D642AC"/>
    <w:rsid w:val="00D642BC"/>
    <w:rsid w:val="00D642DD"/>
    <w:rsid w:val="00D643A4"/>
    <w:rsid w:val="00D643CE"/>
    <w:rsid w:val="00D643E0"/>
    <w:rsid w:val="00D645AB"/>
    <w:rsid w:val="00D645DD"/>
    <w:rsid w:val="00D646FC"/>
    <w:rsid w:val="00D64731"/>
    <w:rsid w:val="00D64819"/>
    <w:rsid w:val="00D64856"/>
    <w:rsid w:val="00D64867"/>
    <w:rsid w:val="00D648A6"/>
    <w:rsid w:val="00D648B5"/>
    <w:rsid w:val="00D64958"/>
    <w:rsid w:val="00D64A04"/>
    <w:rsid w:val="00D64A69"/>
    <w:rsid w:val="00D64AF3"/>
    <w:rsid w:val="00D64C23"/>
    <w:rsid w:val="00D64D76"/>
    <w:rsid w:val="00D64E2D"/>
    <w:rsid w:val="00D64F25"/>
    <w:rsid w:val="00D64F51"/>
    <w:rsid w:val="00D64F6A"/>
    <w:rsid w:val="00D6500A"/>
    <w:rsid w:val="00D6503D"/>
    <w:rsid w:val="00D65085"/>
    <w:rsid w:val="00D65152"/>
    <w:rsid w:val="00D65188"/>
    <w:rsid w:val="00D65224"/>
    <w:rsid w:val="00D652B6"/>
    <w:rsid w:val="00D652D8"/>
    <w:rsid w:val="00D6531C"/>
    <w:rsid w:val="00D65541"/>
    <w:rsid w:val="00D655C7"/>
    <w:rsid w:val="00D65616"/>
    <w:rsid w:val="00D6564A"/>
    <w:rsid w:val="00D65682"/>
    <w:rsid w:val="00D656F5"/>
    <w:rsid w:val="00D6570C"/>
    <w:rsid w:val="00D65714"/>
    <w:rsid w:val="00D658AF"/>
    <w:rsid w:val="00D65928"/>
    <w:rsid w:val="00D65957"/>
    <w:rsid w:val="00D659F5"/>
    <w:rsid w:val="00D65B5E"/>
    <w:rsid w:val="00D65B77"/>
    <w:rsid w:val="00D65C15"/>
    <w:rsid w:val="00D65D16"/>
    <w:rsid w:val="00D65E86"/>
    <w:rsid w:val="00D65ECA"/>
    <w:rsid w:val="00D65F94"/>
    <w:rsid w:val="00D65F9B"/>
    <w:rsid w:val="00D6610B"/>
    <w:rsid w:val="00D661F3"/>
    <w:rsid w:val="00D66297"/>
    <w:rsid w:val="00D663A4"/>
    <w:rsid w:val="00D663F7"/>
    <w:rsid w:val="00D66403"/>
    <w:rsid w:val="00D66463"/>
    <w:rsid w:val="00D665D0"/>
    <w:rsid w:val="00D665F9"/>
    <w:rsid w:val="00D666D8"/>
    <w:rsid w:val="00D6675A"/>
    <w:rsid w:val="00D667B9"/>
    <w:rsid w:val="00D667BC"/>
    <w:rsid w:val="00D6683E"/>
    <w:rsid w:val="00D6686C"/>
    <w:rsid w:val="00D6688F"/>
    <w:rsid w:val="00D668E0"/>
    <w:rsid w:val="00D66947"/>
    <w:rsid w:val="00D66A81"/>
    <w:rsid w:val="00D66AFF"/>
    <w:rsid w:val="00D66B73"/>
    <w:rsid w:val="00D66C7E"/>
    <w:rsid w:val="00D66D1B"/>
    <w:rsid w:val="00D66DB1"/>
    <w:rsid w:val="00D66DEE"/>
    <w:rsid w:val="00D66E6D"/>
    <w:rsid w:val="00D66EB4"/>
    <w:rsid w:val="00D66EE1"/>
    <w:rsid w:val="00D66F05"/>
    <w:rsid w:val="00D670C9"/>
    <w:rsid w:val="00D67220"/>
    <w:rsid w:val="00D67239"/>
    <w:rsid w:val="00D67240"/>
    <w:rsid w:val="00D67284"/>
    <w:rsid w:val="00D673C8"/>
    <w:rsid w:val="00D673EC"/>
    <w:rsid w:val="00D6744B"/>
    <w:rsid w:val="00D67464"/>
    <w:rsid w:val="00D674D4"/>
    <w:rsid w:val="00D674D9"/>
    <w:rsid w:val="00D675A9"/>
    <w:rsid w:val="00D6774F"/>
    <w:rsid w:val="00D677E6"/>
    <w:rsid w:val="00D67826"/>
    <w:rsid w:val="00D6792A"/>
    <w:rsid w:val="00D67949"/>
    <w:rsid w:val="00D67950"/>
    <w:rsid w:val="00D67A86"/>
    <w:rsid w:val="00D67B10"/>
    <w:rsid w:val="00D67B1F"/>
    <w:rsid w:val="00D67BAB"/>
    <w:rsid w:val="00D67C17"/>
    <w:rsid w:val="00D67CBD"/>
    <w:rsid w:val="00D67D16"/>
    <w:rsid w:val="00D67D9D"/>
    <w:rsid w:val="00D67DED"/>
    <w:rsid w:val="00D67E02"/>
    <w:rsid w:val="00D67E1D"/>
    <w:rsid w:val="00D67E7B"/>
    <w:rsid w:val="00D67EC5"/>
    <w:rsid w:val="00D70025"/>
    <w:rsid w:val="00D70099"/>
    <w:rsid w:val="00D7010E"/>
    <w:rsid w:val="00D701B7"/>
    <w:rsid w:val="00D701FC"/>
    <w:rsid w:val="00D703DD"/>
    <w:rsid w:val="00D70427"/>
    <w:rsid w:val="00D70439"/>
    <w:rsid w:val="00D7043F"/>
    <w:rsid w:val="00D70498"/>
    <w:rsid w:val="00D704AA"/>
    <w:rsid w:val="00D704B1"/>
    <w:rsid w:val="00D70542"/>
    <w:rsid w:val="00D70571"/>
    <w:rsid w:val="00D7059A"/>
    <w:rsid w:val="00D705CC"/>
    <w:rsid w:val="00D705E7"/>
    <w:rsid w:val="00D70644"/>
    <w:rsid w:val="00D707E2"/>
    <w:rsid w:val="00D70841"/>
    <w:rsid w:val="00D70857"/>
    <w:rsid w:val="00D7090A"/>
    <w:rsid w:val="00D70961"/>
    <w:rsid w:val="00D7098F"/>
    <w:rsid w:val="00D709DC"/>
    <w:rsid w:val="00D70A36"/>
    <w:rsid w:val="00D70ABE"/>
    <w:rsid w:val="00D70B29"/>
    <w:rsid w:val="00D70B4A"/>
    <w:rsid w:val="00D70B76"/>
    <w:rsid w:val="00D70B7B"/>
    <w:rsid w:val="00D70BA0"/>
    <w:rsid w:val="00D70BB6"/>
    <w:rsid w:val="00D70C22"/>
    <w:rsid w:val="00D70C5F"/>
    <w:rsid w:val="00D70D6F"/>
    <w:rsid w:val="00D70E9F"/>
    <w:rsid w:val="00D70F31"/>
    <w:rsid w:val="00D70F88"/>
    <w:rsid w:val="00D70FF1"/>
    <w:rsid w:val="00D710CF"/>
    <w:rsid w:val="00D71143"/>
    <w:rsid w:val="00D711A5"/>
    <w:rsid w:val="00D7126A"/>
    <w:rsid w:val="00D7129C"/>
    <w:rsid w:val="00D712AA"/>
    <w:rsid w:val="00D71316"/>
    <w:rsid w:val="00D71367"/>
    <w:rsid w:val="00D714F8"/>
    <w:rsid w:val="00D715F0"/>
    <w:rsid w:val="00D71660"/>
    <w:rsid w:val="00D716D0"/>
    <w:rsid w:val="00D716EB"/>
    <w:rsid w:val="00D71758"/>
    <w:rsid w:val="00D717B0"/>
    <w:rsid w:val="00D71835"/>
    <w:rsid w:val="00D71838"/>
    <w:rsid w:val="00D718B3"/>
    <w:rsid w:val="00D7198B"/>
    <w:rsid w:val="00D7198F"/>
    <w:rsid w:val="00D71A47"/>
    <w:rsid w:val="00D71A64"/>
    <w:rsid w:val="00D71AC8"/>
    <w:rsid w:val="00D71B15"/>
    <w:rsid w:val="00D71B4E"/>
    <w:rsid w:val="00D71B9A"/>
    <w:rsid w:val="00D71C03"/>
    <w:rsid w:val="00D71C23"/>
    <w:rsid w:val="00D71C2F"/>
    <w:rsid w:val="00D71E70"/>
    <w:rsid w:val="00D71EF9"/>
    <w:rsid w:val="00D71EFD"/>
    <w:rsid w:val="00D71FC4"/>
    <w:rsid w:val="00D71FF8"/>
    <w:rsid w:val="00D7206B"/>
    <w:rsid w:val="00D720B9"/>
    <w:rsid w:val="00D72116"/>
    <w:rsid w:val="00D7219E"/>
    <w:rsid w:val="00D721FA"/>
    <w:rsid w:val="00D7227B"/>
    <w:rsid w:val="00D722CF"/>
    <w:rsid w:val="00D722DB"/>
    <w:rsid w:val="00D72343"/>
    <w:rsid w:val="00D7237F"/>
    <w:rsid w:val="00D7239E"/>
    <w:rsid w:val="00D7240D"/>
    <w:rsid w:val="00D724A3"/>
    <w:rsid w:val="00D725BE"/>
    <w:rsid w:val="00D725FD"/>
    <w:rsid w:val="00D72648"/>
    <w:rsid w:val="00D7264A"/>
    <w:rsid w:val="00D72660"/>
    <w:rsid w:val="00D72714"/>
    <w:rsid w:val="00D72793"/>
    <w:rsid w:val="00D72883"/>
    <w:rsid w:val="00D728C0"/>
    <w:rsid w:val="00D7293F"/>
    <w:rsid w:val="00D729C3"/>
    <w:rsid w:val="00D729D0"/>
    <w:rsid w:val="00D72A08"/>
    <w:rsid w:val="00D72C71"/>
    <w:rsid w:val="00D72C99"/>
    <w:rsid w:val="00D72CF1"/>
    <w:rsid w:val="00D72D71"/>
    <w:rsid w:val="00D72D8C"/>
    <w:rsid w:val="00D72DC5"/>
    <w:rsid w:val="00D72EA3"/>
    <w:rsid w:val="00D72FA3"/>
    <w:rsid w:val="00D72FA9"/>
    <w:rsid w:val="00D72FAF"/>
    <w:rsid w:val="00D73058"/>
    <w:rsid w:val="00D73075"/>
    <w:rsid w:val="00D730B6"/>
    <w:rsid w:val="00D73114"/>
    <w:rsid w:val="00D7319E"/>
    <w:rsid w:val="00D732F8"/>
    <w:rsid w:val="00D7332D"/>
    <w:rsid w:val="00D733AA"/>
    <w:rsid w:val="00D7340A"/>
    <w:rsid w:val="00D7344C"/>
    <w:rsid w:val="00D7349A"/>
    <w:rsid w:val="00D734C6"/>
    <w:rsid w:val="00D73522"/>
    <w:rsid w:val="00D7353B"/>
    <w:rsid w:val="00D735D1"/>
    <w:rsid w:val="00D7361B"/>
    <w:rsid w:val="00D73630"/>
    <w:rsid w:val="00D73642"/>
    <w:rsid w:val="00D73682"/>
    <w:rsid w:val="00D73697"/>
    <w:rsid w:val="00D736A8"/>
    <w:rsid w:val="00D7373C"/>
    <w:rsid w:val="00D737AD"/>
    <w:rsid w:val="00D7380B"/>
    <w:rsid w:val="00D73814"/>
    <w:rsid w:val="00D7386D"/>
    <w:rsid w:val="00D73877"/>
    <w:rsid w:val="00D73898"/>
    <w:rsid w:val="00D7394D"/>
    <w:rsid w:val="00D739D1"/>
    <w:rsid w:val="00D73A04"/>
    <w:rsid w:val="00D73A14"/>
    <w:rsid w:val="00D73B84"/>
    <w:rsid w:val="00D73D65"/>
    <w:rsid w:val="00D73FA0"/>
    <w:rsid w:val="00D7401D"/>
    <w:rsid w:val="00D74064"/>
    <w:rsid w:val="00D74094"/>
    <w:rsid w:val="00D74146"/>
    <w:rsid w:val="00D741DF"/>
    <w:rsid w:val="00D74375"/>
    <w:rsid w:val="00D74378"/>
    <w:rsid w:val="00D74455"/>
    <w:rsid w:val="00D744E2"/>
    <w:rsid w:val="00D744F1"/>
    <w:rsid w:val="00D7455E"/>
    <w:rsid w:val="00D74687"/>
    <w:rsid w:val="00D7471D"/>
    <w:rsid w:val="00D747AB"/>
    <w:rsid w:val="00D747B2"/>
    <w:rsid w:val="00D747F8"/>
    <w:rsid w:val="00D7480F"/>
    <w:rsid w:val="00D7482D"/>
    <w:rsid w:val="00D748E0"/>
    <w:rsid w:val="00D748FB"/>
    <w:rsid w:val="00D7498B"/>
    <w:rsid w:val="00D749BD"/>
    <w:rsid w:val="00D74A26"/>
    <w:rsid w:val="00D74A80"/>
    <w:rsid w:val="00D74B8F"/>
    <w:rsid w:val="00D74C56"/>
    <w:rsid w:val="00D74D2B"/>
    <w:rsid w:val="00D74E4B"/>
    <w:rsid w:val="00D74F08"/>
    <w:rsid w:val="00D7502D"/>
    <w:rsid w:val="00D75038"/>
    <w:rsid w:val="00D75050"/>
    <w:rsid w:val="00D75123"/>
    <w:rsid w:val="00D751A2"/>
    <w:rsid w:val="00D7526C"/>
    <w:rsid w:val="00D7533D"/>
    <w:rsid w:val="00D75444"/>
    <w:rsid w:val="00D75581"/>
    <w:rsid w:val="00D7565A"/>
    <w:rsid w:val="00D756A9"/>
    <w:rsid w:val="00D75716"/>
    <w:rsid w:val="00D75863"/>
    <w:rsid w:val="00D75894"/>
    <w:rsid w:val="00D758FD"/>
    <w:rsid w:val="00D75964"/>
    <w:rsid w:val="00D75A85"/>
    <w:rsid w:val="00D75ADC"/>
    <w:rsid w:val="00D75BA2"/>
    <w:rsid w:val="00D75CCD"/>
    <w:rsid w:val="00D75CED"/>
    <w:rsid w:val="00D75D96"/>
    <w:rsid w:val="00D75DDC"/>
    <w:rsid w:val="00D75E05"/>
    <w:rsid w:val="00D75E92"/>
    <w:rsid w:val="00D75F62"/>
    <w:rsid w:val="00D75F87"/>
    <w:rsid w:val="00D75F8B"/>
    <w:rsid w:val="00D75FC1"/>
    <w:rsid w:val="00D76221"/>
    <w:rsid w:val="00D762C2"/>
    <w:rsid w:val="00D762EF"/>
    <w:rsid w:val="00D7631A"/>
    <w:rsid w:val="00D7636E"/>
    <w:rsid w:val="00D763F8"/>
    <w:rsid w:val="00D76425"/>
    <w:rsid w:val="00D76427"/>
    <w:rsid w:val="00D76506"/>
    <w:rsid w:val="00D76679"/>
    <w:rsid w:val="00D76702"/>
    <w:rsid w:val="00D76744"/>
    <w:rsid w:val="00D76774"/>
    <w:rsid w:val="00D76780"/>
    <w:rsid w:val="00D7690E"/>
    <w:rsid w:val="00D76972"/>
    <w:rsid w:val="00D7697F"/>
    <w:rsid w:val="00D76A11"/>
    <w:rsid w:val="00D76A7B"/>
    <w:rsid w:val="00D76AF7"/>
    <w:rsid w:val="00D76B63"/>
    <w:rsid w:val="00D76C82"/>
    <w:rsid w:val="00D76CAD"/>
    <w:rsid w:val="00D76CEB"/>
    <w:rsid w:val="00D76DD7"/>
    <w:rsid w:val="00D76EDD"/>
    <w:rsid w:val="00D76EF0"/>
    <w:rsid w:val="00D76EFA"/>
    <w:rsid w:val="00D76F58"/>
    <w:rsid w:val="00D76FBF"/>
    <w:rsid w:val="00D77037"/>
    <w:rsid w:val="00D77060"/>
    <w:rsid w:val="00D7709C"/>
    <w:rsid w:val="00D77196"/>
    <w:rsid w:val="00D7722A"/>
    <w:rsid w:val="00D772BE"/>
    <w:rsid w:val="00D772DA"/>
    <w:rsid w:val="00D77421"/>
    <w:rsid w:val="00D77468"/>
    <w:rsid w:val="00D77479"/>
    <w:rsid w:val="00D7753C"/>
    <w:rsid w:val="00D7756A"/>
    <w:rsid w:val="00D7763C"/>
    <w:rsid w:val="00D776A4"/>
    <w:rsid w:val="00D77746"/>
    <w:rsid w:val="00D777CD"/>
    <w:rsid w:val="00D777F1"/>
    <w:rsid w:val="00D77890"/>
    <w:rsid w:val="00D778C5"/>
    <w:rsid w:val="00D779A0"/>
    <w:rsid w:val="00D779E3"/>
    <w:rsid w:val="00D779E8"/>
    <w:rsid w:val="00D77A14"/>
    <w:rsid w:val="00D77AD3"/>
    <w:rsid w:val="00D77AFF"/>
    <w:rsid w:val="00D77B03"/>
    <w:rsid w:val="00D77B28"/>
    <w:rsid w:val="00D77B74"/>
    <w:rsid w:val="00D77B9A"/>
    <w:rsid w:val="00D77B9F"/>
    <w:rsid w:val="00D77C22"/>
    <w:rsid w:val="00D77D28"/>
    <w:rsid w:val="00D77D61"/>
    <w:rsid w:val="00D77DCA"/>
    <w:rsid w:val="00D77DD5"/>
    <w:rsid w:val="00D77F33"/>
    <w:rsid w:val="00D77F54"/>
    <w:rsid w:val="00D7E19D"/>
    <w:rsid w:val="00D80029"/>
    <w:rsid w:val="00D80031"/>
    <w:rsid w:val="00D800BB"/>
    <w:rsid w:val="00D80158"/>
    <w:rsid w:val="00D801A4"/>
    <w:rsid w:val="00D801C1"/>
    <w:rsid w:val="00D80451"/>
    <w:rsid w:val="00D804EB"/>
    <w:rsid w:val="00D8057F"/>
    <w:rsid w:val="00D805B2"/>
    <w:rsid w:val="00D806EA"/>
    <w:rsid w:val="00D806F3"/>
    <w:rsid w:val="00D80701"/>
    <w:rsid w:val="00D80717"/>
    <w:rsid w:val="00D80724"/>
    <w:rsid w:val="00D8072B"/>
    <w:rsid w:val="00D8074A"/>
    <w:rsid w:val="00D807C2"/>
    <w:rsid w:val="00D8082E"/>
    <w:rsid w:val="00D808D3"/>
    <w:rsid w:val="00D8092B"/>
    <w:rsid w:val="00D809BB"/>
    <w:rsid w:val="00D809F0"/>
    <w:rsid w:val="00D80A22"/>
    <w:rsid w:val="00D80A55"/>
    <w:rsid w:val="00D80AA6"/>
    <w:rsid w:val="00D80CA5"/>
    <w:rsid w:val="00D80CD4"/>
    <w:rsid w:val="00D80CF9"/>
    <w:rsid w:val="00D80D2F"/>
    <w:rsid w:val="00D80D41"/>
    <w:rsid w:val="00D80DB5"/>
    <w:rsid w:val="00D80DDF"/>
    <w:rsid w:val="00D80DE4"/>
    <w:rsid w:val="00D80E6E"/>
    <w:rsid w:val="00D80EA9"/>
    <w:rsid w:val="00D80F49"/>
    <w:rsid w:val="00D80FE5"/>
    <w:rsid w:val="00D810A7"/>
    <w:rsid w:val="00D810D4"/>
    <w:rsid w:val="00D8128A"/>
    <w:rsid w:val="00D812BA"/>
    <w:rsid w:val="00D8132C"/>
    <w:rsid w:val="00D81336"/>
    <w:rsid w:val="00D81363"/>
    <w:rsid w:val="00D814F0"/>
    <w:rsid w:val="00D81505"/>
    <w:rsid w:val="00D815B6"/>
    <w:rsid w:val="00D815D2"/>
    <w:rsid w:val="00D815F0"/>
    <w:rsid w:val="00D8177D"/>
    <w:rsid w:val="00D8179B"/>
    <w:rsid w:val="00D817AD"/>
    <w:rsid w:val="00D818AD"/>
    <w:rsid w:val="00D818C4"/>
    <w:rsid w:val="00D818EB"/>
    <w:rsid w:val="00D8195A"/>
    <w:rsid w:val="00D81999"/>
    <w:rsid w:val="00D81B7B"/>
    <w:rsid w:val="00D81B82"/>
    <w:rsid w:val="00D81CB0"/>
    <w:rsid w:val="00D81CED"/>
    <w:rsid w:val="00D81D10"/>
    <w:rsid w:val="00D81DDF"/>
    <w:rsid w:val="00D81E49"/>
    <w:rsid w:val="00D81EA2"/>
    <w:rsid w:val="00D81EBF"/>
    <w:rsid w:val="00D81EFB"/>
    <w:rsid w:val="00D82006"/>
    <w:rsid w:val="00D82097"/>
    <w:rsid w:val="00D820C2"/>
    <w:rsid w:val="00D8214F"/>
    <w:rsid w:val="00D8219E"/>
    <w:rsid w:val="00D821A4"/>
    <w:rsid w:val="00D821F1"/>
    <w:rsid w:val="00D82207"/>
    <w:rsid w:val="00D822D5"/>
    <w:rsid w:val="00D824AB"/>
    <w:rsid w:val="00D824FB"/>
    <w:rsid w:val="00D825A9"/>
    <w:rsid w:val="00D826F4"/>
    <w:rsid w:val="00D82816"/>
    <w:rsid w:val="00D82823"/>
    <w:rsid w:val="00D8285B"/>
    <w:rsid w:val="00D82883"/>
    <w:rsid w:val="00D82A50"/>
    <w:rsid w:val="00D82AC4"/>
    <w:rsid w:val="00D82C66"/>
    <w:rsid w:val="00D82CDB"/>
    <w:rsid w:val="00D82D16"/>
    <w:rsid w:val="00D82D84"/>
    <w:rsid w:val="00D82DEE"/>
    <w:rsid w:val="00D82E5B"/>
    <w:rsid w:val="00D82EC1"/>
    <w:rsid w:val="00D82EDB"/>
    <w:rsid w:val="00D82F0D"/>
    <w:rsid w:val="00D82F8B"/>
    <w:rsid w:val="00D830A9"/>
    <w:rsid w:val="00D8310F"/>
    <w:rsid w:val="00D8313E"/>
    <w:rsid w:val="00D8322D"/>
    <w:rsid w:val="00D83238"/>
    <w:rsid w:val="00D8325B"/>
    <w:rsid w:val="00D833A1"/>
    <w:rsid w:val="00D833D4"/>
    <w:rsid w:val="00D833DF"/>
    <w:rsid w:val="00D83401"/>
    <w:rsid w:val="00D834B7"/>
    <w:rsid w:val="00D834DC"/>
    <w:rsid w:val="00D835C1"/>
    <w:rsid w:val="00D835C4"/>
    <w:rsid w:val="00D8360B"/>
    <w:rsid w:val="00D8360C"/>
    <w:rsid w:val="00D83638"/>
    <w:rsid w:val="00D83726"/>
    <w:rsid w:val="00D837FC"/>
    <w:rsid w:val="00D8381C"/>
    <w:rsid w:val="00D83905"/>
    <w:rsid w:val="00D83913"/>
    <w:rsid w:val="00D8396C"/>
    <w:rsid w:val="00D8398C"/>
    <w:rsid w:val="00D839DD"/>
    <w:rsid w:val="00D83A51"/>
    <w:rsid w:val="00D83B48"/>
    <w:rsid w:val="00D83B51"/>
    <w:rsid w:val="00D83C6E"/>
    <w:rsid w:val="00D83D1B"/>
    <w:rsid w:val="00D84207"/>
    <w:rsid w:val="00D8426C"/>
    <w:rsid w:val="00D842A9"/>
    <w:rsid w:val="00D8442D"/>
    <w:rsid w:val="00D844C9"/>
    <w:rsid w:val="00D8450E"/>
    <w:rsid w:val="00D8452C"/>
    <w:rsid w:val="00D84592"/>
    <w:rsid w:val="00D845AD"/>
    <w:rsid w:val="00D845D5"/>
    <w:rsid w:val="00D84661"/>
    <w:rsid w:val="00D8476A"/>
    <w:rsid w:val="00D848CF"/>
    <w:rsid w:val="00D8498E"/>
    <w:rsid w:val="00D849A5"/>
    <w:rsid w:val="00D84A18"/>
    <w:rsid w:val="00D84A41"/>
    <w:rsid w:val="00D84A50"/>
    <w:rsid w:val="00D84B9E"/>
    <w:rsid w:val="00D84BD7"/>
    <w:rsid w:val="00D84CF9"/>
    <w:rsid w:val="00D84D1B"/>
    <w:rsid w:val="00D84E21"/>
    <w:rsid w:val="00D84E8E"/>
    <w:rsid w:val="00D84EC0"/>
    <w:rsid w:val="00D84F6A"/>
    <w:rsid w:val="00D84FE7"/>
    <w:rsid w:val="00D84FE9"/>
    <w:rsid w:val="00D85085"/>
    <w:rsid w:val="00D850F1"/>
    <w:rsid w:val="00D850F3"/>
    <w:rsid w:val="00D85101"/>
    <w:rsid w:val="00D85197"/>
    <w:rsid w:val="00D851B8"/>
    <w:rsid w:val="00D851DE"/>
    <w:rsid w:val="00D851F0"/>
    <w:rsid w:val="00D85267"/>
    <w:rsid w:val="00D8536F"/>
    <w:rsid w:val="00D85399"/>
    <w:rsid w:val="00D8539D"/>
    <w:rsid w:val="00D853A6"/>
    <w:rsid w:val="00D8541F"/>
    <w:rsid w:val="00D8544C"/>
    <w:rsid w:val="00D854E2"/>
    <w:rsid w:val="00D85523"/>
    <w:rsid w:val="00D855F7"/>
    <w:rsid w:val="00D8564F"/>
    <w:rsid w:val="00D85664"/>
    <w:rsid w:val="00D8568A"/>
    <w:rsid w:val="00D85696"/>
    <w:rsid w:val="00D85706"/>
    <w:rsid w:val="00D8572F"/>
    <w:rsid w:val="00D857B8"/>
    <w:rsid w:val="00D85804"/>
    <w:rsid w:val="00D8583C"/>
    <w:rsid w:val="00D8584B"/>
    <w:rsid w:val="00D8589E"/>
    <w:rsid w:val="00D858C7"/>
    <w:rsid w:val="00D85907"/>
    <w:rsid w:val="00D8590F"/>
    <w:rsid w:val="00D85983"/>
    <w:rsid w:val="00D859A7"/>
    <w:rsid w:val="00D85A97"/>
    <w:rsid w:val="00D85AC0"/>
    <w:rsid w:val="00D85B0E"/>
    <w:rsid w:val="00D85BB1"/>
    <w:rsid w:val="00D85C68"/>
    <w:rsid w:val="00D85CFB"/>
    <w:rsid w:val="00D85D73"/>
    <w:rsid w:val="00D85D7B"/>
    <w:rsid w:val="00D85DF4"/>
    <w:rsid w:val="00D85E38"/>
    <w:rsid w:val="00D85E8E"/>
    <w:rsid w:val="00D85EC9"/>
    <w:rsid w:val="00D85F14"/>
    <w:rsid w:val="00D85F65"/>
    <w:rsid w:val="00D85FC7"/>
    <w:rsid w:val="00D85FD4"/>
    <w:rsid w:val="00D8609B"/>
    <w:rsid w:val="00D860C3"/>
    <w:rsid w:val="00D8629A"/>
    <w:rsid w:val="00D8629E"/>
    <w:rsid w:val="00D862EC"/>
    <w:rsid w:val="00D863F1"/>
    <w:rsid w:val="00D86571"/>
    <w:rsid w:val="00D865F5"/>
    <w:rsid w:val="00D86681"/>
    <w:rsid w:val="00D86746"/>
    <w:rsid w:val="00D868DC"/>
    <w:rsid w:val="00D868E7"/>
    <w:rsid w:val="00D86A20"/>
    <w:rsid w:val="00D86B15"/>
    <w:rsid w:val="00D86B53"/>
    <w:rsid w:val="00D86B66"/>
    <w:rsid w:val="00D86B7D"/>
    <w:rsid w:val="00D86C1C"/>
    <w:rsid w:val="00D86CA2"/>
    <w:rsid w:val="00D86D65"/>
    <w:rsid w:val="00D86D75"/>
    <w:rsid w:val="00D86D81"/>
    <w:rsid w:val="00D86DA8"/>
    <w:rsid w:val="00D86E1A"/>
    <w:rsid w:val="00D86E1B"/>
    <w:rsid w:val="00D86E80"/>
    <w:rsid w:val="00D86EB6"/>
    <w:rsid w:val="00D86EB9"/>
    <w:rsid w:val="00D86FA3"/>
    <w:rsid w:val="00D870A2"/>
    <w:rsid w:val="00D8715A"/>
    <w:rsid w:val="00D871E1"/>
    <w:rsid w:val="00D87232"/>
    <w:rsid w:val="00D87275"/>
    <w:rsid w:val="00D87356"/>
    <w:rsid w:val="00D87361"/>
    <w:rsid w:val="00D87381"/>
    <w:rsid w:val="00D873F4"/>
    <w:rsid w:val="00D87565"/>
    <w:rsid w:val="00D8758F"/>
    <w:rsid w:val="00D87591"/>
    <w:rsid w:val="00D8763A"/>
    <w:rsid w:val="00D87677"/>
    <w:rsid w:val="00D876C5"/>
    <w:rsid w:val="00D87744"/>
    <w:rsid w:val="00D87867"/>
    <w:rsid w:val="00D8792A"/>
    <w:rsid w:val="00D8794C"/>
    <w:rsid w:val="00D87A64"/>
    <w:rsid w:val="00D87A69"/>
    <w:rsid w:val="00D87AC9"/>
    <w:rsid w:val="00D87B00"/>
    <w:rsid w:val="00D87CD7"/>
    <w:rsid w:val="00D87D33"/>
    <w:rsid w:val="00D87D4B"/>
    <w:rsid w:val="00D87DCA"/>
    <w:rsid w:val="00D87DCF"/>
    <w:rsid w:val="00D87E27"/>
    <w:rsid w:val="00D87E61"/>
    <w:rsid w:val="00D87EA1"/>
    <w:rsid w:val="00D87EC1"/>
    <w:rsid w:val="00D87EDA"/>
    <w:rsid w:val="00D87F86"/>
    <w:rsid w:val="00D90011"/>
    <w:rsid w:val="00D9008A"/>
    <w:rsid w:val="00D900EE"/>
    <w:rsid w:val="00D90113"/>
    <w:rsid w:val="00D9018F"/>
    <w:rsid w:val="00D901F8"/>
    <w:rsid w:val="00D90206"/>
    <w:rsid w:val="00D90214"/>
    <w:rsid w:val="00D902A8"/>
    <w:rsid w:val="00D903BD"/>
    <w:rsid w:val="00D9040E"/>
    <w:rsid w:val="00D9054B"/>
    <w:rsid w:val="00D9054D"/>
    <w:rsid w:val="00D9065A"/>
    <w:rsid w:val="00D90683"/>
    <w:rsid w:val="00D9068E"/>
    <w:rsid w:val="00D90699"/>
    <w:rsid w:val="00D906DD"/>
    <w:rsid w:val="00D906F3"/>
    <w:rsid w:val="00D907C9"/>
    <w:rsid w:val="00D90856"/>
    <w:rsid w:val="00D90913"/>
    <w:rsid w:val="00D909FF"/>
    <w:rsid w:val="00D90A58"/>
    <w:rsid w:val="00D90A81"/>
    <w:rsid w:val="00D90AA9"/>
    <w:rsid w:val="00D90AFE"/>
    <w:rsid w:val="00D90B4C"/>
    <w:rsid w:val="00D90B81"/>
    <w:rsid w:val="00D90C1D"/>
    <w:rsid w:val="00D90CC8"/>
    <w:rsid w:val="00D90D78"/>
    <w:rsid w:val="00D90DE7"/>
    <w:rsid w:val="00D90E0A"/>
    <w:rsid w:val="00D90EA1"/>
    <w:rsid w:val="00D91004"/>
    <w:rsid w:val="00D9101E"/>
    <w:rsid w:val="00D91046"/>
    <w:rsid w:val="00D910F9"/>
    <w:rsid w:val="00D9111F"/>
    <w:rsid w:val="00D91201"/>
    <w:rsid w:val="00D9122C"/>
    <w:rsid w:val="00D913FE"/>
    <w:rsid w:val="00D9145E"/>
    <w:rsid w:val="00D914D7"/>
    <w:rsid w:val="00D91605"/>
    <w:rsid w:val="00D91638"/>
    <w:rsid w:val="00D9163F"/>
    <w:rsid w:val="00D91657"/>
    <w:rsid w:val="00D916EE"/>
    <w:rsid w:val="00D9174F"/>
    <w:rsid w:val="00D9178A"/>
    <w:rsid w:val="00D91803"/>
    <w:rsid w:val="00D91874"/>
    <w:rsid w:val="00D91978"/>
    <w:rsid w:val="00D91984"/>
    <w:rsid w:val="00D91A1C"/>
    <w:rsid w:val="00D91A70"/>
    <w:rsid w:val="00D91B35"/>
    <w:rsid w:val="00D91C21"/>
    <w:rsid w:val="00D91C63"/>
    <w:rsid w:val="00D91CAA"/>
    <w:rsid w:val="00D91CAC"/>
    <w:rsid w:val="00D91CCA"/>
    <w:rsid w:val="00D91D4F"/>
    <w:rsid w:val="00D91D7C"/>
    <w:rsid w:val="00D91E0B"/>
    <w:rsid w:val="00D91E75"/>
    <w:rsid w:val="00D91E89"/>
    <w:rsid w:val="00D91E8D"/>
    <w:rsid w:val="00D91EB5"/>
    <w:rsid w:val="00D91EBA"/>
    <w:rsid w:val="00D91EF1"/>
    <w:rsid w:val="00D91FA7"/>
    <w:rsid w:val="00D91FD1"/>
    <w:rsid w:val="00D9207D"/>
    <w:rsid w:val="00D9208E"/>
    <w:rsid w:val="00D9211F"/>
    <w:rsid w:val="00D92129"/>
    <w:rsid w:val="00D92155"/>
    <w:rsid w:val="00D921A8"/>
    <w:rsid w:val="00D9230B"/>
    <w:rsid w:val="00D9240A"/>
    <w:rsid w:val="00D924E3"/>
    <w:rsid w:val="00D9258F"/>
    <w:rsid w:val="00D9266F"/>
    <w:rsid w:val="00D92677"/>
    <w:rsid w:val="00D9272F"/>
    <w:rsid w:val="00D92775"/>
    <w:rsid w:val="00D927AB"/>
    <w:rsid w:val="00D927F8"/>
    <w:rsid w:val="00D92822"/>
    <w:rsid w:val="00D92853"/>
    <w:rsid w:val="00D92994"/>
    <w:rsid w:val="00D929A7"/>
    <w:rsid w:val="00D92A24"/>
    <w:rsid w:val="00D92AA1"/>
    <w:rsid w:val="00D92B41"/>
    <w:rsid w:val="00D92C4C"/>
    <w:rsid w:val="00D92C53"/>
    <w:rsid w:val="00D92C5A"/>
    <w:rsid w:val="00D92CC6"/>
    <w:rsid w:val="00D92CD4"/>
    <w:rsid w:val="00D92D3F"/>
    <w:rsid w:val="00D92D83"/>
    <w:rsid w:val="00D92E3D"/>
    <w:rsid w:val="00D92E74"/>
    <w:rsid w:val="00D92FDF"/>
    <w:rsid w:val="00D93081"/>
    <w:rsid w:val="00D930F4"/>
    <w:rsid w:val="00D93168"/>
    <w:rsid w:val="00D9316A"/>
    <w:rsid w:val="00D9321E"/>
    <w:rsid w:val="00D93245"/>
    <w:rsid w:val="00D93295"/>
    <w:rsid w:val="00D932D1"/>
    <w:rsid w:val="00D932F1"/>
    <w:rsid w:val="00D933C5"/>
    <w:rsid w:val="00D933E8"/>
    <w:rsid w:val="00D9343D"/>
    <w:rsid w:val="00D93481"/>
    <w:rsid w:val="00D934A9"/>
    <w:rsid w:val="00D93557"/>
    <w:rsid w:val="00D93654"/>
    <w:rsid w:val="00D93685"/>
    <w:rsid w:val="00D936BD"/>
    <w:rsid w:val="00D936C0"/>
    <w:rsid w:val="00D936FE"/>
    <w:rsid w:val="00D93794"/>
    <w:rsid w:val="00D938F5"/>
    <w:rsid w:val="00D939EC"/>
    <w:rsid w:val="00D93A25"/>
    <w:rsid w:val="00D93A98"/>
    <w:rsid w:val="00D93B35"/>
    <w:rsid w:val="00D93B77"/>
    <w:rsid w:val="00D93BDF"/>
    <w:rsid w:val="00D93C44"/>
    <w:rsid w:val="00D93C61"/>
    <w:rsid w:val="00D93C8F"/>
    <w:rsid w:val="00D93CB7"/>
    <w:rsid w:val="00D93D0A"/>
    <w:rsid w:val="00D93E09"/>
    <w:rsid w:val="00D93E1C"/>
    <w:rsid w:val="00D93E67"/>
    <w:rsid w:val="00D93F3F"/>
    <w:rsid w:val="00D94046"/>
    <w:rsid w:val="00D9413E"/>
    <w:rsid w:val="00D9415B"/>
    <w:rsid w:val="00D94244"/>
    <w:rsid w:val="00D942E6"/>
    <w:rsid w:val="00D94360"/>
    <w:rsid w:val="00D943FD"/>
    <w:rsid w:val="00D9447B"/>
    <w:rsid w:val="00D944B2"/>
    <w:rsid w:val="00D94559"/>
    <w:rsid w:val="00D94659"/>
    <w:rsid w:val="00D94675"/>
    <w:rsid w:val="00D946B0"/>
    <w:rsid w:val="00D9481D"/>
    <w:rsid w:val="00D94848"/>
    <w:rsid w:val="00D9488F"/>
    <w:rsid w:val="00D948B9"/>
    <w:rsid w:val="00D948E4"/>
    <w:rsid w:val="00D94916"/>
    <w:rsid w:val="00D94993"/>
    <w:rsid w:val="00D94A4F"/>
    <w:rsid w:val="00D94BC5"/>
    <w:rsid w:val="00D94BD9"/>
    <w:rsid w:val="00D94BF8"/>
    <w:rsid w:val="00D94C96"/>
    <w:rsid w:val="00D94D0E"/>
    <w:rsid w:val="00D94E3A"/>
    <w:rsid w:val="00D94E4B"/>
    <w:rsid w:val="00D94E97"/>
    <w:rsid w:val="00D94F41"/>
    <w:rsid w:val="00D94F9C"/>
    <w:rsid w:val="00D95001"/>
    <w:rsid w:val="00D95015"/>
    <w:rsid w:val="00D9503D"/>
    <w:rsid w:val="00D9509A"/>
    <w:rsid w:val="00D950BF"/>
    <w:rsid w:val="00D9518A"/>
    <w:rsid w:val="00D951F3"/>
    <w:rsid w:val="00D9523B"/>
    <w:rsid w:val="00D952B1"/>
    <w:rsid w:val="00D95331"/>
    <w:rsid w:val="00D95410"/>
    <w:rsid w:val="00D95486"/>
    <w:rsid w:val="00D95491"/>
    <w:rsid w:val="00D954E5"/>
    <w:rsid w:val="00D956CB"/>
    <w:rsid w:val="00D956DE"/>
    <w:rsid w:val="00D95723"/>
    <w:rsid w:val="00D95745"/>
    <w:rsid w:val="00D957D4"/>
    <w:rsid w:val="00D95818"/>
    <w:rsid w:val="00D9590D"/>
    <w:rsid w:val="00D95A54"/>
    <w:rsid w:val="00D95B22"/>
    <w:rsid w:val="00D95B2F"/>
    <w:rsid w:val="00D95BAC"/>
    <w:rsid w:val="00D95C03"/>
    <w:rsid w:val="00D95C30"/>
    <w:rsid w:val="00D95C49"/>
    <w:rsid w:val="00D95C51"/>
    <w:rsid w:val="00D95D53"/>
    <w:rsid w:val="00D95EF3"/>
    <w:rsid w:val="00D960D1"/>
    <w:rsid w:val="00D9611D"/>
    <w:rsid w:val="00D96195"/>
    <w:rsid w:val="00D961A0"/>
    <w:rsid w:val="00D9622E"/>
    <w:rsid w:val="00D96231"/>
    <w:rsid w:val="00D962BC"/>
    <w:rsid w:val="00D962C0"/>
    <w:rsid w:val="00D9636E"/>
    <w:rsid w:val="00D9645F"/>
    <w:rsid w:val="00D964C1"/>
    <w:rsid w:val="00D96558"/>
    <w:rsid w:val="00D9657F"/>
    <w:rsid w:val="00D965E1"/>
    <w:rsid w:val="00D9661D"/>
    <w:rsid w:val="00D96628"/>
    <w:rsid w:val="00D9668D"/>
    <w:rsid w:val="00D966BD"/>
    <w:rsid w:val="00D96743"/>
    <w:rsid w:val="00D9676B"/>
    <w:rsid w:val="00D96832"/>
    <w:rsid w:val="00D96844"/>
    <w:rsid w:val="00D9684D"/>
    <w:rsid w:val="00D968BB"/>
    <w:rsid w:val="00D96977"/>
    <w:rsid w:val="00D9699E"/>
    <w:rsid w:val="00D96A65"/>
    <w:rsid w:val="00D96A6C"/>
    <w:rsid w:val="00D96AA2"/>
    <w:rsid w:val="00D96AEC"/>
    <w:rsid w:val="00D96B93"/>
    <w:rsid w:val="00D96BAD"/>
    <w:rsid w:val="00D96BB2"/>
    <w:rsid w:val="00D96BFC"/>
    <w:rsid w:val="00D96C62"/>
    <w:rsid w:val="00D96CC8"/>
    <w:rsid w:val="00D96DA0"/>
    <w:rsid w:val="00D96DE4"/>
    <w:rsid w:val="00D96F97"/>
    <w:rsid w:val="00D9701F"/>
    <w:rsid w:val="00D9705B"/>
    <w:rsid w:val="00D9718F"/>
    <w:rsid w:val="00D97210"/>
    <w:rsid w:val="00D9740B"/>
    <w:rsid w:val="00D9746B"/>
    <w:rsid w:val="00D974CE"/>
    <w:rsid w:val="00D975A1"/>
    <w:rsid w:val="00D975D7"/>
    <w:rsid w:val="00D975E4"/>
    <w:rsid w:val="00D97624"/>
    <w:rsid w:val="00D97625"/>
    <w:rsid w:val="00D97635"/>
    <w:rsid w:val="00D976B2"/>
    <w:rsid w:val="00D976F1"/>
    <w:rsid w:val="00D9773C"/>
    <w:rsid w:val="00D9776D"/>
    <w:rsid w:val="00D977AB"/>
    <w:rsid w:val="00D978F8"/>
    <w:rsid w:val="00D979E3"/>
    <w:rsid w:val="00D97A26"/>
    <w:rsid w:val="00D97AB3"/>
    <w:rsid w:val="00D97BBB"/>
    <w:rsid w:val="00D97BC3"/>
    <w:rsid w:val="00D97CE9"/>
    <w:rsid w:val="00D97CF9"/>
    <w:rsid w:val="00D97D20"/>
    <w:rsid w:val="00D97E66"/>
    <w:rsid w:val="00D97F05"/>
    <w:rsid w:val="00D97F72"/>
    <w:rsid w:val="00DA0067"/>
    <w:rsid w:val="00DA00E1"/>
    <w:rsid w:val="00DA010E"/>
    <w:rsid w:val="00DA01DC"/>
    <w:rsid w:val="00DA0255"/>
    <w:rsid w:val="00DA02CB"/>
    <w:rsid w:val="00DA031A"/>
    <w:rsid w:val="00DA03F0"/>
    <w:rsid w:val="00DA04C5"/>
    <w:rsid w:val="00DA067C"/>
    <w:rsid w:val="00DA06DD"/>
    <w:rsid w:val="00DA0761"/>
    <w:rsid w:val="00DA079A"/>
    <w:rsid w:val="00DA07E0"/>
    <w:rsid w:val="00DA0808"/>
    <w:rsid w:val="00DA0838"/>
    <w:rsid w:val="00DA08BC"/>
    <w:rsid w:val="00DA0975"/>
    <w:rsid w:val="00DA0996"/>
    <w:rsid w:val="00DA09B1"/>
    <w:rsid w:val="00DA0A0A"/>
    <w:rsid w:val="00DA0A50"/>
    <w:rsid w:val="00DA0A52"/>
    <w:rsid w:val="00DA0B7B"/>
    <w:rsid w:val="00DA0C9C"/>
    <w:rsid w:val="00DA0D5C"/>
    <w:rsid w:val="00DA0E0E"/>
    <w:rsid w:val="00DA0F33"/>
    <w:rsid w:val="00DA0F68"/>
    <w:rsid w:val="00DA0FE8"/>
    <w:rsid w:val="00DA0FFD"/>
    <w:rsid w:val="00DA100C"/>
    <w:rsid w:val="00DA121B"/>
    <w:rsid w:val="00DA1230"/>
    <w:rsid w:val="00DA1238"/>
    <w:rsid w:val="00DA1301"/>
    <w:rsid w:val="00DA1341"/>
    <w:rsid w:val="00DA1384"/>
    <w:rsid w:val="00DA13B5"/>
    <w:rsid w:val="00DA13E8"/>
    <w:rsid w:val="00DA14AD"/>
    <w:rsid w:val="00DA14BD"/>
    <w:rsid w:val="00DA1619"/>
    <w:rsid w:val="00DA173D"/>
    <w:rsid w:val="00DA1751"/>
    <w:rsid w:val="00DA177E"/>
    <w:rsid w:val="00DA1788"/>
    <w:rsid w:val="00DA178A"/>
    <w:rsid w:val="00DA178B"/>
    <w:rsid w:val="00DA17B6"/>
    <w:rsid w:val="00DA1888"/>
    <w:rsid w:val="00DA18F8"/>
    <w:rsid w:val="00DA1B9D"/>
    <w:rsid w:val="00DA1BB1"/>
    <w:rsid w:val="00DA1C71"/>
    <w:rsid w:val="00DA1C7C"/>
    <w:rsid w:val="00DA1C96"/>
    <w:rsid w:val="00DA1DAC"/>
    <w:rsid w:val="00DA1E34"/>
    <w:rsid w:val="00DA1E58"/>
    <w:rsid w:val="00DA1E8A"/>
    <w:rsid w:val="00DA1EF7"/>
    <w:rsid w:val="00DA2058"/>
    <w:rsid w:val="00DA20A9"/>
    <w:rsid w:val="00DA20AC"/>
    <w:rsid w:val="00DA20AE"/>
    <w:rsid w:val="00DA20B0"/>
    <w:rsid w:val="00DA2148"/>
    <w:rsid w:val="00DA2175"/>
    <w:rsid w:val="00DA220E"/>
    <w:rsid w:val="00DA22C6"/>
    <w:rsid w:val="00DA2306"/>
    <w:rsid w:val="00DA23FB"/>
    <w:rsid w:val="00DA24D1"/>
    <w:rsid w:val="00DA2501"/>
    <w:rsid w:val="00DA25E0"/>
    <w:rsid w:val="00DA25EE"/>
    <w:rsid w:val="00DA2648"/>
    <w:rsid w:val="00DA269A"/>
    <w:rsid w:val="00DA26A2"/>
    <w:rsid w:val="00DA2712"/>
    <w:rsid w:val="00DA2795"/>
    <w:rsid w:val="00DA286A"/>
    <w:rsid w:val="00DA28B3"/>
    <w:rsid w:val="00DA290D"/>
    <w:rsid w:val="00DA2917"/>
    <w:rsid w:val="00DA2A1A"/>
    <w:rsid w:val="00DA2B4C"/>
    <w:rsid w:val="00DA2C63"/>
    <w:rsid w:val="00DA2DF5"/>
    <w:rsid w:val="00DA2F50"/>
    <w:rsid w:val="00DA2FB1"/>
    <w:rsid w:val="00DA2FFD"/>
    <w:rsid w:val="00DA3063"/>
    <w:rsid w:val="00DA31CB"/>
    <w:rsid w:val="00DA31E0"/>
    <w:rsid w:val="00DA3223"/>
    <w:rsid w:val="00DA33D3"/>
    <w:rsid w:val="00DA33DD"/>
    <w:rsid w:val="00DA34DE"/>
    <w:rsid w:val="00DA3504"/>
    <w:rsid w:val="00DA3519"/>
    <w:rsid w:val="00DA3555"/>
    <w:rsid w:val="00DA3567"/>
    <w:rsid w:val="00DA3568"/>
    <w:rsid w:val="00DA3660"/>
    <w:rsid w:val="00DA36FD"/>
    <w:rsid w:val="00DA374E"/>
    <w:rsid w:val="00DA375B"/>
    <w:rsid w:val="00DA3798"/>
    <w:rsid w:val="00DA38BA"/>
    <w:rsid w:val="00DA38CF"/>
    <w:rsid w:val="00DA38E8"/>
    <w:rsid w:val="00DA3962"/>
    <w:rsid w:val="00DA3973"/>
    <w:rsid w:val="00DA3A4D"/>
    <w:rsid w:val="00DA3AC4"/>
    <w:rsid w:val="00DA3ACE"/>
    <w:rsid w:val="00DA3B15"/>
    <w:rsid w:val="00DA3B92"/>
    <w:rsid w:val="00DA3C15"/>
    <w:rsid w:val="00DA3C17"/>
    <w:rsid w:val="00DA3C35"/>
    <w:rsid w:val="00DA3C78"/>
    <w:rsid w:val="00DA3C98"/>
    <w:rsid w:val="00DA3CBF"/>
    <w:rsid w:val="00DA3CE8"/>
    <w:rsid w:val="00DA3D16"/>
    <w:rsid w:val="00DA3D46"/>
    <w:rsid w:val="00DA3D73"/>
    <w:rsid w:val="00DA3DAA"/>
    <w:rsid w:val="00DA3E5E"/>
    <w:rsid w:val="00DA3E7D"/>
    <w:rsid w:val="00DA3F55"/>
    <w:rsid w:val="00DA3F78"/>
    <w:rsid w:val="00DA404F"/>
    <w:rsid w:val="00DA4093"/>
    <w:rsid w:val="00DA411B"/>
    <w:rsid w:val="00DA4132"/>
    <w:rsid w:val="00DA4135"/>
    <w:rsid w:val="00DA414B"/>
    <w:rsid w:val="00DA415D"/>
    <w:rsid w:val="00DA4185"/>
    <w:rsid w:val="00DA41B1"/>
    <w:rsid w:val="00DA4321"/>
    <w:rsid w:val="00DA4348"/>
    <w:rsid w:val="00DA43CE"/>
    <w:rsid w:val="00DA4454"/>
    <w:rsid w:val="00DA44D9"/>
    <w:rsid w:val="00DA4541"/>
    <w:rsid w:val="00DA45F0"/>
    <w:rsid w:val="00DA4634"/>
    <w:rsid w:val="00DA464E"/>
    <w:rsid w:val="00DA46BB"/>
    <w:rsid w:val="00DA46D4"/>
    <w:rsid w:val="00DA470E"/>
    <w:rsid w:val="00DA473F"/>
    <w:rsid w:val="00DA478F"/>
    <w:rsid w:val="00DA4820"/>
    <w:rsid w:val="00DA4927"/>
    <w:rsid w:val="00DA495B"/>
    <w:rsid w:val="00DA4978"/>
    <w:rsid w:val="00DA49BF"/>
    <w:rsid w:val="00DA4A50"/>
    <w:rsid w:val="00DA4AAD"/>
    <w:rsid w:val="00DA4BB2"/>
    <w:rsid w:val="00DA4BF8"/>
    <w:rsid w:val="00DA4C73"/>
    <w:rsid w:val="00DA4C8A"/>
    <w:rsid w:val="00DA4D6B"/>
    <w:rsid w:val="00DA4D7C"/>
    <w:rsid w:val="00DA4DCD"/>
    <w:rsid w:val="00DA4E36"/>
    <w:rsid w:val="00DA4EB1"/>
    <w:rsid w:val="00DA4F25"/>
    <w:rsid w:val="00DA4F77"/>
    <w:rsid w:val="00DA50B0"/>
    <w:rsid w:val="00DA515F"/>
    <w:rsid w:val="00DA5162"/>
    <w:rsid w:val="00DA51FE"/>
    <w:rsid w:val="00DA52F9"/>
    <w:rsid w:val="00DA5302"/>
    <w:rsid w:val="00DA533E"/>
    <w:rsid w:val="00DA534E"/>
    <w:rsid w:val="00DA536E"/>
    <w:rsid w:val="00DA53D7"/>
    <w:rsid w:val="00DA552A"/>
    <w:rsid w:val="00DA5567"/>
    <w:rsid w:val="00DA5595"/>
    <w:rsid w:val="00DA55A6"/>
    <w:rsid w:val="00DA55BB"/>
    <w:rsid w:val="00DA5619"/>
    <w:rsid w:val="00DA566E"/>
    <w:rsid w:val="00DA5718"/>
    <w:rsid w:val="00DA5799"/>
    <w:rsid w:val="00DA57BE"/>
    <w:rsid w:val="00DA581F"/>
    <w:rsid w:val="00DA585D"/>
    <w:rsid w:val="00DA586B"/>
    <w:rsid w:val="00DA58A8"/>
    <w:rsid w:val="00DA5A21"/>
    <w:rsid w:val="00DA5B7E"/>
    <w:rsid w:val="00DA5BE4"/>
    <w:rsid w:val="00DA5C4A"/>
    <w:rsid w:val="00DA5CFD"/>
    <w:rsid w:val="00DA5D47"/>
    <w:rsid w:val="00DA5DA3"/>
    <w:rsid w:val="00DA5E87"/>
    <w:rsid w:val="00DA5EEA"/>
    <w:rsid w:val="00DA5EFA"/>
    <w:rsid w:val="00DA5F12"/>
    <w:rsid w:val="00DA5F5F"/>
    <w:rsid w:val="00DA601D"/>
    <w:rsid w:val="00DA617B"/>
    <w:rsid w:val="00DA61C3"/>
    <w:rsid w:val="00DA61D2"/>
    <w:rsid w:val="00DA61DE"/>
    <w:rsid w:val="00DA62E5"/>
    <w:rsid w:val="00DA64A2"/>
    <w:rsid w:val="00DA64A9"/>
    <w:rsid w:val="00DA65DA"/>
    <w:rsid w:val="00DA65DF"/>
    <w:rsid w:val="00DA65FF"/>
    <w:rsid w:val="00DA6618"/>
    <w:rsid w:val="00DA6660"/>
    <w:rsid w:val="00DA671E"/>
    <w:rsid w:val="00DA6796"/>
    <w:rsid w:val="00DA685A"/>
    <w:rsid w:val="00DA686B"/>
    <w:rsid w:val="00DA6887"/>
    <w:rsid w:val="00DA6892"/>
    <w:rsid w:val="00DA68A4"/>
    <w:rsid w:val="00DA697F"/>
    <w:rsid w:val="00DA6A03"/>
    <w:rsid w:val="00DA6AA1"/>
    <w:rsid w:val="00DA6B78"/>
    <w:rsid w:val="00DA6C0A"/>
    <w:rsid w:val="00DA6CA7"/>
    <w:rsid w:val="00DA6CC9"/>
    <w:rsid w:val="00DA6D92"/>
    <w:rsid w:val="00DA6DB5"/>
    <w:rsid w:val="00DA6DC7"/>
    <w:rsid w:val="00DA6FC3"/>
    <w:rsid w:val="00DA6FE9"/>
    <w:rsid w:val="00DA70DF"/>
    <w:rsid w:val="00DA7165"/>
    <w:rsid w:val="00DA7170"/>
    <w:rsid w:val="00DA7260"/>
    <w:rsid w:val="00DA73B4"/>
    <w:rsid w:val="00DA7502"/>
    <w:rsid w:val="00DA7566"/>
    <w:rsid w:val="00DA7599"/>
    <w:rsid w:val="00DA75D8"/>
    <w:rsid w:val="00DA75F5"/>
    <w:rsid w:val="00DA76B7"/>
    <w:rsid w:val="00DA76C3"/>
    <w:rsid w:val="00DA76E2"/>
    <w:rsid w:val="00DA76FA"/>
    <w:rsid w:val="00DA7772"/>
    <w:rsid w:val="00DA7820"/>
    <w:rsid w:val="00DA79BE"/>
    <w:rsid w:val="00DA7A3F"/>
    <w:rsid w:val="00DA7B0F"/>
    <w:rsid w:val="00DA7B39"/>
    <w:rsid w:val="00DA7B3F"/>
    <w:rsid w:val="00DA7BB2"/>
    <w:rsid w:val="00DA7BDC"/>
    <w:rsid w:val="00DA7C71"/>
    <w:rsid w:val="00DA7D5A"/>
    <w:rsid w:val="00DA7E90"/>
    <w:rsid w:val="00DB0001"/>
    <w:rsid w:val="00DB0110"/>
    <w:rsid w:val="00DB014D"/>
    <w:rsid w:val="00DB0194"/>
    <w:rsid w:val="00DB02C9"/>
    <w:rsid w:val="00DB02D1"/>
    <w:rsid w:val="00DB031E"/>
    <w:rsid w:val="00DB0453"/>
    <w:rsid w:val="00DB04BB"/>
    <w:rsid w:val="00DB04BE"/>
    <w:rsid w:val="00DB04D7"/>
    <w:rsid w:val="00DB04D8"/>
    <w:rsid w:val="00DB04DD"/>
    <w:rsid w:val="00DB05D3"/>
    <w:rsid w:val="00DB07D2"/>
    <w:rsid w:val="00DB08C2"/>
    <w:rsid w:val="00DB0951"/>
    <w:rsid w:val="00DB0984"/>
    <w:rsid w:val="00DB09E8"/>
    <w:rsid w:val="00DB09EB"/>
    <w:rsid w:val="00DB09F7"/>
    <w:rsid w:val="00DB0A6D"/>
    <w:rsid w:val="00DB0AE0"/>
    <w:rsid w:val="00DB0B5D"/>
    <w:rsid w:val="00DB0C52"/>
    <w:rsid w:val="00DB0D1E"/>
    <w:rsid w:val="00DB0D9C"/>
    <w:rsid w:val="00DB0DC5"/>
    <w:rsid w:val="00DB0E4E"/>
    <w:rsid w:val="00DB0E8E"/>
    <w:rsid w:val="00DB0EA4"/>
    <w:rsid w:val="00DB0F4A"/>
    <w:rsid w:val="00DB0FB7"/>
    <w:rsid w:val="00DB1083"/>
    <w:rsid w:val="00DB10BB"/>
    <w:rsid w:val="00DB115B"/>
    <w:rsid w:val="00DB11FC"/>
    <w:rsid w:val="00DB12FB"/>
    <w:rsid w:val="00DB136D"/>
    <w:rsid w:val="00DB147D"/>
    <w:rsid w:val="00DB154F"/>
    <w:rsid w:val="00DB159D"/>
    <w:rsid w:val="00DB1601"/>
    <w:rsid w:val="00DB160B"/>
    <w:rsid w:val="00DB173E"/>
    <w:rsid w:val="00DB177D"/>
    <w:rsid w:val="00DB17C8"/>
    <w:rsid w:val="00DB17E0"/>
    <w:rsid w:val="00DB17E8"/>
    <w:rsid w:val="00DB1888"/>
    <w:rsid w:val="00DB1893"/>
    <w:rsid w:val="00DB199E"/>
    <w:rsid w:val="00DB1A0E"/>
    <w:rsid w:val="00DB1B8D"/>
    <w:rsid w:val="00DB1C11"/>
    <w:rsid w:val="00DB1CC0"/>
    <w:rsid w:val="00DB1D16"/>
    <w:rsid w:val="00DB1F9A"/>
    <w:rsid w:val="00DB2000"/>
    <w:rsid w:val="00DB208E"/>
    <w:rsid w:val="00DB20F7"/>
    <w:rsid w:val="00DB21A4"/>
    <w:rsid w:val="00DB21D9"/>
    <w:rsid w:val="00DB2237"/>
    <w:rsid w:val="00DB226B"/>
    <w:rsid w:val="00DB227F"/>
    <w:rsid w:val="00DB2341"/>
    <w:rsid w:val="00DB2359"/>
    <w:rsid w:val="00DB235D"/>
    <w:rsid w:val="00DB23ED"/>
    <w:rsid w:val="00DB23FD"/>
    <w:rsid w:val="00DB2488"/>
    <w:rsid w:val="00DB24D3"/>
    <w:rsid w:val="00DB2596"/>
    <w:rsid w:val="00DB2619"/>
    <w:rsid w:val="00DB2741"/>
    <w:rsid w:val="00DB2792"/>
    <w:rsid w:val="00DB2824"/>
    <w:rsid w:val="00DB285F"/>
    <w:rsid w:val="00DB291C"/>
    <w:rsid w:val="00DB2945"/>
    <w:rsid w:val="00DB2956"/>
    <w:rsid w:val="00DB2980"/>
    <w:rsid w:val="00DB299E"/>
    <w:rsid w:val="00DB2A2D"/>
    <w:rsid w:val="00DB2A98"/>
    <w:rsid w:val="00DB2AA1"/>
    <w:rsid w:val="00DB2B22"/>
    <w:rsid w:val="00DB2BEA"/>
    <w:rsid w:val="00DB2CB0"/>
    <w:rsid w:val="00DB2CBB"/>
    <w:rsid w:val="00DB2CFA"/>
    <w:rsid w:val="00DB2D26"/>
    <w:rsid w:val="00DB2D41"/>
    <w:rsid w:val="00DB2E0E"/>
    <w:rsid w:val="00DB2E17"/>
    <w:rsid w:val="00DB2F12"/>
    <w:rsid w:val="00DB2F5C"/>
    <w:rsid w:val="00DB306B"/>
    <w:rsid w:val="00DB3236"/>
    <w:rsid w:val="00DB324E"/>
    <w:rsid w:val="00DB3281"/>
    <w:rsid w:val="00DB3291"/>
    <w:rsid w:val="00DB332F"/>
    <w:rsid w:val="00DB3385"/>
    <w:rsid w:val="00DB368B"/>
    <w:rsid w:val="00DB37BA"/>
    <w:rsid w:val="00DB385D"/>
    <w:rsid w:val="00DB38CC"/>
    <w:rsid w:val="00DB38D8"/>
    <w:rsid w:val="00DB3901"/>
    <w:rsid w:val="00DB3A02"/>
    <w:rsid w:val="00DB3B9F"/>
    <w:rsid w:val="00DB3D05"/>
    <w:rsid w:val="00DB3E12"/>
    <w:rsid w:val="00DB3E60"/>
    <w:rsid w:val="00DB3F6F"/>
    <w:rsid w:val="00DB3FB8"/>
    <w:rsid w:val="00DB41CA"/>
    <w:rsid w:val="00DB41E5"/>
    <w:rsid w:val="00DB4218"/>
    <w:rsid w:val="00DB425F"/>
    <w:rsid w:val="00DB4266"/>
    <w:rsid w:val="00DB42B2"/>
    <w:rsid w:val="00DB4447"/>
    <w:rsid w:val="00DB4462"/>
    <w:rsid w:val="00DB44CD"/>
    <w:rsid w:val="00DB4677"/>
    <w:rsid w:val="00DB467A"/>
    <w:rsid w:val="00DB46D7"/>
    <w:rsid w:val="00DB46F3"/>
    <w:rsid w:val="00DB4731"/>
    <w:rsid w:val="00DB4931"/>
    <w:rsid w:val="00DB4933"/>
    <w:rsid w:val="00DB497E"/>
    <w:rsid w:val="00DB49A3"/>
    <w:rsid w:val="00DB4A83"/>
    <w:rsid w:val="00DB4ACA"/>
    <w:rsid w:val="00DB4BB2"/>
    <w:rsid w:val="00DB4BDD"/>
    <w:rsid w:val="00DB4CBC"/>
    <w:rsid w:val="00DB4CF1"/>
    <w:rsid w:val="00DB4DFE"/>
    <w:rsid w:val="00DB4E0E"/>
    <w:rsid w:val="00DB4E17"/>
    <w:rsid w:val="00DB4EC8"/>
    <w:rsid w:val="00DB4F5F"/>
    <w:rsid w:val="00DB4F90"/>
    <w:rsid w:val="00DB5122"/>
    <w:rsid w:val="00DB518A"/>
    <w:rsid w:val="00DB519A"/>
    <w:rsid w:val="00DB51E4"/>
    <w:rsid w:val="00DB537C"/>
    <w:rsid w:val="00DB5431"/>
    <w:rsid w:val="00DB5496"/>
    <w:rsid w:val="00DB54D5"/>
    <w:rsid w:val="00DB5502"/>
    <w:rsid w:val="00DB552D"/>
    <w:rsid w:val="00DB55AB"/>
    <w:rsid w:val="00DB55F1"/>
    <w:rsid w:val="00DB5625"/>
    <w:rsid w:val="00DB5663"/>
    <w:rsid w:val="00DB56F5"/>
    <w:rsid w:val="00DB570E"/>
    <w:rsid w:val="00DB574F"/>
    <w:rsid w:val="00DB5752"/>
    <w:rsid w:val="00DB5764"/>
    <w:rsid w:val="00DB57EC"/>
    <w:rsid w:val="00DB5828"/>
    <w:rsid w:val="00DB5975"/>
    <w:rsid w:val="00DB5985"/>
    <w:rsid w:val="00DB59B8"/>
    <w:rsid w:val="00DB5A58"/>
    <w:rsid w:val="00DB5A61"/>
    <w:rsid w:val="00DB5ABE"/>
    <w:rsid w:val="00DB5B69"/>
    <w:rsid w:val="00DB5BAA"/>
    <w:rsid w:val="00DB5BB2"/>
    <w:rsid w:val="00DB5BEE"/>
    <w:rsid w:val="00DB5C46"/>
    <w:rsid w:val="00DB5C58"/>
    <w:rsid w:val="00DB5CB8"/>
    <w:rsid w:val="00DB5F42"/>
    <w:rsid w:val="00DB5F4B"/>
    <w:rsid w:val="00DB6021"/>
    <w:rsid w:val="00DB6050"/>
    <w:rsid w:val="00DB6053"/>
    <w:rsid w:val="00DB60FC"/>
    <w:rsid w:val="00DB61B9"/>
    <w:rsid w:val="00DB6268"/>
    <w:rsid w:val="00DB6333"/>
    <w:rsid w:val="00DB6464"/>
    <w:rsid w:val="00DB64B1"/>
    <w:rsid w:val="00DB64E0"/>
    <w:rsid w:val="00DB6501"/>
    <w:rsid w:val="00DB652B"/>
    <w:rsid w:val="00DB652E"/>
    <w:rsid w:val="00DB6563"/>
    <w:rsid w:val="00DB6571"/>
    <w:rsid w:val="00DB65A7"/>
    <w:rsid w:val="00DB65BC"/>
    <w:rsid w:val="00DB65BF"/>
    <w:rsid w:val="00DB65D9"/>
    <w:rsid w:val="00DB65EC"/>
    <w:rsid w:val="00DB6653"/>
    <w:rsid w:val="00DB6763"/>
    <w:rsid w:val="00DB6783"/>
    <w:rsid w:val="00DB67F9"/>
    <w:rsid w:val="00DB6828"/>
    <w:rsid w:val="00DB684B"/>
    <w:rsid w:val="00DB6968"/>
    <w:rsid w:val="00DB6AC6"/>
    <w:rsid w:val="00DB6AE7"/>
    <w:rsid w:val="00DB6C41"/>
    <w:rsid w:val="00DB6C8E"/>
    <w:rsid w:val="00DB6D2F"/>
    <w:rsid w:val="00DB6D9A"/>
    <w:rsid w:val="00DB6DDF"/>
    <w:rsid w:val="00DB6DEF"/>
    <w:rsid w:val="00DB6E0D"/>
    <w:rsid w:val="00DB6E14"/>
    <w:rsid w:val="00DB6F31"/>
    <w:rsid w:val="00DB6FF8"/>
    <w:rsid w:val="00DB7098"/>
    <w:rsid w:val="00DB70AD"/>
    <w:rsid w:val="00DB70C2"/>
    <w:rsid w:val="00DB7156"/>
    <w:rsid w:val="00DB716D"/>
    <w:rsid w:val="00DB7222"/>
    <w:rsid w:val="00DB72DC"/>
    <w:rsid w:val="00DB7361"/>
    <w:rsid w:val="00DB736D"/>
    <w:rsid w:val="00DB74FA"/>
    <w:rsid w:val="00DB7684"/>
    <w:rsid w:val="00DB76EC"/>
    <w:rsid w:val="00DB7746"/>
    <w:rsid w:val="00DB7747"/>
    <w:rsid w:val="00DB779D"/>
    <w:rsid w:val="00DB77B1"/>
    <w:rsid w:val="00DB780F"/>
    <w:rsid w:val="00DB788F"/>
    <w:rsid w:val="00DB7912"/>
    <w:rsid w:val="00DB7981"/>
    <w:rsid w:val="00DB7A22"/>
    <w:rsid w:val="00DB7B21"/>
    <w:rsid w:val="00DB7B9B"/>
    <w:rsid w:val="00DB7BA2"/>
    <w:rsid w:val="00DB7BF9"/>
    <w:rsid w:val="00DB7CFA"/>
    <w:rsid w:val="00DB7D19"/>
    <w:rsid w:val="00DB7EA4"/>
    <w:rsid w:val="00DB7EAC"/>
    <w:rsid w:val="00DB7F0B"/>
    <w:rsid w:val="00DB7F4E"/>
    <w:rsid w:val="00DB7F7B"/>
    <w:rsid w:val="00DB7FDC"/>
    <w:rsid w:val="00DC002A"/>
    <w:rsid w:val="00DC0038"/>
    <w:rsid w:val="00DC010C"/>
    <w:rsid w:val="00DC01C2"/>
    <w:rsid w:val="00DC0211"/>
    <w:rsid w:val="00DC0299"/>
    <w:rsid w:val="00DC02C7"/>
    <w:rsid w:val="00DC035C"/>
    <w:rsid w:val="00DC0426"/>
    <w:rsid w:val="00DC054B"/>
    <w:rsid w:val="00DC05A4"/>
    <w:rsid w:val="00DC064C"/>
    <w:rsid w:val="00DC06C7"/>
    <w:rsid w:val="00DC07A7"/>
    <w:rsid w:val="00DC07C6"/>
    <w:rsid w:val="00DC07D8"/>
    <w:rsid w:val="00DC081A"/>
    <w:rsid w:val="00DC082F"/>
    <w:rsid w:val="00DC085B"/>
    <w:rsid w:val="00DC08A8"/>
    <w:rsid w:val="00DC095C"/>
    <w:rsid w:val="00DC099F"/>
    <w:rsid w:val="00DC09D2"/>
    <w:rsid w:val="00DC0A28"/>
    <w:rsid w:val="00DC0A4F"/>
    <w:rsid w:val="00DC0BA6"/>
    <w:rsid w:val="00DC0C50"/>
    <w:rsid w:val="00DC0C94"/>
    <w:rsid w:val="00DC0D34"/>
    <w:rsid w:val="00DC0DAF"/>
    <w:rsid w:val="00DC0E05"/>
    <w:rsid w:val="00DC0EE0"/>
    <w:rsid w:val="00DC0FA6"/>
    <w:rsid w:val="00DC0FF9"/>
    <w:rsid w:val="00DC10A1"/>
    <w:rsid w:val="00DC10A6"/>
    <w:rsid w:val="00DC10D0"/>
    <w:rsid w:val="00DC115F"/>
    <w:rsid w:val="00DC11D6"/>
    <w:rsid w:val="00DC1225"/>
    <w:rsid w:val="00DC129B"/>
    <w:rsid w:val="00DC138A"/>
    <w:rsid w:val="00DC14D9"/>
    <w:rsid w:val="00DC1554"/>
    <w:rsid w:val="00DC15A9"/>
    <w:rsid w:val="00DC15C8"/>
    <w:rsid w:val="00DC1617"/>
    <w:rsid w:val="00DC1635"/>
    <w:rsid w:val="00DC1647"/>
    <w:rsid w:val="00DC1661"/>
    <w:rsid w:val="00DC16D9"/>
    <w:rsid w:val="00DC1786"/>
    <w:rsid w:val="00DC17E7"/>
    <w:rsid w:val="00DC18B4"/>
    <w:rsid w:val="00DC19A3"/>
    <w:rsid w:val="00DC19BD"/>
    <w:rsid w:val="00DC19F8"/>
    <w:rsid w:val="00DC1AA6"/>
    <w:rsid w:val="00DC1AF7"/>
    <w:rsid w:val="00DC1BD5"/>
    <w:rsid w:val="00DC1C28"/>
    <w:rsid w:val="00DC1C2F"/>
    <w:rsid w:val="00DC1C9B"/>
    <w:rsid w:val="00DC1DC6"/>
    <w:rsid w:val="00DC1DD1"/>
    <w:rsid w:val="00DC1E39"/>
    <w:rsid w:val="00DC1EAD"/>
    <w:rsid w:val="00DC1F7D"/>
    <w:rsid w:val="00DC2097"/>
    <w:rsid w:val="00DC2183"/>
    <w:rsid w:val="00DC2287"/>
    <w:rsid w:val="00DC2297"/>
    <w:rsid w:val="00DC22B7"/>
    <w:rsid w:val="00DC2353"/>
    <w:rsid w:val="00DC23CC"/>
    <w:rsid w:val="00DC2459"/>
    <w:rsid w:val="00DC246B"/>
    <w:rsid w:val="00DC2497"/>
    <w:rsid w:val="00DC251A"/>
    <w:rsid w:val="00DC25D1"/>
    <w:rsid w:val="00DC2653"/>
    <w:rsid w:val="00DC265F"/>
    <w:rsid w:val="00DC267A"/>
    <w:rsid w:val="00DC26D9"/>
    <w:rsid w:val="00DC278C"/>
    <w:rsid w:val="00DC27BE"/>
    <w:rsid w:val="00DC27EC"/>
    <w:rsid w:val="00DC281F"/>
    <w:rsid w:val="00DC2874"/>
    <w:rsid w:val="00DC28E0"/>
    <w:rsid w:val="00DC2AB8"/>
    <w:rsid w:val="00DC2B09"/>
    <w:rsid w:val="00DC2B75"/>
    <w:rsid w:val="00DC2C3B"/>
    <w:rsid w:val="00DC2CC0"/>
    <w:rsid w:val="00DC2D1C"/>
    <w:rsid w:val="00DC2F70"/>
    <w:rsid w:val="00DC2FA6"/>
    <w:rsid w:val="00DC2FD7"/>
    <w:rsid w:val="00DC30AC"/>
    <w:rsid w:val="00DC3115"/>
    <w:rsid w:val="00DC3118"/>
    <w:rsid w:val="00DC311E"/>
    <w:rsid w:val="00DC3144"/>
    <w:rsid w:val="00DC314B"/>
    <w:rsid w:val="00DC31B1"/>
    <w:rsid w:val="00DC31D3"/>
    <w:rsid w:val="00DC320B"/>
    <w:rsid w:val="00DC321D"/>
    <w:rsid w:val="00DC3299"/>
    <w:rsid w:val="00DC332D"/>
    <w:rsid w:val="00DC33E3"/>
    <w:rsid w:val="00DC3446"/>
    <w:rsid w:val="00DC345E"/>
    <w:rsid w:val="00DC352F"/>
    <w:rsid w:val="00DC357A"/>
    <w:rsid w:val="00DC3589"/>
    <w:rsid w:val="00DC3663"/>
    <w:rsid w:val="00DC36E1"/>
    <w:rsid w:val="00DC371B"/>
    <w:rsid w:val="00DC37D7"/>
    <w:rsid w:val="00DC383C"/>
    <w:rsid w:val="00DC384F"/>
    <w:rsid w:val="00DC386A"/>
    <w:rsid w:val="00DC387E"/>
    <w:rsid w:val="00DC39CC"/>
    <w:rsid w:val="00DC3A5D"/>
    <w:rsid w:val="00DC3AF8"/>
    <w:rsid w:val="00DC3B95"/>
    <w:rsid w:val="00DC3BF6"/>
    <w:rsid w:val="00DC3C6E"/>
    <w:rsid w:val="00DC3D71"/>
    <w:rsid w:val="00DC3EB7"/>
    <w:rsid w:val="00DC3F34"/>
    <w:rsid w:val="00DC3F8B"/>
    <w:rsid w:val="00DC3FE8"/>
    <w:rsid w:val="00DC4024"/>
    <w:rsid w:val="00DC4130"/>
    <w:rsid w:val="00DC4135"/>
    <w:rsid w:val="00DC4136"/>
    <w:rsid w:val="00DC413E"/>
    <w:rsid w:val="00DC4174"/>
    <w:rsid w:val="00DC41B8"/>
    <w:rsid w:val="00DC4228"/>
    <w:rsid w:val="00DC4452"/>
    <w:rsid w:val="00DC448F"/>
    <w:rsid w:val="00DC4499"/>
    <w:rsid w:val="00DC4505"/>
    <w:rsid w:val="00DC4670"/>
    <w:rsid w:val="00DC46A1"/>
    <w:rsid w:val="00DC46EE"/>
    <w:rsid w:val="00DC4729"/>
    <w:rsid w:val="00DC4751"/>
    <w:rsid w:val="00DC4762"/>
    <w:rsid w:val="00DC47CA"/>
    <w:rsid w:val="00DC47FC"/>
    <w:rsid w:val="00DC4814"/>
    <w:rsid w:val="00DC48B8"/>
    <w:rsid w:val="00DC48C0"/>
    <w:rsid w:val="00DC48C1"/>
    <w:rsid w:val="00DC4908"/>
    <w:rsid w:val="00DC4964"/>
    <w:rsid w:val="00DC49CE"/>
    <w:rsid w:val="00DC49EB"/>
    <w:rsid w:val="00DC4A9A"/>
    <w:rsid w:val="00DC4AE4"/>
    <w:rsid w:val="00DC4C2E"/>
    <w:rsid w:val="00DC4C31"/>
    <w:rsid w:val="00DC4C61"/>
    <w:rsid w:val="00DC4D8B"/>
    <w:rsid w:val="00DC4D8F"/>
    <w:rsid w:val="00DC4E4B"/>
    <w:rsid w:val="00DC4E78"/>
    <w:rsid w:val="00DC4F96"/>
    <w:rsid w:val="00DC5011"/>
    <w:rsid w:val="00DC5030"/>
    <w:rsid w:val="00DC5097"/>
    <w:rsid w:val="00DC52AE"/>
    <w:rsid w:val="00DC535F"/>
    <w:rsid w:val="00DC53A5"/>
    <w:rsid w:val="00DC53D8"/>
    <w:rsid w:val="00DC53F4"/>
    <w:rsid w:val="00DC540F"/>
    <w:rsid w:val="00DC5446"/>
    <w:rsid w:val="00DC5498"/>
    <w:rsid w:val="00DC5548"/>
    <w:rsid w:val="00DC5708"/>
    <w:rsid w:val="00DC57C7"/>
    <w:rsid w:val="00DC57F8"/>
    <w:rsid w:val="00DC580A"/>
    <w:rsid w:val="00DC5817"/>
    <w:rsid w:val="00DC584D"/>
    <w:rsid w:val="00DC5878"/>
    <w:rsid w:val="00DC5886"/>
    <w:rsid w:val="00DC590C"/>
    <w:rsid w:val="00DC5945"/>
    <w:rsid w:val="00DC5948"/>
    <w:rsid w:val="00DC5973"/>
    <w:rsid w:val="00DC59CE"/>
    <w:rsid w:val="00DC5B4C"/>
    <w:rsid w:val="00DC5B75"/>
    <w:rsid w:val="00DC5B7D"/>
    <w:rsid w:val="00DC5BCA"/>
    <w:rsid w:val="00DC5C57"/>
    <w:rsid w:val="00DC5C9F"/>
    <w:rsid w:val="00DC5D4A"/>
    <w:rsid w:val="00DC5DD2"/>
    <w:rsid w:val="00DC5E53"/>
    <w:rsid w:val="00DC5FAC"/>
    <w:rsid w:val="00DC5FC0"/>
    <w:rsid w:val="00DC5FC9"/>
    <w:rsid w:val="00DC6083"/>
    <w:rsid w:val="00DC6137"/>
    <w:rsid w:val="00DC616D"/>
    <w:rsid w:val="00DC62C6"/>
    <w:rsid w:val="00DC62D3"/>
    <w:rsid w:val="00DC62D7"/>
    <w:rsid w:val="00DC62DE"/>
    <w:rsid w:val="00DC636E"/>
    <w:rsid w:val="00DC637C"/>
    <w:rsid w:val="00DC63A3"/>
    <w:rsid w:val="00DC63F6"/>
    <w:rsid w:val="00DC649F"/>
    <w:rsid w:val="00DC64EC"/>
    <w:rsid w:val="00DC64EE"/>
    <w:rsid w:val="00DC6573"/>
    <w:rsid w:val="00DC6574"/>
    <w:rsid w:val="00DC6589"/>
    <w:rsid w:val="00DC65C1"/>
    <w:rsid w:val="00DC6629"/>
    <w:rsid w:val="00DC665C"/>
    <w:rsid w:val="00DC66F6"/>
    <w:rsid w:val="00DC6740"/>
    <w:rsid w:val="00DC674D"/>
    <w:rsid w:val="00DC6832"/>
    <w:rsid w:val="00DC6891"/>
    <w:rsid w:val="00DC69B4"/>
    <w:rsid w:val="00DC6A32"/>
    <w:rsid w:val="00DC6A53"/>
    <w:rsid w:val="00DC6A87"/>
    <w:rsid w:val="00DC6BED"/>
    <w:rsid w:val="00DC6C0D"/>
    <w:rsid w:val="00DC6C11"/>
    <w:rsid w:val="00DC6C8F"/>
    <w:rsid w:val="00DC6D93"/>
    <w:rsid w:val="00DC6DF4"/>
    <w:rsid w:val="00DC6DFC"/>
    <w:rsid w:val="00DC6FA2"/>
    <w:rsid w:val="00DC708E"/>
    <w:rsid w:val="00DC709E"/>
    <w:rsid w:val="00DC7103"/>
    <w:rsid w:val="00DC719F"/>
    <w:rsid w:val="00DC7212"/>
    <w:rsid w:val="00DC72EF"/>
    <w:rsid w:val="00DC737E"/>
    <w:rsid w:val="00DC73D1"/>
    <w:rsid w:val="00DC73DC"/>
    <w:rsid w:val="00DC741A"/>
    <w:rsid w:val="00DC74CF"/>
    <w:rsid w:val="00DC74E9"/>
    <w:rsid w:val="00DC7534"/>
    <w:rsid w:val="00DC7610"/>
    <w:rsid w:val="00DC7772"/>
    <w:rsid w:val="00DC7796"/>
    <w:rsid w:val="00DC77A4"/>
    <w:rsid w:val="00DC7949"/>
    <w:rsid w:val="00DC7997"/>
    <w:rsid w:val="00DC7A11"/>
    <w:rsid w:val="00DC7A69"/>
    <w:rsid w:val="00DC7AD3"/>
    <w:rsid w:val="00DC7B36"/>
    <w:rsid w:val="00DC7B4E"/>
    <w:rsid w:val="00DC7B6C"/>
    <w:rsid w:val="00DC7B6F"/>
    <w:rsid w:val="00DC7BED"/>
    <w:rsid w:val="00DC7C3D"/>
    <w:rsid w:val="00DC7C46"/>
    <w:rsid w:val="00DC7C63"/>
    <w:rsid w:val="00DC7C8B"/>
    <w:rsid w:val="00DC7CC8"/>
    <w:rsid w:val="00DC7CDD"/>
    <w:rsid w:val="00DC7CF2"/>
    <w:rsid w:val="00DC7D80"/>
    <w:rsid w:val="00DC7DDE"/>
    <w:rsid w:val="00DC7DDF"/>
    <w:rsid w:val="00DC7EF9"/>
    <w:rsid w:val="00DC7F17"/>
    <w:rsid w:val="00DC7F87"/>
    <w:rsid w:val="00DC7FDA"/>
    <w:rsid w:val="00DD0045"/>
    <w:rsid w:val="00DD0096"/>
    <w:rsid w:val="00DD00B0"/>
    <w:rsid w:val="00DD00C2"/>
    <w:rsid w:val="00DD011B"/>
    <w:rsid w:val="00DD0192"/>
    <w:rsid w:val="00DD01B7"/>
    <w:rsid w:val="00DD01D9"/>
    <w:rsid w:val="00DD027D"/>
    <w:rsid w:val="00DD028E"/>
    <w:rsid w:val="00DD02A2"/>
    <w:rsid w:val="00DD02F2"/>
    <w:rsid w:val="00DD030B"/>
    <w:rsid w:val="00DD036C"/>
    <w:rsid w:val="00DD0376"/>
    <w:rsid w:val="00DD04DB"/>
    <w:rsid w:val="00DD04E1"/>
    <w:rsid w:val="00DD051F"/>
    <w:rsid w:val="00DD058B"/>
    <w:rsid w:val="00DD0689"/>
    <w:rsid w:val="00DD06E8"/>
    <w:rsid w:val="00DD0881"/>
    <w:rsid w:val="00DD0887"/>
    <w:rsid w:val="00DD088C"/>
    <w:rsid w:val="00DD094D"/>
    <w:rsid w:val="00DD095D"/>
    <w:rsid w:val="00DD099E"/>
    <w:rsid w:val="00DD0A0F"/>
    <w:rsid w:val="00DD0AAB"/>
    <w:rsid w:val="00DD0B9D"/>
    <w:rsid w:val="00DD0BAC"/>
    <w:rsid w:val="00DD0BBA"/>
    <w:rsid w:val="00DD0C79"/>
    <w:rsid w:val="00DD0CB5"/>
    <w:rsid w:val="00DD0DA4"/>
    <w:rsid w:val="00DD0DDE"/>
    <w:rsid w:val="00DD0E51"/>
    <w:rsid w:val="00DD0E52"/>
    <w:rsid w:val="00DD0EB8"/>
    <w:rsid w:val="00DD0FC9"/>
    <w:rsid w:val="00DD0FEF"/>
    <w:rsid w:val="00DD1016"/>
    <w:rsid w:val="00DD113B"/>
    <w:rsid w:val="00DD1155"/>
    <w:rsid w:val="00DD1167"/>
    <w:rsid w:val="00DD1245"/>
    <w:rsid w:val="00DD12FD"/>
    <w:rsid w:val="00DD132A"/>
    <w:rsid w:val="00DD138D"/>
    <w:rsid w:val="00DD1447"/>
    <w:rsid w:val="00DD144A"/>
    <w:rsid w:val="00DD147E"/>
    <w:rsid w:val="00DD163F"/>
    <w:rsid w:val="00DD1731"/>
    <w:rsid w:val="00DD17EE"/>
    <w:rsid w:val="00DD192A"/>
    <w:rsid w:val="00DD194F"/>
    <w:rsid w:val="00DD19C3"/>
    <w:rsid w:val="00DD1AAD"/>
    <w:rsid w:val="00DD1AAE"/>
    <w:rsid w:val="00DD1C19"/>
    <w:rsid w:val="00DD1C67"/>
    <w:rsid w:val="00DD1C79"/>
    <w:rsid w:val="00DD1CC5"/>
    <w:rsid w:val="00DD1D35"/>
    <w:rsid w:val="00DD1E06"/>
    <w:rsid w:val="00DD1E4A"/>
    <w:rsid w:val="00DD1E9D"/>
    <w:rsid w:val="00DD1F5C"/>
    <w:rsid w:val="00DD1FD5"/>
    <w:rsid w:val="00DD1FFE"/>
    <w:rsid w:val="00DD20BA"/>
    <w:rsid w:val="00DD219E"/>
    <w:rsid w:val="00DD21A9"/>
    <w:rsid w:val="00DD21F3"/>
    <w:rsid w:val="00DD22F1"/>
    <w:rsid w:val="00DD2346"/>
    <w:rsid w:val="00DD23CC"/>
    <w:rsid w:val="00DD240C"/>
    <w:rsid w:val="00DD2513"/>
    <w:rsid w:val="00DD2516"/>
    <w:rsid w:val="00DD259D"/>
    <w:rsid w:val="00DD25AD"/>
    <w:rsid w:val="00DD25E0"/>
    <w:rsid w:val="00DD25E1"/>
    <w:rsid w:val="00DD25E8"/>
    <w:rsid w:val="00DD265C"/>
    <w:rsid w:val="00DD2698"/>
    <w:rsid w:val="00DD2776"/>
    <w:rsid w:val="00DD27BA"/>
    <w:rsid w:val="00DD282C"/>
    <w:rsid w:val="00DD28C6"/>
    <w:rsid w:val="00DD2907"/>
    <w:rsid w:val="00DD295A"/>
    <w:rsid w:val="00DD2A18"/>
    <w:rsid w:val="00DD2A52"/>
    <w:rsid w:val="00DD2A74"/>
    <w:rsid w:val="00DD2ABB"/>
    <w:rsid w:val="00DD2B7E"/>
    <w:rsid w:val="00DD2B81"/>
    <w:rsid w:val="00DD2B8A"/>
    <w:rsid w:val="00DD2BA6"/>
    <w:rsid w:val="00DD2BB1"/>
    <w:rsid w:val="00DD2BE4"/>
    <w:rsid w:val="00DD2C11"/>
    <w:rsid w:val="00DD2C60"/>
    <w:rsid w:val="00DD2D08"/>
    <w:rsid w:val="00DD2D44"/>
    <w:rsid w:val="00DD2D6F"/>
    <w:rsid w:val="00DD2D7B"/>
    <w:rsid w:val="00DD2DCF"/>
    <w:rsid w:val="00DD2DDC"/>
    <w:rsid w:val="00DD2DE1"/>
    <w:rsid w:val="00DD2E73"/>
    <w:rsid w:val="00DD2E76"/>
    <w:rsid w:val="00DD2F4B"/>
    <w:rsid w:val="00DD2F4E"/>
    <w:rsid w:val="00DD302C"/>
    <w:rsid w:val="00DD308C"/>
    <w:rsid w:val="00DD3107"/>
    <w:rsid w:val="00DD3129"/>
    <w:rsid w:val="00DD313E"/>
    <w:rsid w:val="00DD3181"/>
    <w:rsid w:val="00DD31D4"/>
    <w:rsid w:val="00DD329C"/>
    <w:rsid w:val="00DD32BF"/>
    <w:rsid w:val="00DD32C4"/>
    <w:rsid w:val="00DD3314"/>
    <w:rsid w:val="00DD3399"/>
    <w:rsid w:val="00DD33CE"/>
    <w:rsid w:val="00DD3496"/>
    <w:rsid w:val="00DD35D4"/>
    <w:rsid w:val="00DD364E"/>
    <w:rsid w:val="00DD365B"/>
    <w:rsid w:val="00DD3727"/>
    <w:rsid w:val="00DD379F"/>
    <w:rsid w:val="00DD380C"/>
    <w:rsid w:val="00DD3820"/>
    <w:rsid w:val="00DD3930"/>
    <w:rsid w:val="00DD39B4"/>
    <w:rsid w:val="00DD3A36"/>
    <w:rsid w:val="00DD3AC3"/>
    <w:rsid w:val="00DD3AC7"/>
    <w:rsid w:val="00DD3B32"/>
    <w:rsid w:val="00DD3BDA"/>
    <w:rsid w:val="00DD3DB5"/>
    <w:rsid w:val="00DD3DD2"/>
    <w:rsid w:val="00DD3E86"/>
    <w:rsid w:val="00DD3EC1"/>
    <w:rsid w:val="00DD3F3F"/>
    <w:rsid w:val="00DD4064"/>
    <w:rsid w:val="00DD4089"/>
    <w:rsid w:val="00DD414D"/>
    <w:rsid w:val="00DD4153"/>
    <w:rsid w:val="00DD422E"/>
    <w:rsid w:val="00DD4262"/>
    <w:rsid w:val="00DD428F"/>
    <w:rsid w:val="00DD42B4"/>
    <w:rsid w:val="00DD4352"/>
    <w:rsid w:val="00DD4366"/>
    <w:rsid w:val="00DD448E"/>
    <w:rsid w:val="00DD44A4"/>
    <w:rsid w:val="00DD4511"/>
    <w:rsid w:val="00DD4555"/>
    <w:rsid w:val="00DD4556"/>
    <w:rsid w:val="00DD4640"/>
    <w:rsid w:val="00DD4719"/>
    <w:rsid w:val="00DD4743"/>
    <w:rsid w:val="00DD4744"/>
    <w:rsid w:val="00DD476E"/>
    <w:rsid w:val="00DD483C"/>
    <w:rsid w:val="00DD4842"/>
    <w:rsid w:val="00DD4843"/>
    <w:rsid w:val="00DD4852"/>
    <w:rsid w:val="00DD493A"/>
    <w:rsid w:val="00DD4A55"/>
    <w:rsid w:val="00DD4A6E"/>
    <w:rsid w:val="00DD4AA1"/>
    <w:rsid w:val="00DD4B17"/>
    <w:rsid w:val="00DD4B78"/>
    <w:rsid w:val="00DD4BF0"/>
    <w:rsid w:val="00DD4C32"/>
    <w:rsid w:val="00DD4C4B"/>
    <w:rsid w:val="00DD4CDB"/>
    <w:rsid w:val="00DD4D66"/>
    <w:rsid w:val="00DD4D85"/>
    <w:rsid w:val="00DD4E20"/>
    <w:rsid w:val="00DD4E39"/>
    <w:rsid w:val="00DD4E5D"/>
    <w:rsid w:val="00DD4E80"/>
    <w:rsid w:val="00DD4ED2"/>
    <w:rsid w:val="00DD4F34"/>
    <w:rsid w:val="00DD4F8C"/>
    <w:rsid w:val="00DD5037"/>
    <w:rsid w:val="00DD5072"/>
    <w:rsid w:val="00DD5081"/>
    <w:rsid w:val="00DD508A"/>
    <w:rsid w:val="00DD5099"/>
    <w:rsid w:val="00DD5108"/>
    <w:rsid w:val="00DD5109"/>
    <w:rsid w:val="00DD5177"/>
    <w:rsid w:val="00DD5251"/>
    <w:rsid w:val="00DD52BA"/>
    <w:rsid w:val="00DD5314"/>
    <w:rsid w:val="00DD5348"/>
    <w:rsid w:val="00DD540C"/>
    <w:rsid w:val="00DD5410"/>
    <w:rsid w:val="00DD5487"/>
    <w:rsid w:val="00DD549C"/>
    <w:rsid w:val="00DD552F"/>
    <w:rsid w:val="00DD5627"/>
    <w:rsid w:val="00DD5635"/>
    <w:rsid w:val="00DD5689"/>
    <w:rsid w:val="00DD5690"/>
    <w:rsid w:val="00DD570A"/>
    <w:rsid w:val="00DD586B"/>
    <w:rsid w:val="00DD589A"/>
    <w:rsid w:val="00DD594E"/>
    <w:rsid w:val="00DD59A2"/>
    <w:rsid w:val="00DD5A5E"/>
    <w:rsid w:val="00DD5A89"/>
    <w:rsid w:val="00DD5A8F"/>
    <w:rsid w:val="00DD5AA0"/>
    <w:rsid w:val="00DD5AD7"/>
    <w:rsid w:val="00DD5AF2"/>
    <w:rsid w:val="00DD5D28"/>
    <w:rsid w:val="00DD5DA9"/>
    <w:rsid w:val="00DD5E83"/>
    <w:rsid w:val="00DD5EED"/>
    <w:rsid w:val="00DD5FD9"/>
    <w:rsid w:val="00DD6053"/>
    <w:rsid w:val="00DD6148"/>
    <w:rsid w:val="00DD6164"/>
    <w:rsid w:val="00DD619D"/>
    <w:rsid w:val="00DD6219"/>
    <w:rsid w:val="00DD6231"/>
    <w:rsid w:val="00DD6318"/>
    <w:rsid w:val="00DD63BE"/>
    <w:rsid w:val="00DD64C2"/>
    <w:rsid w:val="00DD64E9"/>
    <w:rsid w:val="00DD65EE"/>
    <w:rsid w:val="00DD65F0"/>
    <w:rsid w:val="00DD65FC"/>
    <w:rsid w:val="00DD665B"/>
    <w:rsid w:val="00DD66BC"/>
    <w:rsid w:val="00DD6885"/>
    <w:rsid w:val="00DD68B7"/>
    <w:rsid w:val="00DD68CA"/>
    <w:rsid w:val="00DD6906"/>
    <w:rsid w:val="00DD6988"/>
    <w:rsid w:val="00DD69B2"/>
    <w:rsid w:val="00DD69D3"/>
    <w:rsid w:val="00DD69E0"/>
    <w:rsid w:val="00DD6A18"/>
    <w:rsid w:val="00DD6A67"/>
    <w:rsid w:val="00DD6A72"/>
    <w:rsid w:val="00DD6B05"/>
    <w:rsid w:val="00DD6B67"/>
    <w:rsid w:val="00DD6BD4"/>
    <w:rsid w:val="00DD6C62"/>
    <w:rsid w:val="00DD6C99"/>
    <w:rsid w:val="00DD6D7B"/>
    <w:rsid w:val="00DD6E3B"/>
    <w:rsid w:val="00DD6E52"/>
    <w:rsid w:val="00DD6E6C"/>
    <w:rsid w:val="00DD6F0D"/>
    <w:rsid w:val="00DD6F35"/>
    <w:rsid w:val="00DD6F96"/>
    <w:rsid w:val="00DD7009"/>
    <w:rsid w:val="00DD70B7"/>
    <w:rsid w:val="00DD70D0"/>
    <w:rsid w:val="00DD71F2"/>
    <w:rsid w:val="00DD7289"/>
    <w:rsid w:val="00DD72AF"/>
    <w:rsid w:val="00DD72FF"/>
    <w:rsid w:val="00DD751F"/>
    <w:rsid w:val="00DD75C6"/>
    <w:rsid w:val="00DD75FA"/>
    <w:rsid w:val="00DD7679"/>
    <w:rsid w:val="00DD7729"/>
    <w:rsid w:val="00DD774C"/>
    <w:rsid w:val="00DD778D"/>
    <w:rsid w:val="00DD7807"/>
    <w:rsid w:val="00DD7827"/>
    <w:rsid w:val="00DD7887"/>
    <w:rsid w:val="00DD788F"/>
    <w:rsid w:val="00DD7A08"/>
    <w:rsid w:val="00DD7A0E"/>
    <w:rsid w:val="00DD7AC4"/>
    <w:rsid w:val="00DD7AD0"/>
    <w:rsid w:val="00DD7AD1"/>
    <w:rsid w:val="00DD7AD3"/>
    <w:rsid w:val="00DD7B00"/>
    <w:rsid w:val="00DD7BFD"/>
    <w:rsid w:val="00DD7C06"/>
    <w:rsid w:val="00DD7C51"/>
    <w:rsid w:val="00DD7C9D"/>
    <w:rsid w:val="00DD7CAB"/>
    <w:rsid w:val="00DD7D41"/>
    <w:rsid w:val="00DD7E38"/>
    <w:rsid w:val="00DD7E43"/>
    <w:rsid w:val="00DD7EA8"/>
    <w:rsid w:val="00DD7EB4"/>
    <w:rsid w:val="00DD7EBC"/>
    <w:rsid w:val="00DD7EE9"/>
    <w:rsid w:val="00DD7F27"/>
    <w:rsid w:val="00DD7FE7"/>
    <w:rsid w:val="00DE0026"/>
    <w:rsid w:val="00DE011D"/>
    <w:rsid w:val="00DE0147"/>
    <w:rsid w:val="00DE0183"/>
    <w:rsid w:val="00DE019D"/>
    <w:rsid w:val="00DE01CE"/>
    <w:rsid w:val="00DE02A3"/>
    <w:rsid w:val="00DE02C0"/>
    <w:rsid w:val="00DE02C9"/>
    <w:rsid w:val="00DE031E"/>
    <w:rsid w:val="00DE043D"/>
    <w:rsid w:val="00DE0447"/>
    <w:rsid w:val="00DE0519"/>
    <w:rsid w:val="00DE0599"/>
    <w:rsid w:val="00DE05C2"/>
    <w:rsid w:val="00DE05F5"/>
    <w:rsid w:val="00DE068D"/>
    <w:rsid w:val="00DE06EF"/>
    <w:rsid w:val="00DE070A"/>
    <w:rsid w:val="00DE0712"/>
    <w:rsid w:val="00DE073C"/>
    <w:rsid w:val="00DE07E8"/>
    <w:rsid w:val="00DE0864"/>
    <w:rsid w:val="00DE086E"/>
    <w:rsid w:val="00DE0876"/>
    <w:rsid w:val="00DE08E3"/>
    <w:rsid w:val="00DE0922"/>
    <w:rsid w:val="00DE0939"/>
    <w:rsid w:val="00DE0986"/>
    <w:rsid w:val="00DE09A8"/>
    <w:rsid w:val="00DE0B20"/>
    <w:rsid w:val="00DE0B88"/>
    <w:rsid w:val="00DE0D1D"/>
    <w:rsid w:val="00DE0D21"/>
    <w:rsid w:val="00DE0DB1"/>
    <w:rsid w:val="00DE0DD1"/>
    <w:rsid w:val="00DE0E24"/>
    <w:rsid w:val="00DE0F1A"/>
    <w:rsid w:val="00DE0F76"/>
    <w:rsid w:val="00DE0FBB"/>
    <w:rsid w:val="00DE0FED"/>
    <w:rsid w:val="00DE1077"/>
    <w:rsid w:val="00DE1095"/>
    <w:rsid w:val="00DE109C"/>
    <w:rsid w:val="00DE1111"/>
    <w:rsid w:val="00DE1157"/>
    <w:rsid w:val="00DE11A3"/>
    <w:rsid w:val="00DE126A"/>
    <w:rsid w:val="00DE1300"/>
    <w:rsid w:val="00DE1303"/>
    <w:rsid w:val="00DE13DC"/>
    <w:rsid w:val="00DE1460"/>
    <w:rsid w:val="00DE150A"/>
    <w:rsid w:val="00DE1555"/>
    <w:rsid w:val="00DE15AD"/>
    <w:rsid w:val="00DE1663"/>
    <w:rsid w:val="00DE166B"/>
    <w:rsid w:val="00DE1752"/>
    <w:rsid w:val="00DE177A"/>
    <w:rsid w:val="00DE17E7"/>
    <w:rsid w:val="00DE19ED"/>
    <w:rsid w:val="00DE1A1E"/>
    <w:rsid w:val="00DE1B8B"/>
    <w:rsid w:val="00DE1C8B"/>
    <w:rsid w:val="00DE1D74"/>
    <w:rsid w:val="00DE1DBB"/>
    <w:rsid w:val="00DE1DE9"/>
    <w:rsid w:val="00DE1E70"/>
    <w:rsid w:val="00DE1E78"/>
    <w:rsid w:val="00DE1F46"/>
    <w:rsid w:val="00DE2068"/>
    <w:rsid w:val="00DE206A"/>
    <w:rsid w:val="00DE2139"/>
    <w:rsid w:val="00DE21D5"/>
    <w:rsid w:val="00DE226D"/>
    <w:rsid w:val="00DE22B3"/>
    <w:rsid w:val="00DE2305"/>
    <w:rsid w:val="00DE2314"/>
    <w:rsid w:val="00DE2329"/>
    <w:rsid w:val="00DE23B3"/>
    <w:rsid w:val="00DE2452"/>
    <w:rsid w:val="00DE2487"/>
    <w:rsid w:val="00DE248A"/>
    <w:rsid w:val="00DE24AB"/>
    <w:rsid w:val="00DE259E"/>
    <w:rsid w:val="00DE2604"/>
    <w:rsid w:val="00DE2651"/>
    <w:rsid w:val="00DE27D0"/>
    <w:rsid w:val="00DE28A1"/>
    <w:rsid w:val="00DE28D0"/>
    <w:rsid w:val="00DE28F4"/>
    <w:rsid w:val="00DE292B"/>
    <w:rsid w:val="00DE2A11"/>
    <w:rsid w:val="00DE2A16"/>
    <w:rsid w:val="00DE2ACF"/>
    <w:rsid w:val="00DE2B46"/>
    <w:rsid w:val="00DE2BB4"/>
    <w:rsid w:val="00DE2C23"/>
    <w:rsid w:val="00DE2C84"/>
    <w:rsid w:val="00DE2CC2"/>
    <w:rsid w:val="00DE2E33"/>
    <w:rsid w:val="00DE2E5E"/>
    <w:rsid w:val="00DE2E7C"/>
    <w:rsid w:val="00DE2EC3"/>
    <w:rsid w:val="00DE2F01"/>
    <w:rsid w:val="00DE2F27"/>
    <w:rsid w:val="00DE2FDB"/>
    <w:rsid w:val="00DE3019"/>
    <w:rsid w:val="00DE3072"/>
    <w:rsid w:val="00DE30D9"/>
    <w:rsid w:val="00DE3128"/>
    <w:rsid w:val="00DE3176"/>
    <w:rsid w:val="00DE32CA"/>
    <w:rsid w:val="00DE32F7"/>
    <w:rsid w:val="00DE33E3"/>
    <w:rsid w:val="00DE3418"/>
    <w:rsid w:val="00DE3423"/>
    <w:rsid w:val="00DE34DB"/>
    <w:rsid w:val="00DE34F3"/>
    <w:rsid w:val="00DE351F"/>
    <w:rsid w:val="00DE3606"/>
    <w:rsid w:val="00DE36A1"/>
    <w:rsid w:val="00DE37AC"/>
    <w:rsid w:val="00DE3800"/>
    <w:rsid w:val="00DE38D1"/>
    <w:rsid w:val="00DE38F2"/>
    <w:rsid w:val="00DE39CB"/>
    <w:rsid w:val="00DE3A14"/>
    <w:rsid w:val="00DE3AAD"/>
    <w:rsid w:val="00DE3AC4"/>
    <w:rsid w:val="00DE3BE9"/>
    <w:rsid w:val="00DE3CA6"/>
    <w:rsid w:val="00DE3D7E"/>
    <w:rsid w:val="00DE3DA1"/>
    <w:rsid w:val="00DE3E09"/>
    <w:rsid w:val="00DE3EA6"/>
    <w:rsid w:val="00DE3EB4"/>
    <w:rsid w:val="00DE3F69"/>
    <w:rsid w:val="00DE4113"/>
    <w:rsid w:val="00DE4198"/>
    <w:rsid w:val="00DE424B"/>
    <w:rsid w:val="00DE42F9"/>
    <w:rsid w:val="00DE43E8"/>
    <w:rsid w:val="00DE4472"/>
    <w:rsid w:val="00DE452A"/>
    <w:rsid w:val="00DE4728"/>
    <w:rsid w:val="00DE4818"/>
    <w:rsid w:val="00DE487E"/>
    <w:rsid w:val="00DE48A1"/>
    <w:rsid w:val="00DE48E7"/>
    <w:rsid w:val="00DE4A0F"/>
    <w:rsid w:val="00DE4AE4"/>
    <w:rsid w:val="00DE4B30"/>
    <w:rsid w:val="00DE4BFF"/>
    <w:rsid w:val="00DE4C22"/>
    <w:rsid w:val="00DE4C46"/>
    <w:rsid w:val="00DE4CD6"/>
    <w:rsid w:val="00DE4D27"/>
    <w:rsid w:val="00DE4D5D"/>
    <w:rsid w:val="00DE4ECB"/>
    <w:rsid w:val="00DE4F00"/>
    <w:rsid w:val="00DE501B"/>
    <w:rsid w:val="00DE507D"/>
    <w:rsid w:val="00DE50E4"/>
    <w:rsid w:val="00DE5181"/>
    <w:rsid w:val="00DE5200"/>
    <w:rsid w:val="00DE527A"/>
    <w:rsid w:val="00DE5287"/>
    <w:rsid w:val="00DE52DC"/>
    <w:rsid w:val="00DE5315"/>
    <w:rsid w:val="00DE537B"/>
    <w:rsid w:val="00DE542A"/>
    <w:rsid w:val="00DE54E6"/>
    <w:rsid w:val="00DE5584"/>
    <w:rsid w:val="00DE5620"/>
    <w:rsid w:val="00DE5656"/>
    <w:rsid w:val="00DE5748"/>
    <w:rsid w:val="00DE5798"/>
    <w:rsid w:val="00DE584B"/>
    <w:rsid w:val="00DE5857"/>
    <w:rsid w:val="00DE5892"/>
    <w:rsid w:val="00DE58BA"/>
    <w:rsid w:val="00DE594A"/>
    <w:rsid w:val="00DE5A0F"/>
    <w:rsid w:val="00DE5A39"/>
    <w:rsid w:val="00DE5AAF"/>
    <w:rsid w:val="00DE5ABD"/>
    <w:rsid w:val="00DE5BD7"/>
    <w:rsid w:val="00DE5C28"/>
    <w:rsid w:val="00DE5C3D"/>
    <w:rsid w:val="00DE5CBE"/>
    <w:rsid w:val="00DE5CD7"/>
    <w:rsid w:val="00DE5D05"/>
    <w:rsid w:val="00DE5DFF"/>
    <w:rsid w:val="00DE5EEC"/>
    <w:rsid w:val="00DE5F20"/>
    <w:rsid w:val="00DE5F49"/>
    <w:rsid w:val="00DE6038"/>
    <w:rsid w:val="00DE606D"/>
    <w:rsid w:val="00DE6174"/>
    <w:rsid w:val="00DE61AB"/>
    <w:rsid w:val="00DE61CD"/>
    <w:rsid w:val="00DE625F"/>
    <w:rsid w:val="00DE6332"/>
    <w:rsid w:val="00DE639A"/>
    <w:rsid w:val="00DE63A2"/>
    <w:rsid w:val="00DE63A9"/>
    <w:rsid w:val="00DE657E"/>
    <w:rsid w:val="00DE66E3"/>
    <w:rsid w:val="00DE686D"/>
    <w:rsid w:val="00DE6968"/>
    <w:rsid w:val="00DE6998"/>
    <w:rsid w:val="00DE6A77"/>
    <w:rsid w:val="00DE6AB2"/>
    <w:rsid w:val="00DE6B3D"/>
    <w:rsid w:val="00DE6B69"/>
    <w:rsid w:val="00DE6BE8"/>
    <w:rsid w:val="00DE6CDE"/>
    <w:rsid w:val="00DE6CF1"/>
    <w:rsid w:val="00DE6D51"/>
    <w:rsid w:val="00DE6D79"/>
    <w:rsid w:val="00DE6DA8"/>
    <w:rsid w:val="00DE6E10"/>
    <w:rsid w:val="00DE6E5F"/>
    <w:rsid w:val="00DE6EBB"/>
    <w:rsid w:val="00DE6F70"/>
    <w:rsid w:val="00DE6FD3"/>
    <w:rsid w:val="00DE701E"/>
    <w:rsid w:val="00DE704E"/>
    <w:rsid w:val="00DE705E"/>
    <w:rsid w:val="00DE70C6"/>
    <w:rsid w:val="00DE7153"/>
    <w:rsid w:val="00DE71CB"/>
    <w:rsid w:val="00DE722A"/>
    <w:rsid w:val="00DE7318"/>
    <w:rsid w:val="00DE733B"/>
    <w:rsid w:val="00DE73D4"/>
    <w:rsid w:val="00DE73DC"/>
    <w:rsid w:val="00DE7465"/>
    <w:rsid w:val="00DE7480"/>
    <w:rsid w:val="00DE7492"/>
    <w:rsid w:val="00DE7527"/>
    <w:rsid w:val="00DE75CE"/>
    <w:rsid w:val="00DE77DE"/>
    <w:rsid w:val="00DE7992"/>
    <w:rsid w:val="00DE79A5"/>
    <w:rsid w:val="00DE79D0"/>
    <w:rsid w:val="00DE7A02"/>
    <w:rsid w:val="00DE7A14"/>
    <w:rsid w:val="00DE7A41"/>
    <w:rsid w:val="00DE7AD5"/>
    <w:rsid w:val="00DE7B48"/>
    <w:rsid w:val="00DE7B4E"/>
    <w:rsid w:val="00DE7B87"/>
    <w:rsid w:val="00DE7C30"/>
    <w:rsid w:val="00DE7C78"/>
    <w:rsid w:val="00DE7D40"/>
    <w:rsid w:val="00DE7D8F"/>
    <w:rsid w:val="00DE7E0D"/>
    <w:rsid w:val="00DE7E0E"/>
    <w:rsid w:val="00DE7E6B"/>
    <w:rsid w:val="00DE7ED9"/>
    <w:rsid w:val="00DE7EE3"/>
    <w:rsid w:val="00DE7F11"/>
    <w:rsid w:val="00DE7F4A"/>
    <w:rsid w:val="00DE7FBE"/>
    <w:rsid w:val="00DEBEA7"/>
    <w:rsid w:val="00DF0005"/>
    <w:rsid w:val="00DF002B"/>
    <w:rsid w:val="00DF0032"/>
    <w:rsid w:val="00DF007C"/>
    <w:rsid w:val="00DF0081"/>
    <w:rsid w:val="00DF00CA"/>
    <w:rsid w:val="00DF0124"/>
    <w:rsid w:val="00DF0224"/>
    <w:rsid w:val="00DF027C"/>
    <w:rsid w:val="00DF02AD"/>
    <w:rsid w:val="00DF02D7"/>
    <w:rsid w:val="00DF02E3"/>
    <w:rsid w:val="00DF0441"/>
    <w:rsid w:val="00DF045D"/>
    <w:rsid w:val="00DF0467"/>
    <w:rsid w:val="00DF0474"/>
    <w:rsid w:val="00DF0487"/>
    <w:rsid w:val="00DF0496"/>
    <w:rsid w:val="00DF058B"/>
    <w:rsid w:val="00DF05DD"/>
    <w:rsid w:val="00DF060A"/>
    <w:rsid w:val="00DF061B"/>
    <w:rsid w:val="00DF0730"/>
    <w:rsid w:val="00DF074F"/>
    <w:rsid w:val="00DF0824"/>
    <w:rsid w:val="00DF094B"/>
    <w:rsid w:val="00DF09FE"/>
    <w:rsid w:val="00DF0A1E"/>
    <w:rsid w:val="00DF0A51"/>
    <w:rsid w:val="00DF0AF7"/>
    <w:rsid w:val="00DF0B3C"/>
    <w:rsid w:val="00DF0B6B"/>
    <w:rsid w:val="00DF0C05"/>
    <w:rsid w:val="00DF0C4D"/>
    <w:rsid w:val="00DF0C58"/>
    <w:rsid w:val="00DF0CA3"/>
    <w:rsid w:val="00DF0D4D"/>
    <w:rsid w:val="00DF0E22"/>
    <w:rsid w:val="00DF0E86"/>
    <w:rsid w:val="00DF0F75"/>
    <w:rsid w:val="00DF0F76"/>
    <w:rsid w:val="00DF0FFD"/>
    <w:rsid w:val="00DF101D"/>
    <w:rsid w:val="00DF1042"/>
    <w:rsid w:val="00DF1058"/>
    <w:rsid w:val="00DF1150"/>
    <w:rsid w:val="00DF1220"/>
    <w:rsid w:val="00DF1242"/>
    <w:rsid w:val="00DF1247"/>
    <w:rsid w:val="00DF1297"/>
    <w:rsid w:val="00DF12A7"/>
    <w:rsid w:val="00DF132A"/>
    <w:rsid w:val="00DF13A0"/>
    <w:rsid w:val="00DF13D2"/>
    <w:rsid w:val="00DF13F3"/>
    <w:rsid w:val="00DF13FE"/>
    <w:rsid w:val="00DF144E"/>
    <w:rsid w:val="00DF14F7"/>
    <w:rsid w:val="00DF16C6"/>
    <w:rsid w:val="00DF1724"/>
    <w:rsid w:val="00DF1793"/>
    <w:rsid w:val="00DF17C0"/>
    <w:rsid w:val="00DF17F1"/>
    <w:rsid w:val="00DF180C"/>
    <w:rsid w:val="00DF1877"/>
    <w:rsid w:val="00DF190C"/>
    <w:rsid w:val="00DF198F"/>
    <w:rsid w:val="00DF1A13"/>
    <w:rsid w:val="00DF1A48"/>
    <w:rsid w:val="00DF1B53"/>
    <w:rsid w:val="00DF1C21"/>
    <w:rsid w:val="00DF1C49"/>
    <w:rsid w:val="00DF1CD8"/>
    <w:rsid w:val="00DF1CFF"/>
    <w:rsid w:val="00DF1D75"/>
    <w:rsid w:val="00DF1DC7"/>
    <w:rsid w:val="00DF1FB1"/>
    <w:rsid w:val="00DF20C9"/>
    <w:rsid w:val="00DF2124"/>
    <w:rsid w:val="00DF21A1"/>
    <w:rsid w:val="00DF225D"/>
    <w:rsid w:val="00DF2287"/>
    <w:rsid w:val="00DF22DC"/>
    <w:rsid w:val="00DF237F"/>
    <w:rsid w:val="00DF23A8"/>
    <w:rsid w:val="00DF24E3"/>
    <w:rsid w:val="00DF25AB"/>
    <w:rsid w:val="00DF25B3"/>
    <w:rsid w:val="00DF2602"/>
    <w:rsid w:val="00DF265A"/>
    <w:rsid w:val="00DF278C"/>
    <w:rsid w:val="00DF282F"/>
    <w:rsid w:val="00DF286F"/>
    <w:rsid w:val="00DF28A9"/>
    <w:rsid w:val="00DF28D4"/>
    <w:rsid w:val="00DF2A99"/>
    <w:rsid w:val="00DF2AFD"/>
    <w:rsid w:val="00DF2B01"/>
    <w:rsid w:val="00DF2B0B"/>
    <w:rsid w:val="00DF2B4B"/>
    <w:rsid w:val="00DF2C6D"/>
    <w:rsid w:val="00DF2D65"/>
    <w:rsid w:val="00DF2DCB"/>
    <w:rsid w:val="00DF2E0E"/>
    <w:rsid w:val="00DF2E4E"/>
    <w:rsid w:val="00DF3008"/>
    <w:rsid w:val="00DF3154"/>
    <w:rsid w:val="00DF3232"/>
    <w:rsid w:val="00DF3324"/>
    <w:rsid w:val="00DF337B"/>
    <w:rsid w:val="00DF33FB"/>
    <w:rsid w:val="00DF348A"/>
    <w:rsid w:val="00DF355E"/>
    <w:rsid w:val="00DF369E"/>
    <w:rsid w:val="00DF36F2"/>
    <w:rsid w:val="00DF36F8"/>
    <w:rsid w:val="00DF3800"/>
    <w:rsid w:val="00DF3895"/>
    <w:rsid w:val="00DF39F1"/>
    <w:rsid w:val="00DF3B31"/>
    <w:rsid w:val="00DF3B44"/>
    <w:rsid w:val="00DF3BBD"/>
    <w:rsid w:val="00DF3BCB"/>
    <w:rsid w:val="00DF3BFA"/>
    <w:rsid w:val="00DF3CA2"/>
    <w:rsid w:val="00DF3CD6"/>
    <w:rsid w:val="00DF3DCC"/>
    <w:rsid w:val="00DF3EFD"/>
    <w:rsid w:val="00DF3F4F"/>
    <w:rsid w:val="00DF3F59"/>
    <w:rsid w:val="00DF3FA3"/>
    <w:rsid w:val="00DF40DB"/>
    <w:rsid w:val="00DF41E7"/>
    <w:rsid w:val="00DF431C"/>
    <w:rsid w:val="00DF43CA"/>
    <w:rsid w:val="00DF448F"/>
    <w:rsid w:val="00DF44C2"/>
    <w:rsid w:val="00DF4507"/>
    <w:rsid w:val="00DF4553"/>
    <w:rsid w:val="00DF456C"/>
    <w:rsid w:val="00DF458C"/>
    <w:rsid w:val="00DF462C"/>
    <w:rsid w:val="00DF4674"/>
    <w:rsid w:val="00DF4704"/>
    <w:rsid w:val="00DF471C"/>
    <w:rsid w:val="00DF478A"/>
    <w:rsid w:val="00DF4813"/>
    <w:rsid w:val="00DF4842"/>
    <w:rsid w:val="00DF4859"/>
    <w:rsid w:val="00DF48F2"/>
    <w:rsid w:val="00DF48F5"/>
    <w:rsid w:val="00DF497A"/>
    <w:rsid w:val="00DF4A23"/>
    <w:rsid w:val="00DF4AB9"/>
    <w:rsid w:val="00DF4B82"/>
    <w:rsid w:val="00DF4B8E"/>
    <w:rsid w:val="00DF4BD1"/>
    <w:rsid w:val="00DF4D0E"/>
    <w:rsid w:val="00DF4D29"/>
    <w:rsid w:val="00DF4D2C"/>
    <w:rsid w:val="00DF4FE0"/>
    <w:rsid w:val="00DF5010"/>
    <w:rsid w:val="00DF5067"/>
    <w:rsid w:val="00DF506D"/>
    <w:rsid w:val="00DF507E"/>
    <w:rsid w:val="00DF50D2"/>
    <w:rsid w:val="00DF5117"/>
    <w:rsid w:val="00DF51E9"/>
    <w:rsid w:val="00DF51F6"/>
    <w:rsid w:val="00DF5260"/>
    <w:rsid w:val="00DF529B"/>
    <w:rsid w:val="00DF52BC"/>
    <w:rsid w:val="00DF5329"/>
    <w:rsid w:val="00DF5668"/>
    <w:rsid w:val="00DF56A2"/>
    <w:rsid w:val="00DF56BB"/>
    <w:rsid w:val="00DF5782"/>
    <w:rsid w:val="00DF585B"/>
    <w:rsid w:val="00DF597E"/>
    <w:rsid w:val="00DF5995"/>
    <w:rsid w:val="00DF59A0"/>
    <w:rsid w:val="00DF59CB"/>
    <w:rsid w:val="00DF5A59"/>
    <w:rsid w:val="00DF5A6D"/>
    <w:rsid w:val="00DF5B52"/>
    <w:rsid w:val="00DF5B99"/>
    <w:rsid w:val="00DF5C9B"/>
    <w:rsid w:val="00DF5E0E"/>
    <w:rsid w:val="00DF5E49"/>
    <w:rsid w:val="00DF5E7D"/>
    <w:rsid w:val="00DF5F5F"/>
    <w:rsid w:val="00DF5F80"/>
    <w:rsid w:val="00DF5FF7"/>
    <w:rsid w:val="00DF60A6"/>
    <w:rsid w:val="00DF6126"/>
    <w:rsid w:val="00DF616F"/>
    <w:rsid w:val="00DF61C1"/>
    <w:rsid w:val="00DF6213"/>
    <w:rsid w:val="00DF6245"/>
    <w:rsid w:val="00DF626D"/>
    <w:rsid w:val="00DF62D7"/>
    <w:rsid w:val="00DF635B"/>
    <w:rsid w:val="00DF6387"/>
    <w:rsid w:val="00DF639C"/>
    <w:rsid w:val="00DF63B7"/>
    <w:rsid w:val="00DF63F7"/>
    <w:rsid w:val="00DF6425"/>
    <w:rsid w:val="00DF650B"/>
    <w:rsid w:val="00DF6548"/>
    <w:rsid w:val="00DF6666"/>
    <w:rsid w:val="00DF66A7"/>
    <w:rsid w:val="00DF67F7"/>
    <w:rsid w:val="00DF6800"/>
    <w:rsid w:val="00DF693A"/>
    <w:rsid w:val="00DF6A1E"/>
    <w:rsid w:val="00DF6AAF"/>
    <w:rsid w:val="00DF6B35"/>
    <w:rsid w:val="00DF6BBE"/>
    <w:rsid w:val="00DF6C0E"/>
    <w:rsid w:val="00DF6C17"/>
    <w:rsid w:val="00DF6C96"/>
    <w:rsid w:val="00DF6DD1"/>
    <w:rsid w:val="00DF6E5D"/>
    <w:rsid w:val="00DF6E77"/>
    <w:rsid w:val="00DF6F0C"/>
    <w:rsid w:val="00DF6F2F"/>
    <w:rsid w:val="00DF6F8E"/>
    <w:rsid w:val="00DF7004"/>
    <w:rsid w:val="00DF7088"/>
    <w:rsid w:val="00DF708E"/>
    <w:rsid w:val="00DF71C9"/>
    <w:rsid w:val="00DF7288"/>
    <w:rsid w:val="00DF7345"/>
    <w:rsid w:val="00DF73E8"/>
    <w:rsid w:val="00DF74C9"/>
    <w:rsid w:val="00DF74E1"/>
    <w:rsid w:val="00DF7586"/>
    <w:rsid w:val="00DF7608"/>
    <w:rsid w:val="00DF763B"/>
    <w:rsid w:val="00DF76E8"/>
    <w:rsid w:val="00DF7744"/>
    <w:rsid w:val="00DF7838"/>
    <w:rsid w:val="00DF7A47"/>
    <w:rsid w:val="00DF7A98"/>
    <w:rsid w:val="00DF7AEB"/>
    <w:rsid w:val="00DF7B6C"/>
    <w:rsid w:val="00DF7CAF"/>
    <w:rsid w:val="00DF7CE1"/>
    <w:rsid w:val="00DF7D44"/>
    <w:rsid w:val="00DF7E05"/>
    <w:rsid w:val="00DF7E57"/>
    <w:rsid w:val="00DF7F4B"/>
    <w:rsid w:val="00E000EA"/>
    <w:rsid w:val="00E000EC"/>
    <w:rsid w:val="00E00173"/>
    <w:rsid w:val="00E0019B"/>
    <w:rsid w:val="00E001F7"/>
    <w:rsid w:val="00E0022D"/>
    <w:rsid w:val="00E002B2"/>
    <w:rsid w:val="00E003C7"/>
    <w:rsid w:val="00E00422"/>
    <w:rsid w:val="00E0042E"/>
    <w:rsid w:val="00E0046F"/>
    <w:rsid w:val="00E00582"/>
    <w:rsid w:val="00E0062A"/>
    <w:rsid w:val="00E0065E"/>
    <w:rsid w:val="00E006FA"/>
    <w:rsid w:val="00E00712"/>
    <w:rsid w:val="00E007F1"/>
    <w:rsid w:val="00E00811"/>
    <w:rsid w:val="00E00844"/>
    <w:rsid w:val="00E00872"/>
    <w:rsid w:val="00E0088A"/>
    <w:rsid w:val="00E00922"/>
    <w:rsid w:val="00E00960"/>
    <w:rsid w:val="00E0096A"/>
    <w:rsid w:val="00E00980"/>
    <w:rsid w:val="00E00A05"/>
    <w:rsid w:val="00E00A5F"/>
    <w:rsid w:val="00E00A78"/>
    <w:rsid w:val="00E00A9F"/>
    <w:rsid w:val="00E00B44"/>
    <w:rsid w:val="00E00C2F"/>
    <w:rsid w:val="00E00ECA"/>
    <w:rsid w:val="00E0109E"/>
    <w:rsid w:val="00E010B2"/>
    <w:rsid w:val="00E010CE"/>
    <w:rsid w:val="00E01130"/>
    <w:rsid w:val="00E0113B"/>
    <w:rsid w:val="00E01143"/>
    <w:rsid w:val="00E01170"/>
    <w:rsid w:val="00E01209"/>
    <w:rsid w:val="00E01281"/>
    <w:rsid w:val="00E012A7"/>
    <w:rsid w:val="00E0133F"/>
    <w:rsid w:val="00E01502"/>
    <w:rsid w:val="00E01518"/>
    <w:rsid w:val="00E01578"/>
    <w:rsid w:val="00E01587"/>
    <w:rsid w:val="00E01591"/>
    <w:rsid w:val="00E01644"/>
    <w:rsid w:val="00E01650"/>
    <w:rsid w:val="00E01688"/>
    <w:rsid w:val="00E016D3"/>
    <w:rsid w:val="00E01701"/>
    <w:rsid w:val="00E017AC"/>
    <w:rsid w:val="00E0184A"/>
    <w:rsid w:val="00E01850"/>
    <w:rsid w:val="00E01876"/>
    <w:rsid w:val="00E01908"/>
    <w:rsid w:val="00E0194C"/>
    <w:rsid w:val="00E01951"/>
    <w:rsid w:val="00E01970"/>
    <w:rsid w:val="00E019EA"/>
    <w:rsid w:val="00E01A96"/>
    <w:rsid w:val="00E01B54"/>
    <w:rsid w:val="00E01BE7"/>
    <w:rsid w:val="00E01C82"/>
    <w:rsid w:val="00E01D20"/>
    <w:rsid w:val="00E01D63"/>
    <w:rsid w:val="00E01D9B"/>
    <w:rsid w:val="00E01E79"/>
    <w:rsid w:val="00E01EB3"/>
    <w:rsid w:val="00E01F9C"/>
    <w:rsid w:val="00E01FE0"/>
    <w:rsid w:val="00E0201E"/>
    <w:rsid w:val="00E02100"/>
    <w:rsid w:val="00E021C1"/>
    <w:rsid w:val="00E022C4"/>
    <w:rsid w:val="00E022F3"/>
    <w:rsid w:val="00E022F6"/>
    <w:rsid w:val="00E0230D"/>
    <w:rsid w:val="00E0232E"/>
    <w:rsid w:val="00E024CB"/>
    <w:rsid w:val="00E02555"/>
    <w:rsid w:val="00E026E4"/>
    <w:rsid w:val="00E0271F"/>
    <w:rsid w:val="00E0275B"/>
    <w:rsid w:val="00E0280B"/>
    <w:rsid w:val="00E028A3"/>
    <w:rsid w:val="00E028FE"/>
    <w:rsid w:val="00E02993"/>
    <w:rsid w:val="00E02A0C"/>
    <w:rsid w:val="00E02A51"/>
    <w:rsid w:val="00E02A6C"/>
    <w:rsid w:val="00E02AB9"/>
    <w:rsid w:val="00E02ABF"/>
    <w:rsid w:val="00E02B5E"/>
    <w:rsid w:val="00E02B7C"/>
    <w:rsid w:val="00E02BDE"/>
    <w:rsid w:val="00E02C27"/>
    <w:rsid w:val="00E02C33"/>
    <w:rsid w:val="00E02C98"/>
    <w:rsid w:val="00E02CB0"/>
    <w:rsid w:val="00E02CB9"/>
    <w:rsid w:val="00E02CE1"/>
    <w:rsid w:val="00E02D0D"/>
    <w:rsid w:val="00E02E3E"/>
    <w:rsid w:val="00E02E49"/>
    <w:rsid w:val="00E02E79"/>
    <w:rsid w:val="00E02EDF"/>
    <w:rsid w:val="00E02F8F"/>
    <w:rsid w:val="00E030BA"/>
    <w:rsid w:val="00E030D0"/>
    <w:rsid w:val="00E03115"/>
    <w:rsid w:val="00E03126"/>
    <w:rsid w:val="00E0317D"/>
    <w:rsid w:val="00E031A2"/>
    <w:rsid w:val="00E031D1"/>
    <w:rsid w:val="00E0322F"/>
    <w:rsid w:val="00E032E3"/>
    <w:rsid w:val="00E032E6"/>
    <w:rsid w:val="00E0335F"/>
    <w:rsid w:val="00E033C4"/>
    <w:rsid w:val="00E033CB"/>
    <w:rsid w:val="00E03424"/>
    <w:rsid w:val="00E03493"/>
    <w:rsid w:val="00E034C4"/>
    <w:rsid w:val="00E03521"/>
    <w:rsid w:val="00E035DA"/>
    <w:rsid w:val="00E03661"/>
    <w:rsid w:val="00E03666"/>
    <w:rsid w:val="00E036DB"/>
    <w:rsid w:val="00E037FB"/>
    <w:rsid w:val="00E038BD"/>
    <w:rsid w:val="00E0394C"/>
    <w:rsid w:val="00E039CE"/>
    <w:rsid w:val="00E03A1B"/>
    <w:rsid w:val="00E03A89"/>
    <w:rsid w:val="00E03AB2"/>
    <w:rsid w:val="00E03AD6"/>
    <w:rsid w:val="00E03B6C"/>
    <w:rsid w:val="00E03BCE"/>
    <w:rsid w:val="00E03CEC"/>
    <w:rsid w:val="00E03DB5"/>
    <w:rsid w:val="00E03E22"/>
    <w:rsid w:val="00E03E5D"/>
    <w:rsid w:val="00E03E94"/>
    <w:rsid w:val="00E03F94"/>
    <w:rsid w:val="00E03F99"/>
    <w:rsid w:val="00E0404D"/>
    <w:rsid w:val="00E040AD"/>
    <w:rsid w:val="00E041A8"/>
    <w:rsid w:val="00E041F1"/>
    <w:rsid w:val="00E04207"/>
    <w:rsid w:val="00E04298"/>
    <w:rsid w:val="00E042C5"/>
    <w:rsid w:val="00E04315"/>
    <w:rsid w:val="00E0432D"/>
    <w:rsid w:val="00E04365"/>
    <w:rsid w:val="00E044BD"/>
    <w:rsid w:val="00E04594"/>
    <w:rsid w:val="00E045AE"/>
    <w:rsid w:val="00E045C6"/>
    <w:rsid w:val="00E045E0"/>
    <w:rsid w:val="00E045E6"/>
    <w:rsid w:val="00E0462A"/>
    <w:rsid w:val="00E04644"/>
    <w:rsid w:val="00E04677"/>
    <w:rsid w:val="00E0469E"/>
    <w:rsid w:val="00E046E2"/>
    <w:rsid w:val="00E04765"/>
    <w:rsid w:val="00E04798"/>
    <w:rsid w:val="00E047AC"/>
    <w:rsid w:val="00E047D7"/>
    <w:rsid w:val="00E04814"/>
    <w:rsid w:val="00E04832"/>
    <w:rsid w:val="00E0487D"/>
    <w:rsid w:val="00E04885"/>
    <w:rsid w:val="00E04893"/>
    <w:rsid w:val="00E04939"/>
    <w:rsid w:val="00E0493B"/>
    <w:rsid w:val="00E0498E"/>
    <w:rsid w:val="00E049F2"/>
    <w:rsid w:val="00E04A14"/>
    <w:rsid w:val="00E04B51"/>
    <w:rsid w:val="00E04BB4"/>
    <w:rsid w:val="00E04C60"/>
    <w:rsid w:val="00E04CD8"/>
    <w:rsid w:val="00E04DAA"/>
    <w:rsid w:val="00E04EB4"/>
    <w:rsid w:val="00E04EE5"/>
    <w:rsid w:val="00E04EF7"/>
    <w:rsid w:val="00E04F01"/>
    <w:rsid w:val="00E04F5C"/>
    <w:rsid w:val="00E04F61"/>
    <w:rsid w:val="00E05066"/>
    <w:rsid w:val="00E05085"/>
    <w:rsid w:val="00E050C1"/>
    <w:rsid w:val="00E05179"/>
    <w:rsid w:val="00E051E0"/>
    <w:rsid w:val="00E052A6"/>
    <w:rsid w:val="00E052BE"/>
    <w:rsid w:val="00E052C3"/>
    <w:rsid w:val="00E052D2"/>
    <w:rsid w:val="00E054FD"/>
    <w:rsid w:val="00E0568E"/>
    <w:rsid w:val="00E056ED"/>
    <w:rsid w:val="00E05726"/>
    <w:rsid w:val="00E057D1"/>
    <w:rsid w:val="00E05870"/>
    <w:rsid w:val="00E058DC"/>
    <w:rsid w:val="00E059D0"/>
    <w:rsid w:val="00E05BBA"/>
    <w:rsid w:val="00E05BE2"/>
    <w:rsid w:val="00E05C58"/>
    <w:rsid w:val="00E05CD1"/>
    <w:rsid w:val="00E05D75"/>
    <w:rsid w:val="00E05D7E"/>
    <w:rsid w:val="00E05E4E"/>
    <w:rsid w:val="00E05EAB"/>
    <w:rsid w:val="00E05F21"/>
    <w:rsid w:val="00E05F3D"/>
    <w:rsid w:val="00E05F4B"/>
    <w:rsid w:val="00E05F65"/>
    <w:rsid w:val="00E05F7A"/>
    <w:rsid w:val="00E05F7C"/>
    <w:rsid w:val="00E06105"/>
    <w:rsid w:val="00E06137"/>
    <w:rsid w:val="00E0621A"/>
    <w:rsid w:val="00E0628F"/>
    <w:rsid w:val="00E0629D"/>
    <w:rsid w:val="00E062B5"/>
    <w:rsid w:val="00E06302"/>
    <w:rsid w:val="00E06326"/>
    <w:rsid w:val="00E06342"/>
    <w:rsid w:val="00E0636B"/>
    <w:rsid w:val="00E063A6"/>
    <w:rsid w:val="00E0653F"/>
    <w:rsid w:val="00E066E4"/>
    <w:rsid w:val="00E06743"/>
    <w:rsid w:val="00E068B0"/>
    <w:rsid w:val="00E069AA"/>
    <w:rsid w:val="00E069BF"/>
    <w:rsid w:val="00E069CD"/>
    <w:rsid w:val="00E069D9"/>
    <w:rsid w:val="00E06A62"/>
    <w:rsid w:val="00E06A65"/>
    <w:rsid w:val="00E06AE4"/>
    <w:rsid w:val="00E06B2A"/>
    <w:rsid w:val="00E06B69"/>
    <w:rsid w:val="00E06B80"/>
    <w:rsid w:val="00E06B9D"/>
    <w:rsid w:val="00E06BD6"/>
    <w:rsid w:val="00E06C2E"/>
    <w:rsid w:val="00E06C82"/>
    <w:rsid w:val="00E06E88"/>
    <w:rsid w:val="00E06E96"/>
    <w:rsid w:val="00E06EBC"/>
    <w:rsid w:val="00E06EC3"/>
    <w:rsid w:val="00E06F99"/>
    <w:rsid w:val="00E06FC9"/>
    <w:rsid w:val="00E06FF9"/>
    <w:rsid w:val="00E07006"/>
    <w:rsid w:val="00E07053"/>
    <w:rsid w:val="00E07147"/>
    <w:rsid w:val="00E07172"/>
    <w:rsid w:val="00E071D0"/>
    <w:rsid w:val="00E072A0"/>
    <w:rsid w:val="00E07440"/>
    <w:rsid w:val="00E07448"/>
    <w:rsid w:val="00E074B1"/>
    <w:rsid w:val="00E07603"/>
    <w:rsid w:val="00E07639"/>
    <w:rsid w:val="00E076FF"/>
    <w:rsid w:val="00E0777F"/>
    <w:rsid w:val="00E077A7"/>
    <w:rsid w:val="00E077A9"/>
    <w:rsid w:val="00E07822"/>
    <w:rsid w:val="00E0786B"/>
    <w:rsid w:val="00E07896"/>
    <w:rsid w:val="00E079E8"/>
    <w:rsid w:val="00E079EF"/>
    <w:rsid w:val="00E07A12"/>
    <w:rsid w:val="00E07A1D"/>
    <w:rsid w:val="00E07A2D"/>
    <w:rsid w:val="00E07A8D"/>
    <w:rsid w:val="00E07AF7"/>
    <w:rsid w:val="00E07B59"/>
    <w:rsid w:val="00E07B70"/>
    <w:rsid w:val="00E07C95"/>
    <w:rsid w:val="00E07DC3"/>
    <w:rsid w:val="00E07E23"/>
    <w:rsid w:val="00E07E27"/>
    <w:rsid w:val="00E07E6A"/>
    <w:rsid w:val="00E07E70"/>
    <w:rsid w:val="00E07EE9"/>
    <w:rsid w:val="00E07F3D"/>
    <w:rsid w:val="00E07FD7"/>
    <w:rsid w:val="00E0EECC"/>
    <w:rsid w:val="00E1000A"/>
    <w:rsid w:val="00E10012"/>
    <w:rsid w:val="00E1014D"/>
    <w:rsid w:val="00E1014E"/>
    <w:rsid w:val="00E101BE"/>
    <w:rsid w:val="00E101D7"/>
    <w:rsid w:val="00E101EE"/>
    <w:rsid w:val="00E101FC"/>
    <w:rsid w:val="00E1029E"/>
    <w:rsid w:val="00E1038F"/>
    <w:rsid w:val="00E10398"/>
    <w:rsid w:val="00E104BB"/>
    <w:rsid w:val="00E10531"/>
    <w:rsid w:val="00E105AD"/>
    <w:rsid w:val="00E105F8"/>
    <w:rsid w:val="00E10616"/>
    <w:rsid w:val="00E1062A"/>
    <w:rsid w:val="00E10673"/>
    <w:rsid w:val="00E106A7"/>
    <w:rsid w:val="00E1071C"/>
    <w:rsid w:val="00E10791"/>
    <w:rsid w:val="00E107D0"/>
    <w:rsid w:val="00E107D4"/>
    <w:rsid w:val="00E1097C"/>
    <w:rsid w:val="00E109E8"/>
    <w:rsid w:val="00E10AC1"/>
    <w:rsid w:val="00E10AF3"/>
    <w:rsid w:val="00E10BBF"/>
    <w:rsid w:val="00E10BC0"/>
    <w:rsid w:val="00E10C9C"/>
    <w:rsid w:val="00E10C9D"/>
    <w:rsid w:val="00E10D71"/>
    <w:rsid w:val="00E10DCC"/>
    <w:rsid w:val="00E10E99"/>
    <w:rsid w:val="00E1113C"/>
    <w:rsid w:val="00E11170"/>
    <w:rsid w:val="00E11178"/>
    <w:rsid w:val="00E1118E"/>
    <w:rsid w:val="00E11209"/>
    <w:rsid w:val="00E112B2"/>
    <w:rsid w:val="00E113A8"/>
    <w:rsid w:val="00E113B8"/>
    <w:rsid w:val="00E113C3"/>
    <w:rsid w:val="00E113E7"/>
    <w:rsid w:val="00E114AF"/>
    <w:rsid w:val="00E1158F"/>
    <w:rsid w:val="00E1166C"/>
    <w:rsid w:val="00E11677"/>
    <w:rsid w:val="00E116E4"/>
    <w:rsid w:val="00E11735"/>
    <w:rsid w:val="00E11758"/>
    <w:rsid w:val="00E1177C"/>
    <w:rsid w:val="00E117D3"/>
    <w:rsid w:val="00E117F6"/>
    <w:rsid w:val="00E11855"/>
    <w:rsid w:val="00E11863"/>
    <w:rsid w:val="00E11873"/>
    <w:rsid w:val="00E118F6"/>
    <w:rsid w:val="00E11967"/>
    <w:rsid w:val="00E1199F"/>
    <w:rsid w:val="00E11A00"/>
    <w:rsid w:val="00E11A2E"/>
    <w:rsid w:val="00E11B23"/>
    <w:rsid w:val="00E11BDB"/>
    <w:rsid w:val="00E11C75"/>
    <w:rsid w:val="00E11D21"/>
    <w:rsid w:val="00E11D9A"/>
    <w:rsid w:val="00E11E15"/>
    <w:rsid w:val="00E11EAF"/>
    <w:rsid w:val="00E11F95"/>
    <w:rsid w:val="00E12150"/>
    <w:rsid w:val="00E121C2"/>
    <w:rsid w:val="00E121EF"/>
    <w:rsid w:val="00E12256"/>
    <w:rsid w:val="00E12291"/>
    <w:rsid w:val="00E122C3"/>
    <w:rsid w:val="00E12471"/>
    <w:rsid w:val="00E12488"/>
    <w:rsid w:val="00E124CD"/>
    <w:rsid w:val="00E12527"/>
    <w:rsid w:val="00E12544"/>
    <w:rsid w:val="00E125D4"/>
    <w:rsid w:val="00E125FE"/>
    <w:rsid w:val="00E12606"/>
    <w:rsid w:val="00E12629"/>
    <w:rsid w:val="00E126E8"/>
    <w:rsid w:val="00E126EA"/>
    <w:rsid w:val="00E127F8"/>
    <w:rsid w:val="00E12839"/>
    <w:rsid w:val="00E1283B"/>
    <w:rsid w:val="00E12885"/>
    <w:rsid w:val="00E128CD"/>
    <w:rsid w:val="00E1290B"/>
    <w:rsid w:val="00E1291B"/>
    <w:rsid w:val="00E1295A"/>
    <w:rsid w:val="00E12A75"/>
    <w:rsid w:val="00E12AAC"/>
    <w:rsid w:val="00E12AB0"/>
    <w:rsid w:val="00E12AFC"/>
    <w:rsid w:val="00E12B35"/>
    <w:rsid w:val="00E12BBF"/>
    <w:rsid w:val="00E12C13"/>
    <w:rsid w:val="00E12C62"/>
    <w:rsid w:val="00E12D6A"/>
    <w:rsid w:val="00E12ECB"/>
    <w:rsid w:val="00E12EF3"/>
    <w:rsid w:val="00E12F75"/>
    <w:rsid w:val="00E12F78"/>
    <w:rsid w:val="00E12FAB"/>
    <w:rsid w:val="00E13044"/>
    <w:rsid w:val="00E13056"/>
    <w:rsid w:val="00E131AF"/>
    <w:rsid w:val="00E131BE"/>
    <w:rsid w:val="00E131EA"/>
    <w:rsid w:val="00E13382"/>
    <w:rsid w:val="00E13393"/>
    <w:rsid w:val="00E134C0"/>
    <w:rsid w:val="00E13506"/>
    <w:rsid w:val="00E1355E"/>
    <w:rsid w:val="00E135C1"/>
    <w:rsid w:val="00E136E9"/>
    <w:rsid w:val="00E13767"/>
    <w:rsid w:val="00E1382B"/>
    <w:rsid w:val="00E1387E"/>
    <w:rsid w:val="00E138DC"/>
    <w:rsid w:val="00E13A8E"/>
    <w:rsid w:val="00E13CF3"/>
    <w:rsid w:val="00E13D01"/>
    <w:rsid w:val="00E13DFB"/>
    <w:rsid w:val="00E13E7B"/>
    <w:rsid w:val="00E13F53"/>
    <w:rsid w:val="00E13F67"/>
    <w:rsid w:val="00E13F8D"/>
    <w:rsid w:val="00E13FD2"/>
    <w:rsid w:val="00E1404D"/>
    <w:rsid w:val="00E14076"/>
    <w:rsid w:val="00E14080"/>
    <w:rsid w:val="00E140C3"/>
    <w:rsid w:val="00E140C6"/>
    <w:rsid w:val="00E1420C"/>
    <w:rsid w:val="00E1428D"/>
    <w:rsid w:val="00E14371"/>
    <w:rsid w:val="00E14417"/>
    <w:rsid w:val="00E1447C"/>
    <w:rsid w:val="00E144E0"/>
    <w:rsid w:val="00E1456D"/>
    <w:rsid w:val="00E14639"/>
    <w:rsid w:val="00E1484B"/>
    <w:rsid w:val="00E14862"/>
    <w:rsid w:val="00E14897"/>
    <w:rsid w:val="00E148B0"/>
    <w:rsid w:val="00E14966"/>
    <w:rsid w:val="00E14A49"/>
    <w:rsid w:val="00E14AC0"/>
    <w:rsid w:val="00E14B18"/>
    <w:rsid w:val="00E14B70"/>
    <w:rsid w:val="00E14C24"/>
    <w:rsid w:val="00E14C52"/>
    <w:rsid w:val="00E14E1D"/>
    <w:rsid w:val="00E14E24"/>
    <w:rsid w:val="00E14EA8"/>
    <w:rsid w:val="00E14EEB"/>
    <w:rsid w:val="00E14FAD"/>
    <w:rsid w:val="00E14FF8"/>
    <w:rsid w:val="00E1504B"/>
    <w:rsid w:val="00E15101"/>
    <w:rsid w:val="00E1518B"/>
    <w:rsid w:val="00E1518E"/>
    <w:rsid w:val="00E151DC"/>
    <w:rsid w:val="00E151FC"/>
    <w:rsid w:val="00E15216"/>
    <w:rsid w:val="00E152E3"/>
    <w:rsid w:val="00E152EC"/>
    <w:rsid w:val="00E153A4"/>
    <w:rsid w:val="00E15412"/>
    <w:rsid w:val="00E154DF"/>
    <w:rsid w:val="00E15515"/>
    <w:rsid w:val="00E155A4"/>
    <w:rsid w:val="00E155AB"/>
    <w:rsid w:val="00E155B7"/>
    <w:rsid w:val="00E15603"/>
    <w:rsid w:val="00E15670"/>
    <w:rsid w:val="00E156B9"/>
    <w:rsid w:val="00E156CB"/>
    <w:rsid w:val="00E156E8"/>
    <w:rsid w:val="00E15785"/>
    <w:rsid w:val="00E1580B"/>
    <w:rsid w:val="00E15875"/>
    <w:rsid w:val="00E158CE"/>
    <w:rsid w:val="00E158E0"/>
    <w:rsid w:val="00E1593B"/>
    <w:rsid w:val="00E159B4"/>
    <w:rsid w:val="00E159D5"/>
    <w:rsid w:val="00E15C0D"/>
    <w:rsid w:val="00E15C5F"/>
    <w:rsid w:val="00E15D21"/>
    <w:rsid w:val="00E15EDE"/>
    <w:rsid w:val="00E15FA4"/>
    <w:rsid w:val="00E15FBA"/>
    <w:rsid w:val="00E15FC5"/>
    <w:rsid w:val="00E1601E"/>
    <w:rsid w:val="00E1603B"/>
    <w:rsid w:val="00E1614E"/>
    <w:rsid w:val="00E16165"/>
    <w:rsid w:val="00E161CC"/>
    <w:rsid w:val="00E1626B"/>
    <w:rsid w:val="00E1630B"/>
    <w:rsid w:val="00E163D0"/>
    <w:rsid w:val="00E16463"/>
    <w:rsid w:val="00E1653E"/>
    <w:rsid w:val="00E16546"/>
    <w:rsid w:val="00E1657B"/>
    <w:rsid w:val="00E1659C"/>
    <w:rsid w:val="00E166F5"/>
    <w:rsid w:val="00E1685D"/>
    <w:rsid w:val="00E16940"/>
    <w:rsid w:val="00E16984"/>
    <w:rsid w:val="00E16989"/>
    <w:rsid w:val="00E169D4"/>
    <w:rsid w:val="00E16AD5"/>
    <w:rsid w:val="00E16B97"/>
    <w:rsid w:val="00E16BA3"/>
    <w:rsid w:val="00E16C63"/>
    <w:rsid w:val="00E16E01"/>
    <w:rsid w:val="00E16E63"/>
    <w:rsid w:val="00E16EBA"/>
    <w:rsid w:val="00E16EFA"/>
    <w:rsid w:val="00E16FAC"/>
    <w:rsid w:val="00E16FCC"/>
    <w:rsid w:val="00E17030"/>
    <w:rsid w:val="00E17036"/>
    <w:rsid w:val="00E170B5"/>
    <w:rsid w:val="00E17100"/>
    <w:rsid w:val="00E17141"/>
    <w:rsid w:val="00E171B1"/>
    <w:rsid w:val="00E171B6"/>
    <w:rsid w:val="00E172FD"/>
    <w:rsid w:val="00E17341"/>
    <w:rsid w:val="00E1735F"/>
    <w:rsid w:val="00E1741F"/>
    <w:rsid w:val="00E17443"/>
    <w:rsid w:val="00E1746B"/>
    <w:rsid w:val="00E17579"/>
    <w:rsid w:val="00E17603"/>
    <w:rsid w:val="00E17642"/>
    <w:rsid w:val="00E17649"/>
    <w:rsid w:val="00E176F4"/>
    <w:rsid w:val="00E176FB"/>
    <w:rsid w:val="00E1777D"/>
    <w:rsid w:val="00E1777E"/>
    <w:rsid w:val="00E177C7"/>
    <w:rsid w:val="00E177E1"/>
    <w:rsid w:val="00E17818"/>
    <w:rsid w:val="00E1785A"/>
    <w:rsid w:val="00E17927"/>
    <w:rsid w:val="00E1795C"/>
    <w:rsid w:val="00E179A3"/>
    <w:rsid w:val="00E179B8"/>
    <w:rsid w:val="00E179EC"/>
    <w:rsid w:val="00E17A45"/>
    <w:rsid w:val="00E17B6A"/>
    <w:rsid w:val="00E17B80"/>
    <w:rsid w:val="00E17BC6"/>
    <w:rsid w:val="00E17BDB"/>
    <w:rsid w:val="00E17C79"/>
    <w:rsid w:val="00E17C7E"/>
    <w:rsid w:val="00E17D9F"/>
    <w:rsid w:val="00E17EAD"/>
    <w:rsid w:val="00E17F32"/>
    <w:rsid w:val="00E17F39"/>
    <w:rsid w:val="00E17F78"/>
    <w:rsid w:val="00E17FB9"/>
    <w:rsid w:val="00E200FA"/>
    <w:rsid w:val="00E2019E"/>
    <w:rsid w:val="00E2023F"/>
    <w:rsid w:val="00E2026B"/>
    <w:rsid w:val="00E2027D"/>
    <w:rsid w:val="00E203B8"/>
    <w:rsid w:val="00E2045A"/>
    <w:rsid w:val="00E20472"/>
    <w:rsid w:val="00E20482"/>
    <w:rsid w:val="00E20510"/>
    <w:rsid w:val="00E20552"/>
    <w:rsid w:val="00E2060C"/>
    <w:rsid w:val="00E206E3"/>
    <w:rsid w:val="00E206FE"/>
    <w:rsid w:val="00E20727"/>
    <w:rsid w:val="00E207E4"/>
    <w:rsid w:val="00E20845"/>
    <w:rsid w:val="00E2087C"/>
    <w:rsid w:val="00E208C1"/>
    <w:rsid w:val="00E208CC"/>
    <w:rsid w:val="00E209D5"/>
    <w:rsid w:val="00E209ED"/>
    <w:rsid w:val="00E20A4E"/>
    <w:rsid w:val="00E20AAD"/>
    <w:rsid w:val="00E20AC5"/>
    <w:rsid w:val="00E20B31"/>
    <w:rsid w:val="00E20B76"/>
    <w:rsid w:val="00E20C28"/>
    <w:rsid w:val="00E20D1B"/>
    <w:rsid w:val="00E20D2E"/>
    <w:rsid w:val="00E20DF0"/>
    <w:rsid w:val="00E20E50"/>
    <w:rsid w:val="00E20E9E"/>
    <w:rsid w:val="00E20EE4"/>
    <w:rsid w:val="00E20F3B"/>
    <w:rsid w:val="00E21010"/>
    <w:rsid w:val="00E21116"/>
    <w:rsid w:val="00E211F1"/>
    <w:rsid w:val="00E211FD"/>
    <w:rsid w:val="00E21410"/>
    <w:rsid w:val="00E21484"/>
    <w:rsid w:val="00E215E5"/>
    <w:rsid w:val="00E2165C"/>
    <w:rsid w:val="00E21696"/>
    <w:rsid w:val="00E216EF"/>
    <w:rsid w:val="00E2174B"/>
    <w:rsid w:val="00E21794"/>
    <w:rsid w:val="00E217DF"/>
    <w:rsid w:val="00E2185D"/>
    <w:rsid w:val="00E21883"/>
    <w:rsid w:val="00E21949"/>
    <w:rsid w:val="00E219E1"/>
    <w:rsid w:val="00E21BCF"/>
    <w:rsid w:val="00E21CD7"/>
    <w:rsid w:val="00E21CE4"/>
    <w:rsid w:val="00E21DDD"/>
    <w:rsid w:val="00E21F15"/>
    <w:rsid w:val="00E21F6E"/>
    <w:rsid w:val="00E220CD"/>
    <w:rsid w:val="00E22135"/>
    <w:rsid w:val="00E221E3"/>
    <w:rsid w:val="00E2221D"/>
    <w:rsid w:val="00E22251"/>
    <w:rsid w:val="00E222A2"/>
    <w:rsid w:val="00E22335"/>
    <w:rsid w:val="00E22393"/>
    <w:rsid w:val="00E223B8"/>
    <w:rsid w:val="00E2241C"/>
    <w:rsid w:val="00E22470"/>
    <w:rsid w:val="00E2248E"/>
    <w:rsid w:val="00E225EF"/>
    <w:rsid w:val="00E22661"/>
    <w:rsid w:val="00E22674"/>
    <w:rsid w:val="00E22734"/>
    <w:rsid w:val="00E227E2"/>
    <w:rsid w:val="00E2282A"/>
    <w:rsid w:val="00E2286F"/>
    <w:rsid w:val="00E228A9"/>
    <w:rsid w:val="00E22916"/>
    <w:rsid w:val="00E229FF"/>
    <w:rsid w:val="00E22A21"/>
    <w:rsid w:val="00E22B04"/>
    <w:rsid w:val="00E22B5E"/>
    <w:rsid w:val="00E22B61"/>
    <w:rsid w:val="00E22B84"/>
    <w:rsid w:val="00E22BC8"/>
    <w:rsid w:val="00E22BF6"/>
    <w:rsid w:val="00E22D82"/>
    <w:rsid w:val="00E22E2D"/>
    <w:rsid w:val="00E22E97"/>
    <w:rsid w:val="00E22EBB"/>
    <w:rsid w:val="00E22FE3"/>
    <w:rsid w:val="00E23006"/>
    <w:rsid w:val="00E23076"/>
    <w:rsid w:val="00E23083"/>
    <w:rsid w:val="00E23101"/>
    <w:rsid w:val="00E23127"/>
    <w:rsid w:val="00E23174"/>
    <w:rsid w:val="00E231E3"/>
    <w:rsid w:val="00E23201"/>
    <w:rsid w:val="00E232A0"/>
    <w:rsid w:val="00E2334C"/>
    <w:rsid w:val="00E2337D"/>
    <w:rsid w:val="00E23416"/>
    <w:rsid w:val="00E23469"/>
    <w:rsid w:val="00E23519"/>
    <w:rsid w:val="00E23575"/>
    <w:rsid w:val="00E235A2"/>
    <w:rsid w:val="00E235CC"/>
    <w:rsid w:val="00E2362B"/>
    <w:rsid w:val="00E23630"/>
    <w:rsid w:val="00E2373B"/>
    <w:rsid w:val="00E237DF"/>
    <w:rsid w:val="00E23ACC"/>
    <w:rsid w:val="00E23B18"/>
    <w:rsid w:val="00E23B27"/>
    <w:rsid w:val="00E23B6E"/>
    <w:rsid w:val="00E23BE3"/>
    <w:rsid w:val="00E23C26"/>
    <w:rsid w:val="00E23D08"/>
    <w:rsid w:val="00E23DFF"/>
    <w:rsid w:val="00E23E82"/>
    <w:rsid w:val="00E23FFE"/>
    <w:rsid w:val="00E24023"/>
    <w:rsid w:val="00E240EF"/>
    <w:rsid w:val="00E24106"/>
    <w:rsid w:val="00E2425A"/>
    <w:rsid w:val="00E2427C"/>
    <w:rsid w:val="00E242AC"/>
    <w:rsid w:val="00E24351"/>
    <w:rsid w:val="00E24422"/>
    <w:rsid w:val="00E245F6"/>
    <w:rsid w:val="00E246EC"/>
    <w:rsid w:val="00E247FE"/>
    <w:rsid w:val="00E24864"/>
    <w:rsid w:val="00E2492E"/>
    <w:rsid w:val="00E2492F"/>
    <w:rsid w:val="00E2496B"/>
    <w:rsid w:val="00E24ACC"/>
    <w:rsid w:val="00E24ADF"/>
    <w:rsid w:val="00E24AF5"/>
    <w:rsid w:val="00E24B0C"/>
    <w:rsid w:val="00E24B0F"/>
    <w:rsid w:val="00E24B85"/>
    <w:rsid w:val="00E24C6F"/>
    <w:rsid w:val="00E24CE8"/>
    <w:rsid w:val="00E24D12"/>
    <w:rsid w:val="00E24D59"/>
    <w:rsid w:val="00E24DCA"/>
    <w:rsid w:val="00E24DCF"/>
    <w:rsid w:val="00E2503B"/>
    <w:rsid w:val="00E250F7"/>
    <w:rsid w:val="00E25242"/>
    <w:rsid w:val="00E253A5"/>
    <w:rsid w:val="00E25445"/>
    <w:rsid w:val="00E255F7"/>
    <w:rsid w:val="00E25651"/>
    <w:rsid w:val="00E2567E"/>
    <w:rsid w:val="00E25703"/>
    <w:rsid w:val="00E258CC"/>
    <w:rsid w:val="00E258DC"/>
    <w:rsid w:val="00E258E7"/>
    <w:rsid w:val="00E258F5"/>
    <w:rsid w:val="00E25955"/>
    <w:rsid w:val="00E259E9"/>
    <w:rsid w:val="00E25A83"/>
    <w:rsid w:val="00E25C8E"/>
    <w:rsid w:val="00E25E46"/>
    <w:rsid w:val="00E25E4B"/>
    <w:rsid w:val="00E25E5C"/>
    <w:rsid w:val="00E25EA1"/>
    <w:rsid w:val="00E25F77"/>
    <w:rsid w:val="00E25FF6"/>
    <w:rsid w:val="00E2609E"/>
    <w:rsid w:val="00E2610D"/>
    <w:rsid w:val="00E26146"/>
    <w:rsid w:val="00E2618A"/>
    <w:rsid w:val="00E2622C"/>
    <w:rsid w:val="00E26238"/>
    <w:rsid w:val="00E26417"/>
    <w:rsid w:val="00E265E1"/>
    <w:rsid w:val="00E266D0"/>
    <w:rsid w:val="00E26746"/>
    <w:rsid w:val="00E267C8"/>
    <w:rsid w:val="00E267CA"/>
    <w:rsid w:val="00E26816"/>
    <w:rsid w:val="00E26838"/>
    <w:rsid w:val="00E268E6"/>
    <w:rsid w:val="00E2698D"/>
    <w:rsid w:val="00E26ADE"/>
    <w:rsid w:val="00E26B6C"/>
    <w:rsid w:val="00E26B97"/>
    <w:rsid w:val="00E26BAA"/>
    <w:rsid w:val="00E26C16"/>
    <w:rsid w:val="00E26C2A"/>
    <w:rsid w:val="00E26CCF"/>
    <w:rsid w:val="00E26DB8"/>
    <w:rsid w:val="00E26E74"/>
    <w:rsid w:val="00E26EEF"/>
    <w:rsid w:val="00E26F58"/>
    <w:rsid w:val="00E26FAF"/>
    <w:rsid w:val="00E27010"/>
    <w:rsid w:val="00E2725C"/>
    <w:rsid w:val="00E2735E"/>
    <w:rsid w:val="00E27380"/>
    <w:rsid w:val="00E274D3"/>
    <w:rsid w:val="00E274E5"/>
    <w:rsid w:val="00E27517"/>
    <w:rsid w:val="00E2752E"/>
    <w:rsid w:val="00E27550"/>
    <w:rsid w:val="00E27613"/>
    <w:rsid w:val="00E27642"/>
    <w:rsid w:val="00E276E2"/>
    <w:rsid w:val="00E27775"/>
    <w:rsid w:val="00E2781F"/>
    <w:rsid w:val="00E27A1E"/>
    <w:rsid w:val="00E27A32"/>
    <w:rsid w:val="00E27A5B"/>
    <w:rsid w:val="00E27B65"/>
    <w:rsid w:val="00E27B96"/>
    <w:rsid w:val="00E27C91"/>
    <w:rsid w:val="00E27C9D"/>
    <w:rsid w:val="00E27CF4"/>
    <w:rsid w:val="00E27D00"/>
    <w:rsid w:val="00E27D4E"/>
    <w:rsid w:val="00E27DA4"/>
    <w:rsid w:val="00E27DFE"/>
    <w:rsid w:val="00E27E48"/>
    <w:rsid w:val="00E27FF2"/>
    <w:rsid w:val="00E30022"/>
    <w:rsid w:val="00E300C6"/>
    <w:rsid w:val="00E303E1"/>
    <w:rsid w:val="00E30449"/>
    <w:rsid w:val="00E304A5"/>
    <w:rsid w:val="00E30545"/>
    <w:rsid w:val="00E30589"/>
    <w:rsid w:val="00E3058E"/>
    <w:rsid w:val="00E305A8"/>
    <w:rsid w:val="00E3064D"/>
    <w:rsid w:val="00E307C2"/>
    <w:rsid w:val="00E307C5"/>
    <w:rsid w:val="00E307C9"/>
    <w:rsid w:val="00E3087E"/>
    <w:rsid w:val="00E308C5"/>
    <w:rsid w:val="00E30A2D"/>
    <w:rsid w:val="00E30A7D"/>
    <w:rsid w:val="00E30B51"/>
    <w:rsid w:val="00E30B60"/>
    <w:rsid w:val="00E30B89"/>
    <w:rsid w:val="00E30BBC"/>
    <w:rsid w:val="00E30BDF"/>
    <w:rsid w:val="00E30BED"/>
    <w:rsid w:val="00E30C42"/>
    <w:rsid w:val="00E30C50"/>
    <w:rsid w:val="00E30CEA"/>
    <w:rsid w:val="00E30E1E"/>
    <w:rsid w:val="00E30E86"/>
    <w:rsid w:val="00E30EB6"/>
    <w:rsid w:val="00E30ED8"/>
    <w:rsid w:val="00E30FC1"/>
    <w:rsid w:val="00E30FE6"/>
    <w:rsid w:val="00E31040"/>
    <w:rsid w:val="00E31058"/>
    <w:rsid w:val="00E31081"/>
    <w:rsid w:val="00E310AA"/>
    <w:rsid w:val="00E310FB"/>
    <w:rsid w:val="00E31151"/>
    <w:rsid w:val="00E31176"/>
    <w:rsid w:val="00E311BE"/>
    <w:rsid w:val="00E31207"/>
    <w:rsid w:val="00E3123D"/>
    <w:rsid w:val="00E312C3"/>
    <w:rsid w:val="00E31318"/>
    <w:rsid w:val="00E31329"/>
    <w:rsid w:val="00E31357"/>
    <w:rsid w:val="00E31360"/>
    <w:rsid w:val="00E31384"/>
    <w:rsid w:val="00E31447"/>
    <w:rsid w:val="00E31485"/>
    <w:rsid w:val="00E3150B"/>
    <w:rsid w:val="00E3174D"/>
    <w:rsid w:val="00E3175A"/>
    <w:rsid w:val="00E317A3"/>
    <w:rsid w:val="00E31817"/>
    <w:rsid w:val="00E31929"/>
    <w:rsid w:val="00E3194A"/>
    <w:rsid w:val="00E319C6"/>
    <w:rsid w:val="00E319C8"/>
    <w:rsid w:val="00E31A34"/>
    <w:rsid w:val="00E31A56"/>
    <w:rsid w:val="00E31AA3"/>
    <w:rsid w:val="00E31B4E"/>
    <w:rsid w:val="00E31B87"/>
    <w:rsid w:val="00E31BE1"/>
    <w:rsid w:val="00E31BE4"/>
    <w:rsid w:val="00E31BF4"/>
    <w:rsid w:val="00E31C51"/>
    <w:rsid w:val="00E31D5D"/>
    <w:rsid w:val="00E31D91"/>
    <w:rsid w:val="00E31DCB"/>
    <w:rsid w:val="00E31E28"/>
    <w:rsid w:val="00E31F03"/>
    <w:rsid w:val="00E31F73"/>
    <w:rsid w:val="00E31FDE"/>
    <w:rsid w:val="00E32088"/>
    <w:rsid w:val="00E320B6"/>
    <w:rsid w:val="00E320D8"/>
    <w:rsid w:val="00E32258"/>
    <w:rsid w:val="00E3239B"/>
    <w:rsid w:val="00E32556"/>
    <w:rsid w:val="00E325A0"/>
    <w:rsid w:val="00E3267B"/>
    <w:rsid w:val="00E326B2"/>
    <w:rsid w:val="00E326E2"/>
    <w:rsid w:val="00E32710"/>
    <w:rsid w:val="00E32741"/>
    <w:rsid w:val="00E3285E"/>
    <w:rsid w:val="00E32A05"/>
    <w:rsid w:val="00E32A6D"/>
    <w:rsid w:val="00E32AFC"/>
    <w:rsid w:val="00E32B4A"/>
    <w:rsid w:val="00E32B71"/>
    <w:rsid w:val="00E32BB3"/>
    <w:rsid w:val="00E32C8E"/>
    <w:rsid w:val="00E32CC7"/>
    <w:rsid w:val="00E32D47"/>
    <w:rsid w:val="00E32D4A"/>
    <w:rsid w:val="00E32DDA"/>
    <w:rsid w:val="00E32E18"/>
    <w:rsid w:val="00E32E9F"/>
    <w:rsid w:val="00E32EBC"/>
    <w:rsid w:val="00E32ED8"/>
    <w:rsid w:val="00E32F1E"/>
    <w:rsid w:val="00E32F57"/>
    <w:rsid w:val="00E32FDD"/>
    <w:rsid w:val="00E33060"/>
    <w:rsid w:val="00E330B6"/>
    <w:rsid w:val="00E3317A"/>
    <w:rsid w:val="00E33258"/>
    <w:rsid w:val="00E33279"/>
    <w:rsid w:val="00E33337"/>
    <w:rsid w:val="00E33369"/>
    <w:rsid w:val="00E33374"/>
    <w:rsid w:val="00E333FA"/>
    <w:rsid w:val="00E3350B"/>
    <w:rsid w:val="00E335CC"/>
    <w:rsid w:val="00E33662"/>
    <w:rsid w:val="00E3372F"/>
    <w:rsid w:val="00E33738"/>
    <w:rsid w:val="00E337F0"/>
    <w:rsid w:val="00E33864"/>
    <w:rsid w:val="00E3389B"/>
    <w:rsid w:val="00E338A9"/>
    <w:rsid w:val="00E338BC"/>
    <w:rsid w:val="00E3398A"/>
    <w:rsid w:val="00E339CA"/>
    <w:rsid w:val="00E33A83"/>
    <w:rsid w:val="00E33AB2"/>
    <w:rsid w:val="00E33C01"/>
    <w:rsid w:val="00E33C46"/>
    <w:rsid w:val="00E33CEF"/>
    <w:rsid w:val="00E33D08"/>
    <w:rsid w:val="00E33D20"/>
    <w:rsid w:val="00E33D58"/>
    <w:rsid w:val="00E33D89"/>
    <w:rsid w:val="00E33DC9"/>
    <w:rsid w:val="00E33F70"/>
    <w:rsid w:val="00E33F7B"/>
    <w:rsid w:val="00E33FC8"/>
    <w:rsid w:val="00E33FF4"/>
    <w:rsid w:val="00E3403F"/>
    <w:rsid w:val="00E34048"/>
    <w:rsid w:val="00E3405E"/>
    <w:rsid w:val="00E340E1"/>
    <w:rsid w:val="00E341BB"/>
    <w:rsid w:val="00E342AF"/>
    <w:rsid w:val="00E342ED"/>
    <w:rsid w:val="00E34321"/>
    <w:rsid w:val="00E34324"/>
    <w:rsid w:val="00E34397"/>
    <w:rsid w:val="00E34502"/>
    <w:rsid w:val="00E3457C"/>
    <w:rsid w:val="00E3458A"/>
    <w:rsid w:val="00E3458F"/>
    <w:rsid w:val="00E345F2"/>
    <w:rsid w:val="00E3462F"/>
    <w:rsid w:val="00E3466A"/>
    <w:rsid w:val="00E346C3"/>
    <w:rsid w:val="00E34771"/>
    <w:rsid w:val="00E3478F"/>
    <w:rsid w:val="00E3479C"/>
    <w:rsid w:val="00E3485D"/>
    <w:rsid w:val="00E34870"/>
    <w:rsid w:val="00E34874"/>
    <w:rsid w:val="00E3493E"/>
    <w:rsid w:val="00E349C2"/>
    <w:rsid w:val="00E34A50"/>
    <w:rsid w:val="00E34B69"/>
    <w:rsid w:val="00E34BC6"/>
    <w:rsid w:val="00E34C5E"/>
    <w:rsid w:val="00E34CDC"/>
    <w:rsid w:val="00E34CEB"/>
    <w:rsid w:val="00E34DD7"/>
    <w:rsid w:val="00E34E0B"/>
    <w:rsid w:val="00E34E68"/>
    <w:rsid w:val="00E34EC6"/>
    <w:rsid w:val="00E34EF8"/>
    <w:rsid w:val="00E34F35"/>
    <w:rsid w:val="00E34F4D"/>
    <w:rsid w:val="00E34F5F"/>
    <w:rsid w:val="00E34FCF"/>
    <w:rsid w:val="00E35082"/>
    <w:rsid w:val="00E350AE"/>
    <w:rsid w:val="00E350EF"/>
    <w:rsid w:val="00E35200"/>
    <w:rsid w:val="00E35237"/>
    <w:rsid w:val="00E35251"/>
    <w:rsid w:val="00E3527E"/>
    <w:rsid w:val="00E3528C"/>
    <w:rsid w:val="00E352B1"/>
    <w:rsid w:val="00E352D4"/>
    <w:rsid w:val="00E35309"/>
    <w:rsid w:val="00E35325"/>
    <w:rsid w:val="00E35484"/>
    <w:rsid w:val="00E3564F"/>
    <w:rsid w:val="00E35739"/>
    <w:rsid w:val="00E3581B"/>
    <w:rsid w:val="00E3584D"/>
    <w:rsid w:val="00E35938"/>
    <w:rsid w:val="00E35A2F"/>
    <w:rsid w:val="00E35A46"/>
    <w:rsid w:val="00E35A89"/>
    <w:rsid w:val="00E35A8D"/>
    <w:rsid w:val="00E35BA4"/>
    <w:rsid w:val="00E35C62"/>
    <w:rsid w:val="00E35CDB"/>
    <w:rsid w:val="00E35CED"/>
    <w:rsid w:val="00E35DB0"/>
    <w:rsid w:val="00E35E60"/>
    <w:rsid w:val="00E360AE"/>
    <w:rsid w:val="00E3614C"/>
    <w:rsid w:val="00E3619B"/>
    <w:rsid w:val="00E3623A"/>
    <w:rsid w:val="00E362BA"/>
    <w:rsid w:val="00E36375"/>
    <w:rsid w:val="00E36420"/>
    <w:rsid w:val="00E36449"/>
    <w:rsid w:val="00E36484"/>
    <w:rsid w:val="00E36520"/>
    <w:rsid w:val="00E3656F"/>
    <w:rsid w:val="00E3684B"/>
    <w:rsid w:val="00E3686A"/>
    <w:rsid w:val="00E369FF"/>
    <w:rsid w:val="00E36A65"/>
    <w:rsid w:val="00E36AC6"/>
    <w:rsid w:val="00E36AF2"/>
    <w:rsid w:val="00E36BF5"/>
    <w:rsid w:val="00E36CAF"/>
    <w:rsid w:val="00E36D2C"/>
    <w:rsid w:val="00E36DBC"/>
    <w:rsid w:val="00E36E50"/>
    <w:rsid w:val="00E36F49"/>
    <w:rsid w:val="00E36F5B"/>
    <w:rsid w:val="00E36F70"/>
    <w:rsid w:val="00E37045"/>
    <w:rsid w:val="00E370D0"/>
    <w:rsid w:val="00E3712D"/>
    <w:rsid w:val="00E371D8"/>
    <w:rsid w:val="00E371ED"/>
    <w:rsid w:val="00E37206"/>
    <w:rsid w:val="00E37216"/>
    <w:rsid w:val="00E37295"/>
    <w:rsid w:val="00E372B3"/>
    <w:rsid w:val="00E37509"/>
    <w:rsid w:val="00E37579"/>
    <w:rsid w:val="00E3782D"/>
    <w:rsid w:val="00E37847"/>
    <w:rsid w:val="00E3794A"/>
    <w:rsid w:val="00E37997"/>
    <w:rsid w:val="00E37A52"/>
    <w:rsid w:val="00E37A54"/>
    <w:rsid w:val="00E37A78"/>
    <w:rsid w:val="00E37ADA"/>
    <w:rsid w:val="00E37B4E"/>
    <w:rsid w:val="00E37B7E"/>
    <w:rsid w:val="00E37BF3"/>
    <w:rsid w:val="00E37CC6"/>
    <w:rsid w:val="00E37E24"/>
    <w:rsid w:val="00E37EB6"/>
    <w:rsid w:val="00E37EFA"/>
    <w:rsid w:val="00E37F49"/>
    <w:rsid w:val="00E37F71"/>
    <w:rsid w:val="00E37FA8"/>
    <w:rsid w:val="00E3AFFE"/>
    <w:rsid w:val="00E40012"/>
    <w:rsid w:val="00E400B8"/>
    <w:rsid w:val="00E400EC"/>
    <w:rsid w:val="00E4014A"/>
    <w:rsid w:val="00E40350"/>
    <w:rsid w:val="00E403BE"/>
    <w:rsid w:val="00E403F6"/>
    <w:rsid w:val="00E40436"/>
    <w:rsid w:val="00E404E4"/>
    <w:rsid w:val="00E405DB"/>
    <w:rsid w:val="00E405F1"/>
    <w:rsid w:val="00E40639"/>
    <w:rsid w:val="00E40747"/>
    <w:rsid w:val="00E40807"/>
    <w:rsid w:val="00E408DD"/>
    <w:rsid w:val="00E408EB"/>
    <w:rsid w:val="00E40A67"/>
    <w:rsid w:val="00E40A88"/>
    <w:rsid w:val="00E40B55"/>
    <w:rsid w:val="00E40C6C"/>
    <w:rsid w:val="00E40C78"/>
    <w:rsid w:val="00E40DA6"/>
    <w:rsid w:val="00E40DE8"/>
    <w:rsid w:val="00E40E45"/>
    <w:rsid w:val="00E40E68"/>
    <w:rsid w:val="00E40EFA"/>
    <w:rsid w:val="00E41107"/>
    <w:rsid w:val="00E411FE"/>
    <w:rsid w:val="00E41308"/>
    <w:rsid w:val="00E41344"/>
    <w:rsid w:val="00E4139B"/>
    <w:rsid w:val="00E4145C"/>
    <w:rsid w:val="00E41488"/>
    <w:rsid w:val="00E415A8"/>
    <w:rsid w:val="00E41607"/>
    <w:rsid w:val="00E41634"/>
    <w:rsid w:val="00E4167E"/>
    <w:rsid w:val="00E4181F"/>
    <w:rsid w:val="00E418C3"/>
    <w:rsid w:val="00E418C6"/>
    <w:rsid w:val="00E41902"/>
    <w:rsid w:val="00E419D6"/>
    <w:rsid w:val="00E41A16"/>
    <w:rsid w:val="00E41AA6"/>
    <w:rsid w:val="00E41B3A"/>
    <w:rsid w:val="00E41B4A"/>
    <w:rsid w:val="00E41BF9"/>
    <w:rsid w:val="00E41D84"/>
    <w:rsid w:val="00E41E03"/>
    <w:rsid w:val="00E41E0E"/>
    <w:rsid w:val="00E41EA5"/>
    <w:rsid w:val="00E41F86"/>
    <w:rsid w:val="00E41FDF"/>
    <w:rsid w:val="00E42039"/>
    <w:rsid w:val="00E4205A"/>
    <w:rsid w:val="00E4205C"/>
    <w:rsid w:val="00E42247"/>
    <w:rsid w:val="00E4225A"/>
    <w:rsid w:val="00E42282"/>
    <w:rsid w:val="00E422A6"/>
    <w:rsid w:val="00E422B0"/>
    <w:rsid w:val="00E422FC"/>
    <w:rsid w:val="00E42335"/>
    <w:rsid w:val="00E42427"/>
    <w:rsid w:val="00E425FB"/>
    <w:rsid w:val="00E42633"/>
    <w:rsid w:val="00E42656"/>
    <w:rsid w:val="00E426C0"/>
    <w:rsid w:val="00E426DC"/>
    <w:rsid w:val="00E426DE"/>
    <w:rsid w:val="00E42752"/>
    <w:rsid w:val="00E42796"/>
    <w:rsid w:val="00E4286C"/>
    <w:rsid w:val="00E428F5"/>
    <w:rsid w:val="00E42935"/>
    <w:rsid w:val="00E42956"/>
    <w:rsid w:val="00E42984"/>
    <w:rsid w:val="00E42A5D"/>
    <w:rsid w:val="00E42AA9"/>
    <w:rsid w:val="00E42B1D"/>
    <w:rsid w:val="00E42B82"/>
    <w:rsid w:val="00E42C19"/>
    <w:rsid w:val="00E42D5E"/>
    <w:rsid w:val="00E42E22"/>
    <w:rsid w:val="00E42EA7"/>
    <w:rsid w:val="00E42FD7"/>
    <w:rsid w:val="00E4300D"/>
    <w:rsid w:val="00E430AE"/>
    <w:rsid w:val="00E430BB"/>
    <w:rsid w:val="00E431FF"/>
    <w:rsid w:val="00E43205"/>
    <w:rsid w:val="00E43329"/>
    <w:rsid w:val="00E4333D"/>
    <w:rsid w:val="00E433E5"/>
    <w:rsid w:val="00E4343B"/>
    <w:rsid w:val="00E4345A"/>
    <w:rsid w:val="00E4355D"/>
    <w:rsid w:val="00E435C5"/>
    <w:rsid w:val="00E4362F"/>
    <w:rsid w:val="00E43651"/>
    <w:rsid w:val="00E4366A"/>
    <w:rsid w:val="00E4366F"/>
    <w:rsid w:val="00E436A8"/>
    <w:rsid w:val="00E4375E"/>
    <w:rsid w:val="00E437BD"/>
    <w:rsid w:val="00E4380A"/>
    <w:rsid w:val="00E438AD"/>
    <w:rsid w:val="00E43933"/>
    <w:rsid w:val="00E4396F"/>
    <w:rsid w:val="00E4398D"/>
    <w:rsid w:val="00E439FD"/>
    <w:rsid w:val="00E43AB7"/>
    <w:rsid w:val="00E43AD4"/>
    <w:rsid w:val="00E43B5A"/>
    <w:rsid w:val="00E43B83"/>
    <w:rsid w:val="00E43BB6"/>
    <w:rsid w:val="00E43BDD"/>
    <w:rsid w:val="00E43D85"/>
    <w:rsid w:val="00E43DA6"/>
    <w:rsid w:val="00E43EBB"/>
    <w:rsid w:val="00E43ECB"/>
    <w:rsid w:val="00E43ED9"/>
    <w:rsid w:val="00E43EE7"/>
    <w:rsid w:val="00E43EFC"/>
    <w:rsid w:val="00E43FF8"/>
    <w:rsid w:val="00E44019"/>
    <w:rsid w:val="00E440A5"/>
    <w:rsid w:val="00E44466"/>
    <w:rsid w:val="00E44555"/>
    <w:rsid w:val="00E445AD"/>
    <w:rsid w:val="00E446CA"/>
    <w:rsid w:val="00E446FB"/>
    <w:rsid w:val="00E4477C"/>
    <w:rsid w:val="00E44799"/>
    <w:rsid w:val="00E449DE"/>
    <w:rsid w:val="00E44A33"/>
    <w:rsid w:val="00E44AE8"/>
    <w:rsid w:val="00E44B87"/>
    <w:rsid w:val="00E44BD2"/>
    <w:rsid w:val="00E44C67"/>
    <w:rsid w:val="00E44D27"/>
    <w:rsid w:val="00E44DA8"/>
    <w:rsid w:val="00E44DFF"/>
    <w:rsid w:val="00E44E10"/>
    <w:rsid w:val="00E44EC3"/>
    <w:rsid w:val="00E44F60"/>
    <w:rsid w:val="00E44FF4"/>
    <w:rsid w:val="00E45078"/>
    <w:rsid w:val="00E450CF"/>
    <w:rsid w:val="00E4516C"/>
    <w:rsid w:val="00E451AC"/>
    <w:rsid w:val="00E4524F"/>
    <w:rsid w:val="00E45257"/>
    <w:rsid w:val="00E45274"/>
    <w:rsid w:val="00E4533D"/>
    <w:rsid w:val="00E4536A"/>
    <w:rsid w:val="00E4537B"/>
    <w:rsid w:val="00E45417"/>
    <w:rsid w:val="00E4545C"/>
    <w:rsid w:val="00E45479"/>
    <w:rsid w:val="00E456BF"/>
    <w:rsid w:val="00E45736"/>
    <w:rsid w:val="00E457E8"/>
    <w:rsid w:val="00E45967"/>
    <w:rsid w:val="00E459CE"/>
    <w:rsid w:val="00E45A88"/>
    <w:rsid w:val="00E45B37"/>
    <w:rsid w:val="00E45BC6"/>
    <w:rsid w:val="00E45CC8"/>
    <w:rsid w:val="00E45CD9"/>
    <w:rsid w:val="00E45D26"/>
    <w:rsid w:val="00E45D34"/>
    <w:rsid w:val="00E45DD6"/>
    <w:rsid w:val="00E45E19"/>
    <w:rsid w:val="00E45F43"/>
    <w:rsid w:val="00E45F65"/>
    <w:rsid w:val="00E45F84"/>
    <w:rsid w:val="00E45F9C"/>
    <w:rsid w:val="00E45FA3"/>
    <w:rsid w:val="00E45FF2"/>
    <w:rsid w:val="00E460BB"/>
    <w:rsid w:val="00E460CF"/>
    <w:rsid w:val="00E460D0"/>
    <w:rsid w:val="00E460F8"/>
    <w:rsid w:val="00E46196"/>
    <w:rsid w:val="00E461B5"/>
    <w:rsid w:val="00E461C6"/>
    <w:rsid w:val="00E46237"/>
    <w:rsid w:val="00E4623E"/>
    <w:rsid w:val="00E4625E"/>
    <w:rsid w:val="00E46327"/>
    <w:rsid w:val="00E46375"/>
    <w:rsid w:val="00E4638F"/>
    <w:rsid w:val="00E46493"/>
    <w:rsid w:val="00E464AE"/>
    <w:rsid w:val="00E464B4"/>
    <w:rsid w:val="00E46562"/>
    <w:rsid w:val="00E466A1"/>
    <w:rsid w:val="00E466AA"/>
    <w:rsid w:val="00E46734"/>
    <w:rsid w:val="00E46747"/>
    <w:rsid w:val="00E46779"/>
    <w:rsid w:val="00E46845"/>
    <w:rsid w:val="00E46925"/>
    <w:rsid w:val="00E46986"/>
    <w:rsid w:val="00E469E2"/>
    <w:rsid w:val="00E46A0A"/>
    <w:rsid w:val="00E46B17"/>
    <w:rsid w:val="00E46BD3"/>
    <w:rsid w:val="00E46BDF"/>
    <w:rsid w:val="00E46D64"/>
    <w:rsid w:val="00E46ED2"/>
    <w:rsid w:val="00E46EDC"/>
    <w:rsid w:val="00E46FCC"/>
    <w:rsid w:val="00E47045"/>
    <w:rsid w:val="00E47171"/>
    <w:rsid w:val="00E471CE"/>
    <w:rsid w:val="00E47200"/>
    <w:rsid w:val="00E472AD"/>
    <w:rsid w:val="00E473C2"/>
    <w:rsid w:val="00E474BA"/>
    <w:rsid w:val="00E47535"/>
    <w:rsid w:val="00E475A2"/>
    <w:rsid w:val="00E4760F"/>
    <w:rsid w:val="00E47636"/>
    <w:rsid w:val="00E47699"/>
    <w:rsid w:val="00E47726"/>
    <w:rsid w:val="00E4780A"/>
    <w:rsid w:val="00E47823"/>
    <w:rsid w:val="00E47907"/>
    <w:rsid w:val="00E47989"/>
    <w:rsid w:val="00E47A07"/>
    <w:rsid w:val="00E47A57"/>
    <w:rsid w:val="00E47A9A"/>
    <w:rsid w:val="00E47AB0"/>
    <w:rsid w:val="00E47B07"/>
    <w:rsid w:val="00E47B5E"/>
    <w:rsid w:val="00E47BF3"/>
    <w:rsid w:val="00E47C00"/>
    <w:rsid w:val="00E47C13"/>
    <w:rsid w:val="00E47CE6"/>
    <w:rsid w:val="00E47CF2"/>
    <w:rsid w:val="00E47E87"/>
    <w:rsid w:val="00E47EB3"/>
    <w:rsid w:val="00E47ED8"/>
    <w:rsid w:val="00E47EF7"/>
    <w:rsid w:val="00E47F09"/>
    <w:rsid w:val="00E47FA9"/>
    <w:rsid w:val="00E47FD7"/>
    <w:rsid w:val="00E5001C"/>
    <w:rsid w:val="00E50026"/>
    <w:rsid w:val="00E5011D"/>
    <w:rsid w:val="00E5018E"/>
    <w:rsid w:val="00E5025D"/>
    <w:rsid w:val="00E5032A"/>
    <w:rsid w:val="00E503A4"/>
    <w:rsid w:val="00E50468"/>
    <w:rsid w:val="00E5053C"/>
    <w:rsid w:val="00E50650"/>
    <w:rsid w:val="00E50727"/>
    <w:rsid w:val="00E5073D"/>
    <w:rsid w:val="00E507AC"/>
    <w:rsid w:val="00E507F0"/>
    <w:rsid w:val="00E507F4"/>
    <w:rsid w:val="00E5086A"/>
    <w:rsid w:val="00E5087A"/>
    <w:rsid w:val="00E508A2"/>
    <w:rsid w:val="00E508E3"/>
    <w:rsid w:val="00E508EC"/>
    <w:rsid w:val="00E50970"/>
    <w:rsid w:val="00E50A2B"/>
    <w:rsid w:val="00E50A3E"/>
    <w:rsid w:val="00E50A4E"/>
    <w:rsid w:val="00E50B60"/>
    <w:rsid w:val="00E50B7C"/>
    <w:rsid w:val="00E50CD8"/>
    <w:rsid w:val="00E50D60"/>
    <w:rsid w:val="00E50D83"/>
    <w:rsid w:val="00E50E01"/>
    <w:rsid w:val="00E50E27"/>
    <w:rsid w:val="00E50E5E"/>
    <w:rsid w:val="00E50EB9"/>
    <w:rsid w:val="00E50F26"/>
    <w:rsid w:val="00E50F3F"/>
    <w:rsid w:val="00E50FAE"/>
    <w:rsid w:val="00E50FAF"/>
    <w:rsid w:val="00E51068"/>
    <w:rsid w:val="00E5117C"/>
    <w:rsid w:val="00E512B7"/>
    <w:rsid w:val="00E512BA"/>
    <w:rsid w:val="00E51324"/>
    <w:rsid w:val="00E5137C"/>
    <w:rsid w:val="00E514BB"/>
    <w:rsid w:val="00E51531"/>
    <w:rsid w:val="00E51553"/>
    <w:rsid w:val="00E51589"/>
    <w:rsid w:val="00E5159F"/>
    <w:rsid w:val="00E51696"/>
    <w:rsid w:val="00E516CE"/>
    <w:rsid w:val="00E51778"/>
    <w:rsid w:val="00E5177E"/>
    <w:rsid w:val="00E517BA"/>
    <w:rsid w:val="00E517D8"/>
    <w:rsid w:val="00E518E7"/>
    <w:rsid w:val="00E5196E"/>
    <w:rsid w:val="00E51993"/>
    <w:rsid w:val="00E519E3"/>
    <w:rsid w:val="00E51AA0"/>
    <w:rsid w:val="00E51C0E"/>
    <w:rsid w:val="00E51C39"/>
    <w:rsid w:val="00E51C70"/>
    <w:rsid w:val="00E51D47"/>
    <w:rsid w:val="00E51DB3"/>
    <w:rsid w:val="00E51E06"/>
    <w:rsid w:val="00E51E3F"/>
    <w:rsid w:val="00E51E57"/>
    <w:rsid w:val="00E51E5A"/>
    <w:rsid w:val="00E51E90"/>
    <w:rsid w:val="00E51EC3"/>
    <w:rsid w:val="00E52046"/>
    <w:rsid w:val="00E52145"/>
    <w:rsid w:val="00E5216C"/>
    <w:rsid w:val="00E52170"/>
    <w:rsid w:val="00E52286"/>
    <w:rsid w:val="00E5237F"/>
    <w:rsid w:val="00E5242A"/>
    <w:rsid w:val="00E524BA"/>
    <w:rsid w:val="00E524C5"/>
    <w:rsid w:val="00E524E7"/>
    <w:rsid w:val="00E52550"/>
    <w:rsid w:val="00E5255F"/>
    <w:rsid w:val="00E525B4"/>
    <w:rsid w:val="00E52622"/>
    <w:rsid w:val="00E5262E"/>
    <w:rsid w:val="00E52635"/>
    <w:rsid w:val="00E5268F"/>
    <w:rsid w:val="00E526D5"/>
    <w:rsid w:val="00E52719"/>
    <w:rsid w:val="00E527A0"/>
    <w:rsid w:val="00E527B8"/>
    <w:rsid w:val="00E527C0"/>
    <w:rsid w:val="00E52834"/>
    <w:rsid w:val="00E5285D"/>
    <w:rsid w:val="00E52901"/>
    <w:rsid w:val="00E52911"/>
    <w:rsid w:val="00E5296F"/>
    <w:rsid w:val="00E529AE"/>
    <w:rsid w:val="00E52A3C"/>
    <w:rsid w:val="00E52A40"/>
    <w:rsid w:val="00E52AF5"/>
    <w:rsid w:val="00E52B4A"/>
    <w:rsid w:val="00E52B4D"/>
    <w:rsid w:val="00E52BEB"/>
    <w:rsid w:val="00E52C06"/>
    <w:rsid w:val="00E52CAA"/>
    <w:rsid w:val="00E52CED"/>
    <w:rsid w:val="00E52D08"/>
    <w:rsid w:val="00E52D40"/>
    <w:rsid w:val="00E52D7B"/>
    <w:rsid w:val="00E52D7D"/>
    <w:rsid w:val="00E52D88"/>
    <w:rsid w:val="00E52DC7"/>
    <w:rsid w:val="00E52DD4"/>
    <w:rsid w:val="00E52DE4"/>
    <w:rsid w:val="00E52E32"/>
    <w:rsid w:val="00E52E6E"/>
    <w:rsid w:val="00E52E7C"/>
    <w:rsid w:val="00E52EEF"/>
    <w:rsid w:val="00E52FDB"/>
    <w:rsid w:val="00E5300C"/>
    <w:rsid w:val="00E53024"/>
    <w:rsid w:val="00E5320D"/>
    <w:rsid w:val="00E53213"/>
    <w:rsid w:val="00E53235"/>
    <w:rsid w:val="00E53266"/>
    <w:rsid w:val="00E532CF"/>
    <w:rsid w:val="00E53414"/>
    <w:rsid w:val="00E53451"/>
    <w:rsid w:val="00E53488"/>
    <w:rsid w:val="00E534D7"/>
    <w:rsid w:val="00E53570"/>
    <w:rsid w:val="00E53610"/>
    <w:rsid w:val="00E5369F"/>
    <w:rsid w:val="00E536CC"/>
    <w:rsid w:val="00E53702"/>
    <w:rsid w:val="00E53788"/>
    <w:rsid w:val="00E5382A"/>
    <w:rsid w:val="00E53929"/>
    <w:rsid w:val="00E53954"/>
    <w:rsid w:val="00E5395D"/>
    <w:rsid w:val="00E53A53"/>
    <w:rsid w:val="00E53AA9"/>
    <w:rsid w:val="00E53AAA"/>
    <w:rsid w:val="00E53AB8"/>
    <w:rsid w:val="00E53B37"/>
    <w:rsid w:val="00E53B62"/>
    <w:rsid w:val="00E53B94"/>
    <w:rsid w:val="00E53BB7"/>
    <w:rsid w:val="00E53BBE"/>
    <w:rsid w:val="00E53BE7"/>
    <w:rsid w:val="00E53C17"/>
    <w:rsid w:val="00E53CE9"/>
    <w:rsid w:val="00E53D09"/>
    <w:rsid w:val="00E53D63"/>
    <w:rsid w:val="00E53D8D"/>
    <w:rsid w:val="00E53E24"/>
    <w:rsid w:val="00E53E26"/>
    <w:rsid w:val="00E53E29"/>
    <w:rsid w:val="00E53E9C"/>
    <w:rsid w:val="00E53F82"/>
    <w:rsid w:val="00E54060"/>
    <w:rsid w:val="00E540AA"/>
    <w:rsid w:val="00E540E8"/>
    <w:rsid w:val="00E54173"/>
    <w:rsid w:val="00E54247"/>
    <w:rsid w:val="00E542A9"/>
    <w:rsid w:val="00E542C9"/>
    <w:rsid w:val="00E54308"/>
    <w:rsid w:val="00E54442"/>
    <w:rsid w:val="00E54459"/>
    <w:rsid w:val="00E544A7"/>
    <w:rsid w:val="00E54585"/>
    <w:rsid w:val="00E545B8"/>
    <w:rsid w:val="00E545BA"/>
    <w:rsid w:val="00E54628"/>
    <w:rsid w:val="00E5465F"/>
    <w:rsid w:val="00E54775"/>
    <w:rsid w:val="00E548C3"/>
    <w:rsid w:val="00E54AA4"/>
    <w:rsid w:val="00E54AD2"/>
    <w:rsid w:val="00E54AE0"/>
    <w:rsid w:val="00E54C31"/>
    <w:rsid w:val="00E54C64"/>
    <w:rsid w:val="00E54D5E"/>
    <w:rsid w:val="00E54D60"/>
    <w:rsid w:val="00E54D9C"/>
    <w:rsid w:val="00E54DB9"/>
    <w:rsid w:val="00E54E10"/>
    <w:rsid w:val="00E54EC0"/>
    <w:rsid w:val="00E54EE7"/>
    <w:rsid w:val="00E54F1E"/>
    <w:rsid w:val="00E54F29"/>
    <w:rsid w:val="00E54FDB"/>
    <w:rsid w:val="00E55023"/>
    <w:rsid w:val="00E5506A"/>
    <w:rsid w:val="00E550F8"/>
    <w:rsid w:val="00E55109"/>
    <w:rsid w:val="00E5512C"/>
    <w:rsid w:val="00E551D2"/>
    <w:rsid w:val="00E5533F"/>
    <w:rsid w:val="00E55340"/>
    <w:rsid w:val="00E55464"/>
    <w:rsid w:val="00E554EB"/>
    <w:rsid w:val="00E55510"/>
    <w:rsid w:val="00E555A9"/>
    <w:rsid w:val="00E55607"/>
    <w:rsid w:val="00E5565E"/>
    <w:rsid w:val="00E55671"/>
    <w:rsid w:val="00E5568A"/>
    <w:rsid w:val="00E556F6"/>
    <w:rsid w:val="00E55776"/>
    <w:rsid w:val="00E5578A"/>
    <w:rsid w:val="00E557A9"/>
    <w:rsid w:val="00E55828"/>
    <w:rsid w:val="00E55855"/>
    <w:rsid w:val="00E558D8"/>
    <w:rsid w:val="00E5598F"/>
    <w:rsid w:val="00E55A97"/>
    <w:rsid w:val="00E55AE5"/>
    <w:rsid w:val="00E55B8D"/>
    <w:rsid w:val="00E55BA7"/>
    <w:rsid w:val="00E55BC1"/>
    <w:rsid w:val="00E55C51"/>
    <w:rsid w:val="00E55CE3"/>
    <w:rsid w:val="00E55CFF"/>
    <w:rsid w:val="00E55D28"/>
    <w:rsid w:val="00E55D3E"/>
    <w:rsid w:val="00E55D60"/>
    <w:rsid w:val="00E55DDA"/>
    <w:rsid w:val="00E55EB0"/>
    <w:rsid w:val="00E55F66"/>
    <w:rsid w:val="00E55F72"/>
    <w:rsid w:val="00E55FB6"/>
    <w:rsid w:val="00E56002"/>
    <w:rsid w:val="00E56026"/>
    <w:rsid w:val="00E56036"/>
    <w:rsid w:val="00E560A5"/>
    <w:rsid w:val="00E560F0"/>
    <w:rsid w:val="00E5610E"/>
    <w:rsid w:val="00E56126"/>
    <w:rsid w:val="00E5617A"/>
    <w:rsid w:val="00E56180"/>
    <w:rsid w:val="00E561A8"/>
    <w:rsid w:val="00E561D9"/>
    <w:rsid w:val="00E56239"/>
    <w:rsid w:val="00E5625B"/>
    <w:rsid w:val="00E56260"/>
    <w:rsid w:val="00E56287"/>
    <w:rsid w:val="00E56387"/>
    <w:rsid w:val="00E5639E"/>
    <w:rsid w:val="00E563FA"/>
    <w:rsid w:val="00E5645A"/>
    <w:rsid w:val="00E5646F"/>
    <w:rsid w:val="00E56612"/>
    <w:rsid w:val="00E5663B"/>
    <w:rsid w:val="00E56667"/>
    <w:rsid w:val="00E566CA"/>
    <w:rsid w:val="00E56778"/>
    <w:rsid w:val="00E5681F"/>
    <w:rsid w:val="00E56877"/>
    <w:rsid w:val="00E56886"/>
    <w:rsid w:val="00E56887"/>
    <w:rsid w:val="00E568ED"/>
    <w:rsid w:val="00E568F1"/>
    <w:rsid w:val="00E568FC"/>
    <w:rsid w:val="00E5694B"/>
    <w:rsid w:val="00E569CD"/>
    <w:rsid w:val="00E56A4C"/>
    <w:rsid w:val="00E56A85"/>
    <w:rsid w:val="00E56B05"/>
    <w:rsid w:val="00E56B0B"/>
    <w:rsid w:val="00E56B2A"/>
    <w:rsid w:val="00E56BF7"/>
    <w:rsid w:val="00E56CC8"/>
    <w:rsid w:val="00E56CE3"/>
    <w:rsid w:val="00E56D18"/>
    <w:rsid w:val="00E56DC1"/>
    <w:rsid w:val="00E56DF2"/>
    <w:rsid w:val="00E56EFA"/>
    <w:rsid w:val="00E56F28"/>
    <w:rsid w:val="00E56F61"/>
    <w:rsid w:val="00E56FDB"/>
    <w:rsid w:val="00E57007"/>
    <w:rsid w:val="00E57027"/>
    <w:rsid w:val="00E57099"/>
    <w:rsid w:val="00E5709D"/>
    <w:rsid w:val="00E570A5"/>
    <w:rsid w:val="00E570EE"/>
    <w:rsid w:val="00E57114"/>
    <w:rsid w:val="00E571FC"/>
    <w:rsid w:val="00E57224"/>
    <w:rsid w:val="00E57226"/>
    <w:rsid w:val="00E57262"/>
    <w:rsid w:val="00E5736F"/>
    <w:rsid w:val="00E57477"/>
    <w:rsid w:val="00E5757D"/>
    <w:rsid w:val="00E575F2"/>
    <w:rsid w:val="00E57612"/>
    <w:rsid w:val="00E576DC"/>
    <w:rsid w:val="00E577FC"/>
    <w:rsid w:val="00E57860"/>
    <w:rsid w:val="00E578FA"/>
    <w:rsid w:val="00E57BE1"/>
    <w:rsid w:val="00E57C3C"/>
    <w:rsid w:val="00E57C45"/>
    <w:rsid w:val="00E57C50"/>
    <w:rsid w:val="00E57C7B"/>
    <w:rsid w:val="00E57CA7"/>
    <w:rsid w:val="00E57D2C"/>
    <w:rsid w:val="00E57D73"/>
    <w:rsid w:val="00E57E43"/>
    <w:rsid w:val="00E57EB4"/>
    <w:rsid w:val="00E57FAE"/>
    <w:rsid w:val="00E6001A"/>
    <w:rsid w:val="00E60030"/>
    <w:rsid w:val="00E600CC"/>
    <w:rsid w:val="00E60193"/>
    <w:rsid w:val="00E602DA"/>
    <w:rsid w:val="00E603ED"/>
    <w:rsid w:val="00E60419"/>
    <w:rsid w:val="00E60518"/>
    <w:rsid w:val="00E605B1"/>
    <w:rsid w:val="00E6069A"/>
    <w:rsid w:val="00E606CB"/>
    <w:rsid w:val="00E6079C"/>
    <w:rsid w:val="00E607A9"/>
    <w:rsid w:val="00E608FE"/>
    <w:rsid w:val="00E60932"/>
    <w:rsid w:val="00E60A4F"/>
    <w:rsid w:val="00E60B2E"/>
    <w:rsid w:val="00E60B76"/>
    <w:rsid w:val="00E60C1E"/>
    <w:rsid w:val="00E60C79"/>
    <w:rsid w:val="00E60CD5"/>
    <w:rsid w:val="00E60CDC"/>
    <w:rsid w:val="00E60CF9"/>
    <w:rsid w:val="00E60D76"/>
    <w:rsid w:val="00E60D93"/>
    <w:rsid w:val="00E60DDF"/>
    <w:rsid w:val="00E60E43"/>
    <w:rsid w:val="00E60E8B"/>
    <w:rsid w:val="00E60EBF"/>
    <w:rsid w:val="00E60F42"/>
    <w:rsid w:val="00E60F94"/>
    <w:rsid w:val="00E60FF3"/>
    <w:rsid w:val="00E61013"/>
    <w:rsid w:val="00E6109C"/>
    <w:rsid w:val="00E610AC"/>
    <w:rsid w:val="00E611A7"/>
    <w:rsid w:val="00E611B9"/>
    <w:rsid w:val="00E611E2"/>
    <w:rsid w:val="00E61251"/>
    <w:rsid w:val="00E61252"/>
    <w:rsid w:val="00E612DB"/>
    <w:rsid w:val="00E612E1"/>
    <w:rsid w:val="00E612EE"/>
    <w:rsid w:val="00E61304"/>
    <w:rsid w:val="00E61346"/>
    <w:rsid w:val="00E613B6"/>
    <w:rsid w:val="00E613BF"/>
    <w:rsid w:val="00E61460"/>
    <w:rsid w:val="00E6146A"/>
    <w:rsid w:val="00E6147A"/>
    <w:rsid w:val="00E6149D"/>
    <w:rsid w:val="00E614CD"/>
    <w:rsid w:val="00E6152A"/>
    <w:rsid w:val="00E6162B"/>
    <w:rsid w:val="00E6166C"/>
    <w:rsid w:val="00E6168E"/>
    <w:rsid w:val="00E6172E"/>
    <w:rsid w:val="00E6173C"/>
    <w:rsid w:val="00E6173D"/>
    <w:rsid w:val="00E61798"/>
    <w:rsid w:val="00E618BE"/>
    <w:rsid w:val="00E618F0"/>
    <w:rsid w:val="00E61962"/>
    <w:rsid w:val="00E619B7"/>
    <w:rsid w:val="00E61A0D"/>
    <w:rsid w:val="00E61A83"/>
    <w:rsid w:val="00E61B7B"/>
    <w:rsid w:val="00E61C0D"/>
    <w:rsid w:val="00E61D7A"/>
    <w:rsid w:val="00E61D99"/>
    <w:rsid w:val="00E61E42"/>
    <w:rsid w:val="00E61E67"/>
    <w:rsid w:val="00E61E89"/>
    <w:rsid w:val="00E61F37"/>
    <w:rsid w:val="00E61FDC"/>
    <w:rsid w:val="00E62018"/>
    <w:rsid w:val="00E62107"/>
    <w:rsid w:val="00E62121"/>
    <w:rsid w:val="00E62146"/>
    <w:rsid w:val="00E62219"/>
    <w:rsid w:val="00E62249"/>
    <w:rsid w:val="00E62289"/>
    <w:rsid w:val="00E62332"/>
    <w:rsid w:val="00E6240E"/>
    <w:rsid w:val="00E624FE"/>
    <w:rsid w:val="00E625AE"/>
    <w:rsid w:val="00E625E9"/>
    <w:rsid w:val="00E625F3"/>
    <w:rsid w:val="00E6289F"/>
    <w:rsid w:val="00E62922"/>
    <w:rsid w:val="00E62973"/>
    <w:rsid w:val="00E62AA0"/>
    <w:rsid w:val="00E62AB7"/>
    <w:rsid w:val="00E62B11"/>
    <w:rsid w:val="00E62BA7"/>
    <w:rsid w:val="00E62BCD"/>
    <w:rsid w:val="00E62C97"/>
    <w:rsid w:val="00E62D03"/>
    <w:rsid w:val="00E62D4A"/>
    <w:rsid w:val="00E62D68"/>
    <w:rsid w:val="00E62D69"/>
    <w:rsid w:val="00E62D80"/>
    <w:rsid w:val="00E62DC7"/>
    <w:rsid w:val="00E62DEC"/>
    <w:rsid w:val="00E62EDA"/>
    <w:rsid w:val="00E62FA1"/>
    <w:rsid w:val="00E6303D"/>
    <w:rsid w:val="00E630C4"/>
    <w:rsid w:val="00E63156"/>
    <w:rsid w:val="00E6315F"/>
    <w:rsid w:val="00E63194"/>
    <w:rsid w:val="00E631A1"/>
    <w:rsid w:val="00E63224"/>
    <w:rsid w:val="00E632E4"/>
    <w:rsid w:val="00E6330B"/>
    <w:rsid w:val="00E633B1"/>
    <w:rsid w:val="00E63466"/>
    <w:rsid w:val="00E63469"/>
    <w:rsid w:val="00E634A0"/>
    <w:rsid w:val="00E634E9"/>
    <w:rsid w:val="00E63688"/>
    <w:rsid w:val="00E63689"/>
    <w:rsid w:val="00E636B5"/>
    <w:rsid w:val="00E63743"/>
    <w:rsid w:val="00E637C9"/>
    <w:rsid w:val="00E6388E"/>
    <w:rsid w:val="00E638FE"/>
    <w:rsid w:val="00E63942"/>
    <w:rsid w:val="00E639AA"/>
    <w:rsid w:val="00E639ED"/>
    <w:rsid w:val="00E63BB1"/>
    <w:rsid w:val="00E63CA0"/>
    <w:rsid w:val="00E640AC"/>
    <w:rsid w:val="00E640D2"/>
    <w:rsid w:val="00E640DF"/>
    <w:rsid w:val="00E64155"/>
    <w:rsid w:val="00E64205"/>
    <w:rsid w:val="00E64231"/>
    <w:rsid w:val="00E6424A"/>
    <w:rsid w:val="00E6426F"/>
    <w:rsid w:val="00E64288"/>
    <w:rsid w:val="00E64292"/>
    <w:rsid w:val="00E6429B"/>
    <w:rsid w:val="00E64335"/>
    <w:rsid w:val="00E643DD"/>
    <w:rsid w:val="00E64419"/>
    <w:rsid w:val="00E64442"/>
    <w:rsid w:val="00E645CF"/>
    <w:rsid w:val="00E64683"/>
    <w:rsid w:val="00E64806"/>
    <w:rsid w:val="00E64813"/>
    <w:rsid w:val="00E648B9"/>
    <w:rsid w:val="00E6498D"/>
    <w:rsid w:val="00E649C5"/>
    <w:rsid w:val="00E64AA7"/>
    <w:rsid w:val="00E64AAC"/>
    <w:rsid w:val="00E64B98"/>
    <w:rsid w:val="00E64CEF"/>
    <w:rsid w:val="00E64D3C"/>
    <w:rsid w:val="00E64D69"/>
    <w:rsid w:val="00E64D87"/>
    <w:rsid w:val="00E64DD8"/>
    <w:rsid w:val="00E64EB8"/>
    <w:rsid w:val="00E64FA6"/>
    <w:rsid w:val="00E64FBB"/>
    <w:rsid w:val="00E65073"/>
    <w:rsid w:val="00E650DC"/>
    <w:rsid w:val="00E651C8"/>
    <w:rsid w:val="00E6520A"/>
    <w:rsid w:val="00E6523B"/>
    <w:rsid w:val="00E65258"/>
    <w:rsid w:val="00E6525D"/>
    <w:rsid w:val="00E65282"/>
    <w:rsid w:val="00E65351"/>
    <w:rsid w:val="00E653D5"/>
    <w:rsid w:val="00E653E0"/>
    <w:rsid w:val="00E653F7"/>
    <w:rsid w:val="00E654F2"/>
    <w:rsid w:val="00E65576"/>
    <w:rsid w:val="00E65687"/>
    <w:rsid w:val="00E6575C"/>
    <w:rsid w:val="00E657B2"/>
    <w:rsid w:val="00E657E2"/>
    <w:rsid w:val="00E6580B"/>
    <w:rsid w:val="00E6584E"/>
    <w:rsid w:val="00E658D0"/>
    <w:rsid w:val="00E65976"/>
    <w:rsid w:val="00E65A69"/>
    <w:rsid w:val="00E65A83"/>
    <w:rsid w:val="00E65A90"/>
    <w:rsid w:val="00E65B1B"/>
    <w:rsid w:val="00E65BAC"/>
    <w:rsid w:val="00E65C4E"/>
    <w:rsid w:val="00E65C71"/>
    <w:rsid w:val="00E65CA2"/>
    <w:rsid w:val="00E65CE9"/>
    <w:rsid w:val="00E65CFA"/>
    <w:rsid w:val="00E65CFC"/>
    <w:rsid w:val="00E65D3B"/>
    <w:rsid w:val="00E65DFA"/>
    <w:rsid w:val="00E65E39"/>
    <w:rsid w:val="00E65E90"/>
    <w:rsid w:val="00E65F48"/>
    <w:rsid w:val="00E65F74"/>
    <w:rsid w:val="00E660E8"/>
    <w:rsid w:val="00E66119"/>
    <w:rsid w:val="00E66228"/>
    <w:rsid w:val="00E6629C"/>
    <w:rsid w:val="00E662A1"/>
    <w:rsid w:val="00E66331"/>
    <w:rsid w:val="00E66336"/>
    <w:rsid w:val="00E6649B"/>
    <w:rsid w:val="00E66549"/>
    <w:rsid w:val="00E66554"/>
    <w:rsid w:val="00E665B5"/>
    <w:rsid w:val="00E665EA"/>
    <w:rsid w:val="00E6669E"/>
    <w:rsid w:val="00E666F2"/>
    <w:rsid w:val="00E66914"/>
    <w:rsid w:val="00E66936"/>
    <w:rsid w:val="00E66978"/>
    <w:rsid w:val="00E66A58"/>
    <w:rsid w:val="00E66A7D"/>
    <w:rsid w:val="00E66B69"/>
    <w:rsid w:val="00E66C41"/>
    <w:rsid w:val="00E66C6B"/>
    <w:rsid w:val="00E66CBD"/>
    <w:rsid w:val="00E66DCA"/>
    <w:rsid w:val="00E66ECF"/>
    <w:rsid w:val="00E66F3F"/>
    <w:rsid w:val="00E66FE4"/>
    <w:rsid w:val="00E6702A"/>
    <w:rsid w:val="00E67128"/>
    <w:rsid w:val="00E6718A"/>
    <w:rsid w:val="00E67220"/>
    <w:rsid w:val="00E67259"/>
    <w:rsid w:val="00E67372"/>
    <w:rsid w:val="00E673F1"/>
    <w:rsid w:val="00E67495"/>
    <w:rsid w:val="00E674F4"/>
    <w:rsid w:val="00E67565"/>
    <w:rsid w:val="00E67595"/>
    <w:rsid w:val="00E6766A"/>
    <w:rsid w:val="00E67712"/>
    <w:rsid w:val="00E67743"/>
    <w:rsid w:val="00E67880"/>
    <w:rsid w:val="00E679C3"/>
    <w:rsid w:val="00E679EA"/>
    <w:rsid w:val="00E679EC"/>
    <w:rsid w:val="00E67AD1"/>
    <w:rsid w:val="00E67AE1"/>
    <w:rsid w:val="00E67B52"/>
    <w:rsid w:val="00E67B70"/>
    <w:rsid w:val="00E67BB3"/>
    <w:rsid w:val="00E67C7E"/>
    <w:rsid w:val="00E67D44"/>
    <w:rsid w:val="00E67E0E"/>
    <w:rsid w:val="00E67E4C"/>
    <w:rsid w:val="00E67F91"/>
    <w:rsid w:val="00E67FFC"/>
    <w:rsid w:val="00E67FFD"/>
    <w:rsid w:val="00E7000D"/>
    <w:rsid w:val="00E7003D"/>
    <w:rsid w:val="00E700E5"/>
    <w:rsid w:val="00E700EB"/>
    <w:rsid w:val="00E700EF"/>
    <w:rsid w:val="00E701B9"/>
    <w:rsid w:val="00E7035F"/>
    <w:rsid w:val="00E7039E"/>
    <w:rsid w:val="00E703EB"/>
    <w:rsid w:val="00E7068A"/>
    <w:rsid w:val="00E706B9"/>
    <w:rsid w:val="00E70757"/>
    <w:rsid w:val="00E70794"/>
    <w:rsid w:val="00E7080C"/>
    <w:rsid w:val="00E7087C"/>
    <w:rsid w:val="00E708A1"/>
    <w:rsid w:val="00E70941"/>
    <w:rsid w:val="00E7098F"/>
    <w:rsid w:val="00E70A5B"/>
    <w:rsid w:val="00E70A93"/>
    <w:rsid w:val="00E70B7A"/>
    <w:rsid w:val="00E70C34"/>
    <w:rsid w:val="00E70CC6"/>
    <w:rsid w:val="00E70E84"/>
    <w:rsid w:val="00E70E87"/>
    <w:rsid w:val="00E70EFE"/>
    <w:rsid w:val="00E70F18"/>
    <w:rsid w:val="00E70F44"/>
    <w:rsid w:val="00E70FC7"/>
    <w:rsid w:val="00E70FE4"/>
    <w:rsid w:val="00E7101C"/>
    <w:rsid w:val="00E71030"/>
    <w:rsid w:val="00E71064"/>
    <w:rsid w:val="00E71162"/>
    <w:rsid w:val="00E71185"/>
    <w:rsid w:val="00E711A3"/>
    <w:rsid w:val="00E71214"/>
    <w:rsid w:val="00E712D9"/>
    <w:rsid w:val="00E71360"/>
    <w:rsid w:val="00E713D8"/>
    <w:rsid w:val="00E71437"/>
    <w:rsid w:val="00E7143F"/>
    <w:rsid w:val="00E714A3"/>
    <w:rsid w:val="00E71655"/>
    <w:rsid w:val="00E716AD"/>
    <w:rsid w:val="00E71787"/>
    <w:rsid w:val="00E71820"/>
    <w:rsid w:val="00E7186A"/>
    <w:rsid w:val="00E719A0"/>
    <w:rsid w:val="00E71A89"/>
    <w:rsid w:val="00E71AB7"/>
    <w:rsid w:val="00E71B5A"/>
    <w:rsid w:val="00E71CD6"/>
    <w:rsid w:val="00E71D1C"/>
    <w:rsid w:val="00E71E53"/>
    <w:rsid w:val="00E71EF8"/>
    <w:rsid w:val="00E71F16"/>
    <w:rsid w:val="00E71F25"/>
    <w:rsid w:val="00E71F34"/>
    <w:rsid w:val="00E7200B"/>
    <w:rsid w:val="00E72088"/>
    <w:rsid w:val="00E72098"/>
    <w:rsid w:val="00E720C6"/>
    <w:rsid w:val="00E720E0"/>
    <w:rsid w:val="00E7210D"/>
    <w:rsid w:val="00E72158"/>
    <w:rsid w:val="00E721AF"/>
    <w:rsid w:val="00E7222E"/>
    <w:rsid w:val="00E722A9"/>
    <w:rsid w:val="00E722D7"/>
    <w:rsid w:val="00E723BF"/>
    <w:rsid w:val="00E7240C"/>
    <w:rsid w:val="00E72453"/>
    <w:rsid w:val="00E72494"/>
    <w:rsid w:val="00E724D0"/>
    <w:rsid w:val="00E7250D"/>
    <w:rsid w:val="00E7255E"/>
    <w:rsid w:val="00E72565"/>
    <w:rsid w:val="00E72725"/>
    <w:rsid w:val="00E7280F"/>
    <w:rsid w:val="00E7288D"/>
    <w:rsid w:val="00E728F9"/>
    <w:rsid w:val="00E7299A"/>
    <w:rsid w:val="00E729B0"/>
    <w:rsid w:val="00E729E5"/>
    <w:rsid w:val="00E729FB"/>
    <w:rsid w:val="00E72A4F"/>
    <w:rsid w:val="00E72A9C"/>
    <w:rsid w:val="00E72AB8"/>
    <w:rsid w:val="00E72AF4"/>
    <w:rsid w:val="00E72B1F"/>
    <w:rsid w:val="00E72BAB"/>
    <w:rsid w:val="00E72BAC"/>
    <w:rsid w:val="00E72CF9"/>
    <w:rsid w:val="00E72D0F"/>
    <w:rsid w:val="00E72D54"/>
    <w:rsid w:val="00E72DB9"/>
    <w:rsid w:val="00E72E1C"/>
    <w:rsid w:val="00E73009"/>
    <w:rsid w:val="00E7308B"/>
    <w:rsid w:val="00E731F3"/>
    <w:rsid w:val="00E7320E"/>
    <w:rsid w:val="00E73287"/>
    <w:rsid w:val="00E73315"/>
    <w:rsid w:val="00E7347C"/>
    <w:rsid w:val="00E7348A"/>
    <w:rsid w:val="00E73673"/>
    <w:rsid w:val="00E73683"/>
    <w:rsid w:val="00E73696"/>
    <w:rsid w:val="00E736F9"/>
    <w:rsid w:val="00E737AF"/>
    <w:rsid w:val="00E73832"/>
    <w:rsid w:val="00E7384A"/>
    <w:rsid w:val="00E73959"/>
    <w:rsid w:val="00E739B1"/>
    <w:rsid w:val="00E73A43"/>
    <w:rsid w:val="00E73B29"/>
    <w:rsid w:val="00E73B32"/>
    <w:rsid w:val="00E73BDE"/>
    <w:rsid w:val="00E73BFB"/>
    <w:rsid w:val="00E73C79"/>
    <w:rsid w:val="00E73D7D"/>
    <w:rsid w:val="00E73E1D"/>
    <w:rsid w:val="00E73EA2"/>
    <w:rsid w:val="00E73EFD"/>
    <w:rsid w:val="00E73F4D"/>
    <w:rsid w:val="00E740BC"/>
    <w:rsid w:val="00E741CB"/>
    <w:rsid w:val="00E7425B"/>
    <w:rsid w:val="00E742DA"/>
    <w:rsid w:val="00E7435E"/>
    <w:rsid w:val="00E7447A"/>
    <w:rsid w:val="00E74535"/>
    <w:rsid w:val="00E7453A"/>
    <w:rsid w:val="00E7453F"/>
    <w:rsid w:val="00E74669"/>
    <w:rsid w:val="00E74733"/>
    <w:rsid w:val="00E74747"/>
    <w:rsid w:val="00E74765"/>
    <w:rsid w:val="00E7498B"/>
    <w:rsid w:val="00E749A4"/>
    <w:rsid w:val="00E749DB"/>
    <w:rsid w:val="00E74B47"/>
    <w:rsid w:val="00E74BCF"/>
    <w:rsid w:val="00E74BDC"/>
    <w:rsid w:val="00E74BE8"/>
    <w:rsid w:val="00E74CB1"/>
    <w:rsid w:val="00E74CBA"/>
    <w:rsid w:val="00E74CC3"/>
    <w:rsid w:val="00E74D68"/>
    <w:rsid w:val="00E74DF3"/>
    <w:rsid w:val="00E74E48"/>
    <w:rsid w:val="00E74FF3"/>
    <w:rsid w:val="00E7523D"/>
    <w:rsid w:val="00E7527E"/>
    <w:rsid w:val="00E7540C"/>
    <w:rsid w:val="00E7544B"/>
    <w:rsid w:val="00E7545F"/>
    <w:rsid w:val="00E754F0"/>
    <w:rsid w:val="00E7554A"/>
    <w:rsid w:val="00E75608"/>
    <w:rsid w:val="00E756EE"/>
    <w:rsid w:val="00E756FB"/>
    <w:rsid w:val="00E7576B"/>
    <w:rsid w:val="00E757AB"/>
    <w:rsid w:val="00E757B9"/>
    <w:rsid w:val="00E75811"/>
    <w:rsid w:val="00E7587D"/>
    <w:rsid w:val="00E75950"/>
    <w:rsid w:val="00E7595C"/>
    <w:rsid w:val="00E759C6"/>
    <w:rsid w:val="00E759E9"/>
    <w:rsid w:val="00E75A94"/>
    <w:rsid w:val="00E75B4B"/>
    <w:rsid w:val="00E75BDC"/>
    <w:rsid w:val="00E75C38"/>
    <w:rsid w:val="00E75C68"/>
    <w:rsid w:val="00E75C82"/>
    <w:rsid w:val="00E75CDC"/>
    <w:rsid w:val="00E75D57"/>
    <w:rsid w:val="00E75D63"/>
    <w:rsid w:val="00E75E09"/>
    <w:rsid w:val="00E75F14"/>
    <w:rsid w:val="00E7604B"/>
    <w:rsid w:val="00E760D8"/>
    <w:rsid w:val="00E7613F"/>
    <w:rsid w:val="00E76155"/>
    <w:rsid w:val="00E761B3"/>
    <w:rsid w:val="00E761B5"/>
    <w:rsid w:val="00E76217"/>
    <w:rsid w:val="00E76221"/>
    <w:rsid w:val="00E7624E"/>
    <w:rsid w:val="00E76289"/>
    <w:rsid w:val="00E76302"/>
    <w:rsid w:val="00E7632A"/>
    <w:rsid w:val="00E7634C"/>
    <w:rsid w:val="00E76365"/>
    <w:rsid w:val="00E763A3"/>
    <w:rsid w:val="00E764BF"/>
    <w:rsid w:val="00E76506"/>
    <w:rsid w:val="00E7650A"/>
    <w:rsid w:val="00E76557"/>
    <w:rsid w:val="00E76565"/>
    <w:rsid w:val="00E766B2"/>
    <w:rsid w:val="00E767A5"/>
    <w:rsid w:val="00E76848"/>
    <w:rsid w:val="00E7688B"/>
    <w:rsid w:val="00E768FC"/>
    <w:rsid w:val="00E76A05"/>
    <w:rsid w:val="00E76A5C"/>
    <w:rsid w:val="00E76A65"/>
    <w:rsid w:val="00E76A8E"/>
    <w:rsid w:val="00E76B00"/>
    <w:rsid w:val="00E76B77"/>
    <w:rsid w:val="00E76C3C"/>
    <w:rsid w:val="00E76D21"/>
    <w:rsid w:val="00E76D64"/>
    <w:rsid w:val="00E76E45"/>
    <w:rsid w:val="00E76E9B"/>
    <w:rsid w:val="00E76FDF"/>
    <w:rsid w:val="00E77035"/>
    <w:rsid w:val="00E77055"/>
    <w:rsid w:val="00E77062"/>
    <w:rsid w:val="00E77066"/>
    <w:rsid w:val="00E770FB"/>
    <w:rsid w:val="00E77150"/>
    <w:rsid w:val="00E771E9"/>
    <w:rsid w:val="00E77221"/>
    <w:rsid w:val="00E7739B"/>
    <w:rsid w:val="00E77403"/>
    <w:rsid w:val="00E77494"/>
    <w:rsid w:val="00E774DD"/>
    <w:rsid w:val="00E775F9"/>
    <w:rsid w:val="00E77698"/>
    <w:rsid w:val="00E776CC"/>
    <w:rsid w:val="00E77717"/>
    <w:rsid w:val="00E77733"/>
    <w:rsid w:val="00E77746"/>
    <w:rsid w:val="00E777C1"/>
    <w:rsid w:val="00E7792F"/>
    <w:rsid w:val="00E779EF"/>
    <w:rsid w:val="00E779F8"/>
    <w:rsid w:val="00E77A50"/>
    <w:rsid w:val="00E77BAC"/>
    <w:rsid w:val="00E77DB0"/>
    <w:rsid w:val="00E77E2A"/>
    <w:rsid w:val="00E77F79"/>
    <w:rsid w:val="00E80021"/>
    <w:rsid w:val="00E80070"/>
    <w:rsid w:val="00E8009F"/>
    <w:rsid w:val="00E800BF"/>
    <w:rsid w:val="00E800EB"/>
    <w:rsid w:val="00E8011F"/>
    <w:rsid w:val="00E80257"/>
    <w:rsid w:val="00E802AF"/>
    <w:rsid w:val="00E802C5"/>
    <w:rsid w:val="00E8030F"/>
    <w:rsid w:val="00E803A4"/>
    <w:rsid w:val="00E8040C"/>
    <w:rsid w:val="00E804EC"/>
    <w:rsid w:val="00E8050C"/>
    <w:rsid w:val="00E80550"/>
    <w:rsid w:val="00E80576"/>
    <w:rsid w:val="00E80578"/>
    <w:rsid w:val="00E805AD"/>
    <w:rsid w:val="00E8063E"/>
    <w:rsid w:val="00E80658"/>
    <w:rsid w:val="00E8066F"/>
    <w:rsid w:val="00E80672"/>
    <w:rsid w:val="00E8073B"/>
    <w:rsid w:val="00E809AB"/>
    <w:rsid w:val="00E809F8"/>
    <w:rsid w:val="00E80A63"/>
    <w:rsid w:val="00E80B16"/>
    <w:rsid w:val="00E80B3C"/>
    <w:rsid w:val="00E80B90"/>
    <w:rsid w:val="00E80BBC"/>
    <w:rsid w:val="00E80CD4"/>
    <w:rsid w:val="00E80D80"/>
    <w:rsid w:val="00E80D9C"/>
    <w:rsid w:val="00E80E6B"/>
    <w:rsid w:val="00E80E6E"/>
    <w:rsid w:val="00E80F8A"/>
    <w:rsid w:val="00E80F9B"/>
    <w:rsid w:val="00E81068"/>
    <w:rsid w:val="00E81088"/>
    <w:rsid w:val="00E810B9"/>
    <w:rsid w:val="00E81133"/>
    <w:rsid w:val="00E81191"/>
    <w:rsid w:val="00E8120A"/>
    <w:rsid w:val="00E81282"/>
    <w:rsid w:val="00E812DE"/>
    <w:rsid w:val="00E81349"/>
    <w:rsid w:val="00E81359"/>
    <w:rsid w:val="00E8141E"/>
    <w:rsid w:val="00E81473"/>
    <w:rsid w:val="00E81513"/>
    <w:rsid w:val="00E8172E"/>
    <w:rsid w:val="00E817EA"/>
    <w:rsid w:val="00E817F8"/>
    <w:rsid w:val="00E8181A"/>
    <w:rsid w:val="00E818C3"/>
    <w:rsid w:val="00E818E4"/>
    <w:rsid w:val="00E81900"/>
    <w:rsid w:val="00E8199A"/>
    <w:rsid w:val="00E819C6"/>
    <w:rsid w:val="00E819D8"/>
    <w:rsid w:val="00E81AE6"/>
    <w:rsid w:val="00E81B02"/>
    <w:rsid w:val="00E81C3C"/>
    <w:rsid w:val="00E81C82"/>
    <w:rsid w:val="00E81CCF"/>
    <w:rsid w:val="00E81CDF"/>
    <w:rsid w:val="00E81D34"/>
    <w:rsid w:val="00E81DFB"/>
    <w:rsid w:val="00E81DFE"/>
    <w:rsid w:val="00E81EA2"/>
    <w:rsid w:val="00E81F9C"/>
    <w:rsid w:val="00E81FEB"/>
    <w:rsid w:val="00E82064"/>
    <w:rsid w:val="00E82075"/>
    <w:rsid w:val="00E820B7"/>
    <w:rsid w:val="00E820EA"/>
    <w:rsid w:val="00E82475"/>
    <w:rsid w:val="00E824CD"/>
    <w:rsid w:val="00E82581"/>
    <w:rsid w:val="00E825D2"/>
    <w:rsid w:val="00E825F9"/>
    <w:rsid w:val="00E8260C"/>
    <w:rsid w:val="00E8260E"/>
    <w:rsid w:val="00E82685"/>
    <w:rsid w:val="00E82696"/>
    <w:rsid w:val="00E827F6"/>
    <w:rsid w:val="00E82858"/>
    <w:rsid w:val="00E82882"/>
    <w:rsid w:val="00E828B4"/>
    <w:rsid w:val="00E8298A"/>
    <w:rsid w:val="00E82992"/>
    <w:rsid w:val="00E82A51"/>
    <w:rsid w:val="00E82AC3"/>
    <w:rsid w:val="00E82ADF"/>
    <w:rsid w:val="00E82BC3"/>
    <w:rsid w:val="00E82C06"/>
    <w:rsid w:val="00E82D00"/>
    <w:rsid w:val="00E82D1A"/>
    <w:rsid w:val="00E82DA9"/>
    <w:rsid w:val="00E82DAE"/>
    <w:rsid w:val="00E82E25"/>
    <w:rsid w:val="00E82EBB"/>
    <w:rsid w:val="00E82F24"/>
    <w:rsid w:val="00E82F3B"/>
    <w:rsid w:val="00E82FD3"/>
    <w:rsid w:val="00E82FE5"/>
    <w:rsid w:val="00E82FF4"/>
    <w:rsid w:val="00E830AE"/>
    <w:rsid w:val="00E830E0"/>
    <w:rsid w:val="00E83116"/>
    <w:rsid w:val="00E832B2"/>
    <w:rsid w:val="00E83354"/>
    <w:rsid w:val="00E83376"/>
    <w:rsid w:val="00E833F6"/>
    <w:rsid w:val="00E834A1"/>
    <w:rsid w:val="00E834C9"/>
    <w:rsid w:val="00E8359E"/>
    <w:rsid w:val="00E83610"/>
    <w:rsid w:val="00E836A7"/>
    <w:rsid w:val="00E8372B"/>
    <w:rsid w:val="00E8378C"/>
    <w:rsid w:val="00E837A5"/>
    <w:rsid w:val="00E8387C"/>
    <w:rsid w:val="00E83885"/>
    <w:rsid w:val="00E838EB"/>
    <w:rsid w:val="00E83A13"/>
    <w:rsid w:val="00E83A63"/>
    <w:rsid w:val="00E83A6A"/>
    <w:rsid w:val="00E83A6E"/>
    <w:rsid w:val="00E83AA2"/>
    <w:rsid w:val="00E83ACC"/>
    <w:rsid w:val="00E83AE6"/>
    <w:rsid w:val="00E83AFA"/>
    <w:rsid w:val="00E83B42"/>
    <w:rsid w:val="00E83C46"/>
    <w:rsid w:val="00E83D23"/>
    <w:rsid w:val="00E83D63"/>
    <w:rsid w:val="00E83D7D"/>
    <w:rsid w:val="00E83DD3"/>
    <w:rsid w:val="00E83E83"/>
    <w:rsid w:val="00E83EA4"/>
    <w:rsid w:val="00E83EA7"/>
    <w:rsid w:val="00E83EFD"/>
    <w:rsid w:val="00E83F2A"/>
    <w:rsid w:val="00E83F6C"/>
    <w:rsid w:val="00E83F7C"/>
    <w:rsid w:val="00E84091"/>
    <w:rsid w:val="00E840CA"/>
    <w:rsid w:val="00E84143"/>
    <w:rsid w:val="00E8417B"/>
    <w:rsid w:val="00E841CD"/>
    <w:rsid w:val="00E841F7"/>
    <w:rsid w:val="00E84253"/>
    <w:rsid w:val="00E84292"/>
    <w:rsid w:val="00E842D7"/>
    <w:rsid w:val="00E842E3"/>
    <w:rsid w:val="00E843DB"/>
    <w:rsid w:val="00E843DF"/>
    <w:rsid w:val="00E843FE"/>
    <w:rsid w:val="00E84428"/>
    <w:rsid w:val="00E8444A"/>
    <w:rsid w:val="00E84515"/>
    <w:rsid w:val="00E8459B"/>
    <w:rsid w:val="00E8461A"/>
    <w:rsid w:val="00E84630"/>
    <w:rsid w:val="00E84646"/>
    <w:rsid w:val="00E84742"/>
    <w:rsid w:val="00E8475A"/>
    <w:rsid w:val="00E84807"/>
    <w:rsid w:val="00E848F7"/>
    <w:rsid w:val="00E84907"/>
    <w:rsid w:val="00E8497A"/>
    <w:rsid w:val="00E84A54"/>
    <w:rsid w:val="00E84A5A"/>
    <w:rsid w:val="00E84AA3"/>
    <w:rsid w:val="00E84BB0"/>
    <w:rsid w:val="00E84BDD"/>
    <w:rsid w:val="00E84CAC"/>
    <w:rsid w:val="00E84CD7"/>
    <w:rsid w:val="00E84D17"/>
    <w:rsid w:val="00E84D86"/>
    <w:rsid w:val="00E84FB7"/>
    <w:rsid w:val="00E8500D"/>
    <w:rsid w:val="00E85095"/>
    <w:rsid w:val="00E850A1"/>
    <w:rsid w:val="00E850DD"/>
    <w:rsid w:val="00E850E2"/>
    <w:rsid w:val="00E85169"/>
    <w:rsid w:val="00E85179"/>
    <w:rsid w:val="00E85209"/>
    <w:rsid w:val="00E8524E"/>
    <w:rsid w:val="00E85372"/>
    <w:rsid w:val="00E854BC"/>
    <w:rsid w:val="00E854F1"/>
    <w:rsid w:val="00E8551F"/>
    <w:rsid w:val="00E855E8"/>
    <w:rsid w:val="00E8560A"/>
    <w:rsid w:val="00E85636"/>
    <w:rsid w:val="00E85641"/>
    <w:rsid w:val="00E856E0"/>
    <w:rsid w:val="00E85708"/>
    <w:rsid w:val="00E8571A"/>
    <w:rsid w:val="00E857C3"/>
    <w:rsid w:val="00E857C4"/>
    <w:rsid w:val="00E857E3"/>
    <w:rsid w:val="00E857FF"/>
    <w:rsid w:val="00E85811"/>
    <w:rsid w:val="00E85816"/>
    <w:rsid w:val="00E85844"/>
    <w:rsid w:val="00E858B1"/>
    <w:rsid w:val="00E85950"/>
    <w:rsid w:val="00E8595C"/>
    <w:rsid w:val="00E85A80"/>
    <w:rsid w:val="00E85ABE"/>
    <w:rsid w:val="00E85B0F"/>
    <w:rsid w:val="00E85BF3"/>
    <w:rsid w:val="00E85C89"/>
    <w:rsid w:val="00E85CBB"/>
    <w:rsid w:val="00E85CDC"/>
    <w:rsid w:val="00E85CE5"/>
    <w:rsid w:val="00E85D8B"/>
    <w:rsid w:val="00E85DC8"/>
    <w:rsid w:val="00E85DE0"/>
    <w:rsid w:val="00E85E9D"/>
    <w:rsid w:val="00E86083"/>
    <w:rsid w:val="00E8608D"/>
    <w:rsid w:val="00E86094"/>
    <w:rsid w:val="00E86096"/>
    <w:rsid w:val="00E8613A"/>
    <w:rsid w:val="00E8613C"/>
    <w:rsid w:val="00E8613F"/>
    <w:rsid w:val="00E862D4"/>
    <w:rsid w:val="00E8643A"/>
    <w:rsid w:val="00E8647C"/>
    <w:rsid w:val="00E864CA"/>
    <w:rsid w:val="00E864CE"/>
    <w:rsid w:val="00E864FA"/>
    <w:rsid w:val="00E86573"/>
    <w:rsid w:val="00E86581"/>
    <w:rsid w:val="00E86610"/>
    <w:rsid w:val="00E866E0"/>
    <w:rsid w:val="00E866F6"/>
    <w:rsid w:val="00E86722"/>
    <w:rsid w:val="00E8674B"/>
    <w:rsid w:val="00E8688D"/>
    <w:rsid w:val="00E86891"/>
    <w:rsid w:val="00E86A18"/>
    <w:rsid w:val="00E86A81"/>
    <w:rsid w:val="00E86B5F"/>
    <w:rsid w:val="00E86BBE"/>
    <w:rsid w:val="00E86BC4"/>
    <w:rsid w:val="00E86C02"/>
    <w:rsid w:val="00E86C84"/>
    <w:rsid w:val="00E86D1A"/>
    <w:rsid w:val="00E86DFE"/>
    <w:rsid w:val="00E86E0B"/>
    <w:rsid w:val="00E86E42"/>
    <w:rsid w:val="00E86F88"/>
    <w:rsid w:val="00E86FA2"/>
    <w:rsid w:val="00E86FA3"/>
    <w:rsid w:val="00E86FB3"/>
    <w:rsid w:val="00E86FDC"/>
    <w:rsid w:val="00E87007"/>
    <w:rsid w:val="00E87059"/>
    <w:rsid w:val="00E87279"/>
    <w:rsid w:val="00E872EF"/>
    <w:rsid w:val="00E87508"/>
    <w:rsid w:val="00E87599"/>
    <w:rsid w:val="00E875C8"/>
    <w:rsid w:val="00E875CD"/>
    <w:rsid w:val="00E8760E"/>
    <w:rsid w:val="00E8763E"/>
    <w:rsid w:val="00E87688"/>
    <w:rsid w:val="00E87770"/>
    <w:rsid w:val="00E877A6"/>
    <w:rsid w:val="00E87850"/>
    <w:rsid w:val="00E87921"/>
    <w:rsid w:val="00E87A56"/>
    <w:rsid w:val="00E87AA2"/>
    <w:rsid w:val="00E87AFD"/>
    <w:rsid w:val="00E87B96"/>
    <w:rsid w:val="00E87BC3"/>
    <w:rsid w:val="00E87C07"/>
    <w:rsid w:val="00E87C8F"/>
    <w:rsid w:val="00E87D28"/>
    <w:rsid w:val="00E87D56"/>
    <w:rsid w:val="00E87D77"/>
    <w:rsid w:val="00E87DA5"/>
    <w:rsid w:val="00E87E2A"/>
    <w:rsid w:val="00E87F6A"/>
    <w:rsid w:val="00E87FDF"/>
    <w:rsid w:val="00E9001F"/>
    <w:rsid w:val="00E9003C"/>
    <w:rsid w:val="00E90058"/>
    <w:rsid w:val="00E900DE"/>
    <w:rsid w:val="00E9011E"/>
    <w:rsid w:val="00E9018B"/>
    <w:rsid w:val="00E901EE"/>
    <w:rsid w:val="00E902A4"/>
    <w:rsid w:val="00E902C3"/>
    <w:rsid w:val="00E9030A"/>
    <w:rsid w:val="00E90374"/>
    <w:rsid w:val="00E9045B"/>
    <w:rsid w:val="00E9049A"/>
    <w:rsid w:val="00E90597"/>
    <w:rsid w:val="00E9059F"/>
    <w:rsid w:val="00E90709"/>
    <w:rsid w:val="00E90717"/>
    <w:rsid w:val="00E90748"/>
    <w:rsid w:val="00E90754"/>
    <w:rsid w:val="00E9076E"/>
    <w:rsid w:val="00E907EC"/>
    <w:rsid w:val="00E90865"/>
    <w:rsid w:val="00E908CB"/>
    <w:rsid w:val="00E908F2"/>
    <w:rsid w:val="00E909E5"/>
    <w:rsid w:val="00E909FC"/>
    <w:rsid w:val="00E90A00"/>
    <w:rsid w:val="00E90A81"/>
    <w:rsid w:val="00E90B85"/>
    <w:rsid w:val="00E90D0B"/>
    <w:rsid w:val="00E90D6F"/>
    <w:rsid w:val="00E90DA7"/>
    <w:rsid w:val="00E90E5E"/>
    <w:rsid w:val="00E90E93"/>
    <w:rsid w:val="00E90EE8"/>
    <w:rsid w:val="00E90F9D"/>
    <w:rsid w:val="00E910E9"/>
    <w:rsid w:val="00E91181"/>
    <w:rsid w:val="00E911EB"/>
    <w:rsid w:val="00E91265"/>
    <w:rsid w:val="00E912C4"/>
    <w:rsid w:val="00E91319"/>
    <w:rsid w:val="00E9132B"/>
    <w:rsid w:val="00E913EA"/>
    <w:rsid w:val="00E91409"/>
    <w:rsid w:val="00E91413"/>
    <w:rsid w:val="00E9144A"/>
    <w:rsid w:val="00E9146D"/>
    <w:rsid w:val="00E91495"/>
    <w:rsid w:val="00E91531"/>
    <w:rsid w:val="00E915D8"/>
    <w:rsid w:val="00E9164A"/>
    <w:rsid w:val="00E9170E"/>
    <w:rsid w:val="00E917E7"/>
    <w:rsid w:val="00E91873"/>
    <w:rsid w:val="00E9193E"/>
    <w:rsid w:val="00E91997"/>
    <w:rsid w:val="00E919AF"/>
    <w:rsid w:val="00E919D5"/>
    <w:rsid w:val="00E91A36"/>
    <w:rsid w:val="00E91A38"/>
    <w:rsid w:val="00E91A6E"/>
    <w:rsid w:val="00E91A75"/>
    <w:rsid w:val="00E91AA8"/>
    <w:rsid w:val="00E91AAA"/>
    <w:rsid w:val="00E91B11"/>
    <w:rsid w:val="00E91B93"/>
    <w:rsid w:val="00E91BB4"/>
    <w:rsid w:val="00E91BC3"/>
    <w:rsid w:val="00E91C0B"/>
    <w:rsid w:val="00E91C6F"/>
    <w:rsid w:val="00E91CCE"/>
    <w:rsid w:val="00E91D6B"/>
    <w:rsid w:val="00E91D82"/>
    <w:rsid w:val="00E91DEB"/>
    <w:rsid w:val="00E91E7A"/>
    <w:rsid w:val="00E91EDE"/>
    <w:rsid w:val="00E91FEE"/>
    <w:rsid w:val="00E92008"/>
    <w:rsid w:val="00E9201E"/>
    <w:rsid w:val="00E92030"/>
    <w:rsid w:val="00E92088"/>
    <w:rsid w:val="00E92106"/>
    <w:rsid w:val="00E92169"/>
    <w:rsid w:val="00E921FD"/>
    <w:rsid w:val="00E92203"/>
    <w:rsid w:val="00E92231"/>
    <w:rsid w:val="00E924BA"/>
    <w:rsid w:val="00E9254C"/>
    <w:rsid w:val="00E92569"/>
    <w:rsid w:val="00E925CB"/>
    <w:rsid w:val="00E925EE"/>
    <w:rsid w:val="00E925EF"/>
    <w:rsid w:val="00E9262E"/>
    <w:rsid w:val="00E926E8"/>
    <w:rsid w:val="00E926FB"/>
    <w:rsid w:val="00E92713"/>
    <w:rsid w:val="00E92719"/>
    <w:rsid w:val="00E92778"/>
    <w:rsid w:val="00E927A3"/>
    <w:rsid w:val="00E927C8"/>
    <w:rsid w:val="00E927D7"/>
    <w:rsid w:val="00E92822"/>
    <w:rsid w:val="00E92963"/>
    <w:rsid w:val="00E92992"/>
    <w:rsid w:val="00E92A9B"/>
    <w:rsid w:val="00E92B53"/>
    <w:rsid w:val="00E92B5B"/>
    <w:rsid w:val="00E92BB7"/>
    <w:rsid w:val="00E92C3A"/>
    <w:rsid w:val="00E92CEE"/>
    <w:rsid w:val="00E92D60"/>
    <w:rsid w:val="00E92D72"/>
    <w:rsid w:val="00E92F6C"/>
    <w:rsid w:val="00E93105"/>
    <w:rsid w:val="00E9314F"/>
    <w:rsid w:val="00E9315C"/>
    <w:rsid w:val="00E9325F"/>
    <w:rsid w:val="00E9338A"/>
    <w:rsid w:val="00E93398"/>
    <w:rsid w:val="00E933A4"/>
    <w:rsid w:val="00E933E6"/>
    <w:rsid w:val="00E933FA"/>
    <w:rsid w:val="00E9343E"/>
    <w:rsid w:val="00E93498"/>
    <w:rsid w:val="00E934A2"/>
    <w:rsid w:val="00E934BD"/>
    <w:rsid w:val="00E934C2"/>
    <w:rsid w:val="00E93565"/>
    <w:rsid w:val="00E9364C"/>
    <w:rsid w:val="00E936E1"/>
    <w:rsid w:val="00E936F8"/>
    <w:rsid w:val="00E93780"/>
    <w:rsid w:val="00E937F8"/>
    <w:rsid w:val="00E93805"/>
    <w:rsid w:val="00E9389C"/>
    <w:rsid w:val="00E9389E"/>
    <w:rsid w:val="00E938D3"/>
    <w:rsid w:val="00E938F5"/>
    <w:rsid w:val="00E93BB2"/>
    <w:rsid w:val="00E93BFC"/>
    <w:rsid w:val="00E93CD0"/>
    <w:rsid w:val="00E93D42"/>
    <w:rsid w:val="00E93D67"/>
    <w:rsid w:val="00E93D9A"/>
    <w:rsid w:val="00E93DF1"/>
    <w:rsid w:val="00E93E47"/>
    <w:rsid w:val="00E93E77"/>
    <w:rsid w:val="00E93F7F"/>
    <w:rsid w:val="00E93FA0"/>
    <w:rsid w:val="00E93FD9"/>
    <w:rsid w:val="00E9401D"/>
    <w:rsid w:val="00E940C1"/>
    <w:rsid w:val="00E9415D"/>
    <w:rsid w:val="00E9419D"/>
    <w:rsid w:val="00E941AD"/>
    <w:rsid w:val="00E94270"/>
    <w:rsid w:val="00E942A2"/>
    <w:rsid w:val="00E942AB"/>
    <w:rsid w:val="00E942D8"/>
    <w:rsid w:val="00E94313"/>
    <w:rsid w:val="00E9431D"/>
    <w:rsid w:val="00E9432E"/>
    <w:rsid w:val="00E94488"/>
    <w:rsid w:val="00E944E2"/>
    <w:rsid w:val="00E94508"/>
    <w:rsid w:val="00E9453E"/>
    <w:rsid w:val="00E945F0"/>
    <w:rsid w:val="00E945F3"/>
    <w:rsid w:val="00E94605"/>
    <w:rsid w:val="00E946D7"/>
    <w:rsid w:val="00E946E3"/>
    <w:rsid w:val="00E9474C"/>
    <w:rsid w:val="00E947B7"/>
    <w:rsid w:val="00E947E0"/>
    <w:rsid w:val="00E94826"/>
    <w:rsid w:val="00E9499B"/>
    <w:rsid w:val="00E949A8"/>
    <w:rsid w:val="00E94A36"/>
    <w:rsid w:val="00E94B68"/>
    <w:rsid w:val="00E94BBA"/>
    <w:rsid w:val="00E94BF6"/>
    <w:rsid w:val="00E94D80"/>
    <w:rsid w:val="00E94DAA"/>
    <w:rsid w:val="00E94DEA"/>
    <w:rsid w:val="00E94E1A"/>
    <w:rsid w:val="00E94E45"/>
    <w:rsid w:val="00E94ED4"/>
    <w:rsid w:val="00E94F2E"/>
    <w:rsid w:val="00E94FA1"/>
    <w:rsid w:val="00E94FE5"/>
    <w:rsid w:val="00E95028"/>
    <w:rsid w:val="00E95097"/>
    <w:rsid w:val="00E950E9"/>
    <w:rsid w:val="00E952B0"/>
    <w:rsid w:val="00E952BF"/>
    <w:rsid w:val="00E952E5"/>
    <w:rsid w:val="00E9531A"/>
    <w:rsid w:val="00E9537F"/>
    <w:rsid w:val="00E953E5"/>
    <w:rsid w:val="00E9550A"/>
    <w:rsid w:val="00E955EC"/>
    <w:rsid w:val="00E9563C"/>
    <w:rsid w:val="00E9566A"/>
    <w:rsid w:val="00E95839"/>
    <w:rsid w:val="00E95931"/>
    <w:rsid w:val="00E95939"/>
    <w:rsid w:val="00E9598C"/>
    <w:rsid w:val="00E959F3"/>
    <w:rsid w:val="00E95A5F"/>
    <w:rsid w:val="00E95A6B"/>
    <w:rsid w:val="00E95AAA"/>
    <w:rsid w:val="00E95AB4"/>
    <w:rsid w:val="00E95B59"/>
    <w:rsid w:val="00E95C36"/>
    <w:rsid w:val="00E95D68"/>
    <w:rsid w:val="00E95D78"/>
    <w:rsid w:val="00E95DE7"/>
    <w:rsid w:val="00E95E22"/>
    <w:rsid w:val="00E95E38"/>
    <w:rsid w:val="00E95E58"/>
    <w:rsid w:val="00E95E9D"/>
    <w:rsid w:val="00E95ECF"/>
    <w:rsid w:val="00E95F04"/>
    <w:rsid w:val="00E9607C"/>
    <w:rsid w:val="00E96115"/>
    <w:rsid w:val="00E96125"/>
    <w:rsid w:val="00E9626A"/>
    <w:rsid w:val="00E9639D"/>
    <w:rsid w:val="00E963E3"/>
    <w:rsid w:val="00E9645D"/>
    <w:rsid w:val="00E96498"/>
    <w:rsid w:val="00E964BA"/>
    <w:rsid w:val="00E96514"/>
    <w:rsid w:val="00E9657C"/>
    <w:rsid w:val="00E96584"/>
    <w:rsid w:val="00E96598"/>
    <w:rsid w:val="00E965F8"/>
    <w:rsid w:val="00E96633"/>
    <w:rsid w:val="00E96698"/>
    <w:rsid w:val="00E967F2"/>
    <w:rsid w:val="00E96961"/>
    <w:rsid w:val="00E9696E"/>
    <w:rsid w:val="00E96972"/>
    <w:rsid w:val="00E969CF"/>
    <w:rsid w:val="00E969D9"/>
    <w:rsid w:val="00E969F5"/>
    <w:rsid w:val="00E969F8"/>
    <w:rsid w:val="00E96A2C"/>
    <w:rsid w:val="00E96B04"/>
    <w:rsid w:val="00E96B7B"/>
    <w:rsid w:val="00E96BA8"/>
    <w:rsid w:val="00E96BDF"/>
    <w:rsid w:val="00E96C69"/>
    <w:rsid w:val="00E96CDC"/>
    <w:rsid w:val="00E96D0F"/>
    <w:rsid w:val="00E96D16"/>
    <w:rsid w:val="00E96D1C"/>
    <w:rsid w:val="00E96E7B"/>
    <w:rsid w:val="00E96E90"/>
    <w:rsid w:val="00E96E98"/>
    <w:rsid w:val="00E96F0D"/>
    <w:rsid w:val="00E96FF7"/>
    <w:rsid w:val="00E97017"/>
    <w:rsid w:val="00E970A8"/>
    <w:rsid w:val="00E970DE"/>
    <w:rsid w:val="00E970F1"/>
    <w:rsid w:val="00E970F4"/>
    <w:rsid w:val="00E9712D"/>
    <w:rsid w:val="00E97131"/>
    <w:rsid w:val="00E97151"/>
    <w:rsid w:val="00E9715D"/>
    <w:rsid w:val="00E9717C"/>
    <w:rsid w:val="00E971D9"/>
    <w:rsid w:val="00E97222"/>
    <w:rsid w:val="00E97241"/>
    <w:rsid w:val="00E97250"/>
    <w:rsid w:val="00E97283"/>
    <w:rsid w:val="00E972B5"/>
    <w:rsid w:val="00E97474"/>
    <w:rsid w:val="00E97565"/>
    <w:rsid w:val="00E9756E"/>
    <w:rsid w:val="00E9757A"/>
    <w:rsid w:val="00E975FD"/>
    <w:rsid w:val="00E9769F"/>
    <w:rsid w:val="00E976E4"/>
    <w:rsid w:val="00E9785F"/>
    <w:rsid w:val="00E978D0"/>
    <w:rsid w:val="00E9792E"/>
    <w:rsid w:val="00E97933"/>
    <w:rsid w:val="00E97999"/>
    <w:rsid w:val="00E97A7B"/>
    <w:rsid w:val="00E97AD9"/>
    <w:rsid w:val="00E97B4F"/>
    <w:rsid w:val="00E97B8B"/>
    <w:rsid w:val="00E97BA5"/>
    <w:rsid w:val="00E97BCD"/>
    <w:rsid w:val="00E97C1B"/>
    <w:rsid w:val="00E97D72"/>
    <w:rsid w:val="00E97D81"/>
    <w:rsid w:val="00E97D82"/>
    <w:rsid w:val="00E97DB7"/>
    <w:rsid w:val="00E97DE9"/>
    <w:rsid w:val="00E97E2C"/>
    <w:rsid w:val="00E97E3A"/>
    <w:rsid w:val="00E97E7B"/>
    <w:rsid w:val="00E97E90"/>
    <w:rsid w:val="00E97E93"/>
    <w:rsid w:val="00E97ED4"/>
    <w:rsid w:val="00E97F50"/>
    <w:rsid w:val="00EA0011"/>
    <w:rsid w:val="00EA0014"/>
    <w:rsid w:val="00EA002D"/>
    <w:rsid w:val="00EA01B5"/>
    <w:rsid w:val="00EA01E3"/>
    <w:rsid w:val="00EA022D"/>
    <w:rsid w:val="00EA0320"/>
    <w:rsid w:val="00EA0364"/>
    <w:rsid w:val="00EA0389"/>
    <w:rsid w:val="00EA0395"/>
    <w:rsid w:val="00EA03A0"/>
    <w:rsid w:val="00EA0430"/>
    <w:rsid w:val="00EA0433"/>
    <w:rsid w:val="00EA0464"/>
    <w:rsid w:val="00EA04C9"/>
    <w:rsid w:val="00EA051F"/>
    <w:rsid w:val="00EA060D"/>
    <w:rsid w:val="00EA061F"/>
    <w:rsid w:val="00EA063A"/>
    <w:rsid w:val="00EA06A9"/>
    <w:rsid w:val="00EA06EC"/>
    <w:rsid w:val="00EA071F"/>
    <w:rsid w:val="00EA0776"/>
    <w:rsid w:val="00EA0789"/>
    <w:rsid w:val="00EA080C"/>
    <w:rsid w:val="00EA08A3"/>
    <w:rsid w:val="00EA08A8"/>
    <w:rsid w:val="00EA093A"/>
    <w:rsid w:val="00EA098C"/>
    <w:rsid w:val="00EA0A22"/>
    <w:rsid w:val="00EA0AAB"/>
    <w:rsid w:val="00EA0AB8"/>
    <w:rsid w:val="00EA0B00"/>
    <w:rsid w:val="00EA0B2D"/>
    <w:rsid w:val="00EA0BC2"/>
    <w:rsid w:val="00EA0C71"/>
    <w:rsid w:val="00EA0D38"/>
    <w:rsid w:val="00EA0EDE"/>
    <w:rsid w:val="00EA10B1"/>
    <w:rsid w:val="00EA1105"/>
    <w:rsid w:val="00EA1145"/>
    <w:rsid w:val="00EA1153"/>
    <w:rsid w:val="00EA1172"/>
    <w:rsid w:val="00EA11E1"/>
    <w:rsid w:val="00EA11F3"/>
    <w:rsid w:val="00EA1230"/>
    <w:rsid w:val="00EA1282"/>
    <w:rsid w:val="00EA12D1"/>
    <w:rsid w:val="00EA138E"/>
    <w:rsid w:val="00EA13A6"/>
    <w:rsid w:val="00EA14AC"/>
    <w:rsid w:val="00EA153F"/>
    <w:rsid w:val="00EA15E9"/>
    <w:rsid w:val="00EA166A"/>
    <w:rsid w:val="00EA1694"/>
    <w:rsid w:val="00EA17C1"/>
    <w:rsid w:val="00EA17C6"/>
    <w:rsid w:val="00EA1862"/>
    <w:rsid w:val="00EA1967"/>
    <w:rsid w:val="00EA19CE"/>
    <w:rsid w:val="00EA19EE"/>
    <w:rsid w:val="00EA1A63"/>
    <w:rsid w:val="00EA1B9D"/>
    <w:rsid w:val="00EA1BB2"/>
    <w:rsid w:val="00EA1BC8"/>
    <w:rsid w:val="00EA1C6A"/>
    <w:rsid w:val="00EA1D47"/>
    <w:rsid w:val="00EA1D9D"/>
    <w:rsid w:val="00EA1DFD"/>
    <w:rsid w:val="00EA1E0E"/>
    <w:rsid w:val="00EA1E84"/>
    <w:rsid w:val="00EA1F42"/>
    <w:rsid w:val="00EA1F57"/>
    <w:rsid w:val="00EA1FDE"/>
    <w:rsid w:val="00EA205A"/>
    <w:rsid w:val="00EA205C"/>
    <w:rsid w:val="00EA206D"/>
    <w:rsid w:val="00EA209B"/>
    <w:rsid w:val="00EA20CD"/>
    <w:rsid w:val="00EA222C"/>
    <w:rsid w:val="00EA230E"/>
    <w:rsid w:val="00EA232A"/>
    <w:rsid w:val="00EA2330"/>
    <w:rsid w:val="00EA2383"/>
    <w:rsid w:val="00EA23A6"/>
    <w:rsid w:val="00EA2447"/>
    <w:rsid w:val="00EA2523"/>
    <w:rsid w:val="00EA2540"/>
    <w:rsid w:val="00EA25A3"/>
    <w:rsid w:val="00EA27F2"/>
    <w:rsid w:val="00EA2938"/>
    <w:rsid w:val="00EA2960"/>
    <w:rsid w:val="00EA2964"/>
    <w:rsid w:val="00EA29FF"/>
    <w:rsid w:val="00EA2AAC"/>
    <w:rsid w:val="00EA2ADC"/>
    <w:rsid w:val="00EA2B17"/>
    <w:rsid w:val="00EA2B3C"/>
    <w:rsid w:val="00EA2B7A"/>
    <w:rsid w:val="00EA2C29"/>
    <w:rsid w:val="00EA2D10"/>
    <w:rsid w:val="00EA2D42"/>
    <w:rsid w:val="00EA2D8B"/>
    <w:rsid w:val="00EA2DC7"/>
    <w:rsid w:val="00EA2EEC"/>
    <w:rsid w:val="00EA2F0B"/>
    <w:rsid w:val="00EA2F24"/>
    <w:rsid w:val="00EA2F93"/>
    <w:rsid w:val="00EA2FAC"/>
    <w:rsid w:val="00EA3052"/>
    <w:rsid w:val="00EA307D"/>
    <w:rsid w:val="00EA3104"/>
    <w:rsid w:val="00EA3108"/>
    <w:rsid w:val="00EA310B"/>
    <w:rsid w:val="00EA3307"/>
    <w:rsid w:val="00EA3319"/>
    <w:rsid w:val="00EA33F0"/>
    <w:rsid w:val="00EA35CF"/>
    <w:rsid w:val="00EA35FE"/>
    <w:rsid w:val="00EA36AB"/>
    <w:rsid w:val="00EA36E7"/>
    <w:rsid w:val="00EA36FC"/>
    <w:rsid w:val="00EA3754"/>
    <w:rsid w:val="00EA3829"/>
    <w:rsid w:val="00EA3832"/>
    <w:rsid w:val="00EA3914"/>
    <w:rsid w:val="00EA39E5"/>
    <w:rsid w:val="00EA3A15"/>
    <w:rsid w:val="00EA3AE1"/>
    <w:rsid w:val="00EA3D53"/>
    <w:rsid w:val="00EA3DEA"/>
    <w:rsid w:val="00EA3E12"/>
    <w:rsid w:val="00EA3F4E"/>
    <w:rsid w:val="00EA3F75"/>
    <w:rsid w:val="00EA3FAD"/>
    <w:rsid w:val="00EA3FF5"/>
    <w:rsid w:val="00EA4009"/>
    <w:rsid w:val="00EA4054"/>
    <w:rsid w:val="00EA4090"/>
    <w:rsid w:val="00EA4129"/>
    <w:rsid w:val="00EA420C"/>
    <w:rsid w:val="00EA4254"/>
    <w:rsid w:val="00EA4265"/>
    <w:rsid w:val="00EA442C"/>
    <w:rsid w:val="00EA445C"/>
    <w:rsid w:val="00EA4499"/>
    <w:rsid w:val="00EA44EE"/>
    <w:rsid w:val="00EA4587"/>
    <w:rsid w:val="00EA459A"/>
    <w:rsid w:val="00EA45E7"/>
    <w:rsid w:val="00EA4777"/>
    <w:rsid w:val="00EA4851"/>
    <w:rsid w:val="00EA487F"/>
    <w:rsid w:val="00EA48A7"/>
    <w:rsid w:val="00EA4934"/>
    <w:rsid w:val="00EA4962"/>
    <w:rsid w:val="00EA49E7"/>
    <w:rsid w:val="00EA4A44"/>
    <w:rsid w:val="00EA4C80"/>
    <w:rsid w:val="00EA4CBC"/>
    <w:rsid w:val="00EA4D25"/>
    <w:rsid w:val="00EA4D4C"/>
    <w:rsid w:val="00EA4E0B"/>
    <w:rsid w:val="00EA4E52"/>
    <w:rsid w:val="00EA4EBD"/>
    <w:rsid w:val="00EA4EFA"/>
    <w:rsid w:val="00EA4F52"/>
    <w:rsid w:val="00EA4F81"/>
    <w:rsid w:val="00EA510A"/>
    <w:rsid w:val="00EA512A"/>
    <w:rsid w:val="00EA513D"/>
    <w:rsid w:val="00EA5180"/>
    <w:rsid w:val="00EA5181"/>
    <w:rsid w:val="00EA529C"/>
    <w:rsid w:val="00EA53FB"/>
    <w:rsid w:val="00EA5436"/>
    <w:rsid w:val="00EA5451"/>
    <w:rsid w:val="00EA54CA"/>
    <w:rsid w:val="00EA54E3"/>
    <w:rsid w:val="00EA562B"/>
    <w:rsid w:val="00EA5730"/>
    <w:rsid w:val="00EA577D"/>
    <w:rsid w:val="00EA58C1"/>
    <w:rsid w:val="00EA5909"/>
    <w:rsid w:val="00EA591C"/>
    <w:rsid w:val="00EA599E"/>
    <w:rsid w:val="00EA5A4E"/>
    <w:rsid w:val="00EA5A8F"/>
    <w:rsid w:val="00EA5AEC"/>
    <w:rsid w:val="00EA5D8B"/>
    <w:rsid w:val="00EA5E60"/>
    <w:rsid w:val="00EA5F2F"/>
    <w:rsid w:val="00EA5F6D"/>
    <w:rsid w:val="00EA5F7B"/>
    <w:rsid w:val="00EA5FDA"/>
    <w:rsid w:val="00EA6078"/>
    <w:rsid w:val="00EA60A5"/>
    <w:rsid w:val="00EA6126"/>
    <w:rsid w:val="00EA615F"/>
    <w:rsid w:val="00EA61D1"/>
    <w:rsid w:val="00EA6293"/>
    <w:rsid w:val="00EA62AF"/>
    <w:rsid w:val="00EA633C"/>
    <w:rsid w:val="00EA63DA"/>
    <w:rsid w:val="00EA6470"/>
    <w:rsid w:val="00EA6476"/>
    <w:rsid w:val="00EA64C3"/>
    <w:rsid w:val="00EA659C"/>
    <w:rsid w:val="00EA65A4"/>
    <w:rsid w:val="00EA6619"/>
    <w:rsid w:val="00EA667D"/>
    <w:rsid w:val="00EA6688"/>
    <w:rsid w:val="00EA6A55"/>
    <w:rsid w:val="00EA6AA0"/>
    <w:rsid w:val="00EA6AAD"/>
    <w:rsid w:val="00EA6AF0"/>
    <w:rsid w:val="00EA6B1E"/>
    <w:rsid w:val="00EA6BA3"/>
    <w:rsid w:val="00EA6BBD"/>
    <w:rsid w:val="00EA6CEE"/>
    <w:rsid w:val="00EA6D69"/>
    <w:rsid w:val="00EA6E34"/>
    <w:rsid w:val="00EA6E96"/>
    <w:rsid w:val="00EA6E9C"/>
    <w:rsid w:val="00EA6ECB"/>
    <w:rsid w:val="00EA6FC8"/>
    <w:rsid w:val="00EA704F"/>
    <w:rsid w:val="00EA70A1"/>
    <w:rsid w:val="00EA70D6"/>
    <w:rsid w:val="00EA70E8"/>
    <w:rsid w:val="00EA7145"/>
    <w:rsid w:val="00EA71CC"/>
    <w:rsid w:val="00EA71CE"/>
    <w:rsid w:val="00EA71D6"/>
    <w:rsid w:val="00EA71D7"/>
    <w:rsid w:val="00EA7280"/>
    <w:rsid w:val="00EA732E"/>
    <w:rsid w:val="00EA7352"/>
    <w:rsid w:val="00EA7391"/>
    <w:rsid w:val="00EA73A9"/>
    <w:rsid w:val="00EA73D0"/>
    <w:rsid w:val="00EA73F3"/>
    <w:rsid w:val="00EA7424"/>
    <w:rsid w:val="00EA74E3"/>
    <w:rsid w:val="00EA754A"/>
    <w:rsid w:val="00EA7624"/>
    <w:rsid w:val="00EA7689"/>
    <w:rsid w:val="00EA7717"/>
    <w:rsid w:val="00EA7888"/>
    <w:rsid w:val="00EA788B"/>
    <w:rsid w:val="00EA789E"/>
    <w:rsid w:val="00EA7ABC"/>
    <w:rsid w:val="00EA7ADF"/>
    <w:rsid w:val="00EA7AF6"/>
    <w:rsid w:val="00EA7BC1"/>
    <w:rsid w:val="00EA7BDD"/>
    <w:rsid w:val="00EA7CF1"/>
    <w:rsid w:val="00EA7DC6"/>
    <w:rsid w:val="00EA7DCB"/>
    <w:rsid w:val="00EA7F9E"/>
    <w:rsid w:val="00EB0003"/>
    <w:rsid w:val="00EB0009"/>
    <w:rsid w:val="00EB00E2"/>
    <w:rsid w:val="00EB00EB"/>
    <w:rsid w:val="00EB015D"/>
    <w:rsid w:val="00EB0222"/>
    <w:rsid w:val="00EB0256"/>
    <w:rsid w:val="00EB0290"/>
    <w:rsid w:val="00EB02B2"/>
    <w:rsid w:val="00EB02B9"/>
    <w:rsid w:val="00EB036C"/>
    <w:rsid w:val="00EB043A"/>
    <w:rsid w:val="00EB04DF"/>
    <w:rsid w:val="00EB0526"/>
    <w:rsid w:val="00EB057D"/>
    <w:rsid w:val="00EB0593"/>
    <w:rsid w:val="00EB05D3"/>
    <w:rsid w:val="00EB05E6"/>
    <w:rsid w:val="00EB070E"/>
    <w:rsid w:val="00EB0712"/>
    <w:rsid w:val="00EB079B"/>
    <w:rsid w:val="00EB07E3"/>
    <w:rsid w:val="00EB0813"/>
    <w:rsid w:val="00EB0860"/>
    <w:rsid w:val="00EB0A85"/>
    <w:rsid w:val="00EB0ACA"/>
    <w:rsid w:val="00EB0B65"/>
    <w:rsid w:val="00EB0BC7"/>
    <w:rsid w:val="00EB0D77"/>
    <w:rsid w:val="00EB0E3F"/>
    <w:rsid w:val="00EB0F2C"/>
    <w:rsid w:val="00EB0F2F"/>
    <w:rsid w:val="00EB0FA7"/>
    <w:rsid w:val="00EB0FFB"/>
    <w:rsid w:val="00EB1021"/>
    <w:rsid w:val="00EB1059"/>
    <w:rsid w:val="00EB108A"/>
    <w:rsid w:val="00EB1097"/>
    <w:rsid w:val="00EB10BE"/>
    <w:rsid w:val="00EB10FA"/>
    <w:rsid w:val="00EB115D"/>
    <w:rsid w:val="00EB117C"/>
    <w:rsid w:val="00EB1228"/>
    <w:rsid w:val="00EB126A"/>
    <w:rsid w:val="00EB12FF"/>
    <w:rsid w:val="00EB1335"/>
    <w:rsid w:val="00EB1432"/>
    <w:rsid w:val="00EB1444"/>
    <w:rsid w:val="00EB1469"/>
    <w:rsid w:val="00EB1497"/>
    <w:rsid w:val="00EB1498"/>
    <w:rsid w:val="00EB14B2"/>
    <w:rsid w:val="00EB1610"/>
    <w:rsid w:val="00EB1647"/>
    <w:rsid w:val="00EB1668"/>
    <w:rsid w:val="00EB16B5"/>
    <w:rsid w:val="00EB16C5"/>
    <w:rsid w:val="00EB16F3"/>
    <w:rsid w:val="00EB175C"/>
    <w:rsid w:val="00EB17C3"/>
    <w:rsid w:val="00EB1986"/>
    <w:rsid w:val="00EB19AD"/>
    <w:rsid w:val="00EB19C0"/>
    <w:rsid w:val="00EB1A9A"/>
    <w:rsid w:val="00EB1AC1"/>
    <w:rsid w:val="00EB1BA5"/>
    <w:rsid w:val="00EB1BFF"/>
    <w:rsid w:val="00EB1C60"/>
    <w:rsid w:val="00EB1C86"/>
    <w:rsid w:val="00EB1D48"/>
    <w:rsid w:val="00EB1E9D"/>
    <w:rsid w:val="00EB1EA0"/>
    <w:rsid w:val="00EB1EEF"/>
    <w:rsid w:val="00EB1F5B"/>
    <w:rsid w:val="00EB1FE3"/>
    <w:rsid w:val="00EB1FEB"/>
    <w:rsid w:val="00EB2006"/>
    <w:rsid w:val="00EB2089"/>
    <w:rsid w:val="00EB21F6"/>
    <w:rsid w:val="00EB22C9"/>
    <w:rsid w:val="00EB22EE"/>
    <w:rsid w:val="00EB2622"/>
    <w:rsid w:val="00EB2682"/>
    <w:rsid w:val="00EB2697"/>
    <w:rsid w:val="00EB26E1"/>
    <w:rsid w:val="00EB2704"/>
    <w:rsid w:val="00EB27DE"/>
    <w:rsid w:val="00EB2859"/>
    <w:rsid w:val="00EB2872"/>
    <w:rsid w:val="00EB29D0"/>
    <w:rsid w:val="00EB29EE"/>
    <w:rsid w:val="00EB2A6D"/>
    <w:rsid w:val="00EB2AF7"/>
    <w:rsid w:val="00EB2AFD"/>
    <w:rsid w:val="00EB2B36"/>
    <w:rsid w:val="00EB2B37"/>
    <w:rsid w:val="00EB2B6D"/>
    <w:rsid w:val="00EB2B97"/>
    <w:rsid w:val="00EB2BF7"/>
    <w:rsid w:val="00EB2C84"/>
    <w:rsid w:val="00EB2CAC"/>
    <w:rsid w:val="00EB2DC2"/>
    <w:rsid w:val="00EB2DF2"/>
    <w:rsid w:val="00EB2E1E"/>
    <w:rsid w:val="00EB2E24"/>
    <w:rsid w:val="00EB2E5C"/>
    <w:rsid w:val="00EB2EB3"/>
    <w:rsid w:val="00EB2F10"/>
    <w:rsid w:val="00EB2F8C"/>
    <w:rsid w:val="00EB3060"/>
    <w:rsid w:val="00EB308D"/>
    <w:rsid w:val="00EB30B4"/>
    <w:rsid w:val="00EB30CE"/>
    <w:rsid w:val="00EB30E9"/>
    <w:rsid w:val="00EB310C"/>
    <w:rsid w:val="00EB3194"/>
    <w:rsid w:val="00EB3214"/>
    <w:rsid w:val="00EB322F"/>
    <w:rsid w:val="00EB3247"/>
    <w:rsid w:val="00EB324D"/>
    <w:rsid w:val="00EB337F"/>
    <w:rsid w:val="00EB345F"/>
    <w:rsid w:val="00EB3478"/>
    <w:rsid w:val="00EB3521"/>
    <w:rsid w:val="00EB354D"/>
    <w:rsid w:val="00EB362E"/>
    <w:rsid w:val="00EB364C"/>
    <w:rsid w:val="00EB366F"/>
    <w:rsid w:val="00EB377E"/>
    <w:rsid w:val="00EB37E4"/>
    <w:rsid w:val="00EB3818"/>
    <w:rsid w:val="00EB3860"/>
    <w:rsid w:val="00EB38EF"/>
    <w:rsid w:val="00EB38F0"/>
    <w:rsid w:val="00EB38FA"/>
    <w:rsid w:val="00EB3936"/>
    <w:rsid w:val="00EB3943"/>
    <w:rsid w:val="00EB3972"/>
    <w:rsid w:val="00EB3976"/>
    <w:rsid w:val="00EB3999"/>
    <w:rsid w:val="00EB3A3B"/>
    <w:rsid w:val="00EB3A45"/>
    <w:rsid w:val="00EB3A8F"/>
    <w:rsid w:val="00EB3C0C"/>
    <w:rsid w:val="00EB3C47"/>
    <w:rsid w:val="00EB3C4C"/>
    <w:rsid w:val="00EB3CC6"/>
    <w:rsid w:val="00EB3E48"/>
    <w:rsid w:val="00EB3E49"/>
    <w:rsid w:val="00EB3E60"/>
    <w:rsid w:val="00EB3F6D"/>
    <w:rsid w:val="00EB4024"/>
    <w:rsid w:val="00EB405B"/>
    <w:rsid w:val="00EB40CB"/>
    <w:rsid w:val="00EB40FB"/>
    <w:rsid w:val="00EB4146"/>
    <w:rsid w:val="00EB427D"/>
    <w:rsid w:val="00EB4287"/>
    <w:rsid w:val="00EB42B8"/>
    <w:rsid w:val="00EB42E4"/>
    <w:rsid w:val="00EB430B"/>
    <w:rsid w:val="00EB4362"/>
    <w:rsid w:val="00EB4394"/>
    <w:rsid w:val="00EB43E6"/>
    <w:rsid w:val="00EB448D"/>
    <w:rsid w:val="00EB4526"/>
    <w:rsid w:val="00EB4533"/>
    <w:rsid w:val="00EB4559"/>
    <w:rsid w:val="00EB45EA"/>
    <w:rsid w:val="00EB45FE"/>
    <w:rsid w:val="00EB4618"/>
    <w:rsid w:val="00EB4697"/>
    <w:rsid w:val="00EB46E5"/>
    <w:rsid w:val="00EB48C2"/>
    <w:rsid w:val="00EB48ED"/>
    <w:rsid w:val="00EB4977"/>
    <w:rsid w:val="00EB49A8"/>
    <w:rsid w:val="00EB49E7"/>
    <w:rsid w:val="00EB4A0E"/>
    <w:rsid w:val="00EB4A19"/>
    <w:rsid w:val="00EB4A4C"/>
    <w:rsid w:val="00EB4A64"/>
    <w:rsid w:val="00EB4B33"/>
    <w:rsid w:val="00EB4B47"/>
    <w:rsid w:val="00EB4BA8"/>
    <w:rsid w:val="00EB4BD7"/>
    <w:rsid w:val="00EB4C16"/>
    <w:rsid w:val="00EB4D51"/>
    <w:rsid w:val="00EB4D6F"/>
    <w:rsid w:val="00EB4DA1"/>
    <w:rsid w:val="00EB4EE3"/>
    <w:rsid w:val="00EB4F97"/>
    <w:rsid w:val="00EB4FBF"/>
    <w:rsid w:val="00EB4FCF"/>
    <w:rsid w:val="00EB4FD2"/>
    <w:rsid w:val="00EB5004"/>
    <w:rsid w:val="00EB5039"/>
    <w:rsid w:val="00EB50FF"/>
    <w:rsid w:val="00EB5109"/>
    <w:rsid w:val="00EB510E"/>
    <w:rsid w:val="00EB51FE"/>
    <w:rsid w:val="00EB525A"/>
    <w:rsid w:val="00EB5264"/>
    <w:rsid w:val="00EB52BF"/>
    <w:rsid w:val="00EB52D4"/>
    <w:rsid w:val="00EB53F1"/>
    <w:rsid w:val="00EB5594"/>
    <w:rsid w:val="00EB55CA"/>
    <w:rsid w:val="00EB55CF"/>
    <w:rsid w:val="00EB57F0"/>
    <w:rsid w:val="00EB5820"/>
    <w:rsid w:val="00EB5863"/>
    <w:rsid w:val="00EB5906"/>
    <w:rsid w:val="00EB590E"/>
    <w:rsid w:val="00EB5A8B"/>
    <w:rsid w:val="00EB5AFE"/>
    <w:rsid w:val="00EB5B78"/>
    <w:rsid w:val="00EB5C69"/>
    <w:rsid w:val="00EB5C8C"/>
    <w:rsid w:val="00EB5DD1"/>
    <w:rsid w:val="00EB5DFD"/>
    <w:rsid w:val="00EB5E47"/>
    <w:rsid w:val="00EB5F0A"/>
    <w:rsid w:val="00EB5F0F"/>
    <w:rsid w:val="00EB5FA0"/>
    <w:rsid w:val="00EB6010"/>
    <w:rsid w:val="00EB6029"/>
    <w:rsid w:val="00EB6059"/>
    <w:rsid w:val="00EB6077"/>
    <w:rsid w:val="00EB60DB"/>
    <w:rsid w:val="00EB6117"/>
    <w:rsid w:val="00EB6158"/>
    <w:rsid w:val="00EB618A"/>
    <w:rsid w:val="00EB628D"/>
    <w:rsid w:val="00EB62C6"/>
    <w:rsid w:val="00EB63EA"/>
    <w:rsid w:val="00EB64A7"/>
    <w:rsid w:val="00EB6516"/>
    <w:rsid w:val="00EB65C1"/>
    <w:rsid w:val="00EB65D3"/>
    <w:rsid w:val="00EB6669"/>
    <w:rsid w:val="00EB66B4"/>
    <w:rsid w:val="00EB67DA"/>
    <w:rsid w:val="00EB689F"/>
    <w:rsid w:val="00EB68F3"/>
    <w:rsid w:val="00EB69A0"/>
    <w:rsid w:val="00EB69DC"/>
    <w:rsid w:val="00EB6A44"/>
    <w:rsid w:val="00EB6A47"/>
    <w:rsid w:val="00EB6A7B"/>
    <w:rsid w:val="00EB6A8E"/>
    <w:rsid w:val="00EB6B09"/>
    <w:rsid w:val="00EB6B45"/>
    <w:rsid w:val="00EB6B55"/>
    <w:rsid w:val="00EB6B95"/>
    <w:rsid w:val="00EB6BB6"/>
    <w:rsid w:val="00EB6BFE"/>
    <w:rsid w:val="00EB6E44"/>
    <w:rsid w:val="00EB6E76"/>
    <w:rsid w:val="00EB6EB5"/>
    <w:rsid w:val="00EB6F02"/>
    <w:rsid w:val="00EB7097"/>
    <w:rsid w:val="00EB71DB"/>
    <w:rsid w:val="00EB721C"/>
    <w:rsid w:val="00EB7249"/>
    <w:rsid w:val="00EB727F"/>
    <w:rsid w:val="00EB728A"/>
    <w:rsid w:val="00EB7321"/>
    <w:rsid w:val="00EB7419"/>
    <w:rsid w:val="00EB742F"/>
    <w:rsid w:val="00EB74ED"/>
    <w:rsid w:val="00EB754A"/>
    <w:rsid w:val="00EB7561"/>
    <w:rsid w:val="00EB7597"/>
    <w:rsid w:val="00EB75C7"/>
    <w:rsid w:val="00EB75D0"/>
    <w:rsid w:val="00EB762F"/>
    <w:rsid w:val="00EB7688"/>
    <w:rsid w:val="00EB770B"/>
    <w:rsid w:val="00EB7722"/>
    <w:rsid w:val="00EB7908"/>
    <w:rsid w:val="00EB7935"/>
    <w:rsid w:val="00EB7961"/>
    <w:rsid w:val="00EB797D"/>
    <w:rsid w:val="00EB79AA"/>
    <w:rsid w:val="00EB79D5"/>
    <w:rsid w:val="00EB7A4B"/>
    <w:rsid w:val="00EB7AE2"/>
    <w:rsid w:val="00EB7CC9"/>
    <w:rsid w:val="00EB7CE1"/>
    <w:rsid w:val="00EB7D1D"/>
    <w:rsid w:val="00EB7D8E"/>
    <w:rsid w:val="00EB7F17"/>
    <w:rsid w:val="00EB7F90"/>
    <w:rsid w:val="00EB7FF6"/>
    <w:rsid w:val="00EC0012"/>
    <w:rsid w:val="00EC0070"/>
    <w:rsid w:val="00EC00C3"/>
    <w:rsid w:val="00EC012A"/>
    <w:rsid w:val="00EC0153"/>
    <w:rsid w:val="00EC0210"/>
    <w:rsid w:val="00EC0212"/>
    <w:rsid w:val="00EC0296"/>
    <w:rsid w:val="00EC0321"/>
    <w:rsid w:val="00EC0381"/>
    <w:rsid w:val="00EC03A7"/>
    <w:rsid w:val="00EC03B4"/>
    <w:rsid w:val="00EC052B"/>
    <w:rsid w:val="00EC062B"/>
    <w:rsid w:val="00EC0711"/>
    <w:rsid w:val="00EC084C"/>
    <w:rsid w:val="00EC0876"/>
    <w:rsid w:val="00EC0907"/>
    <w:rsid w:val="00EC092B"/>
    <w:rsid w:val="00EC0975"/>
    <w:rsid w:val="00EC0995"/>
    <w:rsid w:val="00EC0A59"/>
    <w:rsid w:val="00EC0ABD"/>
    <w:rsid w:val="00EC0B45"/>
    <w:rsid w:val="00EC0BC0"/>
    <w:rsid w:val="00EC0C07"/>
    <w:rsid w:val="00EC0DAD"/>
    <w:rsid w:val="00EC0DB9"/>
    <w:rsid w:val="00EC0EBD"/>
    <w:rsid w:val="00EC1014"/>
    <w:rsid w:val="00EC1053"/>
    <w:rsid w:val="00EC1090"/>
    <w:rsid w:val="00EC10E9"/>
    <w:rsid w:val="00EC1166"/>
    <w:rsid w:val="00EC1184"/>
    <w:rsid w:val="00EC11C6"/>
    <w:rsid w:val="00EC1217"/>
    <w:rsid w:val="00EC122B"/>
    <w:rsid w:val="00EC122F"/>
    <w:rsid w:val="00EC1264"/>
    <w:rsid w:val="00EC1282"/>
    <w:rsid w:val="00EC12B6"/>
    <w:rsid w:val="00EC131C"/>
    <w:rsid w:val="00EC145D"/>
    <w:rsid w:val="00EC14EA"/>
    <w:rsid w:val="00EC1545"/>
    <w:rsid w:val="00EC15ED"/>
    <w:rsid w:val="00EC17B4"/>
    <w:rsid w:val="00EC1940"/>
    <w:rsid w:val="00EC1971"/>
    <w:rsid w:val="00EC19C1"/>
    <w:rsid w:val="00EC1AC6"/>
    <w:rsid w:val="00EC1B27"/>
    <w:rsid w:val="00EC1BA2"/>
    <w:rsid w:val="00EC1BB7"/>
    <w:rsid w:val="00EC1C21"/>
    <w:rsid w:val="00EC1D15"/>
    <w:rsid w:val="00EC1DAC"/>
    <w:rsid w:val="00EC1E18"/>
    <w:rsid w:val="00EC1F3B"/>
    <w:rsid w:val="00EC1F3F"/>
    <w:rsid w:val="00EC1F8F"/>
    <w:rsid w:val="00EC1F93"/>
    <w:rsid w:val="00EC1FCD"/>
    <w:rsid w:val="00EC2072"/>
    <w:rsid w:val="00EC2147"/>
    <w:rsid w:val="00EC215A"/>
    <w:rsid w:val="00EC2189"/>
    <w:rsid w:val="00EC21AB"/>
    <w:rsid w:val="00EC224D"/>
    <w:rsid w:val="00EC22EC"/>
    <w:rsid w:val="00EC2307"/>
    <w:rsid w:val="00EC2384"/>
    <w:rsid w:val="00EC23F8"/>
    <w:rsid w:val="00EC2411"/>
    <w:rsid w:val="00EC244C"/>
    <w:rsid w:val="00EC25B4"/>
    <w:rsid w:val="00EC25F5"/>
    <w:rsid w:val="00EC2655"/>
    <w:rsid w:val="00EC2698"/>
    <w:rsid w:val="00EC26A0"/>
    <w:rsid w:val="00EC2743"/>
    <w:rsid w:val="00EC27DB"/>
    <w:rsid w:val="00EC27DE"/>
    <w:rsid w:val="00EC27DF"/>
    <w:rsid w:val="00EC28F4"/>
    <w:rsid w:val="00EC291E"/>
    <w:rsid w:val="00EC2922"/>
    <w:rsid w:val="00EC2941"/>
    <w:rsid w:val="00EC295D"/>
    <w:rsid w:val="00EC29F5"/>
    <w:rsid w:val="00EC2AE0"/>
    <w:rsid w:val="00EC2B30"/>
    <w:rsid w:val="00EC2BAF"/>
    <w:rsid w:val="00EC2BF4"/>
    <w:rsid w:val="00EC2D28"/>
    <w:rsid w:val="00EC2D92"/>
    <w:rsid w:val="00EC2E1C"/>
    <w:rsid w:val="00EC2FB2"/>
    <w:rsid w:val="00EC303C"/>
    <w:rsid w:val="00EC3101"/>
    <w:rsid w:val="00EC3185"/>
    <w:rsid w:val="00EC31BB"/>
    <w:rsid w:val="00EC32C0"/>
    <w:rsid w:val="00EC3333"/>
    <w:rsid w:val="00EC33EA"/>
    <w:rsid w:val="00EC3473"/>
    <w:rsid w:val="00EC3488"/>
    <w:rsid w:val="00EC34CF"/>
    <w:rsid w:val="00EC34F5"/>
    <w:rsid w:val="00EC34F7"/>
    <w:rsid w:val="00EC350A"/>
    <w:rsid w:val="00EC353A"/>
    <w:rsid w:val="00EC357E"/>
    <w:rsid w:val="00EC3641"/>
    <w:rsid w:val="00EC3704"/>
    <w:rsid w:val="00EC3710"/>
    <w:rsid w:val="00EC3748"/>
    <w:rsid w:val="00EC376A"/>
    <w:rsid w:val="00EC376B"/>
    <w:rsid w:val="00EC380B"/>
    <w:rsid w:val="00EC38B0"/>
    <w:rsid w:val="00EC38E6"/>
    <w:rsid w:val="00EC397C"/>
    <w:rsid w:val="00EC3A3F"/>
    <w:rsid w:val="00EC3AD7"/>
    <w:rsid w:val="00EC3B06"/>
    <w:rsid w:val="00EC3B4B"/>
    <w:rsid w:val="00EC3ED7"/>
    <w:rsid w:val="00EC3EFC"/>
    <w:rsid w:val="00EC3F11"/>
    <w:rsid w:val="00EC4011"/>
    <w:rsid w:val="00EC4013"/>
    <w:rsid w:val="00EC4029"/>
    <w:rsid w:val="00EC4040"/>
    <w:rsid w:val="00EC40E5"/>
    <w:rsid w:val="00EC4175"/>
    <w:rsid w:val="00EC4257"/>
    <w:rsid w:val="00EC425C"/>
    <w:rsid w:val="00EC4370"/>
    <w:rsid w:val="00EC4432"/>
    <w:rsid w:val="00EC44A7"/>
    <w:rsid w:val="00EC44F5"/>
    <w:rsid w:val="00EC4553"/>
    <w:rsid w:val="00EC4560"/>
    <w:rsid w:val="00EC459C"/>
    <w:rsid w:val="00EC45D2"/>
    <w:rsid w:val="00EC45E8"/>
    <w:rsid w:val="00EC4637"/>
    <w:rsid w:val="00EC466A"/>
    <w:rsid w:val="00EC4675"/>
    <w:rsid w:val="00EC478B"/>
    <w:rsid w:val="00EC4793"/>
    <w:rsid w:val="00EC47FC"/>
    <w:rsid w:val="00EC48D5"/>
    <w:rsid w:val="00EC48D6"/>
    <w:rsid w:val="00EC48E0"/>
    <w:rsid w:val="00EC48FA"/>
    <w:rsid w:val="00EC494F"/>
    <w:rsid w:val="00EC4A6C"/>
    <w:rsid w:val="00EC4A71"/>
    <w:rsid w:val="00EC4A7E"/>
    <w:rsid w:val="00EC4AC9"/>
    <w:rsid w:val="00EC4CA5"/>
    <w:rsid w:val="00EC4CE5"/>
    <w:rsid w:val="00EC4D7D"/>
    <w:rsid w:val="00EC4DFE"/>
    <w:rsid w:val="00EC4E6B"/>
    <w:rsid w:val="00EC4F85"/>
    <w:rsid w:val="00EC4FB6"/>
    <w:rsid w:val="00EC50BC"/>
    <w:rsid w:val="00EC5178"/>
    <w:rsid w:val="00EC5246"/>
    <w:rsid w:val="00EC53CD"/>
    <w:rsid w:val="00EC55C2"/>
    <w:rsid w:val="00EC55F2"/>
    <w:rsid w:val="00EC56F5"/>
    <w:rsid w:val="00EC5865"/>
    <w:rsid w:val="00EC58DE"/>
    <w:rsid w:val="00EC592D"/>
    <w:rsid w:val="00EC5990"/>
    <w:rsid w:val="00EC5A1B"/>
    <w:rsid w:val="00EC5A50"/>
    <w:rsid w:val="00EC5AEA"/>
    <w:rsid w:val="00EC5B72"/>
    <w:rsid w:val="00EC5C6C"/>
    <w:rsid w:val="00EC5C9B"/>
    <w:rsid w:val="00EC5DAB"/>
    <w:rsid w:val="00EC5DED"/>
    <w:rsid w:val="00EC5DEF"/>
    <w:rsid w:val="00EC5E90"/>
    <w:rsid w:val="00EC5ECD"/>
    <w:rsid w:val="00EC5F32"/>
    <w:rsid w:val="00EC5FE7"/>
    <w:rsid w:val="00EC6041"/>
    <w:rsid w:val="00EC6066"/>
    <w:rsid w:val="00EC60CC"/>
    <w:rsid w:val="00EC60ED"/>
    <w:rsid w:val="00EC60F0"/>
    <w:rsid w:val="00EC6108"/>
    <w:rsid w:val="00EC613C"/>
    <w:rsid w:val="00EC6149"/>
    <w:rsid w:val="00EC617F"/>
    <w:rsid w:val="00EC61AF"/>
    <w:rsid w:val="00EC627E"/>
    <w:rsid w:val="00EC62F7"/>
    <w:rsid w:val="00EC635C"/>
    <w:rsid w:val="00EC63BF"/>
    <w:rsid w:val="00EC64E9"/>
    <w:rsid w:val="00EC6526"/>
    <w:rsid w:val="00EC654C"/>
    <w:rsid w:val="00EC66E0"/>
    <w:rsid w:val="00EC66F5"/>
    <w:rsid w:val="00EC673D"/>
    <w:rsid w:val="00EC67E1"/>
    <w:rsid w:val="00EC6930"/>
    <w:rsid w:val="00EC6A69"/>
    <w:rsid w:val="00EC6A77"/>
    <w:rsid w:val="00EC6B17"/>
    <w:rsid w:val="00EC6D07"/>
    <w:rsid w:val="00EC6D93"/>
    <w:rsid w:val="00EC6E2A"/>
    <w:rsid w:val="00EC6EAF"/>
    <w:rsid w:val="00EC6F95"/>
    <w:rsid w:val="00EC6FB3"/>
    <w:rsid w:val="00EC6FD8"/>
    <w:rsid w:val="00EC6FE4"/>
    <w:rsid w:val="00EC7175"/>
    <w:rsid w:val="00EC7215"/>
    <w:rsid w:val="00EC723E"/>
    <w:rsid w:val="00EC7247"/>
    <w:rsid w:val="00EC7268"/>
    <w:rsid w:val="00EC74E9"/>
    <w:rsid w:val="00EC7526"/>
    <w:rsid w:val="00EC75FF"/>
    <w:rsid w:val="00EC764D"/>
    <w:rsid w:val="00EC766F"/>
    <w:rsid w:val="00EC76C0"/>
    <w:rsid w:val="00EC772B"/>
    <w:rsid w:val="00EC7A07"/>
    <w:rsid w:val="00EC7BE2"/>
    <w:rsid w:val="00EC7CC5"/>
    <w:rsid w:val="00EC7D1C"/>
    <w:rsid w:val="00EC7DA5"/>
    <w:rsid w:val="00EC7DBF"/>
    <w:rsid w:val="00EC7E5F"/>
    <w:rsid w:val="00EC7E94"/>
    <w:rsid w:val="00EC7EB2"/>
    <w:rsid w:val="00EC7FAD"/>
    <w:rsid w:val="00EC7FB3"/>
    <w:rsid w:val="00EC7FF3"/>
    <w:rsid w:val="00ED007A"/>
    <w:rsid w:val="00ED008A"/>
    <w:rsid w:val="00ED01A9"/>
    <w:rsid w:val="00ED01EE"/>
    <w:rsid w:val="00ED0208"/>
    <w:rsid w:val="00ED029B"/>
    <w:rsid w:val="00ED0319"/>
    <w:rsid w:val="00ED03A9"/>
    <w:rsid w:val="00ED04C4"/>
    <w:rsid w:val="00ED053B"/>
    <w:rsid w:val="00ED059D"/>
    <w:rsid w:val="00ED05FB"/>
    <w:rsid w:val="00ED06E4"/>
    <w:rsid w:val="00ED0704"/>
    <w:rsid w:val="00ED070A"/>
    <w:rsid w:val="00ED079B"/>
    <w:rsid w:val="00ED0914"/>
    <w:rsid w:val="00ED093D"/>
    <w:rsid w:val="00ED0964"/>
    <w:rsid w:val="00ED0AC7"/>
    <w:rsid w:val="00ED0BED"/>
    <w:rsid w:val="00ED0C1D"/>
    <w:rsid w:val="00ED0CB0"/>
    <w:rsid w:val="00ED0CC8"/>
    <w:rsid w:val="00ED0CD4"/>
    <w:rsid w:val="00ED0D66"/>
    <w:rsid w:val="00ED0DB6"/>
    <w:rsid w:val="00ED0DFF"/>
    <w:rsid w:val="00ED0EC2"/>
    <w:rsid w:val="00ED0F9F"/>
    <w:rsid w:val="00ED0FAE"/>
    <w:rsid w:val="00ED100C"/>
    <w:rsid w:val="00ED1038"/>
    <w:rsid w:val="00ED114D"/>
    <w:rsid w:val="00ED1231"/>
    <w:rsid w:val="00ED123B"/>
    <w:rsid w:val="00ED12A0"/>
    <w:rsid w:val="00ED131E"/>
    <w:rsid w:val="00ED13B0"/>
    <w:rsid w:val="00ED142D"/>
    <w:rsid w:val="00ED1499"/>
    <w:rsid w:val="00ED15DA"/>
    <w:rsid w:val="00ED15EA"/>
    <w:rsid w:val="00ED1633"/>
    <w:rsid w:val="00ED16E5"/>
    <w:rsid w:val="00ED1709"/>
    <w:rsid w:val="00ED172E"/>
    <w:rsid w:val="00ED1834"/>
    <w:rsid w:val="00ED18C6"/>
    <w:rsid w:val="00ED193E"/>
    <w:rsid w:val="00ED194A"/>
    <w:rsid w:val="00ED1A10"/>
    <w:rsid w:val="00ED1B29"/>
    <w:rsid w:val="00ED1B58"/>
    <w:rsid w:val="00ED1B5F"/>
    <w:rsid w:val="00ED1B74"/>
    <w:rsid w:val="00ED1C28"/>
    <w:rsid w:val="00ED1EB7"/>
    <w:rsid w:val="00ED1EFA"/>
    <w:rsid w:val="00ED208A"/>
    <w:rsid w:val="00ED213D"/>
    <w:rsid w:val="00ED21D1"/>
    <w:rsid w:val="00ED2204"/>
    <w:rsid w:val="00ED222B"/>
    <w:rsid w:val="00ED223F"/>
    <w:rsid w:val="00ED2321"/>
    <w:rsid w:val="00ED23A9"/>
    <w:rsid w:val="00ED240A"/>
    <w:rsid w:val="00ED24B4"/>
    <w:rsid w:val="00ED2501"/>
    <w:rsid w:val="00ED263C"/>
    <w:rsid w:val="00ED26DD"/>
    <w:rsid w:val="00ED27F9"/>
    <w:rsid w:val="00ED2821"/>
    <w:rsid w:val="00ED28E1"/>
    <w:rsid w:val="00ED2A11"/>
    <w:rsid w:val="00ED2A3C"/>
    <w:rsid w:val="00ED2A80"/>
    <w:rsid w:val="00ED2ACA"/>
    <w:rsid w:val="00ED2AE0"/>
    <w:rsid w:val="00ED2BB3"/>
    <w:rsid w:val="00ED2BDE"/>
    <w:rsid w:val="00ED2C84"/>
    <w:rsid w:val="00ED2D45"/>
    <w:rsid w:val="00ED2D71"/>
    <w:rsid w:val="00ED2D83"/>
    <w:rsid w:val="00ED2DF0"/>
    <w:rsid w:val="00ED2DF6"/>
    <w:rsid w:val="00ED2E27"/>
    <w:rsid w:val="00ED2E66"/>
    <w:rsid w:val="00ED2E78"/>
    <w:rsid w:val="00ED2ED1"/>
    <w:rsid w:val="00ED2F0F"/>
    <w:rsid w:val="00ED2F28"/>
    <w:rsid w:val="00ED2F61"/>
    <w:rsid w:val="00ED2F93"/>
    <w:rsid w:val="00ED2FD7"/>
    <w:rsid w:val="00ED3036"/>
    <w:rsid w:val="00ED3064"/>
    <w:rsid w:val="00ED3191"/>
    <w:rsid w:val="00ED32E1"/>
    <w:rsid w:val="00ED3319"/>
    <w:rsid w:val="00ED3336"/>
    <w:rsid w:val="00ED335D"/>
    <w:rsid w:val="00ED33B0"/>
    <w:rsid w:val="00ED33CA"/>
    <w:rsid w:val="00ED33F6"/>
    <w:rsid w:val="00ED3461"/>
    <w:rsid w:val="00ED34CB"/>
    <w:rsid w:val="00ED3507"/>
    <w:rsid w:val="00ED352F"/>
    <w:rsid w:val="00ED3618"/>
    <w:rsid w:val="00ED36EC"/>
    <w:rsid w:val="00ED3770"/>
    <w:rsid w:val="00ED393A"/>
    <w:rsid w:val="00ED39B3"/>
    <w:rsid w:val="00ED39D2"/>
    <w:rsid w:val="00ED39DF"/>
    <w:rsid w:val="00ED39F4"/>
    <w:rsid w:val="00ED39FA"/>
    <w:rsid w:val="00ED3B70"/>
    <w:rsid w:val="00ED3BE0"/>
    <w:rsid w:val="00ED3BEE"/>
    <w:rsid w:val="00ED3C35"/>
    <w:rsid w:val="00ED3C76"/>
    <w:rsid w:val="00ED3CAC"/>
    <w:rsid w:val="00ED3DE6"/>
    <w:rsid w:val="00ED3E65"/>
    <w:rsid w:val="00ED3FAB"/>
    <w:rsid w:val="00ED3FD0"/>
    <w:rsid w:val="00ED40A5"/>
    <w:rsid w:val="00ED40BD"/>
    <w:rsid w:val="00ED40CF"/>
    <w:rsid w:val="00ED418D"/>
    <w:rsid w:val="00ED41AB"/>
    <w:rsid w:val="00ED41F2"/>
    <w:rsid w:val="00ED4207"/>
    <w:rsid w:val="00ED430E"/>
    <w:rsid w:val="00ED43A1"/>
    <w:rsid w:val="00ED43B5"/>
    <w:rsid w:val="00ED4598"/>
    <w:rsid w:val="00ED45FB"/>
    <w:rsid w:val="00ED4666"/>
    <w:rsid w:val="00ED46CB"/>
    <w:rsid w:val="00ED4730"/>
    <w:rsid w:val="00ED4845"/>
    <w:rsid w:val="00ED4865"/>
    <w:rsid w:val="00ED48A2"/>
    <w:rsid w:val="00ED48CB"/>
    <w:rsid w:val="00ED48DA"/>
    <w:rsid w:val="00ED496E"/>
    <w:rsid w:val="00ED4A40"/>
    <w:rsid w:val="00ED4A61"/>
    <w:rsid w:val="00ED4B2A"/>
    <w:rsid w:val="00ED4C39"/>
    <w:rsid w:val="00ED4D4A"/>
    <w:rsid w:val="00ED4D5F"/>
    <w:rsid w:val="00ED4D9E"/>
    <w:rsid w:val="00ED4DAA"/>
    <w:rsid w:val="00ED4DF2"/>
    <w:rsid w:val="00ED4E18"/>
    <w:rsid w:val="00ED4EAE"/>
    <w:rsid w:val="00ED4F63"/>
    <w:rsid w:val="00ED5092"/>
    <w:rsid w:val="00ED50FA"/>
    <w:rsid w:val="00ED517B"/>
    <w:rsid w:val="00ED5343"/>
    <w:rsid w:val="00ED53DD"/>
    <w:rsid w:val="00ED5411"/>
    <w:rsid w:val="00ED5494"/>
    <w:rsid w:val="00ED54C4"/>
    <w:rsid w:val="00ED55DE"/>
    <w:rsid w:val="00ED5608"/>
    <w:rsid w:val="00ED560B"/>
    <w:rsid w:val="00ED5614"/>
    <w:rsid w:val="00ED565C"/>
    <w:rsid w:val="00ED5681"/>
    <w:rsid w:val="00ED56B0"/>
    <w:rsid w:val="00ED575A"/>
    <w:rsid w:val="00ED584F"/>
    <w:rsid w:val="00ED5855"/>
    <w:rsid w:val="00ED58C8"/>
    <w:rsid w:val="00ED58F0"/>
    <w:rsid w:val="00ED5904"/>
    <w:rsid w:val="00ED5988"/>
    <w:rsid w:val="00ED5B4C"/>
    <w:rsid w:val="00ED5BE4"/>
    <w:rsid w:val="00ED5C88"/>
    <w:rsid w:val="00ED5D03"/>
    <w:rsid w:val="00ED5D60"/>
    <w:rsid w:val="00ED5E26"/>
    <w:rsid w:val="00ED5E89"/>
    <w:rsid w:val="00ED5EA6"/>
    <w:rsid w:val="00ED5EBB"/>
    <w:rsid w:val="00ED5FAB"/>
    <w:rsid w:val="00ED6056"/>
    <w:rsid w:val="00ED60CC"/>
    <w:rsid w:val="00ED60FA"/>
    <w:rsid w:val="00ED6140"/>
    <w:rsid w:val="00ED6213"/>
    <w:rsid w:val="00ED6228"/>
    <w:rsid w:val="00ED622B"/>
    <w:rsid w:val="00ED62C8"/>
    <w:rsid w:val="00ED62E0"/>
    <w:rsid w:val="00ED6312"/>
    <w:rsid w:val="00ED6366"/>
    <w:rsid w:val="00ED6381"/>
    <w:rsid w:val="00ED6445"/>
    <w:rsid w:val="00ED64F2"/>
    <w:rsid w:val="00ED653D"/>
    <w:rsid w:val="00ED6565"/>
    <w:rsid w:val="00ED6645"/>
    <w:rsid w:val="00ED6654"/>
    <w:rsid w:val="00ED679A"/>
    <w:rsid w:val="00ED67AF"/>
    <w:rsid w:val="00ED67D6"/>
    <w:rsid w:val="00ED68EC"/>
    <w:rsid w:val="00ED69C8"/>
    <w:rsid w:val="00ED6A4A"/>
    <w:rsid w:val="00ED6A4E"/>
    <w:rsid w:val="00ED6A9D"/>
    <w:rsid w:val="00ED6AA0"/>
    <w:rsid w:val="00ED6AF7"/>
    <w:rsid w:val="00ED6B1D"/>
    <w:rsid w:val="00ED6B70"/>
    <w:rsid w:val="00ED6B7E"/>
    <w:rsid w:val="00ED6BAB"/>
    <w:rsid w:val="00ED6C7E"/>
    <w:rsid w:val="00ED6CC1"/>
    <w:rsid w:val="00ED6CEB"/>
    <w:rsid w:val="00ED6D6B"/>
    <w:rsid w:val="00ED6E6C"/>
    <w:rsid w:val="00ED6E93"/>
    <w:rsid w:val="00ED6ED4"/>
    <w:rsid w:val="00ED6EFF"/>
    <w:rsid w:val="00ED6F07"/>
    <w:rsid w:val="00ED6F0D"/>
    <w:rsid w:val="00ED7043"/>
    <w:rsid w:val="00ED70A8"/>
    <w:rsid w:val="00ED710C"/>
    <w:rsid w:val="00ED7168"/>
    <w:rsid w:val="00ED71EE"/>
    <w:rsid w:val="00ED72E1"/>
    <w:rsid w:val="00ED7450"/>
    <w:rsid w:val="00ED7517"/>
    <w:rsid w:val="00ED751E"/>
    <w:rsid w:val="00ED75A0"/>
    <w:rsid w:val="00ED75E2"/>
    <w:rsid w:val="00ED75EC"/>
    <w:rsid w:val="00ED762C"/>
    <w:rsid w:val="00ED763E"/>
    <w:rsid w:val="00ED766F"/>
    <w:rsid w:val="00ED769E"/>
    <w:rsid w:val="00ED76D8"/>
    <w:rsid w:val="00ED771F"/>
    <w:rsid w:val="00ED7802"/>
    <w:rsid w:val="00ED786D"/>
    <w:rsid w:val="00ED7890"/>
    <w:rsid w:val="00ED78E2"/>
    <w:rsid w:val="00ED78E9"/>
    <w:rsid w:val="00ED7933"/>
    <w:rsid w:val="00ED799A"/>
    <w:rsid w:val="00ED79A0"/>
    <w:rsid w:val="00ED79F0"/>
    <w:rsid w:val="00ED7A06"/>
    <w:rsid w:val="00ED7A22"/>
    <w:rsid w:val="00ED7A9A"/>
    <w:rsid w:val="00ED7B03"/>
    <w:rsid w:val="00ED7C08"/>
    <w:rsid w:val="00ED7D12"/>
    <w:rsid w:val="00ED7D49"/>
    <w:rsid w:val="00ED7E2D"/>
    <w:rsid w:val="00ED7F05"/>
    <w:rsid w:val="00ED7FCC"/>
    <w:rsid w:val="00EE0046"/>
    <w:rsid w:val="00EE0098"/>
    <w:rsid w:val="00EE00CA"/>
    <w:rsid w:val="00EE00E8"/>
    <w:rsid w:val="00EE0180"/>
    <w:rsid w:val="00EE01D8"/>
    <w:rsid w:val="00EE01DF"/>
    <w:rsid w:val="00EE01FB"/>
    <w:rsid w:val="00EE0277"/>
    <w:rsid w:val="00EE02DB"/>
    <w:rsid w:val="00EE0323"/>
    <w:rsid w:val="00EE032E"/>
    <w:rsid w:val="00EE033A"/>
    <w:rsid w:val="00EE03EA"/>
    <w:rsid w:val="00EE0504"/>
    <w:rsid w:val="00EE0587"/>
    <w:rsid w:val="00EE05E9"/>
    <w:rsid w:val="00EE0608"/>
    <w:rsid w:val="00EE0648"/>
    <w:rsid w:val="00EE0663"/>
    <w:rsid w:val="00EE06EF"/>
    <w:rsid w:val="00EE0721"/>
    <w:rsid w:val="00EE0744"/>
    <w:rsid w:val="00EE076B"/>
    <w:rsid w:val="00EE07A9"/>
    <w:rsid w:val="00EE0813"/>
    <w:rsid w:val="00EE0856"/>
    <w:rsid w:val="00EE0906"/>
    <w:rsid w:val="00EE099B"/>
    <w:rsid w:val="00EE0A2C"/>
    <w:rsid w:val="00EE0AED"/>
    <w:rsid w:val="00EE0BFB"/>
    <w:rsid w:val="00EE0CD9"/>
    <w:rsid w:val="00EE0D90"/>
    <w:rsid w:val="00EE0DEA"/>
    <w:rsid w:val="00EE0E2B"/>
    <w:rsid w:val="00EE0E9E"/>
    <w:rsid w:val="00EE0F80"/>
    <w:rsid w:val="00EE0F97"/>
    <w:rsid w:val="00EE0FDA"/>
    <w:rsid w:val="00EE10B0"/>
    <w:rsid w:val="00EE10FF"/>
    <w:rsid w:val="00EE1170"/>
    <w:rsid w:val="00EE11D3"/>
    <w:rsid w:val="00EE11EC"/>
    <w:rsid w:val="00EE129D"/>
    <w:rsid w:val="00EE12A8"/>
    <w:rsid w:val="00EE133D"/>
    <w:rsid w:val="00EE14B6"/>
    <w:rsid w:val="00EE15BC"/>
    <w:rsid w:val="00EE15E6"/>
    <w:rsid w:val="00EE16A7"/>
    <w:rsid w:val="00EE16A8"/>
    <w:rsid w:val="00EE16EA"/>
    <w:rsid w:val="00EE172D"/>
    <w:rsid w:val="00EE179E"/>
    <w:rsid w:val="00EE17ED"/>
    <w:rsid w:val="00EE1873"/>
    <w:rsid w:val="00EE1907"/>
    <w:rsid w:val="00EE192E"/>
    <w:rsid w:val="00EE199E"/>
    <w:rsid w:val="00EE19B8"/>
    <w:rsid w:val="00EE1B4C"/>
    <w:rsid w:val="00EE1C33"/>
    <w:rsid w:val="00EE1CBA"/>
    <w:rsid w:val="00EE1CE1"/>
    <w:rsid w:val="00EE1CED"/>
    <w:rsid w:val="00EE1D48"/>
    <w:rsid w:val="00EE1D6F"/>
    <w:rsid w:val="00EE1E0E"/>
    <w:rsid w:val="00EE1E3E"/>
    <w:rsid w:val="00EE1E63"/>
    <w:rsid w:val="00EE1E9B"/>
    <w:rsid w:val="00EE1EA8"/>
    <w:rsid w:val="00EE1EF4"/>
    <w:rsid w:val="00EE2007"/>
    <w:rsid w:val="00EE2050"/>
    <w:rsid w:val="00EE20AA"/>
    <w:rsid w:val="00EE20BF"/>
    <w:rsid w:val="00EE210F"/>
    <w:rsid w:val="00EE2126"/>
    <w:rsid w:val="00EE216B"/>
    <w:rsid w:val="00EE2184"/>
    <w:rsid w:val="00EE247C"/>
    <w:rsid w:val="00EE24CF"/>
    <w:rsid w:val="00EE24E0"/>
    <w:rsid w:val="00EE24EC"/>
    <w:rsid w:val="00EE25B8"/>
    <w:rsid w:val="00EE264F"/>
    <w:rsid w:val="00EE268C"/>
    <w:rsid w:val="00EE2715"/>
    <w:rsid w:val="00EE2749"/>
    <w:rsid w:val="00EE2759"/>
    <w:rsid w:val="00EE27DA"/>
    <w:rsid w:val="00EE28B9"/>
    <w:rsid w:val="00EE28C0"/>
    <w:rsid w:val="00EE2931"/>
    <w:rsid w:val="00EE2956"/>
    <w:rsid w:val="00EE29C1"/>
    <w:rsid w:val="00EE2B0A"/>
    <w:rsid w:val="00EE2B3B"/>
    <w:rsid w:val="00EE2B53"/>
    <w:rsid w:val="00EE2BBC"/>
    <w:rsid w:val="00EE2BE0"/>
    <w:rsid w:val="00EE2C89"/>
    <w:rsid w:val="00EE2CC3"/>
    <w:rsid w:val="00EE2CE4"/>
    <w:rsid w:val="00EE2D1E"/>
    <w:rsid w:val="00EE2D35"/>
    <w:rsid w:val="00EE2D47"/>
    <w:rsid w:val="00EE2D5E"/>
    <w:rsid w:val="00EE2D8F"/>
    <w:rsid w:val="00EE2E88"/>
    <w:rsid w:val="00EE2E8C"/>
    <w:rsid w:val="00EE2EAF"/>
    <w:rsid w:val="00EE2FB5"/>
    <w:rsid w:val="00EE3093"/>
    <w:rsid w:val="00EE30D0"/>
    <w:rsid w:val="00EE32A3"/>
    <w:rsid w:val="00EE32E9"/>
    <w:rsid w:val="00EE3439"/>
    <w:rsid w:val="00EE34B0"/>
    <w:rsid w:val="00EE3500"/>
    <w:rsid w:val="00EE3501"/>
    <w:rsid w:val="00EE3555"/>
    <w:rsid w:val="00EE389A"/>
    <w:rsid w:val="00EE38CD"/>
    <w:rsid w:val="00EE39B4"/>
    <w:rsid w:val="00EE39D1"/>
    <w:rsid w:val="00EE39FF"/>
    <w:rsid w:val="00EE3AEF"/>
    <w:rsid w:val="00EE3B50"/>
    <w:rsid w:val="00EE3BFD"/>
    <w:rsid w:val="00EE3C28"/>
    <w:rsid w:val="00EE3C69"/>
    <w:rsid w:val="00EE3D5D"/>
    <w:rsid w:val="00EE3E19"/>
    <w:rsid w:val="00EE3E84"/>
    <w:rsid w:val="00EE3E9E"/>
    <w:rsid w:val="00EE3EBF"/>
    <w:rsid w:val="00EE3EE6"/>
    <w:rsid w:val="00EE3F78"/>
    <w:rsid w:val="00EE3F85"/>
    <w:rsid w:val="00EE3FCF"/>
    <w:rsid w:val="00EE4025"/>
    <w:rsid w:val="00EE4097"/>
    <w:rsid w:val="00EE40C2"/>
    <w:rsid w:val="00EE40FB"/>
    <w:rsid w:val="00EE4175"/>
    <w:rsid w:val="00EE41D9"/>
    <w:rsid w:val="00EE42C7"/>
    <w:rsid w:val="00EE42E3"/>
    <w:rsid w:val="00EE4385"/>
    <w:rsid w:val="00EE43C6"/>
    <w:rsid w:val="00EE43D3"/>
    <w:rsid w:val="00EE4487"/>
    <w:rsid w:val="00EE4560"/>
    <w:rsid w:val="00EE4579"/>
    <w:rsid w:val="00EE458C"/>
    <w:rsid w:val="00EE45C2"/>
    <w:rsid w:val="00EE465D"/>
    <w:rsid w:val="00EE469D"/>
    <w:rsid w:val="00EE46E9"/>
    <w:rsid w:val="00EE4700"/>
    <w:rsid w:val="00EE474A"/>
    <w:rsid w:val="00EE474F"/>
    <w:rsid w:val="00EE4767"/>
    <w:rsid w:val="00EE4780"/>
    <w:rsid w:val="00EE47F0"/>
    <w:rsid w:val="00EE4808"/>
    <w:rsid w:val="00EE4912"/>
    <w:rsid w:val="00EE498A"/>
    <w:rsid w:val="00EE49A3"/>
    <w:rsid w:val="00EE49B0"/>
    <w:rsid w:val="00EE4A4E"/>
    <w:rsid w:val="00EE4A95"/>
    <w:rsid w:val="00EE4AED"/>
    <w:rsid w:val="00EE4C18"/>
    <w:rsid w:val="00EE4C36"/>
    <w:rsid w:val="00EE4C54"/>
    <w:rsid w:val="00EE4C56"/>
    <w:rsid w:val="00EE4C6D"/>
    <w:rsid w:val="00EE4CCE"/>
    <w:rsid w:val="00EE4D0B"/>
    <w:rsid w:val="00EE4D7A"/>
    <w:rsid w:val="00EE4DBB"/>
    <w:rsid w:val="00EE4DC8"/>
    <w:rsid w:val="00EE4F1F"/>
    <w:rsid w:val="00EE4F4C"/>
    <w:rsid w:val="00EE4F76"/>
    <w:rsid w:val="00EE4FDB"/>
    <w:rsid w:val="00EE5006"/>
    <w:rsid w:val="00EE507E"/>
    <w:rsid w:val="00EE511D"/>
    <w:rsid w:val="00EE51B2"/>
    <w:rsid w:val="00EE51DA"/>
    <w:rsid w:val="00EE521A"/>
    <w:rsid w:val="00EE55D3"/>
    <w:rsid w:val="00EE5621"/>
    <w:rsid w:val="00EE5699"/>
    <w:rsid w:val="00EE5751"/>
    <w:rsid w:val="00EE5804"/>
    <w:rsid w:val="00EE582D"/>
    <w:rsid w:val="00EE582F"/>
    <w:rsid w:val="00EE58BD"/>
    <w:rsid w:val="00EE58E8"/>
    <w:rsid w:val="00EE593E"/>
    <w:rsid w:val="00EE5A24"/>
    <w:rsid w:val="00EE5AA1"/>
    <w:rsid w:val="00EE5BD2"/>
    <w:rsid w:val="00EE5C93"/>
    <w:rsid w:val="00EE5CF6"/>
    <w:rsid w:val="00EE5CF7"/>
    <w:rsid w:val="00EE5D7A"/>
    <w:rsid w:val="00EE5E07"/>
    <w:rsid w:val="00EE5F32"/>
    <w:rsid w:val="00EE5F44"/>
    <w:rsid w:val="00EE5F6C"/>
    <w:rsid w:val="00EE5F73"/>
    <w:rsid w:val="00EE6019"/>
    <w:rsid w:val="00EE602A"/>
    <w:rsid w:val="00EE6053"/>
    <w:rsid w:val="00EE60B5"/>
    <w:rsid w:val="00EE617F"/>
    <w:rsid w:val="00EE6184"/>
    <w:rsid w:val="00EE61B6"/>
    <w:rsid w:val="00EE61F2"/>
    <w:rsid w:val="00EE6263"/>
    <w:rsid w:val="00EE632B"/>
    <w:rsid w:val="00EE647C"/>
    <w:rsid w:val="00EE6480"/>
    <w:rsid w:val="00EE6540"/>
    <w:rsid w:val="00EE6550"/>
    <w:rsid w:val="00EE6663"/>
    <w:rsid w:val="00EE6685"/>
    <w:rsid w:val="00EE6782"/>
    <w:rsid w:val="00EE6784"/>
    <w:rsid w:val="00EE6792"/>
    <w:rsid w:val="00EE67F2"/>
    <w:rsid w:val="00EE6911"/>
    <w:rsid w:val="00EE6924"/>
    <w:rsid w:val="00EE6943"/>
    <w:rsid w:val="00EE6A49"/>
    <w:rsid w:val="00EE6A6F"/>
    <w:rsid w:val="00EE6BCC"/>
    <w:rsid w:val="00EE6DA5"/>
    <w:rsid w:val="00EE6DAD"/>
    <w:rsid w:val="00EE6DDA"/>
    <w:rsid w:val="00EE6E08"/>
    <w:rsid w:val="00EE6E3F"/>
    <w:rsid w:val="00EE6EA5"/>
    <w:rsid w:val="00EE6F4C"/>
    <w:rsid w:val="00EE6F80"/>
    <w:rsid w:val="00EE709D"/>
    <w:rsid w:val="00EE70A2"/>
    <w:rsid w:val="00EE7111"/>
    <w:rsid w:val="00EE715B"/>
    <w:rsid w:val="00EE7329"/>
    <w:rsid w:val="00EE74E2"/>
    <w:rsid w:val="00EE7645"/>
    <w:rsid w:val="00EE7724"/>
    <w:rsid w:val="00EE77DD"/>
    <w:rsid w:val="00EE7900"/>
    <w:rsid w:val="00EE7A6B"/>
    <w:rsid w:val="00EE7B9C"/>
    <w:rsid w:val="00EE7BEA"/>
    <w:rsid w:val="00EE7C7D"/>
    <w:rsid w:val="00EE7C97"/>
    <w:rsid w:val="00EE7CB8"/>
    <w:rsid w:val="00EE7D8E"/>
    <w:rsid w:val="00EE7DEE"/>
    <w:rsid w:val="00EE7E66"/>
    <w:rsid w:val="00EE7FDA"/>
    <w:rsid w:val="00EE7FF3"/>
    <w:rsid w:val="00EF0007"/>
    <w:rsid w:val="00EF0110"/>
    <w:rsid w:val="00EF0161"/>
    <w:rsid w:val="00EF020F"/>
    <w:rsid w:val="00EF0290"/>
    <w:rsid w:val="00EF0293"/>
    <w:rsid w:val="00EF02AB"/>
    <w:rsid w:val="00EF042B"/>
    <w:rsid w:val="00EF04AE"/>
    <w:rsid w:val="00EF04CC"/>
    <w:rsid w:val="00EF053E"/>
    <w:rsid w:val="00EF05A7"/>
    <w:rsid w:val="00EF06B0"/>
    <w:rsid w:val="00EF07C4"/>
    <w:rsid w:val="00EF0817"/>
    <w:rsid w:val="00EF084D"/>
    <w:rsid w:val="00EF0942"/>
    <w:rsid w:val="00EF0958"/>
    <w:rsid w:val="00EF0A13"/>
    <w:rsid w:val="00EF0A54"/>
    <w:rsid w:val="00EF0A62"/>
    <w:rsid w:val="00EF0A92"/>
    <w:rsid w:val="00EF0B18"/>
    <w:rsid w:val="00EF0B24"/>
    <w:rsid w:val="00EF0B2E"/>
    <w:rsid w:val="00EF0B3F"/>
    <w:rsid w:val="00EF0B58"/>
    <w:rsid w:val="00EF0B8B"/>
    <w:rsid w:val="00EF0CE1"/>
    <w:rsid w:val="00EF0CF4"/>
    <w:rsid w:val="00EF0D30"/>
    <w:rsid w:val="00EF0D69"/>
    <w:rsid w:val="00EF0D9A"/>
    <w:rsid w:val="00EF0DD2"/>
    <w:rsid w:val="00EF0DEF"/>
    <w:rsid w:val="00EF0E56"/>
    <w:rsid w:val="00EF0E76"/>
    <w:rsid w:val="00EF0FB9"/>
    <w:rsid w:val="00EF1025"/>
    <w:rsid w:val="00EF107F"/>
    <w:rsid w:val="00EF1085"/>
    <w:rsid w:val="00EF1219"/>
    <w:rsid w:val="00EF1387"/>
    <w:rsid w:val="00EF14BF"/>
    <w:rsid w:val="00EF156A"/>
    <w:rsid w:val="00EF15B5"/>
    <w:rsid w:val="00EF1712"/>
    <w:rsid w:val="00EF171D"/>
    <w:rsid w:val="00EF1791"/>
    <w:rsid w:val="00EF179C"/>
    <w:rsid w:val="00EF19B1"/>
    <w:rsid w:val="00EF19B9"/>
    <w:rsid w:val="00EF1A5E"/>
    <w:rsid w:val="00EF1B8C"/>
    <w:rsid w:val="00EF1C17"/>
    <w:rsid w:val="00EF1C67"/>
    <w:rsid w:val="00EF1C6F"/>
    <w:rsid w:val="00EF1CD4"/>
    <w:rsid w:val="00EF1D3C"/>
    <w:rsid w:val="00EF1DFD"/>
    <w:rsid w:val="00EF1E9B"/>
    <w:rsid w:val="00EF1F20"/>
    <w:rsid w:val="00EF1FD8"/>
    <w:rsid w:val="00EF203F"/>
    <w:rsid w:val="00EF2040"/>
    <w:rsid w:val="00EF20D0"/>
    <w:rsid w:val="00EF22F9"/>
    <w:rsid w:val="00EF231F"/>
    <w:rsid w:val="00EF2351"/>
    <w:rsid w:val="00EF236F"/>
    <w:rsid w:val="00EF2430"/>
    <w:rsid w:val="00EF24B7"/>
    <w:rsid w:val="00EF25A6"/>
    <w:rsid w:val="00EF25E1"/>
    <w:rsid w:val="00EF25E5"/>
    <w:rsid w:val="00EF26A5"/>
    <w:rsid w:val="00EF270D"/>
    <w:rsid w:val="00EF270E"/>
    <w:rsid w:val="00EF2781"/>
    <w:rsid w:val="00EF27DF"/>
    <w:rsid w:val="00EF27E1"/>
    <w:rsid w:val="00EF2828"/>
    <w:rsid w:val="00EF28B4"/>
    <w:rsid w:val="00EF2928"/>
    <w:rsid w:val="00EF2989"/>
    <w:rsid w:val="00EF29EC"/>
    <w:rsid w:val="00EF2A05"/>
    <w:rsid w:val="00EF2A2D"/>
    <w:rsid w:val="00EF2A41"/>
    <w:rsid w:val="00EF2AD6"/>
    <w:rsid w:val="00EF2C10"/>
    <w:rsid w:val="00EF2CF9"/>
    <w:rsid w:val="00EF2D2B"/>
    <w:rsid w:val="00EF2D2E"/>
    <w:rsid w:val="00EF2D4F"/>
    <w:rsid w:val="00EF2E2D"/>
    <w:rsid w:val="00EF2E5B"/>
    <w:rsid w:val="00EF2E7A"/>
    <w:rsid w:val="00EF2F35"/>
    <w:rsid w:val="00EF2F75"/>
    <w:rsid w:val="00EF2F77"/>
    <w:rsid w:val="00EF2FD1"/>
    <w:rsid w:val="00EF2FEF"/>
    <w:rsid w:val="00EF3009"/>
    <w:rsid w:val="00EF30F2"/>
    <w:rsid w:val="00EF31E8"/>
    <w:rsid w:val="00EF322D"/>
    <w:rsid w:val="00EF3246"/>
    <w:rsid w:val="00EF326D"/>
    <w:rsid w:val="00EF3286"/>
    <w:rsid w:val="00EF32DC"/>
    <w:rsid w:val="00EF336F"/>
    <w:rsid w:val="00EF3378"/>
    <w:rsid w:val="00EF3493"/>
    <w:rsid w:val="00EF3505"/>
    <w:rsid w:val="00EF3590"/>
    <w:rsid w:val="00EF35EC"/>
    <w:rsid w:val="00EF3638"/>
    <w:rsid w:val="00EF36A7"/>
    <w:rsid w:val="00EF3702"/>
    <w:rsid w:val="00EF374A"/>
    <w:rsid w:val="00EF379D"/>
    <w:rsid w:val="00EF37AE"/>
    <w:rsid w:val="00EF37C4"/>
    <w:rsid w:val="00EF37D5"/>
    <w:rsid w:val="00EF3815"/>
    <w:rsid w:val="00EF38BE"/>
    <w:rsid w:val="00EF38D0"/>
    <w:rsid w:val="00EF3971"/>
    <w:rsid w:val="00EF3987"/>
    <w:rsid w:val="00EF39DC"/>
    <w:rsid w:val="00EF39FF"/>
    <w:rsid w:val="00EF3A0D"/>
    <w:rsid w:val="00EF3A1E"/>
    <w:rsid w:val="00EF3A2D"/>
    <w:rsid w:val="00EF3A3E"/>
    <w:rsid w:val="00EF3ABD"/>
    <w:rsid w:val="00EF3BC6"/>
    <w:rsid w:val="00EF3C00"/>
    <w:rsid w:val="00EF3C27"/>
    <w:rsid w:val="00EF3CB6"/>
    <w:rsid w:val="00EF3D1A"/>
    <w:rsid w:val="00EF3D28"/>
    <w:rsid w:val="00EF3D68"/>
    <w:rsid w:val="00EF3D7E"/>
    <w:rsid w:val="00EF3E47"/>
    <w:rsid w:val="00EF3E66"/>
    <w:rsid w:val="00EF3E6C"/>
    <w:rsid w:val="00EF3EBF"/>
    <w:rsid w:val="00EF3EDA"/>
    <w:rsid w:val="00EF3F41"/>
    <w:rsid w:val="00EF3F6A"/>
    <w:rsid w:val="00EF3F76"/>
    <w:rsid w:val="00EF3FF3"/>
    <w:rsid w:val="00EF3FFE"/>
    <w:rsid w:val="00EF4089"/>
    <w:rsid w:val="00EF4167"/>
    <w:rsid w:val="00EF4199"/>
    <w:rsid w:val="00EF419F"/>
    <w:rsid w:val="00EF41C7"/>
    <w:rsid w:val="00EF4326"/>
    <w:rsid w:val="00EF4443"/>
    <w:rsid w:val="00EF449B"/>
    <w:rsid w:val="00EF452A"/>
    <w:rsid w:val="00EF453C"/>
    <w:rsid w:val="00EF45C3"/>
    <w:rsid w:val="00EF465C"/>
    <w:rsid w:val="00EF46CB"/>
    <w:rsid w:val="00EF4842"/>
    <w:rsid w:val="00EF48E3"/>
    <w:rsid w:val="00EF4A31"/>
    <w:rsid w:val="00EF4ADD"/>
    <w:rsid w:val="00EF4B0E"/>
    <w:rsid w:val="00EF4B78"/>
    <w:rsid w:val="00EF4BDE"/>
    <w:rsid w:val="00EF4C09"/>
    <w:rsid w:val="00EF4C5B"/>
    <w:rsid w:val="00EF4CB4"/>
    <w:rsid w:val="00EF4D21"/>
    <w:rsid w:val="00EF4D37"/>
    <w:rsid w:val="00EF4E54"/>
    <w:rsid w:val="00EF4ED9"/>
    <w:rsid w:val="00EF4F0A"/>
    <w:rsid w:val="00EF4F48"/>
    <w:rsid w:val="00EF5007"/>
    <w:rsid w:val="00EF500F"/>
    <w:rsid w:val="00EF5243"/>
    <w:rsid w:val="00EF537B"/>
    <w:rsid w:val="00EF54F1"/>
    <w:rsid w:val="00EF5575"/>
    <w:rsid w:val="00EF55E9"/>
    <w:rsid w:val="00EF5625"/>
    <w:rsid w:val="00EF567C"/>
    <w:rsid w:val="00EF56C5"/>
    <w:rsid w:val="00EF56F3"/>
    <w:rsid w:val="00EF576C"/>
    <w:rsid w:val="00EF5883"/>
    <w:rsid w:val="00EF594B"/>
    <w:rsid w:val="00EF5969"/>
    <w:rsid w:val="00EF5A3E"/>
    <w:rsid w:val="00EF5A7D"/>
    <w:rsid w:val="00EF5AC5"/>
    <w:rsid w:val="00EF5ACA"/>
    <w:rsid w:val="00EF5B34"/>
    <w:rsid w:val="00EF5B58"/>
    <w:rsid w:val="00EF5BBC"/>
    <w:rsid w:val="00EF5BEF"/>
    <w:rsid w:val="00EF5CC4"/>
    <w:rsid w:val="00EF5CC6"/>
    <w:rsid w:val="00EF5DBB"/>
    <w:rsid w:val="00EF5DEC"/>
    <w:rsid w:val="00EF5DF2"/>
    <w:rsid w:val="00EF5ED6"/>
    <w:rsid w:val="00EF5F06"/>
    <w:rsid w:val="00EF5FAF"/>
    <w:rsid w:val="00EF6036"/>
    <w:rsid w:val="00EF60BC"/>
    <w:rsid w:val="00EF62BA"/>
    <w:rsid w:val="00EF62EC"/>
    <w:rsid w:val="00EF632C"/>
    <w:rsid w:val="00EF6366"/>
    <w:rsid w:val="00EF638D"/>
    <w:rsid w:val="00EF64E9"/>
    <w:rsid w:val="00EF6507"/>
    <w:rsid w:val="00EF659D"/>
    <w:rsid w:val="00EF659F"/>
    <w:rsid w:val="00EF6648"/>
    <w:rsid w:val="00EF668A"/>
    <w:rsid w:val="00EF66F0"/>
    <w:rsid w:val="00EF67E8"/>
    <w:rsid w:val="00EF6A9C"/>
    <w:rsid w:val="00EF6AFB"/>
    <w:rsid w:val="00EF6B04"/>
    <w:rsid w:val="00EF6B0A"/>
    <w:rsid w:val="00EF6C0D"/>
    <w:rsid w:val="00EF6CF9"/>
    <w:rsid w:val="00EF6D14"/>
    <w:rsid w:val="00EF6D5D"/>
    <w:rsid w:val="00EF6D61"/>
    <w:rsid w:val="00EF6D6F"/>
    <w:rsid w:val="00EF6DA3"/>
    <w:rsid w:val="00EF6DC8"/>
    <w:rsid w:val="00EF6DCB"/>
    <w:rsid w:val="00EF6E5C"/>
    <w:rsid w:val="00EF6E5E"/>
    <w:rsid w:val="00EF6EBF"/>
    <w:rsid w:val="00EF6F00"/>
    <w:rsid w:val="00EF6F7D"/>
    <w:rsid w:val="00EF6FE6"/>
    <w:rsid w:val="00EF7042"/>
    <w:rsid w:val="00EF709C"/>
    <w:rsid w:val="00EF711D"/>
    <w:rsid w:val="00EF7178"/>
    <w:rsid w:val="00EF7181"/>
    <w:rsid w:val="00EF72E3"/>
    <w:rsid w:val="00EF749C"/>
    <w:rsid w:val="00EF74B9"/>
    <w:rsid w:val="00EF7585"/>
    <w:rsid w:val="00EF7756"/>
    <w:rsid w:val="00EF7790"/>
    <w:rsid w:val="00EF779E"/>
    <w:rsid w:val="00EF7820"/>
    <w:rsid w:val="00EF7885"/>
    <w:rsid w:val="00EF78C1"/>
    <w:rsid w:val="00EF793F"/>
    <w:rsid w:val="00EF7A36"/>
    <w:rsid w:val="00EF7B2D"/>
    <w:rsid w:val="00EF7B58"/>
    <w:rsid w:val="00EF7B71"/>
    <w:rsid w:val="00EF7BC3"/>
    <w:rsid w:val="00EF7BCB"/>
    <w:rsid w:val="00EF7C21"/>
    <w:rsid w:val="00EF7C68"/>
    <w:rsid w:val="00EF7CA4"/>
    <w:rsid w:val="00EF7CD5"/>
    <w:rsid w:val="00EF7D4F"/>
    <w:rsid w:val="00EF7DA9"/>
    <w:rsid w:val="00EF7DC5"/>
    <w:rsid w:val="00EF7DF0"/>
    <w:rsid w:val="00EF7E0D"/>
    <w:rsid w:val="00EF7E8E"/>
    <w:rsid w:val="00EF7EA9"/>
    <w:rsid w:val="00EF7EAA"/>
    <w:rsid w:val="00EF7F57"/>
    <w:rsid w:val="00EF7FAC"/>
    <w:rsid w:val="00F0005F"/>
    <w:rsid w:val="00F0008B"/>
    <w:rsid w:val="00F00173"/>
    <w:rsid w:val="00F001D4"/>
    <w:rsid w:val="00F001FE"/>
    <w:rsid w:val="00F00335"/>
    <w:rsid w:val="00F003D6"/>
    <w:rsid w:val="00F00402"/>
    <w:rsid w:val="00F0043A"/>
    <w:rsid w:val="00F004DB"/>
    <w:rsid w:val="00F00646"/>
    <w:rsid w:val="00F0068D"/>
    <w:rsid w:val="00F006AF"/>
    <w:rsid w:val="00F00737"/>
    <w:rsid w:val="00F00820"/>
    <w:rsid w:val="00F00893"/>
    <w:rsid w:val="00F008F6"/>
    <w:rsid w:val="00F00A03"/>
    <w:rsid w:val="00F00AE5"/>
    <w:rsid w:val="00F00BA1"/>
    <w:rsid w:val="00F00BA6"/>
    <w:rsid w:val="00F00BEB"/>
    <w:rsid w:val="00F00C01"/>
    <w:rsid w:val="00F00C2C"/>
    <w:rsid w:val="00F00D62"/>
    <w:rsid w:val="00F00DF0"/>
    <w:rsid w:val="00F00F1D"/>
    <w:rsid w:val="00F00F98"/>
    <w:rsid w:val="00F00FD5"/>
    <w:rsid w:val="00F01089"/>
    <w:rsid w:val="00F0110F"/>
    <w:rsid w:val="00F0115D"/>
    <w:rsid w:val="00F011AE"/>
    <w:rsid w:val="00F011C8"/>
    <w:rsid w:val="00F012DB"/>
    <w:rsid w:val="00F013BD"/>
    <w:rsid w:val="00F014BB"/>
    <w:rsid w:val="00F01521"/>
    <w:rsid w:val="00F01543"/>
    <w:rsid w:val="00F01578"/>
    <w:rsid w:val="00F016A1"/>
    <w:rsid w:val="00F016F6"/>
    <w:rsid w:val="00F01777"/>
    <w:rsid w:val="00F0181E"/>
    <w:rsid w:val="00F018C6"/>
    <w:rsid w:val="00F018E4"/>
    <w:rsid w:val="00F01909"/>
    <w:rsid w:val="00F01933"/>
    <w:rsid w:val="00F01957"/>
    <w:rsid w:val="00F019AB"/>
    <w:rsid w:val="00F01A9C"/>
    <w:rsid w:val="00F01AFB"/>
    <w:rsid w:val="00F01B27"/>
    <w:rsid w:val="00F01B7D"/>
    <w:rsid w:val="00F01BA1"/>
    <w:rsid w:val="00F01C80"/>
    <w:rsid w:val="00F01CCC"/>
    <w:rsid w:val="00F01CF6"/>
    <w:rsid w:val="00F01D0F"/>
    <w:rsid w:val="00F01D21"/>
    <w:rsid w:val="00F01D2A"/>
    <w:rsid w:val="00F01DE2"/>
    <w:rsid w:val="00F01DF2"/>
    <w:rsid w:val="00F01E31"/>
    <w:rsid w:val="00F01E6E"/>
    <w:rsid w:val="00F01EEC"/>
    <w:rsid w:val="00F01F3E"/>
    <w:rsid w:val="00F01F5D"/>
    <w:rsid w:val="00F01FD6"/>
    <w:rsid w:val="00F02000"/>
    <w:rsid w:val="00F02016"/>
    <w:rsid w:val="00F02107"/>
    <w:rsid w:val="00F021A6"/>
    <w:rsid w:val="00F021F5"/>
    <w:rsid w:val="00F0224B"/>
    <w:rsid w:val="00F022B9"/>
    <w:rsid w:val="00F022C9"/>
    <w:rsid w:val="00F022F4"/>
    <w:rsid w:val="00F02381"/>
    <w:rsid w:val="00F0245B"/>
    <w:rsid w:val="00F02469"/>
    <w:rsid w:val="00F0246D"/>
    <w:rsid w:val="00F024BE"/>
    <w:rsid w:val="00F0257C"/>
    <w:rsid w:val="00F02586"/>
    <w:rsid w:val="00F025B0"/>
    <w:rsid w:val="00F0263E"/>
    <w:rsid w:val="00F026D0"/>
    <w:rsid w:val="00F0282D"/>
    <w:rsid w:val="00F0290C"/>
    <w:rsid w:val="00F029D6"/>
    <w:rsid w:val="00F029E4"/>
    <w:rsid w:val="00F02A36"/>
    <w:rsid w:val="00F02AD5"/>
    <w:rsid w:val="00F02C25"/>
    <w:rsid w:val="00F02D0E"/>
    <w:rsid w:val="00F02D23"/>
    <w:rsid w:val="00F02D27"/>
    <w:rsid w:val="00F02D2D"/>
    <w:rsid w:val="00F02DAF"/>
    <w:rsid w:val="00F02E47"/>
    <w:rsid w:val="00F02EEF"/>
    <w:rsid w:val="00F03020"/>
    <w:rsid w:val="00F03122"/>
    <w:rsid w:val="00F03179"/>
    <w:rsid w:val="00F031B1"/>
    <w:rsid w:val="00F031B8"/>
    <w:rsid w:val="00F0324F"/>
    <w:rsid w:val="00F0325D"/>
    <w:rsid w:val="00F03279"/>
    <w:rsid w:val="00F03311"/>
    <w:rsid w:val="00F0347C"/>
    <w:rsid w:val="00F03556"/>
    <w:rsid w:val="00F0357B"/>
    <w:rsid w:val="00F03612"/>
    <w:rsid w:val="00F03959"/>
    <w:rsid w:val="00F03A01"/>
    <w:rsid w:val="00F03A74"/>
    <w:rsid w:val="00F03AB9"/>
    <w:rsid w:val="00F03B14"/>
    <w:rsid w:val="00F03B1D"/>
    <w:rsid w:val="00F03B1E"/>
    <w:rsid w:val="00F03B21"/>
    <w:rsid w:val="00F03CAA"/>
    <w:rsid w:val="00F03D6A"/>
    <w:rsid w:val="00F03D87"/>
    <w:rsid w:val="00F03D9F"/>
    <w:rsid w:val="00F03E53"/>
    <w:rsid w:val="00F03EB6"/>
    <w:rsid w:val="00F03F51"/>
    <w:rsid w:val="00F03F78"/>
    <w:rsid w:val="00F03FED"/>
    <w:rsid w:val="00F0407D"/>
    <w:rsid w:val="00F04089"/>
    <w:rsid w:val="00F04107"/>
    <w:rsid w:val="00F04140"/>
    <w:rsid w:val="00F04164"/>
    <w:rsid w:val="00F04194"/>
    <w:rsid w:val="00F041BD"/>
    <w:rsid w:val="00F04238"/>
    <w:rsid w:val="00F042B7"/>
    <w:rsid w:val="00F0434F"/>
    <w:rsid w:val="00F04366"/>
    <w:rsid w:val="00F043BC"/>
    <w:rsid w:val="00F044A5"/>
    <w:rsid w:val="00F044D6"/>
    <w:rsid w:val="00F04523"/>
    <w:rsid w:val="00F04583"/>
    <w:rsid w:val="00F04586"/>
    <w:rsid w:val="00F0460C"/>
    <w:rsid w:val="00F046AD"/>
    <w:rsid w:val="00F04741"/>
    <w:rsid w:val="00F047D9"/>
    <w:rsid w:val="00F047FD"/>
    <w:rsid w:val="00F04886"/>
    <w:rsid w:val="00F04981"/>
    <w:rsid w:val="00F04A2D"/>
    <w:rsid w:val="00F04A31"/>
    <w:rsid w:val="00F04AC1"/>
    <w:rsid w:val="00F04ACB"/>
    <w:rsid w:val="00F04B81"/>
    <w:rsid w:val="00F04B90"/>
    <w:rsid w:val="00F04C77"/>
    <w:rsid w:val="00F04CCD"/>
    <w:rsid w:val="00F04D3D"/>
    <w:rsid w:val="00F04E71"/>
    <w:rsid w:val="00F04F74"/>
    <w:rsid w:val="00F050AE"/>
    <w:rsid w:val="00F050EC"/>
    <w:rsid w:val="00F0514B"/>
    <w:rsid w:val="00F051C3"/>
    <w:rsid w:val="00F052C6"/>
    <w:rsid w:val="00F052FA"/>
    <w:rsid w:val="00F0549B"/>
    <w:rsid w:val="00F054DF"/>
    <w:rsid w:val="00F05519"/>
    <w:rsid w:val="00F05551"/>
    <w:rsid w:val="00F055FE"/>
    <w:rsid w:val="00F05627"/>
    <w:rsid w:val="00F0579B"/>
    <w:rsid w:val="00F057CA"/>
    <w:rsid w:val="00F058A2"/>
    <w:rsid w:val="00F058A8"/>
    <w:rsid w:val="00F05916"/>
    <w:rsid w:val="00F0593F"/>
    <w:rsid w:val="00F0599A"/>
    <w:rsid w:val="00F059B0"/>
    <w:rsid w:val="00F05B75"/>
    <w:rsid w:val="00F05B84"/>
    <w:rsid w:val="00F05BD7"/>
    <w:rsid w:val="00F05C8A"/>
    <w:rsid w:val="00F05CD5"/>
    <w:rsid w:val="00F05D4E"/>
    <w:rsid w:val="00F05E4C"/>
    <w:rsid w:val="00F05E90"/>
    <w:rsid w:val="00F05EE9"/>
    <w:rsid w:val="00F05F17"/>
    <w:rsid w:val="00F0600B"/>
    <w:rsid w:val="00F06073"/>
    <w:rsid w:val="00F0607B"/>
    <w:rsid w:val="00F061BF"/>
    <w:rsid w:val="00F061D5"/>
    <w:rsid w:val="00F06336"/>
    <w:rsid w:val="00F063E5"/>
    <w:rsid w:val="00F06413"/>
    <w:rsid w:val="00F06451"/>
    <w:rsid w:val="00F064A3"/>
    <w:rsid w:val="00F06671"/>
    <w:rsid w:val="00F06699"/>
    <w:rsid w:val="00F066DA"/>
    <w:rsid w:val="00F0674D"/>
    <w:rsid w:val="00F0675D"/>
    <w:rsid w:val="00F06793"/>
    <w:rsid w:val="00F067CE"/>
    <w:rsid w:val="00F06821"/>
    <w:rsid w:val="00F068DD"/>
    <w:rsid w:val="00F068FD"/>
    <w:rsid w:val="00F06990"/>
    <w:rsid w:val="00F06999"/>
    <w:rsid w:val="00F069CA"/>
    <w:rsid w:val="00F06A3C"/>
    <w:rsid w:val="00F06A85"/>
    <w:rsid w:val="00F06AA5"/>
    <w:rsid w:val="00F06AFD"/>
    <w:rsid w:val="00F06B03"/>
    <w:rsid w:val="00F06CE6"/>
    <w:rsid w:val="00F06D2A"/>
    <w:rsid w:val="00F06D5F"/>
    <w:rsid w:val="00F06D7C"/>
    <w:rsid w:val="00F06D9E"/>
    <w:rsid w:val="00F06E15"/>
    <w:rsid w:val="00F06E84"/>
    <w:rsid w:val="00F06F0A"/>
    <w:rsid w:val="00F06F5B"/>
    <w:rsid w:val="00F06F9A"/>
    <w:rsid w:val="00F06FE2"/>
    <w:rsid w:val="00F06FFF"/>
    <w:rsid w:val="00F0702A"/>
    <w:rsid w:val="00F070EA"/>
    <w:rsid w:val="00F0711D"/>
    <w:rsid w:val="00F07121"/>
    <w:rsid w:val="00F0715A"/>
    <w:rsid w:val="00F07184"/>
    <w:rsid w:val="00F0718C"/>
    <w:rsid w:val="00F0719A"/>
    <w:rsid w:val="00F071CD"/>
    <w:rsid w:val="00F072D6"/>
    <w:rsid w:val="00F072D9"/>
    <w:rsid w:val="00F072E0"/>
    <w:rsid w:val="00F07303"/>
    <w:rsid w:val="00F07365"/>
    <w:rsid w:val="00F07398"/>
    <w:rsid w:val="00F073CC"/>
    <w:rsid w:val="00F073F3"/>
    <w:rsid w:val="00F07442"/>
    <w:rsid w:val="00F07563"/>
    <w:rsid w:val="00F0757C"/>
    <w:rsid w:val="00F075BB"/>
    <w:rsid w:val="00F075FE"/>
    <w:rsid w:val="00F07686"/>
    <w:rsid w:val="00F076BA"/>
    <w:rsid w:val="00F07745"/>
    <w:rsid w:val="00F0781F"/>
    <w:rsid w:val="00F07897"/>
    <w:rsid w:val="00F078B6"/>
    <w:rsid w:val="00F078D4"/>
    <w:rsid w:val="00F07901"/>
    <w:rsid w:val="00F07915"/>
    <w:rsid w:val="00F07961"/>
    <w:rsid w:val="00F07967"/>
    <w:rsid w:val="00F07A0C"/>
    <w:rsid w:val="00F07A8E"/>
    <w:rsid w:val="00F07AE8"/>
    <w:rsid w:val="00F07C0F"/>
    <w:rsid w:val="00F07C29"/>
    <w:rsid w:val="00F07C8B"/>
    <w:rsid w:val="00F07C95"/>
    <w:rsid w:val="00F07CFA"/>
    <w:rsid w:val="00F07D1D"/>
    <w:rsid w:val="00F07D29"/>
    <w:rsid w:val="00F07EB5"/>
    <w:rsid w:val="00F07EE1"/>
    <w:rsid w:val="00F07F1B"/>
    <w:rsid w:val="00F07F55"/>
    <w:rsid w:val="00F07FE1"/>
    <w:rsid w:val="00F07FF4"/>
    <w:rsid w:val="00F10046"/>
    <w:rsid w:val="00F101FE"/>
    <w:rsid w:val="00F1025B"/>
    <w:rsid w:val="00F1027B"/>
    <w:rsid w:val="00F102B4"/>
    <w:rsid w:val="00F10341"/>
    <w:rsid w:val="00F10388"/>
    <w:rsid w:val="00F103D4"/>
    <w:rsid w:val="00F104F6"/>
    <w:rsid w:val="00F1054C"/>
    <w:rsid w:val="00F1059D"/>
    <w:rsid w:val="00F1063A"/>
    <w:rsid w:val="00F106CA"/>
    <w:rsid w:val="00F10753"/>
    <w:rsid w:val="00F107A0"/>
    <w:rsid w:val="00F1080E"/>
    <w:rsid w:val="00F108DD"/>
    <w:rsid w:val="00F1090A"/>
    <w:rsid w:val="00F10934"/>
    <w:rsid w:val="00F10966"/>
    <w:rsid w:val="00F10970"/>
    <w:rsid w:val="00F10A3D"/>
    <w:rsid w:val="00F10A43"/>
    <w:rsid w:val="00F10A4C"/>
    <w:rsid w:val="00F10A78"/>
    <w:rsid w:val="00F10AF2"/>
    <w:rsid w:val="00F10B70"/>
    <w:rsid w:val="00F10BB4"/>
    <w:rsid w:val="00F10BD5"/>
    <w:rsid w:val="00F10C0E"/>
    <w:rsid w:val="00F10C37"/>
    <w:rsid w:val="00F10C7E"/>
    <w:rsid w:val="00F10C81"/>
    <w:rsid w:val="00F10CE7"/>
    <w:rsid w:val="00F10D0A"/>
    <w:rsid w:val="00F10D0F"/>
    <w:rsid w:val="00F10E1D"/>
    <w:rsid w:val="00F10FDF"/>
    <w:rsid w:val="00F11021"/>
    <w:rsid w:val="00F11073"/>
    <w:rsid w:val="00F11093"/>
    <w:rsid w:val="00F110D5"/>
    <w:rsid w:val="00F111D2"/>
    <w:rsid w:val="00F11327"/>
    <w:rsid w:val="00F11390"/>
    <w:rsid w:val="00F113A5"/>
    <w:rsid w:val="00F1150E"/>
    <w:rsid w:val="00F11516"/>
    <w:rsid w:val="00F115CC"/>
    <w:rsid w:val="00F117EE"/>
    <w:rsid w:val="00F117F0"/>
    <w:rsid w:val="00F11833"/>
    <w:rsid w:val="00F11840"/>
    <w:rsid w:val="00F1198A"/>
    <w:rsid w:val="00F11A3E"/>
    <w:rsid w:val="00F11A72"/>
    <w:rsid w:val="00F11B25"/>
    <w:rsid w:val="00F11BEC"/>
    <w:rsid w:val="00F11BF5"/>
    <w:rsid w:val="00F11C20"/>
    <w:rsid w:val="00F11CCC"/>
    <w:rsid w:val="00F11DC1"/>
    <w:rsid w:val="00F11DC4"/>
    <w:rsid w:val="00F11E4A"/>
    <w:rsid w:val="00F11E6D"/>
    <w:rsid w:val="00F11E7E"/>
    <w:rsid w:val="00F11EC1"/>
    <w:rsid w:val="00F11EE2"/>
    <w:rsid w:val="00F11F39"/>
    <w:rsid w:val="00F11F75"/>
    <w:rsid w:val="00F11F89"/>
    <w:rsid w:val="00F11FC9"/>
    <w:rsid w:val="00F120D8"/>
    <w:rsid w:val="00F121AC"/>
    <w:rsid w:val="00F121D0"/>
    <w:rsid w:val="00F12203"/>
    <w:rsid w:val="00F12256"/>
    <w:rsid w:val="00F12341"/>
    <w:rsid w:val="00F123B1"/>
    <w:rsid w:val="00F12417"/>
    <w:rsid w:val="00F12419"/>
    <w:rsid w:val="00F1248C"/>
    <w:rsid w:val="00F125A1"/>
    <w:rsid w:val="00F1263A"/>
    <w:rsid w:val="00F1263D"/>
    <w:rsid w:val="00F126C5"/>
    <w:rsid w:val="00F12717"/>
    <w:rsid w:val="00F12732"/>
    <w:rsid w:val="00F1277B"/>
    <w:rsid w:val="00F127B8"/>
    <w:rsid w:val="00F127E9"/>
    <w:rsid w:val="00F128A6"/>
    <w:rsid w:val="00F128AA"/>
    <w:rsid w:val="00F128F4"/>
    <w:rsid w:val="00F128FA"/>
    <w:rsid w:val="00F128FC"/>
    <w:rsid w:val="00F12908"/>
    <w:rsid w:val="00F129DD"/>
    <w:rsid w:val="00F12A44"/>
    <w:rsid w:val="00F12A87"/>
    <w:rsid w:val="00F12AE8"/>
    <w:rsid w:val="00F12B13"/>
    <w:rsid w:val="00F12B20"/>
    <w:rsid w:val="00F12B42"/>
    <w:rsid w:val="00F12BA6"/>
    <w:rsid w:val="00F12C45"/>
    <w:rsid w:val="00F12CE4"/>
    <w:rsid w:val="00F12D10"/>
    <w:rsid w:val="00F12E24"/>
    <w:rsid w:val="00F12E3A"/>
    <w:rsid w:val="00F12E70"/>
    <w:rsid w:val="00F12ECC"/>
    <w:rsid w:val="00F12F3C"/>
    <w:rsid w:val="00F12F98"/>
    <w:rsid w:val="00F12F99"/>
    <w:rsid w:val="00F1309F"/>
    <w:rsid w:val="00F130C8"/>
    <w:rsid w:val="00F131CB"/>
    <w:rsid w:val="00F13233"/>
    <w:rsid w:val="00F13235"/>
    <w:rsid w:val="00F133C3"/>
    <w:rsid w:val="00F13426"/>
    <w:rsid w:val="00F13455"/>
    <w:rsid w:val="00F1356B"/>
    <w:rsid w:val="00F1358E"/>
    <w:rsid w:val="00F135C7"/>
    <w:rsid w:val="00F135DB"/>
    <w:rsid w:val="00F13605"/>
    <w:rsid w:val="00F1373D"/>
    <w:rsid w:val="00F137DE"/>
    <w:rsid w:val="00F1387D"/>
    <w:rsid w:val="00F139CA"/>
    <w:rsid w:val="00F139FD"/>
    <w:rsid w:val="00F13A1B"/>
    <w:rsid w:val="00F13B9A"/>
    <w:rsid w:val="00F13BC0"/>
    <w:rsid w:val="00F13C1A"/>
    <w:rsid w:val="00F13C68"/>
    <w:rsid w:val="00F13CD0"/>
    <w:rsid w:val="00F13CDF"/>
    <w:rsid w:val="00F13DE3"/>
    <w:rsid w:val="00F13E04"/>
    <w:rsid w:val="00F13E58"/>
    <w:rsid w:val="00F13E9B"/>
    <w:rsid w:val="00F13F9A"/>
    <w:rsid w:val="00F13FEC"/>
    <w:rsid w:val="00F1400D"/>
    <w:rsid w:val="00F14035"/>
    <w:rsid w:val="00F1419C"/>
    <w:rsid w:val="00F141A4"/>
    <w:rsid w:val="00F14252"/>
    <w:rsid w:val="00F14296"/>
    <w:rsid w:val="00F142B1"/>
    <w:rsid w:val="00F142B9"/>
    <w:rsid w:val="00F142E2"/>
    <w:rsid w:val="00F142E7"/>
    <w:rsid w:val="00F142FD"/>
    <w:rsid w:val="00F142FE"/>
    <w:rsid w:val="00F1430D"/>
    <w:rsid w:val="00F14391"/>
    <w:rsid w:val="00F143B8"/>
    <w:rsid w:val="00F14426"/>
    <w:rsid w:val="00F144A8"/>
    <w:rsid w:val="00F144E6"/>
    <w:rsid w:val="00F14542"/>
    <w:rsid w:val="00F14576"/>
    <w:rsid w:val="00F14802"/>
    <w:rsid w:val="00F1480A"/>
    <w:rsid w:val="00F14881"/>
    <w:rsid w:val="00F148CD"/>
    <w:rsid w:val="00F149DC"/>
    <w:rsid w:val="00F149EE"/>
    <w:rsid w:val="00F149F7"/>
    <w:rsid w:val="00F14A27"/>
    <w:rsid w:val="00F14AFF"/>
    <w:rsid w:val="00F14BDF"/>
    <w:rsid w:val="00F14C41"/>
    <w:rsid w:val="00F14CCC"/>
    <w:rsid w:val="00F14D27"/>
    <w:rsid w:val="00F14D92"/>
    <w:rsid w:val="00F14DCE"/>
    <w:rsid w:val="00F14E63"/>
    <w:rsid w:val="00F14F2F"/>
    <w:rsid w:val="00F14F32"/>
    <w:rsid w:val="00F14F36"/>
    <w:rsid w:val="00F15130"/>
    <w:rsid w:val="00F151BD"/>
    <w:rsid w:val="00F151CB"/>
    <w:rsid w:val="00F151F3"/>
    <w:rsid w:val="00F1524E"/>
    <w:rsid w:val="00F1531C"/>
    <w:rsid w:val="00F153AF"/>
    <w:rsid w:val="00F1545B"/>
    <w:rsid w:val="00F15487"/>
    <w:rsid w:val="00F15492"/>
    <w:rsid w:val="00F154FD"/>
    <w:rsid w:val="00F1550B"/>
    <w:rsid w:val="00F1555B"/>
    <w:rsid w:val="00F155BE"/>
    <w:rsid w:val="00F155DD"/>
    <w:rsid w:val="00F1560D"/>
    <w:rsid w:val="00F15641"/>
    <w:rsid w:val="00F1564A"/>
    <w:rsid w:val="00F15688"/>
    <w:rsid w:val="00F156A4"/>
    <w:rsid w:val="00F15767"/>
    <w:rsid w:val="00F15769"/>
    <w:rsid w:val="00F157E2"/>
    <w:rsid w:val="00F15880"/>
    <w:rsid w:val="00F158B6"/>
    <w:rsid w:val="00F15904"/>
    <w:rsid w:val="00F15A36"/>
    <w:rsid w:val="00F15A52"/>
    <w:rsid w:val="00F15AC0"/>
    <w:rsid w:val="00F15ADD"/>
    <w:rsid w:val="00F15C7F"/>
    <w:rsid w:val="00F15CB2"/>
    <w:rsid w:val="00F15CC7"/>
    <w:rsid w:val="00F15CC9"/>
    <w:rsid w:val="00F15E1E"/>
    <w:rsid w:val="00F15E29"/>
    <w:rsid w:val="00F15E4C"/>
    <w:rsid w:val="00F16144"/>
    <w:rsid w:val="00F161D9"/>
    <w:rsid w:val="00F162D7"/>
    <w:rsid w:val="00F1638B"/>
    <w:rsid w:val="00F1658D"/>
    <w:rsid w:val="00F165BC"/>
    <w:rsid w:val="00F16614"/>
    <w:rsid w:val="00F166E5"/>
    <w:rsid w:val="00F16735"/>
    <w:rsid w:val="00F16800"/>
    <w:rsid w:val="00F168DD"/>
    <w:rsid w:val="00F16950"/>
    <w:rsid w:val="00F169C4"/>
    <w:rsid w:val="00F169D5"/>
    <w:rsid w:val="00F16B02"/>
    <w:rsid w:val="00F16B66"/>
    <w:rsid w:val="00F16BA8"/>
    <w:rsid w:val="00F16CBC"/>
    <w:rsid w:val="00F16D22"/>
    <w:rsid w:val="00F16DC8"/>
    <w:rsid w:val="00F16E9F"/>
    <w:rsid w:val="00F16EA0"/>
    <w:rsid w:val="00F16F69"/>
    <w:rsid w:val="00F17075"/>
    <w:rsid w:val="00F170BE"/>
    <w:rsid w:val="00F17141"/>
    <w:rsid w:val="00F17185"/>
    <w:rsid w:val="00F171D1"/>
    <w:rsid w:val="00F171FD"/>
    <w:rsid w:val="00F1734A"/>
    <w:rsid w:val="00F1736B"/>
    <w:rsid w:val="00F174FC"/>
    <w:rsid w:val="00F17509"/>
    <w:rsid w:val="00F1750D"/>
    <w:rsid w:val="00F1758E"/>
    <w:rsid w:val="00F175F0"/>
    <w:rsid w:val="00F1763E"/>
    <w:rsid w:val="00F17683"/>
    <w:rsid w:val="00F17737"/>
    <w:rsid w:val="00F177BC"/>
    <w:rsid w:val="00F17809"/>
    <w:rsid w:val="00F1780B"/>
    <w:rsid w:val="00F1785B"/>
    <w:rsid w:val="00F178D4"/>
    <w:rsid w:val="00F179A0"/>
    <w:rsid w:val="00F17A1D"/>
    <w:rsid w:val="00F17A88"/>
    <w:rsid w:val="00F17AD7"/>
    <w:rsid w:val="00F17B24"/>
    <w:rsid w:val="00F17B47"/>
    <w:rsid w:val="00F17BBF"/>
    <w:rsid w:val="00F17CCA"/>
    <w:rsid w:val="00F17CCE"/>
    <w:rsid w:val="00F17D8B"/>
    <w:rsid w:val="00F17DC6"/>
    <w:rsid w:val="00F17DF5"/>
    <w:rsid w:val="00F17E37"/>
    <w:rsid w:val="00F17EDA"/>
    <w:rsid w:val="00F17F3A"/>
    <w:rsid w:val="00F17F6C"/>
    <w:rsid w:val="00F20013"/>
    <w:rsid w:val="00F20065"/>
    <w:rsid w:val="00F200D0"/>
    <w:rsid w:val="00F200E5"/>
    <w:rsid w:val="00F20140"/>
    <w:rsid w:val="00F20175"/>
    <w:rsid w:val="00F20337"/>
    <w:rsid w:val="00F20398"/>
    <w:rsid w:val="00F204D3"/>
    <w:rsid w:val="00F2056E"/>
    <w:rsid w:val="00F2063E"/>
    <w:rsid w:val="00F206D6"/>
    <w:rsid w:val="00F206DC"/>
    <w:rsid w:val="00F20733"/>
    <w:rsid w:val="00F20786"/>
    <w:rsid w:val="00F20791"/>
    <w:rsid w:val="00F2098C"/>
    <w:rsid w:val="00F209C4"/>
    <w:rsid w:val="00F20B5D"/>
    <w:rsid w:val="00F20B63"/>
    <w:rsid w:val="00F20B6B"/>
    <w:rsid w:val="00F20BEC"/>
    <w:rsid w:val="00F20C66"/>
    <w:rsid w:val="00F20D8F"/>
    <w:rsid w:val="00F20DAC"/>
    <w:rsid w:val="00F20E21"/>
    <w:rsid w:val="00F20E2D"/>
    <w:rsid w:val="00F20E42"/>
    <w:rsid w:val="00F20E72"/>
    <w:rsid w:val="00F20E9C"/>
    <w:rsid w:val="00F20F4B"/>
    <w:rsid w:val="00F21108"/>
    <w:rsid w:val="00F211E4"/>
    <w:rsid w:val="00F21246"/>
    <w:rsid w:val="00F21269"/>
    <w:rsid w:val="00F21291"/>
    <w:rsid w:val="00F2143F"/>
    <w:rsid w:val="00F214D0"/>
    <w:rsid w:val="00F2152B"/>
    <w:rsid w:val="00F2154F"/>
    <w:rsid w:val="00F215D1"/>
    <w:rsid w:val="00F21678"/>
    <w:rsid w:val="00F216DB"/>
    <w:rsid w:val="00F21711"/>
    <w:rsid w:val="00F21719"/>
    <w:rsid w:val="00F2173D"/>
    <w:rsid w:val="00F21753"/>
    <w:rsid w:val="00F217BD"/>
    <w:rsid w:val="00F217CD"/>
    <w:rsid w:val="00F2189D"/>
    <w:rsid w:val="00F218CE"/>
    <w:rsid w:val="00F21902"/>
    <w:rsid w:val="00F21991"/>
    <w:rsid w:val="00F21B5D"/>
    <w:rsid w:val="00F21B6D"/>
    <w:rsid w:val="00F21C41"/>
    <w:rsid w:val="00F21CF1"/>
    <w:rsid w:val="00F21D58"/>
    <w:rsid w:val="00F21DB5"/>
    <w:rsid w:val="00F21E61"/>
    <w:rsid w:val="00F21E70"/>
    <w:rsid w:val="00F21EA2"/>
    <w:rsid w:val="00F21ED9"/>
    <w:rsid w:val="00F21F1E"/>
    <w:rsid w:val="00F21F22"/>
    <w:rsid w:val="00F21F5E"/>
    <w:rsid w:val="00F2203F"/>
    <w:rsid w:val="00F220BC"/>
    <w:rsid w:val="00F220DD"/>
    <w:rsid w:val="00F221C7"/>
    <w:rsid w:val="00F2220C"/>
    <w:rsid w:val="00F222D3"/>
    <w:rsid w:val="00F22323"/>
    <w:rsid w:val="00F223EC"/>
    <w:rsid w:val="00F2244A"/>
    <w:rsid w:val="00F224B0"/>
    <w:rsid w:val="00F22509"/>
    <w:rsid w:val="00F22530"/>
    <w:rsid w:val="00F22547"/>
    <w:rsid w:val="00F2255A"/>
    <w:rsid w:val="00F2258E"/>
    <w:rsid w:val="00F2259F"/>
    <w:rsid w:val="00F225A4"/>
    <w:rsid w:val="00F225B2"/>
    <w:rsid w:val="00F225C9"/>
    <w:rsid w:val="00F22609"/>
    <w:rsid w:val="00F2265B"/>
    <w:rsid w:val="00F2272C"/>
    <w:rsid w:val="00F227FB"/>
    <w:rsid w:val="00F22849"/>
    <w:rsid w:val="00F22870"/>
    <w:rsid w:val="00F22886"/>
    <w:rsid w:val="00F229A4"/>
    <w:rsid w:val="00F229F4"/>
    <w:rsid w:val="00F229FB"/>
    <w:rsid w:val="00F22A81"/>
    <w:rsid w:val="00F22AD2"/>
    <w:rsid w:val="00F22AD9"/>
    <w:rsid w:val="00F22B68"/>
    <w:rsid w:val="00F22BFD"/>
    <w:rsid w:val="00F22CB7"/>
    <w:rsid w:val="00F22CD8"/>
    <w:rsid w:val="00F22CF2"/>
    <w:rsid w:val="00F22D10"/>
    <w:rsid w:val="00F22D3A"/>
    <w:rsid w:val="00F22D43"/>
    <w:rsid w:val="00F22DD9"/>
    <w:rsid w:val="00F22E5C"/>
    <w:rsid w:val="00F22E90"/>
    <w:rsid w:val="00F22EF0"/>
    <w:rsid w:val="00F22F08"/>
    <w:rsid w:val="00F2307A"/>
    <w:rsid w:val="00F230A9"/>
    <w:rsid w:val="00F2313B"/>
    <w:rsid w:val="00F2315B"/>
    <w:rsid w:val="00F231BD"/>
    <w:rsid w:val="00F232A7"/>
    <w:rsid w:val="00F232B1"/>
    <w:rsid w:val="00F2332F"/>
    <w:rsid w:val="00F233A6"/>
    <w:rsid w:val="00F23415"/>
    <w:rsid w:val="00F23483"/>
    <w:rsid w:val="00F235A1"/>
    <w:rsid w:val="00F23622"/>
    <w:rsid w:val="00F236A7"/>
    <w:rsid w:val="00F23754"/>
    <w:rsid w:val="00F23768"/>
    <w:rsid w:val="00F23778"/>
    <w:rsid w:val="00F238AB"/>
    <w:rsid w:val="00F238C6"/>
    <w:rsid w:val="00F2393F"/>
    <w:rsid w:val="00F23984"/>
    <w:rsid w:val="00F2398E"/>
    <w:rsid w:val="00F239A6"/>
    <w:rsid w:val="00F23A51"/>
    <w:rsid w:val="00F23A68"/>
    <w:rsid w:val="00F23ACC"/>
    <w:rsid w:val="00F23AF4"/>
    <w:rsid w:val="00F23B06"/>
    <w:rsid w:val="00F23B8F"/>
    <w:rsid w:val="00F23C3B"/>
    <w:rsid w:val="00F23C4B"/>
    <w:rsid w:val="00F23D4E"/>
    <w:rsid w:val="00F23DA5"/>
    <w:rsid w:val="00F23EC1"/>
    <w:rsid w:val="00F2402E"/>
    <w:rsid w:val="00F24088"/>
    <w:rsid w:val="00F2414C"/>
    <w:rsid w:val="00F24168"/>
    <w:rsid w:val="00F2417F"/>
    <w:rsid w:val="00F24187"/>
    <w:rsid w:val="00F24201"/>
    <w:rsid w:val="00F24203"/>
    <w:rsid w:val="00F2424E"/>
    <w:rsid w:val="00F242CA"/>
    <w:rsid w:val="00F242D2"/>
    <w:rsid w:val="00F24329"/>
    <w:rsid w:val="00F2433F"/>
    <w:rsid w:val="00F2446C"/>
    <w:rsid w:val="00F24475"/>
    <w:rsid w:val="00F2453D"/>
    <w:rsid w:val="00F245F8"/>
    <w:rsid w:val="00F24607"/>
    <w:rsid w:val="00F2460B"/>
    <w:rsid w:val="00F24663"/>
    <w:rsid w:val="00F2468C"/>
    <w:rsid w:val="00F2468D"/>
    <w:rsid w:val="00F24756"/>
    <w:rsid w:val="00F24757"/>
    <w:rsid w:val="00F24765"/>
    <w:rsid w:val="00F24845"/>
    <w:rsid w:val="00F2489B"/>
    <w:rsid w:val="00F248C1"/>
    <w:rsid w:val="00F248DF"/>
    <w:rsid w:val="00F248E0"/>
    <w:rsid w:val="00F2494C"/>
    <w:rsid w:val="00F24A09"/>
    <w:rsid w:val="00F24A52"/>
    <w:rsid w:val="00F24A7E"/>
    <w:rsid w:val="00F24B1B"/>
    <w:rsid w:val="00F24B60"/>
    <w:rsid w:val="00F24BC5"/>
    <w:rsid w:val="00F24BE7"/>
    <w:rsid w:val="00F24D07"/>
    <w:rsid w:val="00F24E3D"/>
    <w:rsid w:val="00F24E4B"/>
    <w:rsid w:val="00F24E8F"/>
    <w:rsid w:val="00F24F0A"/>
    <w:rsid w:val="00F24F2A"/>
    <w:rsid w:val="00F2500C"/>
    <w:rsid w:val="00F25091"/>
    <w:rsid w:val="00F250FB"/>
    <w:rsid w:val="00F25207"/>
    <w:rsid w:val="00F25227"/>
    <w:rsid w:val="00F25253"/>
    <w:rsid w:val="00F25280"/>
    <w:rsid w:val="00F25283"/>
    <w:rsid w:val="00F25317"/>
    <w:rsid w:val="00F2539E"/>
    <w:rsid w:val="00F25437"/>
    <w:rsid w:val="00F2543D"/>
    <w:rsid w:val="00F254D9"/>
    <w:rsid w:val="00F254ED"/>
    <w:rsid w:val="00F2552B"/>
    <w:rsid w:val="00F2553E"/>
    <w:rsid w:val="00F25552"/>
    <w:rsid w:val="00F255A4"/>
    <w:rsid w:val="00F255DD"/>
    <w:rsid w:val="00F255E4"/>
    <w:rsid w:val="00F25619"/>
    <w:rsid w:val="00F2565D"/>
    <w:rsid w:val="00F25697"/>
    <w:rsid w:val="00F2576F"/>
    <w:rsid w:val="00F257C0"/>
    <w:rsid w:val="00F25899"/>
    <w:rsid w:val="00F258F1"/>
    <w:rsid w:val="00F25A17"/>
    <w:rsid w:val="00F25AD4"/>
    <w:rsid w:val="00F25B46"/>
    <w:rsid w:val="00F25B71"/>
    <w:rsid w:val="00F25BAE"/>
    <w:rsid w:val="00F25C4A"/>
    <w:rsid w:val="00F25CA0"/>
    <w:rsid w:val="00F25CF3"/>
    <w:rsid w:val="00F25D28"/>
    <w:rsid w:val="00F25EF2"/>
    <w:rsid w:val="00F25F02"/>
    <w:rsid w:val="00F25F0D"/>
    <w:rsid w:val="00F25F35"/>
    <w:rsid w:val="00F25F92"/>
    <w:rsid w:val="00F261EC"/>
    <w:rsid w:val="00F261FD"/>
    <w:rsid w:val="00F26237"/>
    <w:rsid w:val="00F262D6"/>
    <w:rsid w:val="00F263EA"/>
    <w:rsid w:val="00F26439"/>
    <w:rsid w:val="00F26524"/>
    <w:rsid w:val="00F26663"/>
    <w:rsid w:val="00F26674"/>
    <w:rsid w:val="00F2671F"/>
    <w:rsid w:val="00F26724"/>
    <w:rsid w:val="00F26727"/>
    <w:rsid w:val="00F26739"/>
    <w:rsid w:val="00F26777"/>
    <w:rsid w:val="00F26803"/>
    <w:rsid w:val="00F268F2"/>
    <w:rsid w:val="00F2698E"/>
    <w:rsid w:val="00F26B77"/>
    <w:rsid w:val="00F26BAB"/>
    <w:rsid w:val="00F26BE7"/>
    <w:rsid w:val="00F26C10"/>
    <w:rsid w:val="00F26C65"/>
    <w:rsid w:val="00F26C6A"/>
    <w:rsid w:val="00F26CAC"/>
    <w:rsid w:val="00F26CD2"/>
    <w:rsid w:val="00F26D57"/>
    <w:rsid w:val="00F26D64"/>
    <w:rsid w:val="00F26D8B"/>
    <w:rsid w:val="00F26DB0"/>
    <w:rsid w:val="00F26E53"/>
    <w:rsid w:val="00F26E82"/>
    <w:rsid w:val="00F26ED9"/>
    <w:rsid w:val="00F26EF2"/>
    <w:rsid w:val="00F27019"/>
    <w:rsid w:val="00F27126"/>
    <w:rsid w:val="00F27150"/>
    <w:rsid w:val="00F271C1"/>
    <w:rsid w:val="00F2722A"/>
    <w:rsid w:val="00F2733F"/>
    <w:rsid w:val="00F2736E"/>
    <w:rsid w:val="00F27432"/>
    <w:rsid w:val="00F27454"/>
    <w:rsid w:val="00F274F1"/>
    <w:rsid w:val="00F27518"/>
    <w:rsid w:val="00F27555"/>
    <w:rsid w:val="00F275DF"/>
    <w:rsid w:val="00F276A2"/>
    <w:rsid w:val="00F276AB"/>
    <w:rsid w:val="00F276E1"/>
    <w:rsid w:val="00F2781E"/>
    <w:rsid w:val="00F27881"/>
    <w:rsid w:val="00F278D1"/>
    <w:rsid w:val="00F27901"/>
    <w:rsid w:val="00F27999"/>
    <w:rsid w:val="00F27AA0"/>
    <w:rsid w:val="00F27B5E"/>
    <w:rsid w:val="00F27B66"/>
    <w:rsid w:val="00F27C2F"/>
    <w:rsid w:val="00F27DA7"/>
    <w:rsid w:val="00F27E21"/>
    <w:rsid w:val="00F27E45"/>
    <w:rsid w:val="00F27EDA"/>
    <w:rsid w:val="00F27F13"/>
    <w:rsid w:val="00F27F7A"/>
    <w:rsid w:val="00F27F95"/>
    <w:rsid w:val="00F30069"/>
    <w:rsid w:val="00F3015B"/>
    <w:rsid w:val="00F3015D"/>
    <w:rsid w:val="00F30183"/>
    <w:rsid w:val="00F30281"/>
    <w:rsid w:val="00F30293"/>
    <w:rsid w:val="00F3039A"/>
    <w:rsid w:val="00F30480"/>
    <w:rsid w:val="00F305CE"/>
    <w:rsid w:val="00F3060B"/>
    <w:rsid w:val="00F306D1"/>
    <w:rsid w:val="00F3071E"/>
    <w:rsid w:val="00F3072D"/>
    <w:rsid w:val="00F307ED"/>
    <w:rsid w:val="00F3082E"/>
    <w:rsid w:val="00F30887"/>
    <w:rsid w:val="00F3088C"/>
    <w:rsid w:val="00F308E6"/>
    <w:rsid w:val="00F30A01"/>
    <w:rsid w:val="00F30A11"/>
    <w:rsid w:val="00F30B23"/>
    <w:rsid w:val="00F30B61"/>
    <w:rsid w:val="00F30B8F"/>
    <w:rsid w:val="00F30BEF"/>
    <w:rsid w:val="00F30C14"/>
    <w:rsid w:val="00F30D04"/>
    <w:rsid w:val="00F30D2D"/>
    <w:rsid w:val="00F30D5E"/>
    <w:rsid w:val="00F30DFF"/>
    <w:rsid w:val="00F30E16"/>
    <w:rsid w:val="00F30E3B"/>
    <w:rsid w:val="00F30E3F"/>
    <w:rsid w:val="00F30F1F"/>
    <w:rsid w:val="00F30F36"/>
    <w:rsid w:val="00F30F5C"/>
    <w:rsid w:val="00F30F8A"/>
    <w:rsid w:val="00F31015"/>
    <w:rsid w:val="00F31110"/>
    <w:rsid w:val="00F3114A"/>
    <w:rsid w:val="00F31152"/>
    <w:rsid w:val="00F311AB"/>
    <w:rsid w:val="00F311B3"/>
    <w:rsid w:val="00F3121D"/>
    <w:rsid w:val="00F3126C"/>
    <w:rsid w:val="00F312D2"/>
    <w:rsid w:val="00F312F6"/>
    <w:rsid w:val="00F3133A"/>
    <w:rsid w:val="00F31448"/>
    <w:rsid w:val="00F31483"/>
    <w:rsid w:val="00F315FF"/>
    <w:rsid w:val="00F3164F"/>
    <w:rsid w:val="00F316BF"/>
    <w:rsid w:val="00F316F7"/>
    <w:rsid w:val="00F31739"/>
    <w:rsid w:val="00F317FF"/>
    <w:rsid w:val="00F31899"/>
    <w:rsid w:val="00F31929"/>
    <w:rsid w:val="00F3198C"/>
    <w:rsid w:val="00F319A7"/>
    <w:rsid w:val="00F319F4"/>
    <w:rsid w:val="00F31A1F"/>
    <w:rsid w:val="00F31A25"/>
    <w:rsid w:val="00F31A54"/>
    <w:rsid w:val="00F31B3C"/>
    <w:rsid w:val="00F31B5F"/>
    <w:rsid w:val="00F31B78"/>
    <w:rsid w:val="00F31CA9"/>
    <w:rsid w:val="00F31F8C"/>
    <w:rsid w:val="00F320F6"/>
    <w:rsid w:val="00F32175"/>
    <w:rsid w:val="00F321B4"/>
    <w:rsid w:val="00F32209"/>
    <w:rsid w:val="00F32275"/>
    <w:rsid w:val="00F3231F"/>
    <w:rsid w:val="00F3235B"/>
    <w:rsid w:val="00F32412"/>
    <w:rsid w:val="00F32498"/>
    <w:rsid w:val="00F324E1"/>
    <w:rsid w:val="00F32526"/>
    <w:rsid w:val="00F32608"/>
    <w:rsid w:val="00F326A0"/>
    <w:rsid w:val="00F327AD"/>
    <w:rsid w:val="00F327C7"/>
    <w:rsid w:val="00F32A42"/>
    <w:rsid w:val="00F32A66"/>
    <w:rsid w:val="00F32A6E"/>
    <w:rsid w:val="00F32AC1"/>
    <w:rsid w:val="00F32B97"/>
    <w:rsid w:val="00F32C40"/>
    <w:rsid w:val="00F32C65"/>
    <w:rsid w:val="00F32CB0"/>
    <w:rsid w:val="00F32D41"/>
    <w:rsid w:val="00F32DA9"/>
    <w:rsid w:val="00F32DAE"/>
    <w:rsid w:val="00F32EEF"/>
    <w:rsid w:val="00F32F3E"/>
    <w:rsid w:val="00F32F5A"/>
    <w:rsid w:val="00F32F93"/>
    <w:rsid w:val="00F32FE0"/>
    <w:rsid w:val="00F3309A"/>
    <w:rsid w:val="00F330D9"/>
    <w:rsid w:val="00F330EB"/>
    <w:rsid w:val="00F33167"/>
    <w:rsid w:val="00F33185"/>
    <w:rsid w:val="00F33192"/>
    <w:rsid w:val="00F331D7"/>
    <w:rsid w:val="00F3320E"/>
    <w:rsid w:val="00F3326B"/>
    <w:rsid w:val="00F33297"/>
    <w:rsid w:val="00F33313"/>
    <w:rsid w:val="00F3336C"/>
    <w:rsid w:val="00F333B3"/>
    <w:rsid w:val="00F333E4"/>
    <w:rsid w:val="00F33442"/>
    <w:rsid w:val="00F33480"/>
    <w:rsid w:val="00F33486"/>
    <w:rsid w:val="00F334CE"/>
    <w:rsid w:val="00F33549"/>
    <w:rsid w:val="00F335FA"/>
    <w:rsid w:val="00F3364A"/>
    <w:rsid w:val="00F3365D"/>
    <w:rsid w:val="00F33690"/>
    <w:rsid w:val="00F336E5"/>
    <w:rsid w:val="00F33739"/>
    <w:rsid w:val="00F33783"/>
    <w:rsid w:val="00F3378F"/>
    <w:rsid w:val="00F337B0"/>
    <w:rsid w:val="00F3380F"/>
    <w:rsid w:val="00F3398D"/>
    <w:rsid w:val="00F339A7"/>
    <w:rsid w:val="00F339E8"/>
    <w:rsid w:val="00F33AC0"/>
    <w:rsid w:val="00F33AC7"/>
    <w:rsid w:val="00F33C16"/>
    <w:rsid w:val="00F33D28"/>
    <w:rsid w:val="00F33D49"/>
    <w:rsid w:val="00F33E4C"/>
    <w:rsid w:val="00F33EDE"/>
    <w:rsid w:val="00F33F45"/>
    <w:rsid w:val="00F33FA9"/>
    <w:rsid w:val="00F3400B"/>
    <w:rsid w:val="00F3408C"/>
    <w:rsid w:val="00F3416B"/>
    <w:rsid w:val="00F3424B"/>
    <w:rsid w:val="00F342DC"/>
    <w:rsid w:val="00F34345"/>
    <w:rsid w:val="00F34379"/>
    <w:rsid w:val="00F3437C"/>
    <w:rsid w:val="00F34386"/>
    <w:rsid w:val="00F343E5"/>
    <w:rsid w:val="00F344C9"/>
    <w:rsid w:val="00F34538"/>
    <w:rsid w:val="00F345CB"/>
    <w:rsid w:val="00F3468A"/>
    <w:rsid w:val="00F346CE"/>
    <w:rsid w:val="00F3477C"/>
    <w:rsid w:val="00F348F2"/>
    <w:rsid w:val="00F348F8"/>
    <w:rsid w:val="00F349D9"/>
    <w:rsid w:val="00F34A3D"/>
    <w:rsid w:val="00F34A82"/>
    <w:rsid w:val="00F34B35"/>
    <w:rsid w:val="00F34C9F"/>
    <w:rsid w:val="00F34CB0"/>
    <w:rsid w:val="00F34CD3"/>
    <w:rsid w:val="00F34D0A"/>
    <w:rsid w:val="00F34D6F"/>
    <w:rsid w:val="00F34D9F"/>
    <w:rsid w:val="00F34DA8"/>
    <w:rsid w:val="00F34DF4"/>
    <w:rsid w:val="00F34E7B"/>
    <w:rsid w:val="00F34EC3"/>
    <w:rsid w:val="00F34ED7"/>
    <w:rsid w:val="00F34F50"/>
    <w:rsid w:val="00F35065"/>
    <w:rsid w:val="00F350AD"/>
    <w:rsid w:val="00F3511E"/>
    <w:rsid w:val="00F35288"/>
    <w:rsid w:val="00F35328"/>
    <w:rsid w:val="00F353B4"/>
    <w:rsid w:val="00F353FA"/>
    <w:rsid w:val="00F354E5"/>
    <w:rsid w:val="00F355D2"/>
    <w:rsid w:val="00F35618"/>
    <w:rsid w:val="00F3567E"/>
    <w:rsid w:val="00F356CB"/>
    <w:rsid w:val="00F3576D"/>
    <w:rsid w:val="00F3586D"/>
    <w:rsid w:val="00F35890"/>
    <w:rsid w:val="00F35893"/>
    <w:rsid w:val="00F358B5"/>
    <w:rsid w:val="00F35915"/>
    <w:rsid w:val="00F35A00"/>
    <w:rsid w:val="00F35A4D"/>
    <w:rsid w:val="00F35A8E"/>
    <w:rsid w:val="00F35B4C"/>
    <w:rsid w:val="00F35C70"/>
    <w:rsid w:val="00F35D22"/>
    <w:rsid w:val="00F35D6F"/>
    <w:rsid w:val="00F35DF4"/>
    <w:rsid w:val="00F35E57"/>
    <w:rsid w:val="00F35EE7"/>
    <w:rsid w:val="00F35F00"/>
    <w:rsid w:val="00F35F2C"/>
    <w:rsid w:val="00F360AA"/>
    <w:rsid w:val="00F3610B"/>
    <w:rsid w:val="00F363A9"/>
    <w:rsid w:val="00F364FD"/>
    <w:rsid w:val="00F3654A"/>
    <w:rsid w:val="00F365BA"/>
    <w:rsid w:val="00F365F8"/>
    <w:rsid w:val="00F366A3"/>
    <w:rsid w:val="00F366CD"/>
    <w:rsid w:val="00F36725"/>
    <w:rsid w:val="00F3676E"/>
    <w:rsid w:val="00F3679A"/>
    <w:rsid w:val="00F367AC"/>
    <w:rsid w:val="00F367E4"/>
    <w:rsid w:val="00F36881"/>
    <w:rsid w:val="00F36887"/>
    <w:rsid w:val="00F36991"/>
    <w:rsid w:val="00F369A1"/>
    <w:rsid w:val="00F36A5B"/>
    <w:rsid w:val="00F36AEE"/>
    <w:rsid w:val="00F36B0B"/>
    <w:rsid w:val="00F36B8C"/>
    <w:rsid w:val="00F36C87"/>
    <w:rsid w:val="00F36CBA"/>
    <w:rsid w:val="00F36E2A"/>
    <w:rsid w:val="00F36E3D"/>
    <w:rsid w:val="00F36E55"/>
    <w:rsid w:val="00F36E5D"/>
    <w:rsid w:val="00F36E8D"/>
    <w:rsid w:val="00F36F9E"/>
    <w:rsid w:val="00F37099"/>
    <w:rsid w:val="00F370C6"/>
    <w:rsid w:val="00F37114"/>
    <w:rsid w:val="00F37244"/>
    <w:rsid w:val="00F37276"/>
    <w:rsid w:val="00F37318"/>
    <w:rsid w:val="00F373F0"/>
    <w:rsid w:val="00F3758D"/>
    <w:rsid w:val="00F376DE"/>
    <w:rsid w:val="00F37744"/>
    <w:rsid w:val="00F377C9"/>
    <w:rsid w:val="00F377F3"/>
    <w:rsid w:val="00F3781C"/>
    <w:rsid w:val="00F37830"/>
    <w:rsid w:val="00F3788D"/>
    <w:rsid w:val="00F37896"/>
    <w:rsid w:val="00F37973"/>
    <w:rsid w:val="00F3797D"/>
    <w:rsid w:val="00F37A02"/>
    <w:rsid w:val="00F37C5F"/>
    <w:rsid w:val="00F37D22"/>
    <w:rsid w:val="00F37D2E"/>
    <w:rsid w:val="00F37D6C"/>
    <w:rsid w:val="00F37D7B"/>
    <w:rsid w:val="00F37DB4"/>
    <w:rsid w:val="00F37E71"/>
    <w:rsid w:val="00F37EDC"/>
    <w:rsid w:val="00F37F4A"/>
    <w:rsid w:val="00F37FB1"/>
    <w:rsid w:val="00F4000C"/>
    <w:rsid w:val="00F40054"/>
    <w:rsid w:val="00F4007F"/>
    <w:rsid w:val="00F40143"/>
    <w:rsid w:val="00F40179"/>
    <w:rsid w:val="00F401C1"/>
    <w:rsid w:val="00F401C3"/>
    <w:rsid w:val="00F401EE"/>
    <w:rsid w:val="00F4037C"/>
    <w:rsid w:val="00F403F1"/>
    <w:rsid w:val="00F404C1"/>
    <w:rsid w:val="00F404E7"/>
    <w:rsid w:val="00F4052C"/>
    <w:rsid w:val="00F40584"/>
    <w:rsid w:val="00F405C4"/>
    <w:rsid w:val="00F4070D"/>
    <w:rsid w:val="00F40711"/>
    <w:rsid w:val="00F407A2"/>
    <w:rsid w:val="00F408A7"/>
    <w:rsid w:val="00F408F9"/>
    <w:rsid w:val="00F40932"/>
    <w:rsid w:val="00F40969"/>
    <w:rsid w:val="00F4097E"/>
    <w:rsid w:val="00F40995"/>
    <w:rsid w:val="00F409FE"/>
    <w:rsid w:val="00F40A2E"/>
    <w:rsid w:val="00F40B3F"/>
    <w:rsid w:val="00F40BBF"/>
    <w:rsid w:val="00F40BD1"/>
    <w:rsid w:val="00F40C6C"/>
    <w:rsid w:val="00F40C84"/>
    <w:rsid w:val="00F40C99"/>
    <w:rsid w:val="00F40CFF"/>
    <w:rsid w:val="00F40D3B"/>
    <w:rsid w:val="00F40D68"/>
    <w:rsid w:val="00F40DA5"/>
    <w:rsid w:val="00F40DB3"/>
    <w:rsid w:val="00F40E02"/>
    <w:rsid w:val="00F40F77"/>
    <w:rsid w:val="00F41076"/>
    <w:rsid w:val="00F4109C"/>
    <w:rsid w:val="00F410C0"/>
    <w:rsid w:val="00F412B6"/>
    <w:rsid w:val="00F412C7"/>
    <w:rsid w:val="00F412DD"/>
    <w:rsid w:val="00F41316"/>
    <w:rsid w:val="00F41396"/>
    <w:rsid w:val="00F413F9"/>
    <w:rsid w:val="00F4146B"/>
    <w:rsid w:val="00F41596"/>
    <w:rsid w:val="00F415AC"/>
    <w:rsid w:val="00F41649"/>
    <w:rsid w:val="00F4165B"/>
    <w:rsid w:val="00F4165D"/>
    <w:rsid w:val="00F41695"/>
    <w:rsid w:val="00F416A7"/>
    <w:rsid w:val="00F416E2"/>
    <w:rsid w:val="00F418BE"/>
    <w:rsid w:val="00F418F2"/>
    <w:rsid w:val="00F4190B"/>
    <w:rsid w:val="00F41915"/>
    <w:rsid w:val="00F41917"/>
    <w:rsid w:val="00F41B00"/>
    <w:rsid w:val="00F41B4A"/>
    <w:rsid w:val="00F41BD8"/>
    <w:rsid w:val="00F41C12"/>
    <w:rsid w:val="00F41CF4"/>
    <w:rsid w:val="00F41D5D"/>
    <w:rsid w:val="00F41D6A"/>
    <w:rsid w:val="00F41DAB"/>
    <w:rsid w:val="00F41E1A"/>
    <w:rsid w:val="00F41E96"/>
    <w:rsid w:val="00F41E9B"/>
    <w:rsid w:val="00F41EFD"/>
    <w:rsid w:val="00F41F48"/>
    <w:rsid w:val="00F41FED"/>
    <w:rsid w:val="00F42021"/>
    <w:rsid w:val="00F42047"/>
    <w:rsid w:val="00F42056"/>
    <w:rsid w:val="00F420B3"/>
    <w:rsid w:val="00F420BB"/>
    <w:rsid w:val="00F4213E"/>
    <w:rsid w:val="00F421DE"/>
    <w:rsid w:val="00F42240"/>
    <w:rsid w:val="00F422A2"/>
    <w:rsid w:val="00F422AC"/>
    <w:rsid w:val="00F4234D"/>
    <w:rsid w:val="00F4238A"/>
    <w:rsid w:val="00F423BB"/>
    <w:rsid w:val="00F42455"/>
    <w:rsid w:val="00F42472"/>
    <w:rsid w:val="00F4248F"/>
    <w:rsid w:val="00F424AB"/>
    <w:rsid w:val="00F424B4"/>
    <w:rsid w:val="00F424D5"/>
    <w:rsid w:val="00F424E9"/>
    <w:rsid w:val="00F42638"/>
    <w:rsid w:val="00F42650"/>
    <w:rsid w:val="00F4269C"/>
    <w:rsid w:val="00F426C9"/>
    <w:rsid w:val="00F42727"/>
    <w:rsid w:val="00F42729"/>
    <w:rsid w:val="00F42755"/>
    <w:rsid w:val="00F427E0"/>
    <w:rsid w:val="00F4297B"/>
    <w:rsid w:val="00F429A5"/>
    <w:rsid w:val="00F42AF7"/>
    <w:rsid w:val="00F42AFC"/>
    <w:rsid w:val="00F42C07"/>
    <w:rsid w:val="00F42C8B"/>
    <w:rsid w:val="00F42D8A"/>
    <w:rsid w:val="00F42EA4"/>
    <w:rsid w:val="00F42F1C"/>
    <w:rsid w:val="00F42F3F"/>
    <w:rsid w:val="00F42F6E"/>
    <w:rsid w:val="00F430EC"/>
    <w:rsid w:val="00F43208"/>
    <w:rsid w:val="00F4322C"/>
    <w:rsid w:val="00F4325F"/>
    <w:rsid w:val="00F4328C"/>
    <w:rsid w:val="00F43621"/>
    <w:rsid w:val="00F437D3"/>
    <w:rsid w:val="00F43961"/>
    <w:rsid w:val="00F4396A"/>
    <w:rsid w:val="00F439A0"/>
    <w:rsid w:val="00F439AA"/>
    <w:rsid w:val="00F43A25"/>
    <w:rsid w:val="00F43A68"/>
    <w:rsid w:val="00F43AAD"/>
    <w:rsid w:val="00F43AE4"/>
    <w:rsid w:val="00F43C1A"/>
    <w:rsid w:val="00F43C74"/>
    <w:rsid w:val="00F43E66"/>
    <w:rsid w:val="00F43E70"/>
    <w:rsid w:val="00F43EB7"/>
    <w:rsid w:val="00F43F1D"/>
    <w:rsid w:val="00F44006"/>
    <w:rsid w:val="00F44038"/>
    <w:rsid w:val="00F44175"/>
    <w:rsid w:val="00F441CC"/>
    <w:rsid w:val="00F44246"/>
    <w:rsid w:val="00F4424F"/>
    <w:rsid w:val="00F4425B"/>
    <w:rsid w:val="00F442A6"/>
    <w:rsid w:val="00F442F5"/>
    <w:rsid w:val="00F44559"/>
    <w:rsid w:val="00F445DF"/>
    <w:rsid w:val="00F445F6"/>
    <w:rsid w:val="00F446D0"/>
    <w:rsid w:val="00F4475B"/>
    <w:rsid w:val="00F44865"/>
    <w:rsid w:val="00F44887"/>
    <w:rsid w:val="00F448B2"/>
    <w:rsid w:val="00F44934"/>
    <w:rsid w:val="00F4494A"/>
    <w:rsid w:val="00F449C7"/>
    <w:rsid w:val="00F44A28"/>
    <w:rsid w:val="00F44AB1"/>
    <w:rsid w:val="00F44B05"/>
    <w:rsid w:val="00F44B16"/>
    <w:rsid w:val="00F44B50"/>
    <w:rsid w:val="00F44BAC"/>
    <w:rsid w:val="00F44BB8"/>
    <w:rsid w:val="00F44BD2"/>
    <w:rsid w:val="00F44BFA"/>
    <w:rsid w:val="00F44C29"/>
    <w:rsid w:val="00F44C64"/>
    <w:rsid w:val="00F44CFA"/>
    <w:rsid w:val="00F44D06"/>
    <w:rsid w:val="00F44D19"/>
    <w:rsid w:val="00F44DA5"/>
    <w:rsid w:val="00F44F4B"/>
    <w:rsid w:val="00F44F6E"/>
    <w:rsid w:val="00F44FDA"/>
    <w:rsid w:val="00F45011"/>
    <w:rsid w:val="00F450BD"/>
    <w:rsid w:val="00F450C3"/>
    <w:rsid w:val="00F450FE"/>
    <w:rsid w:val="00F45143"/>
    <w:rsid w:val="00F4522C"/>
    <w:rsid w:val="00F45230"/>
    <w:rsid w:val="00F45232"/>
    <w:rsid w:val="00F45240"/>
    <w:rsid w:val="00F452A6"/>
    <w:rsid w:val="00F45384"/>
    <w:rsid w:val="00F453BD"/>
    <w:rsid w:val="00F453E8"/>
    <w:rsid w:val="00F4549B"/>
    <w:rsid w:val="00F454DC"/>
    <w:rsid w:val="00F45527"/>
    <w:rsid w:val="00F455D5"/>
    <w:rsid w:val="00F4569A"/>
    <w:rsid w:val="00F4569E"/>
    <w:rsid w:val="00F456FD"/>
    <w:rsid w:val="00F457E6"/>
    <w:rsid w:val="00F45858"/>
    <w:rsid w:val="00F45897"/>
    <w:rsid w:val="00F459BD"/>
    <w:rsid w:val="00F459BF"/>
    <w:rsid w:val="00F45A79"/>
    <w:rsid w:val="00F45B84"/>
    <w:rsid w:val="00F45BA3"/>
    <w:rsid w:val="00F45C55"/>
    <w:rsid w:val="00F45D17"/>
    <w:rsid w:val="00F45E65"/>
    <w:rsid w:val="00F45EDC"/>
    <w:rsid w:val="00F45F11"/>
    <w:rsid w:val="00F45F8A"/>
    <w:rsid w:val="00F46075"/>
    <w:rsid w:val="00F4608E"/>
    <w:rsid w:val="00F460A0"/>
    <w:rsid w:val="00F46140"/>
    <w:rsid w:val="00F46237"/>
    <w:rsid w:val="00F4623C"/>
    <w:rsid w:val="00F46316"/>
    <w:rsid w:val="00F463EC"/>
    <w:rsid w:val="00F46418"/>
    <w:rsid w:val="00F46451"/>
    <w:rsid w:val="00F464BD"/>
    <w:rsid w:val="00F4650A"/>
    <w:rsid w:val="00F4651A"/>
    <w:rsid w:val="00F465A4"/>
    <w:rsid w:val="00F465E7"/>
    <w:rsid w:val="00F465EB"/>
    <w:rsid w:val="00F465F6"/>
    <w:rsid w:val="00F465FF"/>
    <w:rsid w:val="00F46634"/>
    <w:rsid w:val="00F4665F"/>
    <w:rsid w:val="00F4668B"/>
    <w:rsid w:val="00F46698"/>
    <w:rsid w:val="00F46718"/>
    <w:rsid w:val="00F46725"/>
    <w:rsid w:val="00F46746"/>
    <w:rsid w:val="00F46814"/>
    <w:rsid w:val="00F468C1"/>
    <w:rsid w:val="00F468D5"/>
    <w:rsid w:val="00F468F2"/>
    <w:rsid w:val="00F46986"/>
    <w:rsid w:val="00F46A03"/>
    <w:rsid w:val="00F46B5A"/>
    <w:rsid w:val="00F46B77"/>
    <w:rsid w:val="00F46BE1"/>
    <w:rsid w:val="00F46C95"/>
    <w:rsid w:val="00F46CDC"/>
    <w:rsid w:val="00F46D18"/>
    <w:rsid w:val="00F46D22"/>
    <w:rsid w:val="00F46D31"/>
    <w:rsid w:val="00F46DF3"/>
    <w:rsid w:val="00F46E2A"/>
    <w:rsid w:val="00F46EF3"/>
    <w:rsid w:val="00F46F25"/>
    <w:rsid w:val="00F47009"/>
    <w:rsid w:val="00F4706C"/>
    <w:rsid w:val="00F4714D"/>
    <w:rsid w:val="00F471D1"/>
    <w:rsid w:val="00F471E3"/>
    <w:rsid w:val="00F471ED"/>
    <w:rsid w:val="00F47327"/>
    <w:rsid w:val="00F4732B"/>
    <w:rsid w:val="00F47377"/>
    <w:rsid w:val="00F47391"/>
    <w:rsid w:val="00F47428"/>
    <w:rsid w:val="00F47452"/>
    <w:rsid w:val="00F47495"/>
    <w:rsid w:val="00F474D8"/>
    <w:rsid w:val="00F474E1"/>
    <w:rsid w:val="00F475DC"/>
    <w:rsid w:val="00F47695"/>
    <w:rsid w:val="00F476DA"/>
    <w:rsid w:val="00F4773B"/>
    <w:rsid w:val="00F47740"/>
    <w:rsid w:val="00F477A5"/>
    <w:rsid w:val="00F477B1"/>
    <w:rsid w:val="00F477E9"/>
    <w:rsid w:val="00F479DD"/>
    <w:rsid w:val="00F47A31"/>
    <w:rsid w:val="00F47B62"/>
    <w:rsid w:val="00F47B74"/>
    <w:rsid w:val="00F47C7F"/>
    <w:rsid w:val="00F47D32"/>
    <w:rsid w:val="00F47D48"/>
    <w:rsid w:val="00F47D59"/>
    <w:rsid w:val="00F47D91"/>
    <w:rsid w:val="00F47DE1"/>
    <w:rsid w:val="00F47DE9"/>
    <w:rsid w:val="00F47E1A"/>
    <w:rsid w:val="00F47E1C"/>
    <w:rsid w:val="00F47E6A"/>
    <w:rsid w:val="00F47F53"/>
    <w:rsid w:val="00F47FD7"/>
    <w:rsid w:val="00F4F06D"/>
    <w:rsid w:val="00F5009E"/>
    <w:rsid w:val="00F50106"/>
    <w:rsid w:val="00F50137"/>
    <w:rsid w:val="00F50152"/>
    <w:rsid w:val="00F5022D"/>
    <w:rsid w:val="00F5027A"/>
    <w:rsid w:val="00F502D0"/>
    <w:rsid w:val="00F5035E"/>
    <w:rsid w:val="00F50373"/>
    <w:rsid w:val="00F50384"/>
    <w:rsid w:val="00F503EA"/>
    <w:rsid w:val="00F50456"/>
    <w:rsid w:val="00F50461"/>
    <w:rsid w:val="00F50529"/>
    <w:rsid w:val="00F505AA"/>
    <w:rsid w:val="00F50649"/>
    <w:rsid w:val="00F50666"/>
    <w:rsid w:val="00F5067E"/>
    <w:rsid w:val="00F5072B"/>
    <w:rsid w:val="00F50807"/>
    <w:rsid w:val="00F5085A"/>
    <w:rsid w:val="00F50884"/>
    <w:rsid w:val="00F50943"/>
    <w:rsid w:val="00F50994"/>
    <w:rsid w:val="00F509D5"/>
    <w:rsid w:val="00F509FA"/>
    <w:rsid w:val="00F50A06"/>
    <w:rsid w:val="00F50A92"/>
    <w:rsid w:val="00F50AF5"/>
    <w:rsid w:val="00F50B89"/>
    <w:rsid w:val="00F50B95"/>
    <w:rsid w:val="00F50BF3"/>
    <w:rsid w:val="00F50CD7"/>
    <w:rsid w:val="00F50CFD"/>
    <w:rsid w:val="00F50D9E"/>
    <w:rsid w:val="00F50FF5"/>
    <w:rsid w:val="00F510B6"/>
    <w:rsid w:val="00F510F8"/>
    <w:rsid w:val="00F5113C"/>
    <w:rsid w:val="00F5114A"/>
    <w:rsid w:val="00F5139E"/>
    <w:rsid w:val="00F513ED"/>
    <w:rsid w:val="00F514C9"/>
    <w:rsid w:val="00F516E4"/>
    <w:rsid w:val="00F5171E"/>
    <w:rsid w:val="00F5175E"/>
    <w:rsid w:val="00F51784"/>
    <w:rsid w:val="00F517C8"/>
    <w:rsid w:val="00F5184B"/>
    <w:rsid w:val="00F51860"/>
    <w:rsid w:val="00F51906"/>
    <w:rsid w:val="00F51938"/>
    <w:rsid w:val="00F5196E"/>
    <w:rsid w:val="00F51AFB"/>
    <w:rsid w:val="00F51B11"/>
    <w:rsid w:val="00F51B14"/>
    <w:rsid w:val="00F51BB8"/>
    <w:rsid w:val="00F51C59"/>
    <w:rsid w:val="00F51D4B"/>
    <w:rsid w:val="00F51D57"/>
    <w:rsid w:val="00F51D72"/>
    <w:rsid w:val="00F51DA4"/>
    <w:rsid w:val="00F51DBB"/>
    <w:rsid w:val="00F51E51"/>
    <w:rsid w:val="00F51EBC"/>
    <w:rsid w:val="00F51F28"/>
    <w:rsid w:val="00F51F3B"/>
    <w:rsid w:val="00F51F75"/>
    <w:rsid w:val="00F51F9C"/>
    <w:rsid w:val="00F5200A"/>
    <w:rsid w:val="00F5201F"/>
    <w:rsid w:val="00F5203C"/>
    <w:rsid w:val="00F52078"/>
    <w:rsid w:val="00F5213A"/>
    <w:rsid w:val="00F521BD"/>
    <w:rsid w:val="00F5222D"/>
    <w:rsid w:val="00F52252"/>
    <w:rsid w:val="00F52259"/>
    <w:rsid w:val="00F52364"/>
    <w:rsid w:val="00F52382"/>
    <w:rsid w:val="00F523B3"/>
    <w:rsid w:val="00F523EB"/>
    <w:rsid w:val="00F52424"/>
    <w:rsid w:val="00F524AC"/>
    <w:rsid w:val="00F524E2"/>
    <w:rsid w:val="00F524F8"/>
    <w:rsid w:val="00F52557"/>
    <w:rsid w:val="00F52609"/>
    <w:rsid w:val="00F5261F"/>
    <w:rsid w:val="00F52652"/>
    <w:rsid w:val="00F526E5"/>
    <w:rsid w:val="00F527FF"/>
    <w:rsid w:val="00F52825"/>
    <w:rsid w:val="00F5285C"/>
    <w:rsid w:val="00F528CC"/>
    <w:rsid w:val="00F52947"/>
    <w:rsid w:val="00F5299D"/>
    <w:rsid w:val="00F52A2B"/>
    <w:rsid w:val="00F52A87"/>
    <w:rsid w:val="00F52BA8"/>
    <w:rsid w:val="00F52CB6"/>
    <w:rsid w:val="00F52E13"/>
    <w:rsid w:val="00F52E26"/>
    <w:rsid w:val="00F52E47"/>
    <w:rsid w:val="00F52E90"/>
    <w:rsid w:val="00F52E95"/>
    <w:rsid w:val="00F52EA3"/>
    <w:rsid w:val="00F52FE3"/>
    <w:rsid w:val="00F52FEE"/>
    <w:rsid w:val="00F53076"/>
    <w:rsid w:val="00F530ED"/>
    <w:rsid w:val="00F530EE"/>
    <w:rsid w:val="00F53123"/>
    <w:rsid w:val="00F53163"/>
    <w:rsid w:val="00F5328A"/>
    <w:rsid w:val="00F5329F"/>
    <w:rsid w:val="00F532ED"/>
    <w:rsid w:val="00F53332"/>
    <w:rsid w:val="00F53395"/>
    <w:rsid w:val="00F53396"/>
    <w:rsid w:val="00F5341E"/>
    <w:rsid w:val="00F53452"/>
    <w:rsid w:val="00F53527"/>
    <w:rsid w:val="00F53535"/>
    <w:rsid w:val="00F53577"/>
    <w:rsid w:val="00F535A1"/>
    <w:rsid w:val="00F53654"/>
    <w:rsid w:val="00F536FE"/>
    <w:rsid w:val="00F53741"/>
    <w:rsid w:val="00F53857"/>
    <w:rsid w:val="00F53933"/>
    <w:rsid w:val="00F5394E"/>
    <w:rsid w:val="00F53AB0"/>
    <w:rsid w:val="00F53ABA"/>
    <w:rsid w:val="00F53D6B"/>
    <w:rsid w:val="00F53EA6"/>
    <w:rsid w:val="00F53ED1"/>
    <w:rsid w:val="00F53EFC"/>
    <w:rsid w:val="00F53FA0"/>
    <w:rsid w:val="00F53FC7"/>
    <w:rsid w:val="00F53FCE"/>
    <w:rsid w:val="00F5402D"/>
    <w:rsid w:val="00F5405B"/>
    <w:rsid w:val="00F54090"/>
    <w:rsid w:val="00F540EE"/>
    <w:rsid w:val="00F54130"/>
    <w:rsid w:val="00F5416E"/>
    <w:rsid w:val="00F54200"/>
    <w:rsid w:val="00F5428B"/>
    <w:rsid w:val="00F543C6"/>
    <w:rsid w:val="00F543FE"/>
    <w:rsid w:val="00F5448D"/>
    <w:rsid w:val="00F544E1"/>
    <w:rsid w:val="00F54539"/>
    <w:rsid w:val="00F5453C"/>
    <w:rsid w:val="00F54560"/>
    <w:rsid w:val="00F54610"/>
    <w:rsid w:val="00F54640"/>
    <w:rsid w:val="00F5484E"/>
    <w:rsid w:val="00F54905"/>
    <w:rsid w:val="00F54931"/>
    <w:rsid w:val="00F549A4"/>
    <w:rsid w:val="00F549B3"/>
    <w:rsid w:val="00F54A11"/>
    <w:rsid w:val="00F54A16"/>
    <w:rsid w:val="00F54A5A"/>
    <w:rsid w:val="00F54BE5"/>
    <w:rsid w:val="00F54BF7"/>
    <w:rsid w:val="00F54CAA"/>
    <w:rsid w:val="00F54CC9"/>
    <w:rsid w:val="00F54D1F"/>
    <w:rsid w:val="00F54D57"/>
    <w:rsid w:val="00F54D5E"/>
    <w:rsid w:val="00F54D90"/>
    <w:rsid w:val="00F54DC2"/>
    <w:rsid w:val="00F54DF3"/>
    <w:rsid w:val="00F54E3E"/>
    <w:rsid w:val="00F54EB9"/>
    <w:rsid w:val="00F54ED1"/>
    <w:rsid w:val="00F54F0F"/>
    <w:rsid w:val="00F54FAA"/>
    <w:rsid w:val="00F55053"/>
    <w:rsid w:val="00F550D2"/>
    <w:rsid w:val="00F55117"/>
    <w:rsid w:val="00F55123"/>
    <w:rsid w:val="00F55126"/>
    <w:rsid w:val="00F55203"/>
    <w:rsid w:val="00F55262"/>
    <w:rsid w:val="00F55279"/>
    <w:rsid w:val="00F55287"/>
    <w:rsid w:val="00F552E7"/>
    <w:rsid w:val="00F552F4"/>
    <w:rsid w:val="00F5530B"/>
    <w:rsid w:val="00F5540A"/>
    <w:rsid w:val="00F5546C"/>
    <w:rsid w:val="00F554A3"/>
    <w:rsid w:val="00F55523"/>
    <w:rsid w:val="00F555DE"/>
    <w:rsid w:val="00F55600"/>
    <w:rsid w:val="00F556D4"/>
    <w:rsid w:val="00F556E5"/>
    <w:rsid w:val="00F55715"/>
    <w:rsid w:val="00F55755"/>
    <w:rsid w:val="00F55768"/>
    <w:rsid w:val="00F557D0"/>
    <w:rsid w:val="00F55803"/>
    <w:rsid w:val="00F558BD"/>
    <w:rsid w:val="00F558D1"/>
    <w:rsid w:val="00F55949"/>
    <w:rsid w:val="00F5597F"/>
    <w:rsid w:val="00F55A00"/>
    <w:rsid w:val="00F55A19"/>
    <w:rsid w:val="00F55A39"/>
    <w:rsid w:val="00F55A8B"/>
    <w:rsid w:val="00F55B7F"/>
    <w:rsid w:val="00F55BD0"/>
    <w:rsid w:val="00F55BEF"/>
    <w:rsid w:val="00F55C3E"/>
    <w:rsid w:val="00F55C71"/>
    <w:rsid w:val="00F55CC6"/>
    <w:rsid w:val="00F55CED"/>
    <w:rsid w:val="00F55CF1"/>
    <w:rsid w:val="00F55D82"/>
    <w:rsid w:val="00F55D95"/>
    <w:rsid w:val="00F55E30"/>
    <w:rsid w:val="00F55F54"/>
    <w:rsid w:val="00F55FAC"/>
    <w:rsid w:val="00F56035"/>
    <w:rsid w:val="00F56146"/>
    <w:rsid w:val="00F5616B"/>
    <w:rsid w:val="00F5632F"/>
    <w:rsid w:val="00F56356"/>
    <w:rsid w:val="00F56392"/>
    <w:rsid w:val="00F56479"/>
    <w:rsid w:val="00F5669A"/>
    <w:rsid w:val="00F566DF"/>
    <w:rsid w:val="00F567B4"/>
    <w:rsid w:val="00F568D9"/>
    <w:rsid w:val="00F5698A"/>
    <w:rsid w:val="00F569E3"/>
    <w:rsid w:val="00F56A1B"/>
    <w:rsid w:val="00F56ACD"/>
    <w:rsid w:val="00F56B20"/>
    <w:rsid w:val="00F56B3D"/>
    <w:rsid w:val="00F56B6C"/>
    <w:rsid w:val="00F56B86"/>
    <w:rsid w:val="00F56BA6"/>
    <w:rsid w:val="00F56BDF"/>
    <w:rsid w:val="00F56C2C"/>
    <w:rsid w:val="00F56C4E"/>
    <w:rsid w:val="00F56C62"/>
    <w:rsid w:val="00F56CAE"/>
    <w:rsid w:val="00F56CB7"/>
    <w:rsid w:val="00F56D20"/>
    <w:rsid w:val="00F56D93"/>
    <w:rsid w:val="00F56DC2"/>
    <w:rsid w:val="00F56E55"/>
    <w:rsid w:val="00F56E58"/>
    <w:rsid w:val="00F56ECE"/>
    <w:rsid w:val="00F57002"/>
    <w:rsid w:val="00F57058"/>
    <w:rsid w:val="00F57061"/>
    <w:rsid w:val="00F5707A"/>
    <w:rsid w:val="00F570E3"/>
    <w:rsid w:val="00F57138"/>
    <w:rsid w:val="00F57191"/>
    <w:rsid w:val="00F571A9"/>
    <w:rsid w:val="00F57218"/>
    <w:rsid w:val="00F5726D"/>
    <w:rsid w:val="00F57290"/>
    <w:rsid w:val="00F572CF"/>
    <w:rsid w:val="00F572D7"/>
    <w:rsid w:val="00F57342"/>
    <w:rsid w:val="00F5736A"/>
    <w:rsid w:val="00F5738E"/>
    <w:rsid w:val="00F57393"/>
    <w:rsid w:val="00F573EE"/>
    <w:rsid w:val="00F574DB"/>
    <w:rsid w:val="00F57694"/>
    <w:rsid w:val="00F5772A"/>
    <w:rsid w:val="00F5772D"/>
    <w:rsid w:val="00F57739"/>
    <w:rsid w:val="00F577D9"/>
    <w:rsid w:val="00F57859"/>
    <w:rsid w:val="00F5788A"/>
    <w:rsid w:val="00F578D6"/>
    <w:rsid w:val="00F5790D"/>
    <w:rsid w:val="00F57924"/>
    <w:rsid w:val="00F57926"/>
    <w:rsid w:val="00F579EE"/>
    <w:rsid w:val="00F57A53"/>
    <w:rsid w:val="00F57A72"/>
    <w:rsid w:val="00F57AE4"/>
    <w:rsid w:val="00F57B6B"/>
    <w:rsid w:val="00F57B8B"/>
    <w:rsid w:val="00F57BFD"/>
    <w:rsid w:val="00F57CE3"/>
    <w:rsid w:val="00F57D17"/>
    <w:rsid w:val="00F57E3E"/>
    <w:rsid w:val="00F57F84"/>
    <w:rsid w:val="00F57F98"/>
    <w:rsid w:val="00F600E9"/>
    <w:rsid w:val="00F60151"/>
    <w:rsid w:val="00F6027D"/>
    <w:rsid w:val="00F6037A"/>
    <w:rsid w:val="00F603F4"/>
    <w:rsid w:val="00F604E8"/>
    <w:rsid w:val="00F6059D"/>
    <w:rsid w:val="00F605B9"/>
    <w:rsid w:val="00F605D4"/>
    <w:rsid w:val="00F60600"/>
    <w:rsid w:val="00F606D0"/>
    <w:rsid w:val="00F606ED"/>
    <w:rsid w:val="00F60724"/>
    <w:rsid w:val="00F607B4"/>
    <w:rsid w:val="00F607D7"/>
    <w:rsid w:val="00F60886"/>
    <w:rsid w:val="00F608BC"/>
    <w:rsid w:val="00F60978"/>
    <w:rsid w:val="00F60A5C"/>
    <w:rsid w:val="00F60A8F"/>
    <w:rsid w:val="00F60AB1"/>
    <w:rsid w:val="00F60B77"/>
    <w:rsid w:val="00F60BA2"/>
    <w:rsid w:val="00F60BC7"/>
    <w:rsid w:val="00F60BE7"/>
    <w:rsid w:val="00F60C49"/>
    <w:rsid w:val="00F60C75"/>
    <w:rsid w:val="00F60E21"/>
    <w:rsid w:val="00F60E4F"/>
    <w:rsid w:val="00F60E7E"/>
    <w:rsid w:val="00F60F52"/>
    <w:rsid w:val="00F60F8F"/>
    <w:rsid w:val="00F60FC6"/>
    <w:rsid w:val="00F61180"/>
    <w:rsid w:val="00F611E0"/>
    <w:rsid w:val="00F61201"/>
    <w:rsid w:val="00F61212"/>
    <w:rsid w:val="00F61243"/>
    <w:rsid w:val="00F61287"/>
    <w:rsid w:val="00F61333"/>
    <w:rsid w:val="00F613B0"/>
    <w:rsid w:val="00F613E7"/>
    <w:rsid w:val="00F6141F"/>
    <w:rsid w:val="00F61440"/>
    <w:rsid w:val="00F614BA"/>
    <w:rsid w:val="00F614C5"/>
    <w:rsid w:val="00F61513"/>
    <w:rsid w:val="00F61551"/>
    <w:rsid w:val="00F61588"/>
    <w:rsid w:val="00F616A1"/>
    <w:rsid w:val="00F616A5"/>
    <w:rsid w:val="00F61726"/>
    <w:rsid w:val="00F6173A"/>
    <w:rsid w:val="00F6176B"/>
    <w:rsid w:val="00F617B1"/>
    <w:rsid w:val="00F6181C"/>
    <w:rsid w:val="00F61850"/>
    <w:rsid w:val="00F61972"/>
    <w:rsid w:val="00F619B1"/>
    <w:rsid w:val="00F619BC"/>
    <w:rsid w:val="00F61B50"/>
    <w:rsid w:val="00F61CDB"/>
    <w:rsid w:val="00F61CF3"/>
    <w:rsid w:val="00F61CFC"/>
    <w:rsid w:val="00F61D3F"/>
    <w:rsid w:val="00F61D54"/>
    <w:rsid w:val="00F61D70"/>
    <w:rsid w:val="00F61E17"/>
    <w:rsid w:val="00F61E8C"/>
    <w:rsid w:val="00F61F1C"/>
    <w:rsid w:val="00F61F89"/>
    <w:rsid w:val="00F61FD1"/>
    <w:rsid w:val="00F62024"/>
    <w:rsid w:val="00F62092"/>
    <w:rsid w:val="00F6220F"/>
    <w:rsid w:val="00F62236"/>
    <w:rsid w:val="00F622C0"/>
    <w:rsid w:val="00F622ED"/>
    <w:rsid w:val="00F62344"/>
    <w:rsid w:val="00F623C4"/>
    <w:rsid w:val="00F6244B"/>
    <w:rsid w:val="00F62472"/>
    <w:rsid w:val="00F624E7"/>
    <w:rsid w:val="00F624FF"/>
    <w:rsid w:val="00F62553"/>
    <w:rsid w:val="00F625A4"/>
    <w:rsid w:val="00F625AC"/>
    <w:rsid w:val="00F626A4"/>
    <w:rsid w:val="00F62876"/>
    <w:rsid w:val="00F62883"/>
    <w:rsid w:val="00F62896"/>
    <w:rsid w:val="00F628EF"/>
    <w:rsid w:val="00F62962"/>
    <w:rsid w:val="00F629E7"/>
    <w:rsid w:val="00F629FE"/>
    <w:rsid w:val="00F62A18"/>
    <w:rsid w:val="00F62A7A"/>
    <w:rsid w:val="00F62AA4"/>
    <w:rsid w:val="00F62B5E"/>
    <w:rsid w:val="00F62BBA"/>
    <w:rsid w:val="00F62CEE"/>
    <w:rsid w:val="00F62DB5"/>
    <w:rsid w:val="00F62DD0"/>
    <w:rsid w:val="00F62E63"/>
    <w:rsid w:val="00F62EDA"/>
    <w:rsid w:val="00F62EF9"/>
    <w:rsid w:val="00F62F30"/>
    <w:rsid w:val="00F62F63"/>
    <w:rsid w:val="00F630C6"/>
    <w:rsid w:val="00F630D6"/>
    <w:rsid w:val="00F6319A"/>
    <w:rsid w:val="00F631BF"/>
    <w:rsid w:val="00F631C2"/>
    <w:rsid w:val="00F631FB"/>
    <w:rsid w:val="00F63268"/>
    <w:rsid w:val="00F6327B"/>
    <w:rsid w:val="00F632BA"/>
    <w:rsid w:val="00F632FC"/>
    <w:rsid w:val="00F634A1"/>
    <w:rsid w:val="00F634C9"/>
    <w:rsid w:val="00F6352B"/>
    <w:rsid w:val="00F635A0"/>
    <w:rsid w:val="00F6361A"/>
    <w:rsid w:val="00F6364E"/>
    <w:rsid w:val="00F6369F"/>
    <w:rsid w:val="00F6373E"/>
    <w:rsid w:val="00F63772"/>
    <w:rsid w:val="00F63879"/>
    <w:rsid w:val="00F63940"/>
    <w:rsid w:val="00F63948"/>
    <w:rsid w:val="00F639CF"/>
    <w:rsid w:val="00F639FF"/>
    <w:rsid w:val="00F63AC1"/>
    <w:rsid w:val="00F63B13"/>
    <w:rsid w:val="00F63B6A"/>
    <w:rsid w:val="00F63B81"/>
    <w:rsid w:val="00F63C34"/>
    <w:rsid w:val="00F63C81"/>
    <w:rsid w:val="00F63D15"/>
    <w:rsid w:val="00F63D6F"/>
    <w:rsid w:val="00F63D79"/>
    <w:rsid w:val="00F63EB6"/>
    <w:rsid w:val="00F63F0F"/>
    <w:rsid w:val="00F63FD5"/>
    <w:rsid w:val="00F640B9"/>
    <w:rsid w:val="00F64126"/>
    <w:rsid w:val="00F6414E"/>
    <w:rsid w:val="00F64160"/>
    <w:rsid w:val="00F641D8"/>
    <w:rsid w:val="00F64211"/>
    <w:rsid w:val="00F6422F"/>
    <w:rsid w:val="00F6424E"/>
    <w:rsid w:val="00F64278"/>
    <w:rsid w:val="00F642F3"/>
    <w:rsid w:val="00F642FB"/>
    <w:rsid w:val="00F64326"/>
    <w:rsid w:val="00F6433F"/>
    <w:rsid w:val="00F6435B"/>
    <w:rsid w:val="00F6438D"/>
    <w:rsid w:val="00F643FB"/>
    <w:rsid w:val="00F6457E"/>
    <w:rsid w:val="00F645FD"/>
    <w:rsid w:val="00F6460B"/>
    <w:rsid w:val="00F6461F"/>
    <w:rsid w:val="00F64624"/>
    <w:rsid w:val="00F64692"/>
    <w:rsid w:val="00F64770"/>
    <w:rsid w:val="00F647F1"/>
    <w:rsid w:val="00F6493B"/>
    <w:rsid w:val="00F64A90"/>
    <w:rsid w:val="00F64ABB"/>
    <w:rsid w:val="00F64AC5"/>
    <w:rsid w:val="00F64AD3"/>
    <w:rsid w:val="00F64B04"/>
    <w:rsid w:val="00F64B3C"/>
    <w:rsid w:val="00F64B75"/>
    <w:rsid w:val="00F64C61"/>
    <w:rsid w:val="00F64C69"/>
    <w:rsid w:val="00F64C75"/>
    <w:rsid w:val="00F64CD0"/>
    <w:rsid w:val="00F64D8D"/>
    <w:rsid w:val="00F64DC4"/>
    <w:rsid w:val="00F64E90"/>
    <w:rsid w:val="00F64EC3"/>
    <w:rsid w:val="00F64F0F"/>
    <w:rsid w:val="00F64F1B"/>
    <w:rsid w:val="00F64F50"/>
    <w:rsid w:val="00F64F83"/>
    <w:rsid w:val="00F64FB0"/>
    <w:rsid w:val="00F64FE5"/>
    <w:rsid w:val="00F64FE6"/>
    <w:rsid w:val="00F6501C"/>
    <w:rsid w:val="00F65043"/>
    <w:rsid w:val="00F651B7"/>
    <w:rsid w:val="00F651DA"/>
    <w:rsid w:val="00F6520C"/>
    <w:rsid w:val="00F65300"/>
    <w:rsid w:val="00F653E3"/>
    <w:rsid w:val="00F653F7"/>
    <w:rsid w:val="00F6547C"/>
    <w:rsid w:val="00F65481"/>
    <w:rsid w:val="00F65498"/>
    <w:rsid w:val="00F654F6"/>
    <w:rsid w:val="00F655AA"/>
    <w:rsid w:val="00F6567E"/>
    <w:rsid w:val="00F6572B"/>
    <w:rsid w:val="00F65769"/>
    <w:rsid w:val="00F657AB"/>
    <w:rsid w:val="00F6581E"/>
    <w:rsid w:val="00F65883"/>
    <w:rsid w:val="00F6595E"/>
    <w:rsid w:val="00F659DF"/>
    <w:rsid w:val="00F65A15"/>
    <w:rsid w:val="00F65B92"/>
    <w:rsid w:val="00F65BB6"/>
    <w:rsid w:val="00F65C48"/>
    <w:rsid w:val="00F65CE4"/>
    <w:rsid w:val="00F65DF7"/>
    <w:rsid w:val="00F65E41"/>
    <w:rsid w:val="00F65EFC"/>
    <w:rsid w:val="00F65F11"/>
    <w:rsid w:val="00F65FEB"/>
    <w:rsid w:val="00F65FF3"/>
    <w:rsid w:val="00F6605C"/>
    <w:rsid w:val="00F660CE"/>
    <w:rsid w:val="00F66141"/>
    <w:rsid w:val="00F66166"/>
    <w:rsid w:val="00F6617B"/>
    <w:rsid w:val="00F6617E"/>
    <w:rsid w:val="00F661D2"/>
    <w:rsid w:val="00F66324"/>
    <w:rsid w:val="00F66331"/>
    <w:rsid w:val="00F664CA"/>
    <w:rsid w:val="00F66543"/>
    <w:rsid w:val="00F66558"/>
    <w:rsid w:val="00F666A3"/>
    <w:rsid w:val="00F667E5"/>
    <w:rsid w:val="00F66865"/>
    <w:rsid w:val="00F66894"/>
    <w:rsid w:val="00F668A2"/>
    <w:rsid w:val="00F668DA"/>
    <w:rsid w:val="00F66931"/>
    <w:rsid w:val="00F66A11"/>
    <w:rsid w:val="00F66A8C"/>
    <w:rsid w:val="00F66AFA"/>
    <w:rsid w:val="00F66B56"/>
    <w:rsid w:val="00F66C23"/>
    <w:rsid w:val="00F66C28"/>
    <w:rsid w:val="00F66CB8"/>
    <w:rsid w:val="00F66CE2"/>
    <w:rsid w:val="00F66DB5"/>
    <w:rsid w:val="00F66DB6"/>
    <w:rsid w:val="00F66E75"/>
    <w:rsid w:val="00F66E7E"/>
    <w:rsid w:val="00F66FEF"/>
    <w:rsid w:val="00F66FF1"/>
    <w:rsid w:val="00F66FF8"/>
    <w:rsid w:val="00F67016"/>
    <w:rsid w:val="00F6702F"/>
    <w:rsid w:val="00F670A9"/>
    <w:rsid w:val="00F670D0"/>
    <w:rsid w:val="00F670F3"/>
    <w:rsid w:val="00F67119"/>
    <w:rsid w:val="00F671CD"/>
    <w:rsid w:val="00F67330"/>
    <w:rsid w:val="00F6733C"/>
    <w:rsid w:val="00F67356"/>
    <w:rsid w:val="00F67364"/>
    <w:rsid w:val="00F673BA"/>
    <w:rsid w:val="00F6743D"/>
    <w:rsid w:val="00F674FE"/>
    <w:rsid w:val="00F675C9"/>
    <w:rsid w:val="00F675D6"/>
    <w:rsid w:val="00F6760D"/>
    <w:rsid w:val="00F6768A"/>
    <w:rsid w:val="00F676A3"/>
    <w:rsid w:val="00F67721"/>
    <w:rsid w:val="00F67791"/>
    <w:rsid w:val="00F678AA"/>
    <w:rsid w:val="00F6797D"/>
    <w:rsid w:val="00F6799A"/>
    <w:rsid w:val="00F679DA"/>
    <w:rsid w:val="00F679EB"/>
    <w:rsid w:val="00F679ED"/>
    <w:rsid w:val="00F67A52"/>
    <w:rsid w:val="00F67AA3"/>
    <w:rsid w:val="00F67AE5"/>
    <w:rsid w:val="00F67B22"/>
    <w:rsid w:val="00F67CDB"/>
    <w:rsid w:val="00F67D29"/>
    <w:rsid w:val="00F67DCC"/>
    <w:rsid w:val="00F67E12"/>
    <w:rsid w:val="00F67E64"/>
    <w:rsid w:val="00F67E81"/>
    <w:rsid w:val="00F67EEC"/>
    <w:rsid w:val="00F67F90"/>
    <w:rsid w:val="00F7002E"/>
    <w:rsid w:val="00F70032"/>
    <w:rsid w:val="00F7004E"/>
    <w:rsid w:val="00F70062"/>
    <w:rsid w:val="00F700EF"/>
    <w:rsid w:val="00F70101"/>
    <w:rsid w:val="00F701DB"/>
    <w:rsid w:val="00F70296"/>
    <w:rsid w:val="00F702A8"/>
    <w:rsid w:val="00F70501"/>
    <w:rsid w:val="00F705C2"/>
    <w:rsid w:val="00F7067E"/>
    <w:rsid w:val="00F706EB"/>
    <w:rsid w:val="00F706F7"/>
    <w:rsid w:val="00F70720"/>
    <w:rsid w:val="00F707C9"/>
    <w:rsid w:val="00F7085E"/>
    <w:rsid w:val="00F708C6"/>
    <w:rsid w:val="00F708E9"/>
    <w:rsid w:val="00F70AFA"/>
    <w:rsid w:val="00F70BBF"/>
    <w:rsid w:val="00F70BDB"/>
    <w:rsid w:val="00F70CC9"/>
    <w:rsid w:val="00F70D05"/>
    <w:rsid w:val="00F70D64"/>
    <w:rsid w:val="00F70D86"/>
    <w:rsid w:val="00F70DB0"/>
    <w:rsid w:val="00F70DB2"/>
    <w:rsid w:val="00F70DF3"/>
    <w:rsid w:val="00F710FE"/>
    <w:rsid w:val="00F71302"/>
    <w:rsid w:val="00F71345"/>
    <w:rsid w:val="00F71392"/>
    <w:rsid w:val="00F7140E"/>
    <w:rsid w:val="00F71468"/>
    <w:rsid w:val="00F714EE"/>
    <w:rsid w:val="00F71581"/>
    <w:rsid w:val="00F715B0"/>
    <w:rsid w:val="00F715B8"/>
    <w:rsid w:val="00F715F9"/>
    <w:rsid w:val="00F7164A"/>
    <w:rsid w:val="00F716E0"/>
    <w:rsid w:val="00F71748"/>
    <w:rsid w:val="00F71862"/>
    <w:rsid w:val="00F718AF"/>
    <w:rsid w:val="00F718CD"/>
    <w:rsid w:val="00F71967"/>
    <w:rsid w:val="00F71A3E"/>
    <w:rsid w:val="00F71A64"/>
    <w:rsid w:val="00F71AE0"/>
    <w:rsid w:val="00F71B7E"/>
    <w:rsid w:val="00F71C9F"/>
    <w:rsid w:val="00F71CB1"/>
    <w:rsid w:val="00F71D7E"/>
    <w:rsid w:val="00F71DB1"/>
    <w:rsid w:val="00F71DEB"/>
    <w:rsid w:val="00F71E23"/>
    <w:rsid w:val="00F71E2B"/>
    <w:rsid w:val="00F71E31"/>
    <w:rsid w:val="00F71E58"/>
    <w:rsid w:val="00F720F2"/>
    <w:rsid w:val="00F72171"/>
    <w:rsid w:val="00F72222"/>
    <w:rsid w:val="00F722DC"/>
    <w:rsid w:val="00F722F2"/>
    <w:rsid w:val="00F722F5"/>
    <w:rsid w:val="00F72317"/>
    <w:rsid w:val="00F72333"/>
    <w:rsid w:val="00F7234E"/>
    <w:rsid w:val="00F7236A"/>
    <w:rsid w:val="00F72393"/>
    <w:rsid w:val="00F723D4"/>
    <w:rsid w:val="00F723E2"/>
    <w:rsid w:val="00F72446"/>
    <w:rsid w:val="00F72476"/>
    <w:rsid w:val="00F72486"/>
    <w:rsid w:val="00F72490"/>
    <w:rsid w:val="00F72498"/>
    <w:rsid w:val="00F724A8"/>
    <w:rsid w:val="00F72509"/>
    <w:rsid w:val="00F72520"/>
    <w:rsid w:val="00F72535"/>
    <w:rsid w:val="00F7255D"/>
    <w:rsid w:val="00F725CF"/>
    <w:rsid w:val="00F7265B"/>
    <w:rsid w:val="00F7268A"/>
    <w:rsid w:val="00F726FE"/>
    <w:rsid w:val="00F72735"/>
    <w:rsid w:val="00F72783"/>
    <w:rsid w:val="00F727BA"/>
    <w:rsid w:val="00F729AA"/>
    <w:rsid w:val="00F729AC"/>
    <w:rsid w:val="00F72A10"/>
    <w:rsid w:val="00F72A3B"/>
    <w:rsid w:val="00F72B5D"/>
    <w:rsid w:val="00F72B6D"/>
    <w:rsid w:val="00F72BAA"/>
    <w:rsid w:val="00F72BF2"/>
    <w:rsid w:val="00F72C50"/>
    <w:rsid w:val="00F72CE7"/>
    <w:rsid w:val="00F72D66"/>
    <w:rsid w:val="00F72D9D"/>
    <w:rsid w:val="00F72DB2"/>
    <w:rsid w:val="00F72DDC"/>
    <w:rsid w:val="00F72E0E"/>
    <w:rsid w:val="00F72E52"/>
    <w:rsid w:val="00F72E60"/>
    <w:rsid w:val="00F72E73"/>
    <w:rsid w:val="00F72EDF"/>
    <w:rsid w:val="00F72F01"/>
    <w:rsid w:val="00F73035"/>
    <w:rsid w:val="00F7305F"/>
    <w:rsid w:val="00F73077"/>
    <w:rsid w:val="00F73120"/>
    <w:rsid w:val="00F7316A"/>
    <w:rsid w:val="00F731B4"/>
    <w:rsid w:val="00F732E5"/>
    <w:rsid w:val="00F73313"/>
    <w:rsid w:val="00F73315"/>
    <w:rsid w:val="00F7338F"/>
    <w:rsid w:val="00F73455"/>
    <w:rsid w:val="00F73542"/>
    <w:rsid w:val="00F7357A"/>
    <w:rsid w:val="00F73610"/>
    <w:rsid w:val="00F73621"/>
    <w:rsid w:val="00F7366B"/>
    <w:rsid w:val="00F7368E"/>
    <w:rsid w:val="00F73719"/>
    <w:rsid w:val="00F73751"/>
    <w:rsid w:val="00F738A6"/>
    <w:rsid w:val="00F738C3"/>
    <w:rsid w:val="00F739DF"/>
    <w:rsid w:val="00F73AA1"/>
    <w:rsid w:val="00F73B1D"/>
    <w:rsid w:val="00F73B7B"/>
    <w:rsid w:val="00F73BBF"/>
    <w:rsid w:val="00F73CA5"/>
    <w:rsid w:val="00F73CED"/>
    <w:rsid w:val="00F73DD0"/>
    <w:rsid w:val="00F73DEB"/>
    <w:rsid w:val="00F73DFB"/>
    <w:rsid w:val="00F73F29"/>
    <w:rsid w:val="00F73F56"/>
    <w:rsid w:val="00F73F69"/>
    <w:rsid w:val="00F73F8F"/>
    <w:rsid w:val="00F73FBB"/>
    <w:rsid w:val="00F73FC1"/>
    <w:rsid w:val="00F73FD3"/>
    <w:rsid w:val="00F73FEB"/>
    <w:rsid w:val="00F73FF7"/>
    <w:rsid w:val="00F74009"/>
    <w:rsid w:val="00F74096"/>
    <w:rsid w:val="00F74128"/>
    <w:rsid w:val="00F74145"/>
    <w:rsid w:val="00F74184"/>
    <w:rsid w:val="00F741D8"/>
    <w:rsid w:val="00F74290"/>
    <w:rsid w:val="00F742BF"/>
    <w:rsid w:val="00F7437F"/>
    <w:rsid w:val="00F743A8"/>
    <w:rsid w:val="00F74551"/>
    <w:rsid w:val="00F74589"/>
    <w:rsid w:val="00F74616"/>
    <w:rsid w:val="00F74660"/>
    <w:rsid w:val="00F74761"/>
    <w:rsid w:val="00F7478B"/>
    <w:rsid w:val="00F747E1"/>
    <w:rsid w:val="00F748D5"/>
    <w:rsid w:val="00F748FA"/>
    <w:rsid w:val="00F74BCD"/>
    <w:rsid w:val="00F74D00"/>
    <w:rsid w:val="00F74EA2"/>
    <w:rsid w:val="00F74EC2"/>
    <w:rsid w:val="00F74F1C"/>
    <w:rsid w:val="00F74F22"/>
    <w:rsid w:val="00F75021"/>
    <w:rsid w:val="00F75095"/>
    <w:rsid w:val="00F75102"/>
    <w:rsid w:val="00F7511A"/>
    <w:rsid w:val="00F751A1"/>
    <w:rsid w:val="00F752D5"/>
    <w:rsid w:val="00F7534B"/>
    <w:rsid w:val="00F75377"/>
    <w:rsid w:val="00F7538E"/>
    <w:rsid w:val="00F753D1"/>
    <w:rsid w:val="00F75423"/>
    <w:rsid w:val="00F754A4"/>
    <w:rsid w:val="00F75516"/>
    <w:rsid w:val="00F75556"/>
    <w:rsid w:val="00F756A0"/>
    <w:rsid w:val="00F756D3"/>
    <w:rsid w:val="00F75723"/>
    <w:rsid w:val="00F75814"/>
    <w:rsid w:val="00F758FF"/>
    <w:rsid w:val="00F759B9"/>
    <w:rsid w:val="00F75A0F"/>
    <w:rsid w:val="00F75A24"/>
    <w:rsid w:val="00F75A8B"/>
    <w:rsid w:val="00F75A9A"/>
    <w:rsid w:val="00F75ADE"/>
    <w:rsid w:val="00F75B76"/>
    <w:rsid w:val="00F75C83"/>
    <w:rsid w:val="00F75CFC"/>
    <w:rsid w:val="00F75DDF"/>
    <w:rsid w:val="00F75E03"/>
    <w:rsid w:val="00F75E5A"/>
    <w:rsid w:val="00F75ED7"/>
    <w:rsid w:val="00F75F5B"/>
    <w:rsid w:val="00F75FE3"/>
    <w:rsid w:val="00F75FF8"/>
    <w:rsid w:val="00F76044"/>
    <w:rsid w:val="00F76175"/>
    <w:rsid w:val="00F7632E"/>
    <w:rsid w:val="00F76398"/>
    <w:rsid w:val="00F763CF"/>
    <w:rsid w:val="00F763DB"/>
    <w:rsid w:val="00F763E4"/>
    <w:rsid w:val="00F76427"/>
    <w:rsid w:val="00F7643A"/>
    <w:rsid w:val="00F7643E"/>
    <w:rsid w:val="00F76594"/>
    <w:rsid w:val="00F76631"/>
    <w:rsid w:val="00F76638"/>
    <w:rsid w:val="00F766B8"/>
    <w:rsid w:val="00F7671A"/>
    <w:rsid w:val="00F767BE"/>
    <w:rsid w:val="00F767D4"/>
    <w:rsid w:val="00F76855"/>
    <w:rsid w:val="00F768C4"/>
    <w:rsid w:val="00F768F5"/>
    <w:rsid w:val="00F76A06"/>
    <w:rsid w:val="00F76A4B"/>
    <w:rsid w:val="00F76BF7"/>
    <w:rsid w:val="00F76C32"/>
    <w:rsid w:val="00F76CFE"/>
    <w:rsid w:val="00F76D0B"/>
    <w:rsid w:val="00F76D20"/>
    <w:rsid w:val="00F76D3F"/>
    <w:rsid w:val="00F76D86"/>
    <w:rsid w:val="00F76D8A"/>
    <w:rsid w:val="00F76DE0"/>
    <w:rsid w:val="00F76DE5"/>
    <w:rsid w:val="00F76E42"/>
    <w:rsid w:val="00F76FC5"/>
    <w:rsid w:val="00F76FE4"/>
    <w:rsid w:val="00F7701D"/>
    <w:rsid w:val="00F7708B"/>
    <w:rsid w:val="00F7714E"/>
    <w:rsid w:val="00F771AC"/>
    <w:rsid w:val="00F771CE"/>
    <w:rsid w:val="00F7727A"/>
    <w:rsid w:val="00F77297"/>
    <w:rsid w:val="00F772EF"/>
    <w:rsid w:val="00F77308"/>
    <w:rsid w:val="00F7731E"/>
    <w:rsid w:val="00F773C2"/>
    <w:rsid w:val="00F77774"/>
    <w:rsid w:val="00F7777F"/>
    <w:rsid w:val="00F77790"/>
    <w:rsid w:val="00F777AD"/>
    <w:rsid w:val="00F777EC"/>
    <w:rsid w:val="00F778DE"/>
    <w:rsid w:val="00F77927"/>
    <w:rsid w:val="00F77951"/>
    <w:rsid w:val="00F77B16"/>
    <w:rsid w:val="00F77C75"/>
    <w:rsid w:val="00F77C78"/>
    <w:rsid w:val="00F77CA2"/>
    <w:rsid w:val="00F77CD5"/>
    <w:rsid w:val="00F77D3E"/>
    <w:rsid w:val="00F77D40"/>
    <w:rsid w:val="00F77DEE"/>
    <w:rsid w:val="00F77E3B"/>
    <w:rsid w:val="00F77EE5"/>
    <w:rsid w:val="00F77F6D"/>
    <w:rsid w:val="00F77F90"/>
    <w:rsid w:val="00F77FD0"/>
    <w:rsid w:val="00F7DC78"/>
    <w:rsid w:val="00F8001A"/>
    <w:rsid w:val="00F80027"/>
    <w:rsid w:val="00F8003E"/>
    <w:rsid w:val="00F80067"/>
    <w:rsid w:val="00F800A0"/>
    <w:rsid w:val="00F80152"/>
    <w:rsid w:val="00F8017E"/>
    <w:rsid w:val="00F80268"/>
    <w:rsid w:val="00F802F5"/>
    <w:rsid w:val="00F80320"/>
    <w:rsid w:val="00F80361"/>
    <w:rsid w:val="00F80391"/>
    <w:rsid w:val="00F804A4"/>
    <w:rsid w:val="00F804CF"/>
    <w:rsid w:val="00F8066F"/>
    <w:rsid w:val="00F806F8"/>
    <w:rsid w:val="00F8076C"/>
    <w:rsid w:val="00F80775"/>
    <w:rsid w:val="00F80783"/>
    <w:rsid w:val="00F8084F"/>
    <w:rsid w:val="00F8096F"/>
    <w:rsid w:val="00F80A2F"/>
    <w:rsid w:val="00F80A43"/>
    <w:rsid w:val="00F80BF7"/>
    <w:rsid w:val="00F80C9E"/>
    <w:rsid w:val="00F80CA3"/>
    <w:rsid w:val="00F80D65"/>
    <w:rsid w:val="00F80EB2"/>
    <w:rsid w:val="00F80ED4"/>
    <w:rsid w:val="00F80F30"/>
    <w:rsid w:val="00F80F58"/>
    <w:rsid w:val="00F80FF3"/>
    <w:rsid w:val="00F81043"/>
    <w:rsid w:val="00F8109C"/>
    <w:rsid w:val="00F81116"/>
    <w:rsid w:val="00F8114A"/>
    <w:rsid w:val="00F81293"/>
    <w:rsid w:val="00F812B6"/>
    <w:rsid w:val="00F8133A"/>
    <w:rsid w:val="00F81392"/>
    <w:rsid w:val="00F814BF"/>
    <w:rsid w:val="00F815B6"/>
    <w:rsid w:val="00F81632"/>
    <w:rsid w:val="00F81656"/>
    <w:rsid w:val="00F81679"/>
    <w:rsid w:val="00F81719"/>
    <w:rsid w:val="00F81809"/>
    <w:rsid w:val="00F818D5"/>
    <w:rsid w:val="00F81963"/>
    <w:rsid w:val="00F81A8F"/>
    <w:rsid w:val="00F81AC0"/>
    <w:rsid w:val="00F81B37"/>
    <w:rsid w:val="00F81B6F"/>
    <w:rsid w:val="00F81BD1"/>
    <w:rsid w:val="00F81CCE"/>
    <w:rsid w:val="00F81DD4"/>
    <w:rsid w:val="00F81DDD"/>
    <w:rsid w:val="00F81F0F"/>
    <w:rsid w:val="00F81F85"/>
    <w:rsid w:val="00F820A2"/>
    <w:rsid w:val="00F82100"/>
    <w:rsid w:val="00F821CA"/>
    <w:rsid w:val="00F8227B"/>
    <w:rsid w:val="00F8229F"/>
    <w:rsid w:val="00F822A8"/>
    <w:rsid w:val="00F822BB"/>
    <w:rsid w:val="00F822BD"/>
    <w:rsid w:val="00F822C6"/>
    <w:rsid w:val="00F822DE"/>
    <w:rsid w:val="00F82309"/>
    <w:rsid w:val="00F82449"/>
    <w:rsid w:val="00F8246D"/>
    <w:rsid w:val="00F824A9"/>
    <w:rsid w:val="00F8253C"/>
    <w:rsid w:val="00F82564"/>
    <w:rsid w:val="00F825BA"/>
    <w:rsid w:val="00F825BE"/>
    <w:rsid w:val="00F825C7"/>
    <w:rsid w:val="00F827BE"/>
    <w:rsid w:val="00F828AB"/>
    <w:rsid w:val="00F828C4"/>
    <w:rsid w:val="00F828FB"/>
    <w:rsid w:val="00F829E1"/>
    <w:rsid w:val="00F82B7C"/>
    <w:rsid w:val="00F82C6C"/>
    <w:rsid w:val="00F82CB2"/>
    <w:rsid w:val="00F82E22"/>
    <w:rsid w:val="00F82EDA"/>
    <w:rsid w:val="00F82F2E"/>
    <w:rsid w:val="00F82F3B"/>
    <w:rsid w:val="00F82FA8"/>
    <w:rsid w:val="00F82FAB"/>
    <w:rsid w:val="00F82FE3"/>
    <w:rsid w:val="00F83086"/>
    <w:rsid w:val="00F83185"/>
    <w:rsid w:val="00F831D8"/>
    <w:rsid w:val="00F8323B"/>
    <w:rsid w:val="00F8327E"/>
    <w:rsid w:val="00F83365"/>
    <w:rsid w:val="00F833B2"/>
    <w:rsid w:val="00F83432"/>
    <w:rsid w:val="00F834DA"/>
    <w:rsid w:val="00F83502"/>
    <w:rsid w:val="00F835F6"/>
    <w:rsid w:val="00F836CC"/>
    <w:rsid w:val="00F836FC"/>
    <w:rsid w:val="00F8380C"/>
    <w:rsid w:val="00F83815"/>
    <w:rsid w:val="00F838C4"/>
    <w:rsid w:val="00F838D2"/>
    <w:rsid w:val="00F83931"/>
    <w:rsid w:val="00F839BD"/>
    <w:rsid w:val="00F83A22"/>
    <w:rsid w:val="00F83B8A"/>
    <w:rsid w:val="00F83BA3"/>
    <w:rsid w:val="00F83C03"/>
    <w:rsid w:val="00F83C45"/>
    <w:rsid w:val="00F83C51"/>
    <w:rsid w:val="00F83D2F"/>
    <w:rsid w:val="00F83D64"/>
    <w:rsid w:val="00F83DC0"/>
    <w:rsid w:val="00F83E13"/>
    <w:rsid w:val="00F83ECE"/>
    <w:rsid w:val="00F83F8C"/>
    <w:rsid w:val="00F83F9A"/>
    <w:rsid w:val="00F83FA8"/>
    <w:rsid w:val="00F84216"/>
    <w:rsid w:val="00F84275"/>
    <w:rsid w:val="00F842AE"/>
    <w:rsid w:val="00F84463"/>
    <w:rsid w:val="00F845CB"/>
    <w:rsid w:val="00F8478A"/>
    <w:rsid w:val="00F84888"/>
    <w:rsid w:val="00F8492A"/>
    <w:rsid w:val="00F84A87"/>
    <w:rsid w:val="00F84AD1"/>
    <w:rsid w:val="00F84AF0"/>
    <w:rsid w:val="00F84B0F"/>
    <w:rsid w:val="00F84BE7"/>
    <w:rsid w:val="00F84CD7"/>
    <w:rsid w:val="00F84D3A"/>
    <w:rsid w:val="00F84D4B"/>
    <w:rsid w:val="00F84E24"/>
    <w:rsid w:val="00F84E45"/>
    <w:rsid w:val="00F84F03"/>
    <w:rsid w:val="00F84F49"/>
    <w:rsid w:val="00F84FC0"/>
    <w:rsid w:val="00F85092"/>
    <w:rsid w:val="00F85107"/>
    <w:rsid w:val="00F8519E"/>
    <w:rsid w:val="00F85201"/>
    <w:rsid w:val="00F8521D"/>
    <w:rsid w:val="00F8525F"/>
    <w:rsid w:val="00F8534D"/>
    <w:rsid w:val="00F8540C"/>
    <w:rsid w:val="00F85420"/>
    <w:rsid w:val="00F854DA"/>
    <w:rsid w:val="00F854FE"/>
    <w:rsid w:val="00F8551E"/>
    <w:rsid w:val="00F85572"/>
    <w:rsid w:val="00F8557F"/>
    <w:rsid w:val="00F856F7"/>
    <w:rsid w:val="00F85700"/>
    <w:rsid w:val="00F8578F"/>
    <w:rsid w:val="00F85930"/>
    <w:rsid w:val="00F8595D"/>
    <w:rsid w:val="00F85965"/>
    <w:rsid w:val="00F8599B"/>
    <w:rsid w:val="00F85A58"/>
    <w:rsid w:val="00F85A5D"/>
    <w:rsid w:val="00F85B42"/>
    <w:rsid w:val="00F85BF4"/>
    <w:rsid w:val="00F85C10"/>
    <w:rsid w:val="00F85C35"/>
    <w:rsid w:val="00F85D3B"/>
    <w:rsid w:val="00F85D42"/>
    <w:rsid w:val="00F85DCF"/>
    <w:rsid w:val="00F85E43"/>
    <w:rsid w:val="00F85E88"/>
    <w:rsid w:val="00F85EA1"/>
    <w:rsid w:val="00F85F18"/>
    <w:rsid w:val="00F85F2C"/>
    <w:rsid w:val="00F85FA1"/>
    <w:rsid w:val="00F85FD5"/>
    <w:rsid w:val="00F86022"/>
    <w:rsid w:val="00F8606E"/>
    <w:rsid w:val="00F86091"/>
    <w:rsid w:val="00F860A4"/>
    <w:rsid w:val="00F860AB"/>
    <w:rsid w:val="00F860DF"/>
    <w:rsid w:val="00F86153"/>
    <w:rsid w:val="00F8615A"/>
    <w:rsid w:val="00F861A2"/>
    <w:rsid w:val="00F861AB"/>
    <w:rsid w:val="00F861DD"/>
    <w:rsid w:val="00F862AF"/>
    <w:rsid w:val="00F862B9"/>
    <w:rsid w:val="00F86301"/>
    <w:rsid w:val="00F864D7"/>
    <w:rsid w:val="00F864E4"/>
    <w:rsid w:val="00F864E9"/>
    <w:rsid w:val="00F865C2"/>
    <w:rsid w:val="00F865C5"/>
    <w:rsid w:val="00F865D0"/>
    <w:rsid w:val="00F8660B"/>
    <w:rsid w:val="00F866B9"/>
    <w:rsid w:val="00F86737"/>
    <w:rsid w:val="00F8674F"/>
    <w:rsid w:val="00F867A9"/>
    <w:rsid w:val="00F8680A"/>
    <w:rsid w:val="00F86827"/>
    <w:rsid w:val="00F86882"/>
    <w:rsid w:val="00F868AC"/>
    <w:rsid w:val="00F8699A"/>
    <w:rsid w:val="00F86A46"/>
    <w:rsid w:val="00F86A66"/>
    <w:rsid w:val="00F86AA6"/>
    <w:rsid w:val="00F86AFB"/>
    <w:rsid w:val="00F86B6A"/>
    <w:rsid w:val="00F86BE5"/>
    <w:rsid w:val="00F86C6C"/>
    <w:rsid w:val="00F86D99"/>
    <w:rsid w:val="00F86DEE"/>
    <w:rsid w:val="00F86E01"/>
    <w:rsid w:val="00F86E52"/>
    <w:rsid w:val="00F86E7F"/>
    <w:rsid w:val="00F86EC9"/>
    <w:rsid w:val="00F86F21"/>
    <w:rsid w:val="00F87116"/>
    <w:rsid w:val="00F87231"/>
    <w:rsid w:val="00F8731A"/>
    <w:rsid w:val="00F8734F"/>
    <w:rsid w:val="00F8735E"/>
    <w:rsid w:val="00F87401"/>
    <w:rsid w:val="00F8740A"/>
    <w:rsid w:val="00F87499"/>
    <w:rsid w:val="00F874B8"/>
    <w:rsid w:val="00F87535"/>
    <w:rsid w:val="00F875C3"/>
    <w:rsid w:val="00F875D0"/>
    <w:rsid w:val="00F87607"/>
    <w:rsid w:val="00F87647"/>
    <w:rsid w:val="00F87688"/>
    <w:rsid w:val="00F877C2"/>
    <w:rsid w:val="00F87811"/>
    <w:rsid w:val="00F87813"/>
    <w:rsid w:val="00F878BF"/>
    <w:rsid w:val="00F879A4"/>
    <w:rsid w:val="00F879CF"/>
    <w:rsid w:val="00F879E1"/>
    <w:rsid w:val="00F87A21"/>
    <w:rsid w:val="00F87A9B"/>
    <w:rsid w:val="00F87B3A"/>
    <w:rsid w:val="00F87BCE"/>
    <w:rsid w:val="00F87C70"/>
    <w:rsid w:val="00F87C97"/>
    <w:rsid w:val="00F87CCB"/>
    <w:rsid w:val="00F87D0A"/>
    <w:rsid w:val="00F87D1D"/>
    <w:rsid w:val="00F87D62"/>
    <w:rsid w:val="00F87E18"/>
    <w:rsid w:val="00F87F05"/>
    <w:rsid w:val="00F87F25"/>
    <w:rsid w:val="00F87F6C"/>
    <w:rsid w:val="00F87FD1"/>
    <w:rsid w:val="00F900C9"/>
    <w:rsid w:val="00F90164"/>
    <w:rsid w:val="00F9019A"/>
    <w:rsid w:val="00F90286"/>
    <w:rsid w:val="00F9031F"/>
    <w:rsid w:val="00F903BF"/>
    <w:rsid w:val="00F903EE"/>
    <w:rsid w:val="00F9043C"/>
    <w:rsid w:val="00F904A3"/>
    <w:rsid w:val="00F904B1"/>
    <w:rsid w:val="00F904DC"/>
    <w:rsid w:val="00F90512"/>
    <w:rsid w:val="00F90532"/>
    <w:rsid w:val="00F9056D"/>
    <w:rsid w:val="00F90629"/>
    <w:rsid w:val="00F9062C"/>
    <w:rsid w:val="00F907CD"/>
    <w:rsid w:val="00F907E9"/>
    <w:rsid w:val="00F908C6"/>
    <w:rsid w:val="00F9094B"/>
    <w:rsid w:val="00F90A7F"/>
    <w:rsid w:val="00F90AE5"/>
    <w:rsid w:val="00F90CE6"/>
    <w:rsid w:val="00F90DBE"/>
    <w:rsid w:val="00F90DEB"/>
    <w:rsid w:val="00F90E2A"/>
    <w:rsid w:val="00F90E9B"/>
    <w:rsid w:val="00F90F5A"/>
    <w:rsid w:val="00F90FAA"/>
    <w:rsid w:val="00F9102C"/>
    <w:rsid w:val="00F91071"/>
    <w:rsid w:val="00F910B7"/>
    <w:rsid w:val="00F910BF"/>
    <w:rsid w:val="00F911AA"/>
    <w:rsid w:val="00F91233"/>
    <w:rsid w:val="00F912CD"/>
    <w:rsid w:val="00F9131B"/>
    <w:rsid w:val="00F9132F"/>
    <w:rsid w:val="00F9133D"/>
    <w:rsid w:val="00F91373"/>
    <w:rsid w:val="00F913C9"/>
    <w:rsid w:val="00F913F7"/>
    <w:rsid w:val="00F9140C"/>
    <w:rsid w:val="00F91439"/>
    <w:rsid w:val="00F91510"/>
    <w:rsid w:val="00F9152F"/>
    <w:rsid w:val="00F91565"/>
    <w:rsid w:val="00F9156F"/>
    <w:rsid w:val="00F915BE"/>
    <w:rsid w:val="00F9168E"/>
    <w:rsid w:val="00F91759"/>
    <w:rsid w:val="00F917D1"/>
    <w:rsid w:val="00F917FE"/>
    <w:rsid w:val="00F9180E"/>
    <w:rsid w:val="00F9186E"/>
    <w:rsid w:val="00F91889"/>
    <w:rsid w:val="00F918B0"/>
    <w:rsid w:val="00F9190B"/>
    <w:rsid w:val="00F91959"/>
    <w:rsid w:val="00F919A7"/>
    <w:rsid w:val="00F919D1"/>
    <w:rsid w:val="00F91B57"/>
    <w:rsid w:val="00F91B80"/>
    <w:rsid w:val="00F91C6F"/>
    <w:rsid w:val="00F91C97"/>
    <w:rsid w:val="00F91CCC"/>
    <w:rsid w:val="00F91D76"/>
    <w:rsid w:val="00F91DBE"/>
    <w:rsid w:val="00F91DE5"/>
    <w:rsid w:val="00F91E33"/>
    <w:rsid w:val="00F91E48"/>
    <w:rsid w:val="00F91E5D"/>
    <w:rsid w:val="00F91EA3"/>
    <w:rsid w:val="00F91ECB"/>
    <w:rsid w:val="00F91EF6"/>
    <w:rsid w:val="00F92039"/>
    <w:rsid w:val="00F920B1"/>
    <w:rsid w:val="00F9210B"/>
    <w:rsid w:val="00F92113"/>
    <w:rsid w:val="00F9216C"/>
    <w:rsid w:val="00F921A4"/>
    <w:rsid w:val="00F92221"/>
    <w:rsid w:val="00F9224E"/>
    <w:rsid w:val="00F922F1"/>
    <w:rsid w:val="00F92353"/>
    <w:rsid w:val="00F92366"/>
    <w:rsid w:val="00F923B4"/>
    <w:rsid w:val="00F923D6"/>
    <w:rsid w:val="00F923D7"/>
    <w:rsid w:val="00F9241C"/>
    <w:rsid w:val="00F924A1"/>
    <w:rsid w:val="00F924DA"/>
    <w:rsid w:val="00F925E6"/>
    <w:rsid w:val="00F9273E"/>
    <w:rsid w:val="00F92751"/>
    <w:rsid w:val="00F927D0"/>
    <w:rsid w:val="00F92808"/>
    <w:rsid w:val="00F928D8"/>
    <w:rsid w:val="00F928E5"/>
    <w:rsid w:val="00F929CD"/>
    <w:rsid w:val="00F929DC"/>
    <w:rsid w:val="00F92A25"/>
    <w:rsid w:val="00F92AE4"/>
    <w:rsid w:val="00F92B2F"/>
    <w:rsid w:val="00F92B40"/>
    <w:rsid w:val="00F92C56"/>
    <w:rsid w:val="00F92D59"/>
    <w:rsid w:val="00F92D97"/>
    <w:rsid w:val="00F92F4F"/>
    <w:rsid w:val="00F92FB4"/>
    <w:rsid w:val="00F92FEB"/>
    <w:rsid w:val="00F9301D"/>
    <w:rsid w:val="00F93055"/>
    <w:rsid w:val="00F93072"/>
    <w:rsid w:val="00F93123"/>
    <w:rsid w:val="00F9315D"/>
    <w:rsid w:val="00F93226"/>
    <w:rsid w:val="00F93250"/>
    <w:rsid w:val="00F93265"/>
    <w:rsid w:val="00F932AE"/>
    <w:rsid w:val="00F93349"/>
    <w:rsid w:val="00F933FA"/>
    <w:rsid w:val="00F9341F"/>
    <w:rsid w:val="00F936B4"/>
    <w:rsid w:val="00F936E3"/>
    <w:rsid w:val="00F93818"/>
    <w:rsid w:val="00F938C9"/>
    <w:rsid w:val="00F93992"/>
    <w:rsid w:val="00F939E9"/>
    <w:rsid w:val="00F93A5B"/>
    <w:rsid w:val="00F93BE9"/>
    <w:rsid w:val="00F93C30"/>
    <w:rsid w:val="00F93CDB"/>
    <w:rsid w:val="00F93D42"/>
    <w:rsid w:val="00F93DBB"/>
    <w:rsid w:val="00F93DD0"/>
    <w:rsid w:val="00F93E42"/>
    <w:rsid w:val="00F93E6F"/>
    <w:rsid w:val="00F93EDB"/>
    <w:rsid w:val="00F93F21"/>
    <w:rsid w:val="00F93F29"/>
    <w:rsid w:val="00F93FD9"/>
    <w:rsid w:val="00F94055"/>
    <w:rsid w:val="00F940FC"/>
    <w:rsid w:val="00F94100"/>
    <w:rsid w:val="00F9410E"/>
    <w:rsid w:val="00F941EF"/>
    <w:rsid w:val="00F941F9"/>
    <w:rsid w:val="00F9423E"/>
    <w:rsid w:val="00F942BE"/>
    <w:rsid w:val="00F94314"/>
    <w:rsid w:val="00F94322"/>
    <w:rsid w:val="00F94366"/>
    <w:rsid w:val="00F943A6"/>
    <w:rsid w:val="00F9444C"/>
    <w:rsid w:val="00F9445E"/>
    <w:rsid w:val="00F9452D"/>
    <w:rsid w:val="00F9459D"/>
    <w:rsid w:val="00F94622"/>
    <w:rsid w:val="00F9463C"/>
    <w:rsid w:val="00F94660"/>
    <w:rsid w:val="00F94669"/>
    <w:rsid w:val="00F946A7"/>
    <w:rsid w:val="00F94731"/>
    <w:rsid w:val="00F9484A"/>
    <w:rsid w:val="00F94A02"/>
    <w:rsid w:val="00F94BA2"/>
    <w:rsid w:val="00F94BE7"/>
    <w:rsid w:val="00F94C20"/>
    <w:rsid w:val="00F94FC2"/>
    <w:rsid w:val="00F94FC3"/>
    <w:rsid w:val="00F94FD7"/>
    <w:rsid w:val="00F95026"/>
    <w:rsid w:val="00F95073"/>
    <w:rsid w:val="00F950C2"/>
    <w:rsid w:val="00F95113"/>
    <w:rsid w:val="00F951CB"/>
    <w:rsid w:val="00F951EB"/>
    <w:rsid w:val="00F952F5"/>
    <w:rsid w:val="00F9531B"/>
    <w:rsid w:val="00F9534C"/>
    <w:rsid w:val="00F953C8"/>
    <w:rsid w:val="00F953F5"/>
    <w:rsid w:val="00F953FA"/>
    <w:rsid w:val="00F95438"/>
    <w:rsid w:val="00F9543E"/>
    <w:rsid w:val="00F95442"/>
    <w:rsid w:val="00F9548A"/>
    <w:rsid w:val="00F955E0"/>
    <w:rsid w:val="00F955F2"/>
    <w:rsid w:val="00F95615"/>
    <w:rsid w:val="00F95660"/>
    <w:rsid w:val="00F956A8"/>
    <w:rsid w:val="00F956B7"/>
    <w:rsid w:val="00F9576A"/>
    <w:rsid w:val="00F957CC"/>
    <w:rsid w:val="00F958C0"/>
    <w:rsid w:val="00F959D5"/>
    <w:rsid w:val="00F95A16"/>
    <w:rsid w:val="00F95A8D"/>
    <w:rsid w:val="00F95AF9"/>
    <w:rsid w:val="00F95B3C"/>
    <w:rsid w:val="00F95BBA"/>
    <w:rsid w:val="00F95BBB"/>
    <w:rsid w:val="00F95BDA"/>
    <w:rsid w:val="00F95CF9"/>
    <w:rsid w:val="00F95D3C"/>
    <w:rsid w:val="00F95D93"/>
    <w:rsid w:val="00F95E7B"/>
    <w:rsid w:val="00F95E88"/>
    <w:rsid w:val="00F95F69"/>
    <w:rsid w:val="00F95FFC"/>
    <w:rsid w:val="00F960D3"/>
    <w:rsid w:val="00F96164"/>
    <w:rsid w:val="00F961D9"/>
    <w:rsid w:val="00F96200"/>
    <w:rsid w:val="00F96257"/>
    <w:rsid w:val="00F962EF"/>
    <w:rsid w:val="00F96306"/>
    <w:rsid w:val="00F9640C"/>
    <w:rsid w:val="00F9642D"/>
    <w:rsid w:val="00F9644F"/>
    <w:rsid w:val="00F96508"/>
    <w:rsid w:val="00F9650D"/>
    <w:rsid w:val="00F9656A"/>
    <w:rsid w:val="00F96576"/>
    <w:rsid w:val="00F965B1"/>
    <w:rsid w:val="00F96801"/>
    <w:rsid w:val="00F9684C"/>
    <w:rsid w:val="00F96856"/>
    <w:rsid w:val="00F96863"/>
    <w:rsid w:val="00F9697C"/>
    <w:rsid w:val="00F96A3B"/>
    <w:rsid w:val="00F96ACC"/>
    <w:rsid w:val="00F96B02"/>
    <w:rsid w:val="00F96B59"/>
    <w:rsid w:val="00F96BB7"/>
    <w:rsid w:val="00F96BBD"/>
    <w:rsid w:val="00F96BD9"/>
    <w:rsid w:val="00F96C0F"/>
    <w:rsid w:val="00F96C56"/>
    <w:rsid w:val="00F96CBF"/>
    <w:rsid w:val="00F96D10"/>
    <w:rsid w:val="00F96D9E"/>
    <w:rsid w:val="00F96E3C"/>
    <w:rsid w:val="00F96F3E"/>
    <w:rsid w:val="00F96F4A"/>
    <w:rsid w:val="00F96F60"/>
    <w:rsid w:val="00F96FD0"/>
    <w:rsid w:val="00F97145"/>
    <w:rsid w:val="00F971A6"/>
    <w:rsid w:val="00F971FE"/>
    <w:rsid w:val="00F97218"/>
    <w:rsid w:val="00F97225"/>
    <w:rsid w:val="00F97281"/>
    <w:rsid w:val="00F972A9"/>
    <w:rsid w:val="00F973AB"/>
    <w:rsid w:val="00F97491"/>
    <w:rsid w:val="00F97498"/>
    <w:rsid w:val="00F974AC"/>
    <w:rsid w:val="00F974C9"/>
    <w:rsid w:val="00F97604"/>
    <w:rsid w:val="00F9766D"/>
    <w:rsid w:val="00F976FC"/>
    <w:rsid w:val="00F977A7"/>
    <w:rsid w:val="00F97801"/>
    <w:rsid w:val="00F97881"/>
    <w:rsid w:val="00F97956"/>
    <w:rsid w:val="00F979A5"/>
    <w:rsid w:val="00F979D3"/>
    <w:rsid w:val="00F97A4B"/>
    <w:rsid w:val="00F97B30"/>
    <w:rsid w:val="00F97B82"/>
    <w:rsid w:val="00F97B88"/>
    <w:rsid w:val="00F97BD4"/>
    <w:rsid w:val="00F97C0D"/>
    <w:rsid w:val="00F97CBD"/>
    <w:rsid w:val="00F97CDF"/>
    <w:rsid w:val="00F97CF3"/>
    <w:rsid w:val="00F97DA3"/>
    <w:rsid w:val="00F97E34"/>
    <w:rsid w:val="00F97E66"/>
    <w:rsid w:val="00F97E6D"/>
    <w:rsid w:val="00F97F0B"/>
    <w:rsid w:val="00F97F2C"/>
    <w:rsid w:val="00F97F3B"/>
    <w:rsid w:val="00F97FFD"/>
    <w:rsid w:val="00FA0059"/>
    <w:rsid w:val="00FA0082"/>
    <w:rsid w:val="00FA00EF"/>
    <w:rsid w:val="00FA01BE"/>
    <w:rsid w:val="00FA0226"/>
    <w:rsid w:val="00FA02D0"/>
    <w:rsid w:val="00FA0350"/>
    <w:rsid w:val="00FA039F"/>
    <w:rsid w:val="00FA043A"/>
    <w:rsid w:val="00FA047F"/>
    <w:rsid w:val="00FA0596"/>
    <w:rsid w:val="00FA0612"/>
    <w:rsid w:val="00FA0644"/>
    <w:rsid w:val="00FA0689"/>
    <w:rsid w:val="00FA069C"/>
    <w:rsid w:val="00FA06BC"/>
    <w:rsid w:val="00FA0735"/>
    <w:rsid w:val="00FA079A"/>
    <w:rsid w:val="00FA07BD"/>
    <w:rsid w:val="00FA07F4"/>
    <w:rsid w:val="00FA092B"/>
    <w:rsid w:val="00FA0931"/>
    <w:rsid w:val="00FA09A7"/>
    <w:rsid w:val="00FA0B06"/>
    <w:rsid w:val="00FA0B14"/>
    <w:rsid w:val="00FA0B82"/>
    <w:rsid w:val="00FA0C51"/>
    <w:rsid w:val="00FA0CAE"/>
    <w:rsid w:val="00FA0CE9"/>
    <w:rsid w:val="00FA0DB5"/>
    <w:rsid w:val="00FA0E0A"/>
    <w:rsid w:val="00FA0E6C"/>
    <w:rsid w:val="00FA0F5B"/>
    <w:rsid w:val="00FA1022"/>
    <w:rsid w:val="00FA1075"/>
    <w:rsid w:val="00FA1092"/>
    <w:rsid w:val="00FA10BF"/>
    <w:rsid w:val="00FA1196"/>
    <w:rsid w:val="00FA126B"/>
    <w:rsid w:val="00FA12F6"/>
    <w:rsid w:val="00FA1332"/>
    <w:rsid w:val="00FA1494"/>
    <w:rsid w:val="00FA1578"/>
    <w:rsid w:val="00FA1667"/>
    <w:rsid w:val="00FA176D"/>
    <w:rsid w:val="00FA1793"/>
    <w:rsid w:val="00FA1816"/>
    <w:rsid w:val="00FA186B"/>
    <w:rsid w:val="00FA190E"/>
    <w:rsid w:val="00FA192F"/>
    <w:rsid w:val="00FA194B"/>
    <w:rsid w:val="00FA198C"/>
    <w:rsid w:val="00FA1992"/>
    <w:rsid w:val="00FA19A8"/>
    <w:rsid w:val="00FA19BF"/>
    <w:rsid w:val="00FA1ADB"/>
    <w:rsid w:val="00FA1AE9"/>
    <w:rsid w:val="00FA1AF5"/>
    <w:rsid w:val="00FA1B89"/>
    <w:rsid w:val="00FA1C5E"/>
    <w:rsid w:val="00FA1CB6"/>
    <w:rsid w:val="00FA1D2C"/>
    <w:rsid w:val="00FA1EF3"/>
    <w:rsid w:val="00FA1F2A"/>
    <w:rsid w:val="00FA1F68"/>
    <w:rsid w:val="00FA1F71"/>
    <w:rsid w:val="00FA1FB6"/>
    <w:rsid w:val="00FA1FB8"/>
    <w:rsid w:val="00FA1FD0"/>
    <w:rsid w:val="00FA20AB"/>
    <w:rsid w:val="00FA2105"/>
    <w:rsid w:val="00FA2146"/>
    <w:rsid w:val="00FA21F5"/>
    <w:rsid w:val="00FA21F8"/>
    <w:rsid w:val="00FA2250"/>
    <w:rsid w:val="00FA22A7"/>
    <w:rsid w:val="00FA2314"/>
    <w:rsid w:val="00FA2330"/>
    <w:rsid w:val="00FA24EB"/>
    <w:rsid w:val="00FA258B"/>
    <w:rsid w:val="00FA2594"/>
    <w:rsid w:val="00FA267A"/>
    <w:rsid w:val="00FA2719"/>
    <w:rsid w:val="00FA2996"/>
    <w:rsid w:val="00FA29AA"/>
    <w:rsid w:val="00FA29D2"/>
    <w:rsid w:val="00FA2AB4"/>
    <w:rsid w:val="00FA2AB7"/>
    <w:rsid w:val="00FA2B99"/>
    <w:rsid w:val="00FA2BBB"/>
    <w:rsid w:val="00FA2C8A"/>
    <w:rsid w:val="00FA2CEA"/>
    <w:rsid w:val="00FA2DD3"/>
    <w:rsid w:val="00FA2DDA"/>
    <w:rsid w:val="00FA2F4A"/>
    <w:rsid w:val="00FA2F97"/>
    <w:rsid w:val="00FA2F9F"/>
    <w:rsid w:val="00FA30A2"/>
    <w:rsid w:val="00FA30B4"/>
    <w:rsid w:val="00FA30CE"/>
    <w:rsid w:val="00FA3139"/>
    <w:rsid w:val="00FA314D"/>
    <w:rsid w:val="00FA3196"/>
    <w:rsid w:val="00FA32D3"/>
    <w:rsid w:val="00FA3389"/>
    <w:rsid w:val="00FA33C1"/>
    <w:rsid w:val="00FA3427"/>
    <w:rsid w:val="00FA34FC"/>
    <w:rsid w:val="00FA3515"/>
    <w:rsid w:val="00FA353A"/>
    <w:rsid w:val="00FA355D"/>
    <w:rsid w:val="00FA35A1"/>
    <w:rsid w:val="00FA35F4"/>
    <w:rsid w:val="00FA360C"/>
    <w:rsid w:val="00FA365B"/>
    <w:rsid w:val="00FA368E"/>
    <w:rsid w:val="00FA36AE"/>
    <w:rsid w:val="00FA3707"/>
    <w:rsid w:val="00FA378C"/>
    <w:rsid w:val="00FA37C6"/>
    <w:rsid w:val="00FA389B"/>
    <w:rsid w:val="00FA38A8"/>
    <w:rsid w:val="00FA3922"/>
    <w:rsid w:val="00FA3970"/>
    <w:rsid w:val="00FA3995"/>
    <w:rsid w:val="00FA39B8"/>
    <w:rsid w:val="00FA39EB"/>
    <w:rsid w:val="00FA3B0C"/>
    <w:rsid w:val="00FA3B16"/>
    <w:rsid w:val="00FA3B1D"/>
    <w:rsid w:val="00FA3B4F"/>
    <w:rsid w:val="00FA3C0E"/>
    <w:rsid w:val="00FA3C16"/>
    <w:rsid w:val="00FA3C2A"/>
    <w:rsid w:val="00FA3C53"/>
    <w:rsid w:val="00FA3D0C"/>
    <w:rsid w:val="00FA3D2B"/>
    <w:rsid w:val="00FA3D70"/>
    <w:rsid w:val="00FA3D9F"/>
    <w:rsid w:val="00FA3E25"/>
    <w:rsid w:val="00FA3E28"/>
    <w:rsid w:val="00FA3E3A"/>
    <w:rsid w:val="00FA3F16"/>
    <w:rsid w:val="00FA3F64"/>
    <w:rsid w:val="00FA3F98"/>
    <w:rsid w:val="00FA41D6"/>
    <w:rsid w:val="00FA4243"/>
    <w:rsid w:val="00FA426C"/>
    <w:rsid w:val="00FA426F"/>
    <w:rsid w:val="00FA427B"/>
    <w:rsid w:val="00FA428C"/>
    <w:rsid w:val="00FA42EC"/>
    <w:rsid w:val="00FA43A9"/>
    <w:rsid w:val="00FA4502"/>
    <w:rsid w:val="00FA4510"/>
    <w:rsid w:val="00FA4511"/>
    <w:rsid w:val="00FA468C"/>
    <w:rsid w:val="00FA469E"/>
    <w:rsid w:val="00FA46AD"/>
    <w:rsid w:val="00FA4768"/>
    <w:rsid w:val="00FA4854"/>
    <w:rsid w:val="00FA489C"/>
    <w:rsid w:val="00FA4966"/>
    <w:rsid w:val="00FA49AE"/>
    <w:rsid w:val="00FA49F4"/>
    <w:rsid w:val="00FA4A72"/>
    <w:rsid w:val="00FA4B37"/>
    <w:rsid w:val="00FA4B7B"/>
    <w:rsid w:val="00FA4BE3"/>
    <w:rsid w:val="00FA4BE6"/>
    <w:rsid w:val="00FA4C04"/>
    <w:rsid w:val="00FA4C0A"/>
    <w:rsid w:val="00FA4C60"/>
    <w:rsid w:val="00FA4CAD"/>
    <w:rsid w:val="00FA4E51"/>
    <w:rsid w:val="00FA4ED3"/>
    <w:rsid w:val="00FA4EF0"/>
    <w:rsid w:val="00FA4F74"/>
    <w:rsid w:val="00FA4F77"/>
    <w:rsid w:val="00FA4FAD"/>
    <w:rsid w:val="00FA4FCD"/>
    <w:rsid w:val="00FA5056"/>
    <w:rsid w:val="00FA52B9"/>
    <w:rsid w:val="00FA543A"/>
    <w:rsid w:val="00FA544E"/>
    <w:rsid w:val="00FA555A"/>
    <w:rsid w:val="00FA5561"/>
    <w:rsid w:val="00FA559D"/>
    <w:rsid w:val="00FA5811"/>
    <w:rsid w:val="00FA5838"/>
    <w:rsid w:val="00FA588B"/>
    <w:rsid w:val="00FA5993"/>
    <w:rsid w:val="00FA59BA"/>
    <w:rsid w:val="00FA59EC"/>
    <w:rsid w:val="00FA59F7"/>
    <w:rsid w:val="00FA5ADF"/>
    <w:rsid w:val="00FA5BD9"/>
    <w:rsid w:val="00FA5C49"/>
    <w:rsid w:val="00FA5C8D"/>
    <w:rsid w:val="00FA5C93"/>
    <w:rsid w:val="00FA5D42"/>
    <w:rsid w:val="00FA5DC2"/>
    <w:rsid w:val="00FA5E43"/>
    <w:rsid w:val="00FA5F45"/>
    <w:rsid w:val="00FA602B"/>
    <w:rsid w:val="00FA60D1"/>
    <w:rsid w:val="00FA6145"/>
    <w:rsid w:val="00FA6149"/>
    <w:rsid w:val="00FA6251"/>
    <w:rsid w:val="00FA6268"/>
    <w:rsid w:val="00FA627C"/>
    <w:rsid w:val="00FA6284"/>
    <w:rsid w:val="00FA6340"/>
    <w:rsid w:val="00FA6520"/>
    <w:rsid w:val="00FA6558"/>
    <w:rsid w:val="00FA658B"/>
    <w:rsid w:val="00FA677D"/>
    <w:rsid w:val="00FA6798"/>
    <w:rsid w:val="00FA67A7"/>
    <w:rsid w:val="00FA6842"/>
    <w:rsid w:val="00FA68B9"/>
    <w:rsid w:val="00FA693A"/>
    <w:rsid w:val="00FA694B"/>
    <w:rsid w:val="00FA6A39"/>
    <w:rsid w:val="00FA6A84"/>
    <w:rsid w:val="00FA6B33"/>
    <w:rsid w:val="00FA6B8E"/>
    <w:rsid w:val="00FA6C0A"/>
    <w:rsid w:val="00FA6C3D"/>
    <w:rsid w:val="00FA6CB9"/>
    <w:rsid w:val="00FA6CDD"/>
    <w:rsid w:val="00FA6D19"/>
    <w:rsid w:val="00FA6D2F"/>
    <w:rsid w:val="00FA6D44"/>
    <w:rsid w:val="00FA6D7D"/>
    <w:rsid w:val="00FA6E8F"/>
    <w:rsid w:val="00FA6F32"/>
    <w:rsid w:val="00FA6F45"/>
    <w:rsid w:val="00FA6F7C"/>
    <w:rsid w:val="00FA6FC3"/>
    <w:rsid w:val="00FA7043"/>
    <w:rsid w:val="00FA707A"/>
    <w:rsid w:val="00FA70EF"/>
    <w:rsid w:val="00FA713D"/>
    <w:rsid w:val="00FA716B"/>
    <w:rsid w:val="00FA71F4"/>
    <w:rsid w:val="00FA7210"/>
    <w:rsid w:val="00FA7264"/>
    <w:rsid w:val="00FA7285"/>
    <w:rsid w:val="00FA7343"/>
    <w:rsid w:val="00FA735E"/>
    <w:rsid w:val="00FA7429"/>
    <w:rsid w:val="00FA74E3"/>
    <w:rsid w:val="00FA7513"/>
    <w:rsid w:val="00FA75D5"/>
    <w:rsid w:val="00FA7618"/>
    <w:rsid w:val="00FA76AB"/>
    <w:rsid w:val="00FA76CA"/>
    <w:rsid w:val="00FA77BF"/>
    <w:rsid w:val="00FA78D8"/>
    <w:rsid w:val="00FA78E1"/>
    <w:rsid w:val="00FA7901"/>
    <w:rsid w:val="00FA7916"/>
    <w:rsid w:val="00FA7949"/>
    <w:rsid w:val="00FA7A09"/>
    <w:rsid w:val="00FA7A13"/>
    <w:rsid w:val="00FA7AF0"/>
    <w:rsid w:val="00FA7C20"/>
    <w:rsid w:val="00FA7C52"/>
    <w:rsid w:val="00FA7CE5"/>
    <w:rsid w:val="00FA7D5B"/>
    <w:rsid w:val="00FA7DD0"/>
    <w:rsid w:val="00FA7E2A"/>
    <w:rsid w:val="00FA7E71"/>
    <w:rsid w:val="00FA7EAA"/>
    <w:rsid w:val="00FA7EE7"/>
    <w:rsid w:val="00FA7F14"/>
    <w:rsid w:val="00FA7F47"/>
    <w:rsid w:val="00FA7FE3"/>
    <w:rsid w:val="00FB0004"/>
    <w:rsid w:val="00FB0028"/>
    <w:rsid w:val="00FB0034"/>
    <w:rsid w:val="00FB00B2"/>
    <w:rsid w:val="00FB00CA"/>
    <w:rsid w:val="00FB010A"/>
    <w:rsid w:val="00FB0141"/>
    <w:rsid w:val="00FB01E7"/>
    <w:rsid w:val="00FB02F7"/>
    <w:rsid w:val="00FB0325"/>
    <w:rsid w:val="00FB038D"/>
    <w:rsid w:val="00FB0488"/>
    <w:rsid w:val="00FB0610"/>
    <w:rsid w:val="00FB0633"/>
    <w:rsid w:val="00FB070B"/>
    <w:rsid w:val="00FB073A"/>
    <w:rsid w:val="00FB0778"/>
    <w:rsid w:val="00FB07B4"/>
    <w:rsid w:val="00FB07F1"/>
    <w:rsid w:val="00FB0907"/>
    <w:rsid w:val="00FB0A3B"/>
    <w:rsid w:val="00FB0A77"/>
    <w:rsid w:val="00FB0A7D"/>
    <w:rsid w:val="00FB0AE7"/>
    <w:rsid w:val="00FB0AF4"/>
    <w:rsid w:val="00FB0B40"/>
    <w:rsid w:val="00FB0BFA"/>
    <w:rsid w:val="00FB0BFF"/>
    <w:rsid w:val="00FB0C18"/>
    <w:rsid w:val="00FB0C84"/>
    <w:rsid w:val="00FB0CCB"/>
    <w:rsid w:val="00FB0CEE"/>
    <w:rsid w:val="00FB0E29"/>
    <w:rsid w:val="00FB0E92"/>
    <w:rsid w:val="00FB0E99"/>
    <w:rsid w:val="00FB0FD8"/>
    <w:rsid w:val="00FB1087"/>
    <w:rsid w:val="00FB1098"/>
    <w:rsid w:val="00FB10B2"/>
    <w:rsid w:val="00FB1111"/>
    <w:rsid w:val="00FB113A"/>
    <w:rsid w:val="00FB114F"/>
    <w:rsid w:val="00FB1170"/>
    <w:rsid w:val="00FB11A4"/>
    <w:rsid w:val="00FB11E1"/>
    <w:rsid w:val="00FB11EF"/>
    <w:rsid w:val="00FB126F"/>
    <w:rsid w:val="00FB12DD"/>
    <w:rsid w:val="00FB134E"/>
    <w:rsid w:val="00FB139F"/>
    <w:rsid w:val="00FB13B2"/>
    <w:rsid w:val="00FB1431"/>
    <w:rsid w:val="00FB1455"/>
    <w:rsid w:val="00FB14CF"/>
    <w:rsid w:val="00FB158D"/>
    <w:rsid w:val="00FB15EA"/>
    <w:rsid w:val="00FB163A"/>
    <w:rsid w:val="00FB1678"/>
    <w:rsid w:val="00FB1693"/>
    <w:rsid w:val="00FB16B0"/>
    <w:rsid w:val="00FB16FF"/>
    <w:rsid w:val="00FB1740"/>
    <w:rsid w:val="00FB1752"/>
    <w:rsid w:val="00FB17DD"/>
    <w:rsid w:val="00FB181E"/>
    <w:rsid w:val="00FB1837"/>
    <w:rsid w:val="00FB192B"/>
    <w:rsid w:val="00FB193A"/>
    <w:rsid w:val="00FB1956"/>
    <w:rsid w:val="00FB19A8"/>
    <w:rsid w:val="00FB19BE"/>
    <w:rsid w:val="00FB1A07"/>
    <w:rsid w:val="00FB1A3D"/>
    <w:rsid w:val="00FB1A6C"/>
    <w:rsid w:val="00FB1A8B"/>
    <w:rsid w:val="00FB1AC5"/>
    <w:rsid w:val="00FB1B02"/>
    <w:rsid w:val="00FB1B4A"/>
    <w:rsid w:val="00FB1BC3"/>
    <w:rsid w:val="00FB1C49"/>
    <w:rsid w:val="00FB1C8F"/>
    <w:rsid w:val="00FB1CEC"/>
    <w:rsid w:val="00FB1E0E"/>
    <w:rsid w:val="00FB1E69"/>
    <w:rsid w:val="00FB1EA8"/>
    <w:rsid w:val="00FB1F4F"/>
    <w:rsid w:val="00FB1FE8"/>
    <w:rsid w:val="00FB202C"/>
    <w:rsid w:val="00FB208A"/>
    <w:rsid w:val="00FB20A1"/>
    <w:rsid w:val="00FB217D"/>
    <w:rsid w:val="00FB21C8"/>
    <w:rsid w:val="00FB2329"/>
    <w:rsid w:val="00FB2344"/>
    <w:rsid w:val="00FB23FF"/>
    <w:rsid w:val="00FB2431"/>
    <w:rsid w:val="00FB247A"/>
    <w:rsid w:val="00FB259A"/>
    <w:rsid w:val="00FB26A2"/>
    <w:rsid w:val="00FB2786"/>
    <w:rsid w:val="00FB27F6"/>
    <w:rsid w:val="00FB28BC"/>
    <w:rsid w:val="00FB28F8"/>
    <w:rsid w:val="00FB2942"/>
    <w:rsid w:val="00FB2A04"/>
    <w:rsid w:val="00FB2A20"/>
    <w:rsid w:val="00FB2A69"/>
    <w:rsid w:val="00FB2C05"/>
    <w:rsid w:val="00FB2D4C"/>
    <w:rsid w:val="00FB2DB6"/>
    <w:rsid w:val="00FB2DC0"/>
    <w:rsid w:val="00FB2DDC"/>
    <w:rsid w:val="00FB2FFC"/>
    <w:rsid w:val="00FB3026"/>
    <w:rsid w:val="00FB3037"/>
    <w:rsid w:val="00FB309F"/>
    <w:rsid w:val="00FB30BB"/>
    <w:rsid w:val="00FB32F1"/>
    <w:rsid w:val="00FB32F6"/>
    <w:rsid w:val="00FB3382"/>
    <w:rsid w:val="00FB3406"/>
    <w:rsid w:val="00FB3411"/>
    <w:rsid w:val="00FB3477"/>
    <w:rsid w:val="00FB35E5"/>
    <w:rsid w:val="00FB363C"/>
    <w:rsid w:val="00FB3663"/>
    <w:rsid w:val="00FB3868"/>
    <w:rsid w:val="00FB38B5"/>
    <w:rsid w:val="00FB396B"/>
    <w:rsid w:val="00FB39E0"/>
    <w:rsid w:val="00FB3A22"/>
    <w:rsid w:val="00FB3A75"/>
    <w:rsid w:val="00FB3B3A"/>
    <w:rsid w:val="00FB3BBD"/>
    <w:rsid w:val="00FB3BC3"/>
    <w:rsid w:val="00FB3C4C"/>
    <w:rsid w:val="00FB3C8F"/>
    <w:rsid w:val="00FB3C94"/>
    <w:rsid w:val="00FB3CAE"/>
    <w:rsid w:val="00FB3D80"/>
    <w:rsid w:val="00FB3D89"/>
    <w:rsid w:val="00FB3DA4"/>
    <w:rsid w:val="00FB3DAE"/>
    <w:rsid w:val="00FB3F48"/>
    <w:rsid w:val="00FB3F95"/>
    <w:rsid w:val="00FB40EC"/>
    <w:rsid w:val="00FB4117"/>
    <w:rsid w:val="00FB4126"/>
    <w:rsid w:val="00FB4167"/>
    <w:rsid w:val="00FB41B6"/>
    <w:rsid w:val="00FB4259"/>
    <w:rsid w:val="00FB4271"/>
    <w:rsid w:val="00FB432F"/>
    <w:rsid w:val="00FB43AF"/>
    <w:rsid w:val="00FB43CB"/>
    <w:rsid w:val="00FB43E9"/>
    <w:rsid w:val="00FB441C"/>
    <w:rsid w:val="00FB4447"/>
    <w:rsid w:val="00FB44B7"/>
    <w:rsid w:val="00FB44E2"/>
    <w:rsid w:val="00FB454B"/>
    <w:rsid w:val="00FB4641"/>
    <w:rsid w:val="00FB4691"/>
    <w:rsid w:val="00FB4700"/>
    <w:rsid w:val="00FB47D7"/>
    <w:rsid w:val="00FB47DE"/>
    <w:rsid w:val="00FB488C"/>
    <w:rsid w:val="00FB48C8"/>
    <w:rsid w:val="00FB48E8"/>
    <w:rsid w:val="00FB48EA"/>
    <w:rsid w:val="00FB4935"/>
    <w:rsid w:val="00FB4976"/>
    <w:rsid w:val="00FB497E"/>
    <w:rsid w:val="00FB4A69"/>
    <w:rsid w:val="00FB4ADC"/>
    <w:rsid w:val="00FB4AFB"/>
    <w:rsid w:val="00FB4B43"/>
    <w:rsid w:val="00FB4BD6"/>
    <w:rsid w:val="00FB4C75"/>
    <w:rsid w:val="00FB4C83"/>
    <w:rsid w:val="00FB4D7F"/>
    <w:rsid w:val="00FB4F2F"/>
    <w:rsid w:val="00FB5000"/>
    <w:rsid w:val="00FB508B"/>
    <w:rsid w:val="00FB5228"/>
    <w:rsid w:val="00FB5290"/>
    <w:rsid w:val="00FB52B3"/>
    <w:rsid w:val="00FB538F"/>
    <w:rsid w:val="00FB5443"/>
    <w:rsid w:val="00FB549C"/>
    <w:rsid w:val="00FB54D8"/>
    <w:rsid w:val="00FB55A5"/>
    <w:rsid w:val="00FB56F6"/>
    <w:rsid w:val="00FB5776"/>
    <w:rsid w:val="00FB578C"/>
    <w:rsid w:val="00FB588D"/>
    <w:rsid w:val="00FB58DB"/>
    <w:rsid w:val="00FB5939"/>
    <w:rsid w:val="00FB59A9"/>
    <w:rsid w:val="00FB59ED"/>
    <w:rsid w:val="00FB5A71"/>
    <w:rsid w:val="00FB5AFE"/>
    <w:rsid w:val="00FB5B5C"/>
    <w:rsid w:val="00FB5B90"/>
    <w:rsid w:val="00FB5BBB"/>
    <w:rsid w:val="00FB5BFB"/>
    <w:rsid w:val="00FB5D7E"/>
    <w:rsid w:val="00FB5DD3"/>
    <w:rsid w:val="00FB5E5B"/>
    <w:rsid w:val="00FB5EA4"/>
    <w:rsid w:val="00FB5EAB"/>
    <w:rsid w:val="00FB5F87"/>
    <w:rsid w:val="00FB6083"/>
    <w:rsid w:val="00FB6088"/>
    <w:rsid w:val="00FB60FC"/>
    <w:rsid w:val="00FB61B8"/>
    <w:rsid w:val="00FB61E0"/>
    <w:rsid w:val="00FB629B"/>
    <w:rsid w:val="00FB62A9"/>
    <w:rsid w:val="00FB6337"/>
    <w:rsid w:val="00FB6399"/>
    <w:rsid w:val="00FB6491"/>
    <w:rsid w:val="00FB649A"/>
    <w:rsid w:val="00FB649F"/>
    <w:rsid w:val="00FB64E9"/>
    <w:rsid w:val="00FB650D"/>
    <w:rsid w:val="00FB653F"/>
    <w:rsid w:val="00FB6576"/>
    <w:rsid w:val="00FB65FA"/>
    <w:rsid w:val="00FB66A3"/>
    <w:rsid w:val="00FB6794"/>
    <w:rsid w:val="00FB68A9"/>
    <w:rsid w:val="00FB68C1"/>
    <w:rsid w:val="00FB68DC"/>
    <w:rsid w:val="00FB69A8"/>
    <w:rsid w:val="00FB6A2D"/>
    <w:rsid w:val="00FB6B40"/>
    <w:rsid w:val="00FB6C49"/>
    <w:rsid w:val="00FB6C57"/>
    <w:rsid w:val="00FB6CC7"/>
    <w:rsid w:val="00FB6D19"/>
    <w:rsid w:val="00FB6D70"/>
    <w:rsid w:val="00FB6D9B"/>
    <w:rsid w:val="00FB6DC2"/>
    <w:rsid w:val="00FB6DE6"/>
    <w:rsid w:val="00FB6DE9"/>
    <w:rsid w:val="00FB6ED7"/>
    <w:rsid w:val="00FB6EF1"/>
    <w:rsid w:val="00FB6F41"/>
    <w:rsid w:val="00FB6FBE"/>
    <w:rsid w:val="00FB6FC5"/>
    <w:rsid w:val="00FB6FD1"/>
    <w:rsid w:val="00FB7059"/>
    <w:rsid w:val="00FB7179"/>
    <w:rsid w:val="00FB71F1"/>
    <w:rsid w:val="00FB7254"/>
    <w:rsid w:val="00FB7262"/>
    <w:rsid w:val="00FB7269"/>
    <w:rsid w:val="00FB72DD"/>
    <w:rsid w:val="00FB7508"/>
    <w:rsid w:val="00FB7539"/>
    <w:rsid w:val="00FB7541"/>
    <w:rsid w:val="00FB7601"/>
    <w:rsid w:val="00FB76C2"/>
    <w:rsid w:val="00FB7732"/>
    <w:rsid w:val="00FB77F1"/>
    <w:rsid w:val="00FB7821"/>
    <w:rsid w:val="00FB7860"/>
    <w:rsid w:val="00FB78D2"/>
    <w:rsid w:val="00FB7949"/>
    <w:rsid w:val="00FB79A2"/>
    <w:rsid w:val="00FB79CB"/>
    <w:rsid w:val="00FB7A91"/>
    <w:rsid w:val="00FB7C2A"/>
    <w:rsid w:val="00FB7D94"/>
    <w:rsid w:val="00FB7E2D"/>
    <w:rsid w:val="00FB7E99"/>
    <w:rsid w:val="00FB7EFF"/>
    <w:rsid w:val="00FB7F44"/>
    <w:rsid w:val="00FB7F5C"/>
    <w:rsid w:val="00FC0097"/>
    <w:rsid w:val="00FC00B1"/>
    <w:rsid w:val="00FC0162"/>
    <w:rsid w:val="00FC0229"/>
    <w:rsid w:val="00FC02F3"/>
    <w:rsid w:val="00FC02F8"/>
    <w:rsid w:val="00FC033E"/>
    <w:rsid w:val="00FC0415"/>
    <w:rsid w:val="00FC0417"/>
    <w:rsid w:val="00FC041A"/>
    <w:rsid w:val="00FC0442"/>
    <w:rsid w:val="00FC0444"/>
    <w:rsid w:val="00FC0445"/>
    <w:rsid w:val="00FC05C3"/>
    <w:rsid w:val="00FC05F7"/>
    <w:rsid w:val="00FC06A8"/>
    <w:rsid w:val="00FC06F0"/>
    <w:rsid w:val="00FC07C1"/>
    <w:rsid w:val="00FC07D2"/>
    <w:rsid w:val="00FC0924"/>
    <w:rsid w:val="00FC0974"/>
    <w:rsid w:val="00FC0A9A"/>
    <w:rsid w:val="00FC0BEB"/>
    <w:rsid w:val="00FC0C54"/>
    <w:rsid w:val="00FC0C8B"/>
    <w:rsid w:val="00FC0CFC"/>
    <w:rsid w:val="00FC0E44"/>
    <w:rsid w:val="00FC0F2B"/>
    <w:rsid w:val="00FC0F50"/>
    <w:rsid w:val="00FC0F70"/>
    <w:rsid w:val="00FC0F73"/>
    <w:rsid w:val="00FC0FA0"/>
    <w:rsid w:val="00FC0FE8"/>
    <w:rsid w:val="00FC1015"/>
    <w:rsid w:val="00FC103C"/>
    <w:rsid w:val="00FC10DF"/>
    <w:rsid w:val="00FC12EB"/>
    <w:rsid w:val="00FC1372"/>
    <w:rsid w:val="00FC13E6"/>
    <w:rsid w:val="00FC140D"/>
    <w:rsid w:val="00FC159D"/>
    <w:rsid w:val="00FC15D4"/>
    <w:rsid w:val="00FC1629"/>
    <w:rsid w:val="00FC177D"/>
    <w:rsid w:val="00FC17CD"/>
    <w:rsid w:val="00FC1831"/>
    <w:rsid w:val="00FC1863"/>
    <w:rsid w:val="00FC19F1"/>
    <w:rsid w:val="00FC1A03"/>
    <w:rsid w:val="00FC1A55"/>
    <w:rsid w:val="00FC1A73"/>
    <w:rsid w:val="00FC1AC8"/>
    <w:rsid w:val="00FC1B42"/>
    <w:rsid w:val="00FC1BE1"/>
    <w:rsid w:val="00FC1CAE"/>
    <w:rsid w:val="00FC1D3E"/>
    <w:rsid w:val="00FC1DC0"/>
    <w:rsid w:val="00FC1DF5"/>
    <w:rsid w:val="00FC1E22"/>
    <w:rsid w:val="00FC1E5E"/>
    <w:rsid w:val="00FC1E62"/>
    <w:rsid w:val="00FC1E65"/>
    <w:rsid w:val="00FC1E7D"/>
    <w:rsid w:val="00FC1EAA"/>
    <w:rsid w:val="00FC1F8A"/>
    <w:rsid w:val="00FC2010"/>
    <w:rsid w:val="00FC20C2"/>
    <w:rsid w:val="00FC20D8"/>
    <w:rsid w:val="00FC2263"/>
    <w:rsid w:val="00FC2290"/>
    <w:rsid w:val="00FC2514"/>
    <w:rsid w:val="00FC258E"/>
    <w:rsid w:val="00FC25DA"/>
    <w:rsid w:val="00FC261D"/>
    <w:rsid w:val="00FC263E"/>
    <w:rsid w:val="00FC2650"/>
    <w:rsid w:val="00FC2673"/>
    <w:rsid w:val="00FC2721"/>
    <w:rsid w:val="00FC27CE"/>
    <w:rsid w:val="00FC27F8"/>
    <w:rsid w:val="00FC2853"/>
    <w:rsid w:val="00FC28B6"/>
    <w:rsid w:val="00FC294D"/>
    <w:rsid w:val="00FC29B8"/>
    <w:rsid w:val="00FC2A3E"/>
    <w:rsid w:val="00FC2A90"/>
    <w:rsid w:val="00FC2C16"/>
    <w:rsid w:val="00FC2C83"/>
    <w:rsid w:val="00FC2DD5"/>
    <w:rsid w:val="00FC2F08"/>
    <w:rsid w:val="00FC2F3D"/>
    <w:rsid w:val="00FC2F66"/>
    <w:rsid w:val="00FC2F74"/>
    <w:rsid w:val="00FC2F87"/>
    <w:rsid w:val="00FC302D"/>
    <w:rsid w:val="00FC3043"/>
    <w:rsid w:val="00FC306D"/>
    <w:rsid w:val="00FC31B1"/>
    <w:rsid w:val="00FC31CD"/>
    <w:rsid w:val="00FC3248"/>
    <w:rsid w:val="00FC32CE"/>
    <w:rsid w:val="00FC331B"/>
    <w:rsid w:val="00FC334A"/>
    <w:rsid w:val="00FC335B"/>
    <w:rsid w:val="00FC341A"/>
    <w:rsid w:val="00FC3449"/>
    <w:rsid w:val="00FC34AA"/>
    <w:rsid w:val="00FC350E"/>
    <w:rsid w:val="00FC3609"/>
    <w:rsid w:val="00FC3674"/>
    <w:rsid w:val="00FC3696"/>
    <w:rsid w:val="00FC3760"/>
    <w:rsid w:val="00FC38C0"/>
    <w:rsid w:val="00FC38C8"/>
    <w:rsid w:val="00FC38F3"/>
    <w:rsid w:val="00FC3932"/>
    <w:rsid w:val="00FC39B8"/>
    <w:rsid w:val="00FC39D0"/>
    <w:rsid w:val="00FC3A14"/>
    <w:rsid w:val="00FC3A37"/>
    <w:rsid w:val="00FC3B0A"/>
    <w:rsid w:val="00FC3C17"/>
    <w:rsid w:val="00FC3C94"/>
    <w:rsid w:val="00FC3CB7"/>
    <w:rsid w:val="00FC3D67"/>
    <w:rsid w:val="00FC3DA9"/>
    <w:rsid w:val="00FC3E3A"/>
    <w:rsid w:val="00FC3F1B"/>
    <w:rsid w:val="00FC3F6E"/>
    <w:rsid w:val="00FC3FDD"/>
    <w:rsid w:val="00FC3FFF"/>
    <w:rsid w:val="00FC4074"/>
    <w:rsid w:val="00FC42B9"/>
    <w:rsid w:val="00FC4328"/>
    <w:rsid w:val="00FC438F"/>
    <w:rsid w:val="00FC43AB"/>
    <w:rsid w:val="00FC43BD"/>
    <w:rsid w:val="00FC43ED"/>
    <w:rsid w:val="00FC440D"/>
    <w:rsid w:val="00FC4414"/>
    <w:rsid w:val="00FC4415"/>
    <w:rsid w:val="00FC456E"/>
    <w:rsid w:val="00FC4577"/>
    <w:rsid w:val="00FC463E"/>
    <w:rsid w:val="00FC473E"/>
    <w:rsid w:val="00FC478F"/>
    <w:rsid w:val="00FC47C7"/>
    <w:rsid w:val="00FC47CC"/>
    <w:rsid w:val="00FC47DA"/>
    <w:rsid w:val="00FC485C"/>
    <w:rsid w:val="00FC4877"/>
    <w:rsid w:val="00FC48BE"/>
    <w:rsid w:val="00FC4942"/>
    <w:rsid w:val="00FC494E"/>
    <w:rsid w:val="00FC4950"/>
    <w:rsid w:val="00FC49A0"/>
    <w:rsid w:val="00FC49D5"/>
    <w:rsid w:val="00FC4A18"/>
    <w:rsid w:val="00FC4A91"/>
    <w:rsid w:val="00FC4ACE"/>
    <w:rsid w:val="00FC4B12"/>
    <w:rsid w:val="00FC4B5C"/>
    <w:rsid w:val="00FC4BB2"/>
    <w:rsid w:val="00FC4BDD"/>
    <w:rsid w:val="00FC4C6C"/>
    <w:rsid w:val="00FC4CDE"/>
    <w:rsid w:val="00FC4D80"/>
    <w:rsid w:val="00FC4DA0"/>
    <w:rsid w:val="00FC4DB6"/>
    <w:rsid w:val="00FC4F5B"/>
    <w:rsid w:val="00FC4FA7"/>
    <w:rsid w:val="00FC4FB4"/>
    <w:rsid w:val="00FC4FC2"/>
    <w:rsid w:val="00FC5050"/>
    <w:rsid w:val="00FC5064"/>
    <w:rsid w:val="00FC5091"/>
    <w:rsid w:val="00FC50EF"/>
    <w:rsid w:val="00FC5149"/>
    <w:rsid w:val="00FC51F1"/>
    <w:rsid w:val="00FC51F4"/>
    <w:rsid w:val="00FC5323"/>
    <w:rsid w:val="00FC54D6"/>
    <w:rsid w:val="00FC54E4"/>
    <w:rsid w:val="00FC551B"/>
    <w:rsid w:val="00FC5570"/>
    <w:rsid w:val="00FC567E"/>
    <w:rsid w:val="00FC5690"/>
    <w:rsid w:val="00FC56C6"/>
    <w:rsid w:val="00FC57A2"/>
    <w:rsid w:val="00FC57FB"/>
    <w:rsid w:val="00FC59C9"/>
    <w:rsid w:val="00FC5AA5"/>
    <w:rsid w:val="00FC5AB1"/>
    <w:rsid w:val="00FC5ACB"/>
    <w:rsid w:val="00FC5AE5"/>
    <w:rsid w:val="00FC5B11"/>
    <w:rsid w:val="00FC5B2B"/>
    <w:rsid w:val="00FC5B37"/>
    <w:rsid w:val="00FC5B82"/>
    <w:rsid w:val="00FC5C1E"/>
    <w:rsid w:val="00FC5C23"/>
    <w:rsid w:val="00FC5CD2"/>
    <w:rsid w:val="00FC5D0A"/>
    <w:rsid w:val="00FC5D47"/>
    <w:rsid w:val="00FC5D6F"/>
    <w:rsid w:val="00FC5DD4"/>
    <w:rsid w:val="00FC5ECA"/>
    <w:rsid w:val="00FC5F5A"/>
    <w:rsid w:val="00FC5F94"/>
    <w:rsid w:val="00FC5FFA"/>
    <w:rsid w:val="00FC6001"/>
    <w:rsid w:val="00FC6062"/>
    <w:rsid w:val="00FC60A5"/>
    <w:rsid w:val="00FC60CE"/>
    <w:rsid w:val="00FC6121"/>
    <w:rsid w:val="00FC617A"/>
    <w:rsid w:val="00FC61EE"/>
    <w:rsid w:val="00FC61EF"/>
    <w:rsid w:val="00FC6262"/>
    <w:rsid w:val="00FC636C"/>
    <w:rsid w:val="00FC63C6"/>
    <w:rsid w:val="00FC6417"/>
    <w:rsid w:val="00FC6564"/>
    <w:rsid w:val="00FC659F"/>
    <w:rsid w:val="00FC6715"/>
    <w:rsid w:val="00FC6794"/>
    <w:rsid w:val="00FC6825"/>
    <w:rsid w:val="00FC68F5"/>
    <w:rsid w:val="00FC6979"/>
    <w:rsid w:val="00FC6997"/>
    <w:rsid w:val="00FC6A11"/>
    <w:rsid w:val="00FC6A70"/>
    <w:rsid w:val="00FC6A88"/>
    <w:rsid w:val="00FC6AD6"/>
    <w:rsid w:val="00FC6AEA"/>
    <w:rsid w:val="00FC6B79"/>
    <w:rsid w:val="00FC6C3D"/>
    <w:rsid w:val="00FC6DA6"/>
    <w:rsid w:val="00FC6FBE"/>
    <w:rsid w:val="00FC6FE7"/>
    <w:rsid w:val="00FC6FF9"/>
    <w:rsid w:val="00FC700B"/>
    <w:rsid w:val="00FC713C"/>
    <w:rsid w:val="00FC7171"/>
    <w:rsid w:val="00FC71DB"/>
    <w:rsid w:val="00FC721F"/>
    <w:rsid w:val="00FC7305"/>
    <w:rsid w:val="00FC7317"/>
    <w:rsid w:val="00FC731B"/>
    <w:rsid w:val="00FC7348"/>
    <w:rsid w:val="00FC7410"/>
    <w:rsid w:val="00FC7438"/>
    <w:rsid w:val="00FC761C"/>
    <w:rsid w:val="00FC76AA"/>
    <w:rsid w:val="00FC76B7"/>
    <w:rsid w:val="00FC77A1"/>
    <w:rsid w:val="00FC7966"/>
    <w:rsid w:val="00FC79A8"/>
    <w:rsid w:val="00FC7AD3"/>
    <w:rsid w:val="00FC7C77"/>
    <w:rsid w:val="00FC7CBD"/>
    <w:rsid w:val="00FC7D2E"/>
    <w:rsid w:val="00FC7D3D"/>
    <w:rsid w:val="00FC7D55"/>
    <w:rsid w:val="00FC7DDA"/>
    <w:rsid w:val="00FC7E60"/>
    <w:rsid w:val="00FC7F02"/>
    <w:rsid w:val="00FC7F34"/>
    <w:rsid w:val="00FC7F4A"/>
    <w:rsid w:val="00FC7F6D"/>
    <w:rsid w:val="00FC7FAD"/>
    <w:rsid w:val="00FC7FC6"/>
    <w:rsid w:val="00FD0097"/>
    <w:rsid w:val="00FD0198"/>
    <w:rsid w:val="00FD029B"/>
    <w:rsid w:val="00FD03A2"/>
    <w:rsid w:val="00FD04C4"/>
    <w:rsid w:val="00FD04E2"/>
    <w:rsid w:val="00FD04F2"/>
    <w:rsid w:val="00FD05FF"/>
    <w:rsid w:val="00FD0663"/>
    <w:rsid w:val="00FD071C"/>
    <w:rsid w:val="00FD0745"/>
    <w:rsid w:val="00FD0758"/>
    <w:rsid w:val="00FD0772"/>
    <w:rsid w:val="00FD08A4"/>
    <w:rsid w:val="00FD09B8"/>
    <w:rsid w:val="00FD09F8"/>
    <w:rsid w:val="00FD0A11"/>
    <w:rsid w:val="00FD0A7A"/>
    <w:rsid w:val="00FD0AD7"/>
    <w:rsid w:val="00FD0B72"/>
    <w:rsid w:val="00FD0BF2"/>
    <w:rsid w:val="00FD0C9E"/>
    <w:rsid w:val="00FD0CA0"/>
    <w:rsid w:val="00FD0CD6"/>
    <w:rsid w:val="00FD0D39"/>
    <w:rsid w:val="00FD0E7B"/>
    <w:rsid w:val="00FD0EFD"/>
    <w:rsid w:val="00FD0EFE"/>
    <w:rsid w:val="00FD0F14"/>
    <w:rsid w:val="00FD0F79"/>
    <w:rsid w:val="00FD107F"/>
    <w:rsid w:val="00FD10F0"/>
    <w:rsid w:val="00FD10F2"/>
    <w:rsid w:val="00FD1197"/>
    <w:rsid w:val="00FD11B6"/>
    <w:rsid w:val="00FD1283"/>
    <w:rsid w:val="00FD13E7"/>
    <w:rsid w:val="00FD14C4"/>
    <w:rsid w:val="00FD1586"/>
    <w:rsid w:val="00FD161F"/>
    <w:rsid w:val="00FD1624"/>
    <w:rsid w:val="00FD1953"/>
    <w:rsid w:val="00FD1AAB"/>
    <w:rsid w:val="00FD1B25"/>
    <w:rsid w:val="00FD1BE3"/>
    <w:rsid w:val="00FD1C7B"/>
    <w:rsid w:val="00FD1CDD"/>
    <w:rsid w:val="00FD1E80"/>
    <w:rsid w:val="00FD1F1C"/>
    <w:rsid w:val="00FD1F92"/>
    <w:rsid w:val="00FD203D"/>
    <w:rsid w:val="00FD20D8"/>
    <w:rsid w:val="00FD213C"/>
    <w:rsid w:val="00FD2155"/>
    <w:rsid w:val="00FD21C1"/>
    <w:rsid w:val="00FD21E9"/>
    <w:rsid w:val="00FD21EF"/>
    <w:rsid w:val="00FD2220"/>
    <w:rsid w:val="00FD225D"/>
    <w:rsid w:val="00FD2261"/>
    <w:rsid w:val="00FD2316"/>
    <w:rsid w:val="00FD2395"/>
    <w:rsid w:val="00FD23D0"/>
    <w:rsid w:val="00FD23EC"/>
    <w:rsid w:val="00FD246E"/>
    <w:rsid w:val="00FD24DE"/>
    <w:rsid w:val="00FD2589"/>
    <w:rsid w:val="00FD259B"/>
    <w:rsid w:val="00FD2610"/>
    <w:rsid w:val="00FD2654"/>
    <w:rsid w:val="00FD265E"/>
    <w:rsid w:val="00FD26A1"/>
    <w:rsid w:val="00FD26A7"/>
    <w:rsid w:val="00FD283B"/>
    <w:rsid w:val="00FD2868"/>
    <w:rsid w:val="00FD28B8"/>
    <w:rsid w:val="00FD28D7"/>
    <w:rsid w:val="00FD2947"/>
    <w:rsid w:val="00FD2A4A"/>
    <w:rsid w:val="00FD2AB2"/>
    <w:rsid w:val="00FD2ADB"/>
    <w:rsid w:val="00FD2AEA"/>
    <w:rsid w:val="00FD2B82"/>
    <w:rsid w:val="00FD2BB9"/>
    <w:rsid w:val="00FD2BFF"/>
    <w:rsid w:val="00FD2C40"/>
    <w:rsid w:val="00FD2C5C"/>
    <w:rsid w:val="00FD2E0A"/>
    <w:rsid w:val="00FD2E16"/>
    <w:rsid w:val="00FD2E58"/>
    <w:rsid w:val="00FD2E7D"/>
    <w:rsid w:val="00FD2E9D"/>
    <w:rsid w:val="00FD2EDB"/>
    <w:rsid w:val="00FD2FDC"/>
    <w:rsid w:val="00FD2FF2"/>
    <w:rsid w:val="00FD3025"/>
    <w:rsid w:val="00FD3087"/>
    <w:rsid w:val="00FD310E"/>
    <w:rsid w:val="00FD3118"/>
    <w:rsid w:val="00FD311B"/>
    <w:rsid w:val="00FD312B"/>
    <w:rsid w:val="00FD31AB"/>
    <w:rsid w:val="00FD31AC"/>
    <w:rsid w:val="00FD3220"/>
    <w:rsid w:val="00FD3274"/>
    <w:rsid w:val="00FD33CE"/>
    <w:rsid w:val="00FD3494"/>
    <w:rsid w:val="00FD34B5"/>
    <w:rsid w:val="00FD3527"/>
    <w:rsid w:val="00FD3563"/>
    <w:rsid w:val="00FD35AA"/>
    <w:rsid w:val="00FD35E0"/>
    <w:rsid w:val="00FD36E2"/>
    <w:rsid w:val="00FD3727"/>
    <w:rsid w:val="00FD37BC"/>
    <w:rsid w:val="00FD37CB"/>
    <w:rsid w:val="00FD38D5"/>
    <w:rsid w:val="00FD3999"/>
    <w:rsid w:val="00FD3A11"/>
    <w:rsid w:val="00FD3AA2"/>
    <w:rsid w:val="00FD3AFF"/>
    <w:rsid w:val="00FD3B2A"/>
    <w:rsid w:val="00FD3B70"/>
    <w:rsid w:val="00FD3D7D"/>
    <w:rsid w:val="00FD3E31"/>
    <w:rsid w:val="00FD3EC9"/>
    <w:rsid w:val="00FD3F1C"/>
    <w:rsid w:val="00FD3F21"/>
    <w:rsid w:val="00FD3F3D"/>
    <w:rsid w:val="00FD3FC1"/>
    <w:rsid w:val="00FD3FD6"/>
    <w:rsid w:val="00FD3FFF"/>
    <w:rsid w:val="00FD40EC"/>
    <w:rsid w:val="00FD40FF"/>
    <w:rsid w:val="00FD41CA"/>
    <w:rsid w:val="00FD4247"/>
    <w:rsid w:val="00FD42D8"/>
    <w:rsid w:val="00FD4306"/>
    <w:rsid w:val="00FD4391"/>
    <w:rsid w:val="00FD43DC"/>
    <w:rsid w:val="00FD443D"/>
    <w:rsid w:val="00FD444A"/>
    <w:rsid w:val="00FD4478"/>
    <w:rsid w:val="00FD458C"/>
    <w:rsid w:val="00FD45D2"/>
    <w:rsid w:val="00FD45F6"/>
    <w:rsid w:val="00FD463F"/>
    <w:rsid w:val="00FD4643"/>
    <w:rsid w:val="00FD46A5"/>
    <w:rsid w:val="00FD47AC"/>
    <w:rsid w:val="00FD47BB"/>
    <w:rsid w:val="00FD48AF"/>
    <w:rsid w:val="00FD48BB"/>
    <w:rsid w:val="00FD4979"/>
    <w:rsid w:val="00FD49B7"/>
    <w:rsid w:val="00FD4B59"/>
    <w:rsid w:val="00FD4BBB"/>
    <w:rsid w:val="00FD4C5E"/>
    <w:rsid w:val="00FD4C79"/>
    <w:rsid w:val="00FD4CD2"/>
    <w:rsid w:val="00FD4D2A"/>
    <w:rsid w:val="00FD4D77"/>
    <w:rsid w:val="00FD4D9C"/>
    <w:rsid w:val="00FD4DCA"/>
    <w:rsid w:val="00FD4DEB"/>
    <w:rsid w:val="00FD4E20"/>
    <w:rsid w:val="00FD4E62"/>
    <w:rsid w:val="00FD4F73"/>
    <w:rsid w:val="00FD4FC4"/>
    <w:rsid w:val="00FD4FF0"/>
    <w:rsid w:val="00FD51EA"/>
    <w:rsid w:val="00FD5311"/>
    <w:rsid w:val="00FD5357"/>
    <w:rsid w:val="00FD5391"/>
    <w:rsid w:val="00FD5433"/>
    <w:rsid w:val="00FD54DE"/>
    <w:rsid w:val="00FD551F"/>
    <w:rsid w:val="00FD55A1"/>
    <w:rsid w:val="00FD5688"/>
    <w:rsid w:val="00FD5765"/>
    <w:rsid w:val="00FD577A"/>
    <w:rsid w:val="00FD57A3"/>
    <w:rsid w:val="00FD57B0"/>
    <w:rsid w:val="00FD5807"/>
    <w:rsid w:val="00FD5893"/>
    <w:rsid w:val="00FD58C9"/>
    <w:rsid w:val="00FD58E2"/>
    <w:rsid w:val="00FD58E4"/>
    <w:rsid w:val="00FD593A"/>
    <w:rsid w:val="00FD5959"/>
    <w:rsid w:val="00FD5A2E"/>
    <w:rsid w:val="00FD5A3D"/>
    <w:rsid w:val="00FD5A4A"/>
    <w:rsid w:val="00FD5A74"/>
    <w:rsid w:val="00FD5A91"/>
    <w:rsid w:val="00FD5B1D"/>
    <w:rsid w:val="00FD5B34"/>
    <w:rsid w:val="00FD5B45"/>
    <w:rsid w:val="00FD5BBA"/>
    <w:rsid w:val="00FD5BE8"/>
    <w:rsid w:val="00FD5C06"/>
    <w:rsid w:val="00FD5C8E"/>
    <w:rsid w:val="00FD5D6A"/>
    <w:rsid w:val="00FD5DD0"/>
    <w:rsid w:val="00FD5ED2"/>
    <w:rsid w:val="00FD5EDE"/>
    <w:rsid w:val="00FD6013"/>
    <w:rsid w:val="00FD6026"/>
    <w:rsid w:val="00FD602B"/>
    <w:rsid w:val="00FD6169"/>
    <w:rsid w:val="00FD62A3"/>
    <w:rsid w:val="00FD630A"/>
    <w:rsid w:val="00FD630F"/>
    <w:rsid w:val="00FD632D"/>
    <w:rsid w:val="00FD63D0"/>
    <w:rsid w:val="00FD6433"/>
    <w:rsid w:val="00FD64CA"/>
    <w:rsid w:val="00FD6787"/>
    <w:rsid w:val="00FD67CD"/>
    <w:rsid w:val="00FD6854"/>
    <w:rsid w:val="00FD6940"/>
    <w:rsid w:val="00FD697A"/>
    <w:rsid w:val="00FD69FE"/>
    <w:rsid w:val="00FD6B5A"/>
    <w:rsid w:val="00FD6D45"/>
    <w:rsid w:val="00FD6E76"/>
    <w:rsid w:val="00FD6E84"/>
    <w:rsid w:val="00FD6E8F"/>
    <w:rsid w:val="00FD6F76"/>
    <w:rsid w:val="00FD6FA5"/>
    <w:rsid w:val="00FD6FAD"/>
    <w:rsid w:val="00FD70DA"/>
    <w:rsid w:val="00FD70EB"/>
    <w:rsid w:val="00FD7129"/>
    <w:rsid w:val="00FD7192"/>
    <w:rsid w:val="00FD7251"/>
    <w:rsid w:val="00FD732A"/>
    <w:rsid w:val="00FD7347"/>
    <w:rsid w:val="00FD7483"/>
    <w:rsid w:val="00FD7493"/>
    <w:rsid w:val="00FD754C"/>
    <w:rsid w:val="00FD7559"/>
    <w:rsid w:val="00FD7623"/>
    <w:rsid w:val="00FD7711"/>
    <w:rsid w:val="00FD7766"/>
    <w:rsid w:val="00FD77FC"/>
    <w:rsid w:val="00FD7830"/>
    <w:rsid w:val="00FD7865"/>
    <w:rsid w:val="00FD790C"/>
    <w:rsid w:val="00FD7918"/>
    <w:rsid w:val="00FD7A57"/>
    <w:rsid w:val="00FD7AA2"/>
    <w:rsid w:val="00FD7B01"/>
    <w:rsid w:val="00FD7C15"/>
    <w:rsid w:val="00FD7CAA"/>
    <w:rsid w:val="00FD7CAE"/>
    <w:rsid w:val="00FD7CC7"/>
    <w:rsid w:val="00FD7CC9"/>
    <w:rsid w:val="00FD7D03"/>
    <w:rsid w:val="00FD7D0C"/>
    <w:rsid w:val="00FD7E08"/>
    <w:rsid w:val="00FD7E1E"/>
    <w:rsid w:val="00FD7E55"/>
    <w:rsid w:val="00FD7E57"/>
    <w:rsid w:val="00FD7EC5"/>
    <w:rsid w:val="00FD7EE1"/>
    <w:rsid w:val="00FD7F31"/>
    <w:rsid w:val="00FD7F3D"/>
    <w:rsid w:val="00FE0072"/>
    <w:rsid w:val="00FE00EB"/>
    <w:rsid w:val="00FE00FE"/>
    <w:rsid w:val="00FE0104"/>
    <w:rsid w:val="00FE0135"/>
    <w:rsid w:val="00FE0268"/>
    <w:rsid w:val="00FE02D8"/>
    <w:rsid w:val="00FE02F6"/>
    <w:rsid w:val="00FE05C2"/>
    <w:rsid w:val="00FE05C8"/>
    <w:rsid w:val="00FE0773"/>
    <w:rsid w:val="00FE084E"/>
    <w:rsid w:val="00FE0948"/>
    <w:rsid w:val="00FE0A00"/>
    <w:rsid w:val="00FE0A83"/>
    <w:rsid w:val="00FE0ADF"/>
    <w:rsid w:val="00FE0B8B"/>
    <w:rsid w:val="00FE0C34"/>
    <w:rsid w:val="00FE0CAB"/>
    <w:rsid w:val="00FE0DC8"/>
    <w:rsid w:val="00FE0EE7"/>
    <w:rsid w:val="00FE0FA2"/>
    <w:rsid w:val="00FE1108"/>
    <w:rsid w:val="00FE1115"/>
    <w:rsid w:val="00FE1119"/>
    <w:rsid w:val="00FE11B7"/>
    <w:rsid w:val="00FE126E"/>
    <w:rsid w:val="00FE1288"/>
    <w:rsid w:val="00FE12C9"/>
    <w:rsid w:val="00FE1367"/>
    <w:rsid w:val="00FE13B0"/>
    <w:rsid w:val="00FE14F9"/>
    <w:rsid w:val="00FE15BD"/>
    <w:rsid w:val="00FE15F1"/>
    <w:rsid w:val="00FE1615"/>
    <w:rsid w:val="00FE163E"/>
    <w:rsid w:val="00FE1641"/>
    <w:rsid w:val="00FE1643"/>
    <w:rsid w:val="00FE1670"/>
    <w:rsid w:val="00FE1699"/>
    <w:rsid w:val="00FE1703"/>
    <w:rsid w:val="00FE1743"/>
    <w:rsid w:val="00FE1777"/>
    <w:rsid w:val="00FE17F6"/>
    <w:rsid w:val="00FE1899"/>
    <w:rsid w:val="00FE18BE"/>
    <w:rsid w:val="00FE1914"/>
    <w:rsid w:val="00FE196F"/>
    <w:rsid w:val="00FE1A03"/>
    <w:rsid w:val="00FE1A2B"/>
    <w:rsid w:val="00FE1A2C"/>
    <w:rsid w:val="00FE1A65"/>
    <w:rsid w:val="00FE1B77"/>
    <w:rsid w:val="00FE1C6A"/>
    <w:rsid w:val="00FE1CC0"/>
    <w:rsid w:val="00FE1D07"/>
    <w:rsid w:val="00FE1E33"/>
    <w:rsid w:val="00FE1E4F"/>
    <w:rsid w:val="00FE1EB3"/>
    <w:rsid w:val="00FE1ECE"/>
    <w:rsid w:val="00FE1FDC"/>
    <w:rsid w:val="00FE20C4"/>
    <w:rsid w:val="00FE23C3"/>
    <w:rsid w:val="00FE2400"/>
    <w:rsid w:val="00FE2478"/>
    <w:rsid w:val="00FE24AE"/>
    <w:rsid w:val="00FE24E7"/>
    <w:rsid w:val="00FE25B9"/>
    <w:rsid w:val="00FE26AB"/>
    <w:rsid w:val="00FE2706"/>
    <w:rsid w:val="00FE2746"/>
    <w:rsid w:val="00FE2779"/>
    <w:rsid w:val="00FE2798"/>
    <w:rsid w:val="00FE27BC"/>
    <w:rsid w:val="00FE2903"/>
    <w:rsid w:val="00FE29A7"/>
    <w:rsid w:val="00FE29FF"/>
    <w:rsid w:val="00FE2A41"/>
    <w:rsid w:val="00FE2A5B"/>
    <w:rsid w:val="00FE2B54"/>
    <w:rsid w:val="00FE2BB0"/>
    <w:rsid w:val="00FE2C0F"/>
    <w:rsid w:val="00FE2D0D"/>
    <w:rsid w:val="00FE2E99"/>
    <w:rsid w:val="00FE2EA1"/>
    <w:rsid w:val="00FE2EBF"/>
    <w:rsid w:val="00FE2F05"/>
    <w:rsid w:val="00FE2FA7"/>
    <w:rsid w:val="00FE300E"/>
    <w:rsid w:val="00FE3108"/>
    <w:rsid w:val="00FE316C"/>
    <w:rsid w:val="00FE31DB"/>
    <w:rsid w:val="00FE32BA"/>
    <w:rsid w:val="00FE333A"/>
    <w:rsid w:val="00FE33AC"/>
    <w:rsid w:val="00FE33D5"/>
    <w:rsid w:val="00FE350A"/>
    <w:rsid w:val="00FE3608"/>
    <w:rsid w:val="00FE3623"/>
    <w:rsid w:val="00FE36C2"/>
    <w:rsid w:val="00FE3700"/>
    <w:rsid w:val="00FE37A6"/>
    <w:rsid w:val="00FE37B3"/>
    <w:rsid w:val="00FE37BE"/>
    <w:rsid w:val="00FE3838"/>
    <w:rsid w:val="00FE3887"/>
    <w:rsid w:val="00FE3895"/>
    <w:rsid w:val="00FE393C"/>
    <w:rsid w:val="00FE39ED"/>
    <w:rsid w:val="00FE3A86"/>
    <w:rsid w:val="00FE3AE6"/>
    <w:rsid w:val="00FE3C8A"/>
    <w:rsid w:val="00FE3C9A"/>
    <w:rsid w:val="00FE3D2D"/>
    <w:rsid w:val="00FE3D42"/>
    <w:rsid w:val="00FE3D4C"/>
    <w:rsid w:val="00FE3DB3"/>
    <w:rsid w:val="00FE3E6D"/>
    <w:rsid w:val="00FE3E70"/>
    <w:rsid w:val="00FE3EA2"/>
    <w:rsid w:val="00FE3F51"/>
    <w:rsid w:val="00FE3F94"/>
    <w:rsid w:val="00FE3FF8"/>
    <w:rsid w:val="00FE401D"/>
    <w:rsid w:val="00FE4118"/>
    <w:rsid w:val="00FE4148"/>
    <w:rsid w:val="00FE42E3"/>
    <w:rsid w:val="00FE4315"/>
    <w:rsid w:val="00FE4331"/>
    <w:rsid w:val="00FE43D6"/>
    <w:rsid w:val="00FE43E3"/>
    <w:rsid w:val="00FE444A"/>
    <w:rsid w:val="00FE449F"/>
    <w:rsid w:val="00FE44C4"/>
    <w:rsid w:val="00FE44CE"/>
    <w:rsid w:val="00FE4564"/>
    <w:rsid w:val="00FE46BF"/>
    <w:rsid w:val="00FE477B"/>
    <w:rsid w:val="00FE47AD"/>
    <w:rsid w:val="00FE4829"/>
    <w:rsid w:val="00FE4922"/>
    <w:rsid w:val="00FE495B"/>
    <w:rsid w:val="00FE498B"/>
    <w:rsid w:val="00FE4B27"/>
    <w:rsid w:val="00FE4BCF"/>
    <w:rsid w:val="00FE4C14"/>
    <w:rsid w:val="00FE4C24"/>
    <w:rsid w:val="00FE4C35"/>
    <w:rsid w:val="00FE4C63"/>
    <w:rsid w:val="00FE4C6C"/>
    <w:rsid w:val="00FE4D29"/>
    <w:rsid w:val="00FE4D7F"/>
    <w:rsid w:val="00FE4DDC"/>
    <w:rsid w:val="00FE4DDE"/>
    <w:rsid w:val="00FE4E34"/>
    <w:rsid w:val="00FE4E50"/>
    <w:rsid w:val="00FE4F46"/>
    <w:rsid w:val="00FE4F67"/>
    <w:rsid w:val="00FE4F87"/>
    <w:rsid w:val="00FE4FF6"/>
    <w:rsid w:val="00FE50B8"/>
    <w:rsid w:val="00FE515B"/>
    <w:rsid w:val="00FE51A5"/>
    <w:rsid w:val="00FE51D8"/>
    <w:rsid w:val="00FE52C4"/>
    <w:rsid w:val="00FE52E9"/>
    <w:rsid w:val="00FE53BA"/>
    <w:rsid w:val="00FE540D"/>
    <w:rsid w:val="00FE5423"/>
    <w:rsid w:val="00FE54C3"/>
    <w:rsid w:val="00FE550C"/>
    <w:rsid w:val="00FE5553"/>
    <w:rsid w:val="00FE5575"/>
    <w:rsid w:val="00FE5599"/>
    <w:rsid w:val="00FE55E2"/>
    <w:rsid w:val="00FE56DB"/>
    <w:rsid w:val="00FE56F6"/>
    <w:rsid w:val="00FE5704"/>
    <w:rsid w:val="00FE5745"/>
    <w:rsid w:val="00FE579A"/>
    <w:rsid w:val="00FE57F6"/>
    <w:rsid w:val="00FE584D"/>
    <w:rsid w:val="00FE5896"/>
    <w:rsid w:val="00FE5999"/>
    <w:rsid w:val="00FE59A9"/>
    <w:rsid w:val="00FE59AE"/>
    <w:rsid w:val="00FE5A68"/>
    <w:rsid w:val="00FE5A69"/>
    <w:rsid w:val="00FE5AE1"/>
    <w:rsid w:val="00FE5D3D"/>
    <w:rsid w:val="00FE5D9C"/>
    <w:rsid w:val="00FE5DEE"/>
    <w:rsid w:val="00FE5E11"/>
    <w:rsid w:val="00FE5E6C"/>
    <w:rsid w:val="00FE5E7E"/>
    <w:rsid w:val="00FE5E9F"/>
    <w:rsid w:val="00FE5F2B"/>
    <w:rsid w:val="00FE5F9C"/>
    <w:rsid w:val="00FE60BA"/>
    <w:rsid w:val="00FE60FA"/>
    <w:rsid w:val="00FE6173"/>
    <w:rsid w:val="00FE6224"/>
    <w:rsid w:val="00FE632F"/>
    <w:rsid w:val="00FE6339"/>
    <w:rsid w:val="00FE633B"/>
    <w:rsid w:val="00FE6340"/>
    <w:rsid w:val="00FE65E8"/>
    <w:rsid w:val="00FE6660"/>
    <w:rsid w:val="00FE66AF"/>
    <w:rsid w:val="00FE6704"/>
    <w:rsid w:val="00FE6786"/>
    <w:rsid w:val="00FE6806"/>
    <w:rsid w:val="00FE6820"/>
    <w:rsid w:val="00FE682C"/>
    <w:rsid w:val="00FE685B"/>
    <w:rsid w:val="00FE6920"/>
    <w:rsid w:val="00FE694D"/>
    <w:rsid w:val="00FE698A"/>
    <w:rsid w:val="00FE69D5"/>
    <w:rsid w:val="00FE6A4A"/>
    <w:rsid w:val="00FE6AFB"/>
    <w:rsid w:val="00FE6B13"/>
    <w:rsid w:val="00FE6B31"/>
    <w:rsid w:val="00FE6B6F"/>
    <w:rsid w:val="00FE6BE5"/>
    <w:rsid w:val="00FE6C1F"/>
    <w:rsid w:val="00FE6C9D"/>
    <w:rsid w:val="00FE6D60"/>
    <w:rsid w:val="00FE6D72"/>
    <w:rsid w:val="00FE6DAE"/>
    <w:rsid w:val="00FE6DFE"/>
    <w:rsid w:val="00FE6EC1"/>
    <w:rsid w:val="00FE6EE5"/>
    <w:rsid w:val="00FE6F26"/>
    <w:rsid w:val="00FE6F34"/>
    <w:rsid w:val="00FE6F38"/>
    <w:rsid w:val="00FE6F6C"/>
    <w:rsid w:val="00FE7113"/>
    <w:rsid w:val="00FE712A"/>
    <w:rsid w:val="00FE71B7"/>
    <w:rsid w:val="00FE724A"/>
    <w:rsid w:val="00FE72B2"/>
    <w:rsid w:val="00FE72DB"/>
    <w:rsid w:val="00FE735A"/>
    <w:rsid w:val="00FE749E"/>
    <w:rsid w:val="00FE74D1"/>
    <w:rsid w:val="00FE74D8"/>
    <w:rsid w:val="00FE7553"/>
    <w:rsid w:val="00FE755B"/>
    <w:rsid w:val="00FE76F4"/>
    <w:rsid w:val="00FE7763"/>
    <w:rsid w:val="00FE77C7"/>
    <w:rsid w:val="00FE7844"/>
    <w:rsid w:val="00FE78A1"/>
    <w:rsid w:val="00FE78A5"/>
    <w:rsid w:val="00FE7904"/>
    <w:rsid w:val="00FE7908"/>
    <w:rsid w:val="00FE79E4"/>
    <w:rsid w:val="00FE79F8"/>
    <w:rsid w:val="00FE7A10"/>
    <w:rsid w:val="00FE7A1F"/>
    <w:rsid w:val="00FE7A45"/>
    <w:rsid w:val="00FE7A5C"/>
    <w:rsid w:val="00FE7B93"/>
    <w:rsid w:val="00FE7C51"/>
    <w:rsid w:val="00FE7C6B"/>
    <w:rsid w:val="00FE7C7D"/>
    <w:rsid w:val="00FE7C93"/>
    <w:rsid w:val="00FE7C9C"/>
    <w:rsid w:val="00FE7D0D"/>
    <w:rsid w:val="00FE7DD5"/>
    <w:rsid w:val="00FE7E54"/>
    <w:rsid w:val="00FE7E6C"/>
    <w:rsid w:val="00FE7EB3"/>
    <w:rsid w:val="00FE7EF7"/>
    <w:rsid w:val="00FE7FA3"/>
    <w:rsid w:val="00FF0004"/>
    <w:rsid w:val="00FF003B"/>
    <w:rsid w:val="00FF005B"/>
    <w:rsid w:val="00FF00E9"/>
    <w:rsid w:val="00FF0137"/>
    <w:rsid w:val="00FF019E"/>
    <w:rsid w:val="00FF0347"/>
    <w:rsid w:val="00FF0411"/>
    <w:rsid w:val="00FF0447"/>
    <w:rsid w:val="00FF04B4"/>
    <w:rsid w:val="00FF04CC"/>
    <w:rsid w:val="00FF04D5"/>
    <w:rsid w:val="00FF0518"/>
    <w:rsid w:val="00FF0558"/>
    <w:rsid w:val="00FF05A7"/>
    <w:rsid w:val="00FF05A8"/>
    <w:rsid w:val="00FF05F2"/>
    <w:rsid w:val="00FF064C"/>
    <w:rsid w:val="00FF06B2"/>
    <w:rsid w:val="00FF073F"/>
    <w:rsid w:val="00FF0755"/>
    <w:rsid w:val="00FF07E7"/>
    <w:rsid w:val="00FF0837"/>
    <w:rsid w:val="00FF0A8E"/>
    <w:rsid w:val="00FF0AA9"/>
    <w:rsid w:val="00FF0ABA"/>
    <w:rsid w:val="00FF0C70"/>
    <w:rsid w:val="00FF0D01"/>
    <w:rsid w:val="00FF0E56"/>
    <w:rsid w:val="00FF0F2B"/>
    <w:rsid w:val="00FF0F78"/>
    <w:rsid w:val="00FF1025"/>
    <w:rsid w:val="00FF1031"/>
    <w:rsid w:val="00FF10D6"/>
    <w:rsid w:val="00FF115D"/>
    <w:rsid w:val="00FF1190"/>
    <w:rsid w:val="00FF1233"/>
    <w:rsid w:val="00FF1253"/>
    <w:rsid w:val="00FF125D"/>
    <w:rsid w:val="00FF137A"/>
    <w:rsid w:val="00FF1407"/>
    <w:rsid w:val="00FF1489"/>
    <w:rsid w:val="00FF1521"/>
    <w:rsid w:val="00FF156D"/>
    <w:rsid w:val="00FF1572"/>
    <w:rsid w:val="00FF183D"/>
    <w:rsid w:val="00FF18CD"/>
    <w:rsid w:val="00FF18F1"/>
    <w:rsid w:val="00FF1902"/>
    <w:rsid w:val="00FF1A6A"/>
    <w:rsid w:val="00FF1AE2"/>
    <w:rsid w:val="00FF1B0D"/>
    <w:rsid w:val="00FF1B7F"/>
    <w:rsid w:val="00FF1C51"/>
    <w:rsid w:val="00FF1C5B"/>
    <w:rsid w:val="00FF1CCE"/>
    <w:rsid w:val="00FF1D47"/>
    <w:rsid w:val="00FF1E03"/>
    <w:rsid w:val="00FF1E2F"/>
    <w:rsid w:val="00FF1E68"/>
    <w:rsid w:val="00FF204B"/>
    <w:rsid w:val="00FF217E"/>
    <w:rsid w:val="00FF21B7"/>
    <w:rsid w:val="00FF225A"/>
    <w:rsid w:val="00FF2373"/>
    <w:rsid w:val="00FF23FE"/>
    <w:rsid w:val="00FF24B9"/>
    <w:rsid w:val="00FF24EE"/>
    <w:rsid w:val="00FF253A"/>
    <w:rsid w:val="00FF254E"/>
    <w:rsid w:val="00FF25D2"/>
    <w:rsid w:val="00FF25DF"/>
    <w:rsid w:val="00FF25E3"/>
    <w:rsid w:val="00FF264B"/>
    <w:rsid w:val="00FF270B"/>
    <w:rsid w:val="00FF274B"/>
    <w:rsid w:val="00FF279D"/>
    <w:rsid w:val="00FF280B"/>
    <w:rsid w:val="00FF285B"/>
    <w:rsid w:val="00FF287E"/>
    <w:rsid w:val="00FF288D"/>
    <w:rsid w:val="00FF29CA"/>
    <w:rsid w:val="00FF2A83"/>
    <w:rsid w:val="00FF2B0A"/>
    <w:rsid w:val="00FF2BF2"/>
    <w:rsid w:val="00FF2BFE"/>
    <w:rsid w:val="00FF2E3A"/>
    <w:rsid w:val="00FF2E7E"/>
    <w:rsid w:val="00FF2E80"/>
    <w:rsid w:val="00FF2F3A"/>
    <w:rsid w:val="00FF2F72"/>
    <w:rsid w:val="00FF2F84"/>
    <w:rsid w:val="00FF2FCF"/>
    <w:rsid w:val="00FF2FF8"/>
    <w:rsid w:val="00FF3031"/>
    <w:rsid w:val="00FF3157"/>
    <w:rsid w:val="00FF31D8"/>
    <w:rsid w:val="00FF338D"/>
    <w:rsid w:val="00FF33E5"/>
    <w:rsid w:val="00FF341F"/>
    <w:rsid w:val="00FF344C"/>
    <w:rsid w:val="00FF34A6"/>
    <w:rsid w:val="00FF3575"/>
    <w:rsid w:val="00FF3613"/>
    <w:rsid w:val="00FF363B"/>
    <w:rsid w:val="00FF36DC"/>
    <w:rsid w:val="00FF37BF"/>
    <w:rsid w:val="00FF37DE"/>
    <w:rsid w:val="00FF389B"/>
    <w:rsid w:val="00FF38A7"/>
    <w:rsid w:val="00FF38FB"/>
    <w:rsid w:val="00FF3999"/>
    <w:rsid w:val="00FF39AE"/>
    <w:rsid w:val="00FF3A2A"/>
    <w:rsid w:val="00FF3B24"/>
    <w:rsid w:val="00FF3C81"/>
    <w:rsid w:val="00FF3C87"/>
    <w:rsid w:val="00FF3CBA"/>
    <w:rsid w:val="00FF3D05"/>
    <w:rsid w:val="00FF3D55"/>
    <w:rsid w:val="00FF3E2C"/>
    <w:rsid w:val="00FF3E53"/>
    <w:rsid w:val="00FF3F05"/>
    <w:rsid w:val="00FF3F7C"/>
    <w:rsid w:val="00FF3F8E"/>
    <w:rsid w:val="00FF3FD3"/>
    <w:rsid w:val="00FF40B5"/>
    <w:rsid w:val="00FF4133"/>
    <w:rsid w:val="00FF4143"/>
    <w:rsid w:val="00FF4293"/>
    <w:rsid w:val="00FF42BD"/>
    <w:rsid w:val="00FF43A0"/>
    <w:rsid w:val="00FF4438"/>
    <w:rsid w:val="00FF446F"/>
    <w:rsid w:val="00FF4486"/>
    <w:rsid w:val="00FF45A3"/>
    <w:rsid w:val="00FF46B6"/>
    <w:rsid w:val="00FF4727"/>
    <w:rsid w:val="00FF47A1"/>
    <w:rsid w:val="00FF47EC"/>
    <w:rsid w:val="00FF4848"/>
    <w:rsid w:val="00FF4888"/>
    <w:rsid w:val="00FF48F4"/>
    <w:rsid w:val="00FF498E"/>
    <w:rsid w:val="00FF49AF"/>
    <w:rsid w:val="00FF4A14"/>
    <w:rsid w:val="00FF4A2E"/>
    <w:rsid w:val="00FF4ADE"/>
    <w:rsid w:val="00FF4AFF"/>
    <w:rsid w:val="00FF4BF1"/>
    <w:rsid w:val="00FF4C1E"/>
    <w:rsid w:val="00FF4C78"/>
    <w:rsid w:val="00FF4CDE"/>
    <w:rsid w:val="00FF4D86"/>
    <w:rsid w:val="00FF4DD1"/>
    <w:rsid w:val="00FF4E25"/>
    <w:rsid w:val="00FF4ED0"/>
    <w:rsid w:val="00FF4F1B"/>
    <w:rsid w:val="00FF500D"/>
    <w:rsid w:val="00FF505A"/>
    <w:rsid w:val="00FF5066"/>
    <w:rsid w:val="00FF506F"/>
    <w:rsid w:val="00FF5184"/>
    <w:rsid w:val="00FF51D1"/>
    <w:rsid w:val="00FF5354"/>
    <w:rsid w:val="00FF5436"/>
    <w:rsid w:val="00FF547B"/>
    <w:rsid w:val="00FF5481"/>
    <w:rsid w:val="00FF563D"/>
    <w:rsid w:val="00FF5683"/>
    <w:rsid w:val="00FF56A2"/>
    <w:rsid w:val="00FF56FC"/>
    <w:rsid w:val="00FF571A"/>
    <w:rsid w:val="00FF5745"/>
    <w:rsid w:val="00FF5753"/>
    <w:rsid w:val="00FF580A"/>
    <w:rsid w:val="00FF582C"/>
    <w:rsid w:val="00FF5890"/>
    <w:rsid w:val="00FF58DD"/>
    <w:rsid w:val="00FF59BB"/>
    <w:rsid w:val="00FF5B32"/>
    <w:rsid w:val="00FF5BF3"/>
    <w:rsid w:val="00FF5C03"/>
    <w:rsid w:val="00FF5D19"/>
    <w:rsid w:val="00FF5DC1"/>
    <w:rsid w:val="00FF5E26"/>
    <w:rsid w:val="00FF5E3B"/>
    <w:rsid w:val="00FF5EF4"/>
    <w:rsid w:val="00FF6025"/>
    <w:rsid w:val="00FF60EA"/>
    <w:rsid w:val="00FF60FE"/>
    <w:rsid w:val="00FF6188"/>
    <w:rsid w:val="00FF6312"/>
    <w:rsid w:val="00FF6316"/>
    <w:rsid w:val="00FF64B9"/>
    <w:rsid w:val="00FF64E1"/>
    <w:rsid w:val="00FF64FA"/>
    <w:rsid w:val="00FF65F7"/>
    <w:rsid w:val="00FF6602"/>
    <w:rsid w:val="00FF6612"/>
    <w:rsid w:val="00FF66A8"/>
    <w:rsid w:val="00FF66EF"/>
    <w:rsid w:val="00FF681A"/>
    <w:rsid w:val="00FF6847"/>
    <w:rsid w:val="00FF6866"/>
    <w:rsid w:val="00FF686D"/>
    <w:rsid w:val="00FF68AB"/>
    <w:rsid w:val="00FF68D0"/>
    <w:rsid w:val="00FF68F4"/>
    <w:rsid w:val="00FF6940"/>
    <w:rsid w:val="00FF695B"/>
    <w:rsid w:val="00FF6972"/>
    <w:rsid w:val="00FF69E4"/>
    <w:rsid w:val="00FF6AA5"/>
    <w:rsid w:val="00FF6C0B"/>
    <w:rsid w:val="00FF6C24"/>
    <w:rsid w:val="00FF6C9D"/>
    <w:rsid w:val="00FF6CEC"/>
    <w:rsid w:val="00FF6D30"/>
    <w:rsid w:val="00FF6D81"/>
    <w:rsid w:val="00FF6D99"/>
    <w:rsid w:val="00FF6DDF"/>
    <w:rsid w:val="00FF6DF3"/>
    <w:rsid w:val="00FF6E84"/>
    <w:rsid w:val="00FF705C"/>
    <w:rsid w:val="00FF706B"/>
    <w:rsid w:val="00FF70BE"/>
    <w:rsid w:val="00FF710E"/>
    <w:rsid w:val="00FF718D"/>
    <w:rsid w:val="00FF71F0"/>
    <w:rsid w:val="00FF721D"/>
    <w:rsid w:val="00FF7345"/>
    <w:rsid w:val="00FF73BA"/>
    <w:rsid w:val="00FF73FA"/>
    <w:rsid w:val="00FF742A"/>
    <w:rsid w:val="00FF742C"/>
    <w:rsid w:val="00FF7496"/>
    <w:rsid w:val="00FF74DB"/>
    <w:rsid w:val="00FF74EA"/>
    <w:rsid w:val="00FF75EA"/>
    <w:rsid w:val="00FF7623"/>
    <w:rsid w:val="00FF76D6"/>
    <w:rsid w:val="00FF76F4"/>
    <w:rsid w:val="00FF7722"/>
    <w:rsid w:val="00FF77EE"/>
    <w:rsid w:val="00FF781B"/>
    <w:rsid w:val="00FF797E"/>
    <w:rsid w:val="00FF79B1"/>
    <w:rsid w:val="00FF79E2"/>
    <w:rsid w:val="00FF7A6F"/>
    <w:rsid w:val="00FF7AF0"/>
    <w:rsid w:val="00FF7AFB"/>
    <w:rsid w:val="00FF7B3D"/>
    <w:rsid w:val="00FF7C09"/>
    <w:rsid w:val="00FF7C40"/>
    <w:rsid w:val="00FF7C4B"/>
    <w:rsid w:val="00FF7CB4"/>
    <w:rsid w:val="00FF7D67"/>
    <w:rsid w:val="00FF7DBA"/>
    <w:rsid w:val="00FF7E2D"/>
    <w:rsid w:val="00FF7F06"/>
    <w:rsid w:val="010943BA"/>
    <w:rsid w:val="010B9422"/>
    <w:rsid w:val="010E7601"/>
    <w:rsid w:val="011452C3"/>
    <w:rsid w:val="01160BC3"/>
    <w:rsid w:val="011E9D5B"/>
    <w:rsid w:val="011F34F2"/>
    <w:rsid w:val="01226B09"/>
    <w:rsid w:val="0128976F"/>
    <w:rsid w:val="012C9E77"/>
    <w:rsid w:val="0142DEBC"/>
    <w:rsid w:val="014F91A7"/>
    <w:rsid w:val="015226BB"/>
    <w:rsid w:val="0153519C"/>
    <w:rsid w:val="0162D5D7"/>
    <w:rsid w:val="016BEFBA"/>
    <w:rsid w:val="016FC3C2"/>
    <w:rsid w:val="01795758"/>
    <w:rsid w:val="0179A169"/>
    <w:rsid w:val="017E54F4"/>
    <w:rsid w:val="018D4185"/>
    <w:rsid w:val="0190E9D6"/>
    <w:rsid w:val="019907C7"/>
    <w:rsid w:val="01A132AE"/>
    <w:rsid w:val="01A18631"/>
    <w:rsid w:val="01A59EF0"/>
    <w:rsid w:val="01A83C9F"/>
    <w:rsid w:val="01B6352E"/>
    <w:rsid w:val="01C29FC5"/>
    <w:rsid w:val="01C31A7B"/>
    <w:rsid w:val="01D02178"/>
    <w:rsid w:val="01D5B03C"/>
    <w:rsid w:val="01DD2693"/>
    <w:rsid w:val="01E67FD8"/>
    <w:rsid w:val="01E723EC"/>
    <w:rsid w:val="01F60E1A"/>
    <w:rsid w:val="021B1279"/>
    <w:rsid w:val="021CDC1C"/>
    <w:rsid w:val="02228D3B"/>
    <w:rsid w:val="0225C122"/>
    <w:rsid w:val="022F1987"/>
    <w:rsid w:val="02349242"/>
    <w:rsid w:val="0236DAC6"/>
    <w:rsid w:val="0240E31C"/>
    <w:rsid w:val="024398EA"/>
    <w:rsid w:val="024450A6"/>
    <w:rsid w:val="024D7535"/>
    <w:rsid w:val="024E6E96"/>
    <w:rsid w:val="024F8659"/>
    <w:rsid w:val="0251AB1B"/>
    <w:rsid w:val="0252FE88"/>
    <w:rsid w:val="025329F2"/>
    <w:rsid w:val="02575D72"/>
    <w:rsid w:val="025C41D3"/>
    <w:rsid w:val="025E4F4F"/>
    <w:rsid w:val="025EDA78"/>
    <w:rsid w:val="02604FBE"/>
    <w:rsid w:val="02638F78"/>
    <w:rsid w:val="02667926"/>
    <w:rsid w:val="0268BD42"/>
    <w:rsid w:val="02796C34"/>
    <w:rsid w:val="027D95C2"/>
    <w:rsid w:val="0280A973"/>
    <w:rsid w:val="02A4EA2C"/>
    <w:rsid w:val="02AACB1C"/>
    <w:rsid w:val="02ADF9EF"/>
    <w:rsid w:val="02B01697"/>
    <w:rsid w:val="02BAA2AB"/>
    <w:rsid w:val="02BB89DD"/>
    <w:rsid w:val="02BD67F9"/>
    <w:rsid w:val="02BE1347"/>
    <w:rsid w:val="02BF88A3"/>
    <w:rsid w:val="02C3E46B"/>
    <w:rsid w:val="02D48447"/>
    <w:rsid w:val="02D54A17"/>
    <w:rsid w:val="02DA9C66"/>
    <w:rsid w:val="02DAC2C6"/>
    <w:rsid w:val="02E1B426"/>
    <w:rsid w:val="02E2BA74"/>
    <w:rsid w:val="02E7B9CE"/>
    <w:rsid w:val="02EA91FD"/>
    <w:rsid w:val="02EAD0B2"/>
    <w:rsid w:val="02F4CBEE"/>
    <w:rsid w:val="02F659F4"/>
    <w:rsid w:val="02FA50FC"/>
    <w:rsid w:val="02FF4A60"/>
    <w:rsid w:val="02FFB4C7"/>
    <w:rsid w:val="03063FCB"/>
    <w:rsid w:val="03069E44"/>
    <w:rsid w:val="03091EF8"/>
    <w:rsid w:val="030C2C08"/>
    <w:rsid w:val="030F54B9"/>
    <w:rsid w:val="031241A5"/>
    <w:rsid w:val="0312B760"/>
    <w:rsid w:val="031A1631"/>
    <w:rsid w:val="031A9875"/>
    <w:rsid w:val="031B0694"/>
    <w:rsid w:val="0323D981"/>
    <w:rsid w:val="032F8534"/>
    <w:rsid w:val="03302470"/>
    <w:rsid w:val="03381448"/>
    <w:rsid w:val="033A13AE"/>
    <w:rsid w:val="03440A30"/>
    <w:rsid w:val="034FB4C6"/>
    <w:rsid w:val="035C6546"/>
    <w:rsid w:val="035EEADC"/>
    <w:rsid w:val="036286E7"/>
    <w:rsid w:val="0364D31F"/>
    <w:rsid w:val="036AE3A6"/>
    <w:rsid w:val="0373ADAB"/>
    <w:rsid w:val="0376204B"/>
    <w:rsid w:val="037D17EA"/>
    <w:rsid w:val="03815C87"/>
    <w:rsid w:val="0383CDBE"/>
    <w:rsid w:val="0395A19C"/>
    <w:rsid w:val="03997D15"/>
    <w:rsid w:val="03A8789B"/>
    <w:rsid w:val="03B3973C"/>
    <w:rsid w:val="03BF2AAD"/>
    <w:rsid w:val="03C00DD9"/>
    <w:rsid w:val="03C06AC2"/>
    <w:rsid w:val="03C80B60"/>
    <w:rsid w:val="03CB6C1D"/>
    <w:rsid w:val="03CB800D"/>
    <w:rsid w:val="03D67C72"/>
    <w:rsid w:val="03D82799"/>
    <w:rsid w:val="03D9E9F5"/>
    <w:rsid w:val="03E088BB"/>
    <w:rsid w:val="03E1827C"/>
    <w:rsid w:val="03EC5C42"/>
    <w:rsid w:val="03EF9625"/>
    <w:rsid w:val="04078DC1"/>
    <w:rsid w:val="041058DD"/>
    <w:rsid w:val="0414E14D"/>
    <w:rsid w:val="04152409"/>
    <w:rsid w:val="04156DCA"/>
    <w:rsid w:val="041E04D2"/>
    <w:rsid w:val="04230582"/>
    <w:rsid w:val="0425DA2C"/>
    <w:rsid w:val="042AE61D"/>
    <w:rsid w:val="0435EED5"/>
    <w:rsid w:val="0436CA77"/>
    <w:rsid w:val="043A5D77"/>
    <w:rsid w:val="043A5FC9"/>
    <w:rsid w:val="04458B67"/>
    <w:rsid w:val="04508F14"/>
    <w:rsid w:val="0453909F"/>
    <w:rsid w:val="0459EB8B"/>
    <w:rsid w:val="046072E3"/>
    <w:rsid w:val="04628A26"/>
    <w:rsid w:val="046555CE"/>
    <w:rsid w:val="04659DE3"/>
    <w:rsid w:val="0468B0C2"/>
    <w:rsid w:val="046DB515"/>
    <w:rsid w:val="0474201F"/>
    <w:rsid w:val="04757E95"/>
    <w:rsid w:val="047AA4E6"/>
    <w:rsid w:val="048A121E"/>
    <w:rsid w:val="049363C0"/>
    <w:rsid w:val="049967B0"/>
    <w:rsid w:val="049ED3F8"/>
    <w:rsid w:val="049F099A"/>
    <w:rsid w:val="04A09D9B"/>
    <w:rsid w:val="04A8848D"/>
    <w:rsid w:val="04AAD9BE"/>
    <w:rsid w:val="04AEC149"/>
    <w:rsid w:val="04B583D3"/>
    <w:rsid w:val="04B7892F"/>
    <w:rsid w:val="04B7A3C0"/>
    <w:rsid w:val="04B9E9CE"/>
    <w:rsid w:val="04BB508D"/>
    <w:rsid w:val="04C3F6E4"/>
    <w:rsid w:val="04C54EB8"/>
    <w:rsid w:val="04C82C61"/>
    <w:rsid w:val="04CEC5F2"/>
    <w:rsid w:val="04CEF654"/>
    <w:rsid w:val="04DD8FBE"/>
    <w:rsid w:val="04E242DE"/>
    <w:rsid w:val="04E90B59"/>
    <w:rsid w:val="04EA5A03"/>
    <w:rsid w:val="04EB6D3B"/>
    <w:rsid w:val="04F058E8"/>
    <w:rsid w:val="04F1C6D0"/>
    <w:rsid w:val="04F64B52"/>
    <w:rsid w:val="04FA6F1C"/>
    <w:rsid w:val="04FABB3D"/>
    <w:rsid w:val="050556F7"/>
    <w:rsid w:val="050DC988"/>
    <w:rsid w:val="050ED055"/>
    <w:rsid w:val="051BAABF"/>
    <w:rsid w:val="051D6A63"/>
    <w:rsid w:val="0525634F"/>
    <w:rsid w:val="052DEEAB"/>
    <w:rsid w:val="0531FC2C"/>
    <w:rsid w:val="0535EA1A"/>
    <w:rsid w:val="0536DB2C"/>
    <w:rsid w:val="053BE8BE"/>
    <w:rsid w:val="053E493A"/>
    <w:rsid w:val="05400564"/>
    <w:rsid w:val="05464216"/>
    <w:rsid w:val="05467CBF"/>
    <w:rsid w:val="0555E3F4"/>
    <w:rsid w:val="0555ED11"/>
    <w:rsid w:val="055D3015"/>
    <w:rsid w:val="056534C1"/>
    <w:rsid w:val="0565CC0E"/>
    <w:rsid w:val="05673C7E"/>
    <w:rsid w:val="056EE742"/>
    <w:rsid w:val="057178CE"/>
    <w:rsid w:val="05756652"/>
    <w:rsid w:val="057635F1"/>
    <w:rsid w:val="057755A4"/>
    <w:rsid w:val="057A28AA"/>
    <w:rsid w:val="057EF8AD"/>
    <w:rsid w:val="0582242A"/>
    <w:rsid w:val="05858C02"/>
    <w:rsid w:val="058DF10B"/>
    <w:rsid w:val="05916701"/>
    <w:rsid w:val="05917E6E"/>
    <w:rsid w:val="059291D3"/>
    <w:rsid w:val="05942F0D"/>
    <w:rsid w:val="05976766"/>
    <w:rsid w:val="05A4CD27"/>
    <w:rsid w:val="05A6289F"/>
    <w:rsid w:val="05AA0E97"/>
    <w:rsid w:val="05AA8DB8"/>
    <w:rsid w:val="05AD22DF"/>
    <w:rsid w:val="05B79ABA"/>
    <w:rsid w:val="05B84A35"/>
    <w:rsid w:val="05BAFA4B"/>
    <w:rsid w:val="05C2AB3A"/>
    <w:rsid w:val="05C88620"/>
    <w:rsid w:val="05CACE7C"/>
    <w:rsid w:val="05D14163"/>
    <w:rsid w:val="05DAF7B5"/>
    <w:rsid w:val="05E6D80B"/>
    <w:rsid w:val="05ED755A"/>
    <w:rsid w:val="05EE51EF"/>
    <w:rsid w:val="05F564BB"/>
    <w:rsid w:val="05F79EFF"/>
    <w:rsid w:val="05FFA2DF"/>
    <w:rsid w:val="060111A9"/>
    <w:rsid w:val="060477D2"/>
    <w:rsid w:val="06059CA5"/>
    <w:rsid w:val="060CC6A5"/>
    <w:rsid w:val="060FEE0D"/>
    <w:rsid w:val="06123ED2"/>
    <w:rsid w:val="06132643"/>
    <w:rsid w:val="0613ADA5"/>
    <w:rsid w:val="0619CE6D"/>
    <w:rsid w:val="0624A3F3"/>
    <w:rsid w:val="062F6B6B"/>
    <w:rsid w:val="06338C3A"/>
    <w:rsid w:val="0634B640"/>
    <w:rsid w:val="0637C548"/>
    <w:rsid w:val="06444C8F"/>
    <w:rsid w:val="06454C2A"/>
    <w:rsid w:val="06456130"/>
    <w:rsid w:val="0647FA88"/>
    <w:rsid w:val="06497B00"/>
    <w:rsid w:val="064CDEA6"/>
    <w:rsid w:val="065DD104"/>
    <w:rsid w:val="06605EF3"/>
    <w:rsid w:val="0662F78F"/>
    <w:rsid w:val="0664979A"/>
    <w:rsid w:val="0669C04B"/>
    <w:rsid w:val="066A6899"/>
    <w:rsid w:val="0671712F"/>
    <w:rsid w:val="06747B6D"/>
    <w:rsid w:val="067CB653"/>
    <w:rsid w:val="067FCFEF"/>
    <w:rsid w:val="06803333"/>
    <w:rsid w:val="0680B0D0"/>
    <w:rsid w:val="06875954"/>
    <w:rsid w:val="068A2BB4"/>
    <w:rsid w:val="0691B5DB"/>
    <w:rsid w:val="06946C8C"/>
    <w:rsid w:val="069709E5"/>
    <w:rsid w:val="069C4E6A"/>
    <w:rsid w:val="06A0DF18"/>
    <w:rsid w:val="06A682AE"/>
    <w:rsid w:val="06AED1C8"/>
    <w:rsid w:val="06C8A85C"/>
    <w:rsid w:val="06C8F3B6"/>
    <w:rsid w:val="06D838DD"/>
    <w:rsid w:val="06DD7774"/>
    <w:rsid w:val="06E0EDD6"/>
    <w:rsid w:val="06E27CBB"/>
    <w:rsid w:val="06E73B60"/>
    <w:rsid w:val="06EA5D55"/>
    <w:rsid w:val="06F3DEEC"/>
    <w:rsid w:val="06FB431F"/>
    <w:rsid w:val="06FD99DF"/>
    <w:rsid w:val="0705F41C"/>
    <w:rsid w:val="0706E359"/>
    <w:rsid w:val="07082613"/>
    <w:rsid w:val="07095792"/>
    <w:rsid w:val="070C9B38"/>
    <w:rsid w:val="070D930B"/>
    <w:rsid w:val="071255DF"/>
    <w:rsid w:val="07132605"/>
    <w:rsid w:val="071A9C4A"/>
    <w:rsid w:val="071E3A4E"/>
    <w:rsid w:val="0721BF87"/>
    <w:rsid w:val="072258DA"/>
    <w:rsid w:val="07264CD6"/>
    <w:rsid w:val="072AC560"/>
    <w:rsid w:val="072E3EE4"/>
    <w:rsid w:val="0733E1E7"/>
    <w:rsid w:val="0737507C"/>
    <w:rsid w:val="07429D0D"/>
    <w:rsid w:val="07470C18"/>
    <w:rsid w:val="074CE231"/>
    <w:rsid w:val="074E1311"/>
    <w:rsid w:val="074FDA04"/>
    <w:rsid w:val="07517C76"/>
    <w:rsid w:val="0753AD27"/>
    <w:rsid w:val="07588F5C"/>
    <w:rsid w:val="07651332"/>
    <w:rsid w:val="076974D0"/>
    <w:rsid w:val="076A132A"/>
    <w:rsid w:val="076A46DB"/>
    <w:rsid w:val="077DE94D"/>
    <w:rsid w:val="0786C794"/>
    <w:rsid w:val="078CA6D0"/>
    <w:rsid w:val="078FC54D"/>
    <w:rsid w:val="07919998"/>
    <w:rsid w:val="07926E2D"/>
    <w:rsid w:val="079514E1"/>
    <w:rsid w:val="07956895"/>
    <w:rsid w:val="07A5A803"/>
    <w:rsid w:val="07A5D040"/>
    <w:rsid w:val="07A9C4A8"/>
    <w:rsid w:val="07B331C7"/>
    <w:rsid w:val="07BA6D4C"/>
    <w:rsid w:val="07C924AD"/>
    <w:rsid w:val="07CA69F6"/>
    <w:rsid w:val="07DD55FF"/>
    <w:rsid w:val="07DF413E"/>
    <w:rsid w:val="07E1D0AC"/>
    <w:rsid w:val="07F765A2"/>
    <w:rsid w:val="07FBE5F7"/>
    <w:rsid w:val="07FDF74A"/>
    <w:rsid w:val="07FF0894"/>
    <w:rsid w:val="080585E7"/>
    <w:rsid w:val="080E0C45"/>
    <w:rsid w:val="0813EA3E"/>
    <w:rsid w:val="08170E4A"/>
    <w:rsid w:val="0817240F"/>
    <w:rsid w:val="08183A56"/>
    <w:rsid w:val="08189162"/>
    <w:rsid w:val="08194580"/>
    <w:rsid w:val="081F0CD7"/>
    <w:rsid w:val="08216261"/>
    <w:rsid w:val="082513D2"/>
    <w:rsid w:val="0829AB42"/>
    <w:rsid w:val="082B081F"/>
    <w:rsid w:val="082FE1A2"/>
    <w:rsid w:val="083806E4"/>
    <w:rsid w:val="083A6A81"/>
    <w:rsid w:val="083AB82F"/>
    <w:rsid w:val="083DA930"/>
    <w:rsid w:val="084D4BF7"/>
    <w:rsid w:val="0857BA95"/>
    <w:rsid w:val="0857EC84"/>
    <w:rsid w:val="085D2EFC"/>
    <w:rsid w:val="085F89BB"/>
    <w:rsid w:val="0862041E"/>
    <w:rsid w:val="086EB430"/>
    <w:rsid w:val="0873E862"/>
    <w:rsid w:val="0876777A"/>
    <w:rsid w:val="0877BF1E"/>
    <w:rsid w:val="088F4C5B"/>
    <w:rsid w:val="088FFE1F"/>
    <w:rsid w:val="08918608"/>
    <w:rsid w:val="08923E6F"/>
    <w:rsid w:val="089245A9"/>
    <w:rsid w:val="089D11CC"/>
    <w:rsid w:val="08A269B7"/>
    <w:rsid w:val="08A6FA08"/>
    <w:rsid w:val="08A91990"/>
    <w:rsid w:val="08AD87A4"/>
    <w:rsid w:val="08B389DA"/>
    <w:rsid w:val="08B4F39F"/>
    <w:rsid w:val="08B72760"/>
    <w:rsid w:val="08BC321E"/>
    <w:rsid w:val="08C19F37"/>
    <w:rsid w:val="08C241ED"/>
    <w:rsid w:val="08C9D20B"/>
    <w:rsid w:val="08E1EA20"/>
    <w:rsid w:val="08E4C3A1"/>
    <w:rsid w:val="08E85CB2"/>
    <w:rsid w:val="08EB5395"/>
    <w:rsid w:val="08F1A16C"/>
    <w:rsid w:val="0902E499"/>
    <w:rsid w:val="09042452"/>
    <w:rsid w:val="090AA9E6"/>
    <w:rsid w:val="090AB918"/>
    <w:rsid w:val="090B89CC"/>
    <w:rsid w:val="091BD3B2"/>
    <w:rsid w:val="0921A8BC"/>
    <w:rsid w:val="092935FD"/>
    <w:rsid w:val="09380EBB"/>
    <w:rsid w:val="093A3A76"/>
    <w:rsid w:val="095973E3"/>
    <w:rsid w:val="095CDF9A"/>
    <w:rsid w:val="095D6C8B"/>
    <w:rsid w:val="0963B2D6"/>
    <w:rsid w:val="0965EAE2"/>
    <w:rsid w:val="096785DB"/>
    <w:rsid w:val="096A5C3C"/>
    <w:rsid w:val="096A636B"/>
    <w:rsid w:val="096C8ED4"/>
    <w:rsid w:val="096DA44C"/>
    <w:rsid w:val="096EB8C0"/>
    <w:rsid w:val="096ED457"/>
    <w:rsid w:val="096F6879"/>
    <w:rsid w:val="097BB021"/>
    <w:rsid w:val="0980D138"/>
    <w:rsid w:val="0984B1D9"/>
    <w:rsid w:val="098789F0"/>
    <w:rsid w:val="0998EF5F"/>
    <w:rsid w:val="099AE61D"/>
    <w:rsid w:val="099C91BF"/>
    <w:rsid w:val="09A0AD61"/>
    <w:rsid w:val="09A674AB"/>
    <w:rsid w:val="09A68F7D"/>
    <w:rsid w:val="09AECEF1"/>
    <w:rsid w:val="09B07C9A"/>
    <w:rsid w:val="09B54650"/>
    <w:rsid w:val="09B66C8B"/>
    <w:rsid w:val="09C7530C"/>
    <w:rsid w:val="09CA0C37"/>
    <w:rsid w:val="09D3AA56"/>
    <w:rsid w:val="09D8A9DC"/>
    <w:rsid w:val="09E26BE3"/>
    <w:rsid w:val="09E36880"/>
    <w:rsid w:val="09E398B8"/>
    <w:rsid w:val="09E44467"/>
    <w:rsid w:val="09E486CF"/>
    <w:rsid w:val="09E79447"/>
    <w:rsid w:val="09E7ADA1"/>
    <w:rsid w:val="09E9FCF9"/>
    <w:rsid w:val="09EA8141"/>
    <w:rsid w:val="09EC34E8"/>
    <w:rsid w:val="09ECD053"/>
    <w:rsid w:val="09ED19F0"/>
    <w:rsid w:val="09F577D5"/>
    <w:rsid w:val="09FB1612"/>
    <w:rsid w:val="09FF95FB"/>
    <w:rsid w:val="0A062FCF"/>
    <w:rsid w:val="0A0F59E1"/>
    <w:rsid w:val="0A18A685"/>
    <w:rsid w:val="0A1BF2B8"/>
    <w:rsid w:val="0A1C7E61"/>
    <w:rsid w:val="0A1E1192"/>
    <w:rsid w:val="0A2A8A6B"/>
    <w:rsid w:val="0A2D590A"/>
    <w:rsid w:val="0A41677B"/>
    <w:rsid w:val="0A42D0B3"/>
    <w:rsid w:val="0A5F4DB1"/>
    <w:rsid w:val="0A6927E2"/>
    <w:rsid w:val="0A69CC7D"/>
    <w:rsid w:val="0A69E968"/>
    <w:rsid w:val="0A6AA7EA"/>
    <w:rsid w:val="0A780D1E"/>
    <w:rsid w:val="0A8E14E6"/>
    <w:rsid w:val="0A90B51E"/>
    <w:rsid w:val="0A988249"/>
    <w:rsid w:val="0A9CB4A6"/>
    <w:rsid w:val="0A9EC6B2"/>
    <w:rsid w:val="0AA62C78"/>
    <w:rsid w:val="0AA72897"/>
    <w:rsid w:val="0AB287FB"/>
    <w:rsid w:val="0AB37391"/>
    <w:rsid w:val="0AB812E1"/>
    <w:rsid w:val="0AB97C6D"/>
    <w:rsid w:val="0AC3AEFD"/>
    <w:rsid w:val="0AC5D378"/>
    <w:rsid w:val="0AC6C3B4"/>
    <w:rsid w:val="0ACC3271"/>
    <w:rsid w:val="0ACD471C"/>
    <w:rsid w:val="0ACD751C"/>
    <w:rsid w:val="0AD5FD3E"/>
    <w:rsid w:val="0AE05108"/>
    <w:rsid w:val="0AE45696"/>
    <w:rsid w:val="0AE57FE8"/>
    <w:rsid w:val="0AF167C8"/>
    <w:rsid w:val="0AF26ACB"/>
    <w:rsid w:val="0AF6315B"/>
    <w:rsid w:val="0B026189"/>
    <w:rsid w:val="0B04D803"/>
    <w:rsid w:val="0B053DE5"/>
    <w:rsid w:val="0B110C5E"/>
    <w:rsid w:val="0B13A096"/>
    <w:rsid w:val="0B14606E"/>
    <w:rsid w:val="0B1522BA"/>
    <w:rsid w:val="0B20DAAD"/>
    <w:rsid w:val="0B269DDB"/>
    <w:rsid w:val="0B2865F9"/>
    <w:rsid w:val="0B4B1B9A"/>
    <w:rsid w:val="0B4BB0AB"/>
    <w:rsid w:val="0B4E69BD"/>
    <w:rsid w:val="0B4ED90A"/>
    <w:rsid w:val="0B5207A0"/>
    <w:rsid w:val="0B525D96"/>
    <w:rsid w:val="0B534112"/>
    <w:rsid w:val="0B55C1CA"/>
    <w:rsid w:val="0B55D11F"/>
    <w:rsid w:val="0B57B670"/>
    <w:rsid w:val="0B5B4031"/>
    <w:rsid w:val="0B5B5E66"/>
    <w:rsid w:val="0B660AE4"/>
    <w:rsid w:val="0B681C3A"/>
    <w:rsid w:val="0B68FE6E"/>
    <w:rsid w:val="0B69A850"/>
    <w:rsid w:val="0B6BE5E2"/>
    <w:rsid w:val="0B7ABFAF"/>
    <w:rsid w:val="0B80B68C"/>
    <w:rsid w:val="0B886E6F"/>
    <w:rsid w:val="0B8960DA"/>
    <w:rsid w:val="0B8CE36F"/>
    <w:rsid w:val="0B8F8A06"/>
    <w:rsid w:val="0B9201E5"/>
    <w:rsid w:val="0B92AAF6"/>
    <w:rsid w:val="0B95F101"/>
    <w:rsid w:val="0B97DFF9"/>
    <w:rsid w:val="0BA38544"/>
    <w:rsid w:val="0BA43A93"/>
    <w:rsid w:val="0BA51DB5"/>
    <w:rsid w:val="0BA5A81C"/>
    <w:rsid w:val="0BA7F1D5"/>
    <w:rsid w:val="0BA9E50D"/>
    <w:rsid w:val="0BAFF7E2"/>
    <w:rsid w:val="0BB2D2E9"/>
    <w:rsid w:val="0BB40733"/>
    <w:rsid w:val="0BBA1CB8"/>
    <w:rsid w:val="0BC315D5"/>
    <w:rsid w:val="0BC3793F"/>
    <w:rsid w:val="0BC76C92"/>
    <w:rsid w:val="0BCF91CB"/>
    <w:rsid w:val="0BD1212D"/>
    <w:rsid w:val="0BD6C057"/>
    <w:rsid w:val="0BD930D2"/>
    <w:rsid w:val="0BDC0C19"/>
    <w:rsid w:val="0BE65677"/>
    <w:rsid w:val="0BEC07BD"/>
    <w:rsid w:val="0BECD6B6"/>
    <w:rsid w:val="0BEFD85C"/>
    <w:rsid w:val="0BF423C8"/>
    <w:rsid w:val="0C01FA0F"/>
    <w:rsid w:val="0C02A2DE"/>
    <w:rsid w:val="0C18A8C4"/>
    <w:rsid w:val="0C191274"/>
    <w:rsid w:val="0C19676B"/>
    <w:rsid w:val="0C215CFE"/>
    <w:rsid w:val="0C2E1A79"/>
    <w:rsid w:val="0C3A7509"/>
    <w:rsid w:val="0C3F4AAF"/>
    <w:rsid w:val="0C403D5C"/>
    <w:rsid w:val="0C4103F5"/>
    <w:rsid w:val="0C42C335"/>
    <w:rsid w:val="0C43AD16"/>
    <w:rsid w:val="0C48BEE4"/>
    <w:rsid w:val="0C4C56C8"/>
    <w:rsid w:val="0C4CA0E1"/>
    <w:rsid w:val="0C612D9D"/>
    <w:rsid w:val="0C6287B2"/>
    <w:rsid w:val="0C691BE0"/>
    <w:rsid w:val="0C6E158A"/>
    <w:rsid w:val="0C710E8F"/>
    <w:rsid w:val="0C75E019"/>
    <w:rsid w:val="0C76D643"/>
    <w:rsid w:val="0C7EAF36"/>
    <w:rsid w:val="0C7F3C4E"/>
    <w:rsid w:val="0C8E6216"/>
    <w:rsid w:val="0C90C574"/>
    <w:rsid w:val="0C973EF3"/>
    <w:rsid w:val="0CA00A47"/>
    <w:rsid w:val="0CA04818"/>
    <w:rsid w:val="0CA50A3C"/>
    <w:rsid w:val="0CA8795A"/>
    <w:rsid w:val="0CB47640"/>
    <w:rsid w:val="0CB6190D"/>
    <w:rsid w:val="0CB62D44"/>
    <w:rsid w:val="0CB76E07"/>
    <w:rsid w:val="0CBA51E7"/>
    <w:rsid w:val="0CBBF05F"/>
    <w:rsid w:val="0CC6752D"/>
    <w:rsid w:val="0CC8C0B5"/>
    <w:rsid w:val="0CC8DA91"/>
    <w:rsid w:val="0CD2B8D1"/>
    <w:rsid w:val="0CD38701"/>
    <w:rsid w:val="0CD7D49D"/>
    <w:rsid w:val="0CDF5976"/>
    <w:rsid w:val="0CE51071"/>
    <w:rsid w:val="0CE632E8"/>
    <w:rsid w:val="0CE9E92E"/>
    <w:rsid w:val="0CEB40DD"/>
    <w:rsid w:val="0CEB57DB"/>
    <w:rsid w:val="0CEDD801"/>
    <w:rsid w:val="0CF102BF"/>
    <w:rsid w:val="0CF38278"/>
    <w:rsid w:val="0CF55468"/>
    <w:rsid w:val="0CFB94A3"/>
    <w:rsid w:val="0CFCBE66"/>
    <w:rsid w:val="0D0341BD"/>
    <w:rsid w:val="0D039966"/>
    <w:rsid w:val="0D03C132"/>
    <w:rsid w:val="0D096D84"/>
    <w:rsid w:val="0D0C3447"/>
    <w:rsid w:val="0D0CA213"/>
    <w:rsid w:val="0D0CA7BC"/>
    <w:rsid w:val="0D12D41F"/>
    <w:rsid w:val="0D1A39AC"/>
    <w:rsid w:val="0D210596"/>
    <w:rsid w:val="0D254F61"/>
    <w:rsid w:val="0D2934C3"/>
    <w:rsid w:val="0D2D929C"/>
    <w:rsid w:val="0D3112E7"/>
    <w:rsid w:val="0D3CE1FB"/>
    <w:rsid w:val="0D3F311B"/>
    <w:rsid w:val="0D42BC88"/>
    <w:rsid w:val="0D42F604"/>
    <w:rsid w:val="0D45407E"/>
    <w:rsid w:val="0D46017A"/>
    <w:rsid w:val="0D481558"/>
    <w:rsid w:val="0D49A1A4"/>
    <w:rsid w:val="0D49D1DA"/>
    <w:rsid w:val="0D4DE8F4"/>
    <w:rsid w:val="0D4FE4A7"/>
    <w:rsid w:val="0D502F5A"/>
    <w:rsid w:val="0D515C46"/>
    <w:rsid w:val="0D53006C"/>
    <w:rsid w:val="0D56A7BC"/>
    <w:rsid w:val="0D5D00A5"/>
    <w:rsid w:val="0D64BC07"/>
    <w:rsid w:val="0D669660"/>
    <w:rsid w:val="0D6A84A3"/>
    <w:rsid w:val="0D6F27BE"/>
    <w:rsid w:val="0D71859E"/>
    <w:rsid w:val="0D76D296"/>
    <w:rsid w:val="0D7761A8"/>
    <w:rsid w:val="0D7F3A49"/>
    <w:rsid w:val="0D842BD3"/>
    <w:rsid w:val="0D8626E3"/>
    <w:rsid w:val="0D8E6358"/>
    <w:rsid w:val="0D94B652"/>
    <w:rsid w:val="0D98E24E"/>
    <w:rsid w:val="0D9C949C"/>
    <w:rsid w:val="0DA49C93"/>
    <w:rsid w:val="0DAE5E12"/>
    <w:rsid w:val="0DB1BC9A"/>
    <w:rsid w:val="0DB91E8F"/>
    <w:rsid w:val="0DBE7486"/>
    <w:rsid w:val="0DBE7585"/>
    <w:rsid w:val="0DC052B2"/>
    <w:rsid w:val="0DCD021E"/>
    <w:rsid w:val="0DD64C84"/>
    <w:rsid w:val="0DD68153"/>
    <w:rsid w:val="0DEA5C60"/>
    <w:rsid w:val="0DEA5D30"/>
    <w:rsid w:val="0DEB734D"/>
    <w:rsid w:val="0DF90D7E"/>
    <w:rsid w:val="0DF9DDB4"/>
    <w:rsid w:val="0E021F24"/>
    <w:rsid w:val="0E06F2ED"/>
    <w:rsid w:val="0E11EC8D"/>
    <w:rsid w:val="0E16D433"/>
    <w:rsid w:val="0E177131"/>
    <w:rsid w:val="0E19062C"/>
    <w:rsid w:val="0E197F7D"/>
    <w:rsid w:val="0E1C9406"/>
    <w:rsid w:val="0E28212E"/>
    <w:rsid w:val="0E2AE4B4"/>
    <w:rsid w:val="0E34FE52"/>
    <w:rsid w:val="0E3D9420"/>
    <w:rsid w:val="0E45EBE0"/>
    <w:rsid w:val="0E4BAF48"/>
    <w:rsid w:val="0E560474"/>
    <w:rsid w:val="0E562856"/>
    <w:rsid w:val="0E57C7BE"/>
    <w:rsid w:val="0E67D02B"/>
    <w:rsid w:val="0E696E65"/>
    <w:rsid w:val="0E7129CB"/>
    <w:rsid w:val="0E753FB6"/>
    <w:rsid w:val="0E769D47"/>
    <w:rsid w:val="0E7B6353"/>
    <w:rsid w:val="0E7EB76B"/>
    <w:rsid w:val="0E86F0B9"/>
    <w:rsid w:val="0E95AF04"/>
    <w:rsid w:val="0E96B971"/>
    <w:rsid w:val="0E997CBC"/>
    <w:rsid w:val="0E9F32DC"/>
    <w:rsid w:val="0EA111EC"/>
    <w:rsid w:val="0EA6ABAC"/>
    <w:rsid w:val="0EB1F079"/>
    <w:rsid w:val="0EB9ECCB"/>
    <w:rsid w:val="0EC9215A"/>
    <w:rsid w:val="0EC9A2A7"/>
    <w:rsid w:val="0ED32527"/>
    <w:rsid w:val="0ED71241"/>
    <w:rsid w:val="0ED831DB"/>
    <w:rsid w:val="0ED9F5A5"/>
    <w:rsid w:val="0EE23028"/>
    <w:rsid w:val="0EE50ECA"/>
    <w:rsid w:val="0EEC54C0"/>
    <w:rsid w:val="0EEC662E"/>
    <w:rsid w:val="0EF0380A"/>
    <w:rsid w:val="0EF180A7"/>
    <w:rsid w:val="0EF55BED"/>
    <w:rsid w:val="0EF63911"/>
    <w:rsid w:val="0EF9B81C"/>
    <w:rsid w:val="0EFC557E"/>
    <w:rsid w:val="0EFE8CEE"/>
    <w:rsid w:val="0F039290"/>
    <w:rsid w:val="0F05062D"/>
    <w:rsid w:val="0F0F9720"/>
    <w:rsid w:val="0F11BDB6"/>
    <w:rsid w:val="0F1CB115"/>
    <w:rsid w:val="0F27467A"/>
    <w:rsid w:val="0F344880"/>
    <w:rsid w:val="0F375940"/>
    <w:rsid w:val="0F38D1AF"/>
    <w:rsid w:val="0F396B67"/>
    <w:rsid w:val="0F3C91C4"/>
    <w:rsid w:val="0F3D5608"/>
    <w:rsid w:val="0F3F0BAC"/>
    <w:rsid w:val="0F553D15"/>
    <w:rsid w:val="0F5DD7EE"/>
    <w:rsid w:val="0F5E7D00"/>
    <w:rsid w:val="0F60C9CD"/>
    <w:rsid w:val="0F6FC5B6"/>
    <w:rsid w:val="0F728FC2"/>
    <w:rsid w:val="0F7C5E69"/>
    <w:rsid w:val="0F80250E"/>
    <w:rsid w:val="0F845E27"/>
    <w:rsid w:val="0F8B49C4"/>
    <w:rsid w:val="0F907E26"/>
    <w:rsid w:val="0F9B2B5B"/>
    <w:rsid w:val="0F9D38DA"/>
    <w:rsid w:val="0FA62526"/>
    <w:rsid w:val="0FA6AB83"/>
    <w:rsid w:val="0FA813E6"/>
    <w:rsid w:val="0FB119F9"/>
    <w:rsid w:val="0FB20F1D"/>
    <w:rsid w:val="0FC27002"/>
    <w:rsid w:val="0FC3F18F"/>
    <w:rsid w:val="0FCE4CAF"/>
    <w:rsid w:val="0FCFF2AF"/>
    <w:rsid w:val="0FD23801"/>
    <w:rsid w:val="0FDCC465"/>
    <w:rsid w:val="0FE19D8D"/>
    <w:rsid w:val="0FE411F0"/>
    <w:rsid w:val="0FF06469"/>
    <w:rsid w:val="0FF0AB6D"/>
    <w:rsid w:val="0FF1B966"/>
    <w:rsid w:val="0FF38512"/>
    <w:rsid w:val="0FF65691"/>
    <w:rsid w:val="0FFDA38A"/>
    <w:rsid w:val="1000BE44"/>
    <w:rsid w:val="100C5A8E"/>
    <w:rsid w:val="100D0B15"/>
    <w:rsid w:val="100DA39A"/>
    <w:rsid w:val="10175DE9"/>
    <w:rsid w:val="101B3C63"/>
    <w:rsid w:val="1021DAE0"/>
    <w:rsid w:val="1026598E"/>
    <w:rsid w:val="10265D3E"/>
    <w:rsid w:val="10286E72"/>
    <w:rsid w:val="1030A637"/>
    <w:rsid w:val="1037B10B"/>
    <w:rsid w:val="103FCE09"/>
    <w:rsid w:val="1040B79F"/>
    <w:rsid w:val="10411C92"/>
    <w:rsid w:val="1047A835"/>
    <w:rsid w:val="104B1C1A"/>
    <w:rsid w:val="1052120E"/>
    <w:rsid w:val="10529655"/>
    <w:rsid w:val="10537DF7"/>
    <w:rsid w:val="105B5B6E"/>
    <w:rsid w:val="105C8E5F"/>
    <w:rsid w:val="105F58F7"/>
    <w:rsid w:val="1061201B"/>
    <w:rsid w:val="1061C737"/>
    <w:rsid w:val="1065CA09"/>
    <w:rsid w:val="106CD9C3"/>
    <w:rsid w:val="106FE0C1"/>
    <w:rsid w:val="1071C34C"/>
    <w:rsid w:val="1072E2A2"/>
    <w:rsid w:val="10757A25"/>
    <w:rsid w:val="1078ABD3"/>
    <w:rsid w:val="107B424A"/>
    <w:rsid w:val="107D61AD"/>
    <w:rsid w:val="10897C4D"/>
    <w:rsid w:val="108BA883"/>
    <w:rsid w:val="10913D37"/>
    <w:rsid w:val="1091D5BC"/>
    <w:rsid w:val="109BD1A2"/>
    <w:rsid w:val="10B07647"/>
    <w:rsid w:val="10B08357"/>
    <w:rsid w:val="10B15A63"/>
    <w:rsid w:val="10B16AE2"/>
    <w:rsid w:val="10B1A7C5"/>
    <w:rsid w:val="10B37C13"/>
    <w:rsid w:val="10BA7CB5"/>
    <w:rsid w:val="10BAC74C"/>
    <w:rsid w:val="10BB6456"/>
    <w:rsid w:val="10BC282A"/>
    <w:rsid w:val="10BCA6BB"/>
    <w:rsid w:val="10CA5EAA"/>
    <w:rsid w:val="10CA70A5"/>
    <w:rsid w:val="10CBA75B"/>
    <w:rsid w:val="10CD603F"/>
    <w:rsid w:val="10D497B9"/>
    <w:rsid w:val="10DAC8D2"/>
    <w:rsid w:val="10E68C5C"/>
    <w:rsid w:val="10E77CC4"/>
    <w:rsid w:val="10E83843"/>
    <w:rsid w:val="10EA986C"/>
    <w:rsid w:val="10EC2459"/>
    <w:rsid w:val="10F493F5"/>
    <w:rsid w:val="10F5F422"/>
    <w:rsid w:val="10FB2214"/>
    <w:rsid w:val="10FBD809"/>
    <w:rsid w:val="1103DA3C"/>
    <w:rsid w:val="1104387B"/>
    <w:rsid w:val="1105378D"/>
    <w:rsid w:val="110961BE"/>
    <w:rsid w:val="110E02BE"/>
    <w:rsid w:val="11129F36"/>
    <w:rsid w:val="1114FC92"/>
    <w:rsid w:val="1115D4BE"/>
    <w:rsid w:val="111E88F9"/>
    <w:rsid w:val="111F8596"/>
    <w:rsid w:val="11258A62"/>
    <w:rsid w:val="11283313"/>
    <w:rsid w:val="112C2CE6"/>
    <w:rsid w:val="112DAD2A"/>
    <w:rsid w:val="11315D5E"/>
    <w:rsid w:val="1132E0CA"/>
    <w:rsid w:val="11353A1C"/>
    <w:rsid w:val="1135EACD"/>
    <w:rsid w:val="1143E0A1"/>
    <w:rsid w:val="1146B1A9"/>
    <w:rsid w:val="1146C6D6"/>
    <w:rsid w:val="114846BB"/>
    <w:rsid w:val="115014BB"/>
    <w:rsid w:val="11584336"/>
    <w:rsid w:val="11689A6F"/>
    <w:rsid w:val="116D7320"/>
    <w:rsid w:val="117B47DC"/>
    <w:rsid w:val="11811512"/>
    <w:rsid w:val="118395C9"/>
    <w:rsid w:val="1184BAE4"/>
    <w:rsid w:val="118FB2E6"/>
    <w:rsid w:val="11983F6D"/>
    <w:rsid w:val="119F3592"/>
    <w:rsid w:val="119F563C"/>
    <w:rsid w:val="11A6AF47"/>
    <w:rsid w:val="11AAD6DE"/>
    <w:rsid w:val="11B2DB6C"/>
    <w:rsid w:val="11B70C4B"/>
    <w:rsid w:val="11B81AF1"/>
    <w:rsid w:val="11BBE24A"/>
    <w:rsid w:val="11C0A784"/>
    <w:rsid w:val="11C11B86"/>
    <w:rsid w:val="11C14699"/>
    <w:rsid w:val="11C5099F"/>
    <w:rsid w:val="11D22A30"/>
    <w:rsid w:val="11D50A6B"/>
    <w:rsid w:val="11D81D86"/>
    <w:rsid w:val="11D85563"/>
    <w:rsid w:val="11DDFC33"/>
    <w:rsid w:val="11FB997B"/>
    <w:rsid w:val="11FCAE26"/>
    <w:rsid w:val="1205D194"/>
    <w:rsid w:val="1206335D"/>
    <w:rsid w:val="120F16BA"/>
    <w:rsid w:val="12119DE8"/>
    <w:rsid w:val="121C7CAB"/>
    <w:rsid w:val="121E3E58"/>
    <w:rsid w:val="1222AB46"/>
    <w:rsid w:val="12288FD5"/>
    <w:rsid w:val="122B60D2"/>
    <w:rsid w:val="122D641F"/>
    <w:rsid w:val="122E8449"/>
    <w:rsid w:val="1230C572"/>
    <w:rsid w:val="123567E7"/>
    <w:rsid w:val="12417D92"/>
    <w:rsid w:val="1246D821"/>
    <w:rsid w:val="12506A38"/>
    <w:rsid w:val="12515BAC"/>
    <w:rsid w:val="125B37C8"/>
    <w:rsid w:val="1268A17E"/>
    <w:rsid w:val="126CCE82"/>
    <w:rsid w:val="126D60BC"/>
    <w:rsid w:val="126E8C6F"/>
    <w:rsid w:val="127253B0"/>
    <w:rsid w:val="127B1FBC"/>
    <w:rsid w:val="127B7DC7"/>
    <w:rsid w:val="127DB7E7"/>
    <w:rsid w:val="127E12BC"/>
    <w:rsid w:val="1284CB7C"/>
    <w:rsid w:val="128C4A0C"/>
    <w:rsid w:val="12937EFE"/>
    <w:rsid w:val="1297C738"/>
    <w:rsid w:val="1297F4E7"/>
    <w:rsid w:val="1299CB79"/>
    <w:rsid w:val="12A6C514"/>
    <w:rsid w:val="12A7EF03"/>
    <w:rsid w:val="12AEEAA0"/>
    <w:rsid w:val="12AFFECA"/>
    <w:rsid w:val="12B0DD5F"/>
    <w:rsid w:val="12B7C0ED"/>
    <w:rsid w:val="12BBAC16"/>
    <w:rsid w:val="12C1793F"/>
    <w:rsid w:val="12C5C4D0"/>
    <w:rsid w:val="12CC4D0E"/>
    <w:rsid w:val="12D15CD1"/>
    <w:rsid w:val="12D6D144"/>
    <w:rsid w:val="12DEE04D"/>
    <w:rsid w:val="12DFF8E8"/>
    <w:rsid w:val="12E40915"/>
    <w:rsid w:val="12E6C6B9"/>
    <w:rsid w:val="12E7D0CB"/>
    <w:rsid w:val="12ED8EDE"/>
    <w:rsid w:val="12EE973D"/>
    <w:rsid w:val="12F47374"/>
    <w:rsid w:val="13013CDE"/>
    <w:rsid w:val="130694C7"/>
    <w:rsid w:val="130FFCA9"/>
    <w:rsid w:val="1313AF07"/>
    <w:rsid w:val="131547DF"/>
    <w:rsid w:val="13259F58"/>
    <w:rsid w:val="13276CF9"/>
    <w:rsid w:val="13335856"/>
    <w:rsid w:val="1342021C"/>
    <w:rsid w:val="1345C0AF"/>
    <w:rsid w:val="1359A3FB"/>
    <w:rsid w:val="135A8824"/>
    <w:rsid w:val="135DB733"/>
    <w:rsid w:val="135DCEB5"/>
    <w:rsid w:val="135DEA9D"/>
    <w:rsid w:val="135F7B97"/>
    <w:rsid w:val="13616614"/>
    <w:rsid w:val="1361BA5E"/>
    <w:rsid w:val="1370FCE9"/>
    <w:rsid w:val="13724D5A"/>
    <w:rsid w:val="138B78F8"/>
    <w:rsid w:val="1394273E"/>
    <w:rsid w:val="139504D4"/>
    <w:rsid w:val="139601FC"/>
    <w:rsid w:val="1397073D"/>
    <w:rsid w:val="13971DAC"/>
    <w:rsid w:val="1399F6B8"/>
    <w:rsid w:val="139D01F4"/>
    <w:rsid w:val="139F10C7"/>
    <w:rsid w:val="13A08C59"/>
    <w:rsid w:val="13A0C530"/>
    <w:rsid w:val="13A8BEF5"/>
    <w:rsid w:val="13B02F9A"/>
    <w:rsid w:val="13B042A3"/>
    <w:rsid w:val="13B239D5"/>
    <w:rsid w:val="13B319CC"/>
    <w:rsid w:val="13B39556"/>
    <w:rsid w:val="13B73846"/>
    <w:rsid w:val="13B7CFBE"/>
    <w:rsid w:val="13C11D0F"/>
    <w:rsid w:val="13C3DFBD"/>
    <w:rsid w:val="13C617E7"/>
    <w:rsid w:val="13D345D1"/>
    <w:rsid w:val="13DDDE37"/>
    <w:rsid w:val="13DFA80F"/>
    <w:rsid w:val="13E6141A"/>
    <w:rsid w:val="13E7F2C6"/>
    <w:rsid w:val="13E8FB25"/>
    <w:rsid w:val="13EA67FC"/>
    <w:rsid w:val="13EDF670"/>
    <w:rsid w:val="13F4223E"/>
    <w:rsid w:val="13F8DD49"/>
    <w:rsid w:val="13FEDEBC"/>
    <w:rsid w:val="140471DF"/>
    <w:rsid w:val="14048285"/>
    <w:rsid w:val="14109CB2"/>
    <w:rsid w:val="141C0C9D"/>
    <w:rsid w:val="142BC705"/>
    <w:rsid w:val="142FFB01"/>
    <w:rsid w:val="14336DC3"/>
    <w:rsid w:val="1433E661"/>
    <w:rsid w:val="14392C77"/>
    <w:rsid w:val="1444A91C"/>
    <w:rsid w:val="14470231"/>
    <w:rsid w:val="1448005B"/>
    <w:rsid w:val="14591EE6"/>
    <w:rsid w:val="145E876E"/>
    <w:rsid w:val="145EAF23"/>
    <w:rsid w:val="1461E548"/>
    <w:rsid w:val="146C5DAC"/>
    <w:rsid w:val="1470AFA6"/>
    <w:rsid w:val="14909114"/>
    <w:rsid w:val="1494F14A"/>
    <w:rsid w:val="14968EC4"/>
    <w:rsid w:val="1497B3E4"/>
    <w:rsid w:val="14982C84"/>
    <w:rsid w:val="149B3C70"/>
    <w:rsid w:val="149B6BF7"/>
    <w:rsid w:val="149C56AA"/>
    <w:rsid w:val="149F2D01"/>
    <w:rsid w:val="14A5CF9E"/>
    <w:rsid w:val="14A8E2FD"/>
    <w:rsid w:val="14B5B120"/>
    <w:rsid w:val="14B6CEF7"/>
    <w:rsid w:val="14B8E631"/>
    <w:rsid w:val="14C3C0F0"/>
    <w:rsid w:val="14CA61F4"/>
    <w:rsid w:val="14D0FB2D"/>
    <w:rsid w:val="14D3F4BF"/>
    <w:rsid w:val="14DA8DC7"/>
    <w:rsid w:val="14DEEC5E"/>
    <w:rsid w:val="14DEF8AB"/>
    <w:rsid w:val="14E8CE4C"/>
    <w:rsid w:val="14ED3F25"/>
    <w:rsid w:val="14F1CEB6"/>
    <w:rsid w:val="14F2FFD1"/>
    <w:rsid w:val="14F35949"/>
    <w:rsid w:val="14FFDA25"/>
    <w:rsid w:val="1500AAEC"/>
    <w:rsid w:val="15068E3F"/>
    <w:rsid w:val="1506B1F9"/>
    <w:rsid w:val="1519DC81"/>
    <w:rsid w:val="152B75AB"/>
    <w:rsid w:val="152DD072"/>
    <w:rsid w:val="152DF417"/>
    <w:rsid w:val="152E8F99"/>
    <w:rsid w:val="15399849"/>
    <w:rsid w:val="15450D31"/>
    <w:rsid w:val="1546693F"/>
    <w:rsid w:val="1548F5F9"/>
    <w:rsid w:val="154CDB96"/>
    <w:rsid w:val="154D2E1C"/>
    <w:rsid w:val="155695B5"/>
    <w:rsid w:val="15578299"/>
    <w:rsid w:val="155EDB16"/>
    <w:rsid w:val="1565BC4E"/>
    <w:rsid w:val="156B49B8"/>
    <w:rsid w:val="156FC9CF"/>
    <w:rsid w:val="1581F426"/>
    <w:rsid w:val="15826DA2"/>
    <w:rsid w:val="15857FA4"/>
    <w:rsid w:val="159B642D"/>
    <w:rsid w:val="159C304C"/>
    <w:rsid w:val="159F5505"/>
    <w:rsid w:val="15A48183"/>
    <w:rsid w:val="15A68F7A"/>
    <w:rsid w:val="15A6A4F2"/>
    <w:rsid w:val="15AE0D75"/>
    <w:rsid w:val="15B1E326"/>
    <w:rsid w:val="15C87100"/>
    <w:rsid w:val="15C91288"/>
    <w:rsid w:val="15CE1D7F"/>
    <w:rsid w:val="15D27BF7"/>
    <w:rsid w:val="15D3847C"/>
    <w:rsid w:val="15DB4242"/>
    <w:rsid w:val="15DF669B"/>
    <w:rsid w:val="15E82FD9"/>
    <w:rsid w:val="15E9F1B0"/>
    <w:rsid w:val="15ECACD9"/>
    <w:rsid w:val="15F06703"/>
    <w:rsid w:val="15FC5C50"/>
    <w:rsid w:val="15FE2D0D"/>
    <w:rsid w:val="16021F10"/>
    <w:rsid w:val="160FA727"/>
    <w:rsid w:val="1616502F"/>
    <w:rsid w:val="1620F8B0"/>
    <w:rsid w:val="162385DE"/>
    <w:rsid w:val="1625917C"/>
    <w:rsid w:val="1626C440"/>
    <w:rsid w:val="1631AE4A"/>
    <w:rsid w:val="16333313"/>
    <w:rsid w:val="1634C67A"/>
    <w:rsid w:val="1635BA5F"/>
    <w:rsid w:val="163E1050"/>
    <w:rsid w:val="1643719B"/>
    <w:rsid w:val="16446DEA"/>
    <w:rsid w:val="164A30A1"/>
    <w:rsid w:val="164A6465"/>
    <w:rsid w:val="164B527B"/>
    <w:rsid w:val="1665CF1F"/>
    <w:rsid w:val="16678E22"/>
    <w:rsid w:val="166F66E1"/>
    <w:rsid w:val="16715511"/>
    <w:rsid w:val="1673C86C"/>
    <w:rsid w:val="16813A26"/>
    <w:rsid w:val="168378B9"/>
    <w:rsid w:val="1687CB4D"/>
    <w:rsid w:val="1695893A"/>
    <w:rsid w:val="169C2908"/>
    <w:rsid w:val="16A347CC"/>
    <w:rsid w:val="16A79EF0"/>
    <w:rsid w:val="16AD4260"/>
    <w:rsid w:val="16B0F3F1"/>
    <w:rsid w:val="16B77BD5"/>
    <w:rsid w:val="16BA4E96"/>
    <w:rsid w:val="16C0B0CC"/>
    <w:rsid w:val="16C208FC"/>
    <w:rsid w:val="16C6E65D"/>
    <w:rsid w:val="16C9A0D3"/>
    <w:rsid w:val="16CD4038"/>
    <w:rsid w:val="16D1D6BD"/>
    <w:rsid w:val="16DBA92E"/>
    <w:rsid w:val="16EAD0B9"/>
    <w:rsid w:val="16EBA1A4"/>
    <w:rsid w:val="16EED6AD"/>
    <w:rsid w:val="16EFF495"/>
    <w:rsid w:val="16F4DDBB"/>
    <w:rsid w:val="16F6926B"/>
    <w:rsid w:val="17020D5A"/>
    <w:rsid w:val="1702B5C1"/>
    <w:rsid w:val="17031796"/>
    <w:rsid w:val="1703B3EE"/>
    <w:rsid w:val="1703DD05"/>
    <w:rsid w:val="170870A4"/>
    <w:rsid w:val="170C4ADD"/>
    <w:rsid w:val="171DB4DC"/>
    <w:rsid w:val="171EC51F"/>
    <w:rsid w:val="1721B06F"/>
    <w:rsid w:val="1721C9B4"/>
    <w:rsid w:val="1721D698"/>
    <w:rsid w:val="17276274"/>
    <w:rsid w:val="17288904"/>
    <w:rsid w:val="172D7541"/>
    <w:rsid w:val="1733E604"/>
    <w:rsid w:val="1734CD4F"/>
    <w:rsid w:val="17359B8E"/>
    <w:rsid w:val="173A48B6"/>
    <w:rsid w:val="17463935"/>
    <w:rsid w:val="1752CA36"/>
    <w:rsid w:val="17653ACF"/>
    <w:rsid w:val="176E5B27"/>
    <w:rsid w:val="1773B142"/>
    <w:rsid w:val="177B447C"/>
    <w:rsid w:val="177FCD3A"/>
    <w:rsid w:val="178610A2"/>
    <w:rsid w:val="17903D1D"/>
    <w:rsid w:val="1799768F"/>
    <w:rsid w:val="17A040A1"/>
    <w:rsid w:val="17AC231C"/>
    <w:rsid w:val="17B23758"/>
    <w:rsid w:val="17B52D9F"/>
    <w:rsid w:val="17C4D5D4"/>
    <w:rsid w:val="17C5FF57"/>
    <w:rsid w:val="17C74B91"/>
    <w:rsid w:val="17C9A8A9"/>
    <w:rsid w:val="17CA493C"/>
    <w:rsid w:val="17CFE3CC"/>
    <w:rsid w:val="17D14AA3"/>
    <w:rsid w:val="17D39594"/>
    <w:rsid w:val="17DE12E6"/>
    <w:rsid w:val="17E38D91"/>
    <w:rsid w:val="17EE3C8D"/>
    <w:rsid w:val="17FE55B7"/>
    <w:rsid w:val="17FF5D23"/>
    <w:rsid w:val="18037CD3"/>
    <w:rsid w:val="1803E9B6"/>
    <w:rsid w:val="18047426"/>
    <w:rsid w:val="180941EC"/>
    <w:rsid w:val="180DD315"/>
    <w:rsid w:val="1810CA63"/>
    <w:rsid w:val="181362BB"/>
    <w:rsid w:val="18183679"/>
    <w:rsid w:val="1823CAE5"/>
    <w:rsid w:val="182561A2"/>
    <w:rsid w:val="1825F621"/>
    <w:rsid w:val="18305400"/>
    <w:rsid w:val="18368289"/>
    <w:rsid w:val="184186FE"/>
    <w:rsid w:val="18432300"/>
    <w:rsid w:val="184A7A35"/>
    <w:rsid w:val="184C4312"/>
    <w:rsid w:val="184FF152"/>
    <w:rsid w:val="185058FC"/>
    <w:rsid w:val="1857D298"/>
    <w:rsid w:val="18649C40"/>
    <w:rsid w:val="18664D83"/>
    <w:rsid w:val="1869F00C"/>
    <w:rsid w:val="1874B942"/>
    <w:rsid w:val="187699FD"/>
    <w:rsid w:val="1879F687"/>
    <w:rsid w:val="188D2764"/>
    <w:rsid w:val="188F5698"/>
    <w:rsid w:val="1890531A"/>
    <w:rsid w:val="18A57045"/>
    <w:rsid w:val="18AB5335"/>
    <w:rsid w:val="18B14F5A"/>
    <w:rsid w:val="18B254AE"/>
    <w:rsid w:val="18BFF481"/>
    <w:rsid w:val="18C037E4"/>
    <w:rsid w:val="18C35DAF"/>
    <w:rsid w:val="18CA6919"/>
    <w:rsid w:val="18CB3A04"/>
    <w:rsid w:val="18CF1603"/>
    <w:rsid w:val="18D1B9B6"/>
    <w:rsid w:val="18D1EE45"/>
    <w:rsid w:val="18D47120"/>
    <w:rsid w:val="18D64516"/>
    <w:rsid w:val="18DCE7B9"/>
    <w:rsid w:val="18E14352"/>
    <w:rsid w:val="18E1FA0B"/>
    <w:rsid w:val="18E524D6"/>
    <w:rsid w:val="18E77272"/>
    <w:rsid w:val="18F332A9"/>
    <w:rsid w:val="18F6FE84"/>
    <w:rsid w:val="18F76849"/>
    <w:rsid w:val="18FB44FD"/>
    <w:rsid w:val="19099D91"/>
    <w:rsid w:val="190EEB6B"/>
    <w:rsid w:val="191870EB"/>
    <w:rsid w:val="191A71BC"/>
    <w:rsid w:val="191CB19B"/>
    <w:rsid w:val="191D0B57"/>
    <w:rsid w:val="192A2412"/>
    <w:rsid w:val="1930096F"/>
    <w:rsid w:val="1932E625"/>
    <w:rsid w:val="19376FC3"/>
    <w:rsid w:val="193BDEEB"/>
    <w:rsid w:val="193EAE9F"/>
    <w:rsid w:val="194937D9"/>
    <w:rsid w:val="194BC634"/>
    <w:rsid w:val="194CFD1A"/>
    <w:rsid w:val="194F3C94"/>
    <w:rsid w:val="19528BBC"/>
    <w:rsid w:val="196B99CF"/>
    <w:rsid w:val="1976D96E"/>
    <w:rsid w:val="197794E9"/>
    <w:rsid w:val="1979FBB6"/>
    <w:rsid w:val="197EC6C9"/>
    <w:rsid w:val="197F4771"/>
    <w:rsid w:val="1987D1E0"/>
    <w:rsid w:val="1989B80F"/>
    <w:rsid w:val="198FF5B5"/>
    <w:rsid w:val="19989BE0"/>
    <w:rsid w:val="19993845"/>
    <w:rsid w:val="19A00B2C"/>
    <w:rsid w:val="19AA7689"/>
    <w:rsid w:val="19AABAAC"/>
    <w:rsid w:val="19AD3FCA"/>
    <w:rsid w:val="19B75DC9"/>
    <w:rsid w:val="19BAE821"/>
    <w:rsid w:val="19BB2A5A"/>
    <w:rsid w:val="19BDAAAB"/>
    <w:rsid w:val="19C1B730"/>
    <w:rsid w:val="19C56D09"/>
    <w:rsid w:val="19C5D89C"/>
    <w:rsid w:val="19C9FBE7"/>
    <w:rsid w:val="19D19A02"/>
    <w:rsid w:val="19D3FCDE"/>
    <w:rsid w:val="19D69F20"/>
    <w:rsid w:val="19E1AC4D"/>
    <w:rsid w:val="19E25050"/>
    <w:rsid w:val="19E545AA"/>
    <w:rsid w:val="19E641D7"/>
    <w:rsid w:val="19E83855"/>
    <w:rsid w:val="19F66969"/>
    <w:rsid w:val="19FEF259"/>
    <w:rsid w:val="1A0E0D7C"/>
    <w:rsid w:val="1A144135"/>
    <w:rsid w:val="1A1F2321"/>
    <w:rsid w:val="1A209EA0"/>
    <w:rsid w:val="1A225A57"/>
    <w:rsid w:val="1A26CFE9"/>
    <w:rsid w:val="1A2AB2C4"/>
    <w:rsid w:val="1A2F7C86"/>
    <w:rsid w:val="1A2F8B85"/>
    <w:rsid w:val="1A366683"/>
    <w:rsid w:val="1A38F9EA"/>
    <w:rsid w:val="1A3C0714"/>
    <w:rsid w:val="1A44BD5B"/>
    <w:rsid w:val="1A46B246"/>
    <w:rsid w:val="1A4822D7"/>
    <w:rsid w:val="1A4D2150"/>
    <w:rsid w:val="1A4DBD00"/>
    <w:rsid w:val="1A55777D"/>
    <w:rsid w:val="1A59BB10"/>
    <w:rsid w:val="1A5BCDB6"/>
    <w:rsid w:val="1A64F6DF"/>
    <w:rsid w:val="1A6ED012"/>
    <w:rsid w:val="1A713FFD"/>
    <w:rsid w:val="1A725349"/>
    <w:rsid w:val="1A7FB990"/>
    <w:rsid w:val="1A80E63D"/>
    <w:rsid w:val="1A9A4D92"/>
    <w:rsid w:val="1A9E90E3"/>
    <w:rsid w:val="1AA02BE8"/>
    <w:rsid w:val="1AA149E5"/>
    <w:rsid w:val="1AA8BE06"/>
    <w:rsid w:val="1AB8F7FE"/>
    <w:rsid w:val="1ABE7DAF"/>
    <w:rsid w:val="1AC199E0"/>
    <w:rsid w:val="1AC3D826"/>
    <w:rsid w:val="1AC5EEEB"/>
    <w:rsid w:val="1ACA93B3"/>
    <w:rsid w:val="1AD004EA"/>
    <w:rsid w:val="1AD477CA"/>
    <w:rsid w:val="1ADD20A7"/>
    <w:rsid w:val="1ADECBF7"/>
    <w:rsid w:val="1AE72325"/>
    <w:rsid w:val="1AE9A263"/>
    <w:rsid w:val="1AED5F98"/>
    <w:rsid w:val="1B00F20E"/>
    <w:rsid w:val="1B08EBBB"/>
    <w:rsid w:val="1B0D2BEC"/>
    <w:rsid w:val="1B2C24CD"/>
    <w:rsid w:val="1B3668FB"/>
    <w:rsid w:val="1B49102B"/>
    <w:rsid w:val="1B4BCF83"/>
    <w:rsid w:val="1B4FA767"/>
    <w:rsid w:val="1B5030A0"/>
    <w:rsid w:val="1B522764"/>
    <w:rsid w:val="1B5C7460"/>
    <w:rsid w:val="1B62DD33"/>
    <w:rsid w:val="1B7C01FB"/>
    <w:rsid w:val="1B822FDD"/>
    <w:rsid w:val="1B83E7C2"/>
    <w:rsid w:val="1B85F449"/>
    <w:rsid w:val="1B8B909A"/>
    <w:rsid w:val="1B909E84"/>
    <w:rsid w:val="1B96B446"/>
    <w:rsid w:val="1B96CCE3"/>
    <w:rsid w:val="1B97BE64"/>
    <w:rsid w:val="1BA04203"/>
    <w:rsid w:val="1BA5197F"/>
    <w:rsid w:val="1BACF4CD"/>
    <w:rsid w:val="1BAEA0E2"/>
    <w:rsid w:val="1BAFF8C1"/>
    <w:rsid w:val="1BBBFAD6"/>
    <w:rsid w:val="1BBC6FC8"/>
    <w:rsid w:val="1BC9DAA8"/>
    <w:rsid w:val="1BCA7892"/>
    <w:rsid w:val="1BD22C38"/>
    <w:rsid w:val="1BE38234"/>
    <w:rsid w:val="1BE4D4B1"/>
    <w:rsid w:val="1BE8F1B1"/>
    <w:rsid w:val="1BEC95F3"/>
    <w:rsid w:val="1BF0BEAE"/>
    <w:rsid w:val="1BFC1C94"/>
    <w:rsid w:val="1C03F58A"/>
    <w:rsid w:val="1C0AA5B1"/>
    <w:rsid w:val="1C0B71D0"/>
    <w:rsid w:val="1C10A7CB"/>
    <w:rsid w:val="1C11E6DB"/>
    <w:rsid w:val="1C1545F5"/>
    <w:rsid w:val="1C15EC3B"/>
    <w:rsid w:val="1C20E06D"/>
    <w:rsid w:val="1C21E068"/>
    <w:rsid w:val="1C22C4CD"/>
    <w:rsid w:val="1C236019"/>
    <w:rsid w:val="1C2D3C22"/>
    <w:rsid w:val="1C31749A"/>
    <w:rsid w:val="1C319551"/>
    <w:rsid w:val="1C31A299"/>
    <w:rsid w:val="1C336C1F"/>
    <w:rsid w:val="1C36B72A"/>
    <w:rsid w:val="1C3C99AC"/>
    <w:rsid w:val="1C457513"/>
    <w:rsid w:val="1C4913AC"/>
    <w:rsid w:val="1C4958DC"/>
    <w:rsid w:val="1C498E7B"/>
    <w:rsid w:val="1C4C9609"/>
    <w:rsid w:val="1C4E93BD"/>
    <w:rsid w:val="1C53097E"/>
    <w:rsid w:val="1C5D8B13"/>
    <w:rsid w:val="1C653222"/>
    <w:rsid w:val="1C654271"/>
    <w:rsid w:val="1C6BC261"/>
    <w:rsid w:val="1C6D3343"/>
    <w:rsid w:val="1C6F9A42"/>
    <w:rsid w:val="1C709184"/>
    <w:rsid w:val="1C70D0A8"/>
    <w:rsid w:val="1C7765C4"/>
    <w:rsid w:val="1C7D7B76"/>
    <w:rsid w:val="1C8178EC"/>
    <w:rsid w:val="1C81C426"/>
    <w:rsid w:val="1C82182A"/>
    <w:rsid w:val="1C8B1571"/>
    <w:rsid w:val="1C8D8BFD"/>
    <w:rsid w:val="1C8E925A"/>
    <w:rsid w:val="1C8EA4D5"/>
    <w:rsid w:val="1C927576"/>
    <w:rsid w:val="1C9AEE08"/>
    <w:rsid w:val="1C9BBBD2"/>
    <w:rsid w:val="1CAEAE8C"/>
    <w:rsid w:val="1CB8A844"/>
    <w:rsid w:val="1CCA13B9"/>
    <w:rsid w:val="1CCA239F"/>
    <w:rsid w:val="1CCFCE56"/>
    <w:rsid w:val="1CD64A9B"/>
    <w:rsid w:val="1CD8568D"/>
    <w:rsid w:val="1CE3C552"/>
    <w:rsid w:val="1CE5D7BF"/>
    <w:rsid w:val="1CEE7A67"/>
    <w:rsid w:val="1CF04AE4"/>
    <w:rsid w:val="1CF96393"/>
    <w:rsid w:val="1CFC4EAE"/>
    <w:rsid w:val="1D125C04"/>
    <w:rsid w:val="1D15F89C"/>
    <w:rsid w:val="1D1DE6FB"/>
    <w:rsid w:val="1D248713"/>
    <w:rsid w:val="1D267AEE"/>
    <w:rsid w:val="1D2999F9"/>
    <w:rsid w:val="1D2E322C"/>
    <w:rsid w:val="1D2EA99B"/>
    <w:rsid w:val="1D2FCC83"/>
    <w:rsid w:val="1D361C52"/>
    <w:rsid w:val="1D3AE2B9"/>
    <w:rsid w:val="1D3ED0D3"/>
    <w:rsid w:val="1D41D3B5"/>
    <w:rsid w:val="1D432CF2"/>
    <w:rsid w:val="1D496B6E"/>
    <w:rsid w:val="1D5E14C7"/>
    <w:rsid w:val="1D5E68F4"/>
    <w:rsid w:val="1D73CE03"/>
    <w:rsid w:val="1D78F6EA"/>
    <w:rsid w:val="1D8CAE03"/>
    <w:rsid w:val="1D93C3D8"/>
    <w:rsid w:val="1D944E84"/>
    <w:rsid w:val="1DB2732C"/>
    <w:rsid w:val="1DB57C9B"/>
    <w:rsid w:val="1DB89330"/>
    <w:rsid w:val="1DBB9525"/>
    <w:rsid w:val="1DBEA3B3"/>
    <w:rsid w:val="1DCB1847"/>
    <w:rsid w:val="1DD9415D"/>
    <w:rsid w:val="1DE0C7FC"/>
    <w:rsid w:val="1DE1E2B4"/>
    <w:rsid w:val="1DE44B34"/>
    <w:rsid w:val="1DF467F3"/>
    <w:rsid w:val="1DF9BA40"/>
    <w:rsid w:val="1DFC99E0"/>
    <w:rsid w:val="1E0BCDEE"/>
    <w:rsid w:val="1E100DBE"/>
    <w:rsid w:val="1E14898B"/>
    <w:rsid w:val="1E2275F3"/>
    <w:rsid w:val="1E29B170"/>
    <w:rsid w:val="1E34BB71"/>
    <w:rsid w:val="1E4151E8"/>
    <w:rsid w:val="1E42B76C"/>
    <w:rsid w:val="1E43A144"/>
    <w:rsid w:val="1E43DCB3"/>
    <w:rsid w:val="1E4A4A91"/>
    <w:rsid w:val="1E53B8CB"/>
    <w:rsid w:val="1E5B1E72"/>
    <w:rsid w:val="1E7CA386"/>
    <w:rsid w:val="1E844945"/>
    <w:rsid w:val="1E8D0078"/>
    <w:rsid w:val="1E9570C3"/>
    <w:rsid w:val="1E98C037"/>
    <w:rsid w:val="1E9A70A9"/>
    <w:rsid w:val="1E9D37C2"/>
    <w:rsid w:val="1E9D44F2"/>
    <w:rsid w:val="1EA63205"/>
    <w:rsid w:val="1EA67223"/>
    <w:rsid w:val="1EAEE083"/>
    <w:rsid w:val="1EAF6832"/>
    <w:rsid w:val="1EB0BEE0"/>
    <w:rsid w:val="1EB29A54"/>
    <w:rsid w:val="1EB93B1F"/>
    <w:rsid w:val="1EBCABCF"/>
    <w:rsid w:val="1EC5D264"/>
    <w:rsid w:val="1EC6C67E"/>
    <w:rsid w:val="1ED77CDD"/>
    <w:rsid w:val="1EE4F563"/>
    <w:rsid w:val="1EE90769"/>
    <w:rsid w:val="1EEEBDD2"/>
    <w:rsid w:val="1EEF2193"/>
    <w:rsid w:val="1EF74FD4"/>
    <w:rsid w:val="1EFEB1D3"/>
    <w:rsid w:val="1F035071"/>
    <w:rsid w:val="1F09C48C"/>
    <w:rsid w:val="1F0DDBF4"/>
    <w:rsid w:val="1F108C0F"/>
    <w:rsid w:val="1F1B1AD0"/>
    <w:rsid w:val="1F224E8D"/>
    <w:rsid w:val="1F25BBDD"/>
    <w:rsid w:val="1F292491"/>
    <w:rsid w:val="1F3207EB"/>
    <w:rsid w:val="1F3745BC"/>
    <w:rsid w:val="1F3E670A"/>
    <w:rsid w:val="1F3F0CF1"/>
    <w:rsid w:val="1F444EC6"/>
    <w:rsid w:val="1F4965DB"/>
    <w:rsid w:val="1F4D741E"/>
    <w:rsid w:val="1F4E5273"/>
    <w:rsid w:val="1F5B4FD2"/>
    <w:rsid w:val="1F6497C5"/>
    <w:rsid w:val="1F661F95"/>
    <w:rsid w:val="1F694D81"/>
    <w:rsid w:val="1F6B0CE1"/>
    <w:rsid w:val="1F6D0A75"/>
    <w:rsid w:val="1F7A66C2"/>
    <w:rsid w:val="1F8067F1"/>
    <w:rsid w:val="1F8281EC"/>
    <w:rsid w:val="1F82E7B9"/>
    <w:rsid w:val="1F864263"/>
    <w:rsid w:val="1F8E3667"/>
    <w:rsid w:val="1F95C65C"/>
    <w:rsid w:val="1F9E270D"/>
    <w:rsid w:val="1F9FB46F"/>
    <w:rsid w:val="1F9FCAF1"/>
    <w:rsid w:val="1FA1429C"/>
    <w:rsid w:val="1FA4C09B"/>
    <w:rsid w:val="1FA6BF90"/>
    <w:rsid w:val="1FB188C0"/>
    <w:rsid w:val="1FB905AF"/>
    <w:rsid w:val="1FC0A308"/>
    <w:rsid w:val="1FC48A63"/>
    <w:rsid w:val="1FC7050F"/>
    <w:rsid w:val="1FCAA155"/>
    <w:rsid w:val="1FD2E7DD"/>
    <w:rsid w:val="1FD3606F"/>
    <w:rsid w:val="1FD91F85"/>
    <w:rsid w:val="1FD950AE"/>
    <w:rsid w:val="1FDE31C2"/>
    <w:rsid w:val="1FE0BF9C"/>
    <w:rsid w:val="1FE56C13"/>
    <w:rsid w:val="1FF9D849"/>
    <w:rsid w:val="1FFC989A"/>
    <w:rsid w:val="1FFF802F"/>
    <w:rsid w:val="200A453B"/>
    <w:rsid w:val="201186FD"/>
    <w:rsid w:val="2013D78D"/>
    <w:rsid w:val="20157ED4"/>
    <w:rsid w:val="20185A78"/>
    <w:rsid w:val="201D7881"/>
    <w:rsid w:val="2021B7BA"/>
    <w:rsid w:val="202EB3E1"/>
    <w:rsid w:val="203847F8"/>
    <w:rsid w:val="203AF81F"/>
    <w:rsid w:val="203EEC64"/>
    <w:rsid w:val="204E9D3E"/>
    <w:rsid w:val="2050BFCC"/>
    <w:rsid w:val="20531DC9"/>
    <w:rsid w:val="2059134A"/>
    <w:rsid w:val="205B82CA"/>
    <w:rsid w:val="20659C00"/>
    <w:rsid w:val="2067A813"/>
    <w:rsid w:val="206DB7A3"/>
    <w:rsid w:val="20751856"/>
    <w:rsid w:val="207939ED"/>
    <w:rsid w:val="2079B60F"/>
    <w:rsid w:val="207BEA66"/>
    <w:rsid w:val="2080C5C4"/>
    <w:rsid w:val="208EB100"/>
    <w:rsid w:val="20933AAC"/>
    <w:rsid w:val="209793DC"/>
    <w:rsid w:val="20988AF0"/>
    <w:rsid w:val="20A564BA"/>
    <w:rsid w:val="20A8965C"/>
    <w:rsid w:val="20AC0A2D"/>
    <w:rsid w:val="20B202BD"/>
    <w:rsid w:val="20B286B8"/>
    <w:rsid w:val="20B4BFC3"/>
    <w:rsid w:val="20BAFACF"/>
    <w:rsid w:val="20BB4ACE"/>
    <w:rsid w:val="20C020DD"/>
    <w:rsid w:val="20C34E80"/>
    <w:rsid w:val="20C3D7CD"/>
    <w:rsid w:val="20C43F45"/>
    <w:rsid w:val="20C4A771"/>
    <w:rsid w:val="20C5DB9E"/>
    <w:rsid w:val="20DB7BEE"/>
    <w:rsid w:val="20DE42E5"/>
    <w:rsid w:val="20DFD066"/>
    <w:rsid w:val="20E7BCA5"/>
    <w:rsid w:val="20E90F7C"/>
    <w:rsid w:val="20F8C47C"/>
    <w:rsid w:val="2101F316"/>
    <w:rsid w:val="210417E0"/>
    <w:rsid w:val="210666F7"/>
    <w:rsid w:val="2106DD42"/>
    <w:rsid w:val="21079B68"/>
    <w:rsid w:val="210B3E38"/>
    <w:rsid w:val="210BED81"/>
    <w:rsid w:val="2110C52F"/>
    <w:rsid w:val="21145C32"/>
    <w:rsid w:val="211B8D96"/>
    <w:rsid w:val="211D034B"/>
    <w:rsid w:val="211EB293"/>
    <w:rsid w:val="21209C9E"/>
    <w:rsid w:val="2122AAF2"/>
    <w:rsid w:val="2123726A"/>
    <w:rsid w:val="2125689B"/>
    <w:rsid w:val="21263296"/>
    <w:rsid w:val="2129D1E9"/>
    <w:rsid w:val="212AC75C"/>
    <w:rsid w:val="213101DC"/>
    <w:rsid w:val="2138C7FE"/>
    <w:rsid w:val="213B3341"/>
    <w:rsid w:val="213E53F4"/>
    <w:rsid w:val="213EB9A4"/>
    <w:rsid w:val="214235D8"/>
    <w:rsid w:val="2142D4D9"/>
    <w:rsid w:val="2144444B"/>
    <w:rsid w:val="214B7E95"/>
    <w:rsid w:val="2150C08C"/>
    <w:rsid w:val="2154C0AF"/>
    <w:rsid w:val="2154F495"/>
    <w:rsid w:val="2158AC77"/>
    <w:rsid w:val="2162979A"/>
    <w:rsid w:val="21644AF8"/>
    <w:rsid w:val="21676620"/>
    <w:rsid w:val="2168A93B"/>
    <w:rsid w:val="216B4BD0"/>
    <w:rsid w:val="21706FD6"/>
    <w:rsid w:val="2185AE66"/>
    <w:rsid w:val="2189A7E7"/>
    <w:rsid w:val="219142F2"/>
    <w:rsid w:val="2191CF07"/>
    <w:rsid w:val="2191F3BC"/>
    <w:rsid w:val="219293F7"/>
    <w:rsid w:val="21955B48"/>
    <w:rsid w:val="219EC4D1"/>
    <w:rsid w:val="219FA8C3"/>
    <w:rsid w:val="21A0BDBF"/>
    <w:rsid w:val="21A7F7F4"/>
    <w:rsid w:val="21B45F69"/>
    <w:rsid w:val="21B6ACEA"/>
    <w:rsid w:val="21BF1566"/>
    <w:rsid w:val="21C55AA5"/>
    <w:rsid w:val="21C6444C"/>
    <w:rsid w:val="21C7E870"/>
    <w:rsid w:val="21C7E9D5"/>
    <w:rsid w:val="21C9167E"/>
    <w:rsid w:val="21CA8442"/>
    <w:rsid w:val="21E321D9"/>
    <w:rsid w:val="21E72DE1"/>
    <w:rsid w:val="21EBBB3C"/>
    <w:rsid w:val="21F6DC50"/>
    <w:rsid w:val="2200468E"/>
    <w:rsid w:val="22096951"/>
    <w:rsid w:val="220B26E8"/>
    <w:rsid w:val="22108167"/>
    <w:rsid w:val="2214DB70"/>
    <w:rsid w:val="221BA9A5"/>
    <w:rsid w:val="221C3C71"/>
    <w:rsid w:val="221D2AD9"/>
    <w:rsid w:val="221D9197"/>
    <w:rsid w:val="2228D739"/>
    <w:rsid w:val="2231D272"/>
    <w:rsid w:val="2239590C"/>
    <w:rsid w:val="22406F67"/>
    <w:rsid w:val="224FD6DA"/>
    <w:rsid w:val="22542AE6"/>
    <w:rsid w:val="22594C23"/>
    <w:rsid w:val="225AC19F"/>
    <w:rsid w:val="22606B8A"/>
    <w:rsid w:val="22607B59"/>
    <w:rsid w:val="2264DBDB"/>
    <w:rsid w:val="2266F346"/>
    <w:rsid w:val="2270201E"/>
    <w:rsid w:val="227894AE"/>
    <w:rsid w:val="227E3E8C"/>
    <w:rsid w:val="227FDB8B"/>
    <w:rsid w:val="2280E5AD"/>
    <w:rsid w:val="22835A9E"/>
    <w:rsid w:val="2285090B"/>
    <w:rsid w:val="2285A43D"/>
    <w:rsid w:val="228C7F03"/>
    <w:rsid w:val="22917F41"/>
    <w:rsid w:val="229412D9"/>
    <w:rsid w:val="229A17FC"/>
    <w:rsid w:val="229A21E1"/>
    <w:rsid w:val="22A9E993"/>
    <w:rsid w:val="22AE69A1"/>
    <w:rsid w:val="22AEA08C"/>
    <w:rsid w:val="22AF2DA4"/>
    <w:rsid w:val="22AF96F4"/>
    <w:rsid w:val="22B01B2D"/>
    <w:rsid w:val="22B62750"/>
    <w:rsid w:val="22B6C56D"/>
    <w:rsid w:val="22BB7495"/>
    <w:rsid w:val="22C3E437"/>
    <w:rsid w:val="22C5D729"/>
    <w:rsid w:val="22CD7237"/>
    <w:rsid w:val="22CDEC51"/>
    <w:rsid w:val="22DAABD7"/>
    <w:rsid w:val="22DC511F"/>
    <w:rsid w:val="22DED73E"/>
    <w:rsid w:val="22E04B73"/>
    <w:rsid w:val="22E0E4CF"/>
    <w:rsid w:val="22E18B76"/>
    <w:rsid w:val="22E4AD7B"/>
    <w:rsid w:val="22E51CC3"/>
    <w:rsid w:val="22EAFE35"/>
    <w:rsid w:val="22EE9EEA"/>
    <w:rsid w:val="22F02682"/>
    <w:rsid w:val="22F14882"/>
    <w:rsid w:val="22F62AE4"/>
    <w:rsid w:val="230A5094"/>
    <w:rsid w:val="230B77F5"/>
    <w:rsid w:val="230DB740"/>
    <w:rsid w:val="231B1804"/>
    <w:rsid w:val="23324D11"/>
    <w:rsid w:val="2333E209"/>
    <w:rsid w:val="233BF0E6"/>
    <w:rsid w:val="2347309E"/>
    <w:rsid w:val="234D9B31"/>
    <w:rsid w:val="2350E0BC"/>
    <w:rsid w:val="23511F92"/>
    <w:rsid w:val="23651D4D"/>
    <w:rsid w:val="23666707"/>
    <w:rsid w:val="236A7D49"/>
    <w:rsid w:val="236B4EA9"/>
    <w:rsid w:val="236CC907"/>
    <w:rsid w:val="236E82FA"/>
    <w:rsid w:val="237620DE"/>
    <w:rsid w:val="23894212"/>
    <w:rsid w:val="238A9FB4"/>
    <w:rsid w:val="238B46BC"/>
    <w:rsid w:val="238BE783"/>
    <w:rsid w:val="2390479D"/>
    <w:rsid w:val="23924AC6"/>
    <w:rsid w:val="2393EEB0"/>
    <w:rsid w:val="239F0860"/>
    <w:rsid w:val="23A03A61"/>
    <w:rsid w:val="23A67871"/>
    <w:rsid w:val="23AFE854"/>
    <w:rsid w:val="23B89955"/>
    <w:rsid w:val="23BB8BDC"/>
    <w:rsid w:val="23BB947D"/>
    <w:rsid w:val="23BDAE55"/>
    <w:rsid w:val="23C53F58"/>
    <w:rsid w:val="23C91BC4"/>
    <w:rsid w:val="23CD60E3"/>
    <w:rsid w:val="23D318B9"/>
    <w:rsid w:val="23D8F41B"/>
    <w:rsid w:val="23DAF6F5"/>
    <w:rsid w:val="23DD76C5"/>
    <w:rsid w:val="23E7EE0D"/>
    <w:rsid w:val="23E93684"/>
    <w:rsid w:val="23E9928D"/>
    <w:rsid w:val="23F18B67"/>
    <w:rsid w:val="23F6CCA5"/>
    <w:rsid w:val="23F7B3B1"/>
    <w:rsid w:val="23F8B270"/>
    <w:rsid w:val="2400F662"/>
    <w:rsid w:val="2401D560"/>
    <w:rsid w:val="240EB060"/>
    <w:rsid w:val="24101ED4"/>
    <w:rsid w:val="24146B11"/>
    <w:rsid w:val="241ACE2E"/>
    <w:rsid w:val="2421B096"/>
    <w:rsid w:val="2424B220"/>
    <w:rsid w:val="2424EE9C"/>
    <w:rsid w:val="242D8C04"/>
    <w:rsid w:val="242E438B"/>
    <w:rsid w:val="24457392"/>
    <w:rsid w:val="244A87B6"/>
    <w:rsid w:val="24531902"/>
    <w:rsid w:val="24553DEA"/>
    <w:rsid w:val="245CE68A"/>
    <w:rsid w:val="245D75DF"/>
    <w:rsid w:val="24610BD0"/>
    <w:rsid w:val="2475C416"/>
    <w:rsid w:val="2478D53B"/>
    <w:rsid w:val="2479C0D5"/>
    <w:rsid w:val="247B4E90"/>
    <w:rsid w:val="247B5B1B"/>
    <w:rsid w:val="247D2D0C"/>
    <w:rsid w:val="247D7BE6"/>
    <w:rsid w:val="24841989"/>
    <w:rsid w:val="2484C9B6"/>
    <w:rsid w:val="2486E329"/>
    <w:rsid w:val="2487A509"/>
    <w:rsid w:val="248ADBA9"/>
    <w:rsid w:val="248AF590"/>
    <w:rsid w:val="2494C391"/>
    <w:rsid w:val="24981785"/>
    <w:rsid w:val="2499E6D1"/>
    <w:rsid w:val="24A6FA87"/>
    <w:rsid w:val="24B929F9"/>
    <w:rsid w:val="24BF1627"/>
    <w:rsid w:val="24BFFD76"/>
    <w:rsid w:val="24C054FB"/>
    <w:rsid w:val="24C11E64"/>
    <w:rsid w:val="24C1240E"/>
    <w:rsid w:val="24C1E191"/>
    <w:rsid w:val="24CB84EC"/>
    <w:rsid w:val="24D092E9"/>
    <w:rsid w:val="24D300D6"/>
    <w:rsid w:val="24D35732"/>
    <w:rsid w:val="24D66FDB"/>
    <w:rsid w:val="24D6C528"/>
    <w:rsid w:val="24E5ED36"/>
    <w:rsid w:val="24ED550E"/>
    <w:rsid w:val="24F043A8"/>
    <w:rsid w:val="24F2626D"/>
    <w:rsid w:val="25034103"/>
    <w:rsid w:val="25095CB0"/>
    <w:rsid w:val="2511DB3F"/>
    <w:rsid w:val="2520D38F"/>
    <w:rsid w:val="2520EB7C"/>
    <w:rsid w:val="25218AFE"/>
    <w:rsid w:val="25229657"/>
    <w:rsid w:val="2526AAAD"/>
    <w:rsid w:val="252D741E"/>
    <w:rsid w:val="253397EB"/>
    <w:rsid w:val="2536FF3A"/>
    <w:rsid w:val="253776B2"/>
    <w:rsid w:val="2537CA09"/>
    <w:rsid w:val="253B1CAF"/>
    <w:rsid w:val="253DAC05"/>
    <w:rsid w:val="25419AD8"/>
    <w:rsid w:val="25453F60"/>
    <w:rsid w:val="2555D54D"/>
    <w:rsid w:val="25572604"/>
    <w:rsid w:val="2559DD98"/>
    <w:rsid w:val="2562A177"/>
    <w:rsid w:val="256696F6"/>
    <w:rsid w:val="2569C3E9"/>
    <w:rsid w:val="256AFC7C"/>
    <w:rsid w:val="25718E55"/>
    <w:rsid w:val="25765EF6"/>
    <w:rsid w:val="257D3545"/>
    <w:rsid w:val="257F1A63"/>
    <w:rsid w:val="258591BD"/>
    <w:rsid w:val="2589EB24"/>
    <w:rsid w:val="258B64B6"/>
    <w:rsid w:val="258BE821"/>
    <w:rsid w:val="2596E7B9"/>
    <w:rsid w:val="259BC68F"/>
    <w:rsid w:val="259EAE52"/>
    <w:rsid w:val="25A2B59C"/>
    <w:rsid w:val="25B68CD8"/>
    <w:rsid w:val="25B6A5BB"/>
    <w:rsid w:val="25BACED6"/>
    <w:rsid w:val="25C0BBBC"/>
    <w:rsid w:val="25C19E76"/>
    <w:rsid w:val="25C19F18"/>
    <w:rsid w:val="25C2AA38"/>
    <w:rsid w:val="25C8BD96"/>
    <w:rsid w:val="25D004EF"/>
    <w:rsid w:val="25E78AC9"/>
    <w:rsid w:val="25E9D272"/>
    <w:rsid w:val="25EA8718"/>
    <w:rsid w:val="25F195CC"/>
    <w:rsid w:val="25F8DE6F"/>
    <w:rsid w:val="25FB99F2"/>
    <w:rsid w:val="2600F2AF"/>
    <w:rsid w:val="26138A84"/>
    <w:rsid w:val="26179777"/>
    <w:rsid w:val="261B0D04"/>
    <w:rsid w:val="261E4DC1"/>
    <w:rsid w:val="262E13C0"/>
    <w:rsid w:val="262E927F"/>
    <w:rsid w:val="2632B1DF"/>
    <w:rsid w:val="2634DFF9"/>
    <w:rsid w:val="2635ECC1"/>
    <w:rsid w:val="26413C24"/>
    <w:rsid w:val="26488470"/>
    <w:rsid w:val="264AFE2D"/>
    <w:rsid w:val="264BD094"/>
    <w:rsid w:val="264DCF66"/>
    <w:rsid w:val="26525E11"/>
    <w:rsid w:val="265D883F"/>
    <w:rsid w:val="2664047E"/>
    <w:rsid w:val="26644CC7"/>
    <w:rsid w:val="2669C66D"/>
    <w:rsid w:val="266BD9D3"/>
    <w:rsid w:val="26722CDC"/>
    <w:rsid w:val="26729589"/>
    <w:rsid w:val="267BFED3"/>
    <w:rsid w:val="267E4AFC"/>
    <w:rsid w:val="268507E6"/>
    <w:rsid w:val="2693A9E6"/>
    <w:rsid w:val="26982F41"/>
    <w:rsid w:val="269E3599"/>
    <w:rsid w:val="26A90F16"/>
    <w:rsid w:val="26A9B6F3"/>
    <w:rsid w:val="26B36A21"/>
    <w:rsid w:val="26BBA05B"/>
    <w:rsid w:val="26BFF3D5"/>
    <w:rsid w:val="26C2918C"/>
    <w:rsid w:val="26CC1E07"/>
    <w:rsid w:val="26D6D496"/>
    <w:rsid w:val="26D6DEEB"/>
    <w:rsid w:val="26D88A0F"/>
    <w:rsid w:val="26E060E8"/>
    <w:rsid w:val="26E4CBC9"/>
    <w:rsid w:val="26EC29B1"/>
    <w:rsid w:val="26FE32C8"/>
    <w:rsid w:val="2702FC57"/>
    <w:rsid w:val="2705944A"/>
    <w:rsid w:val="270A1381"/>
    <w:rsid w:val="270C8D4F"/>
    <w:rsid w:val="270E88B7"/>
    <w:rsid w:val="27118C22"/>
    <w:rsid w:val="2715E222"/>
    <w:rsid w:val="2716C76B"/>
    <w:rsid w:val="2718C674"/>
    <w:rsid w:val="27204846"/>
    <w:rsid w:val="2721426D"/>
    <w:rsid w:val="2722E38B"/>
    <w:rsid w:val="2723929B"/>
    <w:rsid w:val="2729A66B"/>
    <w:rsid w:val="272A8B52"/>
    <w:rsid w:val="27326E0F"/>
    <w:rsid w:val="2734830A"/>
    <w:rsid w:val="2735B185"/>
    <w:rsid w:val="27393A37"/>
    <w:rsid w:val="273D8333"/>
    <w:rsid w:val="2740105B"/>
    <w:rsid w:val="2740A881"/>
    <w:rsid w:val="274B9F10"/>
    <w:rsid w:val="274E4484"/>
    <w:rsid w:val="27556AC0"/>
    <w:rsid w:val="27630A84"/>
    <w:rsid w:val="27641CF8"/>
    <w:rsid w:val="27727602"/>
    <w:rsid w:val="277E41F6"/>
    <w:rsid w:val="278806C0"/>
    <w:rsid w:val="27889F8F"/>
    <w:rsid w:val="278EDE70"/>
    <w:rsid w:val="27900C65"/>
    <w:rsid w:val="2799484C"/>
    <w:rsid w:val="279B77FB"/>
    <w:rsid w:val="279C9ABA"/>
    <w:rsid w:val="27A32C09"/>
    <w:rsid w:val="27BD2796"/>
    <w:rsid w:val="27C01B89"/>
    <w:rsid w:val="27CEB805"/>
    <w:rsid w:val="27CEEC92"/>
    <w:rsid w:val="27D576DF"/>
    <w:rsid w:val="27DA5F01"/>
    <w:rsid w:val="27E3E81D"/>
    <w:rsid w:val="27F01F13"/>
    <w:rsid w:val="27F94073"/>
    <w:rsid w:val="27F9C9DD"/>
    <w:rsid w:val="27FE4F9B"/>
    <w:rsid w:val="28000905"/>
    <w:rsid w:val="280E65EA"/>
    <w:rsid w:val="280E733C"/>
    <w:rsid w:val="28137BF7"/>
    <w:rsid w:val="281DF311"/>
    <w:rsid w:val="2822194A"/>
    <w:rsid w:val="2827DEF7"/>
    <w:rsid w:val="28290759"/>
    <w:rsid w:val="282F34D9"/>
    <w:rsid w:val="282F974A"/>
    <w:rsid w:val="283DABAA"/>
    <w:rsid w:val="283E268E"/>
    <w:rsid w:val="284121C6"/>
    <w:rsid w:val="2841CEE1"/>
    <w:rsid w:val="2843F77E"/>
    <w:rsid w:val="284B1AF6"/>
    <w:rsid w:val="285278BD"/>
    <w:rsid w:val="285319AB"/>
    <w:rsid w:val="28554B97"/>
    <w:rsid w:val="2857F2BE"/>
    <w:rsid w:val="285A86ED"/>
    <w:rsid w:val="2861400F"/>
    <w:rsid w:val="28642B22"/>
    <w:rsid w:val="2867AE01"/>
    <w:rsid w:val="2878087F"/>
    <w:rsid w:val="287A5DD4"/>
    <w:rsid w:val="287F6328"/>
    <w:rsid w:val="28801A97"/>
    <w:rsid w:val="28861A96"/>
    <w:rsid w:val="2886FC4B"/>
    <w:rsid w:val="2888E161"/>
    <w:rsid w:val="2893456F"/>
    <w:rsid w:val="28A4B53A"/>
    <w:rsid w:val="28AF1EED"/>
    <w:rsid w:val="28B468CE"/>
    <w:rsid w:val="28B4E6CE"/>
    <w:rsid w:val="28B6122A"/>
    <w:rsid w:val="28B7B2AB"/>
    <w:rsid w:val="28B909E5"/>
    <w:rsid w:val="28B91DB5"/>
    <w:rsid w:val="28BB25F2"/>
    <w:rsid w:val="28BB7BEC"/>
    <w:rsid w:val="28BD4E2D"/>
    <w:rsid w:val="28C3AFC4"/>
    <w:rsid w:val="28C7AB82"/>
    <w:rsid w:val="28D1621D"/>
    <w:rsid w:val="28DCD5A9"/>
    <w:rsid w:val="28F1F252"/>
    <w:rsid w:val="28F3DC9E"/>
    <w:rsid w:val="28F93FDA"/>
    <w:rsid w:val="28FA7ADB"/>
    <w:rsid w:val="28FD4F5D"/>
    <w:rsid w:val="28FD7E30"/>
    <w:rsid w:val="2901080B"/>
    <w:rsid w:val="2904A404"/>
    <w:rsid w:val="2904C185"/>
    <w:rsid w:val="29088A7F"/>
    <w:rsid w:val="291182C1"/>
    <w:rsid w:val="2915F106"/>
    <w:rsid w:val="29182ABD"/>
    <w:rsid w:val="291E31C7"/>
    <w:rsid w:val="2920A2FF"/>
    <w:rsid w:val="292E6448"/>
    <w:rsid w:val="2933EE24"/>
    <w:rsid w:val="29350A4F"/>
    <w:rsid w:val="293701AD"/>
    <w:rsid w:val="2938262F"/>
    <w:rsid w:val="29395487"/>
    <w:rsid w:val="293AC72B"/>
    <w:rsid w:val="293B3895"/>
    <w:rsid w:val="2945DB72"/>
    <w:rsid w:val="2946ED5E"/>
    <w:rsid w:val="29477416"/>
    <w:rsid w:val="2953A3D1"/>
    <w:rsid w:val="29545947"/>
    <w:rsid w:val="295B3931"/>
    <w:rsid w:val="295E6E2B"/>
    <w:rsid w:val="296364FD"/>
    <w:rsid w:val="296D86A6"/>
    <w:rsid w:val="2972A1F9"/>
    <w:rsid w:val="2977E26F"/>
    <w:rsid w:val="297805D6"/>
    <w:rsid w:val="297B67C9"/>
    <w:rsid w:val="297E1F16"/>
    <w:rsid w:val="2983573F"/>
    <w:rsid w:val="2988E525"/>
    <w:rsid w:val="298C7203"/>
    <w:rsid w:val="29A0239D"/>
    <w:rsid w:val="29AA439D"/>
    <w:rsid w:val="29B596A1"/>
    <w:rsid w:val="29B72004"/>
    <w:rsid w:val="29C0145C"/>
    <w:rsid w:val="29C1231B"/>
    <w:rsid w:val="29C5BBEC"/>
    <w:rsid w:val="29CD1777"/>
    <w:rsid w:val="29CED929"/>
    <w:rsid w:val="29D2E0B2"/>
    <w:rsid w:val="29DD3FB6"/>
    <w:rsid w:val="29EC181A"/>
    <w:rsid w:val="29F6A11B"/>
    <w:rsid w:val="29F6AD2A"/>
    <w:rsid w:val="29F75BAA"/>
    <w:rsid w:val="29FC40A7"/>
    <w:rsid w:val="2A05511B"/>
    <w:rsid w:val="2A149150"/>
    <w:rsid w:val="2A15AB57"/>
    <w:rsid w:val="2A1DBE83"/>
    <w:rsid w:val="2A225C06"/>
    <w:rsid w:val="2A23370C"/>
    <w:rsid w:val="2A28CED6"/>
    <w:rsid w:val="2A2E8623"/>
    <w:rsid w:val="2A2F4E06"/>
    <w:rsid w:val="2A383799"/>
    <w:rsid w:val="2A466722"/>
    <w:rsid w:val="2A53E7CF"/>
    <w:rsid w:val="2A5A2E56"/>
    <w:rsid w:val="2A5E72D8"/>
    <w:rsid w:val="2A61A381"/>
    <w:rsid w:val="2A6275DA"/>
    <w:rsid w:val="2A6AD6FC"/>
    <w:rsid w:val="2A7A3FB7"/>
    <w:rsid w:val="2A7AE076"/>
    <w:rsid w:val="2A7B7905"/>
    <w:rsid w:val="2A7BE41A"/>
    <w:rsid w:val="2A8D71BC"/>
    <w:rsid w:val="2A92DBBC"/>
    <w:rsid w:val="2A9454D0"/>
    <w:rsid w:val="2A9A1DBA"/>
    <w:rsid w:val="2A9E1FD3"/>
    <w:rsid w:val="2AA1AB97"/>
    <w:rsid w:val="2AA3BEAD"/>
    <w:rsid w:val="2AA99B83"/>
    <w:rsid w:val="2AAB52AD"/>
    <w:rsid w:val="2AAF12F8"/>
    <w:rsid w:val="2AAFFBCC"/>
    <w:rsid w:val="2AB65038"/>
    <w:rsid w:val="2ABCE70A"/>
    <w:rsid w:val="2ABF778F"/>
    <w:rsid w:val="2AC4A51B"/>
    <w:rsid w:val="2AC9591A"/>
    <w:rsid w:val="2ACC1A1D"/>
    <w:rsid w:val="2ACC4338"/>
    <w:rsid w:val="2ADC28BA"/>
    <w:rsid w:val="2AE69700"/>
    <w:rsid w:val="2AEF7432"/>
    <w:rsid w:val="2AF0BB15"/>
    <w:rsid w:val="2AF3F26E"/>
    <w:rsid w:val="2AF7BD64"/>
    <w:rsid w:val="2AF88777"/>
    <w:rsid w:val="2B0748AE"/>
    <w:rsid w:val="2B0C7ECE"/>
    <w:rsid w:val="2B0EA219"/>
    <w:rsid w:val="2B0FEF20"/>
    <w:rsid w:val="2B132BE8"/>
    <w:rsid w:val="2B188A68"/>
    <w:rsid w:val="2B21A3A3"/>
    <w:rsid w:val="2B31DBDE"/>
    <w:rsid w:val="2B3D02C1"/>
    <w:rsid w:val="2B40F63E"/>
    <w:rsid w:val="2B4148FC"/>
    <w:rsid w:val="2B41BD85"/>
    <w:rsid w:val="2B4522D3"/>
    <w:rsid w:val="2B47FEEA"/>
    <w:rsid w:val="2B4B2175"/>
    <w:rsid w:val="2B56138E"/>
    <w:rsid w:val="2B62CE88"/>
    <w:rsid w:val="2B63853B"/>
    <w:rsid w:val="2B699555"/>
    <w:rsid w:val="2B6B1BC0"/>
    <w:rsid w:val="2B6BD587"/>
    <w:rsid w:val="2B6E10EC"/>
    <w:rsid w:val="2B702F6C"/>
    <w:rsid w:val="2B76CAAC"/>
    <w:rsid w:val="2B77A15D"/>
    <w:rsid w:val="2B7A85B0"/>
    <w:rsid w:val="2B7DFFBD"/>
    <w:rsid w:val="2B7EB7CA"/>
    <w:rsid w:val="2B8C39D1"/>
    <w:rsid w:val="2B8DA84F"/>
    <w:rsid w:val="2B9745F6"/>
    <w:rsid w:val="2BA0A048"/>
    <w:rsid w:val="2BA1F524"/>
    <w:rsid w:val="2BA69569"/>
    <w:rsid w:val="2BA817AD"/>
    <w:rsid w:val="2BAA5A7C"/>
    <w:rsid w:val="2BB2A4C3"/>
    <w:rsid w:val="2BB34778"/>
    <w:rsid w:val="2BB5FFE5"/>
    <w:rsid w:val="2BBE078B"/>
    <w:rsid w:val="2BBE99C5"/>
    <w:rsid w:val="2BBF18E5"/>
    <w:rsid w:val="2BC31CC7"/>
    <w:rsid w:val="2BC5A89A"/>
    <w:rsid w:val="2BD6D678"/>
    <w:rsid w:val="2BDD5E41"/>
    <w:rsid w:val="2BE5D9FA"/>
    <w:rsid w:val="2BEA864D"/>
    <w:rsid w:val="2BEA8FC9"/>
    <w:rsid w:val="2BEDCA51"/>
    <w:rsid w:val="2BF1861C"/>
    <w:rsid w:val="2BFE3EDB"/>
    <w:rsid w:val="2BFE463B"/>
    <w:rsid w:val="2BFEEF01"/>
    <w:rsid w:val="2C06B2A2"/>
    <w:rsid w:val="2C105CDE"/>
    <w:rsid w:val="2C121E5A"/>
    <w:rsid w:val="2C139A1E"/>
    <w:rsid w:val="2C14E5B4"/>
    <w:rsid w:val="2C16F33B"/>
    <w:rsid w:val="2C182F06"/>
    <w:rsid w:val="2C18D11D"/>
    <w:rsid w:val="2C1C557B"/>
    <w:rsid w:val="2C1C79D8"/>
    <w:rsid w:val="2C1CF431"/>
    <w:rsid w:val="2C1D506F"/>
    <w:rsid w:val="2C20324C"/>
    <w:rsid w:val="2C204B4E"/>
    <w:rsid w:val="2C221A4E"/>
    <w:rsid w:val="2C2D1B69"/>
    <w:rsid w:val="2C4375F3"/>
    <w:rsid w:val="2C4789B4"/>
    <w:rsid w:val="2C4DECAC"/>
    <w:rsid w:val="2C4F1E64"/>
    <w:rsid w:val="2C52B624"/>
    <w:rsid w:val="2C58B76B"/>
    <w:rsid w:val="2C59B0D6"/>
    <w:rsid w:val="2C60B40E"/>
    <w:rsid w:val="2C63FC9F"/>
    <w:rsid w:val="2C66914E"/>
    <w:rsid w:val="2C69BA07"/>
    <w:rsid w:val="2C6CAE4B"/>
    <w:rsid w:val="2C76C0D5"/>
    <w:rsid w:val="2C7BE5B0"/>
    <w:rsid w:val="2C7F459D"/>
    <w:rsid w:val="2C7F614F"/>
    <w:rsid w:val="2C8087EC"/>
    <w:rsid w:val="2C8112DB"/>
    <w:rsid w:val="2C8EE78C"/>
    <w:rsid w:val="2C9047E4"/>
    <w:rsid w:val="2C956F88"/>
    <w:rsid w:val="2C973BAC"/>
    <w:rsid w:val="2C98E40F"/>
    <w:rsid w:val="2C9AA23D"/>
    <w:rsid w:val="2C9AC066"/>
    <w:rsid w:val="2CA83DE2"/>
    <w:rsid w:val="2CB6B7D4"/>
    <w:rsid w:val="2CC7BBD7"/>
    <w:rsid w:val="2CD075C5"/>
    <w:rsid w:val="2CD1FC21"/>
    <w:rsid w:val="2CD9B7B1"/>
    <w:rsid w:val="2CDA5A8A"/>
    <w:rsid w:val="2CDB4C25"/>
    <w:rsid w:val="2CDDD950"/>
    <w:rsid w:val="2CE3B446"/>
    <w:rsid w:val="2CE57EC9"/>
    <w:rsid w:val="2CE6DFA1"/>
    <w:rsid w:val="2CEC401E"/>
    <w:rsid w:val="2CEF039E"/>
    <w:rsid w:val="2CF0757D"/>
    <w:rsid w:val="2CFA4D67"/>
    <w:rsid w:val="2CFCC517"/>
    <w:rsid w:val="2D0444C7"/>
    <w:rsid w:val="2D056690"/>
    <w:rsid w:val="2D098006"/>
    <w:rsid w:val="2D09D31C"/>
    <w:rsid w:val="2D116CDB"/>
    <w:rsid w:val="2D125D1B"/>
    <w:rsid w:val="2D15588D"/>
    <w:rsid w:val="2D1B50E0"/>
    <w:rsid w:val="2D1E6F38"/>
    <w:rsid w:val="2D216822"/>
    <w:rsid w:val="2D2E8D9D"/>
    <w:rsid w:val="2D350F81"/>
    <w:rsid w:val="2D44E350"/>
    <w:rsid w:val="2D4C540C"/>
    <w:rsid w:val="2D5783B5"/>
    <w:rsid w:val="2D5F93C7"/>
    <w:rsid w:val="2D607ED1"/>
    <w:rsid w:val="2D619E8A"/>
    <w:rsid w:val="2D639AF7"/>
    <w:rsid w:val="2D6BF3B6"/>
    <w:rsid w:val="2D7347D5"/>
    <w:rsid w:val="2D7905CE"/>
    <w:rsid w:val="2D80F830"/>
    <w:rsid w:val="2D814311"/>
    <w:rsid w:val="2D8336E2"/>
    <w:rsid w:val="2D84D0A2"/>
    <w:rsid w:val="2D8B03F2"/>
    <w:rsid w:val="2D8B4C5C"/>
    <w:rsid w:val="2D8B55C0"/>
    <w:rsid w:val="2D8CCD93"/>
    <w:rsid w:val="2D8ECD62"/>
    <w:rsid w:val="2D916AA0"/>
    <w:rsid w:val="2D928827"/>
    <w:rsid w:val="2D92AF29"/>
    <w:rsid w:val="2D92D1D3"/>
    <w:rsid w:val="2D96943F"/>
    <w:rsid w:val="2D9F3417"/>
    <w:rsid w:val="2DA70E04"/>
    <w:rsid w:val="2DA9DC2B"/>
    <w:rsid w:val="2DAD1CDF"/>
    <w:rsid w:val="2DB470F5"/>
    <w:rsid w:val="2DB6C8B6"/>
    <w:rsid w:val="2DB76055"/>
    <w:rsid w:val="2DB7F3EC"/>
    <w:rsid w:val="2DBD9941"/>
    <w:rsid w:val="2DC53CF7"/>
    <w:rsid w:val="2DCC142A"/>
    <w:rsid w:val="2DCEB5EB"/>
    <w:rsid w:val="2DCFB2AF"/>
    <w:rsid w:val="2DD3714F"/>
    <w:rsid w:val="2DDE1EB4"/>
    <w:rsid w:val="2DE2F36F"/>
    <w:rsid w:val="2DE3C84A"/>
    <w:rsid w:val="2DEA535F"/>
    <w:rsid w:val="2DF0ABD1"/>
    <w:rsid w:val="2DF15333"/>
    <w:rsid w:val="2DF1695E"/>
    <w:rsid w:val="2E0071F1"/>
    <w:rsid w:val="2E037DFF"/>
    <w:rsid w:val="2E050218"/>
    <w:rsid w:val="2E189733"/>
    <w:rsid w:val="2E20BE1A"/>
    <w:rsid w:val="2E25F41F"/>
    <w:rsid w:val="2E26DA13"/>
    <w:rsid w:val="2E31A354"/>
    <w:rsid w:val="2E3380B6"/>
    <w:rsid w:val="2E345462"/>
    <w:rsid w:val="2E3DCC43"/>
    <w:rsid w:val="2E44BB8D"/>
    <w:rsid w:val="2E45F6CE"/>
    <w:rsid w:val="2E47D040"/>
    <w:rsid w:val="2E49F173"/>
    <w:rsid w:val="2E4B7EED"/>
    <w:rsid w:val="2E5031AE"/>
    <w:rsid w:val="2E512A8C"/>
    <w:rsid w:val="2E5A1E09"/>
    <w:rsid w:val="2E65D0DF"/>
    <w:rsid w:val="2E7631AE"/>
    <w:rsid w:val="2E7696DE"/>
    <w:rsid w:val="2E785250"/>
    <w:rsid w:val="2E7BCD0F"/>
    <w:rsid w:val="2E83B5E2"/>
    <w:rsid w:val="2E8A64A5"/>
    <w:rsid w:val="2E914678"/>
    <w:rsid w:val="2E91F29B"/>
    <w:rsid w:val="2EA04FB8"/>
    <w:rsid w:val="2EA5728F"/>
    <w:rsid w:val="2EAC5530"/>
    <w:rsid w:val="2EBBC456"/>
    <w:rsid w:val="2EC328E2"/>
    <w:rsid w:val="2EC73442"/>
    <w:rsid w:val="2ECFFF15"/>
    <w:rsid w:val="2ED5350F"/>
    <w:rsid w:val="2ED65949"/>
    <w:rsid w:val="2EDEA2D7"/>
    <w:rsid w:val="2EE5DF73"/>
    <w:rsid w:val="2EED9909"/>
    <w:rsid w:val="2EF4FAA5"/>
    <w:rsid w:val="2EF6DF34"/>
    <w:rsid w:val="2EFE9F67"/>
    <w:rsid w:val="2F083964"/>
    <w:rsid w:val="2F08EC48"/>
    <w:rsid w:val="2F0B9CFB"/>
    <w:rsid w:val="2F1882C7"/>
    <w:rsid w:val="2F2B2A35"/>
    <w:rsid w:val="2F3C6EC2"/>
    <w:rsid w:val="2F3ED597"/>
    <w:rsid w:val="2F471D9C"/>
    <w:rsid w:val="2F4798B6"/>
    <w:rsid w:val="2F482BB5"/>
    <w:rsid w:val="2F4F5901"/>
    <w:rsid w:val="2F532866"/>
    <w:rsid w:val="2F5330B6"/>
    <w:rsid w:val="2F594EA2"/>
    <w:rsid w:val="2F6733B0"/>
    <w:rsid w:val="2F6C982A"/>
    <w:rsid w:val="2F740C71"/>
    <w:rsid w:val="2F757323"/>
    <w:rsid w:val="2F793480"/>
    <w:rsid w:val="2F7B81FB"/>
    <w:rsid w:val="2F87B5E0"/>
    <w:rsid w:val="2F8E4BC6"/>
    <w:rsid w:val="2F8F2E55"/>
    <w:rsid w:val="2F90D2A5"/>
    <w:rsid w:val="2F96F2DE"/>
    <w:rsid w:val="2F9AFBBD"/>
    <w:rsid w:val="2FA2A647"/>
    <w:rsid w:val="2FA9D6C4"/>
    <w:rsid w:val="2FB367DB"/>
    <w:rsid w:val="2FBB369F"/>
    <w:rsid w:val="2FC1F972"/>
    <w:rsid w:val="2FCBB90D"/>
    <w:rsid w:val="2FCD46BA"/>
    <w:rsid w:val="2FD2BDB5"/>
    <w:rsid w:val="2FD3B375"/>
    <w:rsid w:val="2FD5C39F"/>
    <w:rsid w:val="2FD69E7D"/>
    <w:rsid w:val="2FD77F3C"/>
    <w:rsid w:val="2FDC7EC9"/>
    <w:rsid w:val="2FE14528"/>
    <w:rsid w:val="2FE627D4"/>
    <w:rsid w:val="2FF5F7B5"/>
    <w:rsid w:val="2FFB5A5B"/>
    <w:rsid w:val="300688F4"/>
    <w:rsid w:val="30096180"/>
    <w:rsid w:val="3028E269"/>
    <w:rsid w:val="302A591D"/>
    <w:rsid w:val="3030E825"/>
    <w:rsid w:val="3033CF8C"/>
    <w:rsid w:val="303C5636"/>
    <w:rsid w:val="304AED9D"/>
    <w:rsid w:val="304F0963"/>
    <w:rsid w:val="30528948"/>
    <w:rsid w:val="30577968"/>
    <w:rsid w:val="3066A9BD"/>
    <w:rsid w:val="30671CA3"/>
    <w:rsid w:val="306B08F3"/>
    <w:rsid w:val="30710F73"/>
    <w:rsid w:val="3071FBE2"/>
    <w:rsid w:val="3077644A"/>
    <w:rsid w:val="307A76DF"/>
    <w:rsid w:val="307FC121"/>
    <w:rsid w:val="308957DF"/>
    <w:rsid w:val="308AB358"/>
    <w:rsid w:val="30939B95"/>
    <w:rsid w:val="309994DE"/>
    <w:rsid w:val="309E3F55"/>
    <w:rsid w:val="30A02FC0"/>
    <w:rsid w:val="30A18F01"/>
    <w:rsid w:val="30A40E7E"/>
    <w:rsid w:val="30A5AA5F"/>
    <w:rsid w:val="30A83529"/>
    <w:rsid w:val="30AE628E"/>
    <w:rsid w:val="30B3F7CD"/>
    <w:rsid w:val="30B43C9F"/>
    <w:rsid w:val="30B88ED4"/>
    <w:rsid w:val="30B88F01"/>
    <w:rsid w:val="30BB2C49"/>
    <w:rsid w:val="30C11145"/>
    <w:rsid w:val="30C24090"/>
    <w:rsid w:val="30C24F86"/>
    <w:rsid w:val="30C2D70B"/>
    <w:rsid w:val="30CD4F08"/>
    <w:rsid w:val="30CD5E2F"/>
    <w:rsid w:val="30D6DA23"/>
    <w:rsid w:val="30D8D0C5"/>
    <w:rsid w:val="30DEBB0A"/>
    <w:rsid w:val="30DF5995"/>
    <w:rsid w:val="30E28B9B"/>
    <w:rsid w:val="30E70B41"/>
    <w:rsid w:val="30E71106"/>
    <w:rsid w:val="30F0E2F2"/>
    <w:rsid w:val="30F1E9B4"/>
    <w:rsid w:val="30F536ED"/>
    <w:rsid w:val="30FE29FA"/>
    <w:rsid w:val="30FE54DC"/>
    <w:rsid w:val="310011F9"/>
    <w:rsid w:val="3107E86F"/>
    <w:rsid w:val="3111447A"/>
    <w:rsid w:val="311695DE"/>
    <w:rsid w:val="312493C8"/>
    <w:rsid w:val="3125011D"/>
    <w:rsid w:val="3126B99C"/>
    <w:rsid w:val="3129577C"/>
    <w:rsid w:val="312C5AED"/>
    <w:rsid w:val="312F8C55"/>
    <w:rsid w:val="3133591F"/>
    <w:rsid w:val="3133AD79"/>
    <w:rsid w:val="3136D231"/>
    <w:rsid w:val="31393F2D"/>
    <w:rsid w:val="31396BFC"/>
    <w:rsid w:val="313A244D"/>
    <w:rsid w:val="313AE872"/>
    <w:rsid w:val="313C25F0"/>
    <w:rsid w:val="313D04D4"/>
    <w:rsid w:val="314047AB"/>
    <w:rsid w:val="3140F312"/>
    <w:rsid w:val="31447D03"/>
    <w:rsid w:val="3149ACC4"/>
    <w:rsid w:val="314E0057"/>
    <w:rsid w:val="3150E3D8"/>
    <w:rsid w:val="3154D868"/>
    <w:rsid w:val="315C5FB0"/>
    <w:rsid w:val="315CC909"/>
    <w:rsid w:val="3169CBF7"/>
    <w:rsid w:val="31709F06"/>
    <w:rsid w:val="3181B7F9"/>
    <w:rsid w:val="3183A04F"/>
    <w:rsid w:val="318CCF39"/>
    <w:rsid w:val="318FDB7D"/>
    <w:rsid w:val="318FDE10"/>
    <w:rsid w:val="31900BA4"/>
    <w:rsid w:val="31964DFA"/>
    <w:rsid w:val="319F2716"/>
    <w:rsid w:val="31A1E4A8"/>
    <w:rsid w:val="31A26053"/>
    <w:rsid w:val="31A5E6D5"/>
    <w:rsid w:val="31A7C008"/>
    <w:rsid w:val="31AC8158"/>
    <w:rsid w:val="31B15D90"/>
    <w:rsid w:val="31BA50C4"/>
    <w:rsid w:val="31BD61E0"/>
    <w:rsid w:val="31C13F6E"/>
    <w:rsid w:val="31C355EC"/>
    <w:rsid w:val="31CD7003"/>
    <w:rsid w:val="31CFF702"/>
    <w:rsid w:val="31D6B65E"/>
    <w:rsid w:val="31DEA2AD"/>
    <w:rsid w:val="31DEAC73"/>
    <w:rsid w:val="31DF9AFC"/>
    <w:rsid w:val="31E1E5F7"/>
    <w:rsid w:val="31E29FC6"/>
    <w:rsid w:val="31E322D3"/>
    <w:rsid w:val="31F808D9"/>
    <w:rsid w:val="31FCA2DB"/>
    <w:rsid w:val="31FCB8AA"/>
    <w:rsid w:val="3200BDF1"/>
    <w:rsid w:val="320638D4"/>
    <w:rsid w:val="3206FFAB"/>
    <w:rsid w:val="320EA51C"/>
    <w:rsid w:val="3212828A"/>
    <w:rsid w:val="3216DC76"/>
    <w:rsid w:val="321EAD58"/>
    <w:rsid w:val="321FDA36"/>
    <w:rsid w:val="3223F8CD"/>
    <w:rsid w:val="3232397F"/>
    <w:rsid w:val="3233FFEA"/>
    <w:rsid w:val="323AFF3D"/>
    <w:rsid w:val="323C37F5"/>
    <w:rsid w:val="32415567"/>
    <w:rsid w:val="32419D40"/>
    <w:rsid w:val="32460920"/>
    <w:rsid w:val="32463FD8"/>
    <w:rsid w:val="32469849"/>
    <w:rsid w:val="32492C62"/>
    <w:rsid w:val="3262221B"/>
    <w:rsid w:val="3266A41A"/>
    <w:rsid w:val="3267C96D"/>
    <w:rsid w:val="326901DC"/>
    <w:rsid w:val="32702D9D"/>
    <w:rsid w:val="3275F85D"/>
    <w:rsid w:val="327FCC77"/>
    <w:rsid w:val="3282DBA2"/>
    <w:rsid w:val="3288EB94"/>
    <w:rsid w:val="328F14BC"/>
    <w:rsid w:val="329AFC66"/>
    <w:rsid w:val="329CB4AD"/>
    <w:rsid w:val="32A0E292"/>
    <w:rsid w:val="32A502B0"/>
    <w:rsid w:val="32A8015E"/>
    <w:rsid w:val="32A880A1"/>
    <w:rsid w:val="32AFCACB"/>
    <w:rsid w:val="32AFCB2C"/>
    <w:rsid w:val="32B2C70E"/>
    <w:rsid w:val="32CC63B7"/>
    <w:rsid w:val="32E2ADB7"/>
    <w:rsid w:val="32EA0861"/>
    <w:rsid w:val="32EB6D8D"/>
    <w:rsid w:val="32F9BCC7"/>
    <w:rsid w:val="32FF24A9"/>
    <w:rsid w:val="3303D038"/>
    <w:rsid w:val="33052996"/>
    <w:rsid w:val="3309E3C1"/>
    <w:rsid w:val="330D2C22"/>
    <w:rsid w:val="3310C737"/>
    <w:rsid w:val="331CAABA"/>
    <w:rsid w:val="331D4E38"/>
    <w:rsid w:val="3327FAC0"/>
    <w:rsid w:val="3331C053"/>
    <w:rsid w:val="33325F5C"/>
    <w:rsid w:val="3332A2B2"/>
    <w:rsid w:val="333A4868"/>
    <w:rsid w:val="333E2B5B"/>
    <w:rsid w:val="33410242"/>
    <w:rsid w:val="33437AE4"/>
    <w:rsid w:val="33461902"/>
    <w:rsid w:val="3348701E"/>
    <w:rsid w:val="3355B3FF"/>
    <w:rsid w:val="3362CE58"/>
    <w:rsid w:val="3366A7DE"/>
    <w:rsid w:val="3376A7B8"/>
    <w:rsid w:val="3377EB4C"/>
    <w:rsid w:val="337ED525"/>
    <w:rsid w:val="33851805"/>
    <w:rsid w:val="3387E18F"/>
    <w:rsid w:val="3389CA61"/>
    <w:rsid w:val="338C92A2"/>
    <w:rsid w:val="3399FB59"/>
    <w:rsid w:val="33B3C8AA"/>
    <w:rsid w:val="33B841DF"/>
    <w:rsid w:val="33BA6694"/>
    <w:rsid w:val="33BD8AF7"/>
    <w:rsid w:val="33C42650"/>
    <w:rsid w:val="33C79F3A"/>
    <w:rsid w:val="33D06956"/>
    <w:rsid w:val="33E4104F"/>
    <w:rsid w:val="33E9BDB6"/>
    <w:rsid w:val="33EA852E"/>
    <w:rsid w:val="33EAFC14"/>
    <w:rsid w:val="33F51C66"/>
    <w:rsid w:val="33FA62BA"/>
    <w:rsid w:val="33FF1655"/>
    <w:rsid w:val="34044351"/>
    <w:rsid w:val="340AE80A"/>
    <w:rsid w:val="3411EE88"/>
    <w:rsid w:val="3416AC55"/>
    <w:rsid w:val="341AB97F"/>
    <w:rsid w:val="341B69BA"/>
    <w:rsid w:val="341B9CD8"/>
    <w:rsid w:val="341E2A03"/>
    <w:rsid w:val="34261D2B"/>
    <w:rsid w:val="34295996"/>
    <w:rsid w:val="344AA0F3"/>
    <w:rsid w:val="344C2A35"/>
    <w:rsid w:val="34505317"/>
    <w:rsid w:val="34558719"/>
    <w:rsid w:val="3455AAE6"/>
    <w:rsid w:val="345714DB"/>
    <w:rsid w:val="3457ED0D"/>
    <w:rsid w:val="345C3045"/>
    <w:rsid w:val="3464D100"/>
    <w:rsid w:val="34650C85"/>
    <w:rsid w:val="34689695"/>
    <w:rsid w:val="3472FC63"/>
    <w:rsid w:val="34793152"/>
    <w:rsid w:val="3487D5CA"/>
    <w:rsid w:val="3499F65D"/>
    <w:rsid w:val="349EBE73"/>
    <w:rsid w:val="34A8331F"/>
    <w:rsid w:val="34A86EF0"/>
    <w:rsid w:val="34AAE75B"/>
    <w:rsid w:val="34B12C2C"/>
    <w:rsid w:val="34B4C65F"/>
    <w:rsid w:val="34B51B73"/>
    <w:rsid w:val="34B83F46"/>
    <w:rsid w:val="34BA5023"/>
    <w:rsid w:val="34C055DE"/>
    <w:rsid w:val="34C144F0"/>
    <w:rsid w:val="34CB4260"/>
    <w:rsid w:val="34CE56DB"/>
    <w:rsid w:val="34D46A48"/>
    <w:rsid w:val="34D98BEB"/>
    <w:rsid w:val="34DCD2A3"/>
    <w:rsid w:val="34DFC6BA"/>
    <w:rsid w:val="34E1A79C"/>
    <w:rsid w:val="34E24A43"/>
    <w:rsid w:val="34E49273"/>
    <w:rsid w:val="34E6C1D4"/>
    <w:rsid w:val="34E8EA23"/>
    <w:rsid w:val="34EE3D91"/>
    <w:rsid w:val="34F13E84"/>
    <w:rsid w:val="34F37F0F"/>
    <w:rsid w:val="34F8E030"/>
    <w:rsid w:val="34FAD86E"/>
    <w:rsid w:val="34FF6016"/>
    <w:rsid w:val="3500840A"/>
    <w:rsid w:val="350BF9EA"/>
    <w:rsid w:val="3519FDD2"/>
    <w:rsid w:val="3521A597"/>
    <w:rsid w:val="35227A86"/>
    <w:rsid w:val="3528B40D"/>
    <w:rsid w:val="353FC19C"/>
    <w:rsid w:val="354A17F8"/>
    <w:rsid w:val="354DC9CA"/>
    <w:rsid w:val="3552F9E7"/>
    <w:rsid w:val="35561E55"/>
    <w:rsid w:val="355D5D45"/>
    <w:rsid w:val="356C7F16"/>
    <w:rsid w:val="356F9F31"/>
    <w:rsid w:val="35729FFF"/>
    <w:rsid w:val="35777AE8"/>
    <w:rsid w:val="3579B455"/>
    <w:rsid w:val="357B50E4"/>
    <w:rsid w:val="358B6D33"/>
    <w:rsid w:val="359797CE"/>
    <w:rsid w:val="359EC1DC"/>
    <w:rsid w:val="359F58CE"/>
    <w:rsid w:val="35A9EC0E"/>
    <w:rsid w:val="35AE2E52"/>
    <w:rsid w:val="35AE5809"/>
    <w:rsid w:val="35B83A8D"/>
    <w:rsid w:val="35C33FC5"/>
    <w:rsid w:val="35C847D4"/>
    <w:rsid w:val="35CAABE6"/>
    <w:rsid w:val="35D30B11"/>
    <w:rsid w:val="35F116DE"/>
    <w:rsid w:val="35F1ABB1"/>
    <w:rsid w:val="35F44988"/>
    <w:rsid w:val="35FA5A1C"/>
    <w:rsid w:val="35FBF3C4"/>
    <w:rsid w:val="360316BD"/>
    <w:rsid w:val="3603D63A"/>
    <w:rsid w:val="36057F73"/>
    <w:rsid w:val="360A5FC8"/>
    <w:rsid w:val="361E7DAC"/>
    <w:rsid w:val="3621A923"/>
    <w:rsid w:val="3623642A"/>
    <w:rsid w:val="3623B2B5"/>
    <w:rsid w:val="362B1AFF"/>
    <w:rsid w:val="362B8F81"/>
    <w:rsid w:val="36385A67"/>
    <w:rsid w:val="36396D3D"/>
    <w:rsid w:val="3639B9C8"/>
    <w:rsid w:val="3639EB9F"/>
    <w:rsid w:val="363C6CB5"/>
    <w:rsid w:val="363FE16C"/>
    <w:rsid w:val="3640CE77"/>
    <w:rsid w:val="36410E08"/>
    <w:rsid w:val="3644F547"/>
    <w:rsid w:val="3646B7BC"/>
    <w:rsid w:val="364D6D35"/>
    <w:rsid w:val="36576A2F"/>
    <w:rsid w:val="3657F564"/>
    <w:rsid w:val="365A981A"/>
    <w:rsid w:val="36620F19"/>
    <w:rsid w:val="366DA021"/>
    <w:rsid w:val="3682ECCD"/>
    <w:rsid w:val="36853C92"/>
    <w:rsid w:val="36886FB9"/>
    <w:rsid w:val="36926239"/>
    <w:rsid w:val="36929F17"/>
    <w:rsid w:val="36977F17"/>
    <w:rsid w:val="369B85DB"/>
    <w:rsid w:val="369D6ACF"/>
    <w:rsid w:val="369D8BBB"/>
    <w:rsid w:val="369F18B9"/>
    <w:rsid w:val="36AF80A9"/>
    <w:rsid w:val="36CB1766"/>
    <w:rsid w:val="36CB8533"/>
    <w:rsid w:val="36D4EFFC"/>
    <w:rsid w:val="36D75946"/>
    <w:rsid w:val="36DF7C04"/>
    <w:rsid w:val="36EB04FE"/>
    <w:rsid w:val="36ED26E7"/>
    <w:rsid w:val="36F52BB9"/>
    <w:rsid w:val="36F58893"/>
    <w:rsid w:val="36F67FB4"/>
    <w:rsid w:val="36F91F19"/>
    <w:rsid w:val="36FD839C"/>
    <w:rsid w:val="36FDF8FA"/>
    <w:rsid w:val="36FF8D7E"/>
    <w:rsid w:val="370A5C41"/>
    <w:rsid w:val="370B2FB3"/>
    <w:rsid w:val="370ECB8D"/>
    <w:rsid w:val="371AA41F"/>
    <w:rsid w:val="371DD11B"/>
    <w:rsid w:val="371F4C26"/>
    <w:rsid w:val="372A9A48"/>
    <w:rsid w:val="372C7687"/>
    <w:rsid w:val="3735CA57"/>
    <w:rsid w:val="373937A3"/>
    <w:rsid w:val="373A4128"/>
    <w:rsid w:val="373B37BD"/>
    <w:rsid w:val="373C5CC2"/>
    <w:rsid w:val="373C9AC9"/>
    <w:rsid w:val="37408FA3"/>
    <w:rsid w:val="37449594"/>
    <w:rsid w:val="3753D8BF"/>
    <w:rsid w:val="3765FF8F"/>
    <w:rsid w:val="37721928"/>
    <w:rsid w:val="37878FFF"/>
    <w:rsid w:val="3788B49A"/>
    <w:rsid w:val="3789CEAD"/>
    <w:rsid w:val="378E1BC4"/>
    <w:rsid w:val="378E82EA"/>
    <w:rsid w:val="37932455"/>
    <w:rsid w:val="379C136D"/>
    <w:rsid w:val="379DAA6A"/>
    <w:rsid w:val="379F9B24"/>
    <w:rsid w:val="37A45372"/>
    <w:rsid w:val="37A55B67"/>
    <w:rsid w:val="37A8AD80"/>
    <w:rsid w:val="37AD0160"/>
    <w:rsid w:val="37BBD7A6"/>
    <w:rsid w:val="37CBCD24"/>
    <w:rsid w:val="37D1D507"/>
    <w:rsid w:val="37D28CEB"/>
    <w:rsid w:val="37D80D3F"/>
    <w:rsid w:val="37DB02A8"/>
    <w:rsid w:val="37E3B29F"/>
    <w:rsid w:val="37EB3744"/>
    <w:rsid w:val="37F652AA"/>
    <w:rsid w:val="37F70520"/>
    <w:rsid w:val="37F9D4BE"/>
    <w:rsid w:val="380096E9"/>
    <w:rsid w:val="38014183"/>
    <w:rsid w:val="3805453C"/>
    <w:rsid w:val="3810A806"/>
    <w:rsid w:val="381480BE"/>
    <w:rsid w:val="3817F377"/>
    <w:rsid w:val="38197115"/>
    <w:rsid w:val="3825C000"/>
    <w:rsid w:val="38301FB5"/>
    <w:rsid w:val="38303373"/>
    <w:rsid w:val="38361C33"/>
    <w:rsid w:val="3838D4E1"/>
    <w:rsid w:val="383A5776"/>
    <w:rsid w:val="383D0825"/>
    <w:rsid w:val="383DFBB4"/>
    <w:rsid w:val="384CDCD7"/>
    <w:rsid w:val="384D3FBC"/>
    <w:rsid w:val="385BEED0"/>
    <w:rsid w:val="38655421"/>
    <w:rsid w:val="3869387A"/>
    <w:rsid w:val="38694DD2"/>
    <w:rsid w:val="38797562"/>
    <w:rsid w:val="3887E383"/>
    <w:rsid w:val="38883322"/>
    <w:rsid w:val="38897FD7"/>
    <w:rsid w:val="388E60AF"/>
    <w:rsid w:val="3898CA4C"/>
    <w:rsid w:val="389BCAB6"/>
    <w:rsid w:val="389E2378"/>
    <w:rsid w:val="38A4BD42"/>
    <w:rsid w:val="38A50F5F"/>
    <w:rsid w:val="38A68ECE"/>
    <w:rsid w:val="38BB7B31"/>
    <w:rsid w:val="38BC6A22"/>
    <w:rsid w:val="38BDBA2B"/>
    <w:rsid w:val="38C01D0B"/>
    <w:rsid w:val="38C0EF7B"/>
    <w:rsid w:val="38C2A483"/>
    <w:rsid w:val="38CC1526"/>
    <w:rsid w:val="38CC5DAC"/>
    <w:rsid w:val="38CF3FC6"/>
    <w:rsid w:val="38D4A1D7"/>
    <w:rsid w:val="38DBA2D3"/>
    <w:rsid w:val="38DDD96F"/>
    <w:rsid w:val="38F00E29"/>
    <w:rsid w:val="38F08BA0"/>
    <w:rsid w:val="38F1EC9A"/>
    <w:rsid w:val="38F21D26"/>
    <w:rsid w:val="38F98109"/>
    <w:rsid w:val="3902E7DC"/>
    <w:rsid w:val="39091122"/>
    <w:rsid w:val="390B4DA6"/>
    <w:rsid w:val="390D7B43"/>
    <w:rsid w:val="39140F32"/>
    <w:rsid w:val="391567B5"/>
    <w:rsid w:val="392360DE"/>
    <w:rsid w:val="3925AD5A"/>
    <w:rsid w:val="3925B6CF"/>
    <w:rsid w:val="3926B078"/>
    <w:rsid w:val="392711FD"/>
    <w:rsid w:val="39286C0E"/>
    <w:rsid w:val="392CD1FA"/>
    <w:rsid w:val="392D9EA4"/>
    <w:rsid w:val="3932E653"/>
    <w:rsid w:val="3936199E"/>
    <w:rsid w:val="3937A592"/>
    <w:rsid w:val="39392297"/>
    <w:rsid w:val="393A217E"/>
    <w:rsid w:val="393B6B85"/>
    <w:rsid w:val="3942E3C2"/>
    <w:rsid w:val="394538CE"/>
    <w:rsid w:val="394BBB20"/>
    <w:rsid w:val="395371E8"/>
    <w:rsid w:val="3969D32C"/>
    <w:rsid w:val="396AD9FC"/>
    <w:rsid w:val="3972E077"/>
    <w:rsid w:val="39732C6D"/>
    <w:rsid w:val="397714D1"/>
    <w:rsid w:val="3983ECCE"/>
    <w:rsid w:val="3984CBCC"/>
    <w:rsid w:val="39858B26"/>
    <w:rsid w:val="398612E6"/>
    <w:rsid w:val="3986F52C"/>
    <w:rsid w:val="398F61A0"/>
    <w:rsid w:val="39931625"/>
    <w:rsid w:val="3998D842"/>
    <w:rsid w:val="39991C10"/>
    <w:rsid w:val="399A3908"/>
    <w:rsid w:val="399ADDD2"/>
    <w:rsid w:val="399B5517"/>
    <w:rsid w:val="399F9DEB"/>
    <w:rsid w:val="39A33FF7"/>
    <w:rsid w:val="39AD5F55"/>
    <w:rsid w:val="39AE5F39"/>
    <w:rsid w:val="39AF4CDD"/>
    <w:rsid w:val="39B0A938"/>
    <w:rsid w:val="39B3BC82"/>
    <w:rsid w:val="39B9FB5C"/>
    <w:rsid w:val="39BA8D8F"/>
    <w:rsid w:val="39BD0A1D"/>
    <w:rsid w:val="39D485CE"/>
    <w:rsid w:val="39D9AAE9"/>
    <w:rsid w:val="39D9E719"/>
    <w:rsid w:val="39E04C96"/>
    <w:rsid w:val="39E212BA"/>
    <w:rsid w:val="39ED505A"/>
    <w:rsid w:val="39EF6F4D"/>
    <w:rsid w:val="39F25F61"/>
    <w:rsid w:val="39F281E7"/>
    <w:rsid w:val="39F8AC12"/>
    <w:rsid w:val="39FC5CCD"/>
    <w:rsid w:val="3A08EA87"/>
    <w:rsid w:val="3A234316"/>
    <w:rsid w:val="3A2A311B"/>
    <w:rsid w:val="3A2B552B"/>
    <w:rsid w:val="3A30D5E5"/>
    <w:rsid w:val="3A365990"/>
    <w:rsid w:val="3A3C93F3"/>
    <w:rsid w:val="3A3E33BC"/>
    <w:rsid w:val="3A45EB87"/>
    <w:rsid w:val="3A4A966F"/>
    <w:rsid w:val="3A4CF155"/>
    <w:rsid w:val="3A559FEC"/>
    <w:rsid w:val="3A57C1F2"/>
    <w:rsid w:val="3A754FDB"/>
    <w:rsid w:val="3A86CC0B"/>
    <w:rsid w:val="3A899151"/>
    <w:rsid w:val="3A89E20D"/>
    <w:rsid w:val="3A92D311"/>
    <w:rsid w:val="3A97A26C"/>
    <w:rsid w:val="3A97FAF7"/>
    <w:rsid w:val="3A9C720B"/>
    <w:rsid w:val="3AA51107"/>
    <w:rsid w:val="3AA791EE"/>
    <w:rsid w:val="3AA85BAC"/>
    <w:rsid w:val="3AB0F33A"/>
    <w:rsid w:val="3AB7701C"/>
    <w:rsid w:val="3AC85008"/>
    <w:rsid w:val="3ACDD61D"/>
    <w:rsid w:val="3AD20C5A"/>
    <w:rsid w:val="3AD282FD"/>
    <w:rsid w:val="3AD41E17"/>
    <w:rsid w:val="3AD538C1"/>
    <w:rsid w:val="3AD715BB"/>
    <w:rsid w:val="3ADB52F5"/>
    <w:rsid w:val="3AE0CE59"/>
    <w:rsid w:val="3AE5B511"/>
    <w:rsid w:val="3AE60162"/>
    <w:rsid w:val="3AF14803"/>
    <w:rsid w:val="3AF625A8"/>
    <w:rsid w:val="3AFC37E1"/>
    <w:rsid w:val="3AFD659F"/>
    <w:rsid w:val="3AFE3931"/>
    <w:rsid w:val="3B020A92"/>
    <w:rsid w:val="3B04CACE"/>
    <w:rsid w:val="3B09E2DE"/>
    <w:rsid w:val="3B0C19DF"/>
    <w:rsid w:val="3B1356D0"/>
    <w:rsid w:val="3B175B4A"/>
    <w:rsid w:val="3B1A87A4"/>
    <w:rsid w:val="3B1CB895"/>
    <w:rsid w:val="3B1CD53B"/>
    <w:rsid w:val="3B24DA95"/>
    <w:rsid w:val="3B265348"/>
    <w:rsid w:val="3B3396E2"/>
    <w:rsid w:val="3B3621AF"/>
    <w:rsid w:val="3B36F446"/>
    <w:rsid w:val="3B3C3311"/>
    <w:rsid w:val="3B3CA2B2"/>
    <w:rsid w:val="3B4481B9"/>
    <w:rsid w:val="3B4C05A8"/>
    <w:rsid w:val="3B4F0249"/>
    <w:rsid w:val="3B525313"/>
    <w:rsid w:val="3B5D368E"/>
    <w:rsid w:val="3B5DEC90"/>
    <w:rsid w:val="3B5F7D48"/>
    <w:rsid w:val="3B608094"/>
    <w:rsid w:val="3B610C5A"/>
    <w:rsid w:val="3B62953A"/>
    <w:rsid w:val="3B6B2801"/>
    <w:rsid w:val="3B745C90"/>
    <w:rsid w:val="3B7B88C7"/>
    <w:rsid w:val="3B7D02B3"/>
    <w:rsid w:val="3B7F6B37"/>
    <w:rsid w:val="3B830B71"/>
    <w:rsid w:val="3B832919"/>
    <w:rsid w:val="3B87C5F5"/>
    <w:rsid w:val="3B9CA227"/>
    <w:rsid w:val="3B9FABBB"/>
    <w:rsid w:val="3BADD7C9"/>
    <w:rsid w:val="3BAF2EAC"/>
    <w:rsid w:val="3BAFFF57"/>
    <w:rsid w:val="3BB55665"/>
    <w:rsid w:val="3BB6239D"/>
    <w:rsid w:val="3BBA88D4"/>
    <w:rsid w:val="3BBCB692"/>
    <w:rsid w:val="3BC12099"/>
    <w:rsid w:val="3BC1D129"/>
    <w:rsid w:val="3BC7FC72"/>
    <w:rsid w:val="3BCA4506"/>
    <w:rsid w:val="3BCFC6C5"/>
    <w:rsid w:val="3BD1C667"/>
    <w:rsid w:val="3BE03292"/>
    <w:rsid w:val="3BF3F1AA"/>
    <w:rsid w:val="3BF96680"/>
    <w:rsid w:val="3BF9963D"/>
    <w:rsid w:val="3BFB7D4F"/>
    <w:rsid w:val="3BFBE8ED"/>
    <w:rsid w:val="3BFC8C41"/>
    <w:rsid w:val="3C02455D"/>
    <w:rsid w:val="3C089B79"/>
    <w:rsid w:val="3C095C20"/>
    <w:rsid w:val="3C0BB483"/>
    <w:rsid w:val="3C0C32BC"/>
    <w:rsid w:val="3C0FB8C2"/>
    <w:rsid w:val="3C157A31"/>
    <w:rsid w:val="3C1DE783"/>
    <w:rsid w:val="3C1FBF84"/>
    <w:rsid w:val="3C29C2A3"/>
    <w:rsid w:val="3C337C6E"/>
    <w:rsid w:val="3C374209"/>
    <w:rsid w:val="3C389D82"/>
    <w:rsid w:val="3C452965"/>
    <w:rsid w:val="3C4F8946"/>
    <w:rsid w:val="3C4F8D5B"/>
    <w:rsid w:val="3C676DCA"/>
    <w:rsid w:val="3C67F6C7"/>
    <w:rsid w:val="3C6800F2"/>
    <w:rsid w:val="3C6D1F7E"/>
    <w:rsid w:val="3C6EDB35"/>
    <w:rsid w:val="3C757BBD"/>
    <w:rsid w:val="3C76FB1A"/>
    <w:rsid w:val="3C774292"/>
    <w:rsid w:val="3C78702F"/>
    <w:rsid w:val="3C801E47"/>
    <w:rsid w:val="3C94C670"/>
    <w:rsid w:val="3C97A136"/>
    <w:rsid w:val="3C9DABE9"/>
    <w:rsid w:val="3CA78D12"/>
    <w:rsid w:val="3CACFADD"/>
    <w:rsid w:val="3CB71AA3"/>
    <w:rsid w:val="3CBC2537"/>
    <w:rsid w:val="3CC723E1"/>
    <w:rsid w:val="3CD24A04"/>
    <w:rsid w:val="3CD96499"/>
    <w:rsid w:val="3CE6CD52"/>
    <w:rsid w:val="3CF1458E"/>
    <w:rsid w:val="3CF173D4"/>
    <w:rsid w:val="3CF4AF7C"/>
    <w:rsid w:val="3CF6F16B"/>
    <w:rsid w:val="3D00570D"/>
    <w:rsid w:val="3D0A9D4B"/>
    <w:rsid w:val="3D197B0C"/>
    <w:rsid w:val="3D19AC0A"/>
    <w:rsid w:val="3D1B7602"/>
    <w:rsid w:val="3D1CD9E2"/>
    <w:rsid w:val="3D1D0136"/>
    <w:rsid w:val="3D1DF682"/>
    <w:rsid w:val="3D2D23E6"/>
    <w:rsid w:val="3D2F78A8"/>
    <w:rsid w:val="3D30B3DF"/>
    <w:rsid w:val="3D339687"/>
    <w:rsid w:val="3D364FD6"/>
    <w:rsid w:val="3D390726"/>
    <w:rsid w:val="3D3934C8"/>
    <w:rsid w:val="3D3B5651"/>
    <w:rsid w:val="3D3FD58E"/>
    <w:rsid w:val="3D41F855"/>
    <w:rsid w:val="3D4201CA"/>
    <w:rsid w:val="3D4C27F9"/>
    <w:rsid w:val="3D4C82B0"/>
    <w:rsid w:val="3D56FBFA"/>
    <w:rsid w:val="3D5A5D55"/>
    <w:rsid w:val="3D5C770A"/>
    <w:rsid w:val="3D5D0130"/>
    <w:rsid w:val="3D676088"/>
    <w:rsid w:val="3D692697"/>
    <w:rsid w:val="3D6CEA86"/>
    <w:rsid w:val="3D6D9464"/>
    <w:rsid w:val="3D7050D6"/>
    <w:rsid w:val="3D7194FB"/>
    <w:rsid w:val="3D749626"/>
    <w:rsid w:val="3D7AD3A1"/>
    <w:rsid w:val="3D7BB06E"/>
    <w:rsid w:val="3D7CDB67"/>
    <w:rsid w:val="3D8031AF"/>
    <w:rsid w:val="3D8348E4"/>
    <w:rsid w:val="3D84D319"/>
    <w:rsid w:val="3D86A11F"/>
    <w:rsid w:val="3D86AE12"/>
    <w:rsid w:val="3D8FE09B"/>
    <w:rsid w:val="3D9356CD"/>
    <w:rsid w:val="3D9421C2"/>
    <w:rsid w:val="3D9652B7"/>
    <w:rsid w:val="3D972535"/>
    <w:rsid w:val="3D9C4F86"/>
    <w:rsid w:val="3D9CCB84"/>
    <w:rsid w:val="3DAF0094"/>
    <w:rsid w:val="3DB7E442"/>
    <w:rsid w:val="3DC8DD9B"/>
    <w:rsid w:val="3DCAA185"/>
    <w:rsid w:val="3DCF35F5"/>
    <w:rsid w:val="3DCFD70E"/>
    <w:rsid w:val="3DD4A9EC"/>
    <w:rsid w:val="3DDCA176"/>
    <w:rsid w:val="3DE39E6E"/>
    <w:rsid w:val="3DE6D0CD"/>
    <w:rsid w:val="3DF513A5"/>
    <w:rsid w:val="3DFDC2EA"/>
    <w:rsid w:val="3E0266E1"/>
    <w:rsid w:val="3E0C9BB8"/>
    <w:rsid w:val="3E0CF1A9"/>
    <w:rsid w:val="3E12CB7B"/>
    <w:rsid w:val="3E135E77"/>
    <w:rsid w:val="3E1592BC"/>
    <w:rsid w:val="3E15F122"/>
    <w:rsid w:val="3E16C59D"/>
    <w:rsid w:val="3E1880A6"/>
    <w:rsid w:val="3E1AAB09"/>
    <w:rsid w:val="3E1DC45B"/>
    <w:rsid w:val="3E206ACA"/>
    <w:rsid w:val="3E22639A"/>
    <w:rsid w:val="3E24AC48"/>
    <w:rsid w:val="3E2F74AB"/>
    <w:rsid w:val="3E357932"/>
    <w:rsid w:val="3E379DBC"/>
    <w:rsid w:val="3E469416"/>
    <w:rsid w:val="3E46BC0D"/>
    <w:rsid w:val="3E479BAE"/>
    <w:rsid w:val="3E538CB3"/>
    <w:rsid w:val="3E58FC49"/>
    <w:rsid w:val="3E5BA8A5"/>
    <w:rsid w:val="3E60F990"/>
    <w:rsid w:val="3E61B439"/>
    <w:rsid w:val="3E62439D"/>
    <w:rsid w:val="3E631101"/>
    <w:rsid w:val="3E6C8D33"/>
    <w:rsid w:val="3E6D5B96"/>
    <w:rsid w:val="3E6E889B"/>
    <w:rsid w:val="3E6E9508"/>
    <w:rsid w:val="3E773AA7"/>
    <w:rsid w:val="3E871016"/>
    <w:rsid w:val="3E880BF7"/>
    <w:rsid w:val="3E918280"/>
    <w:rsid w:val="3E927B71"/>
    <w:rsid w:val="3E9579CD"/>
    <w:rsid w:val="3E96C571"/>
    <w:rsid w:val="3E981E02"/>
    <w:rsid w:val="3E98D3CC"/>
    <w:rsid w:val="3E9B486E"/>
    <w:rsid w:val="3EAC9BE4"/>
    <w:rsid w:val="3EB0346F"/>
    <w:rsid w:val="3EB3BDB9"/>
    <w:rsid w:val="3EB59E29"/>
    <w:rsid w:val="3EB6A6E1"/>
    <w:rsid w:val="3EBCF64D"/>
    <w:rsid w:val="3EBF3A89"/>
    <w:rsid w:val="3EC03A0C"/>
    <w:rsid w:val="3EC14712"/>
    <w:rsid w:val="3EC7F485"/>
    <w:rsid w:val="3ECFDC58"/>
    <w:rsid w:val="3ED06A88"/>
    <w:rsid w:val="3ED4214C"/>
    <w:rsid w:val="3ED5B5F7"/>
    <w:rsid w:val="3ED7E9BB"/>
    <w:rsid w:val="3ED8DED3"/>
    <w:rsid w:val="3EDC8195"/>
    <w:rsid w:val="3EE75686"/>
    <w:rsid w:val="3EF08CF9"/>
    <w:rsid w:val="3EF13DFE"/>
    <w:rsid w:val="3EFAEC74"/>
    <w:rsid w:val="3EFB501B"/>
    <w:rsid w:val="3F034F24"/>
    <w:rsid w:val="3F07D3E0"/>
    <w:rsid w:val="3F11243E"/>
    <w:rsid w:val="3F171C91"/>
    <w:rsid w:val="3F1818F0"/>
    <w:rsid w:val="3F206278"/>
    <w:rsid w:val="3F2BBAF3"/>
    <w:rsid w:val="3F2CFD1A"/>
    <w:rsid w:val="3F2F8874"/>
    <w:rsid w:val="3F2FAE66"/>
    <w:rsid w:val="3F3182DD"/>
    <w:rsid w:val="3F335328"/>
    <w:rsid w:val="3F362FB3"/>
    <w:rsid w:val="3F39E2AF"/>
    <w:rsid w:val="3F3CA62C"/>
    <w:rsid w:val="3F436E38"/>
    <w:rsid w:val="3F5138FE"/>
    <w:rsid w:val="3F53540B"/>
    <w:rsid w:val="3F5361FD"/>
    <w:rsid w:val="3F5392C8"/>
    <w:rsid w:val="3F5AC2C7"/>
    <w:rsid w:val="3F5E6D2E"/>
    <w:rsid w:val="3F61D03A"/>
    <w:rsid w:val="3F66B424"/>
    <w:rsid w:val="3F6AC543"/>
    <w:rsid w:val="3F7853AC"/>
    <w:rsid w:val="3F886607"/>
    <w:rsid w:val="3F8CFD72"/>
    <w:rsid w:val="3F8D539A"/>
    <w:rsid w:val="3F933D92"/>
    <w:rsid w:val="3F954636"/>
    <w:rsid w:val="3FB156B3"/>
    <w:rsid w:val="3FC15FFF"/>
    <w:rsid w:val="3FC75F89"/>
    <w:rsid w:val="3FC7BEC2"/>
    <w:rsid w:val="3FC93939"/>
    <w:rsid w:val="3FC9E0C4"/>
    <w:rsid w:val="3FCB9661"/>
    <w:rsid w:val="3FD35318"/>
    <w:rsid w:val="3FD43670"/>
    <w:rsid w:val="3FD4EC77"/>
    <w:rsid w:val="3FD92982"/>
    <w:rsid w:val="3FDA5DB8"/>
    <w:rsid w:val="3FDF892A"/>
    <w:rsid w:val="3FDFC525"/>
    <w:rsid w:val="3FE04FD7"/>
    <w:rsid w:val="3FE83C32"/>
    <w:rsid w:val="3FE99A93"/>
    <w:rsid w:val="3FF49BEB"/>
    <w:rsid w:val="3FFCE9D9"/>
    <w:rsid w:val="3FFE379C"/>
    <w:rsid w:val="40047403"/>
    <w:rsid w:val="4006BBDE"/>
    <w:rsid w:val="40074080"/>
    <w:rsid w:val="40085C5E"/>
    <w:rsid w:val="400BBC29"/>
    <w:rsid w:val="400F17C7"/>
    <w:rsid w:val="400F2FD2"/>
    <w:rsid w:val="401FC48B"/>
    <w:rsid w:val="40218095"/>
    <w:rsid w:val="4022AC93"/>
    <w:rsid w:val="40290F5D"/>
    <w:rsid w:val="402E93FC"/>
    <w:rsid w:val="4033B41B"/>
    <w:rsid w:val="40348B8D"/>
    <w:rsid w:val="4038E1BE"/>
    <w:rsid w:val="403A48C7"/>
    <w:rsid w:val="403A7D7C"/>
    <w:rsid w:val="40420127"/>
    <w:rsid w:val="40445D3E"/>
    <w:rsid w:val="404BE758"/>
    <w:rsid w:val="4058441A"/>
    <w:rsid w:val="405D6394"/>
    <w:rsid w:val="405D90A5"/>
    <w:rsid w:val="405E0537"/>
    <w:rsid w:val="40604569"/>
    <w:rsid w:val="406232CE"/>
    <w:rsid w:val="4063E01B"/>
    <w:rsid w:val="4067BD53"/>
    <w:rsid w:val="40687508"/>
    <w:rsid w:val="40691274"/>
    <w:rsid w:val="406E042E"/>
    <w:rsid w:val="407367E7"/>
    <w:rsid w:val="4078C9F0"/>
    <w:rsid w:val="40826CBB"/>
    <w:rsid w:val="4082C360"/>
    <w:rsid w:val="40830571"/>
    <w:rsid w:val="4085508E"/>
    <w:rsid w:val="408E1AF3"/>
    <w:rsid w:val="40960940"/>
    <w:rsid w:val="40A17BAD"/>
    <w:rsid w:val="40A5888C"/>
    <w:rsid w:val="40A96765"/>
    <w:rsid w:val="40B06BA8"/>
    <w:rsid w:val="40B3DF03"/>
    <w:rsid w:val="40CA31EA"/>
    <w:rsid w:val="40CAF0EF"/>
    <w:rsid w:val="40CC9131"/>
    <w:rsid w:val="40D061FB"/>
    <w:rsid w:val="40D0A408"/>
    <w:rsid w:val="40D1222E"/>
    <w:rsid w:val="40D35579"/>
    <w:rsid w:val="40D3BE3E"/>
    <w:rsid w:val="40D4BD07"/>
    <w:rsid w:val="40D72F62"/>
    <w:rsid w:val="40DB67AD"/>
    <w:rsid w:val="40E0F783"/>
    <w:rsid w:val="40E5700C"/>
    <w:rsid w:val="40E5F6B4"/>
    <w:rsid w:val="40EF4152"/>
    <w:rsid w:val="40F2A750"/>
    <w:rsid w:val="40F828D5"/>
    <w:rsid w:val="4112C33A"/>
    <w:rsid w:val="411603E4"/>
    <w:rsid w:val="41176473"/>
    <w:rsid w:val="411DD31C"/>
    <w:rsid w:val="411ED878"/>
    <w:rsid w:val="412182F4"/>
    <w:rsid w:val="4123C9AE"/>
    <w:rsid w:val="41259FC6"/>
    <w:rsid w:val="4132E096"/>
    <w:rsid w:val="413F28CA"/>
    <w:rsid w:val="4140F70A"/>
    <w:rsid w:val="414518D8"/>
    <w:rsid w:val="414E0561"/>
    <w:rsid w:val="414E35EB"/>
    <w:rsid w:val="41526C92"/>
    <w:rsid w:val="41554905"/>
    <w:rsid w:val="4155A89F"/>
    <w:rsid w:val="415AC3A8"/>
    <w:rsid w:val="4166341E"/>
    <w:rsid w:val="4169E211"/>
    <w:rsid w:val="41750BDF"/>
    <w:rsid w:val="417D0F4B"/>
    <w:rsid w:val="418B46BE"/>
    <w:rsid w:val="4196AFAC"/>
    <w:rsid w:val="41A6EDB5"/>
    <w:rsid w:val="41AF9274"/>
    <w:rsid w:val="41B63382"/>
    <w:rsid w:val="41B86519"/>
    <w:rsid w:val="41B8D3DE"/>
    <w:rsid w:val="41BA3E75"/>
    <w:rsid w:val="41BAFCD3"/>
    <w:rsid w:val="41BD8993"/>
    <w:rsid w:val="41E13F44"/>
    <w:rsid w:val="41E2DD26"/>
    <w:rsid w:val="41EB4EE7"/>
    <w:rsid w:val="41EC87BF"/>
    <w:rsid w:val="41FFEAFE"/>
    <w:rsid w:val="42011E41"/>
    <w:rsid w:val="4206187E"/>
    <w:rsid w:val="4206A469"/>
    <w:rsid w:val="42096BD6"/>
    <w:rsid w:val="4217C095"/>
    <w:rsid w:val="421DB7AE"/>
    <w:rsid w:val="42252036"/>
    <w:rsid w:val="422A6D8D"/>
    <w:rsid w:val="422CA225"/>
    <w:rsid w:val="4230A6EB"/>
    <w:rsid w:val="4235EEAB"/>
    <w:rsid w:val="4241CDC3"/>
    <w:rsid w:val="424705C8"/>
    <w:rsid w:val="424785F6"/>
    <w:rsid w:val="424DC189"/>
    <w:rsid w:val="424FAF64"/>
    <w:rsid w:val="4252E281"/>
    <w:rsid w:val="4261A1D9"/>
    <w:rsid w:val="4269106C"/>
    <w:rsid w:val="427D7806"/>
    <w:rsid w:val="427FAD89"/>
    <w:rsid w:val="428209FE"/>
    <w:rsid w:val="4288F52D"/>
    <w:rsid w:val="42899F94"/>
    <w:rsid w:val="428C2B10"/>
    <w:rsid w:val="429F0CC5"/>
    <w:rsid w:val="42A3A328"/>
    <w:rsid w:val="42AB0757"/>
    <w:rsid w:val="42ACD060"/>
    <w:rsid w:val="42B1B2E6"/>
    <w:rsid w:val="42B83BC2"/>
    <w:rsid w:val="42BE2B26"/>
    <w:rsid w:val="42BEF3E2"/>
    <w:rsid w:val="42C0D208"/>
    <w:rsid w:val="42C96949"/>
    <w:rsid w:val="42CB1BED"/>
    <w:rsid w:val="42CEA3BB"/>
    <w:rsid w:val="42D126E0"/>
    <w:rsid w:val="42D15468"/>
    <w:rsid w:val="42DA4C44"/>
    <w:rsid w:val="42DB9824"/>
    <w:rsid w:val="42DE86F4"/>
    <w:rsid w:val="42E157A3"/>
    <w:rsid w:val="42E272F2"/>
    <w:rsid w:val="42E592B7"/>
    <w:rsid w:val="42EA178B"/>
    <w:rsid w:val="42F9AC12"/>
    <w:rsid w:val="4302AB0A"/>
    <w:rsid w:val="430DFA27"/>
    <w:rsid w:val="431218E7"/>
    <w:rsid w:val="4314E277"/>
    <w:rsid w:val="43183CD0"/>
    <w:rsid w:val="431D1B68"/>
    <w:rsid w:val="431D55B1"/>
    <w:rsid w:val="431D78E8"/>
    <w:rsid w:val="4327CB30"/>
    <w:rsid w:val="432B9A13"/>
    <w:rsid w:val="432E68E5"/>
    <w:rsid w:val="43357C3A"/>
    <w:rsid w:val="433B84D1"/>
    <w:rsid w:val="4341F4C6"/>
    <w:rsid w:val="4341FEE4"/>
    <w:rsid w:val="4344CF4C"/>
    <w:rsid w:val="434BF6E0"/>
    <w:rsid w:val="434D9108"/>
    <w:rsid w:val="43554810"/>
    <w:rsid w:val="435E8C02"/>
    <w:rsid w:val="4361CE86"/>
    <w:rsid w:val="43684780"/>
    <w:rsid w:val="43708AD7"/>
    <w:rsid w:val="4371612E"/>
    <w:rsid w:val="4381C5AE"/>
    <w:rsid w:val="4382780C"/>
    <w:rsid w:val="438665BE"/>
    <w:rsid w:val="43977104"/>
    <w:rsid w:val="43979234"/>
    <w:rsid w:val="439A5F14"/>
    <w:rsid w:val="43A23FDD"/>
    <w:rsid w:val="43A4A93B"/>
    <w:rsid w:val="43A5434E"/>
    <w:rsid w:val="43A93C6C"/>
    <w:rsid w:val="43AC6B6F"/>
    <w:rsid w:val="43ACFDD5"/>
    <w:rsid w:val="43AE8E30"/>
    <w:rsid w:val="43B462F9"/>
    <w:rsid w:val="43B5DE03"/>
    <w:rsid w:val="43BABFBD"/>
    <w:rsid w:val="43C072FD"/>
    <w:rsid w:val="43C1C779"/>
    <w:rsid w:val="43CBB88E"/>
    <w:rsid w:val="43D2BE14"/>
    <w:rsid w:val="43D5ECF8"/>
    <w:rsid w:val="43DADE81"/>
    <w:rsid w:val="43DC686D"/>
    <w:rsid w:val="43E1C54E"/>
    <w:rsid w:val="43F017FC"/>
    <w:rsid w:val="43F143B2"/>
    <w:rsid w:val="43F4BE05"/>
    <w:rsid w:val="43FA3B1C"/>
    <w:rsid w:val="44025C24"/>
    <w:rsid w:val="440627BB"/>
    <w:rsid w:val="44068BE9"/>
    <w:rsid w:val="440F9079"/>
    <w:rsid w:val="4414106A"/>
    <w:rsid w:val="4414DB60"/>
    <w:rsid w:val="4417A271"/>
    <w:rsid w:val="441DD87B"/>
    <w:rsid w:val="44216623"/>
    <w:rsid w:val="4422DCBB"/>
    <w:rsid w:val="443842D8"/>
    <w:rsid w:val="4442807D"/>
    <w:rsid w:val="4444D00C"/>
    <w:rsid w:val="44491BA8"/>
    <w:rsid w:val="44519B33"/>
    <w:rsid w:val="445A5743"/>
    <w:rsid w:val="445BDB40"/>
    <w:rsid w:val="44607C70"/>
    <w:rsid w:val="4460C4BD"/>
    <w:rsid w:val="4461ADF1"/>
    <w:rsid w:val="446498BF"/>
    <w:rsid w:val="44737159"/>
    <w:rsid w:val="447E6F1C"/>
    <w:rsid w:val="447FC024"/>
    <w:rsid w:val="44806AF6"/>
    <w:rsid w:val="44820CFF"/>
    <w:rsid w:val="44865124"/>
    <w:rsid w:val="448AE921"/>
    <w:rsid w:val="448B63C5"/>
    <w:rsid w:val="448DB821"/>
    <w:rsid w:val="448DE0C0"/>
    <w:rsid w:val="449B13E7"/>
    <w:rsid w:val="44A2EFF5"/>
    <w:rsid w:val="44A72BE7"/>
    <w:rsid w:val="44A7AB2D"/>
    <w:rsid w:val="44B2AE80"/>
    <w:rsid w:val="44B3A7A9"/>
    <w:rsid w:val="44B4A44F"/>
    <w:rsid w:val="44BA4D04"/>
    <w:rsid w:val="44BEFB14"/>
    <w:rsid w:val="44BFB03B"/>
    <w:rsid w:val="44C26E06"/>
    <w:rsid w:val="44C3B781"/>
    <w:rsid w:val="44D38FEA"/>
    <w:rsid w:val="44D47676"/>
    <w:rsid w:val="44D5DA8A"/>
    <w:rsid w:val="44D76C27"/>
    <w:rsid w:val="44DCE300"/>
    <w:rsid w:val="44DD3FE2"/>
    <w:rsid w:val="44E82BA5"/>
    <w:rsid w:val="44E962CD"/>
    <w:rsid w:val="44E9E852"/>
    <w:rsid w:val="44F3E226"/>
    <w:rsid w:val="44F4C642"/>
    <w:rsid w:val="44FA28FE"/>
    <w:rsid w:val="44FF2D19"/>
    <w:rsid w:val="4503D705"/>
    <w:rsid w:val="450778E9"/>
    <w:rsid w:val="450CC7EA"/>
    <w:rsid w:val="4511B89F"/>
    <w:rsid w:val="451384C0"/>
    <w:rsid w:val="45148A4E"/>
    <w:rsid w:val="4519DABE"/>
    <w:rsid w:val="451A7C4C"/>
    <w:rsid w:val="451F4609"/>
    <w:rsid w:val="451FF5DC"/>
    <w:rsid w:val="4521E81B"/>
    <w:rsid w:val="4525D492"/>
    <w:rsid w:val="4532338E"/>
    <w:rsid w:val="4532A67D"/>
    <w:rsid w:val="4534C484"/>
    <w:rsid w:val="453FB17E"/>
    <w:rsid w:val="45445F3A"/>
    <w:rsid w:val="454DB73C"/>
    <w:rsid w:val="454F2083"/>
    <w:rsid w:val="454FBE60"/>
    <w:rsid w:val="4551CD3F"/>
    <w:rsid w:val="4553F8CF"/>
    <w:rsid w:val="455802FB"/>
    <w:rsid w:val="455C873E"/>
    <w:rsid w:val="455D8797"/>
    <w:rsid w:val="456061B2"/>
    <w:rsid w:val="4561CB1E"/>
    <w:rsid w:val="45638FC4"/>
    <w:rsid w:val="45656901"/>
    <w:rsid w:val="45678B77"/>
    <w:rsid w:val="456889B4"/>
    <w:rsid w:val="45710D55"/>
    <w:rsid w:val="4589AD4F"/>
    <w:rsid w:val="458ADF62"/>
    <w:rsid w:val="45965586"/>
    <w:rsid w:val="45970DBE"/>
    <w:rsid w:val="45980213"/>
    <w:rsid w:val="459E1A9F"/>
    <w:rsid w:val="45A3B016"/>
    <w:rsid w:val="45AC9C85"/>
    <w:rsid w:val="45B59276"/>
    <w:rsid w:val="45C7AAE7"/>
    <w:rsid w:val="45C8ECEB"/>
    <w:rsid w:val="45CBC964"/>
    <w:rsid w:val="45CCC8A5"/>
    <w:rsid w:val="45D54E59"/>
    <w:rsid w:val="45DFFA84"/>
    <w:rsid w:val="45E5E588"/>
    <w:rsid w:val="45E5F102"/>
    <w:rsid w:val="45E7DCF1"/>
    <w:rsid w:val="45EDD640"/>
    <w:rsid w:val="45F815D0"/>
    <w:rsid w:val="45FA55D8"/>
    <w:rsid w:val="46021657"/>
    <w:rsid w:val="460A4D20"/>
    <w:rsid w:val="4612D5DD"/>
    <w:rsid w:val="4620299F"/>
    <w:rsid w:val="4623B4C8"/>
    <w:rsid w:val="4628928E"/>
    <w:rsid w:val="462DA12F"/>
    <w:rsid w:val="4632D762"/>
    <w:rsid w:val="4642A811"/>
    <w:rsid w:val="46471FE2"/>
    <w:rsid w:val="464B3634"/>
    <w:rsid w:val="4657CB18"/>
    <w:rsid w:val="465822C9"/>
    <w:rsid w:val="465BDF78"/>
    <w:rsid w:val="46626C8F"/>
    <w:rsid w:val="4668C1C5"/>
    <w:rsid w:val="467154D6"/>
    <w:rsid w:val="4674873B"/>
    <w:rsid w:val="467594E2"/>
    <w:rsid w:val="467CEC1C"/>
    <w:rsid w:val="468137AE"/>
    <w:rsid w:val="4685FCC5"/>
    <w:rsid w:val="468DFDE1"/>
    <w:rsid w:val="468E5122"/>
    <w:rsid w:val="469084EB"/>
    <w:rsid w:val="46947C8C"/>
    <w:rsid w:val="469807C8"/>
    <w:rsid w:val="46B341FC"/>
    <w:rsid w:val="46C3D3DB"/>
    <w:rsid w:val="46C77F8A"/>
    <w:rsid w:val="46C991F1"/>
    <w:rsid w:val="46CB1518"/>
    <w:rsid w:val="46CF11C6"/>
    <w:rsid w:val="46D6C2FD"/>
    <w:rsid w:val="46D719E9"/>
    <w:rsid w:val="46D90974"/>
    <w:rsid w:val="46DE2E3B"/>
    <w:rsid w:val="46E01C3D"/>
    <w:rsid w:val="46E0E93B"/>
    <w:rsid w:val="46E79583"/>
    <w:rsid w:val="46E79931"/>
    <w:rsid w:val="46EA1E90"/>
    <w:rsid w:val="46EA2252"/>
    <w:rsid w:val="46EB5D61"/>
    <w:rsid w:val="47069B37"/>
    <w:rsid w:val="470EDE66"/>
    <w:rsid w:val="4713184F"/>
    <w:rsid w:val="4718B381"/>
    <w:rsid w:val="471B03F6"/>
    <w:rsid w:val="471F5C55"/>
    <w:rsid w:val="4723DE82"/>
    <w:rsid w:val="472431C8"/>
    <w:rsid w:val="472B4ABE"/>
    <w:rsid w:val="472CB13B"/>
    <w:rsid w:val="472F78C4"/>
    <w:rsid w:val="4730D434"/>
    <w:rsid w:val="4733ABF2"/>
    <w:rsid w:val="4736FFE8"/>
    <w:rsid w:val="473D6CC7"/>
    <w:rsid w:val="473E1165"/>
    <w:rsid w:val="474929E6"/>
    <w:rsid w:val="4749F838"/>
    <w:rsid w:val="474AA931"/>
    <w:rsid w:val="47503907"/>
    <w:rsid w:val="47509926"/>
    <w:rsid w:val="47558BE4"/>
    <w:rsid w:val="47582CD8"/>
    <w:rsid w:val="475C86BD"/>
    <w:rsid w:val="475F686C"/>
    <w:rsid w:val="476078FA"/>
    <w:rsid w:val="4764AB42"/>
    <w:rsid w:val="476AC5C2"/>
    <w:rsid w:val="47701EF3"/>
    <w:rsid w:val="47721161"/>
    <w:rsid w:val="477556D7"/>
    <w:rsid w:val="47798505"/>
    <w:rsid w:val="477D26C4"/>
    <w:rsid w:val="4785B777"/>
    <w:rsid w:val="47872AA8"/>
    <w:rsid w:val="4787FF09"/>
    <w:rsid w:val="478A7692"/>
    <w:rsid w:val="478D9849"/>
    <w:rsid w:val="479744AA"/>
    <w:rsid w:val="4798E0C4"/>
    <w:rsid w:val="479C0C9A"/>
    <w:rsid w:val="479E4B41"/>
    <w:rsid w:val="47A8A9A4"/>
    <w:rsid w:val="47AF0947"/>
    <w:rsid w:val="47C4CED4"/>
    <w:rsid w:val="47CA52F5"/>
    <w:rsid w:val="47CA98B1"/>
    <w:rsid w:val="47CB646B"/>
    <w:rsid w:val="47CF17E8"/>
    <w:rsid w:val="47D0AEA3"/>
    <w:rsid w:val="47D28469"/>
    <w:rsid w:val="47D3C6F0"/>
    <w:rsid w:val="47D57BA6"/>
    <w:rsid w:val="47D7642E"/>
    <w:rsid w:val="47DAB599"/>
    <w:rsid w:val="47E084BF"/>
    <w:rsid w:val="47E22FE6"/>
    <w:rsid w:val="47E80EFC"/>
    <w:rsid w:val="47F5CF0B"/>
    <w:rsid w:val="480B49A2"/>
    <w:rsid w:val="480CFF64"/>
    <w:rsid w:val="4818FA7A"/>
    <w:rsid w:val="48218CE1"/>
    <w:rsid w:val="482BB175"/>
    <w:rsid w:val="482C8FDC"/>
    <w:rsid w:val="4836D936"/>
    <w:rsid w:val="484268A3"/>
    <w:rsid w:val="4843374F"/>
    <w:rsid w:val="48486073"/>
    <w:rsid w:val="484A1AF7"/>
    <w:rsid w:val="485152C2"/>
    <w:rsid w:val="48515BA1"/>
    <w:rsid w:val="4851B022"/>
    <w:rsid w:val="485BC50F"/>
    <w:rsid w:val="48603947"/>
    <w:rsid w:val="48607A06"/>
    <w:rsid w:val="4863D893"/>
    <w:rsid w:val="4866065A"/>
    <w:rsid w:val="486F2E8C"/>
    <w:rsid w:val="487E222F"/>
    <w:rsid w:val="487EA588"/>
    <w:rsid w:val="4880250D"/>
    <w:rsid w:val="4881A458"/>
    <w:rsid w:val="488290D9"/>
    <w:rsid w:val="488365E4"/>
    <w:rsid w:val="48952299"/>
    <w:rsid w:val="489BB36B"/>
    <w:rsid w:val="489C25DC"/>
    <w:rsid w:val="48A5F672"/>
    <w:rsid w:val="48A9D2D1"/>
    <w:rsid w:val="48AD1750"/>
    <w:rsid w:val="48AE68C7"/>
    <w:rsid w:val="48B5F853"/>
    <w:rsid w:val="48BC4584"/>
    <w:rsid w:val="48BF8C53"/>
    <w:rsid w:val="48C31952"/>
    <w:rsid w:val="48C7DA24"/>
    <w:rsid w:val="48C90EB3"/>
    <w:rsid w:val="48C9291E"/>
    <w:rsid w:val="48CE8283"/>
    <w:rsid w:val="48CEC0A6"/>
    <w:rsid w:val="48CFF2EB"/>
    <w:rsid w:val="48D72275"/>
    <w:rsid w:val="48D7E599"/>
    <w:rsid w:val="48DB7DDC"/>
    <w:rsid w:val="48DD5382"/>
    <w:rsid w:val="48DE3AC7"/>
    <w:rsid w:val="48E20A70"/>
    <w:rsid w:val="48E48137"/>
    <w:rsid w:val="48E74F15"/>
    <w:rsid w:val="48EC0968"/>
    <w:rsid w:val="48ED6AF9"/>
    <w:rsid w:val="48F0B4AB"/>
    <w:rsid w:val="48FA19A2"/>
    <w:rsid w:val="48FC1628"/>
    <w:rsid w:val="490211ED"/>
    <w:rsid w:val="4908BF2D"/>
    <w:rsid w:val="49107EF1"/>
    <w:rsid w:val="49119FF4"/>
    <w:rsid w:val="491A62DD"/>
    <w:rsid w:val="491C308C"/>
    <w:rsid w:val="492619D5"/>
    <w:rsid w:val="492DF3F7"/>
    <w:rsid w:val="493DDA5F"/>
    <w:rsid w:val="495208CF"/>
    <w:rsid w:val="495BA573"/>
    <w:rsid w:val="4966D552"/>
    <w:rsid w:val="4970C3E3"/>
    <w:rsid w:val="49713C51"/>
    <w:rsid w:val="49752721"/>
    <w:rsid w:val="497CC356"/>
    <w:rsid w:val="497ECD33"/>
    <w:rsid w:val="4985300C"/>
    <w:rsid w:val="499C694A"/>
    <w:rsid w:val="49A27837"/>
    <w:rsid w:val="49AA1229"/>
    <w:rsid w:val="49AF8986"/>
    <w:rsid w:val="49BBF121"/>
    <w:rsid w:val="49C1B93B"/>
    <w:rsid w:val="49C3CE7B"/>
    <w:rsid w:val="49C91FC0"/>
    <w:rsid w:val="49CA0DFE"/>
    <w:rsid w:val="49CB39E4"/>
    <w:rsid w:val="49CC6133"/>
    <w:rsid w:val="49CE53D0"/>
    <w:rsid w:val="49D59144"/>
    <w:rsid w:val="49DFCC5B"/>
    <w:rsid w:val="49E2B131"/>
    <w:rsid w:val="49E6AC41"/>
    <w:rsid w:val="49EF4668"/>
    <w:rsid w:val="4A04300B"/>
    <w:rsid w:val="4A05D4A8"/>
    <w:rsid w:val="4A090B07"/>
    <w:rsid w:val="4A1259C3"/>
    <w:rsid w:val="4A135069"/>
    <w:rsid w:val="4A23E915"/>
    <w:rsid w:val="4A29C146"/>
    <w:rsid w:val="4A2C29E5"/>
    <w:rsid w:val="4A2DF5EA"/>
    <w:rsid w:val="4A32DD3E"/>
    <w:rsid w:val="4A3CF984"/>
    <w:rsid w:val="4A3E8174"/>
    <w:rsid w:val="4A50701F"/>
    <w:rsid w:val="4A52741B"/>
    <w:rsid w:val="4A554876"/>
    <w:rsid w:val="4A5AD059"/>
    <w:rsid w:val="4A650DD8"/>
    <w:rsid w:val="4A66869B"/>
    <w:rsid w:val="4A7075EA"/>
    <w:rsid w:val="4A769EE8"/>
    <w:rsid w:val="4A7FA283"/>
    <w:rsid w:val="4A81B9F9"/>
    <w:rsid w:val="4A8C32EE"/>
    <w:rsid w:val="4A9065BD"/>
    <w:rsid w:val="4A920A2C"/>
    <w:rsid w:val="4A94821A"/>
    <w:rsid w:val="4A94D8AC"/>
    <w:rsid w:val="4AA33EB9"/>
    <w:rsid w:val="4AA4A140"/>
    <w:rsid w:val="4AAE3587"/>
    <w:rsid w:val="4AB40231"/>
    <w:rsid w:val="4AB65F3C"/>
    <w:rsid w:val="4ABCAE76"/>
    <w:rsid w:val="4AC0CD50"/>
    <w:rsid w:val="4AC9AFD5"/>
    <w:rsid w:val="4ACCF07A"/>
    <w:rsid w:val="4AD11B9C"/>
    <w:rsid w:val="4AD949F5"/>
    <w:rsid w:val="4AEB2766"/>
    <w:rsid w:val="4AEC99AF"/>
    <w:rsid w:val="4AEDB11C"/>
    <w:rsid w:val="4AF65C8A"/>
    <w:rsid w:val="4AFA610C"/>
    <w:rsid w:val="4B009940"/>
    <w:rsid w:val="4B086851"/>
    <w:rsid w:val="4B0D0CB2"/>
    <w:rsid w:val="4B1213DE"/>
    <w:rsid w:val="4B12AB9C"/>
    <w:rsid w:val="4B1D97DC"/>
    <w:rsid w:val="4B1E9F76"/>
    <w:rsid w:val="4B244593"/>
    <w:rsid w:val="4B24C6F6"/>
    <w:rsid w:val="4B25FF49"/>
    <w:rsid w:val="4B2F6B88"/>
    <w:rsid w:val="4B3223CE"/>
    <w:rsid w:val="4B3BB611"/>
    <w:rsid w:val="4B3C95E2"/>
    <w:rsid w:val="4B3CBE28"/>
    <w:rsid w:val="4B45921A"/>
    <w:rsid w:val="4B49E831"/>
    <w:rsid w:val="4B5B1ADF"/>
    <w:rsid w:val="4B64DEAF"/>
    <w:rsid w:val="4B68CB76"/>
    <w:rsid w:val="4B71D3F7"/>
    <w:rsid w:val="4B789CF8"/>
    <w:rsid w:val="4B79DC0D"/>
    <w:rsid w:val="4B7B6C8C"/>
    <w:rsid w:val="4B83F802"/>
    <w:rsid w:val="4B85E99B"/>
    <w:rsid w:val="4B8EB3EC"/>
    <w:rsid w:val="4B8FCE1E"/>
    <w:rsid w:val="4B94B4F6"/>
    <w:rsid w:val="4B97AABE"/>
    <w:rsid w:val="4BA38B08"/>
    <w:rsid w:val="4BB2AD62"/>
    <w:rsid w:val="4BBC911F"/>
    <w:rsid w:val="4BC76D0C"/>
    <w:rsid w:val="4BC8399D"/>
    <w:rsid w:val="4BCC330A"/>
    <w:rsid w:val="4BD7AC74"/>
    <w:rsid w:val="4BD7BCDA"/>
    <w:rsid w:val="4BD85D2F"/>
    <w:rsid w:val="4BDD1C28"/>
    <w:rsid w:val="4BE64AE8"/>
    <w:rsid w:val="4BE926E8"/>
    <w:rsid w:val="4BF28B73"/>
    <w:rsid w:val="4BF328B3"/>
    <w:rsid w:val="4BF775F5"/>
    <w:rsid w:val="4BFEBBE2"/>
    <w:rsid w:val="4C019347"/>
    <w:rsid w:val="4C020A65"/>
    <w:rsid w:val="4C040705"/>
    <w:rsid w:val="4C052395"/>
    <w:rsid w:val="4C090CB1"/>
    <w:rsid w:val="4C0AF186"/>
    <w:rsid w:val="4C10DDEA"/>
    <w:rsid w:val="4C16AF16"/>
    <w:rsid w:val="4C17EC04"/>
    <w:rsid w:val="4C183686"/>
    <w:rsid w:val="4C1BEA7B"/>
    <w:rsid w:val="4C220FBE"/>
    <w:rsid w:val="4C253C9A"/>
    <w:rsid w:val="4C266F25"/>
    <w:rsid w:val="4C271CF2"/>
    <w:rsid w:val="4C3154E5"/>
    <w:rsid w:val="4C3241F3"/>
    <w:rsid w:val="4C34FAFB"/>
    <w:rsid w:val="4C38006C"/>
    <w:rsid w:val="4C3A59A9"/>
    <w:rsid w:val="4C3B63A5"/>
    <w:rsid w:val="4C471C50"/>
    <w:rsid w:val="4C4DEADC"/>
    <w:rsid w:val="4C6F48FE"/>
    <w:rsid w:val="4C70814A"/>
    <w:rsid w:val="4C75428D"/>
    <w:rsid w:val="4C794E6D"/>
    <w:rsid w:val="4C817463"/>
    <w:rsid w:val="4C8F8E1A"/>
    <w:rsid w:val="4C953AD3"/>
    <w:rsid w:val="4C9F25EC"/>
    <w:rsid w:val="4CA234A8"/>
    <w:rsid w:val="4CA4BBE1"/>
    <w:rsid w:val="4CA52E4B"/>
    <w:rsid w:val="4CAAD551"/>
    <w:rsid w:val="4CAB8552"/>
    <w:rsid w:val="4CB72B15"/>
    <w:rsid w:val="4CBAE233"/>
    <w:rsid w:val="4CBF0CEA"/>
    <w:rsid w:val="4CC3F7E9"/>
    <w:rsid w:val="4CC6BF3A"/>
    <w:rsid w:val="4CCB8E2B"/>
    <w:rsid w:val="4CD31268"/>
    <w:rsid w:val="4CDC5222"/>
    <w:rsid w:val="4CE07659"/>
    <w:rsid w:val="4CE8B8FC"/>
    <w:rsid w:val="4CF57C91"/>
    <w:rsid w:val="4CF9F8B5"/>
    <w:rsid w:val="4D11D1F4"/>
    <w:rsid w:val="4D1656D0"/>
    <w:rsid w:val="4D1DC16B"/>
    <w:rsid w:val="4D1E770C"/>
    <w:rsid w:val="4D264C81"/>
    <w:rsid w:val="4D2D4841"/>
    <w:rsid w:val="4D329035"/>
    <w:rsid w:val="4D3BB167"/>
    <w:rsid w:val="4D48F064"/>
    <w:rsid w:val="4D62F011"/>
    <w:rsid w:val="4D65E3FE"/>
    <w:rsid w:val="4D671043"/>
    <w:rsid w:val="4D69C668"/>
    <w:rsid w:val="4D71BE3E"/>
    <w:rsid w:val="4D738D3B"/>
    <w:rsid w:val="4D766EAD"/>
    <w:rsid w:val="4D76BA2E"/>
    <w:rsid w:val="4D78C630"/>
    <w:rsid w:val="4D7F4B96"/>
    <w:rsid w:val="4D803D01"/>
    <w:rsid w:val="4D8174ED"/>
    <w:rsid w:val="4D87F505"/>
    <w:rsid w:val="4D8EF914"/>
    <w:rsid w:val="4D902EB2"/>
    <w:rsid w:val="4DA4BF62"/>
    <w:rsid w:val="4DA4EF90"/>
    <w:rsid w:val="4DA70C5F"/>
    <w:rsid w:val="4DA792A6"/>
    <w:rsid w:val="4DABEE89"/>
    <w:rsid w:val="4DB5BB74"/>
    <w:rsid w:val="4DC38402"/>
    <w:rsid w:val="4DC85AA1"/>
    <w:rsid w:val="4DCE43BF"/>
    <w:rsid w:val="4DCEF285"/>
    <w:rsid w:val="4DD78A09"/>
    <w:rsid w:val="4DD9CB61"/>
    <w:rsid w:val="4DD9F7B9"/>
    <w:rsid w:val="4DDC8185"/>
    <w:rsid w:val="4DE04365"/>
    <w:rsid w:val="4DE234EB"/>
    <w:rsid w:val="4DE4D5E9"/>
    <w:rsid w:val="4DE53C76"/>
    <w:rsid w:val="4DF0B40F"/>
    <w:rsid w:val="4E044B11"/>
    <w:rsid w:val="4E053B81"/>
    <w:rsid w:val="4E1D740E"/>
    <w:rsid w:val="4E201E53"/>
    <w:rsid w:val="4E21863A"/>
    <w:rsid w:val="4E235207"/>
    <w:rsid w:val="4E272FA3"/>
    <w:rsid w:val="4E298E1E"/>
    <w:rsid w:val="4E2B5E7B"/>
    <w:rsid w:val="4E2E904C"/>
    <w:rsid w:val="4E33EB0B"/>
    <w:rsid w:val="4E3465CD"/>
    <w:rsid w:val="4E3B88C4"/>
    <w:rsid w:val="4E3C8FC3"/>
    <w:rsid w:val="4E3FAA73"/>
    <w:rsid w:val="4E47C125"/>
    <w:rsid w:val="4E4A0C51"/>
    <w:rsid w:val="4E4D0CA0"/>
    <w:rsid w:val="4E51A290"/>
    <w:rsid w:val="4E529B48"/>
    <w:rsid w:val="4E56B294"/>
    <w:rsid w:val="4E5F4AD0"/>
    <w:rsid w:val="4E6260BD"/>
    <w:rsid w:val="4E63EB97"/>
    <w:rsid w:val="4E695508"/>
    <w:rsid w:val="4E73E7BD"/>
    <w:rsid w:val="4E7537F9"/>
    <w:rsid w:val="4E75834D"/>
    <w:rsid w:val="4E7B104A"/>
    <w:rsid w:val="4E83245D"/>
    <w:rsid w:val="4E85898F"/>
    <w:rsid w:val="4E8F5E18"/>
    <w:rsid w:val="4E97D26F"/>
    <w:rsid w:val="4E9CA19A"/>
    <w:rsid w:val="4EA50F46"/>
    <w:rsid w:val="4EA9C7F1"/>
    <w:rsid w:val="4EBB2B04"/>
    <w:rsid w:val="4ED3D996"/>
    <w:rsid w:val="4EDC1879"/>
    <w:rsid w:val="4EDE8CD7"/>
    <w:rsid w:val="4EE7C515"/>
    <w:rsid w:val="4EE8ED48"/>
    <w:rsid w:val="4EEAF1D0"/>
    <w:rsid w:val="4EF0518C"/>
    <w:rsid w:val="4EF2DDAB"/>
    <w:rsid w:val="4EF361A8"/>
    <w:rsid w:val="4EFDF153"/>
    <w:rsid w:val="4EFFB391"/>
    <w:rsid w:val="4F1CDB6A"/>
    <w:rsid w:val="4F1E7C6C"/>
    <w:rsid w:val="4F318918"/>
    <w:rsid w:val="4F34CD90"/>
    <w:rsid w:val="4F45BF51"/>
    <w:rsid w:val="4F4C9F9B"/>
    <w:rsid w:val="4F504B3D"/>
    <w:rsid w:val="4F58C0D9"/>
    <w:rsid w:val="4F5B63E8"/>
    <w:rsid w:val="4F5BB20F"/>
    <w:rsid w:val="4F5BECA5"/>
    <w:rsid w:val="4F670145"/>
    <w:rsid w:val="4F6D1DBA"/>
    <w:rsid w:val="4F712610"/>
    <w:rsid w:val="4F739995"/>
    <w:rsid w:val="4F747349"/>
    <w:rsid w:val="4F758246"/>
    <w:rsid w:val="4F79F59D"/>
    <w:rsid w:val="4F7B20D0"/>
    <w:rsid w:val="4F8B66DC"/>
    <w:rsid w:val="4F8D733D"/>
    <w:rsid w:val="4F9C54B0"/>
    <w:rsid w:val="4F9F5E15"/>
    <w:rsid w:val="4FA1BBAD"/>
    <w:rsid w:val="4FA6AB05"/>
    <w:rsid w:val="4FA95DD8"/>
    <w:rsid w:val="4FB257AB"/>
    <w:rsid w:val="4FBEA0D1"/>
    <w:rsid w:val="4FCB6A3D"/>
    <w:rsid w:val="4FCCF581"/>
    <w:rsid w:val="4FD1FF64"/>
    <w:rsid w:val="4FD2DF39"/>
    <w:rsid w:val="4FD63572"/>
    <w:rsid w:val="4FD6BF6D"/>
    <w:rsid w:val="4FD9E76B"/>
    <w:rsid w:val="4FDB6625"/>
    <w:rsid w:val="4FDDE031"/>
    <w:rsid w:val="4FDEF4D1"/>
    <w:rsid w:val="4FE1A06A"/>
    <w:rsid w:val="4FE61DDE"/>
    <w:rsid w:val="4FED411E"/>
    <w:rsid w:val="4FEECEA7"/>
    <w:rsid w:val="4FF0C9DF"/>
    <w:rsid w:val="4FF52F51"/>
    <w:rsid w:val="4FFE2BCB"/>
    <w:rsid w:val="500D7244"/>
    <w:rsid w:val="500FF1ED"/>
    <w:rsid w:val="5013C817"/>
    <w:rsid w:val="5018B5A1"/>
    <w:rsid w:val="501FBE0C"/>
    <w:rsid w:val="5020339A"/>
    <w:rsid w:val="502059BE"/>
    <w:rsid w:val="5020FEF1"/>
    <w:rsid w:val="502A9866"/>
    <w:rsid w:val="502D8B31"/>
    <w:rsid w:val="50312E5C"/>
    <w:rsid w:val="504322BA"/>
    <w:rsid w:val="50448FCD"/>
    <w:rsid w:val="504E08A4"/>
    <w:rsid w:val="50503C29"/>
    <w:rsid w:val="505A3E2F"/>
    <w:rsid w:val="505B9F1A"/>
    <w:rsid w:val="505E4393"/>
    <w:rsid w:val="5063E3E3"/>
    <w:rsid w:val="5071AFA7"/>
    <w:rsid w:val="50754209"/>
    <w:rsid w:val="50760B06"/>
    <w:rsid w:val="5081B31D"/>
    <w:rsid w:val="5091BD59"/>
    <w:rsid w:val="509355F2"/>
    <w:rsid w:val="509A0184"/>
    <w:rsid w:val="509F3A11"/>
    <w:rsid w:val="50B85495"/>
    <w:rsid w:val="50BBFE65"/>
    <w:rsid w:val="50C16D42"/>
    <w:rsid w:val="50C9C77F"/>
    <w:rsid w:val="50CF6D50"/>
    <w:rsid w:val="50D57C6B"/>
    <w:rsid w:val="50DE47B6"/>
    <w:rsid w:val="50E77B26"/>
    <w:rsid w:val="50EB77FC"/>
    <w:rsid w:val="50EE7AC1"/>
    <w:rsid w:val="50EF8303"/>
    <w:rsid w:val="50F2DF3A"/>
    <w:rsid w:val="50FE8B9E"/>
    <w:rsid w:val="50FF5238"/>
    <w:rsid w:val="51063ADE"/>
    <w:rsid w:val="5108A309"/>
    <w:rsid w:val="51140431"/>
    <w:rsid w:val="5117F474"/>
    <w:rsid w:val="511903C7"/>
    <w:rsid w:val="51221C3A"/>
    <w:rsid w:val="5126C82C"/>
    <w:rsid w:val="5131E455"/>
    <w:rsid w:val="51335B38"/>
    <w:rsid w:val="5137FB72"/>
    <w:rsid w:val="513D8C0E"/>
    <w:rsid w:val="513FF123"/>
    <w:rsid w:val="5144F2C5"/>
    <w:rsid w:val="5153434B"/>
    <w:rsid w:val="515B0194"/>
    <w:rsid w:val="51661719"/>
    <w:rsid w:val="51666332"/>
    <w:rsid w:val="5166F37E"/>
    <w:rsid w:val="5173A5C3"/>
    <w:rsid w:val="5178E9AC"/>
    <w:rsid w:val="517BD600"/>
    <w:rsid w:val="517E10B5"/>
    <w:rsid w:val="5187A710"/>
    <w:rsid w:val="518C3CED"/>
    <w:rsid w:val="518ECE28"/>
    <w:rsid w:val="5191500D"/>
    <w:rsid w:val="5199D2D6"/>
    <w:rsid w:val="519BFBE2"/>
    <w:rsid w:val="519F6BC2"/>
    <w:rsid w:val="51A4342A"/>
    <w:rsid w:val="51A511E0"/>
    <w:rsid w:val="51A87321"/>
    <w:rsid w:val="51B161CC"/>
    <w:rsid w:val="51B3D957"/>
    <w:rsid w:val="51BABF3C"/>
    <w:rsid w:val="51C334CB"/>
    <w:rsid w:val="51C50370"/>
    <w:rsid w:val="51D0B134"/>
    <w:rsid w:val="51D21E90"/>
    <w:rsid w:val="51DCB294"/>
    <w:rsid w:val="51E1C910"/>
    <w:rsid w:val="51E9DB4A"/>
    <w:rsid w:val="51F6576B"/>
    <w:rsid w:val="51FBF44D"/>
    <w:rsid w:val="5203EB11"/>
    <w:rsid w:val="52069DFC"/>
    <w:rsid w:val="5213214C"/>
    <w:rsid w:val="52146961"/>
    <w:rsid w:val="521BE5DF"/>
    <w:rsid w:val="521CAEA6"/>
    <w:rsid w:val="521EC599"/>
    <w:rsid w:val="52216FD3"/>
    <w:rsid w:val="522344FA"/>
    <w:rsid w:val="5227A106"/>
    <w:rsid w:val="522A7F08"/>
    <w:rsid w:val="522BB7E3"/>
    <w:rsid w:val="5237BBC5"/>
    <w:rsid w:val="5240556C"/>
    <w:rsid w:val="524155D5"/>
    <w:rsid w:val="5245D203"/>
    <w:rsid w:val="52493609"/>
    <w:rsid w:val="524D75BA"/>
    <w:rsid w:val="5251FFF8"/>
    <w:rsid w:val="5263ACC2"/>
    <w:rsid w:val="5268D72F"/>
    <w:rsid w:val="526937C5"/>
    <w:rsid w:val="526B98A0"/>
    <w:rsid w:val="527203A2"/>
    <w:rsid w:val="5282ACC6"/>
    <w:rsid w:val="5292BE7B"/>
    <w:rsid w:val="5292EBAE"/>
    <w:rsid w:val="5297ABAC"/>
    <w:rsid w:val="529B1668"/>
    <w:rsid w:val="52A5EEDB"/>
    <w:rsid w:val="52A72B92"/>
    <w:rsid w:val="52AB8E44"/>
    <w:rsid w:val="52ACFB3B"/>
    <w:rsid w:val="52AD5C2B"/>
    <w:rsid w:val="52AD6BC8"/>
    <w:rsid w:val="52B483A4"/>
    <w:rsid w:val="52B70463"/>
    <w:rsid w:val="52B7735F"/>
    <w:rsid w:val="52BE43C2"/>
    <w:rsid w:val="52C6F565"/>
    <w:rsid w:val="52C7DFB1"/>
    <w:rsid w:val="52CF585F"/>
    <w:rsid w:val="52E086B4"/>
    <w:rsid w:val="52E305AC"/>
    <w:rsid w:val="52EF7F58"/>
    <w:rsid w:val="52F566C4"/>
    <w:rsid w:val="52F95D23"/>
    <w:rsid w:val="52F9F90B"/>
    <w:rsid w:val="52FAF58D"/>
    <w:rsid w:val="52FB4E8E"/>
    <w:rsid w:val="53115C0E"/>
    <w:rsid w:val="53143D86"/>
    <w:rsid w:val="531A045D"/>
    <w:rsid w:val="531BE85B"/>
    <w:rsid w:val="531FE61A"/>
    <w:rsid w:val="53226932"/>
    <w:rsid w:val="53236227"/>
    <w:rsid w:val="532823D9"/>
    <w:rsid w:val="53284339"/>
    <w:rsid w:val="532A47F8"/>
    <w:rsid w:val="532BC0C3"/>
    <w:rsid w:val="532CB36D"/>
    <w:rsid w:val="532E888B"/>
    <w:rsid w:val="53338060"/>
    <w:rsid w:val="53351F81"/>
    <w:rsid w:val="5339921B"/>
    <w:rsid w:val="5339D7CA"/>
    <w:rsid w:val="53430451"/>
    <w:rsid w:val="5352E026"/>
    <w:rsid w:val="53550D32"/>
    <w:rsid w:val="535674A0"/>
    <w:rsid w:val="53677057"/>
    <w:rsid w:val="536E9A36"/>
    <w:rsid w:val="5372DAF5"/>
    <w:rsid w:val="53760382"/>
    <w:rsid w:val="537F0422"/>
    <w:rsid w:val="53850320"/>
    <w:rsid w:val="5385A966"/>
    <w:rsid w:val="5386AEA1"/>
    <w:rsid w:val="538D7AEC"/>
    <w:rsid w:val="5392900A"/>
    <w:rsid w:val="539E5FBF"/>
    <w:rsid w:val="53A357C7"/>
    <w:rsid w:val="53A71AD6"/>
    <w:rsid w:val="53B6B009"/>
    <w:rsid w:val="53BE03DB"/>
    <w:rsid w:val="53BF41BC"/>
    <w:rsid w:val="53C1DC16"/>
    <w:rsid w:val="53C3425A"/>
    <w:rsid w:val="53CA0F98"/>
    <w:rsid w:val="53DB99C6"/>
    <w:rsid w:val="53DC45B5"/>
    <w:rsid w:val="53DC7025"/>
    <w:rsid w:val="53E3A083"/>
    <w:rsid w:val="53E57BC7"/>
    <w:rsid w:val="53EDBBEF"/>
    <w:rsid w:val="54000ED8"/>
    <w:rsid w:val="5401275A"/>
    <w:rsid w:val="54157C2C"/>
    <w:rsid w:val="541C4B6A"/>
    <w:rsid w:val="54248D6D"/>
    <w:rsid w:val="54281780"/>
    <w:rsid w:val="542CCC85"/>
    <w:rsid w:val="5432DEA3"/>
    <w:rsid w:val="543DF401"/>
    <w:rsid w:val="5440E257"/>
    <w:rsid w:val="54470424"/>
    <w:rsid w:val="5448C679"/>
    <w:rsid w:val="544DDAE7"/>
    <w:rsid w:val="544E17EF"/>
    <w:rsid w:val="5464E54E"/>
    <w:rsid w:val="5468A676"/>
    <w:rsid w:val="546923B2"/>
    <w:rsid w:val="546B8A86"/>
    <w:rsid w:val="546F4B2A"/>
    <w:rsid w:val="5471D901"/>
    <w:rsid w:val="5472F9E3"/>
    <w:rsid w:val="547FBFD8"/>
    <w:rsid w:val="54823BCE"/>
    <w:rsid w:val="5488DD92"/>
    <w:rsid w:val="54892193"/>
    <w:rsid w:val="548DF166"/>
    <w:rsid w:val="54A284B4"/>
    <w:rsid w:val="54AB7795"/>
    <w:rsid w:val="54AE24CE"/>
    <w:rsid w:val="54B6E355"/>
    <w:rsid w:val="54B81493"/>
    <w:rsid w:val="54C25070"/>
    <w:rsid w:val="54C7177C"/>
    <w:rsid w:val="54CD8A25"/>
    <w:rsid w:val="54CF6AF1"/>
    <w:rsid w:val="54E34961"/>
    <w:rsid w:val="54E909D7"/>
    <w:rsid w:val="54E93ABD"/>
    <w:rsid w:val="54F18F7F"/>
    <w:rsid w:val="54F51602"/>
    <w:rsid w:val="54F5B81B"/>
    <w:rsid w:val="54F5D800"/>
    <w:rsid w:val="54F71702"/>
    <w:rsid w:val="54FFB745"/>
    <w:rsid w:val="55040C4B"/>
    <w:rsid w:val="550860D1"/>
    <w:rsid w:val="550A6A97"/>
    <w:rsid w:val="550AC265"/>
    <w:rsid w:val="5511DB73"/>
    <w:rsid w:val="5519E990"/>
    <w:rsid w:val="551AA625"/>
    <w:rsid w:val="551E77DE"/>
    <w:rsid w:val="551FFEDC"/>
    <w:rsid w:val="5528D743"/>
    <w:rsid w:val="552D2221"/>
    <w:rsid w:val="5535DF0C"/>
    <w:rsid w:val="5538F333"/>
    <w:rsid w:val="554DB5EC"/>
    <w:rsid w:val="554E12C4"/>
    <w:rsid w:val="554E9BC6"/>
    <w:rsid w:val="5550D877"/>
    <w:rsid w:val="5551FFCA"/>
    <w:rsid w:val="55581587"/>
    <w:rsid w:val="5560E972"/>
    <w:rsid w:val="556D7D85"/>
    <w:rsid w:val="5571AFD0"/>
    <w:rsid w:val="5572A09B"/>
    <w:rsid w:val="5581C383"/>
    <w:rsid w:val="55828BE1"/>
    <w:rsid w:val="5584ADCC"/>
    <w:rsid w:val="558D9F7D"/>
    <w:rsid w:val="5593C064"/>
    <w:rsid w:val="559EC1E4"/>
    <w:rsid w:val="55A18689"/>
    <w:rsid w:val="55A24A38"/>
    <w:rsid w:val="55A31B29"/>
    <w:rsid w:val="55A4FF09"/>
    <w:rsid w:val="55AD24ED"/>
    <w:rsid w:val="55B9761E"/>
    <w:rsid w:val="55BCE363"/>
    <w:rsid w:val="55C02A1B"/>
    <w:rsid w:val="55C55732"/>
    <w:rsid w:val="55C5E174"/>
    <w:rsid w:val="55C6623A"/>
    <w:rsid w:val="55C99021"/>
    <w:rsid w:val="55CD3A6E"/>
    <w:rsid w:val="55CF3264"/>
    <w:rsid w:val="55D3F53E"/>
    <w:rsid w:val="55D4A55E"/>
    <w:rsid w:val="55D5EBF5"/>
    <w:rsid w:val="55D7BB02"/>
    <w:rsid w:val="55DBC9BA"/>
    <w:rsid w:val="55E0CB4A"/>
    <w:rsid w:val="55E4C82A"/>
    <w:rsid w:val="55E7B84A"/>
    <w:rsid w:val="55E8B614"/>
    <w:rsid w:val="55EC725B"/>
    <w:rsid w:val="55F2098F"/>
    <w:rsid w:val="55F49947"/>
    <w:rsid w:val="55F4D734"/>
    <w:rsid w:val="55F6E1CE"/>
    <w:rsid w:val="56031D63"/>
    <w:rsid w:val="56095C11"/>
    <w:rsid w:val="560B320D"/>
    <w:rsid w:val="560CC319"/>
    <w:rsid w:val="5610D041"/>
    <w:rsid w:val="56146485"/>
    <w:rsid w:val="561824BA"/>
    <w:rsid w:val="5618A91C"/>
    <w:rsid w:val="5618B66A"/>
    <w:rsid w:val="561E5796"/>
    <w:rsid w:val="562BFEE4"/>
    <w:rsid w:val="562F6F26"/>
    <w:rsid w:val="5637976A"/>
    <w:rsid w:val="563FFC39"/>
    <w:rsid w:val="564ACE02"/>
    <w:rsid w:val="56587CA7"/>
    <w:rsid w:val="5658C31A"/>
    <w:rsid w:val="565BC5BA"/>
    <w:rsid w:val="565E79FE"/>
    <w:rsid w:val="56609DBE"/>
    <w:rsid w:val="566952D8"/>
    <w:rsid w:val="566B5900"/>
    <w:rsid w:val="56747B37"/>
    <w:rsid w:val="5677ADD5"/>
    <w:rsid w:val="5677D338"/>
    <w:rsid w:val="5677E678"/>
    <w:rsid w:val="5682E13F"/>
    <w:rsid w:val="5687818A"/>
    <w:rsid w:val="568B0FF5"/>
    <w:rsid w:val="568F1CAB"/>
    <w:rsid w:val="56904952"/>
    <w:rsid w:val="5697B33E"/>
    <w:rsid w:val="569866DB"/>
    <w:rsid w:val="56A4EE18"/>
    <w:rsid w:val="56A848F4"/>
    <w:rsid w:val="56A89117"/>
    <w:rsid w:val="56A99F8F"/>
    <w:rsid w:val="56AC4ED5"/>
    <w:rsid w:val="56ACA656"/>
    <w:rsid w:val="56B7C36E"/>
    <w:rsid w:val="56BF4271"/>
    <w:rsid w:val="56BFE926"/>
    <w:rsid w:val="56C25744"/>
    <w:rsid w:val="56C52EFC"/>
    <w:rsid w:val="56C5F945"/>
    <w:rsid w:val="56C782F4"/>
    <w:rsid w:val="56C8A022"/>
    <w:rsid w:val="56CCA074"/>
    <w:rsid w:val="56D52121"/>
    <w:rsid w:val="56D8A3FF"/>
    <w:rsid w:val="56DC0135"/>
    <w:rsid w:val="56DF1071"/>
    <w:rsid w:val="56E26961"/>
    <w:rsid w:val="56E4907D"/>
    <w:rsid w:val="56E9FA95"/>
    <w:rsid w:val="56F32410"/>
    <w:rsid w:val="56F81F17"/>
    <w:rsid w:val="56FAB4FD"/>
    <w:rsid w:val="56FDB421"/>
    <w:rsid w:val="570844CB"/>
    <w:rsid w:val="570C2179"/>
    <w:rsid w:val="570CADAA"/>
    <w:rsid w:val="5711020E"/>
    <w:rsid w:val="57151616"/>
    <w:rsid w:val="571AAFBD"/>
    <w:rsid w:val="5734390C"/>
    <w:rsid w:val="57398835"/>
    <w:rsid w:val="574BA4E3"/>
    <w:rsid w:val="5759C44F"/>
    <w:rsid w:val="57625027"/>
    <w:rsid w:val="5765831D"/>
    <w:rsid w:val="5768822C"/>
    <w:rsid w:val="577215C3"/>
    <w:rsid w:val="57748F14"/>
    <w:rsid w:val="5775DACD"/>
    <w:rsid w:val="5778EAAF"/>
    <w:rsid w:val="578241C0"/>
    <w:rsid w:val="57870383"/>
    <w:rsid w:val="5788B785"/>
    <w:rsid w:val="57943DA8"/>
    <w:rsid w:val="579931DC"/>
    <w:rsid w:val="57A2EB98"/>
    <w:rsid w:val="57A68787"/>
    <w:rsid w:val="57A78E36"/>
    <w:rsid w:val="57A9208D"/>
    <w:rsid w:val="57B7750E"/>
    <w:rsid w:val="57B8B8A3"/>
    <w:rsid w:val="57C143D3"/>
    <w:rsid w:val="57C2D196"/>
    <w:rsid w:val="57C41A81"/>
    <w:rsid w:val="57C6CEC3"/>
    <w:rsid w:val="57C98E37"/>
    <w:rsid w:val="57CEC093"/>
    <w:rsid w:val="57CFA0B9"/>
    <w:rsid w:val="57D457D0"/>
    <w:rsid w:val="57D74AD6"/>
    <w:rsid w:val="57E0D19A"/>
    <w:rsid w:val="57E6A201"/>
    <w:rsid w:val="57E745D5"/>
    <w:rsid w:val="57EA0284"/>
    <w:rsid w:val="57EE1D0A"/>
    <w:rsid w:val="57F417B0"/>
    <w:rsid w:val="57F525C6"/>
    <w:rsid w:val="57FD08A3"/>
    <w:rsid w:val="58002490"/>
    <w:rsid w:val="58195945"/>
    <w:rsid w:val="582D422F"/>
    <w:rsid w:val="5837B1B1"/>
    <w:rsid w:val="583AB941"/>
    <w:rsid w:val="583F19F7"/>
    <w:rsid w:val="58490D34"/>
    <w:rsid w:val="585C0018"/>
    <w:rsid w:val="5863331A"/>
    <w:rsid w:val="586F276F"/>
    <w:rsid w:val="5877AD21"/>
    <w:rsid w:val="588475A6"/>
    <w:rsid w:val="58855B9A"/>
    <w:rsid w:val="58980E3D"/>
    <w:rsid w:val="589CB101"/>
    <w:rsid w:val="589CD1DF"/>
    <w:rsid w:val="589E7F0B"/>
    <w:rsid w:val="58A0B2B1"/>
    <w:rsid w:val="58A61D1A"/>
    <w:rsid w:val="58AA6C21"/>
    <w:rsid w:val="58B3AD02"/>
    <w:rsid w:val="58B6FFFD"/>
    <w:rsid w:val="58BA3440"/>
    <w:rsid w:val="58C90E2A"/>
    <w:rsid w:val="58D1DCD7"/>
    <w:rsid w:val="58DF3928"/>
    <w:rsid w:val="58EA9F3B"/>
    <w:rsid w:val="58EAEC44"/>
    <w:rsid w:val="58ED82E6"/>
    <w:rsid w:val="58F05913"/>
    <w:rsid w:val="58FB0369"/>
    <w:rsid w:val="58FD58DB"/>
    <w:rsid w:val="58FE4621"/>
    <w:rsid w:val="5904FA3B"/>
    <w:rsid w:val="5905AC97"/>
    <w:rsid w:val="5906D882"/>
    <w:rsid w:val="590A1AB8"/>
    <w:rsid w:val="590BBB4E"/>
    <w:rsid w:val="590E6662"/>
    <w:rsid w:val="590FD7ED"/>
    <w:rsid w:val="59197DA8"/>
    <w:rsid w:val="591A3107"/>
    <w:rsid w:val="591B6A98"/>
    <w:rsid w:val="5922B6A7"/>
    <w:rsid w:val="59239821"/>
    <w:rsid w:val="59240302"/>
    <w:rsid w:val="59304E58"/>
    <w:rsid w:val="5930DFCC"/>
    <w:rsid w:val="593D71C7"/>
    <w:rsid w:val="5941E18D"/>
    <w:rsid w:val="59541757"/>
    <w:rsid w:val="59612C8A"/>
    <w:rsid w:val="596AC212"/>
    <w:rsid w:val="596F7CD9"/>
    <w:rsid w:val="5971CCC3"/>
    <w:rsid w:val="597E591D"/>
    <w:rsid w:val="597F93C5"/>
    <w:rsid w:val="5981BA11"/>
    <w:rsid w:val="5983FEEE"/>
    <w:rsid w:val="598F5D09"/>
    <w:rsid w:val="599D2A73"/>
    <w:rsid w:val="59A211F8"/>
    <w:rsid w:val="59A42C2F"/>
    <w:rsid w:val="59A7C9C5"/>
    <w:rsid w:val="59AF4C23"/>
    <w:rsid w:val="59B8A0CB"/>
    <w:rsid w:val="59BD235D"/>
    <w:rsid w:val="59BF5538"/>
    <w:rsid w:val="59C404DD"/>
    <w:rsid w:val="59C66707"/>
    <w:rsid w:val="59CCA37D"/>
    <w:rsid w:val="59CF6B8A"/>
    <w:rsid w:val="59CFA0E4"/>
    <w:rsid w:val="59D12894"/>
    <w:rsid w:val="59D7B83C"/>
    <w:rsid w:val="59D81985"/>
    <w:rsid w:val="59D8A758"/>
    <w:rsid w:val="59E2419C"/>
    <w:rsid w:val="59E595A6"/>
    <w:rsid w:val="59EBFB39"/>
    <w:rsid w:val="59EE691D"/>
    <w:rsid w:val="59F86DF9"/>
    <w:rsid w:val="59FD9F83"/>
    <w:rsid w:val="59FE16B8"/>
    <w:rsid w:val="5A248A28"/>
    <w:rsid w:val="5A2B0499"/>
    <w:rsid w:val="5A2B455E"/>
    <w:rsid w:val="5A325CD6"/>
    <w:rsid w:val="5A3EFA3E"/>
    <w:rsid w:val="5A417F4B"/>
    <w:rsid w:val="5A43FC9A"/>
    <w:rsid w:val="5A44B4D5"/>
    <w:rsid w:val="5A45DEA2"/>
    <w:rsid w:val="5A4845F9"/>
    <w:rsid w:val="5A48C56C"/>
    <w:rsid w:val="5A4F4F0B"/>
    <w:rsid w:val="5A518A97"/>
    <w:rsid w:val="5A5594F2"/>
    <w:rsid w:val="5A5F2F53"/>
    <w:rsid w:val="5A646288"/>
    <w:rsid w:val="5A81684E"/>
    <w:rsid w:val="5A861B30"/>
    <w:rsid w:val="5A965BA7"/>
    <w:rsid w:val="5A9DB066"/>
    <w:rsid w:val="5AACC13A"/>
    <w:rsid w:val="5AB3CC7F"/>
    <w:rsid w:val="5AB60168"/>
    <w:rsid w:val="5AB76531"/>
    <w:rsid w:val="5AB9551F"/>
    <w:rsid w:val="5ABA1D43"/>
    <w:rsid w:val="5ABA742C"/>
    <w:rsid w:val="5ABB260A"/>
    <w:rsid w:val="5ABC9C8B"/>
    <w:rsid w:val="5AC51B0A"/>
    <w:rsid w:val="5AD39779"/>
    <w:rsid w:val="5ADB876C"/>
    <w:rsid w:val="5AEF6AD5"/>
    <w:rsid w:val="5AFA1263"/>
    <w:rsid w:val="5B0722D6"/>
    <w:rsid w:val="5B0A192E"/>
    <w:rsid w:val="5B13195E"/>
    <w:rsid w:val="5B1551AF"/>
    <w:rsid w:val="5B176D91"/>
    <w:rsid w:val="5B20E140"/>
    <w:rsid w:val="5B2882B9"/>
    <w:rsid w:val="5B290793"/>
    <w:rsid w:val="5B31DB47"/>
    <w:rsid w:val="5B33730E"/>
    <w:rsid w:val="5B3DC532"/>
    <w:rsid w:val="5B4FE1D6"/>
    <w:rsid w:val="5B4FF92E"/>
    <w:rsid w:val="5B5C333E"/>
    <w:rsid w:val="5B62FB7F"/>
    <w:rsid w:val="5B65CBE9"/>
    <w:rsid w:val="5B665410"/>
    <w:rsid w:val="5B6A3D94"/>
    <w:rsid w:val="5B6B749A"/>
    <w:rsid w:val="5B74CF17"/>
    <w:rsid w:val="5B76D00E"/>
    <w:rsid w:val="5B7E555E"/>
    <w:rsid w:val="5B87EE6F"/>
    <w:rsid w:val="5B91C086"/>
    <w:rsid w:val="5B9729B4"/>
    <w:rsid w:val="5BA13249"/>
    <w:rsid w:val="5BB01932"/>
    <w:rsid w:val="5BB12BD8"/>
    <w:rsid w:val="5BB5D59E"/>
    <w:rsid w:val="5BBB482E"/>
    <w:rsid w:val="5BC566CC"/>
    <w:rsid w:val="5BC6AE99"/>
    <w:rsid w:val="5BCE0D11"/>
    <w:rsid w:val="5BD07FB0"/>
    <w:rsid w:val="5BD09027"/>
    <w:rsid w:val="5BD2BDDA"/>
    <w:rsid w:val="5BE20CE3"/>
    <w:rsid w:val="5BE9E3A8"/>
    <w:rsid w:val="5BEF1DF2"/>
    <w:rsid w:val="5BF55130"/>
    <w:rsid w:val="5BFA991F"/>
    <w:rsid w:val="5BFABE02"/>
    <w:rsid w:val="5BFE5D08"/>
    <w:rsid w:val="5C07AB11"/>
    <w:rsid w:val="5C0A8149"/>
    <w:rsid w:val="5C11A7F3"/>
    <w:rsid w:val="5C141E08"/>
    <w:rsid w:val="5C15F172"/>
    <w:rsid w:val="5C1ADACF"/>
    <w:rsid w:val="5C1C64A5"/>
    <w:rsid w:val="5C2382F1"/>
    <w:rsid w:val="5C2E0CF1"/>
    <w:rsid w:val="5C39A9DA"/>
    <w:rsid w:val="5C3FC88C"/>
    <w:rsid w:val="5C403159"/>
    <w:rsid w:val="5C48E35A"/>
    <w:rsid w:val="5C52B348"/>
    <w:rsid w:val="5C5AA8F8"/>
    <w:rsid w:val="5C5CF0F4"/>
    <w:rsid w:val="5C67B196"/>
    <w:rsid w:val="5C68D6A9"/>
    <w:rsid w:val="5C6F46C1"/>
    <w:rsid w:val="5C7709FE"/>
    <w:rsid w:val="5C77DF36"/>
    <w:rsid w:val="5C868E9D"/>
    <w:rsid w:val="5C8986F6"/>
    <w:rsid w:val="5C8CAB59"/>
    <w:rsid w:val="5C8CCE5B"/>
    <w:rsid w:val="5C8DB067"/>
    <w:rsid w:val="5C8FDCAB"/>
    <w:rsid w:val="5C923A7C"/>
    <w:rsid w:val="5C937117"/>
    <w:rsid w:val="5C94144E"/>
    <w:rsid w:val="5CA1B74E"/>
    <w:rsid w:val="5CAA6EFC"/>
    <w:rsid w:val="5CAC720B"/>
    <w:rsid w:val="5CB6496D"/>
    <w:rsid w:val="5CBCE8FF"/>
    <w:rsid w:val="5CBF305D"/>
    <w:rsid w:val="5CC38F09"/>
    <w:rsid w:val="5CC8E0DC"/>
    <w:rsid w:val="5CCF061F"/>
    <w:rsid w:val="5CD031C1"/>
    <w:rsid w:val="5CD7A146"/>
    <w:rsid w:val="5CDC6FD5"/>
    <w:rsid w:val="5CDDF44B"/>
    <w:rsid w:val="5CE0474F"/>
    <w:rsid w:val="5CE88A05"/>
    <w:rsid w:val="5CE8C08D"/>
    <w:rsid w:val="5CECDDD8"/>
    <w:rsid w:val="5CF643FF"/>
    <w:rsid w:val="5D1408CC"/>
    <w:rsid w:val="5D155852"/>
    <w:rsid w:val="5D176502"/>
    <w:rsid w:val="5D1F7BC9"/>
    <w:rsid w:val="5D22FF84"/>
    <w:rsid w:val="5D25F8DC"/>
    <w:rsid w:val="5D285730"/>
    <w:rsid w:val="5D2F918E"/>
    <w:rsid w:val="5D32B029"/>
    <w:rsid w:val="5D35537F"/>
    <w:rsid w:val="5D36AED6"/>
    <w:rsid w:val="5D37EDCA"/>
    <w:rsid w:val="5D3972B7"/>
    <w:rsid w:val="5D39D360"/>
    <w:rsid w:val="5D3C20A2"/>
    <w:rsid w:val="5D43E3DF"/>
    <w:rsid w:val="5D45E0EF"/>
    <w:rsid w:val="5D48B9EB"/>
    <w:rsid w:val="5D4A1351"/>
    <w:rsid w:val="5D4C3FCB"/>
    <w:rsid w:val="5D4C70D5"/>
    <w:rsid w:val="5D4E72D4"/>
    <w:rsid w:val="5D4FAC56"/>
    <w:rsid w:val="5D58143E"/>
    <w:rsid w:val="5D5BA642"/>
    <w:rsid w:val="5D6065E0"/>
    <w:rsid w:val="5D630626"/>
    <w:rsid w:val="5D6763FA"/>
    <w:rsid w:val="5D6A4783"/>
    <w:rsid w:val="5D6A60B9"/>
    <w:rsid w:val="5D6D826F"/>
    <w:rsid w:val="5D704100"/>
    <w:rsid w:val="5D77EA80"/>
    <w:rsid w:val="5D7BA9F8"/>
    <w:rsid w:val="5D8221B1"/>
    <w:rsid w:val="5D828098"/>
    <w:rsid w:val="5D84534E"/>
    <w:rsid w:val="5D872972"/>
    <w:rsid w:val="5D882908"/>
    <w:rsid w:val="5D8AEE53"/>
    <w:rsid w:val="5D8E34AF"/>
    <w:rsid w:val="5D952492"/>
    <w:rsid w:val="5DAA0DF4"/>
    <w:rsid w:val="5DB2C083"/>
    <w:rsid w:val="5DB509F2"/>
    <w:rsid w:val="5DB94720"/>
    <w:rsid w:val="5DBB9136"/>
    <w:rsid w:val="5DBF9C62"/>
    <w:rsid w:val="5DC1CAA9"/>
    <w:rsid w:val="5DC36DAA"/>
    <w:rsid w:val="5DD766A8"/>
    <w:rsid w:val="5DD8574D"/>
    <w:rsid w:val="5DDE3428"/>
    <w:rsid w:val="5DDEA5B3"/>
    <w:rsid w:val="5DDF15E3"/>
    <w:rsid w:val="5DE3E029"/>
    <w:rsid w:val="5DE61AF9"/>
    <w:rsid w:val="5DE90311"/>
    <w:rsid w:val="5DE93111"/>
    <w:rsid w:val="5DE9F592"/>
    <w:rsid w:val="5DF3D469"/>
    <w:rsid w:val="5DF6E4E9"/>
    <w:rsid w:val="5E022D80"/>
    <w:rsid w:val="5E044C3A"/>
    <w:rsid w:val="5E05BD1F"/>
    <w:rsid w:val="5E099602"/>
    <w:rsid w:val="5E15E94D"/>
    <w:rsid w:val="5E16878B"/>
    <w:rsid w:val="5E20578B"/>
    <w:rsid w:val="5E2123AA"/>
    <w:rsid w:val="5E25B853"/>
    <w:rsid w:val="5E2B4E8B"/>
    <w:rsid w:val="5E2F4178"/>
    <w:rsid w:val="5E330F5E"/>
    <w:rsid w:val="5E36D684"/>
    <w:rsid w:val="5E39F766"/>
    <w:rsid w:val="5E3EE213"/>
    <w:rsid w:val="5E3F1A17"/>
    <w:rsid w:val="5E454760"/>
    <w:rsid w:val="5E4CE777"/>
    <w:rsid w:val="5E4D7ABC"/>
    <w:rsid w:val="5E50888D"/>
    <w:rsid w:val="5E51D056"/>
    <w:rsid w:val="5E52C245"/>
    <w:rsid w:val="5E5384B5"/>
    <w:rsid w:val="5E5A942B"/>
    <w:rsid w:val="5E5AE1A1"/>
    <w:rsid w:val="5E5B3C60"/>
    <w:rsid w:val="5E5B6D89"/>
    <w:rsid w:val="5E5C5E1A"/>
    <w:rsid w:val="5E5EC1BA"/>
    <w:rsid w:val="5E5ECFF1"/>
    <w:rsid w:val="5E61C489"/>
    <w:rsid w:val="5E642871"/>
    <w:rsid w:val="5E67AAC0"/>
    <w:rsid w:val="5E67C5F0"/>
    <w:rsid w:val="5E68B50A"/>
    <w:rsid w:val="5E6C11E2"/>
    <w:rsid w:val="5E6FB344"/>
    <w:rsid w:val="5E803C42"/>
    <w:rsid w:val="5E8132E0"/>
    <w:rsid w:val="5E82E51D"/>
    <w:rsid w:val="5E906326"/>
    <w:rsid w:val="5E92D380"/>
    <w:rsid w:val="5E938A70"/>
    <w:rsid w:val="5E947E12"/>
    <w:rsid w:val="5E9FE317"/>
    <w:rsid w:val="5EA42DF9"/>
    <w:rsid w:val="5EA8E353"/>
    <w:rsid w:val="5EBF4FF9"/>
    <w:rsid w:val="5EC150D0"/>
    <w:rsid w:val="5ED5247C"/>
    <w:rsid w:val="5ED5E616"/>
    <w:rsid w:val="5ED83613"/>
    <w:rsid w:val="5EDA0B97"/>
    <w:rsid w:val="5EDFD01F"/>
    <w:rsid w:val="5EF0F866"/>
    <w:rsid w:val="5EF3C0C9"/>
    <w:rsid w:val="5EF7A888"/>
    <w:rsid w:val="5EFAD21C"/>
    <w:rsid w:val="5F0052E9"/>
    <w:rsid w:val="5F0952D0"/>
    <w:rsid w:val="5F09EDC6"/>
    <w:rsid w:val="5F110D7B"/>
    <w:rsid w:val="5F147584"/>
    <w:rsid w:val="5F164ED6"/>
    <w:rsid w:val="5F226E13"/>
    <w:rsid w:val="5F24DD51"/>
    <w:rsid w:val="5F27F48F"/>
    <w:rsid w:val="5F3E56C7"/>
    <w:rsid w:val="5F3EFA57"/>
    <w:rsid w:val="5F420515"/>
    <w:rsid w:val="5F439449"/>
    <w:rsid w:val="5F51E9D4"/>
    <w:rsid w:val="5F558BD3"/>
    <w:rsid w:val="5F596CFC"/>
    <w:rsid w:val="5F5DA23A"/>
    <w:rsid w:val="5F6237F0"/>
    <w:rsid w:val="5F6D573F"/>
    <w:rsid w:val="5F715DED"/>
    <w:rsid w:val="5F736F5D"/>
    <w:rsid w:val="5F73B5A3"/>
    <w:rsid w:val="5F76A810"/>
    <w:rsid w:val="5F79163C"/>
    <w:rsid w:val="5F7C56A4"/>
    <w:rsid w:val="5F7CDC4E"/>
    <w:rsid w:val="5F7D43F8"/>
    <w:rsid w:val="5F838E5F"/>
    <w:rsid w:val="5F88FA30"/>
    <w:rsid w:val="5F8D3CB9"/>
    <w:rsid w:val="5F8D8313"/>
    <w:rsid w:val="5F8E30F9"/>
    <w:rsid w:val="5F9142CE"/>
    <w:rsid w:val="5F955756"/>
    <w:rsid w:val="5FA2A83A"/>
    <w:rsid w:val="5FA480E4"/>
    <w:rsid w:val="5FB43A66"/>
    <w:rsid w:val="5FBC1359"/>
    <w:rsid w:val="5FC80F7F"/>
    <w:rsid w:val="5FD2A6E5"/>
    <w:rsid w:val="5FD42E82"/>
    <w:rsid w:val="5FD44E9A"/>
    <w:rsid w:val="5FD86D05"/>
    <w:rsid w:val="5FDC0E72"/>
    <w:rsid w:val="5FEABB44"/>
    <w:rsid w:val="5FEB5C0B"/>
    <w:rsid w:val="5FF150C6"/>
    <w:rsid w:val="5FF22AA2"/>
    <w:rsid w:val="5FF4483B"/>
    <w:rsid w:val="5FFDC7A2"/>
    <w:rsid w:val="60039235"/>
    <w:rsid w:val="6012B4FA"/>
    <w:rsid w:val="601683C8"/>
    <w:rsid w:val="6018890A"/>
    <w:rsid w:val="601D1756"/>
    <w:rsid w:val="601EB57E"/>
    <w:rsid w:val="60252355"/>
    <w:rsid w:val="6029E156"/>
    <w:rsid w:val="602B5823"/>
    <w:rsid w:val="602F4BB4"/>
    <w:rsid w:val="60331977"/>
    <w:rsid w:val="6040D90A"/>
    <w:rsid w:val="6040D9E8"/>
    <w:rsid w:val="60457D57"/>
    <w:rsid w:val="604A6EE0"/>
    <w:rsid w:val="6051F575"/>
    <w:rsid w:val="6054A48D"/>
    <w:rsid w:val="6060FC20"/>
    <w:rsid w:val="6065A7BC"/>
    <w:rsid w:val="606D8939"/>
    <w:rsid w:val="607E5A06"/>
    <w:rsid w:val="607F5617"/>
    <w:rsid w:val="60874D18"/>
    <w:rsid w:val="6092950D"/>
    <w:rsid w:val="60A4432F"/>
    <w:rsid w:val="60ABBB60"/>
    <w:rsid w:val="60B38FF0"/>
    <w:rsid w:val="60BA1D01"/>
    <w:rsid w:val="60C3F438"/>
    <w:rsid w:val="60C62A97"/>
    <w:rsid w:val="60CCBFF9"/>
    <w:rsid w:val="60CDC9A9"/>
    <w:rsid w:val="60D13C35"/>
    <w:rsid w:val="60DAC4F0"/>
    <w:rsid w:val="60DB119C"/>
    <w:rsid w:val="60F26C1B"/>
    <w:rsid w:val="60F6B10F"/>
    <w:rsid w:val="60FD79AE"/>
    <w:rsid w:val="610942F4"/>
    <w:rsid w:val="610F0640"/>
    <w:rsid w:val="6117FA26"/>
    <w:rsid w:val="612042CA"/>
    <w:rsid w:val="6120D127"/>
    <w:rsid w:val="61277F6A"/>
    <w:rsid w:val="61298603"/>
    <w:rsid w:val="612C0C70"/>
    <w:rsid w:val="61319E8E"/>
    <w:rsid w:val="6138442B"/>
    <w:rsid w:val="613BEE57"/>
    <w:rsid w:val="614DFBB1"/>
    <w:rsid w:val="6154FEC2"/>
    <w:rsid w:val="615B9492"/>
    <w:rsid w:val="615CB475"/>
    <w:rsid w:val="6162CE05"/>
    <w:rsid w:val="61648C6E"/>
    <w:rsid w:val="6166B26C"/>
    <w:rsid w:val="616BA088"/>
    <w:rsid w:val="616BA419"/>
    <w:rsid w:val="6175CEEB"/>
    <w:rsid w:val="6179AA89"/>
    <w:rsid w:val="617AD5FC"/>
    <w:rsid w:val="617E2EEA"/>
    <w:rsid w:val="617F6CA4"/>
    <w:rsid w:val="618C29C9"/>
    <w:rsid w:val="618D2033"/>
    <w:rsid w:val="618DA0B2"/>
    <w:rsid w:val="618F5700"/>
    <w:rsid w:val="6197823C"/>
    <w:rsid w:val="61A34879"/>
    <w:rsid w:val="61A4BA56"/>
    <w:rsid w:val="61A588E6"/>
    <w:rsid w:val="61A8D931"/>
    <w:rsid w:val="61AE5EC6"/>
    <w:rsid w:val="61B50B4F"/>
    <w:rsid w:val="61B530D6"/>
    <w:rsid w:val="61BA7E64"/>
    <w:rsid w:val="61BAACA7"/>
    <w:rsid w:val="61BE3CD1"/>
    <w:rsid w:val="61C62E88"/>
    <w:rsid w:val="61C826F6"/>
    <w:rsid w:val="61CCE254"/>
    <w:rsid w:val="61CFF1C8"/>
    <w:rsid w:val="61D0C25C"/>
    <w:rsid w:val="61E5D247"/>
    <w:rsid w:val="61FC4BE8"/>
    <w:rsid w:val="61FECF45"/>
    <w:rsid w:val="620464B8"/>
    <w:rsid w:val="6206E18F"/>
    <w:rsid w:val="6207618D"/>
    <w:rsid w:val="620BC8AC"/>
    <w:rsid w:val="620D1024"/>
    <w:rsid w:val="620DBA13"/>
    <w:rsid w:val="6222797D"/>
    <w:rsid w:val="6223C554"/>
    <w:rsid w:val="62247430"/>
    <w:rsid w:val="6229AFB9"/>
    <w:rsid w:val="62414CA9"/>
    <w:rsid w:val="62471E2E"/>
    <w:rsid w:val="6248D29B"/>
    <w:rsid w:val="624B8D5B"/>
    <w:rsid w:val="624BF5AF"/>
    <w:rsid w:val="624DE4F8"/>
    <w:rsid w:val="625AA52D"/>
    <w:rsid w:val="625B9552"/>
    <w:rsid w:val="62606059"/>
    <w:rsid w:val="62671F20"/>
    <w:rsid w:val="626B3997"/>
    <w:rsid w:val="626C7911"/>
    <w:rsid w:val="626D4453"/>
    <w:rsid w:val="627AC76E"/>
    <w:rsid w:val="627C3B7B"/>
    <w:rsid w:val="62882D31"/>
    <w:rsid w:val="628E26AC"/>
    <w:rsid w:val="6296F7CA"/>
    <w:rsid w:val="629F67CA"/>
    <w:rsid w:val="629FC238"/>
    <w:rsid w:val="62A290BF"/>
    <w:rsid w:val="62A2EA48"/>
    <w:rsid w:val="62A42799"/>
    <w:rsid w:val="62A835C4"/>
    <w:rsid w:val="62A89EF9"/>
    <w:rsid w:val="62A95EF6"/>
    <w:rsid w:val="62B4D2AC"/>
    <w:rsid w:val="62B86086"/>
    <w:rsid w:val="62BA57DB"/>
    <w:rsid w:val="62BC68EE"/>
    <w:rsid w:val="62BCB2F6"/>
    <w:rsid w:val="62BD5B1F"/>
    <w:rsid w:val="62BDA247"/>
    <w:rsid w:val="62D0CB0C"/>
    <w:rsid w:val="62D26BDF"/>
    <w:rsid w:val="62D34CF3"/>
    <w:rsid w:val="62DBF923"/>
    <w:rsid w:val="62E2D0C6"/>
    <w:rsid w:val="62ECA646"/>
    <w:rsid w:val="62F7465C"/>
    <w:rsid w:val="62F7EDA4"/>
    <w:rsid w:val="6300B8DA"/>
    <w:rsid w:val="630A8065"/>
    <w:rsid w:val="630AA021"/>
    <w:rsid w:val="630AB26A"/>
    <w:rsid w:val="630B46A5"/>
    <w:rsid w:val="6313890A"/>
    <w:rsid w:val="6313D97B"/>
    <w:rsid w:val="63238441"/>
    <w:rsid w:val="632AC79F"/>
    <w:rsid w:val="632BCDA9"/>
    <w:rsid w:val="632F2C6B"/>
    <w:rsid w:val="633307B0"/>
    <w:rsid w:val="63392444"/>
    <w:rsid w:val="6339C198"/>
    <w:rsid w:val="63413E4B"/>
    <w:rsid w:val="634297C9"/>
    <w:rsid w:val="6346D3B6"/>
    <w:rsid w:val="6359F625"/>
    <w:rsid w:val="6364617F"/>
    <w:rsid w:val="6373FE7F"/>
    <w:rsid w:val="637EB1B0"/>
    <w:rsid w:val="637F5AC3"/>
    <w:rsid w:val="638BF931"/>
    <w:rsid w:val="638EE659"/>
    <w:rsid w:val="638F4208"/>
    <w:rsid w:val="638FECE3"/>
    <w:rsid w:val="63946E03"/>
    <w:rsid w:val="639C19C3"/>
    <w:rsid w:val="63A3897E"/>
    <w:rsid w:val="63A82634"/>
    <w:rsid w:val="63AB031D"/>
    <w:rsid w:val="63ACA32E"/>
    <w:rsid w:val="63ADFE07"/>
    <w:rsid w:val="63AEF107"/>
    <w:rsid w:val="63B6C81C"/>
    <w:rsid w:val="63B8D299"/>
    <w:rsid w:val="63BA35B9"/>
    <w:rsid w:val="63C085A7"/>
    <w:rsid w:val="63C333AD"/>
    <w:rsid w:val="63C647BF"/>
    <w:rsid w:val="63C8B98C"/>
    <w:rsid w:val="63CBA284"/>
    <w:rsid w:val="63CBC0F9"/>
    <w:rsid w:val="63D04FD2"/>
    <w:rsid w:val="63D0942F"/>
    <w:rsid w:val="63D2E4A9"/>
    <w:rsid w:val="63D3C0B2"/>
    <w:rsid w:val="63D4CDA7"/>
    <w:rsid w:val="63E1D5C6"/>
    <w:rsid w:val="63EE9F48"/>
    <w:rsid w:val="63EF3C2C"/>
    <w:rsid w:val="63F645C0"/>
    <w:rsid w:val="63F9651A"/>
    <w:rsid w:val="63FAAAFC"/>
    <w:rsid w:val="63FC597F"/>
    <w:rsid w:val="63FE6314"/>
    <w:rsid w:val="640EA489"/>
    <w:rsid w:val="6410BCBF"/>
    <w:rsid w:val="641333C7"/>
    <w:rsid w:val="641390B2"/>
    <w:rsid w:val="6414F39F"/>
    <w:rsid w:val="641591E2"/>
    <w:rsid w:val="6420A841"/>
    <w:rsid w:val="64224776"/>
    <w:rsid w:val="642681BB"/>
    <w:rsid w:val="642D05D2"/>
    <w:rsid w:val="64341AE8"/>
    <w:rsid w:val="64360FA8"/>
    <w:rsid w:val="6438E71C"/>
    <w:rsid w:val="643904AF"/>
    <w:rsid w:val="643919F7"/>
    <w:rsid w:val="643A0433"/>
    <w:rsid w:val="643CF86D"/>
    <w:rsid w:val="6440E2AB"/>
    <w:rsid w:val="64440625"/>
    <w:rsid w:val="64504CC4"/>
    <w:rsid w:val="6450A30D"/>
    <w:rsid w:val="6450D5F1"/>
    <w:rsid w:val="6457812D"/>
    <w:rsid w:val="645A5AB6"/>
    <w:rsid w:val="645D5864"/>
    <w:rsid w:val="645F5896"/>
    <w:rsid w:val="64655904"/>
    <w:rsid w:val="6467343F"/>
    <w:rsid w:val="64689315"/>
    <w:rsid w:val="646B3115"/>
    <w:rsid w:val="646EE594"/>
    <w:rsid w:val="647F0A49"/>
    <w:rsid w:val="6482DA99"/>
    <w:rsid w:val="648F4DE6"/>
    <w:rsid w:val="6492BE95"/>
    <w:rsid w:val="649C095F"/>
    <w:rsid w:val="64A2D4FD"/>
    <w:rsid w:val="64AC32E5"/>
    <w:rsid w:val="64AFA9DC"/>
    <w:rsid w:val="64B38C6F"/>
    <w:rsid w:val="64B585AD"/>
    <w:rsid w:val="64BC7426"/>
    <w:rsid w:val="64BC8B04"/>
    <w:rsid w:val="64C8DB98"/>
    <w:rsid w:val="64D7AE4D"/>
    <w:rsid w:val="64D9AB5B"/>
    <w:rsid w:val="64DA439F"/>
    <w:rsid w:val="64DE2A12"/>
    <w:rsid w:val="64DEA798"/>
    <w:rsid w:val="64E2B52B"/>
    <w:rsid w:val="64E8E260"/>
    <w:rsid w:val="64EAC7D6"/>
    <w:rsid w:val="64EFE26F"/>
    <w:rsid w:val="64F1CE6D"/>
    <w:rsid w:val="64F2FBAB"/>
    <w:rsid w:val="64F5C686"/>
    <w:rsid w:val="64F6DB74"/>
    <w:rsid w:val="64FBC071"/>
    <w:rsid w:val="64FD4D3F"/>
    <w:rsid w:val="65001B1C"/>
    <w:rsid w:val="6505D47C"/>
    <w:rsid w:val="65144713"/>
    <w:rsid w:val="6522C6C9"/>
    <w:rsid w:val="652BE07E"/>
    <w:rsid w:val="65370AFA"/>
    <w:rsid w:val="65425E68"/>
    <w:rsid w:val="6548C60F"/>
    <w:rsid w:val="654EDC78"/>
    <w:rsid w:val="655027DF"/>
    <w:rsid w:val="65509B6A"/>
    <w:rsid w:val="655408BF"/>
    <w:rsid w:val="655A98BA"/>
    <w:rsid w:val="65614C5E"/>
    <w:rsid w:val="656BEE28"/>
    <w:rsid w:val="657A429D"/>
    <w:rsid w:val="657EBF1C"/>
    <w:rsid w:val="6586DC44"/>
    <w:rsid w:val="65882696"/>
    <w:rsid w:val="6591BB9F"/>
    <w:rsid w:val="65A41118"/>
    <w:rsid w:val="65ACD1A0"/>
    <w:rsid w:val="65AD8F93"/>
    <w:rsid w:val="65AE3613"/>
    <w:rsid w:val="65B29852"/>
    <w:rsid w:val="65BC2E5D"/>
    <w:rsid w:val="65C0AB95"/>
    <w:rsid w:val="65C3C23B"/>
    <w:rsid w:val="65C6D979"/>
    <w:rsid w:val="65CCD370"/>
    <w:rsid w:val="65D042B7"/>
    <w:rsid w:val="65D6842B"/>
    <w:rsid w:val="65DB5C0E"/>
    <w:rsid w:val="65E2E1F0"/>
    <w:rsid w:val="65EA7176"/>
    <w:rsid w:val="65EA9E67"/>
    <w:rsid w:val="65EF9DDB"/>
    <w:rsid w:val="65F242ED"/>
    <w:rsid w:val="65F4CA00"/>
    <w:rsid w:val="65F4E039"/>
    <w:rsid w:val="65FC6D09"/>
    <w:rsid w:val="6603902D"/>
    <w:rsid w:val="6609B570"/>
    <w:rsid w:val="660EF9DC"/>
    <w:rsid w:val="6617A1DB"/>
    <w:rsid w:val="6622F5AE"/>
    <w:rsid w:val="662BB8BD"/>
    <w:rsid w:val="662D8567"/>
    <w:rsid w:val="66304E59"/>
    <w:rsid w:val="6630B9CA"/>
    <w:rsid w:val="66333499"/>
    <w:rsid w:val="6633A0BF"/>
    <w:rsid w:val="66403508"/>
    <w:rsid w:val="6642AEFC"/>
    <w:rsid w:val="6645697A"/>
    <w:rsid w:val="664700A9"/>
    <w:rsid w:val="66489833"/>
    <w:rsid w:val="66498CAC"/>
    <w:rsid w:val="664B7A3D"/>
    <w:rsid w:val="664C0D89"/>
    <w:rsid w:val="664D9BB0"/>
    <w:rsid w:val="66524ED4"/>
    <w:rsid w:val="6656943B"/>
    <w:rsid w:val="66569AC5"/>
    <w:rsid w:val="665B9730"/>
    <w:rsid w:val="665F9AEC"/>
    <w:rsid w:val="666468AF"/>
    <w:rsid w:val="66685C01"/>
    <w:rsid w:val="666A84CA"/>
    <w:rsid w:val="666AF518"/>
    <w:rsid w:val="6677C68B"/>
    <w:rsid w:val="667B2A6F"/>
    <w:rsid w:val="667F8A70"/>
    <w:rsid w:val="66812BBA"/>
    <w:rsid w:val="6685B161"/>
    <w:rsid w:val="66869837"/>
    <w:rsid w:val="668B44CA"/>
    <w:rsid w:val="6690A506"/>
    <w:rsid w:val="6698BD9C"/>
    <w:rsid w:val="66A33D5E"/>
    <w:rsid w:val="66A43822"/>
    <w:rsid w:val="66A4E65B"/>
    <w:rsid w:val="66B3DF0A"/>
    <w:rsid w:val="66B4ED36"/>
    <w:rsid w:val="66B5CD64"/>
    <w:rsid w:val="66C28206"/>
    <w:rsid w:val="66C8D595"/>
    <w:rsid w:val="66CAF06B"/>
    <w:rsid w:val="66D2D7D8"/>
    <w:rsid w:val="66D5C80D"/>
    <w:rsid w:val="66D67EE4"/>
    <w:rsid w:val="66DFF5C0"/>
    <w:rsid w:val="66E021A1"/>
    <w:rsid w:val="66EE77C6"/>
    <w:rsid w:val="66EF171E"/>
    <w:rsid w:val="66F27763"/>
    <w:rsid w:val="66F78ABB"/>
    <w:rsid w:val="66FBF1E2"/>
    <w:rsid w:val="6705D15F"/>
    <w:rsid w:val="670B08C2"/>
    <w:rsid w:val="67175597"/>
    <w:rsid w:val="671F942D"/>
    <w:rsid w:val="67231E18"/>
    <w:rsid w:val="672755FE"/>
    <w:rsid w:val="6727C1D5"/>
    <w:rsid w:val="6728A8DA"/>
    <w:rsid w:val="672F4636"/>
    <w:rsid w:val="672FA000"/>
    <w:rsid w:val="6731CD8C"/>
    <w:rsid w:val="6735AA7A"/>
    <w:rsid w:val="6740356D"/>
    <w:rsid w:val="67485583"/>
    <w:rsid w:val="67488F83"/>
    <w:rsid w:val="674C077A"/>
    <w:rsid w:val="674E56D3"/>
    <w:rsid w:val="674E9F64"/>
    <w:rsid w:val="674EEA4B"/>
    <w:rsid w:val="6767F858"/>
    <w:rsid w:val="677102F9"/>
    <w:rsid w:val="67713014"/>
    <w:rsid w:val="6771800B"/>
    <w:rsid w:val="677413A2"/>
    <w:rsid w:val="677414F1"/>
    <w:rsid w:val="67765953"/>
    <w:rsid w:val="67768D70"/>
    <w:rsid w:val="6777883D"/>
    <w:rsid w:val="677DD549"/>
    <w:rsid w:val="6784B320"/>
    <w:rsid w:val="679416DC"/>
    <w:rsid w:val="67947148"/>
    <w:rsid w:val="67998375"/>
    <w:rsid w:val="679CFDE1"/>
    <w:rsid w:val="67A199FB"/>
    <w:rsid w:val="67A1F75C"/>
    <w:rsid w:val="67A4067A"/>
    <w:rsid w:val="67A8143B"/>
    <w:rsid w:val="67B46F2A"/>
    <w:rsid w:val="67B77945"/>
    <w:rsid w:val="67B96D1A"/>
    <w:rsid w:val="67C588A6"/>
    <w:rsid w:val="67C85EAA"/>
    <w:rsid w:val="67C90374"/>
    <w:rsid w:val="67D29854"/>
    <w:rsid w:val="67D37C22"/>
    <w:rsid w:val="67E3288D"/>
    <w:rsid w:val="67ED73F3"/>
    <w:rsid w:val="67F2D857"/>
    <w:rsid w:val="67F9032B"/>
    <w:rsid w:val="67FB1669"/>
    <w:rsid w:val="680DAF48"/>
    <w:rsid w:val="681135A1"/>
    <w:rsid w:val="681329C5"/>
    <w:rsid w:val="681613E1"/>
    <w:rsid w:val="6816BE70"/>
    <w:rsid w:val="68219E25"/>
    <w:rsid w:val="6831B4E9"/>
    <w:rsid w:val="6834377D"/>
    <w:rsid w:val="683458F2"/>
    <w:rsid w:val="6839BE0E"/>
    <w:rsid w:val="683B25B0"/>
    <w:rsid w:val="683C6008"/>
    <w:rsid w:val="68428436"/>
    <w:rsid w:val="68495004"/>
    <w:rsid w:val="68499A01"/>
    <w:rsid w:val="6849E65F"/>
    <w:rsid w:val="684CC3FF"/>
    <w:rsid w:val="68550317"/>
    <w:rsid w:val="68560BBC"/>
    <w:rsid w:val="68592C24"/>
    <w:rsid w:val="685C845F"/>
    <w:rsid w:val="685ED887"/>
    <w:rsid w:val="68679288"/>
    <w:rsid w:val="686FE0F3"/>
    <w:rsid w:val="68729804"/>
    <w:rsid w:val="688059F9"/>
    <w:rsid w:val="6883E90B"/>
    <w:rsid w:val="688A8581"/>
    <w:rsid w:val="68908BFE"/>
    <w:rsid w:val="689E4EB7"/>
    <w:rsid w:val="68ACEAE0"/>
    <w:rsid w:val="68B1904B"/>
    <w:rsid w:val="68C7108F"/>
    <w:rsid w:val="68CB495C"/>
    <w:rsid w:val="68DEF659"/>
    <w:rsid w:val="68E145BE"/>
    <w:rsid w:val="68E78D7E"/>
    <w:rsid w:val="68E7C8AB"/>
    <w:rsid w:val="68EFEBBD"/>
    <w:rsid w:val="68FEACF0"/>
    <w:rsid w:val="68FF666D"/>
    <w:rsid w:val="69009F48"/>
    <w:rsid w:val="69034BB6"/>
    <w:rsid w:val="6903779C"/>
    <w:rsid w:val="690792E2"/>
    <w:rsid w:val="6907C087"/>
    <w:rsid w:val="690BA058"/>
    <w:rsid w:val="690BA2DB"/>
    <w:rsid w:val="69308D8E"/>
    <w:rsid w:val="6931A69F"/>
    <w:rsid w:val="693728BB"/>
    <w:rsid w:val="6942D39D"/>
    <w:rsid w:val="6943F267"/>
    <w:rsid w:val="6944FB5F"/>
    <w:rsid w:val="6946348E"/>
    <w:rsid w:val="694D25A9"/>
    <w:rsid w:val="695231AA"/>
    <w:rsid w:val="6959D90F"/>
    <w:rsid w:val="69639BE5"/>
    <w:rsid w:val="6963F65E"/>
    <w:rsid w:val="696B3C0C"/>
    <w:rsid w:val="69709473"/>
    <w:rsid w:val="69793799"/>
    <w:rsid w:val="698308E0"/>
    <w:rsid w:val="698518DE"/>
    <w:rsid w:val="69859316"/>
    <w:rsid w:val="698B3F5A"/>
    <w:rsid w:val="698F48E2"/>
    <w:rsid w:val="6996B10B"/>
    <w:rsid w:val="699E6322"/>
    <w:rsid w:val="69A21E52"/>
    <w:rsid w:val="69AB8731"/>
    <w:rsid w:val="69B29326"/>
    <w:rsid w:val="69B58590"/>
    <w:rsid w:val="69B9EF6B"/>
    <w:rsid w:val="69BB18CB"/>
    <w:rsid w:val="69C18A02"/>
    <w:rsid w:val="69CBAE2E"/>
    <w:rsid w:val="69CE58FC"/>
    <w:rsid w:val="69D20386"/>
    <w:rsid w:val="69D60650"/>
    <w:rsid w:val="69D6E6AB"/>
    <w:rsid w:val="69DD1120"/>
    <w:rsid w:val="69DFCAC7"/>
    <w:rsid w:val="69E15D9C"/>
    <w:rsid w:val="69E3C0FC"/>
    <w:rsid w:val="69E7333E"/>
    <w:rsid w:val="69EBFCE1"/>
    <w:rsid w:val="69F25555"/>
    <w:rsid w:val="69F3D398"/>
    <w:rsid w:val="6A069F7F"/>
    <w:rsid w:val="6A078BF0"/>
    <w:rsid w:val="6A0E4E52"/>
    <w:rsid w:val="6A0E5176"/>
    <w:rsid w:val="6A10B43C"/>
    <w:rsid w:val="6A1C5223"/>
    <w:rsid w:val="6A223C2C"/>
    <w:rsid w:val="6A22DD64"/>
    <w:rsid w:val="6A2326A8"/>
    <w:rsid w:val="6A2E1A35"/>
    <w:rsid w:val="6A3188BE"/>
    <w:rsid w:val="6A3CCFD1"/>
    <w:rsid w:val="6A43F7C8"/>
    <w:rsid w:val="6A449760"/>
    <w:rsid w:val="6A482414"/>
    <w:rsid w:val="6A51AF1C"/>
    <w:rsid w:val="6A530425"/>
    <w:rsid w:val="6A5CC03D"/>
    <w:rsid w:val="6A5EE1EE"/>
    <w:rsid w:val="6A663286"/>
    <w:rsid w:val="6A678917"/>
    <w:rsid w:val="6A797014"/>
    <w:rsid w:val="6A7C0FC3"/>
    <w:rsid w:val="6A860144"/>
    <w:rsid w:val="6A89B605"/>
    <w:rsid w:val="6A8B077A"/>
    <w:rsid w:val="6A8CAADD"/>
    <w:rsid w:val="6A9347EF"/>
    <w:rsid w:val="6A964E04"/>
    <w:rsid w:val="6A9A49E8"/>
    <w:rsid w:val="6A9BE2F8"/>
    <w:rsid w:val="6A9BFA20"/>
    <w:rsid w:val="6AA2D5B3"/>
    <w:rsid w:val="6AA5A21D"/>
    <w:rsid w:val="6AAF7661"/>
    <w:rsid w:val="6AB4EB9A"/>
    <w:rsid w:val="6AB5BFEC"/>
    <w:rsid w:val="6AB5C248"/>
    <w:rsid w:val="6AB7FA64"/>
    <w:rsid w:val="6AB9777A"/>
    <w:rsid w:val="6ABC2E07"/>
    <w:rsid w:val="6AC0175F"/>
    <w:rsid w:val="6AC345A2"/>
    <w:rsid w:val="6AC48F1D"/>
    <w:rsid w:val="6AC7703B"/>
    <w:rsid w:val="6AC7C2BD"/>
    <w:rsid w:val="6AC8E64A"/>
    <w:rsid w:val="6ACB8C77"/>
    <w:rsid w:val="6AD1F56A"/>
    <w:rsid w:val="6AD88861"/>
    <w:rsid w:val="6ADC109C"/>
    <w:rsid w:val="6ADD67D7"/>
    <w:rsid w:val="6AE38355"/>
    <w:rsid w:val="6AE75FE6"/>
    <w:rsid w:val="6AE81274"/>
    <w:rsid w:val="6AE83BE1"/>
    <w:rsid w:val="6AECCB4C"/>
    <w:rsid w:val="6AF3F920"/>
    <w:rsid w:val="6AF4B15B"/>
    <w:rsid w:val="6AF4E5C1"/>
    <w:rsid w:val="6AF53F1C"/>
    <w:rsid w:val="6AF86B0D"/>
    <w:rsid w:val="6AFC9B61"/>
    <w:rsid w:val="6B05453F"/>
    <w:rsid w:val="6B134E4B"/>
    <w:rsid w:val="6B20636F"/>
    <w:rsid w:val="6B22C120"/>
    <w:rsid w:val="6B22C8CA"/>
    <w:rsid w:val="6B24385E"/>
    <w:rsid w:val="6B2B1395"/>
    <w:rsid w:val="6B33422D"/>
    <w:rsid w:val="6B3AB3FD"/>
    <w:rsid w:val="6B3CC3D4"/>
    <w:rsid w:val="6B40BECC"/>
    <w:rsid w:val="6B457EC5"/>
    <w:rsid w:val="6B46210C"/>
    <w:rsid w:val="6B4DE91C"/>
    <w:rsid w:val="6B540DE8"/>
    <w:rsid w:val="6B5876B5"/>
    <w:rsid w:val="6B64ECFC"/>
    <w:rsid w:val="6B675455"/>
    <w:rsid w:val="6B695301"/>
    <w:rsid w:val="6B6DB746"/>
    <w:rsid w:val="6B726FD7"/>
    <w:rsid w:val="6B74C70D"/>
    <w:rsid w:val="6B75F908"/>
    <w:rsid w:val="6B9DCDE6"/>
    <w:rsid w:val="6BA04CA1"/>
    <w:rsid w:val="6BA3DE74"/>
    <w:rsid w:val="6BABFC13"/>
    <w:rsid w:val="6BAC8A4B"/>
    <w:rsid w:val="6BAFF3F3"/>
    <w:rsid w:val="6BB303DC"/>
    <w:rsid w:val="6BB80B80"/>
    <w:rsid w:val="6BB8157C"/>
    <w:rsid w:val="6BC32962"/>
    <w:rsid w:val="6BC47DA1"/>
    <w:rsid w:val="6BC51043"/>
    <w:rsid w:val="6BC51EE3"/>
    <w:rsid w:val="6BD11EB4"/>
    <w:rsid w:val="6BDAEC43"/>
    <w:rsid w:val="6BEC0767"/>
    <w:rsid w:val="6BED1C46"/>
    <w:rsid w:val="6BF0368B"/>
    <w:rsid w:val="6BF2D177"/>
    <w:rsid w:val="6BF906C4"/>
    <w:rsid w:val="6BFDBB8E"/>
    <w:rsid w:val="6C052269"/>
    <w:rsid w:val="6C0E55D7"/>
    <w:rsid w:val="6C110993"/>
    <w:rsid w:val="6C113D1E"/>
    <w:rsid w:val="6C148817"/>
    <w:rsid w:val="6C1708C6"/>
    <w:rsid w:val="6C1ABEE1"/>
    <w:rsid w:val="6C1B8564"/>
    <w:rsid w:val="6C1CE6EF"/>
    <w:rsid w:val="6C224542"/>
    <w:rsid w:val="6C232E52"/>
    <w:rsid w:val="6C23BB4B"/>
    <w:rsid w:val="6C23FBBE"/>
    <w:rsid w:val="6C2408BA"/>
    <w:rsid w:val="6C2A7913"/>
    <w:rsid w:val="6C359F2F"/>
    <w:rsid w:val="6C369196"/>
    <w:rsid w:val="6C469A26"/>
    <w:rsid w:val="6C4A3133"/>
    <w:rsid w:val="6C4F7499"/>
    <w:rsid w:val="6C54A227"/>
    <w:rsid w:val="6C573E80"/>
    <w:rsid w:val="6C59A752"/>
    <w:rsid w:val="6C5EDA18"/>
    <w:rsid w:val="6C6368E3"/>
    <w:rsid w:val="6C67F9E2"/>
    <w:rsid w:val="6C68EEA7"/>
    <w:rsid w:val="6C6EF39A"/>
    <w:rsid w:val="6C78E6C1"/>
    <w:rsid w:val="6C7CFD93"/>
    <w:rsid w:val="6C84F6B2"/>
    <w:rsid w:val="6C860E57"/>
    <w:rsid w:val="6C92441B"/>
    <w:rsid w:val="6C93051A"/>
    <w:rsid w:val="6C95691D"/>
    <w:rsid w:val="6C9A234C"/>
    <w:rsid w:val="6CA2B037"/>
    <w:rsid w:val="6CA5E2BD"/>
    <w:rsid w:val="6CA7D47F"/>
    <w:rsid w:val="6CB10CDA"/>
    <w:rsid w:val="6CB21C6D"/>
    <w:rsid w:val="6CB7765E"/>
    <w:rsid w:val="6CB87795"/>
    <w:rsid w:val="6CBB20AE"/>
    <w:rsid w:val="6CBD04A0"/>
    <w:rsid w:val="6CC51565"/>
    <w:rsid w:val="6CC65824"/>
    <w:rsid w:val="6CC80BB5"/>
    <w:rsid w:val="6CD1B2EE"/>
    <w:rsid w:val="6CD49CB3"/>
    <w:rsid w:val="6CD8C873"/>
    <w:rsid w:val="6CD99712"/>
    <w:rsid w:val="6CDDEAA9"/>
    <w:rsid w:val="6CE07F6D"/>
    <w:rsid w:val="6CE1DADE"/>
    <w:rsid w:val="6CEA86BE"/>
    <w:rsid w:val="6CECA62A"/>
    <w:rsid w:val="6CED54EA"/>
    <w:rsid w:val="6CEFC515"/>
    <w:rsid w:val="6CFC98A1"/>
    <w:rsid w:val="6D03482A"/>
    <w:rsid w:val="6D1098DB"/>
    <w:rsid w:val="6D1571E4"/>
    <w:rsid w:val="6D15D205"/>
    <w:rsid w:val="6D16459F"/>
    <w:rsid w:val="6D1A656F"/>
    <w:rsid w:val="6D1AD7C4"/>
    <w:rsid w:val="6D1EDCF5"/>
    <w:rsid w:val="6D1F611F"/>
    <w:rsid w:val="6D21D64B"/>
    <w:rsid w:val="6D2CA969"/>
    <w:rsid w:val="6D31EB7B"/>
    <w:rsid w:val="6D3DE772"/>
    <w:rsid w:val="6D40B491"/>
    <w:rsid w:val="6D42DAFD"/>
    <w:rsid w:val="6D51FB02"/>
    <w:rsid w:val="6D55FF1A"/>
    <w:rsid w:val="6D64B44A"/>
    <w:rsid w:val="6D64FB45"/>
    <w:rsid w:val="6D66CC3F"/>
    <w:rsid w:val="6D6834C4"/>
    <w:rsid w:val="6D705F5A"/>
    <w:rsid w:val="6D726FD4"/>
    <w:rsid w:val="6D7555ED"/>
    <w:rsid w:val="6D848D79"/>
    <w:rsid w:val="6D85BBE6"/>
    <w:rsid w:val="6D885EB3"/>
    <w:rsid w:val="6D8BB7FD"/>
    <w:rsid w:val="6D9339C8"/>
    <w:rsid w:val="6DA4641D"/>
    <w:rsid w:val="6DA4BB08"/>
    <w:rsid w:val="6DA64D09"/>
    <w:rsid w:val="6DA79BEA"/>
    <w:rsid w:val="6DB10458"/>
    <w:rsid w:val="6DB224D7"/>
    <w:rsid w:val="6DBD5177"/>
    <w:rsid w:val="6DBDA67D"/>
    <w:rsid w:val="6DBF1E39"/>
    <w:rsid w:val="6DBF41A3"/>
    <w:rsid w:val="6DC1B699"/>
    <w:rsid w:val="6DC2C525"/>
    <w:rsid w:val="6DC62FF5"/>
    <w:rsid w:val="6DCD0D35"/>
    <w:rsid w:val="6DD121F4"/>
    <w:rsid w:val="6DD672C9"/>
    <w:rsid w:val="6DE22AAE"/>
    <w:rsid w:val="6DE4F024"/>
    <w:rsid w:val="6DF488F1"/>
    <w:rsid w:val="6DF754D0"/>
    <w:rsid w:val="6DFCB065"/>
    <w:rsid w:val="6E006E0D"/>
    <w:rsid w:val="6E06D005"/>
    <w:rsid w:val="6E094B47"/>
    <w:rsid w:val="6E09B7D0"/>
    <w:rsid w:val="6E0B4B13"/>
    <w:rsid w:val="6E0FC9A5"/>
    <w:rsid w:val="6E10DB7F"/>
    <w:rsid w:val="6E141FC3"/>
    <w:rsid w:val="6E1629F6"/>
    <w:rsid w:val="6E1B13B3"/>
    <w:rsid w:val="6E239161"/>
    <w:rsid w:val="6E23FC14"/>
    <w:rsid w:val="6E264DFC"/>
    <w:rsid w:val="6E2CB29D"/>
    <w:rsid w:val="6E34B762"/>
    <w:rsid w:val="6E36D03F"/>
    <w:rsid w:val="6E4462AE"/>
    <w:rsid w:val="6E49CF2D"/>
    <w:rsid w:val="6E4DC5B2"/>
    <w:rsid w:val="6E5318AA"/>
    <w:rsid w:val="6E562DE0"/>
    <w:rsid w:val="6E5965E6"/>
    <w:rsid w:val="6E64D49E"/>
    <w:rsid w:val="6E688C5D"/>
    <w:rsid w:val="6E6DE75C"/>
    <w:rsid w:val="6E6F23C4"/>
    <w:rsid w:val="6E74FDCA"/>
    <w:rsid w:val="6E789FDA"/>
    <w:rsid w:val="6E7F444F"/>
    <w:rsid w:val="6E896BA5"/>
    <w:rsid w:val="6E89D3A8"/>
    <w:rsid w:val="6E8D290D"/>
    <w:rsid w:val="6E9CA8CC"/>
    <w:rsid w:val="6E9FDC19"/>
    <w:rsid w:val="6EB67C6E"/>
    <w:rsid w:val="6EB9A202"/>
    <w:rsid w:val="6EBE76D1"/>
    <w:rsid w:val="6EBF24DD"/>
    <w:rsid w:val="6EC6B18A"/>
    <w:rsid w:val="6EC747BC"/>
    <w:rsid w:val="6ECA485F"/>
    <w:rsid w:val="6ECBBDB9"/>
    <w:rsid w:val="6ECFAC0D"/>
    <w:rsid w:val="6ED12FC2"/>
    <w:rsid w:val="6ED15F2B"/>
    <w:rsid w:val="6ED1B754"/>
    <w:rsid w:val="6ED27FE0"/>
    <w:rsid w:val="6EDACA5D"/>
    <w:rsid w:val="6EDE88C3"/>
    <w:rsid w:val="6EDED30E"/>
    <w:rsid w:val="6EE17B74"/>
    <w:rsid w:val="6EE43717"/>
    <w:rsid w:val="6EE58A9E"/>
    <w:rsid w:val="6EE5ECBD"/>
    <w:rsid w:val="6EEDA41B"/>
    <w:rsid w:val="6EF5F821"/>
    <w:rsid w:val="6EFBAAC0"/>
    <w:rsid w:val="6EFC78CD"/>
    <w:rsid w:val="6F019AD5"/>
    <w:rsid w:val="6F01CED6"/>
    <w:rsid w:val="6F03EE24"/>
    <w:rsid w:val="6F0684D1"/>
    <w:rsid w:val="6F08ED17"/>
    <w:rsid w:val="6F0ABE9C"/>
    <w:rsid w:val="6F0FEE24"/>
    <w:rsid w:val="6F1FDDE5"/>
    <w:rsid w:val="6F21672D"/>
    <w:rsid w:val="6F2597D0"/>
    <w:rsid w:val="6F292C29"/>
    <w:rsid w:val="6F2DF3A5"/>
    <w:rsid w:val="6F307928"/>
    <w:rsid w:val="6F3B99E2"/>
    <w:rsid w:val="6F40BD41"/>
    <w:rsid w:val="6F4C5D22"/>
    <w:rsid w:val="6F54E90F"/>
    <w:rsid w:val="6F551859"/>
    <w:rsid w:val="6F56688D"/>
    <w:rsid w:val="6F586C8B"/>
    <w:rsid w:val="6F5CDC76"/>
    <w:rsid w:val="6F6405A0"/>
    <w:rsid w:val="6F650094"/>
    <w:rsid w:val="6F686076"/>
    <w:rsid w:val="6F69BF27"/>
    <w:rsid w:val="6F6F191C"/>
    <w:rsid w:val="6F7026FC"/>
    <w:rsid w:val="6F721B25"/>
    <w:rsid w:val="6F740013"/>
    <w:rsid w:val="6F74AD0A"/>
    <w:rsid w:val="6F75B6A2"/>
    <w:rsid w:val="6F7604FB"/>
    <w:rsid w:val="6F89297E"/>
    <w:rsid w:val="6F914D89"/>
    <w:rsid w:val="6F942046"/>
    <w:rsid w:val="6F99F60C"/>
    <w:rsid w:val="6F9B433A"/>
    <w:rsid w:val="6F9C0C88"/>
    <w:rsid w:val="6FA0FB5A"/>
    <w:rsid w:val="6FA5E334"/>
    <w:rsid w:val="6FAD33FF"/>
    <w:rsid w:val="6FB44AB1"/>
    <w:rsid w:val="6FB6D834"/>
    <w:rsid w:val="6FB6E172"/>
    <w:rsid w:val="6FCCECCD"/>
    <w:rsid w:val="6FCE7434"/>
    <w:rsid w:val="6FD0A04C"/>
    <w:rsid w:val="6FD7C959"/>
    <w:rsid w:val="6FD9B04D"/>
    <w:rsid w:val="6FDCB517"/>
    <w:rsid w:val="6FDE1F06"/>
    <w:rsid w:val="6FDFB757"/>
    <w:rsid w:val="6FE06C15"/>
    <w:rsid w:val="6FE40286"/>
    <w:rsid w:val="6FE77BB1"/>
    <w:rsid w:val="6FE85873"/>
    <w:rsid w:val="6FE92329"/>
    <w:rsid w:val="6FF11149"/>
    <w:rsid w:val="6FF9A1BF"/>
    <w:rsid w:val="6FFDDC4C"/>
    <w:rsid w:val="6FFE7EEF"/>
    <w:rsid w:val="6FFFF05E"/>
    <w:rsid w:val="7003490E"/>
    <w:rsid w:val="7009E39B"/>
    <w:rsid w:val="700A697A"/>
    <w:rsid w:val="700BC12B"/>
    <w:rsid w:val="700D6513"/>
    <w:rsid w:val="700DB829"/>
    <w:rsid w:val="70110EB4"/>
    <w:rsid w:val="70173C56"/>
    <w:rsid w:val="70189CA2"/>
    <w:rsid w:val="7024EB00"/>
    <w:rsid w:val="7027AC8E"/>
    <w:rsid w:val="702D15CE"/>
    <w:rsid w:val="702D7A7D"/>
    <w:rsid w:val="70331C9E"/>
    <w:rsid w:val="703A5604"/>
    <w:rsid w:val="703CAFDF"/>
    <w:rsid w:val="704AC545"/>
    <w:rsid w:val="70574077"/>
    <w:rsid w:val="705ED4A3"/>
    <w:rsid w:val="7060B193"/>
    <w:rsid w:val="7067C178"/>
    <w:rsid w:val="706924C8"/>
    <w:rsid w:val="706E9E0A"/>
    <w:rsid w:val="70708251"/>
    <w:rsid w:val="70765D15"/>
    <w:rsid w:val="707A3E3D"/>
    <w:rsid w:val="707E62F7"/>
    <w:rsid w:val="707FF5C0"/>
    <w:rsid w:val="7082E06E"/>
    <w:rsid w:val="70968C9B"/>
    <w:rsid w:val="709E2F9E"/>
    <w:rsid w:val="70A590C7"/>
    <w:rsid w:val="70A7C843"/>
    <w:rsid w:val="70B24714"/>
    <w:rsid w:val="70B41004"/>
    <w:rsid w:val="70B7AF50"/>
    <w:rsid w:val="70B8917D"/>
    <w:rsid w:val="70BE30A7"/>
    <w:rsid w:val="70BE3A1C"/>
    <w:rsid w:val="70C529A0"/>
    <w:rsid w:val="70CE2AAF"/>
    <w:rsid w:val="70DE83AC"/>
    <w:rsid w:val="70E120B7"/>
    <w:rsid w:val="70E510C3"/>
    <w:rsid w:val="70E51996"/>
    <w:rsid w:val="70E524AC"/>
    <w:rsid w:val="70EEA177"/>
    <w:rsid w:val="70F3FA7D"/>
    <w:rsid w:val="70F550E6"/>
    <w:rsid w:val="70F8B6CF"/>
    <w:rsid w:val="70FAC486"/>
    <w:rsid w:val="70FC03DA"/>
    <w:rsid w:val="70FF0DE8"/>
    <w:rsid w:val="710197CE"/>
    <w:rsid w:val="71028123"/>
    <w:rsid w:val="7108AD0E"/>
    <w:rsid w:val="710C4C41"/>
    <w:rsid w:val="710D30E5"/>
    <w:rsid w:val="7115E770"/>
    <w:rsid w:val="71195853"/>
    <w:rsid w:val="711D3AD7"/>
    <w:rsid w:val="71262C34"/>
    <w:rsid w:val="71273240"/>
    <w:rsid w:val="712AB3C8"/>
    <w:rsid w:val="712D510E"/>
    <w:rsid w:val="7133182F"/>
    <w:rsid w:val="71359A30"/>
    <w:rsid w:val="71369BAD"/>
    <w:rsid w:val="71374F8B"/>
    <w:rsid w:val="7137DCE9"/>
    <w:rsid w:val="713B6B05"/>
    <w:rsid w:val="714CB20C"/>
    <w:rsid w:val="714D95E4"/>
    <w:rsid w:val="7152D90E"/>
    <w:rsid w:val="71545408"/>
    <w:rsid w:val="7154AFFC"/>
    <w:rsid w:val="715662F2"/>
    <w:rsid w:val="7159ABC9"/>
    <w:rsid w:val="715EDB86"/>
    <w:rsid w:val="7168B57D"/>
    <w:rsid w:val="716A2008"/>
    <w:rsid w:val="717155ED"/>
    <w:rsid w:val="717635AE"/>
    <w:rsid w:val="718D3F5C"/>
    <w:rsid w:val="718D9F11"/>
    <w:rsid w:val="718F3B97"/>
    <w:rsid w:val="719037B6"/>
    <w:rsid w:val="719679D2"/>
    <w:rsid w:val="719CAD30"/>
    <w:rsid w:val="71A97F13"/>
    <w:rsid w:val="71AF09EE"/>
    <w:rsid w:val="71B0E95A"/>
    <w:rsid w:val="71BBC6E0"/>
    <w:rsid w:val="71C33638"/>
    <w:rsid w:val="71C6A8C3"/>
    <w:rsid w:val="71D0FA19"/>
    <w:rsid w:val="71D4498E"/>
    <w:rsid w:val="71D527FE"/>
    <w:rsid w:val="71D8AD5A"/>
    <w:rsid w:val="71E20472"/>
    <w:rsid w:val="71E636AB"/>
    <w:rsid w:val="71F0ADDC"/>
    <w:rsid w:val="71F4F30C"/>
    <w:rsid w:val="71F8E9CC"/>
    <w:rsid w:val="71FAA58D"/>
    <w:rsid w:val="71FC630B"/>
    <w:rsid w:val="71FCE6E0"/>
    <w:rsid w:val="71FE0939"/>
    <w:rsid w:val="720AEA61"/>
    <w:rsid w:val="72130833"/>
    <w:rsid w:val="7219D055"/>
    <w:rsid w:val="7219E9AB"/>
    <w:rsid w:val="721D0EE5"/>
    <w:rsid w:val="72212663"/>
    <w:rsid w:val="722145D3"/>
    <w:rsid w:val="7223A8B0"/>
    <w:rsid w:val="72279DEE"/>
    <w:rsid w:val="722F7973"/>
    <w:rsid w:val="7231B9BE"/>
    <w:rsid w:val="72365B47"/>
    <w:rsid w:val="7237B427"/>
    <w:rsid w:val="723BBE34"/>
    <w:rsid w:val="7242DADA"/>
    <w:rsid w:val="7243F9E4"/>
    <w:rsid w:val="72455662"/>
    <w:rsid w:val="7248E534"/>
    <w:rsid w:val="7256DEF8"/>
    <w:rsid w:val="7257F743"/>
    <w:rsid w:val="725F35A6"/>
    <w:rsid w:val="726E5D8C"/>
    <w:rsid w:val="72713878"/>
    <w:rsid w:val="727C8DC3"/>
    <w:rsid w:val="72839765"/>
    <w:rsid w:val="7287865D"/>
    <w:rsid w:val="728C8838"/>
    <w:rsid w:val="728F7EEB"/>
    <w:rsid w:val="7291B77A"/>
    <w:rsid w:val="7293E25E"/>
    <w:rsid w:val="7297D41D"/>
    <w:rsid w:val="72981143"/>
    <w:rsid w:val="7299FF59"/>
    <w:rsid w:val="72A23054"/>
    <w:rsid w:val="72A7C53F"/>
    <w:rsid w:val="72A8DF79"/>
    <w:rsid w:val="72A91B94"/>
    <w:rsid w:val="72B12E50"/>
    <w:rsid w:val="72B5D27D"/>
    <w:rsid w:val="72B6B345"/>
    <w:rsid w:val="72B848E3"/>
    <w:rsid w:val="72B8A9F1"/>
    <w:rsid w:val="72B9A386"/>
    <w:rsid w:val="72BC1552"/>
    <w:rsid w:val="72CC9868"/>
    <w:rsid w:val="72DEF00D"/>
    <w:rsid w:val="72E164DC"/>
    <w:rsid w:val="72EA3737"/>
    <w:rsid w:val="72ECC80C"/>
    <w:rsid w:val="72ED4A7C"/>
    <w:rsid w:val="72F760E4"/>
    <w:rsid w:val="72F96417"/>
    <w:rsid w:val="7304A15F"/>
    <w:rsid w:val="730927FD"/>
    <w:rsid w:val="730BA8EB"/>
    <w:rsid w:val="730BB61B"/>
    <w:rsid w:val="731088A0"/>
    <w:rsid w:val="7319534D"/>
    <w:rsid w:val="73217E9B"/>
    <w:rsid w:val="732534EE"/>
    <w:rsid w:val="732A898D"/>
    <w:rsid w:val="73362CED"/>
    <w:rsid w:val="73388E4E"/>
    <w:rsid w:val="733A37CC"/>
    <w:rsid w:val="73420A3C"/>
    <w:rsid w:val="7342CC2D"/>
    <w:rsid w:val="7343590E"/>
    <w:rsid w:val="7346AD76"/>
    <w:rsid w:val="73474CB5"/>
    <w:rsid w:val="7349119D"/>
    <w:rsid w:val="734B5B36"/>
    <w:rsid w:val="734BDC69"/>
    <w:rsid w:val="735FACD0"/>
    <w:rsid w:val="7373D504"/>
    <w:rsid w:val="7375FD59"/>
    <w:rsid w:val="737B223E"/>
    <w:rsid w:val="7380B6A9"/>
    <w:rsid w:val="738D0B8A"/>
    <w:rsid w:val="73956393"/>
    <w:rsid w:val="739B1F8F"/>
    <w:rsid w:val="73A241C0"/>
    <w:rsid w:val="73A3AC05"/>
    <w:rsid w:val="73AA0796"/>
    <w:rsid w:val="73AC40FB"/>
    <w:rsid w:val="73AFDC6B"/>
    <w:rsid w:val="73BAC47B"/>
    <w:rsid w:val="73BAE3BB"/>
    <w:rsid w:val="73C362BB"/>
    <w:rsid w:val="73CCF248"/>
    <w:rsid w:val="73D21F4F"/>
    <w:rsid w:val="73D33EA5"/>
    <w:rsid w:val="73D6B26A"/>
    <w:rsid w:val="73DA7C14"/>
    <w:rsid w:val="73F09904"/>
    <w:rsid w:val="73F96649"/>
    <w:rsid w:val="73F9978F"/>
    <w:rsid w:val="73FB0607"/>
    <w:rsid w:val="73FBF801"/>
    <w:rsid w:val="73FCA7B1"/>
    <w:rsid w:val="73FD60B2"/>
    <w:rsid w:val="7402A8D3"/>
    <w:rsid w:val="74072D02"/>
    <w:rsid w:val="741C9B9F"/>
    <w:rsid w:val="74271832"/>
    <w:rsid w:val="742FEA94"/>
    <w:rsid w:val="74303F52"/>
    <w:rsid w:val="743C6FB9"/>
    <w:rsid w:val="743CB330"/>
    <w:rsid w:val="743E4D5F"/>
    <w:rsid w:val="744471BF"/>
    <w:rsid w:val="74475BF6"/>
    <w:rsid w:val="74481E2D"/>
    <w:rsid w:val="74494D65"/>
    <w:rsid w:val="744DC4DB"/>
    <w:rsid w:val="7450B117"/>
    <w:rsid w:val="74562597"/>
    <w:rsid w:val="7457C418"/>
    <w:rsid w:val="74592AFB"/>
    <w:rsid w:val="745CE551"/>
    <w:rsid w:val="7463AF54"/>
    <w:rsid w:val="74644192"/>
    <w:rsid w:val="746A113C"/>
    <w:rsid w:val="746FED4E"/>
    <w:rsid w:val="7479FCFF"/>
    <w:rsid w:val="747AAD63"/>
    <w:rsid w:val="747DE95B"/>
    <w:rsid w:val="747ECDC0"/>
    <w:rsid w:val="7493A0E1"/>
    <w:rsid w:val="74957E51"/>
    <w:rsid w:val="74963011"/>
    <w:rsid w:val="749D717B"/>
    <w:rsid w:val="749FBBB2"/>
    <w:rsid w:val="74B5671E"/>
    <w:rsid w:val="74C2C5BF"/>
    <w:rsid w:val="74CA0B3E"/>
    <w:rsid w:val="74CD8253"/>
    <w:rsid w:val="74CFD0C3"/>
    <w:rsid w:val="74D1530A"/>
    <w:rsid w:val="74D71371"/>
    <w:rsid w:val="74DA3F45"/>
    <w:rsid w:val="74DC6C24"/>
    <w:rsid w:val="74E2FABC"/>
    <w:rsid w:val="74E39B23"/>
    <w:rsid w:val="74F37898"/>
    <w:rsid w:val="74F509DA"/>
    <w:rsid w:val="74F883FD"/>
    <w:rsid w:val="74FDA74F"/>
    <w:rsid w:val="750C1B49"/>
    <w:rsid w:val="75121EAA"/>
    <w:rsid w:val="75148C25"/>
    <w:rsid w:val="7515600C"/>
    <w:rsid w:val="75160BB1"/>
    <w:rsid w:val="751BBBF3"/>
    <w:rsid w:val="7520173A"/>
    <w:rsid w:val="7524B795"/>
    <w:rsid w:val="7528DBEB"/>
    <w:rsid w:val="7532873E"/>
    <w:rsid w:val="7538B007"/>
    <w:rsid w:val="753D7B9C"/>
    <w:rsid w:val="753DDF58"/>
    <w:rsid w:val="7542D024"/>
    <w:rsid w:val="7543DEEC"/>
    <w:rsid w:val="754C8000"/>
    <w:rsid w:val="75529F9D"/>
    <w:rsid w:val="755EF7FC"/>
    <w:rsid w:val="7567C6C3"/>
    <w:rsid w:val="756F7D8F"/>
    <w:rsid w:val="75746F2D"/>
    <w:rsid w:val="75781800"/>
    <w:rsid w:val="7578AD1D"/>
    <w:rsid w:val="7579DA97"/>
    <w:rsid w:val="75801D9D"/>
    <w:rsid w:val="75844C34"/>
    <w:rsid w:val="758551E1"/>
    <w:rsid w:val="758A91C3"/>
    <w:rsid w:val="758FE33B"/>
    <w:rsid w:val="75921623"/>
    <w:rsid w:val="7598708D"/>
    <w:rsid w:val="759A1F44"/>
    <w:rsid w:val="759DEFED"/>
    <w:rsid w:val="75A226AE"/>
    <w:rsid w:val="75A7E19E"/>
    <w:rsid w:val="75AAA2F8"/>
    <w:rsid w:val="75AD3286"/>
    <w:rsid w:val="75AD657B"/>
    <w:rsid w:val="75B9A490"/>
    <w:rsid w:val="75BE6EC3"/>
    <w:rsid w:val="75C48CA9"/>
    <w:rsid w:val="75C54C02"/>
    <w:rsid w:val="75C79585"/>
    <w:rsid w:val="75C8AA8A"/>
    <w:rsid w:val="75DBEC47"/>
    <w:rsid w:val="75DD73DC"/>
    <w:rsid w:val="75E4BF79"/>
    <w:rsid w:val="75E63806"/>
    <w:rsid w:val="75EE99ED"/>
    <w:rsid w:val="75F4EB1A"/>
    <w:rsid w:val="75F6499F"/>
    <w:rsid w:val="75F6A6E2"/>
    <w:rsid w:val="75F6F833"/>
    <w:rsid w:val="75F8F9A1"/>
    <w:rsid w:val="760565D5"/>
    <w:rsid w:val="761A2917"/>
    <w:rsid w:val="76202D52"/>
    <w:rsid w:val="7622BE5C"/>
    <w:rsid w:val="7626548D"/>
    <w:rsid w:val="762965C5"/>
    <w:rsid w:val="7633F0A8"/>
    <w:rsid w:val="763D3C08"/>
    <w:rsid w:val="7654A7DB"/>
    <w:rsid w:val="76570188"/>
    <w:rsid w:val="765A4323"/>
    <w:rsid w:val="766221E2"/>
    <w:rsid w:val="766B247D"/>
    <w:rsid w:val="766DC073"/>
    <w:rsid w:val="7670D821"/>
    <w:rsid w:val="76724C76"/>
    <w:rsid w:val="76776F6E"/>
    <w:rsid w:val="767FAEB8"/>
    <w:rsid w:val="767FC593"/>
    <w:rsid w:val="7687BC45"/>
    <w:rsid w:val="768824B6"/>
    <w:rsid w:val="768F079E"/>
    <w:rsid w:val="7694F34A"/>
    <w:rsid w:val="76A31FA6"/>
    <w:rsid w:val="76A387C5"/>
    <w:rsid w:val="76A7BAB1"/>
    <w:rsid w:val="76AA72E3"/>
    <w:rsid w:val="76AC0852"/>
    <w:rsid w:val="76ADEF0B"/>
    <w:rsid w:val="76B0868E"/>
    <w:rsid w:val="76B3086B"/>
    <w:rsid w:val="76B3F2F2"/>
    <w:rsid w:val="76B469A0"/>
    <w:rsid w:val="76B9AA2F"/>
    <w:rsid w:val="76C0249B"/>
    <w:rsid w:val="76C03C72"/>
    <w:rsid w:val="76C6E7DD"/>
    <w:rsid w:val="76CC18D4"/>
    <w:rsid w:val="76CE32DE"/>
    <w:rsid w:val="76DE3992"/>
    <w:rsid w:val="76E796D7"/>
    <w:rsid w:val="76E97FC1"/>
    <w:rsid w:val="76F5E0E1"/>
    <w:rsid w:val="76FAB818"/>
    <w:rsid w:val="77011596"/>
    <w:rsid w:val="7718843E"/>
    <w:rsid w:val="7718F902"/>
    <w:rsid w:val="771A9A04"/>
    <w:rsid w:val="77202D2D"/>
    <w:rsid w:val="7723C8F0"/>
    <w:rsid w:val="77250061"/>
    <w:rsid w:val="7725406F"/>
    <w:rsid w:val="77328EFB"/>
    <w:rsid w:val="7736920E"/>
    <w:rsid w:val="773D8692"/>
    <w:rsid w:val="774159FA"/>
    <w:rsid w:val="774B3862"/>
    <w:rsid w:val="775E020B"/>
    <w:rsid w:val="77607F80"/>
    <w:rsid w:val="77614736"/>
    <w:rsid w:val="77661CA5"/>
    <w:rsid w:val="776BD729"/>
    <w:rsid w:val="776C2097"/>
    <w:rsid w:val="77716CC1"/>
    <w:rsid w:val="777244FC"/>
    <w:rsid w:val="77763337"/>
    <w:rsid w:val="777A4CF8"/>
    <w:rsid w:val="777A7EA7"/>
    <w:rsid w:val="777E63CB"/>
    <w:rsid w:val="7784711D"/>
    <w:rsid w:val="778E74A8"/>
    <w:rsid w:val="778F775B"/>
    <w:rsid w:val="77926C9A"/>
    <w:rsid w:val="77939426"/>
    <w:rsid w:val="77996D63"/>
    <w:rsid w:val="779E72C4"/>
    <w:rsid w:val="77A08866"/>
    <w:rsid w:val="77A11874"/>
    <w:rsid w:val="77A30B0D"/>
    <w:rsid w:val="77A9E2B3"/>
    <w:rsid w:val="77B3981B"/>
    <w:rsid w:val="77B41B3C"/>
    <w:rsid w:val="77B9CE7E"/>
    <w:rsid w:val="77BFE921"/>
    <w:rsid w:val="77BFFC4F"/>
    <w:rsid w:val="77C300A2"/>
    <w:rsid w:val="77CF8E70"/>
    <w:rsid w:val="77D744B4"/>
    <w:rsid w:val="77D8BFD4"/>
    <w:rsid w:val="77E25D67"/>
    <w:rsid w:val="77E2C8E0"/>
    <w:rsid w:val="77E315B8"/>
    <w:rsid w:val="77F72424"/>
    <w:rsid w:val="77F72BCE"/>
    <w:rsid w:val="77FA3763"/>
    <w:rsid w:val="77FDAC70"/>
    <w:rsid w:val="7801AFEF"/>
    <w:rsid w:val="78041D0C"/>
    <w:rsid w:val="7806F4DE"/>
    <w:rsid w:val="78070799"/>
    <w:rsid w:val="7810E392"/>
    <w:rsid w:val="78124DE9"/>
    <w:rsid w:val="78179155"/>
    <w:rsid w:val="781B9568"/>
    <w:rsid w:val="781BA91C"/>
    <w:rsid w:val="78202ADE"/>
    <w:rsid w:val="7824CF11"/>
    <w:rsid w:val="7825528E"/>
    <w:rsid w:val="782E6202"/>
    <w:rsid w:val="782EB056"/>
    <w:rsid w:val="783032AB"/>
    <w:rsid w:val="78378BE0"/>
    <w:rsid w:val="783C4B4A"/>
    <w:rsid w:val="783DF104"/>
    <w:rsid w:val="7851F4A6"/>
    <w:rsid w:val="7853F581"/>
    <w:rsid w:val="7854947D"/>
    <w:rsid w:val="785ACE03"/>
    <w:rsid w:val="7865218A"/>
    <w:rsid w:val="7865D5CB"/>
    <w:rsid w:val="786CAE2A"/>
    <w:rsid w:val="787125CC"/>
    <w:rsid w:val="7871EB51"/>
    <w:rsid w:val="7872D1D8"/>
    <w:rsid w:val="78743032"/>
    <w:rsid w:val="78759600"/>
    <w:rsid w:val="787A95AF"/>
    <w:rsid w:val="787B1972"/>
    <w:rsid w:val="787CF92A"/>
    <w:rsid w:val="788BFBCE"/>
    <w:rsid w:val="7893F672"/>
    <w:rsid w:val="78957223"/>
    <w:rsid w:val="7896AACC"/>
    <w:rsid w:val="78A3F20A"/>
    <w:rsid w:val="78A86D25"/>
    <w:rsid w:val="78ACE5DB"/>
    <w:rsid w:val="78ACF985"/>
    <w:rsid w:val="78ADEC19"/>
    <w:rsid w:val="78B082AB"/>
    <w:rsid w:val="78B16C6C"/>
    <w:rsid w:val="78B8C450"/>
    <w:rsid w:val="78BFAC5E"/>
    <w:rsid w:val="78D0AE02"/>
    <w:rsid w:val="78D2AFB3"/>
    <w:rsid w:val="78DF503E"/>
    <w:rsid w:val="78E34B44"/>
    <w:rsid w:val="78F156D4"/>
    <w:rsid w:val="78F438AB"/>
    <w:rsid w:val="78F5B15B"/>
    <w:rsid w:val="790379AB"/>
    <w:rsid w:val="790D0510"/>
    <w:rsid w:val="790D7164"/>
    <w:rsid w:val="790F9EF3"/>
    <w:rsid w:val="791077A1"/>
    <w:rsid w:val="79265B08"/>
    <w:rsid w:val="7927D037"/>
    <w:rsid w:val="793B6393"/>
    <w:rsid w:val="793C2332"/>
    <w:rsid w:val="793C2F9B"/>
    <w:rsid w:val="7942EE5C"/>
    <w:rsid w:val="7943ADF9"/>
    <w:rsid w:val="79491103"/>
    <w:rsid w:val="794F672C"/>
    <w:rsid w:val="79537F25"/>
    <w:rsid w:val="795623BB"/>
    <w:rsid w:val="795930AA"/>
    <w:rsid w:val="795CF74C"/>
    <w:rsid w:val="795D5946"/>
    <w:rsid w:val="7967132F"/>
    <w:rsid w:val="796E6714"/>
    <w:rsid w:val="797079DC"/>
    <w:rsid w:val="7972D371"/>
    <w:rsid w:val="79736B6F"/>
    <w:rsid w:val="79776DB9"/>
    <w:rsid w:val="7981251F"/>
    <w:rsid w:val="7984F0BF"/>
    <w:rsid w:val="7985A2CC"/>
    <w:rsid w:val="7994300F"/>
    <w:rsid w:val="799822F3"/>
    <w:rsid w:val="79992EEF"/>
    <w:rsid w:val="799D41D9"/>
    <w:rsid w:val="799EF216"/>
    <w:rsid w:val="79A4E9C3"/>
    <w:rsid w:val="79A7BF15"/>
    <w:rsid w:val="79AA7461"/>
    <w:rsid w:val="79B1BA82"/>
    <w:rsid w:val="79B258FC"/>
    <w:rsid w:val="79B43C36"/>
    <w:rsid w:val="79B57EFF"/>
    <w:rsid w:val="79B6C578"/>
    <w:rsid w:val="79B75BA7"/>
    <w:rsid w:val="79BA1AC1"/>
    <w:rsid w:val="79C8EEFB"/>
    <w:rsid w:val="79C95B54"/>
    <w:rsid w:val="79CA7E05"/>
    <w:rsid w:val="79CDA031"/>
    <w:rsid w:val="79CDCD8E"/>
    <w:rsid w:val="79D8095B"/>
    <w:rsid w:val="79DEB0BC"/>
    <w:rsid w:val="79E6EDE1"/>
    <w:rsid w:val="79EA9F8C"/>
    <w:rsid w:val="79ED49DB"/>
    <w:rsid w:val="79F4964F"/>
    <w:rsid w:val="79F61B9B"/>
    <w:rsid w:val="79FE86E8"/>
    <w:rsid w:val="7A03DABD"/>
    <w:rsid w:val="7A140C36"/>
    <w:rsid w:val="7A15409D"/>
    <w:rsid w:val="7A1A87F8"/>
    <w:rsid w:val="7A1F679B"/>
    <w:rsid w:val="7A2ED37A"/>
    <w:rsid w:val="7A32FE1C"/>
    <w:rsid w:val="7A36A426"/>
    <w:rsid w:val="7A36DB72"/>
    <w:rsid w:val="7A38CD80"/>
    <w:rsid w:val="7A5F0F1C"/>
    <w:rsid w:val="7A6A8C3C"/>
    <w:rsid w:val="7A6C51C8"/>
    <w:rsid w:val="7A72B961"/>
    <w:rsid w:val="7A8181CB"/>
    <w:rsid w:val="7A829149"/>
    <w:rsid w:val="7A8D0715"/>
    <w:rsid w:val="7A93D552"/>
    <w:rsid w:val="7A962FCB"/>
    <w:rsid w:val="7A986E08"/>
    <w:rsid w:val="7A99D221"/>
    <w:rsid w:val="7A9A21CE"/>
    <w:rsid w:val="7A9B1C66"/>
    <w:rsid w:val="7AA1F7A2"/>
    <w:rsid w:val="7AA362E4"/>
    <w:rsid w:val="7AA649EA"/>
    <w:rsid w:val="7AA7D850"/>
    <w:rsid w:val="7AA94C08"/>
    <w:rsid w:val="7AAF3BA3"/>
    <w:rsid w:val="7AB72697"/>
    <w:rsid w:val="7AC3DA9D"/>
    <w:rsid w:val="7AD1A075"/>
    <w:rsid w:val="7AD76A6A"/>
    <w:rsid w:val="7AD97879"/>
    <w:rsid w:val="7ADBE706"/>
    <w:rsid w:val="7AE452DA"/>
    <w:rsid w:val="7AE60D20"/>
    <w:rsid w:val="7B07CF00"/>
    <w:rsid w:val="7B0D60D7"/>
    <w:rsid w:val="7B19FE29"/>
    <w:rsid w:val="7B1B022E"/>
    <w:rsid w:val="7B1D29D9"/>
    <w:rsid w:val="7B279FC8"/>
    <w:rsid w:val="7B329C8A"/>
    <w:rsid w:val="7B3300C3"/>
    <w:rsid w:val="7B35A4A0"/>
    <w:rsid w:val="7B39AE9E"/>
    <w:rsid w:val="7B3C22DE"/>
    <w:rsid w:val="7B3C519B"/>
    <w:rsid w:val="7B44D151"/>
    <w:rsid w:val="7B44D2E7"/>
    <w:rsid w:val="7B492A95"/>
    <w:rsid w:val="7B527BC3"/>
    <w:rsid w:val="7B5B68ED"/>
    <w:rsid w:val="7B5CAA3C"/>
    <w:rsid w:val="7B62CA6E"/>
    <w:rsid w:val="7B64946B"/>
    <w:rsid w:val="7B7082FA"/>
    <w:rsid w:val="7B735A7F"/>
    <w:rsid w:val="7B74A19E"/>
    <w:rsid w:val="7B78E088"/>
    <w:rsid w:val="7B7AE1FB"/>
    <w:rsid w:val="7B810919"/>
    <w:rsid w:val="7B8224B8"/>
    <w:rsid w:val="7B829A8D"/>
    <w:rsid w:val="7B829C9E"/>
    <w:rsid w:val="7B89F2DB"/>
    <w:rsid w:val="7B8BE537"/>
    <w:rsid w:val="7B8EB4DF"/>
    <w:rsid w:val="7B904D18"/>
    <w:rsid w:val="7B91A4E2"/>
    <w:rsid w:val="7B9395BE"/>
    <w:rsid w:val="7B941862"/>
    <w:rsid w:val="7B9DCA87"/>
    <w:rsid w:val="7B9F81BA"/>
    <w:rsid w:val="7BA3A4EA"/>
    <w:rsid w:val="7BAAC542"/>
    <w:rsid w:val="7BAAE459"/>
    <w:rsid w:val="7BAC04E5"/>
    <w:rsid w:val="7BB5A468"/>
    <w:rsid w:val="7BC1B626"/>
    <w:rsid w:val="7BCB2248"/>
    <w:rsid w:val="7BDAB089"/>
    <w:rsid w:val="7BDBB219"/>
    <w:rsid w:val="7BE32FA7"/>
    <w:rsid w:val="7BE64FA4"/>
    <w:rsid w:val="7BED70A4"/>
    <w:rsid w:val="7BF07D58"/>
    <w:rsid w:val="7BF288F2"/>
    <w:rsid w:val="7BF2C23F"/>
    <w:rsid w:val="7BF7614F"/>
    <w:rsid w:val="7BFCE389"/>
    <w:rsid w:val="7C055E1C"/>
    <w:rsid w:val="7C06AFB4"/>
    <w:rsid w:val="7C0D44E3"/>
    <w:rsid w:val="7C13E742"/>
    <w:rsid w:val="7C14D89D"/>
    <w:rsid w:val="7C1C740A"/>
    <w:rsid w:val="7C20C29B"/>
    <w:rsid w:val="7C33F2A5"/>
    <w:rsid w:val="7C370758"/>
    <w:rsid w:val="7C430D1E"/>
    <w:rsid w:val="7C46E6DA"/>
    <w:rsid w:val="7C480705"/>
    <w:rsid w:val="7C48C39E"/>
    <w:rsid w:val="7C495FBC"/>
    <w:rsid w:val="7C4CC61D"/>
    <w:rsid w:val="7C4FE253"/>
    <w:rsid w:val="7C534B20"/>
    <w:rsid w:val="7C5C2C01"/>
    <w:rsid w:val="7C5EAD40"/>
    <w:rsid w:val="7C6AB5D5"/>
    <w:rsid w:val="7C6CEBD8"/>
    <w:rsid w:val="7C7C3C1D"/>
    <w:rsid w:val="7C7EE3A6"/>
    <w:rsid w:val="7C833B27"/>
    <w:rsid w:val="7C83DB16"/>
    <w:rsid w:val="7C8BCC52"/>
    <w:rsid w:val="7C9A58C5"/>
    <w:rsid w:val="7CA976B1"/>
    <w:rsid w:val="7CAB8CE7"/>
    <w:rsid w:val="7CAC60CD"/>
    <w:rsid w:val="7CB92CE6"/>
    <w:rsid w:val="7CBA3CD2"/>
    <w:rsid w:val="7CD87EEF"/>
    <w:rsid w:val="7CD8BA8C"/>
    <w:rsid w:val="7CDAE776"/>
    <w:rsid w:val="7CDBAF04"/>
    <w:rsid w:val="7CDCD7BF"/>
    <w:rsid w:val="7CDE3DDD"/>
    <w:rsid w:val="7CDE4A93"/>
    <w:rsid w:val="7CE02360"/>
    <w:rsid w:val="7CE425E2"/>
    <w:rsid w:val="7CE8DD8C"/>
    <w:rsid w:val="7CEFA637"/>
    <w:rsid w:val="7CF6001C"/>
    <w:rsid w:val="7CF7B5F9"/>
    <w:rsid w:val="7D00BED5"/>
    <w:rsid w:val="7D06FB64"/>
    <w:rsid w:val="7D08E8CF"/>
    <w:rsid w:val="7D0EF422"/>
    <w:rsid w:val="7D18E455"/>
    <w:rsid w:val="7D1AB326"/>
    <w:rsid w:val="7D1C1FD8"/>
    <w:rsid w:val="7D209CDE"/>
    <w:rsid w:val="7D21540A"/>
    <w:rsid w:val="7D294BE4"/>
    <w:rsid w:val="7D2B9DCE"/>
    <w:rsid w:val="7D2D71B2"/>
    <w:rsid w:val="7D326C1D"/>
    <w:rsid w:val="7D3F497C"/>
    <w:rsid w:val="7D46C034"/>
    <w:rsid w:val="7D47635B"/>
    <w:rsid w:val="7D4E17B5"/>
    <w:rsid w:val="7D54A7FC"/>
    <w:rsid w:val="7D558475"/>
    <w:rsid w:val="7D5BB649"/>
    <w:rsid w:val="7D6299B7"/>
    <w:rsid w:val="7D640064"/>
    <w:rsid w:val="7D649D92"/>
    <w:rsid w:val="7D6C4F4E"/>
    <w:rsid w:val="7D6F5371"/>
    <w:rsid w:val="7D7589CB"/>
    <w:rsid w:val="7D800711"/>
    <w:rsid w:val="7D84DD8F"/>
    <w:rsid w:val="7D860354"/>
    <w:rsid w:val="7D8731CF"/>
    <w:rsid w:val="7D898E79"/>
    <w:rsid w:val="7D8BB7B0"/>
    <w:rsid w:val="7D90BA4D"/>
    <w:rsid w:val="7D91CED1"/>
    <w:rsid w:val="7D968F7D"/>
    <w:rsid w:val="7D98B359"/>
    <w:rsid w:val="7D9EE1E2"/>
    <w:rsid w:val="7DA5A5CE"/>
    <w:rsid w:val="7DA95D77"/>
    <w:rsid w:val="7DB18360"/>
    <w:rsid w:val="7DB1DDE2"/>
    <w:rsid w:val="7DB2AFEE"/>
    <w:rsid w:val="7DBBE99B"/>
    <w:rsid w:val="7DC16C26"/>
    <w:rsid w:val="7DC1FF30"/>
    <w:rsid w:val="7DC220A0"/>
    <w:rsid w:val="7DC9EF7C"/>
    <w:rsid w:val="7DD3AA4F"/>
    <w:rsid w:val="7DDB4802"/>
    <w:rsid w:val="7DE244B1"/>
    <w:rsid w:val="7DE9C30F"/>
    <w:rsid w:val="7DEDF6E6"/>
    <w:rsid w:val="7DEFD21B"/>
    <w:rsid w:val="7DF273B5"/>
    <w:rsid w:val="7DF28082"/>
    <w:rsid w:val="7DF3AD78"/>
    <w:rsid w:val="7DF7935D"/>
    <w:rsid w:val="7E05C65A"/>
    <w:rsid w:val="7E07854D"/>
    <w:rsid w:val="7E0873DC"/>
    <w:rsid w:val="7E0D4F96"/>
    <w:rsid w:val="7E128CB5"/>
    <w:rsid w:val="7E161BD2"/>
    <w:rsid w:val="7E1AE666"/>
    <w:rsid w:val="7E23383A"/>
    <w:rsid w:val="7E269FF5"/>
    <w:rsid w:val="7E284A98"/>
    <w:rsid w:val="7E2B3947"/>
    <w:rsid w:val="7E2B5F1D"/>
    <w:rsid w:val="7E2F93B0"/>
    <w:rsid w:val="7E3017F9"/>
    <w:rsid w:val="7E3C2B96"/>
    <w:rsid w:val="7E3DB625"/>
    <w:rsid w:val="7E3E6046"/>
    <w:rsid w:val="7E43F8B1"/>
    <w:rsid w:val="7E4B5A7D"/>
    <w:rsid w:val="7E51E43A"/>
    <w:rsid w:val="7E6619BC"/>
    <w:rsid w:val="7E7076A5"/>
    <w:rsid w:val="7E71BBD8"/>
    <w:rsid w:val="7E769071"/>
    <w:rsid w:val="7E7722B2"/>
    <w:rsid w:val="7E7B4812"/>
    <w:rsid w:val="7E7B4C5A"/>
    <w:rsid w:val="7E7DC4BF"/>
    <w:rsid w:val="7E812E99"/>
    <w:rsid w:val="7E816150"/>
    <w:rsid w:val="7E9B1E3E"/>
    <w:rsid w:val="7E9D1AC0"/>
    <w:rsid w:val="7EA994CD"/>
    <w:rsid w:val="7EA9A6C6"/>
    <w:rsid w:val="7EAAD69F"/>
    <w:rsid w:val="7EABA1AB"/>
    <w:rsid w:val="7EAD470F"/>
    <w:rsid w:val="7EAEF788"/>
    <w:rsid w:val="7EB48618"/>
    <w:rsid w:val="7EC2DC73"/>
    <w:rsid w:val="7EC6C45B"/>
    <w:rsid w:val="7ECB2469"/>
    <w:rsid w:val="7ECDBE6F"/>
    <w:rsid w:val="7ECDC0BC"/>
    <w:rsid w:val="7ED0AED6"/>
    <w:rsid w:val="7ED2C4F2"/>
    <w:rsid w:val="7ED2DDC2"/>
    <w:rsid w:val="7ED3DF6C"/>
    <w:rsid w:val="7ED7DB07"/>
    <w:rsid w:val="7EDF50B6"/>
    <w:rsid w:val="7EE74444"/>
    <w:rsid w:val="7EE8297E"/>
    <w:rsid w:val="7EF5922B"/>
    <w:rsid w:val="7EFE0CFA"/>
    <w:rsid w:val="7EFE77BE"/>
    <w:rsid w:val="7EFEDCA9"/>
    <w:rsid w:val="7F085F60"/>
    <w:rsid w:val="7F095E84"/>
    <w:rsid w:val="7F0AB398"/>
    <w:rsid w:val="7F19A891"/>
    <w:rsid w:val="7F20916C"/>
    <w:rsid w:val="7F283604"/>
    <w:rsid w:val="7F2A15E8"/>
    <w:rsid w:val="7F2ABC48"/>
    <w:rsid w:val="7F2BEEB5"/>
    <w:rsid w:val="7F435F08"/>
    <w:rsid w:val="7F4DD444"/>
    <w:rsid w:val="7F576136"/>
    <w:rsid w:val="7F588E8E"/>
    <w:rsid w:val="7F63677D"/>
    <w:rsid w:val="7F773AFE"/>
    <w:rsid w:val="7F793A13"/>
    <w:rsid w:val="7F803CA1"/>
    <w:rsid w:val="7F84A281"/>
    <w:rsid w:val="7F89C747"/>
    <w:rsid w:val="7F8E0228"/>
    <w:rsid w:val="7F932EFD"/>
    <w:rsid w:val="7F95AE7E"/>
    <w:rsid w:val="7F998264"/>
    <w:rsid w:val="7F9BA630"/>
    <w:rsid w:val="7F9C4416"/>
    <w:rsid w:val="7F9CC97F"/>
    <w:rsid w:val="7FA316FA"/>
    <w:rsid w:val="7FA6802D"/>
    <w:rsid w:val="7FA870BF"/>
    <w:rsid w:val="7FA87C26"/>
    <w:rsid w:val="7FA8FE46"/>
    <w:rsid w:val="7FB2725A"/>
    <w:rsid w:val="7FC01C8D"/>
    <w:rsid w:val="7FCB09C0"/>
    <w:rsid w:val="7FCBF806"/>
    <w:rsid w:val="7FCDB0DB"/>
    <w:rsid w:val="7FCEF20C"/>
    <w:rsid w:val="7FD5118C"/>
    <w:rsid w:val="7FD706C4"/>
    <w:rsid w:val="7FDB169D"/>
    <w:rsid w:val="7FDBB529"/>
    <w:rsid w:val="7FE14E5E"/>
    <w:rsid w:val="7FE3D066"/>
    <w:rsid w:val="7FE76DCE"/>
    <w:rsid w:val="7FFB3E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39085"/>
  <w15:docId w15:val="{86D403EA-BD84-46BC-9AAF-1BDFC0A3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qFormat="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CEA"/>
    <w:pPr>
      <w:spacing w:before="120" w:after="120"/>
    </w:pPr>
    <w:rPr>
      <w:rFonts w:ascii="CIDFont+F1" w:hAnsi="CIDFont+F1"/>
    </w:rPr>
  </w:style>
  <w:style w:type="paragraph" w:styleId="Heading1">
    <w:name w:val="heading 1"/>
    <w:aliases w:val="Heading 1 Section Heading"/>
    <w:basedOn w:val="Heading2"/>
    <w:next w:val="Normal"/>
    <w:link w:val="Heading1Char"/>
    <w:uiPriority w:val="9"/>
    <w:qFormat/>
    <w:rsid w:val="00A7279D"/>
    <w:pPr>
      <w:spacing w:after="240" w:line="640" w:lineRule="exact"/>
      <w:outlineLvl w:val="0"/>
    </w:pPr>
    <w:rPr>
      <w:sz w:val="60"/>
      <w:szCs w:val="32"/>
    </w:rPr>
  </w:style>
  <w:style w:type="paragraph" w:styleId="Heading2">
    <w:name w:val="heading 2"/>
    <w:aliases w:val="h2 main heading,Heading 2 Main Heading"/>
    <w:basedOn w:val="Normal"/>
    <w:next w:val="Normal"/>
    <w:link w:val="Heading2Char"/>
    <w:uiPriority w:val="9"/>
    <w:qFormat/>
    <w:rsid w:val="00A7279D"/>
    <w:pPr>
      <w:keepNext/>
      <w:keepLines/>
      <w:spacing w:before="240" w:after="60" w:line="240" w:lineRule="auto"/>
      <w:outlineLvl w:val="1"/>
    </w:pPr>
    <w:rPr>
      <w:rFonts w:eastAsiaTheme="majorEastAsia" w:cstheme="majorBidi"/>
      <w:color w:val="0F294C"/>
      <w:sz w:val="36"/>
      <w:szCs w:val="26"/>
    </w:rPr>
  </w:style>
  <w:style w:type="paragraph" w:styleId="Heading3">
    <w:name w:val="heading 3"/>
    <w:aliases w:val="h3 sub heading,Heading 3 Sub Heading"/>
    <w:basedOn w:val="Normal"/>
    <w:next w:val="Normal"/>
    <w:link w:val="Heading3Char"/>
    <w:autoRedefine/>
    <w:uiPriority w:val="9"/>
    <w:qFormat/>
    <w:rsid w:val="009F66CD"/>
    <w:pPr>
      <w:keepNext/>
      <w:keepLines/>
      <w:spacing w:before="180" w:after="100"/>
      <w:outlineLvl w:val="2"/>
    </w:pPr>
    <w:rPr>
      <w:rFonts w:eastAsiaTheme="majorEastAsia" w:cstheme="majorBidi"/>
      <w:b/>
      <w:iCs/>
      <w:sz w:val="26"/>
      <w:szCs w:val="24"/>
      <w:lang w:eastAsia="en-AU"/>
    </w:rPr>
  </w:style>
  <w:style w:type="paragraph" w:styleId="Heading4">
    <w:name w:val="heading 4"/>
    <w:basedOn w:val="Heading5"/>
    <w:next w:val="Normal"/>
    <w:link w:val="Heading4Char"/>
    <w:uiPriority w:val="9"/>
    <w:qFormat/>
    <w:rsid w:val="00E76557"/>
    <w:pPr>
      <w:outlineLvl w:val="3"/>
    </w:pPr>
    <w:rPr>
      <w:i/>
      <w:iCs/>
      <w:color w:val="auto"/>
      <w:sz w:val="24"/>
    </w:rPr>
  </w:style>
  <w:style w:type="paragraph" w:styleId="Heading5">
    <w:name w:val="heading 5"/>
    <w:basedOn w:val="Normal"/>
    <w:next w:val="Normal"/>
    <w:link w:val="Heading5Char"/>
    <w:uiPriority w:val="9"/>
    <w:qFormat/>
    <w:rsid w:val="0094780C"/>
    <w:pPr>
      <w:keepNext/>
      <w:keepLines/>
      <w:spacing w:before="40"/>
      <w:outlineLvl w:val="4"/>
    </w:pPr>
    <w:rPr>
      <w:rFonts w:eastAsiaTheme="majorEastAsia" w:cstheme="majorBidi"/>
      <w:b/>
      <w:color w:val="000000" w:themeColor="text1"/>
    </w:rPr>
  </w:style>
  <w:style w:type="paragraph" w:styleId="Heading6">
    <w:name w:val="heading 6"/>
    <w:basedOn w:val="Normal"/>
    <w:next w:val="Normal"/>
    <w:link w:val="Heading6Char"/>
    <w:uiPriority w:val="9"/>
    <w:qFormat/>
    <w:rsid w:val="00813629"/>
    <w:pPr>
      <w:keepNext/>
      <w:keepLines/>
      <w:spacing w:before="40"/>
      <w:outlineLvl w:val="5"/>
    </w:pPr>
    <w:rPr>
      <w:rFonts w:eastAsiaTheme="majorEastAsia" w:cstheme="majorBidi"/>
      <w:b/>
      <w:i/>
      <w:color w:val="757575"/>
    </w:rPr>
  </w:style>
  <w:style w:type="paragraph" w:styleId="Heading7">
    <w:name w:val="heading 7"/>
    <w:basedOn w:val="Normal"/>
    <w:next w:val="Normal"/>
    <w:link w:val="Heading7Char"/>
    <w:uiPriority w:val="9"/>
    <w:semiHidden/>
    <w:qFormat/>
    <w:rsid w:val="00ED799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qFormat/>
    <w:rsid w:val="00EF41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EF41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Heading1"/>
    <w:next w:val="Normal"/>
    <w:link w:val="TitleChar"/>
    <w:uiPriority w:val="10"/>
    <w:qFormat/>
    <w:rsid w:val="006C2810"/>
    <w:pPr>
      <w:tabs>
        <w:tab w:val="num" w:pos="680"/>
        <w:tab w:val="right" w:pos="3856"/>
      </w:tabs>
      <w:spacing w:before="2400" w:after="0" w:line="240" w:lineRule="auto"/>
      <w:ind w:left="595" w:hanging="595"/>
      <w:contextualSpacing/>
      <w:jc w:val="right"/>
    </w:pPr>
    <w:rPr>
      <w:rFonts w:ascii="Cambria" w:hAnsi="Cambria"/>
      <w:spacing w:val="-10"/>
      <w:kern w:val="28"/>
      <w:szCs w:val="56"/>
    </w:rPr>
  </w:style>
  <w:style w:type="character" w:customStyle="1" w:styleId="TitleChar">
    <w:name w:val="Title Char"/>
    <w:basedOn w:val="DefaultParagraphFont"/>
    <w:link w:val="Title"/>
    <w:uiPriority w:val="10"/>
    <w:rsid w:val="006C2810"/>
    <w:rPr>
      <w:rFonts w:ascii="Cambria" w:eastAsiaTheme="majorEastAsia" w:hAnsi="Cambria" w:cstheme="majorBidi"/>
      <w:color w:val="0F294C"/>
      <w:spacing w:val="-10"/>
      <w:kern w:val="28"/>
      <w:sz w:val="60"/>
      <w:szCs w:val="56"/>
    </w:rPr>
  </w:style>
  <w:style w:type="character" w:customStyle="1" w:styleId="Heading1Char">
    <w:name w:val="Heading 1 Char"/>
    <w:aliases w:val="Heading 1 Section Heading Char"/>
    <w:basedOn w:val="DefaultParagraphFont"/>
    <w:link w:val="Heading1"/>
    <w:uiPriority w:val="9"/>
    <w:rsid w:val="00A7279D"/>
    <w:rPr>
      <w:rFonts w:ascii="Calibri" w:eastAsiaTheme="majorEastAsia" w:hAnsi="Calibri" w:cstheme="majorBidi"/>
      <w:color w:val="0F294C"/>
      <w:sz w:val="60"/>
      <w:szCs w:val="32"/>
    </w:rPr>
  </w:style>
  <w:style w:type="character" w:customStyle="1" w:styleId="Heading2Char">
    <w:name w:val="Heading 2 Char"/>
    <w:aliases w:val="h2 main heading Char,Heading 2 Main Heading Char"/>
    <w:basedOn w:val="DefaultParagraphFont"/>
    <w:link w:val="Heading2"/>
    <w:uiPriority w:val="9"/>
    <w:rsid w:val="00A7279D"/>
    <w:rPr>
      <w:rFonts w:ascii="Calibri" w:eastAsiaTheme="majorEastAsia" w:hAnsi="Calibri" w:cstheme="majorBidi"/>
      <w:color w:val="0F294C"/>
      <w:sz w:val="36"/>
      <w:szCs w:val="26"/>
    </w:rPr>
  </w:style>
  <w:style w:type="character" w:customStyle="1" w:styleId="Heading3Char">
    <w:name w:val="Heading 3 Char"/>
    <w:aliases w:val="h3 sub heading Char,Heading 3 Sub Heading Char"/>
    <w:basedOn w:val="DefaultParagraphFont"/>
    <w:link w:val="Heading3"/>
    <w:uiPriority w:val="9"/>
    <w:rsid w:val="009F66CD"/>
    <w:rPr>
      <w:rFonts w:ascii="CIDFont+F1" w:eastAsiaTheme="majorEastAsia" w:hAnsi="CIDFont+F1" w:cstheme="majorBidi"/>
      <w:b/>
      <w:iCs/>
      <w:sz w:val="26"/>
      <w:szCs w:val="24"/>
      <w:lang w:eastAsia="en-AU"/>
    </w:rPr>
  </w:style>
  <w:style w:type="character" w:customStyle="1" w:styleId="Heading4Char">
    <w:name w:val="Heading 4 Char"/>
    <w:basedOn w:val="DefaultParagraphFont"/>
    <w:link w:val="Heading4"/>
    <w:uiPriority w:val="9"/>
    <w:rsid w:val="00E76557"/>
    <w:rPr>
      <w:rFonts w:ascii="Calibri" w:eastAsiaTheme="majorEastAsia" w:hAnsi="Calibri" w:cstheme="majorBidi"/>
      <w:b/>
      <w:i/>
      <w:iCs/>
      <w:sz w:val="24"/>
    </w:rPr>
  </w:style>
  <w:style w:type="paragraph" w:styleId="ListNumber">
    <w:name w:val="List Number"/>
    <w:basedOn w:val="Normal"/>
    <w:uiPriority w:val="99"/>
    <w:qFormat/>
    <w:rsid w:val="00F3231F"/>
    <w:pPr>
      <w:tabs>
        <w:tab w:val="left" w:pos="284"/>
        <w:tab w:val="left" w:pos="567"/>
        <w:tab w:val="left" w:pos="851"/>
        <w:tab w:val="left" w:pos="1134"/>
        <w:tab w:val="num" w:pos="1636"/>
      </w:tabs>
      <w:ind w:left="1636" w:hanging="360"/>
      <w:contextualSpacing/>
    </w:pPr>
  </w:style>
  <w:style w:type="paragraph" w:styleId="ListNumber2">
    <w:name w:val="List Number 2"/>
    <w:basedOn w:val="Normal"/>
    <w:uiPriority w:val="99"/>
    <w:qFormat/>
    <w:rsid w:val="00717EB9"/>
    <w:pPr>
      <w:numPr>
        <w:ilvl w:val="1"/>
        <w:numId w:val="9"/>
      </w:numPr>
      <w:contextualSpacing/>
    </w:pPr>
  </w:style>
  <w:style w:type="paragraph" w:styleId="ListBullet">
    <w:name w:val="List Bullet"/>
    <w:basedOn w:val="Normal"/>
    <w:uiPriority w:val="99"/>
    <w:qFormat/>
    <w:rsid w:val="00A270B6"/>
    <w:pPr>
      <w:numPr>
        <w:numId w:val="14"/>
      </w:numPr>
      <w:contextualSpacing/>
    </w:pPr>
  </w:style>
  <w:style w:type="paragraph" w:styleId="ListBullet2">
    <w:name w:val="List Bullet 2"/>
    <w:basedOn w:val="Normal"/>
    <w:uiPriority w:val="99"/>
    <w:qFormat/>
    <w:rsid w:val="00F3231F"/>
    <w:pPr>
      <w:tabs>
        <w:tab w:val="left" w:pos="567"/>
        <w:tab w:val="num" w:pos="643"/>
      </w:tabs>
      <w:spacing w:before="0"/>
      <w:ind w:left="643" w:hanging="360"/>
      <w:contextualSpacing/>
    </w:pPr>
  </w:style>
  <w:style w:type="character" w:styleId="Hyperlink">
    <w:name w:val="Hyperlink"/>
    <w:basedOn w:val="DefaultParagraphFont"/>
    <w:uiPriority w:val="99"/>
    <w:qFormat/>
    <w:rsid w:val="009B7F3F"/>
    <w:rPr>
      <w:noProof/>
      <w:color w:val="0D4F88"/>
      <w:u w:val="single"/>
    </w:rPr>
  </w:style>
  <w:style w:type="table" w:styleId="TableGrid">
    <w:name w:val="Table Grid"/>
    <w:aliases w:val="NRSB Table"/>
    <w:basedOn w:val="TableNormal"/>
    <w:uiPriority w:val="39"/>
    <w:rsid w:val="00AC5824"/>
    <w:pPr>
      <w:spacing w:before="20" w:after="20" w:line="240" w:lineRule="auto"/>
    </w:pPr>
    <w:rPr>
      <w:sz w:val="20"/>
    </w:rPr>
    <w:tblPr>
      <w:tblStyleRowBandSize w:val="1"/>
      <w:tblCellMar>
        <w:top w:w="45" w:type="dxa"/>
      </w:tblCellMar>
    </w:tblPr>
    <w:tcPr>
      <w:vAlign w:val="center"/>
    </w:tcPr>
    <w:tblStylePr w:type="firstRow">
      <w:pPr>
        <w:wordWrap/>
        <w:spacing w:beforeLines="20" w:before="20" w:beforeAutospacing="0" w:afterLines="20" w:after="20" w:afterAutospacing="0"/>
        <w:jc w:val="left"/>
      </w:pPr>
      <w:rPr>
        <w:rFonts w:ascii="Calibri" w:hAnsi="Calibri"/>
        <w:b/>
        <w:color w:val="FFFFFF" w:themeColor="background1"/>
        <w:sz w:val="20"/>
      </w:rPr>
      <w:tblPr/>
      <w:tcPr>
        <w:shd w:val="clear" w:color="auto" w:fill="0F294C"/>
      </w:tcPr>
    </w:tblStylePr>
    <w:tblStylePr w:type="lastRow">
      <w:tblPr/>
      <w:tcPr>
        <w:tcBorders>
          <w:bottom w:val="single" w:sz="4" w:space="0" w:color="0F294C"/>
        </w:tcBorders>
      </w:tcPr>
    </w:tblStylePr>
    <w:tblStylePr w:type="band1Horz">
      <w:tblPr/>
      <w:tcPr>
        <w:shd w:val="clear" w:color="auto" w:fill="D7E0F1"/>
      </w:tcPr>
    </w:tblStylePr>
  </w:style>
  <w:style w:type="paragraph" w:styleId="Caption">
    <w:name w:val="caption"/>
    <w:basedOn w:val="Normal"/>
    <w:next w:val="Normal"/>
    <w:uiPriority w:val="35"/>
    <w:qFormat/>
    <w:rsid w:val="00C046E0"/>
    <w:pPr>
      <w:pBdr>
        <w:top w:val="single" w:sz="4" w:space="5" w:color="auto"/>
      </w:pBdr>
      <w:tabs>
        <w:tab w:val="left" w:pos="993"/>
      </w:tabs>
      <w:spacing w:before="240"/>
    </w:pPr>
    <w:rPr>
      <w:sz w:val="24"/>
    </w:rPr>
  </w:style>
  <w:style w:type="numbering" w:customStyle="1" w:styleId="RSCBNumberList1">
    <w:name w:val="RSCB Number List 1"/>
    <w:uiPriority w:val="99"/>
    <w:rsid w:val="00A513A6"/>
  </w:style>
  <w:style w:type="paragraph" w:styleId="ListBullet3">
    <w:name w:val="List Bullet 3"/>
    <w:basedOn w:val="Normal"/>
    <w:uiPriority w:val="99"/>
    <w:qFormat/>
    <w:rsid w:val="00CC736A"/>
    <w:pPr>
      <w:tabs>
        <w:tab w:val="left" w:pos="851"/>
        <w:tab w:val="num" w:pos="926"/>
      </w:tabs>
      <w:spacing w:before="0" w:after="0"/>
      <w:ind w:left="926" w:hanging="360"/>
      <w:contextualSpacing/>
    </w:pPr>
  </w:style>
  <w:style w:type="paragraph" w:styleId="ListNumber3">
    <w:name w:val="List Number 3"/>
    <w:basedOn w:val="Normal"/>
    <w:uiPriority w:val="99"/>
    <w:qFormat/>
    <w:rsid w:val="00A513A6"/>
    <w:pPr>
      <w:numPr>
        <w:ilvl w:val="2"/>
        <w:numId w:val="9"/>
      </w:numPr>
      <w:tabs>
        <w:tab w:val="num" w:pos="926"/>
        <w:tab w:val="left" w:pos="1021"/>
      </w:tabs>
      <w:contextualSpacing/>
    </w:pPr>
  </w:style>
  <w:style w:type="paragraph" w:styleId="ListNumber4">
    <w:name w:val="List Number 4"/>
    <w:basedOn w:val="Normal"/>
    <w:uiPriority w:val="99"/>
    <w:qFormat/>
    <w:rsid w:val="00A513A6"/>
    <w:pPr>
      <w:numPr>
        <w:ilvl w:val="3"/>
        <w:numId w:val="9"/>
      </w:numPr>
      <w:tabs>
        <w:tab w:val="num" w:pos="360"/>
      </w:tabs>
      <w:contextualSpacing/>
    </w:pPr>
  </w:style>
  <w:style w:type="paragraph" w:styleId="ListBullet4">
    <w:name w:val="List Bullet 4"/>
    <w:basedOn w:val="Normal"/>
    <w:uiPriority w:val="99"/>
    <w:qFormat/>
    <w:rsid w:val="00316088"/>
    <w:pPr>
      <w:numPr>
        <w:numId w:val="10"/>
      </w:numPr>
      <w:tabs>
        <w:tab w:val="left" w:pos="1134"/>
      </w:tabs>
      <w:contextualSpacing/>
    </w:pPr>
  </w:style>
  <w:style w:type="numbering" w:customStyle="1" w:styleId="Style1">
    <w:name w:val="Style1"/>
    <w:uiPriority w:val="99"/>
    <w:rsid w:val="00316088"/>
    <w:pPr>
      <w:numPr>
        <w:numId w:val="8"/>
      </w:numPr>
    </w:pPr>
  </w:style>
  <w:style w:type="paragraph" w:styleId="Header">
    <w:name w:val="header"/>
    <w:basedOn w:val="Normal"/>
    <w:link w:val="HeaderChar"/>
    <w:uiPriority w:val="99"/>
    <w:rsid w:val="00EE7FDA"/>
    <w:pPr>
      <w:tabs>
        <w:tab w:val="center" w:pos="4513"/>
        <w:tab w:val="right" w:pos="9026"/>
      </w:tabs>
      <w:spacing w:line="240" w:lineRule="auto"/>
    </w:pPr>
  </w:style>
  <w:style w:type="character" w:customStyle="1" w:styleId="HeaderChar">
    <w:name w:val="Header Char"/>
    <w:basedOn w:val="DefaultParagraphFont"/>
    <w:link w:val="Header"/>
    <w:uiPriority w:val="99"/>
    <w:rsid w:val="00685CF0"/>
    <w:rPr>
      <w:rFonts w:ascii="Calibri" w:hAnsi="Calibri"/>
    </w:rPr>
  </w:style>
  <w:style w:type="paragraph" w:styleId="Footer">
    <w:name w:val="footer"/>
    <w:basedOn w:val="Normal"/>
    <w:link w:val="FooterChar"/>
    <w:uiPriority w:val="99"/>
    <w:rsid w:val="00C13137"/>
    <w:pPr>
      <w:tabs>
        <w:tab w:val="center" w:pos="4513"/>
        <w:tab w:val="right" w:pos="9026"/>
      </w:tabs>
      <w:spacing w:line="240" w:lineRule="auto"/>
      <w:jc w:val="right"/>
    </w:pPr>
    <w:rPr>
      <w:color w:val="FFFFFF" w:themeColor="background1"/>
    </w:rPr>
  </w:style>
  <w:style w:type="character" w:customStyle="1" w:styleId="FooterChar">
    <w:name w:val="Footer Char"/>
    <w:basedOn w:val="DefaultParagraphFont"/>
    <w:link w:val="Footer"/>
    <w:uiPriority w:val="99"/>
    <w:rsid w:val="00C13137"/>
    <w:rPr>
      <w:rFonts w:ascii="Calibri" w:hAnsi="Calibri"/>
      <w:color w:val="FFFFFF" w:themeColor="background1"/>
    </w:rPr>
  </w:style>
  <w:style w:type="paragraph" w:styleId="FootnoteText">
    <w:name w:val="footnote text"/>
    <w:aliases w:val="Footnote Text Char1 Char,Footnote Text Char Char1 Char,Footnote Text Char Char Char Char Char1,Footnote Text Char Char Char,Footnote Text Char Char Char Char"/>
    <w:basedOn w:val="Normal"/>
    <w:link w:val="FootnoteTextChar"/>
    <w:uiPriority w:val="99"/>
    <w:qFormat/>
    <w:rsid w:val="002163A4"/>
    <w:pPr>
      <w:spacing w:line="240" w:lineRule="auto"/>
    </w:pPr>
    <w:rPr>
      <w:sz w:val="18"/>
      <w:szCs w:val="20"/>
    </w:rPr>
  </w:style>
  <w:style w:type="character" w:customStyle="1" w:styleId="FootnoteTextChar">
    <w:name w:val="Footnote Text Char"/>
    <w:aliases w:val="Footnote Text Char1 Char Char,Footnote Text Char Char1 Char Char,Footnote Text Char Char Char Char Char1 Char,Footnote Text Char Char Char Char1,Footnote Text Char Char Char Char Char"/>
    <w:basedOn w:val="DefaultParagraphFont"/>
    <w:link w:val="FootnoteText"/>
    <w:uiPriority w:val="99"/>
    <w:rsid w:val="002163A4"/>
    <w:rPr>
      <w:rFonts w:ascii="Calibri" w:hAnsi="Calibri"/>
      <w:sz w:val="18"/>
      <w:szCs w:val="20"/>
    </w:rPr>
  </w:style>
  <w:style w:type="character" w:styleId="FootnoteReference">
    <w:name w:val="footnote reference"/>
    <w:basedOn w:val="DefaultParagraphFont"/>
    <w:uiPriority w:val="99"/>
    <w:unhideWhenUsed/>
    <w:rsid w:val="002163A4"/>
    <w:rPr>
      <w:vertAlign w:val="superscript"/>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semiHidden/>
    <w:rsid w:val="0094780C"/>
    <w:rPr>
      <w:rFonts w:ascii="Calibri" w:eastAsiaTheme="majorEastAsia" w:hAnsi="Calibri" w:cstheme="majorBidi"/>
      <w:b/>
      <w:color w:val="000000" w:themeColor="text1"/>
    </w:rPr>
  </w:style>
  <w:style w:type="character" w:customStyle="1" w:styleId="Heading6Char">
    <w:name w:val="Heading 6 Char"/>
    <w:basedOn w:val="DefaultParagraphFont"/>
    <w:link w:val="Heading6"/>
    <w:uiPriority w:val="9"/>
    <w:semiHidden/>
    <w:rsid w:val="00EF60BC"/>
    <w:rPr>
      <w:rFonts w:ascii="Calibri" w:eastAsiaTheme="majorEastAsia" w:hAnsi="Calibri" w:cstheme="majorBidi"/>
      <w:b/>
      <w:i/>
      <w:color w:val="757575"/>
    </w:rPr>
  </w:style>
  <w:style w:type="paragraph" w:customStyle="1" w:styleId="Normal-Centred">
    <w:name w:val="Normal - Centred"/>
    <w:basedOn w:val="Normal"/>
    <w:qFormat/>
    <w:rsid w:val="00595EBF"/>
    <w:pPr>
      <w:spacing w:line="240" w:lineRule="auto"/>
      <w:jc w:val="center"/>
    </w:pPr>
  </w:style>
  <w:style w:type="character" w:styleId="Emphasis">
    <w:name w:val="Emphasis"/>
    <w:basedOn w:val="DefaultParagraphFont"/>
    <w:uiPriority w:val="20"/>
    <w:qFormat/>
    <w:rsid w:val="001C6347"/>
    <w:rPr>
      <w:b w:val="0"/>
      <w:i/>
      <w:iCs/>
    </w:rPr>
  </w:style>
  <w:style w:type="paragraph" w:customStyle="1" w:styleId="Source">
    <w:name w:val="Source"/>
    <w:basedOn w:val="Normal"/>
    <w:uiPriority w:val="17"/>
    <w:qFormat/>
    <w:rsid w:val="000C7841"/>
    <w:pPr>
      <w:pBdr>
        <w:bottom w:val="single" w:sz="4" w:space="5" w:color="auto"/>
      </w:pBdr>
      <w:tabs>
        <w:tab w:val="left" w:pos="590"/>
      </w:tabs>
      <w:ind w:left="590" w:hanging="590"/>
    </w:pPr>
    <w:rPr>
      <w:sz w:val="18"/>
    </w:rPr>
  </w:style>
  <w:style w:type="paragraph" w:customStyle="1" w:styleId="Normal-AfterTableFigure">
    <w:name w:val="Normal - After Table/Figure"/>
    <w:basedOn w:val="Normal"/>
    <w:uiPriority w:val="99"/>
    <w:qFormat/>
    <w:rsid w:val="00F465FF"/>
    <w:pPr>
      <w:spacing w:before="240"/>
    </w:pPr>
  </w:style>
  <w:style w:type="paragraph" w:customStyle="1" w:styleId="Heading1-Numbered">
    <w:name w:val="Heading 1 - Numbered"/>
    <w:basedOn w:val="Heading1"/>
    <w:rsid w:val="008277E6"/>
    <w:pPr>
      <w:numPr>
        <w:numId w:val="13"/>
      </w:numPr>
    </w:pPr>
    <w:rPr>
      <w:rFonts w:asciiTheme="minorHAnsi" w:hAnsiTheme="minorHAnsi"/>
    </w:rPr>
  </w:style>
  <w:style w:type="paragraph" w:customStyle="1" w:styleId="Heading2-Numbered">
    <w:name w:val="Heading 2 - Numbered"/>
    <w:basedOn w:val="Heading2"/>
    <w:rsid w:val="0000492F"/>
    <w:pPr>
      <w:numPr>
        <w:ilvl w:val="1"/>
        <w:numId w:val="13"/>
      </w:numPr>
      <w:tabs>
        <w:tab w:val="left" w:pos="595"/>
      </w:tabs>
    </w:pPr>
  </w:style>
  <w:style w:type="paragraph" w:styleId="Quote">
    <w:name w:val="Quote"/>
    <w:basedOn w:val="Normal"/>
    <w:next w:val="Normal"/>
    <w:link w:val="QuoteChar"/>
    <w:uiPriority w:val="29"/>
    <w:qFormat/>
    <w:rsid w:val="00F121AC"/>
    <w:pPr>
      <w:spacing w:before="200" w:line="240" w:lineRule="auto"/>
      <w:ind w:left="567" w:right="567"/>
    </w:pPr>
    <w:rPr>
      <w:i/>
      <w:iCs/>
      <w:color w:val="404040" w:themeColor="text1" w:themeTint="BF"/>
    </w:rPr>
  </w:style>
  <w:style w:type="character" w:customStyle="1" w:styleId="QuoteChar">
    <w:name w:val="Quote Char"/>
    <w:basedOn w:val="DefaultParagraphFont"/>
    <w:link w:val="Quote"/>
    <w:uiPriority w:val="29"/>
    <w:rsid w:val="00F121AC"/>
    <w:rPr>
      <w:i/>
      <w:iCs/>
      <w:color w:val="404040" w:themeColor="text1" w:themeTint="BF"/>
    </w:rPr>
  </w:style>
  <w:style w:type="character" w:styleId="IntenseEmphasis">
    <w:name w:val="Intense Emphasis"/>
    <w:basedOn w:val="DefaultParagraphFont"/>
    <w:uiPriority w:val="21"/>
    <w:rsid w:val="00A34D39"/>
    <w:rPr>
      <w:b/>
      <w:i/>
      <w:iCs/>
      <w:color w:val="auto"/>
    </w:rPr>
  </w:style>
  <w:style w:type="paragraph" w:customStyle="1" w:styleId="Copyright-Largebefore">
    <w:name w:val="Copyright - Large before"/>
    <w:basedOn w:val="Normal"/>
    <w:qFormat/>
    <w:rsid w:val="006C2810"/>
    <w:pPr>
      <w:spacing w:before="1080" w:line="240" w:lineRule="auto"/>
    </w:pPr>
    <w:rPr>
      <w:rFonts w:eastAsia="Times New Roman" w:cs="Times New Roman"/>
      <w:sz w:val="20"/>
      <w:szCs w:val="20"/>
    </w:rPr>
  </w:style>
  <w:style w:type="paragraph" w:styleId="TOC1">
    <w:name w:val="toc 1"/>
    <w:basedOn w:val="Normal"/>
    <w:next w:val="Normal"/>
    <w:autoRedefine/>
    <w:uiPriority w:val="39"/>
    <w:unhideWhenUsed/>
    <w:rsid w:val="00E41F86"/>
    <w:pPr>
      <w:tabs>
        <w:tab w:val="right" w:pos="9060"/>
      </w:tabs>
      <w:spacing w:before="180" w:after="100"/>
    </w:pPr>
    <w:rPr>
      <w:color w:val="32375D"/>
      <w:sz w:val="28"/>
    </w:rPr>
  </w:style>
  <w:style w:type="paragraph" w:styleId="TOC2">
    <w:name w:val="toc 2"/>
    <w:basedOn w:val="Normal"/>
    <w:next w:val="Normal"/>
    <w:autoRedefine/>
    <w:uiPriority w:val="39"/>
    <w:unhideWhenUsed/>
    <w:rsid w:val="000F2792"/>
    <w:pPr>
      <w:tabs>
        <w:tab w:val="left" w:pos="880"/>
        <w:tab w:val="right" w:pos="9060"/>
      </w:tabs>
      <w:spacing w:before="60" w:after="60"/>
      <w:ind w:left="312"/>
      <w:jc w:val="both"/>
    </w:pPr>
    <w:rPr>
      <w:noProof/>
      <w:lang w:val="en-US"/>
    </w:rPr>
  </w:style>
  <w:style w:type="paragraph" w:styleId="TOC3">
    <w:name w:val="toc 3"/>
    <w:basedOn w:val="Normal"/>
    <w:next w:val="Normal"/>
    <w:autoRedefine/>
    <w:uiPriority w:val="39"/>
    <w:unhideWhenUsed/>
    <w:rsid w:val="00FE6EE5"/>
    <w:pPr>
      <w:tabs>
        <w:tab w:val="right" w:pos="9060"/>
      </w:tabs>
      <w:spacing w:after="100"/>
      <w:ind w:left="737"/>
    </w:pPr>
    <w:rPr>
      <w:noProof/>
    </w:rPr>
  </w:style>
  <w:style w:type="paragraph" w:styleId="TOCHeading">
    <w:name w:val="TOC Heading"/>
    <w:basedOn w:val="Heading1"/>
    <w:next w:val="Normal"/>
    <w:uiPriority w:val="39"/>
    <w:unhideWhenUsed/>
    <w:qFormat/>
    <w:rsid w:val="00325FDF"/>
  </w:style>
  <w:style w:type="table" w:customStyle="1" w:styleId="PullOut-Recommendations">
    <w:name w:val="Pull Out - Recommendations"/>
    <w:basedOn w:val="TableNormal"/>
    <w:uiPriority w:val="99"/>
    <w:rsid w:val="00DE2E7C"/>
    <w:pPr>
      <w:spacing w:before="120" w:after="0" w:line="240" w:lineRule="auto"/>
    </w:pPr>
    <w:tblPr/>
    <w:tcPr>
      <w:shd w:val="clear" w:color="auto" w:fill="E3EAE8"/>
    </w:tcPr>
  </w:style>
  <w:style w:type="paragraph" w:styleId="BalloonText">
    <w:name w:val="Balloon Text"/>
    <w:basedOn w:val="Normal"/>
    <w:link w:val="BalloonTextChar"/>
    <w:uiPriority w:val="99"/>
    <w:semiHidden/>
    <w:rsid w:val="00334D9D"/>
    <w:pPr>
      <w:spacing w:line="240" w:lineRule="auto"/>
    </w:pPr>
    <w:rPr>
      <w:rFonts w:ascii="Meta-Normal" w:hAnsi="Meta-Normal" w:cs="Meta-Normal"/>
      <w:sz w:val="18"/>
      <w:szCs w:val="18"/>
    </w:rPr>
  </w:style>
  <w:style w:type="character" w:customStyle="1" w:styleId="BalloonTextChar">
    <w:name w:val="Balloon Text Char"/>
    <w:basedOn w:val="DefaultParagraphFont"/>
    <w:link w:val="BalloonText"/>
    <w:uiPriority w:val="99"/>
    <w:semiHidden/>
    <w:rsid w:val="00334D9D"/>
    <w:rPr>
      <w:rFonts w:ascii="Meta-Normal" w:hAnsi="Meta-Normal" w:cs="Meta-Normal"/>
      <w:sz w:val="18"/>
      <w:szCs w:val="18"/>
    </w:rPr>
  </w:style>
  <w:style w:type="paragraph" w:customStyle="1" w:styleId="Normal-Indent">
    <w:name w:val="Normal - Indent"/>
    <w:basedOn w:val="Normal"/>
    <w:qFormat/>
    <w:rsid w:val="006A7ED1"/>
    <w:pPr>
      <w:ind w:left="595"/>
    </w:pPr>
  </w:style>
  <w:style w:type="character" w:styleId="CommentReference">
    <w:name w:val="annotation reference"/>
    <w:basedOn w:val="DefaultParagraphFont"/>
    <w:uiPriority w:val="99"/>
    <w:semiHidden/>
    <w:rsid w:val="006E1D52"/>
    <w:rPr>
      <w:sz w:val="16"/>
      <w:szCs w:val="16"/>
    </w:rPr>
  </w:style>
  <w:style w:type="paragraph" w:styleId="CommentText">
    <w:name w:val="annotation text"/>
    <w:basedOn w:val="Normal"/>
    <w:link w:val="CommentTextChar"/>
    <w:uiPriority w:val="99"/>
    <w:rsid w:val="006E1D52"/>
    <w:pPr>
      <w:spacing w:line="240" w:lineRule="auto"/>
    </w:pPr>
    <w:rPr>
      <w:szCs w:val="20"/>
    </w:rPr>
  </w:style>
  <w:style w:type="character" w:customStyle="1" w:styleId="CommentTextChar">
    <w:name w:val="Comment Text Char"/>
    <w:basedOn w:val="DefaultParagraphFont"/>
    <w:link w:val="CommentText"/>
    <w:uiPriority w:val="99"/>
    <w:rsid w:val="006E1D52"/>
    <w:rPr>
      <w:rFonts w:ascii="Arial" w:hAnsi="Arial"/>
      <w:sz w:val="20"/>
      <w:szCs w:val="20"/>
    </w:rPr>
  </w:style>
  <w:style w:type="paragraph" w:styleId="CommentSubject">
    <w:name w:val="annotation subject"/>
    <w:basedOn w:val="CommentText"/>
    <w:next w:val="CommentText"/>
    <w:link w:val="CommentSubjectChar"/>
    <w:uiPriority w:val="99"/>
    <w:semiHidden/>
    <w:rsid w:val="006E1D52"/>
    <w:rPr>
      <w:b/>
      <w:bCs/>
    </w:rPr>
  </w:style>
  <w:style w:type="character" w:customStyle="1" w:styleId="CommentSubjectChar">
    <w:name w:val="Comment Subject Char"/>
    <w:basedOn w:val="CommentTextChar"/>
    <w:link w:val="CommentSubject"/>
    <w:uiPriority w:val="99"/>
    <w:semiHidden/>
    <w:rsid w:val="006E1D52"/>
    <w:rPr>
      <w:rFonts w:ascii="Arial" w:hAnsi="Arial"/>
      <w:b/>
      <w:bCs/>
      <w:sz w:val="20"/>
      <w:szCs w:val="20"/>
    </w:rPr>
  </w:style>
  <w:style w:type="paragraph" w:customStyle="1" w:styleId="TOC1-ListofExhibits">
    <w:name w:val="TOC 1 - List of Exhibits"/>
    <w:basedOn w:val="TOC1"/>
    <w:qFormat/>
    <w:rsid w:val="006D4DF9"/>
    <w:pPr>
      <w:spacing w:before="120" w:after="0"/>
      <w:ind w:left="1134" w:hanging="1134"/>
    </w:pPr>
    <w:rPr>
      <w:color w:val="auto"/>
      <w:sz w:val="22"/>
    </w:rPr>
  </w:style>
  <w:style w:type="paragraph" w:customStyle="1" w:styleId="Notes-NoLine">
    <w:name w:val="Notes - No Line"/>
    <w:basedOn w:val="Source"/>
    <w:qFormat/>
    <w:rsid w:val="000C7841"/>
    <w:pPr>
      <w:pBdr>
        <w:bottom w:val="none" w:sz="0" w:space="0" w:color="auto"/>
      </w:pBdr>
    </w:pPr>
  </w:style>
  <w:style w:type="character" w:styleId="FollowedHyperlink">
    <w:name w:val="FollowedHyperlink"/>
    <w:basedOn w:val="DefaultParagraphFont"/>
    <w:uiPriority w:val="99"/>
    <w:semiHidden/>
    <w:rsid w:val="00187808"/>
    <w:rPr>
      <w:color w:val="954F72" w:themeColor="followedHyperlink"/>
      <w:u w:val="single"/>
    </w:rPr>
  </w:style>
  <w:style w:type="paragraph" w:customStyle="1" w:styleId="BoxHeading-Finding">
    <w:name w:val="Box Heading - Finding"/>
    <w:basedOn w:val="Normal"/>
    <w:autoRedefine/>
    <w:rsid w:val="007C64D5"/>
    <w:pPr>
      <w:spacing w:after="0" w:line="240" w:lineRule="auto"/>
    </w:pPr>
    <w:rPr>
      <w:rFonts w:eastAsiaTheme="majorEastAsia" w:cstheme="majorBidi"/>
      <w:b/>
      <w:sz w:val="26"/>
      <w:szCs w:val="26"/>
    </w:rPr>
  </w:style>
  <w:style w:type="paragraph" w:customStyle="1" w:styleId="BoxHeading-Recommendation">
    <w:name w:val="Box Heading - Recommendation"/>
    <w:basedOn w:val="Normal"/>
    <w:qFormat/>
    <w:rsid w:val="005662B2"/>
    <w:pPr>
      <w:spacing w:after="0" w:line="240" w:lineRule="auto"/>
      <w:ind w:left="357" w:hanging="357"/>
    </w:pPr>
    <w:rPr>
      <w:rFonts w:eastAsiaTheme="majorEastAsia" w:cstheme="majorBidi"/>
      <w:b/>
      <w:color w:val="000000" w:themeColor="text1"/>
      <w:sz w:val="26"/>
      <w:szCs w:val="26"/>
    </w:rPr>
  </w:style>
  <w:style w:type="paragraph" w:customStyle="1" w:styleId="Notes">
    <w:name w:val="Notes"/>
    <w:basedOn w:val="Source"/>
    <w:uiPriority w:val="99"/>
    <w:qFormat/>
    <w:rsid w:val="000C7841"/>
    <w:pPr>
      <w:pBdr>
        <w:bottom w:val="single" w:sz="4" w:space="6" w:color="auto"/>
      </w:pBdr>
    </w:pPr>
  </w:style>
  <w:style w:type="table" w:styleId="GridTable1Light">
    <w:name w:val="Grid Table 1 Light"/>
    <w:basedOn w:val="TableNormal"/>
    <w:uiPriority w:val="46"/>
    <w:rsid w:val="00A7185E"/>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ullOut-Box">
    <w:name w:val="Pull Out - Box"/>
    <w:basedOn w:val="TableNormal"/>
    <w:uiPriority w:val="99"/>
    <w:rsid w:val="00A7185E"/>
    <w:pPr>
      <w:spacing w:after="0" w:line="240" w:lineRule="auto"/>
    </w:pPr>
    <w:tblPr/>
    <w:tcPr>
      <w:shd w:val="clear" w:color="auto" w:fill="ECECEC"/>
    </w:tcPr>
  </w:style>
  <w:style w:type="paragraph" w:styleId="NormalWeb">
    <w:name w:val="Normal (Web)"/>
    <w:aliases w:val="Char,Normal bulleted"/>
    <w:basedOn w:val="Normal"/>
    <w:link w:val="NormalWebChar"/>
    <w:uiPriority w:val="99"/>
    <w:unhideWhenUsed/>
    <w:rsid w:val="00A7185E"/>
    <w:pPr>
      <w:spacing w:before="100" w:beforeAutospacing="1" w:after="100" w:afterAutospacing="1" w:line="240" w:lineRule="auto"/>
    </w:pPr>
    <w:rPr>
      <w:rFonts w:ascii="Arial" w:hAnsi="Arial" w:cs="Arial"/>
      <w:sz w:val="24"/>
      <w:szCs w:val="24"/>
    </w:rPr>
  </w:style>
  <w:style w:type="paragraph" w:styleId="EndnoteText">
    <w:name w:val="endnote text"/>
    <w:basedOn w:val="Normal"/>
    <w:link w:val="EndnoteTextChar"/>
    <w:uiPriority w:val="99"/>
    <w:unhideWhenUsed/>
    <w:rsid w:val="00A7185E"/>
    <w:pPr>
      <w:spacing w:before="0" w:after="0" w:line="240" w:lineRule="auto"/>
    </w:pPr>
    <w:rPr>
      <w:rFonts w:cs="Times New Roman"/>
      <w:sz w:val="20"/>
      <w:szCs w:val="20"/>
    </w:rPr>
  </w:style>
  <w:style w:type="character" w:customStyle="1" w:styleId="EndnoteTextChar">
    <w:name w:val="Endnote Text Char"/>
    <w:basedOn w:val="DefaultParagraphFont"/>
    <w:link w:val="EndnoteText"/>
    <w:uiPriority w:val="99"/>
    <w:rsid w:val="00A7185E"/>
    <w:rPr>
      <w:rFonts w:ascii="Calibri" w:hAnsi="Calibri" w:cs="Times New Roman"/>
      <w:sz w:val="20"/>
      <w:szCs w:val="20"/>
    </w:rPr>
  </w:style>
  <w:style w:type="character" w:styleId="EndnoteReference">
    <w:name w:val="endnote reference"/>
    <w:basedOn w:val="DefaultParagraphFont"/>
    <w:uiPriority w:val="99"/>
    <w:semiHidden/>
    <w:unhideWhenUsed/>
    <w:rsid w:val="00A7185E"/>
    <w:rPr>
      <w:vertAlign w:val="superscript"/>
    </w:rPr>
  </w:style>
  <w:style w:type="numbering" w:customStyle="1" w:styleId="NoList1">
    <w:name w:val="No List1"/>
    <w:next w:val="NoList"/>
    <w:uiPriority w:val="99"/>
    <w:semiHidden/>
    <w:unhideWhenUsed/>
    <w:rsid w:val="00210278"/>
  </w:style>
  <w:style w:type="paragraph" w:styleId="Revision">
    <w:name w:val="Revision"/>
    <w:hidden/>
    <w:uiPriority w:val="99"/>
    <w:semiHidden/>
    <w:rsid w:val="00612DC9"/>
    <w:pPr>
      <w:spacing w:after="0" w:line="240" w:lineRule="auto"/>
    </w:pPr>
    <w:rPr>
      <w:rFonts w:ascii="CIDFont+F1" w:hAnsi="CIDFont+F1"/>
    </w:rPr>
  </w:style>
  <w:style w:type="numbering" w:customStyle="1" w:styleId="NoList2">
    <w:name w:val="No List2"/>
    <w:next w:val="NoList"/>
    <w:uiPriority w:val="99"/>
    <w:semiHidden/>
    <w:unhideWhenUsed/>
    <w:rsid w:val="007722A4"/>
  </w:style>
  <w:style w:type="numbering" w:customStyle="1" w:styleId="RSCBNumberList11">
    <w:name w:val="RSCB Number List 11"/>
    <w:uiPriority w:val="99"/>
    <w:rsid w:val="007722A4"/>
  </w:style>
  <w:style w:type="numbering" w:customStyle="1" w:styleId="Style11">
    <w:name w:val="Style11"/>
    <w:uiPriority w:val="99"/>
    <w:rsid w:val="007722A4"/>
  </w:style>
  <w:style w:type="table" w:customStyle="1" w:styleId="PullOut-Findings">
    <w:name w:val="Pull Out - Findings"/>
    <w:basedOn w:val="TableNormal"/>
    <w:uiPriority w:val="99"/>
    <w:rsid w:val="00DE2E7C"/>
    <w:pPr>
      <w:spacing w:after="0" w:line="240" w:lineRule="auto"/>
    </w:pPr>
    <w:tblPr/>
    <w:tcPr>
      <w:shd w:val="clear" w:color="auto" w:fill="E3E8F4"/>
    </w:tcPr>
  </w:style>
  <w:style w:type="numbering" w:customStyle="1" w:styleId="NoList11">
    <w:name w:val="No List11"/>
    <w:next w:val="NoList"/>
    <w:uiPriority w:val="99"/>
    <w:semiHidden/>
    <w:unhideWhenUsed/>
    <w:rsid w:val="007722A4"/>
  </w:style>
  <w:style w:type="numbering" w:customStyle="1" w:styleId="NoList3">
    <w:name w:val="No List3"/>
    <w:next w:val="NoList"/>
    <w:uiPriority w:val="99"/>
    <w:semiHidden/>
    <w:unhideWhenUsed/>
    <w:rsid w:val="00EF5883"/>
  </w:style>
  <w:style w:type="numbering" w:customStyle="1" w:styleId="NoList12">
    <w:name w:val="No List12"/>
    <w:next w:val="NoList"/>
    <w:uiPriority w:val="99"/>
    <w:semiHidden/>
    <w:unhideWhenUsed/>
    <w:rsid w:val="00EF5883"/>
  </w:style>
  <w:style w:type="numbering" w:customStyle="1" w:styleId="NoList21">
    <w:name w:val="No List21"/>
    <w:next w:val="NoList"/>
    <w:uiPriority w:val="99"/>
    <w:semiHidden/>
    <w:unhideWhenUsed/>
    <w:rsid w:val="00EF5883"/>
  </w:style>
  <w:style w:type="numbering" w:customStyle="1" w:styleId="RSCBNumberList111">
    <w:name w:val="RSCB Number List 111"/>
    <w:uiPriority w:val="99"/>
    <w:rsid w:val="00EF5883"/>
  </w:style>
  <w:style w:type="numbering" w:customStyle="1" w:styleId="Style111">
    <w:name w:val="Style111"/>
    <w:uiPriority w:val="99"/>
    <w:rsid w:val="00EF5883"/>
  </w:style>
  <w:style w:type="numbering" w:customStyle="1" w:styleId="NoList111">
    <w:name w:val="No List111"/>
    <w:next w:val="NoList"/>
    <w:uiPriority w:val="99"/>
    <w:semiHidden/>
    <w:unhideWhenUsed/>
    <w:rsid w:val="00EF5883"/>
  </w:style>
  <w:style w:type="character" w:customStyle="1" w:styleId="Subtitle-Black">
    <w:name w:val="_Subtitle - Black"/>
    <w:basedOn w:val="DefaultParagraphFont"/>
    <w:uiPriority w:val="1"/>
    <w:qFormat/>
    <w:rsid w:val="00DF7A47"/>
    <w:rPr>
      <w:rFonts w:asciiTheme="minorHAnsi" w:hAnsiTheme="minorHAnsi"/>
      <w:color w:val="auto"/>
      <w:spacing w:val="2"/>
      <w:sz w:val="38"/>
    </w:rPr>
  </w:style>
  <w:style w:type="character" w:customStyle="1" w:styleId="Subtitle-SmallSpace">
    <w:name w:val="_Subtitle - Small Space"/>
    <w:basedOn w:val="Subtitle-Black"/>
    <w:uiPriority w:val="1"/>
    <w:qFormat/>
    <w:rsid w:val="00BE1A2D"/>
    <w:rPr>
      <w:rFonts w:asciiTheme="minorHAnsi" w:hAnsiTheme="minorHAnsi"/>
      <w:color w:val="FFFFFF" w:themeColor="background1"/>
      <w:spacing w:val="2"/>
      <w:sz w:val="28"/>
    </w:rPr>
  </w:style>
  <w:style w:type="paragraph" w:customStyle="1" w:styleId="BoardMembers-Heading">
    <w:name w:val="Board Members - Heading"/>
    <w:basedOn w:val="Normal"/>
    <w:qFormat/>
    <w:rsid w:val="006C2810"/>
    <w:rPr>
      <w:b/>
    </w:rPr>
  </w:style>
  <w:style w:type="paragraph" w:customStyle="1" w:styleId="Heading1-LettertotheMinister">
    <w:name w:val="Heading 1 - Letter to the Minister"/>
    <w:basedOn w:val="Heading1"/>
    <w:qFormat/>
    <w:rsid w:val="008B5C32"/>
    <w:pPr>
      <w:spacing w:before="40" w:after="40" w:line="400" w:lineRule="exact"/>
    </w:pPr>
    <w:rPr>
      <w:rFonts w:eastAsia="Times New Roman"/>
      <w:color w:val="FFFFFF" w:themeColor="background1"/>
      <w:sz w:val="12"/>
    </w:rPr>
  </w:style>
  <w:style w:type="paragraph" w:customStyle="1" w:styleId="BoxHeading-Box">
    <w:name w:val="Box Heading - Box"/>
    <w:basedOn w:val="Normal"/>
    <w:qFormat/>
    <w:rsid w:val="00F3231F"/>
    <w:pPr>
      <w:numPr>
        <w:numId w:val="7"/>
      </w:numPr>
      <w:tabs>
        <w:tab w:val="left" w:pos="7371"/>
      </w:tabs>
      <w:spacing w:after="0" w:line="240" w:lineRule="auto"/>
      <w:contextualSpacing/>
    </w:pPr>
    <w:rPr>
      <w:rFonts w:eastAsia="Times New Roman" w:cs="Times New Roman"/>
      <w:b/>
      <w:sz w:val="26"/>
      <w:szCs w:val="24"/>
      <w:lang w:eastAsia="en-AU"/>
    </w:rPr>
  </w:style>
  <w:style w:type="paragraph" w:customStyle="1" w:styleId="Copyright">
    <w:name w:val="Copyright"/>
    <w:basedOn w:val="Normal"/>
    <w:qFormat/>
    <w:rsid w:val="006779CC"/>
    <w:pPr>
      <w:spacing w:line="240" w:lineRule="auto"/>
    </w:pPr>
    <w:rPr>
      <w:sz w:val="20"/>
    </w:rPr>
  </w:style>
  <w:style w:type="paragraph" w:customStyle="1" w:styleId="Copyright-Indent">
    <w:name w:val="Copyright - Indent"/>
    <w:basedOn w:val="Copyright"/>
    <w:qFormat/>
    <w:rsid w:val="006779CC"/>
    <w:pPr>
      <w:ind w:left="595"/>
    </w:pPr>
  </w:style>
  <w:style w:type="paragraph" w:styleId="TableofFigures">
    <w:name w:val="table of figures"/>
    <w:basedOn w:val="Normal"/>
    <w:next w:val="Normal"/>
    <w:uiPriority w:val="99"/>
    <w:rsid w:val="00260942"/>
    <w:pPr>
      <w:spacing w:after="0"/>
    </w:pPr>
  </w:style>
  <w:style w:type="paragraph" w:customStyle="1" w:styleId="Quote-BeforeBox">
    <w:name w:val="Quote - Before Box"/>
    <w:basedOn w:val="Quote"/>
    <w:rsid w:val="007469A8"/>
    <w:pPr>
      <w:spacing w:after="240"/>
    </w:pPr>
    <w:rPr>
      <w:rFonts w:eastAsia="Times New Roman" w:cs="Times New Roman"/>
      <w:szCs w:val="20"/>
    </w:rPr>
  </w:style>
  <w:style w:type="paragraph" w:customStyle="1" w:styleId="Heading2-RecommendationsFindings">
    <w:name w:val="Heading 2 - Recommendations/Findings"/>
    <w:basedOn w:val="Heading2"/>
    <w:qFormat/>
    <w:rsid w:val="0045624B"/>
  </w:style>
  <w:style w:type="table" w:styleId="GridTable4-Accent4">
    <w:name w:val="Grid Table 4 Accent 4"/>
    <w:basedOn w:val="TableNormal"/>
    <w:uiPriority w:val="49"/>
    <w:rsid w:val="00BB363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Normal-BeforePulloutBox">
    <w:name w:val="Normal - Before Pullout Box"/>
    <w:basedOn w:val="Normal"/>
    <w:qFormat/>
    <w:rsid w:val="00953FD5"/>
    <w:pPr>
      <w:spacing w:after="240"/>
    </w:pPr>
  </w:style>
  <w:style w:type="paragraph" w:customStyle="1" w:styleId="Heading2-TermsofReference">
    <w:name w:val="Heading 2 - Terms of Reference"/>
    <w:basedOn w:val="Heading3"/>
    <w:rsid w:val="00F004DB"/>
  </w:style>
  <w:style w:type="paragraph" w:customStyle="1" w:styleId="Normal-ChairSignatureBlock">
    <w:name w:val="Normal - Chair Signature Block"/>
    <w:basedOn w:val="Normal"/>
    <w:qFormat/>
    <w:rsid w:val="006C2810"/>
    <w:pPr>
      <w:spacing w:before="360"/>
    </w:pPr>
  </w:style>
  <w:style w:type="paragraph" w:customStyle="1" w:styleId="TableHeading-Centred">
    <w:name w:val="Table Heading - Centred"/>
    <w:basedOn w:val="Normal"/>
    <w:qFormat/>
    <w:rsid w:val="00AC5824"/>
    <w:pPr>
      <w:spacing w:beforeLines="20" w:before="48" w:afterLines="20" w:after="48" w:line="240" w:lineRule="auto"/>
      <w:jc w:val="center"/>
    </w:pPr>
    <w:rPr>
      <w:b/>
      <w:color w:val="FFFFFF" w:themeColor="background1"/>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pPr>
      <w:ind w:left="720"/>
      <w:contextualSpacing/>
    </w:pPr>
  </w:style>
  <w:style w:type="paragraph" w:styleId="BodyText">
    <w:name w:val="Body Text"/>
    <w:basedOn w:val="Normal"/>
    <w:link w:val="BodyTextChar"/>
    <w:uiPriority w:val="99"/>
    <w:unhideWhenUsed/>
    <w:rsid w:val="004023F2"/>
    <w:pPr>
      <w:widowControl w:val="0"/>
      <w:spacing w:before="0" w:after="240" w:line="240" w:lineRule="auto"/>
    </w:pPr>
    <w:rPr>
      <w:rFonts w:ascii="HelveticaNeue" w:eastAsia="Yu Gothic Light" w:hAnsi="HelveticaNeue" w:cs="Yu Gothic Light"/>
      <w:sz w:val="20"/>
      <w:szCs w:val="24"/>
      <w:lang w:val="en-US" w:eastAsia="en-IN"/>
    </w:rPr>
  </w:style>
  <w:style w:type="character" w:customStyle="1" w:styleId="BodyTextChar">
    <w:name w:val="Body Text Char"/>
    <w:basedOn w:val="DefaultParagraphFont"/>
    <w:link w:val="BodyText"/>
    <w:uiPriority w:val="99"/>
    <w:rsid w:val="004023F2"/>
    <w:rPr>
      <w:rFonts w:ascii="HelveticaNeue" w:eastAsia="Yu Gothic Light" w:hAnsi="HelveticaNeue" w:cs="Yu Gothic Light"/>
      <w:sz w:val="20"/>
      <w:szCs w:val="24"/>
      <w:lang w:val="en-US" w:eastAsia="en-IN"/>
    </w:rPr>
  </w:style>
  <w:style w:type="character" w:styleId="UnresolvedMention">
    <w:name w:val="Unresolved Mention"/>
    <w:basedOn w:val="DefaultParagraphFont"/>
    <w:uiPriority w:val="99"/>
    <w:unhideWhenUsed/>
    <w:rsid w:val="009C209E"/>
    <w:rPr>
      <w:color w:val="605E5C"/>
      <w:shd w:val="clear" w:color="auto" w:fill="E1DFDD"/>
    </w:rPr>
  </w:style>
  <w:style w:type="paragraph" w:customStyle="1" w:styleId="Datasource">
    <w:name w:val="Data source"/>
    <w:basedOn w:val="Normal"/>
    <w:next w:val="Normal"/>
    <w:uiPriority w:val="3"/>
    <w:qFormat/>
    <w:rsid w:val="006036DD"/>
    <w:pPr>
      <w:tabs>
        <w:tab w:val="left" w:pos="720"/>
      </w:tabs>
      <w:spacing w:before="288" w:after="288" w:line="240" w:lineRule="auto"/>
      <w:ind w:left="720" w:hanging="720"/>
      <w:jc w:val="both"/>
    </w:pPr>
    <w:rPr>
      <w:rFonts w:eastAsia="Times New Roman" w:cs="Times New Roman"/>
      <w:sz w:val="20"/>
      <w:szCs w:val="24"/>
    </w:rPr>
  </w:style>
  <w:style w:type="paragraph" w:customStyle="1" w:styleId="Dotpointswithspacing">
    <w:name w:val="Dot points with spacing"/>
    <w:basedOn w:val="Normal"/>
    <w:link w:val="DotpointswithspacingChar"/>
    <w:uiPriority w:val="2"/>
    <w:qFormat/>
    <w:rsid w:val="008F111E"/>
    <w:pPr>
      <w:numPr>
        <w:numId w:val="2"/>
      </w:numPr>
      <w:spacing w:before="0" w:after="288" w:line="240" w:lineRule="auto"/>
      <w:jc w:val="both"/>
    </w:pPr>
    <w:rPr>
      <w:rFonts w:eastAsia="Times New Roman" w:cs="Times New Roman"/>
      <w:sz w:val="24"/>
      <w:szCs w:val="24"/>
    </w:rPr>
  </w:style>
  <w:style w:type="character" w:customStyle="1" w:styleId="DotpointswithspacingChar">
    <w:name w:val="Dot points with spacing Char"/>
    <w:basedOn w:val="DefaultParagraphFont"/>
    <w:link w:val="Dotpointswithspacing"/>
    <w:uiPriority w:val="2"/>
    <w:rsid w:val="006036DD"/>
    <w:rPr>
      <w:rFonts w:ascii="CIDFont+F1" w:eastAsia="Times New Roman" w:hAnsi="CIDFont+F1" w:cs="Times New Roman"/>
      <w:sz w:val="24"/>
      <w:szCs w:val="24"/>
    </w:rPr>
  </w:style>
  <w:style w:type="paragraph" w:customStyle="1" w:styleId="numberedpara">
    <w:name w:val="numbered para"/>
    <w:basedOn w:val="Normal"/>
    <w:rsid w:val="00222C73"/>
    <w:pPr>
      <w:numPr>
        <w:numId w:val="3"/>
      </w:numPr>
      <w:spacing w:before="0" w:after="0" w:line="240" w:lineRule="auto"/>
    </w:pPr>
    <w:rPr>
      <w:rFonts w:cs="Calibri"/>
      <w:lang w:eastAsia="en-AU"/>
    </w:rPr>
  </w:style>
  <w:style w:type="paragraph" w:customStyle="1" w:styleId="Default">
    <w:name w:val="Default"/>
    <w:rsid w:val="00835118"/>
    <w:pPr>
      <w:autoSpaceDE w:val="0"/>
      <w:autoSpaceDN w:val="0"/>
      <w:adjustRightInd w:val="0"/>
      <w:spacing w:after="0" w:line="240" w:lineRule="auto"/>
    </w:pPr>
    <w:rPr>
      <w:rFonts w:ascii="Calibri Light" w:eastAsiaTheme="minorEastAsia" w:hAnsi="Calibri Light" w:cs="Calibri Light"/>
      <w:color w:val="000000"/>
      <w:sz w:val="24"/>
      <w:szCs w:val="24"/>
    </w:rPr>
  </w:style>
  <w:style w:type="paragraph" w:styleId="NoSpacing">
    <w:name w:val="No Spacing"/>
    <w:uiPriority w:val="1"/>
    <w:qFormat/>
    <w:rsid w:val="000949A5"/>
    <w:pPr>
      <w:spacing w:after="0" w:line="240" w:lineRule="auto"/>
    </w:pPr>
    <w:rPr>
      <w:rFonts w:eastAsiaTheme="minorEastAsia"/>
    </w:rPr>
  </w:style>
  <w:style w:type="paragraph" w:customStyle="1" w:styleId="Numberedlistwithspacing">
    <w:name w:val="Numbered list with spacing"/>
    <w:basedOn w:val="Normal"/>
    <w:uiPriority w:val="2"/>
    <w:qFormat/>
    <w:rsid w:val="00A85B13"/>
    <w:pPr>
      <w:numPr>
        <w:numId w:val="4"/>
      </w:numPr>
      <w:spacing w:before="0" w:after="288" w:line="240" w:lineRule="auto"/>
      <w:jc w:val="both"/>
    </w:pPr>
    <w:rPr>
      <w:rFonts w:eastAsia="Times New Roman" w:cs="Times New Roman"/>
      <w:sz w:val="24"/>
      <w:szCs w:val="24"/>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A85B13"/>
    <w:rPr>
      <w:rFonts w:ascii="Calibri" w:hAnsi="Calibri"/>
    </w:rPr>
  </w:style>
  <w:style w:type="character" w:styleId="Mention">
    <w:name w:val="Mention"/>
    <w:basedOn w:val="DefaultParagraphFont"/>
    <w:uiPriority w:val="99"/>
    <w:unhideWhenUsed/>
    <w:rsid w:val="002D75D8"/>
    <w:rPr>
      <w:color w:val="2B579A"/>
      <w:shd w:val="clear" w:color="auto" w:fill="E1DFDD"/>
    </w:rPr>
  </w:style>
  <w:style w:type="paragraph" w:customStyle="1" w:styleId="Numberedlist">
    <w:name w:val="Numbered list"/>
    <w:basedOn w:val="Normal"/>
    <w:uiPriority w:val="2"/>
    <w:qFormat/>
    <w:rsid w:val="00336330"/>
    <w:pPr>
      <w:numPr>
        <w:numId w:val="5"/>
      </w:numPr>
      <w:spacing w:before="0" w:after="288" w:line="240" w:lineRule="auto"/>
      <w:ind w:left="1080"/>
      <w:contextualSpacing/>
      <w:jc w:val="both"/>
    </w:pPr>
    <w:rPr>
      <w:rFonts w:asciiTheme="minorHAnsi" w:eastAsia="Times New Roman" w:hAnsiTheme="minorHAnsi" w:cs="Meta-Normal"/>
      <w:szCs w:val="32"/>
    </w:rPr>
  </w:style>
  <w:style w:type="paragraph" w:customStyle="1" w:styleId="subsection">
    <w:name w:val="subsection"/>
    <w:basedOn w:val="Normal"/>
    <w:rsid w:val="00C901CE"/>
    <w:pPr>
      <w:spacing w:before="100" w:beforeAutospacing="1" w:after="100" w:afterAutospacing="1" w:line="240" w:lineRule="auto"/>
    </w:pPr>
    <w:rPr>
      <w:rFonts w:ascii="Arial" w:eastAsia="Arial" w:hAnsi="Arial" w:cs="Arial"/>
      <w:sz w:val="24"/>
      <w:szCs w:val="24"/>
      <w:lang w:eastAsia="en-AU"/>
    </w:rPr>
  </w:style>
  <w:style w:type="paragraph" w:customStyle="1" w:styleId="paragraph">
    <w:name w:val="paragraph"/>
    <w:basedOn w:val="Normal"/>
    <w:rsid w:val="00C901CE"/>
    <w:pPr>
      <w:spacing w:before="100" w:beforeAutospacing="1" w:after="100" w:afterAutospacing="1" w:line="240" w:lineRule="auto"/>
    </w:pPr>
    <w:rPr>
      <w:rFonts w:ascii="Arial" w:eastAsia="Arial" w:hAnsi="Arial" w:cs="Arial"/>
      <w:sz w:val="24"/>
      <w:szCs w:val="24"/>
      <w:lang w:eastAsia="en-AU"/>
    </w:rPr>
  </w:style>
  <w:style w:type="paragraph" w:customStyle="1" w:styleId="paragraphsub">
    <w:name w:val="paragraphsub"/>
    <w:basedOn w:val="Normal"/>
    <w:rsid w:val="00C901CE"/>
    <w:pPr>
      <w:spacing w:before="100" w:beforeAutospacing="1" w:after="100" w:afterAutospacing="1" w:line="240" w:lineRule="auto"/>
    </w:pPr>
    <w:rPr>
      <w:rFonts w:ascii="Arial" w:eastAsia="Arial" w:hAnsi="Arial" w:cs="Arial"/>
      <w:sz w:val="24"/>
      <w:szCs w:val="24"/>
      <w:lang w:eastAsia="en-AU"/>
    </w:rPr>
  </w:style>
  <w:style w:type="paragraph" w:customStyle="1" w:styleId="mditem">
    <w:name w:val="mditem"/>
    <w:basedOn w:val="Normal"/>
    <w:rsid w:val="009F3A6B"/>
    <w:pPr>
      <w:spacing w:before="0" w:after="180" w:line="240" w:lineRule="auto"/>
    </w:pPr>
    <w:rPr>
      <w:rFonts w:ascii="Arial" w:eastAsia="Arial" w:hAnsi="Arial" w:cs="Arial"/>
      <w:color w:val="444444"/>
      <w:sz w:val="24"/>
      <w:szCs w:val="24"/>
      <w:lang w:eastAsia="en-AU"/>
    </w:rPr>
  </w:style>
  <w:style w:type="paragraph" w:styleId="ListBullet5">
    <w:name w:val="List Bullet 5"/>
    <w:basedOn w:val="Normal"/>
    <w:uiPriority w:val="99"/>
    <w:unhideWhenUsed/>
    <w:rsid w:val="007829A0"/>
    <w:pPr>
      <w:numPr>
        <w:numId w:val="6"/>
      </w:numPr>
      <w:tabs>
        <w:tab w:val="clear" w:pos="5875"/>
        <w:tab w:val="num" w:pos="567"/>
        <w:tab w:val="num" w:pos="1209"/>
      </w:tabs>
      <w:ind w:left="1209"/>
      <w:contextualSpacing/>
    </w:pPr>
  </w:style>
  <w:style w:type="paragraph" w:styleId="List3">
    <w:name w:val="List 3"/>
    <w:basedOn w:val="Normal"/>
    <w:uiPriority w:val="99"/>
    <w:semiHidden/>
    <w:rsid w:val="00815D15"/>
    <w:pPr>
      <w:ind w:left="849" w:hanging="283"/>
      <w:contextualSpacing/>
    </w:pPr>
  </w:style>
  <w:style w:type="paragraph" w:styleId="List5">
    <w:name w:val="List 5"/>
    <w:basedOn w:val="Normal"/>
    <w:uiPriority w:val="99"/>
    <w:semiHidden/>
    <w:rsid w:val="00815D15"/>
    <w:pPr>
      <w:ind w:left="1415" w:hanging="283"/>
      <w:contextualSpacing/>
    </w:pPr>
  </w:style>
  <w:style w:type="paragraph" w:styleId="List2">
    <w:name w:val="List 2"/>
    <w:basedOn w:val="Normal"/>
    <w:uiPriority w:val="99"/>
    <w:semiHidden/>
    <w:rsid w:val="00815D15"/>
    <w:pPr>
      <w:ind w:left="566" w:hanging="283"/>
      <w:contextualSpacing/>
    </w:pPr>
  </w:style>
  <w:style w:type="table" w:customStyle="1" w:styleId="PullOut-Recommendations1">
    <w:name w:val="Pull Out - Recommendations1"/>
    <w:basedOn w:val="TableNormal"/>
    <w:uiPriority w:val="99"/>
    <w:rsid w:val="004A7BCF"/>
    <w:pPr>
      <w:spacing w:before="120" w:after="0" w:line="240" w:lineRule="auto"/>
    </w:pPr>
    <w:tblPr/>
    <w:tcPr>
      <w:shd w:val="clear" w:color="auto" w:fill="E3EAE8"/>
    </w:tcPr>
  </w:style>
  <w:style w:type="paragraph" w:customStyle="1" w:styleId="Normal1">
    <w:name w:val="Normal1"/>
    <w:rsid w:val="00081550"/>
    <w:pPr>
      <w:widowControl w:val="0"/>
      <w:spacing w:after="200" w:line="276" w:lineRule="auto"/>
    </w:pPr>
    <w:rPr>
      <w:rFonts w:ascii="Calibri Light" w:eastAsia="Calibri Light" w:hAnsi="Calibri Light" w:cs="Calibri Light"/>
      <w:color w:val="000000"/>
    </w:rPr>
  </w:style>
  <w:style w:type="paragraph" w:styleId="List">
    <w:name w:val="List"/>
    <w:basedOn w:val="Normal"/>
    <w:uiPriority w:val="99"/>
    <w:semiHidden/>
    <w:rsid w:val="004E4D23"/>
    <w:pPr>
      <w:ind w:left="283" w:hanging="283"/>
      <w:contextualSpacing/>
    </w:pPr>
  </w:style>
  <w:style w:type="paragraph" w:styleId="TOC4">
    <w:name w:val="toc 4"/>
    <w:basedOn w:val="Normal"/>
    <w:next w:val="Normal"/>
    <w:autoRedefine/>
    <w:uiPriority w:val="39"/>
    <w:rsid w:val="00F22609"/>
    <w:pPr>
      <w:spacing w:after="100"/>
      <w:ind w:left="660"/>
    </w:pPr>
  </w:style>
  <w:style w:type="paragraph" w:styleId="TOC5">
    <w:name w:val="toc 5"/>
    <w:basedOn w:val="Normal"/>
    <w:next w:val="Normal"/>
    <w:autoRedefine/>
    <w:uiPriority w:val="39"/>
    <w:unhideWhenUsed/>
    <w:rsid w:val="00F22609"/>
    <w:pPr>
      <w:spacing w:before="0" w:after="100"/>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F22609"/>
    <w:pPr>
      <w:spacing w:before="0" w:after="100"/>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F22609"/>
    <w:pPr>
      <w:spacing w:before="0" w:after="100"/>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F22609"/>
    <w:pPr>
      <w:spacing w:before="0" w:after="100"/>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F22609"/>
    <w:pPr>
      <w:spacing w:before="0" w:after="100"/>
      <w:ind w:left="1760"/>
    </w:pPr>
    <w:rPr>
      <w:rFonts w:asciiTheme="minorHAnsi" w:eastAsiaTheme="minorEastAsia" w:hAnsiTheme="minorHAnsi"/>
      <w:lang w:eastAsia="en-AU"/>
    </w:rPr>
  </w:style>
  <w:style w:type="paragraph" w:customStyle="1" w:styleId="Tablegriddotpoints">
    <w:name w:val="Table grid dot points"/>
    <w:basedOn w:val="Normal"/>
    <w:link w:val="TablegriddotpointsChar"/>
    <w:uiPriority w:val="4"/>
    <w:qFormat/>
    <w:rsid w:val="009E1089"/>
    <w:pPr>
      <w:numPr>
        <w:numId w:val="11"/>
      </w:numPr>
      <w:spacing w:before="0" w:after="0" w:line="240" w:lineRule="auto"/>
      <w:jc w:val="both"/>
    </w:pPr>
    <w:rPr>
      <w:rFonts w:eastAsia="Times New Roman" w:cs="Times New Roman"/>
      <w:szCs w:val="24"/>
    </w:rPr>
  </w:style>
  <w:style w:type="character" w:customStyle="1" w:styleId="TablegriddotpointsChar">
    <w:name w:val="Table grid dot points Char"/>
    <w:basedOn w:val="DefaultParagraphFont"/>
    <w:link w:val="Tablegriddotpoints"/>
    <w:uiPriority w:val="4"/>
    <w:rsid w:val="009E1089"/>
    <w:rPr>
      <w:rFonts w:ascii="CIDFont+F1" w:eastAsia="Times New Roman" w:hAnsi="CIDFont+F1" w:cs="Times New Roman"/>
      <w:szCs w:val="24"/>
    </w:rPr>
  </w:style>
  <w:style w:type="paragraph" w:customStyle="1" w:styleId="Tablegridheading">
    <w:name w:val="Table grid heading"/>
    <w:basedOn w:val="Normal"/>
    <w:link w:val="TablegridheadingChar"/>
    <w:uiPriority w:val="4"/>
    <w:qFormat/>
    <w:rsid w:val="009E1089"/>
    <w:pPr>
      <w:spacing w:before="60" w:after="60" w:line="240" w:lineRule="auto"/>
    </w:pPr>
    <w:rPr>
      <w:rFonts w:eastAsia="Times New Roman" w:cs="Times New Roman"/>
      <w:b/>
      <w:bCs/>
      <w:szCs w:val="20"/>
    </w:rPr>
  </w:style>
  <w:style w:type="character" w:customStyle="1" w:styleId="TablegridheadingChar">
    <w:name w:val="Table grid heading Char"/>
    <w:basedOn w:val="DefaultParagraphFont"/>
    <w:link w:val="Tablegridheading"/>
    <w:uiPriority w:val="4"/>
    <w:rsid w:val="009E1089"/>
    <w:rPr>
      <w:rFonts w:ascii="Calibri" w:eastAsia="Times New Roman" w:hAnsi="Calibri" w:cs="Times New Roman"/>
      <w:b/>
      <w:bCs/>
      <w:szCs w:val="20"/>
    </w:rPr>
  </w:style>
  <w:style w:type="paragraph" w:customStyle="1" w:styleId="Tablegridtext">
    <w:name w:val="Table grid text"/>
    <w:basedOn w:val="Normal"/>
    <w:link w:val="TablegridtextChar"/>
    <w:uiPriority w:val="4"/>
    <w:qFormat/>
    <w:rsid w:val="009E1089"/>
    <w:pPr>
      <w:spacing w:before="0" w:after="0" w:line="240" w:lineRule="auto"/>
      <w:jc w:val="both"/>
    </w:pPr>
    <w:rPr>
      <w:rFonts w:eastAsia="Times New Roman" w:cs="Times New Roman"/>
      <w:szCs w:val="24"/>
    </w:rPr>
  </w:style>
  <w:style w:type="character" w:customStyle="1" w:styleId="TablegridtextChar">
    <w:name w:val="Table grid text Char"/>
    <w:basedOn w:val="DefaultParagraphFont"/>
    <w:link w:val="Tablegridtext"/>
    <w:uiPriority w:val="4"/>
    <w:rsid w:val="009E1089"/>
    <w:rPr>
      <w:rFonts w:ascii="Calibri" w:eastAsia="Times New Roman" w:hAnsi="Calibri" w:cs="Times New Roman"/>
      <w:szCs w:val="24"/>
    </w:rPr>
  </w:style>
  <w:style w:type="paragraph" w:customStyle="1" w:styleId="StyleTablegriddotpointsFirstline0cm2">
    <w:name w:val="Style Table grid dot points + First line:  0 cm2"/>
    <w:basedOn w:val="Tablegriddotpoints"/>
    <w:rsid w:val="009E1089"/>
    <w:pPr>
      <w:jc w:val="left"/>
    </w:pPr>
    <w:rPr>
      <w:szCs w:val="20"/>
    </w:rPr>
  </w:style>
  <w:style w:type="character" w:customStyle="1" w:styleId="Heading7Char">
    <w:name w:val="Heading 7 Char"/>
    <w:basedOn w:val="DefaultParagraphFont"/>
    <w:link w:val="Heading7"/>
    <w:uiPriority w:val="9"/>
    <w:semiHidden/>
    <w:rsid w:val="00ED799A"/>
    <w:rPr>
      <w:rFonts w:asciiTheme="majorHAnsi" w:eastAsiaTheme="majorEastAsia" w:hAnsiTheme="majorHAnsi" w:cstheme="majorBidi"/>
      <w:i/>
      <w:iCs/>
      <w:color w:val="1F4D78" w:themeColor="accent1" w:themeShade="7F"/>
    </w:rPr>
  </w:style>
  <w:style w:type="paragraph" w:styleId="NoteHeading">
    <w:name w:val="Note Heading"/>
    <w:basedOn w:val="Normal"/>
    <w:next w:val="Normal"/>
    <w:link w:val="NoteHeadingChar"/>
    <w:uiPriority w:val="99"/>
    <w:semiHidden/>
    <w:rsid w:val="00ED799A"/>
    <w:pPr>
      <w:spacing w:before="0" w:after="0" w:line="240" w:lineRule="auto"/>
    </w:pPr>
  </w:style>
  <w:style w:type="character" w:customStyle="1" w:styleId="NoteHeadingChar">
    <w:name w:val="Note Heading Char"/>
    <w:basedOn w:val="DefaultParagraphFont"/>
    <w:link w:val="NoteHeading"/>
    <w:uiPriority w:val="99"/>
    <w:semiHidden/>
    <w:rsid w:val="00ED799A"/>
    <w:rPr>
      <w:rFonts w:ascii="Calibri" w:hAnsi="Calibri"/>
    </w:rPr>
  </w:style>
  <w:style w:type="table" w:customStyle="1" w:styleId="NRSBTable1">
    <w:name w:val="NRSB Table1"/>
    <w:basedOn w:val="TableNormal"/>
    <w:next w:val="TableGrid"/>
    <w:rsid w:val="00925BCB"/>
    <w:pPr>
      <w:spacing w:after="40" w:line="240" w:lineRule="auto"/>
    </w:pPr>
    <w:tblPr>
      <w:tblStyleRowBandSize w:val="1"/>
      <w:tblCellMar>
        <w:top w:w="45" w:type="dxa"/>
      </w:tblCellMar>
    </w:tblPr>
    <w:tcPr>
      <w:vAlign w:val="center"/>
    </w:tcPr>
    <w:tblStylePr w:type="firstRow">
      <w:pPr>
        <w:jc w:val="left"/>
      </w:pPr>
      <w:rPr>
        <w:rFonts w:ascii="Calibri" w:hAnsi="Calibri"/>
        <w:b/>
        <w:color w:val="FFFFFF" w:themeColor="background1"/>
        <w:sz w:val="24"/>
      </w:rPr>
      <w:tblPr/>
      <w:tcPr>
        <w:shd w:val="clear" w:color="auto" w:fill="0F294C"/>
      </w:tcPr>
    </w:tblStylePr>
    <w:tblStylePr w:type="lastRow">
      <w:tblPr/>
      <w:tcPr>
        <w:tcBorders>
          <w:bottom w:val="single" w:sz="4" w:space="0" w:color="0F294C"/>
        </w:tcBorders>
      </w:tcPr>
    </w:tblStylePr>
    <w:tblStylePr w:type="band1Horz">
      <w:tblPr/>
      <w:tcPr>
        <w:shd w:val="clear" w:color="auto" w:fill="D7E0F1"/>
      </w:tcPr>
    </w:tblStylePr>
  </w:style>
  <w:style w:type="table" w:customStyle="1" w:styleId="PullOutBox1">
    <w:name w:val="Pull Out Box 1"/>
    <w:basedOn w:val="TableNormal"/>
    <w:uiPriority w:val="99"/>
    <w:rsid w:val="00925BCB"/>
    <w:pPr>
      <w:spacing w:before="120" w:after="0" w:line="240" w:lineRule="auto"/>
    </w:pPr>
    <w:tblPr/>
    <w:tcPr>
      <w:shd w:val="clear" w:color="auto" w:fill="E3E8F4"/>
    </w:tcPr>
  </w:style>
  <w:style w:type="table" w:customStyle="1" w:styleId="PullOutBox32">
    <w:name w:val="Pull Out Box 32"/>
    <w:basedOn w:val="TableNormal"/>
    <w:uiPriority w:val="99"/>
    <w:rsid w:val="00925BCB"/>
    <w:pPr>
      <w:spacing w:after="0" w:line="240" w:lineRule="auto"/>
    </w:pPr>
    <w:tblPr/>
    <w:tcPr>
      <w:shd w:val="clear" w:color="auto" w:fill="ECECEC"/>
    </w:tcPr>
  </w:style>
  <w:style w:type="table" w:customStyle="1" w:styleId="PullOutBox22">
    <w:name w:val="Pull Out Box 22"/>
    <w:basedOn w:val="TableNormal"/>
    <w:uiPriority w:val="99"/>
    <w:rsid w:val="00925BCB"/>
    <w:pPr>
      <w:spacing w:after="0" w:line="240" w:lineRule="auto"/>
    </w:pPr>
    <w:tblPr/>
    <w:tcPr>
      <w:shd w:val="clear" w:color="auto" w:fill="F8E7DC"/>
    </w:tcPr>
  </w:style>
  <w:style w:type="table" w:styleId="TableGridLight">
    <w:name w:val="Grid Table Light"/>
    <w:basedOn w:val="TableNormal"/>
    <w:uiPriority w:val="40"/>
    <w:rsid w:val="001336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5">
    <w:name w:val="Grid Table 1 Light Accent 5"/>
    <w:basedOn w:val="TableNormal"/>
    <w:uiPriority w:val="46"/>
    <w:rsid w:val="001336F7"/>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PlainTable1">
    <w:name w:val="Plain Table 1"/>
    <w:basedOn w:val="TableNormal"/>
    <w:uiPriority w:val="41"/>
    <w:rsid w:val="001336F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ourceImageCaption">
    <w:name w:val="Source/Image Caption"/>
    <w:basedOn w:val="Normal"/>
    <w:rsid w:val="00983D39"/>
    <w:pPr>
      <w:pBdr>
        <w:bottom w:val="single" w:sz="4" w:space="5" w:color="auto"/>
      </w:pBdr>
      <w:tabs>
        <w:tab w:val="left" w:pos="590"/>
      </w:tabs>
      <w:ind w:left="590" w:hanging="590"/>
    </w:pPr>
    <w:rPr>
      <w:sz w:val="18"/>
    </w:rPr>
  </w:style>
  <w:style w:type="paragraph" w:customStyle="1" w:styleId="Notes-NoLineafter">
    <w:name w:val="Notes - No Line after"/>
    <w:basedOn w:val="SourceImageCaption"/>
    <w:qFormat/>
    <w:rsid w:val="00983D39"/>
    <w:pPr>
      <w:pBdr>
        <w:bottom w:val="none" w:sz="0" w:space="0" w:color="auto"/>
      </w:pBdr>
    </w:pPr>
    <w:rPr>
      <w:szCs w:val="18"/>
    </w:rPr>
  </w:style>
  <w:style w:type="paragraph" w:customStyle="1" w:styleId="Reference">
    <w:name w:val="Reference"/>
    <w:basedOn w:val="Normal"/>
    <w:uiPriority w:val="3"/>
    <w:qFormat/>
    <w:rsid w:val="002C6EBD"/>
    <w:pPr>
      <w:spacing w:before="0" w:after="288" w:line="240" w:lineRule="auto"/>
      <w:ind w:left="851" w:hanging="851"/>
      <w:contextualSpacing/>
      <w:jc w:val="both"/>
    </w:pPr>
    <w:rPr>
      <w:rFonts w:eastAsia="Times New Roman" w:cs="Times New Roman"/>
      <w:noProof/>
      <w:sz w:val="24"/>
      <w:szCs w:val="24"/>
    </w:rPr>
  </w:style>
  <w:style w:type="paragraph" w:styleId="ListContinue">
    <w:name w:val="List Continue"/>
    <w:basedOn w:val="Normal"/>
    <w:uiPriority w:val="99"/>
    <w:semiHidden/>
    <w:rsid w:val="002C6EBD"/>
    <w:pPr>
      <w:ind w:left="283"/>
      <w:contextualSpacing/>
    </w:pPr>
  </w:style>
  <w:style w:type="paragraph" w:styleId="ListContinue2">
    <w:name w:val="List Continue 2"/>
    <w:basedOn w:val="Normal"/>
    <w:uiPriority w:val="99"/>
    <w:semiHidden/>
    <w:rsid w:val="002C6EBD"/>
    <w:pPr>
      <w:ind w:left="566"/>
      <w:contextualSpacing/>
    </w:pPr>
  </w:style>
  <w:style w:type="paragraph" w:styleId="ListContinue4">
    <w:name w:val="List Continue 4"/>
    <w:basedOn w:val="Normal"/>
    <w:uiPriority w:val="99"/>
    <w:semiHidden/>
    <w:rsid w:val="002C6EBD"/>
    <w:pPr>
      <w:ind w:left="1132"/>
      <w:contextualSpacing/>
    </w:pPr>
  </w:style>
  <w:style w:type="character" w:customStyle="1" w:styleId="SmartLink1">
    <w:name w:val="SmartLink1"/>
    <w:basedOn w:val="DefaultParagraphFont"/>
    <w:uiPriority w:val="99"/>
    <w:unhideWhenUsed/>
    <w:rsid w:val="00A97056"/>
    <w:rPr>
      <w:color w:val="0000FF"/>
      <w:u w:val="single"/>
      <w:shd w:val="clear" w:color="auto" w:fill="F3F2F1"/>
    </w:rPr>
  </w:style>
  <w:style w:type="paragraph" w:customStyle="1" w:styleId="definition">
    <w:name w:val="definition"/>
    <w:basedOn w:val="Normal"/>
    <w:rsid w:val="005B508B"/>
    <w:pPr>
      <w:spacing w:before="100" w:beforeAutospacing="1" w:after="100" w:afterAutospacing="1" w:line="240" w:lineRule="auto"/>
    </w:pPr>
    <w:rPr>
      <w:rFonts w:ascii="Arial" w:eastAsia="Arial" w:hAnsi="Arial" w:cs="Arial"/>
      <w:sz w:val="24"/>
      <w:szCs w:val="24"/>
      <w:lang w:eastAsia="en-AU"/>
    </w:rPr>
  </w:style>
  <w:style w:type="paragraph" w:customStyle="1" w:styleId="xmsonormal">
    <w:name w:val="x_msonormal"/>
    <w:basedOn w:val="Normal"/>
    <w:rsid w:val="00270020"/>
    <w:pPr>
      <w:spacing w:before="0" w:after="0" w:line="240" w:lineRule="auto"/>
    </w:pPr>
    <w:rPr>
      <w:rFonts w:cs="Calibri"/>
      <w:lang w:eastAsia="en-AU"/>
    </w:rPr>
  </w:style>
  <w:style w:type="table" w:customStyle="1" w:styleId="NRSBTable2">
    <w:name w:val="NRSB Table2"/>
    <w:basedOn w:val="TableNormal"/>
    <w:next w:val="TableGrid"/>
    <w:uiPriority w:val="39"/>
    <w:rsid w:val="007025CB"/>
    <w:pPr>
      <w:spacing w:before="20" w:after="20" w:line="240" w:lineRule="auto"/>
    </w:pPr>
    <w:rPr>
      <w:sz w:val="20"/>
    </w:rPr>
    <w:tblPr>
      <w:tblStyleRowBandSize w:val="1"/>
      <w:tblCellMar>
        <w:top w:w="45" w:type="dxa"/>
      </w:tblCellMar>
    </w:tblPr>
    <w:tcPr>
      <w:vAlign w:val="center"/>
    </w:tcPr>
    <w:tblStylePr w:type="firstRow">
      <w:pPr>
        <w:wordWrap/>
        <w:spacing w:beforeLines="20" w:before="20" w:beforeAutospacing="0" w:afterLines="20" w:after="20" w:afterAutospacing="0"/>
        <w:jc w:val="left"/>
      </w:pPr>
      <w:rPr>
        <w:rFonts w:ascii="Calibri" w:hAnsi="Calibri"/>
        <w:b/>
        <w:bCs/>
        <w:color w:val="FFFFFF" w:themeColor="background1"/>
        <w:sz w:val="20"/>
      </w:rPr>
      <w:tblPr/>
      <w:tcPr>
        <w:shd w:val="clear" w:color="auto" w:fill="0F294C"/>
      </w:tcPr>
    </w:tblStylePr>
    <w:tblStylePr w:type="lastRow">
      <w:rPr>
        <w:b/>
        <w:bCs/>
      </w:rPr>
      <w:tblPr/>
      <w:tcPr>
        <w:tcBorders>
          <w:bottom w:val="single" w:sz="4" w:space="0" w:color="0F294C"/>
        </w:tcBorders>
      </w:tcPr>
    </w:tblStylePr>
    <w:tblStylePr w:type="firstCol">
      <w:rPr>
        <w:b/>
        <w:bCs/>
      </w:rPr>
    </w:tblStylePr>
    <w:tblStylePr w:type="lastCol">
      <w:rPr>
        <w:b/>
        <w:bCs/>
      </w:rPr>
    </w:tblStylePr>
    <w:tblStylePr w:type="band1Horz">
      <w:tblPr/>
      <w:tcPr>
        <w:shd w:val="clear" w:color="auto" w:fill="D7E0F1"/>
      </w:tcPr>
    </w:tblStylePr>
  </w:style>
  <w:style w:type="table" w:customStyle="1" w:styleId="NRSBTable3">
    <w:name w:val="NRSB Table3"/>
    <w:basedOn w:val="TableNormal"/>
    <w:next w:val="TableGrid"/>
    <w:uiPriority w:val="39"/>
    <w:rsid w:val="006416A3"/>
    <w:pPr>
      <w:spacing w:before="20" w:after="20" w:line="240" w:lineRule="auto"/>
    </w:pPr>
    <w:rPr>
      <w:sz w:val="20"/>
    </w:rPr>
    <w:tblPr>
      <w:tblStyleRowBandSize w:val="1"/>
      <w:tblCellMar>
        <w:top w:w="45" w:type="dxa"/>
      </w:tblCellMar>
    </w:tblPr>
    <w:tcPr>
      <w:vAlign w:val="center"/>
    </w:tcPr>
    <w:tblStylePr w:type="firstRow">
      <w:pPr>
        <w:wordWrap/>
        <w:spacing w:beforeLines="20" w:before="20" w:beforeAutospacing="0" w:afterLines="20" w:after="20" w:afterAutospacing="0"/>
        <w:jc w:val="left"/>
      </w:pPr>
      <w:rPr>
        <w:rFonts w:ascii="Calibri" w:hAnsi="Calibri"/>
        <w:b/>
        <w:bCs/>
        <w:color w:val="FFFFFF" w:themeColor="background1"/>
        <w:sz w:val="20"/>
      </w:rPr>
      <w:tblPr/>
      <w:tcPr>
        <w:shd w:val="clear" w:color="auto" w:fill="0F294C"/>
      </w:tcPr>
    </w:tblStylePr>
    <w:tblStylePr w:type="lastRow">
      <w:rPr>
        <w:b/>
        <w:bCs/>
      </w:rPr>
      <w:tblPr/>
      <w:tcPr>
        <w:tcBorders>
          <w:bottom w:val="single" w:sz="4" w:space="0" w:color="0F294C"/>
        </w:tcBorders>
      </w:tcPr>
    </w:tblStylePr>
    <w:tblStylePr w:type="firstCol">
      <w:rPr>
        <w:b/>
        <w:bCs/>
      </w:rPr>
    </w:tblStylePr>
    <w:tblStylePr w:type="lastCol">
      <w:rPr>
        <w:b/>
        <w:bCs/>
      </w:rPr>
    </w:tblStylePr>
    <w:tblStylePr w:type="band1Horz">
      <w:tblPr/>
      <w:tcPr>
        <w:shd w:val="clear" w:color="auto" w:fill="D7E0F1"/>
      </w:tcPr>
    </w:tblStylePr>
  </w:style>
  <w:style w:type="character" w:customStyle="1" w:styleId="normaltextrun">
    <w:name w:val="normaltextrun"/>
    <w:basedOn w:val="DefaultParagraphFont"/>
    <w:rsid w:val="001741B5"/>
  </w:style>
  <w:style w:type="character" w:customStyle="1" w:styleId="eop">
    <w:name w:val="eop"/>
    <w:basedOn w:val="DefaultParagraphFont"/>
    <w:rsid w:val="001741B5"/>
  </w:style>
  <w:style w:type="character" w:customStyle="1" w:styleId="tabchar">
    <w:name w:val="tabchar"/>
    <w:basedOn w:val="DefaultParagraphFont"/>
    <w:rsid w:val="00D933E8"/>
  </w:style>
  <w:style w:type="character" w:styleId="SubtleEmphasis">
    <w:name w:val="Subtle Emphasis"/>
    <w:basedOn w:val="DefaultParagraphFont"/>
    <w:uiPriority w:val="19"/>
    <w:qFormat/>
    <w:rPr>
      <w:i/>
      <w:iCs/>
      <w:color w:val="404040" w:themeColor="text1" w:themeTint="BF"/>
    </w:rPr>
  </w:style>
  <w:style w:type="character" w:customStyle="1" w:styleId="superscript">
    <w:name w:val="superscript"/>
    <w:basedOn w:val="DefaultParagraphFont"/>
    <w:rsid w:val="003A7AEF"/>
  </w:style>
  <w:style w:type="character" w:styleId="SmartLink">
    <w:name w:val="Smart Link"/>
    <w:basedOn w:val="DefaultParagraphFont"/>
    <w:uiPriority w:val="99"/>
    <w:unhideWhenUsed/>
    <w:rsid w:val="00434199"/>
    <w:rPr>
      <w:color w:val="0000FF"/>
      <w:u w:val="single"/>
      <w:shd w:val="clear" w:color="auto" w:fill="F3F2F1"/>
    </w:rPr>
  </w:style>
  <w:style w:type="paragraph" w:customStyle="1" w:styleId="xmsolistparagraph">
    <w:name w:val="x_msolistparagraph"/>
    <w:basedOn w:val="Normal"/>
    <w:rsid w:val="00434199"/>
    <w:pPr>
      <w:spacing w:before="0" w:after="0" w:line="240" w:lineRule="auto"/>
      <w:ind w:left="720"/>
    </w:pPr>
    <w:rPr>
      <w:rFonts w:cs="Calibri"/>
      <w:lang w:eastAsia="en-AU"/>
    </w:rPr>
  </w:style>
  <w:style w:type="paragraph" w:customStyle="1" w:styleId="Dotpoints">
    <w:name w:val="Dot points"/>
    <w:basedOn w:val="Normal"/>
    <w:link w:val="DotpointsChar"/>
    <w:uiPriority w:val="2"/>
    <w:qFormat/>
    <w:rsid w:val="00A914DD"/>
    <w:pPr>
      <w:numPr>
        <w:numId w:val="12"/>
      </w:numPr>
      <w:spacing w:before="0" w:after="288" w:line="240" w:lineRule="auto"/>
      <w:ind w:left="714" w:hanging="357"/>
      <w:contextualSpacing/>
      <w:jc w:val="both"/>
    </w:pPr>
    <w:rPr>
      <w:rFonts w:asciiTheme="minorHAnsi" w:eastAsia="Arial" w:hAnsiTheme="minorHAnsi" w:cs="Yu Mincho"/>
      <w:sz w:val="24"/>
      <w:szCs w:val="32"/>
    </w:rPr>
  </w:style>
  <w:style w:type="character" w:customStyle="1" w:styleId="DotpointsChar">
    <w:name w:val="Dot points Char"/>
    <w:basedOn w:val="DefaultParagraphFont"/>
    <w:link w:val="Dotpoints"/>
    <w:uiPriority w:val="2"/>
    <w:rsid w:val="00A914DD"/>
    <w:rPr>
      <w:rFonts w:eastAsia="Arial" w:cs="Yu Mincho"/>
      <w:sz w:val="24"/>
      <w:szCs w:val="32"/>
    </w:rPr>
  </w:style>
  <w:style w:type="table" w:styleId="ListTable3-Accent1">
    <w:name w:val="List Table 3 Accent 1"/>
    <w:basedOn w:val="TableNormal"/>
    <w:uiPriority w:val="48"/>
    <w:rsid w:val="00A914DD"/>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5">
    <w:name w:val="List Table 3 Accent 5"/>
    <w:basedOn w:val="TableNormal"/>
    <w:uiPriority w:val="48"/>
    <w:rsid w:val="00A914DD"/>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Heading2-A">
    <w:name w:val="Heading 2 - A"/>
    <w:aliases w:val="B"/>
    <w:basedOn w:val="Heading2"/>
    <w:qFormat/>
    <w:rsid w:val="00FB6DC2"/>
    <w:rPr>
      <w:sz w:val="40"/>
    </w:rPr>
  </w:style>
  <w:style w:type="table" w:styleId="GridTable1Light-Accent1">
    <w:name w:val="Grid Table 1 Light Accent 1"/>
    <w:basedOn w:val="TableNormal"/>
    <w:uiPriority w:val="46"/>
    <w:rsid w:val="00A5594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PullOut-Recommendations2">
    <w:name w:val="Pull Out - Recommendations2"/>
    <w:basedOn w:val="TableNormal"/>
    <w:uiPriority w:val="99"/>
    <w:rsid w:val="00843657"/>
    <w:pPr>
      <w:spacing w:before="120" w:after="0" w:line="240" w:lineRule="auto"/>
    </w:pPr>
    <w:tblPr/>
    <w:tcPr>
      <w:shd w:val="clear" w:color="auto" w:fill="E3EAE8"/>
    </w:tcPr>
  </w:style>
  <w:style w:type="table" w:customStyle="1" w:styleId="PullOut-Findings1">
    <w:name w:val="Pull Out - Findings1"/>
    <w:basedOn w:val="TableNormal"/>
    <w:uiPriority w:val="99"/>
    <w:rsid w:val="00843657"/>
    <w:pPr>
      <w:spacing w:after="0" w:line="240" w:lineRule="auto"/>
    </w:pPr>
    <w:tblPr/>
    <w:tcPr>
      <w:shd w:val="clear" w:color="auto" w:fill="E3E8F4"/>
    </w:tcPr>
  </w:style>
  <w:style w:type="character" w:customStyle="1" w:styleId="Heading8Char">
    <w:name w:val="Heading 8 Char"/>
    <w:basedOn w:val="DefaultParagraphFont"/>
    <w:link w:val="Heading8"/>
    <w:uiPriority w:val="9"/>
    <w:semiHidden/>
    <w:rsid w:val="00EF41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419F"/>
    <w:rPr>
      <w:rFonts w:asciiTheme="majorHAnsi" w:eastAsiaTheme="majorEastAsia" w:hAnsiTheme="majorHAnsi" w:cstheme="majorBidi"/>
      <w:i/>
      <w:iCs/>
      <w:color w:val="272727" w:themeColor="text1" w:themeTint="D8"/>
      <w:sz w:val="21"/>
      <w:szCs w:val="21"/>
    </w:rPr>
  </w:style>
  <w:style w:type="table" w:styleId="PlainTable2">
    <w:name w:val="Plain Table 2"/>
    <w:basedOn w:val="TableNormal"/>
    <w:uiPriority w:val="42"/>
    <w:rsid w:val="00DF04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1004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Body">
    <w:name w:val="Body"/>
    <w:rsid w:val="00DC26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AU"/>
    </w:rPr>
  </w:style>
  <w:style w:type="table" w:customStyle="1" w:styleId="TableGrid1">
    <w:name w:val="Table Grid1"/>
    <w:basedOn w:val="TableNormal"/>
    <w:next w:val="TableGrid"/>
    <w:uiPriority w:val="39"/>
    <w:rsid w:val="0067057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7133A0"/>
  </w:style>
  <w:style w:type="character" w:customStyle="1" w:styleId="NormalWebChar">
    <w:name w:val="Normal (Web) Char"/>
    <w:aliases w:val="Char Char,Normal bulleted Char"/>
    <w:basedOn w:val="DefaultParagraphFont"/>
    <w:link w:val="NormalWeb"/>
    <w:uiPriority w:val="99"/>
    <w:locked/>
    <w:rsid w:val="00594DFB"/>
    <w:rPr>
      <w:rFonts w:ascii="Arial" w:hAnsi="Arial" w:cs="Arial"/>
      <w:sz w:val="24"/>
      <w:szCs w:val="24"/>
    </w:rPr>
  </w:style>
  <w:style w:type="table" w:customStyle="1" w:styleId="Deloittetable">
    <w:name w:val="Deloitte table"/>
    <w:basedOn w:val="TableNormal"/>
    <w:uiPriority w:val="99"/>
    <w:rsid w:val="00B42B37"/>
    <w:pPr>
      <w:spacing w:after="0" w:line="240" w:lineRule="atLeast"/>
      <w:ind w:left="57" w:right="57"/>
    </w:pPr>
    <w:rPr>
      <w:rFonts w:ascii="Verdana" w:hAnsi="Verdana"/>
      <w:sz w:val="17"/>
      <w:szCs w:val="18"/>
      <w:lang w:val="en-GB"/>
    </w:rPr>
    <w:tblPr>
      <w:tblBorders>
        <w:top w:val="single" w:sz="4" w:space="0" w:color="A5A5A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A5A5A5" w:themeColor="accent3"/>
        </w:tcBorders>
      </w:tcPr>
    </w:tblStylePr>
  </w:style>
  <w:style w:type="paragraph" w:customStyle="1" w:styleId="Numberslevel1">
    <w:name w:val="Numbers level 1"/>
    <w:basedOn w:val="Normal"/>
    <w:uiPriority w:val="4"/>
    <w:semiHidden/>
    <w:qFormat/>
    <w:rsid w:val="003970A1"/>
    <w:pPr>
      <w:numPr>
        <w:numId w:val="17"/>
      </w:numPr>
      <w:suppressAutoHyphens/>
      <w:spacing w:before="0" w:after="0" w:line="250" w:lineRule="atLeast"/>
    </w:pPr>
    <w:rPr>
      <w:rFonts w:ascii="Verdana" w:hAnsi="Verdana"/>
      <w:sz w:val="18"/>
      <w:szCs w:val="18"/>
    </w:rPr>
  </w:style>
  <w:style w:type="paragraph" w:customStyle="1" w:styleId="Numberslevel2">
    <w:name w:val="Numbers level 2"/>
    <w:basedOn w:val="Normal"/>
    <w:uiPriority w:val="4"/>
    <w:semiHidden/>
    <w:rsid w:val="003970A1"/>
    <w:pPr>
      <w:numPr>
        <w:ilvl w:val="1"/>
        <w:numId w:val="17"/>
      </w:numPr>
      <w:suppressAutoHyphens/>
      <w:spacing w:before="0" w:after="0" w:line="250" w:lineRule="atLeast"/>
    </w:pPr>
    <w:rPr>
      <w:rFonts w:ascii="Verdana" w:hAnsi="Verdana"/>
      <w:sz w:val="18"/>
      <w:szCs w:val="18"/>
    </w:rPr>
  </w:style>
  <w:style w:type="paragraph" w:customStyle="1" w:styleId="Numberslevel3">
    <w:name w:val="Numbers level 3"/>
    <w:basedOn w:val="Normal"/>
    <w:uiPriority w:val="4"/>
    <w:semiHidden/>
    <w:rsid w:val="003970A1"/>
    <w:pPr>
      <w:numPr>
        <w:ilvl w:val="2"/>
        <w:numId w:val="17"/>
      </w:numPr>
      <w:suppressAutoHyphens/>
      <w:spacing w:before="0" w:after="0" w:line="250" w:lineRule="atLeast"/>
    </w:pPr>
    <w:rPr>
      <w:rFonts w:ascii="Verdana" w:hAnsi="Verdana"/>
      <w:sz w:val="18"/>
      <w:szCs w:val="18"/>
    </w:rPr>
  </w:style>
  <w:style w:type="paragraph" w:customStyle="1" w:styleId="Subject">
    <w:name w:val="Subject"/>
    <w:basedOn w:val="Normal"/>
    <w:uiPriority w:val="6"/>
    <w:semiHidden/>
    <w:qFormat/>
    <w:rsid w:val="00F20DAC"/>
    <w:pPr>
      <w:spacing w:before="0" w:after="0" w:line="240" w:lineRule="atLeast"/>
    </w:pPr>
    <w:rPr>
      <w:rFonts w:ascii="Verdana" w:hAnsi="Verdana"/>
      <w:b/>
      <w:sz w:val="18"/>
      <w:szCs w:val="18"/>
    </w:rPr>
  </w:style>
  <w:style w:type="paragraph" w:customStyle="1" w:styleId="Heading3un-numbered">
    <w:name w:val="Heading 3 (un-numbered)"/>
    <w:basedOn w:val="Heading3"/>
    <w:next w:val="Normal"/>
    <w:uiPriority w:val="2"/>
    <w:qFormat/>
    <w:rsid w:val="001922FC"/>
    <w:pPr>
      <w:spacing w:before="0" w:after="170" w:line="240" w:lineRule="atLeast"/>
    </w:pPr>
    <w:rPr>
      <w:rFonts w:ascii="Verdana" w:hAnsi="Verdana"/>
      <w:bCs/>
      <w:iCs w:val="0"/>
      <w:sz w:val="18"/>
      <w:szCs w:val="18"/>
      <w:lang w:eastAsia="en-US"/>
    </w:rPr>
  </w:style>
  <w:style w:type="paragraph" w:customStyle="1" w:styleId="CaptionTable">
    <w:name w:val="Caption_Table"/>
    <w:basedOn w:val="Normal"/>
    <w:next w:val="Normal"/>
    <w:uiPriority w:val="4"/>
    <w:qFormat/>
    <w:rsid w:val="006E5E8A"/>
    <w:pPr>
      <w:keepNext/>
      <w:keepLines/>
      <w:spacing w:before="240" w:after="240" w:line="240" w:lineRule="atLeast"/>
    </w:pPr>
    <w:rPr>
      <w:rFonts w:ascii="Verdana" w:eastAsia="Times New Roman" w:hAnsi="Verdana" w:cs="Times New Roman"/>
      <w:color w:val="70AD47" w:themeColor="accent6"/>
      <w:sz w:val="17"/>
      <w:szCs w:val="20"/>
    </w:rPr>
  </w:style>
  <w:style w:type="paragraph" w:customStyle="1" w:styleId="CaptionFigure">
    <w:name w:val="Caption_Figure"/>
    <w:basedOn w:val="Normal"/>
    <w:next w:val="Normal"/>
    <w:uiPriority w:val="4"/>
    <w:qFormat/>
    <w:rsid w:val="006E5E8A"/>
    <w:pPr>
      <w:keepNext/>
      <w:keepLines/>
      <w:spacing w:before="0" w:after="170" w:line="240" w:lineRule="atLeast"/>
    </w:pPr>
    <w:rPr>
      <w:rFonts w:ascii="Verdana" w:hAnsi="Verdana"/>
      <w:bCs/>
      <w:color w:val="70AD47" w:themeColor="accent6"/>
      <w:sz w:val="17"/>
    </w:rPr>
  </w:style>
  <w:style w:type="paragraph" w:customStyle="1" w:styleId="CaptionChart">
    <w:name w:val="Caption_Chart"/>
    <w:basedOn w:val="Normal"/>
    <w:next w:val="Normal"/>
    <w:uiPriority w:val="4"/>
    <w:qFormat/>
    <w:rsid w:val="006E5E8A"/>
    <w:pPr>
      <w:keepNext/>
      <w:keepLines/>
      <w:spacing w:before="0" w:after="170" w:line="240" w:lineRule="atLeast"/>
    </w:pPr>
    <w:rPr>
      <w:rFonts w:ascii="Verdana" w:hAnsi="Verdana"/>
      <w:color w:val="70AD47" w:themeColor="accent6"/>
      <w:sz w:val="17"/>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1105">
      <w:bodyDiv w:val="1"/>
      <w:marLeft w:val="0"/>
      <w:marRight w:val="0"/>
      <w:marTop w:val="0"/>
      <w:marBottom w:val="0"/>
      <w:divBdr>
        <w:top w:val="none" w:sz="0" w:space="0" w:color="auto"/>
        <w:left w:val="none" w:sz="0" w:space="0" w:color="auto"/>
        <w:bottom w:val="none" w:sz="0" w:space="0" w:color="auto"/>
        <w:right w:val="none" w:sz="0" w:space="0" w:color="auto"/>
      </w:divBdr>
    </w:div>
    <w:div w:id="27265515">
      <w:bodyDiv w:val="1"/>
      <w:marLeft w:val="0"/>
      <w:marRight w:val="0"/>
      <w:marTop w:val="0"/>
      <w:marBottom w:val="0"/>
      <w:divBdr>
        <w:top w:val="none" w:sz="0" w:space="0" w:color="auto"/>
        <w:left w:val="none" w:sz="0" w:space="0" w:color="auto"/>
        <w:bottom w:val="none" w:sz="0" w:space="0" w:color="auto"/>
        <w:right w:val="none" w:sz="0" w:space="0" w:color="auto"/>
      </w:divBdr>
    </w:div>
    <w:div w:id="47387137">
      <w:bodyDiv w:val="1"/>
      <w:marLeft w:val="0"/>
      <w:marRight w:val="0"/>
      <w:marTop w:val="0"/>
      <w:marBottom w:val="0"/>
      <w:divBdr>
        <w:top w:val="none" w:sz="0" w:space="0" w:color="auto"/>
        <w:left w:val="none" w:sz="0" w:space="0" w:color="auto"/>
        <w:bottom w:val="none" w:sz="0" w:space="0" w:color="auto"/>
        <w:right w:val="none" w:sz="0" w:space="0" w:color="auto"/>
      </w:divBdr>
    </w:div>
    <w:div w:id="77792355">
      <w:bodyDiv w:val="1"/>
      <w:marLeft w:val="0"/>
      <w:marRight w:val="0"/>
      <w:marTop w:val="0"/>
      <w:marBottom w:val="0"/>
      <w:divBdr>
        <w:top w:val="none" w:sz="0" w:space="0" w:color="auto"/>
        <w:left w:val="none" w:sz="0" w:space="0" w:color="auto"/>
        <w:bottom w:val="none" w:sz="0" w:space="0" w:color="auto"/>
        <w:right w:val="none" w:sz="0" w:space="0" w:color="auto"/>
      </w:divBdr>
    </w:div>
    <w:div w:id="97146469">
      <w:bodyDiv w:val="1"/>
      <w:marLeft w:val="0"/>
      <w:marRight w:val="0"/>
      <w:marTop w:val="0"/>
      <w:marBottom w:val="0"/>
      <w:divBdr>
        <w:top w:val="none" w:sz="0" w:space="0" w:color="auto"/>
        <w:left w:val="none" w:sz="0" w:space="0" w:color="auto"/>
        <w:bottom w:val="none" w:sz="0" w:space="0" w:color="auto"/>
        <w:right w:val="none" w:sz="0" w:space="0" w:color="auto"/>
      </w:divBdr>
    </w:div>
    <w:div w:id="109472392">
      <w:bodyDiv w:val="1"/>
      <w:marLeft w:val="0"/>
      <w:marRight w:val="0"/>
      <w:marTop w:val="0"/>
      <w:marBottom w:val="0"/>
      <w:divBdr>
        <w:top w:val="none" w:sz="0" w:space="0" w:color="auto"/>
        <w:left w:val="none" w:sz="0" w:space="0" w:color="auto"/>
        <w:bottom w:val="none" w:sz="0" w:space="0" w:color="auto"/>
        <w:right w:val="none" w:sz="0" w:space="0" w:color="auto"/>
      </w:divBdr>
    </w:div>
    <w:div w:id="114060459">
      <w:bodyDiv w:val="1"/>
      <w:marLeft w:val="0"/>
      <w:marRight w:val="0"/>
      <w:marTop w:val="0"/>
      <w:marBottom w:val="0"/>
      <w:divBdr>
        <w:top w:val="none" w:sz="0" w:space="0" w:color="auto"/>
        <w:left w:val="none" w:sz="0" w:space="0" w:color="auto"/>
        <w:bottom w:val="none" w:sz="0" w:space="0" w:color="auto"/>
        <w:right w:val="none" w:sz="0" w:space="0" w:color="auto"/>
      </w:divBdr>
    </w:div>
    <w:div w:id="124541986">
      <w:bodyDiv w:val="1"/>
      <w:marLeft w:val="0"/>
      <w:marRight w:val="0"/>
      <w:marTop w:val="0"/>
      <w:marBottom w:val="0"/>
      <w:divBdr>
        <w:top w:val="none" w:sz="0" w:space="0" w:color="auto"/>
        <w:left w:val="none" w:sz="0" w:space="0" w:color="auto"/>
        <w:bottom w:val="none" w:sz="0" w:space="0" w:color="auto"/>
        <w:right w:val="none" w:sz="0" w:space="0" w:color="auto"/>
      </w:divBdr>
    </w:div>
    <w:div w:id="131290338">
      <w:bodyDiv w:val="1"/>
      <w:marLeft w:val="0"/>
      <w:marRight w:val="0"/>
      <w:marTop w:val="0"/>
      <w:marBottom w:val="0"/>
      <w:divBdr>
        <w:top w:val="none" w:sz="0" w:space="0" w:color="auto"/>
        <w:left w:val="none" w:sz="0" w:space="0" w:color="auto"/>
        <w:bottom w:val="none" w:sz="0" w:space="0" w:color="auto"/>
        <w:right w:val="none" w:sz="0" w:space="0" w:color="auto"/>
      </w:divBdr>
    </w:div>
    <w:div w:id="141506101">
      <w:bodyDiv w:val="1"/>
      <w:marLeft w:val="0"/>
      <w:marRight w:val="0"/>
      <w:marTop w:val="0"/>
      <w:marBottom w:val="0"/>
      <w:divBdr>
        <w:top w:val="none" w:sz="0" w:space="0" w:color="auto"/>
        <w:left w:val="none" w:sz="0" w:space="0" w:color="auto"/>
        <w:bottom w:val="none" w:sz="0" w:space="0" w:color="auto"/>
        <w:right w:val="none" w:sz="0" w:space="0" w:color="auto"/>
      </w:divBdr>
    </w:div>
    <w:div w:id="159782452">
      <w:bodyDiv w:val="1"/>
      <w:marLeft w:val="0"/>
      <w:marRight w:val="0"/>
      <w:marTop w:val="0"/>
      <w:marBottom w:val="0"/>
      <w:divBdr>
        <w:top w:val="none" w:sz="0" w:space="0" w:color="auto"/>
        <w:left w:val="none" w:sz="0" w:space="0" w:color="auto"/>
        <w:bottom w:val="none" w:sz="0" w:space="0" w:color="auto"/>
        <w:right w:val="none" w:sz="0" w:space="0" w:color="auto"/>
      </w:divBdr>
      <w:divsChild>
        <w:div w:id="1564559939">
          <w:marLeft w:val="0"/>
          <w:marRight w:val="0"/>
          <w:marTop w:val="0"/>
          <w:marBottom w:val="0"/>
          <w:divBdr>
            <w:top w:val="none" w:sz="0" w:space="0" w:color="auto"/>
            <w:left w:val="none" w:sz="0" w:space="0" w:color="auto"/>
            <w:bottom w:val="none" w:sz="0" w:space="0" w:color="auto"/>
            <w:right w:val="none" w:sz="0" w:space="0" w:color="auto"/>
          </w:divBdr>
          <w:divsChild>
            <w:div w:id="1133062559">
              <w:marLeft w:val="0"/>
              <w:marRight w:val="0"/>
              <w:marTop w:val="0"/>
              <w:marBottom w:val="0"/>
              <w:divBdr>
                <w:top w:val="none" w:sz="0" w:space="0" w:color="auto"/>
                <w:left w:val="none" w:sz="0" w:space="0" w:color="auto"/>
                <w:bottom w:val="none" w:sz="0" w:space="0" w:color="auto"/>
                <w:right w:val="none" w:sz="0" w:space="0" w:color="auto"/>
              </w:divBdr>
              <w:divsChild>
                <w:div w:id="565185832">
                  <w:marLeft w:val="0"/>
                  <w:marRight w:val="0"/>
                  <w:marTop w:val="0"/>
                  <w:marBottom w:val="0"/>
                  <w:divBdr>
                    <w:top w:val="none" w:sz="0" w:space="0" w:color="auto"/>
                    <w:left w:val="none" w:sz="0" w:space="0" w:color="auto"/>
                    <w:bottom w:val="none" w:sz="0" w:space="0" w:color="auto"/>
                    <w:right w:val="none" w:sz="0" w:space="0" w:color="auto"/>
                  </w:divBdr>
                  <w:divsChild>
                    <w:div w:id="1878547730">
                      <w:marLeft w:val="0"/>
                      <w:marRight w:val="0"/>
                      <w:marTop w:val="0"/>
                      <w:marBottom w:val="0"/>
                      <w:divBdr>
                        <w:top w:val="none" w:sz="0" w:space="0" w:color="auto"/>
                        <w:left w:val="none" w:sz="0" w:space="0" w:color="auto"/>
                        <w:bottom w:val="none" w:sz="0" w:space="0" w:color="auto"/>
                        <w:right w:val="none" w:sz="0" w:space="0" w:color="auto"/>
                      </w:divBdr>
                      <w:divsChild>
                        <w:div w:id="1530412900">
                          <w:marLeft w:val="0"/>
                          <w:marRight w:val="0"/>
                          <w:marTop w:val="0"/>
                          <w:marBottom w:val="0"/>
                          <w:divBdr>
                            <w:top w:val="none" w:sz="0" w:space="0" w:color="auto"/>
                            <w:left w:val="none" w:sz="0" w:space="0" w:color="auto"/>
                            <w:bottom w:val="none" w:sz="0" w:space="0" w:color="auto"/>
                            <w:right w:val="none" w:sz="0" w:space="0" w:color="auto"/>
                          </w:divBdr>
                          <w:divsChild>
                            <w:div w:id="2015378609">
                              <w:marLeft w:val="0"/>
                              <w:marRight w:val="0"/>
                              <w:marTop w:val="0"/>
                              <w:marBottom w:val="0"/>
                              <w:divBdr>
                                <w:top w:val="none" w:sz="0" w:space="0" w:color="auto"/>
                                <w:left w:val="none" w:sz="0" w:space="0" w:color="auto"/>
                                <w:bottom w:val="none" w:sz="0" w:space="0" w:color="auto"/>
                                <w:right w:val="none" w:sz="0" w:space="0" w:color="auto"/>
                              </w:divBdr>
                              <w:divsChild>
                                <w:div w:id="409237085">
                                  <w:marLeft w:val="0"/>
                                  <w:marRight w:val="0"/>
                                  <w:marTop w:val="0"/>
                                  <w:marBottom w:val="0"/>
                                  <w:divBdr>
                                    <w:top w:val="none" w:sz="0" w:space="0" w:color="auto"/>
                                    <w:left w:val="none" w:sz="0" w:space="0" w:color="auto"/>
                                    <w:bottom w:val="none" w:sz="0" w:space="0" w:color="auto"/>
                                    <w:right w:val="none" w:sz="0" w:space="0" w:color="auto"/>
                                  </w:divBdr>
                                  <w:divsChild>
                                    <w:div w:id="725031975">
                                      <w:marLeft w:val="0"/>
                                      <w:marRight w:val="0"/>
                                      <w:marTop w:val="0"/>
                                      <w:marBottom w:val="0"/>
                                      <w:divBdr>
                                        <w:top w:val="none" w:sz="0" w:space="0" w:color="auto"/>
                                        <w:left w:val="none" w:sz="0" w:space="0" w:color="auto"/>
                                        <w:bottom w:val="none" w:sz="0" w:space="0" w:color="auto"/>
                                        <w:right w:val="none" w:sz="0" w:space="0" w:color="auto"/>
                                      </w:divBdr>
                                      <w:divsChild>
                                        <w:div w:id="2008704308">
                                          <w:marLeft w:val="0"/>
                                          <w:marRight w:val="0"/>
                                          <w:marTop w:val="0"/>
                                          <w:marBottom w:val="0"/>
                                          <w:divBdr>
                                            <w:top w:val="none" w:sz="0" w:space="0" w:color="auto"/>
                                            <w:left w:val="none" w:sz="0" w:space="0" w:color="auto"/>
                                            <w:bottom w:val="none" w:sz="0" w:space="0" w:color="auto"/>
                                            <w:right w:val="none" w:sz="0" w:space="0" w:color="auto"/>
                                          </w:divBdr>
                                          <w:divsChild>
                                            <w:div w:id="339280399">
                                              <w:marLeft w:val="0"/>
                                              <w:marRight w:val="0"/>
                                              <w:marTop w:val="0"/>
                                              <w:marBottom w:val="0"/>
                                              <w:divBdr>
                                                <w:top w:val="none" w:sz="0" w:space="0" w:color="auto"/>
                                                <w:left w:val="none" w:sz="0" w:space="0" w:color="auto"/>
                                                <w:bottom w:val="none" w:sz="0" w:space="0" w:color="auto"/>
                                                <w:right w:val="none" w:sz="0" w:space="0" w:color="auto"/>
                                              </w:divBdr>
                                              <w:divsChild>
                                                <w:div w:id="831410132">
                                                  <w:marLeft w:val="0"/>
                                                  <w:marRight w:val="0"/>
                                                  <w:marTop w:val="0"/>
                                                  <w:marBottom w:val="0"/>
                                                  <w:divBdr>
                                                    <w:top w:val="none" w:sz="0" w:space="0" w:color="auto"/>
                                                    <w:left w:val="none" w:sz="0" w:space="0" w:color="auto"/>
                                                    <w:bottom w:val="none" w:sz="0" w:space="0" w:color="auto"/>
                                                    <w:right w:val="none" w:sz="0" w:space="0" w:color="auto"/>
                                                  </w:divBdr>
                                                  <w:divsChild>
                                                    <w:div w:id="94164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550223">
      <w:bodyDiv w:val="1"/>
      <w:marLeft w:val="0"/>
      <w:marRight w:val="0"/>
      <w:marTop w:val="0"/>
      <w:marBottom w:val="0"/>
      <w:divBdr>
        <w:top w:val="none" w:sz="0" w:space="0" w:color="auto"/>
        <w:left w:val="none" w:sz="0" w:space="0" w:color="auto"/>
        <w:bottom w:val="none" w:sz="0" w:space="0" w:color="auto"/>
        <w:right w:val="none" w:sz="0" w:space="0" w:color="auto"/>
      </w:divBdr>
    </w:div>
    <w:div w:id="163402823">
      <w:bodyDiv w:val="1"/>
      <w:marLeft w:val="0"/>
      <w:marRight w:val="0"/>
      <w:marTop w:val="0"/>
      <w:marBottom w:val="0"/>
      <w:divBdr>
        <w:top w:val="none" w:sz="0" w:space="0" w:color="auto"/>
        <w:left w:val="none" w:sz="0" w:space="0" w:color="auto"/>
        <w:bottom w:val="none" w:sz="0" w:space="0" w:color="auto"/>
        <w:right w:val="none" w:sz="0" w:space="0" w:color="auto"/>
      </w:divBdr>
    </w:div>
    <w:div w:id="165949349">
      <w:bodyDiv w:val="1"/>
      <w:marLeft w:val="0"/>
      <w:marRight w:val="0"/>
      <w:marTop w:val="0"/>
      <w:marBottom w:val="0"/>
      <w:divBdr>
        <w:top w:val="none" w:sz="0" w:space="0" w:color="auto"/>
        <w:left w:val="none" w:sz="0" w:space="0" w:color="auto"/>
        <w:bottom w:val="none" w:sz="0" w:space="0" w:color="auto"/>
        <w:right w:val="none" w:sz="0" w:space="0" w:color="auto"/>
      </w:divBdr>
    </w:div>
    <w:div w:id="173036569">
      <w:bodyDiv w:val="1"/>
      <w:marLeft w:val="0"/>
      <w:marRight w:val="0"/>
      <w:marTop w:val="0"/>
      <w:marBottom w:val="0"/>
      <w:divBdr>
        <w:top w:val="none" w:sz="0" w:space="0" w:color="auto"/>
        <w:left w:val="none" w:sz="0" w:space="0" w:color="auto"/>
        <w:bottom w:val="none" w:sz="0" w:space="0" w:color="auto"/>
        <w:right w:val="none" w:sz="0" w:space="0" w:color="auto"/>
      </w:divBdr>
    </w:div>
    <w:div w:id="186530678">
      <w:bodyDiv w:val="1"/>
      <w:marLeft w:val="0"/>
      <w:marRight w:val="0"/>
      <w:marTop w:val="0"/>
      <w:marBottom w:val="0"/>
      <w:divBdr>
        <w:top w:val="none" w:sz="0" w:space="0" w:color="auto"/>
        <w:left w:val="none" w:sz="0" w:space="0" w:color="auto"/>
        <w:bottom w:val="none" w:sz="0" w:space="0" w:color="auto"/>
        <w:right w:val="none" w:sz="0" w:space="0" w:color="auto"/>
      </w:divBdr>
      <w:divsChild>
        <w:div w:id="7757748">
          <w:marLeft w:val="0"/>
          <w:marRight w:val="0"/>
          <w:marTop w:val="0"/>
          <w:marBottom w:val="0"/>
          <w:divBdr>
            <w:top w:val="none" w:sz="0" w:space="0" w:color="auto"/>
            <w:left w:val="none" w:sz="0" w:space="0" w:color="auto"/>
            <w:bottom w:val="none" w:sz="0" w:space="0" w:color="auto"/>
            <w:right w:val="none" w:sz="0" w:space="0" w:color="auto"/>
          </w:divBdr>
        </w:div>
        <w:div w:id="220871244">
          <w:marLeft w:val="0"/>
          <w:marRight w:val="0"/>
          <w:marTop w:val="0"/>
          <w:marBottom w:val="0"/>
          <w:divBdr>
            <w:top w:val="none" w:sz="0" w:space="0" w:color="auto"/>
            <w:left w:val="none" w:sz="0" w:space="0" w:color="auto"/>
            <w:bottom w:val="none" w:sz="0" w:space="0" w:color="auto"/>
            <w:right w:val="none" w:sz="0" w:space="0" w:color="auto"/>
          </w:divBdr>
        </w:div>
        <w:div w:id="257446162">
          <w:marLeft w:val="0"/>
          <w:marRight w:val="0"/>
          <w:marTop w:val="0"/>
          <w:marBottom w:val="0"/>
          <w:divBdr>
            <w:top w:val="none" w:sz="0" w:space="0" w:color="auto"/>
            <w:left w:val="none" w:sz="0" w:space="0" w:color="auto"/>
            <w:bottom w:val="none" w:sz="0" w:space="0" w:color="auto"/>
            <w:right w:val="none" w:sz="0" w:space="0" w:color="auto"/>
          </w:divBdr>
        </w:div>
        <w:div w:id="454568879">
          <w:marLeft w:val="0"/>
          <w:marRight w:val="0"/>
          <w:marTop w:val="0"/>
          <w:marBottom w:val="0"/>
          <w:divBdr>
            <w:top w:val="none" w:sz="0" w:space="0" w:color="auto"/>
            <w:left w:val="none" w:sz="0" w:space="0" w:color="auto"/>
            <w:bottom w:val="none" w:sz="0" w:space="0" w:color="auto"/>
            <w:right w:val="none" w:sz="0" w:space="0" w:color="auto"/>
          </w:divBdr>
        </w:div>
        <w:div w:id="501357618">
          <w:marLeft w:val="0"/>
          <w:marRight w:val="0"/>
          <w:marTop w:val="0"/>
          <w:marBottom w:val="0"/>
          <w:divBdr>
            <w:top w:val="none" w:sz="0" w:space="0" w:color="auto"/>
            <w:left w:val="none" w:sz="0" w:space="0" w:color="auto"/>
            <w:bottom w:val="none" w:sz="0" w:space="0" w:color="auto"/>
            <w:right w:val="none" w:sz="0" w:space="0" w:color="auto"/>
          </w:divBdr>
        </w:div>
        <w:div w:id="516314685">
          <w:marLeft w:val="0"/>
          <w:marRight w:val="0"/>
          <w:marTop w:val="0"/>
          <w:marBottom w:val="0"/>
          <w:divBdr>
            <w:top w:val="none" w:sz="0" w:space="0" w:color="auto"/>
            <w:left w:val="none" w:sz="0" w:space="0" w:color="auto"/>
            <w:bottom w:val="none" w:sz="0" w:space="0" w:color="auto"/>
            <w:right w:val="none" w:sz="0" w:space="0" w:color="auto"/>
          </w:divBdr>
        </w:div>
        <w:div w:id="604963497">
          <w:marLeft w:val="0"/>
          <w:marRight w:val="0"/>
          <w:marTop w:val="0"/>
          <w:marBottom w:val="0"/>
          <w:divBdr>
            <w:top w:val="none" w:sz="0" w:space="0" w:color="auto"/>
            <w:left w:val="none" w:sz="0" w:space="0" w:color="auto"/>
            <w:bottom w:val="none" w:sz="0" w:space="0" w:color="auto"/>
            <w:right w:val="none" w:sz="0" w:space="0" w:color="auto"/>
          </w:divBdr>
        </w:div>
        <w:div w:id="845443652">
          <w:marLeft w:val="0"/>
          <w:marRight w:val="0"/>
          <w:marTop w:val="0"/>
          <w:marBottom w:val="0"/>
          <w:divBdr>
            <w:top w:val="none" w:sz="0" w:space="0" w:color="auto"/>
            <w:left w:val="none" w:sz="0" w:space="0" w:color="auto"/>
            <w:bottom w:val="none" w:sz="0" w:space="0" w:color="auto"/>
            <w:right w:val="none" w:sz="0" w:space="0" w:color="auto"/>
          </w:divBdr>
        </w:div>
        <w:div w:id="999038173">
          <w:marLeft w:val="0"/>
          <w:marRight w:val="0"/>
          <w:marTop w:val="0"/>
          <w:marBottom w:val="0"/>
          <w:divBdr>
            <w:top w:val="none" w:sz="0" w:space="0" w:color="auto"/>
            <w:left w:val="none" w:sz="0" w:space="0" w:color="auto"/>
            <w:bottom w:val="none" w:sz="0" w:space="0" w:color="auto"/>
            <w:right w:val="none" w:sz="0" w:space="0" w:color="auto"/>
          </w:divBdr>
        </w:div>
        <w:div w:id="1004894038">
          <w:marLeft w:val="0"/>
          <w:marRight w:val="0"/>
          <w:marTop w:val="0"/>
          <w:marBottom w:val="0"/>
          <w:divBdr>
            <w:top w:val="none" w:sz="0" w:space="0" w:color="auto"/>
            <w:left w:val="none" w:sz="0" w:space="0" w:color="auto"/>
            <w:bottom w:val="none" w:sz="0" w:space="0" w:color="auto"/>
            <w:right w:val="none" w:sz="0" w:space="0" w:color="auto"/>
          </w:divBdr>
        </w:div>
        <w:div w:id="1025057490">
          <w:marLeft w:val="0"/>
          <w:marRight w:val="0"/>
          <w:marTop w:val="0"/>
          <w:marBottom w:val="0"/>
          <w:divBdr>
            <w:top w:val="none" w:sz="0" w:space="0" w:color="auto"/>
            <w:left w:val="none" w:sz="0" w:space="0" w:color="auto"/>
            <w:bottom w:val="none" w:sz="0" w:space="0" w:color="auto"/>
            <w:right w:val="none" w:sz="0" w:space="0" w:color="auto"/>
          </w:divBdr>
        </w:div>
        <w:div w:id="1055927832">
          <w:marLeft w:val="0"/>
          <w:marRight w:val="0"/>
          <w:marTop w:val="0"/>
          <w:marBottom w:val="0"/>
          <w:divBdr>
            <w:top w:val="none" w:sz="0" w:space="0" w:color="auto"/>
            <w:left w:val="none" w:sz="0" w:space="0" w:color="auto"/>
            <w:bottom w:val="none" w:sz="0" w:space="0" w:color="auto"/>
            <w:right w:val="none" w:sz="0" w:space="0" w:color="auto"/>
          </w:divBdr>
        </w:div>
        <w:div w:id="1072393355">
          <w:marLeft w:val="0"/>
          <w:marRight w:val="0"/>
          <w:marTop w:val="0"/>
          <w:marBottom w:val="0"/>
          <w:divBdr>
            <w:top w:val="none" w:sz="0" w:space="0" w:color="auto"/>
            <w:left w:val="none" w:sz="0" w:space="0" w:color="auto"/>
            <w:bottom w:val="none" w:sz="0" w:space="0" w:color="auto"/>
            <w:right w:val="none" w:sz="0" w:space="0" w:color="auto"/>
          </w:divBdr>
        </w:div>
        <w:div w:id="1111901646">
          <w:marLeft w:val="0"/>
          <w:marRight w:val="0"/>
          <w:marTop w:val="0"/>
          <w:marBottom w:val="0"/>
          <w:divBdr>
            <w:top w:val="none" w:sz="0" w:space="0" w:color="auto"/>
            <w:left w:val="none" w:sz="0" w:space="0" w:color="auto"/>
            <w:bottom w:val="none" w:sz="0" w:space="0" w:color="auto"/>
            <w:right w:val="none" w:sz="0" w:space="0" w:color="auto"/>
          </w:divBdr>
        </w:div>
        <w:div w:id="1160846568">
          <w:marLeft w:val="0"/>
          <w:marRight w:val="0"/>
          <w:marTop w:val="0"/>
          <w:marBottom w:val="0"/>
          <w:divBdr>
            <w:top w:val="none" w:sz="0" w:space="0" w:color="auto"/>
            <w:left w:val="none" w:sz="0" w:space="0" w:color="auto"/>
            <w:bottom w:val="none" w:sz="0" w:space="0" w:color="auto"/>
            <w:right w:val="none" w:sz="0" w:space="0" w:color="auto"/>
          </w:divBdr>
        </w:div>
        <w:div w:id="1275093690">
          <w:marLeft w:val="0"/>
          <w:marRight w:val="0"/>
          <w:marTop w:val="0"/>
          <w:marBottom w:val="0"/>
          <w:divBdr>
            <w:top w:val="none" w:sz="0" w:space="0" w:color="auto"/>
            <w:left w:val="none" w:sz="0" w:space="0" w:color="auto"/>
            <w:bottom w:val="none" w:sz="0" w:space="0" w:color="auto"/>
            <w:right w:val="none" w:sz="0" w:space="0" w:color="auto"/>
          </w:divBdr>
        </w:div>
        <w:div w:id="1319458298">
          <w:marLeft w:val="0"/>
          <w:marRight w:val="0"/>
          <w:marTop w:val="0"/>
          <w:marBottom w:val="0"/>
          <w:divBdr>
            <w:top w:val="none" w:sz="0" w:space="0" w:color="auto"/>
            <w:left w:val="none" w:sz="0" w:space="0" w:color="auto"/>
            <w:bottom w:val="none" w:sz="0" w:space="0" w:color="auto"/>
            <w:right w:val="none" w:sz="0" w:space="0" w:color="auto"/>
          </w:divBdr>
        </w:div>
        <w:div w:id="1320770497">
          <w:marLeft w:val="0"/>
          <w:marRight w:val="0"/>
          <w:marTop w:val="0"/>
          <w:marBottom w:val="0"/>
          <w:divBdr>
            <w:top w:val="none" w:sz="0" w:space="0" w:color="auto"/>
            <w:left w:val="none" w:sz="0" w:space="0" w:color="auto"/>
            <w:bottom w:val="none" w:sz="0" w:space="0" w:color="auto"/>
            <w:right w:val="none" w:sz="0" w:space="0" w:color="auto"/>
          </w:divBdr>
        </w:div>
        <w:div w:id="1398357634">
          <w:marLeft w:val="0"/>
          <w:marRight w:val="0"/>
          <w:marTop w:val="0"/>
          <w:marBottom w:val="0"/>
          <w:divBdr>
            <w:top w:val="none" w:sz="0" w:space="0" w:color="auto"/>
            <w:left w:val="none" w:sz="0" w:space="0" w:color="auto"/>
            <w:bottom w:val="none" w:sz="0" w:space="0" w:color="auto"/>
            <w:right w:val="none" w:sz="0" w:space="0" w:color="auto"/>
          </w:divBdr>
        </w:div>
        <w:div w:id="1578444721">
          <w:marLeft w:val="0"/>
          <w:marRight w:val="0"/>
          <w:marTop w:val="0"/>
          <w:marBottom w:val="0"/>
          <w:divBdr>
            <w:top w:val="none" w:sz="0" w:space="0" w:color="auto"/>
            <w:left w:val="none" w:sz="0" w:space="0" w:color="auto"/>
            <w:bottom w:val="none" w:sz="0" w:space="0" w:color="auto"/>
            <w:right w:val="none" w:sz="0" w:space="0" w:color="auto"/>
          </w:divBdr>
        </w:div>
        <w:div w:id="1598363184">
          <w:marLeft w:val="0"/>
          <w:marRight w:val="0"/>
          <w:marTop w:val="0"/>
          <w:marBottom w:val="0"/>
          <w:divBdr>
            <w:top w:val="none" w:sz="0" w:space="0" w:color="auto"/>
            <w:left w:val="none" w:sz="0" w:space="0" w:color="auto"/>
            <w:bottom w:val="none" w:sz="0" w:space="0" w:color="auto"/>
            <w:right w:val="none" w:sz="0" w:space="0" w:color="auto"/>
          </w:divBdr>
        </w:div>
        <w:div w:id="1681882977">
          <w:marLeft w:val="0"/>
          <w:marRight w:val="0"/>
          <w:marTop w:val="0"/>
          <w:marBottom w:val="0"/>
          <w:divBdr>
            <w:top w:val="none" w:sz="0" w:space="0" w:color="auto"/>
            <w:left w:val="none" w:sz="0" w:space="0" w:color="auto"/>
            <w:bottom w:val="none" w:sz="0" w:space="0" w:color="auto"/>
            <w:right w:val="none" w:sz="0" w:space="0" w:color="auto"/>
          </w:divBdr>
        </w:div>
        <w:div w:id="1716158324">
          <w:marLeft w:val="0"/>
          <w:marRight w:val="0"/>
          <w:marTop w:val="0"/>
          <w:marBottom w:val="0"/>
          <w:divBdr>
            <w:top w:val="none" w:sz="0" w:space="0" w:color="auto"/>
            <w:left w:val="none" w:sz="0" w:space="0" w:color="auto"/>
            <w:bottom w:val="none" w:sz="0" w:space="0" w:color="auto"/>
            <w:right w:val="none" w:sz="0" w:space="0" w:color="auto"/>
          </w:divBdr>
        </w:div>
        <w:div w:id="2010866312">
          <w:marLeft w:val="0"/>
          <w:marRight w:val="0"/>
          <w:marTop w:val="0"/>
          <w:marBottom w:val="0"/>
          <w:divBdr>
            <w:top w:val="none" w:sz="0" w:space="0" w:color="auto"/>
            <w:left w:val="none" w:sz="0" w:space="0" w:color="auto"/>
            <w:bottom w:val="none" w:sz="0" w:space="0" w:color="auto"/>
            <w:right w:val="none" w:sz="0" w:space="0" w:color="auto"/>
          </w:divBdr>
        </w:div>
        <w:div w:id="2027946515">
          <w:marLeft w:val="0"/>
          <w:marRight w:val="0"/>
          <w:marTop w:val="0"/>
          <w:marBottom w:val="0"/>
          <w:divBdr>
            <w:top w:val="none" w:sz="0" w:space="0" w:color="auto"/>
            <w:left w:val="none" w:sz="0" w:space="0" w:color="auto"/>
            <w:bottom w:val="none" w:sz="0" w:space="0" w:color="auto"/>
            <w:right w:val="none" w:sz="0" w:space="0" w:color="auto"/>
          </w:divBdr>
        </w:div>
        <w:div w:id="2102220240">
          <w:marLeft w:val="0"/>
          <w:marRight w:val="0"/>
          <w:marTop w:val="0"/>
          <w:marBottom w:val="0"/>
          <w:divBdr>
            <w:top w:val="none" w:sz="0" w:space="0" w:color="auto"/>
            <w:left w:val="none" w:sz="0" w:space="0" w:color="auto"/>
            <w:bottom w:val="none" w:sz="0" w:space="0" w:color="auto"/>
            <w:right w:val="none" w:sz="0" w:space="0" w:color="auto"/>
          </w:divBdr>
        </w:div>
        <w:div w:id="2120949732">
          <w:marLeft w:val="0"/>
          <w:marRight w:val="0"/>
          <w:marTop w:val="0"/>
          <w:marBottom w:val="0"/>
          <w:divBdr>
            <w:top w:val="none" w:sz="0" w:space="0" w:color="auto"/>
            <w:left w:val="none" w:sz="0" w:space="0" w:color="auto"/>
            <w:bottom w:val="none" w:sz="0" w:space="0" w:color="auto"/>
            <w:right w:val="none" w:sz="0" w:space="0" w:color="auto"/>
          </w:divBdr>
        </w:div>
      </w:divsChild>
    </w:div>
    <w:div w:id="191187320">
      <w:bodyDiv w:val="1"/>
      <w:marLeft w:val="0"/>
      <w:marRight w:val="0"/>
      <w:marTop w:val="0"/>
      <w:marBottom w:val="0"/>
      <w:divBdr>
        <w:top w:val="none" w:sz="0" w:space="0" w:color="auto"/>
        <w:left w:val="none" w:sz="0" w:space="0" w:color="auto"/>
        <w:bottom w:val="none" w:sz="0" w:space="0" w:color="auto"/>
        <w:right w:val="none" w:sz="0" w:space="0" w:color="auto"/>
      </w:divBdr>
    </w:div>
    <w:div w:id="194588800">
      <w:bodyDiv w:val="1"/>
      <w:marLeft w:val="0"/>
      <w:marRight w:val="0"/>
      <w:marTop w:val="0"/>
      <w:marBottom w:val="0"/>
      <w:divBdr>
        <w:top w:val="none" w:sz="0" w:space="0" w:color="auto"/>
        <w:left w:val="none" w:sz="0" w:space="0" w:color="auto"/>
        <w:bottom w:val="none" w:sz="0" w:space="0" w:color="auto"/>
        <w:right w:val="none" w:sz="0" w:space="0" w:color="auto"/>
      </w:divBdr>
    </w:div>
    <w:div w:id="215513229">
      <w:bodyDiv w:val="1"/>
      <w:marLeft w:val="0"/>
      <w:marRight w:val="0"/>
      <w:marTop w:val="0"/>
      <w:marBottom w:val="0"/>
      <w:divBdr>
        <w:top w:val="none" w:sz="0" w:space="0" w:color="auto"/>
        <w:left w:val="none" w:sz="0" w:space="0" w:color="auto"/>
        <w:bottom w:val="none" w:sz="0" w:space="0" w:color="auto"/>
        <w:right w:val="none" w:sz="0" w:space="0" w:color="auto"/>
      </w:divBdr>
    </w:div>
    <w:div w:id="224992350">
      <w:bodyDiv w:val="1"/>
      <w:marLeft w:val="0"/>
      <w:marRight w:val="0"/>
      <w:marTop w:val="0"/>
      <w:marBottom w:val="0"/>
      <w:divBdr>
        <w:top w:val="none" w:sz="0" w:space="0" w:color="auto"/>
        <w:left w:val="none" w:sz="0" w:space="0" w:color="auto"/>
        <w:bottom w:val="none" w:sz="0" w:space="0" w:color="auto"/>
        <w:right w:val="none" w:sz="0" w:space="0" w:color="auto"/>
      </w:divBdr>
    </w:div>
    <w:div w:id="250889795">
      <w:bodyDiv w:val="1"/>
      <w:marLeft w:val="0"/>
      <w:marRight w:val="0"/>
      <w:marTop w:val="0"/>
      <w:marBottom w:val="0"/>
      <w:divBdr>
        <w:top w:val="none" w:sz="0" w:space="0" w:color="auto"/>
        <w:left w:val="none" w:sz="0" w:space="0" w:color="auto"/>
        <w:bottom w:val="none" w:sz="0" w:space="0" w:color="auto"/>
        <w:right w:val="none" w:sz="0" w:space="0" w:color="auto"/>
      </w:divBdr>
      <w:divsChild>
        <w:div w:id="175458928">
          <w:marLeft w:val="1080"/>
          <w:marRight w:val="0"/>
          <w:marTop w:val="100"/>
          <w:marBottom w:val="0"/>
          <w:divBdr>
            <w:top w:val="none" w:sz="0" w:space="0" w:color="auto"/>
            <w:left w:val="none" w:sz="0" w:space="0" w:color="auto"/>
            <w:bottom w:val="none" w:sz="0" w:space="0" w:color="auto"/>
            <w:right w:val="none" w:sz="0" w:space="0" w:color="auto"/>
          </w:divBdr>
        </w:div>
        <w:div w:id="178086177">
          <w:marLeft w:val="360"/>
          <w:marRight w:val="0"/>
          <w:marTop w:val="200"/>
          <w:marBottom w:val="0"/>
          <w:divBdr>
            <w:top w:val="none" w:sz="0" w:space="0" w:color="auto"/>
            <w:left w:val="none" w:sz="0" w:space="0" w:color="auto"/>
            <w:bottom w:val="none" w:sz="0" w:space="0" w:color="auto"/>
            <w:right w:val="none" w:sz="0" w:space="0" w:color="auto"/>
          </w:divBdr>
        </w:div>
        <w:div w:id="555046678">
          <w:marLeft w:val="1080"/>
          <w:marRight w:val="0"/>
          <w:marTop w:val="100"/>
          <w:marBottom w:val="0"/>
          <w:divBdr>
            <w:top w:val="none" w:sz="0" w:space="0" w:color="auto"/>
            <w:left w:val="none" w:sz="0" w:space="0" w:color="auto"/>
            <w:bottom w:val="none" w:sz="0" w:space="0" w:color="auto"/>
            <w:right w:val="none" w:sz="0" w:space="0" w:color="auto"/>
          </w:divBdr>
        </w:div>
        <w:div w:id="742069677">
          <w:marLeft w:val="1080"/>
          <w:marRight w:val="0"/>
          <w:marTop w:val="100"/>
          <w:marBottom w:val="0"/>
          <w:divBdr>
            <w:top w:val="none" w:sz="0" w:space="0" w:color="auto"/>
            <w:left w:val="none" w:sz="0" w:space="0" w:color="auto"/>
            <w:bottom w:val="none" w:sz="0" w:space="0" w:color="auto"/>
            <w:right w:val="none" w:sz="0" w:space="0" w:color="auto"/>
          </w:divBdr>
        </w:div>
      </w:divsChild>
    </w:div>
    <w:div w:id="267084544">
      <w:bodyDiv w:val="1"/>
      <w:marLeft w:val="0"/>
      <w:marRight w:val="0"/>
      <w:marTop w:val="0"/>
      <w:marBottom w:val="0"/>
      <w:divBdr>
        <w:top w:val="none" w:sz="0" w:space="0" w:color="auto"/>
        <w:left w:val="none" w:sz="0" w:space="0" w:color="auto"/>
        <w:bottom w:val="none" w:sz="0" w:space="0" w:color="auto"/>
        <w:right w:val="none" w:sz="0" w:space="0" w:color="auto"/>
      </w:divBdr>
    </w:div>
    <w:div w:id="267857646">
      <w:bodyDiv w:val="1"/>
      <w:marLeft w:val="0"/>
      <w:marRight w:val="0"/>
      <w:marTop w:val="0"/>
      <w:marBottom w:val="0"/>
      <w:divBdr>
        <w:top w:val="none" w:sz="0" w:space="0" w:color="auto"/>
        <w:left w:val="none" w:sz="0" w:space="0" w:color="auto"/>
        <w:bottom w:val="none" w:sz="0" w:space="0" w:color="auto"/>
        <w:right w:val="none" w:sz="0" w:space="0" w:color="auto"/>
      </w:divBdr>
    </w:div>
    <w:div w:id="268003477">
      <w:bodyDiv w:val="1"/>
      <w:marLeft w:val="0"/>
      <w:marRight w:val="0"/>
      <w:marTop w:val="0"/>
      <w:marBottom w:val="0"/>
      <w:divBdr>
        <w:top w:val="none" w:sz="0" w:space="0" w:color="auto"/>
        <w:left w:val="none" w:sz="0" w:space="0" w:color="auto"/>
        <w:bottom w:val="none" w:sz="0" w:space="0" w:color="auto"/>
        <w:right w:val="none" w:sz="0" w:space="0" w:color="auto"/>
      </w:divBdr>
    </w:div>
    <w:div w:id="281769324">
      <w:bodyDiv w:val="1"/>
      <w:marLeft w:val="0"/>
      <w:marRight w:val="0"/>
      <w:marTop w:val="0"/>
      <w:marBottom w:val="0"/>
      <w:divBdr>
        <w:top w:val="none" w:sz="0" w:space="0" w:color="auto"/>
        <w:left w:val="none" w:sz="0" w:space="0" w:color="auto"/>
        <w:bottom w:val="none" w:sz="0" w:space="0" w:color="auto"/>
        <w:right w:val="none" w:sz="0" w:space="0" w:color="auto"/>
      </w:divBdr>
      <w:divsChild>
        <w:div w:id="270405072">
          <w:marLeft w:val="0"/>
          <w:marRight w:val="0"/>
          <w:marTop w:val="0"/>
          <w:marBottom w:val="0"/>
          <w:divBdr>
            <w:top w:val="none" w:sz="0" w:space="0" w:color="auto"/>
            <w:left w:val="none" w:sz="0" w:space="0" w:color="auto"/>
            <w:bottom w:val="none" w:sz="0" w:space="0" w:color="auto"/>
            <w:right w:val="none" w:sz="0" w:space="0" w:color="auto"/>
          </w:divBdr>
        </w:div>
        <w:div w:id="550923552">
          <w:marLeft w:val="0"/>
          <w:marRight w:val="0"/>
          <w:marTop w:val="0"/>
          <w:marBottom w:val="0"/>
          <w:divBdr>
            <w:top w:val="none" w:sz="0" w:space="0" w:color="auto"/>
            <w:left w:val="none" w:sz="0" w:space="0" w:color="auto"/>
            <w:bottom w:val="none" w:sz="0" w:space="0" w:color="auto"/>
            <w:right w:val="none" w:sz="0" w:space="0" w:color="auto"/>
          </w:divBdr>
        </w:div>
        <w:div w:id="1508902112">
          <w:marLeft w:val="0"/>
          <w:marRight w:val="0"/>
          <w:marTop w:val="0"/>
          <w:marBottom w:val="0"/>
          <w:divBdr>
            <w:top w:val="none" w:sz="0" w:space="0" w:color="auto"/>
            <w:left w:val="none" w:sz="0" w:space="0" w:color="auto"/>
            <w:bottom w:val="none" w:sz="0" w:space="0" w:color="auto"/>
            <w:right w:val="none" w:sz="0" w:space="0" w:color="auto"/>
          </w:divBdr>
        </w:div>
        <w:div w:id="1841895473">
          <w:marLeft w:val="0"/>
          <w:marRight w:val="0"/>
          <w:marTop w:val="0"/>
          <w:marBottom w:val="0"/>
          <w:divBdr>
            <w:top w:val="none" w:sz="0" w:space="0" w:color="auto"/>
            <w:left w:val="none" w:sz="0" w:space="0" w:color="auto"/>
            <w:bottom w:val="none" w:sz="0" w:space="0" w:color="auto"/>
            <w:right w:val="none" w:sz="0" w:space="0" w:color="auto"/>
          </w:divBdr>
        </w:div>
      </w:divsChild>
    </w:div>
    <w:div w:id="296229605">
      <w:bodyDiv w:val="1"/>
      <w:marLeft w:val="0"/>
      <w:marRight w:val="0"/>
      <w:marTop w:val="0"/>
      <w:marBottom w:val="0"/>
      <w:divBdr>
        <w:top w:val="none" w:sz="0" w:space="0" w:color="auto"/>
        <w:left w:val="none" w:sz="0" w:space="0" w:color="auto"/>
        <w:bottom w:val="none" w:sz="0" w:space="0" w:color="auto"/>
        <w:right w:val="none" w:sz="0" w:space="0" w:color="auto"/>
      </w:divBdr>
    </w:div>
    <w:div w:id="306935065">
      <w:bodyDiv w:val="1"/>
      <w:marLeft w:val="0"/>
      <w:marRight w:val="0"/>
      <w:marTop w:val="0"/>
      <w:marBottom w:val="0"/>
      <w:divBdr>
        <w:top w:val="none" w:sz="0" w:space="0" w:color="auto"/>
        <w:left w:val="none" w:sz="0" w:space="0" w:color="auto"/>
        <w:bottom w:val="none" w:sz="0" w:space="0" w:color="auto"/>
        <w:right w:val="none" w:sz="0" w:space="0" w:color="auto"/>
      </w:divBdr>
    </w:div>
    <w:div w:id="325520264">
      <w:bodyDiv w:val="1"/>
      <w:marLeft w:val="0"/>
      <w:marRight w:val="0"/>
      <w:marTop w:val="0"/>
      <w:marBottom w:val="0"/>
      <w:divBdr>
        <w:top w:val="none" w:sz="0" w:space="0" w:color="auto"/>
        <w:left w:val="none" w:sz="0" w:space="0" w:color="auto"/>
        <w:bottom w:val="none" w:sz="0" w:space="0" w:color="auto"/>
        <w:right w:val="none" w:sz="0" w:space="0" w:color="auto"/>
      </w:divBdr>
    </w:div>
    <w:div w:id="328218555">
      <w:bodyDiv w:val="1"/>
      <w:marLeft w:val="0"/>
      <w:marRight w:val="0"/>
      <w:marTop w:val="0"/>
      <w:marBottom w:val="0"/>
      <w:divBdr>
        <w:top w:val="none" w:sz="0" w:space="0" w:color="auto"/>
        <w:left w:val="none" w:sz="0" w:space="0" w:color="auto"/>
        <w:bottom w:val="none" w:sz="0" w:space="0" w:color="auto"/>
        <w:right w:val="none" w:sz="0" w:space="0" w:color="auto"/>
      </w:divBdr>
    </w:div>
    <w:div w:id="329451270">
      <w:bodyDiv w:val="1"/>
      <w:marLeft w:val="0"/>
      <w:marRight w:val="0"/>
      <w:marTop w:val="0"/>
      <w:marBottom w:val="0"/>
      <w:divBdr>
        <w:top w:val="none" w:sz="0" w:space="0" w:color="auto"/>
        <w:left w:val="none" w:sz="0" w:space="0" w:color="auto"/>
        <w:bottom w:val="none" w:sz="0" w:space="0" w:color="auto"/>
        <w:right w:val="none" w:sz="0" w:space="0" w:color="auto"/>
      </w:divBdr>
    </w:div>
    <w:div w:id="336999337">
      <w:bodyDiv w:val="1"/>
      <w:marLeft w:val="0"/>
      <w:marRight w:val="0"/>
      <w:marTop w:val="0"/>
      <w:marBottom w:val="0"/>
      <w:divBdr>
        <w:top w:val="none" w:sz="0" w:space="0" w:color="auto"/>
        <w:left w:val="none" w:sz="0" w:space="0" w:color="auto"/>
        <w:bottom w:val="none" w:sz="0" w:space="0" w:color="auto"/>
        <w:right w:val="none" w:sz="0" w:space="0" w:color="auto"/>
      </w:divBdr>
    </w:div>
    <w:div w:id="340787565">
      <w:bodyDiv w:val="1"/>
      <w:marLeft w:val="0"/>
      <w:marRight w:val="0"/>
      <w:marTop w:val="0"/>
      <w:marBottom w:val="0"/>
      <w:divBdr>
        <w:top w:val="none" w:sz="0" w:space="0" w:color="auto"/>
        <w:left w:val="none" w:sz="0" w:space="0" w:color="auto"/>
        <w:bottom w:val="none" w:sz="0" w:space="0" w:color="auto"/>
        <w:right w:val="none" w:sz="0" w:space="0" w:color="auto"/>
      </w:divBdr>
    </w:div>
    <w:div w:id="346518209">
      <w:bodyDiv w:val="1"/>
      <w:marLeft w:val="0"/>
      <w:marRight w:val="0"/>
      <w:marTop w:val="0"/>
      <w:marBottom w:val="0"/>
      <w:divBdr>
        <w:top w:val="none" w:sz="0" w:space="0" w:color="auto"/>
        <w:left w:val="none" w:sz="0" w:space="0" w:color="auto"/>
        <w:bottom w:val="none" w:sz="0" w:space="0" w:color="auto"/>
        <w:right w:val="none" w:sz="0" w:space="0" w:color="auto"/>
      </w:divBdr>
    </w:div>
    <w:div w:id="355886614">
      <w:bodyDiv w:val="1"/>
      <w:marLeft w:val="0"/>
      <w:marRight w:val="0"/>
      <w:marTop w:val="0"/>
      <w:marBottom w:val="0"/>
      <w:divBdr>
        <w:top w:val="none" w:sz="0" w:space="0" w:color="auto"/>
        <w:left w:val="none" w:sz="0" w:space="0" w:color="auto"/>
        <w:bottom w:val="none" w:sz="0" w:space="0" w:color="auto"/>
        <w:right w:val="none" w:sz="0" w:space="0" w:color="auto"/>
      </w:divBdr>
    </w:div>
    <w:div w:id="367683830">
      <w:bodyDiv w:val="1"/>
      <w:marLeft w:val="0"/>
      <w:marRight w:val="0"/>
      <w:marTop w:val="0"/>
      <w:marBottom w:val="0"/>
      <w:divBdr>
        <w:top w:val="none" w:sz="0" w:space="0" w:color="auto"/>
        <w:left w:val="none" w:sz="0" w:space="0" w:color="auto"/>
        <w:bottom w:val="none" w:sz="0" w:space="0" w:color="auto"/>
        <w:right w:val="none" w:sz="0" w:space="0" w:color="auto"/>
      </w:divBdr>
    </w:div>
    <w:div w:id="370955104">
      <w:bodyDiv w:val="1"/>
      <w:marLeft w:val="0"/>
      <w:marRight w:val="0"/>
      <w:marTop w:val="0"/>
      <w:marBottom w:val="0"/>
      <w:divBdr>
        <w:top w:val="none" w:sz="0" w:space="0" w:color="auto"/>
        <w:left w:val="none" w:sz="0" w:space="0" w:color="auto"/>
        <w:bottom w:val="none" w:sz="0" w:space="0" w:color="auto"/>
        <w:right w:val="none" w:sz="0" w:space="0" w:color="auto"/>
      </w:divBdr>
    </w:div>
    <w:div w:id="374625195">
      <w:bodyDiv w:val="1"/>
      <w:marLeft w:val="0"/>
      <w:marRight w:val="0"/>
      <w:marTop w:val="0"/>
      <w:marBottom w:val="0"/>
      <w:divBdr>
        <w:top w:val="none" w:sz="0" w:space="0" w:color="auto"/>
        <w:left w:val="none" w:sz="0" w:space="0" w:color="auto"/>
        <w:bottom w:val="none" w:sz="0" w:space="0" w:color="auto"/>
        <w:right w:val="none" w:sz="0" w:space="0" w:color="auto"/>
      </w:divBdr>
    </w:div>
    <w:div w:id="375395679">
      <w:bodyDiv w:val="1"/>
      <w:marLeft w:val="0"/>
      <w:marRight w:val="0"/>
      <w:marTop w:val="0"/>
      <w:marBottom w:val="0"/>
      <w:divBdr>
        <w:top w:val="none" w:sz="0" w:space="0" w:color="auto"/>
        <w:left w:val="none" w:sz="0" w:space="0" w:color="auto"/>
        <w:bottom w:val="none" w:sz="0" w:space="0" w:color="auto"/>
        <w:right w:val="none" w:sz="0" w:space="0" w:color="auto"/>
      </w:divBdr>
    </w:div>
    <w:div w:id="384718513">
      <w:bodyDiv w:val="1"/>
      <w:marLeft w:val="0"/>
      <w:marRight w:val="0"/>
      <w:marTop w:val="0"/>
      <w:marBottom w:val="0"/>
      <w:divBdr>
        <w:top w:val="none" w:sz="0" w:space="0" w:color="auto"/>
        <w:left w:val="none" w:sz="0" w:space="0" w:color="auto"/>
        <w:bottom w:val="none" w:sz="0" w:space="0" w:color="auto"/>
        <w:right w:val="none" w:sz="0" w:space="0" w:color="auto"/>
      </w:divBdr>
    </w:div>
    <w:div w:id="386760416">
      <w:bodyDiv w:val="1"/>
      <w:marLeft w:val="0"/>
      <w:marRight w:val="0"/>
      <w:marTop w:val="0"/>
      <w:marBottom w:val="0"/>
      <w:divBdr>
        <w:top w:val="none" w:sz="0" w:space="0" w:color="auto"/>
        <w:left w:val="none" w:sz="0" w:space="0" w:color="auto"/>
        <w:bottom w:val="none" w:sz="0" w:space="0" w:color="auto"/>
        <w:right w:val="none" w:sz="0" w:space="0" w:color="auto"/>
      </w:divBdr>
      <w:divsChild>
        <w:div w:id="636109769">
          <w:marLeft w:val="0"/>
          <w:marRight w:val="0"/>
          <w:marTop w:val="0"/>
          <w:marBottom w:val="0"/>
          <w:divBdr>
            <w:top w:val="single" w:sz="6" w:space="8" w:color="B8B8B8"/>
            <w:left w:val="none" w:sz="0" w:space="0" w:color="auto"/>
            <w:bottom w:val="none" w:sz="0" w:space="0" w:color="auto"/>
            <w:right w:val="none" w:sz="0" w:space="0" w:color="auto"/>
          </w:divBdr>
          <w:divsChild>
            <w:div w:id="1390806267">
              <w:marLeft w:val="2"/>
              <w:marRight w:val="2"/>
              <w:marTop w:val="0"/>
              <w:marBottom w:val="0"/>
              <w:divBdr>
                <w:top w:val="single" w:sz="6" w:space="8" w:color="CDCCD4"/>
                <w:left w:val="single" w:sz="6" w:space="8" w:color="CDCCD4"/>
                <w:bottom w:val="single" w:sz="6" w:space="8" w:color="CDCCD4"/>
                <w:right w:val="single" w:sz="6" w:space="4" w:color="CDCCD4"/>
              </w:divBdr>
              <w:divsChild>
                <w:div w:id="1513450776">
                  <w:marLeft w:val="0"/>
                  <w:marRight w:val="0"/>
                  <w:marTop w:val="0"/>
                  <w:marBottom w:val="240"/>
                  <w:divBdr>
                    <w:top w:val="single" w:sz="6" w:space="4" w:color="CDCCD4"/>
                    <w:left w:val="single" w:sz="6" w:space="4" w:color="CDCCD4"/>
                    <w:bottom w:val="single" w:sz="6" w:space="0" w:color="CDCCD4"/>
                    <w:right w:val="single" w:sz="6" w:space="4" w:color="CDCCD4"/>
                  </w:divBdr>
                  <w:divsChild>
                    <w:div w:id="184559654">
                      <w:marLeft w:val="0"/>
                      <w:marRight w:val="0"/>
                      <w:marTop w:val="0"/>
                      <w:marBottom w:val="0"/>
                      <w:divBdr>
                        <w:top w:val="single" w:sz="2" w:space="0" w:color="FFFF00"/>
                        <w:left w:val="single" w:sz="2" w:space="0" w:color="FFFF00"/>
                        <w:bottom w:val="single" w:sz="2" w:space="0" w:color="FFFF00"/>
                        <w:right w:val="single" w:sz="2" w:space="0" w:color="FFFF00"/>
                      </w:divBdr>
                      <w:divsChild>
                        <w:div w:id="206111181">
                          <w:marLeft w:val="0"/>
                          <w:marRight w:val="0"/>
                          <w:marTop w:val="0"/>
                          <w:marBottom w:val="0"/>
                          <w:divBdr>
                            <w:top w:val="none" w:sz="0" w:space="0" w:color="auto"/>
                            <w:left w:val="none" w:sz="0" w:space="0" w:color="auto"/>
                            <w:bottom w:val="none" w:sz="0" w:space="0" w:color="auto"/>
                            <w:right w:val="none" w:sz="0" w:space="0" w:color="auto"/>
                          </w:divBdr>
                          <w:divsChild>
                            <w:div w:id="191431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468514">
      <w:bodyDiv w:val="1"/>
      <w:marLeft w:val="0"/>
      <w:marRight w:val="0"/>
      <w:marTop w:val="0"/>
      <w:marBottom w:val="0"/>
      <w:divBdr>
        <w:top w:val="none" w:sz="0" w:space="0" w:color="auto"/>
        <w:left w:val="none" w:sz="0" w:space="0" w:color="auto"/>
        <w:bottom w:val="none" w:sz="0" w:space="0" w:color="auto"/>
        <w:right w:val="none" w:sz="0" w:space="0" w:color="auto"/>
      </w:divBdr>
    </w:div>
    <w:div w:id="399330928">
      <w:bodyDiv w:val="1"/>
      <w:marLeft w:val="0"/>
      <w:marRight w:val="0"/>
      <w:marTop w:val="0"/>
      <w:marBottom w:val="0"/>
      <w:divBdr>
        <w:top w:val="none" w:sz="0" w:space="0" w:color="auto"/>
        <w:left w:val="none" w:sz="0" w:space="0" w:color="auto"/>
        <w:bottom w:val="none" w:sz="0" w:space="0" w:color="auto"/>
        <w:right w:val="none" w:sz="0" w:space="0" w:color="auto"/>
      </w:divBdr>
    </w:div>
    <w:div w:id="429736170">
      <w:bodyDiv w:val="1"/>
      <w:marLeft w:val="0"/>
      <w:marRight w:val="0"/>
      <w:marTop w:val="0"/>
      <w:marBottom w:val="0"/>
      <w:divBdr>
        <w:top w:val="none" w:sz="0" w:space="0" w:color="auto"/>
        <w:left w:val="none" w:sz="0" w:space="0" w:color="auto"/>
        <w:bottom w:val="none" w:sz="0" w:space="0" w:color="auto"/>
        <w:right w:val="none" w:sz="0" w:space="0" w:color="auto"/>
      </w:divBdr>
    </w:div>
    <w:div w:id="438060993">
      <w:bodyDiv w:val="1"/>
      <w:marLeft w:val="0"/>
      <w:marRight w:val="0"/>
      <w:marTop w:val="0"/>
      <w:marBottom w:val="0"/>
      <w:divBdr>
        <w:top w:val="none" w:sz="0" w:space="0" w:color="auto"/>
        <w:left w:val="none" w:sz="0" w:space="0" w:color="auto"/>
        <w:bottom w:val="none" w:sz="0" w:space="0" w:color="auto"/>
        <w:right w:val="none" w:sz="0" w:space="0" w:color="auto"/>
      </w:divBdr>
    </w:div>
    <w:div w:id="445391137">
      <w:bodyDiv w:val="1"/>
      <w:marLeft w:val="0"/>
      <w:marRight w:val="0"/>
      <w:marTop w:val="0"/>
      <w:marBottom w:val="0"/>
      <w:divBdr>
        <w:top w:val="none" w:sz="0" w:space="0" w:color="auto"/>
        <w:left w:val="none" w:sz="0" w:space="0" w:color="auto"/>
        <w:bottom w:val="none" w:sz="0" w:space="0" w:color="auto"/>
        <w:right w:val="none" w:sz="0" w:space="0" w:color="auto"/>
      </w:divBdr>
    </w:div>
    <w:div w:id="448939725">
      <w:bodyDiv w:val="1"/>
      <w:marLeft w:val="0"/>
      <w:marRight w:val="0"/>
      <w:marTop w:val="0"/>
      <w:marBottom w:val="0"/>
      <w:divBdr>
        <w:top w:val="none" w:sz="0" w:space="0" w:color="auto"/>
        <w:left w:val="none" w:sz="0" w:space="0" w:color="auto"/>
        <w:bottom w:val="none" w:sz="0" w:space="0" w:color="auto"/>
        <w:right w:val="none" w:sz="0" w:space="0" w:color="auto"/>
      </w:divBdr>
    </w:div>
    <w:div w:id="450787034">
      <w:bodyDiv w:val="1"/>
      <w:marLeft w:val="0"/>
      <w:marRight w:val="0"/>
      <w:marTop w:val="0"/>
      <w:marBottom w:val="0"/>
      <w:divBdr>
        <w:top w:val="none" w:sz="0" w:space="0" w:color="auto"/>
        <w:left w:val="none" w:sz="0" w:space="0" w:color="auto"/>
        <w:bottom w:val="none" w:sz="0" w:space="0" w:color="auto"/>
        <w:right w:val="none" w:sz="0" w:space="0" w:color="auto"/>
      </w:divBdr>
    </w:div>
    <w:div w:id="461271693">
      <w:bodyDiv w:val="1"/>
      <w:marLeft w:val="0"/>
      <w:marRight w:val="0"/>
      <w:marTop w:val="0"/>
      <w:marBottom w:val="0"/>
      <w:divBdr>
        <w:top w:val="none" w:sz="0" w:space="0" w:color="auto"/>
        <w:left w:val="none" w:sz="0" w:space="0" w:color="auto"/>
        <w:bottom w:val="none" w:sz="0" w:space="0" w:color="auto"/>
        <w:right w:val="none" w:sz="0" w:space="0" w:color="auto"/>
      </w:divBdr>
    </w:div>
    <w:div w:id="462116759">
      <w:bodyDiv w:val="1"/>
      <w:marLeft w:val="0"/>
      <w:marRight w:val="0"/>
      <w:marTop w:val="0"/>
      <w:marBottom w:val="0"/>
      <w:divBdr>
        <w:top w:val="none" w:sz="0" w:space="0" w:color="auto"/>
        <w:left w:val="none" w:sz="0" w:space="0" w:color="auto"/>
        <w:bottom w:val="none" w:sz="0" w:space="0" w:color="auto"/>
        <w:right w:val="none" w:sz="0" w:space="0" w:color="auto"/>
      </w:divBdr>
    </w:div>
    <w:div w:id="481384107">
      <w:bodyDiv w:val="1"/>
      <w:marLeft w:val="0"/>
      <w:marRight w:val="0"/>
      <w:marTop w:val="0"/>
      <w:marBottom w:val="0"/>
      <w:divBdr>
        <w:top w:val="none" w:sz="0" w:space="0" w:color="auto"/>
        <w:left w:val="none" w:sz="0" w:space="0" w:color="auto"/>
        <w:bottom w:val="none" w:sz="0" w:space="0" w:color="auto"/>
        <w:right w:val="none" w:sz="0" w:space="0" w:color="auto"/>
      </w:divBdr>
    </w:div>
    <w:div w:id="489369746">
      <w:bodyDiv w:val="1"/>
      <w:marLeft w:val="0"/>
      <w:marRight w:val="0"/>
      <w:marTop w:val="0"/>
      <w:marBottom w:val="0"/>
      <w:divBdr>
        <w:top w:val="none" w:sz="0" w:space="0" w:color="auto"/>
        <w:left w:val="none" w:sz="0" w:space="0" w:color="auto"/>
        <w:bottom w:val="none" w:sz="0" w:space="0" w:color="auto"/>
        <w:right w:val="none" w:sz="0" w:space="0" w:color="auto"/>
      </w:divBdr>
    </w:div>
    <w:div w:id="490753327">
      <w:bodyDiv w:val="1"/>
      <w:marLeft w:val="0"/>
      <w:marRight w:val="0"/>
      <w:marTop w:val="0"/>
      <w:marBottom w:val="0"/>
      <w:divBdr>
        <w:top w:val="none" w:sz="0" w:space="0" w:color="auto"/>
        <w:left w:val="none" w:sz="0" w:space="0" w:color="auto"/>
        <w:bottom w:val="none" w:sz="0" w:space="0" w:color="auto"/>
        <w:right w:val="none" w:sz="0" w:space="0" w:color="auto"/>
      </w:divBdr>
    </w:div>
    <w:div w:id="507869746">
      <w:bodyDiv w:val="1"/>
      <w:marLeft w:val="0"/>
      <w:marRight w:val="0"/>
      <w:marTop w:val="0"/>
      <w:marBottom w:val="0"/>
      <w:divBdr>
        <w:top w:val="none" w:sz="0" w:space="0" w:color="auto"/>
        <w:left w:val="none" w:sz="0" w:space="0" w:color="auto"/>
        <w:bottom w:val="none" w:sz="0" w:space="0" w:color="auto"/>
        <w:right w:val="none" w:sz="0" w:space="0" w:color="auto"/>
      </w:divBdr>
      <w:divsChild>
        <w:div w:id="1058939083">
          <w:marLeft w:val="0"/>
          <w:marRight w:val="0"/>
          <w:marTop w:val="0"/>
          <w:marBottom w:val="0"/>
          <w:divBdr>
            <w:top w:val="none" w:sz="0" w:space="0" w:color="auto"/>
            <w:left w:val="none" w:sz="0" w:space="0" w:color="auto"/>
            <w:bottom w:val="none" w:sz="0" w:space="0" w:color="auto"/>
            <w:right w:val="none" w:sz="0" w:space="0" w:color="auto"/>
          </w:divBdr>
        </w:div>
        <w:div w:id="1460029233">
          <w:marLeft w:val="0"/>
          <w:marRight w:val="0"/>
          <w:marTop w:val="0"/>
          <w:marBottom w:val="0"/>
          <w:divBdr>
            <w:top w:val="none" w:sz="0" w:space="0" w:color="auto"/>
            <w:left w:val="none" w:sz="0" w:space="0" w:color="auto"/>
            <w:bottom w:val="none" w:sz="0" w:space="0" w:color="auto"/>
            <w:right w:val="none" w:sz="0" w:space="0" w:color="auto"/>
          </w:divBdr>
        </w:div>
      </w:divsChild>
    </w:div>
    <w:div w:id="514077760">
      <w:bodyDiv w:val="1"/>
      <w:marLeft w:val="0"/>
      <w:marRight w:val="0"/>
      <w:marTop w:val="0"/>
      <w:marBottom w:val="0"/>
      <w:divBdr>
        <w:top w:val="none" w:sz="0" w:space="0" w:color="auto"/>
        <w:left w:val="none" w:sz="0" w:space="0" w:color="auto"/>
        <w:bottom w:val="none" w:sz="0" w:space="0" w:color="auto"/>
        <w:right w:val="none" w:sz="0" w:space="0" w:color="auto"/>
      </w:divBdr>
    </w:div>
    <w:div w:id="514921009">
      <w:bodyDiv w:val="1"/>
      <w:marLeft w:val="0"/>
      <w:marRight w:val="0"/>
      <w:marTop w:val="0"/>
      <w:marBottom w:val="0"/>
      <w:divBdr>
        <w:top w:val="none" w:sz="0" w:space="0" w:color="auto"/>
        <w:left w:val="none" w:sz="0" w:space="0" w:color="auto"/>
        <w:bottom w:val="none" w:sz="0" w:space="0" w:color="auto"/>
        <w:right w:val="none" w:sz="0" w:space="0" w:color="auto"/>
      </w:divBdr>
    </w:div>
    <w:div w:id="522136252">
      <w:bodyDiv w:val="1"/>
      <w:marLeft w:val="0"/>
      <w:marRight w:val="0"/>
      <w:marTop w:val="0"/>
      <w:marBottom w:val="0"/>
      <w:divBdr>
        <w:top w:val="none" w:sz="0" w:space="0" w:color="auto"/>
        <w:left w:val="none" w:sz="0" w:space="0" w:color="auto"/>
        <w:bottom w:val="none" w:sz="0" w:space="0" w:color="auto"/>
        <w:right w:val="none" w:sz="0" w:space="0" w:color="auto"/>
      </w:divBdr>
    </w:div>
    <w:div w:id="541868996">
      <w:bodyDiv w:val="1"/>
      <w:marLeft w:val="0"/>
      <w:marRight w:val="0"/>
      <w:marTop w:val="0"/>
      <w:marBottom w:val="0"/>
      <w:divBdr>
        <w:top w:val="none" w:sz="0" w:space="0" w:color="auto"/>
        <w:left w:val="none" w:sz="0" w:space="0" w:color="auto"/>
        <w:bottom w:val="none" w:sz="0" w:space="0" w:color="auto"/>
        <w:right w:val="none" w:sz="0" w:space="0" w:color="auto"/>
      </w:divBdr>
      <w:divsChild>
        <w:div w:id="30614824">
          <w:marLeft w:val="994"/>
          <w:marRight w:val="0"/>
          <w:marTop w:val="0"/>
          <w:marBottom w:val="0"/>
          <w:divBdr>
            <w:top w:val="none" w:sz="0" w:space="0" w:color="auto"/>
            <w:left w:val="none" w:sz="0" w:space="0" w:color="auto"/>
            <w:bottom w:val="none" w:sz="0" w:space="0" w:color="auto"/>
            <w:right w:val="none" w:sz="0" w:space="0" w:color="auto"/>
          </w:divBdr>
        </w:div>
        <w:div w:id="54745241">
          <w:marLeft w:val="1886"/>
          <w:marRight w:val="0"/>
          <w:marTop w:val="0"/>
          <w:marBottom w:val="0"/>
          <w:divBdr>
            <w:top w:val="none" w:sz="0" w:space="0" w:color="auto"/>
            <w:left w:val="none" w:sz="0" w:space="0" w:color="auto"/>
            <w:bottom w:val="none" w:sz="0" w:space="0" w:color="auto"/>
            <w:right w:val="none" w:sz="0" w:space="0" w:color="auto"/>
          </w:divBdr>
        </w:div>
        <w:div w:id="269553266">
          <w:marLeft w:val="1886"/>
          <w:marRight w:val="0"/>
          <w:marTop w:val="0"/>
          <w:marBottom w:val="0"/>
          <w:divBdr>
            <w:top w:val="none" w:sz="0" w:space="0" w:color="auto"/>
            <w:left w:val="none" w:sz="0" w:space="0" w:color="auto"/>
            <w:bottom w:val="none" w:sz="0" w:space="0" w:color="auto"/>
            <w:right w:val="none" w:sz="0" w:space="0" w:color="auto"/>
          </w:divBdr>
        </w:div>
        <w:div w:id="601113032">
          <w:marLeft w:val="1886"/>
          <w:marRight w:val="0"/>
          <w:marTop w:val="0"/>
          <w:marBottom w:val="0"/>
          <w:divBdr>
            <w:top w:val="none" w:sz="0" w:space="0" w:color="auto"/>
            <w:left w:val="none" w:sz="0" w:space="0" w:color="auto"/>
            <w:bottom w:val="none" w:sz="0" w:space="0" w:color="auto"/>
            <w:right w:val="none" w:sz="0" w:space="0" w:color="auto"/>
          </w:divBdr>
        </w:div>
        <w:div w:id="1014763502">
          <w:marLeft w:val="1886"/>
          <w:marRight w:val="0"/>
          <w:marTop w:val="0"/>
          <w:marBottom w:val="0"/>
          <w:divBdr>
            <w:top w:val="none" w:sz="0" w:space="0" w:color="auto"/>
            <w:left w:val="none" w:sz="0" w:space="0" w:color="auto"/>
            <w:bottom w:val="none" w:sz="0" w:space="0" w:color="auto"/>
            <w:right w:val="none" w:sz="0" w:space="0" w:color="auto"/>
          </w:divBdr>
        </w:div>
        <w:div w:id="1052924983">
          <w:marLeft w:val="1886"/>
          <w:marRight w:val="0"/>
          <w:marTop w:val="0"/>
          <w:marBottom w:val="0"/>
          <w:divBdr>
            <w:top w:val="none" w:sz="0" w:space="0" w:color="auto"/>
            <w:left w:val="none" w:sz="0" w:space="0" w:color="auto"/>
            <w:bottom w:val="none" w:sz="0" w:space="0" w:color="auto"/>
            <w:right w:val="none" w:sz="0" w:space="0" w:color="auto"/>
          </w:divBdr>
        </w:div>
        <w:div w:id="1310935741">
          <w:marLeft w:val="994"/>
          <w:marRight w:val="0"/>
          <w:marTop w:val="0"/>
          <w:marBottom w:val="0"/>
          <w:divBdr>
            <w:top w:val="none" w:sz="0" w:space="0" w:color="auto"/>
            <w:left w:val="none" w:sz="0" w:space="0" w:color="auto"/>
            <w:bottom w:val="none" w:sz="0" w:space="0" w:color="auto"/>
            <w:right w:val="none" w:sz="0" w:space="0" w:color="auto"/>
          </w:divBdr>
        </w:div>
        <w:div w:id="1316646331">
          <w:marLeft w:val="274"/>
          <w:marRight w:val="0"/>
          <w:marTop w:val="0"/>
          <w:marBottom w:val="0"/>
          <w:divBdr>
            <w:top w:val="none" w:sz="0" w:space="0" w:color="auto"/>
            <w:left w:val="none" w:sz="0" w:space="0" w:color="auto"/>
            <w:bottom w:val="none" w:sz="0" w:space="0" w:color="auto"/>
            <w:right w:val="none" w:sz="0" w:space="0" w:color="auto"/>
          </w:divBdr>
        </w:div>
        <w:div w:id="1540050602">
          <w:marLeft w:val="1886"/>
          <w:marRight w:val="0"/>
          <w:marTop w:val="0"/>
          <w:marBottom w:val="0"/>
          <w:divBdr>
            <w:top w:val="none" w:sz="0" w:space="0" w:color="auto"/>
            <w:left w:val="none" w:sz="0" w:space="0" w:color="auto"/>
            <w:bottom w:val="none" w:sz="0" w:space="0" w:color="auto"/>
            <w:right w:val="none" w:sz="0" w:space="0" w:color="auto"/>
          </w:divBdr>
        </w:div>
        <w:div w:id="1657147889">
          <w:marLeft w:val="994"/>
          <w:marRight w:val="0"/>
          <w:marTop w:val="0"/>
          <w:marBottom w:val="0"/>
          <w:divBdr>
            <w:top w:val="none" w:sz="0" w:space="0" w:color="auto"/>
            <w:left w:val="none" w:sz="0" w:space="0" w:color="auto"/>
            <w:bottom w:val="none" w:sz="0" w:space="0" w:color="auto"/>
            <w:right w:val="none" w:sz="0" w:space="0" w:color="auto"/>
          </w:divBdr>
        </w:div>
      </w:divsChild>
    </w:div>
    <w:div w:id="559098898">
      <w:bodyDiv w:val="1"/>
      <w:marLeft w:val="0"/>
      <w:marRight w:val="0"/>
      <w:marTop w:val="0"/>
      <w:marBottom w:val="0"/>
      <w:divBdr>
        <w:top w:val="none" w:sz="0" w:space="0" w:color="auto"/>
        <w:left w:val="none" w:sz="0" w:space="0" w:color="auto"/>
        <w:bottom w:val="none" w:sz="0" w:space="0" w:color="auto"/>
        <w:right w:val="none" w:sz="0" w:space="0" w:color="auto"/>
      </w:divBdr>
    </w:div>
    <w:div w:id="560136197">
      <w:bodyDiv w:val="1"/>
      <w:marLeft w:val="0"/>
      <w:marRight w:val="0"/>
      <w:marTop w:val="0"/>
      <w:marBottom w:val="0"/>
      <w:divBdr>
        <w:top w:val="none" w:sz="0" w:space="0" w:color="auto"/>
        <w:left w:val="none" w:sz="0" w:space="0" w:color="auto"/>
        <w:bottom w:val="none" w:sz="0" w:space="0" w:color="auto"/>
        <w:right w:val="none" w:sz="0" w:space="0" w:color="auto"/>
      </w:divBdr>
    </w:div>
    <w:div w:id="561062263">
      <w:bodyDiv w:val="1"/>
      <w:marLeft w:val="0"/>
      <w:marRight w:val="0"/>
      <w:marTop w:val="0"/>
      <w:marBottom w:val="0"/>
      <w:divBdr>
        <w:top w:val="none" w:sz="0" w:space="0" w:color="auto"/>
        <w:left w:val="none" w:sz="0" w:space="0" w:color="auto"/>
        <w:bottom w:val="none" w:sz="0" w:space="0" w:color="auto"/>
        <w:right w:val="none" w:sz="0" w:space="0" w:color="auto"/>
      </w:divBdr>
    </w:div>
    <w:div w:id="585071953">
      <w:bodyDiv w:val="1"/>
      <w:marLeft w:val="0"/>
      <w:marRight w:val="0"/>
      <w:marTop w:val="0"/>
      <w:marBottom w:val="0"/>
      <w:divBdr>
        <w:top w:val="none" w:sz="0" w:space="0" w:color="auto"/>
        <w:left w:val="none" w:sz="0" w:space="0" w:color="auto"/>
        <w:bottom w:val="none" w:sz="0" w:space="0" w:color="auto"/>
        <w:right w:val="none" w:sz="0" w:space="0" w:color="auto"/>
      </w:divBdr>
      <w:divsChild>
        <w:div w:id="44452783">
          <w:marLeft w:val="0"/>
          <w:marRight w:val="0"/>
          <w:marTop w:val="0"/>
          <w:marBottom w:val="0"/>
          <w:divBdr>
            <w:top w:val="none" w:sz="0" w:space="0" w:color="auto"/>
            <w:left w:val="none" w:sz="0" w:space="0" w:color="auto"/>
            <w:bottom w:val="none" w:sz="0" w:space="0" w:color="auto"/>
            <w:right w:val="none" w:sz="0" w:space="0" w:color="auto"/>
          </w:divBdr>
        </w:div>
        <w:div w:id="959914593">
          <w:marLeft w:val="0"/>
          <w:marRight w:val="0"/>
          <w:marTop w:val="0"/>
          <w:marBottom w:val="0"/>
          <w:divBdr>
            <w:top w:val="none" w:sz="0" w:space="0" w:color="auto"/>
            <w:left w:val="none" w:sz="0" w:space="0" w:color="auto"/>
            <w:bottom w:val="none" w:sz="0" w:space="0" w:color="auto"/>
            <w:right w:val="none" w:sz="0" w:space="0" w:color="auto"/>
          </w:divBdr>
        </w:div>
      </w:divsChild>
    </w:div>
    <w:div w:id="592009171">
      <w:bodyDiv w:val="1"/>
      <w:marLeft w:val="0"/>
      <w:marRight w:val="0"/>
      <w:marTop w:val="0"/>
      <w:marBottom w:val="0"/>
      <w:divBdr>
        <w:top w:val="none" w:sz="0" w:space="0" w:color="auto"/>
        <w:left w:val="none" w:sz="0" w:space="0" w:color="auto"/>
        <w:bottom w:val="none" w:sz="0" w:space="0" w:color="auto"/>
        <w:right w:val="none" w:sz="0" w:space="0" w:color="auto"/>
      </w:divBdr>
    </w:div>
    <w:div w:id="595360458">
      <w:bodyDiv w:val="1"/>
      <w:marLeft w:val="0"/>
      <w:marRight w:val="0"/>
      <w:marTop w:val="0"/>
      <w:marBottom w:val="0"/>
      <w:divBdr>
        <w:top w:val="none" w:sz="0" w:space="0" w:color="auto"/>
        <w:left w:val="none" w:sz="0" w:space="0" w:color="auto"/>
        <w:bottom w:val="none" w:sz="0" w:space="0" w:color="auto"/>
        <w:right w:val="none" w:sz="0" w:space="0" w:color="auto"/>
      </w:divBdr>
    </w:div>
    <w:div w:id="618924245">
      <w:bodyDiv w:val="1"/>
      <w:marLeft w:val="0"/>
      <w:marRight w:val="0"/>
      <w:marTop w:val="0"/>
      <w:marBottom w:val="0"/>
      <w:divBdr>
        <w:top w:val="none" w:sz="0" w:space="0" w:color="auto"/>
        <w:left w:val="none" w:sz="0" w:space="0" w:color="auto"/>
        <w:bottom w:val="none" w:sz="0" w:space="0" w:color="auto"/>
        <w:right w:val="none" w:sz="0" w:space="0" w:color="auto"/>
      </w:divBdr>
    </w:div>
    <w:div w:id="636225317">
      <w:bodyDiv w:val="1"/>
      <w:marLeft w:val="0"/>
      <w:marRight w:val="0"/>
      <w:marTop w:val="0"/>
      <w:marBottom w:val="0"/>
      <w:divBdr>
        <w:top w:val="none" w:sz="0" w:space="0" w:color="auto"/>
        <w:left w:val="none" w:sz="0" w:space="0" w:color="auto"/>
        <w:bottom w:val="none" w:sz="0" w:space="0" w:color="auto"/>
        <w:right w:val="none" w:sz="0" w:space="0" w:color="auto"/>
      </w:divBdr>
    </w:div>
    <w:div w:id="645013699">
      <w:bodyDiv w:val="1"/>
      <w:marLeft w:val="0"/>
      <w:marRight w:val="0"/>
      <w:marTop w:val="0"/>
      <w:marBottom w:val="0"/>
      <w:divBdr>
        <w:top w:val="none" w:sz="0" w:space="0" w:color="auto"/>
        <w:left w:val="none" w:sz="0" w:space="0" w:color="auto"/>
        <w:bottom w:val="none" w:sz="0" w:space="0" w:color="auto"/>
        <w:right w:val="none" w:sz="0" w:space="0" w:color="auto"/>
      </w:divBdr>
    </w:div>
    <w:div w:id="649405531">
      <w:bodyDiv w:val="1"/>
      <w:marLeft w:val="0"/>
      <w:marRight w:val="0"/>
      <w:marTop w:val="0"/>
      <w:marBottom w:val="0"/>
      <w:divBdr>
        <w:top w:val="none" w:sz="0" w:space="0" w:color="auto"/>
        <w:left w:val="none" w:sz="0" w:space="0" w:color="auto"/>
        <w:bottom w:val="none" w:sz="0" w:space="0" w:color="auto"/>
        <w:right w:val="none" w:sz="0" w:space="0" w:color="auto"/>
      </w:divBdr>
    </w:div>
    <w:div w:id="653683862">
      <w:bodyDiv w:val="1"/>
      <w:marLeft w:val="0"/>
      <w:marRight w:val="0"/>
      <w:marTop w:val="0"/>
      <w:marBottom w:val="0"/>
      <w:divBdr>
        <w:top w:val="none" w:sz="0" w:space="0" w:color="auto"/>
        <w:left w:val="none" w:sz="0" w:space="0" w:color="auto"/>
        <w:bottom w:val="none" w:sz="0" w:space="0" w:color="auto"/>
        <w:right w:val="none" w:sz="0" w:space="0" w:color="auto"/>
      </w:divBdr>
    </w:div>
    <w:div w:id="664433710">
      <w:bodyDiv w:val="1"/>
      <w:marLeft w:val="0"/>
      <w:marRight w:val="0"/>
      <w:marTop w:val="0"/>
      <w:marBottom w:val="0"/>
      <w:divBdr>
        <w:top w:val="none" w:sz="0" w:space="0" w:color="auto"/>
        <w:left w:val="none" w:sz="0" w:space="0" w:color="auto"/>
        <w:bottom w:val="none" w:sz="0" w:space="0" w:color="auto"/>
        <w:right w:val="none" w:sz="0" w:space="0" w:color="auto"/>
      </w:divBdr>
    </w:div>
    <w:div w:id="682902281">
      <w:bodyDiv w:val="1"/>
      <w:marLeft w:val="0"/>
      <w:marRight w:val="0"/>
      <w:marTop w:val="0"/>
      <w:marBottom w:val="0"/>
      <w:divBdr>
        <w:top w:val="none" w:sz="0" w:space="0" w:color="auto"/>
        <w:left w:val="none" w:sz="0" w:space="0" w:color="auto"/>
        <w:bottom w:val="none" w:sz="0" w:space="0" w:color="auto"/>
        <w:right w:val="none" w:sz="0" w:space="0" w:color="auto"/>
      </w:divBdr>
    </w:div>
    <w:div w:id="691226791">
      <w:bodyDiv w:val="1"/>
      <w:marLeft w:val="0"/>
      <w:marRight w:val="0"/>
      <w:marTop w:val="0"/>
      <w:marBottom w:val="0"/>
      <w:divBdr>
        <w:top w:val="none" w:sz="0" w:space="0" w:color="auto"/>
        <w:left w:val="none" w:sz="0" w:space="0" w:color="auto"/>
        <w:bottom w:val="none" w:sz="0" w:space="0" w:color="auto"/>
        <w:right w:val="none" w:sz="0" w:space="0" w:color="auto"/>
      </w:divBdr>
    </w:div>
    <w:div w:id="700326153">
      <w:bodyDiv w:val="1"/>
      <w:marLeft w:val="0"/>
      <w:marRight w:val="0"/>
      <w:marTop w:val="0"/>
      <w:marBottom w:val="0"/>
      <w:divBdr>
        <w:top w:val="none" w:sz="0" w:space="0" w:color="auto"/>
        <w:left w:val="none" w:sz="0" w:space="0" w:color="auto"/>
        <w:bottom w:val="none" w:sz="0" w:space="0" w:color="auto"/>
        <w:right w:val="none" w:sz="0" w:space="0" w:color="auto"/>
      </w:divBdr>
    </w:div>
    <w:div w:id="718480869">
      <w:bodyDiv w:val="1"/>
      <w:marLeft w:val="0"/>
      <w:marRight w:val="0"/>
      <w:marTop w:val="0"/>
      <w:marBottom w:val="0"/>
      <w:divBdr>
        <w:top w:val="none" w:sz="0" w:space="0" w:color="auto"/>
        <w:left w:val="none" w:sz="0" w:space="0" w:color="auto"/>
        <w:bottom w:val="none" w:sz="0" w:space="0" w:color="auto"/>
        <w:right w:val="none" w:sz="0" w:space="0" w:color="auto"/>
      </w:divBdr>
    </w:div>
    <w:div w:id="730345388">
      <w:bodyDiv w:val="1"/>
      <w:marLeft w:val="0"/>
      <w:marRight w:val="0"/>
      <w:marTop w:val="0"/>
      <w:marBottom w:val="0"/>
      <w:divBdr>
        <w:top w:val="none" w:sz="0" w:space="0" w:color="auto"/>
        <w:left w:val="none" w:sz="0" w:space="0" w:color="auto"/>
        <w:bottom w:val="none" w:sz="0" w:space="0" w:color="auto"/>
        <w:right w:val="none" w:sz="0" w:space="0" w:color="auto"/>
      </w:divBdr>
    </w:div>
    <w:div w:id="731926404">
      <w:bodyDiv w:val="1"/>
      <w:marLeft w:val="0"/>
      <w:marRight w:val="0"/>
      <w:marTop w:val="0"/>
      <w:marBottom w:val="0"/>
      <w:divBdr>
        <w:top w:val="none" w:sz="0" w:space="0" w:color="auto"/>
        <w:left w:val="none" w:sz="0" w:space="0" w:color="auto"/>
        <w:bottom w:val="none" w:sz="0" w:space="0" w:color="auto"/>
        <w:right w:val="none" w:sz="0" w:space="0" w:color="auto"/>
      </w:divBdr>
    </w:div>
    <w:div w:id="737945121">
      <w:bodyDiv w:val="1"/>
      <w:marLeft w:val="0"/>
      <w:marRight w:val="0"/>
      <w:marTop w:val="0"/>
      <w:marBottom w:val="0"/>
      <w:divBdr>
        <w:top w:val="none" w:sz="0" w:space="0" w:color="auto"/>
        <w:left w:val="none" w:sz="0" w:space="0" w:color="auto"/>
        <w:bottom w:val="none" w:sz="0" w:space="0" w:color="auto"/>
        <w:right w:val="none" w:sz="0" w:space="0" w:color="auto"/>
      </w:divBdr>
    </w:div>
    <w:div w:id="756559170">
      <w:bodyDiv w:val="1"/>
      <w:marLeft w:val="0"/>
      <w:marRight w:val="0"/>
      <w:marTop w:val="0"/>
      <w:marBottom w:val="0"/>
      <w:divBdr>
        <w:top w:val="none" w:sz="0" w:space="0" w:color="auto"/>
        <w:left w:val="none" w:sz="0" w:space="0" w:color="auto"/>
        <w:bottom w:val="none" w:sz="0" w:space="0" w:color="auto"/>
        <w:right w:val="none" w:sz="0" w:space="0" w:color="auto"/>
      </w:divBdr>
    </w:div>
    <w:div w:id="774445629">
      <w:bodyDiv w:val="1"/>
      <w:marLeft w:val="0"/>
      <w:marRight w:val="0"/>
      <w:marTop w:val="0"/>
      <w:marBottom w:val="0"/>
      <w:divBdr>
        <w:top w:val="none" w:sz="0" w:space="0" w:color="auto"/>
        <w:left w:val="none" w:sz="0" w:space="0" w:color="auto"/>
        <w:bottom w:val="none" w:sz="0" w:space="0" w:color="auto"/>
        <w:right w:val="none" w:sz="0" w:space="0" w:color="auto"/>
      </w:divBdr>
    </w:div>
    <w:div w:id="799035891">
      <w:bodyDiv w:val="1"/>
      <w:marLeft w:val="0"/>
      <w:marRight w:val="0"/>
      <w:marTop w:val="0"/>
      <w:marBottom w:val="0"/>
      <w:divBdr>
        <w:top w:val="none" w:sz="0" w:space="0" w:color="auto"/>
        <w:left w:val="none" w:sz="0" w:space="0" w:color="auto"/>
        <w:bottom w:val="none" w:sz="0" w:space="0" w:color="auto"/>
        <w:right w:val="none" w:sz="0" w:space="0" w:color="auto"/>
      </w:divBdr>
    </w:div>
    <w:div w:id="806582759">
      <w:bodyDiv w:val="1"/>
      <w:marLeft w:val="0"/>
      <w:marRight w:val="0"/>
      <w:marTop w:val="0"/>
      <w:marBottom w:val="0"/>
      <w:divBdr>
        <w:top w:val="none" w:sz="0" w:space="0" w:color="auto"/>
        <w:left w:val="none" w:sz="0" w:space="0" w:color="auto"/>
        <w:bottom w:val="none" w:sz="0" w:space="0" w:color="auto"/>
        <w:right w:val="none" w:sz="0" w:space="0" w:color="auto"/>
      </w:divBdr>
    </w:div>
    <w:div w:id="811170622">
      <w:bodyDiv w:val="1"/>
      <w:marLeft w:val="0"/>
      <w:marRight w:val="0"/>
      <w:marTop w:val="0"/>
      <w:marBottom w:val="0"/>
      <w:divBdr>
        <w:top w:val="none" w:sz="0" w:space="0" w:color="auto"/>
        <w:left w:val="none" w:sz="0" w:space="0" w:color="auto"/>
        <w:bottom w:val="none" w:sz="0" w:space="0" w:color="auto"/>
        <w:right w:val="none" w:sz="0" w:space="0" w:color="auto"/>
      </w:divBdr>
    </w:div>
    <w:div w:id="835802330">
      <w:bodyDiv w:val="1"/>
      <w:marLeft w:val="0"/>
      <w:marRight w:val="0"/>
      <w:marTop w:val="0"/>
      <w:marBottom w:val="0"/>
      <w:divBdr>
        <w:top w:val="none" w:sz="0" w:space="0" w:color="auto"/>
        <w:left w:val="none" w:sz="0" w:space="0" w:color="auto"/>
        <w:bottom w:val="none" w:sz="0" w:space="0" w:color="auto"/>
        <w:right w:val="none" w:sz="0" w:space="0" w:color="auto"/>
      </w:divBdr>
    </w:div>
    <w:div w:id="837185655">
      <w:bodyDiv w:val="1"/>
      <w:marLeft w:val="0"/>
      <w:marRight w:val="0"/>
      <w:marTop w:val="0"/>
      <w:marBottom w:val="0"/>
      <w:divBdr>
        <w:top w:val="none" w:sz="0" w:space="0" w:color="auto"/>
        <w:left w:val="none" w:sz="0" w:space="0" w:color="auto"/>
        <w:bottom w:val="none" w:sz="0" w:space="0" w:color="auto"/>
        <w:right w:val="none" w:sz="0" w:space="0" w:color="auto"/>
      </w:divBdr>
      <w:divsChild>
        <w:div w:id="79983062">
          <w:marLeft w:val="0"/>
          <w:marRight w:val="0"/>
          <w:marTop w:val="0"/>
          <w:marBottom w:val="0"/>
          <w:divBdr>
            <w:top w:val="none" w:sz="0" w:space="0" w:color="auto"/>
            <w:left w:val="none" w:sz="0" w:space="0" w:color="auto"/>
            <w:bottom w:val="none" w:sz="0" w:space="0" w:color="auto"/>
            <w:right w:val="none" w:sz="0" w:space="0" w:color="auto"/>
          </w:divBdr>
        </w:div>
        <w:div w:id="82184467">
          <w:marLeft w:val="0"/>
          <w:marRight w:val="0"/>
          <w:marTop w:val="0"/>
          <w:marBottom w:val="0"/>
          <w:divBdr>
            <w:top w:val="none" w:sz="0" w:space="0" w:color="auto"/>
            <w:left w:val="none" w:sz="0" w:space="0" w:color="auto"/>
            <w:bottom w:val="none" w:sz="0" w:space="0" w:color="auto"/>
            <w:right w:val="none" w:sz="0" w:space="0" w:color="auto"/>
          </w:divBdr>
        </w:div>
        <w:div w:id="696807301">
          <w:marLeft w:val="0"/>
          <w:marRight w:val="0"/>
          <w:marTop w:val="0"/>
          <w:marBottom w:val="0"/>
          <w:divBdr>
            <w:top w:val="none" w:sz="0" w:space="0" w:color="auto"/>
            <w:left w:val="none" w:sz="0" w:space="0" w:color="auto"/>
            <w:bottom w:val="none" w:sz="0" w:space="0" w:color="auto"/>
            <w:right w:val="none" w:sz="0" w:space="0" w:color="auto"/>
          </w:divBdr>
        </w:div>
        <w:div w:id="801264050">
          <w:marLeft w:val="0"/>
          <w:marRight w:val="0"/>
          <w:marTop w:val="0"/>
          <w:marBottom w:val="0"/>
          <w:divBdr>
            <w:top w:val="none" w:sz="0" w:space="0" w:color="auto"/>
            <w:left w:val="none" w:sz="0" w:space="0" w:color="auto"/>
            <w:bottom w:val="none" w:sz="0" w:space="0" w:color="auto"/>
            <w:right w:val="none" w:sz="0" w:space="0" w:color="auto"/>
          </w:divBdr>
        </w:div>
        <w:div w:id="1442189900">
          <w:marLeft w:val="0"/>
          <w:marRight w:val="0"/>
          <w:marTop w:val="0"/>
          <w:marBottom w:val="0"/>
          <w:divBdr>
            <w:top w:val="none" w:sz="0" w:space="0" w:color="auto"/>
            <w:left w:val="none" w:sz="0" w:space="0" w:color="auto"/>
            <w:bottom w:val="none" w:sz="0" w:space="0" w:color="auto"/>
            <w:right w:val="none" w:sz="0" w:space="0" w:color="auto"/>
          </w:divBdr>
        </w:div>
        <w:div w:id="1633099095">
          <w:marLeft w:val="0"/>
          <w:marRight w:val="0"/>
          <w:marTop w:val="0"/>
          <w:marBottom w:val="0"/>
          <w:divBdr>
            <w:top w:val="none" w:sz="0" w:space="0" w:color="auto"/>
            <w:left w:val="none" w:sz="0" w:space="0" w:color="auto"/>
            <w:bottom w:val="none" w:sz="0" w:space="0" w:color="auto"/>
            <w:right w:val="none" w:sz="0" w:space="0" w:color="auto"/>
          </w:divBdr>
        </w:div>
      </w:divsChild>
    </w:div>
    <w:div w:id="841358473">
      <w:bodyDiv w:val="1"/>
      <w:marLeft w:val="0"/>
      <w:marRight w:val="0"/>
      <w:marTop w:val="0"/>
      <w:marBottom w:val="0"/>
      <w:divBdr>
        <w:top w:val="none" w:sz="0" w:space="0" w:color="auto"/>
        <w:left w:val="none" w:sz="0" w:space="0" w:color="auto"/>
        <w:bottom w:val="none" w:sz="0" w:space="0" w:color="auto"/>
        <w:right w:val="none" w:sz="0" w:space="0" w:color="auto"/>
      </w:divBdr>
    </w:div>
    <w:div w:id="845438964">
      <w:bodyDiv w:val="1"/>
      <w:marLeft w:val="0"/>
      <w:marRight w:val="0"/>
      <w:marTop w:val="0"/>
      <w:marBottom w:val="0"/>
      <w:divBdr>
        <w:top w:val="none" w:sz="0" w:space="0" w:color="auto"/>
        <w:left w:val="none" w:sz="0" w:space="0" w:color="auto"/>
        <w:bottom w:val="none" w:sz="0" w:space="0" w:color="auto"/>
        <w:right w:val="none" w:sz="0" w:space="0" w:color="auto"/>
      </w:divBdr>
    </w:div>
    <w:div w:id="853037539">
      <w:bodyDiv w:val="1"/>
      <w:marLeft w:val="0"/>
      <w:marRight w:val="0"/>
      <w:marTop w:val="0"/>
      <w:marBottom w:val="0"/>
      <w:divBdr>
        <w:top w:val="none" w:sz="0" w:space="0" w:color="auto"/>
        <w:left w:val="none" w:sz="0" w:space="0" w:color="auto"/>
        <w:bottom w:val="none" w:sz="0" w:space="0" w:color="auto"/>
        <w:right w:val="none" w:sz="0" w:space="0" w:color="auto"/>
      </w:divBdr>
    </w:div>
    <w:div w:id="853691438">
      <w:bodyDiv w:val="1"/>
      <w:marLeft w:val="0"/>
      <w:marRight w:val="0"/>
      <w:marTop w:val="0"/>
      <w:marBottom w:val="0"/>
      <w:divBdr>
        <w:top w:val="none" w:sz="0" w:space="0" w:color="auto"/>
        <w:left w:val="none" w:sz="0" w:space="0" w:color="auto"/>
        <w:bottom w:val="none" w:sz="0" w:space="0" w:color="auto"/>
        <w:right w:val="none" w:sz="0" w:space="0" w:color="auto"/>
      </w:divBdr>
    </w:div>
    <w:div w:id="867792429">
      <w:bodyDiv w:val="1"/>
      <w:marLeft w:val="0"/>
      <w:marRight w:val="0"/>
      <w:marTop w:val="0"/>
      <w:marBottom w:val="0"/>
      <w:divBdr>
        <w:top w:val="none" w:sz="0" w:space="0" w:color="auto"/>
        <w:left w:val="none" w:sz="0" w:space="0" w:color="auto"/>
        <w:bottom w:val="none" w:sz="0" w:space="0" w:color="auto"/>
        <w:right w:val="none" w:sz="0" w:space="0" w:color="auto"/>
      </w:divBdr>
    </w:div>
    <w:div w:id="884563677">
      <w:bodyDiv w:val="1"/>
      <w:marLeft w:val="0"/>
      <w:marRight w:val="0"/>
      <w:marTop w:val="0"/>
      <w:marBottom w:val="0"/>
      <w:divBdr>
        <w:top w:val="none" w:sz="0" w:space="0" w:color="auto"/>
        <w:left w:val="none" w:sz="0" w:space="0" w:color="auto"/>
        <w:bottom w:val="none" w:sz="0" w:space="0" w:color="auto"/>
        <w:right w:val="none" w:sz="0" w:space="0" w:color="auto"/>
      </w:divBdr>
    </w:div>
    <w:div w:id="897059332">
      <w:bodyDiv w:val="1"/>
      <w:marLeft w:val="0"/>
      <w:marRight w:val="0"/>
      <w:marTop w:val="0"/>
      <w:marBottom w:val="0"/>
      <w:divBdr>
        <w:top w:val="none" w:sz="0" w:space="0" w:color="auto"/>
        <w:left w:val="none" w:sz="0" w:space="0" w:color="auto"/>
        <w:bottom w:val="none" w:sz="0" w:space="0" w:color="auto"/>
        <w:right w:val="none" w:sz="0" w:space="0" w:color="auto"/>
      </w:divBdr>
    </w:div>
    <w:div w:id="930433347">
      <w:bodyDiv w:val="1"/>
      <w:marLeft w:val="0"/>
      <w:marRight w:val="0"/>
      <w:marTop w:val="0"/>
      <w:marBottom w:val="0"/>
      <w:divBdr>
        <w:top w:val="none" w:sz="0" w:space="0" w:color="auto"/>
        <w:left w:val="none" w:sz="0" w:space="0" w:color="auto"/>
        <w:bottom w:val="none" w:sz="0" w:space="0" w:color="auto"/>
        <w:right w:val="none" w:sz="0" w:space="0" w:color="auto"/>
      </w:divBdr>
    </w:div>
    <w:div w:id="937173350">
      <w:bodyDiv w:val="1"/>
      <w:marLeft w:val="0"/>
      <w:marRight w:val="0"/>
      <w:marTop w:val="0"/>
      <w:marBottom w:val="0"/>
      <w:divBdr>
        <w:top w:val="none" w:sz="0" w:space="0" w:color="auto"/>
        <w:left w:val="none" w:sz="0" w:space="0" w:color="auto"/>
        <w:bottom w:val="none" w:sz="0" w:space="0" w:color="auto"/>
        <w:right w:val="none" w:sz="0" w:space="0" w:color="auto"/>
      </w:divBdr>
    </w:div>
    <w:div w:id="950747838">
      <w:bodyDiv w:val="1"/>
      <w:marLeft w:val="0"/>
      <w:marRight w:val="0"/>
      <w:marTop w:val="0"/>
      <w:marBottom w:val="0"/>
      <w:divBdr>
        <w:top w:val="none" w:sz="0" w:space="0" w:color="auto"/>
        <w:left w:val="none" w:sz="0" w:space="0" w:color="auto"/>
        <w:bottom w:val="none" w:sz="0" w:space="0" w:color="auto"/>
        <w:right w:val="none" w:sz="0" w:space="0" w:color="auto"/>
      </w:divBdr>
    </w:div>
    <w:div w:id="955209527">
      <w:bodyDiv w:val="1"/>
      <w:marLeft w:val="0"/>
      <w:marRight w:val="0"/>
      <w:marTop w:val="0"/>
      <w:marBottom w:val="0"/>
      <w:divBdr>
        <w:top w:val="none" w:sz="0" w:space="0" w:color="auto"/>
        <w:left w:val="none" w:sz="0" w:space="0" w:color="auto"/>
        <w:bottom w:val="none" w:sz="0" w:space="0" w:color="auto"/>
        <w:right w:val="none" w:sz="0" w:space="0" w:color="auto"/>
      </w:divBdr>
    </w:div>
    <w:div w:id="958687640">
      <w:bodyDiv w:val="1"/>
      <w:marLeft w:val="0"/>
      <w:marRight w:val="0"/>
      <w:marTop w:val="0"/>
      <w:marBottom w:val="0"/>
      <w:divBdr>
        <w:top w:val="none" w:sz="0" w:space="0" w:color="auto"/>
        <w:left w:val="none" w:sz="0" w:space="0" w:color="auto"/>
        <w:bottom w:val="none" w:sz="0" w:space="0" w:color="auto"/>
        <w:right w:val="none" w:sz="0" w:space="0" w:color="auto"/>
      </w:divBdr>
    </w:div>
    <w:div w:id="962229817">
      <w:bodyDiv w:val="1"/>
      <w:marLeft w:val="0"/>
      <w:marRight w:val="0"/>
      <w:marTop w:val="0"/>
      <w:marBottom w:val="0"/>
      <w:divBdr>
        <w:top w:val="none" w:sz="0" w:space="0" w:color="auto"/>
        <w:left w:val="none" w:sz="0" w:space="0" w:color="auto"/>
        <w:bottom w:val="none" w:sz="0" w:space="0" w:color="auto"/>
        <w:right w:val="none" w:sz="0" w:space="0" w:color="auto"/>
      </w:divBdr>
    </w:div>
    <w:div w:id="972515201">
      <w:bodyDiv w:val="1"/>
      <w:marLeft w:val="0"/>
      <w:marRight w:val="0"/>
      <w:marTop w:val="0"/>
      <w:marBottom w:val="0"/>
      <w:divBdr>
        <w:top w:val="none" w:sz="0" w:space="0" w:color="auto"/>
        <w:left w:val="none" w:sz="0" w:space="0" w:color="auto"/>
        <w:bottom w:val="none" w:sz="0" w:space="0" w:color="auto"/>
        <w:right w:val="none" w:sz="0" w:space="0" w:color="auto"/>
      </w:divBdr>
    </w:div>
    <w:div w:id="981160218">
      <w:bodyDiv w:val="1"/>
      <w:marLeft w:val="0"/>
      <w:marRight w:val="0"/>
      <w:marTop w:val="0"/>
      <w:marBottom w:val="0"/>
      <w:divBdr>
        <w:top w:val="none" w:sz="0" w:space="0" w:color="auto"/>
        <w:left w:val="none" w:sz="0" w:space="0" w:color="auto"/>
        <w:bottom w:val="none" w:sz="0" w:space="0" w:color="auto"/>
        <w:right w:val="none" w:sz="0" w:space="0" w:color="auto"/>
      </w:divBdr>
    </w:div>
    <w:div w:id="1000425736">
      <w:bodyDiv w:val="1"/>
      <w:marLeft w:val="0"/>
      <w:marRight w:val="0"/>
      <w:marTop w:val="0"/>
      <w:marBottom w:val="0"/>
      <w:divBdr>
        <w:top w:val="none" w:sz="0" w:space="0" w:color="auto"/>
        <w:left w:val="none" w:sz="0" w:space="0" w:color="auto"/>
        <w:bottom w:val="none" w:sz="0" w:space="0" w:color="auto"/>
        <w:right w:val="none" w:sz="0" w:space="0" w:color="auto"/>
      </w:divBdr>
    </w:div>
    <w:div w:id="1004936663">
      <w:bodyDiv w:val="1"/>
      <w:marLeft w:val="0"/>
      <w:marRight w:val="0"/>
      <w:marTop w:val="0"/>
      <w:marBottom w:val="0"/>
      <w:divBdr>
        <w:top w:val="none" w:sz="0" w:space="0" w:color="auto"/>
        <w:left w:val="none" w:sz="0" w:space="0" w:color="auto"/>
        <w:bottom w:val="none" w:sz="0" w:space="0" w:color="auto"/>
        <w:right w:val="none" w:sz="0" w:space="0" w:color="auto"/>
      </w:divBdr>
    </w:div>
    <w:div w:id="1005595975">
      <w:bodyDiv w:val="1"/>
      <w:marLeft w:val="0"/>
      <w:marRight w:val="0"/>
      <w:marTop w:val="0"/>
      <w:marBottom w:val="0"/>
      <w:divBdr>
        <w:top w:val="none" w:sz="0" w:space="0" w:color="auto"/>
        <w:left w:val="none" w:sz="0" w:space="0" w:color="auto"/>
        <w:bottom w:val="none" w:sz="0" w:space="0" w:color="auto"/>
        <w:right w:val="none" w:sz="0" w:space="0" w:color="auto"/>
      </w:divBdr>
    </w:div>
    <w:div w:id="1033769526">
      <w:bodyDiv w:val="1"/>
      <w:marLeft w:val="0"/>
      <w:marRight w:val="0"/>
      <w:marTop w:val="0"/>
      <w:marBottom w:val="0"/>
      <w:divBdr>
        <w:top w:val="none" w:sz="0" w:space="0" w:color="auto"/>
        <w:left w:val="none" w:sz="0" w:space="0" w:color="auto"/>
        <w:bottom w:val="none" w:sz="0" w:space="0" w:color="auto"/>
        <w:right w:val="none" w:sz="0" w:space="0" w:color="auto"/>
      </w:divBdr>
    </w:div>
    <w:div w:id="1034884004">
      <w:bodyDiv w:val="1"/>
      <w:marLeft w:val="0"/>
      <w:marRight w:val="0"/>
      <w:marTop w:val="0"/>
      <w:marBottom w:val="0"/>
      <w:divBdr>
        <w:top w:val="none" w:sz="0" w:space="0" w:color="auto"/>
        <w:left w:val="none" w:sz="0" w:space="0" w:color="auto"/>
        <w:bottom w:val="none" w:sz="0" w:space="0" w:color="auto"/>
        <w:right w:val="none" w:sz="0" w:space="0" w:color="auto"/>
      </w:divBdr>
    </w:div>
    <w:div w:id="1042629077">
      <w:bodyDiv w:val="1"/>
      <w:marLeft w:val="0"/>
      <w:marRight w:val="0"/>
      <w:marTop w:val="0"/>
      <w:marBottom w:val="0"/>
      <w:divBdr>
        <w:top w:val="none" w:sz="0" w:space="0" w:color="auto"/>
        <w:left w:val="none" w:sz="0" w:space="0" w:color="auto"/>
        <w:bottom w:val="none" w:sz="0" w:space="0" w:color="auto"/>
        <w:right w:val="none" w:sz="0" w:space="0" w:color="auto"/>
      </w:divBdr>
    </w:div>
    <w:div w:id="1047604769">
      <w:bodyDiv w:val="1"/>
      <w:marLeft w:val="0"/>
      <w:marRight w:val="0"/>
      <w:marTop w:val="0"/>
      <w:marBottom w:val="0"/>
      <w:divBdr>
        <w:top w:val="none" w:sz="0" w:space="0" w:color="auto"/>
        <w:left w:val="none" w:sz="0" w:space="0" w:color="auto"/>
        <w:bottom w:val="none" w:sz="0" w:space="0" w:color="auto"/>
        <w:right w:val="none" w:sz="0" w:space="0" w:color="auto"/>
      </w:divBdr>
    </w:div>
    <w:div w:id="1062677739">
      <w:bodyDiv w:val="1"/>
      <w:marLeft w:val="0"/>
      <w:marRight w:val="0"/>
      <w:marTop w:val="0"/>
      <w:marBottom w:val="0"/>
      <w:divBdr>
        <w:top w:val="none" w:sz="0" w:space="0" w:color="auto"/>
        <w:left w:val="none" w:sz="0" w:space="0" w:color="auto"/>
        <w:bottom w:val="none" w:sz="0" w:space="0" w:color="auto"/>
        <w:right w:val="none" w:sz="0" w:space="0" w:color="auto"/>
      </w:divBdr>
    </w:div>
    <w:div w:id="1088621292">
      <w:bodyDiv w:val="1"/>
      <w:marLeft w:val="0"/>
      <w:marRight w:val="0"/>
      <w:marTop w:val="0"/>
      <w:marBottom w:val="0"/>
      <w:divBdr>
        <w:top w:val="none" w:sz="0" w:space="0" w:color="auto"/>
        <w:left w:val="none" w:sz="0" w:space="0" w:color="auto"/>
        <w:bottom w:val="none" w:sz="0" w:space="0" w:color="auto"/>
        <w:right w:val="none" w:sz="0" w:space="0" w:color="auto"/>
      </w:divBdr>
    </w:div>
    <w:div w:id="1107047276">
      <w:bodyDiv w:val="1"/>
      <w:marLeft w:val="0"/>
      <w:marRight w:val="0"/>
      <w:marTop w:val="0"/>
      <w:marBottom w:val="0"/>
      <w:divBdr>
        <w:top w:val="none" w:sz="0" w:space="0" w:color="auto"/>
        <w:left w:val="none" w:sz="0" w:space="0" w:color="auto"/>
        <w:bottom w:val="none" w:sz="0" w:space="0" w:color="auto"/>
        <w:right w:val="none" w:sz="0" w:space="0" w:color="auto"/>
      </w:divBdr>
    </w:div>
    <w:div w:id="1115295370">
      <w:bodyDiv w:val="1"/>
      <w:marLeft w:val="0"/>
      <w:marRight w:val="0"/>
      <w:marTop w:val="0"/>
      <w:marBottom w:val="0"/>
      <w:divBdr>
        <w:top w:val="none" w:sz="0" w:space="0" w:color="auto"/>
        <w:left w:val="none" w:sz="0" w:space="0" w:color="auto"/>
        <w:bottom w:val="none" w:sz="0" w:space="0" w:color="auto"/>
        <w:right w:val="none" w:sz="0" w:space="0" w:color="auto"/>
      </w:divBdr>
    </w:div>
    <w:div w:id="1117066213">
      <w:bodyDiv w:val="1"/>
      <w:marLeft w:val="0"/>
      <w:marRight w:val="0"/>
      <w:marTop w:val="0"/>
      <w:marBottom w:val="0"/>
      <w:divBdr>
        <w:top w:val="none" w:sz="0" w:space="0" w:color="auto"/>
        <w:left w:val="none" w:sz="0" w:space="0" w:color="auto"/>
        <w:bottom w:val="none" w:sz="0" w:space="0" w:color="auto"/>
        <w:right w:val="none" w:sz="0" w:space="0" w:color="auto"/>
      </w:divBdr>
    </w:div>
    <w:div w:id="1149597247">
      <w:bodyDiv w:val="1"/>
      <w:marLeft w:val="0"/>
      <w:marRight w:val="0"/>
      <w:marTop w:val="0"/>
      <w:marBottom w:val="0"/>
      <w:divBdr>
        <w:top w:val="none" w:sz="0" w:space="0" w:color="auto"/>
        <w:left w:val="none" w:sz="0" w:space="0" w:color="auto"/>
        <w:bottom w:val="none" w:sz="0" w:space="0" w:color="auto"/>
        <w:right w:val="none" w:sz="0" w:space="0" w:color="auto"/>
      </w:divBdr>
    </w:div>
    <w:div w:id="1151017503">
      <w:bodyDiv w:val="1"/>
      <w:marLeft w:val="0"/>
      <w:marRight w:val="0"/>
      <w:marTop w:val="0"/>
      <w:marBottom w:val="0"/>
      <w:divBdr>
        <w:top w:val="none" w:sz="0" w:space="0" w:color="auto"/>
        <w:left w:val="none" w:sz="0" w:space="0" w:color="auto"/>
        <w:bottom w:val="none" w:sz="0" w:space="0" w:color="auto"/>
        <w:right w:val="none" w:sz="0" w:space="0" w:color="auto"/>
      </w:divBdr>
    </w:div>
    <w:div w:id="1158960900">
      <w:bodyDiv w:val="1"/>
      <w:marLeft w:val="0"/>
      <w:marRight w:val="0"/>
      <w:marTop w:val="0"/>
      <w:marBottom w:val="0"/>
      <w:divBdr>
        <w:top w:val="none" w:sz="0" w:space="0" w:color="auto"/>
        <w:left w:val="none" w:sz="0" w:space="0" w:color="auto"/>
        <w:bottom w:val="none" w:sz="0" w:space="0" w:color="auto"/>
        <w:right w:val="none" w:sz="0" w:space="0" w:color="auto"/>
      </w:divBdr>
    </w:div>
    <w:div w:id="1169176794">
      <w:bodyDiv w:val="1"/>
      <w:marLeft w:val="0"/>
      <w:marRight w:val="0"/>
      <w:marTop w:val="0"/>
      <w:marBottom w:val="0"/>
      <w:divBdr>
        <w:top w:val="none" w:sz="0" w:space="0" w:color="auto"/>
        <w:left w:val="none" w:sz="0" w:space="0" w:color="auto"/>
        <w:bottom w:val="none" w:sz="0" w:space="0" w:color="auto"/>
        <w:right w:val="none" w:sz="0" w:space="0" w:color="auto"/>
      </w:divBdr>
    </w:div>
    <w:div w:id="1172186163">
      <w:bodyDiv w:val="1"/>
      <w:marLeft w:val="0"/>
      <w:marRight w:val="0"/>
      <w:marTop w:val="0"/>
      <w:marBottom w:val="0"/>
      <w:divBdr>
        <w:top w:val="none" w:sz="0" w:space="0" w:color="auto"/>
        <w:left w:val="none" w:sz="0" w:space="0" w:color="auto"/>
        <w:bottom w:val="none" w:sz="0" w:space="0" w:color="auto"/>
        <w:right w:val="none" w:sz="0" w:space="0" w:color="auto"/>
      </w:divBdr>
    </w:div>
    <w:div w:id="1172839569">
      <w:bodyDiv w:val="1"/>
      <w:marLeft w:val="0"/>
      <w:marRight w:val="0"/>
      <w:marTop w:val="0"/>
      <w:marBottom w:val="0"/>
      <w:divBdr>
        <w:top w:val="none" w:sz="0" w:space="0" w:color="auto"/>
        <w:left w:val="none" w:sz="0" w:space="0" w:color="auto"/>
        <w:bottom w:val="none" w:sz="0" w:space="0" w:color="auto"/>
        <w:right w:val="none" w:sz="0" w:space="0" w:color="auto"/>
      </w:divBdr>
      <w:divsChild>
        <w:div w:id="1421758531">
          <w:marLeft w:val="0"/>
          <w:marRight w:val="0"/>
          <w:marTop w:val="0"/>
          <w:marBottom w:val="0"/>
          <w:divBdr>
            <w:top w:val="none" w:sz="0" w:space="0" w:color="auto"/>
            <w:left w:val="none" w:sz="0" w:space="0" w:color="auto"/>
            <w:bottom w:val="none" w:sz="0" w:space="0" w:color="auto"/>
            <w:right w:val="none" w:sz="0" w:space="0" w:color="auto"/>
          </w:divBdr>
          <w:divsChild>
            <w:div w:id="656349822">
              <w:marLeft w:val="0"/>
              <w:marRight w:val="0"/>
              <w:marTop w:val="0"/>
              <w:marBottom w:val="0"/>
              <w:divBdr>
                <w:top w:val="none" w:sz="0" w:space="0" w:color="auto"/>
                <w:left w:val="none" w:sz="0" w:space="0" w:color="auto"/>
                <w:bottom w:val="none" w:sz="0" w:space="0" w:color="auto"/>
                <w:right w:val="none" w:sz="0" w:space="0" w:color="auto"/>
              </w:divBdr>
              <w:divsChild>
                <w:div w:id="393969387">
                  <w:marLeft w:val="0"/>
                  <w:marRight w:val="0"/>
                  <w:marTop w:val="0"/>
                  <w:marBottom w:val="0"/>
                  <w:divBdr>
                    <w:top w:val="none" w:sz="0" w:space="0" w:color="auto"/>
                    <w:left w:val="none" w:sz="0" w:space="0" w:color="auto"/>
                    <w:bottom w:val="none" w:sz="0" w:space="0" w:color="auto"/>
                    <w:right w:val="none" w:sz="0" w:space="0" w:color="auto"/>
                  </w:divBdr>
                  <w:divsChild>
                    <w:div w:id="2110930188">
                      <w:marLeft w:val="0"/>
                      <w:marRight w:val="0"/>
                      <w:marTop w:val="0"/>
                      <w:marBottom w:val="0"/>
                      <w:divBdr>
                        <w:top w:val="none" w:sz="0" w:space="0" w:color="auto"/>
                        <w:left w:val="none" w:sz="0" w:space="0" w:color="auto"/>
                        <w:bottom w:val="none" w:sz="0" w:space="0" w:color="auto"/>
                        <w:right w:val="none" w:sz="0" w:space="0" w:color="auto"/>
                      </w:divBdr>
                      <w:divsChild>
                        <w:div w:id="2129229192">
                          <w:marLeft w:val="0"/>
                          <w:marRight w:val="0"/>
                          <w:marTop w:val="0"/>
                          <w:marBottom w:val="0"/>
                          <w:divBdr>
                            <w:top w:val="none" w:sz="0" w:space="0" w:color="auto"/>
                            <w:left w:val="none" w:sz="0" w:space="0" w:color="auto"/>
                            <w:bottom w:val="none" w:sz="0" w:space="0" w:color="auto"/>
                            <w:right w:val="none" w:sz="0" w:space="0" w:color="auto"/>
                          </w:divBdr>
                          <w:divsChild>
                            <w:div w:id="1629051276">
                              <w:marLeft w:val="0"/>
                              <w:marRight w:val="0"/>
                              <w:marTop w:val="0"/>
                              <w:marBottom w:val="0"/>
                              <w:divBdr>
                                <w:top w:val="none" w:sz="0" w:space="0" w:color="auto"/>
                                <w:left w:val="none" w:sz="0" w:space="0" w:color="auto"/>
                                <w:bottom w:val="none" w:sz="0" w:space="0" w:color="auto"/>
                                <w:right w:val="none" w:sz="0" w:space="0" w:color="auto"/>
                              </w:divBdr>
                              <w:divsChild>
                                <w:div w:id="426343715">
                                  <w:marLeft w:val="-225"/>
                                  <w:marRight w:val="-225"/>
                                  <w:marTop w:val="0"/>
                                  <w:marBottom w:val="0"/>
                                  <w:divBdr>
                                    <w:top w:val="none" w:sz="0" w:space="0" w:color="auto"/>
                                    <w:left w:val="none" w:sz="0" w:space="0" w:color="auto"/>
                                    <w:bottom w:val="none" w:sz="0" w:space="0" w:color="auto"/>
                                    <w:right w:val="none" w:sz="0" w:space="0" w:color="auto"/>
                                  </w:divBdr>
                                  <w:divsChild>
                                    <w:div w:id="1775131184">
                                      <w:marLeft w:val="0"/>
                                      <w:marRight w:val="0"/>
                                      <w:marTop w:val="0"/>
                                      <w:marBottom w:val="0"/>
                                      <w:divBdr>
                                        <w:top w:val="none" w:sz="0" w:space="0" w:color="auto"/>
                                        <w:left w:val="none" w:sz="0" w:space="0" w:color="auto"/>
                                        <w:bottom w:val="none" w:sz="0" w:space="0" w:color="auto"/>
                                        <w:right w:val="none" w:sz="0" w:space="0" w:color="auto"/>
                                      </w:divBdr>
                                      <w:divsChild>
                                        <w:div w:id="682709701">
                                          <w:marLeft w:val="-225"/>
                                          <w:marRight w:val="-225"/>
                                          <w:marTop w:val="0"/>
                                          <w:marBottom w:val="0"/>
                                          <w:divBdr>
                                            <w:top w:val="none" w:sz="0" w:space="0" w:color="auto"/>
                                            <w:left w:val="none" w:sz="0" w:space="0" w:color="auto"/>
                                            <w:bottom w:val="none" w:sz="0" w:space="0" w:color="auto"/>
                                            <w:right w:val="none" w:sz="0" w:space="0" w:color="auto"/>
                                          </w:divBdr>
                                          <w:divsChild>
                                            <w:div w:id="1805124733">
                                              <w:marLeft w:val="0"/>
                                              <w:marRight w:val="0"/>
                                              <w:marTop w:val="0"/>
                                              <w:marBottom w:val="0"/>
                                              <w:divBdr>
                                                <w:top w:val="none" w:sz="0" w:space="0" w:color="auto"/>
                                                <w:left w:val="none" w:sz="0" w:space="0" w:color="auto"/>
                                                <w:bottom w:val="none" w:sz="0" w:space="0" w:color="auto"/>
                                                <w:right w:val="none" w:sz="0" w:space="0" w:color="auto"/>
                                              </w:divBdr>
                                              <w:divsChild>
                                                <w:div w:id="28845215">
                                                  <w:marLeft w:val="0"/>
                                                  <w:marRight w:val="0"/>
                                                  <w:marTop w:val="0"/>
                                                  <w:marBottom w:val="0"/>
                                                  <w:divBdr>
                                                    <w:top w:val="none" w:sz="0" w:space="0" w:color="auto"/>
                                                    <w:left w:val="none" w:sz="0" w:space="0" w:color="auto"/>
                                                    <w:bottom w:val="none" w:sz="0" w:space="0" w:color="auto"/>
                                                    <w:right w:val="none" w:sz="0" w:space="0" w:color="auto"/>
                                                  </w:divBdr>
                                                  <w:divsChild>
                                                    <w:div w:id="1342122340">
                                                      <w:marLeft w:val="0"/>
                                                      <w:marRight w:val="0"/>
                                                      <w:marTop w:val="0"/>
                                                      <w:marBottom w:val="0"/>
                                                      <w:divBdr>
                                                        <w:top w:val="none" w:sz="0" w:space="0" w:color="auto"/>
                                                        <w:left w:val="none" w:sz="0" w:space="0" w:color="auto"/>
                                                        <w:bottom w:val="none" w:sz="0" w:space="0" w:color="auto"/>
                                                        <w:right w:val="none" w:sz="0" w:space="0" w:color="auto"/>
                                                      </w:divBdr>
                                                      <w:divsChild>
                                                        <w:div w:id="30246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5417348">
      <w:bodyDiv w:val="1"/>
      <w:marLeft w:val="0"/>
      <w:marRight w:val="0"/>
      <w:marTop w:val="0"/>
      <w:marBottom w:val="0"/>
      <w:divBdr>
        <w:top w:val="none" w:sz="0" w:space="0" w:color="auto"/>
        <w:left w:val="none" w:sz="0" w:space="0" w:color="auto"/>
        <w:bottom w:val="none" w:sz="0" w:space="0" w:color="auto"/>
        <w:right w:val="none" w:sz="0" w:space="0" w:color="auto"/>
      </w:divBdr>
    </w:div>
    <w:div w:id="1176581416">
      <w:bodyDiv w:val="1"/>
      <w:marLeft w:val="0"/>
      <w:marRight w:val="0"/>
      <w:marTop w:val="0"/>
      <w:marBottom w:val="0"/>
      <w:divBdr>
        <w:top w:val="none" w:sz="0" w:space="0" w:color="auto"/>
        <w:left w:val="none" w:sz="0" w:space="0" w:color="auto"/>
        <w:bottom w:val="none" w:sz="0" w:space="0" w:color="auto"/>
        <w:right w:val="none" w:sz="0" w:space="0" w:color="auto"/>
      </w:divBdr>
    </w:div>
    <w:div w:id="1187251347">
      <w:bodyDiv w:val="1"/>
      <w:marLeft w:val="0"/>
      <w:marRight w:val="0"/>
      <w:marTop w:val="0"/>
      <w:marBottom w:val="0"/>
      <w:divBdr>
        <w:top w:val="none" w:sz="0" w:space="0" w:color="auto"/>
        <w:left w:val="none" w:sz="0" w:space="0" w:color="auto"/>
        <w:bottom w:val="none" w:sz="0" w:space="0" w:color="auto"/>
        <w:right w:val="none" w:sz="0" w:space="0" w:color="auto"/>
      </w:divBdr>
    </w:div>
    <w:div w:id="1187409187">
      <w:bodyDiv w:val="1"/>
      <w:marLeft w:val="0"/>
      <w:marRight w:val="0"/>
      <w:marTop w:val="0"/>
      <w:marBottom w:val="0"/>
      <w:divBdr>
        <w:top w:val="none" w:sz="0" w:space="0" w:color="auto"/>
        <w:left w:val="none" w:sz="0" w:space="0" w:color="auto"/>
        <w:bottom w:val="none" w:sz="0" w:space="0" w:color="auto"/>
        <w:right w:val="none" w:sz="0" w:space="0" w:color="auto"/>
      </w:divBdr>
    </w:div>
    <w:div w:id="1193419456">
      <w:bodyDiv w:val="1"/>
      <w:marLeft w:val="0"/>
      <w:marRight w:val="0"/>
      <w:marTop w:val="0"/>
      <w:marBottom w:val="0"/>
      <w:divBdr>
        <w:top w:val="none" w:sz="0" w:space="0" w:color="auto"/>
        <w:left w:val="none" w:sz="0" w:space="0" w:color="auto"/>
        <w:bottom w:val="none" w:sz="0" w:space="0" w:color="auto"/>
        <w:right w:val="none" w:sz="0" w:space="0" w:color="auto"/>
      </w:divBdr>
    </w:div>
    <w:div w:id="1193809163">
      <w:bodyDiv w:val="1"/>
      <w:marLeft w:val="0"/>
      <w:marRight w:val="0"/>
      <w:marTop w:val="0"/>
      <w:marBottom w:val="0"/>
      <w:divBdr>
        <w:top w:val="none" w:sz="0" w:space="0" w:color="auto"/>
        <w:left w:val="none" w:sz="0" w:space="0" w:color="auto"/>
        <w:bottom w:val="none" w:sz="0" w:space="0" w:color="auto"/>
        <w:right w:val="none" w:sz="0" w:space="0" w:color="auto"/>
      </w:divBdr>
    </w:div>
    <w:div w:id="1197697743">
      <w:bodyDiv w:val="1"/>
      <w:marLeft w:val="0"/>
      <w:marRight w:val="0"/>
      <w:marTop w:val="0"/>
      <w:marBottom w:val="0"/>
      <w:divBdr>
        <w:top w:val="none" w:sz="0" w:space="0" w:color="auto"/>
        <w:left w:val="none" w:sz="0" w:space="0" w:color="auto"/>
        <w:bottom w:val="none" w:sz="0" w:space="0" w:color="auto"/>
        <w:right w:val="none" w:sz="0" w:space="0" w:color="auto"/>
      </w:divBdr>
    </w:div>
    <w:div w:id="1201429826">
      <w:bodyDiv w:val="1"/>
      <w:marLeft w:val="0"/>
      <w:marRight w:val="0"/>
      <w:marTop w:val="0"/>
      <w:marBottom w:val="0"/>
      <w:divBdr>
        <w:top w:val="none" w:sz="0" w:space="0" w:color="auto"/>
        <w:left w:val="none" w:sz="0" w:space="0" w:color="auto"/>
        <w:bottom w:val="none" w:sz="0" w:space="0" w:color="auto"/>
        <w:right w:val="none" w:sz="0" w:space="0" w:color="auto"/>
      </w:divBdr>
    </w:div>
    <w:div w:id="1219052644">
      <w:bodyDiv w:val="1"/>
      <w:marLeft w:val="0"/>
      <w:marRight w:val="0"/>
      <w:marTop w:val="0"/>
      <w:marBottom w:val="0"/>
      <w:divBdr>
        <w:top w:val="none" w:sz="0" w:space="0" w:color="auto"/>
        <w:left w:val="none" w:sz="0" w:space="0" w:color="auto"/>
        <w:bottom w:val="none" w:sz="0" w:space="0" w:color="auto"/>
        <w:right w:val="none" w:sz="0" w:space="0" w:color="auto"/>
      </w:divBdr>
      <w:divsChild>
        <w:div w:id="604846423">
          <w:marLeft w:val="0"/>
          <w:marRight w:val="0"/>
          <w:marTop w:val="0"/>
          <w:marBottom w:val="0"/>
          <w:divBdr>
            <w:top w:val="none" w:sz="0" w:space="0" w:color="auto"/>
            <w:left w:val="none" w:sz="0" w:space="0" w:color="auto"/>
            <w:bottom w:val="none" w:sz="0" w:space="0" w:color="auto"/>
            <w:right w:val="none" w:sz="0" w:space="0" w:color="auto"/>
          </w:divBdr>
          <w:divsChild>
            <w:div w:id="1017392245">
              <w:marLeft w:val="0"/>
              <w:marRight w:val="0"/>
              <w:marTop w:val="0"/>
              <w:marBottom w:val="0"/>
              <w:divBdr>
                <w:top w:val="none" w:sz="0" w:space="0" w:color="auto"/>
                <w:left w:val="none" w:sz="0" w:space="0" w:color="auto"/>
                <w:bottom w:val="none" w:sz="0" w:space="0" w:color="auto"/>
                <w:right w:val="none" w:sz="0" w:space="0" w:color="auto"/>
              </w:divBdr>
              <w:divsChild>
                <w:div w:id="1533107798">
                  <w:marLeft w:val="0"/>
                  <w:marRight w:val="0"/>
                  <w:marTop w:val="0"/>
                  <w:marBottom w:val="0"/>
                  <w:divBdr>
                    <w:top w:val="none" w:sz="0" w:space="0" w:color="auto"/>
                    <w:left w:val="none" w:sz="0" w:space="0" w:color="auto"/>
                    <w:bottom w:val="none" w:sz="0" w:space="0" w:color="auto"/>
                    <w:right w:val="none" w:sz="0" w:space="0" w:color="auto"/>
                  </w:divBdr>
                  <w:divsChild>
                    <w:div w:id="172574460">
                      <w:marLeft w:val="0"/>
                      <w:marRight w:val="0"/>
                      <w:marTop w:val="0"/>
                      <w:marBottom w:val="0"/>
                      <w:divBdr>
                        <w:top w:val="none" w:sz="0" w:space="0" w:color="auto"/>
                        <w:left w:val="none" w:sz="0" w:space="0" w:color="auto"/>
                        <w:bottom w:val="none" w:sz="0" w:space="0" w:color="auto"/>
                        <w:right w:val="none" w:sz="0" w:space="0" w:color="auto"/>
                      </w:divBdr>
                      <w:divsChild>
                        <w:div w:id="963731336">
                          <w:marLeft w:val="0"/>
                          <w:marRight w:val="0"/>
                          <w:marTop w:val="0"/>
                          <w:marBottom w:val="0"/>
                          <w:divBdr>
                            <w:top w:val="none" w:sz="0" w:space="0" w:color="auto"/>
                            <w:left w:val="none" w:sz="0" w:space="0" w:color="auto"/>
                            <w:bottom w:val="none" w:sz="0" w:space="0" w:color="auto"/>
                            <w:right w:val="none" w:sz="0" w:space="0" w:color="auto"/>
                          </w:divBdr>
                          <w:divsChild>
                            <w:div w:id="615985424">
                              <w:marLeft w:val="0"/>
                              <w:marRight w:val="0"/>
                              <w:marTop w:val="0"/>
                              <w:marBottom w:val="0"/>
                              <w:divBdr>
                                <w:top w:val="none" w:sz="0" w:space="0" w:color="auto"/>
                                <w:left w:val="none" w:sz="0" w:space="0" w:color="auto"/>
                                <w:bottom w:val="none" w:sz="0" w:space="0" w:color="auto"/>
                                <w:right w:val="none" w:sz="0" w:space="0" w:color="auto"/>
                              </w:divBdr>
                              <w:divsChild>
                                <w:div w:id="566455071">
                                  <w:marLeft w:val="0"/>
                                  <w:marRight w:val="0"/>
                                  <w:marTop w:val="0"/>
                                  <w:marBottom w:val="0"/>
                                  <w:divBdr>
                                    <w:top w:val="none" w:sz="0" w:space="0" w:color="auto"/>
                                    <w:left w:val="none" w:sz="0" w:space="0" w:color="auto"/>
                                    <w:bottom w:val="none" w:sz="0" w:space="0" w:color="auto"/>
                                    <w:right w:val="none" w:sz="0" w:space="0" w:color="auto"/>
                                  </w:divBdr>
                                  <w:divsChild>
                                    <w:div w:id="1062212166">
                                      <w:marLeft w:val="0"/>
                                      <w:marRight w:val="0"/>
                                      <w:marTop w:val="0"/>
                                      <w:marBottom w:val="0"/>
                                      <w:divBdr>
                                        <w:top w:val="none" w:sz="0" w:space="0" w:color="auto"/>
                                        <w:left w:val="none" w:sz="0" w:space="0" w:color="auto"/>
                                        <w:bottom w:val="none" w:sz="0" w:space="0" w:color="auto"/>
                                        <w:right w:val="none" w:sz="0" w:space="0" w:color="auto"/>
                                      </w:divBdr>
                                      <w:divsChild>
                                        <w:div w:id="1553269501">
                                          <w:marLeft w:val="0"/>
                                          <w:marRight w:val="0"/>
                                          <w:marTop w:val="0"/>
                                          <w:marBottom w:val="0"/>
                                          <w:divBdr>
                                            <w:top w:val="none" w:sz="0" w:space="0" w:color="auto"/>
                                            <w:left w:val="none" w:sz="0" w:space="0" w:color="auto"/>
                                            <w:bottom w:val="none" w:sz="0" w:space="0" w:color="auto"/>
                                            <w:right w:val="none" w:sz="0" w:space="0" w:color="auto"/>
                                          </w:divBdr>
                                          <w:divsChild>
                                            <w:div w:id="60107111">
                                              <w:marLeft w:val="0"/>
                                              <w:marRight w:val="0"/>
                                              <w:marTop w:val="0"/>
                                              <w:marBottom w:val="0"/>
                                              <w:divBdr>
                                                <w:top w:val="none" w:sz="0" w:space="0" w:color="auto"/>
                                                <w:left w:val="none" w:sz="0" w:space="0" w:color="auto"/>
                                                <w:bottom w:val="none" w:sz="0" w:space="0" w:color="auto"/>
                                                <w:right w:val="none" w:sz="0" w:space="0" w:color="auto"/>
                                              </w:divBdr>
                                              <w:divsChild>
                                                <w:div w:id="201098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90772">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sChild>
                                            <w:div w:id="1090346909">
                                              <w:marLeft w:val="0"/>
                                              <w:marRight w:val="0"/>
                                              <w:marTop w:val="0"/>
                                              <w:marBottom w:val="0"/>
                                              <w:divBdr>
                                                <w:top w:val="none" w:sz="0" w:space="0" w:color="auto"/>
                                                <w:left w:val="none" w:sz="0" w:space="0" w:color="auto"/>
                                                <w:bottom w:val="none" w:sz="0" w:space="0" w:color="auto"/>
                                                <w:right w:val="none" w:sz="0" w:space="0" w:color="auto"/>
                                              </w:divBdr>
                                              <w:divsChild>
                                                <w:div w:id="104996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9125986">
      <w:bodyDiv w:val="1"/>
      <w:marLeft w:val="0"/>
      <w:marRight w:val="0"/>
      <w:marTop w:val="0"/>
      <w:marBottom w:val="0"/>
      <w:divBdr>
        <w:top w:val="none" w:sz="0" w:space="0" w:color="auto"/>
        <w:left w:val="none" w:sz="0" w:space="0" w:color="auto"/>
        <w:bottom w:val="none" w:sz="0" w:space="0" w:color="auto"/>
        <w:right w:val="none" w:sz="0" w:space="0" w:color="auto"/>
      </w:divBdr>
    </w:div>
    <w:div w:id="1221281083">
      <w:bodyDiv w:val="1"/>
      <w:marLeft w:val="0"/>
      <w:marRight w:val="0"/>
      <w:marTop w:val="0"/>
      <w:marBottom w:val="0"/>
      <w:divBdr>
        <w:top w:val="none" w:sz="0" w:space="0" w:color="auto"/>
        <w:left w:val="none" w:sz="0" w:space="0" w:color="auto"/>
        <w:bottom w:val="none" w:sz="0" w:space="0" w:color="auto"/>
        <w:right w:val="none" w:sz="0" w:space="0" w:color="auto"/>
      </w:divBdr>
      <w:divsChild>
        <w:div w:id="358746209">
          <w:marLeft w:val="0"/>
          <w:marRight w:val="0"/>
          <w:marTop w:val="0"/>
          <w:marBottom w:val="0"/>
          <w:divBdr>
            <w:top w:val="none" w:sz="0" w:space="0" w:color="auto"/>
            <w:left w:val="none" w:sz="0" w:space="0" w:color="auto"/>
            <w:bottom w:val="none" w:sz="0" w:space="0" w:color="auto"/>
            <w:right w:val="none" w:sz="0" w:space="0" w:color="auto"/>
          </w:divBdr>
        </w:div>
        <w:div w:id="415635810">
          <w:marLeft w:val="0"/>
          <w:marRight w:val="0"/>
          <w:marTop w:val="0"/>
          <w:marBottom w:val="0"/>
          <w:divBdr>
            <w:top w:val="none" w:sz="0" w:space="0" w:color="auto"/>
            <w:left w:val="none" w:sz="0" w:space="0" w:color="auto"/>
            <w:bottom w:val="none" w:sz="0" w:space="0" w:color="auto"/>
            <w:right w:val="none" w:sz="0" w:space="0" w:color="auto"/>
          </w:divBdr>
        </w:div>
        <w:div w:id="1625966504">
          <w:marLeft w:val="0"/>
          <w:marRight w:val="0"/>
          <w:marTop w:val="0"/>
          <w:marBottom w:val="0"/>
          <w:divBdr>
            <w:top w:val="none" w:sz="0" w:space="0" w:color="auto"/>
            <w:left w:val="none" w:sz="0" w:space="0" w:color="auto"/>
            <w:bottom w:val="none" w:sz="0" w:space="0" w:color="auto"/>
            <w:right w:val="none" w:sz="0" w:space="0" w:color="auto"/>
          </w:divBdr>
        </w:div>
        <w:div w:id="1764229302">
          <w:marLeft w:val="0"/>
          <w:marRight w:val="0"/>
          <w:marTop w:val="0"/>
          <w:marBottom w:val="0"/>
          <w:divBdr>
            <w:top w:val="none" w:sz="0" w:space="0" w:color="auto"/>
            <w:left w:val="none" w:sz="0" w:space="0" w:color="auto"/>
            <w:bottom w:val="none" w:sz="0" w:space="0" w:color="auto"/>
            <w:right w:val="none" w:sz="0" w:space="0" w:color="auto"/>
          </w:divBdr>
        </w:div>
      </w:divsChild>
    </w:div>
    <w:div w:id="1221743617">
      <w:bodyDiv w:val="1"/>
      <w:marLeft w:val="0"/>
      <w:marRight w:val="0"/>
      <w:marTop w:val="0"/>
      <w:marBottom w:val="0"/>
      <w:divBdr>
        <w:top w:val="none" w:sz="0" w:space="0" w:color="auto"/>
        <w:left w:val="none" w:sz="0" w:space="0" w:color="auto"/>
        <w:bottom w:val="none" w:sz="0" w:space="0" w:color="auto"/>
        <w:right w:val="none" w:sz="0" w:space="0" w:color="auto"/>
      </w:divBdr>
    </w:div>
    <w:div w:id="1231384293">
      <w:bodyDiv w:val="1"/>
      <w:marLeft w:val="0"/>
      <w:marRight w:val="0"/>
      <w:marTop w:val="0"/>
      <w:marBottom w:val="0"/>
      <w:divBdr>
        <w:top w:val="none" w:sz="0" w:space="0" w:color="auto"/>
        <w:left w:val="none" w:sz="0" w:space="0" w:color="auto"/>
        <w:bottom w:val="none" w:sz="0" w:space="0" w:color="auto"/>
        <w:right w:val="none" w:sz="0" w:space="0" w:color="auto"/>
      </w:divBdr>
    </w:div>
    <w:div w:id="1237591914">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239708241">
      <w:bodyDiv w:val="1"/>
      <w:marLeft w:val="0"/>
      <w:marRight w:val="0"/>
      <w:marTop w:val="0"/>
      <w:marBottom w:val="0"/>
      <w:divBdr>
        <w:top w:val="none" w:sz="0" w:space="0" w:color="auto"/>
        <w:left w:val="none" w:sz="0" w:space="0" w:color="auto"/>
        <w:bottom w:val="none" w:sz="0" w:space="0" w:color="auto"/>
        <w:right w:val="none" w:sz="0" w:space="0" w:color="auto"/>
      </w:divBdr>
    </w:div>
    <w:div w:id="1246038903">
      <w:bodyDiv w:val="1"/>
      <w:marLeft w:val="0"/>
      <w:marRight w:val="0"/>
      <w:marTop w:val="0"/>
      <w:marBottom w:val="0"/>
      <w:divBdr>
        <w:top w:val="none" w:sz="0" w:space="0" w:color="auto"/>
        <w:left w:val="none" w:sz="0" w:space="0" w:color="auto"/>
        <w:bottom w:val="none" w:sz="0" w:space="0" w:color="auto"/>
        <w:right w:val="none" w:sz="0" w:space="0" w:color="auto"/>
      </w:divBdr>
    </w:div>
    <w:div w:id="1272277716">
      <w:bodyDiv w:val="1"/>
      <w:marLeft w:val="0"/>
      <w:marRight w:val="0"/>
      <w:marTop w:val="0"/>
      <w:marBottom w:val="0"/>
      <w:divBdr>
        <w:top w:val="none" w:sz="0" w:space="0" w:color="auto"/>
        <w:left w:val="none" w:sz="0" w:space="0" w:color="auto"/>
        <w:bottom w:val="none" w:sz="0" w:space="0" w:color="auto"/>
        <w:right w:val="none" w:sz="0" w:space="0" w:color="auto"/>
      </w:divBdr>
      <w:divsChild>
        <w:div w:id="43874658">
          <w:marLeft w:val="0"/>
          <w:marRight w:val="0"/>
          <w:marTop w:val="0"/>
          <w:marBottom w:val="0"/>
          <w:divBdr>
            <w:top w:val="none" w:sz="0" w:space="0" w:color="auto"/>
            <w:left w:val="none" w:sz="0" w:space="0" w:color="auto"/>
            <w:bottom w:val="none" w:sz="0" w:space="0" w:color="auto"/>
            <w:right w:val="none" w:sz="0" w:space="0" w:color="auto"/>
          </w:divBdr>
          <w:divsChild>
            <w:div w:id="34937264">
              <w:marLeft w:val="0"/>
              <w:marRight w:val="0"/>
              <w:marTop w:val="0"/>
              <w:marBottom w:val="0"/>
              <w:divBdr>
                <w:top w:val="none" w:sz="0" w:space="0" w:color="auto"/>
                <w:left w:val="none" w:sz="0" w:space="0" w:color="auto"/>
                <w:bottom w:val="none" w:sz="0" w:space="0" w:color="auto"/>
                <w:right w:val="none" w:sz="0" w:space="0" w:color="auto"/>
              </w:divBdr>
              <w:divsChild>
                <w:div w:id="1881239173">
                  <w:marLeft w:val="0"/>
                  <w:marRight w:val="0"/>
                  <w:marTop w:val="0"/>
                  <w:marBottom w:val="0"/>
                  <w:divBdr>
                    <w:top w:val="none" w:sz="0" w:space="0" w:color="auto"/>
                    <w:left w:val="none" w:sz="0" w:space="0" w:color="auto"/>
                    <w:bottom w:val="none" w:sz="0" w:space="0" w:color="auto"/>
                    <w:right w:val="none" w:sz="0" w:space="0" w:color="auto"/>
                  </w:divBdr>
                  <w:divsChild>
                    <w:div w:id="1802531591">
                      <w:marLeft w:val="0"/>
                      <w:marRight w:val="0"/>
                      <w:marTop w:val="0"/>
                      <w:marBottom w:val="0"/>
                      <w:divBdr>
                        <w:top w:val="none" w:sz="0" w:space="0" w:color="auto"/>
                        <w:left w:val="none" w:sz="0" w:space="0" w:color="auto"/>
                        <w:bottom w:val="none" w:sz="0" w:space="0" w:color="auto"/>
                        <w:right w:val="none" w:sz="0" w:space="0" w:color="auto"/>
                      </w:divBdr>
                      <w:divsChild>
                        <w:div w:id="1742630579">
                          <w:marLeft w:val="0"/>
                          <w:marRight w:val="0"/>
                          <w:marTop w:val="0"/>
                          <w:marBottom w:val="0"/>
                          <w:divBdr>
                            <w:top w:val="none" w:sz="0" w:space="0" w:color="auto"/>
                            <w:left w:val="none" w:sz="0" w:space="0" w:color="auto"/>
                            <w:bottom w:val="none" w:sz="0" w:space="0" w:color="auto"/>
                            <w:right w:val="none" w:sz="0" w:space="0" w:color="auto"/>
                          </w:divBdr>
                          <w:divsChild>
                            <w:div w:id="36517501">
                              <w:marLeft w:val="0"/>
                              <w:marRight w:val="0"/>
                              <w:marTop w:val="0"/>
                              <w:marBottom w:val="0"/>
                              <w:divBdr>
                                <w:top w:val="none" w:sz="0" w:space="0" w:color="auto"/>
                                <w:left w:val="none" w:sz="0" w:space="0" w:color="auto"/>
                                <w:bottom w:val="none" w:sz="0" w:space="0" w:color="auto"/>
                                <w:right w:val="none" w:sz="0" w:space="0" w:color="auto"/>
                              </w:divBdr>
                              <w:divsChild>
                                <w:div w:id="26953293">
                                  <w:marLeft w:val="0"/>
                                  <w:marRight w:val="0"/>
                                  <w:marTop w:val="0"/>
                                  <w:marBottom w:val="0"/>
                                  <w:divBdr>
                                    <w:top w:val="none" w:sz="0" w:space="0" w:color="auto"/>
                                    <w:left w:val="none" w:sz="0" w:space="0" w:color="auto"/>
                                    <w:bottom w:val="none" w:sz="0" w:space="0" w:color="auto"/>
                                    <w:right w:val="none" w:sz="0" w:space="0" w:color="auto"/>
                                  </w:divBdr>
                                  <w:divsChild>
                                    <w:div w:id="294409475">
                                      <w:marLeft w:val="0"/>
                                      <w:marRight w:val="0"/>
                                      <w:marTop w:val="0"/>
                                      <w:marBottom w:val="0"/>
                                      <w:divBdr>
                                        <w:top w:val="none" w:sz="0" w:space="0" w:color="auto"/>
                                        <w:left w:val="none" w:sz="0" w:space="0" w:color="auto"/>
                                        <w:bottom w:val="none" w:sz="0" w:space="0" w:color="auto"/>
                                        <w:right w:val="none" w:sz="0" w:space="0" w:color="auto"/>
                                      </w:divBdr>
                                      <w:divsChild>
                                        <w:div w:id="549609055">
                                          <w:marLeft w:val="0"/>
                                          <w:marRight w:val="0"/>
                                          <w:marTop w:val="0"/>
                                          <w:marBottom w:val="0"/>
                                          <w:divBdr>
                                            <w:top w:val="none" w:sz="0" w:space="0" w:color="auto"/>
                                            <w:left w:val="none" w:sz="0" w:space="0" w:color="auto"/>
                                            <w:bottom w:val="none" w:sz="0" w:space="0" w:color="auto"/>
                                            <w:right w:val="none" w:sz="0" w:space="0" w:color="auto"/>
                                          </w:divBdr>
                                          <w:divsChild>
                                            <w:div w:id="402485347">
                                              <w:marLeft w:val="0"/>
                                              <w:marRight w:val="0"/>
                                              <w:marTop w:val="0"/>
                                              <w:marBottom w:val="0"/>
                                              <w:divBdr>
                                                <w:top w:val="none" w:sz="0" w:space="0" w:color="auto"/>
                                                <w:left w:val="none" w:sz="0" w:space="0" w:color="auto"/>
                                                <w:bottom w:val="none" w:sz="0" w:space="0" w:color="auto"/>
                                                <w:right w:val="none" w:sz="0" w:space="0" w:color="auto"/>
                                              </w:divBdr>
                                              <w:divsChild>
                                                <w:div w:id="36768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980633">
      <w:bodyDiv w:val="1"/>
      <w:marLeft w:val="0"/>
      <w:marRight w:val="0"/>
      <w:marTop w:val="0"/>
      <w:marBottom w:val="0"/>
      <w:divBdr>
        <w:top w:val="none" w:sz="0" w:space="0" w:color="auto"/>
        <w:left w:val="none" w:sz="0" w:space="0" w:color="auto"/>
        <w:bottom w:val="none" w:sz="0" w:space="0" w:color="auto"/>
        <w:right w:val="none" w:sz="0" w:space="0" w:color="auto"/>
      </w:divBdr>
    </w:div>
    <w:div w:id="1286160913">
      <w:bodyDiv w:val="1"/>
      <w:marLeft w:val="0"/>
      <w:marRight w:val="0"/>
      <w:marTop w:val="0"/>
      <w:marBottom w:val="0"/>
      <w:divBdr>
        <w:top w:val="none" w:sz="0" w:space="0" w:color="auto"/>
        <w:left w:val="none" w:sz="0" w:space="0" w:color="auto"/>
        <w:bottom w:val="none" w:sz="0" w:space="0" w:color="auto"/>
        <w:right w:val="none" w:sz="0" w:space="0" w:color="auto"/>
      </w:divBdr>
    </w:div>
    <w:div w:id="1296181361">
      <w:bodyDiv w:val="1"/>
      <w:marLeft w:val="0"/>
      <w:marRight w:val="0"/>
      <w:marTop w:val="0"/>
      <w:marBottom w:val="0"/>
      <w:divBdr>
        <w:top w:val="none" w:sz="0" w:space="0" w:color="auto"/>
        <w:left w:val="none" w:sz="0" w:space="0" w:color="auto"/>
        <w:bottom w:val="none" w:sz="0" w:space="0" w:color="auto"/>
        <w:right w:val="none" w:sz="0" w:space="0" w:color="auto"/>
      </w:divBdr>
    </w:div>
    <w:div w:id="1299453381">
      <w:bodyDiv w:val="1"/>
      <w:marLeft w:val="0"/>
      <w:marRight w:val="0"/>
      <w:marTop w:val="0"/>
      <w:marBottom w:val="0"/>
      <w:divBdr>
        <w:top w:val="none" w:sz="0" w:space="0" w:color="auto"/>
        <w:left w:val="none" w:sz="0" w:space="0" w:color="auto"/>
        <w:bottom w:val="none" w:sz="0" w:space="0" w:color="auto"/>
        <w:right w:val="none" w:sz="0" w:space="0" w:color="auto"/>
      </w:divBdr>
    </w:div>
    <w:div w:id="1308558785">
      <w:bodyDiv w:val="1"/>
      <w:marLeft w:val="0"/>
      <w:marRight w:val="0"/>
      <w:marTop w:val="0"/>
      <w:marBottom w:val="0"/>
      <w:divBdr>
        <w:top w:val="none" w:sz="0" w:space="0" w:color="auto"/>
        <w:left w:val="none" w:sz="0" w:space="0" w:color="auto"/>
        <w:bottom w:val="none" w:sz="0" w:space="0" w:color="auto"/>
        <w:right w:val="none" w:sz="0" w:space="0" w:color="auto"/>
      </w:divBdr>
      <w:divsChild>
        <w:div w:id="926377409">
          <w:marLeft w:val="0"/>
          <w:marRight w:val="0"/>
          <w:marTop w:val="0"/>
          <w:marBottom w:val="0"/>
          <w:divBdr>
            <w:top w:val="none" w:sz="0" w:space="0" w:color="auto"/>
            <w:left w:val="none" w:sz="0" w:space="0" w:color="auto"/>
            <w:bottom w:val="none" w:sz="0" w:space="0" w:color="auto"/>
            <w:right w:val="none" w:sz="0" w:space="0" w:color="auto"/>
          </w:divBdr>
          <w:divsChild>
            <w:div w:id="158085482">
              <w:marLeft w:val="0"/>
              <w:marRight w:val="0"/>
              <w:marTop w:val="0"/>
              <w:marBottom w:val="0"/>
              <w:divBdr>
                <w:top w:val="none" w:sz="0" w:space="0" w:color="auto"/>
                <w:left w:val="none" w:sz="0" w:space="0" w:color="auto"/>
                <w:bottom w:val="none" w:sz="0" w:space="0" w:color="auto"/>
                <w:right w:val="none" w:sz="0" w:space="0" w:color="auto"/>
              </w:divBdr>
              <w:divsChild>
                <w:div w:id="104888879">
                  <w:marLeft w:val="0"/>
                  <w:marRight w:val="0"/>
                  <w:marTop w:val="0"/>
                  <w:marBottom w:val="0"/>
                  <w:divBdr>
                    <w:top w:val="none" w:sz="0" w:space="0" w:color="auto"/>
                    <w:left w:val="none" w:sz="0" w:space="0" w:color="auto"/>
                    <w:bottom w:val="none" w:sz="0" w:space="0" w:color="auto"/>
                    <w:right w:val="none" w:sz="0" w:space="0" w:color="auto"/>
                  </w:divBdr>
                  <w:divsChild>
                    <w:div w:id="1759476908">
                      <w:marLeft w:val="0"/>
                      <w:marRight w:val="0"/>
                      <w:marTop w:val="0"/>
                      <w:marBottom w:val="0"/>
                      <w:divBdr>
                        <w:top w:val="none" w:sz="0" w:space="0" w:color="auto"/>
                        <w:left w:val="none" w:sz="0" w:space="0" w:color="auto"/>
                        <w:bottom w:val="none" w:sz="0" w:space="0" w:color="auto"/>
                        <w:right w:val="none" w:sz="0" w:space="0" w:color="auto"/>
                      </w:divBdr>
                      <w:divsChild>
                        <w:div w:id="1167287392">
                          <w:marLeft w:val="0"/>
                          <w:marRight w:val="0"/>
                          <w:marTop w:val="0"/>
                          <w:marBottom w:val="0"/>
                          <w:divBdr>
                            <w:top w:val="none" w:sz="0" w:space="0" w:color="auto"/>
                            <w:left w:val="none" w:sz="0" w:space="0" w:color="auto"/>
                            <w:bottom w:val="none" w:sz="0" w:space="0" w:color="auto"/>
                            <w:right w:val="none" w:sz="0" w:space="0" w:color="auto"/>
                          </w:divBdr>
                          <w:divsChild>
                            <w:div w:id="1397581099">
                              <w:marLeft w:val="0"/>
                              <w:marRight w:val="0"/>
                              <w:marTop w:val="0"/>
                              <w:marBottom w:val="0"/>
                              <w:divBdr>
                                <w:top w:val="none" w:sz="0" w:space="0" w:color="auto"/>
                                <w:left w:val="none" w:sz="0" w:space="0" w:color="auto"/>
                                <w:bottom w:val="none" w:sz="0" w:space="0" w:color="auto"/>
                                <w:right w:val="none" w:sz="0" w:space="0" w:color="auto"/>
                              </w:divBdr>
                              <w:divsChild>
                                <w:div w:id="1377001271">
                                  <w:marLeft w:val="0"/>
                                  <w:marRight w:val="0"/>
                                  <w:marTop w:val="0"/>
                                  <w:marBottom w:val="0"/>
                                  <w:divBdr>
                                    <w:top w:val="none" w:sz="0" w:space="0" w:color="auto"/>
                                    <w:left w:val="none" w:sz="0" w:space="0" w:color="auto"/>
                                    <w:bottom w:val="none" w:sz="0" w:space="0" w:color="auto"/>
                                    <w:right w:val="none" w:sz="0" w:space="0" w:color="auto"/>
                                  </w:divBdr>
                                  <w:divsChild>
                                    <w:div w:id="1675377046">
                                      <w:marLeft w:val="0"/>
                                      <w:marRight w:val="0"/>
                                      <w:marTop w:val="0"/>
                                      <w:marBottom w:val="0"/>
                                      <w:divBdr>
                                        <w:top w:val="none" w:sz="0" w:space="0" w:color="auto"/>
                                        <w:left w:val="none" w:sz="0" w:space="0" w:color="auto"/>
                                        <w:bottom w:val="none" w:sz="0" w:space="0" w:color="auto"/>
                                        <w:right w:val="none" w:sz="0" w:space="0" w:color="auto"/>
                                      </w:divBdr>
                                      <w:divsChild>
                                        <w:div w:id="1679384238">
                                          <w:marLeft w:val="0"/>
                                          <w:marRight w:val="0"/>
                                          <w:marTop w:val="0"/>
                                          <w:marBottom w:val="0"/>
                                          <w:divBdr>
                                            <w:top w:val="none" w:sz="0" w:space="0" w:color="auto"/>
                                            <w:left w:val="none" w:sz="0" w:space="0" w:color="auto"/>
                                            <w:bottom w:val="none" w:sz="0" w:space="0" w:color="auto"/>
                                            <w:right w:val="none" w:sz="0" w:space="0" w:color="auto"/>
                                          </w:divBdr>
                                          <w:divsChild>
                                            <w:div w:id="1290018344">
                                              <w:marLeft w:val="0"/>
                                              <w:marRight w:val="0"/>
                                              <w:marTop w:val="0"/>
                                              <w:marBottom w:val="0"/>
                                              <w:divBdr>
                                                <w:top w:val="none" w:sz="0" w:space="0" w:color="auto"/>
                                                <w:left w:val="none" w:sz="0" w:space="0" w:color="auto"/>
                                                <w:bottom w:val="none" w:sz="0" w:space="0" w:color="auto"/>
                                                <w:right w:val="none" w:sz="0" w:space="0" w:color="auto"/>
                                              </w:divBdr>
                                              <w:divsChild>
                                                <w:div w:id="1099175853">
                                                  <w:marLeft w:val="0"/>
                                                  <w:marRight w:val="0"/>
                                                  <w:marTop w:val="0"/>
                                                  <w:marBottom w:val="0"/>
                                                  <w:divBdr>
                                                    <w:top w:val="none" w:sz="0" w:space="0" w:color="auto"/>
                                                    <w:left w:val="none" w:sz="0" w:space="0" w:color="auto"/>
                                                    <w:bottom w:val="none" w:sz="0" w:space="0" w:color="auto"/>
                                                    <w:right w:val="none" w:sz="0" w:space="0" w:color="auto"/>
                                                  </w:divBdr>
                                                  <w:divsChild>
                                                    <w:div w:id="110063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6297460">
      <w:bodyDiv w:val="1"/>
      <w:marLeft w:val="0"/>
      <w:marRight w:val="0"/>
      <w:marTop w:val="0"/>
      <w:marBottom w:val="0"/>
      <w:divBdr>
        <w:top w:val="none" w:sz="0" w:space="0" w:color="auto"/>
        <w:left w:val="none" w:sz="0" w:space="0" w:color="auto"/>
        <w:bottom w:val="none" w:sz="0" w:space="0" w:color="auto"/>
        <w:right w:val="none" w:sz="0" w:space="0" w:color="auto"/>
      </w:divBdr>
    </w:div>
    <w:div w:id="1321032667">
      <w:bodyDiv w:val="1"/>
      <w:marLeft w:val="0"/>
      <w:marRight w:val="0"/>
      <w:marTop w:val="0"/>
      <w:marBottom w:val="0"/>
      <w:divBdr>
        <w:top w:val="none" w:sz="0" w:space="0" w:color="auto"/>
        <w:left w:val="none" w:sz="0" w:space="0" w:color="auto"/>
        <w:bottom w:val="none" w:sz="0" w:space="0" w:color="auto"/>
        <w:right w:val="none" w:sz="0" w:space="0" w:color="auto"/>
      </w:divBdr>
    </w:div>
    <w:div w:id="1326279105">
      <w:bodyDiv w:val="1"/>
      <w:marLeft w:val="0"/>
      <w:marRight w:val="0"/>
      <w:marTop w:val="0"/>
      <w:marBottom w:val="0"/>
      <w:divBdr>
        <w:top w:val="none" w:sz="0" w:space="0" w:color="auto"/>
        <w:left w:val="none" w:sz="0" w:space="0" w:color="auto"/>
        <w:bottom w:val="none" w:sz="0" w:space="0" w:color="auto"/>
        <w:right w:val="none" w:sz="0" w:space="0" w:color="auto"/>
      </w:divBdr>
    </w:div>
    <w:div w:id="1330401469">
      <w:bodyDiv w:val="1"/>
      <w:marLeft w:val="0"/>
      <w:marRight w:val="0"/>
      <w:marTop w:val="0"/>
      <w:marBottom w:val="0"/>
      <w:divBdr>
        <w:top w:val="none" w:sz="0" w:space="0" w:color="auto"/>
        <w:left w:val="none" w:sz="0" w:space="0" w:color="auto"/>
        <w:bottom w:val="none" w:sz="0" w:space="0" w:color="auto"/>
        <w:right w:val="none" w:sz="0" w:space="0" w:color="auto"/>
      </w:divBdr>
    </w:div>
    <w:div w:id="1334183395">
      <w:bodyDiv w:val="1"/>
      <w:marLeft w:val="0"/>
      <w:marRight w:val="0"/>
      <w:marTop w:val="0"/>
      <w:marBottom w:val="0"/>
      <w:divBdr>
        <w:top w:val="none" w:sz="0" w:space="0" w:color="auto"/>
        <w:left w:val="none" w:sz="0" w:space="0" w:color="auto"/>
        <w:bottom w:val="none" w:sz="0" w:space="0" w:color="auto"/>
        <w:right w:val="none" w:sz="0" w:space="0" w:color="auto"/>
      </w:divBdr>
    </w:div>
    <w:div w:id="1344867345">
      <w:bodyDiv w:val="1"/>
      <w:marLeft w:val="0"/>
      <w:marRight w:val="0"/>
      <w:marTop w:val="0"/>
      <w:marBottom w:val="0"/>
      <w:divBdr>
        <w:top w:val="none" w:sz="0" w:space="0" w:color="auto"/>
        <w:left w:val="none" w:sz="0" w:space="0" w:color="auto"/>
        <w:bottom w:val="none" w:sz="0" w:space="0" w:color="auto"/>
        <w:right w:val="none" w:sz="0" w:space="0" w:color="auto"/>
      </w:divBdr>
    </w:div>
    <w:div w:id="1351838517">
      <w:bodyDiv w:val="1"/>
      <w:marLeft w:val="0"/>
      <w:marRight w:val="0"/>
      <w:marTop w:val="0"/>
      <w:marBottom w:val="0"/>
      <w:divBdr>
        <w:top w:val="none" w:sz="0" w:space="0" w:color="auto"/>
        <w:left w:val="none" w:sz="0" w:space="0" w:color="auto"/>
        <w:bottom w:val="none" w:sz="0" w:space="0" w:color="auto"/>
        <w:right w:val="none" w:sz="0" w:space="0" w:color="auto"/>
      </w:divBdr>
    </w:div>
    <w:div w:id="1363746153">
      <w:bodyDiv w:val="1"/>
      <w:marLeft w:val="0"/>
      <w:marRight w:val="0"/>
      <w:marTop w:val="0"/>
      <w:marBottom w:val="0"/>
      <w:divBdr>
        <w:top w:val="none" w:sz="0" w:space="0" w:color="auto"/>
        <w:left w:val="none" w:sz="0" w:space="0" w:color="auto"/>
        <w:bottom w:val="none" w:sz="0" w:space="0" w:color="auto"/>
        <w:right w:val="none" w:sz="0" w:space="0" w:color="auto"/>
      </w:divBdr>
    </w:div>
    <w:div w:id="1367483569">
      <w:bodyDiv w:val="1"/>
      <w:marLeft w:val="0"/>
      <w:marRight w:val="0"/>
      <w:marTop w:val="0"/>
      <w:marBottom w:val="0"/>
      <w:divBdr>
        <w:top w:val="none" w:sz="0" w:space="0" w:color="auto"/>
        <w:left w:val="none" w:sz="0" w:space="0" w:color="auto"/>
        <w:bottom w:val="none" w:sz="0" w:space="0" w:color="auto"/>
        <w:right w:val="none" w:sz="0" w:space="0" w:color="auto"/>
      </w:divBdr>
      <w:divsChild>
        <w:div w:id="820268005">
          <w:marLeft w:val="0"/>
          <w:marRight w:val="0"/>
          <w:marTop w:val="0"/>
          <w:marBottom w:val="0"/>
          <w:divBdr>
            <w:top w:val="none" w:sz="0" w:space="0" w:color="auto"/>
            <w:left w:val="none" w:sz="0" w:space="0" w:color="auto"/>
            <w:bottom w:val="none" w:sz="0" w:space="0" w:color="auto"/>
            <w:right w:val="none" w:sz="0" w:space="0" w:color="auto"/>
          </w:divBdr>
        </w:div>
        <w:div w:id="1101679240">
          <w:marLeft w:val="0"/>
          <w:marRight w:val="0"/>
          <w:marTop w:val="0"/>
          <w:marBottom w:val="0"/>
          <w:divBdr>
            <w:top w:val="none" w:sz="0" w:space="0" w:color="auto"/>
            <w:left w:val="none" w:sz="0" w:space="0" w:color="auto"/>
            <w:bottom w:val="none" w:sz="0" w:space="0" w:color="auto"/>
            <w:right w:val="none" w:sz="0" w:space="0" w:color="auto"/>
          </w:divBdr>
        </w:div>
      </w:divsChild>
    </w:div>
    <w:div w:id="1383212441">
      <w:bodyDiv w:val="1"/>
      <w:marLeft w:val="0"/>
      <w:marRight w:val="0"/>
      <w:marTop w:val="0"/>
      <w:marBottom w:val="0"/>
      <w:divBdr>
        <w:top w:val="none" w:sz="0" w:space="0" w:color="auto"/>
        <w:left w:val="none" w:sz="0" w:space="0" w:color="auto"/>
        <w:bottom w:val="none" w:sz="0" w:space="0" w:color="auto"/>
        <w:right w:val="none" w:sz="0" w:space="0" w:color="auto"/>
      </w:divBdr>
    </w:div>
    <w:div w:id="1400594196">
      <w:bodyDiv w:val="1"/>
      <w:marLeft w:val="0"/>
      <w:marRight w:val="0"/>
      <w:marTop w:val="0"/>
      <w:marBottom w:val="0"/>
      <w:divBdr>
        <w:top w:val="none" w:sz="0" w:space="0" w:color="auto"/>
        <w:left w:val="none" w:sz="0" w:space="0" w:color="auto"/>
        <w:bottom w:val="none" w:sz="0" w:space="0" w:color="auto"/>
        <w:right w:val="none" w:sz="0" w:space="0" w:color="auto"/>
      </w:divBdr>
    </w:div>
    <w:div w:id="1410225838">
      <w:bodyDiv w:val="1"/>
      <w:marLeft w:val="0"/>
      <w:marRight w:val="0"/>
      <w:marTop w:val="0"/>
      <w:marBottom w:val="0"/>
      <w:divBdr>
        <w:top w:val="none" w:sz="0" w:space="0" w:color="auto"/>
        <w:left w:val="none" w:sz="0" w:space="0" w:color="auto"/>
        <w:bottom w:val="none" w:sz="0" w:space="0" w:color="auto"/>
        <w:right w:val="none" w:sz="0" w:space="0" w:color="auto"/>
      </w:divBdr>
      <w:divsChild>
        <w:div w:id="278727259">
          <w:marLeft w:val="1886"/>
          <w:marRight w:val="0"/>
          <w:marTop w:val="20"/>
          <w:marBottom w:val="40"/>
          <w:divBdr>
            <w:top w:val="none" w:sz="0" w:space="0" w:color="auto"/>
            <w:left w:val="none" w:sz="0" w:space="0" w:color="auto"/>
            <w:bottom w:val="none" w:sz="0" w:space="0" w:color="auto"/>
            <w:right w:val="none" w:sz="0" w:space="0" w:color="auto"/>
          </w:divBdr>
        </w:div>
        <w:div w:id="392193432">
          <w:marLeft w:val="1886"/>
          <w:marRight w:val="0"/>
          <w:marTop w:val="20"/>
          <w:marBottom w:val="40"/>
          <w:divBdr>
            <w:top w:val="none" w:sz="0" w:space="0" w:color="auto"/>
            <w:left w:val="none" w:sz="0" w:space="0" w:color="auto"/>
            <w:bottom w:val="none" w:sz="0" w:space="0" w:color="auto"/>
            <w:right w:val="none" w:sz="0" w:space="0" w:color="auto"/>
          </w:divBdr>
        </w:div>
        <w:div w:id="434902695">
          <w:marLeft w:val="1886"/>
          <w:marRight w:val="0"/>
          <w:marTop w:val="20"/>
          <w:marBottom w:val="40"/>
          <w:divBdr>
            <w:top w:val="none" w:sz="0" w:space="0" w:color="auto"/>
            <w:left w:val="none" w:sz="0" w:space="0" w:color="auto"/>
            <w:bottom w:val="none" w:sz="0" w:space="0" w:color="auto"/>
            <w:right w:val="none" w:sz="0" w:space="0" w:color="auto"/>
          </w:divBdr>
        </w:div>
        <w:div w:id="645352750">
          <w:marLeft w:val="1886"/>
          <w:marRight w:val="0"/>
          <w:marTop w:val="20"/>
          <w:marBottom w:val="40"/>
          <w:divBdr>
            <w:top w:val="none" w:sz="0" w:space="0" w:color="auto"/>
            <w:left w:val="none" w:sz="0" w:space="0" w:color="auto"/>
            <w:bottom w:val="none" w:sz="0" w:space="0" w:color="auto"/>
            <w:right w:val="none" w:sz="0" w:space="0" w:color="auto"/>
          </w:divBdr>
        </w:div>
        <w:div w:id="804858653">
          <w:marLeft w:val="1886"/>
          <w:marRight w:val="0"/>
          <w:marTop w:val="20"/>
          <w:marBottom w:val="40"/>
          <w:divBdr>
            <w:top w:val="none" w:sz="0" w:space="0" w:color="auto"/>
            <w:left w:val="none" w:sz="0" w:space="0" w:color="auto"/>
            <w:bottom w:val="none" w:sz="0" w:space="0" w:color="auto"/>
            <w:right w:val="none" w:sz="0" w:space="0" w:color="auto"/>
          </w:divBdr>
        </w:div>
        <w:div w:id="823621483">
          <w:marLeft w:val="1886"/>
          <w:marRight w:val="0"/>
          <w:marTop w:val="20"/>
          <w:marBottom w:val="40"/>
          <w:divBdr>
            <w:top w:val="none" w:sz="0" w:space="0" w:color="auto"/>
            <w:left w:val="none" w:sz="0" w:space="0" w:color="auto"/>
            <w:bottom w:val="none" w:sz="0" w:space="0" w:color="auto"/>
            <w:right w:val="none" w:sz="0" w:space="0" w:color="auto"/>
          </w:divBdr>
        </w:div>
        <w:div w:id="1016616046">
          <w:marLeft w:val="1886"/>
          <w:marRight w:val="0"/>
          <w:marTop w:val="20"/>
          <w:marBottom w:val="40"/>
          <w:divBdr>
            <w:top w:val="none" w:sz="0" w:space="0" w:color="auto"/>
            <w:left w:val="none" w:sz="0" w:space="0" w:color="auto"/>
            <w:bottom w:val="none" w:sz="0" w:space="0" w:color="auto"/>
            <w:right w:val="none" w:sz="0" w:space="0" w:color="auto"/>
          </w:divBdr>
        </w:div>
        <w:div w:id="1024599688">
          <w:marLeft w:val="1886"/>
          <w:marRight w:val="0"/>
          <w:marTop w:val="20"/>
          <w:marBottom w:val="40"/>
          <w:divBdr>
            <w:top w:val="none" w:sz="0" w:space="0" w:color="auto"/>
            <w:left w:val="none" w:sz="0" w:space="0" w:color="auto"/>
            <w:bottom w:val="none" w:sz="0" w:space="0" w:color="auto"/>
            <w:right w:val="none" w:sz="0" w:space="0" w:color="auto"/>
          </w:divBdr>
        </w:div>
        <w:div w:id="1061245321">
          <w:marLeft w:val="446"/>
          <w:marRight w:val="0"/>
          <w:marTop w:val="20"/>
          <w:marBottom w:val="40"/>
          <w:divBdr>
            <w:top w:val="none" w:sz="0" w:space="0" w:color="auto"/>
            <w:left w:val="none" w:sz="0" w:space="0" w:color="auto"/>
            <w:bottom w:val="none" w:sz="0" w:space="0" w:color="auto"/>
            <w:right w:val="none" w:sz="0" w:space="0" w:color="auto"/>
          </w:divBdr>
        </w:div>
        <w:div w:id="1197039979">
          <w:marLeft w:val="446"/>
          <w:marRight w:val="0"/>
          <w:marTop w:val="20"/>
          <w:marBottom w:val="40"/>
          <w:divBdr>
            <w:top w:val="none" w:sz="0" w:space="0" w:color="auto"/>
            <w:left w:val="none" w:sz="0" w:space="0" w:color="auto"/>
            <w:bottom w:val="none" w:sz="0" w:space="0" w:color="auto"/>
            <w:right w:val="none" w:sz="0" w:space="0" w:color="auto"/>
          </w:divBdr>
        </w:div>
        <w:div w:id="1360086710">
          <w:marLeft w:val="446"/>
          <w:marRight w:val="0"/>
          <w:marTop w:val="20"/>
          <w:marBottom w:val="40"/>
          <w:divBdr>
            <w:top w:val="none" w:sz="0" w:space="0" w:color="auto"/>
            <w:left w:val="none" w:sz="0" w:space="0" w:color="auto"/>
            <w:bottom w:val="none" w:sz="0" w:space="0" w:color="auto"/>
            <w:right w:val="none" w:sz="0" w:space="0" w:color="auto"/>
          </w:divBdr>
        </w:div>
        <w:div w:id="2084790389">
          <w:marLeft w:val="1886"/>
          <w:marRight w:val="0"/>
          <w:marTop w:val="20"/>
          <w:marBottom w:val="40"/>
          <w:divBdr>
            <w:top w:val="none" w:sz="0" w:space="0" w:color="auto"/>
            <w:left w:val="none" w:sz="0" w:space="0" w:color="auto"/>
            <w:bottom w:val="none" w:sz="0" w:space="0" w:color="auto"/>
            <w:right w:val="none" w:sz="0" w:space="0" w:color="auto"/>
          </w:divBdr>
        </w:div>
      </w:divsChild>
    </w:div>
    <w:div w:id="1418944676">
      <w:bodyDiv w:val="1"/>
      <w:marLeft w:val="0"/>
      <w:marRight w:val="0"/>
      <w:marTop w:val="0"/>
      <w:marBottom w:val="0"/>
      <w:divBdr>
        <w:top w:val="none" w:sz="0" w:space="0" w:color="auto"/>
        <w:left w:val="none" w:sz="0" w:space="0" w:color="auto"/>
        <w:bottom w:val="none" w:sz="0" w:space="0" w:color="auto"/>
        <w:right w:val="none" w:sz="0" w:space="0" w:color="auto"/>
      </w:divBdr>
    </w:div>
    <w:div w:id="1431393794">
      <w:bodyDiv w:val="1"/>
      <w:marLeft w:val="0"/>
      <w:marRight w:val="0"/>
      <w:marTop w:val="0"/>
      <w:marBottom w:val="0"/>
      <w:divBdr>
        <w:top w:val="none" w:sz="0" w:space="0" w:color="auto"/>
        <w:left w:val="none" w:sz="0" w:space="0" w:color="auto"/>
        <w:bottom w:val="none" w:sz="0" w:space="0" w:color="auto"/>
        <w:right w:val="none" w:sz="0" w:space="0" w:color="auto"/>
      </w:divBdr>
    </w:div>
    <w:div w:id="1433355337">
      <w:bodyDiv w:val="1"/>
      <w:marLeft w:val="0"/>
      <w:marRight w:val="0"/>
      <w:marTop w:val="0"/>
      <w:marBottom w:val="0"/>
      <w:divBdr>
        <w:top w:val="none" w:sz="0" w:space="0" w:color="auto"/>
        <w:left w:val="none" w:sz="0" w:space="0" w:color="auto"/>
        <w:bottom w:val="none" w:sz="0" w:space="0" w:color="auto"/>
        <w:right w:val="none" w:sz="0" w:space="0" w:color="auto"/>
      </w:divBdr>
      <w:divsChild>
        <w:div w:id="220143341">
          <w:marLeft w:val="0"/>
          <w:marRight w:val="0"/>
          <w:marTop w:val="0"/>
          <w:marBottom w:val="0"/>
          <w:divBdr>
            <w:top w:val="none" w:sz="0" w:space="0" w:color="auto"/>
            <w:left w:val="none" w:sz="0" w:space="0" w:color="auto"/>
            <w:bottom w:val="none" w:sz="0" w:space="0" w:color="auto"/>
            <w:right w:val="none" w:sz="0" w:space="0" w:color="auto"/>
          </w:divBdr>
          <w:divsChild>
            <w:div w:id="132841618">
              <w:marLeft w:val="0"/>
              <w:marRight w:val="0"/>
              <w:marTop w:val="0"/>
              <w:marBottom w:val="0"/>
              <w:divBdr>
                <w:top w:val="none" w:sz="0" w:space="0" w:color="auto"/>
                <w:left w:val="none" w:sz="0" w:space="0" w:color="auto"/>
                <w:bottom w:val="none" w:sz="0" w:space="0" w:color="auto"/>
                <w:right w:val="none" w:sz="0" w:space="0" w:color="auto"/>
              </w:divBdr>
            </w:div>
            <w:div w:id="221674623">
              <w:marLeft w:val="0"/>
              <w:marRight w:val="0"/>
              <w:marTop w:val="0"/>
              <w:marBottom w:val="0"/>
              <w:divBdr>
                <w:top w:val="none" w:sz="0" w:space="0" w:color="auto"/>
                <w:left w:val="none" w:sz="0" w:space="0" w:color="auto"/>
                <w:bottom w:val="none" w:sz="0" w:space="0" w:color="auto"/>
                <w:right w:val="none" w:sz="0" w:space="0" w:color="auto"/>
              </w:divBdr>
            </w:div>
            <w:div w:id="509568751">
              <w:marLeft w:val="0"/>
              <w:marRight w:val="0"/>
              <w:marTop w:val="0"/>
              <w:marBottom w:val="0"/>
              <w:divBdr>
                <w:top w:val="none" w:sz="0" w:space="0" w:color="auto"/>
                <w:left w:val="none" w:sz="0" w:space="0" w:color="auto"/>
                <w:bottom w:val="none" w:sz="0" w:space="0" w:color="auto"/>
                <w:right w:val="none" w:sz="0" w:space="0" w:color="auto"/>
              </w:divBdr>
            </w:div>
            <w:div w:id="1131168372">
              <w:marLeft w:val="0"/>
              <w:marRight w:val="0"/>
              <w:marTop w:val="0"/>
              <w:marBottom w:val="0"/>
              <w:divBdr>
                <w:top w:val="none" w:sz="0" w:space="0" w:color="auto"/>
                <w:left w:val="none" w:sz="0" w:space="0" w:color="auto"/>
                <w:bottom w:val="none" w:sz="0" w:space="0" w:color="auto"/>
                <w:right w:val="none" w:sz="0" w:space="0" w:color="auto"/>
              </w:divBdr>
            </w:div>
            <w:div w:id="1728072436">
              <w:marLeft w:val="0"/>
              <w:marRight w:val="0"/>
              <w:marTop w:val="0"/>
              <w:marBottom w:val="0"/>
              <w:divBdr>
                <w:top w:val="none" w:sz="0" w:space="0" w:color="auto"/>
                <w:left w:val="none" w:sz="0" w:space="0" w:color="auto"/>
                <w:bottom w:val="none" w:sz="0" w:space="0" w:color="auto"/>
                <w:right w:val="none" w:sz="0" w:space="0" w:color="auto"/>
              </w:divBdr>
            </w:div>
          </w:divsChild>
        </w:div>
        <w:div w:id="343047629">
          <w:marLeft w:val="0"/>
          <w:marRight w:val="0"/>
          <w:marTop w:val="0"/>
          <w:marBottom w:val="0"/>
          <w:divBdr>
            <w:top w:val="none" w:sz="0" w:space="0" w:color="auto"/>
            <w:left w:val="none" w:sz="0" w:space="0" w:color="auto"/>
            <w:bottom w:val="none" w:sz="0" w:space="0" w:color="auto"/>
            <w:right w:val="none" w:sz="0" w:space="0" w:color="auto"/>
          </w:divBdr>
          <w:divsChild>
            <w:div w:id="1207598429">
              <w:marLeft w:val="0"/>
              <w:marRight w:val="0"/>
              <w:marTop w:val="0"/>
              <w:marBottom w:val="0"/>
              <w:divBdr>
                <w:top w:val="none" w:sz="0" w:space="0" w:color="auto"/>
                <w:left w:val="none" w:sz="0" w:space="0" w:color="auto"/>
                <w:bottom w:val="none" w:sz="0" w:space="0" w:color="auto"/>
                <w:right w:val="none" w:sz="0" w:space="0" w:color="auto"/>
              </w:divBdr>
            </w:div>
            <w:div w:id="193443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66661">
      <w:bodyDiv w:val="1"/>
      <w:marLeft w:val="0"/>
      <w:marRight w:val="0"/>
      <w:marTop w:val="0"/>
      <w:marBottom w:val="0"/>
      <w:divBdr>
        <w:top w:val="none" w:sz="0" w:space="0" w:color="auto"/>
        <w:left w:val="none" w:sz="0" w:space="0" w:color="auto"/>
        <w:bottom w:val="none" w:sz="0" w:space="0" w:color="auto"/>
        <w:right w:val="none" w:sz="0" w:space="0" w:color="auto"/>
      </w:divBdr>
      <w:divsChild>
        <w:div w:id="2079401428">
          <w:marLeft w:val="0"/>
          <w:marRight w:val="0"/>
          <w:marTop w:val="0"/>
          <w:marBottom w:val="0"/>
          <w:divBdr>
            <w:top w:val="none" w:sz="0" w:space="0" w:color="auto"/>
            <w:left w:val="none" w:sz="0" w:space="0" w:color="auto"/>
            <w:bottom w:val="none" w:sz="0" w:space="0" w:color="auto"/>
            <w:right w:val="none" w:sz="0" w:space="0" w:color="auto"/>
          </w:divBdr>
          <w:divsChild>
            <w:div w:id="1174610890">
              <w:marLeft w:val="-300"/>
              <w:marRight w:val="-300"/>
              <w:marTop w:val="0"/>
              <w:marBottom w:val="0"/>
              <w:divBdr>
                <w:top w:val="none" w:sz="0" w:space="0" w:color="auto"/>
                <w:left w:val="none" w:sz="0" w:space="0" w:color="auto"/>
                <w:bottom w:val="none" w:sz="0" w:space="0" w:color="auto"/>
                <w:right w:val="none" w:sz="0" w:space="0" w:color="auto"/>
              </w:divBdr>
              <w:divsChild>
                <w:div w:id="1810246067">
                  <w:marLeft w:val="0"/>
                  <w:marRight w:val="0"/>
                  <w:marTop w:val="0"/>
                  <w:marBottom w:val="0"/>
                  <w:divBdr>
                    <w:top w:val="none" w:sz="0" w:space="0" w:color="auto"/>
                    <w:left w:val="none" w:sz="0" w:space="0" w:color="auto"/>
                    <w:bottom w:val="none" w:sz="0" w:space="0" w:color="auto"/>
                    <w:right w:val="none" w:sz="0" w:space="0" w:color="auto"/>
                  </w:divBdr>
                  <w:divsChild>
                    <w:div w:id="184570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602153">
      <w:bodyDiv w:val="1"/>
      <w:marLeft w:val="0"/>
      <w:marRight w:val="0"/>
      <w:marTop w:val="0"/>
      <w:marBottom w:val="0"/>
      <w:divBdr>
        <w:top w:val="none" w:sz="0" w:space="0" w:color="auto"/>
        <w:left w:val="none" w:sz="0" w:space="0" w:color="auto"/>
        <w:bottom w:val="none" w:sz="0" w:space="0" w:color="auto"/>
        <w:right w:val="none" w:sz="0" w:space="0" w:color="auto"/>
      </w:divBdr>
      <w:divsChild>
        <w:div w:id="1809320422">
          <w:marLeft w:val="547"/>
          <w:marRight w:val="0"/>
          <w:marTop w:val="0"/>
          <w:marBottom w:val="0"/>
          <w:divBdr>
            <w:top w:val="none" w:sz="0" w:space="0" w:color="auto"/>
            <w:left w:val="none" w:sz="0" w:space="0" w:color="auto"/>
            <w:bottom w:val="none" w:sz="0" w:space="0" w:color="auto"/>
            <w:right w:val="none" w:sz="0" w:space="0" w:color="auto"/>
          </w:divBdr>
        </w:div>
      </w:divsChild>
    </w:div>
    <w:div w:id="1440684341">
      <w:bodyDiv w:val="1"/>
      <w:marLeft w:val="0"/>
      <w:marRight w:val="0"/>
      <w:marTop w:val="0"/>
      <w:marBottom w:val="0"/>
      <w:divBdr>
        <w:top w:val="none" w:sz="0" w:space="0" w:color="auto"/>
        <w:left w:val="none" w:sz="0" w:space="0" w:color="auto"/>
        <w:bottom w:val="none" w:sz="0" w:space="0" w:color="auto"/>
        <w:right w:val="none" w:sz="0" w:space="0" w:color="auto"/>
      </w:divBdr>
    </w:div>
    <w:div w:id="1441759051">
      <w:bodyDiv w:val="1"/>
      <w:marLeft w:val="0"/>
      <w:marRight w:val="0"/>
      <w:marTop w:val="0"/>
      <w:marBottom w:val="0"/>
      <w:divBdr>
        <w:top w:val="none" w:sz="0" w:space="0" w:color="auto"/>
        <w:left w:val="none" w:sz="0" w:space="0" w:color="auto"/>
        <w:bottom w:val="none" w:sz="0" w:space="0" w:color="auto"/>
        <w:right w:val="none" w:sz="0" w:space="0" w:color="auto"/>
      </w:divBdr>
    </w:div>
    <w:div w:id="1448700672">
      <w:bodyDiv w:val="1"/>
      <w:marLeft w:val="0"/>
      <w:marRight w:val="0"/>
      <w:marTop w:val="0"/>
      <w:marBottom w:val="0"/>
      <w:divBdr>
        <w:top w:val="none" w:sz="0" w:space="0" w:color="auto"/>
        <w:left w:val="none" w:sz="0" w:space="0" w:color="auto"/>
        <w:bottom w:val="none" w:sz="0" w:space="0" w:color="auto"/>
        <w:right w:val="none" w:sz="0" w:space="0" w:color="auto"/>
      </w:divBdr>
    </w:div>
    <w:div w:id="1458646628">
      <w:bodyDiv w:val="1"/>
      <w:marLeft w:val="0"/>
      <w:marRight w:val="0"/>
      <w:marTop w:val="0"/>
      <w:marBottom w:val="0"/>
      <w:divBdr>
        <w:top w:val="none" w:sz="0" w:space="0" w:color="auto"/>
        <w:left w:val="none" w:sz="0" w:space="0" w:color="auto"/>
        <w:bottom w:val="none" w:sz="0" w:space="0" w:color="auto"/>
        <w:right w:val="none" w:sz="0" w:space="0" w:color="auto"/>
      </w:divBdr>
      <w:divsChild>
        <w:div w:id="1232498705">
          <w:marLeft w:val="547"/>
          <w:marRight w:val="0"/>
          <w:marTop w:val="0"/>
          <w:marBottom w:val="0"/>
          <w:divBdr>
            <w:top w:val="none" w:sz="0" w:space="0" w:color="auto"/>
            <w:left w:val="none" w:sz="0" w:space="0" w:color="auto"/>
            <w:bottom w:val="none" w:sz="0" w:space="0" w:color="auto"/>
            <w:right w:val="none" w:sz="0" w:space="0" w:color="auto"/>
          </w:divBdr>
        </w:div>
      </w:divsChild>
    </w:div>
    <w:div w:id="1489056112">
      <w:bodyDiv w:val="1"/>
      <w:marLeft w:val="0"/>
      <w:marRight w:val="0"/>
      <w:marTop w:val="0"/>
      <w:marBottom w:val="0"/>
      <w:divBdr>
        <w:top w:val="none" w:sz="0" w:space="0" w:color="auto"/>
        <w:left w:val="none" w:sz="0" w:space="0" w:color="auto"/>
        <w:bottom w:val="none" w:sz="0" w:space="0" w:color="auto"/>
        <w:right w:val="none" w:sz="0" w:space="0" w:color="auto"/>
      </w:divBdr>
    </w:div>
    <w:div w:id="1491100639">
      <w:bodyDiv w:val="1"/>
      <w:marLeft w:val="0"/>
      <w:marRight w:val="0"/>
      <w:marTop w:val="0"/>
      <w:marBottom w:val="0"/>
      <w:divBdr>
        <w:top w:val="none" w:sz="0" w:space="0" w:color="auto"/>
        <w:left w:val="none" w:sz="0" w:space="0" w:color="auto"/>
        <w:bottom w:val="none" w:sz="0" w:space="0" w:color="auto"/>
        <w:right w:val="none" w:sz="0" w:space="0" w:color="auto"/>
      </w:divBdr>
    </w:div>
    <w:div w:id="1503741797">
      <w:bodyDiv w:val="1"/>
      <w:marLeft w:val="0"/>
      <w:marRight w:val="0"/>
      <w:marTop w:val="0"/>
      <w:marBottom w:val="0"/>
      <w:divBdr>
        <w:top w:val="none" w:sz="0" w:space="0" w:color="auto"/>
        <w:left w:val="none" w:sz="0" w:space="0" w:color="auto"/>
        <w:bottom w:val="none" w:sz="0" w:space="0" w:color="auto"/>
        <w:right w:val="none" w:sz="0" w:space="0" w:color="auto"/>
      </w:divBdr>
    </w:div>
    <w:div w:id="1519273108">
      <w:bodyDiv w:val="1"/>
      <w:marLeft w:val="0"/>
      <w:marRight w:val="0"/>
      <w:marTop w:val="0"/>
      <w:marBottom w:val="0"/>
      <w:divBdr>
        <w:top w:val="none" w:sz="0" w:space="0" w:color="auto"/>
        <w:left w:val="none" w:sz="0" w:space="0" w:color="auto"/>
        <w:bottom w:val="none" w:sz="0" w:space="0" w:color="auto"/>
        <w:right w:val="none" w:sz="0" w:space="0" w:color="auto"/>
      </w:divBdr>
    </w:div>
    <w:div w:id="1519345699">
      <w:bodyDiv w:val="1"/>
      <w:marLeft w:val="0"/>
      <w:marRight w:val="0"/>
      <w:marTop w:val="0"/>
      <w:marBottom w:val="0"/>
      <w:divBdr>
        <w:top w:val="none" w:sz="0" w:space="0" w:color="auto"/>
        <w:left w:val="none" w:sz="0" w:space="0" w:color="auto"/>
        <w:bottom w:val="none" w:sz="0" w:space="0" w:color="auto"/>
        <w:right w:val="none" w:sz="0" w:space="0" w:color="auto"/>
      </w:divBdr>
    </w:div>
    <w:div w:id="1526747557">
      <w:bodyDiv w:val="1"/>
      <w:marLeft w:val="0"/>
      <w:marRight w:val="0"/>
      <w:marTop w:val="0"/>
      <w:marBottom w:val="0"/>
      <w:divBdr>
        <w:top w:val="none" w:sz="0" w:space="0" w:color="auto"/>
        <w:left w:val="none" w:sz="0" w:space="0" w:color="auto"/>
        <w:bottom w:val="none" w:sz="0" w:space="0" w:color="auto"/>
        <w:right w:val="none" w:sz="0" w:space="0" w:color="auto"/>
      </w:divBdr>
    </w:div>
    <w:div w:id="1532299133">
      <w:bodyDiv w:val="1"/>
      <w:marLeft w:val="0"/>
      <w:marRight w:val="0"/>
      <w:marTop w:val="0"/>
      <w:marBottom w:val="0"/>
      <w:divBdr>
        <w:top w:val="none" w:sz="0" w:space="0" w:color="auto"/>
        <w:left w:val="none" w:sz="0" w:space="0" w:color="auto"/>
        <w:bottom w:val="none" w:sz="0" w:space="0" w:color="auto"/>
        <w:right w:val="none" w:sz="0" w:space="0" w:color="auto"/>
      </w:divBdr>
    </w:div>
    <w:div w:id="1543787510">
      <w:bodyDiv w:val="1"/>
      <w:marLeft w:val="0"/>
      <w:marRight w:val="0"/>
      <w:marTop w:val="0"/>
      <w:marBottom w:val="0"/>
      <w:divBdr>
        <w:top w:val="none" w:sz="0" w:space="0" w:color="auto"/>
        <w:left w:val="none" w:sz="0" w:space="0" w:color="auto"/>
        <w:bottom w:val="none" w:sz="0" w:space="0" w:color="auto"/>
        <w:right w:val="none" w:sz="0" w:space="0" w:color="auto"/>
      </w:divBdr>
    </w:div>
    <w:div w:id="1561093709">
      <w:bodyDiv w:val="1"/>
      <w:marLeft w:val="0"/>
      <w:marRight w:val="0"/>
      <w:marTop w:val="0"/>
      <w:marBottom w:val="0"/>
      <w:divBdr>
        <w:top w:val="none" w:sz="0" w:space="0" w:color="auto"/>
        <w:left w:val="none" w:sz="0" w:space="0" w:color="auto"/>
        <w:bottom w:val="none" w:sz="0" w:space="0" w:color="auto"/>
        <w:right w:val="none" w:sz="0" w:space="0" w:color="auto"/>
      </w:divBdr>
      <w:divsChild>
        <w:div w:id="1126437128">
          <w:marLeft w:val="0"/>
          <w:marRight w:val="0"/>
          <w:marTop w:val="0"/>
          <w:marBottom w:val="0"/>
          <w:divBdr>
            <w:top w:val="none" w:sz="0" w:space="0" w:color="auto"/>
            <w:left w:val="none" w:sz="0" w:space="0" w:color="auto"/>
            <w:bottom w:val="none" w:sz="0" w:space="0" w:color="auto"/>
            <w:right w:val="none" w:sz="0" w:space="0" w:color="auto"/>
          </w:divBdr>
          <w:divsChild>
            <w:div w:id="1437796407">
              <w:marLeft w:val="0"/>
              <w:marRight w:val="0"/>
              <w:marTop w:val="0"/>
              <w:marBottom w:val="0"/>
              <w:divBdr>
                <w:top w:val="none" w:sz="0" w:space="0" w:color="auto"/>
                <w:left w:val="none" w:sz="0" w:space="0" w:color="auto"/>
                <w:bottom w:val="none" w:sz="0" w:space="0" w:color="auto"/>
                <w:right w:val="none" w:sz="0" w:space="0" w:color="auto"/>
              </w:divBdr>
              <w:divsChild>
                <w:div w:id="1461922858">
                  <w:marLeft w:val="0"/>
                  <w:marRight w:val="0"/>
                  <w:marTop w:val="0"/>
                  <w:marBottom w:val="0"/>
                  <w:divBdr>
                    <w:top w:val="none" w:sz="0" w:space="0" w:color="auto"/>
                    <w:left w:val="none" w:sz="0" w:space="0" w:color="auto"/>
                    <w:bottom w:val="none" w:sz="0" w:space="0" w:color="auto"/>
                    <w:right w:val="none" w:sz="0" w:space="0" w:color="auto"/>
                  </w:divBdr>
                  <w:divsChild>
                    <w:div w:id="189415067">
                      <w:marLeft w:val="30"/>
                      <w:marRight w:val="30"/>
                      <w:marTop w:val="30"/>
                      <w:marBottom w:val="0"/>
                      <w:divBdr>
                        <w:top w:val="none" w:sz="0" w:space="0" w:color="auto"/>
                        <w:left w:val="none" w:sz="0" w:space="0" w:color="auto"/>
                        <w:bottom w:val="none" w:sz="0" w:space="0" w:color="auto"/>
                        <w:right w:val="none" w:sz="0" w:space="0" w:color="auto"/>
                      </w:divBdr>
                      <w:divsChild>
                        <w:div w:id="1929076770">
                          <w:marLeft w:val="210"/>
                          <w:marRight w:val="210"/>
                          <w:marTop w:val="0"/>
                          <w:marBottom w:val="30"/>
                          <w:divBdr>
                            <w:top w:val="none" w:sz="0" w:space="0" w:color="auto"/>
                            <w:left w:val="none" w:sz="0" w:space="0" w:color="auto"/>
                            <w:bottom w:val="none" w:sz="0" w:space="0" w:color="auto"/>
                            <w:right w:val="none" w:sz="0" w:space="0" w:color="auto"/>
                          </w:divBdr>
                          <w:divsChild>
                            <w:div w:id="1040663486">
                              <w:marLeft w:val="0"/>
                              <w:marRight w:val="30"/>
                              <w:marTop w:val="0"/>
                              <w:marBottom w:val="0"/>
                              <w:divBdr>
                                <w:top w:val="none" w:sz="0" w:space="0" w:color="auto"/>
                                <w:left w:val="none" w:sz="0" w:space="0" w:color="auto"/>
                                <w:bottom w:val="none" w:sz="0" w:space="0" w:color="auto"/>
                                <w:right w:val="none" w:sz="0" w:space="0" w:color="auto"/>
                              </w:divBdr>
                              <w:divsChild>
                                <w:div w:id="580724900">
                                  <w:marLeft w:val="0"/>
                                  <w:marRight w:val="0"/>
                                  <w:marTop w:val="0"/>
                                  <w:marBottom w:val="0"/>
                                  <w:divBdr>
                                    <w:top w:val="none" w:sz="0" w:space="0" w:color="auto"/>
                                    <w:left w:val="none" w:sz="0" w:space="0" w:color="auto"/>
                                    <w:bottom w:val="none" w:sz="0" w:space="0" w:color="auto"/>
                                    <w:right w:val="none" w:sz="0" w:space="0" w:color="auto"/>
                                  </w:divBdr>
                                  <w:divsChild>
                                    <w:div w:id="679967386">
                                      <w:marLeft w:val="0"/>
                                      <w:marRight w:val="0"/>
                                      <w:marTop w:val="0"/>
                                      <w:marBottom w:val="0"/>
                                      <w:divBdr>
                                        <w:top w:val="none" w:sz="0" w:space="0" w:color="auto"/>
                                        <w:left w:val="none" w:sz="0" w:space="0" w:color="auto"/>
                                        <w:bottom w:val="none" w:sz="0" w:space="0" w:color="auto"/>
                                        <w:right w:val="none" w:sz="0" w:space="0" w:color="auto"/>
                                      </w:divBdr>
                                      <w:divsChild>
                                        <w:div w:id="17801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634738">
          <w:marLeft w:val="0"/>
          <w:marRight w:val="0"/>
          <w:marTop w:val="0"/>
          <w:marBottom w:val="0"/>
          <w:divBdr>
            <w:top w:val="none" w:sz="0" w:space="0" w:color="auto"/>
            <w:left w:val="none" w:sz="0" w:space="0" w:color="auto"/>
            <w:bottom w:val="none" w:sz="0" w:space="0" w:color="auto"/>
            <w:right w:val="none" w:sz="0" w:space="0" w:color="auto"/>
          </w:divBdr>
          <w:divsChild>
            <w:div w:id="395013144">
              <w:marLeft w:val="210"/>
              <w:marRight w:val="0"/>
              <w:marTop w:val="120"/>
              <w:marBottom w:val="0"/>
              <w:divBdr>
                <w:top w:val="none" w:sz="0" w:space="0" w:color="auto"/>
                <w:left w:val="none" w:sz="0" w:space="0" w:color="auto"/>
                <w:bottom w:val="none" w:sz="0" w:space="0" w:color="auto"/>
                <w:right w:val="none" w:sz="0" w:space="0" w:color="auto"/>
              </w:divBdr>
              <w:divsChild>
                <w:div w:id="1843734471">
                  <w:marLeft w:val="0"/>
                  <w:marRight w:val="0"/>
                  <w:marTop w:val="0"/>
                  <w:marBottom w:val="0"/>
                  <w:divBdr>
                    <w:top w:val="none" w:sz="0" w:space="0" w:color="auto"/>
                    <w:left w:val="none" w:sz="0" w:space="0" w:color="auto"/>
                    <w:bottom w:val="none" w:sz="0" w:space="0" w:color="auto"/>
                    <w:right w:val="none" w:sz="0" w:space="0" w:color="auto"/>
                  </w:divBdr>
                  <w:divsChild>
                    <w:div w:id="886794227">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1564026280">
      <w:bodyDiv w:val="1"/>
      <w:marLeft w:val="0"/>
      <w:marRight w:val="0"/>
      <w:marTop w:val="0"/>
      <w:marBottom w:val="0"/>
      <w:divBdr>
        <w:top w:val="none" w:sz="0" w:space="0" w:color="auto"/>
        <w:left w:val="none" w:sz="0" w:space="0" w:color="auto"/>
        <w:bottom w:val="none" w:sz="0" w:space="0" w:color="auto"/>
        <w:right w:val="none" w:sz="0" w:space="0" w:color="auto"/>
      </w:divBdr>
    </w:div>
    <w:div w:id="1574271058">
      <w:bodyDiv w:val="1"/>
      <w:marLeft w:val="0"/>
      <w:marRight w:val="0"/>
      <w:marTop w:val="0"/>
      <w:marBottom w:val="0"/>
      <w:divBdr>
        <w:top w:val="none" w:sz="0" w:space="0" w:color="auto"/>
        <w:left w:val="none" w:sz="0" w:space="0" w:color="auto"/>
        <w:bottom w:val="none" w:sz="0" w:space="0" w:color="auto"/>
        <w:right w:val="none" w:sz="0" w:space="0" w:color="auto"/>
      </w:divBdr>
    </w:div>
    <w:div w:id="1577670364">
      <w:bodyDiv w:val="1"/>
      <w:marLeft w:val="0"/>
      <w:marRight w:val="0"/>
      <w:marTop w:val="0"/>
      <w:marBottom w:val="0"/>
      <w:divBdr>
        <w:top w:val="none" w:sz="0" w:space="0" w:color="auto"/>
        <w:left w:val="none" w:sz="0" w:space="0" w:color="auto"/>
        <w:bottom w:val="none" w:sz="0" w:space="0" w:color="auto"/>
        <w:right w:val="none" w:sz="0" w:space="0" w:color="auto"/>
      </w:divBdr>
    </w:div>
    <w:div w:id="1582451343">
      <w:bodyDiv w:val="1"/>
      <w:marLeft w:val="0"/>
      <w:marRight w:val="0"/>
      <w:marTop w:val="0"/>
      <w:marBottom w:val="0"/>
      <w:divBdr>
        <w:top w:val="none" w:sz="0" w:space="0" w:color="auto"/>
        <w:left w:val="none" w:sz="0" w:space="0" w:color="auto"/>
        <w:bottom w:val="none" w:sz="0" w:space="0" w:color="auto"/>
        <w:right w:val="none" w:sz="0" w:space="0" w:color="auto"/>
      </w:divBdr>
    </w:div>
    <w:div w:id="1607468631">
      <w:bodyDiv w:val="1"/>
      <w:marLeft w:val="0"/>
      <w:marRight w:val="0"/>
      <w:marTop w:val="0"/>
      <w:marBottom w:val="0"/>
      <w:divBdr>
        <w:top w:val="none" w:sz="0" w:space="0" w:color="auto"/>
        <w:left w:val="none" w:sz="0" w:space="0" w:color="auto"/>
        <w:bottom w:val="none" w:sz="0" w:space="0" w:color="auto"/>
        <w:right w:val="none" w:sz="0" w:space="0" w:color="auto"/>
      </w:divBdr>
    </w:div>
    <w:div w:id="1620182858">
      <w:bodyDiv w:val="1"/>
      <w:marLeft w:val="0"/>
      <w:marRight w:val="0"/>
      <w:marTop w:val="0"/>
      <w:marBottom w:val="0"/>
      <w:divBdr>
        <w:top w:val="none" w:sz="0" w:space="0" w:color="auto"/>
        <w:left w:val="none" w:sz="0" w:space="0" w:color="auto"/>
        <w:bottom w:val="none" w:sz="0" w:space="0" w:color="auto"/>
        <w:right w:val="none" w:sz="0" w:space="0" w:color="auto"/>
      </w:divBdr>
    </w:div>
    <w:div w:id="1624265846">
      <w:bodyDiv w:val="1"/>
      <w:marLeft w:val="0"/>
      <w:marRight w:val="0"/>
      <w:marTop w:val="0"/>
      <w:marBottom w:val="0"/>
      <w:divBdr>
        <w:top w:val="none" w:sz="0" w:space="0" w:color="auto"/>
        <w:left w:val="none" w:sz="0" w:space="0" w:color="auto"/>
        <w:bottom w:val="none" w:sz="0" w:space="0" w:color="auto"/>
        <w:right w:val="none" w:sz="0" w:space="0" w:color="auto"/>
      </w:divBdr>
    </w:div>
    <w:div w:id="1630479903">
      <w:bodyDiv w:val="1"/>
      <w:marLeft w:val="0"/>
      <w:marRight w:val="0"/>
      <w:marTop w:val="0"/>
      <w:marBottom w:val="0"/>
      <w:divBdr>
        <w:top w:val="none" w:sz="0" w:space="0" w:color="auto"/>
        <w:left w:val="none" w:sz="0" w:space="0" w:color="auto"/>
        <w:bottom w:val="none" w:sz="0" w:space="0" w:color="auto"/>
        <w:right w:val="none" w:sz="0" w:space="0" w:color="auto"/>
      </w:divBdr>
    </w:div>
    <w:div w:id="1631007662">
      <w:bodyDiv w:val="1"/>
      <w:marLeft w:val="0"/>
      <w:marRight w:val="0"/>
      <w:marTop w:val="0"/>
      <w:marBottom w:val="0"/>
      <w:divBdr>
        <w:top w:val="none" w:sz="0" w:space="0" w:color="auto"/>
        <w:left w:val="none" w:sz="0" w:space="0" w:color="auto"/>
        <w:bottom w:val="none" w:sz="0" w:space="0" w:color="auto"/>
        <w:right w:val="none" w:sz="0" w:space="0" w:color="auto"/>
      </w:divBdr>
    </w:div>
    <w:div w:id="1631209718">
      <w:bodyDiv w:val="1"/>
      <w:marLeft w:val="0"/>
      <w:marRight w:val="0"/>
      <w:marTop w:val="0"/>
      <w:marBottom w:val="0"/>
      <w:divBdr>
        <w:top w:val="none" w:sz="0" w:space="0" w:color="auto"/>
        <w:left w:val="none" w:sz="0" w:space="0" w:color="auto"/>
        <w:bottom w:val="none" w:sz="0" w:space="0" w:color="auto"/>
        <w:right w:val="none" w:sz="0" w:space="0" w:color="auto"/>
      </w:divBdr>
    </w:div>
    <w:div w:id="1637445642">
      <w:bodyDiv w:val="1"/>
      <w:marLeft w:val="0"/>
      <w:marRight w:val="0"/>
      <w:marTop w:val="0"/>
      <w:marBottom w:val="0"/>
      <w:divBdr>
        <w:top w:val="none" w:sz="0" w:space="0" w:color="auto"/>
        <w:left w:val="none" w:sz="0" w:space="0" w:color="auto"/>
        <w:bottom w:val="none" w:sz="0" w:space="0" w:color="auto"/>
        <w:right w:val="none" w:sz="0" w:space="0" w:color="auto"/>
      </w:divBdr>
    </w:div>
    <w:div w:id="1652635563">
      <w:bodyDiv w:val="1"/>
      <w:marLeft w:val="0"/>
      <w:marRight w:val="0"/>
      <w:marTop w:val="0"/>
      <w:marBottom w:val="0"/>
      <w:divBdr>
        <w:top w:val="none" w:sz="0" w:space="0" w:color="auto"/>
        <w:left w:val="none" w:sz="0" w:space="0" w:color="auto"/>
        <w:bottom w:val="none" w:sz="0" w:space="0" w:color="auto"/>
        <w:right w:val="none" w:sz="0" w:space="0" w:color="auto"/>
      </w:divBdr>
    </w:div>
    <w:div w:id="1658606999">
      <w:bodyDiv w:val="1"/>
      <w:marLeft w:val="0"/>
      <w:marRight w:val="0"/>
      <w:marTop w:val="0"/>
      <w:marBottom w:val="0"/>
      <w:divBdr>
        <w:top w:val="none" w:sz="0" w:space="0" w:color="auto"/>
        <w:left w:val="none" w:sz="0" w:space="0" w:color="auto"/>
        <w:bottom w:val="none" w:sz="0" w:space="0" w:color="auto"/>
        <w:right w:val="none" w:sz="0" w:space="0" w:color="auto"/>
      </w:divBdr>
    </w:div>
    <w:div w:id="1660308983">
      <w:bodyDiv w:val="1"/>
      <w:marLeft w:val="0"/>
      <w:marRight w:val="0"/>
      <w:marTop w:val="0"/>
      <w:marBottom w:val="0"/>
      <w:divBdr>
        <w:top w:val="none" w:sz="0" w:space="0" w:color="auto"/>
        <w:left w:val="none" w:sz="0" w:space="0" w:color="auto"/>
        <w:bottom w:val="none" w:sz="0" w:space="0" w:color="auto"/>
        <w:right w:val="none" w:sz="0" w:space="0" w:color="auto"/>
      </w:divBdr>
    </w:div>
    <w:div w:id="1669668553">
      <w:bodyDiv w:val="1"/>
      <w:marLeft w:val="0"/>
      <w:marRight w:val="0"/>
      <w:marTop w:val="0"/>
      <w:marBottom w:val="0"/>
      <w:divBdr>
        <w:top w:val="none" w:sz="0" w:space="0" w:color="auto"/>
        <w:left w:val="none" w:sz="0" w:space="0" w:color="auto"/>
        <w:bottom w:val="none" w:sz="0" w:space="0" w:color="auto"/>
        <w:right w:val="none" w:sz="0" w:space="0" w:color="auto"/>
      </w:divBdr>
    </w:div>
    <w:div w:id="1684823993">
      <w:bodyDiv w:val="1"/>
      <w:marLeft w:val="0"/>
      <w:marRight w:val="0"/>
      <w:marTop w:val="0"/>
      <w:marBottom w:val="0"/>
      <w:divBdr>
        <w:top w:val="none" w:sz="0" w:space="0" w:color="auto"/>
        <w:left w:val="none" w:sz="0" w:space="0" w:color="auto"/>
        <w:bottom w:val="none" w:sz="0" w:space="0" w:color="auto"/>
        <w:right w:val="none" w:sz="0" w:space="0" w:color="auto"/>
      </w:divBdr>
    </w:div>
    <w:div w:id="1700163012">
      <w:bodyDiv w:val="1"/>
      <w:marLeft w:val="0"/>
      <w:marRight w:val="0"/>
      <w:marTop w:val="0"/>
      <w:marBottom w:val="0"/>
      <w:divBdr>
        <w:top w:val="none" w:sz="0" w:space="0" w:color="auto"/>
        <w:left w:val="none" w:sz="0" w:space="0" w:color="auto"/>
        <w:bottom w:val="none" w:sz="0" w:space="0" w:color="auto"/>
        <w:right w:val="none" w:sz="0" w:space="0" w:color="auto"/>
      </w:divBdr>
    </w:div>
    <w:div w:id="1714571813">
      <w:bodyDiv w:val="1"/>
      <w:marLeft w:val="0"/>
      <w:marRight w:val="0"/>
      <w:marTop w:val="0"/>
      <w:marBottom w:val="0"/>
      <w:divBdr>
        <w:top w:val="none" w:sz="0" w:space="0" w:color="auto"/>
        <w:left w:val="none" w:sz="0" w:space="0" w:color="auto"/>
        <w:bottom w:val="none" w:sz="0" w:space="0" w:color="auto"/>
        <w:right w:val="none" w:sz="0" w:space="0" w:color="auto"/>
      </w:divBdr>
    </w:div>
    <w:div w:id="1733696233">
      <w:bodyDiv w:val="1"/>
      <w:marLeft w:val="0"/>
      <w:marRight w:val="0"/>
      <w:marTop w:val="0"/>
      <w:marBottom w:val="0"/>
      <w:divBdr>
        <w:top w:val="none" w:sz="0" w:space="0" w:color="auto"/>
        <w:left w:val="none" w:sz="0" w:space="0" w:color="auto"/>
        <w:bottom w:val="none" w:sz="0" w:space="0" w:color="auto"/>
        <w:right w:val="none" w:sz="0" w:space="0" w:color="auto"/>
      </w:divBdr>
    </w:div>
    <w:div w:id="1739591973">
      <w:bodyDiv w:val="1"/>
      <w:marLeft w:val="0"/>
      <w:marRight w:val="0"/>
      <w:marTop w:val="0"/>
      <w:marBottom w:val="0"/>
      <w:divBdr>
        <w:top w:val="none" w:sz="0" w:space="0" w:color="auto"/>
        <w:left w:val="none" w:sz="0" w:space="0" w:color="auto"/>
        <w:bottom w:val="none" w:sz="0" w:space="0" w:color="auto"/>
        <w:right w:val="none" w:sz="0" w:space="0" w:color="auto"/>
      </w:divBdr>
    </w:div>
    <w:div w:id="1740397516">
      <w:bodyDiv w:val="1"/>
      <w:marLeft w:val="0"/>
      <w:marRight w:val="0"/>
      <w:marTop w:val="0"/>
      <w:marBottom w:val="0"/>
      <w:divBdr>
        <w:top w:val="none" w:sz="0" w:space="0" w:color="auto"/>
        <w:left w:val="none" w:sz="0" w:space="0" w:color="auto"/>
        <w:bottom w:val="none" w:sz="0" w:space="0" w:color="auto"/>
        <w:right w:val="none" w:sz="0" w:space="0" w:color="auto"/>
      </w:divBdr>
    </w:div>
    <w:div w:id="1747066134">
      <w:bodyDiv w:val="1"/>
      <w:marLeft w:val="0"/>
      <w:marRight w:val="0"/>
      <w:marTop w:val="0"/>
      <w:marBottom w:val="0"/>
      <w:divBdr>
        <w:top w:val="none" w:sz="0" w:space="0" w:color="auto"/>
        <w:left w:val="none" w:sz="0" w:space="0" w:color="auto"/>
        <w:bottom w:val="none" w:sz="0" w:space="0" w:color="auto"/>
        <w:right w:val="none" w:sz="0" w:space="0" w:color="auto"/>
      </w:divBdr>
    </w:div>
    <w:div w:id="1765766495">
      <w:bodyDiv w:val="1"/>
      <w:marLeft w:val="0"/>
      <w:marRight w:val="0"/>
      <w:marTop w:val="0"/>
      <w:marBottom w:val="0"/>
      <w:divBdr>
        <w:top w:val="none" w:sz="0" w:space="0" w:color="auto"/>
        <w:left w:val="none" w:sz="0" w:space="0" w:color="auto"/>
        <w:bottom w:val="none" w:sz="0" w:space="0" w:color="auto"/>
        <w:right w:val="none" w:sz="0" w:space="0" w:color="auto"/>
      </w:divBdr>
    </w:div>
    <w:div w:id="1767920791">
      <w:bodyDiv w:val="1"/>
      <w:marLeft w:val="0"/>
      <w:marRight w:val="0"/>
      <w:marTop w:val="0"/>
      <w:marBottom w:val="0"/>
      <w:divBdr>
        <w:top w:val="none" w:sz="0" w:space="0" w:color="auto"/>
        <w:left w:val="none" w:sz="0" w:space="0" w:color="auto"/>
        <w:bottom w:val="none" w:sz="0" w:space="0" w:color="auto"/>
        <w:right w:val="none" w:sz="0" w:space="0" w:color="auto"/>
      </w:divBdr>
    </w:div>
    <w:div w:id="1778329112">
      <w:bodyDiv w:val="1"/>
      <w:marLeft w:val="0"/>
      <w:marRight w:val="0"/>
      <w:marTop w:val="0"/>
      <w:marBottom w:val="0"/>
      <w:divBdr>
        <w:top w:val="none" w:sz="0" w:space="0" w:color="auto"/>
        <w:left w:val="none" w:sz="0" w:space="0" w:color="auto"/>
        <w:bottom w:val="none" w:sz="0" w:space="0" w:color="auto"/>
        <w:right w:val="none" w:sz="0" w:space="0" w:color="auto"/>
      </w:divBdr>
    </w:div>
    <w:div w:id="1779174522">
      <w:bodyDiv w:val="1"/>
      <w:marLeft w:val="0"/>
      <w:marRight w:val="0"/>
      <w:marTop w:val="0"/>
      <w:marBottom w:val="0"/>
      <w:divBdr>
        <w:top w:val="none" w:sz="0" w:space="0" w:color="auto"/>
        <w:left w:val="none" w:sz="0" w:space="0" w:color="auto"/>
        <w:bottom w:val="none" w:sz="0" w:space="0" w:color="auto"/>
        <w:right w:val="none" w:sz="0" w:space="0" w:color="auto"/>
      </w:divBdr>
    </w:div>
    <w:div w:id="1795757244">
      <w:bodyDiv w:val="1"/>
      <w:marLeft w:val="0"/>
      <w:marRight w:val="0"/>
      <w:marTop w:val="0"/>
      <w:marBottom w:val="0"/>
      <w:divBdr>
        <w:top w:val="none" w:sz="0" w:space="0" w:color="auto"/>
        <w:left w:val="none" w:sz="0" w:space="0" w:color="auto"/>
        <w:bottom w:val="none" w:sz="0" w:space="0" w:color="auto"/>
        <w:right w:val="none" w:sz="0" w:space="0" w:color="auto"/>
      </w:divBdr>
    </w:div>
    <w:div w:id="1803226791">
      <w:bodyDiv w:val="1"/>
      <w:marLeft w:val="0"/>
      <w:marRight w:val="0"/>
      <w:marTop w:val="0"/>
      <w:marBottom w:val="0"/>
      <w:divBdr>
        <w:top w:val="none" w:sz="0" w:space="0" w:color="auto"/>
        <w:left w:val="none" w:sz="0" w:space="0" w:color="auto"/>
        <w:bottom w:val="none" w:sz="0" w:space="0" w:color="auto"/>
        <w:right w:val="none" w:sz="0" w:space="0" w:color="auto"/>
      </w:divBdr>
    </w:div>
    <w:div w:id="1839543292">
      <w:bodyDiv w:val="1"/>
      <w:marLeft w:val="0"/>
      <w:marRight w:val="0"/>
      <w:marTop w:val="0"/>
      <w:marBottom w:val="0"/>
      <w:divBdr>
        <w:top w:val="none" w:sz="0" w:space="0" w:color="auto"/>
        <w:left w:val="none" w:sz="0" w:space="0" w:color="auto"/>
        <w:bottom w:val="none" w:sz="0" w:space="0" w:color="auto"/>
        <w:right w:val="none" w:sz="0" w:space="0" w:color="auto"/>
      </w:divBdr>
    </w:div>
    <w:div w:id="1877038815">
      <w:bodyDiv w:val="1"/>
      <w:marLeft w:val="0"/>
      <w:marRight w:val="0"/>
      <w:marTop w:val="0"/>
      <w:marBottom w:val="0"/>
      <w:divBdr>
        <w:top w:val="none" w:sz="0" w:space="0" w:color="auto"/>
        <w:left w:val="none" w:sz="0" w:space="0" w:color="auto"/>
        <w:bottom w:val="none" w:sz="0" w:space="0" w:color="auto"/>
        <w:right w:val="none" w:sz="0" w:space="0" w:color="auto"/>
      </w:divBdr>
    </w:div>
    <w:div w:id="1881477199">
      <w:bodyDiv w:val="1"/>
      <w:marLeft w:val="0"/>
      <w:marRight w:val="0"/>
      <w:marTop w:val="0"/>
      <w:marBottom w:val="0"/>
      <w:divBdr>
        <w:top w:val="none" w:sz="0" w:space="0" w:color="auto"/>
        <w:left w:val="none" w:sz="0" w:space="0" w:color="auto"/>
        <w:bottom w:val="none" w:sz="0" w:space="0" w:color="auto"/>
        <w:right w:val="none" w:sz="0" w:space="0" w:color="auto"/>
      </w:divBdr>
    </w:div>
    <w:div w:id="1881897466">
      <w:bodyDiv w:val="1"/>
      <w:marLeft w:val="0"/>
      <w:marRight w:val="0"/>
      <w:marTop w:val="0"/>
      <w:marBottom w:val="0"/>
      <w:divBdr>
        <w:top w:val="none" w:sz="0" w:space="0" w:color="auto"/>
        <w:left w:val="none" w:sz="0" w:space="0" w:color="auto"/>
        <w:bottom w:val="none" w:sz="0" w:space="0" w:color="auto"/>
        <w:right w:val="none" w:sz="0" w:space="0" w:color="auto"/>
      </w:divBdr>
    </w:div>
    <w:div w:id="1883251475">
      <w:bodyDiv w:val="1"/>
      <w:marLeft w:val="0"/>
      <w:marRight w:val="0"/>
      <w:marTop w:val="0"/>
      <w:marBottom w:val="0"/>
      <w:divBdr>
        <w:top w:val="none" w:sz="0" w:space="0" w:color="auto"/>
        <w:left w:val="none" w:sz="0" w:space="0" w:color="auto"/>
        <w:bottom w:val="none" w:sz="0" w:space="0" w:color="auto"/>
        <w:right w:val="none" w:sz="0" w:space="0" w:color="auto"/>
      </w:divBdr>
    </w:div>
    <w:div w:id="1890728225">
      <w:bodyDiv w:val="1"/>
      <w:marLeft w:val="0"/>
      <w:marRight w:val="0"/>
      <w:marTop w:val="0"/>
      <w:marBottom w:val="0"/>
      <w:divBdr>
        <w:top w:val="none" w:sz="0" w:space="0" w:color="auto"/>
        <w:left w:val="none" w:sz="0" w:space="0" w:color="auto"/>
        <w:bottom w:val="none" w:sz="0" w:space="0" w:color="auto"/>
        <w:right w:val="none" w:sz="0" w:space="0" w:color="auto"/>
      </w:divBdr>
    </w:div>
    <w:div w:id="1895580769">
      <w:bodyDiv w:val="1"/>
      <w:marLeft w:val="0"/>
      <w:marRight w:val="0"/>
      <w:marTop w:val="0"/>
      <w:marBottom w:val="0"/>
      <w:divBdr>
        <w:top w:val="none" w:sz="0" w:space="0" w:color="auto"/>
        <w:left w:val="none" w:sz="0" w:space="0" w:color="auto"/>
        <w:bottom w:val="none" w:sz="0" w:space="0" w:color="auto"/>
        <w:right w:val="none" w:sz="0" w:space="0" w:color="auto"/>
      </w:divBdr>
      <w:divsChild>
        <w:div w:id="363678791">
          <w:marLeft w:val="0"/>
          <w:marRight w:val="0"/>
          <w:marTop w:val="0"/>
          <w:marBottom w:val="0"/>
          <w:divBdr>
            <w:top w:val="none" w:sz="0" w:space="0" w:color="auto"/>
            <w:left w:val="none" w:sz="0" w:space="0" w:color="auto"/>
            <w:bottom w:val="none" w:sz="0" w:space="0" w:color="auto"/>
            <w:right w:val="none" w:sz="0" w:space="0" w:color="auto"/>
          </w:divBdr>
          <w:divsChild>
            <w:div w:id="1054544444">
              <w:marLeft w:val="0"/>
              <w:marRight w:val="0"/>
              <w:marTop w:val="0"/>
              <w:marBottom w:val="0"/>
              <w:divBdr>
                <w:top w:val="none" w:sz="0" w:space="0" w:color="auto"/>
                <w:left w:val="none" w:sz="0" w:space="0" w:color="auto"/>
                <w:bottom w:val="none" w:sz="0" w:space="0" w:color="auto"/>
                <w:right w:val="none" w:sz="0" w:space="0" w:color="auto"/>
              </w:divBdr>
              <w:divsChild>
                <w:div w:id="1845626812">
                  <w:marLeft w:val="0"/>
                  <w:marRight w:val="0"/>
                  <w:marTop w:val="0"/>
                  <w:marBottom w:val="0"/>
                  <w:divBdr>
                    <w:top w:val="none" w:sz="0" w:space="0" w:color="auto"/>
                    <w:left w:val="none" w:sz="0" w:space="0" w:color="auto"/>
                    <w:bottom w:val="none" w:sz="0" w:space="0" w:color="auto"/>
                    <w:right w:val="none" w:sz="0" w:space="0" w:color="auto"/>
                  </w:divBdr>
                  <w:divsChild>
                    <w:div w:id="998996690">
                      <w:marLeft w:val="0"/>
                      <w:marRight w:val="0"/>
                      <w:marTop w:val="0"/>
                      <w:marBottom w:val="0"/>
                      <w:divBdr>
                        <w:top w:val="none" w:sz="0" w:space="0" w:color="auto"/>
                        <w:left w:val="none" w:sz="0" w:space="0" w:color="auto"/>
                        <w:bottom w:val="none" w:sz="0" w:space="0" w:color="auto"/>
                        <w:right w:val="none" w:sz="0" w:space="0" w:color="auto"/>
                      </w:divBdr>
                      <w:divsChild>
                        <w:div w:id="2060202723">
                          <w:marLeft w:val="0"/>
                          <w:marRight w:val="0"/>
                          <w:marTop w:val="0"/>
                          <w:marBottom w:val="0"/>
                          <w:divBdr>
                            <w:top w:val="none" w:sz="0" w:space="0" w:color="auto"/>
                            <w:left w:val="none" w:sz="0" w:space="0" w:color="auto"/>
                            <w:bottom w:val="none" w:sz="0" w:space="0" w:color="auto"/>
                            <w:right w:val="none" w:sz="0" w:space="0" w:color="auto"/>
                          </w:divBdr>
                          <w:divsChild>
                            <w:div w:id="2008363241">
                              <w:marLeft w:val="0"/>
                              <w:marRight w:val="0"/>
                              <w:marTop w:val="0"/>
                              <w:marBottom w:val="0"/>
                              <w:divBdr>
                                <w:top w:val="none" w:sz="0" w:space="0" w:color="auto"/>
                                <w:left w:val="none" w:sz="0" w:space="0" w:color="auto"/>
                                <w:bottom w:val="none" w:sz="0" w:space="0" w:color="auto"/>
                                <w:right w:val="none" w:sz="0" w:space="0" w:color="auto"/>
                              </w:divBdr>
                              <w:divsChild>
                                <w:div w:id="1130441470">
                                  <w:marLeft w:val="0"/>
                                  <w:marRight w:val="0"/>
                                  <w:marTop w:val="0"/>
                                  <w:marBottom w:val="0"/>
                                  <w:divBdr>
                                    <w:top w:val="none" w:sz="0" w:space="0" w:color="auto"/>
                                    <w:left w:val="none" w:sz="0" w:space="0" w:color="auto"/>
                                    <w:bottom w:val="none" w:sz="0" w:space="0" w:color="auto"/>
                                    <w:right w:val="none" w:sz="0" w:space="0" w:color="auto"/>
                                  </w:divBdr>
                                  <w:divsChild>
                                    <w:div w:id="1199466975">
                                      <w:marLeft w:val="0"/>
                                      <w:marRight w:val="0"/>
                                      <w:marTop w:val="0"/>
                                      <w:marBottom w:val="0"/>
                                      <w:divBdr>
                                        <w:top w:val="none" w:sz="0" w:space="0" w:color="auto"/>
                                        <w:left w:val="none" w:sz="0" w:space="0" w:color="auto"/>
                                        <w:bottom w:val="none" w:sz="0" w:space="0" w:color="auto"/>
                                        <w:right w:val="none" w:sz="0" w:space="0" w:color="auto"/>
                                      </w:divBdr>
                                      <w:divsChild>
                                        <w:div w:id="810682384">
                                          <w:marLeft w:val="0"/>
                                          <w:marRight w:val="0"/>
                                          <w:marTop w:val="0"/>
                                          <w:marBottom w:val="0"/>
                                          <w:divBdr>
                                            <w:top w:val="none" w:sz="0" w:space="0" w:color="auto"/>
                                            <w:left w:val="none" w:sz="0" w:space="0" w:color="auto"/>
                                            <w:bottom w:val="none" w:sz="0" w:space="0" w:color="auto"/>
                                            <w:right w:val="none" w:sz="0" w:space="0" w:color="auto"/>
                                          </w:divBdr>
                                          <w:divsChild>
                                            <w:div w:id="1427119694">
                                              <w:marLeft w:val="0"/>
                                              <w:marRight w:val="0"/>
                                              <w:marTop w:val="0"/>
                                              <w:marBottom w:val="0"/>
                                              <w:divBdr>
                                                <w:top w:val="none" w:sz="0" w:space="0" w:color="auto"/>
                                                <w:left w:val="none" w:sz="0" w:space="0" w:color="auto"/>
                                                <w:bottom w:val="none" w:sz="0" w:space="0" w:color="auto"/>
                                                <w:right w:val="none" w:sz="0" w:space="0" w:color="auto"/>
                                              </w:divBdr>
                                              <w:divsChild>
                                                <w:div w:id="739257029">
                                                  <w:marLeft w:val="0"/>
                                                  <w:marRight w:val="0"/>
                                                  <w:marTop w:val="0"/>
                                                  <w:marBottom w:val="0"/>
                                                  <w:divBdr>
                                                    <w:top w:val="none" w:sz="0" w:space="0" w:color="auto"/>
                                                    <w:left w:val="none" w:sz="0" w:space="0" w:color="auto"/>
                                                    <w:bottom w:val="none" w:sz="0" w:space="0" w:color="auto"/>
                                                    <w:right w:val="none" w:sz="0" w:space="0" w:color="auto"/>
                                                  </w:divBdr>
                                                  <w:divsChild>
                                                    <w:div w:id="86536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7201810">
      <w:bodyDiv w:val="1"/>
      <w:marLeft w:val="0"/>
      <w:marRight w:val="0"/>
      <w:marTop w:val="0"/>
      <w:marBottom w:val="0"/>
      <w:divBdr>
        <w:top w:val="none" w:sz="0" w:space="0" w:color="auto"/>
        <w:left w:val="none" w:sz="0" w:space="0" w:color="auto"/>
        <w:bottom w:val="none" w:sz="0" w:space="0" w:color="auto"/>
        <w:right w:val="none" w:sz="0" w:space="0" w:color="auto"/>
      </w:divBdr>
      <w:divsChild>
        <w:div w:id="186140528">
          <w:marLeft w:val="0"/>
          <w:marRight w:val="0"/>
          <w:marTop w:val="0"/>
          <w:marBottom w:val="0"/>
          <w:divBdr>
            <w:top w:val="none" w:sz="0" w:space="0" w:color="auto"/>
            <w:left w:val="none" w:sz="0" w:space="0" w:color="auto"/>
            <w:bottom w:val="none" w:sz="0" w:space="0" w:color="auto"/>
            <w:right w:val="none" w:sz="0" w:space="0" w:color="auto"/>
          </w:divBdr>
        </w:div>
        <w:div w:id="297761940">
          <w:marLeft w:val="0"/>
          <w:marRight w:val="0"/>
          <w:marTop w:val="0"/>
          <w:marBottom w:val="0"/>
          <w:divBdr>
            <w:top w:val="none" w:sz="0" w:space="0" w:color="auto"/>
            <w:left w:val="none" w:sz="0" w:space="0" w:color="auto"/>
            <w:bottom w:val="none" w:sz="0" w:space="0" w:color="auto"/>
            <w:right w:val="none" w:sz="0" w:space="0" w:color="auto"/>
          </w:divBdr>
        </w:div>
        <w:div w:id="448864054">
          <w:marLeft w:val="0"/>
          <w:marRight w:val="0"/>
          <w:marTop w:val="0"/>
          <w:marBottom w:val="0"/>
          <w:divBdr>
            <w:top w:val="none" w:sz="0" w:space="0" w:color="auto"/>
            <w:left w:val="none" w:sz="0" w:space="0" w:color="auto"/>
            <w:bottom w:val="none" w:sz="0" w:space="0" w:color="auto"/>
            <w:right w:val="none" w:sz="0" w:space="0" w:color="auto"/>
          </w:divBdr>
        </w:div>
        <w:div w:id="621300822">
          <w:marLeft w:val="0"/>
          <w:marRight w:val="0"/>
          <w:marTop w:val="0"/>
          <w:marBottom w:val="0"/>
          <w:divBdr>
            <w:top w:val="none" w:sz="0" w:space="0" w:color="auto"/>
            <w:left w:val="none" w:sz="0" w:space="0" w:color="auto"/>
            <w:bottom w:val="none" w:sz="0" w:space="0" w:color="auto"/>
            <w:right w:val="none" w:sz="0" w:space="0" w:color="auto"/>
          </w:divBdr>
        </w:div>
        <w:div w:id="644041514">
          <w:marLeft w:val="0"/>
          <w:marRight w:val="0"/>
          <w:marTop w:val="0"/>
          <w:marBottom w:val="0"/>
          <w:divBdr>
            <w:top w:val="none" w:sz="0" w:space="0" w:color="auto"/>
            <w:left w:val="none" w:sz="0" w:space="0" w:color="auto"/>
            <w:bottom w:val="none" w:sz="0" w:space="0" w:color="auto"/>
            <w:right w:val="none" w:sz="0" w:space="0" w:color="auto"/>
          </w:divBdr>
        </w:div>
        <w:div w:id="752969339">
          <w:marLeft w:val="0"/>
          <w:marRight w:val="0"/>
          <w:marTop w:val="0"/>
          <w:marBottom w:val="0"/>
          <w:divBdr>
            <w:top w:val="none" w:sz="0" w:space="0" w:color="auto"/>
            <w:left w:val="none" w:sz="0" w:space="0" w:color="auto"/>
            <w:bottom w:val="none" w:sz="0" w:space="0" w:color="auto"/>
            <w:right w:val="none" w:sz="0" w:space="0" w:color="auto"/>
          </w:divBdr>
        </w:div>
        <w:div w:id="786892398">
          <w:marLeft w:val="0"/>
          <w:marRight w:val="0"/>
          <w:marTop w:val="0"/>
          <w:marBottom w:val="0"/>
          <w:divBdr>
            <w:top w:val="none" w:sz="0" w:space="0" w:color="auto"/>
            <w:left w:val="none" w:sz="0" w:space="0" w:color="auto"/>
            <w:bottom w:val="none" w:sz="0" w:space="0" w:color="auto"/>
            <w:right w:val="none" w:sz="0" w:space="0" w:color="auto"/>
          </w:divBdr>
        </w:div>
        <w:div w:id="850802925">
          <w:marLeft w:val="0"/>
          <w:marRight w:val="0"/>
          <w:marTop w:val="0"/>
          <w:marBottom w:val="0"/>
          <w:divBdr>
            <w:top w:val="none" w:sz="0" w:space="0" w:color="auto"/>
            <w:left w:val="none" w:sz="0" w:space="0" w:color="auto"/>
            <w:bottom w:val="none" w:sz="0" w:space="0" w:color="auto"/>
            <w:right w:val="none" w:sz="0" w:space="0" w:color="auto"/>
          </w:divBdr>
        </w:div>
        <w:div w:id="888035826">
          <w:marLeft w:val="0"/>
          <w:marRight w:val="0"/>
          <w:marTop w:val="0"/>
          <w:marBottom w:val="0"/>
          <w:divBdr>
            <w:top w:val="none" w:sz="0" w:space="0" w:color="auto"/>
            <w:left w:val="none" w:sz="0" w:space="0" w:color="auto"/>
            <w:bottom w:val="none" w:sz="0" w:space="0" w:color="auto"/>
            <w:right w:val="none" w:sz="0" w:space="0" w:color="auto"/>
          </w:divBdr>
        </w:div>
        <w:div w:id="903030718">
          <w:marLeft w:val="0"/>
          <w:marRight w:val="0"/>
          <w:marTop w:val="0"/>
          <w:marBottom w:val="0"/>
          <w:divBdr>
            <w:top w:val="none" w:sz="0" w:space="0" w:color="auto"/>
            <w:left w:val="none" w:sz="0" w:space="0" w:color="auto"/>
            <w:bottom w:val="none" w:sz="0" w:space="0" w:color="auto"/>
            <w:right w:val="none" w:sz="0" w:space="0" w:color="auto"/>
          </w:divBdr>
        </w:div>
        <w:div w:id="908881748">
          <w:marLeft w:val="0"/>
          <w:marRight w:val="0"/>
          <w:marTop w:val="0"/>
          <w:marBottom w:val="0"/>
          <w:divBdr>
            <w:top w:val="none" w:sz="0" w:space="0" w:color="auto"/>
            <w:left w:val="none" w:sz="0" w:space="0" w:color="auto"/>
            <w:bottom w:val="none" w:sz="0" w:space="0" w:color="auto"/>
            <w:right w:val="none" w:sz="0" w:space="0" w:color="auto"/>
          </w:divBdr>
        </w:div>
        <w:div w:id="993144788">
          <w:marLeft w:val="0"/>
          <w:marRight w:val="0"/>
          <w:marTop w:val="0"/>
          <w:marBottom w:val="0"/>
          <w:divBdr>
            <w:top w:val="none" w:sz="0" w:space="0" w:color="auto"/>
            <w:left w:val="none" w:sz="0" w:space="0" w:color="auto"/>
            <w:bottom w:val="none" w:sz="0" w:space="0" w:color="auto"/>
            <w:right w:val="none" w:sz="0" w:space="0" w:color="auto"/>
          </w:divBdr>
        </w:div>
        <w:div w:id="1043212627">
          <w:marLeft w:val="0"/>
          <w:marRight w:val="0"/>
          <w:marTop w:val="0"/>
          <w:marBottom w:val="0"/>
          <w:divBdr>
            <w:top w:val="none" w:sz="0" w:space="0" w:color="auto"/>
            <w:left w:val="none" w:sz="0" w:space="0" w:color="auto"/>
            <w:bottom w:val="none" w:sz="0" w:space="0" w:color="auto"/>
            <w:right w:val="none" w:sz="0" w:space="0" w:color="auto"/>
          </w:divBdr>
        </w:div>
        <w:div w:id="1098141195">
          <w:marLeft w:val="0"/>
          <w:marRight w:val="0"/>
          <w:marTop w:val="0"/>
          <w:marBottom w:val="0"/>
          <w:divBdr>
            <w:top w:val="none" w:sz="0" w:space="0" w:color="auto"/>
            <w:left w:val="none" w:sz="0" w:space="0" w:color="auto"/>
            <w:bottom w:val="none" w:sz="0" w:space="0" w:color="auto"/>
            <w:right w:val="none" w:sz="0" w:space="0" w:color="auto"/>
          </w:divBdr>
        </w:div>
        <w:div w:id="1164005413">
          <w:marLeft w:val="0"/>
          <w:marRight w:val="0"/>
          <w:marTop w:val="0"/>
          <w:marBottom w:val="0"/>
          <w:divBdr>
            <w:top w:val="none" w:sz="0" w:space="0" w:color="auto"/>
            <w:left w:val="none" w:sz="0" w:space="0" w:color="auto"/>
            <w:bottom w:val="none" w:sz="0" w:space="0" w:color="auto"/>
            <w:right w:val="none" w:sz="0" w:space="0" w:color="auto"/>
          </w:divBdr>
        </w:div>
        <w:div w:id="1245413120">
          <w:marLeft w:val="0"/>
          <w:marRight w:val="0"/>
          <w:marTop w:val="0"/>
          <w:marBottom w:val="0"/>
          <w:divBdr>
            <w:top w:val="none" w:sz="0" w:space="0" w:color="auto"/>
            <w:left w:val="none" w:sz="0" w:space="0" w:color="auto"/>
            <w:bottom w:val="none" w:sz="0" w:space="0" w:color="auto"/>
            <w:right w:val="none" w:sz="0" w:space="0" w:color="auto"/>
          </w:divBdr>
        </w:div>
        <w:div w:id="1254584263">
          <w:marLeft w:val="0"/>
          <w:marRight w:val="0"/>
          <w:marTop w:val="0"/>
          <w:marBottom w:val="0"/>
          <w:divBdr>
            <w:top w:val="none" w:sz="0" w:space="0" w:color="auto"/>
            <w:left w:val="none" w:sz="0" w:space="0" w:color="auto"/>
            <w:bottom w:val="none" w:sz="0" w:space="0" w:color="auto"/>
            <w:right w:val="none" w:sz="0" w:space="0" w:color="auto"/>
          </w:divBdr>
        </w:div>
        <w:div w:id="1298947720">
          <w:marLeft w:val="0"/>
          <w:marRight w:val="0"/>
          <w:marTop w:val="0"/>
          <w:marBottom w:val="0"/>
          <w:divBdr>
            <w:top w:val="none" w:sz="0" w:space="0" w:color="auto"/>
            <w:left w:val="none" w:sz="0" w:space="0" w:color="auto"/>
            <w:bottom w:val="none" w:sz="0" w:space="0" w:color="auto"/>
            <w:right w:val="none" w:sz="0" w:space="0" w:color="auto"/>
          </w:divBdr>
        </w:div>
        <w:div w:id="1306161533">
          <w:marLeft w:val="0"/>
          <w:marRight w:val="0"/>
          <w:marTop w:val="0"/>
          <w:marBottom w:val="0"/>
          <w:divBdr>
            <w:top w:val="none" w:sz="0" w:space="0" w:color="auto"/>
            <w:left w:val="none" w:sz="0" w:space="0" w:color="auto"/>
            <w:bottom w:val="none" w:sz="0" w:space="0" w:color="auto"/>
            <w:right w:val="none" w:sz="0" w:space="0" w:color="auto"/>
          </w:divBdr>
        </w:div>
        <w:div w:id="1367218095">
          <w:marLeft w:val="0"/>
          <w:marRight w:val="0"/>
          <w:marTop w:val="0"/>
          <w:marBottom w:val="0"/>
          <w:divBdr>
            <w:top w:val="none" w:sz="0" w:space="0" w:color="auto"/>
            <w:left w:val="none" w:sz="0" w:space="0" w:color="auto"/>
            <w:bottom w:val="none" w:sz="0" w:space="0" w:color="auto"/>
            <w:right w:val="none" w:sz="0" w:space="0" w:color="auto"/>
          </w:divBdr>
        </w:div>
        <w:div w:id="1745030181">
          <w:marLeft w:val="0"/>
          <w:marRight w:val="0"/>
          <w:marTop w:val="0"/>
          <w:marBottom w:val="0"/>
          <w:divBdr>
            <w:top w:val="none" w:sz="0" w:space="0" w:color="auto"/>
            <w:left w:val="none" w:sz="0" w:space="0" w:color="auto"/>
            <w:bottom w:val="none" w:sz="0" w:space="0" w:color="auto"/>
            <w:right w:val="none" w:sz="0" w:space="0" w:color="auto"/>
          </w:divBdr>
        </w:div>
        <w:div w:id="1748652873">
          <w:marLeft w:val="0"/>
          <w:marRight w:val="0"/>
          <w:marTop w:val="0"/>
          <w:marBottom w:val="0"/>
          <w:divBdr>
            <w:top w:val="none" w:sz="0" w:space="0" w:color="auto"/>
            <w:left w:val="none" w:sz="0" w:space="0" w:color="auto"/>
            <w:bottom w:val="none" w:sz="0" w:space="0" w:color="auto"/>
            <w:right w:val="none" w:sz="0" w:space="0" w:color="auto"/>
          </w:divBdr>
        </w:div>
        <w:div w:id="1812165620">
          <w:marLeft w:val="0"/>
          <w:marRight w:val="0"/>
          <w:marTop w:val="0"/>
          <w:marBottom w:val="0"/>
          <w:divBdr>
            <w:top w:val="none" w:sz="0" w:space="0" w:color="auto"/>
            <w:left w:val="none" w:sz="0" w:space="0" w:color="auto"/>
            <w:bottom w:val="none" w:sz="0" w:space="0" w:color="auto"/>
            <w:right w:val="none" w:sz="0" w:space="0" w:color="auto"/>
          </w:divBdr>
        </w:div>
        <w:div w:id="1825312497">
          <w:marLeft w:val="0"/>
          <w:marRight w:val="0"/>
          <w:marTop w:val="0"/>
          <w:marBottom w:val="0"/>
          <w:divBdr>
            <w:top w:val="none" w:sz="0" w:space="0" w:color="auto"/>
            <w:left w:val="none" w:sz="0" w:space="0" w:color="auto"/>
            <w:bottom w:val="none" w:sz="0" w:space="0" w:color="auto"/>
            <w:right w:val="none" w:sz="0" w:space="0" w:color="auto"/>
          </w:divBdr>
        </w:div>
        <w:div w:id="1900747266">
          <w:marLeft w:val="0"/>
          <w:marRight w:val="0"/>
          <w:marTop w:val="0"/>
          <w:marBottom w:val="0"/>
          <w:divBdr>
            <w:top w:val="none" w:sz="0" w:space="0" w:color="auto"/>
            <w:left w:val="none" w:sz="0" w:space="0" w:color="auto"/>
            <w:bottom w:val="none" w:sz="0" w:space="0" w:color="auto"/>
            <w:right w:val="none" w:sz="0" w:space="0" w:color="auto"/>
          </w:divBdr>
        </w:div>
        <w:div w:id="1988246702">
          <w:marLeft w:val="0"/>
          <w:marRight w:val="0"/>
          <w:marTop w:val="0"/>
          <w:marBottom w:val="0"/>
          <w:divBdr>
            <w:top w:val="none" w:sz="0" w:space="0" w:color="auto"/>
            <w:left w:val="none" w:sz="0" w:space="0" w:color="auto"/>
            <w:bottom w:val="none" w:sz="0" w:space="0" w:color="auto"/>
            <w:right w:val="none" w:sz="0" w:space="0" w:color="auto"/>
          </w:divBdr>
        </w:div>
        <w:div w:id="2004579175">
          <w:marLeft w:val="0"/>
          <w:marRight w:val="0"/>
          <w:marTop w:val="0"/>
          <w:marBottom w:val="0"/>
          <w:divBdr>
            <w:top w:val="none" w:sz="0" w:space="0" w:color="auto"/>
            <w:left w:val="none" w:sz="0" w:space="0" w:color="auto"/>
            <w:bottom w:val="none" w:sz="0" w:space="0" w:color="auto"/>
            <w:right w:val="none" w:sz="0" w:space="0" w:color="auto"/>
          </w:divBdr>
        </w:div>
        <w:div w:id="2031948116">
          <w:marLeft w:val="0"/>
          <w:marRight w:val="0"/>
          <w:marTop w:val="0"/>
          <w:marBottom w:val="0"/>
          <w:divBdr>
            <w:top w:val="none" w:sz="0" w:space="0" w:color="auto"/>
            <w:left w:val="none" w:sz="0" w:space="0" w:color="auto"/>
            <w:bottom w:val="none" w:sz="0" w:space="0" w:color="auto"/>
            <w:right w:val="none" w:sz="0" w:space="0" w:color="auto"/>
          </w:divBdr>
        </w:div>
        <w:div w:id="2036612298">
          <w:marLeft w:val="0"/>
          <w:marRight w:val="0"/>
          <w:marTop w:val="0"/>
          <w:marBottom w:val="0"/>
          <w:divBdr>
            <w:top w:val="none" w:sz="0" w:space="0" w:color="auto"/>
            <w:left w:val="none" w:sz="0" w:space="0" w:color="auto"/>
            <w:bottom w:val="none" w:sz="0" w:space="0" w:color="auto"/>
            <w:right w:val="none" w:sz="0" w:space="0" w:color="auto"/>
          </w:divBdr>
        </w:div>
        <w:div w:id="2088651170">
          <w:marLeft w:val="0"/>
          <w:marRight w:val="0"/>
          <w:marTop w:val="0"/>
          <w:marBottom w:val="0"/>
          <w:divBdr>
            <w:top w:val="none" w:sz="0" w:space="0" w:color="auto"/>
            <w:left w:val="none" w:sz="0" w:space="0" w:color="auto"/>
            <w:bottom w:val="none" w:sz="0" w:space="0" w:color="auto"/>
            <w:right w:val="none" w:sz="0" w:space="0" w:color="auto"/>
          </w:divBdr>
        </w:div>
      </w:divsChild>
    </w:div>
    <w:div w:id="1904875766">
      <w:bodyDiv w:val="1"/>
      <w:marLeft w:val="0"/>
      <w:marRight w:val="0"/>
      <w:marTop w:val="0"/>
      <w:marBottom w:val="0"/>
      <w:divBdr>
        <w:top w:val="none" w:sz="0" w:space="0" w:color="auto"/>
        <w:left w:val="none" w:sz="0" w:space="0" w:color="auto"/>
        <w:bottom w:val="none" w:sz="0" w:space="0" w:color="auto"/>
        <w:right w:val="none" w:sz="0" w:space="0" w:color="auto"/>
      </w:divBdr>
      <w:divsChild>
        <w:div w:id="9189863">
          <w:marLeft w:val="446"/>
          <w:marRight w:val="0"/>
          <w:marTop w:val="20"/>
          <w:marBottom w:val="40"/>
          <w:divBdr>
            <w:top w:val="none" w:sz="0" w:space="0" w:color="auto"/>
            <w:left w:val="none" w:sz="0" w:space="0" w:color="auto"/>
            <w:bottom w:val="none" w:sz="0" w:space="0" w:color="auto"/>
            <w:right w:val="none" w:sz="0" w:space="0" w:color="auto"/>
          </w:divBdr>
        </w:div>
        <w:div w:id="32191558">
          <w:marLeft w:val="1166"/>
          <w:marRight w:val="0"/>
          <w:marTop w:val="20"/>
          <w:marBottom w:val="40"/>
          <w:divBdr>
            <w:top w:val="none" w:sz="0" w:space="0" w:color="auto"/>
            <w:left w:val="none" w:sz="0" w:space="0" w:color="auto"/>
            <w:bottom w:val="none" w:sz="0" w:space="0" w:color="auto"/>
            <w:right w:val="none" w:sz="0" w:space="0" w:color="auto"/>
          </w:divBdr>
        </w:div>
        <w:div w:id="146243347">
          <w:marLeft w:val="1166"/>
          <w:marRight w:val="0"/>
          <w:marTop w:val="20"/>
          <w:marBottom w:val="40"/>
          <w:divBdr>
            <w:top w:val="none" w:sz="0" w:space="0" w:color="auto"/>
            <w:left w:val="none" w:sz="0" w:space="0" w:color="auto"/>
            <w:bottom w:val="none" w:sz="0" w:space="0" w:color="auto"/>
            <w:right w:val="none" w:sz="0" w:space="0" w:color="auto"/>
          </w:divBdr>
        </w:div>
        <w:div w:id="242762556">
          <w:marLeft w:val="1166"/>
          <w:marRight w:val="0"/>
          <w:marTop w:val="20"/>
          <w:marBottom w:val="40"/>
          <w:divBdr>
            <w:top w:val="none" w:sz="0" w:space="0" w:color="auto"/>
            <w:left w:val="none" w:sz="0" w:space="0" w:color="auto"/>
            <w:bottom w:val="none" w:sz="0" w:space="0" w:color="auto"/>
            <w:right w:val="none" w:sz="0" w:space="0" w:color="auto"/>
          </w:divBdr>
        </w:div>
        <w:div w:id="271399281">
          <w:marLeft w:val="1166"/>
          <w:marRight w:val="0"/>
          <w:marTop w:val="20"/>
          <w:marBottom w:val="40"/>
          <w:divBdr>
            <w:top w:val="none" w:sz="0" w:space="0" w:color="auto"/>
            <w:left w:val="none" w:sz="0" w:space="0" w:color="auto"/>
            <w:bottom w:val="none" w:sz="0" w:space="0" w:color="auto"/>
            <w:right w:val="none" w:sz="0" w:space="0" w:color="auto"/>
          </w:divBdr>
        </w:div>
        <w:div w:id="432016131">
          <w:marLeft w:val="1166"/>
          <w:marRight w:val="0"/>
          <w:marTop w:val="20"/>
          <w:marBottom w:val="40"/>
          <w:divBdr>
            <w:top w:val="none" w:sz="0" w:space="0" w:color="auto"/>
            <w:left w:val="none" w:sz="0" w:space="0" w:color="auto"/>
            <w:bottom w:val="none" w:sz="0" w:space="0" w:color="auto"/>
            <w:right w:val="none" w:sz="0" w:space="0" w:color="auto"/>
          </w:divBdr>
        </w:div>
        <w:div w:id="532962804">
          <w:marLeft w:val="1166"/>
          <w:marRight w:val="0"/>
          <w:marTop w:val="20"/>
          <w:marBottom w:val="40"/>
          <w:divBdr>
            <w:top w:val="none" w:sz="0" w:space="0" w:color="auto"/>
            <w:left w:val="none" w:sz="0" w:space="0" w:color="auto"/>
            <w:bottom w:val="none" w:sz="0" w:space="0" w:color="auto"/>
            <w:right w:val="none" w:sz="0" w:space="0" w:color="auto"/>
          </w:divBdr>
        </w:div>
        <w:div w:id="844395067">
          <w:marLeft w:val="1166"/>
          <w:marRight w:val="0"/>
          <w:marTop w:val="20"/>
          <w:marBottom w:val="40"/>
          <w:divBdr>
            <w:top w:val="none" w:sz="0" w:space="0" w:color="auto"/>
            <w:left w:val="none" w:sz="0" w:space="0" w:color="auto"/>
            <w:bottom w:val="none" w:sz="0" w:space="0" w:color="auto"/>
            <w:right w:val="none" w:sz="0" w:space="0" w:color="auto"/>
          </w:divBdr>
        </w:div>
        <w:div w:id="846480324">
          <w:marLeft w:val="1166"/>
          <w:marRight w:val="0"/>
          <w:marTop w:val="20"/>
          <w:marBottom w:val="40"/>
          <w:divBdr>
            <w:top w:val="none" w:sz="0" w:space="0" w:color="auto"/>
            <w:left w:val="none" w:sz="0" w:space="0" w:color="auto"/>
            <w:bottom w:val="none" w:sz="0" w:space="0" w:color="auto"/>
            <w:right w:val="none" w:sz="0" w:space="0" w:color="auto"/>
          </w:divBdr>
        </w:div>
        <w:div w:id="901910341">
          <w:marLeft w:val="446"/>
          <w:marRight w:val="0"/>
          <w:marTop w:val="20"/>
          <w:marBottom w:val="40"/>
          <w:divBdr>
            <w:top w:val="none" w:sz="0" w:space="0" w:color="auto"/>
            <w:left w:val="none" w:sz="0" w:space="0" w:color="auto"/>
            <w:bottom w:val="none" w:sz="0" w:space="0" w:color="auto"/>
            <w:right w:val="none" w:sz="0" w:space="0" w:color="auto"/>
          </w:divBdr>
        </w:div>
        <w:div w:id="932206431">
          <w:marLeft w:val="1166"/>
          <w:marRight w:val="0"/>
          <w:marTop w:val="20"/>
          <w:marBottom w:val="40"/>
          <w:divBdr>
            <w:top w:val="none" w:sz="0" w:space="0" w:color="auto"/>
            <w:left w:val="none" w:sz="0" w:space="0" w:color="auto"/>
            <w:bottom w:val="none" w:sz="0" w:space="0" w:color="auto"/>
            <w:right w:val="none" w:sz="0" w:space="0" w:color="auto"/>
          </w:divBdr>
        </w:div>
        <w:div w:id="1643924094">
          <w:marLeft w:val="446"/>
          <w:marRight w:val="0"/>
          <w:marTop w:val="20"/>
          <w:marBottom w:val="40"/>
          <w:divBdr>
            <w:top w:val="none" w:sz="0" w:space="0" w:color="auto"/>
            <w:left w:val="none" w:sz="0" w:space="0" w:color="auto"/>
            <w:bottom w:val="none" w:sz="0" w:space="0" w:color="auto"/>
            <w:right w:val="none" w:sz="0" w:space="0" w:color="auto"/>
          </w:divBdr>
        </w:div>
        <w:div w:id="1809206846">
          <w:marLeft w:val="1166"/>
          <w:marRight w:val="0"/>
          <w:marTop w:val="20"/>
          <w:marBottom w:val="40"/>
          <w:divBdr>
            <w:top w:val="none" w:sz="0" w:space="0" w:color="auto"/>
            <w:left w:val="none" w:sz="0" w:space="0" w:color="auto"/>
            <w:bottom w:val="none" w:sz="0" w:space="0" w:color="auto"/>
            <w:right w:val="none" w:sz="0" w:space="0" w:color="auto"/>
          </w:divBdr>
        </w:div>
        <w:div w:id="2083018423">
          <w:marLeft w:val="446"/>
          <w:marRight w:val="0"/>
          <w:marTop w:val="20"/>
          <w:marBottom w:val="40"/>
          <w:divBdr>
            <w:top w:val="none" w:sz="0" w:space="0" w:color="auto"/>
            <w:left w:val="none" w:sz="0" w:space="0" w:color="auto"/>
            <w:bottom w:val="none" w:sz="0" w:space="0" w:color="auto"/>
            <w:right w:val="none" w:sz="0" w:space="0" w:color="auto"/>
          </w:divBdr>
        </w:div>
        <w:div w:id="2115050744">
          <w:marLeft w:val="1166"/>
          <w:marRight w:val="0"/>
          <w:marTop w:val="20"/>
          <w:marBottom w:val="40"/>
          <w:divBdr>
            <w:top w:val="none" w:sz="0" w:space="0" w:color="auto"/>
            <w:left w:val="none" w:sz="0" w:space="0" w:color="auto"/>
            <w:bottom w:val="none" w:sz="0" w:space="0" w:color="auto"/>
            <w:right w:val="none" w:sz="0" w:space="0" w:color="auto"/>
          </w:divBdr>
        </w:div>
      </w:divsChild>
    </w:div>
    <w:div w:id="1946157669">
      <w:bodyDiv w:val="1"/>
      <w:marLeft w:val="0"/>
      <w:marRight w:val="0"/>
      <w:marTop w:val="0"/>
      <w:marBottom w:val="0"/>
      <w:divBdr>
        <w:top w:val="none" w:sz="0" w:space="0" w:color="auto"/>
        <w:left w:val="none" w:sz="0" w:space="0" w:color="auto"/>
        <w:bottom w:val="none" w:sz="0" w:space="0" w:color="auto"/>
        <w:right w:val="none" w:sz="0" w:space="0" w:color="auto"/>
      </w:divBdr>
    </w:div>
    <w:div w:id="1960530826">
      <w:bodyDiv w:val="1"/>
      <w:marLeft w:val="0"/>
      <w:marRight w:val="0"/>
      <w:marTop w:val="0"/>
      <w:marBottom w:val="0"/>
      <w:divBdr>
        <w:top w:val="none" w:sz="0" w:space="0" w:color="auto"/>
        <w:left w:val="none" w:sz="0" w:space="0" w:color="auto"/>
        <w:bottom w:val="none" w:sz="0" w:space="0" w:color="auto"/>
        <w:right w:val="none" w:sz="0" w:space="0" w:color="auto"/>
      </w:divBdr>
      <w:divsChild>
        <w:div w:id="700327277">
          <w:marLeft w:val="0"/>
          <w:marRight w:val="0"/>
          <w:marTop w:val="0"/>
          <w:marBottom w:val="0"/>
          <w:divBdr>
            <w:top w:val="none" w:sz="0" w:space="0" w:color="auto"/>
            <w:left w:val="none" w:sz="0" w:space="0" w:color="auto"/>
            <w:bottom w:val="none" w:sz="0" w:space="0" w:color="auto"/>
            <w:right w:val="none" w:sz="0" w:space="0" w:color="auto"/>
          </w:divBdr>
        </w:div>
        <w:div w:id="1163356997">
          <w:marLeft w:val="0"/>
          <w:marRight w:val="0"/>
          <w:marTop w:val="0"/>
          <w:marBottom w:val="0"/>
          <w:divBdr>
            <w:top w:val="none" w:sz="0" w:space="0" w:color="auto"/>
            <w:left w:val="none" w:sz="0" w:space="0" w:color="auto"/>
            <w:bottom w:val="none" w:sz="0" w:space="0" w:color="auto"/>
            <w:right w:val="none" w:sz="0" w:space="0" w:color="auto"/>
          </w:divBdr>
        </w:div>
        <w:div w:id="1492330372">
          <w:marLeft w:val="0"/>
          <w:marRight w:val="0"/>
          <w:marTop w:val="0"/>
          <w:marBottom w:val="0"/>
          <w:divBdr>
            <w:top w:val="none" w:sz="0" w:space="0" w:color="auto"/>
            <w:left w:val="none" w:sz="0" w:space="0" w:color="auto"/>
            <w:bottom w:val="none" w:sz="0" w:space="0" w:color="auto"/>
            <w:right w:val="none" w:sz="0" w:space="0" w:color="auto"/>
          </w:divBdr>
        </w:div>
        <w:div w:id="1807621277">
          <w:marLeft w:val="0"/>
          <w:marRight w:val="0"/>
          <w:marTop w:val="0"/>
          <w:marBottom w:val="0"/>
          <w:divBdr>
            <w:top w:val="none" w:sz="0" w:space="0" w:color="auto"/>
            <w:left w:val="none" w:sz="0" w:space="0" w:color="auto"/>
            <w:bottom w:val="none" w:sz="0" w:space="0" w:color="auto"/>
            <w:right w:val="none" w:sz="0" w:space="0" w:color="auto"/>
          </w:divBdr>
        </w:div>
      </w:divsChild>
    </w:div>
    <w:div w:id="1973900459">
      <w:bodyDiv w:val="1"/>
      <w:marLeft w:val="0"/>
      <w:marRight w:val="0"/>
      <w:marTop w:val="0"/>
      <w:marBottom w:val="0"/>
      <w:divBdr>
        <w:top w:val="none" w:sz="0" w:space="0" w:color="auto"/>
        <w:left w:val="none" w:sz="0" w:space="0" w:color="auto"/>
        <w:bottom w:val="none" w:sz="0" w:space="0" w:color="auto"/>
        <w:right w:val="none" w:sz="0" w:space="0" w:color="auto"/>
      </w:divBdr>
    </w:div>
    <w:div w:id="1984502083">
      <w:bodyDiv w:val="1"/>
      <w:marLeft w:val="0"/>
      <w:marRight w:val="0"/>
      <w:marTop w:val="0"/>
      <w:marBottom w:val="0"/>
      <w:divBdr>
        <w:top w:val="none" w:sz="0" w:space="0" w:color="auto"/>
        <w:left w:val="none" w:sz="0" w:space="0" w:color="auto"/>
        <w:bottom w:val="none" w:sz="0" w:space="0" w:color="auto"/>
        <w:right w:val="none" w:sz="0" w:space="0" w:color="auto"/>
      </w:divBdr>
    </w:div>
    <w:div w:id="1985888351">
      <w:bodyDiv w:val="1"/>
      <w:marLeft w:val="0"/>
      <w:marRight w:val="0"/>
      <w:marTop w:val="0"/>
      <w:marBottom w:val="0"/>
      <w:divBdr>
        <w:top w:val="none" w:sz="0" w:space="0" w:color="auto"/>
        <w:left w:val="none" w:sz="0" w:space="0" w:color="auto"/>
        <w:bottom w:val="none" w:sz="0" w:space="0" w:color="auto"/>
        <w:right w:val="none" w:sz="0" w:space="0" w:color="auto"/>
      </w:divBdr>
    </w:div>
    <w:div w:id="1991909794">
      <w:bodyDiv w:val="1"/>
      <w:marLeft w:val="0"/>
      <w:marRight w:val="0"/>
      <w:marTop w:val="0"/>
      <w:marBottom w:val="0"/>
      <w:divBdr>
        <w:top w:val="none" w:sz="0" w:space="0" w:color="auto"/>
        <w:left w:val="none" w:sz="0" w:space="0" w:color="auto"/>
        <w:bottom w:val="none" w:sz="0" w:space="0" w:color="auto"/>
        <w:right w:val="none" w:sz="0" w:space="0" w:color="auto"/>
      </w:divBdr>
    </w:div>
    <w:div w:id="2004696367">
      <w:bodyDiv w:val="1"/>
      <w:marLeft w:val="0"/>
      <w:marRight w:val="0"/>
      <w:marTop w:val="0"/>
      <w:marBottom w:val="0"/>
      <w:divBdr>
        <w:top w:val="none" w:sz="0" w:space="0" w:color="auto"/>
        <w:left w:val="none" w:sz="0" w:space="0" w:color="auto"/>
        <w:bottom w:val="none" w:sz="0" w:space="0" w:color="auto"/>
        <w:right w:val="none" w:sz="0" w:space="0" w:color="auto"/>
      </w:divBdr>
    </w:div>
    <w:div w:id="2006593872">
      <w:bodyDiv w:val="1"/>
      <w:marLeft w:val="0"/>
      <w:marRight w:val="0"/>
      <w:marTop w:val="0"/>
      <w:marBottom w:val="0"/>
      <w:divBdr>
        <w:top w:val="none" w:sz="0" w:space="0" w:color="auto"/>
        <w:left w:val="none" w:sz="0" w:space="0" w:color="auto"/>
        <w:bottom w:val="none" w:sz="0" w:space="0" w:color="auto"/>
        <w:right w:val="none" w:sz="0" w:space="0" w:color="auto"/>
      </w:divBdr>
    </w:div>
    <w:div w:id="2007052311">
      <w:bodyDiv w:val="1"/>
      <w:marLeft w:val="0"/>
      <w:marRight w:val="0"/>
      <w:marTop w:val="0"/>
      <w:marBottom w:val="0"/>
      <w:divBdr>
        <w:top w:val="none" w:sz="0" w:space="0" w:color="auto"/>
        <w:left w:val="none" w:sz="0" w:space="0" w:color="auto"/>
        <w:bottom w:val="none" w:sz="0" w:space="0" w:color="auto"/>
        <w:right w:val="none" w:sz="0" w:space="0" w:color="auto"/>
      </w:divBdr>
    </w:div>
    <w:div w:id="2009018014">
      <w:bodyDiv w:val="1"/>
      <w:marLeft w:val="0"/>
      <w:marRight w:val="0"/>
      <w:marTop w:val="0"/>
      <w:marBottom w:val="0"/>
      <w:divBdr>
        <w:top w:val="none" w:sz="0" w:space="0" w:color="auto"/>
        <w:left w:val="none" w:sz="0" w:space="0" w:color="auto"/>
        <w:bottom w:val="none" w:sz="0" w:space="0" w:color="auto"/>
        <w:right w:val="none" w:sz="0" w:space="0" w:color="auto"/>
      </w:divBdr>
    </w:div>
    <w:div w:id="2010406246">
      <w:bodyDiv w:val="1"/>
      <w:marLeft w:val="0"/>
      <w:marRight w:val="0"/>
      <w:marTop w:val="0"/>
      <w:marBottom w:val="0"/>
      <w:divBdr>
        <w:top w:val="none" w:sz="0" w:space="0" w:color="auto"/>
        <w:left w:val="none" w:sz="0" w:space="0" w:color="auto"/>
        <w:bottom w:val="none" w:sz="0" w:space="0" w:color="auto"/>
        <w:right w:val="none" w:sz="0" w:space="0" w:color="auto"/>
      </w:divBdr>
    </w:div>
    <w:div w:id="2018925877">
      <w:bodyDiv w:val="1"/>
      <w:marLeft w:val="0"/>
      <w:marRight w:val="0"/>
      <w:marTop w:val="0"/>
      <w:marBottom w:val="0"/>
      <w:divBdr>
        <w:top w:val="none" w:sz="0" w:space="0" w:color="auto"/>
        <w:left w:val="none" w:sz="0" w:space="0" w:color="auto"/>
        <w:bottom w:val="none" w:sz="0" w:space="0" w:color="auto"/>
        <w:right w:val="none" w:sz="0" w:space="0" w:color="auto"/>
      </w:divBdr>
    </w:div>
    <w:div w:id="2032149115">
      <w:bodyDiv w:val="1"/>
      <w:marLeft w:val="0"/>
      <w:marRight w:val="0"/>
      <w:marTop w:val="0"/>
      <w:marBottom w:val="0"/>
      <w:divBdr>
        <w:top w:val="none" w:sz="0" w:space="0" w:color="auto"/>
        <w:left w:val="none" w:sz="0" w:space="0" w:color="auto"/>
        <w:bottom w:val="none" w:sz="0" w:space="0" w:color="auto"/>
        <w:right w:val="none" w:sz="0" w:space="0" w:color="auto"/>
      </w:divBdr>
    </w:div>
    <w:div w:id="2032220636">
      <w:bodyDiv w:val="1"/>
      <w:marLeft w:val="0"/>
      <w:marRight w:val="0"/>
      <w:marTop w:val="0"/>
      <w:marBottom w:val="0"/>
      <w:divBdr>
        <w:top w:val="none" w:sz="0" w:space="0" w:color="auto"/>
        <w:left w:val="none" w:sz="0" w:space="0" w:color="auto"/>
        <w:bottom w:val="none" w:sz="0" w:space="0" w:color="auto"/>
        <w:right w:val="none" w:sz="0" w:space="0" w:color="auto"/>
      </w:divBdr>
    </w:div>
    <w:div w:id="2034648686">
      <w:bodyDiv w:val="1"/>
      <w:marLeft w:val="0"/>
      <w:marRight w:val="0"/>
      <w:marTop w:val="0"/>
      <w:marBottom w:val="0"/>
      <w:divBdr>
        <w:top w:val="none" w:sz="0" w:space="0" w:color="auto"/>
        <w:left w:val="none" w:sz="0" w:space="0" w:color="auto"/>
        <w:bottom w:val="none" w:sz="0" w:space="0" w:color="auto"/>
        <w:right w:val="none" w:sz="0" w:space="0" w:color="auto"/>
      </w:divBdr>
      <w:divsChild>
        <w:div w:id="743838034">
          <w:marLeft w:val="547"/>
          <w:marRight w:val="0"/>
          <w:marTop w:val="0"/>
          <w:marBottom w:val="0"/>
          <w:divBdr>
            <w:top w:val="none" w:sz="0" w:space="0" w:color="auto"/>
            <w:left w:val="none" w:sz="0" w:space="0" w:color="auto"/>
            <w:bottom w:val="none" w:sz="0" w:space="0" w:color="auto"/>
            <w:right w:val="none" w:sz="0" w:space="0" w:color="auto"/>
          </w:divBdr>
        </w:div>
        <w:div w:id="1402216517">
          <w:marLeft w:val="547"/>
          <w:marRight w:val="0"/>
          <w:marTop w:val="0"/>
          <w:marBottom w:val="0"/>
          <w:divBdr>
            <w:top w:val="none" w:sz="0" w:space="0" w:color="auto"/>
            <w:left w:val="none" w:sz="0" w:space="0" w:color="auto"/>
            <w:bottom w:val="none" w:sz="0" w:space="0" w:color="auto"/>
            <w:right w:val="none" w:sz="0" w:space="0" w:color="auto"/>
          </w:divBdr>
        </w:div>
      </w:divsChild>
    </w:div>
    <w:div w:id="2047756612">
      <w:bodyDiv w:val="1"/>
      <w:marLeft w:val="0"/>
      <w:marRight w:val="0"/>
      <w:marTop w:val="0"/>
      <w:marBottom w:val="0"/>
      <w:divBdr>
        <w:top w:val="none" w:sz="0" w:space="0" w:color="auto"/>
        <w:left w:val="none" w:sz="0" w:space="0" w:color="auto"/>
        <w:bottom w:val="none" w:sz="0" w:space="0" w:color="auto"/>
        <w:right w:val="none" w:sz="0" w:space="0" w:color="auto"/>
      </w:divBdr>
    </w:div>
    <w:div w:id="2055538580">
      <w:bodyDiv w:val="1"/>
      <w:marLeft w:val="0"/>
      <w:marRight w:val="0"/>
      <w:marTop w:val="0"/>
      <w:marBottom w:val="0"/>
      <w:divBdr>
        <w:top w:val="none" w:sz="0" w:space="0" w:color="auto"/>
        <w:left w:val="none" w:sz="0" w:space="0" w:color="auto"/>
        <w:bottom w:val="none" w:sz="0" w:space="0" w:color="auto"/>
        <w:right w:val="none" w:sz="0" w:space="0" w:color="auto"/>
      </w:divBdr>
      <w:divsChild>
        <w:div w:id="151407271">
          <w:marLeft w:val="446"/>
          <w:marRight w:val="0"/>
          <w:marTop w:val="20"/>
          <w:marBottom w:val="40"/>
          <w:divBdr>
            <w:top w:val="none" w:sz="0" w:space="0" w:color="auto"/>
            <w:left w:val="none" w:sz="0" w:space="0" w:color="auto"/>
            <w:bottom w:val="none" w:sz="0" w:space="0" w:color="auto"/>
            <w:right w:val="none" w:sz="0" w:space="0" w:color="auto"/>
          </w:divBdr>
        </w:div>
        <w:div w:id="260382086">
          <w:marLeft w:val="1166"/>
          <w:marRight w:val="0"/>
          <w:marTop w:val="20"/>
          <w:marBottom w:val="40"/>
          <w:divBdr>
            <w:top w:val="none" w:sz="0" w:space="0" w:color="auto"/>
            <w:left w:val="none" w:sz="0" w:space="0" w:color="auto"/>
            <w:bottom w:val="none" w:sz="0" w:space="0" w:color="auto"/>
            <w:right w:val="none" w:sz="0" w:space="0" w:color="auto"/>
          </w:divBdr>
        </w:div>
        <w:div w:id="262422438">
          <w:marLeft w:val="446"/>
          <w:marRight w:val="0"/>
          <w:marTop w:val="20"/>
          <w:marBottom w:val="40"/>
          <w:divBdr>
            <w:top w:val="none" w:sz="0" w:space="0" w:color="auto"/>
            <w:left w:val="none" w:sz="0" w:space="0" w:color="auto"/>
            <w:bottom w:val="none" w:sz="0" w:space="0" w:color="auto"/>
            <w:right w:val="none" w:sz="0" w:space="0" w:color="auto"/>
          </w:divBdr>
        </w:div>
        <w:div w:id="335305307">
          <w:marLeft w:val="1166"/>
          <w:marRight w:val="0"/>
          <w:marTop w:val="20"/>
          <w:marBottom w:val="40"/>
          <w:divBdr>
            <w:top w:val="none" w:sz="0" w:space="0" w:color="auto"/>
            <w:left w:val="none" w:sz="0" w:space="0" w:color="auto"/>
            <w:bottom w:val="none" w:sz="0" w:space="0" w:color="auto"/>
            <w:right w:val="none" w:sz="0" w:space="0" w:color="auto"/>
          </w:divBdr>
        </w:div>
        <w:div w:id="355929575">
          <w:marLeft w:val="446"/>
          <w:marRight w:val="0"/>
          <w:marTop w:val="20"/>
          <w:marBottom w:val="40"/>
          <w:divBdr>
            <w:top w:val="none" w:sz="0" w:space="0" w:color="auto"/>
            <w:left w:val="none" w:sz="0" w:space="0" w:color="auto"/>
            <w:bottom w:val="none" w:sz="0" w:space="0" w:color="auto"/>
            <w:right w:val="none" w:sz="0" w:space="0" w:color="auto"/>
          </w:divBdr>
        </w:div>
        <w:div w:id="837767477">
          <w:marLeft w:val="1166"/>
          <w:marRight w:val="0"/>
          <w:marTop w:val="20"/>
          <w:marBottom w:val="40"/>
          <w:divBdr>
            <w:top w:val="none" w:sz="0" w:space="0" w:color="auto"/>
            <w:left w:val="none" w:sz="0" w:space="0" w:color="auto"/>
            <w:bottom w:val="none" w:sz="0" w:space="0" w:color="auto"/>
            <w:right w:val="none" w:sz="0" w:space="0" w:color="auto"/>
          </w:divBdr>
        </w:div>
        <w:div w:id="888305139">
          <w:marLeft w:val="1166"/>
          <w:marRight w:val="0"/>
          <w:marTop w:val="20"/>
          <w:marBottom w:val="40"/>
          <w:divBdr>
            <w:top w:val="none" w:sz="0" w:space="0" w:color="auto"/>
            <w:left w:val="none" w:sz="0" w:space="0" w:color="auto"/>
            <w:bottom w:val="none" w:sz="0" w:space="0" w:color="auto"/>
            <w:right w:val="none" w:sz="0" w:space="0" w:color="auto"/>
          </w:divBdr>
        </w:div>
        <w:div w:id="960768738">
          <w:marLeft w:val="1166"/>
          <w:marRight w:val="0"/>
          <w:marTop w:val="20"/>
          <w:marBottom w:val="40"/>
          <w:divBdr>
            <w:top w:val="none" w:sz="0" w:space="0" w:color="auto"/>
            <w:left w:val="none" w:sz="0" w:space="0" w:color="auto"/>
            <w:bottom w:val="none" w:sz="0" w:space="0" w:color="auto"/>
            <w:right w:val="none" w:sz="0" w:space="0" w:color="auto"/>
          </w:divBdr>
        </w:div>
        <w:div w:id="1046103343">
          <w:marLeft w:val="446"/>
          <w:marRight w:val="0"/>
          <w:marTop w:val="20"/>
          <w:marBottom w:val="40"/>
          <w:divBdr>
            <w:top w:val="none" w:sz="0" w:space="0" w:color="auto"/>
            <w:left w:val="none" w:sz="0" w:space="0" w:color="auto"/>
            <w:bottom w:val="none" w:sz="0" w:space="0" w:color="auto"/>
            <w:right w:val="none" w:sz="0" w:space="0" w:color="auto"/>
          </w:divBdr>
        </w:div>
        <w:div w:id="1535842974">
          <w:marLeft w:val="1166"/>
          <w:marRight w:val="0"/>
          <w:marTop w:val="20"/>
          <w:marBottom w:val="40"/>
          <w:divBdr>
            <w:top w:val="none" w:sz="0" w:space="0" w:color="auto"/>
            <w:left w:val="none" w:sz="0" w:space="0" w:color="auto"/>
            <w:bottom w:val="none" w:sz="0" w:space="0" w:color="auto"/>
            <w:right w:val="none" w:sz="0" w:space="0" w:color="auto"/>
          </w:divBdr>
        </w:div>
        <w:div w:id="1555579882">
          <w:marLeft w:val="1166"/>
          <w:marRight w:val="0"/>
          <w:marTop w:val="20"/>
          <w:marBottom w:val="40"/>
          <w:divBdr>
            <w:top w:val="none" w:sz="0" w:space="0" w:color="auto"/>
            <w:left w:val="none" w:sz="0" w:space="0" w:color="auto"/>
            <w:bottom w:val="none" w:sz="0" w:space="0" w:color="auto"/>
            <w:right w:val="none" w:sz="0" w:space="0" w:color="auto"/>
          </w:divBdr>
        </w:div>
        <w:div w:id="1604727551">
          <w:marLeft w:val="1166"/>
          <w:marRight w:val="0"/>
          <w:marTop w:val="20"/>
          <w:marBottom w:val="40"/>
          <w:divBdr>
            <w:top w:val="none" w:sz="0" w:space="0" w:color="auto"/>
            <w:left w:val="none" w:sz="0" w:space="0" w:color="auto"/>
            <w:bottom w:val="none" w:sz="0" w:space="0" w:color="auto"/>
            <w:right w:val="none" w:sz="0" w:space="0" w:color="auto"/>
          </w:divBdr>
        </w:div>
        <w:div w:id="1870483496">
          <w:marLeft w:val="1166"/>
          <w:marRight w:val="0"/>
          <w:marTop w:val="20"/>
          <w:marBottom w:val="40"/>
          <w:divBdr>
            <w:top w:val="none" w:sz="0" w:space="0" w:color="auto"/>
            <w:left w:val="none" w:sz="0" w:space="0" w:color="auto"/>
            <w:bottom w:val="none" w:sz="0" w:space="0" w:color="auto"/>
            <w:right w:val="none" w:sz="0" w:space="0" w:color="auto"/>
          </w:divBdr>
        </w:div>
        <w:div w:id="1883784692">
          <w:marLeft w:val="1166"/>
          <w:marRight w:val="0"/>
          <w:marTop w:val="20"/>
          <w:marBottom w:val="40"/>
          <w:divBdr>
            <w:top w:val="none" w:sz="0" w:space="0" w:color="auto"/>
            <w:left w:val="none" w:sz="0" w:space="0" w:color="auto"/>
            <w:bottom w:val="none" w:sz="0" w:space="0" w:color="auto"/>
            <w:right w:val="none" w:sz="0" w:space="0" w:color="auto"/>
          </w:divBdr>
        </w:div>
        <w:div w:id="1956671735">
          <w:marLeft w:val="1166"/>
          <w:marRight w:val="0"/>
          <w:marTop w:val="20"/>
          <w:marBottom w:val="40"/>
          <w:divBdr>
            <w:top w:val="none" w:sz="0" w:space="0" w:color="auto"/>
            <w:left w:val="none" w:sz="0" w:space="0" w:color="auto"/>
            <w:bottom w:val="none" w:sz="0" w:space="0" w:color="auto"/>
            <w:right w:val="none" w:sz="0" w:space="0" w:color="auto"/>
          </w:divBdr>
        </w:div>
      </w:divsChild>
    </w:div>
    <w:div w:id="2056349987">
      <w:bodyDiv w:val="1"/>
      <w:marLeft w:val="0"/>
      <w:marRight w:val="0"/>
      <w:marTop w:val="0"/>
      <w:marBottom w:val="0"/>
      <w:divBdr>
        <w:top w:val="none" w:sz="0" w:space="0" w:color="auto"/>
        <w:left w:val="none" w:sz="0" w:space="0" w:color="auto"/>
        <w:bottom w:val="none" w:sz="0" w:space="0" w:color="auto"/>
        <w:right w:val="none" w:sz="0" w:space="0" w:color="auto"/>
      </w:divBdr>
    </w:div>
    <w:div w:id="2072338309">
      <w:bodyDiv w:val="1"/>
      <w:marLeft w:val="0"/>
      <w:marRight w:val="0"/>
      <w:marTop w:val="0"/>
      <w:marBottom w:val="0"/>
      <w:divBdr>
        <w:top w:val="none" w:sz="0" w:space="0" w:color="auto"/>
        <w:left w:val="none" w:sz="0" w:space="0" w:color="auto"/>
        <w:bottom w:val="none" w:sz="0" w:space="0" w:color="auto"/>
        <w:right w:val="none" w:sz="0" w:space="0" w:color="auto"/>
      </w:divBdr>
      <w:divsChild>
        <w:div w:id="82462643">
          <w:marLeft w:val="0"/>
          <w:marRight w:val="0"/>
          <w:marTop w:val="0"/>
          <w:marBottom w:val="0"/>
          <w:divBdr>
            <w:top w:val="none" w:sz="0" w:space="0" w:color="auto"/>
            <w:left w:val="none" w:sz="0" w:space="0" w:color="auto"/>
            <w:bottom w:val="none" w:sz="0" w:space="0" w:color="auto"/>
            <w:right w:val="none" w:sz="0" w:space="0" w:color="auto"/>
          </w:divBdr>
        </w:div>
        <w:div w:id="1225874408">
          <w:marLeft w:val="0"/>
          <w:marRight w:val="0"/>
          <w:marTop w:val="0"/>
          <w:marBottom w:val="0"/>
          <w:divBdr>
            <w:top w:val="none" w:sz="0" w:space="0" w:color="auto"/>
            <w:left w:val="none" w:sz="0" w:space="0" w:color="auto"/>
            <w:bottom w:val="none" w:sz="0" w:space="0" w:color="auto"/>
            <w:right w:val="none" w:sz="0" w:space="0" w:color="auto"/>
          </w:divBdr>
        </w:div>
      </w:divsChild>
    </w:div>
    <w:div w:id="2093576065">
      <w:bodyDiv w:val="1"/>
      <w:marLeft w:val="0"/>
      <w:marRight w:val="0"/>
      <w:marTop w:val="0"/>
      <w:marBottom w:val="0"/>
      <w:divBdr>
        <w:top w:val="none" w:sz="0" w:space="0" w:color="auto"/>
        <w:left w:val="none" w:sz="0" w:space="0" w:color="auto"/>
        <w:bottom w:val="none" w:sz="0" w:space="0" w:color="auto"/>
        <w:right w:val="none" w:sz="0" w:space="0" w:color="auto"/>
      </w:divBdr>
      <w:divsChild>
        <w:div w:id="435639307">
          <w:marLeft w:val="1886"/>
          <w:marRight w:val="0"/>
          <w:marTop w:val="0"/>
          <w:marBottom w:val="0"/>
          <w:divBdr>
            <w:top w:val="none" w:sz="0" w:space="0" w:color="auto"/>
            <w:left w:val="none" w:sz="0" w:space="0" w:color="auto"/>
            <w:bottom w:val="none" w:sz="0" w:space="0" w:color="auto"/>
            <w:right w:val="none" w:sz="0" w:space="0" w:color="auto"/>
          </w:divBdr>
        </w:div>
        <w:div w:id="628896197">
          <w:marLeft w:val="1886"/>
          <w:marRight w:val="0"/>
          <w:marTop w:val="0"/>
          <w:marBottom w:val="0"/>
          <w:divBdr>
            <w:top w:val="none" w:sz="0" w:space="0" w:color="auto"/>
            <w:left w:val="none" w:sz="0" w:space="0" w:color="auto"/>
            <w:bottom w:val="none" w:sz="0" w:space="0" w:color="auto"/>
            <w:right w:val="none" w:sz="0" w:space="0" w:color="auto"/>
          </w:divBdr>
        </w:div>
        <w:div w:id="917326968">
          <w:marLeft w:val="1714"/>
          <w:marRight w:val="0"/>
          <w:marTop w:val="0"/>
          <w:marBottom w:val="0"/>
          <w:divBdr>
            <w:top w:val="none" w:sz="0" w:space="0" w:color="auto"/>
            <w:left w:val="none" w:sz="0" w:space="0" w:color="auto"/>
            <w:bottom w:val="none" w:sz="0" w:space="0" w:color="auto"/>
            <w:right w:val="none" w:sz="0" w:space="0" w:color="auto"/>
          </w:divBdr>
        </w:div>
        <w:div w:id="918714573">
          <w:marLeft w:val="1714"/>
          <w:marRight w:val="0"/>
          <w:marTop w:val="0"/>
          <w:marBottom w:val="0"/>
          <w:divBdr>
            <w:top w:val="none" w:sz="0" w:space="0" w:color="auto"/>
            <w:left w:val="none" w:sz="0" w:space="0" w:color="auto"/>
            <w:bottom w:val="none" w:sz="0" w:space="0" w:color="auto"/>
            <w:right w:val="none" w:sz="0" w:space="0" w:color="auto"/>
          </w:divBdr>
        </w:div>
        <w:div w:id="929385105">
          <w:marLeft w:val="1714"/>
          <w:marRight w:val="0"/>
          <w:marTop w:val="0"/>
          <w:marBottom w:val="0"/>
          <w:divBdr>
            <w:top w:val="none" w:sz="0" w:space="0" w:color="auto"/>
            <w:left w:val="none" w:sz="0" w:space="0" w:color="auto"/>
            <w:bottom w:val="none" w:sz="0" w:space="0" w:color="auto"/>
            <w:right w:val="none" w:sz="0" w:space="0" w:color="auto"/>
          </w:divBdr>
        </w:div>
        <w:div w:id="961768499">
          <w:marLeft w:val="1886"/>
          <w:marRight w:val="0"/>
          <w:marTop w:val="0"/>
          <w:marBottom w:val="0"/>
          <w:divBdr>
            <w:top w:val="none" w:sz="0" w:space="0" w:color="auto"/>
            <w:left w:val="none" w:sz="0" w:space="0" w:color="auto"/>
            <w:bottom w:val="none" w:sz="0" w:space="0" w:color="auto"/>
            <w:right w:val="none" w:sz="0" w:space="0" w:color="auto"/>
          </w:divBdr>
        </w:div>
        <w:div w:id="1110734069">
          <w:marLeft w:val="1714"/>
          <w:marRight w:val="0"/>
          <w:marTop w:val="0"/>
          <w:marBottom w:val="0"/>
          <w:divBdr>
            <w:top w:val="none" w:sz="0" w:space="0" w:color="auto"/>
            <w:left w:val="none" w:sz="0" w:space="0" w:color="auto"/>
            <w:bottom w:val="none" w:sz="0" w:space="0" w:color="auto"/>
            <w:right w:val="none" w:sz="0" w:space="0" w:color="auto"/>
          </w:divBdr>
        </w:div>
        <w:div w:id="1166827677">
          <w:marLeft w:val="1714"/>
          <w:marRight w:val="0"/>
          <w:marTop w:val="0"/>
          <w:marBottom w:val="0"/>
          <w:divBdr>
            <w:top w:val="none" w:sz="0" w:space="0" w:color="auto"/>
            <w:left w:val="none" w:sz="0" w:space="0" w:color="auto"/>
            <w:bottom w:val="none" w:sz="0" w:space="0" w:color="auto"/>
            <w:right w:val="none" w:sz="0" w:space="0" w:color="auto"/>
          </w:divBdr>
        </w:div>
        <w:div w:id="1582444698">
          <w:marLeft w:val="994"/>
          <w:marRight w:val="0"/>
          <w:marTop w:val="0"/>
          <w:marBottom w:val="0"/>
          <w:divBdr>
            <w:top w:val="none" w:sz="0" w:space="0" w:color="auto"/>
            <w:left w:val="none" w:sz="0" w:space="0" w:color="auto"/>
            <w:bottom w:val="none" w:sz="0" w:space="0" w:color="auto"/>
            <w:right w:val="none" w:sz="0" w:space="0" w:color="auto"/>
          </w:divBdr>
        </w:div>
        <w:div w:id="1716544582">
          <w:marLeft w:val="994"/>
          <w:marRight w:val="0"/>
          <w:marTop w:val="0"/>
          <w:marBottom w:val="0"/>
          <w:divBdr>
            <w:top w:val="none" w:sz="0" w:space="0" w:color="auto"/>
            <w:left w:val="none" w:sz="0" w:space="0" w:color="auto"/>
            <w:bottom w:val="none" w:sz="0" w:space="0" w:color="auto"/>
            <w:right w:val="none" w:sz="0" w:space="0" w:color="auto"/>
          </w:divBdr>
        </w:div>
        <w:div w:id="1772776619">
          <w:marLeft w:val="1886"/>
          <w:marRight w:val="0"/>
          <w:marTop w:val="0"/>
          <w:marBottom w:val="0"/>
          <w:divBdr>
            <w:top w:val="none" w:sz="0" w:space="0" w:color="auto"/>
            <w:left w:val="none" w:sz="0" w:space="0" w:color="auto"/>
            <w:bottom w:val="none" w:sz="0" w:space="0" w:color="auto"/>
            <w:right w:val="none" w:sz="0" w:space="0" w:color="auto"/>
          </w:divBdr>
        </w:div>
        <w:div w:id="1788309312">
          <w:marLeft w:val="1886"/>
          <w:marRight w:val="0"/>
          <w:marTop w:val="0"/>
          <w:marBottom w:val="0"/>
          <w:divBdr>
            <w:top w:val="none" w:sz="0" w:space="0" w:color="auto"/>
            <w:left w:val="none" w:sz="0" w:space="0" w:color="auto"/>
            <w:bottom w:val="none" w:sz="0" w:space="0" w:color="auto"/>
            <w:right w:val="none" w:sz="0" w:space="0" w:color="auto"/>
          </w:divBdr>
        </w:div>
      </w:divsChild>
    </w:div>
    <w:div w:id="2104106808">
      <w:bodyDiv w:val="1"/>
      <w:marLeft w:val="0"/>
      <w:marRight w:val="0"/>
      <w:marTop w:val="0"/>
      <w:marBottom w:val="0"/>
      <w:divBdr>
        <w:top w:val="none" w:sz="0" w:space="0" w:color="auto"/>
        <w:left w:val="none" w:sz="0" w:space="0" w:color="auto"/>
        <w:bottom w:val="none" w:sz="0" w:space="0" w:color="auto"/>
        <w:right w:val="none" w:sz="0" w:space="0" w:color="auto"/>
      </w:divBdr>
    </w:div>
    <w:div w:id="2115321401">
      <w:bodyDiv w:val="1"/>
      <w:marLeft w:val="0"/>
      <w:marRight w:val="0"/>
      <w:marTop w:val="0"/>
      <w:marBottom w:val="0"/>
      <w:divBdr>
        <w:top w:val="none" w:sz="0" w:space="0" w:color="auto"/>
        <w:left w:val="none" w:sz="0" w:space="0" w:color="auto"/>
        <w:bottom w:val="none" w:sz="0" w:space="0" w:color="auto"/>
        <w:right w:val="none" w:sz="0" w:space="0" w:color="auto"/>
      </w:divBdr>
    </w:div>
    <w:div w:id="2119451184">
      <w:bodyDiv w:val="1"/>
      <w:marLeft w:val="0"/>
      <w:marRight w:val="0"/>
      <w:marTop w:val="0"/>
      <w:marBottom w:val="0"/>
      <w:divBdr>
        <w:top w:val="none" w:sz="0" w:space="0" w:color="auto"/>
        <w:left w:val="none" w:sz="0" w:space="0" w:color="auto"/>
        <w:bottom w:val="none" w:sz="0" w:space="0" w:color="auto"/>
        <w:right w:val="none" w:sz="0" w:space="0" w:color="auto"/>
      </w:divBdr>
    </w:div>
    <w:div w:id="2119791720">
      <w:bodyDiv w:val="1"/>
      <w:marLeft w:val="0"/>
      <w:marRight w:val="0"/>
      <w:marTop w:val="0"/>
      <w:marBottom w:val="0"/>
      <w:divBdr>
        <w:top w:val="none" w:sz="0" w:space="0" w:color="auto"/>
        <w:left w:val="none" w:sz="0" w:space="0" w:color="auto"/>
        <w:bottom w:val="none" w:sz="0" w:space="0" w:color="auto"/>
        <w:right w:val="none" w:sz="0" w:space="0" w:color="auto"/>
      </w:divBdr>
    </w:div>
    <w:div w:id="2133859062">
      <w:bodyDiv w:val="1"/>
      <w:marLeft w:val="0"/>
      <w:marRight w:val="0"/>
      <w:marTop w:val="0"/>
      <w:marBottom w:val="0"/>
      <w:divBdr>
        <w:top w:val="none" w:sz="0" w:space="0" w:color="auto"/>
        <w:left w:val="none" w:sz="0" w:space="0" w:color="auto"/>
        <w:bottom w:val="none" w:sz="0" w:space="0" w:color="auto"/>
        <w:right w:val="none" w:sz="0" w:space="0" w:color="auto"/>
      </w:divBdr>
    </w:div>
    <w:div w:id="2136100981">
      <w:bodyDiv w:val="1"/>
      <w:marLeft w:val="0"/>
      <w:marRight w:val="0"/>
      <w:marTop w:val="0"/>
      <w:marBottom w:val="0"/>
      <w:divBdr>
        <w:top w:val="none" w:sz="0" w:space="0" w:color="auto"/>
        <w:left w:val="none" w:sz="0" w:space="0" w:color="auto"/>
        <w:bottom w:val="none" w:sz="0" w:space="0" w:color="auto"/>
        <w:right w:val="none" w:sz="0" w:space="0" w:color="auto"/>
      </w:divBdr>
    </w:div>
    <w:div w:id="2137679655">
      <w:bodyDiv w:val="1"/>
      <w:marLeft w:val="0"/>
      <w:marRight w:val="0"/>
      <w:marTop w:val="0"/>
      <w:marBottom w:val="0"/>
      <w:divBdr>
        <w:top w:val="none" w:sz="0" w:space="0" w:color="auto"/>
        <w:left w:val="none" w:sz="0" w:space="0" w:color="auto"/>
        <w:bottom w:val="none" w:sz="0" w:space="0" w:color="auto"/>
        <w:right w:val="none" w:sz="0" w:space="0" w:color="auto"/>
      </w:divBdr>
    </w:div>
    <w:div w:id="2139301190">
      <w:bodyDiv w:val="1"/>
      <w:marLeft w:val="0"/>
      <w:marRight w:val="0"/>
      <w:marTop w:val="0"/>
      <w:marBottom w:val="0"/>
      <w:divBdr>
        <w:top w:val="none" w:sz="0" w:space="0" w:color="auto"/>
        <w:left w:val="none" w:sz="0" w:space="0" w:color="auto"/>
        <w:bottom w:val="none" w:sz="0" w:space="0" w:color="auto"/>
        <w:right w:val="none" w:sz="0" w:space="0" w:color="auto"/>
      </w:divBdr>
    </w:div>
    <w:div w:id="2145005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eader" Target="header3.xml"/><Relationship Id="rId42" Type="http://schemas.openxmlformats.org/officeDocument/2006/relationships/image" Target="media/image10.jpeg"/><Relationship Id="rId47" Type="http://schemas.openxmlformats.org/officeDocument/2006/relationships/image" Target="media/image15.jpeg"/><Relationship Id="rId63" Type="http://schemas.openxmlformats.org/officeDocument/2006/relationships/image" Target="media/image26.png"/><Relationship Id="rId68" Type="http://schemas.openxmlformats.org/officeDocument/2006/relationships/footer" Target="footer10.xml"/><Relationship Id="rId16" Type="http://schemas.openxmlformats.org/officeDocument/2006/relationships/header" Target="header2.xml"/><Relationship Id="rId11" Type="http://schemas.openxmlformats.org/officeDocument/2006/relationships/image" Target="media/image1.jpeg"/><Relationship Id="rId32" Type="http://schemas.openxmlformats.org/officeDocument/2006/relationships/header" Target="header9.xml"/><Relationship Id="rId37" Type="http://schemas.openxmlformats.org/officeDocument/2006/relationships/image" Target="media/image6.jpeg"/><Relationship Id="rId53" Type="http://schemas.openxmlformats.org/officeDocument/2006/relationships/image" Target="media/image17.jpeg"/><Relationship Id="rId58" Type="http://schemas.openxmlformats.org/officeDocument/2006/relationships/image" Target="media/image21.png"/><Relationship Id="rId74" Type="http://schemas.openxmlformats.org/officeDocument/2006/relationships/hyperlink" Target="https://www.education.gov.au/download/4342/national-school-reform-agreement/23688/document/pdf" TargetMode="External"/><Relationship Id="rId79" Type="http://schemas.openxmlformats.org/officeDocument/2006/relationships/hyperlink" Target="https://www.jamesgmartin.center/wp-content/uploads/2009/06/Revenue-to-Cost-Spiral.pdf" TargetMode="External"/><Relationship Id="rId5" Type="http://schemas.openxmlformats.org/officeDocument/2006/relationships/numbering" Target="numbering.xml"/><Relationship Id="rId61" Type="http://schemas.openxmlformats.org/officeDocument/2006/relationships/image" Target="media/image24.png"/><Relationship Id="rId82" Type="http://schemas.openxmlformats.org/officeDocument/2006/relationships/glossaryDocument" Target="glossary/document.xml"/><Relationship Id="rId19" Type="http://schemas.openxmlformats.org/officeDocument/2006/relationships/hyperlink" Target="https://creativecommons.org/licenses/by/4.0/legalcode" TargetMode="Externa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7.xml"/><Relationship Id="rId35" Type="http://schemas.openxmlformats.org/officeDocument/2006/relationships/header" Target="header11.xml"/><Relationship Id="rId43" Type="http://schemas.openxmlformats.org/officeDocument/2006/relationships/image" Target="media/image11.jpeg"/><Relationship Id="rId48" Type="http://schemas.openxmlformats.org/officeDocument/2006/relationships/header" Target="header12.xml"/><Relationship Id="rId56" Type="http://schemas.openxmlformats.org/officeDocument/2006/relationships/image" Target="media/image19.png"/><Relationship Id="rId64" Type="http://schemas.openxmlformats.org/officeDocument/2006/relationships/image" Target="media/image27.png"/><Relationship Id="rId69" Type="http://schemas.openxmlformats.org/officeDocument/2006/relationships/header" Target="header17.xml"/><Relationship Id="rId77" Type="http://schemas.openxmlformats.org/officeDocument/2006/relationships/hyperlink" Target="https://schools.education.gov.au/schoolshub/help/files/Use.of.Recurrent.Funding.guide.pdf" TargetMode="External"/><Relationship Id="rId8" Type="http://schemas.openxmlformats.org/officeDocument/2006/relationships/webSettings" Target="webSettings.xml"/><Relationship Id="rId51" Type="http://schemas.openxmlformats.org/officeDocument/2006/relationships/header" Target="header14.xml"/><Relationship Id="rId72" Type="http://schemas.openxmlformats.org/officeDocument/2006/relationships/image" Target="media/image31.jpeg"/><Relationship Id="rId80" Type="http://schemas.openxmlformats.org/officeDocument/2006/relationships/hyperlink" Target="https://www.pbo.gov.au/sites/default/files/2023-05/Indexation%20%26%20the%20budget%20-%20an%20introduction.pdf"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header" Target="header10.xml"/><Relationship Id="rId38" Type="http://schemas.openxmlformats.org/officeDocument/2006/relationships/image" Target="media/image7.jpeg"/><Relationship Id="rId46" Type="http://schemas.openxmlformats.org/officeDocument/2006/relationships/image" Target="media/image14.jpeg"/><Relationship Id="rId59" Type="http://schemas.openxmlformats.org/officeDocument/2006/relationships/image" Target="media/image22.png"/><Relationship Id="rId67" Type="http://schemas.openxmlformats.org/officeDocument/2006/relationships/header" Target="header16.xml"/><Relationship Id="rId20" Type="http://schemas.openxmlformats.org/officeDocument/2006/relationships/hyperlink" Target="mailto:copyright@education.gov.au" TargetMode="External"/><Relationship Id="rId41" Type="http://schemas.openxmlformats.org/officeDocument/2006/relationships/image" Target="media/image9.jpeg"/><Relationship Id="rId54" Type="http://schemas.openxmlformats.org/officeDocument/2006/relationships/hyperlink" Target="https://www.education.gov.au/recurrent-funding-schools/schooling-resource-standard" TargetMode="External"/><Relationship Id="rId62" Type="http://schemas.openxmlformats.org/officeDocument/2006/relationships/image" Target="media/image25.png"/><Relationship Id="rId70" Type="http://schemas.openxmlformats.org/officeDocument/2006/relationships/image" Target="media/image29.jpeg"/><Relationship Id="rId75" Type="http://schemas.openxmlformats.org/officeDocument/2006/relationships/hyperlink" Target="https://www.education.gov.au/download/14587/how-school-funding-indexed/34014/document/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7.xml"/><Relationship Id="rId36" Type="http://schemas.openxmlformats.org/officeDocument/2006/relationships/image" Target="media/image5.jpeg"/><Relationship Id="rId49" Type="http://schemas.openxmlformats.org/officeDocument/2006/relationships/header" Target="header13.xml"/><Relationship Id="rId57" Type="http://schemas.openxmlformats.org/officeDocument/2006/relationships/image" Target="media/image20.png"/><Relationship Id="Rfbe067fb2ee74ae2"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eader" Target="header8.xml"/><Relationship Id="rId44" Type="http://schemas.openxmlformats.org/officeDocument/2006/relationships/image" Target="media/image12.jpeg"/><Relationship Id="rId52" Type="http://schemas.openxmlformats.org/officeDocument/2006/relationships/image" Target="media/image16.jpeg"/><Relationship Id="rId60" Type="http://schemas.openxmlformats.org/officeDocument/2006/relationships/image" Target="media/image23.png"/><Relationship Id="rId65" Type="http://schemas.openxmlformats.org/officeDocument/2006/relationships/image" Target="media/image28.png"/><Relationship Id="rId73" Type="http://schemas.openxmlformats.org/officeDocument/2006/relationships/hyperlink" Target="https://www.jstor.org/stable/i332475" TargetMode="External"/><Relationship Id="rId78" Type="http://schemas.openxmlformats.org/officeDocument/2006/relationships/hyperlink" Target="https://www.education.gov.au/download/1307/review-funding-schooling-final-report-december-2011/1280/document/pdf"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creativecommons.Org/licenses/by/4.0/" TargetMode="External"/><Relationship Id="rId39" Type="http://schemas.openxmlformats.org/officeDocument/2006/relationships/hyperlink" Target="https://www.acara.edu.au/reporting/national-report-on-schooling-in-australia/school-expenditure" TargetMode="External"/><Relationship Id="rId34" Type="http://schemas.openxmlformats.org/officeDocument/2006/relationships/footer" Target="footer8.xml"/><Relationship Id="rId50" Type="http://schemas.openxmlformats.org/officeDocument/2006/relationships/footer" Target="footer9.xml"/><Relationship Id="rId55" Type="http://schemas.openxmlformats.org/officeDocument/2006/relationships/image" Target="media/image18.png"/><Relationship Id="rId76" Type="http://schemas.openxmlformats.org/officeDocument/2006/relationships/hyperlink" Target="https://www.education.gov.au/recurrent-funding-schools/schooling-resource-standard" TargetMode="External"/><Relationship Id="rId7" Type="http://schemas.openxmlformats.org/officeDocument/2006/relationships/settings" Target="settings.xml"/><Relationship Id="rId71" Type="http://schemas.openxmlformats.org/officeDocument/2006/relationships/image" Target="media/image30.jpeg"/><Relationship Id="rId2" Type="http://schemas.openxmlformats.org/officeDocument/2006/relationships/customXml" Target="../customXml/item2.xml"/><Relationship Id="rId29" Type="http://schemas.openxmlformats.org/officeDocument/2006/relationships/footer" Target="footer6.xml"/><Relationship Id="rId24" Type="http://schemas.openxmlformats.org/officeDocument/2006/relationships/footer" Target="footer5.xml"/><Relationship Id="rId40" Type="http://schemas.openxmlformats.org/officeDocument/2006/relationships/image" Target="media/image8.jpeg"/><Relationship Id="rId45" Type="http://schemas.openxmlformats.org/officeDocument/2006/relationships/image" Target="media/image13.jpeg"/><Relationship Id="rId66" Type="http://schemas.openxmlformats.org/officeDocument/2006/relationships/header" Target="header15.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8" Type="http://schemas.openxmlformats.org/officeDocument/2006/relationships/hyperlink" Target="https://www.pbo.gov.au/sites/default/files/2023-05/Indexation%20%26%20the%20budget%20-%20an%20introduction.pdf" TargetMode="External"/><Relationship Id="rId3" Type="http://schemas.openxmlformats.org/officeDocument/2006/relationships/hyperlink" Target="https://www.pbo.gov.au/sites/default/files/2023-05/Indexation%20%26%20the%20budget%20-%20an%20introduction.pdf" TargetMode="External"/><Relationship Id="rId7" Type="http://schemas.openxmlformats.org/officeDocument/2006/relationships/hyperlink" Target="https://www.education.gov.au/download/14587/how-school-funding-indexed/34014/document/pdf" TargetMode="External"/><Relationship Id="rId12" Type="http://schemas.openxmlformats.org/officeDocument/2006/relationships/hyperlink" Target="https://www.pbo.gov.au/sites/default/files/2023-05/Indexation%20%26%20the%20budget%20-%20an%20introduction.pdf" TargetMode="External"/><Relationship Id="rId2" Type="http://schemas.openxmlformats.org/officeDocument/2006/relationships/hyperlink" Target="https://www.pbo.gov.au/sites/default/files/2023-05/Indexation%20%26%20the%20budget%20-%20an%20introduction.pdf" TargetMode="External"/><Relationship Id="rId1" Type="http://schemas.openxmlformats.org/officeDocument/2006/relationships/hyperlink" Target="https://www.education.gov.au/download/4342/national-school-reform-agreement/23688/document/pdf" TargetMode="External"/><Relationship Id="rId6" Type="http://schemas.openxmlformats.org/officeDocument/2006/relationships/hyperlink" Target="https://www.education.gov.au/recurrent-funding-schools/schooling-resource-standard" TargetMode="External"/><Relationship Id="rId11" Type="http://schemas.openxmlformats.org/officeDocument/2006/relationships/hyperlink" Target="https://schools.education.gov.au/schoolshub/help/files/Use.of.Recurrent.Funding.guide.pdf" TargetMode="External"/><Relationship Id="rId5" Type="http://schemas.openxmlformats.org/officeDocument/2006/relationships/hyperlink" Target="https://www.education.gov.au/download/1307/review-funding-schooling-final-report-december-2011/1280/document/pdf" TargetMode="External"/><Relationship Id="rId10" Type="http://schemas.openxmlformats.org/officeDocument/2006/relationships/hyperlink" Target="https://www.education.gov.au/download/14587/how-school-funding-indexed/34014/document/pdf" TargetMode="External"/><Relationship Id="rId4" Type="http://schemas.openxmlformats.org/officeDocument/2006/relationships/hyperlink" Target="https://www.pbo.gov.au/sites/default/files/2023-05/Indexation%20%26%20the%20budget%20-%20an%20introduction.pdf" TargetMode="External"/><Relationship Id="rId9" Type="http://schemas.openxmlformats.org/officeDocument/2006/relationships/hyperlink" Target="https://www.pbo.gov.au/sites/default/files/2023-05/Indexation%20%26%20the%20budget%20-%20an%20introduction.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B2A14E8E-C091-465A-9588-02D7BA9A2A8F}"/>
      </w:docPartPr>
      <w:docPartBody>
        <w:p w:rsidR="00E43E95" w:rsidRDefault="00E43E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Arial"/>
    <w:charset w:val="00"/>
    <w:family w:val="roman"/>
    <w:pitch w:val="default"/>
  </w:font>
  <w:font w:name="CIDFont+F1">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Normal">
    <w:altName w:val="Calibri"/>
    <w:charset w:val="00"/>
    <w:family w:val="auto"/>
    <w:pitch w:val="default"/>
    <w:sig w:usb0="00000003" w:usb1="00000000" w:usb2="00000000" w:usb3="00000000" w:csb0="00000001" w:csb1="00000000"/>
  </w:font>
  <w:font w:name="HelveticaNeue">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43E95"/>
    <w:rsid w:val="000051DC"/>
    <w:rsid w:val="00046045"/>
    <w:rsid w:val="000539BB"/>
    <w:rsid w:val="00056369"/>
    <w:rsid w:val="00092AB4"/>
    <w:rsid w:val="0009464E"/>
    <w:rsid w:val="000A7852"/>
    <w:rsid w:val="000C05FD"/>
    <w:rsid w:val="000C6C90"/>
    <w:rsid w:val="000F0595"/>
    <w:rsid w:val="000F66A0"/>
    <w:rsid w:val="000F7898"/>
    <w:rsid w:val="00113A38"/>
    <w:rsid w:val="00114680"/>
    <w:rsid w:val="00121C19"/>
    <w:rsid w:val="001308C4"/>
    <w:rsid w:val="0013536A"/>
    <w:rsid w:val="00144E12"/>
    <w:rsid w:val="00145D54"/>
    <w:rsid w:val="00154D39"/>
    <w:rsid w:val="001A2CA5"/>
    <w:rsid w:val="001A41D9"/>
    <w:rsid w:val="001B693C"/>
    <w:rsid w:val="001D00BF"/>
    <w:rsid w:val="001D18B2"/>
    <w:rsid w:val="001D28D1"/>
    <w:rsid w:val="00204572"/>
    <w:rsid w:val="002073EE"/>
    <w:rsid w:val="0021274D"/>
    <w:rsid w:val="002347C5"/>
    <w:rsid w:val="002408ED"/>
    <w:rsid w:val="00253840"/>
    <w:rsid w:val="00255A73"/>
    <w:rsid w:val="00280219"/>
    <w:rsid w:val="00281616"/>
    <w:rsid w:val="002949EE"/>
    <w:rsid w:val="002A07A2"/>
    <w:rsid w:val="002B3D36"/>
    <w:rsid w:val="002B5174"/>
    <w:rsid w:val="002C0ACA"/>
    <w:rsid w:val="002D7AF7"/>
    <w:rsid w:val="002E296C"/>
    <w:rsid w:val="00306DF6"/>
    <w:rsid w:val="0032478A"/>
    <w:rsid w:val="00330167"/>
    <w:rsid w:val="00347835"/>
    <w:rsid w:val="00351030"/>
    <w:rsid w:val="00351072"/>
    <w:rsid w:val="00351D9A"/>
    <w:rsid w:val="00352157"/>
    <w:rsid w:val="00354C33"/>
    <w:rsid w:val="003557DB"/>
    <w:rsid w:val="00367F87"/>
    <w:rsid w:val="00385969"/>
    <w:rsid w:val="003877A8"/>
    <w:rsid w:val="0039203F"/>
    <w:rsid w:val="0039501D"/>
    <w:rsid w:val="003977EC"/>
    <w:rsid w:val="003A7F28"/>
    <w:rsid w:val="003B35C3"/>
    <w:rsid w:val="003B3751"/>
    <w:rsid w:val="003F1243"/>
    <w:rsid w:val="003F602C"/>
    <w:rsid w:val="0041455C"/>
    <w:rsid w:val="00421ADB"/>
    <w:rsid w:val="00421FBE"/>
    <w:rsid w:val="004231D4"/>
    <w:rsid w:val="00423BD9"/>
    <w:rsid w:val="00426021"/>
    <w:rsid w:val="00434724"/>
    <w:rsid w:val="0044021C"/>
    <w:rsid w:val="0045218D"/>
    <w:rsid w:val="0046654E"/>
    <w:rsid w:val="004673CD"/>
    <w:rsid w:val="00491520"/>
    <w:rsid w:val="004964DB"/>
    <w:rsid w:val="004B4885"/>
    <w:rsid w:val="004B4F6D"/>
    <w:rsid w:val="004C0D87"/>
    <w:rsid w:val="004C2398"/>
    <w:rsid w:val="004C2E75"/>
    <w:rsid w:val="004D5F6A"/>
    <w:rsid w:val="004D770D"/>
    <w:rsid w:val="004F26D1"/>
    <w:rsid w:val="004F328B"/>
    <w:rsid w:val="004F40ED"/>
    <w:rsid w:val="004F741A"/>
    <w:rsid w:val="00504A26"/>
    <w:rsid w:val="005071A0"/>
    <w:rsid w:val="00511AC5"/>
    <w:rsid w:val="005247C5"/>
    <w:rsid w:val="00525476"/>
    <w:rsid w:val="005307AA"/>
    <w:rsid w:val="005366F4"/>
    <w:rsid w:val="00543ABB"/>
    <w:rsid w:val="00544CF0"/>
    <w:rsid w:val="005501CA"/>
    <w:rsid w:val="0055032D"/>
    <w:rsid w:val="0055351E"/>
    <w:rsid w:val="00556CBF"/>
    <w:rsid w:val="00561E93"/>
    <w:rsid w:val="00565503"/>
    <w:rsid w:val="00582D65"/>
    <w:rsid w:val="0058552E"/>
    <w:rsid w:val="005B27F5"/>
    <w:rsid w:val="005B6DDC"/>
    <w:rsid w:val="005C18C3"/>
    <w:rsid w:val="005E61B1"/>
    <w:rsid w:val="005E7854"/>
    <w:rsid w:val="005F3F43"/>
    <w:rsid w:val="00615DC1"/>
    <w:rsid w:val="006204D8"/>
    <w:rsid w:val="00626BA3"/>
    <w:rsid w:val="00632BDB"/>
    <w:rsid w:val="006353C3"/>
    <w:rsid w:val="00635E34"/>
    <w:rsid w:val="00660BC3"/>
    <w:rsid w:val="006669D4"/>
    <w:rsid w:val="006855EA"/>
    <w:rsid w:val="0068583E"/>
    <w:rsid w:val="006863EF"/>
    <w:rsid w:val="00690843"/>
    <w:rsid w:val="006B4E6A"/>
    <w:rsid w:val="006B6E63"/>
    <w:rsid w:val="006B7661"/>
    <w:rsid w:val="00703C40"/>
    <w:rsid w:val="007446CC"/>
    <w:rsid w:val="007531A5"/>
    <w:rsid w:val="007575AE"/>
    <w:rsid w:val="00773AB6"/>
    <w:rsid w:val="00784C52"/>
    <w:rsid w:val="00796ECF"/>
    <w:rsid w:val="007A1471"/>
    <w:rsid w:val="007E7FE5"/>
    <w:rsid w:val="008038D6"/>
    <w:rsid w:val="00806DD5"/>
    <w:rsid w:val="00812BD4"/>
    <w:rsid w:val="00813852"/>
    <w:rsid w:val="00847F14"/>
    <w:rsid w:val="00851035"/>
    <w:rsid w:val="00854082"/>
    <w:rsid w:val="0085471C"/>
    <w:rsid w:val="00866718"/>
    <w:rsid w:val="00875910"/>
    <w:rsid w:val="00877F76"/>
    <w:rsid w:val="00890661"/>
    <w:rsid w:val="00895A2D"/>
    <w:rsid w:val="00897211"/>
    <w:rsid w:val="008A01DB"/>
    <w:rsid w:val="008A3B08"/>
    <w:rsid w:val="008B4B12"/>
    <w:rsid w:val="008B5A00"/>
    <w:rsid w:val="008C10F1"/>
    <w:rsid w:val="008C2061"/>
    <w:rsid w:val="008D370A"/>
    <w:rsid w:val="00903955"/>
    <w:rsid w:val="00916B7A"/>
    <w:rsid w:val="00917336"/>
    <w:rsid w:val="00921BC1"/>
    <w:rsid w:val="00946653"/>
    <w:rsid w:val="00963CAC"/>
    <w:rsid w:val="00967C4D"/>
    <w:rsid w:val="00974719"/>
    <w:rsid w:val="00995A1C"/>
    <w:rsid w:val="009B0905"/>
    <w:rsid w:val="009B4660"/>
    <w:rsid w:val="009C07CA"/>
    <w:rsid w:val="009D6BC3"/>
    <w:rsid w:val="009E581B"/>
    <w:rsid w:val="00A14004"/>
    <w:rsid w:val="00A23BF6"/>
    <w:rsid w:val="00A372F6"/>
    <w:rsid w:val="00A4772B"/>
    <w:rsid w:val="00A61155"/>
    <w:rsid w:val="00A629C9"/>
    <w:rsid w:val="00A71B8E"/>
    <w:rsid w:val="00A828CC"/>
    <w:rsid w:val="00AB6DA7"/>
    <w:rsid w:val="00AC3D19"/>
    <w:rsid w:val="00AC7913"/>
    <w:rsid w:val="00AD6C32"/>
    <w:rsid w:val="00AE6900"/>
    <w:rsid w:val="00AF2224"/>
    <w:rsid w:val="00AF40E6"/>
    <w:rsid w:val="00B045FD"/>
    <w:rsid w:val="00B156BD"/>
    <w:rsid w:val="00B212C1"/>
    <w:rsid w:val="00B21314"/>
    <w:rsid w:val="00B2664A"/>
    <w:rsid w:val="00B31A8A"/>
    <w:rsid w:val="00B34049"/>
    <w:rsid w:val="00B350A8"/>
    <w:rsid w:val="00B37077"/>
    <w:rsid w:val="00B459CD"/>
    <w:rsid w:val="00B548B8"/>
    <w:rsid w:val="00B62E13"/>
    <w:rsid w:val="00B64919"/>
    <w:rsid w:val="00B66A1D"/>
    <w:rsid w:val="00B9463F"/>
    <w:rsid w:val="00BA030D"/>
    <w:rsid w:val="00BB4C30"/>
    <w:rsid w:val="00BB58AF"/>
    <w:rsid w:val="00BB5F1D"/>
    <w:rsid w:val="00BB60A0"/>
    <w:rsid w:val="00C03098"/>
    <w:rsid w:val="00C23D3E"/>
    <w:rsid w:val="00C27668"/>
    <w:rsid w:val="00C33A37"/>
    <w:rsid w:val="00C476C9"/>
    <w:rsid w:val="00C91389"/>
    <w:rsid w:val="00C92D86"/>
    <w:rsid w:val="00C94284"/>
    <w:rsid w:val="00CB34CF"/>
    <w:rsid w:val="00D15DCF"/>
    <w:rsid w:val="00D2134C"/>
    <w:rsid w:val="00D245CB"/>
    <w:rsid w:val="00D25F64"/>
    <w:rsid w:val="00D54B1B"/>
    <w:rsid w:val="00D55619"/>
    <w:rsid w:val="00D65435"/>
    <w:rsid w:val="00D83E4D"/>
    <w:rsid w:val="00D85A2B"/>
    <w:rsid w:val="00D92C79"/>
    <w:rsid w:val="00DA386A"/>
    <w:rsid w:val="00DA4733"/>
    <w:rsid w:val="00DB1DAE"/>
    <w:rsid w:val="00DC03F3"/>
    <w:rsid w:val="00DC7AF1"/>
    <w:rsid w:val="00DF4280"/>
    <w:rsid w:val="00DF4E15"/>
    <w:rsid w:val="00E03633"/>
    <w:rsid w:val="00E11FEC"/>
    <w:rsid w:val="00E14D9C"/>
    <w:rsid w:val="00E40A1A"/>
    <w:rsid w:val="00E43E95"/>
    <w:rsid w:val="00E44388"/>
    <w:rsid w:val="00E47D25"/>
    <w:rsid w:val="00E50C12"/>
    <w:rsid w:val="00E54266"/>
    <w:rsid w:val="00E63EB8"/>
    <w:rsid w:val="00E70DC7"/>
    <w:rsid w:val="00E85816"/>
    <w:rsid w:val="00E909C5"/>
    <w:rsid w:val="00E91147"/>
    <w:rsid w:val="00EC23E8"/>
    <w:rsid w:val="00EC3EEA"/>
    <w:rsid w:val="00ED1A78"/>
    <w:rsid w:val="00ED62FF"/>
    <w:rsid w:val="00ED7FE1"/>
    <w:rsid w:val="00EF42BA"/>
    <w:rsid w:val="00EF6D15"/>
    <w:rsid w:val="00F02F68"/>
    <w:rsid w:val="00F03BBB"/>
    <w:rsid w:val="00F04B98"/>
    <w:rsid w:val="00F17293"/>
    <w:rsid w:val="00F3184A"/>
    <w:rsid w:val="00F34A98"/>
    <w:rsid w:val="00F37C72"/>
    <w:rsid w:val="00F40BB0"/>
    <w:rsid w:val="00F55094"/>
    <w:rsid w:val="00F55D27"/>
    <w:rsid w:val="00F618BA"/>
    <w:rsid w:val="00F67F99"/>
    <w:rsid w:val="00F823D5"/>
    <w:rsid w:val="00FA0252"/>
    <w:rsid w:val="00FA4F19"/>
    <w:rsid w:val="00FB7AC5"/>
    <w:rsid w:val="00FC3588"/>
    <w:rsid w:val="00FE161A"/>
    <w:rsid w:val="00FE666A"/>
    <w:rsid w:val="00FF69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SharedWithUsers xmlns="81d707e8-d43a-4c1e-95a7-0bf23a0d792f">
      <UserInfo>
        <DisplayName>BEUTEL,Robyn</DisplayName>
        <AccountId>88</AccountId>
        <AccountType/>
      </UserInfo>
      <UserInfo>
        <DisplayName>MOHR,Jessica</DisplayName>
        <AccountId>100</AccountId>
        <AccountType/>
      </UserInfo>
      <UserInfo>
        <DisplayName>JONES,Susan</DisplayName>
        <AccountId>101</AccountId>
        <AccountType/>
      </UserInfo>
      <UserInfo>
        <DisplayName>WATERFORD,Madeleine</DisplayName>
        <AccountId>102</AccountId>
        <AccountType/>
      </UserInfo>
    </SharedWithUsers>
    <EL2cleared xmlns="6db76dfe-0b17-40d1-a7b1-ac1e5e02a400" xsi:nil="true"/>
    <Status xmlns="6db76dfe-0b17-40d1-a7b1-ac1e5e02a4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0" ma:contentTypeDescription="Create a new document." ma:contentTypeScope="" ma:versionID="996bccf12a13906473f05be864002f38">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7a12632d296f0a2b9336d4cd299cb638" ns2:_="" ns3:_="">
    <xsd:import namespace="6db76dfe-0b17-40d1-a7b1-ac1e5e02a400"/>
    <xsd:import namespace="81d707e8-d43a-4c1e-95a7-0bf23a0d792f"/>
    <xsd:element name="properties">
      <xsd:complexType>
        <xsd:sequence>
          <xsd:element name="documentManagement">
            <xsd:complexType>
              <xsd:all>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EL2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Status" ma:index="3" nillable="true" ma:displayName="Status" ma:format="Dropdown" ma:internalName="Status" ma:readOnly="false">
      <xsd:simpleType>
        <xsd:restriction base="dms:Choice">
          <xsd:enumeration value="Draft for clearance"/>
          <xsd:enumeration value="Cleared"/>
          <xsd:enumeration value="Choice 3"/>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EL2cleared" ma:index="25" nillable="true" ma:displayName="EL2 cleared" ma:format="Dropdown" ma:hidden="true" ma:internalName="EL2cleared" ma:readOnly="false">
      <xsd:simpleType>
        <xsd:restriction base="dms:Choice">
          <xsd:enumeration value="Choice 1"/>
        </xsd:restriction>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fa89cebd-bce8-4763-893f-9cb3f728acf1}" ma:internalName="TaxCatchAll" ma:readOnly="false"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61501-7D75-4AF7-9DA3-CE5FB817C743}">
  <ds:schemaRefs>
    <ds:schemaRef ds:uri="6db76dfe-0b17-40d1-a7b1-ac1e5e02a400"/>
    <ds:schemaRef ds:uri="81d707e8-d43a-4c1e-95a7-0bf23a0d792f"/>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6DDE7D6-E531-493D-B3BF-2B69BE51C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3CDD72-846F-4F4C-8DEA-266051E519E2}">
  <ds:schemaRefs>
    <ds:schemaRef ds:uri="http://schemas.microsoft.com/sharepoint/v3/contenttype/forms"/>
  </ds:schemaRefs>
</ds:datastoreItem>
</file>

<file path=customXml/itemProps4.xml><?xml version="1.0" encoding="utf-8"?>
<ds:datastoreItem xmlns:ds="http://schemas.openxmlformats.org/officeDocument/2006/customXml" ds:itemID="{02498FB6-A72A-407A-999D-BA459B3E5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85</Pages>
  <Words>22485</Words>
  <Characters>128166</Characters>
  <Application>Microsoft Office Word</Application>
  <DocSecurity>0</DocSecurity>
  <Lines>1068</Lines>
  <Paragraphs>300</Paragraphs>
  <ScaleCrop>false</ScaleCrop>
  <Company>Australian Government</Company>
  <LinksUpToDate>false</LinksUpToDate>
  <CharactersWithSpaces>150351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Resourcing Board, Annual review of state and territory compliance with section 22A of the Australian Education Act 2013: 2018 funding year</dc:title>
  <dc:subject/>
  <dc:creator>Author</dc:creator>
  <cp:keywords/>
  <dc:description/>
  <cp:lastModifiedBy>CHALEUNE,Pon</cp:lastModifiedBy>
  <cp:revision>2</cp:revision>
  <cp:lastPrinted>2024-03-18T05:13:00Z</cp:lastPrinted>
  <dcterms:created xsi:type="dcterms:W3CDTF">2024-04-10T04:08:00Z</dcterms:created>
  <dcterms:modified xsi:type="dcterms:W3CDTF">2024-04-10T04:08:00Z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0x0101009BDF0A0F264FFD47A25234CC8EADBA89</vt:lpwstr>
  </property>
  <property fmtid="{D5CDD505-2E9C-101B-9397-08002B2CF9AE}" pid="3" name="MSIP_Label_79d889eb-932f-4752-8739-64d25806ef64_Enabled">
    <vt:lpwstr>true</vt:lpwstr>
  </property>
  <property fmtid="{D5CDD505-2E9C-101B-9397-08002B2CF9AE}" pid="4" name="MSIP_Label_79d889eb-932f-4752-8739-64d25806ef64_SetDate">
    <vt:lpwstr>2022-05-20T06:29:47Z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0fb0fd83-8121-4a15-8656-1a72e1e6abde</vt:lpwstr>
  </property>
  <property fmtid="{D5CDD505-2E9C-101B-9397-08002B2CF9AE}" pid="9" name="MSIP_Label_79d889eb-932f-4752-8739-64d25806ef64_ContentBits">
    <vt:lpwstr>0</vt:lpwstr>
  </property>
  <property fmtid="{D5CDD505-2E9C-101B-9397-08002B2CF9AE}" pid="10" name="MediaServiceImageTags">
    <vt:lpwstr/>
  </property>
</Properties>
</file>