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B0AA7" w14:textId="7BFE5C60" w:rsidR="00270631" w:rsidRDefault="00CF0A3D" w:rsidP="008C1FEE">
      <w:pPr>
        <w:rPr>
          <w:rFonts w:ascii="Arial" w:hAnsi="Arial" w:cs="Arial"/>
          <w:szCs w:val="24"/>
        </w:rPr>
      </w:pPr>
      <w:r>
        <w:rPr>
          <w:noProof/>
          <w:lang w:eastAsia="en-AU"/>
        </w:rPr>
        <w:drawing>
          <wp:inline distT="0" distB="0" distL="0" distR="0" wp14:anchorId="4EFBCA0F" wp14:editId="52C5A259">
            <wp:extent cx="2948305" cy="703580"/>
            <wp:effectExtent l="0" t="0" r="4445" b="1270"/>
            <wp:docPr id="5" name="Graphic 5" descr="Logo for the Australian Government and the logo for the Tuition Protec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Logo for the Australian Government and the logo for the Tuition Protection Servic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948305" cy="703580"/>
                    </a:xfrm>
                    <a:prstGeom prst="rect">
                      <a:avLst/>
                    </a:prstGeom>
                  </pic:spPr>
                </pic:pic>
              </a:graphicData>
            </a:graphic>
          </wp:inline>
        </w:drawing>
      </w:r>
      <w:r>
        <w:rPr>
          <w:noProof/>
          <w:color w:val="002D3F"/>
          <w:lang w:eastAsia="en-AU"/>
        </w:rPr>
        <mc:AlternateContent>
          <mc:Choice Requires="wps">
            <w:drawing>
              <wp:anchor distT="0" distB="0" distL="114300" distR="114300" simplePos="0" relativeHeight="251658240" behindDoc="1" locked="1" layoutInCell="1" allowOverlap="1" wp14:anchorId="4E006EAB" wp14:editId="61C0213E">
                <wp:simplePos x="0" y="0"/>
                <wp:positionH relativeFrom="page">
                  <wp:posOffset>0</wp:posOffset>
                </wp:positionH>
                <wp:positionV relativeFrom="page">
                  <wp:posOffset>1353820</wp:posOffset>
                </wp:positionV>
                <wp:extent cx="7728585" cy="67945"/>
                <wp:effectExtent l="0" t="0" r="5715" b="825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28585" cy="67945"/>
                        </a:xfrm>
                        <a:prstGeom prst="rect">
                          <a:avLst/>
                        </a:prstGeom>
                        <a:solidFill>
                          <a:srgbClr val="48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99978" id="Rectangle 3" o:spid="_x0000_s1026" alt="&quot;&quot;" style="position:absolute;margin-left:0;margin-top:106.6pt;width:608.55pt;height: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" fillcolor="#4897a2" stroked="f" strokeweight="1pt">
                <w10:wrap anchorx="page" anchory="page"/>
                <w10:anchorlock/>
              </v:rect>
            </w:pict>
          </mc:Fallback>
        </mc:AlternateContent>
      </w: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0321CDF" w14:textId="77777777" w:rsidR="00270631" w:rsidRDefault="00270631" w:rsidP="008C1FEE">
      <w:pPr>
        <w:rPr>
          <w:rFonts w:ascii="Arial" w:hAnsi="Arial" w:cs="Arial"/>
          <w:szCs w:val="24"/>
        </w:rPr>
      </w:pPr>
    </w:p>
    <w:p w14:paraId="29FEDD49" w14:textId="0C6DD823" w:rsidR="00060FDD" w:rsidRDefault="009D0ACD" w:rsidP="00060FDD">
      <w:pPr>
        <w:jc w:val="right"/>
        <w:rPr>
          <w:rFonts w:ascii="Arial" w:hAnsi="Arial" w:cs="Arial"/>
          <w:szCs w:val="24"/>
        </w:rPr>
      </w:pPr>
      <w:r>
        <w:rPr>
          <w:rFonts w:ascii="Arial" w:hAnsi="Arial" w:cs="Arial"/>
          <w:szCs w:val="24"/>
        </w:rPr>
        <w:t>8</w:t>
      </w:r>
      <w:r w:rsidR="000A0809">
        <w:rPr>
          <w:rFonts w:ascii="Arial" w:hAnsi="Arial" w:cs="Arial"/>
          <w:szCs w:val="24"/>
        </w:rPr>
        <w:t xml:space="preserve"> </w:t>
      </w:r>
      <w:r w:rsidR="008065BB">
        <w:rPr>
          <w:rFonts w:ascii="Arial" w:hAnsi="Arial" w:cs="Arial"/>
          <w:szCs w:val="24"/>
        </w:rPr>
        <w:t>March</w:t>
      </w:r>
      <w:r w:rsidR="00060FDD">
        <w:rPr>
          <w:rFonts w:ascii="Arial" w:hAnsi="Arial" w:cs="Arial"/>
          <w:szCs w:val="24"/>
        </w:rPr>
        <w:t xml:space="preserve"> 202</w:t>
      </w:r>
      <w:r w:rsidR="008065BB">
        <w:rPr>
          <w:rFonts w:ascii="Arial" w:hAnsi="Arial" w:cs="Arial"/>
          <w:szCs w:val="24"/>
        </w:rPr>
        <w:t>4</w:t>
      </w:r>
    </w:p>
    <w:p w14:paraId="317BF577" w14:textId="77777777" w:rsidR="00060FDD" w:rsidRDefault="00060FDD" w:rsidP="008C1FEE">
      <w:pPr>
        <w:rPr>
          <w:rFonts w:ascii="Arial" w:hAnsi="Arial" w:cs="Arial"/>
          <w:szCs w:val="24"/>
        </w:rPr>
      </w:pPr>
    </w:p>
    <w:p w14:paraId="7B8495B1" w14:textId="77777777" w:rsidR="007310F1" w:rsidRDefault="007310F1" w:rsidP="008C1FEE">
      <w:pPr>
        <w:rPr>
          <w:rFonts w:ascii="Arial" w:hAnsi="Arial" w:cs="Arial"/>
          <w:szCs w:val="24"/>
        </w:rPr>
      </w:pPr>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1B27E143"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proofErr w:type="gramStart"/>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ACT</w:t>
      </w:r>
      <w:proofErr w:type="gramEnd"/>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2601</w:t>
      </w:r>
    </w:p>
    <w:p w14:paraId="2CEA5260" w14:textId="3725568B" w:rsidR="007747EF" w:rsidRDefault="007747EF" w:rsidP="008C1FEE">
      <w:pPr>
        <w:rPr>
          <w:rFonts w:ascii="Arial" w:hAnsi="Arial" w:cs="Arial"/>
          <w:b/>
          <w:bCs/>
          <w:szCs w:val="24"/>
        </w:rPr>
      </w:pPr>
    </w:p>
    <w:p w14:paraId="2E75F241" w14:textId="77777777" w:rsidR="00B741A5" w:rsidRDefault="00B741A5" w:rsidP="008C1FEE">
      <w:pPr>
        <w:rPr>
          <w:rFonts w:ascii="Arial" w:hAnsi="Arial" w:cs="Arial"/>
          <w:szCs w:val="24"/>
        </w:rPr>
      </w:pPr>
    </w:p>
    <w:p w14:paraId="3466EDC4" w14:textId="77777777" w:rsidR="007747EF" w:rsidRDefault="007747EF"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28E33C59" w:rsidR="00901120" w:rsidRPr="00686ADA" w:rsidRDefault="00901120" w:rsidP="00901120">
      <w:pPr>
        <w:rPr>
          <w:rFonts w:ascii="Arial" w:hAnsi="Arial" w:cs="Arial"/>
          <w:b/>
          <w:bCs/>
          <w:szCs w:val="24"/>
        </w:rPr>
      </w:pPr>
      <w:r w:rsidRPr="00686ADA">
        <w:rPr>
          <w:rFonts w:ascii="Arial" w:hAnsi="Arial" w:cs="Arial"/>
          <w:b/>
          <w:bCs/>
          <w:szCs w:val="24"/>
        </w:rPr>
        <w:t>Re: 202</w:t>
      </w:r>
      <w:r w:rsidR="008065BB">
        <w:rPr>
          <w:rFonts w:ascii="Arial" w:hAnsi="Arial" w:cs="Arial"/>
          <w:b/>
          <w:bCs/>
          <w:szCs w:val="24"/>
        </w:rPr>
        <w:t>4</w:t>
      </w:r>
      <w:r w:rsidRPr="00686ADA">
        <w:rPr>
          <w:rFonts w:ascii="Arial" w:hAnsi="Arial" w:cs="Arial"/>
          <w:b/>
          <w:bCs/>
          <w:szCs w:val="24"/>
        </w:rPr>
        <w:t xml:space="preserve"> VSL Tuition Protection Levy </w:t>
      </w:r>
      <w:r w:rsidR="000A0809">
        <w:rPr>
          <w:rFonts w:ascii="Arial" w:hAnsi="Arial" w:cs="Arial"/>
          <w:b/>
          <w:bCs/>
          <w:szCs w:val="24"/>
        </w:rPr>
        <w:t xml:space="preserve">Draft </w:t>
      </w:r>
      <w:r w:rsidRPr="00686ADA">
        <w:rPr>
          <w:rFonts w:ascii="Arial" w:hAnsi="Arial" w:cs="Arial"/>
          <w:b/>
          <w:bCs/>
          <w:szCs w:val="24"/>
        </w:rPr>
        <w:t xml:space="preserve">Advice </w:t>
      </w:r>
    </w:p>
    <w:p w14:paraId="174C453A" w14:textId="77777777" w:rsidR="008C1FEE" w:rsidRPr="004470A6" w:rsidRDefault="008C1FEE" w:rsidP="008C1FEE">
      <w:pPr>
        <w:rPr>
          <w:rFonts w:ascii="Arial" w:hAnsi="Arial" w:cs="Arial"/>
          <w:szCs w:val="24"/>
        </w:rPr>
      </w:pPr>
    </w:p>
    <w:p w14:paraId="64088893" w14:textId="2918775E"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w:t>
      </w:r>
      <w:r w:rsidR="00660503">
        <w:rPr>
          <w:rFonts w:ascii="Arial" w:hAnsi="Arial" w:cs="Arial"/>
          <w:szCs w:val="24"/>
        </w:rPr>
        <w:t xml:space="preserve">draft </w:t>
      </w:r>
      <w:r w:rsidRPr="006542CF">
        <w:rPr>
          <w:rFonts w:ascii="Arial" w:hAnsi="Arial" w:cs="Arial"/>
          <w:szCs w:val="24"/>
        </w:rPr>
        <w:t xml:space="preserve">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isk</w:t>
      </w:r>
      <w:r w:rsidR="0086154E">
        <w:rPr>
          <w:rFonts w:ascii="Arial" w:hAnsi="Arial" w:cs="Arial"/>
          <w:szCs w:val="24"/>
        </w:rPr>
        <w:t>-</w:t>
      </w:r>
      <w:r w:rsidR="00316153">
        <w:rPr>
          <w:rFonts w:ascii="Arial" w:hAnsi="Arial" w:cs="Arial"/>
          <w:szCs w:val="24"/>
        </w:rPr>
        <w:t>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for </w:t>
      </w:r>
      <w:r w:rsidR="001069F7">
        <w:rPr>
          <w:rFonts w:ascii="Arial" w:hAnsi="Arial" w:cs="Arial"/>
          <w:szCs w:val="24"/>
        </w:rPr>
        <w:t>202</w:t>
      </w:r>
      <w:r w:rsidR="00D43204">
        <w:rPr>
          <w:rFonts w:ascii="Arial" w:hAnsi="Arial" w:cs="Arial"/>
          <w:szCs w:val="24"/>
        </w:rPr>
        <w:t>4</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1241C6A7"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D67B43">
        <w:rPr>
          <w:rFonts w:ascii="Arial" w:hAnsi="Arial" w:cs="Arial"/>
          <w:szCs w:val="24"/>
        </w:rPr>
        <w:t>VSL</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w:t>
      </w:r>
      <w:proofErr w:type="gramStart"/>
      <w:r w:rsidRPr="006542CF">
        <w:rPr>
          <w:rFonts w:ascii="Arial" w:hAnsi="Arial" w:cs="Arial"/>
          <w:szCs w:val="24"/>
        </w:rPr>
        <w:t>a number of</w:t>
      </w:r>
      <w:proofErr w:type="gramEnd"/>
      <w:r w:rsidRPr="006542CF">
        <w:rPr>
          <w:rFonts w:ascii="Arial" w:hAnsi="Arial" w:cs="Arial"/>
          <w:szCs w:val="24"/>
        </w:rPr>
        <w:t xml:space="preserve">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316153">
        <w:rPr>
          <w:rFonts w:ascii="Arial" w:hAnsi="Arial" w:cs="Arial"/>
          <w:szCs w:val="24"/>
        </w:rPr>
        <w:t>the Fund</w:t>
      </w:r>
      <w:r w:rsidRPr="006542CF">
        <w:rPr>
          <w:rFonts w:ascii="Arial" w:hAnsi="Arial" w:cs="Arial"/>
          <w:szCs w:val="24"/>
        </w:rPr>
        <w:t xml:space="preserve">). </w:t>
      </w:r>
    </w:p>
    <w:p w14:paraId="1E487AD7" w14:textId="77777777" w:rsidR="008C1FEE" w:rsidRPr="007E5B58" w:rsidRDefault="008C1FEE" w:rsidP="008C1FEE">
      <w:pPr>
        <w:rPr>
          <w:rFonts w:ascii="Arial" w:hAnsi="Arial" w:cs="Arial"/>
          <w:szCs w:val="24"/>
          <w:highlight w:val="yellow"/>
        </w:rPr>
      </w:pPr>
    </w:p>
    <w:p w14:paraId="7627B997" w14:textId="15C8AA1E" w:rsidR="008C1FEE" w:rsidRPr="00731368" w:rsidRDefault="006542CF" w:rsidP="001D060B">
      <w:pPr>
        <w:spacing w:after="80"/>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6D07BDEE" w14:textId="77777777" w:rsidR="00731368" w:rsidRPr="00884B79" w:rsidRDefault="00731368" w:rsidP="001D060B">
      <w:pPr>
        <w:numPr>
          <w:ilvl w:val="0"/>
          <w:numId w:val="1"/>
        </w:numPr>
        <w:spacing w:after="80"/>
        <w:ind w:left="714" w:hanging="357"/>
        <w:rPr>
          <w:rFonts w:ascii="Arial" w:hAnsi="Arial" w:cs="Arial"/>
          <w:szCs w:val="24"/>
        </w:rPr>
      </w:pPr>
      <w:r w:rsidRPr="00884B79">
        <w:rPr>
          <w:rFonts w:ascii="Arial" w:hAnsi="Arial" w:cs="Arial"/>
          <w:szCs w:val="24"/>
        </w:rPr>
        <w:t xml:space="preserve">Advice provided to the TPS Director should reflect the overall risk environment and ensure that revenue matches what is needed to sustain the relevant fund, while also being sustainable for the </w:t>
      </w:r>
      <w:proofErr w:type="gramStart"/>
      <w:r w:rsidRPr="00884B79">
        <w:rPr>
          <w:rFonts w:ascii="Arial" w:hAnsi="Arial" w:cs="Arial"/>
          <w:szCs w:val="24"/>
        </w:rPr>
        <w:t>industry;</w:t>
      </w:r>
      <w:proofErr w:type="gramEnd"/>
      <w:r w:rsidRPr="00884B79">
        <w:rPr>
          <w:rFonts w:ascii="Arial" w:hAnsi="Arial" w:cs="Arial"/>
          <w:szCs w:val="24"/>
        </w:rPr>
        <w:t xml:space="preserve"> </w:t>
      </w:r>
    </w:p>
    <w:p w14:paraId="5D0E38D6"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1D060B">
      <w:pPr>
        <w:numPr>
          <w:ilvl w:val="0"/>
          <w:numId w:val="1"/>
        </w:numPr>
        <w:spacing w:after="8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0" w:name="_Hlk97652373"/>
      <w:bookmarkStart w:id="1" w:name="_Hlk97651047"/>
    </w:p>
    <w:bookmarkEnd w:id="0"/>
    <w:bookmarkEnd w:id="1"/>
    <w:p w14:paraId="254AF90A" w14:textId="77777777" w:rsidR="0058527B" w:rsidRDefault="0058527B" w:rsidP="0058527B">
      <w:pPr>
        <w:rPr>
          <w:rFonts w:ascii="Arial" w:hAnsi="Arial" w:cs="Arial"/>
          <w:szCs w:val="24"/>
        </w:rPr>
      </w:pPr>
    </w:p>
    <w:p w14:paraId="0C083151" w14:textId="77777777" w:rsidR="00D43204" w:rsidRDefault="00D43204" w:rsidP="001D060B">
      <w:pPr>
        <w:spacing w:after="80"/>
        <w:rPr>
          <w:rFonts w:ascii="Arial" w:hAnsi="Arial" w:cs="Arial"/>
          <w:szCs w:val="24"/>
        </w:rPr>
      </w:pPr>
    </w:p>
    <w:p w14:paraId="5128368A" w14:textId="77777777" w:rsidR="0031778C" w:rsidRDefault="0031778C" w:rsidP="001D060B">
      <w:pPr>
        <w:spacing w:after="80"/>
        <w:rPr>
          <w:rFonts w:ascii="Arial" w:hAnsi="Arial" w:cs="Arial"/>
          <w:szCs w:val="24"/>
        </w:rPr>
      </w:pPr>
    </w:p>
    <w:p w14:paraId="26B766A5" w14:textId="77777777" w:rsidR="0031778C" w:rsidRDefault="0031778C" w:rsidP="001D060B">
      <w:pPr>
        <w:spacing w:after="80"/>
        <w:rPr>
          <w:rFonts w:ascii="Arial" w:hAnsi="Arial" w:cs="Arial"/>
          <w:szCs w:val="24"/>
        </w:rPr>
      </w:pPr>
    </w:p>
    <w:p w14:paraId="4DC6AF68" w14:textId="0EC13FC0" w:rsidR="006128F1" w:rsidRPr="00C125F7" w:rsidRDefault="006128F1" w:rsidP="001D060B">
      <w:pPr>
        <w:spacing w:after="80"/>
        <w:rPr>
          <w:rFonts w:ascii="Arial" w:hAnsi="Arial" w:cs="Arial"/>
          <w:szCs w:val="24"/>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w:t>
      </w:r>
      <w:r w:rsidR="00D43204">
        <w:rPr>
          <w:rFonts w:ascii="Arial" w:hAnsi="Arial" w:cs="Arial"/>
          <w:szCs w:val="24"/>
        </w:rPr>
        <w:t>on</w:t>
      </w:r>
      <w:r w:rsidRPr="00C125F7">
        <w:rPr>
          <w:rFonts w:ascii="Arial" w:hAnsi="Arial" w:cs="Arial"/>
          <w:szCs w:val="24"/>
        </w:rPr>
        <w:t xml:space="preserve"> the risk factors of:</w:t>
      </w:r>
    </w:p>
    <w:p w14:paraId="5A440FA8"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lastRenderedPageBreak/>
        <w:t xml:space="preserve">financial </w:t>
      </w:r>
      <w:proofErr w:type="gramStart"/>
      <w:r w:rsidRPr="00316153">
        <w:rPr>
          <w:rFonts w:ascii="Arial" w:hAnsi="Arial" w:cs="Arial"/>
        </w:rPr>
        <w:t>strength;</w:t>
      </w:r>
      <w:proofErr w:type="gramEnd"/>
    </w:p>
    <w:p w14:paraId="001988EF" w14:textId="77777777" w:rsidR="006128F1" w:rsidRPr="00316153" w:rsidRDefault="006128F1" w:rsidP="001D060B">
      <w:pPr>
        <w:pStyle w:val="ListParagraph"/>
        <w:numPr>
          <w:ilvl w:val="0"/>
          <w:numId w:val="9"/>
        </w:numPr>
        <w:spacing w:after="80"/>
        <w:rPr>
          <w:rFonts w:ascii="Arial" w:hAnsi="Arial" w:cs="Arial"/>
        </w:rPr>
      </w:pPr>
      <w:r w:rsidRPr="00316153">
        <w:rPr>
          <w:rFonts w:ascii="Arial" w:hAnsi="Arial" w:cs="Arial"/>
        </w:rPr>
        <w:t xml:space="preserve">completion rate; and </w:t>
      </w:r>
    </w:p>
    <w:p w14:paraId="6EA6F7B0" w14:textId="365D3C2B" w:rsidR="006128F1" w:rsidRDefault="00316153" w:rsidP="00316153">
      <w:pPr>
        <w:pStyle w:val="ListParagraph"/>
        <w:numPr>
          <w:ilvl w:val="0"/>
          <w:numId w:val="9"/>
        </w:numPr>
        <w:spacing w:before="40"/>
        <w:rPr>
          <w:rFonts w:ascii="Arial" w:hAnsi="Arial" w:cs="Arial"/>
        </w:rPr>
      </w:pPr>
      <w:r>
        <w:rPr>
          <w:rFonts w:ascii="Arial" w:hAnsi="Arial" w:cs="Arial"/>
        </w:rPr>
        <w:t>non-</w:t>
      </w:r>
      <w:r w:rsidR="006128F1" w:rsidRPr="00316153">
        <w:rPr>
          <w:rFonts w:ascii="Arial" w:hAnsi="Arial" w:cs="Arial"/>
        </w:rPr>
        <w:t>compliance</w:t>
      </w:r>
      <w:r w:rsidR="000A0809" w:rsidRPr="00316153">
        <w:rPr>
          <w:rFonts w:ascii="Arial" w:hAnsi="Arial" w:cs="Arial"/>
        </w:rPr>
        <w:t xml:space="preserve"> </w:t>
      </w:r>
      <w:r w:rsidR="000039A4" w:rsidRPr="00316153">
        <w:rPr>
          <w:rFonts w:ascii="Arial" w:hAnsi="Arial" w:cs="Arial"/>
        </w:rPr>
        <w:t xml:space="preserve">history </w:t>
      </w:r>
      <w:r w:rsidR="000A0809" w:rsidRPr="00316153">
        <w:rPr>
          <w:rFonts w:ascii="Arial" w:hAnsi="Arial" w:cs="Arial"/>
        </w:rPr>
        <w:t>and registration renewal.</w:t>
      </w:r>
    </w:p>
    <w:p w14:paraId="73A1CC19" w14:textId="77777777" w:rsidR="00A1182F" w:rsidRDefault="00A1182F" w:rsidP="00A1182F">
      <w:pPr>
        <w:spacing w:before="40"/>
        <w:rPr>
          <w:rFonts w:ascii="Arial" w:hAnsi="Arial" w:cs="Arial"/>
        </w:rPr>
      </w:pPr>
    </w:p>
    <w:p w14:paraId="73D7F201" w14:textId="31006756" w:rsidR="00A1182F" w:rsidRPr="00771AE6" w:rsidRDefault="00771AE6" w:rsidP="00B10BD6">
      <w:pPr>
        <w:rPr>
          <w:rFonts w:ascii="Arial" w:hAnsi="Arial" w:cs="Arial"/>
          <w:szCs w:val="24"/>
        </w:rPr>
      </w:pPr>
      <w:r w:rsidRPr="009F6D5C">
        <w:rPr>
          <w:rFonts w:ascii="Arial" w:hAnsi="Arial" w:cs="Arial"/>
          <w:szCs w:val="24"/>
        </w:rPr>
        <w:t>The AGA has reviewed financial strength risk factor given the issue of the use of ‘net profit’ in the levy calculation raised by some not-for-profit leviable providers and presented alternate modelling for calculating financial risk scores. The recommendation from AGA is to remove the net profit ratio financial score to simplify the calculation and put less weight on “profit” when measuring the financial strength risk factor. Financial strength will be measured by the remaining two scores, namely return on assets and debt to equity</w:t>
      </w:r>
      <w:r>
        <w:rPr>
          <w:rFonts w:ascii="Arial" w:hAnsi="Arial" w:cs="Arial"/>
          <w:szCs w:val="24"/>
        </w:rPr>
        <w:t>.</w:t>
      </w:r>
    </w:p>
    <w:p w14:paraId="5E80BC92" w14:textId="77777777" w:rsidR="002C1AD5" w:rsidRDefault="002C1AD5" w:rsidP="00B10BD6">
      <w:pPr>
        <w:spacing w:before="40"/>
        <w:rPr>
          <w:rFonts w:ascii="Arial" w:hAnsi="Arial" w:cs="Arial"/>
        </w:rPr>
      </w:pPr>
    </w:p>
    <w:p w14:paraId="167903FE" w14:textId="10C64667" w:rsidR="006128F1" w:rsidRDefault="002C1AD5" w:rsidP="00B10BD6">
      <w:pPr>
        <w:rPr>
          <w:rFonts w:ascii="Arial" w:hAnsi="Arial" w:cs="Arial"/>
          <w:szCs w:val="24"/>
        </w:rPr>
      </w:pPr>
      <w:r w:rsidRPr="002C1AD5">
        <w:rPr>
          <w:rFonts w:ascii="Arial" w:hAnsi="Arial" w:cs="Arial"/>
          <w:szCs w:val="24"/>
        </w:rPr>
        <w:t xml:space="preserve">The </w:t>
      </w:r>
      <w:r>
        <w:rPr>
          <w:rFonts w:ascii="Arial" w:hAnsi="Arial" w:cs="Arial"/>
          <w:szCs w:val="24"/>
        </w:rPr>
        <w:t xml:space="preserve">board agrees with the </w:t>
      </w:r>
      <w:r w:rsidRPr="002C1AD5">
        <w:rPr>
          <w:rFonts w:ascii="Arial" w:hAnsi="Arial" w:cs="Arial"/>
          <w:szCs w:val="24"/>
        </w:rPr>
        <w:t>AGA</w:t>
      </w:r>
      <w:r w:rsidR="003E3A0F">
        <w:rPr>
          <w:rFonts w:ascii="Arial" w:hAnsi="Arial" w:cs="Arial"/>
          <w:szCs w:val="24"/>
        </w:rPr>
        <w:t>’s</w:t>
      </w:r>
      <w:r w:rsidRPr="002C1AD5">
        <w:rPr>
          <w:rFonts w:ascii="Arial" w:hAnsi="Arial" w:cs="Arial"/>
          <w:szCs w:val="24"/>
        </w:rPr>
        <w:t xml:space="preserve"> </w:t>
      </w:r>
      <w:r w:rsidR="00B10DD1">
        <w:rPr>
          <w:rFonts w:ascii="Arial" w:hAnsi="Arial" w:cs="Arial"/>
          <w:szCs w:val="24"/>
        </w:rPr>
        <w:t>recommendation</w:t>
      </w:r>
      <w:r w:rsidRPr="002C1AD5">
        <w:rPr>
          <w:rFonts w:ascii="Arial" w:hAnsi="Arial" w:cs="Arial"/>
          <w:szCs w:val="24"/>
        </w:rPr>
        <w:t xml:space="preserve"> that the previous modelling of a 2% VSL provider failure rate be changed to 1.5%, given the </w:t>
      </w:r>
      <w:r w:rsidR="0010225D">
        <w:rPr>
          <w:rFonts w:ascii="Arial" w:hAnsi="Arial" w:cs="Arial"/>
          <w:szCs w:val="24"/>
        </w:rPr>
        <w:t xml:space="preserve">low number of VSL provider closures </w:t>
      </w:r>
      <w:r w:rsidR="007D2B76">
        <w:rPr>
          <w:rFonts w:ascii="Arial" w:hAnsi="Arial" w:cs="Arial"/>
          <w:szCs w:val="24"/>
        </w:rPr>
        <w:t>which</w:t>
      </w:r>
      <w:r w:rsidRPr="002C1AD5">
        <w:rPr>
          <w:rFonts w:ascii="Arial" w:hAnsi="Arial" w:cs="Arial"/>
          <w:szCs w:val="24"/>
        </w:rPr>
        <w:t xml:space="preserve"> will reduce the base risk levy from 0.17% to </w:t>
      </w:r>
      <w:r w:rsidRPr="00AC248C">
        <w:rPr>
          <w:rFonts w:ascii="Arial" w:hAnsi="Arial" w:cs="Arial"/>
          <w:szCs w:val="24"/>
        </w:rPr>
        <w:t>0.13%.</w:t>
      </w:r>
    </w:p>
    <w:p w14:paraId="4D88F075" w14:textId="77777777" w:rsidR="00AC248C" w:rsidRPr="002C1AD5" w:rsidRDefault="00AC248C" w:rsidP="00AC248C">
      <w:pPr>
        <w:rPr>
          <w:rFonts w:ascii="Arial" w:hAnsi="Arial" w:cs="Arial"/>
          <w:szCs w:val="24"/>
        </w:rPr>
      </w:pPr>
    </w:p>
    <w:p w14:paraId="3B9ADB80" w14:textId="48A9EFE0" w:rsidR="006128F1" w:rsidRPr="00F62532" w:rsidRDefault="006128F1" w:rsidP="00246BE0">
      <w:pPr>
        <w:contextualSpacing/>
        <w:rPr>
          <w:rFonts w:ascii="Arial" w:hAnsi="Arial" w:cs="Arial"/>
          <w:szCs w:val="24"/>
        </w:rPr>
      </w:pPr>
      <w:r w:rsidRPr="00C125F7">
        <w:rPr>
          <w:rFonts w:ascii="Arial" w:hAnsi="Arial" w:cs="Arial"/>
          <w:szCs w:val="24"/>
        </w:rPr>
        <w:t xml:space="preserve">The Board is satisfied with the correlation of those factors with the risk of provider </w:t>
      </w:r>
      <w:r w:rsidR="00BE78A9">
        <w:rPr>
          <w:rFonts w:ascii="Arial" w:hAnsi="Arial" w:cs="Arial"/>
          <w:szCs w:val="24"/>
        </w:rPr>
        <w:t>default</w:t>
      </w:r>
      <w:r w:rsidRPr="00C125F7">
        <w:rPr>
          <w:rFonts w:ascii="Arial" w:hAnsi="Arial" w:cs="Arial"/>
          <w:szCs w:val="24"/>
        </w:rPr>
        <w:t xml:space="preserv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t>
      </w:r>
      <w:r w:rsidR="001D060B">
        <w:rPr>
          <w:rFonts w:ascii="Arial" w:hAnsi="Arial" w:cs="Arial"/>
          <w:szCs w:val="24"/>
        </w:rPr>
        <w:t>values</w:t>
      </w:r>
      <w:r w:rsidRPr="00F62532">
        <w:rPr>
          <w:rFonts w:ascii="Arial" w:hAnsi="Arial" w:cs="Arial"/>
          <w:szCs w:val="24"/>
        </w:rPr>
        <w:t xml:space="preserve"> for the risk factors, which are outlined at the end of this letter for the purposes of section 13(1)(c) of the</w:t>
      </w:r>
      <w:r w:rsidR="00316153">
        <w:rPr>
          <w:rFonts w:ascii="Arial" w:hAnsi="Arial" w:cs="Arial"/>
          <w:szCs w:val="24"/>
        </w:rPr>
        <w:t xml:space="preserve"> </w:t>
      </w:r>
      <w:r w:rsidR="00316153" w:rsidRPr="00316153">
        <w:rPr>
          <w:rFonts w:ascii="Arial" w:hAnsi="Arial" w:cs="Arial"/>
          <w:i/>
          <w:iCs/>
          <w:szCs w:val="24"/>
        </w:rPr>
        <w:t>VET Student Loans (VSL Tuition Protection Levy) Act 2020</w:t>
      </w:r>
      <w:r w:rsidRPr="00F62532">
        <w:rPr>
          <w:rFonts w:ascii="Arial" w:hAnsi="Arial" w:cs="Arial"/>
          <w:szCs w:val="24"/>
        </w:rPr>
        <w:t xml:space="preserve"> </w:t>
      </w:r>
      <w:r w:rsidR="00316153">
        <w:rPr>
          <w:rFonts w:ascii="Arial" w:hAnsi="Arial" w:cs="Arial"/>
          <w:szCs w:val="24"/>
        </w:rPr>
        <w:t>(</w:t>
      </w:r>
      <w:r w:rsidRPr="00290E88">
        <w:rPr>
          <w:rFonts w:ascii="Arial" w:hAnsi="Arial" w:cs="Arial"/>
          <w:iCs/>
          <w:szCs w:val="24"/>
        </w:rPr>
        <w:t>VSL Levy Act</w:t>
      </w:r>
      <w:r w:rsidR="00316153">
        <w:rPr>
          <w:rFonts w:ascii="Arial" w:hAnsi="Arial" w:cs="Arial"/>
          <w:iCs/>
          <w:szCs w:val="24"/>
        </w:rPr>
        <w:t>)</w:t>
      </w:r>
      <w:r w:rsidRPr="00F62532">
        <w:rPr>
          <w:rFonts w:ascii="Arial" w:hAnsi="Arial" w:cs="Arial"/>
          <w:szCs w:val="24"/>
        </w:rPr>
        <w:t>.</w:t>
      </w:r>
    </w:p>
    <w:p w14:paraId="3EE38821" w14:textId="77777777" w:rsidR="006128F1" w:rsidRPr="00C125F7" w:rsidRDefault="006128F1" w:rsidP="00246BE0">
      <w:pPr>
        <w:contextualSpacing/>
        <w:rPr>
          <w:rFonts w:ascii="Arial" w:hAnsi="Arial" w:cs="Arial"/>
          <w:szCs w:val="24"/>
        </w:rPr>
      </w:pPr>
    </w:p>
    <w:p w14:paraId="39EA3088" w14:textId="4D312DDD" w:rsidR="006128F1" w:rsidRDefault="006128F1" w:rsidP="00246BE0">
      <w:pPr>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isk</w:t>
      </w:r>
      <w:r w:rsidR="0086154E">
        <w:rPr>
          <w:rFonts w:ascii="Arial" w:hAnsi="Arial" w:cs="Arial"/>
          <w:szCs w:val="24"/>
        </w:rPr>
        <w:t>-</w:t>
      </w:r>
      <w:r w:rsidR="00316153">
        <w:rPr>
          <w:rFonts w:ascii="Arial" w:hAnsi="Arial" w:cs="Arial"/>
          <w:szCs w:val="24"/>
        </w:rPr>
        <w:t>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includes a per student charge and a percentage rate multipl</w:t>
      </w:r>
      <w:r w:rsidR="001D060B">
        <w:rPr>
          <w:rFonts w:ascii="Arial" w:hAnsi="Arial" w:cs="Arial"/>
          <w:szCs w:val="24"/>
        </w:rPr>
        <w:t>e</w:t>
      </w:r>
      <w:r w:rsidRPr="00C125F7">
        <w:rPr>
          <w:rFonts w:ascii="Arial" w:hAnsi="Arial" w:cs="Arial"/>
          <w:szCs w:val="24"/>
        </w:rPr>
        <w:t xml:space="preserve"> of the loan amounts paid to the provider</w:t>
      </w:r>
      <w:r>
        <w:rPr>
          <w:rFonts w:ascii="Arial" w:hAnsi="Arial" w:cs="Arial"/>
          <w:szCs w:val="24"/>
        </w:rPr>
        <w:t>.</w:t>
      </w:r>
    </w:p>
    <w:p w14:paraId="0C6D9478" w14:textId="77777777" w:rsidR="0047070E" w:rsidRDefault="0047070E" w:rsidP="000E5F78">
      <w:pPr>
        <w:rPr>
          <w:rFonts w:ascii="Arial" w:hAnsi="Arial" w:cs="Arial"/>
          <w:szCs w:val="24"/>
        </w:rPr>
      </w:pPr>
    </w:p>
    <w:p w14:paraId="0753D24A" w14:textId="25C67A70" w:rsidR="004567A1" w:rsidRPr="00C125F7" w:rsidRDefault="006128F1" w:rsidP="00141094">
      <w:pPr>
        <w:spacing w:after="80"/>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49C0542C" w14:textId="75CC304A" w:rsidR="004567A1" w:rsidRPr="00C125F7" w:rsidRDefault="004567A1" w:rsidP="00B10BD6">
      <w:pPr>
        <w:pStyle w:val="ListParagraph"/>
        <w:numPr>
          <w:ilvl w:val="0"/>
          <w:numId w:val="3"/>
        </w:numPr>
        <w:spacing w:after="80"/>
        <w:rPr>
          <w:rFonts w:ascii="Arial" w:hAnsi="Arial" w:cs="Arial"/>
          <w:szCs w:val="24"/>
        </w:rPr>
      </w:pPr>
      <w:r w:rsidRPr="00C125F7">
        <w:rPr>
          <w:rFonts w:ascii="Arial" w:hAnsi="Arial" w:cs="Arial"/>
          <w:szCs w:val="24"/>
        </w:rPr>
        <w:t xml:space="preserve">the specified percentage rate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 xml:space="preserve">evy be </w:t>
      </w:r>
      <w:r w:rsidRPr="00387B5F">
        <w:rPr>
          <w:rFonts w:ascii="Arial" w:hAnsi="Arial" w:cs="Arial"/>
          <w:szCs w:val="24"/>
        </w:rPr>
        <w:t>0.</w:t>
      </w:r>
      <w:r w:rsidR="000125F1" w:rsidRPr="00387B5F">
        <w:rPr>
          <w:rFonts w:ascii="Arial" w:hAnsi="Arial" w:cs="Arial"/>
          <w:szCs w:val="24"/>
        </w:rPr>
        <w:t>1</w:t>
      </w:r>
      <w:r w:rsidR="007F22AA" w:rsidRPr="00387B5F">
        <w:rPr>
          <w:rFonts w:ascii="Arial" w:hAnsi="Arial" w:cs="Arial"/>
          <w:szCs w:val="24"/>
        </w:rPr>
        <w:t>3</w:t>
      </w:r>
      <w:r w:rsidRPr="00387B5F">
        <w:rPr>
          <w:rFonts w:ascii="Arial" w:hAnsi="Arial" w:cs="Arial"/>
          <w:szCs w:val="24"/>
        </w:rPr>
        <w:t>%</w:t>
      </w:r>
      <w:r w:rsidRPr="00C125F7">
        <w:rPr>
          <w:rFonts w:ascii="Arial" w:hAnsi="Arial" w:cs="Arial"/>
          <w:szCs w:val="24"/>
        </w:rPr>
        <w:t xml:space="preserve"> – section 13(1)(b), </w:t>
      </w:r>
      <w:r w:rsidR="0025248B">
        <w:rPr>
          <w:rFonts w:ascii="Arial" w:hAnsi="Arial" w:cs="Arial"/>
          <w:szCs w:val="24"/>
        </w:rPr>
        <w:t xml:space="preserve">VSL </w:t>
      </w:r>
      <w:r>
        <w:rPr>
          <w:rFonts w:ascii="Arial" w:hAnsi="Arial" w:cs="Arial"/>
          <w:iCs/>
          <w:szCs w:val="24"/>
        </w:rPr>
        <w:t xml:space="preserve">Levy </w:t>
      </w:r>
      <w:proofErr w:type="gramStart"/>
      <w:r>
        <w:rPr>
          <w:rFonts w:ascii="Arial" w:hAnsi="Arial" w:cs="Arial"/>
          <w:iCs/>
          <w:szCs w:val="24"/>
        </w:rPr>
        <w:t>Act</w:t>
      </w:r>
      <w:r w:rsidRPr="00C125F7">
        <w:rPr>
          <w:rFonts w:ascii="Arial" w:hAnsi="Arial" w:cs="Arial"/>
          <w:szCs w:val="24"/>
        </w:rPr>
        <w:t>;</w:t>
      </w:r>
      <w:proofErr w:type="gramEnd"/>
      <w:r w:rsidRPr="00C125F7">
        <w:rPr>
          <w:rFonts w:ascii="Arial" w:hAnsi="Arial" w:cs="Arial"/>
          <w:szCs w:val="24"/>
        </w:rPr>
        <w:t xml:space="preserve"> </w:t>
      </w:r>
    </w:p>
    <w:p w14:paraId="726A08ED" w14:textId="28B07825" w:rsidR="004567A1" w:rsidRPr="00C125F7" w:rsidRDefault="004567A1" w:rsidP="001D060B">
      <w:pPr>
        <w:pStyle w:val="ListParagraph"/>
        <w:numPr>
          <w:ilvl w:val="0"/>
          <w:numId w:val="3"/>
        </w:numPr>
        <w:spacing w:after="80"/>
        <w:rPr>
          <w:rFonts w:ascii="Arial" w:hAnsi="Arial" w:cs="Arial"/>
          <w:szCs w:val="24"/>
        </w:rPr>
      </w:pPr>
      <w:r w:rsidRPr="00C125F7">
        <w:rPr>
          <w:rFonts w:ascii="Arial" w:hAnsi="Arial" w:cs="Arial"/>
          <w:szCs w:val="24"/>
        </w:rPr>
        <w:t xml:space="preserve">the specified per student amount for the </w:t>
      </w:r>
      <w:r w:rsidR="0058527B">
        <w:rPr>
          <w:rFonts w:ascii="Arial" w:hAnsi="Arial" w:cs="Arial"/>
          <w:szCs w:val="24"/>
        </w:rPr>
        <w:t>R</w:t>
      </w:r>
      <w:r w:rsidRPr="00C125F7">
        <w:rPr>
          <w:rFonts w:ascii="Arial" w:hAnsi="Arial" w:cs="Arial"/>
          <w:szCs w:val="24"/>
        </w:rPr>
        <w:t>isk</w:t>
      </w:r>
      <w:r w:rsidR="0086154E">
        <w:rPr>
          <w:rFonts w:ascii="Arial" w:hAnsi="Arial" w:cs="Arial"/>
          <w:szCs w:val="24"/>
        </w:rPr>
        <w:t>-</w:t>
      </w:r>
      <w:r w:rsidR="00F9513A">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 xml:space="preserve">remium component of the </w:t>
      </w:r>
      <w:r w:rsidR="00BE78A9">
        <w:rPr>
          <w:rFonts w:ascii="Arial" w:hAnsi="Arial" w:cs="Arial"/>
          <w:szCs w:val="24"/>
        </w:rPr>
        <w:t>L</w:t>
      </w:r>
      <w:r w:rsidRPr="00C125F7">
        <w:rPr>
          <w:rFonts w:ascii="Arial" w:hAnsi="Arial" w:cs="Arial"/>
          <w:szCs w:val="24"/>
        </w:rPr>
        <w:t>evy be $</w:t>
      </w:r>
      <w:r>
        <w:rPr>
          <w:rFonts w:ascii="Arial" w:hAnsi="Arial" w:cs="Arial"/>
          <w:szCs w:val="24"/>
        </w:rPr>
        <w:t>6</w:t>
      </w:r>
      <w:r w:rsidRPr="00C125F7">
        <w:rPr>
          <w:rFonts w:ascii="Arial" w:hAnsi="Arial" w:cs="Arial"/>
          <w:szCs w:val="24"/>
        </w:rPr>
        <w:t xml:space="preserve">.00 – section 13(1)(a), </w:t>
      </w:r>
      <w:r w:rsidR="0025248B">
        <w:rPr>
          <w:rFonts w:ascii="Arial" w:hAnsi="Arial" w:cs="Arial"/>
          <w:iCs/>
          <w:szCs w:val="24"/>
        </w:rPr>
        <w:t>VSL</w:t>
      </w:r>
      <w:r w:rsidRPr="00290E88">
        <w:rPr>
          <w:rFonts w:ascii="Arial" w:hAnsi="Arial" w:cs="Arial"/>
          <w:iCs/>
          <w:szCs w:val="24"/>
        </w:rPr>
        <w:t xml:space="preserve"> Levy Act</w:t>
      </w:r>
      <w:r w:rsidRPr="00C125F7">
        <w:rPr>
          <w:rFonts w:ascii="Arial" w:hAnsi="Arial" w:cs="Arial"/>
          <w:szCs w:val="24"/>
        </w:rPr>
        <w:t>;</w:t>
      </w:r>
      <w:r w:rsidR="0086154E">
        <w:rPr>
          <w:rFonts w:ascii="Arial" w:hAnsi="Arial" w:cs="Arial"/>
          <w:szCs w:val="24"/>
        </w:rPr>
        <w:t xml:space="preserve"> and</w:t>
      </w:r>
      <w:r w:rsidRPr="00C125F7">
        <w:rPr>
          <w:rFonts w:ascii="Arial" w:hAnsi="Arial" w:cs="Arial"/>
          <w:szCs w:val="24"/>
        </w:rPr>
        <w:t xml:space="preserve"> </w:t>
      </w:r>
    </w:p>
    <w:p w14:paraId="013FCB14" w14:textId="2D2832B6" w:rsidR="00561F73" w:rsidRPr="004567A1" w:rsidRDefault="004567A1" w:rsidP="00D24BA7">
      <w:pPr>
        <w:pStyle w:val="ListParagraph"/>
        <w:numPr>
          <w:ilvl w:val="0"/>
          <w:numId w:val="3"/>
        </w:numPr>
        <w:spacing w:line="276" w:lineRule="auto"/>
        <w:contextualSpacing/>
        <w:rPr>
          <w:rFonts w:ascii="Arial" w:hAnsi="Arial" w:cs="Arial"/>
          <w:szCs w:val="24"/>
        </w:rPr>
      </w:pPr>
      <w:r w:rsidRPr="004567A1">
        <w:rPr>
          <w:rFonts w:ascii="Arial" w:hAnsi="Arial" w:cs="Arial"/>
          <w:szCs w:val="24"/>
        </w:rPr>
        <w:t xml:space="preserve">the specified percentage rate for the </w:t>
      </w:r>
      <w:r w:rsidR="0058527B">
        <w:rPr>
          <w:rFonts w:ascii="Arial" w:hAnsi="Arial" w:cs="Arial"/>
          <w:szCs w:val="24"/>
        </w:rPr>
        <w:t>S</w:t>
      </w:r>
      <w:r w:rsidRPr="004567A1">
        <w:rPr>
          <w:rFonts w:ascii="Arial" w:hAnsi="Arial" w:cs="Arial"/>
          <w:szCs w:val="24"/>
        </w:rPr>
        <w:t xml:space="preserve">pecial </w:t>
      </w:r>
      <w:r w:rsidR="0058527B">
        <w:rPr>
          <w:rFonts w:ascii="Arial" w:hAnsi="Arial" w:cs="Arial"/>
          <w:szCs w:val="24"/>
        </w:rPr>
        <w:t>T</w:t>
      </w:r>
      <w:r w:rsidRPr="004567A1">
        <w:rPr>
          <w:rFonts w:ascii="Arial" w:hAnsi="Arial" w:cs="Arial"/>
          <w:szCs w:val="24"/>
        </w:rPr>
        <w:t xml:space="preserve">uition </w:t>
      </w:r>
      <w:r w:rsidR="0058527B">
        <w:rPr>
          <w:rFonts w:ascii="Arial" w:hAnsi="Arial" w:cs="Arial"/>
          <w:szCs w:val="24"/>
        </w:rPr>
        <w:t>P</w:t>
      </w:r>
      <w:r w:rsidRPr="004567A1">
        <w:rPr>
          <w:rFonts w:ascii="Arial" w:hAnsi="Arial" w:cs="Arial"/>
          <w:szCs w:val="24"/>
        </w:rPr>
        <w:t xml:space="preserve">rotection component of the </w:t>
      </w:r>
      <w:r w:rsidR="00BE78A9">
        <w:rPr>
          <w:rFonts w:ascii="Arial" w:hAnsi="Arial" w:cs="Arial"/>
          <w:szCs w:val="24"/>
        </w:rPr>
        <w:t>L</w:t>
      </w:r>
      <w:r w:rsidRPr="004567A1">
        <w:rPr>
          <w:rFonts w:ascii="Arial" w:hAnsi="Arial" w:cs="Arial"/>
          <w:szCs w:val="24"/>
        </w:rPr>
        <w:t xml:space="preserve">evy be 0.10% – section 13(1)(d), </w:t>
      </w:r>
      <w:r w:rsidR="0025248B">
        <w:rPr>
          <w:rFonts w:ascii="Arial" w:hAnsi="Arial" w:cs="Arial"/>
          <w:szCs w:val="24"/>
        </w:rPr>
        <w:t>VSL</w:t>
      </w:r>
      <w:r w:rsidRPr="004567A1">
        <w:rPr>
          <w:rFonts w:ascii="Arial" w:hAnsi="Arial" w:cs="Arial"/>
          <w:szCs w:val="24"/>
        </w:rPr>
        <w:t xml:space="preserve"> Levy Act</w:t>
      </w:r>
      <w:r w:rsidR="0086154E">
        <w:rPr>
          <w:rFonts w:ascii="Arial" w:hAnsi="Arial" w:cs="Arial"/>
          <w:szCs w:val="24"/>
        </w:rPr>
        <w:t>.</w:t>
      </w:r>
    </w:p>
    <w:p w14:paraId="5A1848BC" w14:textId="77777777" w:rsidR="004567A1" w:rsidRDefault="004567A1" w:rsidP="00561F73">
      <w:pPr>
        <w:contextualSpacing/>
        <w:rPr>
          <w:rFonts w:ascii="Arial" w:hAnsi="Arial" w:cs="Arial"/>
          <w:szCs w:val="24"/>
        </w:rPr>
      </w:pPr>
    </w:p>
    <w:p w14:paraId="100FB6F6" w14:textId="77777777" w:rsidR="004567A1" w:rsidRDefault="004567A1" w:rsidP="00561F73">
      <w:pPr>
        <w:contextualSpacing/>
        <w:rPr>
          <w:rFonts w:ascii="Arial" w:hAnsi="Arial" w:cs="Arial"/>
          <w:szCs w:val="24"/>
        </w:rPr>
      </w:pPr>
    </w:p>
    <w:p w14:paraId="182300FB" w14:textId="35B8DD54"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3FDF0886" w14:textId="7A6F7377" w:rsidR="00561F73" w:rsidRDefault="00561F73" w:rsidP="00561F73">
      <w:pPr>
        <w:contextualSpacing/>
        <w:rPr>
          <w:rFonts w:ascii="Arial" w:hAnsi="Arial" w:cs="Arial"/>
          <w:szCs w:val="24"/>
        </w:rPr>
      </w:pPr>
    </w:p>
    <w:p w14:paraId="20AD8A27" w14:textId="3C99BFA1" w:rsidR="003B483C" w:rsidRDefault="003B483C" w:rsidP="00561F73">
      <w:pPr>
        <w:contextualSpacing/>
        <w:rPr>
          <w:rFonts w:ascii="Arial" w:hAnsi="Arial" w:cs="Arial"/>
          <w:szCs w:val="24"/>
        </w:rPr>
      </w:pPr>
    </w:p>
    <w:p w14:paraId="71594593" w14:textId="77777777" w:rsidR="003B483C" w:rsidRPr="001731CD" w:rsidRDefault="003B483C" w:rsidP="00561F73">
      <w:pPr>
        <w:contextualSpacing/>
        <w:rPr>
          <w:rFonts w:ascii="Arial" w:hAnsi="Arial" w:cs="Arial"/>
          <w:szCs w:val="24"/>
        </w:rPr>
      </w:pPr>
    </w:p>
    <w:p w14:paraId="4D6806EF" w14:textId="77777777" w:rsidR="0098775E" w:rsidRPr="001731CD" w:rsidRDefault="0098775E" w:rsidP="00561F73">
      <w:pPr>
        <w:contextualSpacing/>
        <w:rPr>
          <w:rFonts w:ascii="Arial" w:hAnsi="Arial" w:cs="Arial"/>
          <w:szCs w:val="24"/>
        </w:rPr>
      </w:pPr>
    </w:p>
    <w:p w14:paraId="63D4C276" w14:textId="36FD9E60" w:rsidR="00561F73" w:rsidRPr="001731CD" w:rsidRDefault="00EE3915" w:rsidP="00561F73">
      <w:pPr>
        <w:contextualSpacing/>
        <w:rPr>
          <w:rFonts w:ascii="Arial" w:hAnsi="Arial" w:cs="Arial"/>
          <w:szCs w:val="24"/>
        </w:rPr>
      </w:pPr>
      <w:r>
        <w:rPr>
          <w:rFonts w:ascii="Arial" w:hAnsi="Arial" w:cs="Arial"/>
          <w:szCs w:val="24"/>
        </w:rPr>
        <w:t>Sharon Robertson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286877F6" w14:textId="4103A04F" w:rsidR="00561F73" w:rsidRDefault="001A309E" w:rsidP="00DC09B4">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r w:rsidR="00561F73">
        <w:rPr>
          <w:rFonts w:ascii="Arial" w:hAnsi="Arial" w:cs="Arial"/>
          <w:szCs w:val="24"/>
        </w:rPr>
        <w:br w:type="page"/>
      </w:r>
    </w:p>
    <w:p w14:paraId="42D7A38D" w14:textId="0B86321E" w:rsidR="0086154E" w:rsidRPr="00AE3099" w:rsidRDefault="0086154E" w:rsidP="00AE3099">
      <w:pPr>
        <w:rPr>
          <w:rFonts w:asciiTheme="minorHAnsi" w:hAnsiTheme="minorHAnsi" w:cstheme="minorHAnsi"/>
          <w:b/>
          <w:sz w:val="22"/>
          <w:szCs w:val="22"/>
        </w:rPr>
      </w:pPr>
      <w:r w:rsidRPr="00AE3099">
        <w:rPr>
          <w:rFonts w:asciiTheme="minorHAnsi" w:hAnsiTheme="minorHAnsi" w:cstheme="minorHAnsi"/>
          <w:b/>
          <w:sz w:val="22"/>
          <w:szCs w:val="22"/>
        </w:rPr>
        <w:lastRenderedPageBreak/>
        <w:t xml:space="preserve">Risk factors and </w:t>
      </w:r>
      <w:r w:rsidR="00A35D4E" w:rsidRPr="00AE3099">
        <w:rPr>
          <w:rFonts w:asciiTheme="minorHAnsi" w:hAnsiTheme="minorHAnsi" w:cstheme="minorHAnsi"/>
          <w:b/>
          <w:sz w:val="22"/>
          <w:szCs w:val="22"/>
        </w:rPr>
        <w:t>values</w:t>
      </w:r>
      <w:r w:rsidRPr="00AE3099">
        <w:rPr>
          <w:rFonts w:asciiTheme="minorHAnsi" w:hAnsiTheme="minorHAnsi" w:cstheme="minorHAnsi"/>
          <w:b/>
          <w:sz w:val="22"/>
          <w:szCs w:val="22"/>
        </w:rPr>
        <w:t xml:space="preserve"> for the Risk-</w:t>
      </w:r>
      <w:r w:rsidR="00A35D4E" w:rsidRPr="00AE3099">
        <w:rPr>
          <w:rFonts w:asciiTheme="minorHAnsi" w:hAnsiTheme="minorHAnsi" w:cstheme="minorHAnsi"/>
          <w:b/>
          <w:sz w:val="22"/>
          <w:szCs w:val="22"/>
        </w:rPr>
        <w:t>r</w:t>
      </w:r>
      <w:r w:rsidRPr="00AE3099">
        <w:rPr>
          <w:rFonts w:asciiTheme="minorHAnsi" w:hAnsiTheme="minorHAnsi" w:cstheme="minorHAnsi"/>
          <w:b/>
          <w:sz w:val="22"/>
          <w:szCs w:val="22"/>
        </w:rPr>
        <w:t>ated Premium component of the VSL Tuition Protection Levy in 202</w:t>
      </w:r>
      <w:r w:rsidR="00AB1F10" w:rsidRPr="00AE3099">
        <w:rPr>
          <w:rFonts w:asciiTheme="minorHAnsi" w:hAnsiTheme="minorHAnsi" w:cstheme="minorHAnsi"/>
          <w:b/>
          <w:sz w:val="22"/>
          <w:szCs w:val="22"/>
        </w:rPr>
        <w:t>4</w:t>
      </w:r>
    </w:p>
    <w:p w14:paraId="65AA3AAD" w14:textId="77777777" w:rsidR="0086154E" w:rsidRPr="0070224F" w:rsidRDefault="0086154E" w:rsidP="0086154E">
      <w:pPr>
        <w:jc w:val="center"/>
        <w:rPr>
          <w:rFonts w:asciiTheme="minorHAnsi" w:hAnsiTheme="minorHAnsi" w:cstheme="minorHAnsi"/>
          <w:b/>
          <w:sz w:val="18"/>
          <w:szCs w:val="18"/>
          <w:highlight w:val="yellow"/>
        </w:rPr>
      </w:pPr>
    </w:p>
    <w:tbl>
      <w:tblPr>
        <w:tblW w:w="10231" w:type="dxa"/>
        <w:tblInd w:w="-176" w:type="dxa"/>
        <w:tblCellMar>
          <w:left w:w="0" w:type="dxa"/>
          <w:right w:w="0" w:type="dxa"/>
        </w:tblCellMar>
        <w:tblLook w:val="04A0" w:firstRow="1" w:lastRow="0" w:firstColumn="1" w:lastColumn="0" w:noHBand="0" w:noVBand="1"/>
      </w:tblPr>
      <w:tblGrid>
        <w:gridCol w:w="1867"/>
        <w:gridCol w:w="5245"/>
        <w:gridCol w:w="1559"/>
        <w:gridCol w:w="1560"/>
      </w:tblGrid>
      <w:tr w:rsidR="003C0EAA" w:rsidRPr="001069F7" w14:paraId="5EAC5D32" w14:textId="2A21EDA6" w:rsidTr="00B3518F">
        <w:trPr>
          <w:trHeight w:val="646"/>
        </w:trPr>
        <w:tc>
          <w:tcPr>
            <w:tcW w:w="18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E99F29C" w14:textId="30E57955" w:rsidR="003C0EAA" w:rsidRPr="00AC2ED1" w:rsidRDefault="003C0EAA" w:rsidP="00B3518F">
            <w:pPr>
              <w:pStyle w:val="subsection"/>
              <w:ind w:left="0" w:firstLine="0"/>
              <w:rPr>
                <w:rFonts w:asciiTheme="minorHAnsi" w:hAnsiTheme="minorHAnsi" w:cstheme="minorHAnsi"/>
                <w:b/>
                <w:bCs/>
                <w:szCs w:val="22"/>
              </w:rPr>
            </w:pPr>
            <w:r w:rsidRPr="00AC2ED1">
              <w:rPr>
                <w:rFonts w:asciiTheme="minorHAnsi" w:hAnsiTheme="minorHAnsi" w:cstheme="minorHAnsi"/>
                <w:b/>
                <w:bCs/>
                <w:szCs w:val="22"/>
              </w:rPr>
              <w:t>Risk Factor</w:t>
            </w:r>
          </w:p>
        </w:tc>
        <w:tc>
          <w:tcPr>
            <w:tcW w:w="52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FD3CDE" w14:textId="77777777" w:rsidR="003C0EAA" w:rsidRPr="00AC2ED1" w:rsidRDefault="003C0EAA" w:rsidP="00B3518F">
            <w:pPr>
              <w:pStyle w:val="subsection"/>
              <w:ind w:left="0" w:firstLine="0"/>
              <w:rPr>
                <w:rFonts w:asciiTheme="minorHAnsi" w:hAnsiTheme="minorHAnsi" w:cstheme="minorHAnsi"/>
                <w:b/>
                <w:bCs/>
                <w:szCs w:val="22"/>
              </w:rPr>
            </w:pPr>
            <w:r w:rsidRPr="00AC2ED1">
              <w:rPr>
                <w:rFonts w:asciiTheme="minorHAnsi" w:hAnsiTheme="minorHAnsi" w:cstheme="minorHAnsi"/>
                <w:b/>
                <w:bCs/>
                <w:szCs w:val="22"/>
              </w:rPr>
              <w:t>Category</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14BD3B" w14:textId="3A823F28" w:rsidR="003C0EAA" w:rsidRPr="00AC2ED1" w:rsidRDefault="00EA64C1" w:rsidP="00B3518F">
            <w:pPr>
              <w:pStyle w:val="subsection"/>
              <w:ind w:left="0" w:firstLine="0"/>
              <w:rPr>
                <w:rFonts w:asciiTheme="minorHAnsi" w:hAnsiTheme="minorHAnsi" w:cstheme="minorHAnsi"/>
                <w:b/>
                <w:bCs/>
                <w:szCs w:val="22"/>
              </w:rPr>
            </w:pPr>
            <w:r w:rsidRPr="00BA74F6">
              <w:rPr>
                <w:rFonts w:asciiTheme="minorHAnsi" w:hAnsiTheme="minorHAnsi" w:cstheme="minorHAnsi"/>
                <w:b/>
                <w:szCs w:val="22"/>
              </w:rPr>
              <w:t>2023 value</w:t>
            </w:r>
          </w:p>
        </w:tc>
        <w:tc>
          <w:tcPr>
            <w:tcW w:w="1560" w:type="dxa"/>
            <w:tcBorders>
              <w:top w:val="single" w:sz="8" w:space="0" w:color="auto"/>
              <w:left w:val="nil"/>
              <w:bottom w:val="single" w:sz="8" w:space="0" w:color="auto"/>
              <w:right w:val="single" w:sz="8" w:space="0" w:color="auto"/>
            </w:tcBorders>
          </w:tcPr>
          <w:p w14:paraId="72A6B2EC" w14:textId="0864A1E5" w:rsidR="003C0EAA" w:rsidRPr="00AC2ED1" w:rsidRDefault="006145DE" w:rsidP="00B3518F">
            <w:pPr>
              <w:pStyle w:val="subsection"/>
              <w:ind w:left="0" w:firstLine="0"/>
              <w:rPr>
                <w:rFonts w:asciiTheme="minorHAnsi" w:hAnsiTheme="minorHAnsi" w:cstheme="minorHAnsi"/>
                <w:b/>
                <w:bCs/>
                <w:szCs w:val="22"/>
              </w:rPr>
            </w:pPr>
            <w:r w:rsidRPr="00BA74F6">
              <w:rPr>
                <w:rFonts w:asciiTheme="minorHAnsi" w:hAnsiTheme="minorHAnsi" w:cstheme="minorHAnsi"/>
                <w:b/>
                <w:szCs w:val="22"/>
              </w:rPr>
              <w:t>Proposed 2024 settings</w:t>
            </w:r>
          </w:p>
        </w:tc>
      </w:tr>
      <w:tr w:rsidR="005727DE" w:rsidRPr="001069F7" w14:paraId="1A92EB93" w14:textId="21B48C23" w:rsidTr="0089669E">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803310" w14:textId="28E245AF"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Financial Strength</w:t>
            </w:r>
            <w:r w:rsidRPr="00AC2ED1">
              <w:rPr>
                <w:rStyle w:val="FootnoteReference"/>
                <w:rFonts w:asciiTheme="minorHAnsi" w:hAnsiTheme="minorHAnsi" w:cstheme="minorHAnsi"/>
                <w:szCs w:val="22"/>
              </w:rPr>
              <w:footnoteReference w:id="2"/>
            </w:r>
          </w:p>
          <w:p w14:paraId="7233B5DD" w14:textId="2835F5AA" w:rsidR="005727DE" w:rsidRPr="00AC2ED1" w:rsidRDefault="005727DE" w:rsidP="005727DE">
            <w:pPr>
              <w:pStyle w:val="subsection"/>
              <w:ind w:left="720" w:firstLine="0"/>
              <w:rPr>
                <w:rFonts w:asciiTheme="minorHAnsi" w:hAnsiTheme="minorHAnsi" w:cstheme="minorHAnsi"/>
                <w:szCs w:val="22"/>
              </w:rPr>
            </w:pPr>
          </w:p>
        </w:tc>
        <w:tc>
          <w:tcPr>
            <w:tcW w:w="5245" w:type="dxa"/>
            <w:tcBorders>
              <w:top w:val="nil"/>
              <w:left w:val="nil"/>
              <w:bottom w:val="single" w:sz="8" w:space="0" w:color="auto"/>
              <w:right w:val="single" w:sz="8" w:space="0" w:color="auto"/>
            </w:tcBorders>
            <w:tcMar>
              <w:top w:w="0" w:type="dxa"/>
              <w:left w:w="108" w:type="dxa"/>
              <w:bottom w:w="0" w:type="dxa"/>
              <w:right w:w="108" w:type="dxa"/>
            </w:tcMar>
            <w:hideMark/>
          </w:tcPr>
          <w:p w14:paraId="44D4E34F" w14:textId="77777777" w:rsidR="005727DE" w:rsidRPr="00AC2ED1" w:rsidRDefault="005727DE" w:rsidP="005727DE">
            <w:pPr>
              <w:pStyle w:val="subsection"/>
              <w:ind w:left="0" w:firstLine="0"/>
              <w:rPr>
                <w:rFonts w:asciiTheme="minorHAnsi" w:eastAsiaTheme="minorHAnsi" w:hAnsiTheme="minorHAnsi" w:cstheme="minorHAnsi"/>
                <w:szCs w:val="22"/>
              </w:rPr>
            </w:pPr>
            <w:r w:rsidRPr="00AC2ED1">
              <w:rPr>
                <w:rFonts w:asciiTheme="minorHAnsi" w:hAnsiTheme="minorHAnsi" w:cstheme="minorHAnsi"/>
                <w:szCs w:val="22"/>
              </w:rPr>
              <w:t>8 or 9</w:t>
            </w:r>
          </w:p>
          <w:p w14:paraId="362129A3"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6 or 7</w:t>
            </w:r>
          </w:p>
          <w:p w14:paraId="3147272F"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1 to 5</w:t>
            </w:r>
          </w:p>
          <w:p w14:paraId="11B70F2B"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Provider did not submit data</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BC61A2" w14:textId="77777777" w:rsidR="005727DE" w:rsidRPr="00BA74F6" w:rsidRDefault="005727DE" w:rsidP="0089669E">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74FA5B97"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398A498"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5E27090C" w14:textId="51EF350F" w:rsidR="005727DE" w:rsidRPr="00AC2ED1" w:rsidRDefault="005727DE" w:rsidP="0089669E">
            <w:pPr>
              <w:pStyle w:val="subsection"/>
              <w:ind w:left="0" w:firstLine="0"/>
              <w:jc w:val="center"/>
              <w:rPr>
                <w:rFonts w:asciiTheme="minorHAnsi" w:hAnsiTheme="minorHAnsi" w:cstheme="minorHAnsi"/>
                <w:szCs w:val="22"/>
              </w:rPr>
            </w:pPr>
            <w:r w:rsidRPr="00BA74F6">
              <w:rPr>
                <w:rFonts w:asciiTheme="minorHAnsi" w:hAnsiTheme="minorHAnsi" w:cstheme="minorHAnsi"/>
                <w:szCs w:val="22"/>
              </w:rPr>
              <w:t>2.5</w:t>
            </w:r>
          </w:p>
        </w:tc>
        <w:tc>
          <w:tcPr>
            <w:tcW w:w="1560" w:type="dxa"/>
            <w:tcBorders>
              <w:top w:val="nil"/>
              <w:left w:val="nil"/>
              <w:bottom w:val="single" w:sz="8" w:space="0" w:color="auto"/>
              <w:right w:val="single" w:sz="8" w:space="0" w:color="auto"/>
            </w:tcBorders>
            <w:vAlign w:val="center"/>
          </w:tcPr>
          <w:p w14:paraId="60D3521F" w14:textId="77777777" w:rsidR="005727DE" w:rsidRPr="00BA74F6" w:rsidRDefault="005727DE" w:rsidP="0089669E">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0.0</w:t>
            </w:r>
          </w:p>
          <w:p w14:paraId="260248A7"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0A9FCE5"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2670E09E" w14:textId="5457A8F1" w:rsidR="005727DE" w:rsidRPr="00AC2ED1" w:rsidRDefault="005727DE" w:rsidP="0089669E">
            <w:pPr>
              <w:pStyle w:val="subsection"/>
              <w:ind w:left="0" w:firstLine="0"/>
              <w:jc w:val="center"/>
              <w:rPr>
                <w:rFonts w:asciiTheme="minorHAnsi" w:hAnsiTheme="minorHAnsi" w:cstheme="minorHAnsi"/>
                <w:szCs w:val="22"/>
              </w:rPr>
            </w:pPr>
            <w:r w:rsidRPr="00BA74F6">
              <w:rPr>
                <w:rFonts w:asciiTheme="minorHAnsi" w:hAnsiTheme="minorHAnsi" w:cstheme="minorHAnsi"/>
                <w:szCs w:val="22"/>
              </w:rPr>
              <w:t>2.5</w:t>
            </w:r>
          </w:p>
        </w:tc>
      </w:tr>
      <w:tr w:rsidR="005727DE" w:rsidRPr="001069F7" w14:paraId="3B424175" w14:textId="5E8EDF9C" w:rsidTr="0089669E">
        <w:tc>
          <w:tcPr>
            <w:tcW w:w="18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64348E" w14:textId="2E30BFA9" w:rsidR="005727DE" w:rsidRPr="00AC2ED1" w:rsidRDefault="005727DE" w:rsidP="005727DE">
            <w:pPr>
              <w:pStyle w:val="subsection"/>
              <w:rPr>
                <w:rFonts w:asciiTheme="minorHAnsi" w:hAnsiTheme="minorHAnsi" w:cstheme="minorHAnsi"/>
                <w:szCs w:val="22"/>
              </w:rPr>
            </w:pPr>
            <w:r w:rsidRPr="00AC2ED1">
              <w:rPr>
                <w:rFonts w:asciiTheme="minorHAnsi" w:hAnsiTheme="minorHAnsi" w:cstheme="minorHAnsi"/>
                <w:szCs w:val="22"/>
              </w:rPr>
              <w:t>Completion rate</w:t>
            </w:r>
            <w:r w:rsidRPr="00AC2ED1">
              <w:rPr>
                <w:rStyle w:val="FootnoteReference"/>
                <w:rFonts w:asciiTheme="minorHAnsi" w:hAnsiTheme="minorHAnsi" w:cstheme="minorHAnsi"/>
                <w:szCs w:val="22"/>
              </w:rPr>
              <w:footnoteReference w:id="3"/>
            </w:r>
          </w:p>
          <w:p w14:paraId="4C40F05F" w14:textId="77777777" w:rsidR="005727DE" w:rsidRPr="00AC2ED1" w:rsidRDefault="005727DE" w:rsidP="005727DE">
            <w:pPr>
              <w:pStyle w:val="subsection"/>
              <w:rPr>
                <w:rFonts w:asciiTheme="minorHAnsi" w:hAnsiTheme="minorHAnsi" w:cstheme="minorHAnsi"/>
                <w:szCs w:val="22"/>
              </w:rPr>
            </w:pPr>
          </w:p>
        </w:tc>
        <w:tc>
          <w:tcPr>
            <w:tcW w:w="5245"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2523C9B"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85% or higher</w:t>
            </w:r>
          </w:p>
          <w:p w14:paraId="57EC0D2E"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60% to &lt;85%</w:t>
            </w:r>
          </w:p>
          <w:p w14:paraId="15C275C1"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35% to &lt;60%</w:t>
            </w:r>
          </w:p>
          <w:p w14:paraId="602C30FF" w14:textId="77777777" w:rsidR="005727DE" w:rsidRPr="00AC2ED1" w:rsidRDefault="005727DE" w:rsidP="005727DE">
            <w:pPr>
              <w:pStyle w:val="subsection"/>
              <w:ind w:left="0" w:firstLine="0"/>
              <w:rPr>
                <w:rFonts w:asciiTheme="minorHAnsi" w:hAnsiTheme="minorHAnsi" w:cstheme="minorHAnsi"/>
                <w:szCs w:val="22"/>
              </w:rPr>
            </w:pPr>
            <w:r w:rsidRPr="00AC2ED1">
              <w:rPr>
                <w:rFonts w:asciiTheme="minorHAnsi" w:hAnsiTheme="minorHAnsi" w:cstheme="minorHAnsi"/>
                <w:szCs w:val="22"/>
              </w:rPr>
              <w:t>0% to &lt;35%</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1666B7"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526F28A3" w14:textId="77777777" w:rsidR="005727DE" w:rsidRPr="00BA74F6" w:rsidRDefault="005727DE" w:rsidP="0089669E">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0D76CADC"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176FE8CA" w14:textId="21512501" w:rsidR="005727DE" w:rsidRPr="00AC2ED1" w:rsidRDefault="005727DE" w:rsidP="0089669E">
            <w:pPr>
              <w:pStyle w:val="subsection"/>
              <w:ind w:left="0" w:firstLine="0"/>
              <w:jc w:val="center"/>
              <w:rPr>
                <w:rFonts w:asciiTheme="minorHAnsi" w:hAnsiTheme="minorHAnsi" w:cstheme="minorHAnsi"/>
                <w:szCs w:val="22"/>
              </w:rPr>
            </w:pPr>
            <w:r w:rsidRPr="00BA74F6">
              <w:rPr>
                <w:rFonts w:asciiTheme="minorHAnsi" w:hAnsiTheme="minorHAnsi" w:cstheme="minorHAnsi"/>
                <w:szCs w:val="22"/>
              </w:rPr>
              <w:t>3.5</w:t>
            </w:r>
          </w:p>
        </w:tc>
        <w:tc>
          <w:tcPr>
            <w:tcW w:w="1560" w:type="dxa"/>
            <w:tcBorders>
              <w:top w:val="nil"/>
              <w:left w:val="nil"/>
              <w:bottom w:val="single" w:sz="8" w:space="0" w:color="auto"/>
              <w:right w:val="single" w:sz="8" w:space="0" w:color="auto"/>
            </w:tcBorders>
            <w:vAlign w:val="center"/>
          </w:tcPr>
          <w:p w14:paraId="41054AFD"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0.0</w:t>
            </w:r>
          </w:p>
          <w:p w14:paraId="031AAB86" w14:textId="77777777" w:rsidR="005727DE" w:rsidRPr="00BA74F6" w:rsidRDefault="005727DE" w:rsidP="0089669E">
            <w:pPr>
              <w:pStyle w:val="subsection"/>
              <w:spacing w:before="120"/>
              <w:ind w:left="0" w:firstLine="0"/>
              <w:jc w:val="center"/>
              <w:rPr>
                <w:rFonts w:asciiTheme="minorHAnsi" w:eastAsiaTheme="minorHAnsi" w:hAnsiTheme="minorHAnsi" w:cstheme="minorHAnsi"/>
                <w:szCs w:val="22"/>
              </w:rPr>
            </w:pPr>
            <w:r w:rsidRPr="00BA74F6">
              <w:rPr>
                <w:rFonts w:asciiTheme="minorHAnsi" w:hAnsiTheme="minorHAnsi" w:cstheme="minorHAnsi"/>
                <w:szCs w:val="22"/>
              </w:rPr>
              <w:t>1.0</w:t>
            </w:r>
          </w:p>
          <w:p w14:paraId="3132DE77" w14:textId="77777777" w:rsidR="005727DE" w:rsidRPr="00BA74F6" w:rsidRDefault="005727DE" w:rsidP="0089669E">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2.5</w:t>
            </w:r>
          </w:p>
          <w:p w14:paraId="2A254FA6" w14:textId="078D4A36" w:rsidR="005727DE" w:rsidRPr="00AC2ED1" w:rsidRDefault="005727DE" w:rsidP="0089669E">
            <w:pPr>
              <w:pStyle w:val="subsection"/>
              <w:ind w:left="0" w:firstLine="0"/>
              <w:jc w:val="center"/>
              <w:rPr>
                <w:rFonts w:asciiTheme="minorHAnsi" w:hAnsiTheme="minorHAnsi" w:cstheme="minorHAnsi"/>
                <w:szCs w:val="22"/>
              </w:rPr>
            </w:pPr>
            <w:r w:rsidRPr="00BA74F6">
              <w:rPr>
                <w:rFonts w:asciiTheme="minorHAnsi" w:hAnsiTheme="minorHAnsi" w:cstheme="minorHAnsi"/>
                <w:szCs w:val="22"/>
              </w:rPr>
              <w:t>3.5</w:t>
            </w:r>
          </w:p>
        </w:tc>
      </w:tr>
      <w:tr w:rsidR="0002095C" w:rsidRPr="00EC330E" w14:paraId="0B467DA8" w14:textId="748394CF" w:rsidTr="008F333D">
        <w:trPr>
          <w:trHeight w:val="4380"/>
        </w:trPr>
        <w:tc>
          <w:tcPr>
            <w:tcW w:w="1867"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7D6088E" w14:textId="5369C1C8" w:rsidR="0002095C" w:rsidRPr="00AC2ED1" w:rsidRDefault="0002095C" w:rsidP="0002095C">
            <w:pPr>
              <w:pStyle w:val="subsection"/>
              <w:ind w:left="0" w:firstLine="0"/>
              <w:rPr>
                <w:rFonts w:asciiTheme="minorHAnsi" w:eastAsiaTheme="minorHAnsi" w:hAnsiTheme="minorHAnsi" w:cstheme="minorHAnsi"/>
                <w:szCs w:val="22"/>
              </w:rPr>
            </w:pPr>
            <w:r w:rsidRPr="00AC2ED1">
              <w:rPr>
                <w:rFonts w:asciiTheme="minorHAnsi" w:hAnsiTheme="minorHAnsi" w:cstheme="minorHAnsi"/>
                <w:szCs w:val="22"/>
              </w:rPr>
              <w:t>Non-compliance history and registration renewal</w:t>
            </w:r>
            <w:r w:rsidRPr="00AC2ED1">
              <w:rPr>
                <w:rStyle w:val="FootnoteReference"/>
                <w:rFonts w:asciiTheme="minorHAnsi" w:hAnsiTheme="minorHAnsi" w:cstheme="minorHAnsi"/>
                <w:szCs w:val="22"/>
              </w:rPr>
              <w:footnoteReference w:id="4"/>
            </w:r>
            <w:r w:rsidRPr="00AC2ED1">
              <w:rPr>
                <w:rFonts w:asciiTheme="minorHAnsi" w:hAnsiTheme="minorHAnsi" w:cstheme="minorHAnsi"/>
                <w:szCs w:val="22"/>
              </w:rPr>
              <w:t xml:space="preserve"> </w:t>
            </w:r>
          </w:p>
        </w:tc>
        <w:tc>
          <w:tcPr>
            <w:tcW w:w="524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06D0002" w14:textId="77777777"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 xml:space="preserve">A weighted late payment measure of 30 days or more </w:t>
            </w:r>
          </w:p>
          <w:p w14:paraId="00A63BED" w14:textId="77777777"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A weighted late payment measure of 15 days or more, but less than 30 days</w:t>
            </w:r>
          </w:p>
          <w:p w14:paraId="0455957E" w14:textId="77777777"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A weighted late payment measure of 1 day or more, but less than 15 days</w:t>
            </w:r>
          </w:p>
          <w:p w14:paraId="6254C48F" w14:textId="77777777"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 xml:space="preserve">No weighted late payment measure </w:t>
            </w:r>
            <w:proofErr w:type="gramStart"/>
            <w:r w:rsidRPr="00AC2ED1">
              <w:rPr>
                <w:rFonts w:asciiTheme="minorHAnsi" w:hAnsiTheme="minorHAnsi" w:cstheme="minorHAnsi"/>
                <w:szCs w:val="22"/>
              </w:rPr>
              <w:t>exists</w:t>
            </w:r>
            <w:proofErr w:type="gramEnd"/>
          </w:p>
          <w:p w14:paraId="690599B7" w14:textId="0DE4083F" w:rsidR="0002095C" w:rsidRPr="00AC2ED1" w:rsidRDefault="0002095C" w:rsidP="0002095C">
            <w:pPr>
              <w:pStyle w:val="subsection"/>
              <w:ind w:left="0" w:firstLine="0"/>
              <w:rPr>
                <w:rFonts w:asciiTheme="minorHAnsi" w:hAnsiTheme="minorHAnsi" w:cstheme="minorHAnsi"/>
                <w:b/>
                <w:bCs/>
                <w:szCs w:val="22"/>
              </w:rPr>
            </w:pPr>
            <w:r w:rsidRPr="00AC2ED1">
              <w:rPr>
                <w:rFonts w:asciiTheme="minorHAnsi" w:hAnsiTheme="minorHAnsi" w:cstheme="minorHAnsi"/>
                <w:b/>
                <w:bCs/>
                <w:szCs w:val="22"/>
              </w:rPr>
              <w:t>Plus</w:t>
            </w:r>
            <w:r w:rsidRPr="00AC2ED1">
              <w:rPr>
                <w:rStyle w:val="FootnoteReference"/>
                <w:rFonts w:asciiTheme="minorHAnsi" w:hAnsiTheme="minorHAnsi" w:cstheme="minorHAnsi"/>
                <w:b/>
                <w:bCs/>
                <w:szCs w:val="22"/>
              </w:rPr>
              <w:footnoteReference w:id="5"/>
            </w:r>
          </w:p>
          <w:p w14:paraId="16E6F46C" w14:textId="77777777"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For registration periods less than the maximum allowable</w:t>
            </w:r>
          </w:p>
          <w:p w14:paraId="5538A012" w14:textId="353B9F23" w:rsidR="0002095C" w:rsidRPr="00AC2ED1" w:rsidRDefault="0002095C" w:rsidP="0002095C">
            <w:pPr>
              <w:pStyle w:val="subsection"/>
              <w:ind w:left="0" w:firstLine="0"/>
              <w:rPr>
                <w:rFonts w:asciiTheme="minorHAnsi" w:hAnsiTheme="minorHAnsi" w:cstheme="minorHAnsi"/>
                <w:szCs w:val="22"/>
              </w:rPr>
            </w:pPr>
            <w:r w:rsidRPr="00AC2ED1">
              <w:rPr>
                <w:rFonts w:asciiTheme="minorHAnsi" w:hAnsiTheme="minorHAnsi" w:cstheme="minorHAnsi"/>
                <w:szCs w:val="22"/>
              </w:rPr>
              <w:t>For registration periods equal to the maximum allowable</w:t>
            </w:r>
          </w:p>
        </w:tc>
        <w:tc>
          <w:tcPr>
            <w:tcW w:w="155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C2FEBA8"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25703E89"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5E1BD194"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6C44035D"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0841F682" w14:textId="77777777" w:rsidR="0002095C" w:rsidRPr="00BA74F6" w:rsidRDefault="0002095C" w:rsidP="00E07922">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0.7</w:t>
            </w:r>
          </w:p>
          <w:p w14:paraId="659A861B" w14:textId="77777777" w:rsidR="0002095C" w:rsidRPr="00BA74F6" w:rsidRDefault="0002095C" w:rsidP="00E07922">
            <w:pPr>
              <w:pStyle w:val="subsection"/>
              <w:spacing w:before="0"/>
              <w:ind w:left="0" w:firstLine="0"/>
              <w:jc w:val="center"/>
              <w:rPr>
                <w:rFonts w:asciiTheme="minorHAnsi" w:hAnsiTheme="minorHAnsi" w:cstheme="minorHAnsi"/>
                <w:szCs w:val="22"/>
              </w:rPr>
            </w:pPr>
          </w:p>
          <w:p w14:paraId="7417B271" w14:textId="77777777" w:rsidR="0002095C" w:rsidRPr="00BA74F6" w:rsidRDefault="0002095C" w:rsidP="00E07922">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0.0</w:t>
            </w:r>
          </w:p>
          <w:p w14:paraId="4C2583D3"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563F0959"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4B56710D"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3D6CA018" w14:textId="4E3BD1C5" w:rsidR="0002095C" w:rsidRPr="00AC2ED1" w:rsidRDefault="0002095C" w:rsidP="008F333D">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0.0</w:t>
            </w:r>
          </w:p>
        </w:tc>
        <w:tc>
          <w:tcPr>
            <w:tcW w:w="1560" w:type="dxa"/>
            <w:tcBorders>
              <w:top w:val="single" w:sz="4" w:space="0" w:color="auto"/>
              <w:left w:val="nil"/>
              <w:bottom w:val="single" w:sz="8" w:space="0" w:color="auto"/>
              <w:right w:val="single" w:sz="8" w:space="0" w:color="auto"/>
            </w:tcBorders>
          </w:tcPr>
          <w:p w14:paraId="67EB486F"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2.0</w:t>
            </w:r>
          </w:p>
          <w:p w14:paraId="4846AA4F"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5A006653"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0.9</w:t>
            </w:r>
          </w:p>
          <w:p w14:paraId="5C625EE2"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44DEF10C" w14:textId="77777777" w:rsidR="0002095C" w:rsidRPr="00BA74F6" w:rsidRDefault="0002095C" w:rsidP="007D7DB8">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0.7</w:t>
            </w:r>
          </w:p>
          <w:p w14:paraId="37D2373F" w14:textId="77777777" w:rsidR="0002095C" w:rsidRPr="00BA74F6" w:rsidRDefault="0002095C" w:rsidP="007D7DB8">
            <w:pPr>
              <w:pStyle w:val="subsection"/>
              <w:spacing w:before="0"/>
              <w:ind w:left="0" w:firstLine="0"/>
              <w:jc w:val="center"/>
              <w:rPr>
                <w:rFonts w:asciiTheme="minorHAnsi" w:hAnsiTheme="minorHAnsi" w:cstheme="minorHAnsi"/>
                <w:szCs w:val="22"/>
              </w:rPr>
            </w:pPr>
          </w:p>
          <w:p w14:paraId="169E3638" w14:textId="77777777" w:rsidR="0002095C" w:rsidRPr="00BA74F6" w:rsidRDefault="0002095C" w:rsidP="007D7DB8">
            <w:pPr>
              <w:pStyle w:val="subsection"/>
              <w:spacing w:before="0"/>
              <w:ind w:left="0" w:firstLine="0"/>
              <w:jc w:val="center"/>
              <w:rPr>
                <w:rFonts w:asciiTheme="minorHAnsi" w:hAnsiTheme="minorHAnsi" w:cstheme="minorHAnsi"/>
                <w:szCs w:val="22"/>
              </w:rPr>
            </w:pPr>
            <w:r w:rsidRPr="00BA74F6">
              <w:rPr>
                <w:rFonts w:asciiTheme="minorHAnsi" w:hAnsiTheme="minorHAnsi" w:cstheme="minorHAnsi"/>
                <w:szCs w:val="22"/>
              </w:rPr>
              <w:t>0.0</w:t>
            </w:r>
          </w:p>
          <w:p w14:paraId="4E92BD03"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6E69FE8B" w14:textId="77777777" w:rsidR="0002095C" w:rsidRPr="00BA74F6" w:rsidRDefault="0002095C" w:rsidP="008F333D">
            <w:pPr>
              <w:pStyle w:val="subsection"/>
              <w:spacing w:before="120"/>
              <w:ind w:left="0" w:firstLine="0"/>
              <w:jc w:val="center"/>
              <w:rPr>
                <w:rFonts w:asciiTheme="minorHAnsi" w:hAnsiTheme="minorHAnsi" w:cstheme="minorHAnsi"/>
                <w:szCs w:val="22"/>
              </w:rPr>
            </w:pPr>
            <w:r w:rsidRPr="00BA74F6">
              <w:rPr>
                <w:rFonts w:asciiTheme="minorHAnsi" w:hAnsiTheme="minorHAnsi" w:cstheme="minorHAnsi"/>
                <w:szCs w:val="22"/>
              </w:rPr>
              <w:t>1.0</w:t>
            </w:r>
          </w:p>
          <w:p w14:paraId="73570E42" w14:textId="77777777" w:rsidR="0002095C" w:rsidRPr="00BA74F6" w:rsidRDefault="0002095C" w:rsidP="008F333D">
            <w:pPr>
              <w:pStyle w:val="subsection"/>
              <w:spacing w:before="120"/>
              <w:ind w:left="0" w:firstLine="0"/>
              <w:jc w:val="center"/>
              <w:rPr>
                <w:rFonts w:asciiTheme="minorHAnsi" w:hAnsiTheme="minorHAnsi" w:cstheme="minorHAnsi"/>
                <w:szCs w:val="22"/>
              </w:rPr>
            </w:pPr>
          </w:p>
          <w:p w14:paraId="76F0C0EE" w14:textId="6DCAEC3D" w:rsidR="0002095C" w:rsidRPr="00DC44BD" w:rsidRDefault="0002095C" w:rsidP="008F333D">
            <w:pPr>
              <w:pStyle w:val="subsection"/>
              <w:spacing w:before="0"/>
              <w:ind w:left="0" w:firstLine="0"/>
              <w:jc w:val="center"/>
              <w:rPr>
                <w:rFonts w:asciiTheme="minorHAnsi" w:hAnsiTheme="minorHAnsi" w:cstheme="minorHAnsi"/>
                <w:sz w:val="10"/>
                <w:szCs w:val="10"/>
              </w:rPr>
            </w:pPr>
            <w:r w:rsidRPr="00BA74F6">
              <w:rPr>
                <w:rFonts w:asciiTheme="minorHAnsi" w:hAnsiTheme="minorHAnsi" w:cstheme="minorHAnsi"/>
                <w:szCs w:val="22"/>
              </w:rPr>
              <w:t>0.0</w:t>
            </w:r>
          </w:p>
        </w:tc>
      </w:tr>
    </w:tbl>
    <w:p w14:paraId="0191797D" w14:textId="4C1411A5" w:rsidR="00B63C8D" w:rsidRPr="0070224F" w:rsidRDefault="00B63C8D" w:rsidP="00290E88">
      <w:pPr>
        <w:contextualSpacing/>
        <w:rPr>
          <w:rFonts w:ascii="Arial" w:hAnsi="Arial" w:cs="Arial"/>
          <w:sz w:val="2"/>
          <w:szCs w:val="2"/>
        </w:rPr>
      </w:pPr>
    </w:p>
    <w:sectPr w:rsidR="00B63C8D" w:rsidRPr="0070224F" w:rsidSect="00E26A34">
      <w:footerReference w:type="default" r:id="rId13"/>
      <w:pgSz w:w="11906" w:h="16838"/>
      <w:pgMar w:top="567" w:right="1134" w:bottom="993"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B3592" w14:textId="77777777" w:rsidR="00770B06" w:rsidRDefault="00770B06" w:rsidP="008C1FEE">
      <w:r>
        <w:separator/>
      </w:r>
    </w:p>
  </w:endnote>
  <w:endnote w:type="continuationSeparator" w:id="0">
    <w:p w14:paraId="3FEA1392" w14:textId="77777777" w:rsidR="00770B06" w:rsidRDefault="00770B06" w:rsidP="008C1FEE">
      <w:r>
        <w:continuationSeparator/>
      </w:r>
    </w:p>
  </w:endnote>
  <w:endnote w:type="continuationNotice" w:id="1">
    <w:p w14:paraId="479D246A" w14:textId="77777777" w:rsidR="00770B06" w:rsidRDefault="00770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63208"/>
      <w:docPartObj>
        <w:docPartGallery w:val="Page Numbers (Bottom of Page)"/>
        <w:docPartUnique/>
      </w:docPartObj>
    </w:sdtPr>
    <w:sdtEndPr>
      <w:rPr>
        <w:rFonts w:asciiTheme="minorHAnsi" w:hAnsiTheme="minorHAnsi" w:cstheme="minorHAnsi"/>
        <w:noProof/>
      </w:rPr>
    </w:sdtEndPr>
    <w:sdtContent>
      <w:p w14:paraId="690F6DB3" w14:textId="701B1094" w:rsidR="00E612DD" w:rsidRPr="0070224F" w:rsidRDefault="00B001D0" w:rsidP="0070224F">
        <w:pPr>
          <w:pStyle w:val="Footer"/>
          <w:jc w:val="right"/>
          <w:rPr>
            <w:rFonts w:asciiTheme="minorHAnsi" w:hAnsiTheme="minorHAnsi" w:cstheme="minorHAnsi"/>
          </w:rPr>
        </w:pPr>
        <w:r w:rsidRPr="00DC09B4">
          <w:rPr>
            <w:rFonts w:asciiTheme="minorHAnsi" w:hAnsiTheme="minorHAnsi" w:cstheme="minorHAnsi"/>
          </w:rPr>
          <w:fldChar w:fldCharType="begin"/>
        </w:r>
        <w:r w:rsidRPr="00DC09B4">
          <w:rPr>
            <w:rFonts w:asciiTheme="minorHAnsi" w:hAnsiTheme="minorHAnsi" w:cstheme="minorHAnsi"/>
          </w:rPr>
          <w:instrText xml:space="preserve"> PAGE   \* MERGEFORMAT </w:instrText>
        </w:r>
        <w:r w:rsidRPr="00DC09B4">
          <w:rPr>
            <w:rFonts w:asciiTheme="minorHAnsi" w:hAnsiTheme="minorHAnsi" w:cstheme="minorHAnsi"/>
          </w:rPr>
          <w:fldChar w:fldCharType="separate"/>
        </w:r>
        <w:r w:rsidR="007957E0" w:rsidRPr="00DC09B4">
          <w:rPr>
            <w:rFonts w:asciiTheme="minorHAnsi" w:hAnsiTheme="minorHAnsi" w:cstheme="minorHAnsi"/>
            <w:noProof/>
          </w:rPr>
          <w:t>4</w:t>
        </w:r>
        <w:r w:rsidRPr="00DC09B4">
          <w:rPr>
            <w:rFonts w:asciiTheme="minorHAnsi" w:hAnsiTheme="minorHAnsi"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FD78" w14:textId="77777777" w:rsidR="00770B06" w:rsidRDefault="00770B06" w:rsidP="008C1FEE">
      <w:r>
        <w:separator/>
      </w:r>
    </w:p>
  </w:footnote>
  <w:footnote w:type="continuationSeparator" w:id="0">
    <w:p w14:paraId="592073AD" w14:textId="77777777" w:rsidR="00770B06" w:rsidRDefault="00770B06" w:rsidP="008C1FEE">
      <w:r>
        <w:continuationSeparator/>
      </w:r>
    </w:p>
  </w:footnote>
  <w:footnote w:type="continuationNotice" w:id="1">
    <w:p w14:paraId="756CF155" w14:textId="77777777" w:rsidR="00770B06" w:rsidRDefault="00770B06"/>
  </w:footnote>
  <w:footnote w:id="2">
    <w:p w14:paraId="72D3BF43" w14:textId="77777777" w:rsidR="005727DE" w:rsidRPr="00BA74F6" w:rsidRDefault="005727DE" w:rsidP="00CC5204">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financial strength risk factor for a leviable provider is as follows:</w:t>
      </w:r>
    </w:p>
    <w:p w14:paraId="405D5B30" w14:textId="77777777" w:rsidR="005727DE" w:rsidRPr="00BA74F6" w:rsidRDefault="005727DE" w:rsidP="00CC5204">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did not submit its financial statement, the risk factor is 2.5,</w:t>
      </w:r>
    </w:p>
    <w:p w14:paraId="3F11EFFE" w14:textId="77777777" w:rsidR="005727DE" w:rsidRDefault="005727DE" w:rsidP="00CC5204">
      <w:pPr>
        <w:pStyle w:val="FootnoteText"/>
        <w:numPr>
          <w:ilvl w:val="0"/>
          <w:numId w:val="12"/>
        </w:numPr>
        <w:rPr>
          <w:rFonts w:asciiTheme="minorHAnsi" w:hAnsiTheme="minorHAnsi" w:cstheme="minorHAnsi"/>
          <w:sz w:val="18"/>
          <w:szCs w:val="18"/>
        </w:rPr>
      </w:pPr>
      <w:r w:rsidRPr="00BA74F6">
        <w:rPr>
          <w:rFonts w:asciiTheme="minorHAnsi" w:hAnsiTheme="minorHAnsi" w:cstheme="minorHAnsi"/>
          <w:sz w:val="18"/>
          <w:szCs w:val="18"/>
        </w:rPr>
        <w:t>if the provider was not required to submit a financial statement, the risk factor is 0.0,</w:t>
      </w:r>
    </w:p>
    <w:p w14:paraId="0B981834" w14:textId="25444693" w:rsidR="005727DE" w:rsidRPr="00CC5204" w:rsidRDefault="005727DE" w:rsidP="00CC5204">
      <w:pPr>
        <w:pStyle w:val="FootnoteText"/>
        <w:numPr>
          <w:ilvl w:val="0"/>
          <w:numId w:val="12"/>
        </w:numPr>
        <w:rPr>
          <w:rFonts w:asciiTheme="minorHAnsi" w:hAnsiTheme="minorHAnsi" w:cstheme="minorHAnsi"/>
          <w:sz w:val="18"/>
          <w:szCs w:val="18"/>
        </w:rPr>
      </w:pPr>
      <w:r w:rsidRPr="00CC5204">
        <w:rPr>
          <w:rFonts w:asciiTheme="minorHAnsi" w:hAnsiTheme="minorHAnsi" w:cstheme="minorHAnsi"/>
          <w:sz w:val="18"/>
          <w:szCs w:val="18"/>
        </w:rPr>
        <w:t>if the provider submitted its financial statement, the financial strength score is the sum of the return on assets score and the debt to equity score for the risk factor as set out in the table.</w:t>
      </w:r>
    </w:p>
  </w:footnote>
  <w:footnote w:id="3">
    <w:p w14:paraId="27AEECDE" w14:textId="77777777" w:rsidR="005727DE" w:rsidRPr="00BA74F6" w:rsidRDefault="005727DE" w:rsidP="0054476A">
      <w:pPr>
        <w:pStyle w:val="FootnoteText"/>
        <w:rPr>
          <w:rFonts w:asciiTheme="minorHAnsi" w:hAnsiTheme="minorHAnsi" w:cstheme="minorHAnsi"/>
          <w:sz w:val="18"/>
          <w:szCs w:val="18"/>
        </w:rPr>
      </w:pPr>
      <w:r>
        <w:rPr>
          <w:rStyle w:val="FootnoteReference"/>
        </w:rPr>
        <w:footnoteRef/>
      </w:r>
      <w:r>
        <w:t xml:space="preserve"> </w:t>
      </w:r>
      <w:r w:rsidRPr="00BA74F6">
        <w:rPr>
          <w:rFonts w:asciiTheme="minorHAnsi" w:hAnsiTheme="minorHAnsi" w:cstheme="minorHAnsi"/>
          <w:sz w:val="18"/>
          <w:szCs w:val="18"/>
        </w:rPr>
        <w:t>The risk factor value for the completion rate risk factor for a leviable provider is as follows:</w:t>
      </w:r>
    </w:p>
    <w:p w14:paraId="27DBC03F" w14:textId="77777777" w:rsidR="005727DE" w:rsidRDefault="005727DE" w:rsidP="0054476A">
      <w:pPr>
        <w:pStyle w:val="FootnoteText"/>
        <w:numPr>
          <w:ilvl w:val="0"/>
          <w:numId w:val="13"/>
        </w:numPr>
        <w:rPr>
          <w:rFonts w:asciiTheme="minorHAnsi" w:hAnsiTheme="minorHAnsi" w:cstheme="minorHAnsi"/>
          <w:sz w:val="18"/>
          <w:szCs w:val="18"/>
        </w:rPr>
      </w:pPr>
      <w:r w:rsidRPr="00BA74F6">
        <w:rPr>
          <w:rFonts w:asciiTheme="minorHAnsi" w:hAnsiTheme="minorHAnsi" w:cstheme="minorHAnsi"/>
          <w:sz w:val="18"/>
          <w:szCs w:val="18"/>
        </w:rPr>
        <w:t>if the provider did not report any units of study for the calendar year beginning on 1 January 2022 (previous calendar year) in its statement of general information, the risk factor is 0.0,</w:t>
      </w:r>
    </w:p>
    <w:p w14:paraId="1F358ED0" w14:textId="57F68867" w:rsidR="005727DE" w:rsidRPr="0054476A" w:rsidRDefault="005727DE" w:rsidP="0054476A">
      <w:pPr>
        <w:pStyle w:val="FootnoteText"/>
        <w:numPr>
          <w:ilvl w:val="0"/>
          <w:numId w:val="13"/>
        </w:numPr>
        <w:rPr>
          <w:rFonts w:asciiTheme="minorHAnsi" w:hAnsiTheme="minorHAnsi" w:cstheme="minorHAnsi"/>
          <w:sz w:val="18"/>
          <w:szCs w:val="18"/>
        </w:rPr>
      </w:pPr>
      <w:r w:rsidRPr="0054476A">
        <w:rPr>
          <w:rFonts w:asciiTheme="minorHAnsi" w:hAnsiTheme="minorHAnsi" w:cstheme="minorHAnsi"/>
          <w:sz w:val="18"/>
          <w:szCs w:val="18"/>
        </w:rPr>
        <w:t>otherwise—the risk factor value is set out in the table.</w:t>
      </w:r>
    </w:p>
  </w:footnote>
  <w:footnote w:id="4">
    <w:p w14:paraId="1B3BE934" w14:textId="5FD4CDE6" w:rsidR="0002095C" w:rsidRDefault="0002095C">
      <w:pPr>
        <w:pStyle w:val="FootnoteText"/>
      </w:pPr>
      <w:r>
        <w:rPr>
          <w:rStyle w:val="FootnoteReference"/>
        </w:rPr>
        <w:footnoteRef/>
      </w:r>
      <w:r>
        <w:t xml:space="preserve"> </w:t>
      </w:r>
      <w:r w:rsidRPr="00BA74F6">
        <w:rPr>
          <w:rFonts w:asciiTheme="minorHAnsi" w:hAnsiTheme="minorHAnsi" w:cstheme="minorHAnsi"/>
          <w:sz w:val="18"/>
          <w:szCs w:val="18"/>
        </w:rPr>
        <w:t xml:space="preserve">A provider’s weighted late payment measure calculation considers how many days past the due date the provider paid the TPS levy payments </w:t>
      </w:r>
      <w:r w:rsidR="00A877B1">
        <w:rPr>
          <w:rFonts w:asciiTheme="minorHAnsi" w:hAnsiTheme="minorHAnsi" w:cstheme="minorHAnsi"/>
          <w:sz w:val="18"/>
          <w:szCs w:val="18"/>
        </w:rPr>
        <w:t xml:space="preserve">and VSL </w:t>
      </w:r>
      <w:r w:rsidR="005921CD">
        <w:rPr>
          <w:rFonts w:asciiTheme="minorHAnsi" w:hAnsiTheme="minorHAnsi" w:cstheme="minorHAnsi"/>
          <w:sz w:val="18"/>
          <w:szCs w:val="18"/>
        </w:rPr>
        <w:t xml:space="preserve">provider charges </w:t>
      </w:r>
      <w:r w:rsidRPr="00BA74F6">
        <w:rPr>
          <w:rFonts w:asciiTheme="minorHAnsi" w:hAnsiTheme="minorHAnsi" w:cstheme="minorHAnsi"/>
          <w:sz w:val="18"/>
          <w:szCs w:val="18"/>
        </w:rPr>
        <w:t>over the past three years.</w:t>
      </w:r>
    </w:p>
  </w:footnote>
  <w:footnote w:id="5">
    <w:p w14:paraId="528D5442" w14:textId="77777777" w:rsidR="0002095C" w:rsidRPr="006C4C28" w:rsidRDefault="0002095C" w:rsidP="006C4C28">
      <w:pPr>
        <w:pStyle w:val="FootnoteText"/>
        <w:ind w:left="284" w:hanging="284"/>
        <w:rPr>
          <w:rFonts w:asciiTheme="minorHAnsi" w:hAnsiTheme="minorHAnsi" w:cstheme="minorHAnsi"/>
          <w:sz w:val="18"/>
          <w:szCs w:val="18"/>
        </w:rPr>
      </w:pPr>
      <w:r w:rsidRPr="006C4C28">
        <w:rPr>
          <w:rStyle w:val="FootnoteReference"/>
          <w:rFonts w:asciiTheme="minorHAnsi" w:hAnsiTheme="minorHAnsi" w:cstheme="minorHAnsi"/>
          <w:sz w:val="18"/>
          <w:szCs w:val="18"/>
        </w:rPr>
        <w:footnoteRef/>
      </w:r>
      <w:r w:rsidRPr="006C4C28">
        <w:rPr>
          <w:rFonts w:asciiTheme="minorHAnsi" w:hAnsiTheme="minorHAnsi" w:cstheme="minorHAnsi"/>
          <w:sz w:val="18"/>
          <w:szCs w:val="18"/>
        </w:rPr>
        <w:t xml:space="preserve"> applied under:</w:t>
      </w:r>
    </w:p>
    <w:p w14:paraId="12E65048" w14:textId="593BCEC2" w:rsidR="0002095C" w:rsidRPr="006C4C28" w:rsidRDefault="0002095C" w:rsidP="006C4C28">
      <w:pPr>
        <w:pStyle w:val="FootnoteText"/>
        <w:numPr>
          <w:ilvl w:val="0"/>
          <w:numId w:val="15"/>
        </w:numPr>
        <w:ind w:left="284" w:hanging="284"/>
        <w:rPr>
          <w:rFonts w:asciiTheme="minorHAnsi" w:hAnsiTheme="minorHAnsi" w:cstheme="minorHAnsi"/>
          <w:sz w:val="18"/>
          <w:szCs w:val="18"/>
        </w:rPr>
      </w:pPr>
      <w:r w:rsidRPr="006C4C28">
        <w:rPr>
          <w:rFonts w:asciiTheme="minorHAnsi" w:hAnsiTheme="minorHAnsi" w:cstheme="minorHAnsi"/>
          <w:sz w:val="18"/>
          <w:szCs w:val="18"/>
        </w:rPr>
        <w:t>section 16 of the National Vocational Education and Training Regulator Act 2011 to renew the leviable provider’s registration and, for risk management purposes, the period of registration set out in the most recent notice given to that provider under section 18 of that Act is less than the maximum period specified in subsection 17(5); or</w:t>
      </w:r>
    </w:p>
    <w:p w14:paraId="28A287A4" w14:textId="02583044" w:rsidR="0002095C" w:rsidRPr="006C4C28" w:rsidRDefault="0002095C" w:rsidP="006C4C28">
      <w:pPr>
        <w:pStyle w:val="FootnoteText"/>
        <w:numPr>
          <w:ilvl w:val="0"/>
          <w:numId w:val="15"/>
        </w:numPr>
        <w:ind w:left="284" w:hanging="284"/>
        <w:rPr>
          <w:rFonts w:asciiTheme="minorHAnsi" w:hAnsiTheme="minorHAnsi" w:cstheme="minorHAnsi"/>
          <w:sz w:val="18"/>
          <w:szCs w:val="18"/>
        </w:rPr>
      </w:pPr>
      <w:r w:rsidRPr="006C4C28">
        <w:rPr>
          <w:rFonts w:asciiTheme="minorHAnsi" w:hAnsiTheme="minorHAnsi" w:cstheme="minorHAnsi"/>
          <w:sz w:val="18"/>
          <w:szCs w:val="18"/>
        </w:rPr>
        <w:t>section 4.3.15 of the Education Training and Reform Act 2006 (Vic) to renew the leviable provider’s registration and, for risk management purposes, the most recent period of registration granted by the Authority under that Act in respect of that provider is less than the maximum term specified in section 4.3.18 of that Act; or</w:t>
      </w:r>
    </w:p>
    <w:p w14:paraId="001D0A58" w14:textId="0C4051B6" w:rsidR="0002095C" w:rsidRDefault="0002095C" w:rsidP="006C4C28">
      <w:pPr>
        <w:pStyle w:val="FootnoteText"/>
        <w:numPr>
          <w:ilvl w:val="0"/>
          <w:numId w:val="15"/>
        </w:numPr>
        <w:ind w:left="284" w:hanging="284"/>
      </w:pPr>
      <w:r w:rsidRPr="006C4C28">
        <w:rPr>
          <w:rFonts w:asciiTheme="minorHAnsi" w:hAnsiTheme="minorHAnsi" w:cstheme="minorHAnsi"/>
          <w:sz w:val="18"/>
          <w:szCs w:val="18"/>
        </w:rPr>
        <w:t>regulation 16 of the Vocational Education and Training (General) Regulations 2009 (WA) to renew the leviable provider’s registration and, for risk management purposes, the period of registration set out in the most recent registration document given under regulation 12(7) of those Regulations is less than the maximum period specified in regulation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1C0F1E"/>
    <w:multiLevelType w:val="hybridMultilevel"/>
    <w:tmpl w:val="33CC704C"/>
    <w:lvl w:ilvl="0" w:tplc="2ECEEBF4">
      <w:start w:val="1"/>
      <w:numFmt w:val="low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3"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7E584F"/>
    <w:multiLevelType w:val="hybridMultilevel"/>
    <w:tmpl w:val="FEBCF572"/>
    <w:lvl w:ilvl="0" w:tplc="E08012B8">
      <w:start w:val="1"/>
      <w:numFmt w:val="lowerRoman"/>
      <w:lvlText w:val="%1."/>
      <w:lvlJc w:val="left"/>
      <w:pPr>
        <w:ind w:left="1080" w:hanging="720"/>
      </w:pPr>
      <w:rPr>
        <w:rFonts w:asciiTheme="minorHAnsi" w:hAnsiTheme="minorHAnsi" w:cstheme="minorHAnsi" w:hint="default"/>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9150D2"/>
    <w:multiLevelType w:val="hybridMultilevel"/>
    <w:tmpl w:val="86A048CC"/>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6" w15:restartNumberingAfterBreak="0">
    <w:nsid w:val="1D266AF2"/>
    <w:multiLevelType w:val="hybridMultilevel"/>
    <w:tmpl w:val="9D265A0A"/>
    <w:lvl w:ilvl="0" w:tplc="2ECEEBF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F1414D"/>
    <w:multiLevelType w:val="multilevel"/>
    <w:tmpl w:val="697C5080"/>
    <w:styleLink w:val="Style2"/>
    <w:lvl w:ilvl="0">
      <w:start w:val="1"/>
      <w:numFmt w:val="bullet"/>
      <w:pStyle w:val="ListBullet"/>
      <w:lvlText w:val=""/>
      <w:lvlJc w:val="left"/>
      <w:pPr>
        <w:ind w:left="357" w:hanging="357"/>
      </w:pPr>
      <w:rPr>
        <w:rFonts w:ascii="Symbol" w:hAnsi="Symbol"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Wingdings" w:hAnsi="Wingdings" w:hint="default"/>
        <w:color w:val="auto"/>
      </w:rPr>
    </w:lvl>
    <w:lvl w:ilvl="3">
      <w:start w:val="1"/>
      <w:numFmt w:val="bullet"/>
      <w:lvlText w:val="–"/>
      <w:lvlJc w:val="left"/>
      <w:pPr>
        <w:tabs>
          <w:tab w:val="num" w:pos="2552"/>
        </w:tabs>
        <w:ind w:left="2126" w:hanging="56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876781"/>
    <w:multiLevelType w:val="hybridMultilevel"/>
    <w:tmpl w:val="2C76F8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784938"/>
    <w:multiLevelType w:val="multilevel"/>
    <w:tmpl w:val="697C5080"/>
    <w:numStyleLink w:val="Style2"/>
  </w:abstractNum>
  <w:abstractNum w:abstractNumId="14" w15:restartNumberingAfterBreak="0">
    <w:nsid w:val="6FB84094"/>
    <w:multiLevelType w:val="hybridMultilevel"/>
    <w:tmpl w:val="41F6D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43450964">
    <w:abstractNumId w:val="0"/>
  </w:num>
  <w:num w:numId="2" w16cid:durableId="2003728997">
    <w:abstractNumId w:val="10"/>
  </w:num>
  <w:num w:numId="3" w16cid:durableId="1209613383">
    <w:abstractNumId w:val="8"/>
  </w:num>
  <w:num w:numId="4" w16cid:durableId="1507404836">
    <w:abstractNumId w:val="3"/>
  </w:num>
  <w:num w:numId="5" w16cid:durableId="19002401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346922">
    <w:abstractNumId w:val="5"/>
  </w:num>
  <w:num w:numId="7" w16cid:durableId="376854438">
    <w:abstractNumId w:val="1"/>
  </w:num>
  <w:num w:numId="8" w16cid:durableId="2020545782">
    <w:abstractNumId w:val="12"/>
  </w:num>
  <w:num w:numId="9" w16cid:durableId="1975792018">
    <w:abstractNumId w:val="14"/>
  </w:num>
  <w:num w:numId="10" w16cid:durableId="1733651692">
    <w:abstractNumId w:val="7"/>
  </w:num>
  <w:num w:numId="11" w16cid:durableId="372538066">
    <w:abstractNumId w:val="13"/>
  </w:num>
  <w:num w:numId="12" w16cid:durableId="891694676">
    <w:abstractNumId w:val="2"/>
  </w:num>
  <w:num w:numId="13" w16cid:durableId="959263614">
    <w:abstractNumId w:val="6"/>
  </w:num>
  <w:num w:numId="14" w16cid:durableId="131487177">
    <w:abstractNumId w:val="11"/>
  </w:num>
  <w:num w:numId="15" w16cid:durableId="1225604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039A4"/>
    <w:rsid w:val="000125F1"/>
    <w:rsid w:val="0002095C"/>
    <w:rsid w:val="000311D6"/>
    <w:rsid w:val="00044572"/>
    <w:rsid w:val="000465BC"/>
    <w:rsid w:val="000542EC"/>
    <w:rsid w:val="00054C54"/>
    <w:rsid w:val="00060FDD"/>
    <w:rsid w:val="000A0809"/>
    <w:rsid w:val="000B6881"/>
    <w:rsid w:val="000B7C23"/>
    <w:rsid w:val="000C1CF5"/>
    <w:rsid w:val="000C2CBA"/>
    <w:rsid w:val="000D783A"/>
    <w:rsid w:val="000E5F78"/>
    <w:rsid w:val="000F1455"/>
    <w:rsid w:val="0010225D"/>
    <w:rsid w:val="001069F7"/>
    <w:rsid w:val="001249C8"/>
    <w:rsid w:val="00141094"/>
    <w:rsid w:val="00146561"/>
    <w:rsid w:val="001731CD"/>
    <w:rsid w:val="00182ED8"/>
    <w:rsid w:val="0019126C"/>
    <w:rsid w:val="001A309E"/>
    <w:rsid w:val="001A6CF4"/>
    <w:rsid w:val="001A79A8"/>
    <w:rsid w:val="001C43A6"/>
    <w:rsid w:val="001D060B"/>
    <w:rsid w:val="001F2CFE"/>
    <w:rsid w:val="00216042"/>
    <w:rsid w:val="002302FA"/>
    <w:rsid w:val="002313E9"/>
    <w:rsid w:val="00232789"/>
    <w:rsid w:val="00232D58"/>
    <w:rsid w:val="00243162"/>
    <w:rsid w:val="00246BE0"/>
    <w:rsid w:val="0025248B"/>
    <w:rsid w:val="00265EBC"/>
    <w:rsid w:val="00266BEA"/>
    <w:rsid w:val="00270631"/>
    <w:rsid w:val="00282590"/>
    <w:rsid w:val="00290E88"/>
    <w:rsid w:val="00294D99"/>
    <w:rsid w:val="002A0785"/>
    <w:rsid w:val="002B68BA"/>
    <w:rsid w:val="002C1AD5"/>
    <w:rsid w:val="002C2272"/>
    <w:rsid w:val="002D1808"/>
    <w:rsid w:val="00302061"/>
    <w:rsid w:val="00316153"/>
    <w:rsid w:val="0031778C"/>
    <w:rsid w:val="003405C7"/>
    <w:rsid w:val="0036158C"/>
    <w:rsid w:val="003668AD"/>
    <w:rsid w:val="003837C3"/>
    <w:rsid w:val="00385307"/>
    <w:rsid w:val="00385B06"/>
    <w:rsid w:val="00387B5F"/>
    <w:rsid w:val="00390B97"/>
    <w:rsid w:val="003B483C"/>
    <w:rsid w:val="003C0EAA"/>
    <w:rsid w:val="003D231F"/>
    <w:rsid w:val="003E3A0F"/>
    <w:rsid w:val="003F1FE4"/>
    <w:rsid w:val="00405C99"/>
    <w:rsid w:val="00415A2C"/>
    <w:rsid w:val="00416436"/>
    <w:rsid w:val="0042320D"/>
    <w:rsid w:val="00423862"/>
    <w:rsid w:val="00425492"/>
    <w:rsid w:val="004331CD"/>
    <w:rsid w:val="00444182"/>
    <w:rsid w:val="0045504D"/>
    <w:rsid w:val="004567A1"/>
    <w:rsid w:val="00464F6E"/>
    <w:rsid w:val="0047070E"/>
    <w:rsid w:val="00476062"/>
    <w:rsid w:val="00485CB1"/>
    <w:rsid w:val="004C48AA"/>
    <w:rsid w:val="004D2A8B"/>
    <w:rsid w:val="004D5C6D"/>
    <w:rsid w:val="004D7A26"/>
    <w:rsid w:val="004F60B2"/>
    <w:rsid w:val="0050507C"/>
    <w:rsid w:val="005216FD"/>
    <w:rsid w:val="0054476A"/>
    <w:rsid w:val="00561DD9"/>
    <w:rsid w:val="00561F73"/>
    <w:rsid w:val="00566137"/>
    <w:rsid w:val="005727DE"/>
    <w:rsid w:val="00576246"/>
    <w:rsid w:val="0058527B"/>
    <w:rsid w:val="005921CD"/>
    <w:rsid w:val="0059309D"/>
    <w:rsid w:val="005A20CB"/>
    <w:rsid w:val="005A310D"/>
    <w:rsid w:val="005A3605"/>
    <w:rsid w:val="005D3A27"/>
    <w:rsid w:val="005F4F02"/>
    <w:rsid w:val="00600628"/>
    <w:rsid w:val="006051BD"/>
    <w:rsid w:val="006128F1"/>
    <w:rsid w:val="006145DE"/>
    <w:rsid w:val="0062291C"/>
    <w:rsid w:val="006542CF"/>
    <w:rsid w:val="006570A4"/>
    <w:rsid w:val="006576B4"/>
    <w:rsid w:val="00660503"/>
    <w:rsid w:val="0067637E"/>
    <w:rsid w:val="00676A2C"/>
    <w:rsid w:val="00686ADA"/>
    <w:rsid w:val="00695342"/>
    <w:rsid w:val="006A7D60"/>
    <w:rsid w:val="006C4C28"/>
    <w:rsid w:val="006D2967"/>
    <w:rsid w:val="006E731C"/>
    <w:rsid w:val="006F46CB"/>
    <w:rsid w:val="006F799C"/>
    <w:rsid w:val="00700690"/>
    <w:rsid w:val="0070224F"/>
    <w:rsid w:val="00713290"/>
    <w:rsid w:val="00713C35"/>
    <w:rsid w:val="007278B7"/>
    <w:rsid w:val="007310F1"/>
    <w:rsid w:val="00731368"/>
    <w:rsid w:val="007338E8"/>
    <w:rsid w:val="00733E9B"/>
    <w:rsid w:val="0073440F"/>
    <w:rsid w:val="00734838"/>
    <w:rsid w:val="00770B06"/>
    <w:rsid w:val="0077120E"/>
    <w:rsid w:val="00771AE6"/>
    <w:rsid w:val="007747EF"/>
    <w:rsid w:val="007957E0"/>
    <w:rsid w:val="007A23BB"/>
    <w:rsid w:val="007D2B76"/>
    <w:rsid w:val="007D7DB8"/>
    <w:rsid w:val="007E5B58"/>
    <w:rsid w:val="007F22AA"/>
    <w:rsid w:val="007F3C76"/>
    <w:rsid w:val="008022CE"/>
    <w:rsid w:val="008065BB"/>
    <w:rsid w:val="00812F26"/>
    <w:rsid w:val="00813457"/>
    <w:rsid w:val="00816F84"/>
    <w:rsid w:val="00822D90"/>
    <w:rsid w:val="00836FD9"/>
    <w:rsid w:val="00854101"/>
    <w:rsid w:val="0086050B"/>
    <w:rsid w:val="0086154E"/>
    <w:rsid w:val="00873659"/>
    <w:rsid w:val="00884B79"/>
    <w:rsid w:val="0089669E"/>
    <w:rsid w:val="008A24CF"/>
    <w:rsid w:val="008C0E34"/>
    <w:rsid w:val="008C1FEE"/>
    <w:rsid w:val="008E4B7B"/>
    <w:rsid w:val="008F333D"/>
    <w:rsid w:val="00901120"/>
    <w:rsid w:val="0092067E"/>
    <w:rsid w:val="00922733"/>
    <w:rsid w:val="009349CA"/>
    <w:rsid w:val="00945F4E"/>
    <w:rsid w:val="00961BC2"/>
    <w:rsid w:val="009870EC"/>
    <w:rsid w:val="0098775E"/>
    <w:rsid w:val="00995434"/>
    <w:rsid w:val="00997E2D"/>
    <w:rsid w:val="009A3AE1"/>
    <w:rsid w:val="009D0ACD"/>
    <w:rsid w:val="00A1182F"/>
    <w:rsid w:val="00A17625"/>
    <w:rsid w:val="00A20CC7"/>
    <w:rsid w:val="00A2714D"/>
    <w:rsid w:val="00A35D4E"/>
    <w:rsid w:val="00A36167"/>
    <w:rsid w:val="00A44B15"/>
    <w:rsid w:val="00A5087E"/>
    <w:rsid w:val="00A60E45"/>
    <w:rsid w:val="00A62DA4"/>
    <w:rsid w:val="00A777D9"/>
    <w:rsid w:val="00A877B1"/>
    <w:rsid w:val="00A9380E"/>
    <w:rsid w:val="00AA5A6F"/>
    <w:rsid w:val="00AB1F10"/>
    <w:rsid w:val="00AC248C"/>
    <w:rsid w:val="00AC2ED1"/>
    <w:rsid w:val="00AE3099"/>
    <w:rsid w:val="00B001D0"/>
    <w:rsid w:val="00B0116B"/>
    <w:rsid w:val="00B10BD6"/>
    <w:rsid w:val="00B10DD1"/>
    <w:rsid w:val="00B171AD"/>
    <w:rsid w:val="00B34489"/>
    <w:rsid w:val="00B3518F"/>
    <w:rsid w:val="00B46336"/>
    <w:rsid w:val="00B53C9F"/>
    <w:rsid w:val="00B55B2C"/>
    <w:rsid w:val="00B63C8D"/>
    <w:rsid w:val="00B72D6F"/>
    <w:rsid w:val="00B741A5"/>
    <w:rsid w:val="00B8333C"/>
    <w:rsid w:val="00BE78A9"/>
    <w:rsid w:val="00C125F7"/>
    <w:rsid w:val="00C372F0"/>
    <w:rsid w:val="00C64B25"/>
    <w:rsid w:val="00C8539A"/>
    <w:rsid w:val="00C87539"/>
    <w:rsid w:val="00CB65BC"/>
    <w:rsid w:val="00CC5204"/>
    <w:rsid w:val="00CD7433"/>
    <w:rsid w:val="00CE0545"/>
    <w:rsid w:val="00CF0A3D"/>
    <w:rsid w:val="00CF4430"/>
    <w:rsid w:val="00D01C0D"/>
    <w:rsid w:val="00D15383"/>
    <w:rsid w:val="00D157FA"/>
    <w:rsid w:val="00D24BA7"/>
    <w:rsid w:val="00D25BEC"/>
    <w:rsid w:val="00D43204"/>
    <w:rsid w:val="00D45CA4"/>
    <w:rsid w:val="00D57867"/>
    <w:rsid w:val="00D67B43"/>
    <w:rsid w:val="00D74F32"/>
    <w:rsid w:val="00D924A4"/>
    <w:rsid w:val="00D9318C"/>
    <w:rsid w:val="00D96E06"/>
    <w:rsid w:val="00DA3C0F"/>
    <w:rsid w:val="00DB395A"/>
    <w:rsid w:val="00DC09B4"/>
    <w:rsid w:val="00DC44BD"/>
    <w:rsid w:val="00DE4ACD"/>
    <w:rsid w:val="00E07922"/>
    <w:rsid w:val="00E11C67"/>
    <w:rsid w:val="00E26A34"/>
    <w:rsid w:val="00E30E49"/>
    <w:rsid w:val="00E45C95"/>
    <w:rsid w:val="00E46F3C"/>
    <w:rsid w:val="00E55E72"/>
    <w:rsid w:val="00E612DD"/>
    <w:rsid w:val="00E718AD"/>
    <w:rsid w:val="00E85B8D"/>
    <w:rsid w:val="00E933A1"/>
    <w:rsid w:val="00EA04CE"/>
    <w:rsid w:val="00EA2643"/>
    <w:rsid w:val="00EA64C1"/>
    <w:rsid w:val="00EB1535"/>
    <w:rsid w:val="00EB702D"/>
    <w:rsid w:val="00EE3915"/>
    <w:rsid w:val="00F37130"/>
    <w:rsid w:val="00F441F7"/>
    <w:rsid w:val="00F57DE2"/>
    <w:rsid w:val="00F62532"/>
    <w:rsid w:val="00F70EE4"/>
    <w:rsid w:val="00F823AE"/>
    <w:rsid w:val="00F9513A"/>
    <w:rsid w:val="00FB3FFA"/>
    <w:rsid w:val="00FD2F06"/>
    <w:rsid w:val="00FD42F4"/>
    <w:rsid w:val="00FD4CC2"/>
    <w:rsid w:val="00FE39EE"/>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unhideWhenUsed/>
    <w:rsid w:val="004D2A8B"/>
    <w:rPr>
      <w:sz w:val="20"/>
    </w:rPr>
  </w:style>
  <w:style w:type="character" w:customStyle="1" w:styleId="CommentTextChar">
    <w:name w:val="Comment Text Char"/>
    <w:basedOn w:val="DefaultParagraphFont"/>
    <w:link w:val="CommentText"/>
    <w:uiPriority w:val="99"/>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 w:type="paragraph" w:styleId="ListBullet">
    <w:name w:val="List Bullet"/>
    <w:aliases w:val="Bullet List 1"/>
    <w:basedOn w:val="Normal"/>
    <w:link w:val="ListBulletChar"/>
    <w:uiPriority w:val="99"/>
    <w:unhideWhenUsed/>
    <w:qFormat/>
    <w:rsid w:val="002C1AD5"/>
    <w:pPr>
      <w:numPr>
        <w:numId w:val="11"/>
      </w:numPr>
      <w:spacing w:after="200" w:line="276" w:lineRule="auto"/>
      <w:contextualSpacing/>
    </w:pPr>
    <w:rPr>
      <w:rFonts w:asciiTheme="minorHAnsi" w:eastAsiaTheme="minorHAnsi" w:hAnsiTheme="minorHAnsi" w:cstheme="minorBidi"/>
      <w:sz w:val="22"/>
      <w:szCs w:val="22"/>
    </w:rPr>
  </w:style>
  <w:style w:type="numbering" w:customStyle="1" w:styleId="Style2">
    <w:name w:val="Style2"/>
    <w:uiPriority w:val="99"/>
    <w:rsid w:val="002C1AD5"/>
    <w:pPr>
      <w:numPr>
        <w:numId w:val="10"/>
      </w:numPr>
    </w:pPr>
  </w:style>
  <w:style w:type="character" w:customStyle="1" w:styleId="ListBulletChar">
    <w:name w:val="List Bullet Char"/>
    <w:aliases w:val="Bullet List 1 Char"/>
    <w:basedOn w:val="DefaultParagraphFont"/>
    <w:link w:val="ListBullet"/>
    <w:uiPriority w:val="99"/>
    <w:rsid w:val="002C1AD5"/>
  </w:style>
  <w:style w:type="paragraph" w:styleId="FootnoteText">
    <w:name w:val="footnote text"/>
    <w:basedOn w:val="Normal"/>
    <w:link w:val="FootnoteTextChar"/>
    <w:uiPriority w:val="99"/>
    <w:semiHidden/>
    <w:unhideWhenUsed/>
    <w:rsid w:val="00F70EE4"/>
    <w:rPr>
      <w:sz w:val="20"/>
    </w:rPr>
  </w:style>
  <w:style w:type="character" w:customStyle="1" w:styleId="FootnoteTextChar">
    <w:name w:val="Footnote Text Char"/>
    <w:basedOn w:val="DefaultParagraphFont"/>
    <w:link w:val="FootnoteText"/>
    <w:uiPriority w:val="99"/>
    <w:semiHidden/>
    <w:rsid w:val="00F70EE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70E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LocationandLinks xmlns="21934866-407e-4eb7-84a5-689e8997aac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0BDE8D-070F-4B2C-B184-E775C1FF7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B7D761-9B9B-4CCC-A55D-9C90149719D2}">
  <ds:schemaRef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21934866-407e-4eb7-84a5-689e8997aac6"/>
    <ds:schemaRef ds:uri="http://schemas.openxmlformats.org/package/2006/metadata/core-properties"/>
    <ds:schemaRef ds:uri="1d95c80d-1bfc-4284-8ead-90dee9a0b47f"/>
    <ds:schemaRef ds:uri="http://schemas.microsoft.com/office/2006/metadata/properties"/>
  </ds:schemaRefs>
</ds:datastoreItem>
</file>

<file path=customXml/itemProps3.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4.xml><?xml version="1.0" encoding="utf-8"?>
<ds:datastoreItem xmlns:ds="http://schemas.openxmlformats.org/officeDocument/2006/customXml" ds:itemID="{94EA8714-3BC7-4CE4-B86B-23DE728C98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2024-03-15T04:55:00Z</dcterms:created>
  <dcterms:modified xsi:type="dcterms:W3CDTF">2024-03-15T04:55:00Z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2022-06-15T05:21:50Z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6f9bcdc7-21bd-4352-a583-04cfe84c5d7f</vt:lpwstr>
  </property>
  <property fmtid="{D5CDD505-2E9C-101B-9397-08002B2CF9AE}" pid="8" name="MSIP_Label_5f877481-9e35-4b68-b667-876a73c6db41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