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2D04" w14:textId="77777777" w:rsidR="00107DD5" w:rsidRDefault="00221D8F" w:rsidP="00CA4815">
      <w:r w:rsidRPr="00CA4815">
        <w:rPr>
          <w:b/>
          <w:bCs/>
          <w:noProof/>
        </w:rPr>
        <w:drawing>
          <wp:anchor distT="0" distB="0" distL="114300" distR="114300" simplePos="0" relativeHeight="251658240" behindDoc="1" locked="1" layoutInCell="1" allowOverlap="1" wp14:anchorId="6453395D" wp14:editId="52A75F63">
            <wp:simplePos x="0" y="0"/>
            <wp:positionH relativeFrom="page">
              <wp:posOffset>0</wp:posOffset>
            </wp:positionH>
            <wp:positionV relativeFrom="page">
              <wp:posOffset>-223520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049F670" wp14:editId="207FF451">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6682CA7E" w14:textId="44515C34" w:rsidR="00221D8F" w:rsidRDefault="00EA45CF" w:rsidP="00221D8F">
      <w:pPr>
        <w:pStyle w:val="Heading1"/>
      </w:pPr>
      <w:bookmarkStart w:id="0" w:name="_Toc126923146"/>
      <w:bookmarkStart w:id="1" w:name="_Toc126923157"/>
      <w:bookmarkStart w:id="2" w:name="_Toc147758193"/>
      <w:r>
        <w:rPr>
          <w:rFonts w:eastAsiaTheme="minorHAnsi"/>
        </w:rPr>
        <w:t>Choice and Affordability Fund</w:t>
      </w:r>
      <w:bookmarkEnd w:id="0"/>
      <w:bookmarkEnd w:id="1"/>
      <w:bookmarkEnd w:id="2"/>
    </w:p>
    <w:p w14:paraId="6FB56562" w14:textId="24ABC465" w:rsidR="00107D87" w:rsidRDefault="00EA45CF" w:rsidP="005F3571">
      <w:pPr>
        <w:pStyle w:val="Subtitle"/>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r>
        <w:t>202</w:t>
      </w:r>
      <w:r w:rsidR="00965895">
        <w:t>2</w:t>
      </w:r>
      <w:r>
        <w:t xml:space="preserve"> Annual Rep</w:t>
      </w:r>
      <w:r w:rsidR="00D36A9D">
        <w:t>ort</w:t>
      </w:r>
    </w:p>
    <w:p w14:paraId="4B24821C" w14:textId="77777777" w:rsidR="005F3571" w:rsidRPr="005F3571" w:rsidRDefault="005F3571" w:rsidP="005F3571">
      <w:pPr>
        <w:spacing w:before="8760"/>
        <w:rPr>
          <w:b/>
          <w:bCs/>
        </w:rPr>
      </w:pPr>
    </w:p>
    <w:p w14:paraId="6EDDE4AE" w14:textId="77777777" w:rsidR="0017134D" w:rsidRDefault="00107D87" w:rsidP="0017134D">
      <w:r>
        <w:rPr>
          <w:noProof/>
        </w:rPr>
        <w:drawing>
          <wp:inline distT="0" distB="0" distL="0" distR="0" wp14:anchorId="67CC81CB" wp14:editId="2B9C35B2">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19AE7DD"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3EBDDE7B" w14:textId="77777777" w:rsidR="0017134D" w:rsidRDefault="0017134D" w:rsidP="0017134D">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150CDC51" w14:textId="30993881" w:rsidR="0017134D" w:rsidRDefault="0017134D" w:rsidP="0017134D">
      <w:r>
        <w:t xml:space="preserve">The document must be attributed as the </w:t>
      </w:r>
      <w:r w:rsidR="00EA45CF">
        <w:t>Choice and Affordability Fund 2021 Annual Report</w:t>
      </w:r>
      <w:r>
        <w:t>.</w:t>
      </w:r>
    </w:p>
    <w:p w14:paraId="296CDBC8"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156496683"/>
        <w:docPartObj>
          <w:docPartGallery w:val="Table of Contents"/>
          <w:docPartUnique/>
        </w:docPartObj>
      </w:sdtPr>
      <w:sdtEndPr>
        <w:rPr>
          <w:bCs/>
          <w:noProof/>
        </w:rPr>
      </w:sdtEndPr>
      <w:sdtContent>
        <w:p w14:paraId="59DBF610" w14:textId="77777777" w:rsidR="007D2AF2" w:rsidRPr="007D2AF2" w:rsidRDefault="007D2AF2" w:rsidP="007D2AF2">
          <w:pPr>
            <w:pStyle w:val="TOCHeading"/>
            <w:rPr>
              <w:color w:val="008599" w:themeColor="accent1"/>
              <w:sz w:val="32"/>
              <w:szCs w:val="24"/>
              <w:lang w:val="en-AU"/>
            </w:rPr>
          </w:pPr>
          <w:r w:rsidRPr="007D2AF2">
            <w:rPr>
              <w:color w:val="008599" w:themeColor="accent1"/>
              <w:sz w:val="32"/>
              <w:szCs w:val="24"/>
              <w:lang w:val="en-AU"/>
            </w:rPr>
            <w:t>Contents</w:t>
          </w:r>
        </w:p>
        <w:p w14:paraId="26E03E68" w14:textId="7445269F" w:rsidR="001978B9" w:rsidRPr="001978B9" w:rsidRDefault="007D2AF2">
          <w:pPr>
            <w:pStyle w:val="TOC1"/>
            <w:rPr>
              <w:rFonts w:eastAsiaTheme="minorEastAsia"/>
              <w:noProof/>
              <w:kern w:val="2"/>
              <w:sz w:val="20"/>
              <w:szCs w:val="20"/>
              <w:lang w:eastAsia="en-AU"/>
              <w14:ligatures w14:val="standardContextual"/>
            </w:rPr>
          </w:pPr>
          <w:r>
            <w:fldChar w:fldCharType="begin"/>
          </w:r>
          <w:r>
            <w:instrText xml:space="preserve"> TOC \o "1-3" \h \z \u </w:instrText>
          </w:r>
          <w:r>
            <w:fldChar w:fldCharType="separate"/>
          </w:r>
          <w:hyperlink w:anchor="_Toc147758193" w:history="1">
            <w:r w:rsidR="001978B9" w:rsidRPr="001978B9">
              <w:rPr>
                <w:rStyle w:val="Hyperlink"/>
                <w:noProof/>
                <w:sz w:val="20"/>
                <w:szCs w:val="20"/>
              </w:rPr>
              <w:t>Choice and Affordability Fund</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_Toc147758193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w:t>
            </w:r>
            <w:r w:rsidR="001978B9" w:rsidRPr="001978B9">
              <w:rPr>
                <w:noProof/>
                <w:webHidden/>
                <w:sz w:val="20"/>
                <w:szCs w:val="20"/>
              </w:rPr>
              <w:fldChar w:fldCharType="end"/>
            </w:r>
          </w:hyperlink>
        </w:p>
        <w:p w14:paraId="03C6D7A7" w14:textId="6F922B8B"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194" w:history="1">
            <w:r w:rsidR="001978B9" w:rsidRPr="001978B9">
              <w:rPr>
                <w:rStyle w:val="Hyperlink"/>
                <w:bCs/>
                <w:noProof/>
                <w:sz w:val="20"/>
                <w:szCs w:val="20"/>
              </w:rPr>
              <w:t>Executive summary</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_Toc147758194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4</w:t>
            </w:r>
            <w:r w:rsidR="001978B9" w:rsidRPr="001978B9">
              <w:rPr>
                <w:noProof/>
                <w:webHidden/>
                <w:sz w:val="20"/>
                <w:szCs w:val="20"/>
              </w:rPr>
              <w:fldChar w:fldCharType="end"/>
            </w:r>
          </w:hyperlink>
        </w:p>
        <w:p w14:paraId="7E4BDA29" w14:textId="14414DA4"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195" w:history="1">
            <w:r w:rsidR="001978B9" w:rsidRPr="001978B9">
              <w:rPr>
                <w:rStyle w:val="Hyperlink"/>
                <w:bCs/>
                <w:noProof/>
                <w:sz w:val="20"/>
                <w:szCs w:val="20"/>
              </w:rPr>
              <w:t>Introduction</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_Toc147758195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5</w:t>
            </w:r>
            <w:r w:rsidR="001978B9" w:rsidRPr="001978B9">
              <w:rPr>
                <w:noProof/>
                <w:webHidden/>
                <w:sz w:val="20"/>
                <w:szCs w:val="20"/>
              </w:rPr>
              <w:fldChar w:fldCharType="end"/>
            </w:r>
          </w:hyperlink>
        </w:p>
        <w:p w14:paraId="3EFD5573" w14:textId="13B4A30F"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196" w:history="1">
            <w:r w:rsidR="001978B9" w:rsidRPr="001978B9">
              <w:rPr>
                <w:rStyle w:val="Hyperlink"/>
                <w:noProof/>
                <w:sz w:val="20"/>
                <w:szCs w:val="20"/>
              </w:rPr>
              <w:t>CAF priorities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_Toc147758196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17C3EEAD" w14:textId="19C39A20"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197" w:history="1">
            <w:r w:rsidR="001978B9" w:rsidRPr="001978B9">
              <w:rPr>
                <w:rStyle w:val="Hyperlink"/>
                <w:noProof/>
                <w:sz w:val="20"/>
                <w:szCs w:val="20"/>
              </w:rPr>
              <w:t>A - Choice and affordability of schools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_Toc147758197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52A82AC7" w14:textId="1523C63F"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198" w:history="1">
            <w:r w:rsidR="001978B9" w:rsidRPr="001978B9">
              <w:rPr>
                <w:rStyle w:val="Hyperlink"/>
                <w:noProof/>
                <w:sz w:val="20"/>
                <w:szCs w:val="20"/>
              </w:rPr>
              <w:t>B - Transition assistance</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_Toc147758198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187DFC85" w14:textId="78C4FFD1"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199" w:history="1">
            <w:r w:rsidR="001978B9" w:rsidRPr="001978B9">
              <w:rPr>
                <w:rStyle w:val="Hyperlink"/>
                <w:noProof/>
                <w:sz w:val="20"/>
                <w:szCs w:val="20"/>
              </w:rPr>
              <w:t>C - Special circumstances funding</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_Toc147758199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344D4732" w14:textId="0E5E71BE"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0" w:history="1">
            <w:r w:rsidR="001978B9" w:rsidRPr="001978B9">
              <w:rPr>
                <w:rStyle w:val="Hyperlink"/>
                <w:noProof/>
                <w:sz w:val="20"/>
                <w:szCs w:val="20"/>
              </w:rPr>
              <w:t>D - Strengthening outcomes for schools and educationally disadvantaged schools and students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_Toc147758200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13B10A94" w14:textId="695E3092"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1" w:history="1">
            <w:r w:rsidR="001978B9" w:rsidRPr="001978B9">
              <w:rPr>
                <w:rStyle w:val="Hyperlink"/>
                <w:noProof/>
                <w:sz w:val="20"/>
                <w:szCs w:val="20"/>
              </w:rPr>
              <w:t>E - Student wellbeing and support</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_Toc147758201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09EF9933" w14:textId="362D047C"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2" w:history="1">
            <w:r w:rsidR="001978B9" w:rsidRPr="001978B9">
              <w:rPr>
                <w:rStyle w:val="Hyperlink"/>
                <w:noProof/>
                <w:sz w:val="20"/>
                <w:szCs w:val="20"/>
              </w:rPr>
              <w:t>F - Other priorities identified from time to time</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_Toc147758202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6</w:t>
            </w:r>
            <w:r w:rsidR="001978B9" w:rsidRPr="001978B9">
              <w:rPr>
                <w:noProof/>
                <w:webHidden/>
                <w:sz w:val="20"/>
                <w:szCs w:val="20"/>
              </w:rPr>
              <w:fldChar w:fldCharType="end"/>
            </w:r>
          </w:hyperlink>
        </w:p>
        <w:p w14:paraId="47D4ED4D" w14:textId="5F3D2707"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203" w:history="1">
            <w:r w:rsidR="001978B9" w:rsidRPr="001978B9">
              <w:rPr>
                <w:rStyle w:val="Hyperlink"/>
                <w:noProof/>
                <w:sz w:val="20"/>
                <w:szCs w:val="20"/>
              </w:rPr>
              <w:t>Measuring progress against CAF priorities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_Toc147758203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7</w:t>
            </w:r>
            <w:r w:rsidR="001978B9" w:rsidRPr="001978B9">
              <w:rPr>
                <w:noProof/>
                <w:webHidden/>
                <w:sz w:val="20"/>
                <w:szCs w:val="20"/>
              </w:rPr>
              <w:fldChar w:fldCharType="end"/>
            </w:r>
          </w:hyperlink>
        </w:p>
        <w:p w14:paraId="4EA09084" w14:textId="05206E05"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204" w:history="1">
            <w:r w:rsidR="001978B9" w:rsidRPr="001978B9">
              <w:rPr>
                <w:rStyle w:val="Hyperlink"/>
                <w:noProof/>
                <w:sz w:val="20"/>
                <w:szCs w:val="20"/>
              </w:rPr>
              <w:t>Summary of activity and progress delivered in 2022</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_Toc147758204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7</w:t>
            </w:r>
            <w:r w:rsidR="001978B9" w:rsidRPr="001978B9">
              <w:rPr>
                <w:noProof/>
                <w:webHidden/>
                <w:sz w:val="20"/>
                <w:szCs w:val="20"/>
              </w:rPr>
              <w:fldChar w:fldCharType="end"/>
            </w:r>
          </w:hyperlink>
        </w:p>
        <w:p w14:paraId="00D5073A" w14:textId="766BC2EB"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205" w:history="1">
            <w:r w:rsidR="001978B9" w:rsidRPr="001978B9">
              <w:rPr>
                <w:rStyle w:val="Hyperlink"/>
                <w:noProof/>
                <w:sz w:val="20"/>
                <w:szCs w:val="20"/>
              </w:rPr>
              <w:t>Activities delivered by CAF priority</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_Toc147758205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10</w:t>
            </w:r>
            <w:r w:rsidR="001978B9" w:rsidRPr="001978B9">
              <w:rPr>
                <w:noProof/>
                <w:webHidden/>
                <w:sz w:val="20"/>
                <w:szCs w:val="20"/>
              </w:rPr>
              <w:fldChar w:fldCharType="end"/>
            </w:r>
          </w:hyperlink>
        </w:p>
        <w:p w14:paraId="0782E56F" w14:textId="677B8A9E"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6" w:history="1">
            <w:r w:rsidR="001978B9" w:rsidRPr="001978B9">
              <w:rPr>
                <w:rStyle w:val="Hyperlink"/>
                <w:noProof/>
                <w:sz w:val="20"/>
                <w:szCs w:val="20"/>
              </w:rPr>
              <w:t>A - Choice and affordability of schools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_Toc147758206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11</w:t>
            </w:r>
            <w:r w:rsidR="001978B9" w:rsidRPr="001978B9">
              <w:rPr>
                <w:noProof/>
                <w:webHidden/>
                <w:sz w:val="20"/>
                <w:szCs w:val="20"/>
              </w:rPr>
              <w:fldChar w:fldCharType="end"/>
            </w:r>
          </w:hyperlink>
        </w:p>
        <w:p w14:paraId="43A890FE" w14:textId="50EF9C2E"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7" w:history="1">
            <w:r w:rsidR="001978B9" w:rsidRPr="001978B9">
              <w:rPr>
                <w:rStyle w:val="Hyperlink"/>
                <w:bCs/>
                <w:noProof/>
                <w:sz w:val="20"/>
                <w:szCs w:val="20"/>
              </w:rPr>
              <w:t>B - Transition assistance</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_Toc147758207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12</w:t>
            </w:r>
            <w:r w:rsidR="001978B9" w:rsidRPr="001978B9">
              <w:rPr>
                <w:noProof/>
                <w:webHidden/>
                <w:sz w:val="20"/>
                <w:szCs w:val="20"/>
              </w:rPr>
              <w:fldChar w:fldCharType="end"/>
            </w:r>
          </w:hyperlink>
        </w:p>
        <w:p w14:paraId="34CF320F" w14:textId="38DA71D9"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8" w:history="1">
            <w:r w:rsidR="001978B9" w:rsidRPr="001978B9">
              <w:rPr>
                <w:rStyle w:val="Hyperlink"/>
                <w:bCs/>
                <w:noProof/>
                <w:sz w:val="20"/>
                <w:szCs w:val="20"/>
              </w:rPr>
              <w:t>C - Special circumstances funding</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_Toc147758208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13</w:t>
            </w:r>
            <w:r w:rsidR="001978B9" w:rsidRPr="001978B9">
              <w:rPr>
                <w:noProof/>
                <w:webHidden/>
                <w:sz w:val="20"/>
                <w:szCs w:val="20"/>
              </w:rPr>
              <w:fldChar w:fldCharType="end"/>
            </w:r>
          </w:hyperlink>
        </w:p>
        <w:p w14:paraId="0BC03A13" w14:textId="6DD05F4D"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09" w:history="1">
            <w:r w:rsidR="001978B9" w:rsidRPr="001978B9">
              <w:rPr>
                <w:rStyle w:val="Hyperlink"/>
                <w:noProof/>
                <w:sz w:val="20"/>
                <w:szCs w:val="20"/>
              </w:rPr>
              <w:t>D - Strengthening outcomes for schools and educationally disadvantaged schools and students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_Toc147758209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14</w:t>
            </w:r>
            <w:r w:rsidR="001978B9" w:rsidRPr="001978B9">
              <w:rPr>
                <w:noProof/>
                <w:webHidden/>
                <w:sz w:val="20"/>
                <w:szCs w:val="20"/>
              </w:rPr>
              <w:fldChar w:fldCharType="end"/>
            </w:r>
          </w:hyperlink>
        </w:p>
        <w:p w14:paraId="6880AF76" w14:textId="05CFF957" w:rsidR="001978B9" w:rsidRPr="001978B9" w:rsidRDefault="0080446A">
          <w:pPr>
            <w:pStyle w:val="TOC3"/>
            <w:tabs>
              <w:tab w:val="right" w:leader="dot" w:pos="9016"/>
            </w:tabs>
            <w:rPr>
              <w:rFonts w:eastAsiaTheme="minorEastAsia"/>
              <w:noProof/>
              <w:kern w:val="2"/>
              <w:sz w:val="20"/>
              <w:szCs w:val="20"/>
              <w:lang w:eastAsia="en-AU"/>
              <w14:ligatures w14:val="standardContextual"/>
            </w:rPr>
          </w:pPr>
          <w:hyperlink w:anchor="_Toc147758210" w:history="1">
            <w:r w:rsidR="001978B9" w:rsidRPr="001978B9">
              <w:rPr>
                <w:rStyle w:val="Hyperlink"/>
                <w:noProof/>
                <w:sz w:val="20"/>
                <w:szCs w:val="20"/>
              </w:rPr>
              <w:t>E - Student wellbeing and support</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_Toc147758210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15</w:t>
            </w:r>
            <w:r w:rsidR="001978B9" w:rsidRPr="001978B9">
              <w:rPr>
                <w:noProof/>
                <w:webHidden/>
                <w:sz w:val="20"/>
                <w:szCs w:val="20"/>
              </w:rPr>
              <w:fldChar w:fldCharType="end"/>
            </w:r>
          </w:hyperlink>
        </w:p>
        <w:p w14:paraId="2BD8236D" w14:textId="26552FCA"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211" w:history="1">
            <w:r w:rsidR="001978B9" w:rsidRPr="001978B9">
              <w:rPr>
                <w:rStyle w:val="Hyperlink"/>
                <w:noProof/>
                <w:sz w:val="20"/>
                <w:szCs w:val="20"/>
              </w:rPr>
              <w:t>Summary of the CAF financial position</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_Toc147758211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16</w:t>
            </w:r>
            <w:r w:rsidR="001978B9" w:rsidRPr="001978B9">
              <w:rPr>
                <w:noProof/>
                <w:webHidden/>
                <w:sz w:val="20"/>
                <w:szCs w:val="20"/>
              </w:rPr>
              <w:fldChar w:fldCharType="end"/>
            </w:r>
          </w:hyperlink>
        </w:p>
        <w:p w14:paraId="1DD3D31C" w14:textId="684B874C" w:rsidR="001978B9" w:rsidRPr="001978B9" w:rsidRDefault="0080446A">
          <w:pPr>
            <w:pStyle w:val="TOC2"/>
            <w:tabs>
              <w:tab w:val="right" w:leader="dot" w:pos="9016"/>
            </w:tabs>
            <w:rPr>
              <w:rFonts w:eastAsiaTheme="minorEastAsia"/>
              <w:noProof/>
              <w:kern w:val="2"/>
              <w:sz w:val="20"/>
              <w:szCs w:val="20"/>
              <w:lang w:eastAsia="en-AU"/>
              <w14:ligatures w14:val="standardContextual"/>
            </w:rPr>
          </w:pPr>
          <w:hyperlink w:anchor="_Toc147758212" w:history="1">
            <w:r w:rsidR="001978B9" w:rsidRPr="001978B9">
              <w:rPr>
                <w:rStyle w:val="Hyperlink"/>
                <w:noProof/>
                <w:sz w:val="20"/>
                <w:szCs w:val="20"/>
              </w:rPr>
              <w:t>Payments to NGRBs</w:t>
            </w:r>
            <w:r w:rsidR="001978B9" w:rsidRPr="001978B9">
              <w:rPr>
                <w:noProof/>
                <w:webHidden/>
                <w:sz w:val="20"/>
                <w:szCs w:val="20"/>
              </w:rPr>
              <w:tab/>
            </w:r>
            <w:r w:rsidR="001978B9" w:rsidRPr="001978B9">
              <w:rPr>
                <w:noProof/>
                <w:webHidden/>
                <w:sz w:val="20"/>
                <w:szCs w:val="20"/>
              </w:rPr>
              <w:fldChar w:fldCharType="begin"/>
            </w:r>
            <w:r w:rsidR="001978B9" w:rsidRPr="001978B9">
              <w:rPr>
                <w:noProof/>
                <w:webHidden/>
                <w:sz w:val="20"/>
                <w:szCs w:val="20"/>
              </w:rPr>
              <w:instrText xml:space="preserve"> PAGEREF _Toc147758212 \h </w:instrText>
            </w:r>
            <w:r w:rsidR="001978B9" w:rsidRPr="001978B9">
              <w:rPr>
                <w:noProof/>
                <w:webHidden/>
                <w:sz w:val="20"/>
                <w:szCs w:val="20"/>
              </w:rPr>
            </w:r>
            <w:r w:rsidR="001978B9" w:rsidRPr="001978B9">
              <w:rPr>
                <w:noProof/>
                <w:webHidden/>
                <w:sz w:val="20"/>
                <w:szCs w:val="20"/>
              </w:rPr>
              <w:fldChar w:fldCharType="separate"/>
            </w:r>
            <w:r w:rsidR="00AA7E89">
              <w:rPr>
                <w:noProof/>
                <w:webHidden/>
                <w:sz w:val="20"/>
                <w:szCs w:val="20"/>
              </w:rPr>
              <w:t>17</w:t>
            </w:r>
            <w:r w:rsidR="001978B9" w:rsidRPr="001978B9">
              <w:rPr>
                <w:noProof/>
                <w:webHidden/>
                <w:sz w:val="20"/>
                <w:szCs w:val="20"/>
              </w:rPr>
              <w:fldChar w:fldCharType="end"/>
            </w:r>
          </w:hyperlink>
        </w:p>
        <w:p w14:paraId="6EE5609C" w14:textId="625689B9" w:rsidR="007D2AF2" w:rsidRDefault="007D2AF2" w:rsidP="007D2AF2">
          <w:pPr>
            <w:rPr>
              <w:b/>
              <w:bCs/>
              <w:noProof/>
            </w:rPr>
          </w:pPr>
          <w:r>
            <w:rPr>
              <w:b/>
              <w:bCs/>
              <w:noProof/>
            </w:rPr>
            <w:fldChar w:fldCharType="end"/>
          </w:r>
        </w:p>
      </w:sdtContent>
    </w:sdt>
    <w:p w14:paraId="65794F08" w14:textId="77777777" w:rsidR="007D2AF2" w:rsidRPr="002532A7" w:rsidRDefault="0017134D" w:rsidP="00721BA5">
      <w:pPr>
        <w:spacing w:after="100" w:afterAutospacing="1"/>
        <w:rPr>
          <w:rStyle w:val="Heading2Char"/>
          <w:bCs/>
        </w:rPr>
      </w:pPr>
      <w:r>
        <w:br w:type="page"/>
      </w:r>
      <w:bookmarkStart w:id="3" w:name="_Toc147758194"/>
      <w:r w:rsidR="007D2AF2" w:rsidRPr="002532A7">
        <w:rPr>
          <w:rStyle w:val="Heading2Char"/>
          <w:bCs/>
        </w:rPr>
        <w:lastRenderedPageBreak/>
        <w:t>Executive summary</w:t>
      </w:r>
      <w:bookmarkEnd w:id="3"/>
    </w:p>
    <w:p w14:paraId="79D9D8C5" w14:textId="08AA03CE" w:rsidR="007D2AF2" w:rsidRPr="002C5EE1" w:rsidRDefault="007D2AF2" w:rsidP="007D2AF2">
      <w:pPr>
        <w:rPr>
          <w:rFonts w:cstheme="minorHAnsi"/>
        </w:rPr>
      </w:pPr>
      <w:r w:rsidRPr="00A90FEA">
        <w:rPr>
          <w:rFonts w:cstheme="minorHAnsi"/>
        </w:rPr>
        <w:t>The 202</w:t>
      </w:r>
      <w:r w:rsidR="00965895">
        <w:rPr>
          <w:rFonts w:cstheme="minorHAnsi"/>
        </w:rPr>
        <w:t>2</w:t>
      </w:r>
      <w:r w:rsidRPr="00A90FEA">
        <w:rPr>
          <w:rFonts w:cstheme="minorHAnsi"/>
        </w:rPr>
        <w:t xml:space="preserve"> Choice and Affordability Fund (CAF) Annual Report represents the </w:t>
      </w:r>
      <w:r w:rsidR="00965895">
        <w:rPr>
          <w:rFonts w:cstheme="minorHAnsi"/>
        </w:rPr>
        <w:t>third</w:t>
      </w:r>
      <w:r w:rsidRPr="00A90FEA">
        <w:rPr>
          <w:rFonts w:cstheme="minorHAnsi"/>
        </w:rPr>
        <w:t xml:space="preserve"> annual report publication for the CAF. This 202</w:t>
      </w:r>
      <w:r w:rsidR="00965895">
        <w:rPr>
          <w:rFonts w:cstheme="minorHAnsi"/>
        </w:rPr>
        <w:t>2</w:t>
      </w:r>
      <w:r w:rsidRPr="00A90FEA">
        <w:rPr>
          <w:rFonts w:cstheme="minorHAnsi"/>
        </w:rPr>
        <w:t xml:space="preserve"> CAF Annual Report provides a summary about how the CAF has been used by N</w:t>
      </w:r>
      <w:r>
        <w:rPr>
          <w:rFonts w:cstheme="minorHAnsi"/>
        </w:rPr>
        <w:t>on-Government Representative Bodies (N</w:t>
      </w:r>
      <w:r w:rsidRPr="00A90FEA">
        <w:rPr>
          <w:rFonts w:cstheme="minorHAnsi"/>
        </w:rPr>
        <w:t>GRBs</w:t>
      </w:r>
      <w:r>
        <w:rPr>
          <w:rFonts w:cstheme="minorHAnsi"/>
        </w:rPr>
        <w:t>)</w:t>
      </w:r>
      <w:r w:rsidRPr="00A90FEA">
        <w:rPr>
          <w:rFonts w:cstheme="minorHAnsi"/>
        </w:rPr>
        <w:t xml:space="preserve"> over the 202</w:t>
      </w:r>
      <w:r w:rsidR="00965895">
        <w:rPr>
          <w:rFonts w:cstheme="minorHAnsi"/>
        </w:rPr>
        <w:t>2</w:t>
      </w:r>
      <w:r w:rsidRPr="00A90FEA">
        <w:rPr>
          <w:rFonts w:cstheme="minorHAnsi"/>
        </w:rPr>
        <w:t xml:space="preserve"> </w:t>
      </w:r>
      <w:r w:rsidR="00C60786">
        <w:rPr>
          <w:rFonts w:cstheme="minorHAnsi"/>
        </w:rPr>
        <w:t>s</w:t>
      </w:r>
      <w:r w:rsidRPr="00A90FEA">
        <w:rPr>
          <w:rFonts w:cstheme="minorHAnsi"/>
        </w:rPr>
        <w:t xml:space="preserve">chool year to achieve the priorities and </w:t>
      </w:r>
      <w:r w:rsidRPr="002C5EE1">
        <w:rPr>
          <w:rFonts w:cstheme="minorHAnsi"/>
        </w:rPr>
        <w:t xml:space="preserve">activities agreed with the Australian Government. </w:t>
      </w:r>
    </w:p>
    <w:p w14:paraId="355DE8DD" w14:textId="638CE166" w:rsidR="007D2AF2" w:rsidRPr="002C5EE1" w:rsidRDefault="007D2AF2" w:rsidP="007D2AF2">
      <w:pPr>
        <w:rPr>
          <w:rFonts w:cstheme="minorHAnsi"/>
        </w:rPr>
      </w:pPr>
      <w:r w:rsidRPr="002C5EE1">
        <w:rPr>
          <w:rFonts w:cstheme="minorHAnsi"/>
        </w:rPr>
        <w:t>NGRBs reported spending $</w:t>
      </w:r>
      <w:r w:rsidR="00E769BA" w:rsidRPr="002C5EE1">
        <w:rPr>
          <w:rFonts w:cstheme="minorHAnsi"/>
        </w:rPr>
        <w:t>79.1</w:t>
      </w:r>
      <w:r w:rsidRPr="002C5EE1">
        <w:rPr>
          <w:rFonts w:cstheme="minorHAnsi"/>
        </w:rPr>
        <w:t> million of the total $10</w:t>
      </w:r>
      <w:r w:rsidR="00E769BA" w:rsidRPr="002C5EE1">
        <w:rPr>
          <w:rFonts w:cstheme="minorHAnsi"/>
        </w:rPr>
        <w:t>9</w:t>
      </w:r>
      <w:r w:rsidRPr="002C5EE1">
        <w:rPr>
          <w:rFonts w:cstheme="minorHAnsi"/>
        </w:rPr>
        <w:t>.</w:t>
      </w:r>
      <w:r w:rsidR="00E769BA" w:rsidRPr="002C5EE1">
        <w:rPr>
          <w:rFonts w:cstheme="minorHAnsi"/>
        </w:rPr>
        <w:t>2</w:t>
      </w:r>
      <w:r w:rsidRPr="002C5EE1">
        <w:rPr>
          <w:rFonts w:cstheme="minorHAnsi"/>
        </w:rPr>
        <w:t xml:space="preserve"> million CAF allocation for 202</w:t>
      </w:r>
      <w:r w:rsidR="001E5038" w:rsidRPr="002C5EE1">
        <w:rPr>
          <w:rFonts w:cstheme="minorHAnsi"/>
        </w:rPr>
        <w:t>2</w:t>
      </w:r>
      <w:r w:rsidRPr="002C5EE1">
        <w:rPr>
          <w:rFonts w:cstheme="minorHAnsi"/>
        </w:rPr>
        <w:t>, of which approximately $</w:t>
      </w:r>
      <w:r w:rsidR="00E769BA" w:rsidRPr="002C5EE1">
        <w:rPr>
          <w:rFonts w:cstheme="minorHAnsi"/>
        </w:rPr>
        <w:t>66.9</w:t>
      </w:r>
      <w:r w:rsidRPr="002C5EE1">
        <w:rPr>
          <w:rFonts w:cstheme="minorHAnsi"/>
        </w:rPr>
        <w:t xml:space="preserve"> million (or </w:t>
      </w:r>
      <w:r w:rsidR="00E769BA" w:rsidRPr="002C5EE1">
        <w:rPr>
          <w:rFonts w:cstheme="minorHAnsi"/>
        </w:rPr>
        <w:t>84.6</w:t>
      </w:r>
      <w:r w:rsidRPr="002C5EE1">
        <w:rPr>
          <w:rFonts w:cstheme="minorHAnsi"/>
        </w:rPr>
        <w:t>%) was distributed directly to schools. Funding has been used to progress the priorities of the CAF and enable non-government schools to continue to support students</w:t>
      </w:r>
      <w:r w:rsidR="002711BB">
        <w:rPr>
          <w:rFonts w:cstheme="minorHAnsi"/>
        </w:rPr>
        <w:t xml:space="preserve"> and families.</w:t>
      </w:r>
    </w:p>
    <w:p w14:paraId="6EBB4451" w14:textId="3FDDB5F7" w:rsidR="007D2AF2" w:rsidRPr="000C494F" w:rsidRDefault="007D2AF2" w:rsidP="007D2AF2">
      <w:r w:rsidRPr="002C5EE1">
        <w:rPr>
          <w:rFonts w:cstheme="minorHAnsi"/>
        </w:rPr>
        <w:t>NGRBs reported deferring $</w:t>
      </w:r>
      <w:r w:rsidR="00E769BA" w:rsidRPr="002C5EE1">
        <w:rPr>
          <w:rFonts w:cstheme="minorHAnsi"/>
        </w:rPr>
        <w:t>30.1</w:t>
      </w:r>
      <w:r w:rsidRPr="002C5EE1">
        <w:rPr>
          <w:rFonts w:cstheme="minorHAnsi"/>
        </w:rPr>
        <w:t xml:space="preserve"> million of 202</w:t>
      </w:r>
      <w:r w:rsidR="00E769BA" w:rsidRPr="002C5EE1">
        <w:rPr>
          <w:rFonts w:cstheme="minorHAnsi"/>
        </w:rPr>
        <w:t>2</w:t>
      </w:r>
      <w:r w:rsidRPr="002C5EE1">
        <w:rPr>
          <w:rFonts w:cstheme="minorHAnsi"/>
        </w:rPr>
        <w:t xml:space="preserve"> funding to use in later years. This reflects the greater need for transition support anticipated by schools</w:t>
      </w:r>
      <w:r w:rsidRPr="00691E47">
        <w:rPr>
          <w:rFonts w:cstheme="minorHAnsi"/>
        </w:rPr>
        <w:t xml:space="preserve"> </w:t>
      </w:r>
      <w:r>
        <w:rPr>
          <w:rFonts w:cstheme="minorHAnsi"/>
        </w:rPr>
        <w:t>from 2022 onwards</w:t>
      </w:r>
      <w:r w:rsidR="002711BB">
        <w:rPr>
          <w:rFonts w:cstheme="minorHAnsi"/>
        </w:rPr>
        <w:t>.</w:t>
      </w:r>
    </w:p>
    <w:p w14:paraId="2138D60F" w14:textId="3F32B633" w:rsidR="007D2AF2" w:rsidRDefault="007D2AF2" w:rsidP="007D2AF2">
      <w:pPr>
        <w:rPr>
          <w:rFonts w:cstheme="minorHAnsi"/>
        </w:rPr>
      </w:pPr>
      <w:r>
        <w:rPr>
          <w:rFonts w:cstheme="minorHAnsi"/>
        </w:rPr>
        <w:t>COVID-19 had an impact on the delivery of CAF activities in 202</w:t>
      </w:r>
      <w:r w:rsidR="00113E84">
        <w:rPr>
          <w:rFonts w:cstheme="minorHAnsi"/>
        </w:rPr>
        <w:t>2</w:t>
      </w:r>
      <w:r w:rsidR="002711BB">
        <w:rPr>
          <w:rFonts w:cstheme="minorHAnsi"/>
        </w:rPr>
        <w:t>,</w:t>
      </w:r>
      <w:r w:rsidR="000A41B7">
        <w:rPr>
          <w:rFonts w:cstheme="minorHAnsi"/>
        </w:rPr>
        <w:t xml:space="preserve"> mostly in Term 1 and Term 2 with the arrival of the Omicron </w:t>
      </w:r>
      <w:r w:rsidR="00DB3060">
        <w:rPr>
          <w:rFonts w:cstheme="minorHAnsi"/>
        </w:rPr>
        <w:t>variant</w:t>
      </w:r>
      <w:r>
        <w:rPr>
          <w:rFonts w:cstheme="minorHAnsi"/>
        </w:rPr>
        <w:t xml:space="preserve">. </w:t>
      </w:r>
      <w:proofErr w:type="gramStart"/>
      <w:r>
        <w:rPr>
          <w:rFonts w:cstheme="minorHAnsi"/>
        </w:rPr>
        <w:t>Similar to</w:t>
      </w:r>
      <w:proofErr w:type="gramEnd"/>
      <w:r>
        <w:rPr>
          <w:rFonts w:cstheme="minorHAnsi"/>
        </w:rPr>
        <w:t xml:space="preserve"> </w:t>
      </w:r>
      <w:r w:rsidR="000A41B7">
        <w:rPr>
          <w:rFonts w:cstheme="minorHAnsi"/>
        </w:rPr>
        <w:t>previous</w:t>
      </w:r>
      <w:r w:rsidR="00113E84">
        <w:rPr>
          <w:rFonts w:cstheme="minorHAnsi"/>
        </w:rPr>
        <w:t xml:space="preserve"> years</w:t>
      </w:r>
      <w:r>
        <w:rPr>
          <w:rFonts w:cstheme="minorHAnsi"/>
        </w:rPr>
        <w:t xml:space="preserve">, some </w:t>
      </w:r>
      <w:r w:rsidRPr="0013349C">
        <w:rPr>
          <w:rFonts w:cstheme="minorHAnsi"/>
        </w:rPr>
        <w:t>NGRBs spen</w:t>
      </w:r>
      <w:r>
        <w:rPr>
          <w:rFonts w:cstheme="minorHAnsi"/>
        </w:rPr>
        <w:t>t</w:t>
      </w:r>
      <w:r w:rsidRPr="0013349C">
        <w:rPr>
          <w:rFonts w:cstheme="minorHAnsi"/>
        </w:rPr>
        <w:t xml:space="preserve"> more than had been </w:t>
      </w:r>
      <w:r w:rsidR="002711BB">
        <w:rPr>
          <w:rFonts w:cstheme="minorHAnsi"/>
        </w:rPr>
        <w:t xml:space="preserve">initially </w:t>
      </w:r>
      <w:r w:rsidRPr="0013349C">
        <w:rPr>
          <w:rFonts w:cstheme="minorHAnsi"/>
        </w:rPr>
        <w:t xml:space="preserve">budgeted </w:t>
      </w:r>
      <w:r>
        <w:rPr>
          <w:rFonts w:cstheme="minorHAnsi"/>
        </w:rPr>
        <w:t>to meet emerging issues</w:t>
      </w:r>
      <w:r w:rsidR="00115222">
        <w:rPr>
          <w:rFonts w:cstheme="minorHAnsi"/>
        </w:rPr>
        <w:t>,</w:t>
      </w:r>
      <w:r>
        <w:rPr>
          <w:rFonts w:cstheme="minorHAnsi"/>
        </w:rPr>
        <w:t xml:space="preserve"> and for student wellbeing activities</w:t>
      </w:r>
      <w:r w:rsidRPr="0013349C">
        <w:rPr>
          <w:rFonts w:cstheme="minorHAnsi"/>
        </w:rPr>
        <w:t xml:space="preserve">. In other situations, </w:t>
      </w:r>
      <w:r>
        <w:rPr>
          <w:rFonts w:cstheme="minorHAnsi"/>
        </w:rPr>
        <w:t xml:space="preserve">changed delivery mechanisms such as </w:t>
      </w:r>
      <w:r w:rsidR="002711BB">
        <w:rPr>
          <w:rFonts w:cstheme="minorHAnsi"/>
        </w:rPr>
        <w:t xml:space="preserve">the </w:t>
      </w:r>
      <w:r>
        <w:rPr>
          <w:rFonts w:cstheme="minorHAnsi"/>
        </w:rPr>
        <w:t xml:space="preserve">use of online platforms meant less funding was needed, and subsequently deferred </w:t>
      </w:r>
      <w:r w:rsidR="00EE0E4A">
        <w:rPr>
          <w:rFonts w:cstheme="minorHAnsi"/>
        </w:rPr>
        <w:t xml:space="preserve">additional funding </w:t>
      </w:r>
      <w:r>
        <w:rPr>
          <w:rFonts w:cstheme="minorHAnsi"/>
        </w:rPr>
        <w:t>to future years.</w:t>
      </w:r>
      <w:r w:rsidRPr="00FA0E5E">
        <w:rPr>
          <w:rFonts w:cstheme="minorHAnsi"/>
        </w:rPr>
        <w:t xml:space="preserve"> </w:t>
      </w:r>
    </w:p>
    <w:p w14:paraId="1C78B007" w14:textId="71983AEA" w:rsidR="007D2AF2" w:rsidRDefault="007D2AF2" w:rsidP="007D2AF2">
      <w:pPr>
        <w:rPr>
          <w:rFonts w:cstheme="minorHAnsi"/>
        </w:rPr>
      </w:pPr>
      <w:r>
        <w:rPr>
          <w:rFonts w:cstheme="minorHAnsi"/>
        </w:rPr>
        <w:t>Collectively, NGRBs supported</w:t>
      </w:r>
      <w:r w:rsidRPr="00411B0A">
        <w:rPr>
          <w:rFonts w:ascii="Calibri" w:eastAsia="Calibri" w:hAnsi="Calibri"/>
          <w:color w:val="000000"/>
          <w:lang w:val="en-US"/>
        </w:rPr>
        <w:t xml:space="preserve"> hundreds of </w:t>
      </w:r>
      <w:r>
        <w:rPr>
          <w:rFonts w:ascii="Calibri" w:eastAsia="Calibri" w:hAnsi="Calibri"/>
          <w:color w:val="000000"/>
          <w:lang w:val="en-US"/>
        </w:rPr>
        <w:t xml:space="preserve">schools, and thousands of </w:t>
      </w:r>
      <w:r w:rsidRPr="00411B0A">
        <w:rPr>
          <w:rFonts w:ascii="Calibri" w:eastAsia="Calibri" w:hAnsi="Calibri"/>
          <w:color w:val="000000"/>
          <w:lang w:val="en-US"/>
        </w:rPr>
        <w:t>students and families</w:t>
      </w:r>
      <w:r>
        <w:rPr>
          <w:rFonts w:ascii="Calibri" w:eastAsia="Calibri" w:hAnsi="Calibri"/>
          <w:color w:val="000000"/>
          <w:lang w:val="en-US"/>
        </w:rPr>
        <w:t xml:space="preserve"> during 202</w:t>
      </w:r>
      <w:r w:rsidR="00113E84">
        <w:rPr>
          <w:rFonts w:ascii="Calibri" w:eastAsia="Calibri" w:hAnsi="Calibri"/>
          <w:color w:val="000000"/>
          <w:lang w:val="en-US"/>
        </w:rPr>
        <w:t>2</w:t>
      </w:r>
      <w:r w:rsidR="00EE0E4A">
        <w:rPr>
          <w:rFonts w:cstheme="minorHAnsi"/>
        </w:rPr>
        <w:t>.</w:t>
      </w:r>
    </w:p>
    <w:p w14:paraId="5D05C752" w14:textId="77777777" w:rsidR="007D2AF2" w:rsidRPr="00E624CC" w:rsidRDefault="007D2AF2" w:rsidP="007D2AF2">
      <w:pPr>
        <w:rPr>
          <w:rStyle w:val="Heading2Char"/>
          <w:rFonts w:cstheme="minorHAnsi"/>
          <w:b w:val="0"/>
          <w:color w:val="auto"/>
        </w:rPr>
      </w:pPr>
      <w:r>
        <w:rPr>
          <w:rFonts w:cstheme="minorHAnsi"/>
        </w:rPr>
        <w:br w:type="page"/>
      </w:r>
      <w:bookmarkStart w:id="4" w:name="_Toc147758195"/>
      <w:r w:rsidRPr="002532A7">
        <w:rPr>
          <w:rStyle w:val="Heading2Char"/>
          <w:bCs/>
        </w:rPr>
        <w:lastRenderedPageBreak/>
        <w:t>Introduction</w:t>
      </w:r>
      <w:bookmarkEnd w:id="4"/>
      <w:r>
        <w:rPr>
          <w:rStyle w:val="Heading2Char"/>
          <w:bCs/>
        </w:rPr>
        <w:t xml:space="preserve"> </w:t>
      </w:r>
    </w:p>
    <w:p w14:paraId="41BC7945" w14:textId="022F5DCE" w:rsidR="007D2AF2" w:rsidRDefault="007D2AF2" w:rsidP="007D2AF2">
      <w:bookmarkStart w:id="5" w:name="_Hlk147746413"/>
      <w:r>
        <w:t xml:space="preserve">The </w:t>
      </w:r>
      <w:r w:rsidRPr="00C12639">
        <w:rPr>
          <w:i/>
          <w:iCs/>
        </w:rPr>
        <w:t>Australian Education Regulation</w:t>
      </w:r>
      <w:r w:rsidR="00115222">
        <w:rPr>
          <w:i/>
          <w:iCs/>
        </w:rPr>
        <w:t>s</w:t>
      </w:r>
      <w:r w:rsidRPr="00C12639">
        <w:rPr>
          <w:i/>
          <w:iCs/>
        </w:rPr>
        <w:t xml:space="preserve"> 20</w:t>
      </w:r>
      <w:r w:rsidR="00115222">
        <w:rPr>
          <w:i/>
          <w:iCs/>
        </w:rPr>
        <w:t>2</w:t>
      </w:r>
      <w:r w:rsidRPr="00C12639">
        <w:rPr>
          <w:i/>
          <w:iCs/>
        </w:rPr>
        <w:t>3</w:t>
      </w:r>
      <w:r>
        <w:t xml:space="preserve"> </w:t>
      </w:r>
      <w:r w:rsidR="001B575C">
        <w:t xml:space="preserve">(the Regulations) </w:t>
      </w:r>
      <w:r>
        <w:t>requires Non-Government Representative Bodies (NGRBs) to provide an annual report by 30 June of each year to the Minister for Education in relation to their</w:t>
      </w:r>
      <w:r w:rsidRPr="00F0732C">
        <w:t xml:space="preserve"> </w:t>
      </w:r>
      <w:r w:rsidR="00407BB7">
        <w:t>CAF</w:t>
      </w:r>
      <w:r>
        <w:t xml:space="preserve"> activities for the previous year. </w:t>
      </w:r>
    </w:p>
    <w:p w14:paraId="768515CB" w14:textId="77777777" w:rsidR="007D2AF2" w:rsidRDefault="007D2AF2" w:rsidP="007D2AF2">
      <w:r>
        <w:t xml:space="preserve">Each report outlines how CAF funds have been allocated to help schools and details progress in achieving the agreed priorities and intended outcomes identified in individual CAF agreements, and in CAF workplans where relevant. </w:t>
      </w:r>
    </w:p>
    <w:p w14:paraId="6AA202C2" w14:textId="6A2F02B4" w:rsidR="007D2AF2" w:rsidRDefault="007D2AF2" w:rsidP="007D2AF2">
      <w:r>
        <w:t>The Australian Government Department of Education (the department) reviews each individual CAF annual report submitted by NGRBs to confirm funding has been used in accordance with the CAF Guidelines, agreements and workplans. Approval of each NGRBs CAF annual report i</w:t>
      </w:r>
      <w:r w:rsidR="00407BB7">
        <w:t>s</w:t>
      </w:r>
      <w:r>
        <w:t xml:space="preserve"> a condition of ongoing CAF funding. </w:t>
      </w:r>
    </w:p>
    <w:p w14:paraId="6450A99C" w14:textId="77777777" w:rsidR="007D2AF2" w:rsidRDefault="007D2AF2" w:rsidP="007D2AF2">
      <w:pPr>
        <w:rPr>
          <w:rFonts w:cstheme="majorHAnsi"/>
        </w:rPr>
      </w:pPr>
      <w:r>
        <w:rPr>
          <w:rFonts w:cstheme="majorHAnsi"/>
        </w:rPr>
        <w:t>T</w:t>
      </w:r>
      <w:r w:rsidRPr="00AC783D">
        <w:rPr>
          <w:rFonts w:cstheme="majorHAnsi"/>
        </w:rPr>
        <w:t>h</w:t>
      </w:r>
      <w:r>
        <w:rPr>
          <w:rFonts w:cstheme="majorHAnsi"/>
        </w:rPr>
        <w:t>is report provides a consolidated summary of NGRB activities and expenditure under the CAF program to support transparency in Commonwealth school funding arrangements.</w:t>
      </w:r>
    </w:p>
    <w:p w14:paraId="0587BD69" w14:textId="3D51E30B" w:rsidR="007D2AF2" w:rsidRPr="0018106D" w:rsidRDefault="007D2AF2" w:rsidP="007D2AF2">
      <w:r w:rsidRPr="0018106D">
        <w:rPr>
          <w:rFonts w:cstheme="majorHAnsi"/>
        </w:rPr>
        <w:t xml:space="preserve">More information on the CAF including Guidelines, CAF Funding Agreements and </w:t>
      </w:r>
      <w:r>
        <w:rPr>
          <w:rFonts w:cstheme="majorHAnsi"/>
        </w:rPr>
        <w:t xml:space="preserve">associated </w:t>
      </w:r>
      <w:r w:rsidRPr="0018106D">
        <w:rPr>
          <w:rFonts w:cstheme="majorHAnsi"/>
        </w:rPr>
        <w:t xml:space="preserve">workplans </w:t>
      </w:r>
      <w:r>
        <w:rPr>
          <w:rFonts w:cstheme="majorHAnsi"/>
        </w:rPr>
        <w:t xml:space="preserve">is </w:t>
      </w:r>
      <w:r w:rsidRPr="0018106D">
        <w:rPr>
          <w:rFonts w:cstheme="majorHAnsi"/>
        </w:rPr>
        <w:t xml:space="preserve">available on the </w:t>
      </w:r>
      <w:hyperlink r:id="rId23" w:history="1">
        <w:r w:rsidR="00975BB9" w:rsidRPr="00975BB9">
          <w:rPr>
            <w:rStyle w:val="Hyperlink"/>
            <w:rFonts w:cstheme="majorHAnsi"/>
          </w:rPr>
          <w:t>D</w:t>
        </w:r>
        <w:r w:rsidRPr="00975BB9">
          <w:rPr>
            <w:rStyle w:val="Hyperlink"/>
            <w:rFonts w:cstheme="majorHAnsi"/>
          </w:rPr>
          <w:t>epartment</w:t>
        </w:r>
        <w:r w:rsidR="00975BB9" w:rsidRPr="00975BB9">
          <w:rPr>
            <w:rStyle w:val="Hyperlink"/>
            <w:rFonts w:cstheme="majorHAnsi"/>
          </w:rPr>
          <w:t xml:space="preserve"> of Education</w:t>
        </w:r>
      </w:hyperlink>
      <w:r w:rsidR="00975BB9">
        <w:rPr>
          <w:rStyle w:val="FootnoteReference"/>
          <w:rFonts w:cstheme="majorHAnsi"/>
        </w:rPr>
        <w:footnoteReference w:id="1"/>
      </w:r>
      <w:r w:rsidRPr="0018106D">
        <w:rPr>
          <w:rFonts w:cstheme="majorHAnsi"/>
        </w:rPr>
        <w:t xml:space="preserve"> website</w:t>
      </w:r>
      <w:r w:rsidR="00975BB9">
        <w:rPr>
          <w:rFonts w:cstheme="majorHAnsi"/>
        </w:rPr>
        <w:t>.</w:t>
      </w:r>
    </w:p>
    <w:bookmarkEnd w:id="5"/>
    <w:p w14:paraId="437A22A9" w14:textId="7C07D4AD" w:rsidR="007D2AF2" w:rsidRPr="00341214" w:rsidRDefault="007D2AF2" w:rsidP="007D2AF2">
      <w:pPr>
        <w:rPr>
          <w:rStyle w:val="Heading2Char"/>
        </w:rPr>
      </w:pPr>
      <w:r>
        <w:br w:type="page"/>
      </w:r>
      <w:bookmarkStart w:id="6" w:name="_Toc86933312"/>
      <w:bookmarkStart w:id="7" w:name="_Toc147758196"/>
      <w:r w:rsidRPr="00341214">
        <w:rPr>
          <w:rStyle w:val="Heading2Char"/>
        </w:rPr>
        <w:lastRenderedPageBreak/>
        <w:t xml:space="preserve">CAF </w:t>
      </w:r>
      <w:r w:rsidR="001978B9">
        <w:rPr>
          <w:rStyle w:val="Heading2Char"/>
        </w:rPr>
        <w:t>p</w:t>
      </w:r>
      <w:r w:rsidRPr="00341214">
        <w:rPr>
          <w:rStyle w:val="Heading2Char"/>
        </w:rPr>
        <w:t>riorities</w:t>
      </w:r>
      <w:bookmarkEnd w:id="6"/>
      <w:bookmarkEnd w:id="7"/>
      <w:r>
        <w:rPr>
          <w:rStyle w:val="Heading2Char"/>
        </w:rPr>
        <w:t xml:space="preserve"> </w:t>
      </w:r>
    </w:p>
    <w:p w14:paraId="3242E9CF" w14:textId="77777777" w:rsidR="00975BB9" w:rsidRDefault="007D2AF2" w:rsidP="007D2AF2">
      <w:pPr>
        <w:rPr>
          <w:iCs/>
          <w:noProof/>
        </w:rPr>
      </w:pPr>
      <w:bookmarkStart w:id="8" w:name="_Hlk147746427"/>
      <w:r>
        <w:rPr>
          <w:noProof/>
        </w:rPr>
        <w:t xml:space="preserve">Under the CAF arrangements, </w:t>
      </w:r>
      <w:r w:rsidRPr="00AC783D">
        <w:rPr>
          <w:noProof/>
        </w:rPr>
        <w:t xml:space="preserve">NGRBs </w:t>
      </w:r>
      <w:r>
        <w:rPr>
          <w:noProof/>
        </w:rPr>
        <w:t>must address the two mandatory national p</w:t>
      </w:r>
      <w:r w:rsidRPr="00AC783D">
        <w:rPr>
          <w:noProof/>
        </w:rPr>
        <w:t>riorities</w:t>
      </w:r>
      <w:r>
        <w:rPr>
          <w:noProof/>
        </w:rPr>
        <w:t xml:space="preserve"> of</w:t>
      </w:r>
      <w:r w:rsidRPr="00AC783D">
        <w:rPr>
          <w:noProof/>
        </w:rPr>
        <w:t xml:space="preserve"> </w:t>
      </w:r>
      <w:r w:rsidRPr="000C494F">
        <w:rPr>
          <w:b/>
          <w:bCs/>
          <w:iCs/>
          <w:noProof/>
        </w:rPr>
        <w:t>Transition assistance</w:t>
      </w:r>
      <w:r>
        <w:rPr>
          <w:iCs/>
          <w:noProof/>
        </w:rPr>
        <w:t xml:space="preserve"> (including transition assistance for regional schools)</w:t>
      </w:r>
      <w:r w:rsidRPr="00AC783D">
        <w:rPr>
          <w:noProof/>
        </w:rPr>
        <w:t xml:space="preserve"> and </w:t>
      </w:r>
      <w:r w:rsidRPr="000C494F">
        <w:rPr>
          <w:b/>
          <w:bCs/>
          <w:iCs/>
          <w:noProof/>
        </w:rPr>
        <w:t>Special circumstances</w:t>
      </w:r>
      <w:r w:rsidRPr="00AC783D">
        <w:rPr>
          <w:i/>
          <w:noProof/>
        </w:rPr>
        <w:t xml:space="preserve"> </w:t>
      </w:r>
      <w:r w:rsidRPr="00882B8C">
        <w:rPr>
          <w:iCs/>
          <w:noProof/>
        </w:rPr>
        <w:t>funding</w:t>
      </w:r>
      <w:r>
        <w:rPr>
          <w:iCs/>
          <w:noProof/>
        </w:rPr>
        <w:t xml:space="preserve">. There are also four non-mandatory CAF priorities that NGRBs can address where these are relevant to the needs of the schools they represent. </w:t>
      </w:r>
    </w:p>
    <w:p w14:paraId="3F908C1B" w14:textId="410D31F9" w:rsidR="007D2AF2" w:rsidRDefault="007D2AF2" w:rsidP="007D2AF2">
      <w:pPr>
        <w:rPr>
          <w:noProof/>
        </w:rPr>
      </w:pPr>
      <w:r>
        <w:rPr>
          <w:iCs/>
          <w:noProof/>
        </w:rPr>
        <w:t>CAF priorities are detailed below:</w:t>
      </w:r>
    </w:p>
    <w:p w14:paraId="58B45F0B" w14:textId="37CA4445" w:rsidR="00975BB9" w:rsidRDefault="007D2AF2" w:rsidP="007D2AF2">
      <w:pPr>
        <w:spacing w:after="120"/>
        <w:rPr>
          <w:rStyle w:val="Heading3Char"/>
        </w:rPr>
      </w:pPr>
      <w:bookmarkStart w:id="9" w:name="_Toc86933313"/>
      <w:bookmarkStart w:id="10" w:name="_Toc147758197"/>
      <w:r>
        <w:rPr>
          <w:rStyle w:val="Heading3Char"/>
        </w:rPr>
        <w:t xml:space="preserve">A - </w:t>
      </w:r>
      <w:r w:rsidRPr="00CA7AC7">
        <w:rPr>
          <w:rStyle w:val="Heading3Char"/>
        </w:rPr>
        <w:t>Choice and affordability of schools</w:t>
      </w:r>
      <w:bookmarkEnd w:id="9"/>
      <w:bookmarkEnd w:id="10"/>
    </w:p>
    <w:p w14:paraId="275BB210" w14:textId="48F42175" w:rsidR="007D2AF2" w:rsidRPr="00AC783D" w:rsidRDefault="007D2AF2" w:rsidP="007D2AF2">
      <w:pPr>
        <w:spacing w:after="120"/>
        <w:rPr>
          <w:b/>
          <w:noProof/>
        </w:rPr>
      </w:pPr>
      <w:r w:rsidRPr="00AC783D">
        <w:rPr>
          <w:noProof/>
        </w:rPr>
        <w:t>Th</w:t>
      </w:r>
      <w:r>
        <w:rPr>
          <w:noProof/>
        </w:rPr>
        <w:t xml:space="preserve">is priority provides funding for </w:t>
      </w:r>
      <w:r w:rsidRPr="00AC783D">
        <w:rPr>
          <w:noProof/>
        </w:rPr>
        <w:t>initiatives</w:t>
      </w:r>
      <w:r>
        <w:rPr>
          <w:noProof/>
        </w:rPr>
        <w:t xml:space="preserve"> that </w:t>
      </w:r>
      <w:r w:rsidRPr="00AC783D">
        <w:rPr>
          <w:noProof/>
        </w:rPr>
        <w:t>facilitate parental choice and opportunity giving parents the ability to choose an affordable school that will best suit their individual child.</w:t>
      </w:r>
      <w:r w:rsidRPr="00AC783D">
        <w:rPr>
          <w:b/>
          <w:noProof/>
        </w:rPr>
        <w:t xml:space="preserve"> </w:t>
      </w:r>
    </w:p>
    <w:p w14:paraId="03CAE9E1" w14:textId="77777777" w:rsidR="007D2AF2" w:rsidRPr="00FC743A" w:rsidRDefault="007D2AF2" w:rsidP="007D2AF2">
      <w:pPr>
        <w:pStyle w:val="Heading3"/>
      </w:pPr>
      <w:bookmarkStart w:id="11" w:name="_Toc86933314"/>
      <w:bookmarkStart w:id="12" w:name="_Toc147758198"/>
      <w:r>
        <w:t xml:space="preserve">B - </w:t>
      </w:r>
      <w:r w:rsidRPr="00FC743A">
        <w:t>Transition assistance</w:t>
      </w:r>
      <w:bookmarkEnd w:id="11"/>
      <w:bookmarkEnd w:id="12"/>
    </w:p>
    <w:p w14:paraId="1A7B1CF4" w14:textId="2E9180E5" w:rsidR="007D2AF2" w:rsidRPr="00AC783D" w:rsidRDefault="007D2AF2" w:rsidP="007D2AF2">
      <w:pPr>
        <w:spacing w:after="120"/>
        <w:rPr>
          <w:noProof/>
        </w:rPr>
      </w:pPr>
      <w:r>
        <w:rPr>
          <w:noProof/>
        </w:rPr>
        <w:t xml:space="preserve">This priority provides funding for </w:t>
      </w:r>
      <w:r w:rsidRPr="00AC783D">
        <w:rPr>
          <w:noProof/>
        </w:rPr>
        <w:t xml:space="preserve">non-systemic independent schools </w:t>
      </w:r>
      <w:r>
        <w:rPr>
          <w:noProof/>
        </w:rPr>
        <w:t>transition</w:t>
      </w:r>
      <w:r w:rsidR="00AA7E89">
        <w:rPr>
          <w:noProof/>
        </w:rPr>
        <w:t>in</w:t>
      </w:r>
      <w:r>
        <w:rPr>
          <w:noProof/>
        </w:rPr>
        <w:t xml:space="preserve">g to new </w:t>
      </w:r>
      <w:r w:rsidRPr="00AC783D">
        <w:rPr>
          <w:noProof/>
        </w:rPr>
        <w:t>Commonwealth recurrent funding settings over 2020 to 2029</w:t>
      </w:r>
      <w:r>
        <w:rPr>
          <w:noProof/>
        </w:rPr>
        <w:t xml:space="preserve"> and for </w:t>
      </w:r>
      <w:r w:rsidRPr="00AC783D">
        <w:rPr>
          <w:noProof/>
        </w:rPr>
        <w:t>schools transition</w:t>
      </w:r>
      <w:r>
        <w:rPr>
          <w:noProof/>
        </w:rPr>
        <w:t>ing</w:t>
      </w:r>
      <w:r w:rsidRPr="00AC783D">
        <w:rPr>
          <w:noProof/>
        </w:rPr>
        <w:t xml:space="preserve"> to new capacity to contribute </w:t>
      </w:r>
      <w:r>
        <w:rPr>
          <w:noProof/>
        </w:rPr>
        <w:t>funding arrangements</w:t>
      </w:r>
      <w:r w:rsidRPr="00AC783D">
        <w:rPr>
          <w:noProof/>
        </w:rPr>
        <w:t>.</w:t>
      </w:r>
    </w:p>
    <w:p w14:paraId="24869783" w14:textId="77777777" w:rsidR="00975BB9" w:rsidRDefault="007D2AF2" w:rsidP="007D2AF2">
      <w:pPr>
        <w:spacing w:after="120"/>
        <w:rPr>
          <w:rStyle w:val="Heading3Char"/>
        </w:rPr>
      </w:pPr>
      <w:bookmarkStart w:id="13" w:name="_Toc86933315"/>
      <w:bookmarkStart w:id="14" w:name="_Toc147758199"/>
      <w:r>
        <w:rPr>
          <w:rStyle w:val="Heading3Char"/>
        </w:rPr>
        <w:t xml:space="preserve">C - </w:t>
      </w:r>
      <w:r w:rsidRPr="00CA7AC7">
        <w:rPr>
          <w:rStyle w:val="Heading3Char"/>
        </w:rPr>
        <w:t>Special circumstances funding</w:t>
      </w:r>
      <w:bookmarkEnd w:id="13"/>
      <w:bookmarkEnd w:id="14"/>
    </w:p>
    <w:p w14:paraId="001289AC" w14:textId="5A6F3010" w:rsidR="007D2AF2" w:rsidRPr="00AC783D" w:rsidRDefault="007D2AF2" w:rsidP="007D2AF2">
      <w:pPr>
        <w:spacing w:after="120"/>
        <w:rPr>
          <w:b/>
          <w:noProof/>
        </w:rPr>
      </w:pPr>
      <w:r>
        <w:rPr>
          <w:noProof/>
        </w:rPr>
        <w:t xml:space="preserve">This priority </w:t>
      </w:r>
      <w:r w:rsidRPr="00AC783D">
        <w:rPr>
          <w:noProof/>
        </w:rPr>
        <w:t>support</w:t>
      </w:r>
      <w:r>
        <w:rPr>
          <w:noProof/>
        </w:rPr>
        <w:t>s</w:t>
      </w:r>
      <w:r w:rsidRPr="00AC783D">
        <w:rPr>
          <w:noProof/>
        </w:rPr>
        <w:t xml:space="preserve"> schools and students impacted by special circumstances or in priority areas such as rural, regional and remote locations and areas affected by drought or other natural disasters.</w:t>
      </w:r>
      <w:r w:rsidRPr="00AC783D">
        <w:rPr>
          <w:b/>
          <w:noProof/>
        </w:rPr>
        <w:t xml:space="preserve"> </w:t>
      </w:r>
    </w:p>
    <w:p w14:paraId="62383478" w14:textId="77777777" w:rsidR="007D2AF2" w:rsidRPr="00FC743A" w:rsidRDefault="007D2AF2" w:rsidP="007D2AF2">
      <w:pPr>
        <w:pStyle w:val="Heading3"/>
      </w:pPr>
      <w:bookmarkStart w:id="15" w:name="_Toc86933316"/>
      <w:bookmarkStart w:id="16" w:name="_Toc147758200"/>
      <w:r>
        <w:t xml:space="preserve">D - </w:t>
      </w:r>
      <w:r w:rsidRPr="00FC743A">
        <w:t>Strengthening outcomes for schools and educationally disadvantaged schools and students</w:t>
      </w:r>
      <w:bookmarkEnd w:id="15"/>
      <w:bookmarkEnd w:id="16"/>
    </w:p>
    <w:p w14:paraId="2141C726" w14:textId="77777777" w:rsidR="007D2AF2" w:rsidRPr="00AC783D" w:rsidRDefault="007D2AF2" w:rsidP="007D2AF2">
      <w:pPr>
        <w:spacing w:after="120"/>
        <w:rPr>
          <w:noProof/>
        </w:rPr>
      </w:pPr>
      <w:r>
        <w:rPr>
          <w:noProof/>
        </w:rPr>
        <w:t xml:space="preserve">This priority </w:t>
      </w:r>
      <w:r w:rsidRPr="00AC783D">
        <w:rPr>
          <w:noProof/>
        </w:rPr>
        <w:t>support</w:t>
      </w:r>
      <w:r>
        <w:rPr>
          <w:noProof/>
        </w:rPr>
        <w:t>s</w:t>
      </w:r>
      <w:r w:rsidRPr="00AC783D">
        <w:rPr>
          <w:noProof/>
        </w:rPr>
        <w:t xml:space="preserve"> initiatives that strengthen outcomes for schools such as helping underperforming schools improve outcomes including through school industry partnerships, and supporting educationally disadvantaged schools and students.</w:t>
      </w:r>
    </w:p>
    <w:p w14:paraId="7381BEF7" w14:textId="77777777" w:rsidR="007D2AF2" w:rsidRPr="00FC743A" w:rsidRDefault="007D2AF2" w:rsidP="007D2AF2">
      <w:pPr>
        <w:pStyle w:val="Heading3"/>
      </w:pPr>
      <w:bookmarkStart w:id="17" w:name="_Toc86933317"/>
      <w:bookmarkStart w:id="18" w:name="_Toc147758201"/>
      <w:r>
        <w:t xml:space="preserve">E - </w:t>
      </w:r>
      <w:r w:rsidRPr="00FC743A">
        <w:t>Student wellbeing and support</w:t>
      </w:r>
      <w:bookmarkEnd w:id="17"/>
      <w:bookmarkEnd w:id="18"/>
    </w:p>
    <w:p w14:paraId="5387F27B" w14:textId="77777777" w:rsidR="007D2AF2" w:rsidRPr="00AC783D" w:rsidRDefault="007D2AF2" w:rsidP="007D2AF2">
      <w:pPr>
        <w:spacing w:after="120"/>
        <w:rPr>
          <w:noProof/>
        </w:rPr>
      </w:pPr>
      <w:r>
        <w:rPr>
          <w:noProof/>
        </w:rPr>
        <w:t xml:space="preserve">This priority </w:t>
      </w:r>
      <w:r w:rsidRPr="00AC783D">
        <w:rPr>
          <w:noProof/>
        </w:rPr>
        <w:t>support</w:t>
      </w:r>
      <w:r>
        <w:rPr>
          <w:noProof/>
        </w:rPr>
        <w:t>s</w:t>
      </w:r>
      <w:r w:rsidRPr="00AC783D">
        <w:rPr>
          <w:noProof/>
        </w:rPr>
        <w:t xml:space="preserve"> schools that require additional assistance to ensure safe, supportive and respectful learning environments.</w:t>
      </w:r>
    </w:p>
    <w:p w14:paraId="216E3021" w14:textId="73679CD8" w:rsidR="007D2AF2" w:rsidRDefault="007D2AF2" w:rsidP="007D2AF2">
      <w:pPr>
        <w:pStyle w:val="Heading3"/>
        <w:rPr>
          <w:noProof/>
        </w:rPr>
      </w:pPr>
      <w:bookmarkStart w:id="19" w:name="_Toc86933318"/>
      <w:bookmarkStart w:id="20" w:name="_Toc147758202"/>
      <w:r>
        <w:t xml:space="preserve">F - </w:t>
      </w:r>
      <w:r w:rsidRPr="00B22030">
        <w:t>Other priorities</w:t>
      </w:r>
      <w:r>
        <w:t xml:space="preserve"> identified from time to time</w:t>
      </w:r>
      <w:bookmarkEnd w:id="19"/>
      <w:bookmarkEnd w:id="20"/>
    </w:p>
    <w:p w14:paraId="1B39147E" w14:textId="3CEEF01B" w:rsidR="00975BB9" w:rsidRDefault="007D2AF2" w:rsidP="007D2AF2">
      <w:pPr>
        <w:spacing w:after="120"/>
        <w:rPr>
          <w:b/>
          <w:noProof/>
        </w:rPr>
      </w:pPr>
      <w:r w:rsidRPr="00475AD5">
        <w:rPr>
          <w:noProof/>
        </w:rPr>
        <w:t xml:space="preserve">There is scope within the </w:t>
      </w:r>
      <w:r>
        <w:rPr>
          <w:noProof/>
        </w:rPr>
        <w:t>CAF</w:t>
      </w:r>
      <w:r w:rsidRPr="00475AD5">
        <w:rPr>
          <w:noProof/>
        </w:rPr>
        <w:t xml:space="preserve"> for other priorities to be </w:t>
      </w:r>
      <w:r w:rsidRPr="00AC783D">
        <w:rPr>
          <w:noProof/>
        </w:rPr>
        <w:t xml:space="preserve">identified by the Minister from time to time, as specified in any written direction by the Minister </w:t>
      </w:r>
      <w:r>
        <w:rPr>
          <w:noProof/>
        </w:rPr>
        <w:t>issued</w:t>
      </w:r>
      <w:r w:rsidRPr="00AC783D">
        <w:rPr>
          <w:noProof/>
        </w:rPr>
        <w:t xml:space="preserve"> under the</w:t>
      </w:r>
      <w:r>
        <w:rPr>
          <w:noProof/>
        </w:rPr>
        <w:t xml:space="preserve"> </w:t>
      </w:r>
      <w:r w:rsidRPr="00AC783D">
        <w:rPr>
          <w:noProof/>
        </w:rPr>
        <w:t>Regulation</w:t>
      </w:r>
      <w:r w:rsidR="001B575C">
        <w:rPr>
          <w:noProof/>
        </w:rPr>
        <w:t>s</w:t>
      </w:r>
      <w:r w:rsidRPr="00AC783D">
        <w:rPr>
          <w:noProof/>
        </w:rPr>
        <w:t xml:space="preserve"> to the NGRB.</w:t>
      </w:r>
      <w:bookmarkEnd w:id="8"/>
      <w:r w:rsidR="00975BB9">
        <w:rPr>
          <w:b/>
          <w:noProof/>
        </w:rPr>
        <w:br w:type="page"/>
      </w:r>
    </w:p>
    <w:p w14:paraId="77D3E995" w14:textId="77777777" w:rsidR="007D2AF2" w:rsidRDefault="007D2AF2" w:rsidP="007D2AF2">
      <w:pPr>
        <w:pStyle w:val="Heading2"/>
        <w:spacing w:before="0" w:line="240" w:lineRule="auto"/>
      </w:pPr>
      <w:bookmarkStart w:id="21" w:name="_Toc147758203"/>
      <w:r>
        <w:lastRenderedPageBreak/>
        <w:t>Measuring p</w:t>
      </w:r>
      <w:r w:rsidRPr="007559E7">
        <w:t xml:space="preserve">rogress against CAF </w:t>
      </w:r>
      <w:r>
        <w:t>p</w:t>
      </w:r>
      <w:r w:rsidRPr="007559E7">
        <w:t>riorities</w:t>
      </w:r>
      <w:bookmarkEnd w:id="21"/>
      <w:r>
        <w:t xml:space="preserve"> </w:t>
      </w:r>
    </w:p>
    <w:p w14:paraId="17B4E1BB" w14:textId="36B1187E" w:rsidR="007D2AF2" w:rsidRPr="00975BB9" w:rsidRDefault="007D2AF2" w:rsidP="007D2AF2">
      <w:pPr>
        <w:spacing w:after="120"/>
        <w:rPr>
          <w:rFonts w:cstheme="majorHAnsi"/>
        </w:rPr>
      </w:pPr>
      <w:bookmarkStart w:id="22" w:name="_Hlk147746448"/>
      <w:r>
        <w:rPr>
          <w:rFonts w:ascii="Calibri" w:eastAsia="Calibri" w:hAnsi="Calibri"/>
          <w:color w:val="000000"/>
          <w:lang w:val="en-US"/>
        </w:rPr>
        <w:t>In 202</w:t>
      </w:r>
      <w:r w:rsidR="003C6738">
        <w:rPr>
          <w:rFonts w:ascii="Calibri" w:eastAsia="Calibri" w:hAnsi="Calibri"/>
          <w:color w:val="000000"/>
          <w:lang w:val="en-US"/>
        </w:rPr>
        <w:t>2</w:t>
      </w:r>
      <w:r>
        <w:rPr>
          <w:rFonts w:ascii="Calibri" w:eastAsia="Calibri" w:hAnsi="Calibri"/>
          <w:color w:val="000000"/>
          <w:lang w:val="en-US"/>
        </w:rPr>
        <w:t xml:space="preserve"> all NGRBs addressed the </w:t>
      </w:r>
      <w:r w:rsidR="00C60786">
        <w:rPr>
          <w:rFonts w:cstheme="majorHAnsi"/>
        </w:rPr>
        <w:t>mandatory</w:t>
      </w:r>
      <w:r>
        <w:rPr>
          <w:rFonts w:cstheme="majorHAnsi"/>
        </w:rPr>
        <w:t xml:space="preserve"> priorities of </w:t>
      </w:r>
      <w:r w:rsidRPr="00975BB9">
        <w:rPr>
          <w:rFonts w:cstheme="majorHAnsi"/>
          <w:b/>
          <w:bCs/>
        </w:rPr>
        <w:t>Transition Assistance</w:t>
      </w:r>
      <w:r>
        <w:rPr>
          <w:rFonts w:cstheme="majorHAnsi"/>
          <w:i/>
          <w:iCs/>
        </w:rPr>
        <w:t xml:space="preserve"> </w:t>
      </w:r>
      <w:r>
        <w:rPr>
          <w:rFonts w:cstheme="majorHAnsi"/>
        </w:rPr>
        <w:t xml:space="preserve">and </w:t>
      </w:r>
      <w:r w:rsidRPr="00975BB9">
        <w:rPr>
          <w:rFonts w:cstheme="majorHAnsi"/>
          <w:b/>
          <w:bCs/>
        </w:rPr>
        <w:t>Special Circumstances funding</w:t>
      </w:r>
      <w:r>
        <w:rPr>
          <w:rFonts w:cstheme="majorHAnsi"/>
        </w:rPr>
        <w:t xml:space="preserve"> and </w:t>
      </w:r>
      <w:r w:rsidR="00C60786">
        <w:rPr>
          <w:rFonts w:cstheme="majorHAnsi"/>
        </w:rPr>
        <w:t>many also included</w:t>
      </w:r>
      <w:r w:rsidRPr="00DB7F71">
        <w:rPr>
          <w:rFonts w:cstheme="majorHAnsi"/>
        </w:rPr>
        <w:t xml:space="preserve"> </w:t>
      </w:r>
      <w:r w:rsidR="00C60786">
        <w:rPr>
          <w:rFonts w:cstheme="majorHAnsi"/>
        </w:rPr>
        <w:t>the</w:t>
      </w:r>
      <w:r>
        <w:rPr>
          <w:rFonts w:cstheme="majorHAnsi"/>
        </w:rPr>
        <w:t xml:space="preserve"> </w:t>
      </w:r>
      <w:r w:rsidRPr="00DB7F71">
        <w:rPr>
          <w:rFonts w:cstheme="majorHAnsi"/>
        </w:rPr>
        <w:t>non-</w:t>
      </w:r>
      <w:r w:rsidR="00C60786">
        <w:rPr>
          <w:rFonts w:cstheme="majorHAnsi"/>
        </w:rPr>
        <w:t>mandatory</w:t>
      </w:r>
      <w:r w:rsidRPr="00DB7F71">
        <w:rPr>
          <w:rFonts w:cstheme="majorHAnsi"/>
        </w:rPr>
        <w:t xml:space="preserve"> priorities: </w:t>
      </w:r>
      <w:r w:rsidRPr="00975BB9">
        <w:rPr>
          <w:rFonts w:cstheme="majorHAnsi"/>
        </w:rPr>
        <w:t xml:space="preserve">choice and affordability of schools, strengthening outcomes for schools and educationally disadvantaged schools and students, and student wellbeing and support. </w:t>
      </w:r>
    </w:p>
    <w:p w14:paraId="11448C4B" w14:textId="120D1378" w:rsidR="007D2AF2" w:rsidRDefault="007D2AF2" w:rsidP="007D2AF2">
      <w:pPr>
        <w:pStyle w:val="Heading2"/>
        <w:spacing w:before="0" w:line="240" w:lineRule="auto"/>
      </w:pPr>
      <w:bookmarkStart w:id="23" w:name="_Toc147758204"/>
      <w:bookmarkStart w:id="24" w:name="_Hlk147756708"/>
      <w:bookmarkStart w:id="25" w:name="_Toc86933329"/>
      <w:r w:rsidRPr="004E0BFA">
        <w:t xml:space="preserve">Summary of </w:t>
      </w:r>
      <w:r w:rsidR="001978B9">
        <w:t>a</w:t>
      </w:r>
      <w:r w:rsidRPr="004E0BFA">
        <w:t xml:space="preserve">ctivity and </w:t>
      </w:r>
      <w:r w:rsidR="001978B9">
        <w:t>p</w:t>
      </w:r>
      <w:r>
        <w:t xml:space="preserve">rogress </w:t>
      </w:r>
      <w:r w:rsidR="001978B9">
        <w:t>d</w:t>
      </w:r>
      <w:r w:rsidRPr="004E0BFA">
        <w:t xml:space="preserve">elivered in </w:t>
      </w:r>
      <w:proofErr w:type="gramStart"/>
      <w:r w:rsidRPr="004E0BFA">
        <w:t>202</w:t>
      </w:r>
      <w:r w:rsidR="00FC3B60">
        <w:t>2</w:t>
      </w:r>
      <w:bookmarkEnd w:id="23"/>
      <w:proofErr w:type="gramEnd"/>
    </w:p>
    <w:p w14:paraId="0DC6C60E" w14:textId="33744B32" w:rsidR="007D2AF2" w:rsidRDefault="007D2AF2" w:rsidP="007D2AF2">
      <w:pPr>
        <w:spacing w:after="120"/>
        <w:rPr>
          <w:rFonts w:ascii="Calibri" w:eastAsia="Calibri" w:hAnsi="Calibri"/>
          <w:color w:val="000000"/>
          <w:lang w:val="en-US"/>
        </w:rPr>
      </w:pPr>
      <w:r>
        <w:rPr>
          <w:rFonts w:ascii="Calibri" w:eastAsia="Calibri" w:hAnsi="Calibri"/>
          <w:color w:val="000000"/>
          <w:lang w:val="en-US"/>
        </w:rPr>
        <w:t xml:space="preserve">All NGRBs </w:t>
      </w:r>
      <w:r w:rsidRPr="00EC2F31">
        <w:rPr>
          <w:rFonts w:ascii="Calibri" w:eastAsia="Calibri" w:hAnsi="Calibri"/>
          <w:color w:val="000000"/>
          <w:lang w:val="en-US"/>
        </w:rPr>
        <w:t>report</w:t>
      </w:r>
      <w:r>
        <w:rPr>
          <w:rFonts w:ascii="Calibri" w:eastAsia="Calibri" w:hAnsi="Calibri"/>
          <w:color w:val="000000"/>
          <w:lang w:val="en-US"/>
        </w:rPr>
        <w:t>ed strong progress including on activities delayed in 2020</w:t>
      </w:r>
      <w:r w:rsidR="00FC3B60">
        <w:rPr>
          <w:rFonts w:ascii="Calibri" w:eastAsia="Calibri" w:hAnsi="Calibri"/>
          <w:color w:val="000000"/>
          <w:lang w:val="en-US"/>
        </w:rPr>
        <w:t>/21</w:t>
      </w:r>
      <w:r>
        <w:rPr>
          <w:rFonts w:ascii="Calibri" w:eastAsia="Calibri" w:hAnsi="Calibri"/>
          <w:color w:val="000000"/>
          <w:lang w:val="en-US"/>
        </w:rPr>
        <w:t xml:space="preserve"> due to the COVID</w:t>
      </w:r>
      <w:r w:rsidR="00FC3B60">
        <w:rPr>
          <w:rFonts w:ascii="Calibri" w:eastAsia="Calibri" w:hAnsi="Calibri"/>
          <w:color w:val="000000"/>
          <w:lang w:val="en-US"/>
        </w:rPr>
        <w:t>-19</w:t>
      </w:r>
      <w:r>
        <w:rPr>
          <w:rFonts w:ascii="Calibri" w:eastAsia="Calibri" w:hAnsi="Calibri"/>
          <w:color w:val="000000"/>
          <w:lang w:val="en-US"/>
        </w:rPr>
        <w:t xml:space="preserve"> pandemic. This includes consulting and</w:t>
      </w:r>
      <w:r w:rsidRPr="00374F83">
        <w:rPr>
          <w:rFonts w:ascii="Calibri" w:eastAsia="Calibri" w:hAnsi="Calibri"/>
          <w:color w:val="000000"/>
          <w:lang w:val="en-US"/>
        </w:rPr>
        <w:t xml:space="preserve"> </w:t>
      </w:r>
      <w:r>
        <w:rPr>
          <w:rFonts w:ascii="Calibri" w:eastAsia="Calibri" w:hAnsi="Calibri"/>
          <w:color w:val="000000"/>
          <w:lang w:val="en-US"/>
        </w:rPr>
        <w:t>refining</w:t>
      </w:r>
      <w:r w:rsidRPr="00374F83">
        <w:rPr>
          <w:rFonts w:ascii="Calibri" w:eastAsia="Calibri" w:hAnsi="Calibri"/>
          <w:color w:val="000000"/>
          <w:lang w:val="en-US"/>
        </w:rPr>
        <w:t xml:space="preserve"> transition path</w:t>
      </w:r>
      <w:r>
        <w:rPr>
          <w:rFonts w:ascii="Calibri" w:eastAsia="Calibri" w:hAnsi="Calibri"/>
          <w:color w:val="000000"/>
          <w:lang w:val="en-US"/>
        </w:rPr>
        <w:t>s</w:t>
      </w:r>
      <w:r w:rsidRPr="00374F83">
        <w:rPr>
          <w:rFonts w:ascii="Calibri" w:eastAsia="Calibri" w:hAnsi="Calibri"/>
          <w:color w:val="000000"/>
          <w:lang w:val="en-US"/>
        </w:rPr>
        <w:t xml:space="preserve"> to the </w:t>
      </w:r>
      <w:r>
        <w:rPr>
          <w:rFonts w:ascii="Calibri" w:eastAsia="Calibri" w:hAnsi="Calibri"/>
          <w:color w:val="000000"/>
          <w:lang w:val="en-US"/>
        </w:rPr>
        <w:t xml:space="preserve">DMI </w:t>
      </w:r>
      <w:r w:rsidRPr="00374F83">
        <w:rPr>
          <w:rFonts w:ascii="Calibri" w:eastAsia="Calibri" w:hAnsi="Calibri"/>
          <w:color w:val="000000"/>
          <w:lang w:val="en-US"/>
        </w:rPr>
        <w:t>funding arrangements</w:t>
      </w:r>
      <w:r>
        <w:rPr>
          <w:rFonts w:ascii="Calibri" w:eastAsia="Calibri" w:hAnsi="Calibri"/>
          <w:color w:val="000000"/>
          <w:lang w:val="en-US"/>
        </w:rPr>
        <w:t>, and</w:t>
      </w:r>
      <w:r w:rsidRPr="00374F83">
        <w:rPr>
          <w:rFonts w:ascii="Calibri" w:eastAsia="Calibri" w:hAnsi="Calibri"/>
          <w:color w:val="000000"/>
          <w:lang w:val="en-US"/>
        </w:rPr>
        <w:t xml:space="preserve"> </w:t>
      </w:r>
      <w:r>
        <w:rPr>
          <w:rFonts w:ascii="Calibri" w:eastAsia="Calibri" w:hAnsi="Calibri"/>
          <w:color w:val="000000"/>
          <w:lang w:val="en-US"/>
        </w:rPr>
        <w:t xml:space="preserve">support for student wellbeing and </w:t>
      </w:r>
      <w:r w:rsidRPr="00374F83">
        <w:rPr>
          <w:rFonts w:ascii="Calibri" w:eastAsia="Calibri" w:hAnsi="Calibri"/>
          <w:color w:val="000000"/>
          <w:lang w:val="en-US"/>
        </w:rPr>
        <w:t>quality outcomes</w:t>
      </w:r>
      <w:r>
        <w:rPr>
          <w:rFonts w:ascii="Calibri" w:eastAsia="Calibri" w:hAnsi="Calibri"/>
          <w:color w:val="000000"/>
          <w:lang w:val="en-US"/>
        </w:rPr>
        <w:t xml:space="preserve">. </w:t>
      </w:r>
    </w:p>
    <w:p w14:paraId="1DA8D264" w14:textId="24C500DA" w:rsidR="007D2AF2" w:rsidRDefault="00071D89" w:rsidP="007D2AF2">
      <w:pPr>
        <w:spacing w:after="120"/>
      </w:pPr>
      <w:r>
        <w:t xml:space="preserve">In 2022, </w:t>
      </w:r>
      <w:r w:rsidR="007D2AF2">
        <w:t xml:space="preserve">NGRBs were </w:t>
      </w:r>
      <w:r w:rsidR="007D2AF2" w:rsidRPr="003B4282">
        <w:t>provided $10</w:t>
      </w:r>
      <w:r w:rsidR="003B4282" w:rsidRPr="003B4282">
        <w:t>9</w:t>
      </w:r>
      <w:r w:rsidR="007D2AF2" w:rsidRPr="003B4282">
        <w:t>.</w:t>
      </w:r>
      <w:r w:rsidR="003B4282" w:rsidRPr="003B4282">
        <w:t>2</w:t>
      </w:r>
      <w:r w:rsidR="007D2AF2" w:rsidRPr="003B4282">
        <w:t xml:space="preserve"> million under the CAF </w:t>
      </w:r>
      <w:r w:rsidR="00815273">
        <w:t xml:space="preserve">and </w:t>
      </w:r>
      <w:r w:rsidR="007D2AF2" w:rsidRPr="003B4282">
        <w:rPr>
          <w:rFonts w:cstheme="minorHAnsi"/>
        </w:rPr>
        <w:t>reported spending $</w:t>
      </w:r>
      <w:r w:rsidR="003B4282" w:rsidRPr="003B4282">
        <w:rPr>
          <w:rFonts w:cstheme="minorHAnsi"/>
        </w:rPr>
        <w:t>79</w:t>
      </w:r>
      <w:r w:rsidR="007D2AF2" w:rsidRPr="003B4282">
        <w:rPr>
          <w:rFonts w:cstheme="minorHAnsi"/>
        </w:rPr>
        <w:t>.</w:t>
      </w:r>
      <w:r w:rsidR="003B4282" w:rsidRPr="003B4282">
        <w:rPr>
          <w:rFonts w:cstheme="minorHAnsi"/>
        </w:rPr>
        <w:t>1</w:t>
      </w:r>
      <w:r w:rsidR="007D2AF2" w:rsidRPr="003B4282">
        <w:rPr>
          <w:rFonts w:cstheme="minorHAnsi"/>
        </w:rPr>
        <w:t> million</w:t>
      </w:r>
      <w:r w:rsidR="002429B6">
        <w:rPr>
          <w:rFonts w:cstheme="minorHAnsi"/>
        </w:rPr>
        <w:t>.</w:t>
      </w:r>
      <w:r w:rsidR="00466137">
        <w:rPr>
          <w:rFonts w:cstheme="minorHAnsi"/>
        </w:rPr>
        <w:t xml:space="preserve"> </w:t>
      </w:r>
    </w:p>
    <w:p w14:paraId="709C0EDB" w14:textId="7FFA256C" w:rsidR="007D2AF2" w:rsidRPr="007D1F69" w:rsidRDefault="007D2AF2" w:rsidP="007D2AF2">
      <w:pPr>
        <w:spacing w:after="120"/>
      </w:pPr>
      <w:r w:rsidRPr="007D1F69">
        <w:t>NGRBs also report</w:t>
      </w:r>
      <w:r w:rsidR="00C60786">
        <w:t>ed</w:t>
      </w:r>
      <w:r w:rsidRPr="007D1F69">
        <w:t xml:space="preserve"> on </w:t>
      </w:r>
      <w:r w:rsidR="00C60786">
        <w:t xml:space="preserve">the </w:t>
      </w:r>
      <w:r w:rsidRPr="007D1F69">
        <w:t xml:space="preserve">use of funding as either ‘distributed’ directly to schools to support CAF priorities or expended by the NGRB itself on centralised CAF programs.   </w:t>
      </w:r>
    </w:p>
    <w:p w14:paraId="3DC52B8F" w14:textId="77777777" w:rsidR="00EF42C7" w:rsidRDefault="007D2AF2" w:rsidP="007D2AF2">
      <w:pPr>
        <w:spacing w:after="120"/>
      </w:pPr>
      <w:r w:rsidRPr="007D1F69">
        <w:t xml:space="preserve">Of the total amount expended by </w:t>
      </w:r>
      <w:r w:rsidRPr="003B4282">
        <w:t>NGRBs in 202</w:t>
      </w:r>
      <w:r w:rsidR="00D70CEB" w:rsidRPr="003B4282">
        <w:t>2</w:t>
      </w:r>
      <w:r w:rsidRPr="003B4282">
        <w:t>, $</w:t>
      </w:r>
      <w:r w:rsidR="003B4282" w:rsidRPr="003B4282">
        <w:t>6</w:t>
      </w:r>
      <w:r w:rsidR="00EF42C7">
        <w:t>7</w:t>
      </w:r>
      <w:r w:rsidRPr="003B4282">
        <w:t>m (8</w:t>
      </w:r>
      <w:r w:rsidR="0099296E">
        <w:t>5</w:t>
      </w:r>
      <w:r w:rsidRPr="003B4282">
        <w:t>%) was distributed directly to schools to support CAF priorities and $</w:t>
      </w:r>
      <w:r w:rsidR="003B4282" w:rsidRPr="003B4282">
        <w:t>11.</w:t>
      </w:r>
      <w:r w:rsidR="00EF42C7">
        <w:t>3</w:t>
      </w:r>
      <w:r w:rsidRPr="003B4282">
        <w:t>m (</w:t>
      </w:r>
      <w:r w:rsidR="003B4282" w:rsidRPr="003B4282">
        <w:t>14</w:t>
      </w:r>
      <w:r w:rsidRPr="003B4282">
        <w:t xml:space="preserve">%) used for centralised programs (see </w:t>
      </w:r>
      <w:r w:rsidRPr="003B4282">
        <w:rPr>
          <w:b/>
          <w:bCs/>
        </w:rPr>
        <w:t>Chart 1</w:t>
      </w:r>
      <w:r w:rsidRPr="003B4282">
        <w:t xml:space="preserve">). </w:t>
      </w:r>
    </w:p>
    <w:p w14:paraId="59B500F7" w14:textId="285940D9" w:rsidR="007D2AF2" w:rsidRDefault="007D2AF2" w:rsidP="007D2AF2">
      <w:pPr>
        <w:spacing w:after="120"/>
      </w:pPr>
      <w:r w:rsidRPr="003B4282">
        <w:t>NGRBs deferred $</w:t>
      </w:r>
      <w:r w:rsidR="003B4282" w:rsidRPr="003B4282">
        <w:t>3</w:t>
      </w:r>
      <w:r w:rsidR="00F27703">
        <w:t>0.1</w:t>
      </w:r>
      <w:r w:rsidR="00EB5534">
        <w:t xml:space="preserve"> million</w:t>
      </w:r>
      <w:r w:rsidRPr="006B7854">
        <w:t xml:space="preserve"> of the</w:t>
      </w:r>
      <w:r w:rsidRPr="003B4282">
        <w:t xml:space="preserve"> 202</w:t>
      </w:r>
      <w:r w:rsidR="00D70CEB" w:rsidRPr="003B4282">
        <w:t>2</w:t>
      </w:r>
      <w:r w:rsidRPr="003B4282">
        <w:t xml:space="preserve"> CAF allocation</w:t>
      </w:r>
      <w:r w:rsidR="006B7854">
        <w:t xml:space="preserve"> </w:t>
      </w:r>
      <w:r w:rsidRPr="003B4282">
        <w:t>to support transition in future years</w:t>
      </w:r>
      <w:r w:rsidR="00EB5534">
        <w:t>, which</w:t>
      </w:r>
      <w:r w:rsidRPr="007D1F69">
        <w:t xml:space="preserve"> aligns with NGRBs plans to manage school transition assistance, recognising the impact of the DMI is more likely to be felt by </w:t>
      </w:r>
      <w:r w:rsidRPr="00585015">
        <w:t xml:space="preserve">schools </w:t>
      </w:r>
      <w:r w:rsidR="00C60786">
        <w:t xml:space="preserve">still </w:t>
      </w:r>
      <w:r w:rsidRPr="00585015">
        <w:t>transitioning to the new funding arrangements after 2022.</w:t>
      </w:r>
      <w:r w:rsidR="006E1D08">
        <w:t xml:space="preserve"> </w:t>
      </w:r>
    </w:p>
    <w:bookmarkEnd w:id="22"/>
    <w:p w14:paraId="756A8C47" w14:textId="11C9FF8E" w:rsidR="000C494F" w:rsidRDefault="000C494F" w:rsidP="000C494F">
      <w:pPr>
        <w:pStyle w:val="Caption"/>
        <w:keepNext/>
      </w:pPr>
      <w:r w:rsidRPr="006B7854">
        <w:t xml:space="preserve">Chart </w:t>
      </w:r>
      <w:r w:rsidR="0080446A">
        <w:fldChar w:fldCharType="begin"/>
      </w:r>
      <w:r w:rsidR="0080446A">
        <w:instrText xml:space="preserve"> SEQ Chart \* ARABIC </w:instrText>
      </w:r>
      <w:r w:rsidR="0080446A">
        <w:fldChar w:fldCharType="separate"/>
      </w:r>
      <w:r w:rsidR="00AA7E89">
        <w:rPr>
          <w:noProof/>
        </w:rPr>
        <w:t>1</w:t>
      </w:r>
      <w:r w:rsidR="0080446A">
        <w:rPr>
          <w:noProof/>
        </w:rPr>
        <w:fldChar w:fldCharType="end"/>
      </w:r>
      <w:r w:rsidRPr="006B7854">
        <w:t xml:space="preserve"> - Proportion of CAF </w:t>
      </w:r>
      <w:r w:rsidR="00552DF2">
        <w:t xml:space="preserve">distributed/centralised </w:t>
      </w:r>
      <w:r w:rsidRPr="006B7854">
        <w:t>expenditure 202</w:t>
      </w:r>
      <w:r w:rsidR="006B7854" w:rsidRPr="006B7854">
        <w:t>2</w:t>
      </w:r>
      <w:r w:rsidRPr="006B7854">
        <w:t xml:space="preserve"> (%)</w:t>
      </w:r>
    </w:p>
    <w:p w14:paraId="71ECEAB5" w14:textId="7F3E272C" w:rsidR="00D26034" w:rsidRDefault="00D26034" w:rsidP="00D26034">
      <w:r>
        <w:rPr>
          <w:noProof/>
        </w:rPr>
        <w:drawing>
          <wp:inline distT="0" distB="0" distL="0" distR="0" wp14:anchorId="0E71BB79" wp14:editId="7FB65F35">
            <wp:extent cx="5731510" cy="2865755"/>
            <wp:effectExtent l="0" t="0" r="2540" b="10795"/>
            <wp:docPr id="1248980672" name="Chart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E4C691" w14:textId="77777777" w:rsidR="00D26034" w:rsidRPr="00D26034" w:rsidRDefault="00D26034" w:rsidP="00376685"/>
    <w:p w14:paraId="046E34A9" w14:textId="2961B6B4" w:rsidR="00EC1FF0" w:rsidRDefault="00EC1FF0" w:rsidP="009656B5">
      <w:bookmarkStart w:id="26" w:name="_Hlk147746464"/>
      <w:bookmarkEnd w:id="24"/>
    </w:p>
    <w:p w14:paraId="2FEF81E2" w14:textId="716D6D87" w:rsidR="00626834" w:rsidRDefault="003B4282" w:rsidP="00FB7A14">
      <w:pPr>
        <w:spacing w:after="120"/>
      </w:pPr>
      <w:r w:rsidRPr="003B4282">
        <w:lastRenderedPageBreak/>
        <w:t xml:space="preserve">In 2022 </w:t>
      </w:r>
      <w:r w:rsidR="007D2AF2" w:rsidRPr="003B4282">
        <w:t xml:space="preserve">NGRBs’ </w:t>
      </w:r>
      <w:r w:rsidRPr="003B4282">
        <w:t>focus</w:t>
      </w:r>
      <w:r w:rsidR="007D2AF2" w:rsidRPr="003B4282">
        <w:t xml:space="preserve"> was on </w:t>
      </w:r>
      <w:r w:rsidRPr="003B4282">
        <w:t xml:space="preserve">Priority B - Transition </w:t>
      </w:r>
      <w:r w:rsidR="00B452FB">
        <w:t>a</w:t>
      </w:r>
      <w:r w:rsidRPr="003B4282">
        <w:t>ssistance, comprising 4</w:t>
      </w:r>
      <w:r w:rsidR="0099296E">
        <w:t>2.8</w:t>
      </w:r>
      <w:r w:rsidRPr="003B4282">
        <w:t xml:space="preserve">% of total 2022 expenditure. </w:t>
      </w:r>
      <w:r w:rsidR="007D2AF2" w:rsidRPr="003B4282">
        <w:t xml:space="preserve">This was followed by </w:t>
      </w:r>
      <w:r w:rsidRPr="003B4282">
        <w:t xml:space="preserve">Priority A - Choice and </w:t>
      </w:r>
      <w:r w:rsidR="00B452FB">
        <w:t>a</w:t>
      </w:r>
      <w:r w:rsidRPr="003B4282">
        <w:t>ffordability at 3</w:t>
      </w:r>
      <w:r w:rsidR="0099296E">
        <w:t>6.8</w:t>
      </w:r>
      <w:r w:rsidRPr="003B4282">
        <w:t>%</w:t>
      </w:r>
      <w:r w:rsidR="000116F2">
        <w:t xml:space="preserve"> and </w:t>
      </w:r>
      <w:r w:rsidR="007D2AF2" w:rsidRPr="003B4282">
        <w:t xml:space="preserve">Priority D – Strengthening </w:t>
      </w:r>
      <w:r w:rsidR="00B452FB">
        <w:t>o</w:t>
      </w:r>
      <w:r w:rsidR="007D2AF2" w:rsidRPr="003B4282">
        <w:t xml:space="preserve">utcomes at </w:t>
      </w:r>
      <w:r w:rsidRPr="003B4282">
        <w:t>12.7</w:t>
      </w:r>
      <w:r w:rsidR="000116F2">
        <w:t>%</w:t>
      </w:r>
      <w:r w:rsidR="007D2AF2" w:rsidRPr="003B4282">
        <w:t xml:space="preserve"> </w:t>
      </w:r>
      <w:r w:rsidR="007D2AF2" w:rsidRPr="000116F2">
        <w:t xml:space="preserve">(see </w:t>
      </w:r>
      <w:r w:rsidR="007D2AF2" w:rsidRPr="000116F2">
        <w:rPr>
          <w:b/>
          <w:bCs/>
        </w:rPr>
        <w:t>Chart 2</w:t>
      </w:r>
      <w:r w:rsidR="007D2AF2" w:rsidRPr="000116F2">
        <w:t>).</w:t>
      </w:r>
    </w:p>
    <w:p w14:paraId="460A3091" w14:textId="0E5A1D24" w:rsidR="007D2AF2" w:rsidRDefault="007D2AF2" w:rsidP="007D2AF2">
      <w:pPr>
        <w:rPr>
          <w:rFonts w:ascii="Calibri" w:eastAsia="Calibri" w:hAnsi="Calibri"/>
          <w:color w:val="000000"/>
          <w:lang w:val="en-US"/>
        </w:rPr>
      </w:pPr>
      <w:r w:rsidRPr="000F3F18">
        <w:t xml:space="preserve">Expenditure </w:t>
      </w:r>
      <w:r w:rsidR="000116F2" w:rsidRPr="000F3F18">
        <w:t>in</w:t>
      </w:r>
      <w:r w:rsidRPr="000F3F18">
        <w:t xml:space="preserve"> 202</w:t>
      </w:r>
      <w:r w:rsidR="00DF01C0" w:rsidRPr="000F3F18">
        <w:t>2</w:t>
      </w:r>
      <w:r w:rsidRPr="000F3F18">
        <w:t xml:space="preserve"> increased </w:t>
      </w:r>
      <w:r w:rsidR="00923363" w:rsidRPr="000F3F18">
        <w:t xml:space="preserve">most notably in </w:t>
      </w:r>
      <w:r w:rsidRPr="000F3F18">
        <w:t xml:space="preserve">Priority </w:t>
      </w:r>
      <w:r w:rsidR="00923363" w:rsidRPr="000F3F18">
        <w:t>B</w:t>
      </w:r>
      <w:r w:rsidRPr="000F3F18">
        <w:t xml:space="preserve"> – </w:t>
      </w:r>
      <w:r w:rsidR="00923363" w:rsidRPr="000F3F18">
        <w:t xml:space="preserve">Transition </w:t>
      </w:r>
      <w:r w:rsidR="00B452FB">
        <w:t>a</w:t>
      </w:r>
      <w:r w:rsidR="00923363" w:rsidRPr="000F3F18">
        <w:t>ssistance by almost 250%.</w:t>
      </w:r>
      <w:r w:rsidRPr="000F3F18">
        <w:t xml:space="preserve"> </w:t>
      </w:r>
      <w:r w:rsidR="00923363" w:rsidRPr="000F3F18">
        <w:t xml:space="preserve">This is expected to become a trend with increased expenditure on Priority B – Transition </w:t>
      </w:r>
      <w:r w:rsidR="00B452FB">
        <w:t>a</w:t>
      </w:r>
      <w:r w:rsidR="00923363" w:rsidRPr="000F3F18">
        <w:t>ssistance</w:t>
      </w:r>
      <w:r w:rsidR="000F3F18">
        <w:t xml:space="preserve"> </w:t>
      </w:r>
      <w:r>
        <w:t>build</w:t>
      </w:r>
      <w:r w:rsidR="000F3F18">
        <w:t xml:space="preserve">ing </w:t>
      </w:r>
      <w:r>
        <w:t xml:space="preserve">on </w:t>
      </w:r>
      <w:r w:rsidR="00495FFD">
        <w:t>previous years’</w:t>
      </w:r>
      <w:r>
        <w:t xml:space="preserve"> efforts </w:t>
      </w:r>
      <w:r w:rsidR="000F3F18">
        <w:t xml:space="preserve">implementing </w:t>
      </w:r>
      <w:r>
        <w:t xml:space="preserve">structures to support distribution to schools. </w:t>
      </w:r>
    </w:p>
    <w:bookmarkEnd w:id="26"/>
    <w:p w14:paraId="1848009C" w14:textId="57D28ABA" w:rsidR="009B7176" w:rsidRDefault="009B7176" w:rsidP="009B7176">
      <w:pPr>
        <w:pStyle w:val="Caption"/>
        <w:keepNext/>
      </w:pPr>
      <w:r w:rsidRPr="000116F2">
        <w:t xml:space="preserve">Chart </w:t>
      </w:r>
      <w:r w:rsidR="00AB5198">
        <w:t>2</w:t>
      </w:r>
      <w:r w:rsidRPr="000116F2">
        <w:t xml:space="preserve"> - Expenditure of CAF by priority (</w:t>
      </w:r>
      <w:r>
        <w:t>$</w:t>
      </w:r>
      <w:r w:rsidRPr="000116F2">
        <w:t>)</w:t>
      </w:r>
    </w:p>
    <w:p w14:paraId="588C333A" w14:textId="76BB3863" w:rsidR="009F7AAF" w:rsidRDefault="009F7AAF" w:rsidP="009F7AAF">
      <w:r>
        <w:rPr>
          <w:noProof/>
        </w:rPr>
        <w:drawing>
          <wp:inline distT="0" distB="0" distL="0" distR="0" wp14:anchorId="463C223B" wp14:editId="186EB6F6">
            <wp:extent cx="5731510" cy="2997200"/>
            <wp:effectExtent l="0" t="0" r="2540" b="12700"/>
            <wp:docPr id="7" name="Chart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287E95" w14:textId="0EA27F71" w:rsidR="009F7AAF" w:rsidRDefault="0086539A" w:rsidP="009F7AAF">
      <w:bookmarkStart w:id="27" w:name="_Hlk147746470"/>
      <w:r>
        <w:t xml:space="preserve">For </w:t>
      </w:r>
      <w:r w:rsidRPr="003B4282">
        <w:t xml:space="preserve">Priority B - Transition </w:t>
      </w:r>
      <w:r w:rsidR="00B452FB">
        <w:t>a</w:t>
      </w:r>
      <w:r w:rsidRPr="003B4282">
        <w:t>ssistance,</w:t>
      </w:r>
      <w:r>
        <w:t xml:space="preserve"> </w:t>
      </w:r>
      <w:r w:rsidR="00486ECB">
        <w:t xml:space="preserve">minimum </w:t>
      </w:r>
      <w:r>
        <w:t xml:space="preserve">funding has been committed over the life of the program to support regional schools. This support is forecast to grow each year with a significant increase in the final year, 2029 (see </w:t>
      </w:r>
      <w:r>
        <w:rPr>
          <w:b/>
          <w:bCs/>
        </w:rPr>
        <w:t>Chart 3</w:t>
      </w:r>
      <w:r>
        <w:t xml:space="preserve">). </w:t>
      </w:r>
      <w:r w:rsidR="00486ECB" w:rsidRPr="00486ECB">
        <w:t>Funding expended on regional and remote schools increase</w:t>
      </w:r>
      <w:r w:rsidR="003A6BB8">
        <w:t>d</w:t>
      </w:r>
      <w:r w:rsidR="00486ECB" w:rsidRPr="00486ECB">
        <w:t xml:space="preserve"> by almost </w:t>
      </w:r>
      <w:r w:rsidR="00486ECB">
        <w:t>2</w:t>
      </w:r>
      <w:r w:rsidR="00486ECB" w:rsidRPr="00486ECB">
        <w:t>00% from 2021</w:t>
      </w:r>
      <w:r w:rsidR="00486ECB">
        <w:t>.</w:t>
      </w:r>
    </w:p>
    <w:bookmarkEnd w:id="27"/>
    <w:p w14:paraId="7B243AB2" w14:textId="13212E73" w:rsidR="00AB5198" w:rsidRDefault="00AB5198" w:rsidP="00AB5198">
      <w:pPr>
        <w:pStyle w:val="Caption"/>
        <w:keepNext/>
      </w:pPr>
      <w:r w:rsidRPr="000116F2">
        <w:t xml:space="preserve">Chart </w:t>
      </w:r>
      <w:r>
        <w:t>3</w:t>
      </w:r>
      <w:r w:rsidRPr="000116F2">
        <w:t xml:space="preserve"> - </w:t>
      </w:r>
      <w:r w:rsidRPr="009B7176">
        <w:t xml:space="preserve">Actual and planned </w:t>
      </w:r>
      <w:r>
        <w:t xml:space="preserve">regional transition </w:t>
      </w:r>
      <w:r w:rsidRPr="009B7176">
        <w:t>expenditure 2020 to 2029 ($)</w:t>
      </w:r>
    </w:p>
    <w:p w14:paraId="4229C072" w14:textId="1A6EF007" w:rsidR="00D86D76" w:rsidRPr="00D86D76" w:rsidRDefault="00D86D76" w:rsidP="00D86D76">
      <w:r>
        <w:rPr>
          <w:noProof/>
        </w:rPr>
        <w:drawing>
          <wp:inline distT="0" distB="0" distL="0" distR="0" wp14:anchorId="4FB779B3" wp14:editId="7A217AF2">
            <wp:extent cx="5731510" cy="2653346"/>
            <wp:effectExtent l="0" t="0" r="2540" b="13970"/>
            <wp:docPr id="536500937"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5DF7BF" w14:textId="77777777" w:rsidR="007D2AF2" w:rsidRPr="00B328CB" w:rsidRDefault="007D2AF2" w:rsidP="00061612">
      <w:pPr>
        <w:pStyle w:val="Heading4"/>
        <w:rPr>
          <w:rFonts w:eastAsia="Calibri"/>
          <w:lang w:val="en-US"/>
        </w:rPr>
      </w:pPr>
      <w:r w:rsidRPr="00B328CB">
        <w:rPr>
          <w:rFonts w:eastAsia="Calibri"/>
          <w:lang w:val="en-US"/>
        </w:rPr>
        <w:lastRenderedPageBreak/>
        <w:t xml:space="preserve">CAF planned expenditure to </w:t>
      </w:r>
      <w:proofErr w:type="gramStart"/>
      <w:r w:rsidRPr="00B328CB">
        <w:rPr>
          <w:rFonts w:eastAsia="Calibri"/>
          <w:lang w:val="en-US"/>
        </w:rPr>
        <w:t>2029</w:t>
      </w:r>
      <w:proofErr w:type="gramEnd"/>
    </w:p>
    <w:p w14:paraId="56F633ED" w14:textId="62598AF4" w:rsidR="007D2AF2" w:rsidRPr="00420F18" w:rsidRDefault="007D2AF2" w:rsidP="007D2AF2">
      <w:pPr>
        <w:rPr>
          <w:noProof/>
        </w:rPr>
      </w:pPr>
      <w:r>
        <w:rPr>
          <w:rFonts w:ascii="Calibri" w:eastAsia="Calibri" w:hAnsi="Calibri"/>
          <w:color w:val="000000"/>
          <w:lang w:val="en-US"/>
        </w:rPr>
        <w:t xml:space="preserve">NGRBs have expenditure </w:t>
      </w:r>
      <w:r w:rsidR="00526689">
        <w:rPr>
          <w:rFonts w:ascii="Calibri" w:eastAsia="Calibri" w:hAnsi="Calibri"/>
          <w:color w:val="000000"/>
          <w:lang w:val="en-US"/>
        </w:rPr>
        <w:t>profiles</w:t>
      </w:r>
      <w:r>
        <w:rPr>
          <w:rFonts w:ascii="Calibri" w:eastAsia="Calibri" w:hAnsi="Calibri"/>
          <w:color w:val="000000"/>
          <w:lang w:val="en-US"/>
        </w:rPr>
        <w:t xml:space="preserve"> that guide their annual expenditure as well as their future spending </w:t>
      </w:r>
      <w:r w:rsidR="00526689">
        <w:rPr>
          <w:rFonts w:ascii="Calibri" w:eastAsia="Calibri" w:hAnsi="Calibri"/>
          <w:color w:val="000000"/>
          <w:lang w:val="en-US"/>
        </w:rPr>
        <w:t>plans</w:t>
      </w:r>
      <w:r>
        <w:rPr>
          <w:rFonts w:ascii="Calibri" w:eastAsia="Calibri" w:hAnsi="Calibri"/>
          <w:color w:val="000000"/>
          <w:lang w:val="en-US"/>
        </w:rPr>
        <w:t xml:space="preserve"> up until to 2029. The </w:t>
      </w:r>
      <w:r w:rsidR="00526689">
        <w:rPr>
          <w:rFonts w:ascii="Calibri" w:eastAsia="Calibri" w:hAnsi="Calibri"/>
          <w:color w:val="000000"/>
          <w:lang w:val="en-US"/>
        </w:rPr>
        <w:t>profile</w:t>
      </w:r>
      <w:r>
        <w:rPr>
          <w:rFonts w:ascii="Calibri" w:eastAsia="Calibri" w:hAnsi="Calibri"/>
          <w:color w:val="000000"/>
          <w:lang w:val="en-US"/>
        </w:rPr>
        <w:t xml:space="preserve"> include</w:t>
      </w:r>
      <w:r w:rsidR="00526689">
        <w:rPr>
          <w:rFonts w:ascii="Calibri" w:eastAsia="Calibri" w:hAnsi="Calibri"/>
          <w:color w:val="000000"/>
          <w:lang w:val="en-US"/>
        </w:rPr>
        <w:t>s</w:t>
      </w:r>
      <w:r>
        <w:rPr>
          <w:rFonts w:ascii="Calibri" w:eastAsia="Calibri" w:hAnsi="Calibri"/>
          <w:color w:val="000000"/>
          <w:lang w:val="en-US"/>
        </w:rPr>
        <w:t xml:space="preserve"> any funding that they plan to hold to be expended in later years to meet future needs. This is called deferred expenditure. In 202</w:t>
      </w:r>
      <w:r w:rsidR="001B3F81">
        <w:rPr>
          <w:rFonts w:ascii="Calibri" w:eastAsia="Calibri" w:hAnsi="Calibri"/>
          <w:color w:val="000000"/>
          <w:lang w:val="en-US"/>
        </w:rPr>
        <w:t>2</w:t>
      </w:r>
      <w:r>
        <w:rPr>
          <w:rFonts w:ascii="Calibri" w:eastAsia="Calibri" w:hAnsi="Calibri"/>
          <w:color w:val="000000"/>
          <w:lang w:val="en-US"/>
        </w:rPr>
        <w:t xml:space="preserve"> NGRBs continued to refine their expenditure </w:t>
      </w:r>
      <w:r w:rsidR="00526689">
        <w:rPr>
          <w:rFonts w:ascii="Calibri" w:eastAsia="Calibri" w:hAnsi="Calibri"/>
          <w:color w:val="000000"/>
          <w:lang w:val="en-US"/>
        </w:rPr>
        <w:t>profiles</w:t>
      </w:r>
      <w:r>
        <w:rPr>
          <w:noProof/>
        </w:rPr>
        <w:t>. Current NGRB forecasts show that from 2024 expenditure on CAF priorities will exceed annual funding allocations, meaning that expenditure that had been deferred from earlier years will start to be expended along side the annual allocation. NGRB</w:t>
      </w:r>
      <w:r w:rsidR="00FE625A">
        <w:rPr>
          <w:noProof/>
        </w:rPr>
        <w:t>s</w:t>
      </w:r>
      <w:r>
        <w:rPr>
          <w:noProof/>
        </w:rPr>
        <w:t xml:space="preserve"> longer-term forecasts show this </w:t>
      </w:r>
      <w:r w:rsidRPr="009B7176">
        <w:rPr>
          <w:noProof/>
        </w:rPr>
        <w:t xml:space="preserve">trend continuing and the totality of CAF funding expended by the CAF’s final year of operation in 2029 (see </w:t>
      </w:r>
      <w:r w:rsidRPr="009B7176">
        <w:rPr>
          <w:b/>
          <w:bCs/>
          <w:noProof/>
        </w:rPr>
        <w:t xml:space="preserve">Chart </w:t>
      </w:r>
      <w:r w:rsidR="009B7176" w:rsidRPr="009B7176">
        <w:rPr>
          <w:b/>
          <w:bCs/>
          <w:noProof/>
        </w:rPr>
        <w:t>4</w:t>
      </w:r>
      <w:r w:rsidRPr="009B7176">
        <w:rPr>
          <w:noProof/>
        </w:rPr>
        <w:t>).</w:t>
      </w:r>
      <w:r>
        <w:rPr>
          <w:noProof/>
        </w:rPr>
        <w:t xml:space="preserve"> This higher expenditure planned in later years reflects anticpated higher need for transition support for schools who are moving to consistent Commonwealth funding shares</w:t>
      </w:r>
      <w:r w:rsidRPr="00F47956">
        <w:rPr>
          <w:noProof/>
        </w:rPr>
        <w:t xml:space="preserve"> </w:t>
      </w:r>
      <w:r>
        <w:rPr>
          <w:noProof/>
        </w:rPr>
        <w:t>by 2029.</w:t>
      </w:r>
    </w:p>
    <w:p w14:paraId="27A4EF60" w14:textId="7F680A5C" w:rsidR="00B328CB" w:rsidRDefault="00B328CB" w:rsidP="00B328CB">
      <w:pPr>
        <w:pStyle w:val="Caption"/>
        <w:keepNext/>
      </w:pPr>
      <w:r w:rsidRPr="009B7176">
        <w:t xml:space="preserve">Chart </w:t>
      </w:r>
      <w:r w:rsidR="009B7176" w:rsidRPr="009B7176">
        <w:t>4</w:t>
      </w:r>
      <w:r w:rsidRPr="009B7176">
        <w:t xml:space="preserve"> - Actual and planned expenditure 2020 to 2029 (202</w:t>
      </w:r>
      <w:r w:rsidR="007409CC" w:rsidRPr="009B7176">
        <w:t>2</w:t>
      </w:r>
      <w:r w:rsidRPr="009B7176">
        <w:t xml:space="preserve"> annual reports) ($)</w:t>
      </w:r>
    </w:p>
    <w:p w14:paraId="28A6E0D6" w14:textId="09D47469" w:rsidR="00D86D76" w:rsidRDefault="00D86D76" w:rsidP="001F27F9">
      <w:r>
        <w:rPr>
          <w:noProof/>
        </w:rPr>
        <w:drawing>
          <wp:inline distT="0" distB="0" distL="0" distR="0" wp14:anchorId="36829160" wp14:editId="7F8CD03F">
            <wp:extent cx="5731510" cy="2399639"/>
            <wp:effectExtent l="0" t="0" r="2540" b="1270"/>
            <wp:docPr id="1623738063"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53611C" w14:textId="77777777" w:rsidR="00D86D76" w:rsidRPr="00D86D76" w:rsidRDefault="00D86D76" w:rsidP="00D86D76"/>
    <w:p w14:paraId="06376E55" w14:textId="40612D92" w:rsidR="007918C9" w:rsidRPr="007918C9" w:rsidRDefault="007918C9" w:rsidP="007918C9"/>
    <w:p w14:paraId="77A45550" w14:textId="7549BF4F" w:rsidR="00791C30" w:rsidRDefault="00791C30" w:rsidP="00791C30"/>
    <w:p w14:paraId="550AF943" w14:textId="77777777" w:rsidR="00791C30" w:rsidRPr="00791C30" w:rsidRDefault="00791C30" w:rsidP="00791C30"/>
    <w:p w14:paraId="08255C4F" w14:textId="2941553B" w:rsidR="00D23BAD" w:rsidRDefault="00D23BAD" w:rsidP="007D2AF2">
      <w:pPr>
        <w:spacing w:after="120"/>
        <w:rPr>
          <w:rFonts w:ascii="Calibri" w:eastAsia="Calibri" w:hAnsi="Calibri"/>
          <w:color w:val="000000"/>
          <w:lang w:val="en-US"/>
        </w:rPr>
      </w:pPr>
    </w:p>
    <w:p w14:paraId="05D0C2E6" w14:textId="77777777" w:rsidR="00791C30" w:rsidRDefault="00791C30">
      <w:pPr>
        <w:spacing w:after="160"/>
        <w:rPr>
          <w:rFonts w:asciiTheme="majorHAnsi" w:eastAsiaTheme="majorEastAsia" w:hAnsiTheme="majorHAnsi" w:cstheme="majorBidi"/>
          <w:b/>
          <w:color w:val="55437E" w:themeColor="accent2"/>
          <w:sz w:val="44"/>
          <w:szCs w:val="26"/>
        </w:rPr>
      </w:pPr>
      <w:r>
        <w:br w:type="page"/>
      </w:r>
    </w:p>
    <w:p w14:paraId="18664FED" w14:textId="01CDB57C" w:rsidR="007D2AF2" w:rsidRPr="00855838" w:rsidRDefault="007D2AF2" w:rsidP="007D2AF2">
      <w:pPr>
        <w:pStyle w:val="Heading2"/>
        <w:spacing w:before="0" w:line="240" w:lineRule="auto"/>
      </w:pPr>
      <w:bookmarkStart w:id="28" w:name="_Toc147758205"/>
      <w:r w:rsidRPr="00855838">
        <w:lastRenderedPageBreak/>
        <w:t xml:space="preserve">Activities delivered by CAF </w:t>
      </w:r>
      <w:proofErr w:type="gramStart"/>
      <w:r w:rsidR="001978B9">
        <w:t>p</w:t>
      </w:r>
      <w:r w:rsidRPr="00855838">
        <w:t>riority</w:t>
      </w:r>
      <w:bookmarkEnd w:id="28"/>
      <w:proofErr w:type="gramEnd"/>
      <w:r w:rsidRPr="00855838">
        <w:t xml:space="preserve"> </w:t>
      </w:r>
    </w:p>
    <w:p w14:paraId="2814EA93" w14:textId="18B920BE" w:rsidR="007D2AF2" w:rsidRDefault="007D2AF2" w:rsidP="007D2AF2">
      <w:pPr>
        <w:rPr>
          <w:rFonts w:cstheme="minorHAnsi"/>
        </w:rPr>
      </w:pPr>
      <w:r w:rsidRPr="00244E6C">
        <w:rPr>
          <w:rFonts w:cstheme="minorHAnsi"/>
        </w:rPr>
        <w:t>The below presents a summary of activities undertaken under each priority. Detailed reports on activities undertaken by each NGRB across 202</w:t>
      </w:r>
      <w:r w:rsidR="007409CC">
        <w:rPr>
          <w:rFonts w:cstheme="minorHAnsi"/>
        </w:rPr>
        <w:t>2</w:t>
      </w:r>
      <w:r w:rsidRPr="00244E6C">
        <w:rPr>
          <w:rFonts w:cstheme="minorHAnsi"/>
        </w:rPr>
        <w:t xml:space="preserve"> can be found on their respective websites.</w:t>
      </w:r>
    </w:p>
    <w:p w14:paraId="11D41A07" w14:textId="0BDE56CF" w:rsidR="00D410DA" w:rsidRDefault="00D410DA" w:rsidP="007D2AF2">
      <w:pPr>
        <w:rPr>
          <w:rFonts w:cstheme="minorHAnsi"/>
        </w:rPr>
      </w:pPr>
      <w:r w:rsidRPr="00D410DA">
        <w:rPr>
          <w:rFonts w:cstheme="minorHAnsi"/>
          <w:b/>
          <w:bCs/>
        </w:rPr>
        <w:t>Table 1</w:t>
      </w:r>
      <w:r>
        <w:rPr>
          <w:rFonts w:cstheme="minorHAnsi"/>
        </w:rPr>
        <w:t xml:space="preserve"> and </w:t>
      </w:r>
      <w:r w:rsidRPr="00D410DA">
        <w:rPr>
          <w:rFonts w:cstheme="minorHAnsi"/>
          <w:b/>
          <w:bCs/>
        </w:rPr>
        <w:t>Chart 5</w:t>
      </w:r>
      <w:r>
        <w:rPr>
          <w:rFonts w:cstheme="minorHAnsi"/>
        </w:rPr>
        <w:t xml:space="preserve"> show the funding directly provided to schools </w:t>
      </w:r>
      <w:r w:rsidR="00FD085A">
        <w:rPr>
          <w:rFonts w:cstheme="minorHAnsi"/>
        </w:rPr>
        <w:t>in support of CAF priorities.</w:t>
      </w:r>
    </w:p>
    <w:p w14:paraId="11211821" w14:textId="6980EB97" w:rsidR="00EA0E37" w:rsidRDefault="00EA0E37" w:rsidP="00EA0E37">
      <w:pPr>
        <w:pStyle w:val="Caption"/>
        <w:keepNext/>
      </w:pPr>
      <w:r>
        <w:t xml:space="preserve">Table </w:t>
      </w:r>
      <w:r w:rsidR="00F744F0">
        <w:t>1</w:t>
      </w:r>
      <w:r>
        <w:t xml:space="preserve"> - </w:t>
      </w:r>
      <w:r w:rsidRPr="00EA072B">
        <w:t>Breakdown of 202</w:t>
      </w:r>
      <w:r>
        <w:t>2</w:t>
      </w:r>
      <w:r w:rsidRPr="00EA072B">
        <w:t xml:space="preserve"> CAF </w:t>
      </w:r>
      <w:r>
        <w:t xml:space="preserve">distributed </w:t>
      </w:r>
      <w:r w:rsidRPr="00EA072B">
        <w:t xml:space="preserve">expenditure by </w:t>
      </w:r>
      <w:r>
        <w:t>priority</w:t>
      </w:r>
      <w:r w:rsidRPr="00EA072B">
        <w:t xml:space="preserve"> for all NGRBs</w:t>
      </w:r>
    </w:p>
    <w:tbl>
      <w:tblPr>
        <w:tblW w:w="5000" w:type="pct"/>
        <w:tblLook w:val="04A0" w:firstRow="1" w:lastRow="0" w:firstColumn="1" w:lastColumn="0" w:noHBand="0" w:noVBand="1"/>
      </w:tblPr>
      <w:tblGrid>
        <w:gridCol w:w="5677"/>
        <w:gridCol w:w="2235"/>
        <w:gridCol w:w="1114"/>
      </w:tblGrid>
      <w:tr w:rsidR="002C5EE1" w:rsidRPr="00FD4941" w14:paraId="7FA6E4B7" w14:textId="77777777" w:rsidTr="0006163B">
        <w:trPr>
          <w:trHeight w:val="315"/>
        </w:trPr>
        <w:tc>
          <w:tcPr>
            <w:tcW w:w="3145" w:type="pct"/>
            <w:shd w:val="clear" w:color="000000" w:fill="00254A"/>
            <w:vAlign w:val="center"/>
            <w:hideMark/>
          </w:tcPr>
          <w:p w14:paraId="515C86CC" w14:textId="77777777" w:rsidR="002C5EE1" w:rsidRPr="00FD4941" w:rsidRDefault="002C5EE1" w:rsidP="00FD4941">
            <w:pPr>
              <w:spacing w:after="0" w:line="240" w:lineRule="auto"/>
              <w:ind w:firstLineChars="100" w:firstLine="221"/>
              <w:rPr>
                <w:rFonts w:ascii="Calibri" w:eastAsia="Times New Roman" w:hAnsi="Calibri" w:cs="Calibri"/>
                <w:b/>
                <w:bCs/>
                <w:color w:val="FFFFFF"/>
                <w:lang w:eastAsia="en-AU"/>
              </w:rPr>
            </w:pPr>
            <w:r w:rsidRPr="00FD4941">
              <w:rPr>
                <w:rFonts w:ascii="Calibri" w:eastAsia="Times New Roman" w:hAnsi="Calibri" w:cs="Calibri"/>
                <w:b/>
                <w:bCs/>
                <w:color w:val="FFFFFF"/>
                <w:lang w:eastAsia="en-AU"/>
              </w:rPr>
              <w:t>Priority</w:t>
            </w:r>
            <w:r w:rsidRPr="00FD4941">
              <w:rPr>
                <w:rFonts w:ascii="Calibri" w:eastAsia="Times New Roman" w:hAnsi="Calibri" w:cs="Calibri"/>
                <w:lang w:eastAsia="en-AU"/>
              </w:rPr>
              <w:t> </w:t>
            </w:r>
          </w:p>
        </w:tc>
        <w:tc>
          <w:tcPr>
            <w:tcW w:w="1238" w:type="pct"/>
            <w:shd w:val="clear" w:color="000000" w:fill="00254A"/>
            <w:vAlign w:val="center"/>
            <w:hideMark/>
          </w:tcPr>
          <w:p w14:paraId="65AC13CD" w14:textId="153D8A08" w:rsidR="002C5EE1" w:rsidRPr="00FD4941" w:rsidRDefault="003A6BB8" w:rsidP="00FD4941">
            <w:pPr>
              <w:spacing w:after="0" w:line="240" w:lineRule="auto"/>
              <w:jc w:val="center"/>
              <w:rPr>
                <w:rFonts w:ascii="Calibri" w:eastAsia="Times New Roman" w:hAnsi="Calibri" w:cs="Calibri"/>
                <w:b/>
                <w:bCs/>
                <w:color w:val="FFFFFF"/>
                <w:lang w:eastAsia="en-AU"/>
              </w:rPr>
            </w:pPr>
            <w:r>
              <w:rPr>
                <w:rFonts w:ascii="Calibri" w:eastAsia="Times New Roman" w:hAnsi="Calibri" w:cs="Calibri"/>
                <w:b/>
                <w:bCs/>
                <w:color w:val="FFFFFF"/>
                <w:lang w:eastAsia="en-AU"/>
              </w:rPr>
              <w:t>Expenditure</w:t>
            </w:r>
            <w:r w:rsidR="002C5EE1" w:rsidRPr="00FD4941">
              <w:rPr>
                <w:rFonts w:ascii="Calibri" w:eastAsia="Times New Roman" w:hAnsi="Calibri" w:cs="Calibri"/>
                <w:b/>
                <w:bCs/>
                <w:color w:val="FFFFFF"/>
                <w:lang w:eastAsia="en-AU"/>
              </w:rPr>
              <w:t xml:space="preserve"> 2022</w:t>
            </w:r>
          </w:p>
        </w:tc>
        <w:tc>
          <w:tcPr>
            <w:tcW w:w="617" w:type="pct"/>
            <w:shd w:val="clear" w:color="000000" w:fill="00254A"/>
            <w:vAlign w:val="center"/>
            <w:hideMark/>
          </w:tcPr>
          <w:p w14:paraId="15809B8F" w14:textId="77777777" w:rsidR="002C5EE1" w:rsidRPr="00FD4941" w:rsidRDefault="002C5EE1" w:rsidP="00FD4941">
            <w:pPr>
              <w:spacing w:after="0" w:line="240" w:lineRule="auto"/>
              <w:jc w:val="center"/>
              <w:rPr>
                <w:rFonts w:ascii="Calibri" w:eastAsia="Times New Roman" w:hAnsi="Calibri" w:cs="Calibri"/>
                <w:b/>
                <w:bCs/>
                <w:color w:val="FFFFFF"/>
                <w:lang w:eastAsia="en-AU"/>
              </w:rPr>
            </w:pPr>
            <w:r w:rsidRPr="00FD4941">
              <w:rPr>
                <w:rFonts w:ascii="Calibri" w:eastAsia="Times New Roman" w:hAnsi="Calibri" w:cs="Calibri"/>
                <w:b/>
                <w:bCs/>
                <w:color w:val="FFFFFF"/>
                <w:lang w:eastAsia="en-AU"/>
              </w:rPr>
              <w:t>Schools</w:t>
            </w:r>
          </w:p>
        </w:tc>
      </w:tr>
      <w:tr w:rsidR="002C5EE1" w:rsidRPr="00FD4941" w14:paraId="2E69B114" w14:textId="77777777" w:rsidTr="0006163B">
        <w:trPr>
          <w:trHeight w:val="315"/>
        </w:trPr>
        <w:tc>
          <w:tcPr>
            <w:tcW w:w="3145" w:type="pct"/>
            <w:tcBorders>
              <w:top w:val="nil"/>
            </w:tcBorders>
            <w:shd w:val="clear" w:color="auto" w:fill="auto"/>
            <w:vAlign w:val="center"/>
            <w:hideMark/>
          </w:tcPr>
          <w:p w14:paraId="40A146D4" w14:textId="451EFD62"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A - Choice and </w:t>
            </w:r>
            <w:r w:rsidR="003A6BB8">
              <w:rPr>
                <w:rFonts w:ascii="Calibri" w:eastAsia="Times New Roman" w:hAnsi="Calibri" w:cs="Calibri"/>
                <w:lang w:eastAsia="en-AU"/>
              </w:rPr>
              <w:t>a</w:t>
            </w:r>
            <w:r w:rsidRPr="00FD4941">
              <w:rPr>
                <w:rFonts w:ascii="Calibri" w:eastAsia="Times New Roman" w:hAnsi="Calibri" w:cs="Calibri"/>
                <w:lang w:eastAsia="en-AU"/>
              </w:rPr>
              <w:t>ffordability</w:t>
            </w:r>
          </w:p>
        </w:tc>
        <w:tc>
          <w:tcPr>
            <w:tcW w:w="1238" w:type="pct"/>
            <w:tcBorders>
              <w:top w:val="nil"/>
            </w:tcBorders>
            <w:shd w:val="clear" w:color="auto" w:fill="auto"/>
            <w:noWrap/>
            <w:vAlign w:val="bottom"/>
            <w:hideMark/>
          </w:tcPr>
          <w:p w14:paraId="062717A6"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$27,740,143</w:t>
            </w:r>
          </w:p>
        </w:tc>
        <w:tc>
          <w:tcPr>
            <w:tcW w:w="617" w:type="pct"/>
            <w:tcBorders>
              <w:top w:val="nil"/>
            </w:tcBorders>
            <w:shd w:val="clear" w:color="auto" w:fill="auto"/>
            <w:noWrap/>
            <w:vAlign w:val="bottom"/>
            <w:hideMark/>
          </w:tcPr>
          <w:p w14:paraId="24C2EC9C"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569</w:t>
            </w:r>
          </w:p>
        </w:tc>
      </w:tr>
      <w:tr w:rsidR="002C5EE1" w:rsidRPr="00FD4941" w14:paraId="70D6E50A" w14:textId="77777777" w:rsidTr="0006163B">
        <w:trPr>
          <w:trHeight w:val="315"/>
        </w:trPr>
        <w:tc>
          <w:tcPr>
            <w:tcW w:w="3145" w:type="pct"/>
            <w:tcBorders>
              <w:top w:val="nil"/>
            </w:tcBorders>
            <w:shd w:val="clear" w:color="auto" w:fill="auto"/>
            <w:vAlign w:val="center"/>
            <w:hideMark/>
          </w:tcPr>
          <w:p w14:paraId="27BB0FA1" w14:textId="49B56130"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B - Transition </w:t>
            </w:r>
            <w:r w:rsidR="003A6BB8">
              <w:rPr>
                <w:rFonts w:ascii="Calibri" w:eastAsia="Times New Roman" w:hAnsi="Calibri" w:cs="Calibri"/>
                <w:lang w:eastAsia="en-AU"/>
              </w:rPr>
              <w:t>a</w:t>
            </w:r>
            <w:r w:rsidRPr="00FD4941">
              <w:rPr>
                <w:rFonts w:ascii="Calibri" w:eastAsia="Times New Roman" w:hAnsi="Calibri" w:cs="Calibri"/>
                <w:lang w:eastAsia="en-AU"/>
              </w:rPr>
              <w:t xml:space="preserve">ssistance - </w:t>
            </w:r>
            <w:r w:rsidR="003A6BB8">
              <w:rPr>
                <w:rFonts w:ascii="Calibri" w:eastAsia="Times New Roman" w:hAnsi="Calibri" w:cs="Calibri"/>
                <w:lang w:eastAsia="en-AU"/>
              </w:rPr>
              <w:t>r</w:t>
            </w:r>
            <w:r w:rsidRPr="00FD4941">
              <w:rPr>
                <w:rFonts w:ascii="Calibri" w:eastAsia="Times New Roman" w:hAnsi="Calibri" w:cs="Calibri"/>
                <w:lang w:eastAsia="en-AU"/>
              </w:rPr>
              <w:t>egional</w:t>
            </w:r>
          </w:p>
        </w:tc>
        <w:tc>
          <w:tcPr>
            <w:tcW w:w="1238" w:type="pct"/>
            <w:tcBorders>
              <w:top w:val="nil"/>
            </w:tcBorders>
            <w:shd w:val="clear" w:color="auto" w:fill="auto"/>
            <w:noWrap/>
            <w:vAlign w:val="bottom"/>
            <w:hideMark/>
          </w:tcPr>
          <w:p w14:paraId="4E535247"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$17,211,429</w:t>
            </w:r>
          </w:p>
        </w:tc>
        <w:tc>
          <w:tcPr>
            <w:tcW w:w="617" w:type="pct"/>
            <w:tcBorders>
              <w:top w:val="nil"/>
            </w:tcBorders>
            <w:shd w:val="clear" w:color="auto" w:fill="auto"/>
            <w:noWrap/>
            <w:vAlign w:val="bottom"/>
            <w:hideMark/>
          </w:tcPr>
          <w:p w14:paraId="6D884FDF"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210</w:t>
            </w:r>
          </w:p>
        </w:tc>
      </w:tr>
      <w:tr w:rsidR="002C5EE1" w:rsidRPr="00FD4941" w14:paraId="5CD46388" w14:textId="77777777" w:rsidTr="0006163B">
        <w:trPr>
          <w:trHeight w:val="74"/>
        </w:trPr>
        <w:tc>
          <w:tcPr>
            <w:tcW w:w="3145" w:type="pct"/>
            <w:tcBorders>
              <w:top w:val="nil"/>
            </w:tcBorders>
            <w:shd w:val="clear" w:color="auto" w:fill="auto"/>
            <w:vAlign w:val="center"/>
            <w:hideMark/>
          </w:tcPr>
          <w:p w14:paraId="7F1DA811" w14:textId="4A72EF67"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B - Transition </w:t>
            </w:r>
            <w:r w:rsidR="003A6BB8">
              <w:rPr>
                <w:rFonts w:ascii="Calibri" w:eastAsia="Times New Roman" w:hAnsi="Calibri" w:cs="Calibri"/>
                <w:lang w:eastAsia="en-AU"/>
              </w:rPr>
              <w:t>a</w:t>
            </w:r>
            <w:r w:rsidRPr="00FD4941">
              <w:rPr>
                <w:rFonts w:ascii="Calibri" w:eastAsia="Times New Roman" w:hAnsi="Calibri" w:cs="Calibri"/>
                <w:lang w:eastAsia="en-AU"/>
              </w:rPr>
              <w:t xml:space="preserve">ssistance - </w:t>
            </w:r>
            <w:r w:rsidR="003A6BB8">
              <w:rPr>
                <w:rFonts w:ascii="Calibri" w:eastAsia="Times New Roman" w:hAnsi="Calibri" w:cs="Calibri"/>
                <w:lang w:eastAsia="en-AU"/>
              </w:rPr>
              <w:t>f</w:t>
            </w:r>
            <w:r w:rsidRPr="00FD4941">
              <w:rPr>
                <w:rFonts w:ascii="Calibri" w:eastAsia="Times New Roman" w:hAnsi="Calibri" w:cs="Calibri"/>
                <w:lang w:eastAsia="en-AU"/>
              </w:rPr>
              <w:t xml:space="preserve">ormer NAAF </w:t>
            </w:r>
            <w:r w:rsidR="003A6BB8">
              <w:rPr>
                <w:rFonts w:ascii="Calibri" w:eastAsia="Times New Roman" w:hAnsi="Calibri" w:cs="Calibri"/>
                <w:lang w:eastAsia="en-AU"/>
              </w:rPr>
              <w:t>s</w:t>
            </w:r>
            <w:r w:rsidRPr="00FD4941">
              <w:rPr>
                <w:rFonts w:ascii="Calibri" w:eastAsia="Times New Roman" w:hAnsi="Calibri" w:cs="Calibri"/>
                <w:lang w:eastAsia="en-AU"/>
              </w:rPr>
              <w:t>chools</w:t>
            </w:r>
          </w:p>
        </w:tc>
        <w:tc>
          <w:tcPr>
            <w:tcW w:w="1238" w:type="pct"/>
            <w:tcBorders>
              <w:top w:val="nil"/>
            </w:tcBorders>
            <w:shd w:val="clear" w:color="auto" w:fill="auto"/>
            <w:noWrap/>
            <w:vAlign w:val="bottom"/>
            <w:hideMark/>
          </w:tcPr>
          <w:p w14:paraId="2FC582B2"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$4,540,489</w:t>
            </w:r>
          </w:p>
        </w:tc>
        <w:tc>
          <w:tcPr>
            <w:tcW w:w="617" w:type="pct"/>
            <w:tcBorders>
              <w:top w:val="nil"/>
            </w:tcBorders>
            <w:shd w:val="clear" w:color="auto" w:fill="auto"/>
            <w:noWrap/>
            <w:vAlign w:val="bottom"/>
            <w:hideMark/>
          </w:tcPr>
          <w:p w14:paraId="4733BD81"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48</w:t>
            </w:r>
          </w:p>
        </w:tc>
      </w:tr>
      <w:tr w:rsidR="002C5EE1" w:rsidRPr="00FD4941" w14:paraId="58A981CE" w14:textId="77777777" w:rsidTr="0006163B">
        <w:trPr>
          <w:trHeight w:val="315"/>
        </w:trPr>
        <w:tc>
          <w:tcPr>
            <w:tcW w:w="3145" w:type="pct"/>
            <w:tcBorders>
              <w:top w:val="nil"/>
            </w:tcBorders>
            <w:shd w:val="clear" w:color="auto" w:fill="auto"/>
            <w:vAlign w:val="center"/>
            <w:hideMark/>
          </w:tcPr>
          <w:p w14:paraId="5AFB3E02" w14:textId="25D247D3"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B - Transition </w:t>
            </w:r>
            <w:r w:rsidR="003A6BB8">
              <w:rPr>
                <w:rFonts w:ascii="Calibri" w:eastAsia="Times New Roman" w:hAnsi="Calibri" w:cs="Calibri"/>
                <w:lang w:eastAsia="en-AU"/>
              </w:rPr>
              <w:t>a</w:t>
            </w:r>
            <w:r w:rsidRPr="00FD4941">
              <w:rPr>
                <w:rFonts w:ascii="Calibri" w:eastAsia="Times New Roman" w:hAnsi="Calibri" w:cs="Calibri"/>
                <w:lang w:eastAsia="en-AU"/>
              </w:rPr>
              <w:t xml:space="preserve">ssistance - </w:t>
            </w:r>
            <w:r w:rsidR="003A6BB8">
              <w:rPr>
                <w:rFonts w:ascii="Calibri" w:eastAsia="Times New Roman" w:hAnsi="Calibri" w:cs="Calibri"/>
                <w:lang w:eastAsia="en-AU"/>
              </w:rPr>
              <w:t>g</w:t>
            </w:r>
            <w:r w:rsidRPr="00FD4941">
              <w:rPr>
                <w:rFonts w:ascii="Calibri" w:eastAsia="Times New Roman" w:hAnsi="Calibri" w:cs="Calibri"/>
                <w:lang w:eastAsia="en-AU"/>
              </w:rPr>
              <w:t>eneral</w:t>
            </w:r>
          </w:p>
        </w:tc>
        <w:tc>
          <w:tcPr>
            <w:tcW w:w="1238" w:type="pct"/>
            <w:tcBorders>
              <w:top w:val="nil"/>
            </w:tcBorders>
            <w:shd w:val="clear" w:color="auto" w:fill="auto"/>
            <w:noWrap/>
            <w:vAlign w:val="bottom"/>
            <w:hideMark/>
          </w:tcPr>
          <w:p w14:paraId="7386B840"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$11,482,646</w:t>
            </w:r>
          </w:p>
        </w:tc>
        <w:tc>
          <w:tcPr>
            <w:tcW w:w="617" w:type="pct"/>
            <w:tcBorders>
              <w:top w:val="nil"/>
            </w:tcBorders>
            <w:shd w:val="clear" w:color="auto" w:fill="auto"/>
            <w:noWrap/>
            <w:vAlign w:val="bottom"/>
            <w:hideMark/>
          </w:tcPr>
          <w:p w14:paraId="1257742D"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114</w:t>
            </w:r>
          </w:p>
        </w:tc>
      </w:tr>
      <w:tr w:rsidR="002C5EE1" w:rsidRPr="00FD4941" w14:paraId="13890C42" w14:textId="77777777" w:rsidTr="0006163B">
        <w:trPr>
          <w:trHeight w:val="315"/>
        </w:trPr>
        <w:tc>
          <w:tcPr>
            <w:tcW w:w="3145" w:type="pct"/>
            <w:tcBorders>
              <w:top w:val="nil"/>
            </w:tcBorders>
            <w:shd w:val="clear" w:color="auto" w:fill="auto"/>
            <w:vAlign w:val="center"/>
            <w:hideMark/>
          </w:tcPr>
          <w:p w14:paraId="79E5996B" w14:textId="3CCCE54C"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C - Special </w:t>
            </w:r>
            <w:r w:rsidR="003A6BB8">
              <w:rPr>
                <w:rFonts w:ascii="Calibri" w:eastAsia="Times New Roman" w:hAnsi="Calibri" w:cs="Calibri"/>
                <w:lang w:eastAsia="en-AU"/>
              </w:rPr>
              <w:t>c</w:t>
            </w:r>
            <w:r w:rsidRPr="00FD4941">
              <w:rPr>
                <w:rFonts w:ascii="Calibri" w:eastAsia="Times New Roman" w:hAnsi="Calibri" w:cs="Calibri"/>
                <w:lang w:eastAsia="en-AU"/>
              </w:rPr>
              <w:t>ircumstances</w:t>
            </w:r>
          </w:p>
        </w:tc>
        <w:tc>
          <w:tcPr>
            <w:tcW w:w="1238" w:type="pct"/>
            <w:tcBorders>
              <w:top w:val="nil"/>
            </w:tcBorders>
            <w:shd w:val="clear" w:color="auto" w:fill="auto"/>
            <w:noWrap/>
            <w:vAlign w:val="bottom"/>
            <w:hideMark/>
          </w:tcPr>
          <w:p w14:paraId="783B990D"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$114,653</w:t>
            </w:r>
          </w:p>
        </w:tc>
        <w:tc>
          <w:tcPr>
            <w:tcW w:w="617" w:type="pct"/>
            <w:tcBorders>
              <w:top w:val="nil"/>
            </w:tcBorders>
            <w:shd w:val="clear" w:color="auto" w:fill="auto"/>
            <w:noWrap/>
            <w:vAlign w:val="bottom"/>
            <w:hideMark/>
          </w:tcPr>
          <w:p w14:paraId="216B793E"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3</w:t>
            </w:r>
          </w:p>
        </w:tc>
      </w:tr>
      <w:tr w:rsidR="002C5EE1" w:rsidRPr="00FD4941" w14:paraId="3548D239" w14:textId="77777777" w:rsidTr="0006163B">
        <w:trPr>
          <w:trHeight w:val="315"/>
        </w:trPr>
        <w:tc>
          <w:tcPr>
            <w:tcW w:w="3145" w:type="pct"/>
            <w:tcBorders>
              <w:top w:val="nil"/>
            </w:tcBorders>
            <w:shd w:val="clear" w:color="auto" w:fill="auto"/>
            <w:vAlign w:val="center"/>
            <w:hideMark/>
          </w:tcPr>
          <w:p w14:paraId="0BA80D62" w14:textId="5C0FCC8C"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D - Strengthening </w:t>
            </w:r>
            <w:r w:rsidR="003A6BB8">
              <w:rPr>
                <w:rFonts w:ascii="Calibri" w:eastAsia="Times New Roman" w:hAnsi="Calibri" w:cs="Calibri"/>
                <w:lang w:eastAsia="en-AU"/>
              </w:rPr>
              <w:t>o</w:t>
            </w:r>
            <w:r w:rsidRPr="00FD4941">
              <w:rPr>
                <w:rFonts w:ascii="Calibri" w:eastAsia="Times New Roman" w:hAnsi="Calibri" w:cs="Calibri"/>
                <w:lang w:eastAsia="en-AU"/>
              </w:rPr>
              <w:t xml:space="preserve">utcomes for </w:t>
            </w:r>
            <w:r w:rsidR="003A6BB8">
              <w:rPr>
                <w:rFonts w:ascii="Calibri" w:eastAsia="Times New Roman" w:hAnsi="Calibri" w:cs="Calibri"/>
                <w:lang w:eastAsia="en-AU"/>
              </w:rPr>
              <w:t>s</w:t>
            </w:r>
            <w:r w:rsidRPr="00FD4941">
              <w:rPr>
                <w:rFonts w:ascii="Calibri" w:eastAsia="Times New Roman" w:hAnsi="Calibri" w:cs="Calibri"/>
                <w:lang w:eastAsia="en-AU"/>
              </w:rPr>
              <w:t>chools</w:t>
            </w:r>
          </w:p>
        </w:tc>
        <w:tc>
          <w:tcPr>
            <w:tcW w:w="1238" w:type="pct"/>
            <w:tcBorders>
              <w:top w:val="nil"/>
            </w:tcBorders>
            <w:shd w:val="clear" w:color="auto" w:fill="auto"/>
            <w:noWrap/>
            <w:vAlign w:val="bottom"/>
            <w:hideMark/>
          </w:tcPr>
          <w:p w14:paraId="49160E11"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$5,620,313</w:t>
            </w:r>
          </w:p>
        </w:tc>
        <w:tc>
          <w:tcPr>
            <w:tcW w:w="617" w:type="pct"/>
            <w:tcBorders>
              <w:top w:val="nil"/>
            </w:tcBorders>
            <w:shd w:val="clear" w:color="auto" w:fill="auto"/>
            <w:noWrap/>
            <w:vAlign w:val="bottom"/>
            <w:hideMark/>
          </w:tcPr>
          <w:p w14:paraId="6E26751E"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191</w:t>
            </w:r>
          </w:p>
        </w:tc>
      </w:tr>
      <w:tr w:rsidR="002C5EE1" w:rsidRPr="00FD4941" w14:paraId="0087F6A0" w14:textId="77777777" w:rsidTr="0006163B">
        <w:trPr>
          <w:trHeight w:val="315"/>
        </w:trPr>
        <w:tc>
          <w:tcPr>
            <w:tcW w:w="3145" w:type="pct"/>
            <w:tcBorders>
              <w:top w:val="nil"/>
              <w:bottom w:val="single" w:sz="4" w:space="0" w:color="auto"/>
            </w:tcBorders>
            <w:shd w:val="clear" w:color="auto" w:fill="auto"/>
            <w:vAlign w:val="center"/>
            <w:hideMark/>
          </w:tcPr>
          <w:p w14:paraId="45B5B4C4" w14:textId="0F630E27" w:rsidR="002C5EE1" w:rsidRPr="00FD4941" w:rsidRDefault="002C5EE1" w:rsidP="00FD4941">
            <w:pPr>
              <w:spacing w:after="0" w:line="240" w:lineRule="auto"/>
              <w:ind w:firstLineChars="100" w:firstLine="220"/>
              <w:rPr>
                <w:rFonts w:ascii="Calibri" w:eastAsia="Times New Roman" w:hAnsi="Calibri" w:cs="Calibri"/>
                <w:lang w:eastAsia="en-AU"/>
              </w:rPr>
            </w:pPr>
            <w:r w:rsidRPr="00FD4941">
              <w:rPr>
                <w:rFonts w:ascii="Calibri" w:eastAsia="Times New Roman" w:hAnsi="Calibri" w:cs="Calibri"/>
                <w:lang w:eastAsia="en-AU"/>
              </w:rPr>
              <w:t xml:space="preserve">E - Student </w:t>
            </w:r>
            <w:r w:rsidR="003A6BB8">
              <w:rPr>
                <w:rFonts w:ascii="Calibri" w:eastAsia="Times New Roman" w:hAnsi="Calibri" w:cs="Calibri"/>
                <w:lang w:eastAsia="en-AU"/>
              </w:rPr>
              <w:t>w</w:t>
            </w:r>
            <w:r w:rsidRPr="00FD4941">
              <w:rPr>
                <w:rFonts w:ascii="Calibri" w:eastAsia="Times New Roman" w:hAnsi="Calibri" w:cs="Calibri"/>
                <w:lang w:eastAsia="en-AU"/>
              </w:rPr>
              <w:t xml:space="preserve">ellbeing and </w:t>
            </w:r>
            <w:r w:rsidR="003A6BB8">
              <w:rPr>
                <w:rFonts w:ascii="Calibri" w:eastAsia="Times New Roman" w:hAnsi="Calibri" w:cs="Calibri"/>
                <w:lang w:eastAsia="en-AU"/>
              </w:rPr>
              <w:t>s</w:t>
            </w:r>
            <w:r w:rsidRPr="00FD4941">
              <w:rPr>
                <w:rFonts w:ascii="Calibri" w:eastAsia="Times New Roman" w:hAnsi="Calibri" w:cs="Calibri"/>
                <w:lang w:eastAsia="en-AU"/>
              </w:rPr>
              <w:t>upport</w:t>
            </w:r>
          </w:p>
        </w:tc>
        <w:tc>
          <w:tcPr>
            <w:tcW w:w="1238" w:type="pct"/>
            <w:tcBorders>
              <w:top w:val="nil"/>
              <w:bottom w:val="single" w:sz="4" w:space="0" w:color="auto"/>
            </w:tcBorders>
            <w:shd w:val="clear" w:color="auto" w:fill="auto"/>
            <w:noWrap/>
            <w:vAlign w:val="bottom"/>
            <w:hideMark/>
          </w:tcPr>
          <w:p w14:paraId="66E497CC" w14:textId="77777777" w:rsidR="002C5EE1" w:rsidRPr="00FD4941" w:rsidRDefault="002C5EE1" w:rsidP="00FD4941">
            <w:pPr>
              <w:spacing w:after="0" w:line="240" w:lineRule="auto"/>
              <w:jc w:val="right"/>
              <w:rPr>
                <w:rFonts w:ascii="Calibri" w:eastAsia="Times New Roman" w:hAnsi="Calibri" w:cs="Calibri"/>
                <w:color w:val="000000"/>
                <w:lang w:eastAsia="en-AU"/>
              </w:rPr>
            </w:pPr>
            <w:r w:rsidRPr="00FD4941">
              <w:rPr>
                <w:rFonts w:ascii="Calibri" w:eastAsia="Times New Roman" w:hAnsi="Calibri" w:cs="Calibri"/>
                <w:color w:val="000000"/>
                <w:lang w:eastAsia="en-AU"/>
              </w:rPr>
              <w:t>$527,004</w:t>
            </w:r>
          </w:p>
        </w:tc>
        <w:tc>
          <w:tcPr>
            <w:tcW w:w="617" w:type="pct"/>
            <w:tcBorders>
              <w:top w:val="nil"/>
              <w:bottom w:val="single" w:sz="4" w:space="0" w:color="auto"/>
            </w:tcBorders>
            <w:shd w:val="clear" w:color="auto" w:fill="auto"/>
            <w:noWrap/>
            <w:vAlign w:val="bottom"/>
            <w:hideMark/>
          </w:tcPr>
          <w:p w14:paraId="6AA049B8" w14:textId="77777777" w:rsidR="002C5EE1" w:rsidRPr="00FD4941" w:rsidRDefault="002C5EE1" w:rsidP="00FD4941">
            <w:pPr>
              <w:spacing w:after="0" w:line="240" w:lineRule="auto"/>
              <w:jc w:val="center"/>
              <w:rPr>
                <w:rFonts w:ascii="Calibri" w:eastAsia="Times New Roman" w:hAnsi="Calibri" w:cs="Calibri"/>
                <w:color w:val="000000"/>
                <w:lang w:eastAsia="en-AU"/>
              </w:rPr>
            </w:pPr>
            <w:r w:rsidRPr="00FD4941">
              <w:rPr>
                <w:rFonts w:ascii="Calibri" w:eastAsia="Times New Roman" w:hAnsi="Calibri" w:cs="Calibri"/>
                <w:color w:val="000000"/>
                <w:lang w:eastAsia="en-AU"/>
              </w:rPr>
              <w:t>40</w:t>
            </w:r>
          </w:p>
        </w:tc>
      </w:tr>
      <w:tr w:rsidR="002C5EE1" w:rsidRPr="00FD4941" w14:paraId="231AADA9" w14:textId="77777777" w:rsidTr="0006163B">
        <w:trPr>
          <w:trHeight w:val="315"/>
        </w:trPr>
        <w:tc>
          <w:tcPr>
            <w:tcW w:w="3145" w:type="pct"/>
            <w:tcBorders>
              <w:top w:val="single" w:sz="4" w:space="0" w:color="auto"/>
              <w:bottom w:val="single" w:sz="4" w:space="0" w:color="auto"/>
            </w:tcBorders>
            <w:shd w:val="clear" w:color="auto" w:fill="auto"/>
            <w:vAlign w:val="center"/>
            <w:hideMark/>
          </w:tcPr>
          <w:p w14:paraId="7B0D0DD8" w14:textId="6604B194" w:rsidR="002C5EE1" w:rsidRPr="00FD4941" w:rsidRDefault="002C5EE1" w:rsidP="00FD4941">
            <w:pPr>
              <w:spacing w:after="0" w:line="240" w:lineRule="auto"/>
              <w:ind w:firstLineChars="100" w:firstLine="221"/>
              <w:rPr>
                <w:rFonts w:ascii="Calibri" w:eastAsia="Times New Roman" w:hAnsi="Calibri" w:cs="Calibri"/>
                <w:b/>
                <w:bCs/>
                <w:lang w:eastAsia="en-AU"/>
              </w:rPr>
            </w:pPr>
            <w:r w:rsidRPr="00FD4941">
              <w:rPr>
                <w:rFonts w:ascii="Calibri" w:eastAsia="Times New Roman" w:hAnsi="Calibri" w:cs="Calibri"/>
                <w:b/>
                <w:bCs/>
                <w:lang w:eastAsia="en-AU"/>
              </w:rPr>
              <w:t xml:space="preserve">All </w:t>
            </w:r>
            <w:r w:rsidR="00B452FB">
              <w:rPr>
                <w:rFonts w:ascii="Calibri" w:eastAsia="Times New Roman" w:hAnsi="Calibri" w:cs="Calibri"/>
                <w:b/>
                <w:bCs/>
                <w:lang w:eastAsia="en-AU"/>
              </w:rPr>
              <w:t>p</w:t>
            </w:r>
            <w:r w:rsidRPr="00FD4941">
              <w:rPr>
                <w:rFonts w:ascii="Calibri" w:eastAsia="Times New Roman" w:hAnsi="Calibri" w:cs="Calibri"/>
                <w:b/>
                <w:bCs/>
                <w:lang w:eastAsia="en-AU"/>
              </w:rPr>
              <w:t>riorities</w:t>
            </w:r>
          </w:p>
        </w:tc>
        <w:tc>
          <w:tcPr>
            <w:tcW w:w="1238" w:type="pct"/>
            <w:tcBorders>
              <w:top w:val="single" w:sz="4" w:space="0" w:color="auto"/>
              <w:bottom w:val="single" w:sz="4" w:space="0" w:color="auto"/>
            </w:tcBorders>
            <w:shd w:val="clear" w:color="auto" w:fill="auto"/>
            <w:noWrap/>
            <w:vAlign w:val="bottom"/>
            <w:hideMark/>
          </w:tcPr>
          <w:p w14:paraId="3ED920BD" w14:textId="77777777" w:rsidR="002C5EE1" w:rsidRPr="00FD4941" w:rsidRDefault="002C5EE1" w:rsidP="00FD4941">
            <w:pPr>
              <w:spacing w:after="0" w:line="240" w:lineRule="auto"/>
              <w:jc w:val="right"/>
              <w:rPr>
                <w:rFonts w:ascii="Calibri" w:eastAsia="Times New Roman" w:hAnsi="Calibri" w:cs="Calibri"/>
                <w:b/>
                <w:bCs/>
                <w:color w:val="000000"/>
                <w:lang w:eastAsia="en-AU"/>
              </w:rPr>
            </w:pPr>
            <w:r w:rsidRPr="00FD4941">
              <w:rPr>
                <w:rFonts w:ascii="Calibri" w:eastAsia="Times New Roman" w:hAnsi="Calibri" w:cs="Calibri"/>
                <w:b/>
                <w:bCs/>
                <w:color w:val="000000"/>
                <w:lang w:eastAsia="en-AU"/>
              </w:rPr>
              <w:t>$67,236,677</w:t>
            </w:r>
          </w:p>
        </w:tc>
        <w:tc>
          <w:tcPr>
            <w:tcW w:w="617" w:type="pct"/>
            <w:tcBorders>
              <w:top w:val="single" w:sz="4" w:space="0" w:color="auto"/>
              <w:bottom w:val="single" w:sz="4" w:space="0" w:color="auto"/>
            </w:tcBorders>
            <w:shd w:val="clear" w:color="auto" w:fill="auto"/>
            <w:noWrap/>
            <w:vAlign w:val="bottom"/>
            <w:hideMark/>
          </w:tcPr>
          <w:p w14:paraId="2AC9CF0C" w14:textId="77777777" w:rsidR="002C5EE1" w:rsidRPr="00FD4941" w:rsidRDefault="002C5EE1" w:rsidP="00FD4941">
            <w:pPr>
              <w:spacing w:after="0" w:line="240" w:lineRule="auto"/>
              <w:jc w:val="center"/>
              <w:rPr>
                <w:rFonts w:ascii="Calibri" w:eastAsia="Times New Roman" w:hAnsi="Calibri" w:cs="Calibri"/>
                <w:b/>
                <w:bCs/>
                <w:color w:val="000000"/>
                <w:lang w:eastAsia="en-AU"/>
              </w:rPr>
            </w:pPr>
            <w:r w:rsidRPr="00FD4941">
              <w:rPr>
                <w:rFonts w:ascii="Calibri" w:eastAsia="Times New Roman" w:hAnsi="Calibri" w:cs="Calibri"/>
                <w:b/>
                <w:bCs/>
                <w:color w:val="000000"/>
                <w:lang w:eastAsia="en-AU"/>
              </w:rPr>
              <w:t>1175</w:t>
            </w:r>
          </w:p>
        </w:tc>
      </w:tr>
    </w:tbl>
    <w:p w14:paraId="53AE7797" w14:textId="2066C448" w:rsidR="00EA0E37" w:rsidRDefault="00EA0E37" w:rsidP="00EA0E37">
      <w:pPr>
        <w:pStyle w:val="Caption"/>
        <w:keepNext/>
      </w:pPr>
      <w:r w:rsidRPr="009B7176">
        <w:t xml:space="preserve">Chart </w:t>
      </w:r>
      <w:r>
        <w:t>5</w:t>
      </w:r>
      <w:r w:rsidRPr="009B7176">
        <w:t xml:space="preserve"> - </w:t>
      </w:r>
      <w:r w:rsidRPr="00EA072B">
        <w:t>Breakdown of 202</w:t>
      </w:r>
      <w:r>
        <w:t>2</w:t>
      </w:r>
      <w:r w:rsidRPr="00EA072B">
        <w:t xml:space="preserve"> CAF </w:t>
      </w:r>
      <w:r>
        <w:t xml:space="preserve">distributed </w:t>
      </w:r>
      <w:r w:rsidRPr="00EA072B">
        <w:t xml:space="preserve">expenditure by </w:t>
      </w:r>
      <w:r>
        <w:t>priority</w:t>
      </w:r>
      <w:r w:rsidRPr="00EA072B">
        <w:t xml:space="preserve"> for all NGRBs</w:t>
      </w:r>
      <w:r>
        <w:t xml:space="preserve"> ($)</w:t>
      </w:r>
    </w:p>
    <w:p w14:paraId="25459595" w14:textId="4297B6BF" w:rsidR="008E258E" w:rsidRDefault="00B452FB" w:rsidP="008E258E">
      <w:r>
        <w:rPr>
          <w:noProof/>
        </w:rPr>
        <w:drawing>
          <wp:inline distT="0" distB="0" distL="0" distR="0" wp14:anchorId="514AA7EF" wp14:editId="0B4F6994">
            <wp:extent cx="5734050" cy="3209925"/>
            <wp:effectExtent l="0" t="0" r="0" b="9525"/>
            <wp:docPr id="1570854169"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89739B" w14:textId="77777777" w:rsidR="008E258E" w:rsidRPr="008E258E" w:rsidRDefault="008E258E" w:rsidP="008E258E"/>
    <w:p w14:paraId="0FC5F0AB" w14:textId="5C67F19C" w:rsidR="00FD4941" w:rsidRDefault="00FD4941" w:rsidP="007D2AF2">
      <w:pPr>
        <w:rPr>
          <w:rFonts w:cstheme="minorHAnsi"/>
        </w:rPr>
      </w:pPr>
    </w:p>
    <w:p w14:paraId="14D86816" w14:textId="77777777" w:rsidR="00F744F0" w:rsidRDefault="00F744F0">
      <w:pPr>
        <w:spacing w:after="160"/>
        <w:rPr>
          <w:rStyle w:val="Heading3Char"/>
        </w:rPr>
      </w:pPr>
      <w:r>
        <w:rPr>
          <w:rStyle w:val="Heading3Char"/>
        </w:rPr>
        <w:br w:type="page"/>
      </w:r>
    </w:p>
    <w:p w14:paraId="101FBAF4" w14:textId="11DAE037" w:rsidR="000C494F" w:rsidRDefault="007D2AF2" w:rsidP="007D2AF2">
      <w:pPr>
        <w:spacing w:after="0"/>
        <w:rPr>
          <w:rStyle w:val="Heading3Char"/>
        </w:rPr>
      </w:pPr>
      <w:bookmarkStart w:id="29" w:name="_Toc147758206"/>
      <w:r>
        <w:rPr>
          <w:rStyle w:val="Heading3Char"/>
        </w:rPr>
        <w:lastRenderedPageBreak/>
        <w:t xml:space="preserve">A - </w:t>
      </w:r>
      <w:r w:rsidRPr="00923461">
        <w:rPr>
          <w:rStyle w:val="Heading3Char"/>
        </w:rPr>
        <w:t>Choice and affordability of schools</w:t>
      </w:r>
      <w:bookmarkEnd w:id="25"/>
      <w:bookmarkEnd w:id="29"/>
    </w:p>
    <w:p w14:paraId="39791482" w14:textId="0D09EB7E" w:rsidR="000C494F" w:rsidRPr="000C494F" w:rsidRDefault="000C494F" w:rsidP="000C494F">
      <w:pPr>
        <w:pStyle w:val="Heading4"/>
      </w:pPr>
      <w:r w:rsidRPr="000C494F">
        <w:t>Summary of activities undertaken in 202</w:t>
      </w:r>
      <w:r w:rsidR="007409CC">
        <w:t>2</w:t>
      </w:r>
      <w:r w:rsidRPr="000C494F">
        <w:t>.</w:t>
      </w:r>
    </w:p>
    <w:p w14:paraId="4577DB13" w14:textId="6A97AAC8" w:rsidR="007D2AF2" w:rsidRDefault="000C494F" w:rsidP="000C494F">
      <w:pPr>
        <w:pStyle w:val="Featurebox"/>
      </w:pPr>
      <w:bookmarkStart w:id="30" w:name="_Hlk147746545"/>
      <w:r w:rsidRPr="000C494F">
        <w:t>Activities under this priority have supported choice of affordable education for families, including through fee remission or financial hardship assistance, and other activit</w:t>
      </w:r>
      <w:r w:rsidR="00B6600F">
        <w:t>ies</w:t>
      </w:r>
      <w:r w:rsidRPr="000C494F">
        <w:t xml:space="preserve"> which placed downward pressure on school costs. These initiatives have assisted schools and families impacted by the COVID-19 pandemic, as well as communities affected by natural disaster events.</w:t>
      </w:r>
    </w:p>
    <w:p w14:paraId="0C24DFFB" w14:textId="1F26DB67" w:rsidR="000C494F" w:rsidRPr="00612EF8" w:rsidRDefault="004026DA" w:rsidP="000C494F">
      <w:bookmarkStart w:id="31" w:name="_Hlk147748159"/>
      <w:r>
        <w:t>New and continued a</w:t>
      </w:r>
      <w:r w:rsidR="000C494F" w:rsidRPr="00612EF8">
        <w:t>ctivities being delivered under the CAF national priority—</w:t>
      </w:r>
      <w:r w:rsidR="000C494F" w:rsidRPr="00612EF8">
        <w:rPr>
          <w:i/>
          <w:iCs/>
        </w:rPr>
        <w:t xml:space="preserve">Choice and </w:t>
      </w:r>
      <w:r w:rsidR="0006163B">
        <w:rPr>
          <w:i/>
          <w:iCs/>
        </w:rPr>
        <w:t>a</w:t>
      </w:r>
      <w:r w:rsidR="000C494F" w:rsidRPr="00612EF8">
        <w:rPr>
          <w:i/>
          <w:iCs/>
        </w:rPr>
        <w:t>ffordability</w:t>
      </w:r>
      <w:r w:rsidR="000C494F" w:rsidRPr="00612EF8">
        <w:t xml:space="preserve"> of schools, include:</w:t>
      </w:r>
    </w:p>
    <w:bookmarkEnd w:id="31"/>
    <w:p w14:paraId="2C24B3B1" w14:textId="77777777" w:rsidR="0063494C" w:rsidRPr="0063494C" w:rsidRDefault="000C494F" w:rsidP="0063494C">
      <w:pPr>
        <w:pStyle w:val="ListParagraph"/>
        <w:numPr>
          <w:ilvl w:val="0"/>
          <w:numId w:val="23"/>
        </w:numPr>
        <w:spacing w:after="120" w:line="276" w:lineRule="auto"/>
        <w:rPr>
          <w:rFonts w:cstheme="minorHAnsi"/>
        </w:rPr>
      </w:pPr>
      <w:r w:rsidRPr="00612EF8">
        <w:rPr>
          <w:rFonts w:cstheme="minorHAnsi"/>
        </w:rPr>
        <w:t xml:space="preserve">Initiatives to </w:t>
      </w:r>
      <w:r w:rsidRPr="00612EF8">
        <w:rPr>
          <w:rFonts w:eastAsia="Times New Roman" w:cstheme="minorHAnsi"/>
          <w:color w:val="000000" w:themeColor="text1"/>
          <w:lang w:eastAsia="en-AU"/>
        </w:rPr>
        <w:t xml:space="preserve">assist principals and business managers from schools </w:t>
      </w:r>
      <w:r>
        <w:rPr>
          <w:rFonts w:eastAsia="Times New Roman" w:cstheme="minorHAnsi"/>
          <w:color w:val="000000" w:themeColor="text1"/>
          <w:lang w:eastAsia="en-AU"/>
        </w:rPr>
        <w:t xml:space="preserve">with expected changes to their future funding entitlements to </w:t>
      </w:r>
      <w:r w:rsidRPr="00612EF8">
        <w:rPr>
          <w:rFonts w:eastAsia="Times New Roman" w:cstheme="minorHAnsi"/>
          <w:color w:val="000000" w:themeColor="text1"/>
          <w:lang w:eastAsia="en-AU"/>
        </w:rPr>
        <w:t xml:space="preserve">identify and implement strategies, policies, and plans </w:t>
      </w:r>
      <w:r>
        <w:rPr>
          <w:rFonts w:eastAsia="Times New Roman" w:cstheme="minorHAnsi"/>
          <w:color w:val="000000" w:themeColor="text1"/>
          <w:lang w:eastAsia="en-AU"/>
        </w:rPr>
        <w:t>to manage the change</w:t>
      </w:r>
      <w:r w:rsidRPr="00612EF8">
        <w:rPr>
          <w:rFonts w:eastAsia="Times New Roman" w:cstheme="minorHAnsi"/>
          <w:color w:val="000000" w:themeColor="text1"/>
          <w:lang w:eastAsia="en-AU"/>
        </w:rPr>
        <w:t>.</w:t>
      </w:r>
    </w:p>
    <w:p w14:paraId="0F3DC2D8" w14:textId="5BC02EF8" w:rsidR="000C494F" w:rsidRPr="0063494C" w:rsidRDefault="001B575C" w:rsidP="0063494C">
      <w:pPr>
        <w:pStyle w:val="ListParagraph"/>
        <w:numPr>
          <w:ilvl w:val="0"/>
          <w:numId w:val="23"/>
        </w:numPr>
        <w:spacing w:after="120" w:line="276" w:lineRule="auto"/>
        <w:rPr>
          <w:rFonts w:cstheme="minorHAnsi"/>
        </w:rPr>
      </w:pPr>
      <w:r>
        <w:rPr>
          <w:rFonts w:cstheme="minorHAnsi"/>
        </w:rPr>
        <w:t>A</w:t>
      </w:r>
      <w:r w:rsidR="000C494F" w:rsidRPr="0063494C">
        <w:rPr>
          <w:rFonts w:cstheme="minorHAnsi"/>
        </w:rPr>
        <w:t xml:space="preserve">ssessments of </w:t>
      </w:r>
      <w:r w:rsidRPr="0063494C">
        <w:rPr>
          <w:rFonts w:cstheme="minorHAnsi"/>
        </w:rPr>
        <w:t>school</w:t>
      </w:r>
      <w:r>
        <w:rPr>
          <w:rFonts w:cstheme="minorHAnsi"/>
        </w:rPr>
        <w:t>’s</w:t>
      </w:r>
      <w:r w:rsidR="000C494F" w:rsidRPr="0063494C">
        <w:rPr>
          <w:rFonts w:cstheme="minorHAnsi"/>
        </w:rPr>
        <w:t xml:space="preserve"> financial health, </w:t>
      </w:r>
      <w:r>
        <w:rPr>
          <w:rFonts w:cstheme="minorHAnsi"/>
        </w:rPr>
        <w:t>helping</w:t>
      </w:r>
      <w:r w:rsidR="000C494F" w:rsidRPr="0063494C">
        <w:rPr>
          <w:rFonts w:cstheme="minorHAnsi"/>
        </w:rPr>
        <w:t xml:space="preserve"> schools to understand </w:t>
      </w:r>
      <w:r>
        <w:rPr>
          <w:rFonts w:cstheme="minorHAnsi"/>
        </w:rPr>
        <w:t>how</w:t>
      </w:r>
      <w:r w:rsidR="000C494F" w:rsidRPr="0063494C">
        <w:rPr>
          <w:rFonts w:cstheme="minorHAnsi"/>
        </w:rPr>
        <w:t xml:space="preserve"> parents choose a school for their children, and strategies to increase and retain enrolments and to enable children from disadvantaged families to continue studying at their school of choice.</w:t>
      </w:r>
    </w:p>
    <w:p w14:paraId="4F689396" w14:textId="5ECE0A88" w:rsidR="000C494F" w:rsidRPr="00263C7F" w:rsidRDefault="001B575C" w:rsidP="000C494F">
      <w:pPr>
        <w:pStyle w:val="ListParagraph"/>
        <w:numPr>
          <w:ilvl w:val="0"/>
          <w:numId w:val="23"/>
        </w:numPr>
        <w:spacing w:after="0" w:line="276" w:lineRule="auto"/>
        <w:ind w:left="714" w:hanging="357"/>
        <w:rPr>
          <w:rFonts w:cstheme="minorHAnsi"/>
        </w:rPr>
      </w:pPr>
      <w:r>
        <w:rPr>
          <w:rFonts w:cstheme="minorHAnsi"/>
        </w:rPr>
        <w:t>D</w:t>
      </w:r>
      <w:r w:rsidR="000C494F" w:rsidRPr="00263C7F">
        <w:rPr>
          <w:rFonts w:cstheme="minorHAnsi"/>
        </w:rPr>
        <w:t xml:space="preserve">irect grants to special and special assistance schools to allow a greater choice for parents of children who would benefit. </w:t>
      </w:r>
    </w:p>
    <w:p w14:paraId="79F2C764" w14:textId="00B0A4DE" w:rsidR="000C494F" w:rsidRPr="00E447D9" w:rsidRDefault="000C494F" w:rsidP="000C494F">
      <w:pPr>
        <w:pStyle w:val="ListParagraph"/>
        <w:numPr>
          <w:ilvl w:val="0"/>
          <w:numId w:val="23"/>
        </w:numPr>
        <w:spacing w:after="0" w:line="276" w:lineRule="auto"/>
        <w:ind w:left="714" w:hanging="357"/>
        <w:rPr>
          <w:rFonts w:cstheme="minorHAnsi"/>
        </w:rPr>
      </w:pPr>
      <w:r>
        <w:rPr>
          <w:rFonts w:cstheme="minorHAnsi"/>
        </w:rPr>
        <w:t>Direct grants for f</w:t>
      </w:r>
      <w:r w:rsidRPr="00E447D9">
        <w:rPr>
          <w:rFonts w:cstheme="minorHAnsi"/>
        </w:rPr>
        <w:t xml:space="preserve">ee remission for disadvantaged schools or students and/or support for schools that provided fee concessions to families </w:t>
      </w:r>
      <w:r w:rsidR="004026DA">
        <w:rPr>
          <w:rFonts w:cstheme="minorHAnsi"/>
        </w:rPr>
        <w:t>due</w:t>
      </w:r>
      <w:r w:rsidRPr="00E447D9">
        <w:rPr>
          <w:rFonts w:cstheme="minorHAnsi"/>
        </w:rPr>
        <w:t xml:space="preserve"> of the impacts of COVID-19</w:t>
      </w:r>
      <w:r>
        <w:rPr>
          <w:rFonts w:cstheme="minorHAnsi"/>
        </w:rPr>
        <w:t>.</w:t>
      </w:r>
    </w:p>
    <w:p w14:paraId="778032AC" w14:textId="7CB9146B" w:rsidR="000C494F" w:rsidRDefault="000C494F" w:rsidP="00061612">
      <w:pPr>
        <w:pStyle w:val="ListParagraph"/>
        <w:numPr>
          <w:ilvl w:val="0"/>
          <w:numId w:val="23"/>
        </w:numPr>
        <w:spacing w:after="0" w:line="276" w:lineRule="auto"/>
        <w:ind w:left="714" w:hanging="357"/>
        <w:rPr>
          <w:rFonts w:cstheme="minorHAnsi"/>
        </w:rPr>
      </w:pPr>
      <w:r w:rsidRPr="00C90D5E">
        <w:rPr>
          <w:rFonts w:cstheme="minorHAnsi"/>
        </w:rPr>
        <w:t>Collect</w:t>
      </w:r>
      <w:r>
        <w:rPr>
          <w:rFonts w:cstheme="minorHAnsi"/>
        </w:rPr>
        <w:t>ing</w:t>
      </w:r>
      <w:r w:rsidRPr="00C90D5E">
        <w:rPr>
          <w:rFonts w:cstheme="minorHAnsi"/>
        </w:rPr>
        <w:t xml:space="preserve"> information </w:t>
      </w:r>
      <w:r>
        <w:rPr>
          <w:rFonts w:cstheme="minorHAnsi"/>
        </w:rPr>
        <w:t xml:space="preserve">on </w:t>
      </w:r>
      <w:r w:rsidR="003F7B78">
        <w:rPr>
          <w:rFonts w:cstheme="minorHAnsi"/>
        </w:rPr>
        <w:t>new</w:t>
      </w:r>
      <w:r>
        <w:rPr>
          <w:rFonts w:cstheme="minorHAnsi"/>
        </w:rPr>
        <w:t xml:space="preserve"> </w:t>
      </w:r>
      <w:r w:rsidRPr="00370F7B">
        <w:rPr>
          <w:rFonts w:cstheme="minorHAnsi"/>
        </w:rPr>
        <w:t xml:space="preserve">ways of working with technology </w:t>
      </w:r>
      <w:r w:rsidRPr="00C90D5E">
        <w:rPr>
          <w:rFonts w:cstheme="minorHAnsi"/>
        </w:rPr>
        <w:t>adopted during the COVID-19 pandemic</w:t>
      </w:r>
      <w:r w:rsidRPr="00370F7B">
        <w:rPr>
          <w:rFonts w:cstheme="minorHAnsi"/>
        </w:rPr>
        <w:t xml:space="preserve"> to deliver education and </w:t>
      </w:r>
      <w:r>
        <w:rPr>
          <w:rFonts w:cstheme="minorHAnsi"/>
        </w:rPr>
        <w:t>to meet parental expectations.</w:t>
      </w:r>
    </w:p>
    <w:bookmarkEnd w:id="30"/>
    <w:p w14:paraId="226615CE" w14:textId="6E498BBD" w:rsidR="000C494F" w:rsidRDefault="000C494F" w:rsidP="000C494F">
      <w:pPr>
        <w:pStyle w:val="Heading4"/>
      </w:pPr>
      <w:r>
        <w:t xml:space="preserve">Progress and </w:t>
      </w:r>
      <w:r w:rsidR="001978B9">
        <w:t>a</w:t>
      </w:r>
      <w:r>
        <w:t>chievements</w:t>
      </w:r>
    </w:p>
    <w:p w14:paraId="60D83127" w14:textId="3DC0E108" w:rsidR="000C494F" w:rsidRDefault="000C494F" w:rsidP="000C494F">
      <w:pPr>
        <w:pStyle w:val="ListParagraph"/>
        <w:numPr>
          <w:ilvl w:val="0"/>
          <w:numId w:val="37"/>
        </w:numPr>
      </w:pPr>
      <w:r>
        <w:t xml:space="preserve">Direct assistance in the form of distributed CAF funds provided by NGRBs to </w:t>
      </w:r>
      <w:r w:rsidR="00FD4941">
        <w:t xml:space="preserve">569 </w:t>
      </w:r>
      <w:r>
        <w:t>schools nationally.</w:t>
      </w:r>
      <w:bookmarkStart w:id="32" w:name="_Toc86933330"/>
      <w:r>
        <w:br w:type="page"/>
      </w:r>
    </w:p>
    <w:p w14:paraId="60E29B67" w14:textId="4AD73070" w:rsidR="007D2AF2" w:rsidRDefault="007D2AF2" w:rsidP="007D2AF2">
      <w:pPr>
        <w:spacing w:after="0"/>
        <w:rPr>
          <w:rStyle w:val="Heading3Char"/>
          <w:bCs/>
        </w:rPr>
      </w:pPr>
      <w:bookmarkStart w:id="33" w:name="_Toc147758207"/>
      <w:r>
        <w:rPr>
          <w:rStyle w:val="Heading3Char"/>
          <w:bCs/>
        </w:rPr>
        <w:lastRenderedPageBreak/>
        <w:t xml:space="preserve">B - </w:t>
      </w:r>
      <w:r w:rsidRPr="00923461">
        <w:rPr>
          <w:rStyle w:val="Heading3Char"/>
          <w:bCs/>
        </w:rPr>
        <w:t>Transition assistance</w:t>
      </w:r>
      <w:bookmarkEnd w:id="32"/>
      <w:bookmarkEnd w:id="33"/>
    </w:p>
    <w:p w14:paraId="436F3EDA" w14:textId="6FA7785F" w:rsidR="00C62DF7" w:rsidRDefault="00C62DF7" w:rsidP="00C62DF7">
      <w:pPr>
        <w:pStyle w:val="Heading4"/>
      </w:pPr>
      <w:r>
        <w:t>Summary of activities undertaken in 202</w:t>
      </w:r>
      <w:r w:rsidR="007C78BD">
        <w:t>2</w:t>
      </w:r>
      <w:r>
        <w:t>.</w:t>
      </w:r>
    </w:p>
    <w:p w14:paraId="3C6A1141" w14:textId="1DCB1228" w:rsidR="00C62DF7" w:rsidRPr="00C62DF7" w:rsidRDefault="00C62DF7" w:rsidP="00C62DF7">
      <w:pPr>
        <w:pStyle w:val="Featurebox"/>
      </w:pPr>
      <w:r>
        <w:t xml:space="preserve">NGRBs shifted their focus from planning and development of support for schools needing transition assistance, to the development of more formal arrangements for 2022 and onwards.  </w:t>
      </w:r>
    </w:p>
    <w:p w14:paraId="1E53B182" w14:textId="2EA10D77" w:rsidR="00C62DF7" w:rsidRPr="00716ADC" w:rsidRDefault="004026DA" w:rsidP="00C62DF7">
      <w:r>
        <w:t>New and continued a</w:t>
      </w:r>
      <w:r w:rsidRPr="00612EF8">
        <w:t xml:space="preserve">ctivities </w:t>
      </w:r>
      <w:r w:rsidR="00C62DF7" w:rsidRPr="00716ADC">
        <w:t xml:space="preserve">being delivered under the </w:t>
      </w:r>
      <w:r w:rsidR="00B6600F">
        <w:t xml:space="preserve">compulsory </w:t>
      </w:r>
      <w:r w:rsidR="00C62DF7" w:rsidRPr="00716ADC">
        <w:t>CAF national priority—</w:t>
      </w:r>
      <w:r w:rsidR="00C62DF7" w:rsidRPr="004026DA">
        <w:rPr>
          <w:i/>
          <w:iCs/>
        </w:rPr>
        <w:t xml:space="preserve">Transition </w:t>
      </w:r>
      <w:r w:rsidR="0006163B">
        <w:rPr>
          <w:i/>
          <w:iCs/>
        </w:rPr>
        <w:t>a</w:t>
      </w:r>
      <w:r w:rsidR="00C62DF7" w:rsidRPr="004026DA">
        <w:rPr>
          <w:i/>
          <w:iCs/>
        </w:rPr>
        <w:t>ssistance</w:t>
      </w:r>
      <w:r w:rsidR="00C62DF7" w:rsidRPr="00716ADC">
        <w:t>, include:</w:t>
      </w:r>
    </w:p>
    <w:p w14:paraId="0BCD7C3B" w14:textId="2CFC096F" w:rsidR="00C62DF7" w:rsidRPr="00716ADC" w:rsidRDefault="00C62DF7" w:rsidP="00C62DF7">
      <w:pPr>
        <w:pStyle w:val="ListParagraph"/>
        <w:numPr>
          <w:ilvl w:val="0"/>
          <w:numId w:val="23"/>
        </w:numPr>
        <w:spacing w:after="120" w:line="276" w:lineRule="auto"/>
        <w:ind w:left="714" w:hanging="357"/>
        <w:rPr>
          <w:rFonts w:cstheme="minorHAnsi"/>
        </w:rPr>
      </w:pPr>
      <w:r w:rsidRPr="00716ADC">
        <w:rPr>
          <w:rFonts w:cstheme="minorHAnsi"/>
        </w:rPr>
        <w:t>Continuation</w:t>
      </w:r>
      <w:r w:rsidR="00B6600F">
        <w:rPr>
          <w:rFonts w:cstheme="minorHAnsi"/>
        </w:rPr>
        <w:t xml:space="preserve"> of</w:t>
      </w:r>
      <w:r w:rsidRPr="00716ADC">
        <w:rPr>
          <w:rFonts w:cstheme="minorHAnsi"/>
        </w:rPr>
        <w:t xml:space="preserve"> professional assistance </w:t>
      </w:r>
      <w:r>
        <w:rPr>
          <w:rFonts w:cstheme="minorHAnsi"/>
        </w:rPr>
        <w:t>to help d</w:t>
      </w:r>
      <w:r w:rsidRPr="00716ADC">
        <w:rPr>
          <w:rFonts w:cstheme="minorHAnsi"/>
        </w:rPr>
        <w:t>evelop and implement transition plans at the school level</w:t>
      </w:r>
      <w:r>
        <w:rPr>
          <w:rFonts w:cstheme="minorHAnsi"/>
        </w:rPr>
        <w:t>, supporting</w:t>
      </w:r>
      <w:r w:rsidRPr="00716ADC">
        <w:rPr>
          <w:rFonts w:cstheme="minorHAnsi"/>
        </w:rPr>
        <w:t xml:space="preserve"> schools during their transition to their 2029 recurrent funding levels</w:t>
      </w:r>
      <w:r>
        <w:rPr>
          <w:rFonts w:cstheme="minorHAnsi"/>
        </w:rPr>
        <w:t>. T</w:t>
      </w:r>
      <w:r w:rsidRPr="00716ADC">
        <w:rPr>
          <w:rFonts w:cstheme="minorHAnsi"/>
        </w:rPr>
        <w:t xml:space="preserve">hese activities </w:t>
      </w:r>
      <w:r>
        <w:rPr>
          <w:rFonts w:cstheme="minorHAnsi"/>
        </w:rPr>
        <w:t xml:space="preserve">have </w:t>
      </w:r>
      <w:r w:rsidRPr="00716ADC">
        <w:rPr>
          <w:rFonts w:cstheme="minorHAnsi"/>
        </w:rPr>
        <w:t>focused on:</w:t>
      </w:r>
    </w:p>
    <w:p w14:paraId="65239928" w14:textId="7EFC8C1A" w:rsidR="00C62DF7" w:rsidRPr="00716ADC" w:rsidRDefault="00C62DF7" w:rsidP="00C62DF7">
      <w:pPr>
        <w:pStyle w:val="ListParagraph"/>
        <w:numPr>
          <w:ilvl w:val="1"/>
          <w:numId w:val="23"/>
        </w:numPr>
        <w:spacing w:after="120" w:line="276" w:lineRule="auto"/>
        <w:rPr>
          <w:rFonts w:cstheme="minorHAnsi"/>
        </w:rPr>
      </w:pPr>
      <w:r w:rsidRPr="00716ADC">
        <w:rPr>
          <w:rFonts w:cstheme="minorHAnsi"/>
        </w:rPr>
        <w:t>Financial governance and management</w:t>
      </w:r>
      <w:r w:rsidR="001B575C">
        <w:rPr>
          <w:rFonts w:cstheme="minorHAnsi"/>
        </w:rPr>
        <w:t>.</w:t>
      </w:r>
    </w:p>
    <w:p w14:paraId="21B77670" w14:textId="3997AD91" w:rsidR="00C62DF7" w:rsidRPr="00716ADC" w:rsidRDefault="00C62DF7" w:rsidP="00C62DF7">
      <w:pPr>
        <w:pStyle w:val="ListParagraph"/>
        <w:numPr>
          <w:ilvl w:val="1"/>
          <w:numId w:val="23"/>
        </w:numPr>
        <w:spacing w:after="120" w:line="276" w:lineRule="auto"/>
        <w:rPr>
          <w:rFonts w:cstheme="minorHAnsi"/>
        </w:rPr>
      </w:pPr>
      <w:r w:rsidRPr="00716ADC">
        <w:rPr>
          <w:rFonts w:cstheme="minorHAnsi"/>
        </w:rPr>
        <w:t>Supporting schools to continue to develop Transition Plans, assisting schools to consider their viability and business model into the future and outline clear transition paths to 2029</w:t>
      </w:r>
      <w:r w:rsidR="001B575C">
        <w:rPr>
          <w:rFonts w:cstheme="minorHAnsi"/>
        </w:rPr>
        <w:t>.</w:t>
      </w:r>
    </w:p>
    <w:p w14:paraId="1647778A" w14:textId="0AEA71B7" w:rsidR="00C62DF7" w:rsidRPr="00716ADC" w:rsidRDefault="00C62DF7" w:rsidP="00C62DF7">
      <w:pPr>
        <w:pStyle w:val="ListParagraph"/>
        <w:numPr>
          <w:ilvl w:val="1"/>
          <w:numId w:val="23"/>
        </w:numPr>
        <w:spacing w:after="120" w:line="276" w:lineRule="auto"/>
        <w:rPr>
          <w:rFonts w:cstheme="minorHAnsi"/>
        </w:rPr>
      </w:pPr>
      <w:r w:rsidRPr="00716ADC">
        <w:rPr>
          <w:rFonts w:cstheme="minorHAnsi"/>
        </w:rPr>
        <w:t>Assisting schools with access to expert knowledge to analys</w:t>
      </w:r>
      <w:r>
        <w:rPr>
          <w:rFonts w:cstheme="minorHAnsi"/>
        </w:rPr>
        <w:t xml:space="preserve">e </w:t>
      </w:r>
      <w:r w:rsidRPr="00716ADC">
        <w:rPr>
          <w:rFonts w:cstheme="minorHAnsi"/>
        </w:rPr>
        <w:t xml:space="preserve">existing business models and financials </w:t>
      </w:r>
      <w:r>
        <w:rPr>
          <w:rFonts w:cstheme="minorHAnsi"/>
        </w:rPr>
        <w:t xml:space="preserve">to inform </w:t>
      </w:r>
      <w:r w:rsidRPr="00716ADC">
        <w:rPr>
          <w:rFonts w:cstheme="minorHAnsi"/>
        </w:rPr>
        <w:t>adapt</w:t>
      </w:r>
      <w:r>
        <w:rPr>
          <w:rFonts w:cstheme="minorHAnsi"/>
        </w:rPr>
        <w:t>ations that may be needed to support transition and transition planning</w:t>
      </w:r>
      <w:r w:rsidR="001B575C">
        <w:rPr>
          <w:rFonts w:cstheme="minorHAnsi"/>
        </w:rPr>
        <w:t>.</w:t>
      </w:r>
    </w:p>
    <w:p w14:paraId="4EC19C3C" w14:textId="77777777" w:rsidR="00C62DF7" w:rsidRPr="00716ADC" w:rsidRDefault="00C62DF7" w:rsidP="00C62DF7">
      <w:pPr>
        <w:pStyle w:val="ListParagraph"/>
        <w:numPr>
          <w:ilvl w:val="1"/>
          <w:numId w:val="23"/>
        </w:numPr>
        <w:spacing w:after="120" w:line="276" w:lineRule="auto"/>
        <w:rPr>
          <w:rFonts w:cstheme="minorHAnsi"/>
        </w:rPr>
      </w:pPr>
      <w:r w:rsidRPr="00716ADC">
        <w:rPr>
          <w:rFonts w:cstheme="minorHAnsi"/>
        </w:rPr>
        <w:t>Establishment of project teams to lead these work programs.</w:t>
      </w:r>
    </w:p>
    <w:p w14:paraId="74937EFD" w14:textId="41D634E1" w:rsidR="00C62DF7" w:rsidRPr="00716ADC" w:rsidRDefault="00C62DF7" w:rsidP="00C62DF7">
      <w:pPr>
        <w:pStyle w:val="ListParagraph"/>
        <w:numPr>
          <w:ilvl w:val="0"/>
          <w:numId w:val="23"/>
        </w:numPr>
        <w:spacing w:after="120" w:line="276" w:lineRule="auto"/>
        <w:ind w:left="714" w:hanging="357"/>
        <w:rPr>
          <w:rFonts w:cstheme="minorHAnsi"/>
        </w:rPr>
      </w:pPr>
      <w:r w:rsidRPr="00716ADC">
        <w:rPr>
          <w:rFonts w:cstheme="minorHAnsi"/>
        </w:rPr>
        <w:t>In consultation with schools</w:t>
      </w:r>
      <w:r w:rsidR="002E380A">
        <w:rPr>
          <w:rFonts w:cstheme="minorHAnsi"/>
        </w:rPr>
        <w:t>,</w:t>
      </w:r>
      <w:r w:rsidR="00B6600F">
        <w:rPr>
          <w:rFonts w:cstheme="minorHAnsi"/>
        </w:rPr>
        <w:t xml:space="preserve"> </w:t>
      </w:r>
      <w:r w:rsidRPr="00716ADC">
        <w:rPr>
          <w:rFonts w:cstheme="minorHAnsi"/>
        </w:rPr>
        <w:t>NGRBs have developed transparent processes and criteria for assessing school need.</w:t>
      </w:r>
    </w:p>
    <w:p w14:paraId="597B9DE7" w14:textId="77777777" w:rsidR="00C62DF7" w:rsidRPr="00716ADC" w:rsidRDefault="00C62DF7" w:rsidP="00C62DF7">
      <w:pPr>
        <w:pStyle w:val="ListParagraph"/>
        <w:numPr>
          <w:ilvl w:val="1"/>
          <w:numId w:val="23"/>
        </w:numPr>
        <w:spacing w:after="120" w:line="276" w:lineRule="auto"/>
        <w:rPr>
          <w:rFonts w:cstheme="minorHAnsi"/>
        </w:rPr>
      </w:pPr>
      <w:r w:rsidRPr="00716ADC">
        <w:rPr>
          <w:rFonts w:cstheme="minorHAnsi"/>
        </w:rPr>
        <w:t xml:space="preserve">This includes support for regional and remote schools </w:t>
      </w:r>
      <w:r>
        <w:rPr>
          <w:rFonts w:cstheme="minorHAnsi"/>
        </w:rPr>
        <w:t xml:space="preserve">with changing </w:t>
      </w:r>
      <w:r w:rsidRPr="00716ADC">
        <w:rPr>
          <w:rFonts w:cstheme="minorHAnsi"/>
        </w:rPr>
        <w:t>funding arrangements and schools that would have been eligible for funding under the former National Adjustment Assistance Fund (NAAF) funding.</w:t>
      </w:r>
    </w:p>
    <w:p w14:paraId="626A3592" w14:textId="3335A2FB" w:rsidR="000C494F" w:rsidRPr="000C494F" w:rsidRDefault="000C494F" w:rsidP="000C494F">
      <w:pPr>
        <w:pStyle w:val="Heading4"/>
        <w:spacing w:after="120"/>
      </w:pPr>
      <w:r w:rsidRPr="001F608D">
        <w:t xml:space="preserve">Progress and </w:t>
      </w:r>
      <w:r w:rsidR="001978B9">
        <w:t>a</w:t>
      </w:r>
      <w:r w:rsidRPr="001F608D">
        <w:t>chievements</w:t>
      </w:r>
    </w:p>
    <w:p w14:paraId="48D4CCFB" w14:textId="1563B061" w:rsidR="00C62DF7" w:rsidRDefault="00C62DF7" w:rsidP="00C62DF7">
      <w:pPr>
        <w:pStyle w:val="ListParagraph"/>
        <w:numPr>
          <w:ilvl w:val="0"/>
          <w:numId w:val="36"/>
        </w:numPr>
        <w:spacing w:after="120"/>
        <w:rPr>
          <w:noProof/>
        </w:rPr>
      </w:pPr>
      <w:r>
        <w:rPr>
          <w:noProof/>
        </w:rPr>
        <w:t xml:space="preserve">Direct assistance in the form of distributed CAF funds provided by NGRBs to </w:t>
      </w:r>
      <w:r w:rsidR="00FD4941">
        <w:rPr>
          <w:noProof/>
        </w:rPr>
        <w:t>372</w:t>
      </w:r>
      <w:r>
        <w:rPr>
          <w:noProof/>
        </w:rPr>
        <w:t xml:space="preserve"> schools nationally. Includes:</w:t>
      </w:r>
    </w:p>
    <w:p w14:paraId="531B2D2F" w14:textId="77777777" w:rsidR="00FD4941" w:rsidRPr="00FD4941" w:rsidRDefault="00FD4941" w:rsidP="00C62DF7">
      <w:pPr>
        <w:pStyle w:val="ListParagraph"/>
        <w:numPr>
          <w:ilvl w:val="1"/>
          <w:numId w:val="36"/>
        </w:numPr>
        <w:spacing w:after="120"/>
        <w:rPr>
          <w:noProof/>
        </w:rPr>
      </w:pPr>
      <w:r w:rsidRPr="00FD4941">
        <w:rPr>
          <w:noProof/>
        </w:rPr>
        <w:t>210</w:t>
      </w:r>
      <w:r w:rsidR="00C62DF7" w:rsidRPr="00FD4941">
        <w:rPr>
          <w:noProof/>
        </w:rPr>
        <w:t xml:space="preserve"> regional schools; </w:t>
      </w:r>
    </w:p>
    <w:p w14:paraId="444D627C" w14:textId="576A6187" w:rsidR="00B664AE" w:rsidRDefault="00B664AE" w:rsidP="00B664AE">
      <w:pPr>
        <w:pStyle w:val="ListParagraph"/>
        <w:numPr>
          <w:ilvl w:val="1"/>
          <w:numId w:val="36"/>
        </w:numPr>
        <w:spacing w:after="120"/>
        <w:rPr>
          <w:noProof/>
        </w:rPr>
      </w:pPr>
      <w:r w:rsidRPr="00FD4941">
        <w:rPr>
          <w:noProof/>
        </w:rPr>
        <w:t xml:space="preserve">48 </w:t>
      </w:r>
      <w:r>
        <w:rPr>
          <w:noProof/>
        </w:rPr>
        <w:t>schools that would have been eligible to receive NAAF; and</w:t>
      </w:r>
    </w:p>
    <w:p w14:paraId="221B35C8" w14:textId="707DDBA6" w:rsidR="00C62DF7" w:rsidRDefault="00FD4941" w:rsidP="00C62DF7">
      <w:pPr>
        <w:pStyle w:val="ListParagraph"/>
        <w:numPr>
          <w:ilvl w:val="1"/>
          <w:numId w:val="36"/>
        </w:numPr>
        <w:spacing w:after="120"/>
        <w:rPr>
          <w:noProof/>
        </w:rPr>
      </w:pPr>
      <w:r w:rsidRPr="00FD4941">
        <w:rPr>
          <w:noProof/>
        </w:rPr>
        <w:t xml:space="preserve">114 </w:t>
      </w:r>
      <w:r w:rsidR="00B664AE">
        <w:rPr>
          <w:noProof/>
        </w:rPr>
        <w:t>other</w:t>
      </w:r>
      <w:r w:rsidR="00B664AE" w:rsidRPr="00FD4941">
        <w:rPr>
          <w:noProof/>
        </w:rPr>
        <w:t xml:space="preserve"> </w:t>
      </w:r>
      <w:r w:rsidRPr="00FD4941">
        <w:rPr>
          <w:noProof/>
        </w:rPr>
        <w:t>schools</w:t>
      </w:r>
      <w:r w:rsidR="00B664AE">
        <w:rPr>
          <w:noProof/>
        </w:rPr>
        <w:t xml:space="preserve"> not in the above groups</w:t>
      </w:r>
    </w:p>
    <w:p w14:paraId="28B0F9AF" w14:textId="77777777" w:rsidR="007D2AF2" w:rsidRPr="000C494F" w:rsidRDefault="007D2AF2" w:rsidP="000C494F"/>
    <w:p w14:paraId="286777B5" w14:textId="61DD9EFA" w:rsidR="007D2AF2" w:rsidRDefault="007D2AF2" w:rsidP="007D2AF2">
      <w:pPr>
        <w:spacing w:line="276" w:lineRule="auto"/>
        <w:rPr>
          <w:rStyle w:val="Heading3Char"/>
        </w:rPr>
      </w:pPr>
      <w:bookmarkStart w:id="34" w:name="_Toc86933331"/>
      <w:r>
        <w:rPr>
          <w:rStyle w:val="Heading3Char"/>
          <w:bCs/>
        </w:rPr>
        <w:br w:type="page"/>
      </w:r>
      <w:bookmarkStart w:id="35" w:name="_Toc147758208"/>
      <w:r>
        <w:rPr>
          <w:rStyle w:val="Heading3Char"/>
          <w:bCs/>
        </w:rPr>
        <w:lastRenderedPageBreak/>
        <w:t xml:space="preserve">C - </w:t>
      </w:r>
      <w:r w:rsidRPr="00923461">
        <w:rPr>
          <w:rStyle w:val="Heading3Char"/>
          <w:bCs/>
        </w:rPr>
        <w:t>Special circumstances funding</w:t>
      </w:r>
      <w:bookmarkEnd w:id="34"/>
      <w:bookmarkEnd w:id="35"/>
    </w:p>
    <w:p w14:paraId="0E28CFD7" w14:textId="5F73F953" w:rsidR="001F608D" w:rsidRPr="001F608D" w:rsidRDefault="001F608D" w:rsidP="001F608D">
      <w:pPr>
        <w:pStyle w:val="Heading4"/>
      </w:pPr>
      <w:r w:rsidRPr="001F608D">
        <w:t>Summary of activities undertaken in 202</w:t>
      </w:r>
      <w:r w:rsidR="00813955">
        <w:t>2</w:t>
      </w:r>
    </w:p>
    <w:p w14:paraId="63868FE4" w14:textId="290287AD" w:rsidR="001F608D" w:rsidRPr="001F608D" w:rsidRDefault="001F608D" w:rsidP="00C62DF7">
      <w:pPr>
        <w:pStyle w:val="Featurebox"/>
      </w:pPr>
      <w:r w:rsidRPr="001F608D">
        <w:t>Several NGRBs used 202</w:t>
      </w:r>
      <w:r w:rsidR="00813955">
        <w:t>2</w:t>
      </w:r>
      <w:r w:rsidRPr="001F608D">
        <w:t xml:space="preserve"> to settle and formally communicate their mechanisms for schools to apply for special circumstances support. NGRBs also used CAF in 202</w:t>
      </w:r>
      <w:r w:rsidR="007A3644">
        <w:t>2</w:t>
      </w:r>
      <w:r w:rsidRPr="001F608D">
        <w:t xml:space="preserve"> to directly help schools respond to </w:t>
      </w:r>
      <w:r w:rsidR="00D81949">
        <w:t xml:space="preserve">flooding, as well as </w:t>
      </w:r>
      <w:r w:rsidRPr="001F608D">
        <w:t>persistent challenges from COVID-19, to ensure school education services continued to be delivered as school communities would expect.</w:t>
      </w:r>
    </w:p>
    <w:p w14:paraId="3DFFFF72" w14:textId="52C2C62B" w:rsidR="001F608D" w:rsidRPr="00396BCC" w:rsidRDefault="004026DA" w:rsidP="001F608D">
      <w:pPr>
        <w:spacing w:after="120"/>
      </w:pPr>
      <w:r>
        <w:t>New and continued a</w:t>
      </w:r>
      <w:r w:rsidRPr="00612EF8">
        <w:t xml:space="preserve">ctivities </w:t>
      </w:r>
      <w:r w:rsidR="001F608D" w:rsidRPr="00396BCC">
        <w:t xml:space="preserve">being delivered under the </w:t>
      </w:r>
      <w:r w:rsidR="007709D8">
        <w:t xml:space="preserve">compulsory </w:t>
      </w:r>
      <w:r w:rsidR="001F608D" w:rsidRPr="00396BCC">
        <w:t>CAF national priority—</w:t>
      </w:r>
      <w:r w:rsidR="001F608D" w:rsidRPr="004026DA">
        <w:rPr>
          <w:i/>
          <w:iCs/>
        </w:rPr>
        <w:t xml:space="preserve">Special </w:t>
      </w:r>
      <w:r w:rsidR="00C669A2">
        <w:rPr>
          <w:i/>
          <w:iCs/>
        </w:rPr>
        <w:t>c</w:t>
      </w:r>
      <w:r w:rsidR="001F608D" w:rsidRPr="004026DA">
        <w:rPr>
          <w:i/>
          <w:iCs/>
        </w:rPr>
        <w:t>ircumstances</w:t>
      </w:r>
      <w:r w:rsidR="001F608D" w:rsidRPr="00396BCC">
        <w:t>, include:</w:t>
      </w:r>
    </w:p>
    <w:p w14:paraId="53AFE4EC" w14:textId="77777777" w:rsidR="001F608D" w:rsidRPr="00396BCC" w:rsidRDefault="001F608D" w:rsidP="001F608D">
      <w:pPr>
        <w:pStyle w:val="ListParagraph"/>
        <w:numPr>
          <w:ilvl w:val="0"/>
          <w:numId w:val="23"/>
        </w:numPr>
        <w:spacing w:after="120" w:line="276" w:lineRule="auto"/>
        <w:ind w:left="714" w:hanging="357"/>
        <w:rPr>
          <w:rFonts w:cstheme="minorHAnsi"/>
        </w:rPr>
      </w:pPr>
      <w:r w:rsidRPr="00396BCC">
        <w:rPr>
          <w:rFonts w:cstheme="minorHAnsi"/>
        </w:rPr>
        <w:t xml:space="preserve">NGRBs </w:t>
      </w:r>
      <w:r>
        <w:rPr>
          <w:rFonts w:cstheme="minorHAnsi"/>
        </w:rPr>
        <w:t xml:space="preserve">have </w:t>
      </w:r>
      <w:r w:rsidRPr="00396BCC">
        <w:rPr>
          <w:rFonts w:cstheme="minorHAnsi"/>
        </w:rPr>
        <w:t>settl</w:t>
      </w:r>
      <w:r>
        <w:rPr>
          <w:rFonts w:cstheme="minorHAnsi"/>
        </w:rPr>
        <w:t>ed</w:t>
      </w:r>
      <w:r w:rsidRPr="00396BCC">
        <w:rPr>
          <w:rFonts w:cstheme="minorHAnsi"/>
        </w:rPr>
        <w:t xml:space="preserve"> methods for setting aside notional amounts per year</w:t>
      </w:r>
      <w:r>
        <w:rPr>
          <w:rFonts w:cstheme="minorHAnsi"/>
        </w:rPr>
        <w:t>,</w:t>
      </w:r>
      <w:r w:rsidRPr="00396BCC">
        <w:rPr>
          <w:rFonts w:cstheme="minorHAnsi"/>
        </w:rPr>
        <w:t xml:space="preserve"> </w:t>
      </w:r>
      <w:r>
        <w:rPr>
          <w:rFonts w:cstheme="minorHAnsi"/>
        </w:rPr>
        <w:t>to be</w:t>
      </w:r>
      <w:r w:rsidRPr="00396BCC">
        <w:rPr>
          <w:rFonts w:cstheme="minorHAnsi"/>
        </w:rPr>
        <w:t xml:space="preserve"> drawn down if short term emergency needs arise, or </w:t>
      </w:r>
      <w:r>
        <w:rPr>
          <w:rFonts w:cstheme="minorHAnsi"/>
        </w:rPr>
        <w:t xml:space="preserve">strategies to </w:t>
      </w:r>
      <w:r w:rsidRPr="00396BCC">
        <w:rPr>
          <w:rFonts w:cstheme="minorHAnsi"/>
        </w:rPr>
        <w:t>reallocat</w:t>
      </w:r>
      <w:r>
        <w:rPr>
          <w:rFonts w:cstheme="minorHAnsi"/>
        </w:rPr>
        <w:t>e</w:t>
      </w:r>
      <w:r w:rsidRPr="00396BCC">
        <w:rPr>
          <w:rFonts w:cstheme="minorHAnsi"/>
        </w:rPr>
        <w:t xml:space="preserve"> funding from other priorities to meet requirements. </w:t>
      </w:r>
    </w:p>
    <w:p w14:paraId="1DEE24C0" w14:textId="77777777" w:rsidR="001F608D" w:rsidRDefault="001F608D" w:rsidP="001F608D">
      <w:pPr>
        <w:pStyle w:val="ListParagraph"/>
        <w:numPr>
          <w:ilvl w:val="1"/>
          <w:numId w:val="23"/>
        </w:numPr>
        <w:spacing w:after="120" w:line="276" w:lineRule="auto"/>
        <w:rPr>
          <w:rFonts w:cstheme="minorHAnsi"/>
        </w:rPr>
      </w:pPr>
      <w:r w:rsidRPr="00396BCC">
        <w:rPr>
          <w:rFonts w:cstheme="minorHAnsi"/>
        </w:rPr>
        <w:t xml:space="preserve">Some NGRBs </w:t>
      </w:r>
      <w:r>
        <w:rPr>
          <w:rFonts w:cstheme="minorHAnsi"/>
        </w:rPr>
        <w:t xml:space="preserve">established </w:t>
      </w:r>
      <w:r w:rsidRPr="00396BCC">
        <w:rPr>
          <w:rFonts w:cstheme="minorHAnsi"/>
        </w:rPr>
        <w:t>program</w:t>
      </w:r>
      <w:r>
        <w:rPr>
          <w:rFonts w:cstheme="minorHAnsi"/>
        </w:rPr>
        <w:t>s</w:t>
      </w:r>
      <w:r w:rsidRPr="00396BCC">
        <w:rPr>
          <w:rFonts w:cstheme="minorHAnsi"/>
        </w:rPr>
        <w:t xml:space="preserve"> and support mechanisms available to schools through either application </w:t>
      </w:r>
      <w:r>
        <w:rPr>
          <w:rFonts w:cstheme="minorHAnsi"/>
        </w:rPr>
        <w:t xml:space="preserve">process or </w:t>
      </w:r>
      <w:r w:rsidRPr="00396BCC">
        <w:rPr>
          <w:rFonts w:cstheme="minorHAnsi"/>
        </w:rPr>
        <w:t>identified as meeting specific criteria</w:t>
      </w:r>
      <w:r w:rsidRPr="00876E1F">
        <w:rPr>
          <w:rFonts w:cstheme="minorHAnsi"/>
        </w:rPr>
        <w:t xml:space="preserve"> by an independent reference group</w:t>
      </w:r>
      <w:r>
        <w:rPr>
          <w:rFonts w:cstheme="minorHAnsi"/>
        </w:rPr>
        <w:t>.</w:t>
      </w:r>
    </w:p>
    <w:p w14:paraId="7172C2FB" w14:textId="5CD2A94D" w:rsidR="001F608D" w:rsidRDefault="001F608D" w:rsidP="00061612">
      <w:pPr>
        <w:pStyle w:val="ListParagraph"/>
        <w:numPr>
          <w:ilvl w:val="0"/>
          <w:numId w:val="23"/>
        </w:numPr>
        <w:spacing w:after="120" w:line="276" w:lineRule="auto"/>
        <w:ind w:left="714" w:hanging="357"/>
        <w:rPr>
          <w:rFonts w:cstheme="minorHAnsi"/>
        </w:rPr>
      </w:pPr>
      <w:r>
        <w:rPr>
          <w:rFonts w:cstheme="minorHAnsi"/>
        </w:rPr>
        <w:t>D</w:t>
      </w:r>
      <w:r w:rsidRPr="00A52379">
        <w:rPr>
          <w:rFonts w:cstheme="minorHAnsi"/>
        </w:rPr>
        <w:t xml:space="preserve">irect grants to support schools with costs associated with </w:t>
      </w:r>
      <w:r w:rsidR="00B6600F">
        <w:rPr>
          <w:rFonts w:cstheme="minorHAnsi"/>
        </w:rPr>
        <w:t>re</w:t>
      </w:r>
      <w:r w:rsidR="0056671D">
        <w:rPr>
          <w:rFonts w:cstheme="minorHAnsi"/>
        </w:rPr>
        <w:t>pairs and recovery works following</w:t>
      </w:r>
      <w:r w:rsidR="00B6600F">
        <w:rPr>
          <w:rFonts w:cstheme="minorHAnsi"/>
        </w:rPr>
        <w:t xml:space="preserve"> flood </w:t>
      </w:r>
      <w:r w:rsidR="0056671D">
        <w:rPr>
          <w:rFonts w:cstheme="minorHAnsi"/>
        </w:rPr>
        <w:t>damage</w:t>
      </w:r>
      <w:r w:rsidR="00B6600F">
        <w:rPr>
          <w:rFonts w:cstheme="minorHAnsi"/>
        </w:rPr>
        <w:t xml:space="preserve">. </w:t>
      </w:r>
    </w:p>
    <w:p w14:paraId="1A5E70A9" w14:textId="2666FD7B" w:rsidR="001F608D" w:rsidRDefault="001F608D" w:rsidP="001F608D">
      <w:pPr>
        <w:pStyle w:val="Heading4"/>
      </w:pPr>
      <w:r w:rsidRPr="001F608D">
        <w:t xml:space="preserve">Progress and </w:t>
      </w:r>
      <w:r w:rsidR="001978B9">
        <w:t>a</w:t>
      </w:r>
      <w:r w:rsidRPr="001F608D">
        <w:t>chievements</w:t>
      </w:r>
    </w:p>
    <w:p w14:paraId="418A2ADA" w14:textId="0AF5B0D2" w:rsidR="001F608D" w:rsidRPr="001F608D" w:rsidRDefault="001F608D" w:rsidP="001F608D">
      <w:pPr>
        <w:pStyle w:val="ListParagraph"/>
        <w:numPr>
          <w:ilvl w:val="0"/>
          <w:numId w:val="33"/>
        </w:numPr>
      </w:pPr>
      <w:r w:rsidRPr="001F608D">
        <w:rPr>
          <w:color w:val="000000" w:themeColor="text1"/>
        </w:rPr>
        <w:t xml:space="preserve">Direct assistance in the form of distributed CAF funds provided by </w:t>
      </w:r>
      <w:r w:rsidRPr="00FD4941">
        <w:rPr>
          <w:color w:val="000000" w:themeColor="text1"/>
        </w:rPr>
        <w:t xml:space="preserve">NGRBs to </w:t>
      </w:r>
      <w:r w:rsidR="00FD4941" w:rsidRPr="00FD4941">
        <w:rPr>
          <w:color w:val="000000" w:themeColor="text1"/>
        </w:rPr>
        <w:t>3</w:t>
      </w:r>
      <w:r w:rsidRPr="00FD4941">
        <w:rPr>
          <w:color w:val="000000" w:themeColor="text1"/>
        </w:rPr>
        <w:t xml:space="preserve"> schools</w:t>
      </w:r>
      <w:r w:rsidRPr="001F608D">
        <w:rPr>
          <w:color w:val="000000" w:themeColor="text1"/>
        </w:rPr>
        <w:t xml:space="preserve"> nationally.</w:t>
      </w:r>
    </w:p>
    <w:p w14:paraId="69BAF663" w14:textId="0C04622C" w:rsidR="001F608D" w:rsidRDefault="001F608D" w:rsidP="001F608D">
      <w:bookmarkStart w:id="36" w:name="_Toc86933332"/>
      <w:r>
        <w:br w:type="page"/>
      </w:r>
    </w:p>
    <w:p w14:paraId="448B1882" w14:textId="793867CA" w:rsidR="007D2AF2" w:rsidRDefault="007D2AF2" w:rsidP="007D2AF2">
      <w:pPr>
        <w:spacing w:after="0"/>
        <w:rPr>
          <w:rStyle w:val="Heading3Char"/>
        </w:rPr>
      </w:pPr>
      <w:bookmarkStart w:id="37" w:name="_Toc147758209"/>
      <w:r>
        <w:rPr>
          <w:rStyle w:val="Heading3Char"/>
        </w:rPr>
        <w:lastRenderedPageBreak/>
        <w:t xml:space="preserve">D - </w:t>
      </w:r>
      <w:r w:rsidRPr="00923461">
        <w:rPr>
          <w:rStyle w:val="Heading3Char"/>
        </w:rPr>
        <w:t>Strengthening outcomes for schools and educationally disadvantaged schools and students</w:t>
      </w:r>
      <w:bookmarkEnd w:id="36"/>
      <w:bookmarkEnd w:id="37"/>
    </w:p>
    <w:p w14:paraId="046A65D0" w14:textId="6CBEFC54" w:rsidR="001F608D" w:rsidRDefault="001F608D" w:rsidP="001F608D">
      <w:pPr>
        <w:pStyle w:val="Heading4"/>
      </w:pPr>
      <w:r>
        <w:t>Summary of activities undertaken in 202</w:t>
      </w:r>
      <w:r w:rsidR="00AA0C62">
        <w:t>2</w:t>
      </w:r>
    </w:p>
    <w:p w14:paraId="03F2A8CC" w14:textId="05F1F9FF" w:rsidR="001F608D" w:rsidRPr="001F608D" w:rsidRDefault="001F608D" w:rsidP="00C62DF7">
      <w:pPr>
        <w:pStyle w:val="Featurebox"/>
      </w:pPr>
      <w:r>
        <w:t xml:space="preserve">Initiatives delivered in </w:t>
      </w:r>
      <w:r w:rsidRPr="00C62DF7">
        <w:t>202</w:t>
      </w:r>
      <w:r w:rsidR="00AA0C62">
        <w:t>2</w:t>
      </w:r>
      <w:r>
        <w:t xml:space="preserve"> continued work on </w:t>
      </w:r>
      <w:r w:rsidR="00D81949">
        <w:t xml:space="preserve">developing </w:t>
      </w:r>
      <w:r>
        <w:t xml:space="preserve">partnerships between schools and industry to create real-world learning experiences for teachers and students, and projects facilitating professional learning along with access to tutors and a range of mentoring services.  </w:t>
      </w:r>
    </w:p>
    <w:p w14:paraId="4022E65F" w14:textId="2D27BB38" w:rsidR="001F608D" w:rsidRPr="006C31CF" w:rsidRDefault="004026DA" w:rsidP="004026DA">
      <w:pPr>
        <w:spacing w:after="120"/>
      </w:pPr>
      <w:r>
        <w:t>New and continued a</w:t>
      </w:r>
      <w:r w:rsidRPr="00612EF8">
        <w:t xml:space="preserve">ctivities </w:t>
      </w:r>
      <w:r w:rsidRPr="00396BCC">
        <w:t>being delivered under the CAF national priority—</w:t>
      </w:r>
      <w:r w:rsidRPr="004026DA">
        <w:t xml:space="preserve"> </w:t>
      </w:r>
      <w:r w:rsidRPr="004026DA">
        <w:rPr>
          <w:i/>
          <w:iCs/>
        </w:rPr>
        <w:t>Strengthening outcomes for schools and educationally disadvantaged schools and students</w:t>
      </w:r>
      <w:r w:rsidRPr="00396BCC">
        <w:t>, include:</w:t>
      </w:r>
    </w:p>
    <w:p w14:paraId="15ECAB79" w14:textId="77777777" w:rsidR="001F608D" w:rsidRDefault="001F608D" w:rsidP="001F608D">
      <w:pPr>
        <w:pStyle w:val="ListParagraph"/>
        <w:numPr>
          <w:ilvl w:val="0"/>
          <w:numId w:val="23"/>
        </w:numPr>
        <w:spacing w:after="0" w:line="276" w:lineRule="auto"/>
        <w:ind w:left="714" w:hanging="357"/>
        <w:rPr>
          <w:rFonts w:cstheme="minorHAnsi"/>
        </w:rPr>
      </w:pPr>
      <w:r>
        <w:rPr>
          <w:rFonts w:cstheme="minorHAnsi"/>
        </w:rPr>
        <w:t>C</w:t>
      </w:r>
      <w:r w:rsidRPr="006C31CF">
        <w:rPr>
          <w:rFonts w:cstheme="minorHAnsi"/>
        </w:rPr>
        <w:t>ontinu</w:t>
      </w:r>
      <w:r>
        <w:rPr>
          <w:rFonts w:cstheme="minorHAnsi"/>
        </w:rPr>
        <w:t>ation of</w:t>
      </w:r>
      <w:r w:rsidRPr="006C31CF">
        <w:rPr>
          <w:rFonts w:cstheme="minorHAnsi"/>
        </w:rPr>
        <w:t xml:space="preserve"> initiatives working with Curriculum and Re-Engagement (CARE) Schools to improve attendance and engagement of disengaged secondary students to improve educational outcomes, and practical interventions to improve student outcomes.</w:t>
      </w:r>
    </w:p>
    <w:p w14:paraId="0F3F5527" w14:textId="77777777" w:rsidR="001F608D" w:rsidRDefault="001F608D" w:rsidP="001F608D">
      <w:pPr>
        <w:pStyle w:val="ListParagraph"/>
        <w:numPr>
          <w:ilvl w:val="0"/>
          <w:numId w:val="23"/>
        </w:numPr>
        <w:spacing w:after="0" w:line="276" w:lineRule="auto"/>
        <w:ind w:left="714" w:hanging="357"/>
        <w:rPr>
          <w:rFonts w:cstheme="minorHAnsi"/>
        </w:rPr>
      </w:pPr>
      <w:r>
        <w:rPr>
          <w:rFonts w:cstheme="minorHAnsi"/>
        </w:rPr>
        <w:t xml:space="preserve">Recruitment of </w:t>
      </w:r>
      <w:r w:rsidRPr="00300DBE">
        <w:rPr>
          <w:rFonts w:cstheme="minorHAnsi"/>
        </w:rPr>
        <w:t xml:space="preserve">Education Support Officers to provide support for teachers and their support staff </w:t>
      </w:r>
      <w:r>
        <w:rPr>
          <w:rFonts w:cstheme="minorHAnsi"/>
        </w:rPr>
        <w:t>by</w:t>
      </w:r>
      <w:r w:rsidRPr="00300DBE">
        <w:rPr>
          <w:rFonts w:cstheme="minorHAnsi"/>
        </w:rPr>
        <w:t xml:space="preserve"> assist</w:t>
      </w:r>
      <w:r>
        <w:rPr>
          <w:rFonts w:cstheme="minorHAnsi"/>
        </w:rPr>
        <w:t>ing</w:t>
      </w:r>
      <w:r w:rsidRPr="00300DBE">
        <w:rPr>
          <w:rFonts w:cstheme="minorHAnsi"/>
        </w:rPr>
        <w:t xml:space="preserve"> with the identification of educationally disadvantaged students and developing plans to improve school and student outcomes.</w:t>
      </w:r>
    </w:p>
    <w:p w14:paraId="0BB284A0" w14:textId="77777777" w:rsidR="001F608D" w:rsidRPr="000803F2" w:rsidRDefault="001F608D" w:rsidP="001F608D">
      <w:pPr>
        <w:pStyle w:val="ListParagraph"/>
        <w:numPr>
          <w:ilvl w:val="0"/>
          <w:numId w:val="23"/>
        </w:numPr>
        <w:spacing w:after="120" w:line="276" w:lineRule="auto"/>
        <w:rPr>
          <w:rFonts w:cstheme="minorHAnsi"/>
        </w:rPr>
      </w:pPr>
      <w:r w:rsidRPr="00A2115B">
        <w:rPr>
          <w:rFonts w:cstheme="minorHAnsi"/>
        </w:rPr>
        <w:t xml:space="preserve">Programs to improve literacy, numeracy, and other academic outcomes of </w:t>
      </w:r>
      <w:r>
        <w:rPr>
          <w:rFonts w:cstheme="minorHAnsi"/>
        </w:rPr>
        <w:t xml:space="preserve">Indigenous </w:t>
      </w:r>
      <w:r w:rsidRPr="00A2115B">
        <w:rPr>
          <w:rFonts w:cstheme="minorHAnsi"/>
        </w:rPr>
        <w:t xml:space="preserve">students, including initiatives to support student wellbeing and strengthen relationships with families and communities. </w:t>
      </w:r>
      <w:r>
        <w:rPr>
          <w:rFonts w:cstheme="minorHAnsi"/>
        </w:rPr>
        <w:t>Projects included support for</w:t>
      </w:r>
      <w:r w:rsidRPr="000803F2">
        <w:rPr>
          <w:rFonts w:cstheme="minorHAnsi"/>
        </w:rPr>
        <w:t xml:space="preserve"> </w:t>
      </w:r>
      <w:r>
        <w:rPr>
          <w:rFonts w:cstheme="minorHAnsi"/>
        </w:rPr>
        <w:t xml:space="preserve">better </w:t>
      </w:r>
      <w:r w:rsidRPr="000803F2">
        <w:rPr>
          <w:rFonts w:cstheme="minorHAnsi"/>
        </w:rPr>
        <w:t xml:space="preserve">outcomes for disadvantaged </w:t>
      </w:r>
      <w:r>
        <w:rPr>
          <w:rFonts w:cstheme="minorHAnsi"/>
        </w:rPr>
        <w:t xml:space="preserve">Aboriginal and Torres Strait Islander </w:t>
      </w:r>
      <w:r w:rsidRPr="000803F2">
        <w:rPr>
          <w:rFonts w:cstheme="minorHAnsi"/>
        </w:rPr>
        <w:t xml:space="preserve">students from remote communities. </w:t>
      </w:r>
    </w:p>
    <w:p w14:paraId="5A969E3A" w14:textId="77777777" w:rsidR="001F608D" w:rsidRPr="000C20E8" w:rsidRDefault="001F608D" w:rsidP="001F608D">
      <w:pPr>
        <w:pStyle w:val="ListParagraph"/>
        <w:numPr>
          <w:ilvl w:val="0"/>
          <w:numId w:val="23"/>
        </w:numPr>
        <w:spacing w:after="120" w:line="276" w:lineRule="auto"/>
        <w:rPr>
          <w:rFonts w:cstheme="minorHAnsi"/>
        </w:rPr>
      </w:pPr>
      <w:r>
        <w:rPr>
          <w:rFonts w:cstheme="minorHAnsi"/>
        </w:rPr>
        <w:t>S</w:t>
      </w:r>
      <w:r w:rsidRPr="000C20E8">
        <w:rPr>
          <w:rFonts w:cstheme="minorHAnsi"/>
        </w:rPr>
        <w:t xml:space="preserve">tandardising IT hardware in remote schools to establish reliable network access, improve infrastructure and connectivity, and provide for technicians who can visit schools more regularly. </w:t>
      </w:r>
    </w:p>
    <w:p w14:paraId="3B2B21F5" w14:textId="0C0D5C47" w:rsidR="001F608D" w:rsidRDefault="001F608D" w:rsidP="001F608D">
      <w:pPr>
        <w:pStyle w:val="Heading4"/>
      </w:pPr>
      <w:bookmarkStart w:id="38" w:name="_Toc86933333"/>
      <w:r>
        <w:t xml:space="preserve">Progress and </w:t>
      </w:r>
      <w:r w:rsidR="001978B9">
        <w:t>a</w:t>
      </w:r>
      <w:r>
        <w:t>chievements</w:t>
      </w:r>
    </w:p>
    <w:p w14:paraId="3556F993" w14:textId="517D149A" w:rsidR="00677FD4" w:rsidRDefault="001F608D" w:rsidP="001F608D">
      <w:pPr>
        <w:pStyle w:val="ListParagraph"/>
        <w:numPr>
          <w:ilvl w:val="0"/>
          <w:numId w:val="34"/>
        </w:numPr>
      </w:pPr>
      <w:r w:rsidRPr="00FD4941">
        <w:t xml:space="preserve">Direct assistance in the form of distributed CAF funds provided by NGRBs to </w:t>
      </w:r>
      <w:r w:rsidR="00FD4941" w:rsidRPr="00FD4941">
        <w:t>191</w:t>
      </w:r>
      <w:r w:rsidRPr="00FD4941">
        <w:t xml:space="preserve"> </w:t>
      </w:r>
      <w:r>
        <w:t>schools nationally.</w:t>
      </w:r>
    </w:p>
    <w:p w14:paraId="702A9B7F" w14:textId="694E3309" w:rsidR="00677FD4" w:rsidRDefault="00677FD4">
      <w:pPr>
        <w:spacing w:after="160"/>
      </w:pPr>
    </w:p>
    <w:p w14:paraId="7340DBBB" w14:textId="77777777" w:rsidR="00A41E02" w:rsidRDefault="00A41E02">
      <w:pPr>
        <w:spacing w:after="160"/>
      </w:pPr>
    </w:p>
    <w:p w14:paraId="3A98C0F1" w14:textId="4C312F6B" w:rsidR="007709D8" w:rsidRDefault="007709D8">
      <w:pPr>
        <w:spacing w:after="160"/>
      </w:pPr>
    </w:p>
    <w:p w14:paraId="6FE24B8A" w14:textId="77777777" w:rsidR="00E65AA1" w:rsidRDefault="00E65AA1">
      <w:pPr>
        <w:spacing w:after="160"/>
      </w:pPr>
    </w:p>
    <w:p w14:paraId="52B4CAC1" w14:textId="77777777" w:rsidR="00E65AA1" w:rsidRDefault="00E65AA1">
      <w:pPr>
        <w:spacing w:after="160"/>
      </w:pPr>
    </w:p>
    <w:p w14:paraId="4B5D3110" w14:textId="77777777" w:rsidR="00E65AA1" w:rsidRDefault="00E65AA1">
      <w:pPr>
        <w:spacing w:after="160"/>
      </w:pPr>
    </w:p>
    <w:p w14:paraId="3BFD6D5B" w14:textId="77777777" w:rsidR="00E65AA1" w:rsidRDefault="00E65AA1">
      <w:pPr>
        <w:spacing w:after="160"/>
      </w:pPr>
    </w:p>
    <w:p w14:paraId="16366C90" w14:textId="77777777" w:rsidR="00E65AA1" w:rsidRDefault="00E65AA1">
      <w:pPr>
        <w:spacing w:after="160"/>
      </w:pPr>
    </w:p>
    <w:p w14:paraId="69BDDDCF" w14:textId="77777777" w:rsidR="00E65AA1" w:rsidRDefault="00E65AA1">
      <w:pPr>
        <w:spacing w:after="160"/>
      </w:pPr>
    </w:p>
    <w:p w14:paraId="6347C68A" w14:textId="77777777" w:rsidR="00A41E02" w:rsidRDefault="00A41E02">
      <w:pPr>
        <w:spacing w:after="160"/>
      </w:pPr>
    </w:p>
    <w:p w14:paraId="64B15318" w14:textId="77777777" w:rsidR="007D2AF2" w:rsidRPr="00923461" w:rsidRDefault="007D2AF2" w:rsidP="007D2AF2">
      <w:pPr>
        <w:spacing w:after="0"/>
        <w:rPr>
          <w:rStyle w:val="Heading3Char"/>
        </w:rPr>
      </w:pPr>
      <w:bookmarkStart w:id="39" w:name="_Toc147758210"/>
      <w:r>
        <w:rPr>
          <w:rStyle w:val="Heading3Char"/>
        </w:rPr>
        <w:lastRenderedPageBreak/>
        <w:t xml:space="preserve">E - </w:t>
      </w:r>
      <w:r w:rsidRPr="00923461">
        <w:rPr>
          <w:rStyle w:val="Heading3Char"/>
        </w:rPr>
        <w:t>Student wellbeing and support</w:t>
      </w:r>
      <w:bookmarkEnd w:id="38"/>
      <w:bookmarkEnd w:id="39"/>
    </w:p>
    <w:p w14:paraId="3889AC2E" w14:textId="536D254F" w:rsidR="00C62DF7" w:rsidRDefault="00C62DF7" w:rsidP="00C62DF7">
      <w:pPr>
        <w:pStyle w:val="Heading4"/>
        <w:rPr>
          <w:noProof/>
        </w:rPr>
      </w:pPr>
      <w:r>
        <w:rPr>
          <w:noProof/>
        </w:rPr>
        <w:t>Summary of activities undertaken in 202</w:t>
      </w:r>
      <w:r w:rsidR="00547DF8">
        <w:rPr>
          <w:noProof/>
        </w:rPr>
        <w:t>2</w:t>
      </w:r>
    </w:p>
    <w:p w14:paraId="01CD9FA2" w14:textId="746BD1C9" w:rsidR="007D2AF2" w:rsidRDefault="00C62DF7" w:rsidP="00C62DF7">
      <w:pPr>
        <w:pStyle w:val="Featurebox"/>
        <w:rPr>
          <w:noProof/>
        </w:rPr>
      </w:pPr>
      <w:r>
        <w:rPr>
          <w:noProof/>
        </w:rPr>
        <w:t>Efforts in 202</w:t>
      </w:r>
      <w:r w:rsidR="00547DF8">
        <w:rPr>
          <w:noProof/>
        </w:rPr>
        <w:t>2</w:t>
      </w:r>
      <w:r>
        <w:rPr>
          <w:noProof/>
        </w:rPr>
        <w:t xml:space="preserve"> have delivered professional learning, preventative strategies, policies and processes to create safe, supportive, and respectful learning environments. </w:t>
      </w:r>
    </w:p>
    <w:p w14:paraId="350F892F" w14:textId="02A4F031" w:rsidR="00C62DF7" w:rsidRPr="00671981" w:rsidRDefault="004026DA" w:rsidP="00C62DF7">
      <w:r>
        <w:t>New and continued a</w:t>
      </w:r>
      <w:r w:rsidRPr="00612EF8">
        <w:t xml:space="preserve">ctivities </w:t>
      </w:r>
      <w:r w:rsidR="00C62DF7" w:rsidRPr="00671981">
        <w:t>delivered under the CAF national priority—</w:t>
      </w:r>
      <w:r w:rsidR="00C62DF7" w:rsidRPr="004026DA">
        <w:rPr>
          <w:i/>
          <w:iCs/>
        </w:rPr>
        <w:t>Student wellbeing and support,</w:t>
      </w:r>
      <w:r w:rsidR="00C62DF7" w:rsidRPr="00671981">
        <w:t xml:space="preserve"> include:</w:t>
      </w:r>
    </w:p>
    <w:p w14:paraId="300EA079" w14:textId="77777777" w:rsidR="00C62DF7" w:rsidRPr="00671981" w:rsidRDefault="00C62DF7" w:rsidP="00C62DF7">
      <w:pPr>
        <w:pStyle w:val="ListParagraph"/>
        <w:numPr>
          <w:ilvl w:val="0"/>
          <w:numId w:val="23"/>
        </w:numPr>
        <w:spacing w:after="120" w:line="276" w:lineRule="auto"/>
        <w:ind w:left="714" w:hanging="357"/>
        <w:rPr>
          <w:rFonts w:cstheme="minorHAnsi"/>
        </w:rPr>
      </w:pPr>
      <w:r>
        <w:rPr>
          <w:rFonts w:cstheme="minorHAnsi"/>
        </w:rPr>
        <w:t>Continued d</w:t>
      </w:r>
      <w:r w:rsidRPr="00671981">
        <w:rPr>
          <w:rFonts w:cstheme="minorHAnsi"/>
        </w:rPr>
        <w:t xml:space="preserve">evelopment </w:t>
      </w:r>
      <w:r>
        <w:rPr>
          <w:rFonts w:cstheme="minorHAnsi"/>
        </w:rPr>
        <w:t xml:space="preserve">and delivery </w:t>
      </w:r>
      <w:r w:rsidRPr="00671981">
        <w:rPr>
          <w:rFonts w:cstheme="minorHAnsi"/>
        </w:rPr>
        <w:t>of policies and procedures</w:t>
      </w:r>
      <w:r>
        <w:rPr>
          <w:rFonts w:cstheme="minorHAnsi"/>
        </w:rPr>
        <w:t xml:space="preserve"> to help </w:t>
      </w:r>
      <w:r w:rsidRPr="00671981">
        <w:rPr>
          <w:rFonts w:cstheme="minorHAnsi"/>
        </w:rPr>
        <w:t>schools provide safe, supportive learning environment and support student mental health.</w:t>
      </w:r>
    </w:p>
    <w:p w14:paraId="3C2F17FA" w14:textId="77777777" w:rsidR="00C62DF7" w:rsidRPr="00671981" w:rsidRDefault="00C62DF7" w:rsidP="00C62DF7">
      <w:pPr>
        <w:pStyle w:val="ListParagraph"/>
        <w:numPr>
          <w:ilvl w:val="1"/>
          <w:numId w:val="23"/>
        </w:numPr>
        <w:spacing w:after="120" w:line="276" w:lineRule="auto"/>
        <w:rPr>
          <w:rFonts w:cstheme="minorHAnsi"/>
        </w:rPr>
      </w:pPr>
      <w:r w:rsidRPr="00671981">
        <w:rPr>
          <w:rFonts w:cstheme="minorHAnsi"/>
        </w:rPr>
        <w:t xml:space="preserve">Support for schools to improve knowledge about how educational, psychological, and neuroscientific principles can be used to improve the impact of teaching practices </w:t>
      </w:r>
      <w:r>
        <w:rPr>
          <w:rFonts w:cstheme="minorHAnsi"/>
        </w:rPr>
        <w:t>and</w:t>
      </w:r>
      <w:r w:rsidRPr="00671981">
        <w:rPr>
          <w:rFonts w:cstheme="minorHAnsi"/>
        </w:rPr>
        <w:t xml:space="preserve"> strategies.</w:t>
      </w:r>
    </w:p>
    <w:p w14:paraId="75B79960" w14:textId="77777777" w:rsidR="00C62DF7" w:rsidRPr="003F6520" w:rsidRDefault="00C62DF7" w:rsidP="00C62DF7">
      <w:pPr>
        <w:pStyle w:val="ListParagraph"/>
        <w:numPr>
          <w:ilvl w:val="0"/>
          <w:numId w:val="23"/>
        </w:numPr>
        <w:spacing w:after="120" w:line="276" w:lineRule="auto"/>
        <w:ind w:left="714" w:hanging="357"/>
        <w:rPr>
          <w:rFonts w:cstheme="minorHAnsi"/>
        </w:rPr>
      </w:pPr>
      <w:r w:rsidRPr="003F6520">
        <w:rPr>
          <w:rFonts w:cstheme="minorHAnsi"/>
        </w:rPr>
        <w:t>Implementation of plans to improve school and student outcomes and programs that focus on wrap around services and additional in</w:t>
      </w:r>
      <w:r w:rsidRPr="003F6520">
        <w:rPr>
          <w:rFonts w:cstheme="minorHAnsi"/>
        </w:rPr>
        <w:noBreakHyphen/>
        <w:t>school support, particularly for Indigenous students and students in remote areas.</w:t>
      </w:r>
    </w:p>
    <w:p w14:paraId="6473EC2A" w14:textId="77777777" w:rsidR="00C62DF7" w:rsidRDefault="00C62DF7" w:rsidP="00C62DF7">
      <w:pPr>
        <w:pStyle w:val="ListParagraph"/>
        <w:numPr>
          <w:ilvl w:val="0"/>
          <w:numId w:val="23"/>
        </w:numPr>
        <w:spacing w:after="120" w:line="276" w:lineRule="auto"/>
        <w:ind w:left="714" w:hanging="357"/>
        <w:rPr>
          <w:rFonts w:cstheme="minorHAnsi"/>
        </w:rPr>
      </w:pPr>
      <w:r>
        <w:rPr>
          <w:rFonts w:cstheme="minorHAnsi"/>
        </w:rPr>
        <w:t>Resource r</w:t>
      </w:r>
      <w:r w:rsidRPr="00DC5CB7">
        <w:rPr>
          <w:rFonts w:cstheme="minorHAnsi"/>
        </w:rPr>
        <w:t xml:space="preserve">epositories </w:t>
      </w:r>
      <w:r>
        <w:rPr>
          <w:rFonts w:cstheme="minorHAnsi"/>
        </w:rPr>
        <w:t xml:space="preserve">providing </w:t>
      </w:r>
      <w:r w:rsidRPr="00DC5CB7">
        <w:rPr>
          <w:rFonts w:cstheme="minorHAnsi"/>
        </w:rPr>
        <w:t xml:space="preserve">evidence-based wellbeing resources, and curated lists of useful external resources for schools. </w:t>
      </w:r>
    </w:p>
    <w:p w14:paraId="4E38006B" w14:textId="3BF2DE98" w:rsidR="00C62DF7" w:rsidRDefault="00C62DF7" w:rsidP="00C62DF7">
      <w:pPr>
        <w:pStyle w:val="ListParagraph"/>
        <w:numPr>
          <w:ilvl w:val="0"/>
          <w:numId w:val="23"/>
        </w:numPr>
        <w:spacing w:after="120" w:line="276" w:lineRule="auto"/>
        <w:ind w:left="714" w:hanging="357"/>
        <w:rPr>
          <w:rFonts w:cstheme="minorHAnsi"/>
        </w:rPr>
      </w:pPr>
      <w:r w:rsidRPr="00D46980">
        <w:rPr>
          <w:rFonts w:cstheme="minorHAnsi"/>
        </w:rPr>
        <w:t xml:space="preserve">School Support Officers </w:t>
      </w:r>
      <w:r>
        <w:rPr>
          <w:rFonts w:cstheme="minorHAnsi"/>
        </w:rPr>
        <w:t>to</w:t>
      </w:r>
      <w:r w:rsidRPr="00D46980">
        <w:rPr>
          <w:rFonts w:cstheme="minorHAnsi"/>
        </w:rPr>
        <w:t xml:space="preserve"> improve learning opportunities for students from diverse backgrounds under the guidance of </w:t>
      </w:r>
      <w:r>
        <w:rPr>
          <w:rFonts w:cstheme="minorHAnsi"/>
        </w:rPr>
        <w:t>teachers.</w:t>
      </w:r>
    </w:p>
    <w:p w14:paraId="5574D7B2" w14:textId="77777777" w:rsidR="00C62DF7" w:rsidRPr="00D46980" w:rsidRDefault="00C62DF7" w:rsidP="00C62DF7">
      <w:pPr>
        <w:pStyle w:val="ListParagraph"/>
        <w:numPr>
          <w:ilvl w:val="0"/>
          <w:numId w:val="23"/>
        </w:numPr>
        <w:spacing w:after="120" w:line="276" w:lineRule="auto"/>
        <w:ind w:left="714" w:hanging="357"/>
        <w:rPr>
          <w:rFonts w:cstheme="minorHAnsi"/>
        </w:rPr>
      </w:pPr>
      <w:r>
        <w:rPr>
          <w:rFonts w:cstheme="minorHAnsi"/>
        </w:rPr>
        <w:t xml:space="preserve">Strategies for </w:t>
      </w:r>
      <w:r w:rsidRPr="00D46980">
        <w:rPr>
          <w:rFonts w:cstheme="minorHAnsi"/>
        </w:rPr>
        <w:t xml:space="preserve">school </w:t>
      </w:r>
      <w:r>
        <w:rPr>
          <w:rFonts w:cstheme="minorHAnsi"/>
        </w:rPr>
        <w:t>leaders to</w:t>
      </w:r>
      <w:r w:rsidRPr="00D46980">
        <w:rPr>
          <w:rFonts w:cstheme="minorHAnsi"/>
        </w:rPr>
        <w:t xml:space="preserve"> better understand student wellbeing and strategies </w:t>
      </w:r>
      <w:r>
        <w:rPr>
          <w:rFonts w:cstheme="minorHAnsi"/>
        </w:rPr>
        <w:t>to</w:t>
      </w:r>
      <w:r w:rsidRPr="00D46980">
        <w:rPr>
          <w:rFonts w:cstheme="minorHAnsi"/>
        </w:rPr>
        <w:t xml:space="preserve"> minimise bullying.</w:t>
      </w:r>
    </w:p>
    <w:p w14:paraId="7E83A4CC" w14:textId="77777777" w:rsidR="00C62DF7" w:rsidRPr="00CE3CA2" w:rsidRDefault="00C62DF7" w:rsidP="00C62DF7">
      <w:pPr>
        <w:pStyle w:val="ListParagraph"/>
        <w:numPr>
          <w:ilvl w:val="0"/>
          <w:numId w:val="23"/>
        </w:numPr>
        <w:spacing w:after="120" w:line="276" w:lineRule="auto"/>
        <w:ind w:left="714" w:hanging="357"/>
        <w:rPr>
          <w:rFonts w:cstheme="minorHAnsi"/>
        </w:rPr>
      </w:pPr>
      <w:r>
        <w:rPr>
          <w:rFonts w:cstheme="minorHAnsi"/>
        </w:rPr>
        <w:t>S</w:t>
      </w:r>
      <w:r w:rsidRPr="00CE3CA2">
        <w:rPr>
          <w:rFonts w:cstheme="minorHAnsi"/>
        </w:rPr>
        <w:t xml:space="preserve">upport </w:t>
      </w:r>
      <w:r>
        <w:rPr>
          <w:rFonts w:cstheme="minorHAnsi"/>
        </w:rPr>
        <w:t>for</w:t>
      </w:r>
      <w:r w:rsidRPr="00CE3CA2">
        <w:rPr>
          <w:rFonts w:cstheme="minorHAnsi"/>
        </w:rPr>
        <w:t xml:space="preserve"> schools in relation to mandatory reporting process</w:t>
      </w:r>
      <w:r>
        <w:rPr>
          <w:rFonts w:cstheme="minorHAnsi"/>
        </w:rPr>
        <w:t>es and</w:t>
      </w:r>
      <w:r w:rsidRPr="00CE3CA2">
        <w:rPr>
          <w:rFonts w:cstheme="minorHAnsi"/>
        </w:rPr>
        <w:t xml:space="preserve"> reporting procedures </w:t>
      </w:r>
      <w:r>
        <w:rPr>
          <w:rFonts w:cstheme="minorHAnsi"/>
        </w:rPr>
        <w:t>relating</w:t>
      </w:r>
      <w:r w:rsidRPr="00CE3CA2">
        <w:rPr>
          <w:rFonts w:cstheme="minorHAnsi"/>
        </w:rPr>
        <w:t xml:space="preserve"> to Child Protection.</w:t>
      </w:r>
    </w:p>
    <w:p w14:paraId="4DCA9AC3" w14:textId="4BB74405" w:rsidR="00677FD4" w:rsidRPr="00677FD4" w:rsidRDefault="00C62DF7" w:rsidP="00C62DF7">
      <w:pPr>
        <w:pStyle w:val="ListParagraph"/>
        <w:numPr>
          <w:ilvl w:val="0"/>
          <w:numId w:val="23"/>
        </w:numPr>
        <w:spacing w:after="120" w:line="276" w:lineRule="auto"/>
        <w:ind w:left="714" w:hanging="357"/>
      </w:pPr>
      <w:r w:rsidRPr="00677FD4">
        <w:rPr>
          <w:rFonts w:cstheme="minorHAnsi"/>
        </w:rPr>
        <w:t>Support for schools to embed inclusive practice and wellbeing initiatives, including developing and leading school</w:t>
      </w:r>
      <w:r w:rsidR="00D81949">
        <w:rPr>
          <w:rFonts w:cstheme="minorHAnsi"/>
        </w:rPr>
        <w:t>-</w:t>
      </w:r>
      <w:r w:rsidRPr="00677FD4">
        <w:rPr>
          <w:rFonts w:cstheme="minorHAnsi"/>
        </w:rPr>
        <w:t>based professional learning.</w:t>
      </w:r>
    </w:p>
    <w:p w14:paraId="5490005F" w14:textId="6332453A" w:rsidR="00C62DF7" w:rsidRDefault="00C62DF7" w:rsidP="00C62DF7">
      <w:pPr>
        <w:pStyle w:val="Heading4"/>
      </w:pPr>
      <w:r>
        <w:t xml:space="preserve">Progress and </w:t>
      </w:r>
      <w:r w:rsidR="001978B9">
        <w:t>a</w:t>
      </w:r>
      <w:r>
        <w:t>chievements</w:t>
      </w:r>
    </w:p>
    <w:p w14:paraId="19475BD0" w14:textId="3987DC2D" w:rsidR="007D2AF2" w:rsidRPr="00C62DF7" w:rsidRDefault="00C62DF7" w:rsidP="00C62DF7">
      <w:pPr>
        <w:pStyle w:val="ListParagraph"/>
        <w:numPr>
          <w:ilvl w:val="0"/>
          <w:numId w:val="35"/>
        </w:numPr>
      </w:pPr>
      <w:r>
        <w:t xml:space="preserve">Direct assistance in the form of distributed CAF funds provided by NGRBs to </w:t>
      </w:r>
      <w:r w:rsidR="00FD4941">
        <w:t xml:space="preserve">40 </w:t>
      </w:r>
      <w:r>
        <w:t xml:space="preserve">schools nationally. </w:t>
      </w:r>
      <w:r w:rsidR="007D2AF2">
        <w:br w:type="page"/>
      </w:r>
    </w:p>
    <w:p w14:paraId="6199FF92" w14:textId="3D324BE8" w:rsidR="007D2AF2" w:rsidRDefault="007D2AF2" w:rsidP="007D2AF2">
      <w:pPr>
        <w:pStyle w:val="Heading2"/>
      </w:pPr>
      <w:bookmarkStart w:id="40" w:name="_Toc147758211"/>
      <w:bookmarkStart w:id="41" w:name="_Hlk123829844"/>
      <w:r>
        <w:lastRenderedPageBreak/>
        <w:t xml:space="preserve">Summary of the CAF </w:t>
      </w:r>
      <w:r w:rsidR="001978B9">
        <w:t>f</w:t>
      </w:r>
      <w:r>
        <w:t xml:space="preserve">inancial </w:t>
      </w:r>
      <w:r w:rsidR="001978B9">
        <w:t>p</w:t>
      </w:r>
      <w:r>
        <w:t>osition</w:t>
      </w:r>
      <w:bookmarkEnd w:id="40"/>
    </w:p>
    <w:p w14:paraId="6BEE690A" w14:textId="05A483CB" w:rsidR="007D2AF2" w:rsidRPr="00182083" w:rsidRDefault="007D2AF2" w:rsidP="007D2AF2">
      <w:pPr>
        <w:spacing w:before="120" w:after="120"/>
        <w:rPr>
          <w:rFonts w:cstheme="majorHAnsi"/>
        </w:rPr>
      </w:pPr>
      <w:r>
        <w:rPr>
          <w:rFonts w:cstheme="majorHAnsi"/>
        </w:rPr>
        <w:t>In 202</w:t>
      </w:r>
      <w:r w:rsidR="00547DF8">
        <w:rPr>
          <w:rFonts w:cstheme="majorHAnsi"/>
        </w:rPr>
        <w:t>2</w:t>
      </w:r>
      <w:r w:rsidRPr="007A3644">
        <w:rPr>
          <w:rFonts w:cstheme="majorHAnsi"/>
        </w:rPr>
        <w:t>, $</w:t>
      </w:r>
      <w:r w:rsidR="007A3644" w:rsidRPr="007A3644">
        <w:rPr>
          <w:rFonts w:cstheme="majorHAnsi"/>
        </w:rPr>
        <w:t>79.1</w:t>
      </w:r>
      <w:r w:rsidRPr="007A3644">
        <w:rPr>
          <w:rFonts w:cstheme="majorHAnsi"/>
        </w:rPr>
        <w:t> </w:t>
      </w:r>
      <w:r w:rsidRPr="00182083">
        <w:rPr>
          <w:rFonts w:cstheme="majorHAnsi"/>
        </w:rPr>
        <w:t xml:space="preserve">million (or </w:t>
      </w:r>
      <w:r w:rsidR="00182083" w:rsidRPr="00182083">
        <w:rPr>
          <w:rFonts w:cstheme="majorHAnsi"/>
        </w:rPr>
        <w:t>72.4</w:t>
      </w:r>
      <w:r w:rsidRPr="00182083">
        <w:rPr>
          <w:rFonts w:cstheme="majorHAnsi"/>
        </w:rPr>
        <w:t>%) of the total 202</w:t>
      </w:r>
      <w:r w:rsidR="00547DF8" w:rsidRPr="00182083">
        <w:rPr>
          <w:rFonts w:cstheme="majorHAnsi"/>
        </w:rPr>
        <w:t>2</w:t>
      </w:r>
      <w:r w:rsidRPr="00182083">
        <w:rPr>
          <w:rFonts w:cstheme="majorHAnsi"/>
        </w:rPr>
        <w:t xml:space="preserve"> CAF allocation of $10</w:t>
      </w:r>
      <w:r w:rsidR="007A3644" w:rsidRPr="00182083">
        <w:rPr>
          <w:rFonts w:cstheme="majorHAnsi"/>
        </w:rPr>
        <w:t>9</w:t>
      </w:r>
      <w:r w:rsidRPr="00182083">
        <w:rPr>
          <w:rFonts w:cstheme="majorHAnsi"/>
        </w:rPr>
        <w:t>.</w:t>
      </w:r>
      <w:r w:rsidR="00182083" w:rsidRPr="00182083">
        <w:rPr>
          <w:rFonts w:cstheme="majorHAnsi"/>
        </w:rPr>
        <w:t>3</w:t>
      </w:r>
      <w:r w:rsidRPr="00182083">
        <w:rPr>
          <w:rFonts w:cstheme="majorHAnsi"/>
        </w:rPr>
        <w:t xml:space="preserve"> million was spent. The remaining balance of $</w:t>
      </w:r>
      <w:r w:rsidR="007A3644" w:rsidRPr="00182083">
        <w:rPr>
          <w:rFonts w:cstheme="majorHAnsi"/>
        </w:rPr>
        <w:t>30.1</w:t>
      </w:r>
      <w:r w:rsidR="00182083" w:rsidRPr="00182083">
        <w:rPr>
          <w:rFonts w:cstheme="majorHAnsi"/>
        </w:rPr>
        <w:t>5</w:t>
      </w:r>
      <w:r w:rsidRPr="00182083">
        <w:rPr>
          <w:rFonts w:cstheme="majorHAnsi"/>
        </w:rPr>
        <w:t xml:space="preserve"> million (or </w:t>
      </w:r>
      <w:r w:rsidR="00182083" w:rsidRPr="00182083">
        <w:rPr>
          <w:rFonts w:cstheme="majorHAnsi"/>
        </w:rPr>
        <w:t>27.6</w:t>
      </w:r>
      <w:r w:rsidRPr="00182083">
        <w:rPr>
          <w:rFonts w:cstheme="majorHAnsi"/>
        </w:rPr>
        <w:t xml:space="preserve">%) deferred to later years (see </w:t>
      </w:r>
      <w:r w:rsidRPr="00182083">
        <w:rPr>
          <w:rFonts w:cstheme="majorHAnsi"/>
          <w:b/>
          <w:bCs/>
        </w:rPr>
        <w:t xml:space="preserve">Table </w:t>
      </w:r>
      <w:r w:rsidR="00D410DA">
        <w:rPr>
          <w:rFonts w:cstheme="majorHAnsi"/>
          <w:b/>
          <w:bCs/>
        </w:rPr>
        <w:t>2</w:t>
      </w:r>
      <w:r w:rsidRPr="00182083">
        <w:rPr>
          <w:rFonts w:cstheme="majorHAnsi"/>
        </w:rPr>
        <w:t xml:space="preserve"> below). </w:t>
      </w:r>
    </w:p>
    <w:p w14:paraId="34409F24" w14:textId="075F620A" w:rsidR="007D2AF2" w:rsidRPr="00A72C1B" w:rsidRDefault="007D2AF2" w:rsidP="007D2AF2">
      <w:pPr>
        <w:spacing w:after="120"/>
        <w:rPr>
          <w:rFonts w:cstheme="majorHAnsi"/>
        </w:rPr>
      </w:pPr>
      <w:r w:rsidRPr="00182083">
        <w:rPr>
          <w:rFonts w:cstheme="majorHAnsi"/>
        </w:rPr>
        <w:t>Approximately $</w:t>
      </w:r>
      <w:r w:rsidR="007A3644" w:rsidRPr="00182083">
        <w:rPr>
          <w:rFonts w:cstheme="majorHAnsi"/>
        </w:rPr>
        <w:t>6</w:t>
      </w:r>
      <w:r w:rsidR="00182083" w:rsidRPr="00182083">
        <w:rPr>
          <w:rFonts w:cstheme="majorHAnsi"/>
        </w:rPr>
        <w:t xml:space="preserve">7.2 </w:t>
      </w:r>
      <w:r w:rsidRPr="00182083">
        <w:rPr>
          <w:rFonts w:cstheme="majorHAnsi"/>
        </w:rPr>
        <w:t xml:space="preserve">million (or </w:t>
      </w:r>
      <w:r w:rsidR="00182083" w:rsidRPr="00182083">
        <w:rPr>
          <w:rFonts w:cstheme="majorHAnsi"/>
        </w:rPr>
        <w:t>85</w:t>
      </w:r>
      <w:r w:rsidRPr="00182083">
        <w:rPr>
          <w:rFonts w:cstheme="majorHAnsi"/>
        </w:rPr>
        <w:t>%) of the total expenditure in 202</w:t>
      </w:r>
      <w:r w:rsidR="00547DF8" w:rsidRPr="00182083">
        <w:rPr>
          <w:rFonts w:cstheme="majorHAnsi"/>
        </w:rPr>
        <w:t>2</w:t>
      </w:r>
      <w:r w:rsidRPr="00182083">
        <w:rPr>
          <w:rFonts w:cstheme="majorHAnsi"/>
        </w:rPr>
        <w:t xml:space="preserve"> has been distributed directly to schools by NGRBs. Overall expenditure by CAF priority saw $</w:t>
      </w:r>
      <w:r w:rsidR="00182083" w:rsidRPr="00182083">
        <w:rPr>
          <w:rFonts w:cstheme="majorHAnsi"/>
        </w:rPr>
        <w:t>29.1</w:t>
      </w:r>
      <w:r w:rsidRPr="00182083">
        <w:rPr>
          <w:rFonts w:cstheme="majorHAnsi"/>
        </w:rPr>
        <w:t xml:space="preserve"> million expended for Priority A - Choice and </w:t>
      </w:r>
      <w:r w:rsidR="00552DF2">
        <w:rPr>
          <w:rFonts w:cstheme="majorHAnsi"/>
        </w:rPr>
        <w:t>a</w:t>
      </w:r>
      <w:r w:rsidRPr="00182083">
        <w:rPr>
          <w:rFonts w:cstheme="majorHAnsi"/>
        </w:rPr>
        <w:t>ffordability, $</w:t>
      </w:r>
      <w:r w:rsidR="007A3644" w:rsidRPr="00182083">
        <w:rPr>
          <w:rFonts w:cstheme="majorHAnsi"/>
        </w:rPr>
        <w:t>3</w:t>
      </w:r>
      <w:r w:rsidR="00182083" w:rsidRPr="00182083">
        <w:rPr>
          <w:rFonts w:cstheme="majorHAnsi"/>
        </w:rPr>
        <w:t>3</w:t>
      </w:r>
      <w:r w:rsidR="007A3644" w:rsidRPr="00182083">
        <w:rPr>
          <w:rFonts w:cstheme="majorHAnsi"/>
        </w:rPr>
        <w:t>.8</w:t>
      </w:r>
      <w:r w:rsidRPr="00182083">
        <w:rPr>
          <w:rFonts w:cstheme="majorHAnsi"/>
        </w:rPr>
        <w:t xml:space="preserve"> million for Priority B - Transition </w:t>
      </w:r>
      <w:r w:rsidR="00552DF2">
        <w:rPr>
          <w:rFonts w:cstheme="majorHAnsi"/>
        </w:rPr>
        <w:t>a</w:t>
      </w:r>
      <w:r w:rsidRPr="00182083">
        <w:rPr>
          <w:rFonts w:cstheme="majorHAnsi"/>
        </w:rPr>
        <w:t>ssistance, $</w:t>
      </w:r>
      <w:r w:rsidR="00182083" w:rsidRPr="00182083">
        <w:rPr>
          <w:rFonts w:cstheme="majorHAnsi"/>
        </w:rPr>
        <w:t>0.3</w:t>
      </w:r>
      <w:r w:rsidRPr="00182083">
        <w:rPr>
          <w:rFonts w:cstheme="majorHAnsi"/>
        </w:rPr>
        <w:t xml:space="preserve"> million for Priority C - Special </w:t>
      </w:r>
      <w:r w:rsidR="00552DF2">
        <w:rPr>
          <w:rFonts w:cstheme="majorHAnsi"/>
        </w:rPr>
        <w:t>c</w:t>
      </w:r>
      <w:r w:rsidRPr="00182083">
        <w:rPr>
          <w:rFonts w:cstheme="majorHAnsi"/>
        </w:rPr>
        <w:t xml:space="preserve">ircumstances, $10.0 million for Priority D – Strengthening </w:t>
      </w:r>
      <w:r w:rsidR="00552DF2">
        <w:rPr>
          <w:rFonts w:cstheme="majorHAnsi"/>
        </w:rPr>
        <w:t>o</w:t>
      </w:r>
      <w:r w:rsidRPr="00182083">
        <w:rPr>
          <w:rFonts w:cstheme="majorHAnsi"/>
        </w:rPr>
        <w:t>utcomes, and $</w:t>
      </w:r>
      <w:r w:rsidR="00182083" w:rsidRPr="00182083">
        <w:rPr>
          <w:rFonts w:cstheme="majorHAnsi"/>
        </w:rPr>
        <w:t>5</w:t>
      </w:r>
      <w:r w:rsidRPr="00182083">
        <w:rPr>
          <w:rFonts w:cstheme="majorHAnsi"/>
        </w:rPr>
        <w:t xml:space="preserve"> million for Priority E – Student </w:t>
      </w:r>
      <w:r w:rsidR="00552DF2">
        <w:rPr>
          <w:rFonts w:cstheme="majorHAnsi"/>
        </w:rPr>
        <w:t>w</w:t>
      </w:r>
      <w:r w:rsidRPr="00182083">
        <w:rPr>
          <w:rFonts w:cstheme="majorHAnsi"/>
        </w:rPr>
        <w:t>ellbeing.</w:t>
      </w:r>
    </w:p>
    <w:p w14:paraId="739DF929" w14:textId="3C0C8D47" w:rsidR="00C62DF7" w:rsidRDefault="00C62DF7" w:rsidP="00C62DF7">
      <w:pPr>
        <w:pStyle w:val="Caption"/>
        <w:keepNext/>
      </w:pPr>
      <w:r>
        <w:t xml:space="preserve">Table </w:t>
      </w:r>
      <w:r w:rsidR="00D410DA">
        <w:t>2</w:t>
      </w:r>
      <w:r>
        <w:t xml:space="preserve"> - </w:t>
      </w:r>
      <w:r w:rsidRPr="00EA072B">
        <w:t>Breakdown of 202</w:t>
      </w:r>
      <w:r w:rsidR="00547DF8">
        <w:t>2</w:t>
      </w:r>
      <w:r w:rsidRPr="00EA072B">
        <w:t xml:space="preserve"> CAF expenditure by category for all NGRBs</w:t>
      </w:r>
    </w:p>
    <w:tbl>
      <w:tblPr>
        <w:tblW w:w="8009" w:type="dxa"/>
        <w:tblLook w:val="04A0" w:firstRow="1" w:lastRow="0" w:firstColumn="1" w:lastColumn="0" w:noHBand="0" w:noVBand="1"/>
      </w:tblPr>
      <w:tblGrid>
        <w:gridCol w:w="4696"/>
        <w:gridCol w:w="1727"/>
        <w:gridCol w:w="1586"/>
      </w:tblGrid>
      <w:tr w:rsidR="005579A7" w:rsidRPr="005579A7" w14:paraId="7AAA6A38" w14:textId="77777777" w:rsidTr="0098120A">
        <w:trPr>
          <w:trHeight w:val="590"/>
        </w:trPr>
        <w:tc>
          <w:tcPr>
            <w:tcW w:w="4696" w:type="dxa"/>
            <w:tcBorders>
              <w:top w:val="nil"/>
              <w:left w:val="nil"/>
              <w:right w:val="nil"/>
            </w:tcBorders>
            <w:shd w:val="clear" w:color="auto" w:fill="002060"/>
            <w:noWrap/>
            <w:hideMark/>
          </w:tcPr>
          <w:p w14:paraId="4B8ED984" w14:textId="33BD4869" w:rsidR="00EF1EA7" w:rsidRPr="005579A7" w:rsidRDefault="00EF1EA7" w:rsidP="00EF1EA7">
            <w:pPr>
              <w:spacing w:after="0" w:line="240" w:lineRule="auto"/>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2022 </w:t>
            </w:r>
            <w:r w:rsidR="00552DF2">
              <w:rPr>
                <w:rFonts w:ascii="Calibri" w:eastAsia="Times New Roman" w:hAnsi="Calibri" w:cs="Calibri"/>
                <w:b/>
                <w:bCs/>
                <w:color w:val="FFFFFF" w:themeColor="background1"/>
                <w:lang w:eastAsia="en-AU"/>
              </w:rPr>
              <w:t>f</w:t>
            </w:r>
            <w:r w:rsidRPr="005579A7">
              <w:rPr>
                <w:rFonts w:ascii="Calibri" w:eastAsia="Times New Roman" w:hAnsi="Calibri" w:cs="Calibri"/>
                <w:b/>
                <w:bCs/>
                <w:color w:val="FFFFFF" w:themeColor="background1"/>
                <w:lang w:eastAsia="en-AU"/>
              </w:rPr>
              <w:t xml:space="preserve">inancial </w:t>
            </w:r>
            <w:r w:rsidR="00552DF2">
              <w:rPr>
                <w:rFonts w:ascii="Calibri" w:eastAsia="Times New Roman" w:hAnsi="Calibri" w:cs="Calibri"/>
                <w:b/>
                <w:bCs/>
                <w:color w:val="FFFFFF" w:themeColor="background1"/>
                <w:lang w:eastAsia="en-AU"/>
              </w:rPr>
              <w:t>s</w:t>
            </w:r>
            <w:r w:rsidRPr="005579A7">
              <w:rPr>
                <w:rFonts w:ascii="Calibri" w:eastAsia="Times New Roman" w:hAnsi="Calibri" w:cs="Calibri"/>
                <w:b/>
                <w:bCs/>
                <w:color w:val="FFFFFF" w:themeColor="background1"/>
                <w:lang w:eastAsia="en-AU"/>
              </w:rPr>
              <w:t>ummary</w:t>
            </w:r>
          </w:p>
        </w:tc>
        <w:tc>
          <w:tcPr>
            <w:tcW w:w="1727" w:type="dxa"/>
            <w:tcBorders>
              <w:top w:val="nil"/>
              <w:left w:val="nil"/>
              <w:right w:val="nil"/>
            </w:tcBorders>
            <w:shd w:val="clear" w:color="auto" w:fill="002060"/>
            <w:hideMark/>
          </w:tcPr>
          <w:p w14:paraId="423B87F3" w14:textId="78DCC386" w:rsidR="00EF1EA7" w:rsidRPr="005579A7" w:rsidRDefault="00EF1EA7" w:rsidP="00EF1EA7">
            <w:pPr>
              <w:spacing w:after="0" w:line="240" w:lineRule="auto"/>
              <w:jc w:val="center"/>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GST </w:t>
            </w:r>
            <w:r w:rsidR="00552DF2">
              <w:rPr>
                <w:rFonts w:ascii="Calibri" w:eastAsia="Times New Roman" w:hAnsi="Calibri" w:cs="Calibri"/>
                <w:b/>
                <w:bCs/>
                <w:color w:val="FFFFFF" w:themeColor="background1"/>
                <w:lang w:eastAsia="en-AU"/>
              </w:rPr>
              <w:t>e</w:t>
            </w:r>
            <w:r w:rsidRPr="005579A7">
              <w:rPr>
                <w:rFonts w:ascii="Calibri" w:eastAsia="Times New Roman" w:hAnsi="Calibri" w:cs="Calibri"/>
                <w:b/>
                <w:bCs/>
                <w:color w:val="FFFFFF" w:themeColor="background1"/>
                <w:lang w:eastAsia="en-AU"/>
              </w:rPr>
              <w:t xml:space="preserve">xclusive </w:t>
            </w:r>
            <w:r w:rsidR="00552DF2">
              <w:rPr>
                <w:rFonts w:ascii="Calibri" w:eastAsia="Times New Roman" w:hAnsi="Calibri" w:cs="Calibri"/>
                <w:b/>
                <w:bCs/>
                <w:color w:val="FFFFFF" w:themeColor="background1"/>
                <w:lang w:eastAsia="en-AU"/>
              </w:rPr>
              <w:t>a</w:t>
            </w:r>
            <w:r w:rsidRPr="005579A7">
              <w:rPr>
                <w:rFonts w:ascii="Calibri" w:eastAsia="Times New Roman" w:hAnsi="Calibri" w:cs="Calibri"/>
                <w:b/>
                <w:bCs/>
                <w:color w:val="FFFFFF" w:themeColor="background1"/>
                <w:lang w:eastAsia="en-AU"/>
              </w:rPr>
              <w:t>mount</w:t>
            </w:r>
          </w:p>
        </w:tc>
        <w:tc>
          <w:tcPr>
            <w:tcW w:w="1586" w:type="dxa"/>
            <w:tcBorders>
              <w:top w:val="nil"/>
              <w:left w:val="nil"/>
              <w:right w:val="nil"/>
            </w:tcBorders>
            <w:shd w:val="clear" w:color="auto" w:fill="002060"/>
            <w:hideMark/>
          </w:tcPr>
          <w:p w14:paraId="00DB5DCE" w14:textId="39A5BAD2" w:rsidR="00EF1EA7" w:rsidRPr="005579A7" w:rsidRDefault="00EF1EA7" w:rsidP="00EF1EA7">
            <w:pPr>
              <w:spacing w:after="0" w:line="240" w:lineRule="auto"/>
              <w:jc w:val="center"/>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Proportion of </w:t>
            </w:r>
            <w:r w:rsidR="00552DF2">
              <w:rPr>
                <w:rFonts w:ascii="Calibri" w:eastAsia="Times New Roman" w:hAnsi="Calibri" w:cs="Calibri"/>
                <w:b/>
                <w:bCs/>
                <w:color w:val="FFFFFF" w:themeColor="background1"/>
                <w:lang w:eastAsia="en-AU"/>
              </w:rPr>
              <w:t>a</w:t>
            </w:r>
            <w:r w:rsidRPr="005579A7">
              <w:rPr>
                <w:rFonts w:ascii="Calibri" w:eastAsia="Times New Roman" w:hAnsi="Calibri" w:cs="Calibri"/>
                <w:b/>
                <w:bCs/>
                <w:color w:val="FFFFFF" w:themeColor="background1"/>
                <w:lang w:eastAsia="en-AU"/>
              </w:rPr>
              <w:t>llocation</w:t>
            </w:r>
          </w:p>
        </w:tc>
      </w:tr>
      <w:tr w:rsidR="00EF1EA7" w:rsidRPr="00EF1EA7" w14:paraId="4DD2725D" w14:textId="77777777" w:rsidTr="0098120A">
        <w:trPr>
          <w:trHeight w:val="300"/>
        </w:trPr>
        <w:tc>
          <w:tcPr>
            <w:tcW w:w="4696" w:type="dxa"/>
            <w:tcBorders>
              <w:left w:val="nil"/>
              <w:bottom w:val="single" w:sz="8" w:space="0" w:color="auto"/>
              <w:right w:val="nil"/>
            </w:tcBorders>
            <w:shd w:val="clear" w:color="auto" w:fill="auto"/>
            <w:vAlign w:val="center"/>
            <w:hideMark/>
          </w:tcPr>
          <w:p w14:paraId="76B9E3FF" w14:textId="0D3012F6" w:rsidR="00EF1EA7" w:rsidRPr="00EF1EA7" w:rsidRDefault="00EF1EA7" w:rsidP="00EF1EA7">
            <w:pPr>
              <w:spacing w:after="0" w:line="240" w:lineRule="auto"/>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 xml:space="preserve">2022 </w:t>
            </w:r>
            <w:r w:rsidR="00552DF2">
              <w:rPr>
                <w:rFonts w:ascii="Calibri" w:eastAsia="Times New Roman" w:hAnsi="Calibri" w:cs="Calibri"/>
                <w:b/>
                <w:bCs/>
                <w:color w:val="000000"/>
                <w:lang w:eastAsia="en-AU"/>
              </w:rPr>
              <w:t>a</w:t>
            </w:r>
            <w:r w:rsidRPr="00EF1EA7">
              <w:rPr>
                <w:rFonts w:ascii="Calibri" w:eastAsia="Times New Roman" w:hAnsi="Calibri" w:cs="Calibri"/>
                <w:b/>
                <w:bCs/>
                <w:color w:val="000000"/>
                <w:lang w:eastAsia="en-AU"/>
              </w:rPr>
              <w:t>llocation</w:t>
            </w:r>
          </w:p>
        </w:tc>
        <w:tc>
          <w:tcPr>
            <w:tcW w:w="1727" w:type="dxa"/>
            <w:tcBorders>
              <w:left w:val="nil"/>
              <w:bottom w:val="single" w:sz="8" w:space="0" w:color="auto"/>
              <w:right w:val="nil"/>
            </w:tcBorders>
            <w:shd w:val="clear" w:color="auto" w:fill="auto"/>
            <w:vAlign w:val="center"/>
            <w:hideMark/>
          </w:tcPr>
          <w:p w14:paraId="546CAA8B" w14:textId="77777777" w:rsidR="00EF1EA7" w:rsidRPr="00EF1EA7" w:rsidRDefault="00EF1EA7" w:rsidP="00EF1EA7">
            <w:pPr>
              <w:spacing w:after="0" w:line="240" w:lineRule="auto"/>
              <w:jc w:val="right"/>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$109,272,694.00</w:t>
            </w:r>
          </w:p>
        </w:tc>
        <w:tc>
          <w:tcPr>
            <w:tcW w:w="1586" w:type="dxa"/>
            <w:tcBorders>
              <w:left w:val="nil"/>
              <w:bottom w:val="single" w:sz="8" w:space="0" w:color="auto"/>
              <w:right w:val="nil"/>
            </w:tcBorders>
            <w:shd w:val="clear" w:color="auto" w:fill="auto"/>
            <w:vAlign w:val="center"/>
            <w:hideMark/>
          </w:tcPr>
          <w:p w14:paraId="67D7688A" w14:textId="77777777" w:rsidR="00EF1EA7" w:rsidRPr="00EF1EA7" w:rsidRDefault="00EF1EA7" w:rsidP="00EF1EA7">
            <w:pPr>
              <w:spacing w:after="0" w:line="240" w:lineRule="auto"/>
              <w:jc w:val="center"/>
              <w:rPr>
                <w:rFonts w:ascii="Calibri" w:eastAsia="Times New Roman" w:hAnsi="Calibri" w:cs="Calibri"/>
                <w:color w:val="000000"/>
                <w:lang w:eastAsia="en-AU"/>
              </w:rPr>
            </w:pPr>
            <w:r w:rsidRPr="00EF1EA7">
              <w:rPr>
                <w:rFonts w:ascii="Calibri" w:eastAsia="Times New Roman" w:hAnsi="Calibri" w:cs="Calibri"/>
                <w:color w:val="000000"/>
                <w:lang w:eastAsia="en-AU"/>
              </w:rPr>
              <w:t> </w:t>
            </w:r>
          </w:p>
        </w:tc>
      </w:tr>
      <w:tr w:rsidR="00EF1EA7" w:rsidRPr="00EF1EA7" w14:paraId="7D36EE6C" w14:textId="77777777" w:rsidTr="0098120A">
        <w:trPr>
          <w:trHeight w:val="290"/>
        </w:trPr>
        <w:tc>
          <w:tcPr>
            <w:tcW w:w="4696" w:type="dxa"/>
            <w:tcBorders>
              <w:top w:val="nil"/>
              <w:left w:val="nil"/>
              <w:bottom w:val="nil"/>
              <w:right w:val="nil"/>
            </w:tcBorders>
            <w:shd w:val="clear" w:color="auto" w:fill="auto"/>
            <w:vAlign w:val="center"/>
            <w:hideMark/>
          </w:tcPr>
          <w:p w14:paraId="1D7A39C5" w14:textId="26B83A5B"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2022 </w:t>
            </w:r>
            <w:r w:rsidR="00552DF2">
              <w:rPr>
                <w:rFonts w:ascii="Calibri" w:eastAsia="Times New Roman" w:hAnsi="Calibri" w:cs="Calibri"/>
                <w:color w:val="000000"/>
                <w:lang w:eastAsia="en-AU"/>
              </w:rPr>
              <w:t>e</w:t>
            </w:r>
            <w:r w:rsidRPr="00EF1EA7">
              <w:rPr>
                <w:rFonts w:ascii="Calibri" w:eastAsia="Times New Roman" w:hAnsi="Calibri" w:cs="Calibri"/>
                <w:color w:val="000000"/>
                <w:lang w:eastAsia="en-AU"/>
              </w:rPr>
              <w:t>xpenditure</w:t>
            </w:r>
          </w:p>
        </w:tc>
        <w:tc>
          <w:tcPr>
            <w:tcW w:w="1727" w:type="dxa"/>
            <w:tcBorders>
              <w:top w:val="nil"/>
              <w:left w:val="nil"/>
              <w:bottom w:val="nil"/>
              <w:right w:val="nil"/>
            </w:tcBorders>
            <w:shd w:val="clear" w:color="auto" w:fill="auto"/>
            <w:vAlign w:val="center"/>
            <w:hideMark/>
          </w:tcPr>
          <w:p w14:paraId="75070830"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$79,123,240.59</w:t>
            </w:r>
          </w:p>
        </w:tc>
        <w:tc>
          <w:tcPr>
            <w:tcW w:w="1586" w:type="dxa"/>
            <w:tcBorders>
              <w:top w:val="nil"/>
              <w:left w:val="nil"/>
              <w:bottom w:val="nil"/>
              <w:right w:val="nil"/>
            </w:tcBorders>
            <w:shd w:val="clear" w:color="auto" w:fill="auto"/>
            <w:vAlign w:val="center"/>
            <w:hideMark/>
          </w:tcPr>
          <w:p w14:paraId="29D22089"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72.4%</w:t>
            </w:r>
          </w:p>
        </w:tc>
      </w:tr>
      <w:tr w:rsidR="00EF1EA7" w:rsidRPr="00EF1EA7" w14:paraId="5917D860" w14:textId="77777777" w:rsidTr="0098120A">
        <w:trPr>
          <w:trHeight w:val="300"/>
        </w:trPr>
        <w:tc>
          <w:tcPr>
            <w:tcW w:w="4696" w:type="dxa"/>
            <w:tcBorders>
              <w:top w:val="nil"/>
              <w:left w:val="nil"/>
              <w:bottom w:val="single" w:sz="8" w:space="0" w:color="auto"/>
              <w:right w:val="nil"/>
            </w:tcBorders>
            <w:shd w:val="clear" w:color="auto" w:fill="auto"/>
            <w:noWrap/>
            <w:vAlign w:val="center"/>
            <w:hideMark/>
          </w:tcPr>
          <w:p w14:paraId="3F65B074" w14:textId="52FAE60E"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2022 </w:t>
            </w:r>
            <w:r w:rsidR="00552DF2">
              <w:rPr>
                <w:rFonts w:ascii="Calibri" w:eastAsia="Times New Roman" w:hAnsi="Calibri" w:cs="Calibri"/>
                <w:color w:val="000000"/>
                <w:lang w:eastAsia="en-AU"/>
              </w:rPr>
              <w:t>d</w:t>
            </w:r>
            <w:r w:rsidRPr="00EF1EA7">
              <w:rPr>
                <w:rFonts w:ascii="Calibri" w:eastAsia="Times New Roman" w:hAnsi="Calibri" w:cs="Calibri"/>
                <w:color w:val="000000"/>
                <w:lang w:eastAsia="en-AU"/>
              </w:rPr>
              <w:t xml:space="preserve">eferred </w:t>
            </w:r>
            <w:r w:rsidR="00552DF2">
              <w:rPr>
                <w:rFonts w:ascii="Calibri" w:eastAsia="Times New Roman" w:hAnsi="Calibri" w:cs="Calibri"/>
                <w:color w:val="000000"/>
                <w:lang w:eastAsia="en-AU"/>
              </w:rPr>
              <w:t>a</w:t>
            </w:r>
            <w:r w:rsidRPr="00EF1EA7">
              <w:rPr>
                <w:rFonts w:ascii="Calibri" w:eastAsia="Times New Roman" w:hAnsi="Calibri" w:cs="Calibri"/>
                <w:color w:val="000000"/>
                <w:lang w:eastAsia="en-AU"/>
              </w:rPr>
              <w:t>llocation</w:t>
            </w:r>
          </w:p>
        </w:tc>
        <w:tc>
          <w:tcPr>
            <w:tcW w:w="1727" w:type="dxa"/>
            <w:tcBorders>
              <w:top w:val="nil"/>
              <w:left w:val="nil"/>
              <w:bottom w:val="single" w:sz="8" w:space="0" w:color="auto"/>
              <w:right w:val="nil"/>
            </w:tcBorders>
            <w:shd w:val="clear" w:color="auto" w:fill="auto"/>
            <w:vAlign w:val="center"/>
            <w:hideMark/>
          </w:tcPr>
          <w:p w14:paraId="3B2F1880"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$30,149,453.41</w:t>
            </w:r>
          </w:p>
        </w:tc>
        <w:tc>
          <w:tcPr>
            <w:tcW w:w="1586" w:type="dxa"/>
            <w:tcBorders>
              <w:top w:val="nil"/>
              <w:left w:val="nil"/>
              <w:bottom w:val="single" w:sz="8" w:space="0" w:color="auto"/>
              <w:right w:val="nil"/>
            </w:tcBorders>
            <w:shd w:val="clear" w:color="auto" w:fill="auto"/>
            <w:vAlign w:val="center"/>
            <w:hideMark/>
          </w:tcPr>
          <w:p w14:paraId="18CBAF7C"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27.6%</w:t>
            </w:r>
          </w:p>
        </w:tc>
      </w:tr>
      <w:tr w:rsidR="00EF1EA7" w:rsidRPr="00EF1EA7" w14:paraId="237E329A" w14:textId="77777777" w:rsidTr="0098120A">
        <w:trPr>
          <w:trHeight w:val="290"/>
        </w:trPr>
        <w:tc>
          <w:tcPr>
            <w:tcW w:w="4696" w:type="dxa"/>
            <w:tcBorders>
              <w:top w:val="nil"/>
              <w:left w:val="nil"/>
              <w:bottom w:val="nil"/>
              <w:right w:val="nil"/>
            </w:tcBorders>
            <w:shd w:val="clear" w:color="auto" w:fill="auto"/>
            <w:vAlign w:val="center"/>
            <w:hideMark/>
          </w:tcPr>
          <w:p w14:paraId="02D4BACA" w14:textId="0DC62CD2"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2022 </w:t>
            </w:r>
            <w:r w:rsidR="00552DF2">
              <w:rPr>
                <w:rFonts w:ascii="Calibri" w:eastAsia="Times New Roman" w:hAnsi="Calibri" w:cs="Calibri"/>
                <w:color w:val="000000"/>
                <w:lang w:eastAsia="en-AU"/>
              </w:rPr>
              <w:t>i</w:t>
            </w:r>
            <w:r w:rsidRPr="00EF1EA7">
              <w:rPr>
                <w:rFonts w:ascii="Calibri" w:eastAsia="Times New Roman" w:hAnsi="Calibri" w:cs="Calibri"/>
                <w:color w:val="000000"/>
                <w:lang w:eastAsia="en-AU"/>
              </w:rPr>
              <w:t xml:space="preserve">nterest </w:t>
            </w:r>
            <w:r w:rsidR="00552DF2">
              <w:rPr>
                <w:rFonts w:ascii="Calibri" w:eastAsia="Times New Roman" w:hAnsi="Calibri" w:cs="Calibri"/>
                <w:color w:val="000000"/>
                <w:lang w:eastAsia="en-AU"/>
              </w:rPr>
              <w:t>e</w:t>
            </w:r>
            <w:r w:rsidRPr="00EF1EA7">
              <w:rPr>
                <w:rFonts w:ascii="Calibri" w:eastAsia="Times New Roman" w:hAnsi="Calibri" w:cs="Calibri"/>
                <w:color w:val="000000"/>
                <w:lang w:eastAsia="en-AU"/>
              </w:rPr>
              <w:t>arned</w:t>
            </w:r>
          </w:p>
        </w:tc>
        <w:tc>
          <w:tcPr>
            <w:tcW w:w="1727" w:type="dxa"/>
            <w:tcBorders>
              <w:top w:val="nil"/>
              <w:left w:val="nil"/>
              <w:bottom w:val="nil"/>
              <w:right w:val="nil"/>
            </w:tcBorders>
            <w:shd w:val="clear" w:color="auto" w:fill="auto"/>
            <w:vAlign w:val="center"/>
            <w:hideMark/>
          </w:tcPr>
          <w:p w14:paraId="360E77AE"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$1,748,589.82</w:t>
            </w:r>
          </w:p>
        </w:tc>
        <w:tc>
          <w:tcPr>
            <w:tcW w:w="1586" w:type="dxa"/>
            <w:tcBorders>
              <w:top w:val="nil"/>
              <w:left w:val="nil"/>
              <w:bottom w:val="nil"/>
              <w:right w:val="nil"/>
            </w:tcBorders>
            <w:shd w:val="clear" w:color="auto" w:fill="auto"/>
            <w:vAlign w:val="center"/>
            <w:hideMark/>
          </w:tcPr>
          <w:p w14:paraId="64120CB4" w14:textId="77777777" w:rsidR="00EF1EA7" w:rsidRPr="00EF1EA7" w:rsidRDefault="00EF1EA7" w:rsidP="00EF1EA7">
            <w:pPr>
              <w:spacing w:after="0" w:line="240" w:lineRule="auto"/>
              <w:jc w:val="right"/>
              <w:rPr>
                <w:rFonts w:ascii="Calibri" w:eastAsia="Times New Roman" w:hAnsi="Calibri" w:cs="Calibri"/>
                <w:color w:val="000000"/>
                <w:lang w:eastAsia="en-AU"/>
              </w:rPr>
            </w:pPr>
          </w:p>
        </w:tc>
      </w:tr>
      <w:tr w:rsidR="00EF1EA7" w:rsidRPr="00EF1EA7" w14:paraId="167F7679" w14:textId="77777777" w:rsidTr="0098120A">
        <w:trPr>
          <w:trHeight w:val="300"/>
        </w:trPr>
        <w:tc>
          <w:tcPr>
            <w:tcW w:w="4696" w:type="dxa"/>
            <w:tcBorders>
              <w:top w:val="nil"/>
              <w:left w:val="nil"/>
              <w:bottom w:val="single" w:sz="8" w:space="0" w:color="auto"/>
              <w:right w:val="nil"/>
            </w:tcBorders>
            <w:shd w:val="clear" w:color="auto" w:fill="auto"/>
            <w:vAlign w:val="center"/>
            <w:hideMark/>
          </w:tcPr>
          <w:p w14:paraId="3B681649" w14:textId="34F5AF08"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2022 </w:t>
            </w:r>
            <w:r w:rsidR="00552DF2">
              <w:rPr>
                <w:rFonts w:ascii="Calibri" w:eastAsia="Times New Roman" w:hAnsi="Calibri" w:cs="Calibri"/>
                <w:color w:val="000000"/>
                <w:lang w:eastAsia="en-AU"/>
              </w:rPr>
              <w:t>i</w:t>
            </w:r>
            <w:r w:rsidRPr="00EF1EA7">
              <w:rPr>
                <w:rFonts w:ascii="Calibri" w:eastAsia="Times New Roman" w:hAnsi="Calibri" w:cs="Calibri"/>
                <w:color w:val="000000"/>
                <w:lang w:eastAsia="en-AU"/>
              </w:rPr>
              <w:t xml:space="preserve">ncome </w:t>
            </w:r>
            <w:r w:rsidR="00552DF2">
              <w:rPr>
                <w:rFonts w:ascii="Calibri" w:eastAsia="Times New Roman" w:hAnsi="Calibri" w:cs="Calibri"/>
                <w:color w:val="000000"/>
                <w:lang w:eastAsia="en-AU"/>
              </w:rPr>
              <w:t>d</w:t>
            </w:r>
            <w:r w:rsidRPr="00EF1EA7">
              <w:rPr>
                <w:rFonts w:ascii="Calibri" w:eastAsia="Times New Roman" w:hAnsi="Calibri" w:cs="Calibri"/>
                <w:color w:val="000000"/>
                <w:lang w:eastAsia="en-AU"/>
              </w:rPr>
              <w:t>eferred</w:t>
            </w:r>
          </w:p>
        </w:tc>
        <w:tc>
          <w:tcPr>
            <w:tcW w:w="1727" w:type="dxa"/>
            <w:tcBorders>
              <w:top w:val="nil"/>
              <w:left w:val="nil"/>
              <w:bottom w:val="single" w:sz="8" w:space="0" w:color="auto"/>
              <w:right w:val="nil"/>
            </w:tcBorders>
            <w:shd w:val="clear" w:color="auto" w:fill="auto"/>
            <w:vAlign w:val="center"/>
            <w:hideMark/>
          </w:tcPr>
          <w:p w14:paraId="232BCE48"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$31,898,043.23</w:t>
            </w:r>
          </w:p>
        </w:tc>
        <w:tc>
          <w:tcPr>
            <w:tcW w:w="1586" w:type="dxa"/>
            <w:tcBorders>
              <w:top w:val="nil"/>
              <w:left w:val="nil"/>
              <w:bottom w:val="single" w:sz="8" w:space="0" w:color="auto"/>
              <w:right w:val="nil"/>
            </w:tcBorders>
            <w:shd w:val="clear" w:color="auto" w:fill="auto"/>
            <w:vAlign w:val="center"/>
            <w:hideMark/>
          </w:tcPr>
          <w:p w14:paraId="629558E0" w14:textId="77777777" w:rsidR="00EF1EA7" w:rsidRPr="00EF1EA7" w:rsidRDefault="00EF1EA7" w:rsidP="00EF1EA7">
            <w:pPr>
              <w:spacing w:after="0" w:line="240" w:lineRule="auto"/>
              <w:jc w:val="center"/>
              <w:rPr>
                <w:rFonts w:ascii="Calibri" w:eastAsia="Times New Roman" w:hAnsi="Calibri" w:cs="Calibri"/>
                <w:color w:val="000000"/>
                <w:lang w:eastAsia="en-AU"/>
              </w:rPr>
            </w:pPr>
            <w:r w:rsidRPr="00EF1EA7">
              <w:rPr>
                <w:rFonts w:ascii="Calibri" w:eastAsia="Times New Roman" w:hAnsi="Calibri" w:cs="Calibri"/>
                <w:color w:val="000000"/>
                <w:lang w:eastAsia="en-AU"/>
              </w:rPr>
              <w:t> </w:t>
            </w:r>
          </w:p>
        </w:tc>
      </w:tr>
      <w:tr w:rsidR="00EF1EA7" w:rsidRPr="00EF1EA7" w14:paraId="3B454B8A" w14:textId="77777777" w:rsidTr="0098120A">
        <w:trPr>
          <w:trHeight w:val="290"/>
        </w:trPr>
        <w:tc>
          <w:tcPr>
            <w:tcW w:w="4696" w:type="dxa"/>
            <w:tcBorders>
              <w:top w:val="nil"/>
              <w:left w:val="nil"/>
              <w:right w:val="nil"/>
            </w:tcBorders>
            <w:shd w:val="clear" w:color="auto" w:fill="auto"/>
            <w:noWrap/>
            <w:vAlign w:val="center"/>
            <w:hideMark/>
          </w:tcPr>
          <w:p w14:paraId="387FB4B6" w14:textId="77777777" w:rsidR="00EF1EA7" w:rsidRPr="00EF1EA7" w:rsidRDefault="00EF1EA7" w:rsidP="00EF1EA7">
            <w:pPr>
              <w:spacing w:after="0" w:line="240" w:lineRule="auto"/>
              <w:jc w:val="center"/>
              <w:rPr>
                <w:rFonts w:ascii="Calibri" w:eastAsia="Times New Roman" w:hAnsi="Calibri" w:cs="Calibri"/>
                <w:color w:val="000000"/>
                <w:lang w:eastAsia="en-AU"/>
              </w:rPr>
            </w:pPr>
          </w:p>
        </w:tc>
        <w:tc>
          <w:tcPr>
            <w:tcW w:w="1727" w:type="dxa"/>
            <w:tcBorders>
              <w:top w:val="nil"/>
              <w:left w:val="nil"/>
              <w:right w:val="nil"/>
            </w:tcBorders>
            <w:shd w:val="clear" w:color="auto" w:fill="auto"/>
            <w:vAlign w:val="center"/>
            <w:hideMark/>
          </w:tcPr>
          <w:p w14:paraId="16448BFA" w14:textId="77777777" w:rsidR="00EF1EA7" w:rsidRPr="00EF1EA7" w:rsidRDefault="00EF1EA7" w:rsidP="00EF1EA7">
            <w:pPr>
              <w:spacing w:after="0" w:line="240" w:lineRule="auto"/>
              <w:rPr>
                <w:rFonts w:ascii="Times New Roman" w:eastAsia="Times New Roman" w:hAnsi="Times New Roman" w:cs="Times New Roman"/>
                <w:sz w:val="20"/>
                <w:szCs w:val="20"/>
                <w:lang w:eastAsia="en-AU"/>
              </w:rPr>
            </w:pPr>
          </w:p>
        </w:tc>
        <w:tc>
          <w:tcPr>
            <w:tcW w:w="1586" w:type="dxa"/>
            <w:tcBorders>
              <w:top w:val="nil"/>
              <w:left w:val="nil"/>
              <w:right w:val="nil"/>
            </w:tcBorders>
            <w:shd w:val="clear" w:color="auto" w:fill="auto"/>
            <w:vAlign w:val="center"/>
            <w:hideMark/>
          </w:tcPr>
          <w:p w14:paraId="5EBAB1D6" w14:textId="77777777" w:rsidR="00EF1EA7" w:rsidRPr="00EF1EA7" w:rsidRDefault="00EF1EA7" w:rsidP="00EF1EA7">
            <w:pPr>
              <w:spacing w:after="0" w:line="240" w:lineRule="auto"/>
              <w:rPr>
                <w:rFonts w:ascii="Times New Roman" w:eastAsia="Times New Roman" w:hAnsi="Times New Roman" w:cs="Times New Roman"/>
                <w:sz w:val="20"/>
                <w:szCs w:val="20"/>
                <w:lang w:eastAsia="en-AU"/>
              </w:rPr>
            </w:pPr>
          </w:p>
        </w:tc>
      </w:tr>
      <w:tr w:rsidR="00EF1EA7" w:rsidRPr="00EF1EA7" w14:paraId="3FB60B71" w14:textId="77777777" w:rsidTr="0098120A">
        <w:trPr>
          <w:trHeight w:val="590"/>
        </w:trPr>
        <w:tc>
          <w:tcPr>
            <w:tcW w:w="4696" w:type="dxa"/>
            <w:tcBorders>
              <w:top w:val="nil"/>
              <w:left w:val="nil"/>
              <w:right w:val="nil"/>
            </w:tcBorders>
            <w:shd w:val="clear" w:color="auto" w:fill="002060"/>
            <w:noWrap/>
            <w:hideMark/>
          </w:tcPr>
          <w:p w14:paraId="6C6FBD14" w14:textId="59BACB40" w:rsidR="00EF1EA7" w:rsidRPr="005579A7" w:rsidRDefault="00EF1EA7" w:rsidP="00EF1EA7">
            <w:pPr>
              <w:spacing w:after="0" w:line="240" w:lineRule="auto"/>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2022 </w:t>
            </w:r>
            <w:r w:rsidR="00552DF2">
              <w:rPr>
                <w:rFonts w:ascii="Calibri" w:eastAsia="Times New Roman" w:hAnsi="Calibri" w:cs="Calibri"/>
                <w:b/>
                <w:bCs/>
                <w:color w:val="FFFFFF" w:themeColor="background1"/>
                <w:lang w:eastAsia="en-AU"/>
              </w:rPr>
              <w:t>e</w:t>
            </w:r>
            <w:r w:rsidRPr="005579A7">
              <w:rPr>
                <w:rFonts w:ascii="Calibri" w:eastAsia="Times New Roman" w:hAnsi="Calibri" w:cs="Calibri"/>
                <w:b/>
                <w:bCs/>
                <w:color w:val="FFFFFF" w:themeColor="background1"/>
                <w:lang w:eastAsia="en-AU"/>
              </w:rPr>
              <w:t xml:space="preserve">xpenditure by </w:t>
            </w:r>
            <w:r w:rsidR="00552DF2">
              <w:rPr>
                <w:rFonts w:ascii="Calibri" w:eastAsia="Times New Roman" w:hAnsi="Calibri" w:cs="Calibri"/>
                <w:b/>
                <w:bCs/>
                <w:color w:val="FFFFFF" w:themeColor="background1"/>
                <w:lang w:eastAsia="en-AU"/>
              </w:rPr>
              <w:t>t</w:t>
            </w:r>
            <w:r w:rsidRPr="005579A7">
              <w:rPr>
                <w:rFonts w:ascii="Calibri" w:eastAsia="Times New Roman" w:hAnsi="Calibri" w:cs="Calibri"/>
                <w:b/>
                <w:bCs/>
                <w:color w:val="FFFFFF" w:themeColor="background1"/>
                <w:lang w:eastAsia="en-AU"/>
              </w:rPr>
              <w:t>ype</w:t>
            </w:r>
          </w:p>
        </w:tc>
        <w:tc>
          <w:tcPr>
            <w:tcW w:w="1727" w:type="dxa"/>
            <w:tcBorders>
              <w:top w:val="nil"/>
              <w:left w:val="nil"/>
              <w:right w:val="nil"/>
            </w:tcBorders>
            <w:shd w:val="clear" w:color="auto" w:fill="002060"/>
            <w:hideMark/>
          </w:tcPr>
          <w:p w14:paraId="15B5A134" w14:textId="571F7B93" w:rsidR="00EF1EA7" w:rsidRPr="005579A7" w:rsidRDefault="00EF1EA7" w:rsidP="00EF1EA7">
            <w:pPr>
              <w:spacing w:after="0" w:line="240" w:lineRule="auto"/>
              <w:jc w:val="center"/>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GST </w:t>
            </w:r>
            <w:r w:rsidR="00552DF2">
              <w:rPr>
                <w:rFonts w:ascii="Calibri" w:eastAsia="Times New Roman" w:hAnsi="Calibri" w:cs="Calibri"/>
                <w:b/>
                <w:bCs/>
                <w:color w:val="FFFFFF" w:themeColor="background1"/>
                <w:lang w:eastAsia="en-AU"/>
              </w:rPr>
              <w:t>e</w:t>
            </w:r>
            <w:r w:rsidRPr="005579A7">
              <w:rPr>
                <w:rFonts w:ascii="Calibri" w:eastAsia="Times New Roman" w:hAnsi="Calibri" w:cs="Calibri"/>
                <w:b/>
                <w:bCs/>
                <w:color w:val="FFFFFF" w:themeColor="background1"/>
                <w:lang w:eastAsia="en-AU"/>
              </w:rPr>
              <w:t xml:space="preserve">xclusive </w:t>
            </w:r>
            <w:r w:rsidR="00552DF2">
              <w:rPr>
                <w:rFonts w:ascii="Calibri" w:eastAsia="Times New Roman" w:hAnsi="Calibri" w:cs="Calibri"/>
                <w:b/>
                <w:bCs/>
                <w:color w:val="FFFFFF" w:themeColor="background1"/>
                <w:lang w:eastAsia="en-AU"/>
              </w:rPr>
              <w:t>a</w:t>
            </w:r>
            <w:r w:rsidRPr="005579A7">
              <w:rPr>
                <w:rFonts w:ascii="Calibri" w:eastAsia="Times New Roman" w:hAnsi="Calibri" w:cs="Calibri"/>
                <w:b/>
                <w:bCs/>
                <w:color w:val="FFFFFF" w:themeColor="background1"/>
                <w:lang w:eastAsia="en-AU"/>
              </w:rPr>
              <w:t>mount</w:t>
            </w:r>
          </w:p>
        </w:tc>
        <w:tc>
          <w:tcPr>
            <w:tcW w:w="1586" w:type="dxa"/>
            <w:tcBorders>
              <w:top w:val="nil"/>
              <w:left w:val="nil"/>
              <w:right w:val="nil"/>
            </w:tcBorders>
            <w:shd w:val="clear" w:color="auto" w:fill="002060"/>
            <w:hideMark/>
          </w:tcPr>
          <w:p w14:paraId="73F601F5" w14:textId="5EB5FE45" w:rsidR="00EF1EA7" w:rsidRPr="005579A7" w:rsidRDefault="00EF1EA7" w:rsidP="00EF1EA7">
            <w:pPr>
              <w:spacing w:after="0" w:line="240" w:lineRule="auto"/>
              <w:jc w:val="center"/>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Proportion of </w:t>
            </w:r>
            <w:r w:rsidR="00105156">
              <w:rPr>
                <w:rFonts w:ascii="Calibri" w:eastAsia="Times New Roman" w:hAnsi="Calibri" w:cs="Calibri"/>
                <w:b/>
                <w:bCs/>
                <w:color w:val="FFFFFF" w:themeColor="background1"/>
                <w:lang w:eastAsia="en-AU"/>
              </w:rPr>
              <w:t>expenditure</w:t>
            </w:r>
          </w:p>
        </w:tc>
      </w:tr>
      <w:tr w:rsidR="00EF1EA7" w:rsidRPr="00EF1EA7" w14:paraId="7E525346" w14:textId="77777777" w:rsidTr="0098120A">
        <w:trPr>
          <w:trHeight w:val="290"/>
        </w:trPr>
        <w:tc>
          <w:tcPr>
            <w:tcW w:w="4696" w:type="dxa"/>
            <w:tcBorders>
              <w:left w:val="nil"/>
              <w:bottom w:val="nil"/>
              <w:right w:val="nil"/>
            </w:tcBorders>
            <w:shd w:val="clear" w:color="auto" w:fill="auto"/>
            <w:vAlign w:val="center"/>
            <w:hideMark/>
          </w:tcPr>
          <w:p w14:paraId="45E1B635" w14:textId="77777777"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Distributed</w:t>
            </w:r>
          </w:p>
        </w:tc>
        <w:tc>
          <w:tcPr>
            <w:tcW w:w="1727" w:type="dxa"/>
            <w:tcBorders>
              <w:left w:val="nil"/>
              <w:bottom w:val="nil"/>
              <w:right w:val="nil"/>
            </w:tcBorders>
            <w:shd w:val="clear" w:color="auto" w:fill="auto"/>
            <w:vAlign w:val="center"/>
            <w:hideMark/>
          </w:tcPr>
          <w:p w14:paraId="7F17E604"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$67,236,688.00</w:t>
            </w:r>
          </w:p>
        </w:tc>
        <w:tc>
          <w:tcPr>
            <w:tcW w:w="1586" w:type="dxa"/>
            <w:tcBorders>
              <w:left w:val="nil"/>
              <w:bottom w:val="nil"/>
              <w:right w:val="nil"/>
            </w:tcBorders>
            <w:shd w:val="clear" w:color="auto" w:fill="auto"/>
            <w:vAlign w:val="center"/>
            <w:hideMark/>
          </w:tcPr>
          <w:p w14:paraId="52E034B1"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85.0%</w:t>
            </w:r>
          </w:p>
        </w:tc>
      </w:tr>
      <w:tr w:rsidR="00EF1EA7" w:rsidRPr="00EF1EA7" w14:paraId="0C525CA1" w14:textId="77777777" w:rsidTr="0098120A">
        <w:trPr>
          <w:trHeight w:val="290"/>
        </w:trPr>
        <w:tc>
          <w:tcPr>
            <w:tcW w:w="4696" w:type="dxa"/>
            <w:tcBorders>
              <w:top w:val="nil"/>
              <w:left w:val="nil"/>
              <w:bottom w:val="nil"/>
              <w:right w:val="nil"/>
            </w:tcBorders>
            <w:shd w:val="clear" w:color="auto" w:fill="auto"/>
            <w:vAlign w:val="center"/>
            <w:hideMark/>
          </w:tcPr>
          <w:p w14:paraId="375190A1" w14:textId="77777777"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Centralised</w:t>
            </w:r>
          </w:p>
        </w:tc>
        <w:tc>
          <w:tcPr>
            <w:tcW w:w="1727" w:type="dxa"/>
            <w:tcBorders>
              <w:top w:val="nil"/>
              <w:left w:val="nil"/>
              <w:bottom w:val="nil"/>
              <w:right w:val="nil"/>
            </w:tcBorders>
            <w:shd w:val="clear" w:color="auto" w:fill="auto"/>
            <w:vAlign w:val="center"/>
            <w:hideMark/>
          </w:tcPr>
          <w:p w14:paraId="4F262F0E"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$11,071,102.80</w:t>
            </w:r>
          </w:p>
        </w:tc>
        <w:tc>
          <w:tcPr>
            <w:tcW w:w="1586" w:type="dxa"/>
            <w:tcBorders>
              <w:top w:val="nil"/>
              <w:left w:val="nil"/>
              <w:bottom w:val="nil"/>
              <w:right w:val="nil"/>
            </w:tcBorders>
            <w:shd w:val="clear" w:color="auto" w:fill="auto"/>
            <w:noWrap/>
            <w:vAlign w:val="bottom"/>
            <w:hideMark/>
          </w:tcPr>
          <w:p w14:paraId="06E7F944"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14.0%</w:t>
            </w:r>
          </w:p>
        </w:tc>
      </w:tr>
      <w:tr w:rsidR="00EF1EA7" w:rsidRPr="00EF1EA7" w14:paraId="0F17523B" w14:textId="77777777" w:rsidTr="0098120A">
        <w:trPr>
          <w:trHeight w:val="300"/>
        </w:trPr>
        <w:tc>
          <w:tcPr>
            <w:tcW w:w="4696" w:type="dxa"/>
            <w:tcBorders>
              <w:top w:val="nil"/>
              <w:left w:val="nil"/>
              <w:bottom w:val="single" w:sz="8" w:space="0" w:color="auto"/>
              <w:right w:val="nil"/>
            </w:tcBorders>
            <w:shd w:val="clear" w:color="auto" w:fill="auto"/>
            <w:noWrap/>
            <w:vAlign w:val="center"/>
            <w:hideMark/>
          </w:tcPr>
          <w:p w14:paraId="4EB8456F" w14:textId="77777777" w:rsidR="00EF1EA7" w:rsidRPr="00EF1EA7" w:rsidRDefault="00EF1EA7" w:rsidP="00EF1EA7">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Administrative </w:t>
            </w:r>
          </w:p>
        </w:tc>
        <w:tc>
          <w:tcPr>
            <w:tcW w:w="1727" w:type="dxa"/>
            <w:tcBorders>
              <w:top w:val="nil"/>
              <w:left w:val="nil"/>
              <w:bottom w:val="single" w:sz="8" w:space="0" w:color="auto"/>
              <w:right w:val="nil"/>
            </w:tcBorders>
            <w:shd w:val="clear" w:color="auto" w:fill="auto"/>
            <w:vAlign w:val="center"/>
            <w:hideMark/>
          </w:tcPr>
          <w:p w14:paraId="0E4C8EF7"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$815,449.79</w:t>
            </w:r>
          </w:p>
        </w:tc>
        <w:tc>
          <w:tcPr>
            <w:tcW w:w="1586" w:type="dxa"/>
            <w:tcBorders>
              <w:top w:val="nil"/>
              <w:left w:val="nil"/>
              <w:bottom w:val="single" w:sz="8" w:space="0" w:color="auto"/>
              <w:right w:val="nil"/>
            </w:tcBorders>
            <w:shd w:val="clear" w:color="auto" w:fill="auto"/>
            <w:vAlign w:val="center"/>
            <w:hideMark/>
          </w:tcPr>
          <w:p w14:paraId="2A1552D4" w14:textId="77777777" w:rsidR="00EF1EA7" w:rsidRPr="00EF1EA7" w:rsidRDefault="00EF1EA7" w:rsidP="00EF1EA7">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1.0%</w:t>
            </w:r>
          </w:p>
        </w:tc>
      </w:tr>
      <w:tr w:rsidR="00EF1EA7" w:rsidRPr="00EF1EA7" w14:paraId="1CC2F50E" w14:textId="77777777" w:rsidTr="0098120A">
        <w:trPr>
          <w:trHeight w:val="300"/>
        </w:trPr>
        <w:tc>
          <w:tcPr>
            <w:tcW w:w="4696" w:type="dxa"/>
            <w:tcBorders>
              <w:top w:val="nil"/>
              <w:left w:val="nil"/>
              <w:bottom w:val="single" w:sz="8" w:space="0" w:color="auto"/>
              <w:right w:val="nil"/>
            </w:tcBorders>
            <w:shd w:val="clear" w:color="auto" w:fill="auto"/>
            <w:noWrap/>
            <w:vAlign w:val="center"/>
            <w:hideMark/>
          </w:tcPr>
          <w:p w14:paraId="0CBA524A" w14:textId="253D53AD" w:rsidR="00EF1EA7" w:rsidRPr="00EF1EA7" w:rsidRDefault="00EF1EA7" w:rsidP="00EF1EA7">
            <w:pPr>
              <w:spacing w:after="0" w:line="240" w:lineRule="auto"/>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 xml:space="preserve">2022 </w:t>
            </w:r>
            <w:r w:rsidR="00552DF2">
              <w:rPr>
                <w:rFonts w:ascii="Calibri" w:eastAsia="Times New Roman" w:hAnsi="Calibri" w:cs="Calibri"/>
                <w:b/>
                <w:bCs/>
                <w:color w:val="000000"/>
                <w:lang w:eastAsia="en-AU"/>
              </w:rPr>
              <w:t>e</w:t>
            </w:r>
            <w:r w:rsidRPr="00EF1EA7">
              <w:rPr>
                <w:rFonts w:ascii="Calibri" w:eastAsia="Times New Roman" w:hAnsi="Calibri" w:cs="Calibri"/>
                <w:b/>
                <w:bCs/>
                <w:color w:val="000000"/>
                <w:lang w:eastAsia="en-AU"/>
              </w:rPr>
              <w:t>xpenditure</w:t>
            </w:r>
          </w:p>
        </w:tc>
        <w:tc>
          <w:tcPr>
            <w:tcW w:w="1727" w:type="dxa"/>
            <w:tcBorders>
              <w:top w:val="nil"/>
              <w:left w:val="nil"/>
              <w:bottom w:val="single" w:sz="8" w:space="0" w:color="auto"/>
              <w:right w:val="nil"/>
            </w:tcBorders>
            <w:shd w:val="clear" w:color="auto" w:fill="auto"/>
            <w:vAlign w:val="center"/>
            <w:hideMark/>
          </w:tcPr>
          <w:p w14:paraId="62F3A4D7" w14:textId="77777777" w:rsidR="00EF1EA7" w:rsidRPr="00EF1EA7" w:rsidRDefault="00EF1EA7" w:rsidP="00EF1EA7">
            <w:pPr>
              <w:spacing w:after="0" w:line="240" w:lineRule="auto"/>
              <w:jc w:val="right"/>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$79,123,240.59</w:t>
            </w:r>
          </w:p>
        </w:tc>
        <w:tc>
          <w:tcPr>
            <w:tcW w:w="1586" w:type="dxa"/>
            <w:tcBorders>
              <w:top w:val="nil"/>
              <w:left w:val="nil"/>
              <w:bottom w:val="single" w:sz="8" w:space="0" w:color="auto"/>
              <w:right w:val="nil"/>
            </w:tcBorders>
            <w:shd w:val="clear" w:color="auto" w:fill="auto"/>
            <w:vAlign w:val="center"/>
            <w:hideMark/>
          </w:tcPr>
          <w:p w14:paraId="3807C2A5" w14:textId="77777777" w:rsidR="00EF1EA7" w:rsidRPr="00EF1EA7" w:rsidRDefault="00EF1EA7" w:rsidP="00EF1EA7">
            <w:pPr>
              <w:spacing w:after="0" w:line="240" w:lineRule="auto"/>
              <w:jc w:val="center"/>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 </w:t>
            </w:r>
          </w:p>
        </w:tc>
      </w:tr>
      <w:tr w:rsidR="00EF1EA7" w:rsidRPr="00EF1EA7" w14:paraId="67CB4727" w14:textId="77777777" w:rsidTr="003A77BE">
        <w:trPr>
          <w:trHeight w:val="290"/>
        </w:trPr>
        <w:tc>
          <w:tcPr>
            <w:tcW w:w="4696" w:type="dxa"/>
            <w:tcBorders>
              <w:top w:val="nil"/>
              <w:left w:val="nil"/>
              <w:right w:val="nil"/>
            </w:tcBorders>
            <w:shd w:val="clear" w:color="auto" w:fill="auto"/>
            <w:vAlign w:val="center"/>
            <w:hideMark/>
          </w:tcPr>
          <w:p w14:paraId="7E3FEE01" w14:textId="77777777" w:rsidR="00EF1EA7" w:rsidRPr="00EF1EA7" w:rsidRDefault="00EF1EA7" w:rsidP="00EF1EA7">
            <w:pPr>
              <w:spacing w:after="0" w:line="240" w:lineRule="auto"/>
              <w:jc w:val="center"/>
              <w:rPr>
                <w:rFonts w:ascii="Calibri" w:eastAsia="Times New Roman" w:hAnsi="Calibri" w:cs="Calibri"/>
                <w:b/>
                <w:bCs/>
                <w:color w:val="000000"/>
                <w:lang w:eastAsia="en-AU"/>
              </w:rPr>
            </w:pPr>
          </w:p>
        </w:tc>
        <w:tc>
          <w:tcPr>
            <w:tcW w:w="1727" w:type="dxa"/>
            <w:tcBorders>
              <w:top w:val="nil"/>
              <w:left w:val="nil"/>
              <w:right w:val="nil"/>
            </w:tcBorders>
            <w:shd w:val="clear" w:color="auto" w:fill="auto"/>
            <w:vAlign w:val="center"/>
            <w:hideMark/>
          </w:tcPr>
          <w:p w14:paraId="759A86FC" w14:textId="77777777" w:rsidR="00EF1EA7" w:rsidRPr="00EF1EA7" w:rsidRDefault="00EF1EA7" w:rsidP="00EF1EA7">
            <w:pPr>
              <w:spacing w:after="0" w:line="240" w:lineRule="auto"/>
              <w:rPr>
                <w:rFonts w:ascii="Times New Roman" w:eastAsia="Times New Roman" w:hAnsi="Times New Roman" w:cs="Times New Roman"/>
                <w:sz w:val="20"/>
                <w:szCs w:val="20"/>
                <w:lang w:eastAsia="en-AU"/>
              </w:rPr>
            </w:pPr>
          </w:p>
        </w:tc>
        <w:tc>
          <w:tcPr>
            <w:tcW w:w="1586" w:type="dxa"/>
            <w:tcBorders>
              <w:top w:val="nil"/>
              <w:left w:val="nil"/>
              <w:right w:val="nil"/>
            </w:tcBorders>
            <w:shd w:val="clear" w:color="auto" w:fill="auto"/>
            <w:noWrap/>
            <w:vAlign w:val="bottom"/>
            <w:hideMark/>
          </w:tcPr>
          <w:p w14:paraId="44395DAB" w14:textId="77777777" w:rsidR="00EF1EA7" w:rsidRPr="00EF1EA7" w:rsidRDefault="00EF1EA7" w:rsidP="00EF1EA7">
            <w:pPr>
              <w:spacing w:after="0" w:line="240" w:lineRule="auto"/>
              <w:rPr>
                <w:rFonts w:ascii="Times New Roman" w:eastAsia="Times New Roman" w:hAnsi="Times New Roman" w:cs="Times New Roman"/>
                <w:sz w:val="20"/>
                <w:szCs w:val="20"/>
                <w:lang w:eastAsia="en-AU"/>
              </w:rPr>
            </w:pPr>
          </w:p>
        </w:tc>
      </w:tr>
      <w:tr w:rsidR="00EF1EA7" w:rsidRPr="00EF1EA7" w14:paraId="0228F013" w14:textId="77777777" w:rsidTr="0098120A">
        <w:trPr>
          <w:trHeight w:val="590"/>
        </w:trPr>
        <w:tc>
          <w:tcPr>
            <w:tcW w:w="4696" w:type="dxa"/>
            <w:tcBorders>
              <w:top w:val="nil"/>
              <w:left w:val="nil"/>
              <w:right w:val="nil"/>
            </w:tcBorders>
            <w:shd w:val="clear" w:color="auto" w:fill="002060"/>
            <w:noWrap/>
            <w:hideMark/>
          </w:tcPr>
          <w:p w14:paraId="7C75A1CB" w14:textId="57557152" w:rsidR="00EF1EA7" w:rsidRPr="005579A7" w:rsidRDefault="00EF1EA7" w:rsidP="00EF1EA7">
            <w:pPr>
              <w:spacing w:after="0" w:line="240" w:lineRule="auto"/>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2022 </w:t>
            </w:r>
            <w:r w:rsidR="00552DF2">
              <w:rPr>
                <w:rFonts w:ascii="Calibri" w:eastAsia="Times New Roman" w:hAnsi="Calibri" w:cs="Calibri"/>
                <w:b/>
                <w:bCs/>
                <w:color w:val="FFFFFF" w:themeColor="background1"/>
                <w:lang w:eastAsia="en-AU"/>
              </w:rPr>
              <w:t>e</w:t>
            </w:r>
            <w:r w:rsidRPr="005579A7">
              <w:rPr>
                <w:rFonts w:ascii="Calibri" w:eastAsia="Times New Roman" w:hAnsi="Calibri" w:cs="Calibri"/>
                <w:b/>
                <w:bCs/>
                <w:color w:val="FFFFFF" w:themeColor="background1"/>
                <w:lang w:eastAsia="en-AU"/>
              </w:rPr>
              <w:t xml:space="preserve">xpenditure by CAF </w:t>
            </w:r>
            <w:r w:rsidR="00552DF2">
              <w:rPr>
                <w:rFonts w:ascii="Calibri" w:eastAsia="Times New Roman" w:hAnsi="Calibri" w:cs="Calibri"/>
                <w:b/>
                <w:bCs/>
                <w:color w:val="FFFFFF" w:themeColor="background1"/>
                <w:lang w:eastAsia="en-AU"/>
              </w:rPr>
              <w:t>p</w:t>
            </w:r>
            <w:r w:rsidRPr="005579A7">
              <w:rPr>
                <w:rFonts w:ascii="Calibri" w:eastAsia="Times New Roman" w:hAnsi="Calibri" w:cs="Calibri"/>
                <w:b/>
                <w:bCs/>
                <w:color w:val="FFFFFF" w:themeColor="background1"/>
                <w:lang w:eastAsia="en-AU"/>
              </w:rPr>
              <w:t>riority</w:t>
            </w:r>
          </w:p>
        </w:tc>
        <w:tc>
          <w:tcPr>
            <w:tcW w:w="1727" w:type="dxa"/>
            <w:tcBorders>
              <w:top w:val="nil"/>
              <w:left w:val="nil"/>
              <w:right w:val="nil"/>
            </w:tcBorders>
            <w:shd w:val="clear" w:color="auto" w:fill="002060"/>
            <w:hideMark/>
          </w:tcPr>
          <w:p w14:paraId="47CCE7E6" w14:textId="7056C0CE" w:rsidR="00EF1EA7" w:rsidRPr="005579A7" w:rsidRDefault="00EF1EA7" w:rsidP="00EF1EA7">
            <w:pPr>
              <w:spacing w:after="0" w:line="240" w:lineRule="auto"/>
              <w:jc w:val="center"/>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GST </w:t>
            </w:r>
            <w:r w:rsidR="00552DF2">
              <w:rPr>
                <w:rFonts w:ascii="Calibri" w:eastAsia="Times New Roman" w:hAnsi="Calibri" w:cs="Calibri"/>
                <w:b/>
                <w:bCs/>
                <w:color w:val="FFFFFF" w:themeColor="background1"/>
                <w:lang w:eastAsia="en-AU"/>
              </w:rPr>
              <w:t>e</w:t>
            </w:r>
            <w:r w:rsidRPr="005579A7">
              <w:rPr>
                <w:rFonts w:ascii="Calibri" w:eastAsia="Times New Roman" w:hAnsi="Calibri" w:cs="Calibri"/>
                <w:b/>
                <w:bCs/>
                <w:color w:val="FFFFFF" w:themeColor="background1"/>
                <w:lang w:eastAsia="en-AU"/>
              </w:rPr>
              <w:t xml:space="preserve">xclusive </w:t>
            </w:r>
            <w:r w:rsidR="00552DF2">
              <w:rPr>
                <w:rFonts w:ascii="Calibri" w:eastAsia="Times New Roman" w:hAnsi="Calibri" w:cs="Calibri"/>
                <w:b/>
                <w:bCs/>
                <w:color w:val="FFFFFF" w:themeColor="background1"/>
                <w:lang w:eastAsia="en-AU"/>
              </w:rPr>
              <w:t>a</w:t>
            </w:r>
            <w:r w:rsidRPr="005579A7">
              <w:rPr>
                <w:rFonts w:ascii="Calibri" w:eastAsia="Times New Roman" w:hAnsi="Calibri" w:cs="Calibri"/>
                <w:b/>
                <w:bCs/>
                <w:color w:val="FFFFFF" w:themeColor="background1"/>
                <w:lang w:eastAsia="en-AU"/>
              </w:rPr>
              <w:t>mount</w:t>
            </w:r>
          </w:p>
        </w:tc>
        <w:tc>
          <w:tcPr>
            <w:tcW w:w="1586" w:type="dxa"/>
            <w:tcBorders>
              <w:top w:val="nil"/>
              <w:left w:val="nil"/>
              <w:right w:val="nil"/>
            </w:tcBorders>
            <w:shd w:val="clear" w:color="auto" w:fill="002060"/>
            <w:hideMark/>
          </w:tcPr>
          <w:p w14:paraId="1AE945D6" w14:textId="136B45E7" w:rsidR="00EF1EA7" w:rsidRPr="005579A7" w:rsidRDefault="00EF1EA7" w:rsidP="00EF1EA7">
            <w:pPr>
              <w:spacing w:after="0" w:line="240" w:lineRule="auto"/>
              <w:jc w:val="center"/>
              <w:rPr>
                <w:rFonts w:ascii="Calibri" w:eastAsia="Times New Roman" w:hAnsi="Calibri" w:cs="Calibri"/>
                <w:b/>
                <w:bCs/>
                <w:color w:val="FFFFFF" w:themeColor="background1"/>
                <w:lang w:eastAsia="en-AU"/>
              </w:rPr>
            </w:pPr>
            <w:r w:rsidRPr="005579A7">
              <w:rPr>
                <w:rFonts w:ascii="Calibri" w:eastAsia="Times New Roman" w:hAnsi="Calibri" w:cs="Calibri"/>
                <w:b/>
                <w:bCs/>
                <w:color w:val="FFFFFF" w:themeColor="background1"/>
                <w:lang w:eastAsia="en-AU"/>
              </w:rPr>
              <w:t xml:space="preserve">Proportion of </w:t>
            </w:r>
            <w:r w:rsidR="00105156">
              <w:rPr>
                <w:rFonts w:ascii="Calibri" w:eastAsia="Times New Roman" w:hAnsi="Calibri" w:cs="Calibri"/>
                <w:b/>
                <w:bCs/>
                <w:color w:val="FFFFFF" w:themeColor="background1"/>
                <w:lang w:eastAsia="en-AU"/>
              </w:rPr>
              <w:t>expenditure</w:t>
            </w:r>
          </w:p>
        </w:tc>
      </w:tr>
      <w:tr w:rsidR="00483F69" w:rsidRPr="00EF1EA7" w14:paraId="671350E3" w14:textId="77777777" w:rsidTr="003A77BE">
        <w:trPr>
          <w:trHeight w:val="290"/>
        </w:trPr>
        <w:tc>
          <w:tcPr>
            <w:tcW w:w="4696" w:type="dxa"/>
            <w:tcBorders>
              <w:left w:val="nil"/>
              <w:bottom w:val="nil"/>
              <w:right w:val="nil"/>
            </w:tcBorders>
            <w:shd w:val="clear" w:color="auto" w:fill="auto"/>
            <w:vAlign w:val="center"/>
            <w:hideMark/>
          </w:tcPr>
          <w:p w14:paraId="778EA765" w14:textId="7C7C59CF"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A - Choice and </w:t>
            </w:r>
            <w:r>
              <w:rPr>
                <w:rFonts w:ascii="Calibri" w:eastAsia="Times New Roman" w:hAnsi="Calibri" w:cs="Calibri"/>
                <w:color w:val="000000"/>
                <w:lang w:eastAsia="en-AU"/>
              </w:rPr>
              <w:t>a</w:t>
            </w:r>
            <w:r w:rsidRPr="00EF1EA7">
              <w:rPr>
                <w:rFonts w:ascii="Calibri" w:eastAsia="Times New Roman" w:hAnsi="Calibri" w:cs="Calibri"/>
                <w:color w:val="000000"/>
                <w:lang w:eastAsia="en-AU"/>
              </w:rPr>
              <w:t>ffordability</w:t>
            </w:r>
          </w:p>
        </w:tc>
        <w:tc>
          <w:tcPr>
            <w:tcW w:w="1727" w:type="dxa"/>
            <w:tcBorders>
              <w:left w:val="nil"/>
              <w:bottom w:val="nil"/>
              <w:right w:val="nil"/>
            </w:tcBorders>
            <w:shd w:val="clear" w:color="auto" w:fill="auto"/>
            <w:vAlign w:val="center"/>
            <w:hideMark/>
          </w:tcPr>
          <w:p w14:paraId="36B8CB20" w14:textId="6428645E"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$29,094,126.00</w:t>
            </w:r>
          </w:p>
        </w:tc>
        <w:tc>
          <w:tcPr>
            <w:tcW w:w="1586" w:type="dxa"/>
            <w:tcBorders>
              <w:left w:val="nil"/>
              <w:bottom w:val="nil"/>
              <w:right w:val="nil"/>
            </w:tcBorders>
            <w:shd w:val="clear" w:color="auto" w:fill="auto"/>
            <w:vAlign w:val="center"/>
            <w:hideMark/>
          </w:tcPr>
          <w:p w14:paraId="6A5557B9" w14:textId="77777777"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36.8%</w:t>
            </w:r>
          </w:p>
        </w:tc>
      </w:tr>
      <w:tr w:rsidR="00483F69" w:rsidRPr="00EF1EA7" w14:paraId="7030ACD1" w14:textId="77777777" w:rsidTr="0098120A">
        <w:trPr>
          <w:trHeight w:val="290"/>
        </w:trPr>
        <w:tc>
          <w:tcPr>
            <w:tcW w:w="4696" w:type="dxa"/>
            <w:tcBorders>
              <w:top w:val="nil"/>
              <w:left w:val="nil"/>
              <w:bottom w:val="nil"/>
              <w:right w:val="nil"/>
            </w:tcBorders>
            <w:shd w:val="clear" w:color="auto" w:fill="auto"/>
            <w:vAlign w:val="center"/>
            <w:hideMark/>
          </w:tcPr>
          <w:p w14:paraId="6B12F7E4" w14:textId="77777777"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B – Transition assistance (regional) </w:t>
            </w:r>
          </w:p>
        </w:tc>
        <w:tc>
          <w:tcPr>
            <w:tcW w:w="1727" w:type="dxa"/>
            <w:tcBorders>
              <w:top w:val="nil"/>
              <w:left w:val="nil"/>
              <w:bottom w:val="nil"/>
              <w:right w:val="nil"/>
            </w:tcBorders>
            <w:shd w:val="clear" w:color="auto" w:fill="auto"/>
            <w:vAlign w:val="center"/>
            <w:hideMark/>
          </w:tcPr>
          <w:p w14:paraId="51BCE774" w14:textId="1DD32729"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$17,541,061.00</w:t>
            </w:r>
          </w:p>
        </w:tc>
        <w:tc>
          <w:tcPr>
            <w:tcW w:w="1586" w:type="dxa"/>
            <w:tcBorders>
              <w:top w:val="nil"/>
              <w:left w:val="nil"/>
              <w:bottom w:val="nil"/>
              <w:right w:val="nil"/>
            </w:tcBorders>
            <w:shd w:val="clear" w:color="auto" w:fill="auto"/>
            <w:noWrap/>
            <w:vAlign w:val="bottom"/>
            <w:hideMark/>
          </w:tcPr>
          <w:p w14:paraId="57083045" w14:textId="79FE3CA8"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22.</w:t>
            </w:r>
            <w:r w:rsidR="00FC0F96">
              <w:rPr>
                <w:rFonts w:ascii="Calibri" w:eastAsia="Times New Roman" w:hAnsi="Calibri" w:cs="Calibri"/>
                <w:color w:val="000000"/>
                <w:lang w:eastAsia="en-AU"/>
              </w:rPr>
              <w:t>2</w:t>
            </w:r>
            <w:r w:rsidRPr="00EF1EA7">
              <w:rPr>
                <w:rFonts w:ascii="Calibri" w:eastAsia="Times New Roman" w:hAnsi="Calibri" w:cs="Calibri"/>
                <w:color w:val="000000"/>
                <w:lang w:eastAsia="en-AU"/>
              </w:rPr>
              <w:t>%</w:t>
            </w:r>
          </w:p>
        </w:tc>
      </w:tr>
      <w:tr w:rsidR="00483F69" w:rsidRPr="00EF1EA7" w14:paraId="25F131AB" w14:textId="77777777" w:rsidTr="0098120A">
        <w:trPr>
          <w:trHeight w:val="290"/>
        </w:trPr>
        <w:tc>
          <w:tcPr>
            <w:tcW w:w="4696" w:type="dxa"/>
            <w:tcBorders>
              <w:top w:val="nil"/>
              <w:left w:val="nil"/>
              <w:bottom w:val="nil"/>
              <w:right w:val="nil"/>
            </w:tcBorders>
            <w:shd w:val="clear" w:color="auto" w:fill="auto"/>
            <w:vAlign w:val="center"/>
            <w:hideMark/>
          </w:tcPr>
          <w:p w14:paraId="1662C165" w14:textId="77777777"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B – Transition assistance (NAAF) </w:t>
            </w:r>
          </w:p>
        </w:tc>
        <w:tc>
          <w:tcPr>
            <w:tcW w:w="1727" w:type="dxa"/>
            <w:tcBorders>
              <w:top w:val="nil"/>
              <w:left w:val="nil"/>
              <w:bottom w:val="nil"/>
              <w:right w:val="nil"/>
            </w:tcBorders>
            <w:shd w:val="clear" w:color="auto" w:fill="auto"/>
            <w:vAlign w:val="center"/>
            <w:hideMark/>
          </w:tcPr>
          <w:p w14:paraId="65A1EFB8" w14:textId="451CBF3A"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$4,706,390.00</w:t>
            </w:r>
          </w:p>
        </w:tc>
        <w:tc>
          <w:tcPr>
            <w:tcW w:w="1586" w:type="dxa"/>
            <w:tcBorders>
              <w:top w:val="nil"/>
              <w:left w:val="nil"/>
              <w:bottom w:val="nil"/>
              <w:right w:val="nil"/>
            </w:tcBorders>
            <w:shd w:val="clear" w:color="auto" w:fill="auto"/>
            <w:noWrap/>
            <w:vAlign w:val="bottom"/>
            <w:hideMark/>
          </w:tcPr>
          <w:p w14:paraId="1076503F" w14:textId="77777777"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5.9%</w:t>
            </w:r>
          </w:p>
        </w:tc>
      </w:tr>
      <w:tr w:rsidR="00483F69" w:rsidRPr="00EF1EA7" w14:paraId="29D33057" w14:textId="77777777" w:rsidTr="0098120A">
        <w:trPr>
          <w:trHeight w:val="290"/>
        </w:trPr>
        <w:tc>
          <w:tcPr>
            <w:tcW w:w="4696" w:type="dxa"/>
            <w:tcBorders>
              <w:top w:val="nil"/>
              <w:left w:val="nil"/>
              <w:bottom w:val="nil"/>
              <w:right w:val="nil"/>
            </w:tcBorders>
            <w:shd w:val="clear" w:color="auto" w:fill="auto"/>
            <w:vAlign w:val="center"/>
            <w:hideMark/>
          </w:tcPr>
          <w:p w14:paraId="310B2A1D" w14:textId="77777777"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B – Transition assistance (other) </w:t>
            </w:r>
          </w:p>
        </w:tc>
        <w:tc>
          <w:tcPr>
            <w:tcW w:w="1727" w:type="dxa"/>
            <w:tcBorders>
              <w:top w:val="nil"/>
              <w:left w:val="nil"/>
              <w:bottom w:val="nil"/>
              <w:right w:val="nil"/>
            </w:tcBorders>
            <w:shd w:val="clear" w:color="auto" w:fill="auto"/>
            <w:vAlign w:val="center"/>
            <w:hideMark/>
          </w:tcPr>
          <w:p w14:paraId="145B6ED5" w14:textId="78C7FB5C"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$11,596,583.00</w:t>
            </w:r>
          </w:p>
        </w:tc>
        <w:tc>
          <w:tcPr>
            <w:tcW w:w="1586" w:type="dxa"/>
            <w:tcBorders>
              <w:top w:val="nil"/>
              <w:left w:val="nil"/>
              <w:bottom w:val="nil"/>
              <w:right w:val="nil"/>
            </w:tcBorders>
            <w:shd w:val="clear" w:color="auto" w:fill="auto"/>
            <w:noWrap/>
            <w:vAlign w:val="bottom"/>
            <w:hideMark/>
          </w:tcPr>
          <w:p w14:paraId="12B7A21F" w14:textId="39BB38A3"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14.</w:t>
            </w:r>
            <w:r>
              <w:rPr>
                <w:rFonts w:ascii="Calibri" w:eastAsia="Times New Roman" w:hAnsi="Calibri" w:cs="Calibri"/>
                <w:color w:val="000000"/>
                <w:lang w:eastAsia="en-AU"/>
              </w:rPr>
              <w:t>7</w:t>
            </w:r>
            <w:r w:rsidRPr="00EF1EA7">
              <w:rPr>
                <w:rFonts w:ascii="Calibri" w:eastAsia="Times New Roman" w:hAnsi="Calibri" w:cs="Calibri"/>
                <w:color w:val="000000"/>
                <w:lang w:eastAsia="en-AU"/>
              </w:rPr>
              <w:t>%</w:t>
            </w:r>
          </w:p>
        </w:tc>
      </w:tr>
      <w:tr w:rsidR="00483F69" w:rsidRPr="00EF1EA7" w14:paraId="592FDA31" w14:textId="77777777" w:rsidTr="0098120A">
        <w:trPr>
          <w:trHeight w:val="290"/>
        </w:trPr>
        <w:tc>
          <w:tcPr>
            <w:tcW w:w="4696" w:type="dxa"/>
            <w:tcBorders>
              <w:top w:val="nil"/>
              <w:left w:val="nil"/>
              <w:bottom w:val="nil"/>
              <w:right w:val="nil"/>
            </w:tcBorders>
            <w:shd w:val="clear" w:color="auto" w:fill="auto"/>
            <w:vAlign w:val="center"/>
            <w:hideMark/>
          </w:tcPr>
          <w:p w14:paraId="25F25279" w14:textId="735A682B"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C - Special </w:t>
            </w:r>
            <w:r>
              <w:rPr>
                <w:rFonts w:ascii="Calibri" w:eastAsia="Times New Roman" w:hAnsi="Calibri" w:cs="Calibri"/>
                <w:color w:val="000000"/>
                <w:lang w:eastAsia="en-AU"/>
              </w:rPr>
              <w:t>c</w:t>
            </w:r>
            <w:r w:rsidRPr="00EF1EA7">
              <w:rPr>
                <w:rFonts w:ascii="Calibri" w:eastAsia="Times New Roman" w:hAnsi="Calibri" w:cs="Calibri"/>
                <w:color w:val="000000"/>
                <w:lang w:eastAsia="en-AU"/>
              </w:rPr>
              <w:t>ircumstances</w:t>
            </w:r>
          </w:p>
        </w:tc>
        <w:tc>
          <w:tcPr>
            <w:tcW w:w="1727" w:type="dxa"/>
            <w:tcBorders>
              <w:top w:val="nil"/>
              <w:left w:val="nil"/>
              <w:bottom w:val="nil"/>
              <w:right w:val="nil"/>
            </w:tcBorders>
            <w:shd w:val="clear" w:color="auto" w:fill="auto"/>
            <w:vAlign w:val="center"/>
            <w:hideMark/>
          </w:tcPr>
          <w:p w14:paraId="5C52AFC4" w14:textId="4C876168"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$276,143.00</w:t>
            </w:r>
          </w:p>
        </w:tc>
        <w:tc>
          <w:tcPr>
            <w:tcW w:w="1586" w:type="dxa"/>
            <w:tcBorders>
              <w:top w:val="nil"/>
              <w:left w:val="nil"/>
              <w:bottom w:val="nil"/>
              <w:right w:val="nil"/>
            </w:tcBorders>
            <w:shd w:val="clear" w:color="auto" w:fill="auto"/>
            <w:noWrap/>
            <w:vAlign w:val="bottom"/>
            <w:hideMark/>
          </w:tcPr>
          <w:p w14:paraId="6B2DDACD" w14:textId="3B440D6A"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0.</w:t>
            </w:r>
            <w:r>
              <w:rPr>
                <w:rFonts w:ascii="Calibri" w:eastAsia="Times New Roman" w:hAnsi="Calibri" w:cs="Calibri"/>
                <w:color w:val="000000"/>
                <w:lang w:eastAsia="en-AU"/>
              </w:rPr>
              <w:t>3</w:t>
            </w:r>
            <w:r w:rsidRPr="00EF1EA7">
              <w:rPr>
                <w:rFonts w:ascii="Calibri" w:eastAsia="Times New Roman" w:hAnsi="Calibri" w:cs="Calibri"/>
                <w:color w:val="000000"/>
                <w:lang w:eastAsia="en-AU"/>
              </w:rPr>
              <w:t>%</w:t>
            </w:r>
          </w:p>
        </w:tc>
      </w:tr>
      <w:tr w:rsidR="00483F69" w:rsidRPr="00EF1EA7" w14:paraId="6D11BC08" w14:textId="77777777" w:rsidTr="0098120A">
        <w:trPr>
          <w:trHeight w:val="290"/>
        </w:trPr>
        <w:tc>
          <w:tcPr>
            <w:tcW w:w="4696" w:type="dxa"/>
            <w:tcBorders>
              <w:top w:val="nil"/>
              <w:left w:val="nil"/>
              <w:bottom w:val="nil"/>
              <w:right w:val="nil"/>
            </w:tcBorders>
            <w:shd w:val="clear" w:color="auto" w:fill="auto"/>
            <w:vAlign w:val="center"/>
            <w:hideMark/>
          </w:tcPr>
          <w:p w14:paraId="1BD25D0C" w14:textId="39E366B6"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D - Student </w:t>
            </w:r>
            <w:r>
              <w:rPr>
                <w:rFonts w:ascii="Calibri" w:eastAsia="Times New Roman" w:hAnsi="Calibri" w:cs="Calibri"/>
                <w:color w:val="000000"/>
                <w:lang w:eastAsia="en-AU"/>
              </w:rPr>
              <w:t>o</w:t>
            </w:r>
            <w:r w:rsidRPr="00EF1EA7">
              <w:rPr>
                <w:rFonts w:ascii="Calibri" w:eastAsia="Times New Roman" w:hAnsi="Calibri" w:cs="Calibri"/>
                <w:color w:val="000000"/>
                <w:lang w:eastAsia="en-AU"/>
              </w:rPr>
              <w:t>utcomes</w:t>
            </w:r>
          </w:p>
        </w:tc>
        <w:tc>
          <w:tcPr>
            <w:tcW w:w="1727" w:type="dxa"/>
            <w:tcBorders>
              <w:top w:val="nil"/>
              <w:left w:val="nil"/>
              <w:bottom w:val="nil"/>
              <w:right w:val="nil"/>
            </w:tcBorders>
            <w:shd w:val="clear" w:color="auto" w:fill="auto"/>
            <w:vAlign w:val="center"/>
            <w:hideMark/>
          </w:tcPr>
          <w:p w14:paraId="704867A1" w14:textId="67E1E8F3"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$10,027,667.84</w:t>
            </w:r>
          </w:p>
        </w:tc>
        <w:tc>
          <w:tcPr>
            <w:tcW w:w="1586" w:type="dxa"/>
            <w:tcBorders>
              <w:top w:val="nil"/>
              <w:left w:val="nil"/>
              <w:bottom w:val="nil"/>
              <w:right w:val="nil"/>
            </w:tcBorders>
            <w:shd w:val="clear" w:color="auto" w:fill="auto"/>
            <w:noWrap/>
            <w:vAlign w:val="bottom"/>
            <w:hideMark/>
          </w:tcPr>
          <w:p w14:paraId="24BC7643" w14:textId="77777777"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12.7%</w:t>
            </w:r>
          </w:p>
        </w:tc>
      </w:tr>
      <w:tr w:rsidR="00483F69" w:rsidRPr="00EF1EA7" w14:paraId="5E2F5BFE" w14:textId="77777777" w:rsidTr="0098120A">
        <w:trPr>
          <w:trHeight w:val="290"/>
        </w:trPr>
        <w:tc>
          <w:tcPr>
            <w:tcW w:w="4696" w:type="dxa"/>
            <w:tcBorders>
              <w:top w:val="nil"/>
              <w:left w:val="nil"/>
              <w:bottom w:val="nil"/>
              <w:right w:val="nil"/>
            </w:tcBorders>
            <w:shd w:val="clear" w:color="auto" w:fill="auto"/>
            <w:vAlign w:val="center"/>
            <w:hideMark/>
          </w:tcPr>
          <w:p w14:paraId="5C677AFC" w14:textId="5CFE6443"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 xml:space="preserve">E - Student </w:t>
            </w:r>
            <w:r>
              <w:rPr>
                <w:rFonts w:ascii="Calibri" w:eastAsia="Times New Roman" w:hAnsi="Calibri" w:cs="Calibri"/>
                <w:color w:val="000000"/>
                <w:lang w:eastAsia="en-AU"/>
              </w:rPr>
              <w:t>w</w:t>
            </w:r>
            <w:r w:rsidRPr="00EF1EA7">
              <w:rPr>
                <w:rFonts w:ascii="Calibri" w:eastAsia="Times New Roman" w:hAnsi="Calibri" w:cs="Calibri"/>
                <w:color w:val="000000"/>
                <w:lang w:eastAsia="en-AU"/>
              </w:rPr>
              <w:t>ellbeing</w:t>
            </w:r>
          </w:p>
        </w:tc>
        <w:tc>
          <w:tcPr>
            <w:tcW w:w="1727" w:type="dxa"/>
            <w:tcBorders>
              <w:top w:val="nil"/>
              <w:left w:val="nil"/>
              <w:bottom w:val="nil"/>
              <w:right w:val="nil"/>
            </w:tcBorders>
            <w:shd w:val="clear" w:color="auto" w:fill="auto"/>
            <w:vAlign w:val="center"/>
            <w:hideMark/>
          </w:tcPr>
          <w:p w14:paraId="08E60DF6" w14:textId="7FB6395C"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$5,065,819.96</w:t>
            </w:r>
          </w:p>
        </w:tc>
        <w:tc>
          <w:tcPr>
            <w:tcW w:w="1586" w:type="dxa"/>
            <w:tcBorders>
              <w:top w:val="nil"/>
              <w:left w:val="nil"/>
              <w:bottom w:val="nil"/>
              <w:right w:val="nil"/>
            </w:tcBorders>
            <w:shd w:val="clear" w:color="auto" w:fill="auto"/>
            <w:noWrap/>
            <w:vAlign w:val="bottom"/>
            <w:hideMark/>
          </w:tcPr>
          <w:p w14:paraId="7CB245DE" w14:textId="1DC58F69"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6.</w:t>
            </w:r>
            <w:r>
              <w:rPr>
                <w:rFonts w:ascii="Calibri" w:eastAsia="Times New Roman" w:hAnsi="Calibri" w:cs="Calibri"/>
                <w:color w:val="000000"/>
                <w:lang w:eastAsia="en-AU"/>
              </w:rPr>
              <w:t>4</w:t>
            </w:r>
            <w:r w:rsidRPr="00EF1EA7">
              <w:rPr>
                <w:rFonts w:ascii="Calibri" w:eastAsia="Times New Roman" w:hAnsi="Calibri" w:cs="Calibri"/>
                <w:color w:val="000000"/>
                <w:lang w:eastAsia="en-AU"/>
              </w:rPr>
              <w:t>%</w:t>
            </w:r>
          </w:p>
        </w:tc>
      </w:tr>
      <w:tr w:rsidR="00483F69" w:rsidRPr="00EF1EA7" w14:paraId="4B956822" w14:textId="77777777" w:rsidTr="0098120A">
        <w:trPr>
          <w:trHeight w:val="300"/>
        </w:trPr>
        <w:tc>
          <w:tcPr>
            <w:tcW w:w="4696" w:type="dxa"/>
            <w:tcBorders>
              <w:top w:val="nil"/>
              <w:left w:val="nil"/>
              <w:bottom w:val="single" w:sz="8" w:space="0" w:color="auto"/>
              <w:right w:val="nil"/>
            </w:tcBorders>
            <w:shd w:val="clear" w:color="auto" w:fill="auto"/>
            <w:noWrap/>
            <w:vAlign w:val="center"/>
            <w:hideMark/>
          </w:tcPr>
          <w:p w14:paraId="59E91356" w14:textId="77777777" w:rsidR="00483F69" w:rsidRPr="00EF1EA7" w:rsidRDefault="00483F69" w:rsidP="00483F69">
            <w:pPr>
              <w:spacing w:after="0" w:line="240" w:lineRule="auto"/>
              <w:rPr>
                <w:rFonts w:ascii="Calibri" w:eastAsia="Times New Roman" w:hAnsi="Calibri" w:cs="Calibri"/>
                <w:color w:val="000000"/>
                <w:lang w:eastAsia="en-AU"/>
              </w:rPr>
            </w:pPr>
            <w:r w:rsidRPr="00EF1EA7">
              <w:rPr>
                <w:rFonts w:ascii="Calibri" w:eastAsia="Times New Roman" w:hAnsi="Calibri" w:cs="Calibri"/>
                <w:color w:val="000000"/>
                <w:lang w:eastAsia="en-AU"/>
              </w:rPr>
              <w:t>Administrative  </w:t>
            </w:r>
          </w:p>
        </w:tc>
        <w:tc>
          <w:tcPr>
            <w:tcW w:w="1727" w:type="dxa"/>
            <w:tcBorders>
              <w:top w:val="nil"/>
              <w:left w:val="nil"/>
              <w:bottom w:val="single" w:sz="8" w:space="0" w:color="auto"/>
              <w:right w:val="nil"/>
            </w:tcBorders>
            <w:shd w:val="clear" w:color="auto" w:fill="auto"/>
            <w:vAlign w:val="center"/>
            <w:hideMark/>
          </w:tcPr>
          <w:p w14:paraId="5D97B1F1" w14:textId="06B70D17" w:rsidR="00483F69" w:rsidRPr="00EF1EA7" w:rsidRDefault="00483F69" w:rsidP="00483F69">
            <w:pPr>
              <w:spacing w:after="0" w:line="240" w:lineRule="auto"/>
              <w:jc w:val="right"/>
              <w:rPr>
                <w:rFonts w:ascii="Calibri" w:eastAsia="Times New Roman" w:hAnsi="Calibri" w:cs="Calibri"/>
                <w:color w:val="000000"/>
                <w:lang w:eastAsia="en-AU"/>
              </w:rPr>
            </w:pPr>
            <w:r>
              <w:rPr>
                <w:rFonts w:ascii="Calibri" w:hAnsi="Calibri" w:cs="Calibri"/>
                <w:color w:val="000000"/>
              </w:rPr>
              <w:t>$815,449.79</w:t>
            </w:r>
          </w:p>
        </w:tc>
        <w:tc>
          <w:tcPr>
            <w:tcW w:w="1586" w:type="dxa"/>
            <w:tcBorders>
              <w:top w:val="nil"/>
              <w:left w:val="nil"/>
              <w:bottom w:val="single" w:sz="8" w:space="0" w:color="auto"/>
              <w:right w:val="nil"/>
            </w:tcBorders>
            <w:shd w:val="clear" w:color="auto" w:fill="auto"/>
            <w:vAlign w:val="center"/>
            <w:hideMark/>
          </w:tcPr>
          <w:p w14:paraId="1F925361" w14:textId="77777777" w:rsidR="00483F69" w:rsidRPr="00EF1EA7" w:rsidRDefault="00483F69" w:rsidP="00483F69">
            <w:pPr>
              <w:spacing w:after="0" w:line="240" w:lineRule="auto"/>
              <w:jc w:val="right"/>
              <w:rPr>
                <w:rFonts w:ascii="Calibri" w:eastAsia="Times New Roman" w:hAnsi="Calibri" w:cs="Calibri"/>
                <w:color w:val="000000"/>
                <w:lang w:eastAsia="en-AU"/>
              </w:rPr>
            </w:pPr>
            <w:r w:rsidRPr="00EF1EA7">
              <w:rPr>
                <w:rFonts w:ascii="Calibri" w:eastAsia="Times New Roman" w:hAnsi="Calibri" w:cs="Calibri"/>
                <w:color w:val="000000"/>
                <w:lang w:eastAsia="en-AU"/>
              </w:rPr>
              <w:t>1.0%</w:t>
            </w:r>
          </w:p>
        </w:tc>
      </w:tr>
      <w:tr w:rsidR="00483F69" w:rsidRPr="00EF1EA7" w14:paraId="71DAFADE" w14:textId="77777777" w:rsidTr="0098120A">
        <w:trPr>
          <w:trHeight w:val="300"/>
        </w:trPr>
        <w:tc>
          <w:tcPr>
            <w:tcW w:w="4696" w:type="dxa"/>
            <w:tcBorders>
              <w:top w:val="nil"/>
              <w:left w:val="nil"/>
              <w:bottom w:val="single" w:sz="8" w:space="0" w:color="auto"/>
              <w:right w:val="nil"/>
            </w:tcBorders>
            <w:shd w:val="clear" w:color="auto" w:fill="auto"/>
            <w:noWrap/>
            <w:vAlign w:val="center"/>
            <w:hideMark/>
          </w:tcPr>
          <w:p w14:paraId="3DC8CD86" w14:textId="48964554" w:rsidR="00483F69" w:rsidRPr="00EF1EA7" w:rsidRDefault="00483F69" w:rsidP="00483F69">
            <w:pPr>
              <w:spacing w:after="0" w:line="240" w:lineRule="auto"/>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 xml:space="preserve">2022 </w:t>
            </w:r>
            <w:r>
              <w:rPr>
                <w:rFonts w:ascii="Calibri" w:eastAsia="Times New Roman" w:hAnsi="Calibri" w:cs="Calibri"/>
                <w:b/>
                <w:bCs/>
                <w:color w:val="000000"/>
                <w:lang w:eastAsia="en-AU"/>
              </w:rPr>
              <w:t>e</w:t>
            </w:r>
            <w:r w:rsidRPr="00EF1EA7">
              <w:rPr>
                <w:rFonts w:ascii="Calibri" w:eastAsia="Times New Roman" w:hAnsi="Calibri" w:cs="Calibri"/>
                <w:b/>
                <w:bCs/>
                <w:color w:val="000000"/>
                <w:lang w:eastAsia="en-AU"/>
              </w:rPr>
              <w:t>xpenditure</w:t>
            </w:r>
          </w:p>
        </w:tc>
        <w:tc>
          <w:tcPr>
            <w:tcW w:w="1727" w:type="dxa"/>
            <w:tcBorders>
              <w:top w:val="nil"/>
              <w:left w:val="nil"/>
              <w:bottom w:val="single" w:sz="8" w:space="0" w:color="auto"/>
              <w:right w:val="nil"/>
            </w:tcBorders>
            <w:shd w:val="clear" w:color="auto" w:fill="auto"/>
            <w:vAlign w:val="center"/>
            <w:hideMark/>
          </w:tcPr>
          <w:p w14:paraId="5B815A1B" w14:textId="154AE110" w:rsidR="00483F69" w:rsidRPr="00EF1EA7" w:rsidRDefault="00483F69" w:rsidP="00483F69">
            <w:pPr>
              <w:spacing w:after="0" w:line="240" w:lineRule="auto"/>
              <w:jc w:val="right"/>
              <w:rPr>
                <w:rFonts w:ascii="Calibri" w:eastAsia="Times New Roman" w:hAnsi="Calibri" w:cs="Calibri"/>
                <w:b/>
                <w:bCs/>
                <w:color w:val="000000"/>
                <w:lang w:eastAsia="en-AU"/>
              </w:rPr>
            </w:pPr>
            <w:r>
              <w:rPr>
                <w:rFonts w:ascii="Calibri" w:hAnsi="Calibri" w:cs="Calibri"/>
                <w:b/>
                <w:bCs/>
                <w:color w:val="000000"/>
              </w:rPr>
              <w:t>$79,123,240.59</w:t>
            </w:r>
          </w:p>
        </w:tc>
        <w:tc>
          <w:tcPr>
            <w:tcW w:w="1586" w:type="dxa"/>
            <w:tcBorders>
              <w:top w:val="nil"/>
              <w:left w:val="nil"/>
              <w:bottom w:val="single" w:sz="8" w:space="0" w:color="auto"/>
              <w:right w:val="nil"/>
            </w:tcBorders>
            <w:shd w:val="clear" w:color="auto" w:fill="auto"/>
            <w:vAlign w:val="center"/>
            <w:hideMark/>
          </w:tcPr>
          <w:p w14:paraId="0C6AA224" w14:textId="77777777" w:rsidR="00483F69" w:rsidRPr="00EF1EA7" w:rsidRDefault="00483F69" w:rsidP="00483F69">
            <w:pPr>
              <w:spacing w:after="0" w:line="240" w:lineRule="auto"/>
              <w:jc w:val="center"/>
              <w:rPr>
                <w:rFonts w:ascii="Calibri" w:eastAsia="Times New Roman" w:hAnsi="Calibri" w:cs="Calibri"/>
                <w:b/>
                <w:bCs/>
                <w:color w:val="000000"/>
                <w:lang w:eastAsia="en-AU"/>
              </w:rPr>
            </w:pPr>
            <w:r w:rsidRPr="00EF1EA7">
              <w:rPr>
                <w:rFonts w:ascii="Calibri" w:eastAsia="Times New Roman" w:hAnsi="Calibri" w:cs="Calibri"/>
                <w:b/>
                <w:bCs/>
                <w:color w:val="000000"/>
                <w:lang w:eastAsia="en-AU"/>
              </w:rPr>
              <w:t> </w:t>
            </w:r>
          </w:p>
        </w:tc>
      </w:tr>
    </w:tbl>
    <w:p w14:paraId="3D82C53B" w14:textId="77777777" w:rsidR="00EF1EA7" w:rsidRDefault="00EF1EA7" w:rsidP="00EF1EA7"/>
    <w:p w14:paraId="7917CEBB" w14:textId="77777777" w:rsidR="00EF1EA7" w:rsidRDefault="00EF1EA7" w:rsidP="00EF1EA7"/>
    <w:p w14:paraId="6A110C1C" w14:textId="77777777" w:rsidR="00EF1EA7" w:rsidRDefault="00EF1EA7" w:rsidP="00EF1EA7"/>
    <w:p w14:paraId="62DB048B" w14:textId="2ED153BE" w:rsidR="007D2AF2" w:rsidRPr="00CE14E9" w:rsidRDefault="007D2AF2" w:rsidP="007D2AF2">
      <w:pPr>
        <w:pStyle w:val="Heading2"/>
      </w:pPr>
      <w:bookmarkStart w:id="42" w:name="_Toc86933337"/>
      <w:bookmarkStart w:id="43" w:name="_Toc147758212"/>
      <w:bookmarkEnd w:id="41"/>
      <w:r w:rsidRPr="00CE14E9">
        <w:lastRenderedPageBreak/>
        <w:t>Payments to NGRBs</w:t>
      </w:r>
      <w:bookmarkEnd w:id="42"/>
      <w:bookmarkEnd w:id="43"/>
    </w:p>
    <w:p w14:paraId="074A324C" w14:textId="35154BD4" w:rsidR="007D2AF2" w:rsidRPr="00CE14E9" w:rsidRDefault="007D2AF2" w:rsidP="007D2AF2">
      <w:pPr>
        <w:spacing w:after="120"/>
        <w:rPr>
          <w:rFonts w:cstheme="majorHAnsi"/>
        </w:rPr>
      </w:pPr>
      <w:r w:rsidRPr="00CE14E9">
        <w:rPr>
          <w:rFonts w:cstheme="majorHAnsi"/>
        </w:rPr>
        <w:t xml:space="preserve">The total funding allocated to the Catholic and independent sectors was fixed in 2020 based on the number of schools in each sector at that time, </w:t>
      </w:r>
      <w:r w:rsidRPr="00CE14E9">
        <w:t>recognising that some non-systemic Catholic schools have nominated to be represented by their Catholic NGRB.</w:t>
      </w:r>
      <w:r>
        <w:t xml:space="preserve"> </w:t>
      </w:r>
      <w:r w:rsidR="00D81949">
        <w:t xml:space="preserve">The 2020 CAF funding allocations for Catholic and Independent schools are prescribed in the Regulations. </w:t>
      </w:r>
    </w:p>
    <w:p w14:paraId="4478535E" w14:textId="77777777" w:rsidR="007D2AF2" w:rsidRDefault="007D2AF2" w:rsidP="007D2AF2">
      <w:pPr>
        <w:spacing w:after="120"/>
      </w:pPr>
      <w:r w:rsidRPr="00CE14E9">
        <w:rPr>
          <w:rFonts w:cstheme="majorHAnsi"/>
        </w:rPr>
        <w:t xml:space="preserve">The </w:t>
      </w:r>
      <w:r>
        <w:rPr>
          <w:rFonts w:cstheme="majorHAnsi"/>
        </w:rPr>
        <w:t xml:space="preserve">CAF </w:t>
      </w:r>
      <w:r w:rsidRPr="00CE14E9">
        <w:rPr>
          <w:rFonts w:cstheme="majorHAnsi"/>
        </w:rPr>
        <w:t xml:space="preserve">allocations are indexed annually using the SRS indexation factor, which is available in September of the relevant year. Annual allocations </w:t>
      </w:r>
      <w:r w:rsidRPr="00CE14E9">
        <w:rPr>
          <w:rFonts w:ascii="Calibri" w:hAnsi="Calibri"/>
        </w:rPr>
        <w:t>must also consider</w:t>
      </w:r>
      <w:r w:rsidRPr="00CE14E9">
        <w:rPr>
          <w:rFonts w:ascii="Calibri" w:hAnsi="Calibri"/>
          <w:iCs/>
        </w:rPr>
        <w:t xml:space="preserve"> any change to a sector’s CAF funding distribution </w:t>
      </w:r>
      <w:r w:rsidRPr="00CE14E9">
        <w:t xml:space="preserve">(independent or Catholic) </w:t>
      </w:r>
      <w:r w:rsidRPr="00CE14E9">
        <w:rPr>
          <w:rFonts w:ascii="Calibri" w:hAnsi="Calibri"/>
          <w:iCs/>
        </w:rPr>
        <w:t>as advised to the Minister in accordance with administrative arrangements.</w:t>
      </w:r>
      <w:r w:rsidRPr="00CE14E9">
        <w:t xml:space="preserve"> </w:t>
      </w:r>
      <w:bookmarkStart w:id="44" w:name="_Hlk71038663"/>
      <w:r>
        <w:t xml:space="preserve"> </w:t>
      </w:r>
    </w:p>
    <w:p w14:paraId="57231B1C" w14:textId="66D839AF" w:rsidR="007D2AF2" w:rsidRPr="00CE14E9" w:rsidRDefault="00D410DA" w:rsidP="007D2AF2">
      <w:pPr>
        <w:spacing w:after="120"/>
        <w:rPr>
          <w:rFonts w:cstheme="majorHAnsi"/>
        </w:rPr>
      </w:pPr>
      <w:r>
        <w:rPr>
          <w:rFonts w:cstheme="majorHAnsi"/>
        </w:rPr>
        <w:t>Total</w:t>
      </w:r>
      <w:r w:rsidR="00C26D3B">
        <w:rPr>
          <w:rFonts w:cstheme="majorHAnsi"/>
        </w:rPr>
        <w:t xml:space="preserve"> </w:t>
      </w:r>
      <w:r w:rsidR="007D2AF2">
        <w:rPr>
          <w:rFonts w:cstheme="majorHAnsi"/>
        </w:rPr>
        <w:t xml:space="preserve">payments made </w:t>
      </w:r>
      <w:r w:rsidR="007D2AF2" w:rsidRPr="00CE14E9">
        <w:rPr>
          <w:rFonts w:cstheme="majorHAnsi"/>
        </w:rPr>
        <w:t xml:space="preserve">to NGRBs </w:t>
      </w:r>
      <w:r w:rsidR="00C26D3B">
        <w:rPr>
          <w:rFonts w:cstheme="majorHAnsi"/>
        </w:rPr>
        <w:t>in</w:t>
      </w:r>
      <w:r w:rsidR="001C7A63">
        <w:rPr>
          <w:rFonts w:cstheme="majorHAnsi"/>
        </w:rPr>
        <w:t xml:space="preserve"> 2022</w:t>
      </w:r>
      <w:r w:rsidR="007D2AF2">
        <w:rPr>
          <w:rFonts w:cstheme="majorHAnsi"/>
        </w:rPr>
        <w:t xml:space="preserve"> </w:t>
      </w:r>
      <w:r>
        <w:rPr>
          <w:rFonts w:cstheme="majorHAnsi"/>
        </w:rPr>
        <w:t xml:space="preserve">and payments to date </w:t>
      </w:r>
      <w:r w:rsidR="007D2AF2" w:rsidRPr="00CE14E9">
        <w:rPr>
          <w:rFonts w:cstheme="majorHAnsi"/>
        </w:rPr>
        <w:t xml:space="preserve">are set out in </w:t>
      </w:r>
      <w:r w:rsidR="007D2AF2" w:rsidRPr="00C62DF7">
        <w:rPr>
          <w:rFonts w:cstheme="majorHAnsi"/>
          <w:b/>
          <w:bCs/>
        </w:rPr>
        <w:t xml:space="preserve">Table </w:t>
      </w:r>
      <w:r>
        <w:rPr>
          <w:rFonts w:cstheme="majorHAnsi"/>
          <w:b/>
          <w:bCs/>
          <w:color w:val="000000" w:themeColor="text1"/>
        </w:rPr>
        <w:t>3</w:t>
      </w:r>
      <w:r w:rsidR="00C62DF7">
        <w:rPr>
          <w:rFonts w:cstheme="majorHAnsi"/>
          <w:b/>
          <w:bCs/>
          <w:color w:val="000000" w:themeColor="text1"/>
        </w:rPr>
        <w:t xml:space="preserve"> and </w:t>
      </w:r>
      <w:r w:rsidR="00677FD4">
        <w:rPr>
          <w:rFonts w:cstheme="majorHAnsi"/>
          <w:b/>
          <w:bCs/>
          <w:color w:val="000000" w:themeColor="text1"/>
        </w:rPr>
        <w:t>T</w:t>
      </w:r>
      <w:r w:rsidR="0046414C">
        <w:rPr>
          <w:rFonts w:cstheme="majorHAnsi"/>
          <w:b/>
          <w:bCs/>
          <w:color w:val="000000" w:themeColor="text1"/>
        </w:rPr>
        <w:t xml:space="preserve">able </w:t>
      </w:r>
      <w:r>
        <w:rPr>
          <w:rFonts w:cstheme="majorHAnsi"/>
          <w:b/>
          <w:bCs/>
          <w:color w:val="000000" w:themeColor="text1"/>
        </w:rPr>
        <w:t>4</w:t>
      </w:r>
      <w:r w:rsidR="007D2AF2" w:rsidRPr="00CE14E9">
        <w:rPr>
          <w:rFonts w:cstheme="majorHAnsi"/>
          <w:color w:val="000000" w:themeColor="text1"/>
        </w:rPr>
        <w:t xml:space="preserve"> </w:t>
      </w:r>
      <w:r w:rsidR="007D2AF2" w:rsidRPr="00CE14E9">
        <w:rPr>
          <w:rFonts w:cstheme="majorHAnsi"/>
        </w:rPr>
        <w:t xml:space="preserve">below. </w:t>
      </w:r>
    </w:p>
    <w:bookmarkEnd w:id="44"/>
    <w:p w14:paraId="4ABC4045" w14:textId="4FBE7575" w:rsidR="00C62DF7" w:rsidRDefault="00C62DF7" w:rsidP="00C62DF7">
      <w:pPr>
        <w:pStyle w:val="Caption"/>
        <w:keepNext/>
      </w:pPr>
      <w:r>
        <w:t xml:space="preserve">Table </w:t>
      </w:r>
      <w:r w:rsidR="00D410DA">
        <w:t>3</w:t>
      </w:r>
      <w:r>
        <w:t xml:space="preserve"> - </w:t>
      </w:r>
      <w:r w:rsidRPr="00910AB0">
        <w:t>CAF payments to Catholic NGRBs 202</w:t>
      </w:r>
      <w:r w:rsidR="001C7A63">
        <w:t>2</w:t>
      </w:r>
    </w:p>
    <w:tbl>
      <w:tblPr>
        <w:tblW w:w="5104" w:type="pct"/>
        <w:tblLook w:val="04A0" w:firstRow="1" w:lastRow="0" w:firstColumn="1" w:lastColumn="0" w:noHBand="0" w:noVBand="1"/>
      </w:tblPr>
      <w:tblGrid>
        <w:gridCol w:w="6046"/>
        <w:gridCol w:w="1478"/>
        <w:gridCol w:w="1690"/>
      </w:tblGrid>
      <w:tr w:rsidR="007342A7" w:rsidRPr="007342A7" w14:paraId="29474C36" w14:textId="77777777" w:rsidTr="00EA0E37">
        <w:trPr>
          <w:trHeight w:val="870"/>
        </w:trPr>
        <w:tc>
          <w:tcPr>
            <w:tcW w:w="3281" w:type="pct"/>
            <w:tcBorders>
              <w:top w:val="nil"/>
              <w:left w:val="nil"/>
              <w:bottom w:val="nil"/>
              <w:right w:val="nil"/>
            </w:tcBorders>
            <w:shd w:val="clear" w:color="auto" w:fill="002060"/>
            <w:noWrap/>
            <w:hideMark/>
          </w:tcPr>
          <w:p w14:paraId="3A5DB573" w14:textId="2F73A92B" w:rsidR="007342A7" w:rsidRPr="007342A7" w:rsidRDefault="007342A7" w:rsidP="007342A7">
            <w:pPr>
              <w:spacing w:after="0" w:line="240" w:lineRule="auto"/>
              <w:ind w:firstLineChars="100" w:firstLine="221"/>
              <w:rPr>
                <w:rFonts w:ascii="Calibri" w:eastAsia="Times New Roman" w:hAnsi="Calibri" w:cs="Calibri"/>
                <w:b/>
                <w:bCs/>
                <w:color w:val="FFFFFF"/>
                <w:lang w:eastAsia="en-AU"/>
              </w:rPr>
            </w:pPr>
            <w:r w:rsidRPr="007342A7">
              <w:rPr>
                <w:rFonts w:ascii="Calibri" w:eastAsia="Times New Roman" w:hAnsi="Calibri" w:cs="Calibri"/>
                <w:b/>
                <w:bCs/>
                <w:color w:val="FFFFFF"/>
                <w:lang w:eastAsia="en-AU"/>
              </w:rPr>
              <w:t>Catholic NGRB</w:t>
            </w:r>
            <w:r w:rsidR="00D410DA">
              <w:rPr>
                <w:rFonts w:ascii="Calibri" w:eastAsia="Times New Roman" w:hAnsi="Calibri" w:cs="Calibri"/>
                <w:b/>
                <w:bCs/>
                <w:color w:val="FFFFFF"/>
                <w:lang w:eastAsia="en-AU"/>
              </w:rPr>
              <w:t>s</w:t>
            </w:r>
          </w:p>
        </w:tc>
        <w:tc>
          <w:tcPr>
            <w:tcW w:w="802" w:type="pct"/>
            <w:tcBorders>
              <w:top w:val="nil"/>
              <w:left w:val="nil"/>
              <w:bottom w:val="nil"/>
              <w:right w:val="nil"/>
            </w:tcBorders>
            <w:shd w:val="clear" w:color="auto" w:fill="002060"/>
            <w:hideMark/>
          </w:tcPr>
          <w:p w14:paraId="3806D45F" w14:textId="2D53D9EA" w:rsidR="007342A7" w:rsidRPr="007342A7" w:rsidRDefault="007342A7" w:rsidP="007342A7">
            <w:pPr>
              <w:spacing w:after="0" w:line="240" w:lineRule="auto"/>
              <w:jc w:val="center"/>
              <w:rPr>
                <w:rFonts w:ascii="Calibri" w:eastAsia="Times New Roman" w:hAnsi="Calibri" w:cs="Calibri"/>
                <w:b/>
                <w:bCs/>
                <w:color w:val="FFFFFF"/>
                <w:lang w:eastAsia="en-AU"/>
              </w:rPr>
            </w:pPr>
            <w:r w:rsidRPr="007342A7">
              <w:rPr>
                <w:rFonts w:ascii="Calibri" w:eastAsia="Times New Roman" w:hAnsi="Calibri" w:cs="Calibri"/>
                <w:b/>
                <w:bCs/>
                <w:color w:val="FFFFFF"/>
                <w:lang w:eastAsia="en-AU"/>
              </w:rPr>
              <w:t xml:space="preserve">Total CAF </w:t>
            </w:r>
            <w:r w:rsidR="00D410DA">
              <w:rPr>
                <w:rFonts w:ascii="Calibri" w:eastAsia="Times New Roman" w:hAnsi="Calibri" w:cs="Calibri"/>
                <w:b/>
                <w:bCs/>
                <w:color w:val="FFFFFF"/>
                <w:lang w:eastAsia="en-AU"/>
              </w:rPr>
              <w:t>f</w:t>
            </w:r>
            <w:r w:rsidRPr="007342A7">
              <w:rPr>
                <w:rFonts w:ascii="Calibri" w:eastAsia="Times New Roman" w:hAnsi="Calibri" w:cs="Calibri"/>
                <w:b/>
                <w:bCs/>
                <w:color w:val="FFFFFF"/>
                <w:lang w:eastAsia="en-AU"/>
              </w:rPr>
              <w:t>unding 2022</w:t>
            </w:r>
          </w:p>
        </w:tc>
        <w:tc>
          <w:tcPr>
            <w:tcW w:w="917" w:type="pct"/>
            <w:tcBorders>
              <w:top w:val="nil"/>
              <w:left w:val="nil"/>
              <w:bottom w:val="nil"/>
              <w:right w:val="nil"/>
            </w:tcBorders>
            <w:shd w:val="clear" w:color="auto" w:fill="002060"/>
            <w:hideMark/>
          </w:tcPr>
          <w:p w14:paraId="790E00F2" w14:textId="793CC8F7" w:rsidR="007342A7" w:rsidRPr="007342A7" w:rsidRDefault="007342A7" w:rsidP="007342A7">
            <w:pPr>
              <w:spacing w:after="0" w:line="240" w:lineRule="auto"/>
              <w:jc w:val="center"/>
              <w:rPr>
                <w:rFonts w:ascii="Calibri" w:eastAsia="Times New Roman" w:hAnsi="Calibri" w:cs="Calibri"/>
                <w:b/>
                <w:bCs/>
                <w:color w:val="FFFFFF"/>
                <w:lang w:eastAsia="en-AU"/>
              </w:rPr>
            </w:pPr>
            <w:r w:rsidRPr="007342A7">
              <w:rPr>
                <w:rFonts w:ascii="Calibri" w:eastAsia="Times New Roman" w:hAnsi="Calibri" w:cs="Calibri"/>
                <w:b/>
                <w:bCs/>
                <w:color w:val="FFFFFF"/>
                <w:lang w:eastAsia="en-AU"/>
              </w:rPr>
              <w:t xml:space="preserve">Total CAF </w:t>
            </w:r>
            <w:r w:rsidR="00D410DA">
              <w:rPr>
                <w:rFonts w:ascii="Calibri" w:eastAsia="Times New Roman" w:hAnsi="Calibri" w:cs="Calibri"/>
                <w:b/>
                <w:bCs/>
                <w:color w:val="FFFFFF"/>
                <w:lang w:eastAsia="en-AU"/>
              </w:rPr>
              <w:t>f</w:t>
            </w:r>
            <w:r w:rsidRPr="007342A7">
              <w:rPr>
                <w:rFonts w:ascii="Calibri" w:eastAsia="Times New Roman" w:hAnsi="Calibri" w:cs="Calibri"/>
                <w:b/>
                <w:bCs/>
                <w:color w:val="FFFFFF"/>
                <w:lang w:eastAsia="en-AU"/>
              </w:rPr>
              <w:t xml:space="preserve">unding </w:t>
            </w:r>
            <w:r w:rsidRPr="007342A7">
              <w:rPr>
                <w:rFonts w:ascii="Calibri" w:eastAsia="Times New Roman" w:hAnsi="Calibri" w:cs="Calibri"/>
                <w:b/>
                <w:bCs/>
                <w:color w:val="FFFFFF"/>
                <w:lang w:eastAsia="en-AU"/>
              </w:rPr>
              <w:br/>
              <w:t>2020 to 2022</w:t>
            </w:r>
          </w:p>
        </w:tc>
      </w:tr>
      <w:tr w:rsidR="007342A7" w:rsidRPr="007342A7" w14:paraId="31D2293F" w14:textId="77777777" w:rsidTr="00EA0E37">
        <w:trPr>
          <w:trHeight w:val="290"/>
        </w:trPr>
        <w:tc>
          <w:tcPr>
            <w:tcW w:w="3281" w:type="pct"/>
            <w:tcBorders>
              <w:top w:val="nil"/>
              <w:left w:val="nil"/>
              <w:bottom w:val="nil"/>
              <w:right w:val="nil"/>
            </w:tcBorders>
            <w:shd w:val="clear" w:color="auto" w:fill="auto"/>
            <w:noWrap/>
            <w:vAlign w:val="center"/>
            <w:hideMark/>
          </w:tcPr>
          <w:p w14:paraId="2F4376AE"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Catholic Schools New South Wales (CSNSW)</w:t>
            </w:r>
          </w:p>
        </w:tc>
        <w:tc>
          <w:tcPr>
            <w:tcW w:w="802" w:type="pct"/>
            <w:tcBorders>
              <w:top w:val="nil"/>
              <w:left w:val="nil"/>
              <w:bottom w:val="nil"/>
              <w:right w:val="nil"/>
            </w:tcBorders>
            <w:shd w:val="clear" w:color="auto" w:fill="auto"/>
            <w:vAlign w:val="center"/>
            <w:hideMark/>
          </w:tcPr>
          <w:p w14:paraId="4A2CBA7E" w14:textId="7A8CF216"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$20,992,454</w:t>
            </w:r>
          </w:p>
        </w:tc>
        <w:tc>
          <w:tcPr>
            <w:tcW w:w="917" w:type="pct"/>
            <w:tcBorders>
              <w:top w:val="nil"/>
              <w:left w:val="nil"/>
              <w:bottom w:val="nil"/>
              <w:right w:val="nil"/>
            </w:tcBorders>
            <w:shd w:val="clear" w:color="auto" w:fill="auto"/>
            <w:vAlign w:val="center"/>
            <w:hideMark/>
          </w:tcPr>
          <w:p w14:paraId="30FB3FFA" w14:textId="6A67FE01"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$57,706,603</w:t>
            </w:r>
          </w:p>
        </w:tc>
      </w:tr>
      <w:tr w:rsidR="007342A7" w:rsidRPr="007342A7" w14:paraId="68048A61" w14:textId="77777777" w:rsidTr="00EA0E37">
        <w:trPr>
          <w:trHeight w:val="290"/>
        </w:trPr>
        <w:tc>
          <w:tcPr>
            <w:tcW w:w="3281" w:type="pct"/>
            <w:tcBorders>
              <w:top w:val="nil"/>
              <w:left w:val="nil"/>
              <w:bottom w:val="nil"/>
              <w:right w:val="nil"/>
            </w:tcBorders>
            <w:shd w:val="clear" w:color="auto" w:fill="auto"/>
            <w:noWrap/>
            <w:vAlign w:val="center"/>
            <w:hideMark/>
          </w:tcPr>
          <w:p w14:paraId="66851E0A"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Catholic Education Commission of Victoria (CECV)</w:t>
            </w:r>
          </w:p>
        </w:tc>
        <w:tc>
          <w:tcPr>
            <w:tcW w:w="802" w:type="pct"/>
            <w:tcBorders>
              <w:top w:val="nil"/>
              <w:left w:val="nil"/>
              <w:bottom w:val="nil"/>
              <w:right w:val="nil"/>
            </w:tcBorders>
            <w:shd w:val="clear" w:color="auto" w:fill="auto"/>
            <w:vAlign w:val="center"/>
            <w:hideMark/>
          </w:tcPr>
          <w:p w14:paraId="1BDE62C4" w14:textId="7AD4B5B9"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$17,185,990</w:t>
            </w:r>
          </w:p>
        </w:tc>
        <w:tc>
          <w:tcPr>
            <w:tcW w:w="917" w:type="pct"/>
            <w:tcBorders>
              <w:top w:val="nil"/>
              <w:left w:val="nil"/>
              <w:bottom w:val="nil"/>
              <w:right w:val="nil"/>
            </w:tcBorders>
            <w:shd w:val="clear" w:color="auto" w:fill="auto"/>
            <w:vAlign w:val="center"/>
            <w:hideMark/>
          </w:tcPr>
          <w:p w14:paraId="3D7FB9B8" w14:textId="19FE33AE"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$49,352,537</w:t>
            </w:r>
          </w:p>
        </w:tc>
      </w:tr>
      <w:tr w:rsidR="007342A7" w:rsidRPr="007342A7" w14:paraId="512413D0" w14:textId="77777777" w:rsidTr="00EA0E37">
        <w:trPr>
          <w:trHeight w:val="290"/>
        </w:trPr>
        <w:tc>
          <w:tcPr>
            <w:tcW w:w="3281" w:type="pct"/>
            <w:tcBorders>
              <w:top w:val="nil"/>
              <w:left w:val="nil"/>
              <w:bottom w:val="nil"/>
              <w:right w:val="nil"/>
            </w:tcBorders>
            <w:shd w:val="clear" w:color="auto" w:fill="auto"/>
            <w:noWrap/>
            <w:vAlign w:val="center"/>
            <w:hideMark/>
          </w:tcPr>
          <w:p w14:paraId="113D9078"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Queensland Catholic Education Commission (QCEC)</w:t>
            </w:r>
          </w:p>
        </w:tc>
        <w:tc>
          <w:tcPr>
            <w:tcW w:w="802" w:type="pct"/>
            <w:tcBorders>
              <w:top w:val="nil"/>
              <w:left w:val="nil"/>
              <w:bottom w:val="nil"/>
              <w:right w:val="nil"/>
            </w:tcBorders>
            <w:shd w:val="clear" w:color="auto" w:fill="auto"/>
            <w:vAlign w:val="center"/>
            <w:hideMark/>
          </w:tcPr>
          <w:p w14:paraId="01DC0E49" w14:textId="5511B3DF"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$15,597,200</w:t>
            </w:r>
          </w:p>
        </w:tc>
        <w:tc>
          <w:tcPr>
            <w:tcW w:w="917" w:type="pct"/>
            <w:tcBorders>
              <w:top w:val="nil"/>
              <w:left w:val="nil"/>
              <w:bottom w:val="nil"/>
              <w:right w:val="nil"/>
            </w:tcBorders>
            <w:shd w:val="clear" w:color="auto" w:fill="auto"/>
            <w:vAlign w:val="center"/>
            <w:hideMark/>
          </w:tcPr>
          <w:p w14:paraId="721CACF4" w14:textId="420D0AEB"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$41,218,432</w:t>
            </w:r>
          </w:p>
        </w:tc>
      </w:tr>
      <w:tr w:rsidR="007342A7" w:rsidRPr="007342A7" w14:paraId="07322E8E" w14:textId="77777777" w:rsidTr="00EA0E37">
        <w:trPr>
          <w:trHeight w:val="290"/>
        </w:trPr>
        <w:tc>
          <w:tcPr>
            <w:tcW w:w="3281" w:type="pct"/>
            <w:tcBorders>
              <w:top w:val="nil"/>
              <w:left w:val="nil"/>
              <w:bottom w:val="nil"/>
              <w:right w:val="nil"/>
            </w:tcBorders>
            <w:shd w:val="clear" w:color="auto" w:fill="auto"/>
            <w:noWrap/>
            <w:vAlign w:val="center"/>
            <w:hideMark/>
          </w:tcPr>
          <w:p w14:paraId="7018F730"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South Australian Commission for Catholic Schools (SACCS)</w:t>
            </w:r>
          </w:p>
        </w:tc>
        <w:tc>
          <w:tcPr>
            <w:tcW w:w="802" w:type="pct"/>
            <w:tcBorders>
              <w:top w:val="nil"/>
              <w:left w:val="nil"/>
              <w:bottom w:val="nil"/>
              <w:right w:val="nil"/>
            </w:tcBorders>
            <w:shd w:val="clear" w:color="auto" w:fill="auto"/>
            <w:vAlign w:val="center"/>
            <w:hideMark/>
          </w:tcPr>
          <w:p w14:paraId="08CFEA78" w14:textId="70B3B202"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$4,271,574</w:t>
            </w:r>
          </w:p>
        </w:tc>
        <w:tc>
          <w:tcPr>
            <w:tcW w:w="917" w:type="pct"/>
            <w:tcBorders>
              <w:top w:val="nil"/>
              <w:left w:val="nil"/>
              <w:bottom w:val="nil"/>
              <w:right w:val="nil"/>
            </w:tcBorders>
            <w:shd w:val="clear" w:color="auto" w:fill="auto"/>
            <w:vAlign w:val="center"/>
            <w:hideMark/>
          </w:tcPr>
          <w:p w14:paraId="2B62C527" w14:textId="21994B13"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$11,293,582</w:t>
            </w:r>
          </w:p>
        </w:tc>
      </w:tr>
      <w:tr w:rsidR="007342A7" w:rsidRPr="007342A7" w14:paraId="390D2598" w14:textId="77777777" w:rsidTr="00EA0E37">
        <w:trPr>
          <w:trHeight w:val="290"/>
        </w:trPr>
        <w:tc>
          <w:tcPr>
            <w:tcW w:w="3281" w:type="pct"/>
            <w:tcBorders>
              <w:top w:val="nil"/>
              <w:left w:val="nil"/>
              <w:bottom w:val="nil"/>
              <w:right w:val="nil"/>
            </w:tcBorders>
            <w:shd w:val="clear" w:color="auto" w:fill="auto"/>
            <w:noWrap/>
            <w:vAlign w:val="center"/>
            <w:hideMark/>
          </w:tcPr>
          <w:p w14:paraId="2B30B8B5"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Catholic Education Western Australia (CEWA)</w:t>
            </w:r>
          </w:p>
        </w:tc>
        <w:tc>
          <w:tcPr>
            <w:tcW w:w="802" w:type="pct"/>
            <w:tcBorders>
              <w:top w:val="nil"/>
              <w:left w:val="nil"/>
              <w:bottom w:val="nil"/>
              <w:right w:val="nil"/>
            </w:tcBorders>
            <w:shd w:val="clear" w:color="auto" w:fill="auto"/>
            <w:vAlign w:val="center"/>
            <w:hideMark/>
          </w:tcPr>
          <w:p w14:paraId="072AB74C" w14:textId="59F83E39"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$5,806,616</w:t>
            </w:r>
          </w:p>
        </w:tc>
        <w:tc>
          <w:tcPr>
            <w:tcW w:w="917" w:type="pct"/>
            <w:tcBorders>
              <w:top w:val="nil"/>
              <w:left w:val="nil"/>
              <w:bottom w:val="nil"/>
              <w:right w:val="nil"/>
            </w:tcBorders>
            <w:shd w:val="clear" w:color="auto" w:fill="auto"/>
            <w:vAlign w:val="center"/>
            <w:hideMark/>
          </w:tcPr>
          <w:p w14:paraId="0CC6934A" w14:textId="5F01CFA9"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$16,310,133</w:t>
            </w:r>
          </w:p>
        </w:tc>
      </w:tr>
      <w:tr w:rsidR="007342A7" w:rsidRPr="007342A7" w14:paraId="6BD189DF" w14:textId="77777777" w:rsidTr="00EA0E37">
        <w:trPr>
          <w:trHeight w:val="290"/>
        </w:trPr>
        <w:tc>
          <w:tcPr>
            <w:tcW w:w="3281" w:type="pct"/>
            <w:tcBorders>
              <w:top w:val="nil"/>
              <w:left w:val="nil"/>
              <w:bottom w:val="nil"/>
              <w:right w:val="nil"/>
            </w:tcBorders>
            <w:shd w:val="clear" w:color="auto" w:fill="auto"/>
            <w:noWrap/>
            <w:vAlign w:val="center"/>
            <w:hideMark/>
          </w:tcPr>
          <w:p w14:paraId="48681C66"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Tasmanian Catholic Education Office (TCEO)</w:t>
            </w:r>
          </w:p>
        </w:tc>
        <w:tc>
          <w:tcPr>
            <w:tcW w:w="802" w:type="pct"/>
            <w:tcBorders>
              <w:top w:val="nil"/>
              <w:left w:val="nil"/>
              <w:bottom w:val="nil"/>
              <w:right w:val="nil"/>
            </w:tcBorders>
            <w:shd w:val="clear" w:color="auto" w:fill="auto"/>
            <w:vAlign w:val="center"/>
            <w:hideMark/>
          </w:tcPr>
          <w:p w14:paraId="5D164946" w14:textId="6B9B32DD"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$1,591,186</w:t>
            </w:r>
          </w:p>
        </w:tc>
        <w:tc>
          <w:tcPr>
            <w:tcW w:w="917" w:type="pct"/>
            <w:tcBorders>
              <w:top w:val="nil"/>
              <w:left w:val="nil"/>
              <w:bottom w:val="nil"/>
              <w:right w:val="nil"/>
            </w:tcBorders>
            <w:shd w:val="clear" w:color="auto" w:fill="auto"/>
            <w:vAlign w:val="center"/>
            <w:hideMark/>
          </w:tcPr>
          <w:p w14:paraId="3B05E290" w14:textId="0E297A86"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$4,332,541</w:t>
            </w:r>
          </w:p>
        </w:tc>
      </w:tr>
      <w:tr w:rsidR="007342A7" w:rsidRPr="007342A7" w14:paraId="3B45EAEA" w14:textId="77777777" w:rsidTr="00EA0E37">
        <w:trPr>
          <w:trHeight w:val="290"/>
        </w:trPr>
        <w:tc>
          <w:tcPr>
            <w:tcW w:w="3281" w:type="pct"/>
            <w:tcBorders>
              <w:top w:val="nil"/>
              <w:left w:val="nil"/>
              <w:bottom w:val="nil"/>
              <w:right w:val="nil"/>
            </w:tcBorders>
            <w:shd w:val="clear" w:color="auto" w:fill="auto"/>
            <w:noWrap/>
            <w:vAlign w:val="center"/>
            <w:hideMark/>
          </w:tcPr>
          <w:p w14:paraId="60A32EDD"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Catholic Education, Archdiocese Canberra, and Goulburn (CECG)</w:t>
            </w:r>
          </w:p>
        </w:tc>
        <w:tc>
          <w:tcPr>
            <w:tcW w:w="802" w:type="pct"/>
            <w:tcBorders>
              <w:top w:val="nil"/>
              <w:left w:val="nil"/>
              <w:bottom w:val="nil"/>
              <w:right w:val="nil"/>
            </w:tcBorders>
            <w:shd w:val="clear" w:color="auto" w:fill="auto"/>
            <w:vAlign w:val="center"/>
            <w:hideMark/>
          </w:tcPr>
          <w:p w14:paraId="6F49C20D" w14:textId="158ADCCD"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$1,029,862</w:t>
            </w:r>
          </w:p>
        </w:tc>
        <w:tc>
          <w:tcPr>
            <w:tcW w:w="917" w:type="pct"/>
            <w:tcBorders>
              <w:top w:val="nil"/>
              <w:left w:val="nil"/>
              <w:bottom w:val="nil"/>
              <w:right w:val="nil"/>
            </w:tcBorders>
            <w:shd w:val="clear" w:color="auto" w:fill="auto"/>
            <w:vAlign w:val="center"/>
            <w:hideMark/>
          </w:tcPr>
          <w:p w14:paraId="7BA670E5" w14:textId="18C6E317"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$13,425,488</w:t>
            </w:r>
          </w:p>
        </w:tc>
      </w:tr>
      <w:tr w:rsidR="007342A7" w:rsidRPr="007342A7" w14:paraId="44FB02A9" w14:textId="77777777" w:rsidTr="005579A7">
        <w:trPr>
          <w:trHeight w:val="290"/>
        </w:trPr>
        <w:tc>
          <w:tcPr>
            <w:tcW w:w="3281" w:type="pct"/>
            <w:tcBorders>
              <w:top w:val="nil"/>
              <w:left w:val="nil"/>
              <w:bottom w:val="single" w:sz="4" w:space="0" w:color="auto"/>
              <w:right w:val="nil"/>
            </w:tcBorders>
            <w:shd w:val="clear" w:color="auto" w:fill="auto"/>
            <w:noWrap/>
            <w:vAlign w:val="center"/>
            <w:hideMark/>
          </w:tcPr>
          <w:p w14:paraId="0451F83D"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Catholic Education Office Northern Territory (CEONT)</w:t>
            </w:r>
          </w:p>
        </w:tc>
        <w:tc>
          <w:tcPr>
            <w:tcW w:w="802" w:type="pct"/>
            <w:tcBorders>
              <w:top w:val="nil"/>
              <w:left w:val="nil"/>
              <w:bottom w:val="single" w:sz="4" w:space="0" w:color="auto"/>
              <w:right w:val="nil"/>
            </w:tcBorders>
            <w:shd w:val="clear" w:color="auto" w:fill="auto"/>
            <w:vAlign w:val="center"/>
            <w:hideMark/>
          </w:tcPr>
          <w:p w14:paraId="57ACFED8" w14:textId="13AA2135"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$704,894</w:t>
            </w:r>
          </w:p>
        </w:tc>
        <w:tc>
          <w:tcPr>
            <w:tcW w:w="917" w:type="pct"/>
            <w:tcBorders>
              <w:top w:val="nil"/>
              <w:left w:val="nil"/>
              <w:bottom w:val="single" w:sz="4" w:space="0" w:color="auto"/>
              <w:right w:val="nil"/>
            </w:tcBorders>
            <w:shd w:val="clear" w:color="auto" w:fill="auto"/>
            <w:vAlign w:val="center"/>
            <w:hideMark/>
          </w:tcPr>
          <w:p w14:paraId="22B997A3" w14:textId="5DDD9464"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$2,086,931</w:t>
            </w:r>
          </w:p>
        </w:tc>
      </w:tr>
      <w:tr w:rsidR="007342A7" w:rsidRPr="007342A7" w14:paraId="3B93FE43" w14:textId="77777777" w:rsidTr="005579A7">
        <w:trPr>
          <w:trHeight w:val="290"/>
        </w:trPr>
        <w:tc>
          <w:tcPr>
            <w:tcW w:w="3281" w:type="pct"/>
            <w:tcBorders>
              <w:top w:val="single" w:sz="4" w:space="0" w:color="auto"/>
              <w:left w:val="nil"/>
              <w:bottom w:val="single" w:sz="4" w:space="0" w:color="auto"/>
              <w:right w:val="nil"/>
            </w:tcBorders>
            <w:shd w:val="clear" w:color="auto" w:fill="auto"/>
            <w:vAlign w:val="center"/>
            <w:hideMark/>
          </w:tcPr>
          <w:p w14:paraId="6CA1DAF1" w14:textId="77777777" w:rsidR="007342A7" w:rsidRPr="007342A7" w:rsidRDefault="007342A7" w:rsidP="007342A7">
            <w:pPr>
              <w:spacing w:after="0" w:line="240" w:lineRule="auto"/>
              <w:rPr>
                <w:rFonts w:ascii="Calibri" w:eastAsia="Times New Roman" w:hAnsi="Calibri" w:cs="Calibri"/>
                <w:b/>
                <w:bCs/>
                <w:lang w:eastAsia="en-AU"/>
              </w:rPr>
            </w:pPr>
            <w:r w:rsidRPr="007342A7">
              <w:rPr>
                <w:rFonts w:ascii="Calibri" w:eastAsia="Times New Roman" w:hAnsi="Calibri" w:cs="Calibri"/>
                <w:b/>
                <w:bCs/>
                <w:lang w:eastAsia="en-AU"/>
              </w:rPr>
              <w:t>Total</w:t>
            </w:r>
          </w:p>
        </w:tc>
        <w:tc>
          <w:tcPr>
            <w:tcW w:w="802" w:type="pct"/>
            <w:tcBorders>
              <w:top w:val="single" w:sz="4" w:space="0" w:color="auto"/>
              <w:left w:val="nil"/>
              <w:bottom w:val="single" w:sz="4" w:space="0" w:color="auto"/>
              <w:right w:val="nil"/>
            </w:tcBorders>
            <w:shd w:val="clear" w:color="auto" w:fill="auto"/>
            <w:noWrap/>
            <w:vAlign w:val="bottom"/>
            <w:hideMark/>
          </w:tcPr>
          <w:p w14:paraId="18594FAE" w14:textId="6059CB55" w:rsidR="007342A7" w:rsidRPr="007342A7" w:rsidRDefault="007342A7" w:rsidP="007342A7">
            <w:pPr>
              <w:spacing w:after="0" w:line="240" w:lineRule="auto"/>
              <w:jc w:val="right"/>
              <w:rPr>
                <w:rFonts w:ascii="Calibri" w:eastAsia="Times New Roman" w:hAnsi="Calibri" w:cs="Calibri"/>
                <w:b/>
                <w:bCs/>
                <w:color w:val="000000"/>
                <w:lang w:eastAsia="en-AU"/>
              </w:rPr>
            </w:pPr>
            <w:r w:rsidRPr="007342A7">
              <w:rPr>
                <w:rFonts w:ascii="Calibri" w:eastAsia="Times New Roman" w:hAnsi="Calibri" w:cs="Calibri"/>
                <w:b/>
                <w:bCs/>
                <w:color w:val="000000"/>
                <w:lang w:eastAsia="en-AU"/>
              </w:rPr>
              <w:t>$67,179,776</w:t>
            </w:r>
          </w:p>
        </w:tc>
        <w:tc>
          <w:tcPr>
            <w:tcW w:w="917" w:type="pct"/>
            <w:tcBorders>
              <w:top w:val="single" w:sz="4" w:space="0" w:color="auto"/>
              <w:left w:val="nil"/>
              <w:bottom w:val="single" w:sz="4" w:space="0" w:color="auto"/>
              <w:right w:val="nil"/>
            </w:tcBorders>
            <w:shd w:val="clear" w:color="auto" w:fill="auto"/>
            <w:noWrap/>
            <w:vAlign w:val="bottom"/>
            <w:hideMark/>
          </w:tcPr>
          <w:p w14:paraId="35529111" w14:textId="0977B52B" w:rsidR="007342A7" w:rsidRPr="007342A7" w:rsidRDefault="007342A7" w:rsidP="007342A7">
            <w:pPr>
              <w:spacing w:after="0" w:line="240" w:lineRule="auto"/>
              <w:jc w:val="right"/>
              <w:rPr>
                <w:rFonts w:ascii="Calibri" w:eastAsia="Times New Roman" w:hAnsi="Calibri" w:cs="Calibri"/>
                <w:b/>
                <w:bCs/>
                <w:color w:val="000000"/>
                <w:lang w:eastAsia="en-AU"/>
              </w:rPr>
            </w:pPr>
            <w:r w:rsidRPr="007342A7">
              <w:rPr>
                <w:rFonts w:ascii="Calibri" w:eastAsia="Times New Roman" w:hAnsi="Calibri" w:cs="Calibri"/>
                <w:b/>
                <w:bCs/>
                <w:color w:val="000000"/>
                <w:lang w:eastAsia="en-AU"/>
              </w:rPr>
              <w:t>$195,726,247</w:t>
            </w:r>
          </w:p>
        </w:tc>
      </w:tr>
    </w:tbl>
    <w:p w14:paraId="06E7493D" w14:textId="7B1EDE33" w:rsidR="00C62DF7" w:rsidRDefault="00C62DF7" w:rsidP="00C62DF7">
      <w:pPr>
        <w:pStyle w:val="Caption"/>
        <w:keepNext/>
        <w:spacing w:before="480"/>
      </w:pPr>
      <w:r>
        <w:t xml:space="preserve">Table </w:t>
      </w:r>
      <w:r w:rsidR="00D410DA">
        <w:t>4</w:t>
      </w:r>
      <w:r>
        <w:t xml:space="preserve"> - </w:t>
      </w:r>
      <w:r w:rsidRPr="00F62F87">
        <w:t>CAF payments to Independent NGRBs 202</w:t>
      </w:r>
      <w:r w:rsidR="001C7A63">
        <w:t>2</w:t>
      </w:r>
    </w:p>
    <w:tbl>
      <w:tblPr>
        <w:tblW w:w="5104" w:type="pct"/>
        <w:tblLook w:val="04A0" w:firstRow="1" w:lastRow="0" w:firstColumn="1" w:lastColumn="0" w:noHBand="0" w:noVBand="1"/>
      </w:tblPr>
      <w:tblGrid>
        <w:gridCol w:w="5931"/>
        <w:gridCol w:w="1683"/>
        <w:gridCol w:w="1600"/>
      </w:tblGrid>
      <w:tr w:rsidR="007342A7" w:rsidRPr="007342A7" w14:paraId="7A9D3A8C" w14:textId="77777777" w:rsidTr="00EA0E37">
        <w:trPr>
          <w:trHeight w:val="870"/>
        </w:trPr>
        <w:tc>
          <w:tcPr>
            <w:tcW w:w="3192" w:type="pct"/>
            <w:tcBorders>
              <w:top w:val="nil"/>
              <w:left w:val="nil"/>
              <w:bottom w:val="nil"/>
              <w:right w:val="nil"/>
            </w:tcBorders>
            <w:shd w:val="clear" w:color="auto" w:fill="002060"/>
            <w:noWrap/>
            <w:hideMark/>
          </w:tcPr>
          <w:p w14:paraId="6212A8A8" w14:textId="5CBF3C28" w:rsidR="007342A7" w:rsidRPr="007342A7" w:rsidRDefault="007342A7" w:rsidP="007342A7">
            <w:pPr>
              <w:spacing w:after="0" w:line="240" w:lineRule="auto"/>
              <w:ind w:firstLineChars="100" w:firstLine="221"/>
              <w:rPr>
                <w:rFonts w:ascii="Calibri" w:eastAsia="Times New Roman" w:hAnsi="Calibri" w:cs="Calibri"/>
                <w:b/>
                <w:bCs/>
                <w:color w:val="FFFFFF"/>
                <w:lang w:eastAsia="en-AU"/>
              </w:rPr>
            </w:pPr>
            <w:r w:rsidRPr="007342A7">
              <w:rPr>
                <w:rFonts w:ascii="Calibri" w:eastAsia="Times New Roman" w:hAnsi="Calibri" w:cs="Calibri"/>
                <w:b/>
                <w:bCs/>
                <w:color w:val="FFFFFF"/>
                <w:lang w:eastAsia="en-AU"/>
              </w:rPr>
              <w:t>Independent NGRB</w:t>
            </w:r>
            <w:r w:rsidR="00D410DA">
              <w:rPr>
                <w:rFonts w:ascii="Calibri" w:eastAsia="Times New Roman" w:hAnsi="Calibri" w:cs="Calibri"/>
                <w:b/>
                <w:bCs/>
                <w:color w:val="FFFFFF"/>
                <w:lang w:eastAsia="en-AU"/>
              </w:rPr>
              <w:t>s</w:t>
            </w:r>
          </w:p>
        </w:tc>
        <w:tc>
          <w:tcPr>
            <w:tcW w:w="927" w:type="pct"/>
            <w:tcBorders>
              <w:top w:val="nil"/>
              <w:left w:val="nil"/>
              <w:bottom w:val="nil"/>
              <w:right w:val="nil"/>
            </w:tcBorders>
            <w:shd w:val="clear" w:color="auto" w:fill="002060"/>
            <w:hideMark/>
          </w:tcPr>
          <w:p w14:paraId="00DD27FA" w14:textId="2DCD8893" w:rsidR="007342A7" w:rsidRPr="007342A7" w:rsidRDefault="007342A7" w:rsidP="007342A7">
            <w:pPr>
              <w:spacing w:after="0" w:line="240" w:lineRule="auto"/>
              <w:jc w:val="center"/>
              <w:rPr>
                <w:rFonts w:ascii="Calibri" w:eastAsia="Times New Roman" w:hAnsi="Calibri" w:cs="Calibri"/>
                <w:b/>
                <w:bCs/>
                <w:color w:val="FFFFFF"/>
                <w:lang w:eastAsia="en-AU"/>
              </w:rPr>
            </w:pPr>
            <w:r w:rsidRPr="007342A7">
              <w:rPr>
                <w:rFonts w:ascii="Calibri" w:eastAsia="Times New Roman" w:hAnsi="Calibri" w:cs="Calibri"/>
                <w:b/>
                <w:bCs/>
                <w:color w:val="FFFFFF"/>
                <w:lang w:eastAsia="en-AU"/>
              </w:rPr>
              <w:t xml:space="preserve">Total CAF </w:t>
            </w:r>
            <w:r w:rsidR="00D410DA">
              <w:rPr>
                <w:rFonts w:ascii="Calibri" w:eastAsia="Times New Roman" w:hAnsi="Calibri" w:cs="Calibri"/>
                <w:b/>
                <w:bCs/>
                <w:color w:val="FFFFFF"/>
                <w:lang w:eastAsia="en-AU"/>
              </w:rPr>
              <w:t>f</w:t>
            </w:r>
            <w:r w:rsidRPr="007342A7">
              <w:rPr>
                <w:rFonts w:ascii="Calibri" w:eastAsia="Times New Roman" w:hAnsi="Calibri" w:cs="Calibri"/>
                <w:b/>
                <w:bCs/>
                <w:color w:val="FFFFFF"/>
                <w:lang w:eastAsia="en-AU"/>
              </w:rPr>
              <w:t>unding 2022</w:t>
            </w:r>
          </w:p>
        </w:tc>
        <w:tc>
          <w:tcPr>
            <w:tcW w:w="881" w:type="pct"/>
            <w:tcBorders>
              <w:top w:val="nil"/>
              <w:left w:val="nil"/>
              <w:bottom w:val="nil"/>
              <w:right w:val="nil"/>
            </w:tcBorders>
            <w:shd w:val="clear" w:color="auto" w:fill="002060"/>
            <w:hideMark/>
          </w:tcPr>
          <w:p w14:paraId="3F5352D3" w14:textId="4E20D604" w:rsidR="007342A7" w:rsidRPr="007342A7" w:rsidRDefault="007342A7" w:rsidP="007342A7">
            <w:pPr>
              <w:spacing w:after="0" w:line="240" w:lineRule="auto"/>
              <w:jc w:val="center"/>
              <w:rPr>
                <w:rFonts w:ascii="Calibri" w:eastAsia="Times New Roman" w:hAnsi="Calibri" w:cs="Calibri"/>
                <w:b/>
                <w:bCs/>
                <w:color w:val="FFFFFF"/>
                <w:lang w:eastAsia="en-AU"/>
              </w:rPr>
            </w:pPr>
            <w:r w:rsidRPr="007342A7">
              <w:rPr>
                <w:rFonts w:ascii="Calibri" w:eastAsia="Times New Roman" w:hAnsi="Calibri" w:cs="Calibri"/>
                <w:b/>
                <w:bCs/>
                <w:color w:val="FFFFFF"/>
                <w:lang w:eastAsia="en-AU"/>
              </w:rPr>
              <w:t xml:space="preserve">Total CAF </w:t>
            </w:r>
            <w:r w:rsidR="00D410DA">
              <w:rPr>
                <w:rFonts w:ascii="Calibri" w:eastAsia="Times New Roman" w:hAnsi="Calibri" w:cs="Calibri"/>
                <w:b/>
                <w:bCs/>
                <w:color w:val="FFFFFF"/>
                <w:lang w:eastAsia="en-AU"/>
              </w:rPr>
              <w:t>f</w:t>
            </w:r>
            <w:r w:rsidRPr="007342A7">
              <w:rPr>
                <w:rFonts w:ascii="Calibri" w:eastAsia="Times New Roman" w:hAnsi="Calibri" w:cs="Calibri"/>
                <w:b/>
                <w:bCs/>
                <w:color w:val="FFFFFF"/>
                <w:lang w:eastAsia="en-AU"/>
              </w:rPr>
              <w:t xml:space="preserve">unding </w:t>
            </w:r>
            <w:r w:rsidRPr="007342A7">
              <w:rPr>
                <w:rFonts w:ascii="Calibri" w:eastAsia="Times New Roman" w:hAnsi="Calibri" w:cs="Calibri"/>
                <w:b/>
                <w:bCs/>
                <w:color w:val="FFFFFF"/>
                <w:lang w:eastAsia="en-AU"/>
              </w:rPr>
              <w:br/>
              <w:t>2020 to 2022</w:t>
            </w:r>
          </w:p>
        </w:tc>
      </w:tr>
      <w:tr w:rsidR="007342A7" w:rsidRPr="007342A7" w14:paraId="0784553D" w14:textId="77777777" w:rsidTr="00EA0E37">
        <w:trPr>
          <w:trHeight w:val="290"/>
        </w:trPr>
        <w:tc>
          <w:tcPr>
            <w:tcW w:w="3192" w:type="pct"/>
            <w:tcBorders>
              <w:top w:val="nil"/>
              <w:left w:val="nil"/>
              <w:bottom w:val="nil"/>
              <w:right w:val="nil"/>
            </w:tcBorders>
            <w:shd w:val="clear" w:color="auto" w:fill="auto"/>
            <w:noWrap/>
            <w:vAlign w:val="center"/>
            <w:hideMark/>
          </w:tcPr>
          <w:p w14:paraId="7CDC069D"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Association of Independent Schools New South Wales (AISNSW)</w:t>
            </w:r>
          </w:p>
        </w:tc>
        <w:tc>
          <w:tcPr>
            <w:tcW w:w="927" w:type="pct"/>
            <w:tcBorders>
              <w:top w:val="nil"/>
              <w:left w:val="nil"/>
              <w:bottom w:val="nil"/>
              <w:right w:val="nil"/>
            </w:tcBorders>
            <w:shd w:val="clear" w:color="auto" w:fill="auto"/>
            <w:vAlign w:val="center"/>
            <w:hideMark/>
          </w:tcPr>
          <w:p w14:paraId="1FF6BBAF" w14:textId="75EB1CC3"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$13,352,422</w:t>
            </w:r>
          </w:p>
        </w:tc>
        <w:tc>
          <w:tcPr>
            <w:tcW w:w="881" w:type="pct"/>
            <w:tcBorders>
              <w:top w:val="nil"/>
              <w:left w:val="nil"/>
              <w:bottom w:val="nil"/>
              <w:right w:val="nil"/>
            </w:tcBorders>
            <w:shd w:val="clear" w:color="auto" w:fill="auto"/>
            <w:vAlign w:val="center"/>
            <w:hideMark/>
          </w:tcPr>
          <w:p w14:paraId="578AEBC9" w14:textId="5A12454A"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$38,901,880</w:t>
            </w:r>
          </w:p>
        </w:tc>
      </w:tr>
      <w:tr w:rsidR="007342A7" w:rsidRPr="007342A7" w14:paraId="2441DB23" w14:textId="77777777" w:rsidTr="00EA0E37">
        <w:trPr>
          <w:trHeight w:val="290"/>
        </w:trPr>
        <w:tc>
          <w:tcPr>
            <w:tcW w:w="3192" w:type="pct"/>
            <w:tcBorders>
              <w:top w:val="nil"/>
              <w:left w:val="nil"/>
              <w:bottom w:val="nil"/>
              <w:right w:val="nil"/>
            </w:tcBorders>
            <w:shd w:val="clear" w:color="auto" w:fill="auto"/>
            <w:noWrap/>
            <w:vAlign w:val="center"/>
            <w:hideMark/>
          </w:tcPr>
          <w:p w14:paraId="7AC6C91E"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Independent Schools Victoria (ISV)</w:t>
            </w:r>
          </w:p>
        </w:tc>
        <w:tc>
          <w:tcPr>
            <w:tcW w:w="927" w:type="pct"/>
            <w:tcBorders>
              <w:top w:val="nil"/>
              <w:left w:val="nil"/>
              <w:bottom w:val="nil"/>
              <w:right w:val="nil"/>
            </w:tcBorders>
            <w:shd w:val="clear" w:color="auto" w:fill="auto"/>
            <w:vAlign w:val="center"/>
            <w:hideMark/>
          </w:tcPr>
          <w:p w14:paraId="371E7A70" w14:textId="0759E6C3"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$9,013,738</w:t>
            </w:r>
          </w:p>
        </w:tc>
        <w:tc>
          <w:tcPr>
            <w:tcW w:w="881" w:type="pct"/>
            <w:tcBorders>
              <w:top w:val="nil"/>
              <w:left w:val="nil"/>
              <w:bottom w:val="nil"/>
              <w:right w:val="nil"/>
            </w:tcBorders>
            <w:shd w:val="clear" w:color="auto" w:fill="auto"/>
            <w:vAlign w:val="center"/>
            <w:hideMark/>
          </w:tcPr>
          <w:p w14:paraId="274BDBF4" w14:textId="4DDA95B6"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$26,261,253</w:t>
            </w:r>
          </w:p>
        </w:tc>
      </w:tr>
      <w:tr w:rsidR="007342A7" w:rsidRPr="007342A7" w14:paraId="3DFCC0AC" w14:textId="77777777" w:rsidTr="00EA0E37">
        <w:trPr>
          <w:trHeight w:val="290"/>
        </w:trPr>
        <w:tc>
          <w:tcPr>
            <w:tcW w:w="3192" w:type="pct"/>
            <w:tcBorders>
              <w:top w:val="nil"/>
              <w:left w:val="nil"/>
              <w:bottom w:val="nil"/>
              <w:right w:val="nil"/>
            </w:tcBorders>
            <w:shd w:val="clear" w:color="auto" w:fill="auto"/>
            <w:noWrap/>
            <w:vAlign w:val="center"/>
            <w:hideMark/>
          </w:tcPr>
          <w:p w14:paraId="0D8089BC"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Independent Schools Queensland (ISQ)</w:t>
            </w:r>
          </w:p>
        </w:tc>
        <w:tc>
          <w:tcPr>
            <w:tcW w:w="927" w:type="pct"/>
            <w:tcBorders>
              <w:top w:val="nil"/>
              <w:left w:val="nil"/>
              <w:bottom w:val="nil"/>
              <w:right w:val="nil"/>
            </w:tcBorders>
            <w:shd w:val="clear" w:color="auto" w:fill="auto"/>
            <w:vAlign w:val="center"/>
            <w:hideMark/>
          </w:tcPr>
          <w:p w14:paraId="1730B7BB" w14:textId="019A7DE4"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$9,468,010</w:t>
            </w:r>
          </w:p>
        </w:tc>
        <w:tc>
          <w:tcPr>
            <w:tcW w:w="881" w:type="pct"/>
            <w:tcBorders>
              <w:top w:val="nil"/>
              <w:left w:val="nil"/>
              <w:bottom w:val="nil"/>
              <w:right w:val="nil"/>
            </w:tcBorders>
            <w:shd w:val="clear" w:color="auto" w:fill="auto"/>
            <w:vAlign w:val="center"/>
            <w:hideMark/>
          </w:tcPr>
          <w:p w14:paraId="430550E2" w14:textId="11F8E046"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$27,584,759</w:t>
            </w:r>
          </w:p>
        </w:tc>
      </w:tr>
      <w:tr w:rsidR="007342A7" w:rsidRPr="007342A7" w14:paraId="7BD3E6A8" w14:textId="77777777" w:rsidTr="00EA0E37">
        <w:trPr>
          <w:trHeight w:val="290"/>
        </w:trPr>
        <w:tc>
          <w:tcPr>
            <w:tcW w:w="3192" w:type="pct"/>
            <w:tcBorders>
              <w:top w:val="nil"/>
              <w:left w:val="nil"/>
              <w:bottom w:val="nil"/>
              <w:right w:val="nil"/>
            </w:tcBorders>
            <w:shd w:val="clear" w:color="auto" w:fill="auto"/>
            <w:noWrap/>
            <w:vAlign w:val="center"/>
            <w:hideMark/>
          </w:tcPr>
          <w:p w14:paraId="247866C5"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Association of Independent Schools South Australia (AISSA)</w:t>
            </w:r>
          </w:p>
        </w:tc>
        <w:tc>
          <w:tcPr>
            <w:tcW w:w="927" w:type="pct"/>
            <w:tcBorders>
              <w:top w:val="nil"/>
              <w:left w:val="nil"/>
              <w:bottom w:val="nil"/>
              <w:right w:val="nil"/>
            </w:tcBorders>
            <w:shd w:val="clear" w:color="auto" w:fill="auto"/>
            <w:vAlign w:val="center"/>
            <w:hideMark/>
          </w:tcPr>
          <w:p w14:paraId="3A0B56B4" w14:textId="5EBC76EC"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$2,675,994</w:t>
            </w:r>
          </w:p>
        </w:tc>
        <w:tc>
          <w:tcPr>
            <w:tcW w:w="881" w:type="pct"/>
            <w:tcBorders>
              <w:top w:val="nil"/>
              <w:left w:val="nil"/>
              <w:bottom w:val="nil"/>
              <w:right w:val="nil"/>
            </w:tcBorders>
            <w:shd w:val="clear" w:color="auto" w:fill="auto"/>
            <w:vAlign w:val="center"/>
            <w:hideMark/>
          </w:tcPr>
          <w:p w14:paraId="600A07A3" w14:textId="10EA72ED"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$7,796,427</w:t>
            </w:r>
          </w:p>
        </w:tc>
      </w:tr>
      <w:tr w:rsidR="007342A7" w:rsidRPr="007342A7" w14:paraId="1794327F" w14:textId="77777777" w:rsidTr="00EA0E37">
        <w:trPr>
          <w:trHeight w:val="290"/>
        </w:trPr>
        <w:tc>
          <w:tcPr>
            <w:tcW w:w="3192" w:type="pct"/>
            <w:tcBorders>
              <w:top w:val="nil"/>
              <w:left w:val="nil"/>
              <w:bottom w:val="nil"/>
              <w:right w:val="nil"/>
            </w:tcBorders>
            <w:shd w:val="clear" w:color="auto" w:fill="auto"/>
            <w:noWrap/>
            <w:vAlign w:val="center"/>
            <w:hideMark/>
          </w:tcPr>
          <w:p w14:paraId="0B44B132"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Association of Independent Schools Western Australia (AISWA)</w:t>
            </w:r>
          </w:p>
        </w:tc>
        <w:tc>
          <w:tcPr>
            <w:tcW w:w="927" w:type="pct"/>
            <w:tcBorders>
              <w:top w:val="nil"/>
              <w:left w:val="nil"/>
              <w:bottom w:val="nil"/>
              <w:right w:val="nil"/>
            </w:tcBorders>
            <w:shd w:val="clear" w:color="auto" w:fill="auto"/>
            <w:vAlign w:val="center"/>
            <w:hideMark/>
          </w:tcPr>
          <w:p w14:paraId="654E8FDF" w14:textId="061FA145"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$4,585,608</w:t>
            </w:r>
          </w:p>
        </w:tc>
        <w:tc>
          <w:tcPr>
            <w:tcW w:w="881" w:type="pct"/>
            <w:tcBorders>
              <w:top w:val="nil"/>
              <w:left w:val="nil"/>
              <w:bottom w:val="nil"/>
              <w:right w:val="nil"/>
            </w:tcBorders>
            <w:shd w:val="clear" w:color="auto" w:fill="auto"/>
            <w:vAlign w:val="center"/>
            <w:hideMark/>
          </w:tcPr>
          <w:p w14:paraId="11F24D82" w14:textId="624B55FD"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$13,360,032</w:t>
            </w:r>
          </w:p>
        </w:tc>
      </w:tr>
      <w:tr w:rsidR="007342A7" w:rsidRPr="007342A7" w14:paraId="673B49C9" w14:textId="77777777" w:rsidTr="00EA0E37">
        <w:trPr>
          <w:trHeight w:val="290"/>
        </w:trPr>
        <w:tc>
          <w:tcPr>
            <w:tcW w:w="3192" w:type="pct"/>
            <w:tcBorders>
              <w:top w:val="nil"/>
              <w:left w:val="nil"/>
              <w:bottom w:val="nil"/>
              <w:right w:val="nil"/>
            </w:tcBorders>
            <w:shd w:val="clear" w:color="auto" w:fill="auto"/>
            <w:noWrap/>
            <w:vAlign w:val="center"/>
            <w:hideMark/>
          </w:tcPr>
          <w:p w14:paraId="2B61E371"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Independent Schools Tasmania (IST)</w:t>
            </w:r>
          </w:p>
        </w:tc>
        <w:tc>
          <w:tcPr>
            <w:tcW w:w="927" w:type="pct"/>
            <w:tcBorders>
              <w:top w:val="nil"/>
              <w:left w:val="nil"/>
              <w:bottom w:val="nil"/>
              <w:right w:val="nil"/>
            </w:tcBorders>
            <w:shd w:val="clear" w:color="auto" w:fill="auto"/>
            <w:vAlign w:val="center"/>
            <w:hideMark/>
          </w:tcPr>
          <w:p w14:paraId="655F2D75" w14:textId="091E47D0"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$1,133,280</w:t>
            </w:r>
          </w:p>
        </w:tc>
        <w:tc>
          <w:tcPr>
            <w:tcW w:w="881" w:type="pct"/>
            <w:tcBorders>
              <w:top w:val="nil"/>
              <w:left w:val="nil"/>
              <w:bottom w:val="nil"/>
              <w:right w:val="nil"/>
            </w:tcBorders>
            <w:shd w:val="clear" w:color="auto" w:fill="auto"/>
            <w:vAlign w:val="center"/>
            <w:hideMark/>
          </w:tcPr>
          <w:p w14:paraId="0F5FBF51" w14:textId="19ED7719"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$3,301,777</w:t>
            </w:r>
          </w:p>
        </w:tc>
      </w:tr>
      <w:tr w:rsidR="007342A7" w:rsidRPr="007342A7" w14:paraId="118CDF85" w14:textId="77777777" w:rsidTr="00EA0E37">
        <w:trPr>
          <w:trHeight w:val="290"/>
        </w:trPr>
        <w:tc>
          <w:tcPr>
            <w:tcW w:w="3192" w:type="pct"/>
            <w:tcBorders>
              <w:top w:val="nil"/>
              <w:left w:val="nil"/>
              <w:bottom w:val="nil"/>
              <w:right w:val="nil"/>
            </w:tcBorders>
            <w:shd w:val="clear" w:color="auto" w:fill="auto"/>
            <w:noWrap/>
            <w:vAlign w:val="center"/>
            <w:hideMark/>
          </w:tcPr>
          <w:p w14:paraId="688A892C"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Association of Independent Schools of the ACT (ACT)</w:t>
            </w:r>
          </w:p>
        </w:tc>
        <w:tc>
          <w:tcPr>
            <w:tcW w:w="927" w:type="pct"/>
            <w:tcBorders>
              <w:top w:val="nil"/>
              <w:left w:val="nil"/>
              <w:bottom w:val="nil"/>
              <w:right w:val="nil"/>
            </w:tcBorders>
            <w:shd w:val="clear" w:color="auto" w:fill="auto"/>
            <w:vAlign w:val="center"/>
            <w:hideMark/>
          </w:tcPr>
          <w:p w14:paraId="25BD3F11" w14:textId="6F5DB456"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$438,490</w:t>
            </w:r>
          </w:p>
        </w:tc>
        <w:tc>
          <w:tcPr>
            <w:tcW w:w="881" w:type="pct"/>
            <w:tcBorders>
              <w:top w:val="nil"/>
              <w:left w:val="nil"/>
              <w:bottom w:val="nil"/>
              <w:right w:val="nil"/>
            </w:tcBorders>
            <w:shd w:val="clear" w:color="auto" w:fill="auto"/>
            <w:vAlign w:val="center"/>
            <w:hideMark/>
          </w:tcPr>
          <w:p w14:paraId="68294019" w14:textId="13D0EBED"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$1,277,527</w:t>
            </w:r>
          </w:p>
        </w:tc>
      </w:tr>
      <w:tr w:rsidR="007342A7" w:rsidRPr="007342A7" w14:paraId="1A6263D8" w14:textId="77777777" w:rsidTr="005579A7">
        <w:trPr>
          <w:trHeight w:val="290"/>
        </w:trPr>
        <w:tc>
          <w:tcPr>
            <w:tcW w:w="3192" w:type="pct"/>
            <w:tcBorders>
              <w:top w:val="nil"/>
              <w:left w:val="nil"/>
              <w:bottom w:val="single" w:sz="4" w:space="0" w:color="auto"/>
              <w:right w:val="nil"/>
            </w:tcBorders>
            <w:shd w:val="clear" w:color="auto" w:fill="auto"/>
            <w:noWrap/>
            <w:vAlign w:val="center"/>
            <w:hideMark/>
          </w:tcPr>
          <w:p w14:paraId="64679C06" w14:textId="77777777" w:rsidR="007342A7" w:rsidRPr="007342A7" w:rsidRDefault="007342A7" w:rsidP="007342A7">
            <w:pPr>
              <w:spacing w:after="0" w:line="240" w:lineRule="auto"/>
              <w:rPr>
                <w:rFonts w:ascii="Calibri" w:eastAsia="Times New Roman" w:hAnsi="Calibri" w:cs="Calibri"/>
                <w:color w:val="000000"/>
                <w:lang w:eastAsia="en-AU"/>
              </w:rPr>
            </w:pPr>
            <w:r w:rsidRPr="007342A7">
              <w:rPr>
                <w:rFonts w:ascii="Calibri" w:eastAsia="Times New Roman" w:hAnsi="Calibri" w:cs="Calibri"/>
                <w:color w:val="000000"/>
                <w:lang w:eastAsia="en-AU"/>
              </w:rPr>
              <w:t>Association of Independent Schools Northern Territory (AISNT)</w:t>
            </w:r>
          </w:p>
        </w:tc>
        <w:tc>
          <w:tcPr>
            <w:tcW w:w="927" w:type="pct"/>
            <w:tcBorders>
              <w:top w:val="nil"/>
              <w:left w:val="nil"/>
              <w:bottom w:val="single" w:sz="4" w:space="0" w:color="auto"/>
              <w:right w:val="nil"/>
            </w:tcBorders>
            <w:shd w:val="clear" w:color="auto" w:fill="auto"/>
            <w:vAlign w:val="center"/>
            <w:hideMark/>
          </w:tcPr>
          <w:p w14:paraId="75D9808C" w14:textId="08C092F0"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$1,425,376</w:t>
            </w:r>
          </w:p>
        </w:tc>
        <w:tc>
          <w:tcPr>
            <w:tcW w:w="881" w:type="pct"/>
            <w:tcBorders>
              <w:top w:val="nil"/>
              <w:left w:val="nil"/>
              <w:bottom w:val="single" w:sz="4" w:space="0" w:color="auto"/>
              <w:right w:val="nil"/>
            </w:tcBorders>
            <w:shd w:val="clear" w:color="auto" w:fill="auto"/>
            <w:vAlign w:val="center"/>
            <w:hideMark/>
          </w:tcPr>
          <w:p w14:paraId="34256A0E" w14:textId="24F45086" w:rsidR="007342A7" w:rsidRPr="007342A7" w:rsidRDefault="007342A7" w:rsidP="007342A7">
            <w:pPr>
              <w:spacing w:after="0" w:line="240" w:lineRule="auto"/>
              <w:jc w:val="right"/>
              <w:rPr>
                <w:rFonts w:ascii="Calibri" w:eastAsia="Times New Roman" w:hAnsi="Calibri" w:cs="Calibri"/>
                <w:color w:val="000000"/>
                <w:lang w:eastAsia="en-AU"/>
              </w:rPr>
            </w:pPr>
            <w:r w:rsidRPr="007342A7">
              <w:rPr>
                <w:rFonts w:ascii="Calibri" w:eastAsia="Times New Roman" w:hAnsi="Calibri" w:cs="Calibri"/>
                <w:color w:val="000000"/>
                <w:lang w:eastAsia="en-AU"/>
              </w:rPr>
              <w:t>$4,152,790</w:t>
            </w:r>
          </w:p>
        </w:tc>
      </w:tr>
      <w:tr w:rsidR="007342A7" w:rsidRPr="007342A7" w14:paraId="2CA14F0E" w14:textId="77777777" w:rsidTr="005579A7">
        <w:trPr>
          <w:trHeight w:val="290"/>
        </w:trPr>
        <w:tc>
          <w:tcPr>
            <w:tcW w:w="3192" w:type="pct"/>
            <w:tcBorders>
              <w:top w:val="single" w:sz="4" w:space="0" w:color="auto"/>
              <w:left w:val="nil"/>
              <w:bottom w:val="single" w:sz="4" w:space="0" w:color="auto"/>
              <w:right w:val="nil"/>
            </w:tcBorders>
            <w:shd w:val="clear" w:color="auto" w:fill="auto"/>
            <w:vAlign w:val="center"/>
            <w:hideMark/>
          </w:tcPr>
          <w:p w14:paraId="4B9D1741" w14:textId="77777777" w:rsidR="007342A7" w:rsidRPr="007342A7" w:rsidRDefault="007342A7" w:rsidP="007342A7">
            <w:pPr>
              <w:spacing w:after="0" w:line="240" w:lineRule="auto"/>
              <w:rPr>
                <w:rFonts w:ascii="Calibri" w:eastAsia="Times New Roman" w:hAnsi="Calibri" w:cs="Calibri"/>
                <w:b/>
                <w:bCs/>
                <w:lang w:eastAsia="en-AU"/>
              </w:rPr>
            </w:pPr>
            <w:r w:rsidRPr="007342A7">
              <w:rPr>
                <w:rFonts w:ascii="Calibri" w:eastAsia="Times New Roman" w:hAnsi="Calibri" w:cs="Calibri"/>
                <w:b/>
                <w:bCs/>
                <w:lang w:eastAsia="en-AU"/>
              </w:rPr>
              <w:t>Total</w:t>
            </w:r>
          </w:p>
        </w:tc>
        <w:tc>
          <w:tcPr>
            <w:tcW w:w="927" w:type="pct"/>
            <w:tcBorders>
              <w:top w:val="single" w:sz="4" w:space="0" w:color="auto"/>
              <w:left w:val="nil"/>
              <w:bottom w:val="single" w:sz="4" w:space="0" w:color="auto"/>
              <w:right w:val="nil"/>
            </w:tcBorders>
            <w:shd w:val="clear" w:color="auto" w:fill="auto"/>
            <w:noWrap/>
            <w:vAlign w:val="bottom"/>
            <w:hideMark/>
          </w:tcPr>
          <w:p w14:paraId="649204E2" w14:textId="0BE7BB32" w:rsidR="007342A7" w:rsidRPr="007342A7" w:rsidRDefault="007342A7" w:rsidP="007342A7">
            <w:pPr>
              <w:spacing w:after="0" w:line="240" w:lineRule="auto"/>
              <w:jc w:val="right"/>
              <w:rPr>
                <w:rFonts w:ascii="Calibri" w:eastAsia="Times New Roman" w:hAnsi="Calibri" w:cs="Calibri"/>
                <w:b/>
                <w:bCs/>
                <w:color w:val="000000"/>
                <w:lang w:eastAsia="en-AU"/>
              </w:rPr>
            </w:pPr>
            <w:r w:rsidRPr="007342A7">
              <w:rPr>
                <w:rFonts w:ascii="Calibri" w:eastAsia="Times New Roman" w:hAnsi="Calibri" w:cs="Calibri"/>
                <w:b/>
                <w:bCs/>
                <w:color w:val="000000"/>
                <w:lang w:eastAsia="en-AU"/>
              </w:rPr>
              <w:t>$42,092,918</w:t>
            </w:r>
          </w:p>
        </w:tc>
        <w:tc>
          <w:tcPr>
            <w:tcW w:w="881" w:type="pct"/>
            <w:tcBorders>
              <w:top w:val="single" w:sz="4" w:space="0" w:color="auto"/>
              <w:left w:val="nil"/>
              <w:bottom w:val="single" w:sz="4" w:space="0" w:color="auto"/>
              <w:right w:val="nil"/>
            </w:tcBorders>
            <w:shd w:val="clear" w:color="auto" w:fill="auto"/>
            <w:noWrap/>
            <w:vAlign w:val="bottom"/>
            <w:hideMark/>
          </w:tcPr>
          <w:p w14:paraId="50D23DFF" w14:textId="6430E9E7" w:rsidR="007342A7" w:rsidRPr="007342A7" w:rsidRDefault="007342A7" w:rsidP="007342A7">
            <w:pPr>
              <w:spacing w:after="0" w:line="240" w:lineRule="auto"/>
              <w:jc w:val="right"/>
              <w:rPr>
                <w:rFonts w:ascii="Calibri" w:eastAsia="Times New Roman" w:hAnsi="Calibri" w:cs="Calibri"/>
                <w:b/>
                <w:bCs/>
                <w:color w:val="000000"/>
                <w:lang w:eastAsia="en-AU"/>
              </w:rPr>
            </w:pPr>
            <w:r w:rsidRPr="007342A7">
              <w:rPr>
                <w:rFonts w:ascii="Calibri" w:eastAsia="Times New Roman" w:hAnsi="Calibri" w:cs="Calibri"/>
                <w:b/>
                <w:bCs/>
                <w:color w:val="000000"/>
                <w:lang w:eastAsia="en-AU"/>
              </w:rPr>
              <w:t>$122,636,445</w:t>
            </w:r>
          </w:p>
        </w:tc>
      </w:tr>
    </w:tbl>
    <w:p w14:paraId="163CD37C" w14:textId="77777777" w:rsidR="007342A7" w:rsidRDefault="007342A7" w:rsidP="007342A7"/>
    <w:p w14:paraId="6BB5F289" w14:textId="77777777" w:rsidR="00C26D3B" w:rsidRDefault="00C26D3B" w:rsidP="007342A7">
      <w:pPr>
        <w:sectPr w:rsidR="00C26D3B" w:rsidSect="00C26D3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pPr>
    </w:p>
    <w:p w14:paraId="1ACECDCD" w14:textId="52058428" w:rsidR="0017134D" w:rsidRDefault="007D2AF2" w:rsidP="00C26D3B">
      <w:pPr>
        <w:spacing w:after="120"/>
      </w:pPr>
      <w:r w:rsidRPr="00CE14E9">
        <w:lastRenderedPageBreak/>
        <w:t>Estimated funding allocations for each NGRB are published on the Department’s website in October each year and the latest estimates for 202</w:t>
      </w:r>
      <w:r w:rsidR="00F419A4">
        <w:t>3</w:t>
      </w:r>
      <w:r w:rsidRPr="00CE14E9">
        <w:t xml:space="preserve"> onwards (as of October 202</w:t>
      </w:r>
      <w:r w:rsidR="00353460">
        <w:t>3</w:t>
      </w:r>
      <w:r w:rsidRPr="00CE14E9">
        <w:t xml:space="preserve">) are set out in </w:t>
      </w:r>
      <w:r w:rsidRPr="00C62DF7">
        <w:rPr>
          <w:b/>
          <w:bCs/>
        </w:rPr>
        <w:t xml:space="preserve">Table </w:t>
      </w:r>
      <w:r w:rsidR="00D410DA">
        <w:rPr>
          <w:b/>
          <w:bCs/>
        </w:rPr>
        <w:t>5</w:t>
      </w:r>
      <w:r w:rsidR="00677FD4" w:rsidRPr="00C62DF7">
        <w:rPr>
          <w:b/>
          <w:bCs/>
        </w:rPr>
        <w:t xml:space="preserve"> </w:t>
      </w:r>
      <w:r w:rsidR="00C62DF7" w:rsidRPr="00C62DF7">
        <w:rPr>
          <w:b/>
          <w:bCs/>
        </w:rPr>
        <w:t xml:space="preserve">and </w:t>
      </w:r>
      <w:r w:rsidR="00C62DF7">
        <w:rPr>
          <w:b/>
          <w:bCs/>
        </w:rPr>
        <w:t xml:space="preserve">Table </w:t>
      </w:r>
      <w:r w:rsidR="00D410DA">
        <w:rPr>
          <w:b/>
          <w:bCs/>
        </w:rPr>
        <w:t>6</w:t>
      </w:r>
      <w:r w:rsidRPr="00CE14E9">
        <w:t>.</w:t>
      </w:r>
      <w:r>
        <w:t xml:space="preserve"> </w:t>
      </w:r>
    </w:p>
    <w:p w14:paraId="0988E771" w14:textId="77777777" w:rsidR="002E1085" w:rsidRDefault="002E1085" w:rsidP="00C26D3B">
      <w:pPr>
        <w:spacing w:after="120"/>
      </w:pPr>
    </w:p>
    <w:p w14:paraId="5CE99AD9" w14:textId="16E0F3C1" w:rsidR="002E1085" w:rsidRDefault="002E1085" w:rsidP="002E1085">
      <w:pPr>
        <w:spacing w:after="120"/>
        <w:rPr>
          <w:b/>
          <w:iCs/>
          <w:color w:val="00254A" w:themeColor="text2"/>
          <w:szCs w:val="18"/>
        </w:rPr>
      </w:pPr>
      <w:r w:rsidRPr="002E1085">
        <w:rPr>
          <w:b/>
          <w:iCs/>
          <w:color w:val="00254A" w:themeColor="text2"/>
          <w:szCs w:val="18"/>
        </w:rPr>
        <w:t xml:space="preserve">Table </w:t>
      </w:r>
      <w:r w:rsidR="00D410DA">
        <w:rPr>
          <w:b/>
          <w:iCs/>
          <w:color w:val="00254A" w:themeColor="text2"/>
          <w:szCs w:val="18"/>
        </w:rPr>
        <w:t>5</w:t>
      </w:r>
      <w:r w:rsidRPr="002E1085">
        <w:rPr>
          <w:b/>
          <w:iCs/>
          <w:color w:val="00254A" w:themeColor="text2"/>
          <w:szCs w:val="18"/>
        </w:rPr>
        <w:t xml:space="preserve"> - Estimated CAF allocations to </w:t>
      </w:r>
      <w:r>
        <w:rPr>
          <w:b/>
          <w:iCs/>
          <w:color w:val="00254A" w:themeColor="text2"/>
          <w:szCs w:val="18"/>
        </w:rPr>
        <w:t>Catholic</w:t>
      </w:r>
      <w:r w:rsidRPr="002E1085">
        <w:rPr>
          <w:b/>
          <w:iCs/>
          <w:color w:val="00254A" w:themeColor="text2"/>
          <w:szCs w:val="18"/>
        </w:rPr>
        <w:t xml:space="preserve"> NGRBs 2022-2029</w:t>
      </w:r>
    </w:p>
    <w:tbl>
      <w:tblPr>
        <w:tblW w:w="5000" w:type="pct"/>
        <w:tblLook w:val="04A0" w:firstRow="1" w:lastRow="0" w:firstColumn="1" w:lastColumn="0" w:noHBand="0" w:noVBand="1"/>
      </w:tblPr>
      <w:tblGrid>
        <w:gridCol w:w="1425"/>
        <w:gridCol w:w="1264"/>
        <w:gridCol w:w="1264"/>
        <w:gridCol w:w="1264"/>
        <w:gridCol w:w="1264"/>
        <w:gridCol w:w="1264"/>
        <w:gridCol w:w="1264"/>
        <w:gridCol w:w="1264"/>
        <w:gridCol w:w="1264"/>
        <w:gridCol w:w="1264"/>
        <w:gridCol w:w="1264"/>
        <w:gridCol w:w="1333"/>
      </w:tblGrid>
      <w:tr w:rsidR="00862084" w:rsidRPr="00862084" w14:paraId="22FFA4B8" w14:textId="77777777" w:rsidTr="0098448C">
        <w:trPr>
          <w:trHeight w:val="288"/>
        </w:trPr>
        <w:tc>
          <w:tcPr>
            <w:tcW w:w="417" w:type="pct"/>
            <w:tcBorders>
              <w:top w:val="nil"/>
              <w:left w:val="nil"/>
              <w:bottom w:val="nil"/>
              <w:right w:val="nil"/>
            </w:tcBorders>
            <w:shd w:val="clear" w:color="000000" w:fill="002060"/>
            <w:noWrap/>
            <w:vAlign w:val="center"/>
            <w:hideMark/>
          </w:tcPr>
          <w:p w14:paraId="257D5F0C" w14:textId="77777777" w:rsidR="00862084" w:rsidRPr="00862084" w:rsidRDefault="00862084" w:rsidP="00862084">
            <w:pPr>
              <w:spacing w:after="0" w:line="240" w:lineRule="auto"/>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Year</w:t>
            </w:r>
          </w:p>
        </w:tc>
        <w:tc>
          <w:tcPr>
            <w:tcW w:w="417" w:type="pct"/>
            <w:tcBorders>
              <w:top w:val="nil"/>
              <w:left w:val="nil"/>
              <w:bottom w:val="nil"/>
              <w:right w:val="nil"/>
            </w:tcBorders>
            <w:shd w:val="clear" w:color="000000" w:fill="002060"/>
            <w:noWrap/>
            <w:vAlign w:val="center"/>
            <w:hideMark/>
          </w:tcPr>
          <w:p w14:paraId="55B40A7A"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2020</w:t>
            </w:r>
          </w:p>
        </w:tc>
        <w:tc>
          <w:tcPr>
            <w:tcW w:w="417" w:type="pct"/>
            <w:tcBorders>
              <w:top w:val="nil"/>
              <w:left w:val="nil"/>
              <w:bottom w:val="nil"/>
              <w:right w:val="nil"/>
            </w:tcBorders>
            <w:shd w:val="clear" w:color="000000" w:fill="002060"/>
            <w:noWrap/>
            <w:vAlign w:val="center"/>
            <w:hideMark/>
          </w:tcPr>
          <w:p w14:paraId="7702D038"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2021</w:t>
            </w:r>
          </w:p>
        </w:tc>
        <w:tc>
          <w:tcPr>
            <w:tcW w:w="417" w:type="pct"/>
            <w:tcBorders>
              <w:top w:val="nil"/>
              <w:left w:val="nil"/>
              <w:bottom w:val="nil"/>
              <w:right w:val="nil"/>
            </w:tcBorders>
            <w:shd w:val="clear" w:color="000000" w:fill="002060"/>
            <w:noWrap/>
            <w:vAlign w:val="center"/>
            <w:hideMark/>
          </w:tcPr>
          <w:p w14:paraId="41FAF5BF"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2022</w:t>
            </w:r>
          </w:p>
        </w:tc>
        <w:tc>
          <w:tcPr>
            <w:tcW w:w="417" w:type="pct"/>
            <w:tcBorders>
              <w:top w:val="nil"/>
              <w:left w:val="nil"/>
              <w:bottom w:val="nil"/>
              <w:right w:val="nil"/>
            </w:tcBorders>
            <w:shd w:val="clear" w:color="000000" w:fill="002060"/>
            <w:noWrap/>
            <w:vAlign w:val="center"/>
            <w:hideMark/>
          </w:tcPr>
          <w:p w14:paraId="53B26E89"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2023</w:t>
            </w:r>
          </w:p>
        </w:tc>
        <w:tc>
          <w:tcPr>
            <w:tcW w:w="417" w:type="pct"/>
            <w:tcBorders>
              <w:top w:val="nil"/>
              <w:left w:val="nil"/>
              <w:bottom w:val="nil"/>
              <w:right w:val="nil"/>
            </w:tcBorders>
            <w:shd w:val="clear" w:color="000000" w:fill="002060"/>
            <w:noWrap/>
            <w:vAlign w:val="center"/>
            <w:hideMark/>
          </w:tcPr>
          <w:p w14:paraId="7F4768EA"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2024</w:t>
            </w:r>
          </w:p>
        </w:tc>
        <w:tc>
          <w:tcPr>
            <w:tcW w:w="417" w:type="pct"/>
            <w:tcBorders>
              <w:top w:val="nil"/>
              <w:left w:val="nil"/>
              <w:bottom w:val="nil"/>
              <w:right w:val="nil"/>
            </w:tcBorders>
            <w:shd w:val="clear" w:color="000000" w:fill="002060"/>
            <w:noWrap/>
            <w:vAlign w:val="center"/>
            <w:hideMark/>
          </w:tcPr>
          <w:p w14:paraId="7190CF77"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2025</w:t>
            </w:r>
          </w:p>
        </w:tc>
        <w:tc>
          <w:tcPr>
            <w:tcW w:w="417" w:type="pct"/>
            <w:tcBorders>
              <w:top w:val="nil"/>
              <w:left w:val="nil"/>
              <w:bottom w:val="nil"/>
              <w:right w:val="nil"/>
            </w:tcBorders>
            <w:shd w:val="clear" w:color="000000" w:fill="002060"/>
            <w:noWrap/>
            <w:vAlign w:val="center"/>
            <w:hideMark/>
          </w:tcPr>
          <w:p w14:paraId="5B740F2D"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2026</w:t>
            </w:r>
          </w:p>
        </w:tc>
        <w:tc>
          <w:tcPr>
            <w:tcW w:w="417" w:type="pct"/>
            <w:tcBorders>
              <w:top w:val="nil"/>
              <w:left w:val="nil"/>
              <w:bottom w:val="nil"/>
              <w:right w:val="nil"/>
            </w:tcBorders>
            <w:shd w:val="clear" w:color="000000" w:fill="002060"/>
            <w:noWrap/>
            <w:vAlign w:val="center"/>
            <w:hideMark/>
          </w:tcPr>
          <w:p w14:paraId="0E77106F"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2027</w:t>
            </w:r>
          </w:p>
        </w:tc>
        <w:tc>
          <w:tcPr>
            <w:tcW w:w="417" w:type="pct"/>
            <w:tcBorders>
              <w:top w:val="nil"/>
              <w:left w:val="nil"/>
              <w:bottom w:val="nil"/>
              <w:right w:val="nil"/>
            </w:tcBorders>
            <w:shd w:val="clear" w:color="000000" w:fill="002060"/>
            <w:noWrap/>
            <w:vAlign w:val="center"/>
            <w:hideMark/>
          </w:tcPr>
          <w:p w14:paraId="08BE390F"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2028</w:t>
            </w:r>
          </w:p>
        </w:tc>
        <w:tc>
          <w:tcPr>
            <w:tcW w:w="417" w:type="pct"/>
            <w:tcBorders>
              <w:top w:val="nil"/>
              <w:left w:val="nil"/>
              <w:bottom w:val="nil"/>
              <w:right w:val="nil"/>
            </w:tcBorders>
            <w:shd w:val="clear" w:color="000000" w:fill="002060"/>
            <w:noWrap/>
            <w:vAlign w:val="center"/>
            <w:hideMark/>
          </w:tcPr>
          <w:p w14:paraId="049FB9E9"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2029</w:t>
            </w:r>
          </w:p>
        </w:tc>
        <w:tc>
          <w:tcPr>
            <w:tcW w:w="417" w:type="pct"/>
            <w:tcBorders>
              <w:top w:val="nil"/>
              <w:left w:val="nil"/>
              <w:bottom w:val="nil"/>
              <w:right w:val="nil"/>
            </w:tcBorders>
            <w:shd w:val="clear" w:color="000000" w:fill="002060"/>
            <w:noWrap/>
            <w:vAlign w:val="center"/>
            <w:hideMark/>
          </w:tcPr>
          <w:p w14:paraId="7EABE1BA"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Total</w:t>
            </w:r>
          </w:p>
        </w:tc>
      </w:tr>
      <w:tr w:rsidR="00862084" w:rsidRPr="00862084" w14:paraId="041E3A13" w14:textId="77777777" w:rsidTr="0098448C">
        <w:trPr>
          <w:trHeight w:val="288"/>
        </w:trPr>
        <w:tc>
          <w:tcPr>
            <w:tcW w:w="417" w:type="pct"/>
            <w:tcBorders>
              <w:top w:val="nil"/>
              <w:left w:val="nil"/>
              <w:bottom w:val="nil"/>
              <w:right w:val="nil"/>
            </w:tcBorders>
            <w:shd w:val="clear" w:color="000000" w:fill="002060"/>
            <w:noWrap/>
            <w:vAlign w:val="center"/>
            <w:hideMark/>
          </w:tcPr>
          <w:p w14:paraId="445EDBF8" w14:textId="77777777" w:rsidR="00862084" w:rsidRPr="00862084" w:rsidRDefault="00862084" w:rsidP="00862084">
            <w:pPr>
              <w:spacing w:after="0" w:line="240" w:lineRule="auto"/>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 </w:t>
            </w:r>
          </w:p>
        </w:tc>
        <w:tc>
          <w:tcPr>
            <w:tcW w:w="417" w:type="pct"/>
            <w:tcBorders>
              <w:top w:val="nil"/>
              <w:left w:val="nil"/>
              <w:bottom w:val="nil"/>
              <w:right w:val="nil"/>
            </w:tcBorders>
            <w:shd w:val="clear" w:color="000000" w:fill="002060"/>
            <w:noWrap/>
            <w:vAlign w:val="center"/>
            <w:hideMark/>
          </w:tcPr>
          <w:p w14:paraId="06298A9F"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02B79ADB"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58BC73A9"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50AE0BC3"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400621DD"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464DF5F3"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37E13CE0"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56E92FCC"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4ADB7775"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60828EE1"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0BB0439B"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r>
      <w:tr w:rsidR="00862084" w:rsidRPr="00862084" w14:paraId="504DBDE4" w14:textId="77777777" w:rsidTr="00376685">
        <w:trPr>
          <w:trHeight w:val="288"/>
        </w:trPr>
        <w:tc>
          <w:tcPr>
            <w:tcW w:w="417" w:type="pct"/>
            <w:tcBorders>
              <w:top w:val="nil"/>
              <w:left w:val="nil"/>
              <w:bottom w:val="nil"/>
              <w:right w:val="nil"/>
            </w:tcBorders>
            <w:shd w:val="clear" w:color="auto" w:fill="auto"/>
            <w:noWrap/>
            <w:vAlign w:val="center"/>
            <w:hideMark/>
          </w:tcPr>
          <w:p w14:paraId="16A69730"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CSNSW (NSW)</w:t>
            </w:r>
          </w:p>
        </w:tc>
        <w:tc>
          <w:tcPr>
            <w:tcW w:w="417" w:type="pct"/>
            <w:tcBorders>
              <w:top w:val="nil"/>
              <w:left w:val="nil"/>
              <w:bottom w:val="nil"/>
              <w:right w:val="nil"/>
            </w:tcBorders>
            <w:shd w:val="clear" w:color="auto" w:fill="auto"/>
            <w:noWrap/>
            <w:vAlign w:val="center"/>
            <w:hideMark/>
          </w:tcPr>
          <w:p w14:paraId="1002CD5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$16,333,123</w:t>
            </w:r>
          </w:p>
        </w:tc>
        <w:tc>
          <w:tcPr>
            <w:tcW w:w="417" w:type="pct"/>
            <w:tcBorders>
              <w:top w:val="nil"/>
              <w:left w:val="nil"/>
              <w:bottom w:val="nil"/>
              <w:right w:val="nil"/>
            </w:tcBorders>
            <w:shd w:val="clear" w:color="auto" w:fill="auto"/>
            <w:noWrap/>
            <w:vAlign w:val="center"/>
            <w:hideMark/>
          </w:tcPr>
          <w:p w14:paraId="568BCE8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$20,381,026</w:t>
            </w:r>
          </w:p>
        </w:tc>
        <w:tc>
          <w:tcPr>
            <w:tcW w:w="417" w:type="pct"/>
            <w:tcBorders>
              <w:top w:val="nil"/>
              <w:left w:val="nil"/>
              <w:bottom w:val="nil"/>
              <w:right w:val="nil"/>
            </w:tcBorders>
            <w:shd w:val="clear" w:color="auto" w:fill="auto"/>
            <w:noWrap/>
            <w:vAlign w:val="center"/>
            <w:hideMark/>
          </w:tcPr>
          <w:p w14:paraId="4C7F080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$21,094,359</w:t>
            </w:r>
          </w:p>
        </w:tc>
        <w:tc>
          <w:tcPr>
            <w:tcW w:w="417" w:type="pct"/>
            <w:tcBorders>
              <w:top w:val="nil"/>
              <w:left w:val="nil"/>
              <w:bottom w:val="nil"/>
              <w:right w:val="nil"/>
            </w:tcBorders>
            <w:shd w:val="clear" w:color="auto" w:fill="auto"/>
            <w:noWrap/>
            <w:vAlign w:val="center"/>
            <w:hideMark/>
          </w:tcPr>
          <w:p w14:paraId="4063DF7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$21,980,320</w:t>
            </w:r>
          </w:p>
        </w:tc>
        <w:tc>
          <w:tcPr>
            <w:tcW w:w="417" w:type="pct"/>
            <w:tcBorders>
              <w:top w:val="nil"/>
              <w:left w:val="nil"/>
              <w:bottom w:val="nil"/>
              <w:right w:val="nil"/>
            </w:tcBorders>
            <w:shd w:val="clear" w:color="auto" w:fill="auto"/>
            <w:noWrap/>
            <w:vAlign w:val="center"/>
            <w:hideMark/>
          </w:tcPr>
          <w:p w14:paraId="5280B9C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$22,639,732</w:t>
            </w:r>
          </w:p>
        </w:tc>
        <w:tc>
          <w:tcPr>
            <w:tcW w:w="417" w:type="pct"/>
            <w:tcBorders>
              <w:top w:val="nil"/>
              <w:left w:val="nil"/>
              <w:bottom w:val="nil"/>
              <w:right w:val="nil"/>
            </w:tcBorders>
            <w:shd w:val="clear" w:color="auto" w:fill="auto"/>
            <w:noWrap/>
            <w:vAlign w:val="center"/>
            <w:hideMark/>
          </w:tcPr>
          <w:p w14:paraId="2F6440E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$23,318,924</w:t>
            </w:r>
          </w:p>
        </w:tc>
        <w:tc>
          <w:tcPr>
            <w:tcW w:w="417" w:type="pct"/>
            <w:tcBorders>
              <w:top w:val="nil"/>
              <w:left w:val="nil"/>
              <w:bottom w:val="nil"/>
              <w:right w:val="nil"/>
            </w:tcBorders>
            <w:shd w:val="clear" w:color="auto" w:fill="auto"/>
            <w:noWrap/>
            <w:vAlign w:val="center"/>
            <w:hideMark/>
          </w:tcPr>
          <w:p w14:paraId="341A41B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$24,018,492</w:t>
            </w:r>
          </w:p>
        </w:tc>
        <w:tc>
          <w:tcPr>
            <w:tcW w:w="417" w:type="pct"/>
            <w:tcBorders>
              <w:top w:val="nil"/>
              <w:left w:val="nil"/>
              <w:bottom w:val="nil"/>
              <w:right w:val="nil"/>
            </w:tcBorders>
            <w:shd w:val="clear" w:color="auto" w:fill="auto"/>
            <w:noWrap/>
            <w:vAlign w:val="center"/>
            <w:hideMark/>
          </w:tcPr>
          <w:p w14:paraId="6E590AD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$24,739,047</w:t>
            </w:r>
          </w:p>
        </w:tc>
        <w:tc>
          <w:tcPr>
            <w:tcW w:w="417" w:type="pct"/>
            <w:tcBorders>
              <w:top w:val="nil"/>
              <w:left w:val="nil"/>
              <w:bottom w:val="nil"/>
              <w:right w:val="nil"/>
            </w:tcBorders>
            <w:shd w:val="clear" w:color="auto" w:fill="auto"/>
            <w:noWrap/>
            <w:vAlign w:val="center"/>
            <w:hideMark/>
          </w:tcPr>
          <w:p w14:paraId="6901946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$25,481,218</w:t>
            </w:r>
          </w:p>
        </w:tc>
        <w:tc>
          <w:tcPr>
            <w:tcW w:w="417" w:type="pct"/>
            <w:tcBorders>
              <w:top w:val="nil"/>
              <w:left w:val="nil"/>
              <w:bottom w:val="nil"/>
              <w:right w:val="nil"/>
            </w:tcBorders>
            <w:shd w:val="clear" w:color="auto" w:fill="auto"/>
            <w:noWrap/>
            <w:vAlign w:val="center"/>
            <w:hideMark/>
          </w:tcPr>
          <w:p w14:paraId="7CA6F32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$26,245,654</w:t>
            </w:r>
          </w:p>
        </w:tc>
        <w:tc>
          <w:tcPr>
            <w:tcW w:w="417" w:type="pct"/>
            <w:tcBorders>
              <w:top w:val="nil"/>
              <w:left w:val="nil"/>
              <w:bottom w:val="nil"/>
              <w:right w:val="nil"/>
            </w:tcBorders>
            <w:shd w:val="clear" w:color="auto" w:fill="auto"/>
            <w:noWrap/>
            <w:vAlign w:val="center"/>
            <w:hideMark/>
          </w:tcPr>
          <w:p w14:paraId="2BCC1BA8"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$226,231,895</w:t>
            </w:r>
          </w:p>
        </w:tc>
      </w:tr>
      <w:tr w:rsidR="00862084" w:rsidRPr="00862084" w14:paraId="5E72953C" w14:textId="77777777" w:rsidTr="00376685">
        <w:trPr>
          <w:trHeight w:val="288"/>
        </w:trPr>
        <w:tc>
          <w:tcPr>
            <w:tcW w:w="417" w:type="pct"/>
            <w:tcBorders>
              <w:top w:val="nil"/>
              <w:left w:val="nil"/>
              <w:bottom w:val="nil"/>
              <w:right w:val="nil"/>
            </w:tcBorders>
            <w:shd w:val="clear" w:color="auto" w:fill="auto"/>
            <w:noWrap/>
            <w:vAlign w:val="center"/>
            <w:hideMark/>
          </w:tcPr>
          <w:p w14:paraId="517AC711"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CECV (VIC) </w:t>
            </w:r>
          </w:p>
        </w:tc>
        <w:tc>
          <w:tcPr>
            <w:tcW w:w="417" w:type="pct"/>
            <w:tcBorders>
              <w:top w:val="nil"/>
              <w:left w:val="nil"/>
              <w:bottom w:val="nil"/>
              <w:right w:val="nil"/>
            </w:tcBorders>
            <w:shd w:val="clear" w:color="auto" w:fill="auto"/>
            <w:noWrap/>
            <w:vAlign w:val="center"/>
            <w:hideMark/>
          </w:tcPr>
          <w:p w14:paraId="6E33BEF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$15,481,119</w:t>
            </w:r>
          </w:p>
        </w:tc>
        <w:tc>
          <w:tcPr>
            <w:tcW w:w="417" w:type="pct"/>
            <w:tcBorders>
              <w:top w:val="nil"/>
              <w:left w:val="nil"/>
              <w:bottom w:val="nil"/>
              <w:right w:val="nil"/>
            </w:tcBorders>
            <w:shd w:val="clear" w:color="auto" w:fill="auto"/>
            <w:noWrap/>
            <w:vAlign w:val="center"/>
            <w:hideMark/>
          </w:tcPr>
          <w:p w14:paraId="5231601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$16,685,428</w:t>
            </w:r>
          </w:p>
        </w:tc>
        <w:tc>
          <w:tcPr>
            <w:tcW w:w="417" w:type="pct"/>
            <w:tcBorders>
              <w:top w:val="nil"/>
              <w:left w:val="nil"/>
              <w:bottom w:val="nil"/>
              <w:right w:val="nil"/>
            </w:tcBorders>
            <w:shd w:val="clear" w:color="auto" w:fill="auto"/>
            <w:noWrap/>
            <w:vAlign w:val="center"/>
            <w:hideMark/>
          </w:tcPr>
          <w:p w14:paraId="4B3F6CA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$17,269,417</w:t>
            </w:r>
          </w:p>
        </w:tc>
        <w:tc>
          <w:tcPr>
            <w:tcW w:w="417" w:type="pct"/>
            <w:tcBorders>
              <w:top w:val="nil"/>
              <w:left w:val="nil"/>
              <w:bottom w:val="nil"/>
              <w:right w:val="nil"/>
            </w:tcBorders>
            <w:shd w:val="clear" w:color="auto" w:fill="auto"/>
            <w:noWrap/>
            <w:vAlign w:val="center"/>
            <w:hideMark/>
          </w:tcPr>
          <w:p w14:paraId="5B39166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$17,994,736</w:t>
            </w:r>
          </w:p>
        </w:tc>
        <w:tc>
          <w:tcPr>
            <w:tcW w:w="417" w:type="pct"/>
            <w:tcBorders>
              <w:top w:val="nil"/>
              <w:left w:val="nil"/>
              <w:bottom w:val="nil"/>
              <w:right w:val="nil"/>
            </w:tcBorders>
            <w:shd w:val="clear" w:color="auto" w:fill="auto"/>
            <w:noWrap/>
            <w:vAlign w:val="center"/>
            <w:hideMark/>
          </w:tcPr>
          <w:p w14:paraId="381CE99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$18,534,576</w:t>
            </w:r>
          </w:p>
        </w:tc>
        <w:tc>
          <w:tcPr>
            <w:tcW w:w="417" w:type="pct"/>
            <w:tcBorders>
              <w:top w:val="nil"/>
              <w:left w:val="nil"/>
              <w:bottom w:val="nil"/>
              <w:right w:val="nil"/>
            </w:tcBorders>
            <w:shd w:val="clear" w:color="auto" w:fill="auto"/>
            <w:noWrap/>
            <w:vAlign w:val="center"/>
            <w:hideMark/>
          </w:tcPr>
          <w:p w14:paraId="483A624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$19,090,613</w:t>
            </w:r>
          </w:p>
        </w:tc>
        <w:tc>
          <w:tcPr>
            <w:tcW w:w="417" w:type="pct"/>
            <w:tcBorders>
              <w:top w:val="nil"/>
              <w:left w:val="nil"/>
              <w:bottom w:val="nil"/>
              <w:right w:val="nil"/>
            </w:tcBorders>
            <w:shd w:val="clear" w:color="auto" w:fill="auto"/>
            <w:noWrap/>
            <w:vAlign w:val="center"/>
            <w:hideMark/>
          </w:tcPr>
          <w:p w14:paraId="02DA2E5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$19,663,332</w:t>
            </w:r>
          </w:p>
        </w:tc>
        <w:tc>
          <w:tcPr>
            <w:tcW w:w="417" w:type="pct"/>
            <w:tcBorders>
              <w:top w:val="nil"/>
              <w:left w:val="nil"/>
              <w:bottom w:val="nil"/>
              <w:right w:val="nil"/>
            </w:tcBorders>
            <w:shd w:val="clear" w:color="auto" w:fill="auto"/>
            <w:noWrap/>
            <w:vAlign w:val="center"/>
            <w:hideMark/>
          </w:tcPr>
          <w:p w14:paraId="0731926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$20,253,232</w:t>
            </w:r>
          </w:p>
        </w:tc>
        <w:tc>
          <w:tcPr>
            <w:tcW w:w="417" w:type="pct"/>
            <w:tcBorders>
              <w:top w:val="nil"/>
              <w:left w:val="nil"/>
              <w:bottom w:val="nil"/>
              <w:right w:val="nil"/>
            </w:tcBorders>
            <w:shd w:val="clear" w:color="auto" w:fill="auto"/>
            <w:noWrap/>
            <w:vAlign w:val="center"/>
            <w:hideMark/>
          </w:tcPr>
          <w:p w14:paraId="13CB6E5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$20,860,829</w:t>
            </w:r>
          </w:p>
        </w:tc>
        <w:tc>
          <w:tcPr>
            <w:tcW w:w="417" w:type="pct"/>
            <w:tcBorders>
              <w:top w:val="nil"/>
              <w:left w:val="nil"/>
              <w:bottom w:val="nil"/>
              <w:right w:val="nil"/>
            </w:tcBorders>
            <w:shd w:val="clear" w:color="auto" w:fill="auto"/>
            <w:noWrap/>
            <w:vAlign w:val="center"/>
            <w:hideMark/>
          </w:tcPr>
          <w:p w14:paraId="7E54CB0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$21,486,653</w:t>
            </w:r>
          </w:p>
        </w:tc>
        <w:tc>
          <w:tcPr>
            <w:tcW w:w="417" w:type="pct"/>
            <w:tcBorders>
              <w:top w:val="nil"/>
              <w:left w:val="nil"/>
              <w:bottom w:val="nil"/>
              <w:right w:val="nil"/>
            </w:tcBorders>
            <w:shd w:val="clear" w:color="auto" w:fill="auto"/>
            <w:noWrap/>
            <w:vAlign w:val="center"/>
            <w:hideMark/>
          </w:tcPr>
          <w:p w14:paraId="15FE78F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$187,319,935</w:t>
            </w:r>
          </w:p>
        </w:tc>
      </w:tr>
      <w:tr w:rsidR="00862084" w:rsidRPr="00862084" w14:paraId="2F5FB76B" w14:textId="77777777" w:rsidTr="00376685">
        <w:trPr>
          <w:trHeight w:val="288"/>
        </w:trPr>
        <w:tc>
          <w:tcPr>
            <w:tcW w:w="417" w:type="pct"/>
            <w:tcBorders>
              <w:top w:val="nil"/>
              <w:left w:val="nil"/>
              <w:bottom w:val="nil"/>
              <w:right w:val="nil"/>
            </w:tcBorders>
            <w:shd w:val="clear" w:color="auto" w:fill="auto"/>
            <w:noWrap/>
            <w:vAlign w:val="center"/>
            <w:hideMark/>
          </w:tcPr>
          <w:p w14:paraId="6CD3F6E9"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QCEC (QLD) </w:t>
            </w:r>
          </w:p>
        </w:tc>
        <w:tc>
          <w:tcPr>
            <w:tcW w:w="417" w:type="pct"/>
            <w:tcBorders>
              <w:top w:val="nil"/>
              <w:left w:val="nil"/>
              <w:bottom w:val="nil"/>
              <w:right w:val="nil"/>
            </w:tcBorders>
            <w:shd w:val="clear" w:color="auto" w:fill="auto"/>
            <w:noWrap/>
            <w:vAlign w:val="center"/>
            <w:hideMark/>
          </w:tcPr>
          <w:p w14:paraId="1AB439D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$10,478,318</w:t>
            </w:r>
          </w:p>
        </w:tc>
        <w:tc>
          <w:tcPr>
            <w:tcW w:w="417" w:type="pct"/>
            <w:tcBorders>
              <w:top w:val="nil"/>
              <w:left w:val="nil"/>
              <w:bottom w:val="nil"/>
              <w:right w:val="nil"/>
            </w:tcBorders>
            <w:shd w:val="clear" w:color="auto" w:fill="auto"/>
            <w:noWrap/>
            <w:vAlign w:val="center"/>
            <w:hideMark/>
          </w:tcPr>
          <w:p w14:paraId="0F1C987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$15,142,914</w:t>
            </w:r>
          </w:p>
        </w:tc>
        <w:tc>
          <w:tcPr>
            <w:tcW w:w="417" w:type="pct"/>
            <w:tcBorders>
              <w:top w:val="nil"/>
              <w:left w:val="nil"/>
              <w:bottom w:val="nil"/>
              <w:right w:val="nil"/>
            </w:tcBorders>
            <w:shd w:val="clear" w:color="auto" w:fill="auto"/>
            <w:noWrap/>
            <w:vAlign w:val="center"/>
            <w:hideMark/>
          </w:tcPr>
          <w:p w14:paraId="571119F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$15,672,915</w:t>
            </w:r>
          </w:p>
        </w:tc>
        <w:tc>
          <w:tcPr>
            <w:tcW w:w="417" w:type="pct"/>
            <w:tcBorders>
              <w:top w:val="nil"/>
              <w:left w:val="nil"/>
              <w:bottom w:val="nil"/>
              <w:right w:val="nil"/>
            </w:tcBorders>
            <w:shd w:val="clear" w:color="auto" w:fill="auto"/>
            <w:noWrap/>
            <w:vAlign w:val="center"/>
            <w:hideMark/>
          </w:tcPr>
          <w:p w14:paraId="461EF12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$16,331,175</w:t>
            </w:r>
          </w:p>
        </w:tc>
        <w:tc>
          <w:tcPr>
            <w:tcW w:w="417" w:type="pct"/>
            <w:tcBorders>
              <w:top w:val="nil"/>
              <w:left w:val="nil"/>
              <w:bottom w:val="nil"/>
              <w:right w:val="nil"/>
            </w:tcBorders>
            <w:shd w:val="clear" w:color="auto" w:fill="auto"/>
            <w:noWrap/>
            <w:vAlign w:val="center"/>
            <w:hideMark/>
          </w:tcPr>
          <w:p w14:paraId="2C17254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$16,821,112</w:t>
            </w:r>
          </w:p>
        </w:tc>
        <w:tc>
          <w:tcPr>
            <w:tcW w:w="417" w:type="pct"/>
            <w:tcBorders>
              <w:top w:val="nil"/>
              <w:left w:val="nil"/>
              <w:bottom w:val="nil"/>
              <w:right w:val="nil"/>
            </w:tcBorders>
            <w:shd w:val="clear" w:color="auto" w:fill="auto"/>
            <w:noWrap/>
            <w:vAlign w:val="center"/>
            <w:hideMark/>
          </w:tcPr>
          <w:p w14:paraId="0EFD53F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$17,325,746</w:t>
            </w:r>
          </w:p>
        </w:tc>
        <w:tc>
          <w:tcPr>
            <w:tcW w:w="417" w:type="pct"/>
            <w:tcBorders>
              <w:top w:val="nil"/>
              <w:left w:val="nil"/>
              <w:bottom w:val="nil"/>
              <w:right w:val="nil"/>
            </w:tcBorders>
            <w:shd w:val="clear" w:color="auto" w:fill="auto"/>
            <w:noWrap/>
            <w:vAlign w:val="center"/>
            <w:hideMark/>
          </w:tcPr>
          <w:p w14:paraId="278B997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$17,845,518</w:t>
            </w:r>
          </w:p>
        </w:tc>
        <w:tc>
          <w:tcPr>
            <w:tcW w:w="417" w:type="pct"/>
            <w:tcBorders>
              <w:top w:val="nil"/>
              <w:left w:val="nil"/>
              <w:bottom w:val="nil"/>
              <w:right w:val="nil"/>
            </w:tcBorders>
            <w:shd w:val="clear" w:color="auto" w:fill="auto"/>
            <w:noWrap/>
            <w:vAlign w:val="center"/>
            <w:hideMark/>
          </w:tcPr>
          <w:p w14:paraId="318AC5B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$18,380,883</w:t>
            </w:r>
          </w:p>
        </w:tc>
        <w:tc>
          <w:tcPr>
            <w:tcW w:w="417" w:type="pct"/>
            <w:tcBorders>
              <w:top w:val="nil"/>
              <w:left w:val="nil"/>
              <w:bottom w:val="nil"/>
              <w:right w:val="nil"/>
            </w:tcBorders>
            <w:shd w:val="clear" w:color="auto" w:fill="auto"/>
            <w:noWrap/>
            <w:vAlign w:val="center"/>
            <w:hideMark/>
          </w:tcPr>
          <w:p w14:paraId="33D0D24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$18,932,310</w:t>
            </w:r>
          </w:p>
        </w:tc>
        <w:tc>
          <w:tcPr>
            <w:tcW w:w="417" w:type="pct"/>
            <w:tcBorders>
              <w:top w:val="nil"/>
              <w:left w:val="nil"/>
              <w:bottom w:val="nil"/>
              <w:right w:val="nil"/>
            </w:tcBorders>
            <w:shd w:val="clear" w:color="auto" w:fill="auto"/>
            <w:noWrap/>
            <w:vAlign w:val="center"/>
            <w:hideMark/>
          </w:tcPr>
          <w:p w14:paraId="6D1EE55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$19,500,279</w:t>
            </w:r>
          </w:p>
        </w:tc>
        <w:tc>
          <w:tcPr>
            <w:tcW w:w="417" w:type="pct"/>
            <w:tcBorders>
              <w:top w:val="nil"/>
              <w:left w:val="nil"/>
              <w:bottom w:val="nil"/>
              <w:right w:val="nil"/>
            </w:tcBorders>
            <w:shd w:val="clear" w:color="auto" w:fill="auto"/>
            <w:noWrap/>
            <w:vAlign w:val="center"/>
            <w:hideMark/>
          </w:tcPr>
          <w:p w14:paraId="55516A1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$166,431,170</w:t>
            </w:r>
          </w:p>
        </w:tc>
      </w:tr>
      <w:tr w:rsidR="00862084" w:rsidRPr="00862084" w14:paraId="3237E9E9" w14:textId="77777777" w:rsidTr="00376685">
        <w:trPr>
          <w:trHeight w:val="288"/>
        </w:trPr>
        <w:tc>
          <w:tcPr>
            <w:tcW w:w="417" w:type="pct"/>
            <w:tcBorders>
              <w:top w:val="nil"/>
              <w:left w:val="nil"/>
              <w:bottom w:val="nil"/>
              <w:right w:val="nil"/>
            </w:tcBorders>
            <w:shd w:val="clear" w:color="auto" w:fill="auto"/>
            <w:noWrap/>
            <w:vAlign w:val="center"/>
            <w:hideMark/>
          </w:tcPr>
          <w:p w14:paraId="060C4D28"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SACCS (SA)</w:t>
            </w:r>
          </w:p>
        </w:tc>
        <w:tc>
          <w:tcPr>
            <w:tcW w:w="417" w:type="pct"/>
            <w:tcBorders>
              <w:top w:val="nil"/>
              <w:left w:val="nil"/>
              <w:bottom w:val="nil"/>
              <w:right w:val="nil"/>
            </w:tcBorders>
            <w:shd w:val="clear" w:color="auto" w:fill="auto"/>
            <w:noWrap/>
            <w:vAlign w:val="center"/>
            <w:hideMark/>
          </w:tcPr>
          <w:p w14:paraId="20F89D5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$2,874,850</w:t>
            </w:r>
          </w:p>
        </w:tc>
        <w:tc>
          <w:tcPr>
            <w:tcW w:w="417" w:type="pct"/>
            <w:tcBorders>
              <w:top w:val="nil"/>
              <w:left w:val="nil"/>
              <w:bottom w:val="nil"/>
              <w:right w:val="nil"/>
            </w:tcBorders>
            <w:shd w:val="clear" w:color="auto" w:fill="auto"/>
            <w:noWrap/>
            <w:vAlign w:val="center"/>
            <w:hideMark/>
          </w:tcPr>
          <w:p w14:paraId="7CBA14E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$4,147,158</w:t>
            </w:r>
          </w:p>
        </w:tc>
        <w:tc>
          <w:tcPr>
            <w:tcW w:w="417" w:type="pct"/>
            <w:tcBorders>
              <w:top w:val="nil"/>
              <w:left w:val="nil"/>
              <w:bottom w:val="nil"/>
              <w:right w:val="nil"/>
            </w:tcBorders>
            <w:shd w:val="clear" w:color="auto" w:fill="auto"/>
            <w:noWrap/>
            <w:vAlign w:val="center"/>
            <w:hideMark/>
          </w:tcPr>
          <w:p w14:paraId="09C2035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$4,292,310</w:t>
            </w:r>
          </w:p>
        </w:tc>
        <w:tc>
          <w:tcPr>
            <w:tcW w:w="417" w:type="pct"/>
            <w:tcBorders>
              <w:top w:val="nil"/>
              <w:left w:val="nil"/>
              <w:bottom w:val="nil"/>
              <w:right w:val="nil"/>
            </w:tcBorders>
            <w:shd w:val="clear" w:color="auto" w:fill="auto"/>
            <w:noWrap/>
            <w:vAlign w:val="center"/>
            <w:hideMark/>
          </w:tcPr>
          <w:p w14:paraId="73071DC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$4,472,586</w:t>
            </w:r>
          </w:p>
        </w:tc>
        <w:tc>
          <w:tcPr>
            <w:tcW w:w="417" w:type="pct"/>
            <w:tcBorders>
              <w:top w:val="nil"/>
              <w:left w:val="nil"/>
              <w:bottom w:val="nil"/>
              <w:right w:val="nil"/>
            </w:tcBorders>
            <w:shd w:val="clear" w:color="auto" w:fill="auto"/>
            <w:noWrap/>
            <w:vAlign w:val="center"/>
            <w:hideMark/>
          </w:tcPr>
          <w:p w14:paraId="730F7C0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$4,606,764</w:t>
            </w:r>
          </w:p>
        </w:tc>
        <w:tc>
          <w:tcPr>
            <w:tcW w:w="417" w:type="pct"/>
            <w:tcBorders>
              <w:top w:val="nil"/>
              <w:left w:val="nil"/>
              <w:bottom w:val="nil"/>
              <w:right w:val="nil"/>
            </w:tcBorders>
            <w:shd w:val="clear" w:color="auto" w:fill="auto"/>
            <w:noWrap/>
            <w:vAlign w:val="center"/>
            <w:hideMark/>
          </w:tcPr>
          <w:p w14:paraId="341696E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$4,744,967</w:t>
            </w:r>
          </w:p>
        </w:tc>
        <w:tc>
          <w:tcPr>
            <w:tcW w:w="417" w:type="pct"/>
            <w:tcBorders>
              <w:top w:val="nil"/>
              <w:left w:val="nil"/>
              <w:bottom w:val="nil"/>
              <w:right w:val="nil"/>
            </w:tcBorders>
            <w:shd w:val="clear" w:color="auto" w:fill="auto"/>
            <w:noWrap/>
            <w:vAlign w:val="center"/>
            <w:hideMark/>
          </w:tcPr>
          <w:p w14:paraId="61A8CF5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$4,887,316</w:t>
            </w:r>
          </w:p>
        </w:tc>
        <w:tc>
          <w:tcPr>
            <w:tcW w:w="417" w:type="pct"/>
            <w:tcBorders>
              <w:top w:val="nil"/>
              <w:left w:val="nil"/>
              <w:bottom w:val="nil"/>
              <w:right w:val="nil"/>
            </w:tcBorders>
            <w:shd w:val="clear" w:color="auto" w:fill="auto"/>
            <w:noWrap/>
            <w:vAlign w:val="center"/>
            <w:hideMark/>
          </w:tcPr>
          <w:p w14:paraId="24276D9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$5,033,935</w:t>
            </w:r>
          </w:p>
        </w:tc>
        <w:tc>
          <w:tcPr>
            <w:tcW w:w="417" w:type="pct"/>
            <w:tcBorders>
              <w:top w:val="nil"/>
              <w:left w:val="nil"/>
              <w:bottom w:val="nil"/>
              <w:right w:val="nil"/>
            </w:tcBorders>
            <w:shd w:val="clear" w:color="auto" w:fill="auto"/>
            <w:noWrap/>
            <w:vAlign w:val="center"/>
            <w:hideMark/>
          </w:tcPr>
          <w:p w14:paraId="17A3EEA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$5,184,954</w:t>
            </w:r>
          </w:p>
        </w:tc>
        <w:tc>
          <w:tcPr>
            <w:tcW w:w="417" w:type="pct"/>
            <w:tcBorders>
              <w:top w:val="nil"/>
              <w:left w:val="nil"/>
              <w:bottom w:val="nil"/>
              <w:right w:val="nil"/>
            </w:tcBorders>
            <w:shd w:val="clear" w:color="auto" w:fill="auto"/>
            <w:noWrap/>
            <w:vAlign w:val="center"/>
            <w:hideMark/>
          </w:tcPr>
          <w:p w14:paraId="0708653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$5,340,502</w:t>
            </w:r>
          </w:p>
        </w:tc>
        <w:tc>
          <w:tcPr>
            <w:tcW w:w="417" w:type="pct"/>
            <w:tcBorders>
              <w:top w:val="nil"/>
              <w:left w:val="nil"/>
              <w:bottom w:val="nil"/>
              <w:right w:val="nil"/>
            </w:tcBorders>
            <w:shd w:val="clear" w:color="auto" w:fill="auto"/>
            <w:noWrap/>
            <w:vAlign w:val="center"/>
            <w:hideMark/>
          </w:tcPr>
          <w:p w14:paraId="682017A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$45,585,342</w:t>
            </w:r>
          </w:p>
        </w:tc>
      </w:tr>
      <w:tr w:rsidR="00862084" w:rsidRPr="00862084" w14:paraId="23283093" w14:textId="77777777" w:rsidTr="00376685">
        <w:trPr>
          <w:trHeight w:val="288"/>
        </w:trPr>
        <w:tc>
          <w:tcPr>
            <w:tcW w:w="417" w:type="pct"/>
            <w:tcBorders>
              <w:top w:val="nil"/>
              <w:left w:val="nil"/>
              <w:bottom w:val="nil"/>
              <w:right w:val="nil"/>
            </w:tcBorders>
            <w:shd w:val="clear" w:color="auto" w:fill="auto"/>
            <w:noWrap/>
            <w:vAlign w:val="center"/>
            <w:hideMark/>
          </w:tcPr>
          <w:p w14:paraId="261568BC"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CEWA (WA)</w:t>
            </w:r>
          </w:p>
        </w:tc>
        <w:tc>
          <w:tcPr>
            <w:tcW w:w="417" w:type="pct"/>
            <w:tcBorders>
              <w:top w:val="nil"/>
              <w:left w:val="nil"/>
              <w:bottom w:val="nil"/>
              <w:right w:val="nil"/>
            </w:tcBorders>
            <w:shd w:val="clear" w:color="auto" w:fill="auto"/>
            <w:noWrap/>
            <w:vAlign w:val="center"/>
            <w:hideMark/>
          </w:tcPr>
          <w:p w14:paraId="1E5FCD0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$4,866,025</w:t>
            </w:r>
          </w:p>
        </w:tc>
        <w:tc>
          <w:tcPr>
            <w:tcW w:w="417" w:type="pct"/>
            <w:tcBorders>
              <w:top w:val="nil"/>
              <w:left w:val="nil"/>
              <w:bottom w:val="nil"/>
              <w:right w:val="nil"/>
            </w:tcBorders>
            <w:shd w:val="clear" w:color="auto" w:fill="auto"/>
            <w:noWrap/>
            <w:vAlign w:val="center"/>
            <w:hideMark/>
          </w:tcPr>
          <w:p w14:paraId="5C48C85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$5,637,492</w:t>
            </w:r>
          </w:p>
        </w:tc>
        <w:tc>
          <w:tcPr>
            <w:tcW w:w="417" w:type="pct"/>
            <w:tcBorders>
              <w:top w:val="nil"/>
              <w:left w:val="nil"/>
              <w:bottom w:val="nil"/>
              <w:right w:val="nil"/>
            </w:tcBorders>
            <w:shd w:val="clear" w:color="auto" w:fill="auto"/>
            <w:noWrap/>
            <w:vAlign w:val="center"/>
            <w:hideMark/>
          </w:tcPr>
          <w:p w14:paraId="6F3A08F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$5,834,803</w:t>
            </w:r>
          </w:p>
        </w:tc>
        <w:tc>
          <w:tcPr>
            <w:tcW w:w="417" w:type="pct"/>
            <w:tcBorders>
              <w:top w:val="nil"/>
              <w:left w:val="nil"/>
              <w:bottom w:val="nil"/>
              <w:right w:val="nil"/>
            </w:tcBorders>
            <w:shd w:val="clear" w:color="auto" w:fill="auto"/>
            <w:noWrap/>
            <w:vAlign w:val="center"/>
            <w:hideMark/>
          </w:tcPr>
          <w:p w14:paraId="2077E73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$6,079,870</w:t>
            </w:r>
          </w:p>
        </w:tc>
        <w:tc>
          <w:tcPr>
            <w:tcW w:w="417" w:type="pct"/>
            <w:tcBorders>
              <w:top w:val="nil"/>
              <w:left w:val="nil"/>
              <w:bottom w:val="nil"/>
              <w:right w:val="nil"/>
            </w:tcBorders>
            <w:shd w:val="clear" w:color="auto" w:fill="auto"/>
            <w:noWrap/>
            <w:vAlign w:val="center"/>
            <w:hideMark/>
          </w:tcPr>
          <w:p w14:paraId="32EF0FD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$6,262,263</w:t>
            </w:r>
          </w:p>
        </w:tc>
        <w:tc>
          <w:tcPr>
            <w:tcW w:w="417" w:type="pct"/>
            <w:tcBorders>
              <w:top w:val="nil"/>
              <w:left w:val="nil"/>
              <w:bottom w:val="nil"/>
              <w:right w:val="nil"/>
            </w:tcBorders>
            <w:shd w:val="clear" w:color="auto" w:fill="auto"/>
            <w:noWrap/>
            <w:vAlign w:val="center"/>
            <w:hideMark/>
          </w:tcPr>
          <w:p w14:paraId="183E73A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$6,450,131</w:t>
            </w:r>
          </w:p>
        </w:tc>
        <w:tc>
          <w:tcPr>
            <w:tcW w:w="417" w:type="pct"/>
            <w:tcBorders>
              <w:top w:val="nil"/>
              <w:left w:val="nil"/>
              <w:bottom w:val="nil"/>
              <w:right w:val="nil"/>
            </w:tcBorders>
            <w:shd w:val="clear" w:color="auto" w:fill="auto"/>
            <w:noWrap/>
            <w:vAlign w:val="center"/>
            <w:hideMark/>
          </w:tcPr>
          <w:p w14:paraId="2EE8C13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$6,643,635</w:t>
            </w:r>
          </w:p>
        </w:tc>
        <w:tc>
          <w:tcPr>
            <w:tcW w:w="417" w:type="pct"/>
            <w:tcBorders>
              <w:top w:val="nil"/>
              <w:left w:val="nil"/>
              <w:bottom w:val="nil"/>
              <w:right w:val="nil"/>
            </w:tcBorders>
            <w:shd w:val="clear" w:color="auto" w:fill="auto"/>
            <w:noWrap/>
            <w:vAlign w:val="center"/>
            <w:hideMark/>
          </w:tcPr>
          <w:p w14:paraId="324A11A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$6,842,944</w:t>
            </w:r>
          </w:p>
        </w:tc>
        <w:tc>
          <w:tcPr>
            <w:tcW w:w="417" w:type="pct"/>
            <w:tcBorders>
              <w:top w:val="nil"/>
              <w:left w:val="nil"/>
              <w:bottom w:val="nil"/>
              <w:right w:val="nil"/>
            </w:tcBorders>
            <w:shd w:val="clear" w:color="auto" w:fill="auto"/>
            <w:noWrap/>
            <w:vAlign w:val="center"/>
            <w:hideMark/>
          </w:tcPr>
          <w:p w14:paraId="5E9350D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$7,048,232</w:t>
            </w:r>
          </w:p>
        </w:tc>
        <w:tc>
          <w:tcPr>
            <w:tcW w:w="417" w:type="pct"/>
            <w:tcBorders>
              <w:top w:val="nil"/>
              <w:left w:val="nil"/>
              <w:bottom w:val="nil"/>
              <w:right w:val="nil"/>
            </w:tcBorders>
            <w:shd w:val="clear" w:color="auto" w:fill="auto"/>
            <w:noWrap/>
            <w:vAlign w:val="center"/>
            <w:hideMark/>
          </w:tcPr>
          <w:p w14:paraId="54910B8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$7,259,679</w:t>
            </w:r>
          </w:p>
        </w:tc>
        <w:tc>
          <w:tcPr>
            <w:tcW w:w="417" w:type="pct"/>
            <w:tcBorders>
              <w:top w:val="nil"/>
              <w:left w:val="nil"/>
              <w:bottom w:val="nil"/>
              <w:right w:val="nil"/>
            </w:tcBorders>
            <w:shd w:val="clear" w:color="auto" w:fill="auto"/>
            <w:noWrap/>
            <w:vAlign w:val="center"/>
            <w:hideMark/>
          </w:tcPr>
          <w:p w14:paraId="5B74994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$62,925,074</w:t>
            </w:r>
          </w:p>
        </w:tc>
      </w:tr>
      <w:tr w:rsidR="00862084" w:rsidRPr="00862084" w14:paraId="26E17772" w14:textId="77777777" w:rsidTr="00376685">
        <w:trPr>
          <w:trHeight w:val="288"/>
        </w:trPr>
        <w:tc>
          <w:tcPr>
            <w:tcW w:w="417" w:type="pct"/>
            <w:tcBorders>
              <w:top w:val="nil"/>
              <w:left w:val="nil"/>
              <w:bottom w:val="nil"/>
              <w:right w:val="nil"/>
            </w:tcBorders>
            <w:shd w:val="clear" w:color="auto" w:fill="auto"/>
            <w:noWrap/>
            <w:vAlign w:val="center"/>
            <w:hideMark/>
          </w:tcPr>
          <w:p w14:paraId="57DC48B3"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TCEO (TAS) </w:t>
            </w:r>
          </w:p>
        </w:tc>
        <w:tc>
          <w:tcPr>
            <w:tcW w:w="417" w:type="pct"/>
            <w:tcBorders>
              <w:top w:val="nil"/>
              <w:left w:val="nil"/>
              <w:bottom w:val="nil"/>
              <w:right w:val="nil"/>
            </w:tcBorders>
            <w:shd w:val="clear" w:color="auto" w:fill="auto"/>
            <w:noWrap/>
            <w:vAlign w:val="center"/>
            <w:hideMark/>
          </w:tcPr>
          <w:p w14:paraId="38DDD7F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$1,196,513</w:t>
            </w:r>
          </w:p>
        </w:tc>
        <w:tc>
          <w:tcPr>
            <w:tcW w:w="417" w:type="pct"/>
            <w:tcBorders>
              <w:top w:val="nil"/>
              <w:left w:val="nil"/>
              <w:bottom w:val="nil"/>
              <w:right w:val="nil"/>
            </w:tcBorders>
            <w:shd w:val="clear" w:color="auto" w:fill="auto"/>
            <w:noWrap/>
            <w:vAlign w:val="center"/>
            <w:hideMark/>
          </w:tcPr>
          <w:p w14:paraId="31B1F50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$1,544,842</w:t>
            </w:r>
          </w:p>
        </w:tc>
        <w:tc>
          <w:tcPr>
            <w:tcW w:w="417" w:type="pct"/>
            <w:tcBorders>
              <w:top w:val="nil"/>
              <w:left w:val="nil"/>
              <w:bottom w:val="nil"/>
              <w:right w:val="nil"/>
            </w:tcBorders>
            <w:shd w:val="clear" w:color="auto" w:fill="auto"/>
            <w:noWrap/>
            <w:vAlign w:val="center"/>
            <w:hideMark/>
          </w:tcPr>
          <w:p w14:paraId="13118AB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$1,598,910</w:t>
            </w:r>
          </w:p>
        </w:tc>
        <w:tc>
          <w:tcPr>
            <w:tcW w:w="417" w:type="pct"/>
            <w:tcBorders>
              <w:top w:val="nil"/>
              <w:left w:val="nil"/>
              <w:bottom w:val="nil"/>
              <w:right w:val="nil"/>
            </w:tcBorders>
            <w:shd w:val="clear" w:color="auto" w:fill="auto"/>
            <w:noWrap/>
            <w:vAlign w:val="center"/>
            <w:hideMark/>
          </w:tcPr>
          <w:p w14:paraId="2302AC4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$1,666,065</w:t>
            </w:r>
          </w:p>
        </w:tc>
        <w:tc>
          <w:tcPr>
            <w:tcW w:w="417" w:type="pct"/>
            <w:tcBorders>
              <w:top w:val="nil"/>
              <w:left w:val="nil"/>
              <w:bottom w:val="nil"/>
              <w:right w:val="nil"/>
            </w:tcBorders>
            <w:shd w:val="clear" w:color="auto" w:fill="auto"/>
            <w:noWrap/>
            <w:vAlign w:val="center"/>
            <w:hideMark/>
          </w:tcPr>
          <w:p w14:paraId="3896E81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$1,716,047</w:t>
            </w:r>
          </w:p>
        </w:tc>
        <w:tc>
          <w:tcPr>
            <w:tcW w:w="417" w:type="pct"/>
            <w:tcBorders>
              <w:top w:val="nil"/>
              <w:left w:val="nil"/>
              <w:bottom w:val="nil"/>
              <w:right w:val="nil"/>
            </w:tcBorders>
            <w:shd w:val="clear" w:color="auto" w:fill="auto"/>
            <w:noWrap/>
            <w:vAlign w:val="center"/>
            <w:hideMark/>
          </w:tcPr>
          <w:p w14:paraId="1051C5B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$1,767,528</w:t>
            </w:r>
          </w:p>
        </w:tc>
        <w:tc>
          <w:tcPr>
            <w:tcW w:w="417" w:type="pct"/>
            <w:tcBorders>
              <w:top w:val="nil"/>
              <w:left w:val="nil"/>
              <w:bottom w:val="nil"/>
              <w:right w:val="nil"/>
            </w:tcBorders>
            <w:shd w:val="clear" w:color="auto" w:fill="auto"/>
            <w:noWrap/>
            <w:vAlign w:val="center"/>
            <w:hideMark/>
          </w:tcPr>
          <w:p w14:paraId="2C19F84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$1,820,554</w:t>
            </w:r>
          </w:p>
        </w:tc>
        <w:tc>
          <w:tcPr>
            <w:tcW w:w="417" w:type="pct"/>
            <w:tcBorders>
              <w:top w:val="nil"/>
              <w:left w:val="nil"/>
              <w:bottom w:val="nil"/>
              <w:right w:val="nil"/>
            </w:tcBorders>
            <w:shd w:val="clear" w:color="auto" w:fill="auto"/>
            <w:noWrap/>
            <w:vAlign w:val="center"/>
            <w:hideMark/>
          </w:tcPr>
          <w:p w14:paraId="7B55D77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$1,875,171</w:t>
            </w:r>
          </w:p>
        </w:tc>
        <w:tc>
          <w:tcPr>
            <w:tcW w:w="417" w:type="pct"/>
            <w:tcBorders>
              <w:top w:val="nil"/>
              <w:left w:val="nil"/>
              <w:bottom w:val="nil"/>
              <w:right w:val="nil"/>
            </w:tcBorders>
            <w:shd w:val="clear" w:color="auto" w:fill="auto"/>
            <w:noWrap/>
            <w:vAlign w:val="center"/>
            <w:hideMark/>
          </w:tcPr>
          <w:p w14:paraId="2737C1C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$1,931,426</w:t>
            </w:r>
          </w:p>
        </w:tc>
        <w:tc>
          <w:tcPr>
            <w:tcW w:w="417" w:type="pct"/>
            <w:tcBorders>
              <w:top w:val="nil"/>
              <w:left w:val="nil"/>
              <w:bottom w:val="nil"/>
              <w:right w:val="nil"/>
            </w:tcBorders>
            <w:shd w:val="clear" w:color="auto" w:fill="auto"/>
            <w:noWrap/>
            <w:vAlign w:val="center"/>
            <w:hideMark/>
          </w:tcPr>
          <w:p w14:paraId="2110D49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$1,989,369</w:t>
            </w:r>
          </w:p>
        </w:tc>
        <w:tc>
          <w:tcPr>
            <w:tcW w:w="417" w:type="pct"/>
            <w:tcBorders>
              <w:top w:val="nil"/>
              <w:left w:val="nil"/>
              <w:bottom w:val="nil"/>
              <w:right w:val="nil"/>
            </w:tcBorders>
            <w:shd w:val="clear" w:color="auto" w:fill="auto"/>
            <w:noWrap/>
            <w:vAlign w:val="center"/>
            <w:hideMark/>
          </w:tcPr>
          <w:p w14:paraId="1DB7952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$17,106,425</w:t>
            </w:r>
          </w:p>
        </w:tc>
      </w:tr>
      <w:tr w:rsidR="00862084" w:rsidRPr="00862084" w14:paraId="328AA460" w14:textId="77777777" w:rsidTr="00376685">
        <w:trPr>
          <w:trHeight w:val="288"/>
        </w:trPr>
        <w:tc>
          <w:tcPr>
            <w:tcW w:w="417" w:type="pct"/>
            <w:tcBorders>
              <w:top w:val="nil"/>
              <w:left w:val="nil"/>
              <w:bottom w:val="nil"/>
              <w:right w:val="nil"/>
            </w:tcBorders>
            <w:shd w:val="clear" w:color="auto" w:fill="auto"/>
            <w:noWrap/>
            <w:vAlign w:val="center"/>
            <w:hideMark/>
          </w:tcPr>
          <w:p w14:paraId="32B02370"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CECG (ACT) </w:t>
            </w:r>
          </w:p>
        </w:tc>
        <w:tc>
          <w:tcPr>
            <w:tcW w:w="417" w:type="pct"/>
            <w:tcBorders>
              <w:top w:val="nil"/>
              <w:left w:val="nil"/>
              <w:bottom w:val="nil"/>
              <w:right w:val="nil"/>
            </w:tcBorders>
            <w:shd w:val="clear" w:color="auto" w:fill="auto"/>
            <w:noWrap/>
            <w:vAlign w:val="center"/>
            <w:hideMark/>
          </w:tcPr>
          <w:p w14:paraId="2A4C3D0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$11,395,760</w:t>
            </w:r>
          </w:p>
        </w:tc>
        <w:tc>
          <w:tcPr>
            <w:tcW w:w="417" w:type="pct"/>
            <w:tcBorders>
              <w:top w:val="nil"/>
              <w:left w:val="nil"/>
              <w:bottom w:val="nil"/>
              <w:right w:val="nil"/>
            </w:tcBorders>
            <w:shd w:val="clear" w:color="auto" w:fill="auto"/>
            <w:noWrap/>
            <w:vAlign w:val="center"/>
            <w:hideMark/>
          </w:tcPr>
          <w:p w14:paraId="49CF12D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$999,866</w:t>
            </w:r>
          </w:p>
        </w:tc>
        <w:tc>
          <w:tcPr>
            <w:tcW w:w="417" w:type="pct"/>
            <w:tcBorders>
              <w:top w:val="nil"/>
              <w:left w:val="nil"/>
              <w:bottom w:val="nil"/>
              <w:right w:val="nil"/>
            </w:tcBorders>
            <w:shd w:val="clear" w:color="auto" w:fill="auto"/>
            <w:noWrap/>
            <w:vAlign w:val="center"/>
            <w:hideMark/>
          </w:tcPr>
          <w:p w14:paraId="2813546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$1,034,861</w:t>
            </w:r>
          </w:p>
        </w:tc>
        <w:tc>
          <w:tcPr>
            <w:tcW w:w="417" w:type="pct"/>
            <w:tcBorders>
              <w:top w:val="nil"/>
              <w:left w:val="nil"/>
              <w:bottom w:val="nil"/>
              <w:right w:val="nil"/>
            </w:tcBorders>
            <w:shd w:val="clear" w:color="auto" w:fill="auto"/>
            <w:noWrap/>
            <w:vAlign w:val="center"/>
            <w:hideMark/>
          </w:tcPr>
          <w:p w14:paraId="089A663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$1,078,326</w:t>
            </w:r>
          </w:p>
        </w:tc>
        <w:tc>
          <w:tcPr>
            <w:tcW w:w="417" w:type="pct"/>
            <w:tcBorders>
              <w:top w:val="nil"/>
              <w:left w:val="nil"/>
              <w:bottom w:val="nil"/>
              <w:right w:val="nil"/>
            </w:tcBorders>
            <w:shd w:val="clear" w:color="auto" w:fill="auto"/>
            <w:noWrap/>
            <w:vAlign w:val="center"/>
            <w:hideMark/>
          </w:tcPr>
          <w:p w14:paraId="264F06B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$1,110,675</w:t>
            </w:r>
          </w:p>
        </w:tc>
        <w:tc>
          <w:tcPr>
            <w:tcW w:w="417" w:type="pct"/>
            <w:tcBorders>
              <w:top w:val="nil"/>
              <w:left w:val="nil"/>
              <w:bottom w:val="nil"/>
              <w:right w:val="nil"/>
            </w:tcBorders>
            <w:shd w:val="clear" w:color="auto" w:fill="auto"/>
            <w:noWrap/>
            <w:vAlign w:val="center"/>
            <w:hideMark/>
          </w:tcPr>
          <w:p w14:paraId="40C0AA8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$1,143,996</w:t>
            </w:r>
          </w:p>
        </w:tc>
        <w:tc>
          <w:tcPr>
            <w:tcW w:w="417" w:type="pct"/>
            <w:tcBorders>
              <w:top w:val="nil"/>
              <w:left w:val="nil"/>
              <w:bottom w:val="nil"/>
              <w:right w:val="nil"/>
            </w:tcBorders>
            <w:shd w:val="clear" w:color="auto" w:fill="auto"/>
            <w:noWrap/>
            <w:vAlign w:val="center"/>
            <w:hideMark/>
          </w:tcPr>
          <w:p w14:paraId="3A5B3BB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$1,178,316</w:t>
            </w:r>
          </w:p>
        </w:tc>
        <w:tc>
          <w:tcPr>
            <w:tcW w:w="417" w:type="pct"/>
            <w:tcBorders>
              <w:top w:val="nil"/>
              <w:left w:val="nil"/>
              <w:bottom w:val="nil"/>
              <w:right w:val="nil"/>
            </w:tcBorders>
            <w:shd w:val="clear" w:color="auto" w:fill="auto"/>
            <w:noWrap/>
            <w:vAlign w:val="center"/>
            <w:hideMark/>
          </w:tcPr>
          <w:p w14:paraId="590F7FB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$1,213,665</w:t>
            </w:r>
          </w:p>
        </w:tc>
        <w:tc>
          <w:tcPr>
            <w:tcW w:w="417" w:type="pct"/>
            <w:tcBorders>
              <w:top w:val="nil"/>
              <w:left w:val="nil"/>
              <w:bottom w:val="nil"/>
              <w:right w:val="nil"/>
            </w:tcBorders>
            <w:shd w:val="clear" w:color="auto" w:fill="auto"/>
            <w:noWrap/>
            <w:vAlign w:val="center"/>
            <w:hideMark/>
          </w:tcPr>
          <w:p w14:paraId="42A2DF2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$1,250,075</w:t>
            </w:r>
          </w:p>
        </w:tc>
        <w:tc>
          <w:tcPr>
            <w:tcW w:w="417" w:type="pct"/>
            <w:tcBorders>
              <w:top w:val="nil"/>
              <w:left w:val="nil"/>
              <w:bottom w:val="nil"/>
              <w:right w:val="nil"/>
            </w:tcBorders>
            <w:shd w:val="clear" w:color="auto" w:fill="auto"/>
            <w:noWrap/>
            <w:vAlign w:val="center"/>
            <w:hideMark/>
          </w:tcPr>
          <w:p w14:paraId="7D57AEE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$1,287,577</w:t>
            </w:r>
          </w:p>
        </w:tc>
        <w:tc>
          <w:tcPr>
            <w:tcW w:w="417" w:type="pct"/>
            <w:tcBorders>
              <w:top w:val="nil"/>
              <w:left w:val="nil"/>
              <w:bottom w:val="nil"/>
              <w:right w:val="nil"/>
            </w:tcBorders>
            <w:shd w:val="clear" w:color="auto" w:fill="auto"/>
            <w:noWrap/>
            <w:vAlign w:val="center"/>
            <w:hideMark/>
          </w:tcPr>
          <w:p w14:paraId="27DF09E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$21,693,117</w:t>
            </w:r>
          </w:p>
        </w:tc>
      </w:tr>
      <w:tr w:rsidR="00862084" w:rsidRPr="00862084" w14:paraId="21BEE997" w14:textId="77777777" w:rsidTr="00376685">
        <w:trPr>
          <w:trHeight w:val="294"/>
        </w:trPr>
        <w:tc>
          <w:tcPr>
            <w:tcW w:w="417" w:type="pct"/>
            <w:tcBorders>
              <w:top w:val="nil"/>
              <w:left w:val="nil"/>
              <w:bottom w:val="nil"/>
              <w:right w:val="nil"/>
            </w:tcBorders>
            <w:shd w:val="clear" w:color="auto" w:fill="auto"/>
            <w:noWrap/>
            <w:vAlign w:val="center"/>
            <w:hideMark/>
          </w:tcPr>
          <w:p w14:paraId="0BD0D417"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 xml:space="preserve"> CEONT (NT)</w:t>
            </w:r>
          </w:p>
        </w:tc>
        <w:tc>
          <w:tcPr>
            <w:tcW w:w="417" w:type="pct"/>
            <w:tcBorders>
              <w:top w:val="nil"/>
              <w:left w:val="nil"/>
              <w:bottom w:val="nil"/>
              <w:right w:val="nil"/>
            </w:tcBorders>
            <w:shd w:val="clear" w:color="auto" w:fill="auto"/>
            <w:noWrap/>
            <w:vAlign w:val="center"/>
            <w:hideMark/>
          </w:tcPr>
          <w:p w14:paraId="6565285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$697,675</w:t>
            </w:r>
          </w:p>
        </w:tc>
        <w:tc>
          <w:tcPr>
            <w:tcW w:w="417" w:type="pct"/>
            <w:tcBorders>
              <w:top w:val="nil"/>
              <w:left w:val="nil"/>
              <w:bottom w:val="nil"/>
              <w:right w:val="nil"/>
            </w:tcBorders>
            <w:shd w:val="clear" w:color="auto" w:fill="auto"/>
            <w:noWrap/>
            <w:vAlign w:val="center"/>
            <w:hideMark/>
          </w:tcPr>
          <w:p w14:paraId="74C924A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$684,362</w:t>
            </w:r>
          </w:p>
        </w:tc>
        <w:tc>
          <w:tcPr>
            <w:tcW w:w="417" w:type="pct"/>
            <w:tcBorders>
              <w:top w:val="nil"/>
              <w:left w:val="nil"/>
              <w:bottom w:val="nil"/>
              <w:right w:val="nil"/>
            </w:tcBorders>
            <w:shd w:val="clear" w:color="auto" w:fill="auto"/>
            <w:noWrap/>
            <w:vAlign w:val="center"/>
            <w:hideMark/>
          </w:tcPr>
          <w:p w14:paraId="638F604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$708,316</w:t>
            </w:r>
          </w:p>
        </w:tc>
        <w:tc>
          <w:tcPr>
            <w:tcW w:w="417" w:type="pct"/>
            <w:tcBorders>
              <w:top w:val="nil"/>
              <w:left w:val="nil"/>
              <w:bottom w:val="nil"/>
              <w:right w:val="nil"/>
            </w:tcBorders>
            <w:shd w:val="clear" w:color="auto" w:fill="auto"/>
            <w:noWrap/>
            <w:vAlign w:val="center"/>
            <w:hideMark/>
          </w:tcPr>
          <w:p w14:paraId="0E6E30C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$738,062</w:t>
            </w:r>
          </w:p>
        </w:tc>
        <w:tc>
          <w:tcPr>
            <w:tcW w:w="417" w:type="pct"/>
            <w:tcBorders>
              <w:top w:val="nil"/>
              <w:left w:val="nil"/>
              <w:bottom w:val="nil"/>
              <w:right w:val="nil"/>
            </w:tcBorders>
            <w:shd w:val="clear" w:color="auto" w:fill="auto"/>
            <w:noWrap/>
            <w:vAlign w:val="center"/>
            <w:hideMark/>
          </w:tcPr>
          <w:p w14:paraId="3452351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$760,206</w:t>
            </w:r>
          </w:p>
        </w:tc>
        <w:tc>
          <w:tcPr>
            <w:tcW w:w="417" w:type="pct"/>
            <w:tcBorders>
              <w:top w:val="nil"/>
              <w:left w:val="nil"/>
              <w:bottom w:val="nil"/>
              <w:right w:val="nil"/>
            </w:tcBorders>
            <w:shd w:val="clear" w:color="auto" w:fill="auto"/>
            <w:noWrap/>
            <w:vAlign w:val="center"/>
            <w:hideMark/>
          </w:tcPr>
          <w:p w14:paraId="50CB4AF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$783,012</w:t>
            </w:r>
          </w:p>
        </w:tc>
        <w:tc>
          <w:tcPr>
            <w:tcW w:w="417" w:type="pct"/>
            <w:tcBorders>
              <w:top w:val="nil"/>
              <w:left w:val="nil"/>
              <w:bottom w:val="nil"/>
              <w:right w:val="nil"/>
            </w:tcBorders>
            <w:shd w:val="clear" w:color="auto" w:fill="auto"/>
            <w:noWrap/>
            <w:vAlign w:val="center"/>
            <w:hideMark/>
          </w:tcPr>
          <w:p w14:paraId="22077B2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$806,502</w:t>
            </w:r>
          </w:p>
        </w:tc>
        <w:tc>
          <w:tcPr>
            <w:tcW w:w="417" w:type="pct"/>
            <w:tcBorders>
              <w:top w:val="nil"/>
              <w:left w:val="nil"/>
              <w:bottom w:val="nil"/>
              <w:right w:val="nil"/>
            </w:tcBorders>
            <w:shd w:val="clear" w:color="auto" w:fill="auto"/>
            <w:noWrap/>
            <w:vAlign w:val="center"/>
            <w:hideMark/>
          </w:tcPr>
          <w:p w14:paraId="140CABC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$830,697</w:t>
            </w:r>
          </w:p>
        </w:tc>
        <w:tc>
          <w:tcPr>
            <w:tcW w:w="417" w:type="pct"/>
            <w:tcBorders>
              <w:top w:val="nil"/>
              <w:left w:val="nil"/>
              <w:bottom w:val="nil"/>
              <w:right w:val="nil"/>
            </w:tcBorders>
            <w:shd w:val="clear" w:color="auto" w:fill="auto"/>
            <w:noWrap/>
            <w:vAlign w:val="center"/>
            <w:hideMark/>
          </w:tcPr>
          <w:p w14:paraId="45271A5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$855,618</w:t>
            </w:r>
          </w:p>
        </w:tc>
        <w:tc>
          <w:tcPr>
            <w:tcW w:w="417" w:type="pct"/>
            <w:tcBorders>
              <w:top w:val="nil"/>
              <w:left w:val="nil"/>
              <w:bottom w:val="nil"/>
              <w:right w:val="nil"/>
            </w:tcBorders>
            <w:shd w:val="clear" w:color="auto" w:fill="auto"/>
            <w:noWrap/>
            <w:vAlign w:val="center"/>
            <w:hideMark/>
          </w:tcPr>
          <w:p w14:paraId="082A005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$881,287</w:t>
            </w:r>
          </w:p>
        </w:tc>
        <w:tc>
          <w:tcPr>
            <w:tcW w:w="417" w:type="pct"/>
            <w:tcBorders>
              <w:top w:val="nil"/>
              <w:left w:val="nil"/>
              <w:bottom w:val="nil"/>
              <w:right w:val="nil"/>
            </w:tcBorders>
            <w:shd w:val="clear" w:color="auto" w:fill="auto"/>
            <w:noWrap/>
            <w:vAlign w:val="center"/>
            <w:hideMark/>
          </w:tcPr>
          <w:p w14:paraId="4E5B5B0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$7,745,737</w:t>
            </w:r>
          </w:p>
        </w:tc>
      </w:tr>
      <w:tr w:rsidR="00862084" w:rsidRPr="00862084" w14:paraId="03B85D59" w14:textId="77777777" w:rsidTr="00376685">
        <w:trPr>
          <w:trHeight w:val="294"/>
        </w:trPr>
        <w:tc>
          <w:tcPr>
            <w:tcW w:w="417" w:type="pct"/>
            <w:tcBorders>
              <w:top w:val="single" w:sz="8" w:space="0" w:color="auto"/>
              <w:left w:val="nil"/>
              <w:bottom w:val="single" w:sz="8" w:space="0" w:color="auto"/>
              <w:right w:val="nil"/>
            </w:tcBorders>
            <w:shd w:val="clear" w:color="auto" w:fill="auto"/>
            <w:noWrap/>
            <w:vAlign w:val="center"/>
            <w:hideMark/>
          </w:tcPr>
          <w:p w14:paraId="3414107C" w14:textId="77777777" w:rsidR="00862084" w:rsidRPr="00862084" w:rsidRDefault="00862084" w:rsidP="00862084">
            <w:pPr>
              <w:spacing w:after="0" w:line="240" w:lineRule="auto"/>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 xml:space="preserve"> Total</w:t>
            </w:r>
          </w:p>
        </w:tc>
        <w:tc>
          <w:tcPr>
            <w:tcW w:w="417" w:type="pct"/>
            <w:tcBorders>
              <w:top w:val="single" w:sz="8" w:space="0" w:color="auto"/>
              <w:left w:val="nil"/>
              <w:bottom w:val="single" w:sz="8" w:space="0" w:color="auto"/>
              <w:right w:val="nil"/>
            </w:tcBorders>
            <w:shd w:val="clear" w:color="auto" w:fill="auto"/>
            <w:noWrap/>
            <w:vAlign w:val="center"/>
            <w:hideMark/>
          </w:tcPr>
          <w:p w14:paraId="00C93B98"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$63,323,383</w:t>
            </w:r>
          </w:p>
        </w:tc>
        <w:tc>
          <w:tcPr>
            <w:tcW w:w="417" w:type="pct"/>
            <w:tcBorders>
              <w:top w:val="single" w:sz="8" w:space="0" w:color="auto"/>
              <w:left w:val="nil"/>
              <w:bottom w:val="single" w:sz="8" w:space="0" w:color="auto"/>
              <w:right w:val="nil"/>
            </w:tcBorders>
            <w:shd w:val="clear" w:color="auto" w:fill="auto"/>
            <w:noWrap/>
            <w:vAlign w:val="center"/>
            <w:hideMark/>
          </w:tcPr>
          <w:p w14:paraId="42FFE1D4"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$65,223,088</w:t>
            </w:r>
          </w:p>
        </w:tc>
        <w:tc>
          <w:tcPr>
            <w:tcW w:w="417" w:type="pct"/>
            <w:tcBorders>
              <w:top w:val="single" w:sz="8" w:space="0" w:color="auto"/>
              <w:left w:val="nil"/>
              <w:bottom w:val="single" w:sz="8" w:space="0" w:color="auto"/>
              <w:right w:val="nil"/>
            </w:tcBorders>
            <w:shd w:val="clear" w:color="auto" w:fill="auto"/>
            <w:noWrap/>
            <w:vAlign w:val="center"/>
            <w:hideMark/>
          </w:tcPr>
          <w:p w14:paraId="6D8750EA"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$67,505,891</w:t>
            </w:r>
          </w:p>
        </w:tc>
        <w:tc>
          <w:tcPr>
            <w:tcW w:w="417" w:type="pct"/>
            <w:tcBorders>
              <w:top w:val="single" w:sz="8" w:space="0" w:color="auto"/>
              <w:left w:val="nil"/>
              <w:bottom w:val="single" w:sz="8" w:space="0" w:color="auto"/>
              <w:right w:val="nil"/>
            </w:tcBorders>
            <w:shd w:val="clear" w:color="auto" w:fill="auto"/>
            <w:noWrap/>
            <w:vAlign w:val="center"/>
            <w:hideMark/>
          </w:tcPr>
          <w:p w14:paraId="7B381093"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$70,341,140</w:t>
            </w:r>
          </w:p>
        </w:tc>
        <w:tc>
          <w:tcPr>
            <w:tcW w:w="417" w:type="pct"/>
            <w:tcBorders>
              <w:top w:val="single" w:sz="8" w:space="0" w:color="auto"/>
              <w:left w:val="nil"/>
              <w:bottom w:val="single" w:sz="8" w:space="0" w:color="auto"/>
              <w:right w:val="nil"/>
            </w:tcBorders>
            <w:shd w:val="clear" w:color="auto" w:fill="auto"/>
            <w:noWrap/>
            <w:vAlign w:val="center"/>
            <w:hideMark/>
          </w:tcPr>
          <w:p w14:paraId="30E0C313"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$72,451,375</w:t>
            </w:r>
          </w:p>
        </w:tc>
        <w:tc>
          <w:tcPr>
            <w:tcW w:w="417" w:type="pct"/>
            <w:tcBorders>
              <w:top w:val="single" w:sz="8" w:space="0" w:color="auto"/>
              <w:left w:val="nil"/>
              <w:bottom w:val="single" w:sz="8" w:space="0" w:color="auto"/>
              <w:right w:val="nil"/>
            </w:tcBorders>
            <w:shd w:val="clear" w:color="auto" w:fill="auto"/>
            <w:noWrap/>
            <w:vAlign w:val="center"/>
            <w:hideMark/>
          </w:tcPr>
          <w:p w14:paraId="39A88A7E"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$74,624,917</w:t>
            </w:r>
          </w:p>
        </w:tc>
        <w:tc>
          <w:tcPr>
            <w:tcW w:w="417" w:type="pct"/>
            <w:tcBorders>
              <w:top w:val="single" w:sz="8" w:space="0" w:color="auto"/>
              <w:left w:val="nil"/>
              <w:bottom w:val="single" w:sz="8" w:space="0" w:color="auto"/>
              <w:right w:val="nil"/>
            </w:tcBorders>
            <w:shd w:val="clear" w:color="auto" w:fill="auto"/>
            <w:noWrap/>
            <w:vAlign w:val="center"/>
            <w:hideMark/>
          </w:tcPr>
          <w:p w14:paraId="11D5CE68"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$76,863,665</w:t>
            </w:r>
          </w:p>
        </w:tc>
        <w:tc>
          <w:tcPr>
            <w:tcW w:w="417" w:type="pct"/>
            <w:tcBorders>
              <w:top w:val="single" w:sz="8" w:space="0" w:color="auto"/>
              <w:left w:val="nil"/>
              <w:bottom w:val="single" w:sz="8" w:space="0" w:color="auto"/>
              <w:right w:val="nil"/>
            </w:tcBorders>
            <w:shd w:val="clear" w:color="auto" w:fill="auto"/>
            <w:noWrap/>
            <w:vAlign w:val="center"/>
            <w:hideMark/>
          </w:tcPr>
          <w:p w14:paraId="525C1BF6"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$79,169,574</w:t>
            </w:r>
          </w:p>
        </w:tc>
        <w:tc>
          <w:tcPr>
            <w:tcW w:w="417" w:type="pct"/>
            <w:tcBorders>
              <w:top w:val="single" w:sz="8" w:space="0" w:color="auto"/>
              <w:left w:val="nil"/>
              <w:bottom w:val="single" w:sz="8" w:space="0" w:color="auto"/>
              <w:right w:val="nil"/>
            </w:tcBorders>
            <w:shd w:val="clear" w:color="auto" w:fill="auto"/>
            <w:noWrap/>
            <w:vAlign w:val="center"/>
            <w:hideMark/>
          </w:tcPr>
          <w:p w14:paraId="32A97E57"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$81,544,662</w:t>
            </w:r>
          </w:p>
        </w:tc>
        <w:tc>
          <w:tcPr>
            <w:tcW w:w="417" w:type="pct"/>
            <w:tcBorders>
              <w:top w:val="single" w:sz="8" w:space="0" w:color="auto"/>
              <w:left w:val="nil"/>
              <w:bottom w:val="single" w:sz="8" w:space="0" w:color="auto"/>
              <w:right w:val="nil"/>
            </w:tcBorders>
            <w:shd w:val="clear" w:color="auto" w:fill="auto"/>
            <w:noWrap/>
            <w:vAlign w:val="center"/>
            <w:hideMark/>
          </w:tcPr>
          <w:p w14:paraId="2B609E82"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$83,991,000</w:t>
            </w:r>
          </w:p>
        </w:tc>
        <w:tc>
          <w:tcPr>
            <w:tcW w:w="417" w:type="pct"/>
            <w:tcBorders>
              <w:top w:val="single" w:sz="8" w:space="0" w:color="auto"/>
              <w:left w:val="nil"/>
              <w:bottom w:val="single" w:sz="8" w:space="0" w:color="auto"/>
              <w:right w:val="nil"/>
            </w:tcBorders>
            <w:shd w:val="clear" w:color="auto" w:fill="auto"/>
            <w:noWrap/>
            <w:vAlign w:val="center"/>
            <w:hideMark/>
          </w:tcPr>
          <w:p w14:paraId="34AD9EF8"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$735,038,695</w:t>
            </w:r>
          </w:p>
        </w:tc>
      </w:tr>
    </w:tbl>
    <w:p w14:paraId="62384CBD" w14:textId="77777777" w:rsidR="00862084" w:rsidRDefault="00862084" w:rsidP="002E1085">
      <w:pPr>
        <w:spacing w:after="120"/>
        <w:rPr>
          <w:b/>
          <w:iCs/>
          <w:color w:val="00254A" w:themeColor="text2"/>
          <w:szCs w:val="18"/>
        </w:rPr>
      </w:pPr>
    </w:p>
    <w:p w14:paraId="307AC697" w14:textId="7D8EA446" w:rsidR="00FD1BCD" w:rsidRDefault="002E1085" w:rsidP="00C26D3B">
      <w:pPr>
        <w:spacing w:after="120"/>
        <w:rPr>
          <w:b/>
          <w:iCs/>
          <w:color w:val="00254A" w:themeColor="text2"/>
          <w:szCs w:val="18"/>
        </w:rPr>
      </w:pPr>
      <w:r w:rsidRPr="002E1085">
        <w:rPr>
          <w:b/>
          <w:iCs/>
          <w:color w:val="00254A" w:themeColor="text2"/>
          <w:szCs w:val="18"/>
        </w:rPr>
        <w:t xml:space="preserve">Table </w:t>
      </w:r>
      <w:r w:rsidR="00D410DA">
        <w:rPr>
          <w:b/>
          <w:iCs/>
          <w:color w:val="00254A" w:themeColor="text2"/>
          <w:szCs w:val="18"/>
        </w:rPr>
        <w:t>6</w:t>
      </w:r>
      <w:r w:rsidRPr="002E1085">
        <w:rPr>
          <w:b/>
          <w:iCs/>
          <w:color w:val="00254A" w:themeColor="text2"/>
          <w:szCs w:val="18"/>
        </w:rPr>
        <w:t xml:space="preserve"> - Estimated CAF allocations to Independent NGRBs 2022-2029</w:t>
      </w:r>
    </w:p>
    <w:tbl>
      <w:tblPr>
        <w:tblW w:w="5000" w:type="pct"/>
        <w:tblLook w:val="04A0" w:firstRow="1" w:lastRow="0" w:firstColumn="1" w:lastColumn="0" w:noHBand="0" w:noVBand="1"/>
      </w:tblPr>
      <w:tblGrid>
        <w:gridCol w:w="1439"/>
        <w:gridCol w:w="1262"/>
        <w:gridCol w:w="1262"/>
        <w:gridCol w:w="1262"/>
        <w:gridCol w:w="1262"/>
        <w:gridCol w:w="1263"/>
        <w:gridCol w:w="1263"/>
        <w:gridCol w:w="1263"/>
        <w:gridCol w:w="1263"/>
        <w:gridCol w:w="1263"/>
        <w:gridCol w:w="1263"/>
        <w:gridCol w:w="1333"/>
      </w:tblGrid>
      <w:tr w:rsidR="00862084" w:rsidRPr="00862084" w14:paraId="53240888" w14:textId="77777777" w:rsidTr="0098448C">
        <w:trPr>
          <w:trHeight w:val="288"/>
        </w:trPr>
        <w:tc>
          <w:tcPr>
            <w:tcW w:w="417" w:type="pct"/>
            <w:tcBorders>
              <w:top w:val="nil"/>
              <w:left w:val="nil"/>
              <w:bottom w:val="nil"/>
              <w:right w:val="nil"/>
            </w:tcBorders>
            <w:shd w:val="clear" w:color="000000" w:fill="002060"/>
            <w:noWrap/>
            <w:vAlign w:val="center"/>
            <w:hideMark/>
          </w:tcPr>
          <w:p w14:paraId="46390585" w14:textId="77777777" w:rsidR="00862084" w:rsidRPr="00862084" w:rsidRDefault="00862084" w:rsidP="00862084">
            <w:pPr>
              <w:spacing w:after="0" w:line="240" w:lineRule="auto"/>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Year</w:t>
            </w:r>
          </w:p>
        </w:tc>
        <w:tc>
          <w:tcPr>
            <w:tcW w:w="417" w:type="pct"/>
            <w:tcBorders>
              <w:top w:val="nil"/>
              <w:left w:val="nil"/>
              <w:bottom w:val="nil"/>
              <w:right w:val="nil"/>
            </w:tcBorders>
            <w:shd w:val="clear" w:color="000000" w:fill="002060"/>
            <w:noWrap/>
            <w:vAlign w:val="center"/>
            <w:hideMark/>
          </w:tcPr>
          <w:p w14:paraId="14959ABB"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2020</w:t>
            </w:r>
          </w:p>
        </w:tc>
        <w:tc>
          <w:tcPr>
            <w:tcW w:w="417" w:type="pct"/>
            <w:tcBorders>
              <w:top w:val="nil"/>
              <w:left w:val="nil"/>
              <w:bottom w:val="nil"/>
              <w:right w:val="nil"/>
            </w:tcBorders>
            <w:shd w:val="clear" w:color="000000" w:fill="002060"/>
            <w:noWrap/>
            <w:vAlign w:val="center"/>
            <w:hideMark/>
          </w:tcPr>
          <w:p w14:paraId="4A5DC27D"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2021</w:t>
            </w:r>
          </w:p>
        </w:tc>
        <w:tc>
          <w:tcPr>
            <w:tcW w:w="417" w:type="pct"/>
            <w:tcBorders>
              <w:top w:val="nil"/>
              <w:left w:val="nil"/>
              <w:bottom w:val="nil"/>
              <w:right w:val="nil"/>
            </w:tcBorders>
            <w:shd w:val="clear" w:color="000000" w:fill="002060"/>
            <w:noWrap/>
            <w:vAlign w:val="center"/>
            <w:hideMark/>
          </w:tcPr>
          <w:p w14:paraId="09FB04FD"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2022</w:t>
            </w:r>
          </w:p>
        </w:tc>
        <w:tc>
          <w:tcPr>
            <w:tcW w:w="417" w:type="pct"/>
            <w:tcBorders>
              <w:top w:val="nil"/>
              <w:left w:val="nil"/>
              <w:bottom w:val="nil"/>
              <w:right w:val="nil"/>
            </w:tcBorders>
            <w:shd w:val="clear" w:color="000000" w:fill="002060"/>
            <w:noWrap/>
            <w:vAlign w:val="center"/>
            <w:hideMark/>
          </w:tcPr>
          <w:p w14:paraId="7DFB0DA3"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2023</w:t>
            </w:r>
          </w:p>
        </w:tc>
        <w:tc>
          <w:tcPr>
            <w:tcW w:w="417" w:type="pct"/>
            <w:tcBorders>
              <w:top w:val="nil"/>
              <w:left w:val="nil"/>
              <w:bottom w:val="nil"/>
              <w:right w:val="nil"/>
            </w:tcBorders>
            <w:shd w:val="clear" w:color="000000" w:fill="002060"/>
            <w:noWrap/>
            <w:vAlign w:val="center"/>
            <w:hideMark/>
          </w:tcPr>
          <w:p w14:paraId="23471B1B"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2024</w:t>
            </w:r>
          </w:p>
        </w:tc>
        <w:tc>
          <w:tcPr>
            <w:tcW w:w="417" w:type="pct"/>
            <w:tcBorders>
              <w:top w:val="nil"/>
              <w:left w:val="nil"/>
              <w:bottom w:val="nil"/>
              <w:right w:val="nil"/>
            </w:tcBorders>
            <w:shd w:val="clear" w:color="000000" w:fill="002060"/>
            <w:noWrap/>
            <w:vAlign w:val="center"/>
            <w:hideMark/>
          </w:tcPr>
          <w:p w14:paraId="79E79C11"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2025</w:t>
            </w:r>
          </w:p>
        </w:tc>
        <w:tc>
          <w:tcPr>
            <w:tcW w:w="417" w:type="pct"/>
            <w:tcBorders>
              <w:top w:val="nil"/>
              <w:left w:val="nil"/>
              <w:bottom w:val="nil"/>
              <w:right w:val="nil"/>
            </w:tcBorders>
            <w:shd w:val="clear" w:color="000000" w:fill="002060"/>
            <w:noWrap/>
            <w:vAlign w:val="center"/>
            <w:hideMark/>
          </w:tcPr>
          <w:p w14:paraId="455B4065"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2026</w:t>
            </w:r>
          </w:p>
        </w:tc>
        <w:tc>
          <w:tcPr>
            <w:tcW w:w="417" w:type="pct"/>
            <w:tcBorders>
              <w:top w:val="nil"/>
              <w:left w:val="nil"/>
              <w:bottom w:val="nil"/>
              <w:right w:val="nil"/>
            </w:tcBorders>
            <w:shd w:val="clear" w:color="000000" w:fill="002060"/>
            <w:noWrap/>
            <w:vAlign w:val="center"/>
            <w:hideMark/>
          </w:tcPr>
          <w:p w14:paraId="58C24539"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2027</w:t>
            </w:r>
          </w:p>
        </w:tc>
        <w:tc>
          <w:tcPr>
            <w:tcW w:w="417" w:type="pct"/>
            <w:tcBorders>
              <w:top w:val="nil"/>
              <w:left w:val="nil"/>
              <w:bottom w:val="nil"/>
              <w:right w:val="nil"/>
            </w:tcBorders>
            <w:shd w:val="clear" w:color="000000" w:fill="002060"/>
            <w:noWrap/>
            <w:vAlign w:val="center"/>
            <w:hideMark/>
          </w:tcPr>
          <w:p w14:paraId="2FE67014"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2028</w:t>
            </w:r>
          </w:p>
        </w:tc>
        <w:tc>
          <w:tcPr>
            <w:tcW w:w="417" w:type="pct"/>
            <w:tcBorders>
              <w:top w:val="nil"/>
              <w:left w:val="nil"/>
              <w:bottom w:val="nil"/>
              <w:right w:val="nil"/>
            </w:tcBorders>
            <w:shd w:val="clear" w:color="000000" w:fill="002060"/>
            <w:noWrap/>
            <w:vAlign w:val="center"/>
            <w:hideMark/>
          </w:tcPr>
          <w:p w14:paraId="366676F9"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2029</w:t>
            </w:r>
          </w:p>
        </w:tc>
        <w:tc>
          <w:tcPr>
            <w:tcW w:w="417" w:type="pct"/>
            <w:tcBorders>
              <w:top w:val="nil"/>
              <w:left w:val="nil"/>
              <w:bottom w:val="nil"/>
              <w:right w:val="nil"/>
            </w:tcBorders>
            <w:shd w:val="clear" w:color="000000" w:fill="002060"/>
            <w:noWrap/>
            <w:vAlign w:val="center"/>
            <w:hideMark/>
          </w:tcPr>
          <w:p w14:paraId="13EF01C8"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Total</w:t>
            </w:r>
          </w:p>
        </w:tc>
      </w:tr>
      <w:tr w:rsidR="00862084" w:rsidRPr="00862084" w14:paraId="06E519AC" w14:textId="77777777" w:rsidTr="0098448C">
        <w:trPr>
          <w:trHeight w:val="288"/>
        </w:trPr>
        <w:tc>
          <w:tcPr>
            <w:tcW w:w="417" w:type="pct"/>
            <w:tcBorders>
              <w:top w:val="nil"/>
              <w:left w:val="nil"/>
              <w:bottom w:val="nil"/>
              <w:right w:val="nil"/>
            </w:tcBorders>
            <w:shd w:val="clear" w:color="000000" w:fill="002060"/>
            <w:noWrap/>
            <w:vAlign w:val="center"/>
            <w:hideMark/>
          </w:tcPr>
          <w:p w14:paraId="2868300F" w14:textId="77777777" w:rsidR="00862084" w:rsidRPr="00862084" w:rsidRDefault="00862084" w:rsidP="00862084">
            <w:pPr>
              <w:spacing w:after="0" w:line="240" w:lineRule="auto"/>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 </w:t>
            </w:r>
          </w:p>
        </w:tc>
        <w:tc>
          <w:tcPr>
            <w:tcW w:w="417" w:type="pct"/>
            <w:tcBorders>
              <w:top w:val="nil"/>
              <w:left w:val="nil"/>
              <w:bottom w:val="nil"/>
              <w:right w:val="nil"/>
            </w:tcBorders>
            <w:shd w:val="clear" w:color="000000" w:fill="002060"/>
            <w:noWrap/>
            <w:vAlign w:val="center"/>
            <w:hideMark/>
          </w:tcPr>
          <w:p w14:paraId="40088372"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21A777A5"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30A5B681"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60574A3A"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Actual</w:t>
            </w:r>
          </w:p>
        </w:tc>
        <w:tc>
          <w:tcPr>
            <w:tcW w:w="417" w:type="pct"/>
            <w:tcBorders>
              <w:top w:val="nil"/>
              <w:left w:val="nil"/>
              <w:bottom w:val="nil"/>
              <w:right w:val="nil"/>
            </w:tcBorders>
            <w:shd w:val="clear" w:color="000000" w:fill="002060"/>
            <w:noWrap/>
            <w:vAlign w:val="center"/>
            <w:hideMark/>
          </w:tcPr>
          <w:p w14:paraId="0FC78B55"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753903CF"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2754046D"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5D3A968C"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2BAE679B"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5CC96A9E"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c>
          <w:tcPr>
            <w:tcW w:w="417" w:type="pct"/>
            <w:tcBorders>
              <w:top w:val="nil"/>
              <w:left w:val="nil"/>
              <w:bottom w:val="nil"/>
              <w:right w:val="nil"/>
            </w:tcBorders>
            <w:shd w:val="clear" w:color="000000" w:fill="002060"/>
            <w:noWrap/>
            <w:vAlign w:val="center"/>
            <w:hideMark/>
          </w:tcPr>
          <w:p w14:paraId="360C09EA" w14:textId="77777777" w:rsidR="00862084" w:rsidRPr="00862084" w:rsidRDefault="00862084" w:rsidP="00862084">
            <w:pPr>
              <w:spacing w:after="0" w:line="240" w:lineRule="auto"/>
              <w:jc w:val="center"/>
              <w:rPr>
                <w:rFonts w:ascii="Calibri" w:eastAsia="Times New Roman" w:hAnsi="Calibri" w:cs="Calibri"/>
                <w:b/>
                <w:bCs/>
                <w:color w:val="FFFFFF"/>
                <w:sz w:val="20"/>
                <w:szCs w:val="20"/>
                <w:lang w:eastAsia="en-AU"/>
              </w:rPr>
            </w:pPr>
            <w:r w:rsidRPr="00862084">
              <w:rPr>
                <w:rFonts w:ascii="Calibri" w:eastAsia="Times New Roman" w:hAnsi="Calibri" w:cs="Calibri"/>
                <w:b/>
                <w:bCs/>
                <w:color w:val="FFFFFF"/>
                <w:sz w:val="20"/>
                <w:szCs w:val="20"/>
                <w:lang w:eastAsia="en-AU"/>
              </w:rPr>
              <w:t>Budget</w:t>
            </w:r>
          </w:p>
        </w:tc>
      </w:tr>
      <w:tr w:rsidR="00862084" w:rsidRPr="00862084" w14:paraId="3EE9AD46" w14:textId="77777777" w:rsidTr="00376685">
        <w:trPr>
          <w:trHeight w:val="288"/>
        </w:trPr>
        <w:tc>
          <w:tcPr>
            <w:tcW w:w="417" w:type="pct"/>
            <w:tcBorders>
              <w:top w:val="nil"/>
              <w:left w:val="nil"/>
              <w:bottom w:val="nil"/>
              <w:right w:val="nil"/>
            </w:tcBorders>
            <w:shd w:val="clear" w:color="auto" w:fill="auto"/>
            <w:noWrap/>
            <w:vAlign w:val="center"/>
            <w:hideMark/>
          </w:tcPr>
          <w:p w14:paraId="1E168FC9"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AISNSW (NSW)</w:t>
            </w:r>
          </w:p>
        </w:tc>
        <w:tc>
          <w:tcPr>
            <w:tcW w:w="417" w:type="pct"/>
            <w:tcBorders>
              <w:top w:val="nil"/>
              <w:left w:val="nil"/>
              <w:bottom w:val="nil"/>
              <w:right w:val="nil"/>
            </w:tcBorders>
            <w:shd w:val="clear" w:color="auto" w:fill="auto"/>
            <w:noWrap/>
            <w:vAlign w:val="center"/>
            <w:hideMark/>
          </w:tcPr>
          <w:p w14:paraId="6296E39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$12,585,940</w:t>
            </w:r>
          </w:p>
        </w:tc>
        <w:tc>
          <w:tcPr>
            <w:tcW w:w="417" w:type="pct"/>
            <w:tcBorders>
              <w:top w:val="nil"/>
              <w:left w:val="nil"/>
              <w:bottom w:val="nil"/>
              <w:right w:val="nil"/>
            </w:tcBorders>
            <w:shd w:val="clear" w:color="auto" w:fill="auto"/>
            <w:noWrap/>
            <w:vAlign w:val="center"/>
            <w:hideMark/>
          </w:tcPr>
          <w:p w14:paraId="51A6F6D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$12,963,518</w:t>
            </w:r>
          </w:p>
        </w:tc>
        <w:tc>
          <w:tcPr>
            <w:tcW w:w="417" w:type="pct"/>
            <w:tcBorders>
              <w:top w:val="nil"/>
              <w:left w:val="nil"/>
              <w:bottom w:val="nil"/>
              <w:right w:val="nil"/>
            </w:tcBorders>
            <w:shd w:val="clear" w:color="auto" w:fill="auto"/>
            <w:noWrap/>
            <w:vAlign w:val="center"/>
            <w:hideMark/>
          </w:tcPr>
          <w:p w14:paraId="0D57A8A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$13,417,240</w:t>
            </w:r>
          </w:p>
        </w:tc>
        <w:tc>
          <w:tcPr>
            <w:tcW w:w="417" w:type="pct"/>
            <w:tcBorders>
              <w:top w:val="nil"/>
              <w:left w:val="nil"/>
              <w:bottom w:val="nil"/>
              <w:right w:val="nil"/>
            </w:tcBorders>
            <w:shd w:val="clear" w:color="auto" w:fill="auto"/>
            <w:noWrap/>
            <w:vAlign w:val="center"/>
            <w:hideMark/>
          </w:tcPr>
          <w:p w14:paraId="76ED409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$13,980,768</w:t>
            </w:r>
          </w:p>
        </w:tc>
        <w:tc>
          <w:tcPr>
            <w:tcW w:w="417" w:type="pct"/>
            <w:tcBorders>
              <w:top w:val="nil"/>
              <w:left w:val="nil"/>
              <w:bottom w:val="nil"/>
              <w:right w:val="nil"/>
            </w:tcBorders>
            <w:shd w:val="clear" w:color="auto" w:fill="auto"/>
            <w:noWrap/>
            <w:vAlign w:val="center"/>
            <w:hideMark/>
          </w:tcPr>
          <w:p w14:paraId="06D3D6B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$14,400,188</w:t>
            </w:r>
          </w:p>
        </w:tc>
        <w:tc>
          <w:tcPr>
            <w:tcW w:w="417" w:type="pct"/>
            <w:tcBorders>
              <w:top w:val="nil"/>
              <w:left w:val="nil"/>
              <w:bottom w:val="nil"/>
              <w:right w:val="nil"/>
            </w:tcBorders>
            <w:shd w:val="clear" w:color="auto" w:fill="auto"/>
            <w:noWrap/>
            <w:vAlign w:val="center"/>
            <w:hideMark/>
          </w:tcPr>
          <w:p w14:paraId="07E1200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$14,832,194</w:t>
            </w:r>
          </w:p>
        </w:tc>
        <w:tc>
          <w:tcPr>
            <w:tcW w:w="417" w:type="pct"/>
            <w:tcBorders>
              <w:top w:val="nil"/>
              <w:left w:val="nil"/>
              <w:bottom w:val="nil"/>
              <w:right w:val="nil"/>
            </w:tcBorders>
            <w:shd w:val="clear" w:color="auto" w:fill="auto"/>
            <w:noWrap/>
            <w:vAlign w:val="center"/>
            <w:hideMark/>
          </w:tcPr>
          <w:p w14:paraId="62971F9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$15,277,160</w:t>
            </w:r>
          </w:p>
        </w:tc>
        <w:tc>
          <w:tcPr>
            <w:tcW w:w="417" w:type="pct"/>
            <w:tcBorders>
              <w:top w:val="nil"/>
              <w:left w:val="nil"/>
              <w:bottom w:val="nil"/>
              <w:right w:val="nil"/>
            </w:tcBorders>
            <w:shd w:val="clear" w:color="auto" w:fill="auto"/>
            <w:noWrap/>
            <w:vAlign w:val="center"/>
            <w:hideMark/>
          </w:tcPr>
          <w:p w14:paraId="5AA486C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$15,735,475</w:t>
            </w:r>
          </w:p>
        </w:tc>
        <w:tc>
          <w:tcPr>
            <w:tcW w:w="417" w:type="pct"/>
            <w:tcBorders>
              <w:top w:val="nil"/>
              <w:left w:val="nil"/>
              <w:bottom w:val="nil"/>
              <w:right w:val="nil"/>
            </w:tcBorders>
            <w:shd w:val="clear" w:color="auto" w:fill="auto"/>
            <w:noWrap/>
            <w:vAlign w:val="center"/>
            <w:hideMark/>
          </w:tcPr>
          <w:p w14:paraId="74D44C3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$16,207,539</w:t>
            </w:r>
          </w:p>
        </w:tc>
        <w:tc>
          <w:tcPr>
            <w:tcW w:w="417" w:type="pct"/>
            <w:tcBorders>
              <w:top w:val="nil"/>
              <w:left w:val="nil"/>
              <w:bottom w:val="nil"/>
              <w:right w:val="nil"/>
            </w:tcBorders>
            <w:shd w:val="clear" w:color="auto" w:fill="auto"/>
            <w:noWrap/>
            <w:vAlign w:val="center"/>
            <w:hideMark/>
          </w:tcPr>
          <w:p w14:paraId="0F7D1A2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$16,693,765</w:t>
            </w:r>
          </w:p>
        </w:tc>
        <w:tc>
          <w:tcPr>
            <w:tcW w:w="417" w:type="pct"/>
            <w:tcBorders>
              <w:top w:val="nil"/>
              <w:left w:val="nil"/>
              <w:bottom w:val="nil"/>
              <w:right w:val="nil"/>
            </w:tcBorders>
            <w:shd w:val="clear" w:color="auto" w:fill="auto"/>
            <w:noWrap/>
            <w:vAlign w:val="center"/>
            <w:hideMark/>
          </w:tcPr>
          <w:p w14:paraId="4D61E06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$146,093,787</w:t>
            </w:r>
          </w:p>
        </w:tc>
      </w:tr>
      <w:tr w:rsidR="00862084" w:rsidRPr="00862084" w14:paraId="24346D2A" w14:textId="77777777" w:rsidTr="00376685">
        <w:trPr>
          <w:trHeight w:val="288"/>
        </w:trPr>
        <w:tc>
          <w:tcPr>
            <w:tcW w:w="417" w:type="pct"/>
            <w:tcBorders>
              <w:top w:val="nil"/>
              <w:left w:val="nil"/>
              <w:bottom w:val="nil"/>
              <w:right w:val="nil"/>
            </w:tcBorders>
            <w:shd w:val="clear" w:color="auto" w:fill="auto"/>
            <w:noWrap/>
            <w:vAlign w:val="center"/>
            <w:hideMark/>
          </w:tcPr>
          <w:p w14:paraId="25A92D93"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ISV (VIC)</w:t>
            </w:r>
          </w:p>
        </w:tc>
        <w:tc>
          <w:tcPr>
            <w:tcW w:w="417" w:type="pct"/>
            <w:tcBorders>
              <w:top w:val="nil"/>
              <w:left w:val="nil"/>
              <w:bottom w:val="nil"/>
              <w:right w:val="nil"/>
            </w:tcBorders>
            <w:shd w:val="clear" w:color="auto" w:fill="auto"/>
            <w:noWrap/>
            <w:vAlign w:val="center"/>
            <w:hideMark/>
          </w:tcPr>
          <w:p w14:paraId="66461D6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$8,496,313</w:t>
            </w:r>
          </w:p>
        </w:tc>
        <w:tc>
          <w:tcPr>
            <w:tcW w:w="417" w:type="pct"/>
            <w:tcBorders>
              <w:top w:val="nil"/>
              <w:left w:val="nil"/>
              <w:bottom w:val="nil"/>
              <w:right w:val="nil"/>
            </w:tcBorders>
            <w:shd w:val="clear" w:color="auto" w:fill="auto"/>
            <w:noWrap/>
            <w:vAlign w:val="center"/>
            <w:hideMark/>
          </w:tcPr>
          <w:p w14:paraId="2AE27FF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$8,751,202</w:t>
            </w:r>
          </w:p>
        </w:tc>
        <w:tc>
          <w:tcPr>
            <w:tcW w:w="417" w:type="pct"/>
            <w:tcBorders>
              <w:top w:val="nil"/>
              <w:left w:val="nil"/>
              <w:bottom w:val="nil"/>
              <w:right w:val="nil"/>
            </w:tcBorders>
            <w:shd w:val="clear" w:color="auto" w:fill="auto"/>
            <w:noWrap/>
            <w:vAlign w:val="center"/>
            <w:hideMark/>
          </w:tcPr>
          <w:p w14:paraId="4E54CDA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$9,057,494</w:t>
            </w:r>
          </w:p>
        </w:tc>
        <w:tc>
          <w:tcPr>
            <w:tcW w:w="417" w:type="pct"/>
            <w:tcBorders>
              <w:top w:val="nil"/>
              <w:left w:val="nil"/>
              <w:bottom w:val="nil"/>
              <w:right w:val="nil"/>
            </w:tcBorders>
            <w:shd w:val="clear" w:color="auto" w:fill="auto"/>
            <w:noWrap/>
            <w:vAlign w:val="center"/>
            <w:hideMark/>
          </w:tcPr>
          <w:p w14:paraId="266230B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$9,437,909</w:t>
            </w:r>
          </w:p>
        </w:tc>
        <w:tc>
          <w:tcPr>
            <w:tcW w:w="417" w:type="pct"/>
            <w:tcBorders>
              <w:top w:val="nil"/>
              <w:left w:val="nil"/>
              <w:bottom w:val="nil"/>
              <w:right w:val="nil"/>
            </w:tcBorders>
            <w:shd w:val="clear" w:color="auto" w:fill="auto"/>
            <w:noWrap/>
            <w:vAlign w:val="center"/>
            <w:hideMark/>
          </w:tcPr>
          <w:p w14:paraId="1FF4E84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$9,721,047</w:t>
            </w:r>
          </w:p>
        </w:tc>
        <w:tc>
          <w:tcPr>
            <w:tcW w:w="417" w:type="pct"/>
            <w:tcBorders>
              <w:top w:val="nil"/>
              <w:left w:val="nil"/>
              <w:bottom w:val="nil"/>
              <w:right w:val="nil"/>
            </w:tcBorders>
            <w:shd w:val="clear" w:color="auto" w:fill="auto"/>
            <w:noWrap/>
            <w:vAlign w:val="center"/>
            <w:hideMark/>
          </w:tcPr>
          <w:p w14:paraId="117EC96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$10,012,678</w:t>
            </w:r>
          </w:p>
        </w:tc>
        <w:tc>
          <w:tcPr>
            <w:tcW w:w="417" w:type="pct"/>
            <w:tcBorders>
              <w:top w:val="nil"/>
              <w:left w:val="nil"/>
              <w:bottom w:val="nil"/>
              <w:right w:val="nil"/>
            </w:tcBorders>
            <w:shd w:val="clear" w:color="auto" w:fill="auto"/>
            <w:noWrap/>
            <w:vAlign w:val="center"/>
            <w:hideMark/>
          </w:tcPr>
          <w:p w14:paraId="48021CD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$10,313,058</w:t>
            </w:r>
          </w:p>
        </w:tc>
        <w:tc>
          <w:tcPr>
            <w:tcW w:w="417" w:type="pct"/>
            <w:tcBorders>
              <w:top w:val="nil"/>
              <w:left w:val="nil"/>
              <w:bottom w:val="nil"/>
              <w:right w:val="nil"/>
            </w:tcBorders>
            <w:shd w:val="clear" w:color="auto" w:fill="auto"/>
            <w:noWrap/>
            <w:vAlign w:val="center"/>
            <w:hideMark/>
          </w:tcPr>
          <w:p w14:paraId="1419071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$10,622,450</w:t>
            </w:r>
          </w:p>
        </w:tc>
        <w:tc>
          <w:tcPr>
            <w:tcW w:w="417" w:type="pct"/>
            <w:tcBorders>
              <w:top w:val="nil"/>
              <w:left w:val="nil"/>
              <w:bottom w:val="nil"/>
              <w:right w:val="nil"/>
            </w:tcBorders>
            <w:shd w:val="clear" w:color="auto" w:fill="auto"/>
            <w:noWrap/>
            <w:vAlign w:val="center"/>
            <w:hideMark/>
          </w:tcPr>
          <w:p w14:paraId="1F321D4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$10,941,123</w:t>
            </w:r>
          </w:p>
        </w:tc>
        <w:tc>
          <w:tcPr>
            <w:tcW w:w="417" w:type="pct"/>
            <w:tcBorders>
              <w:top w:val="nil"/>
              <w:left w:val="nil"/>
              <w:bottom w:val="nil"/>
              <w:right w:val="nil"/>
            </w:tcBorders>
            <w:shd w:val="clear" w:color="auto" w:fill="auto"/>
            <w:noWrap/>
            <w:vAlign w:val="center"/>
            <w:hideMark/>
          </w:tcPr>
          <w:p w14:paraId="609911E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$11,269,357</w:t>
            </w:r>
          </w:p>
        </w:tc>
        <w:tc>
          <w:tcPr>
            <w:tcW w:w="417" w:type="pct"/>
            <w:tcBorders>
              <w:top w:val="nil"/>
              <w:left w:val="nil"/>
              <w:bottom w:val="nil"/>
              <w:right w:val="nil"/>
            </w:tcBorders>
            <w:shd w:val="clear" w:color="auto" w:fill="auto"/>
            <w:noWrap/>
            <w:vAlign w:val="center"/>
            <w:hideMark/>
          </w:tcPr>
          <w:p w14:paraId="6B512CE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$98,622,631</w:t>
            </w:r>
          </w:p>
        </w:tc>
      </w:tr>
      <w:tr w:rsidR="00862084" w:rsidRPr="00862084" w14:paraId="348176EC" w14:textId="77777777" w:rsidTr="00376685">
        <w:trPr>
          <w:trHeight w:val="288"/>
        </w:trPr>
        <w:tc>
          <w:tcPr>
            <w:tcW w:w="417" w:type="pct"/>
            <w:tcBorders>
              <w:top w:val="nil"/>
              <w:left w:val="nil"/>
              <w:bottom w:val="nil"/>
              <w:right w:val="nil"/>
            </w:tcBorders>
            <w:shd w:val="clear" w:color="auto" w:fill="auto"/>
            <w:noWrap/>
            <w:vAlign w:val="center"/>
            <w:hideMark/>
          </w:tcPr>
          <w:p w14:paraId="0A4CB69C"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ISQ (QLD)</w:t>
            </w:r>
          </w:p>
        </w:tc>
        <w:tc>
          <w:tcPr>
            <w:tcW w:w="417" w:type="pct"/>
            <w:tcBorders>
              <w:top w:val="nil"/>
              <w:left w:val="nil"/>
              <w:bottom w:val="nil"/>
              <w:right w:val="nil"/>
            </w:tcBorders>
            <w:shd w:val="clear" w:color="auto" w:fill="auto"/>
            <w:noWrap/>
            <w:vAlign w:val="center"/>
            <w:hideMark/>
          </w:tcPr>
          <w:p w14:paraId="3C0623B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$8,924,507</w:t>
            </w:r>
          </w:p>
        </w:tc>
        <w:tc>
          <w:tcPr>
            <w:tcW w:w="417" w:type="pct"/>
            <w:tcBorders>
              <w:top w:val="nil"/>
              <w:left w:val="nil"/>
              <w:bottom w:val="nil"/>
              <w:right w:val="nil"/>
            </w:tcBorders>
            <w:shd w:val="clear" w:color="auto" w:fill="auto"/>
            <w:noWrap/>
            <w:vAlign w:val="center"/>
            <w:hideMark/>
          </w:tcPr>
          <w:p w14:paraId="5293E67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$9,192,242</w:t>
            </w:r>
          </w:p>
        </w:tc>
        <w:tc>
          <w:tcPr>
            <w:tcW w:w="417" w:type="pct"/>
            <w:tcBorders>
              <w:top w:val="nil"/>
              <w:left w:val="nil"/>
              <w:bottom w:val="nil"/>
              <w:right w:val="nil"/>
            </w:tcBorders>
            <w:shd w:val="clear" w:color="auto" w:fill="auto"/>
            <w:noWrap/>
            <w:vAlign w:val="center"/>
            <w:hideMark/>
          </w:tcPr>
          <w:p w14:paraId="0EFC25D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$9,513,971</w:t>
            </w:r>
          </w:p>
        </w:tc>
        <w:tc>
          <w:tcPr>
            <w:tcW w:w="417" w:type="pct"/>
            <w:tcBorders>
              <w:top w:val="nil"/>
              <w:left w:val="nil"/>
              <w:bottom w:val="nil"/>
              <w:right w:val="nil"/>
            </w:tcBorders>
            <w:shd w:val="clear" w:color="auto" w:fill="auto"/>
            <w:noWrap/>
            <w:vAlign w:val="center"/>
            <w:hideMark/>
          </w:tcPr>
          <w:p w14:paraId="7A436F3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$9,913,558</w:t>
            </w:r>
          </w:p>
        </w:tc>
        <w:tc>
          <w:tcPr>
            <w:tcW w:w="417" w:type="pct"/>
            <w:tcBorders>
              <w:top w:val="nil"/>
              <w:left w:val="nil"/>
              <w:bottom w:val="nil"/>
              <w:right w:val="nil"/>
            </w:tcBorders>
            <w:shd w:val="clear" w:color="auto" w:fill="auto"/>
            <w:noWrap/>
            <w:vAlign w:val="center"/>
            <w:hideMark/>
          </w:tcPr>
          <w:p w14:paraId="080E2B8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$10,210,964</w:t>
            </w:r>
          </w:p>
        </w:tc>
        <w:tc>
          <w:tcPr>
            <w:tcW w:w="417" w:type="pct"/>
            <w:tcBorders>
              <w:top w:val="nil"/>
              <w:left w:val="nil"/>
              <w:bottom w:val="nil"/>
              <w:right w:val="nil"/>
            </w:tcBorders>
            <w:shd w:val="clear" w:color="auto" w:fill="auto"/>
            <w:noWrap/>
            <w:vAlign w:val="center"/>
            <w:hideMark/>
          </w:tcPr>
          <w:p w14:paraId="22A7D96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$10,517,293</w:t>
            </w:r>
          </w:p>
        </w:tc>
        <w:tc>
          <w:tcPr>
            <w:tcW w:w="417" w:type="pct"/>
            <w:tcBorders>
              <w:top w:val="nil"/>
              <w:left w:val="nil"/>
              <w:bottom w:val="nil"/>
              <w:right w:val="nil"/>
            </w:tcBorders>
            <w:shd w:val="clear" w:color="auto" w:fill="auto"/>
            <w:noWrap/>
            <w:vAlign w:val="center"/>
            <w:hideMark/>
          </w:tcPr>
          <w:p w14:paraId="1C4BAFE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$10,832,812</w:t>
            </w:r>
          </w:p>
        </w:tc>
        <w:tc>
          <w:tcPr>
            <w:tcW w:w="417" w:type="pct"/>
            <w:tcBorders>
              <w:top w:val="nil"/>
              <w:left w:val="nil"/>
              <w:bottom w:val="nil"/>
              <w:right w:val="nil"/>
            </w:tcBorders>
            <w:shd w:val="clear" w:color="auto" w:fill="auto"/>
            <w:noWrap/>
            <w:vAlign w:val="center"/>
            <w:hideMark/>
          </w:tcPr>
          <w:p w14:paraId="1EA77A2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$11,157,797</w:t>
            </w:r>
          </w:p>
        </w:tc>
        <w:tc>
          <w:tcPr>
            <w:tcW w:w="417" w:type="pct"/>
            <w:tcBorders>
              <w:top w:val="nil"/>
              <w:left w:val="nil"/>
              <w:bottom w:val="nil"/>
              <w:right w:val="nil"/>
            </w:tcBorders>
            <w:shd w:val="clear" w:color="auto" w:fill="auto"/>
            <w:noWrap/>
            <w:vAlign w:val="center"/>
            <w:hideMark/>
          </w:tcPr>
          <w:p w14:paraId="1A05BFC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$11,492,530</w:t>
            </w:r>
          </w:p>
        </w:tc>
        <w:tc>
          <w:tcPr>
            <w:tcW w:w="417" w:type="pct"/>
            <w:tcBorders>
              <w:top w:val="nil"/>
              <w:left w:val="nil"/>
              <w:bottom w:val="nil"/>
              <w:right w:val="nil"/>
            </w:tcBorders>
            <w:shd w:val="clear" w:color="auto" w:fill="auto"/>
            <w:noWrap/>
            <w:vAlign w:val="center"/>
            <w:hideMark/>
          </w:tcPr>
          <w:p w14:paraId="6999E83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$11,837,306</w:t>
            </w:r>
          </w:p>
        </w:tc>
        <w:tc>
          <w:tcPr>
            <w:tcW w:w="417" w:type="pct"/>
            <w:tcBorders>
              <w:top w:val="nil"/>
              <w:left w:val="nil"/>
              <w:bottom w:val="nil"/>
              <w:right w:val="nil"/>
            </w:tcBorders>
            <w:shd w:val="clear" w:color="auto" w:fill="auto"/>
            <w:noWrap/>
            <w:vAlign w:val="center"/>
            <w:hideMark/>
          </w:tcPr>
          <w:p w14:paraId="506E5A0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$103,592,980</w:t>
            </w:r>
          </w:p>
        </w:tc>
      </w:tr>
      <w:tr w:rsidR="00862084" w:rsidRPr="00862084" w14:paraId="29179FC3" w14:textId="77777777" w:rsidTr="00376685">
        <w:trPr>
          <w:trHeight w:val="288"/>
        </w:trPr>
        <w:tc>
          <w:tcPr>
            <w:tcW w:w="417" w:type="pct"/>
            <w:tcBorders>
              <w:top w:val="nil"/>
              <w:left w:val="nil"/>
              <w:bottom w:val="nil"/>
              <w:right w:val="nil"/>
            </w:tcBorders>
            <w:shd w:val="clear" w:color="auto" w:fill="auto"/>
            <w:noWrap/>
            <w:vAlign w:val="center"/>
            <w:hideMark/>
          </w:tcPr>
          <w:p w14:paraId="65BBF92C"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AISSA (SA)</w:t>
            </w:r>
          </w:p>
        </w:tc>
        <w:tc>
          <w:tcPr>
            <w:tcW w:w="417" w:type="pct"/>
            <w:tcBorders>
              <w:top w:val="nil"/>
              <w:left w:val="nil"/>
              <w:bottom w:val="nil"/>
              <w:right w:val="nil"/>
            </w:tcBorders>
            <w:shd w:val="clear" w:color="auto" w:fill="auto"/>
            <w:noWrap/>
            <w:vAlign w:val="center"/>
            <w:hideMark/>
          </w:tcPr>
          <w:p w14:paraId="77530B1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$2,522,381</w:t>
            </w:r>
          </w:p>
        </w:tc>
        <w:tc>
          <w:tcPr>
            <w:tcW w:w="417" w:type="pct"/>
            <w:tcBorders>
              <w:top w:val="nil"/>
              <w:left w:val="nil"/>
              <w:bottom w:val="nil"/>
              <w:right w:val="nil"/>
            </w:tcBorders>
            <w:shd w:val="clear" w:color="auto" w:fill="auto"/>
            <w:noWrap/>
            <w:vAlign w:val="center"/>
            <w:hideMark/>
          </w:tcPr>
          <w:p w14:paraId="47DD3FB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$2,598,052</w:t>
            </w:r>
          </w:p>
        </w:tc>
        <w:tc>
          <w:tcPr>
            <w:tcW w:w="417" w:type="pct"/>
            <w:tcBorders>
              <w:top w:val="nil"/>
              <w:left w:val="nil"/>
              <w:bottom w:val="nil"/>
              <w:right w:val="nil"/>
            </w:tcBorders>
            <w:shd w:val="clear" w:color="auto" w:fill="auto"/>
            <w:noWrap/>
            <w:vAlign w:val="center"/>
            <w:hideMark/>
          </w:tcPr>
          <w:p w14:paraId="0DE2C2C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$2,688,984</w:t>
            </w:r>
          </w:p>
        </w:tc>
        <w:tc>
          <w:tcPr>
            <w:tcW w:w="417" w:type="pct"/>
            <w:tcBorders>
              <w:top w:val="nil"/>
              <w:left w:val="nil"/>
              <w:bottom w:val="nil"/>
              <w:right w:val="nil"/>
            </w:tcBorders>
            <w:shd w:val="clear" w:color="auto" w:fill="auto"/>
            <w:noWrap/>
            <w:vAlign w:val="center"/>
            <w:hideMark/>
          </w:tcPr>
          <w:p w14:paraId="4F56F79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$2,801,922</w:t>
            </w:r>
          </w:p>
        </w:tc>
        <w:tc>
          <w:tcPr>
            <w:tcW w:w="417" w:type="pct"/>
            <w:tcBorders>
              <w:top w:val="nil"/>
              <w:left w:val="nil"/>
              <w:bottom w:val="nil"/>
              <w:right w:val="nil"/>
            </w:tcBorders>
            <w:shd w:val="clear" w:color="auto" w:fill="auto"/>
            <w:noWrap/>
            <w:vAlign w:val="center"/>
            <w:hideMark/>
          </w:tcPr>
          <w:p w14:paraId="5665A85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$2,885,979</w:t>
            </w:r>
          </w:p>
        </w:tc>
        <w:tc>
          <w:tcPr>
            <w:tcW w:w="417" w:type="pct"/>
            <w:tcBorders>
              <w:top w:val="nil"/>
              <w:left w:val="nil"/>
              <w:bottom w:val="nil"/>
              <w:right w:val="nil"/>
            </w:tcBorders>
            <w:shd w:val="clear" w:color="auto" w:fill="auto"/>
            <w:noWrap/>
            <w:vAlign w:val="center"/>
            <w:hideMark/>
          </w:tcPr>
          <w:p w14:paraId="14F7B978"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$2,972,559</w:t>
            </w:r>
          </w:p>
        </w:tc>
        <w:tc>
          <w:tcPr>
            <w:tcW w:w="417" w:type="pct"/>
            <w:tcBorders>
              <w:top w:val="nil"/>
              <w:left w:val="nil"/>
              <w:bottom w:val="nil"/>
              <w:right w:val="nil"/>
            </w:tcBorders>
            <w:shd w:val="clear" w:color="auto" w:fill="auto"/>
            <w:noWrap/>
            <w:vAlign w:val="center"/>
            <w:hideMark/>
          </w:tcPr>
          <w:p w14:paraId="7E92FC58"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$3,061,735</w:t>
            </w:r>
          </w:p>
        </w:tc>
        <w:tc>
          <w:tcPr>
            <w:tcW w:w="417" w:type="pct"/>
            <w:tcBorders>
              <w:top w:val="nil"/>
              <w:left w:val="nil"/>
              <w:bottom w:val="nil"/>
              <w:right w:val="nil"/>
            </w:tcBorders>
            <w:shd w:val="clear" w:color="auto" w:fill="auto"/>
            <w:noWrap/>
            <w:vAlign w:val="center"/>
            <w:hideMark/>
          </w:tcPr>
          <w:p w14:paraId="67E7AE4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$3,153,588</w:t>
            </w:r>
          </w:p>
        </w:tc>
        <w:tc>
          <w:tcPr>
            <w:tcW w:w="417" w:type="pct"/>
            <w:tcBorders>
              <w:top w:val="nil"/>
              <w:left w:val="nil"/>
              <w:bottom w:val="nil"/>
              <w:right w:val="nil"/>
            </w:tcBorders>
            <w:shd w:val="clear" w:color="auto" w:fill="auto"/>
            <w:noWrap/>
            <w:vAlign w:val="center"/>
            <w:hideMark/>
          </w:tcPr>
          <w:p w14:paraId="3E16EDB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$3,248,195</w:t>
            </w:r>
          </w:p>
        </w:tc>
        <w:tc>
          <w:tcPr>
            <w:tcW w:w="417" w:type="pct"/>
            <w:tcBorders>
              <w:top w:val="nil"/>
              <w:left w:val="nil"/>
              <w:bottom w:val="nil"/>
              <w:right w:val="nil"/>
            </w:tcBorders>
            <w:shd w:val="clear" w:color="auto" w:fill="auto"/>
            <w:noWrap/>
            <w:vAlign w:val="center"/>
            <w:hideMark/>
          </w:tcPr>
          <w:p w14:paraId="10AB016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$3,345,641</w:t>
            </w:r>
          </w:p>
        </w:tc>
        <w:tc>
          <w:tcPr>
            <w:tcW w:w="417" w:type="pct"/>
            <w:tcBorders>
              <w:top w:val="nil"/>
              <w:left w:val="nil"/>
              <w:bottom w:val="nil"/>
              <w:right w:val="nil"/>
            </w:tcBorders>
            <w:shd w:val="clear" w:color="auto" w:fill="auto"/>
            <w:noWrap/>
            <w:vAlign w:val="center"/>
            <w:hideMark/>
          </w:tcPr>
          <w:p w14:paraId="0B6126B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$29,279,036</w:t>
            </w:r>
          </w:p>
        </w:tc>
      </w:tr>
      <w:tr w:rsidR="00862084" w:rsidRPr="00862084" w14:paraId="4070444D" w14:textId="77777777" w:rsidTr="00376685">
        <w:trPr>
          <w:trHeight w:val="288"/>
        </w:trPr>
        <w:tc>
          <w:tcPr>
            <w:tcW w:w="417" w:type="pct"/>
            <w:tcBorders>
              <w:top w:val="nil"/>
              <w:left w:val="nil"/>
              <w:bottom w:val="nil"/>
              <w:right w:val="nil"/>
            </w:tcBorders>
            <w:shd w:val="clear" w:color="auto" w:fill="auto"/>
            <w:noWrap/>
            <w:vAlign w:val="center"/>
            <w:hideMark/>
          </w:tcPr>
          <w:p w14:paraId="0A58CECA"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AISWA (WA)</w:t>
            </w:r>
          </w:p>
        </w:tc>
        <w:tc>
          <w:tcPr>
            <w:tcW w:w="417" w:type="pct"/>
            <w:tcBorders>
              <w:top w:val="nil"/>
              <w:left w:val="nil"/>
              <w:bottom w:val="nil"/>
              <w:right w:val="nil"/>
            </w:tcBorders>
            <w:shd w:val="clear" w:color="auto" w:fill="auto"/>
            <w:noWrap/>
            <w:vAlign w:val="center"/>
            <w:hideMark/>
          </w:tcPr>
          <w:p w14:paraId="0C01D1C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$4,322,376</w:t>
            </w:r>
          </w:p>
        </w:tc>
        <w:tc>
          <w:tcPr>
            <w:tcW w:w="417" w:type="pct"/>
            <w:tcBorders>
              <w:top w:val="nil"/>
              <w:left w:val="nil"/>
              <w:bottom w:val="nil"/>
              <w:right w:val="nil"/>
            </w:tcBorders>
            <w:shd w:val="clear" w:color="auto" w:fill="auto"/>
            <w:noWrap/>
            <w:vAlign w:val="center"/>
            <w:hideMark/>
          </w:tcPr>
          <w:p w14:paraId="3CD9BA8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$4,452,048</w:t>
            </w:r>
          </w:p>
        </w:tc>
        <w:tc>
          <w:tcPr>
            <w:tcW w:w="417" w:type="pct"/>
            <w:tcBorders>
              <w:top w:val="nil"/>
              <w:left w:val="nil"/>
              <w:bottom w:val="nil"/>
              <w:right w:val="nil"/>
            </w:tcBorders>
            <w:shd w:val="clear" w:color="auto" w:fill="auto"/>
            <w:noWrap/>
            <w:vAlign w:val="center"/>
            <w:hideMark/>
          </w:tcPr>
          <w:p w14:paraId="07D6855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$4,607,868</w:t>
            </w:r>
          </w:p>
        </w:tc>
        <w:tc>
          <w:tcPr>
            <w:tcW w:w="417" w:type="pct"/>
            <w:tcBorders>
              <w:top w:val="nil"/>
              <w:left w:val="nil"/>
              <w:bottom w:val="nil"/>
              <w:right w:val="nil"/>
            </w:tcBorders>
            <w:shd w:val="clear" w:color="auto" w:fill="auto"/>
            <w:noWrap/>
            <w:vAlign w:val="center"/>
            <w:hideMark/>
          </w:tcPr>
          <w:p w14:paraId="4BC65DC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$4,801,402</w:t>
            </w:r>
          </w:p>
        </w:tc>
        <w:tc>
          <w:tcPr>
            <w:tcW w:w="417" w:type="pct"/>
            <w:tcBorders>
              <w:top w:val="nil"/>
              <w:left w:val="nil"/>
              <w:bottom w:val="nil"/>
              <w:right w:val="nil"/>
            </w:tcBorders>
            <w:shd w:val="clear" w:color="auto" w:fill="auto"/>
            <w:noWrap/>
            <w:vAlign w:val="center"/>
            <w:hideMark/>
          </w:tcPr>
          <w:p w14:paraId="140983B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$4,945,442</w:t>
            </w:r>
          </w:p>
        </w:tc>
        <w:tc>
          <w:tcPr>
            <w:tcW w:w="417" w:type="pct"/>
            <w:tcBorders>
              <w:top w:val="nil"/>
              <w:left w:val="nil"/>
              <w:bottom w:val="nil"/>
              <w:right w:val="nil"/>
            </w:tcBorders>
            <w:shd w:val="clear" w:color="auto" w:fill="auto"/>
            <w:noWrap/>
            <w:vAlign w:val="center"/>
            <w:hideMark/>
          </w:tcPr>
          <w:p w14:paraId="4C0E3807"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$5,093,805</w:t>
            </w:r>
          </w:p>
        </w:tc>
        <w:tc>
          <w:tcPr>
            <w:tcW w:w="417" w:type="pct"/>
            <w:tcBorders>
              <w:top w:val="nil"/>
              <w:left w:val="nil"/>
              <w:bottom w:val="nil"/>
              <w:right w:val="nil"/>
            </w:tcBorders>
            <w:shd w:val="clear" w:color="auto" w:fill="auto"/>
            <w:noWrap/>
            <w:vAlign w:val="center"/>
            <w:hideMark/>
          </w:tcPr>
          <w:p w14:paraId="588841C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$5,246,619</w:t>
            </w:r>
          </w:p>
        </w:tc>
        <w:tc>
          <w:tcPr>
            <w:tcW w:w="417" w:type="pct"/>
            <w:tcBorders>
              <w:top w:val="nil"/>
              <w:left w:val="nil"/>
              <w:bottom w:val="nil"/>
              <w:right w:val="nil"/>
            </w:tcBorders>
            <w:shd w:val="clear" w:color="auto" w:fill="auto"/>
            <w:noWrap/>
            <w:vAlign w:val="center"/>
            <w:hideMark/>
          </w:tcPr>
          <w:p w14:paraId="7E4F617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$5,404,018</w:t>
            </w:r>
          </w:p>
        </w:tc>
        <w:tc>
          <w:tcPr>
            <w:tcW w:w="417" w:type="pct"/>
            <w:tcBorders>
              <w:top w:val="nil"/>
              <w:left w:val="nil"/>
              <w:bottom w:val="nil"/>
              <w:right w:val="nil"/>
            </w:tcBorders>
            <w:shd w:val="clear" w:color="auto" w:fill="auto"/>
            <w:noWrap/>
            <w:vAlign w:val="center"/>
            <w:hideMark/>
          </w:tcPr>
          <w:p w14:paraId="465A7EE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$5,566,138</w:t>
            </w:r>
          </w:p>
        </w:tc>
        <w:tc>
          <w:tcPr>
            <w:tcW w:w="417" w:type="pct"/>
            <w:tcBorders>
              <w:top w:val="nil"/>
              <w:left w:val="nil"/>
              <w:bottom w:val="nil"/>
              <w:right w:val="nil"/>
            </w:tcBorders>
            <w:shd w:val="clear" w:color="auto" w:fill="auto"/>
            <w:noWrap/>
            <w:vAlign w:val="center"/>
            <w:hideMark/>
          </w:tcPr>
          <w:p w14:paraId="18C31CC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$5,733,123</w:t>
            </w:r>
          </w:p>
        </w:tc>
        <w:tc>
          <w:tcPr>
            <w:tcW w:w="417" w:type="pct"/>
            <w:tcBorders>
              <w:top w:val="nil"/>
              <w:left w:val="nil"/>
              <w:bottom w:val="nil"/>
              <w:right w:val="nil"/>
            </w:tcBorders>
            <w:shd w:val="clear" w:color="auto" w:fill="auto"/>
            <w:noWrap/>
            <w:vAlign w:val="center"/>
            <w:hideMark/>
          </w:tcPr>
          <w:p w14:paraId="1034460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$50,172,839</w:t>
            </w:r>
          </w:p>
        </w:tc>
      </w:tr>
      <w:tr w:rsidR="00862084" w:rsidRPr="00862084" w14:paraId="70BDAC73" w14:textId="77777777" w:rsidTr="00376685">
        <w:trPr>
          <w:trHeight w:val="288"/>
        </w:trPr>
        <w:tc>
          <w:tcPr>
            <w:tcW w:w="417" w:type="pct"/>
            <w:tcBorders>
              <w:top w:val="nil"/>
              <w:left w:val="nil"/>
              <w:bottom w:val="nil"/>
              <w:right w:val="nil"/>
            </w:tcBorders>
            <w:shd w:val="clear" w:color="auto" w:fill="auto"/>
            <w:noWrap/>
            <w:vAlign w:val="center"/>
            <w:hideMark/>
          </w:tcPr>
          <w:p w14:paraId="2DF9272C"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IST (TAS)</w:t>
            </w:r>
          </w:p>
        </w:tc>
        <w:tc>
          <w:tcPr>
            <w:tcW w:w="417" w:type="pct"/>
            <w:tcBorders>
              <w:top w:val="nil"/>
              <w:left w:val="nil"/>
              <w:bottom w:val="nil"/>
              <w:right w:val="nil"/>
            </w:tcBorders>
            <w:shd w:val="clear" w:color="auto" w:fill="auto"/>
            <w:noWrap/>
            <w:vAlign w:val="center"/>
            <w:hideMark/>
          </w:tcPr>
          <w:p w14:paraId="4A609DB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$1,068,225</w:t>
            </w:r>
          </w:p>
        </w:tc>
        <w:tc>
          <w:tcPr>
            <w:tcW w:w="417" w:type="pct"/>
            <w:tcBorders>
              <w:top w:val="nil"/>
              <w:left w:val="nil"/>
              <w:bottom w:val="nil"/>
              <w:right w:val="nil"/>
            </w:tcBorders>
            <w:shd w:val="clear" w:color="auto" w:fill="auto"/>
            <w:noWrap/>
            <w:vAlign w:val="center"/>
            <w:hideMark/>
          </w:tcPr>
          <w:p w14:paraId="778F9AC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$1,100,272</w:t>
            </w:r>
          </w:p>
        </w:tc>
        <w:tc>
          <w:tcPr>
            <w:tcW w:w="417" w:type="pct"/>
            <w:tcBorders>
              <w:top w:val="nil"/>
              <w:left w:val="nil"/>
              <w:bottom w:val="nil"/>
              <w:right w:val="nil"/>
            </w:tcBorders>
            <w:shd w:val="clear" w:color="auto" w:fill="auto"/>
            <w:noWrap/>
            <w:vAlign w:val="center"/>
            <w:hideMark/>
          </w:tcPr>
          <w:p w14:paraId="5B316C3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$1,138,781</w:t>
            </w:r>
          </w:p>
        </w:tc>
        <w:tc>
          <w:tcPr>
            <w:tcW w:w="417" w:type="pct"/>
            <w:tcBorders>
              <w:top w:val="nil"/>
              <w:left w:val="nil"/>
              <w:bottom w:val="nil"/>
              <w:right w:val="nil"/>
            </w:tcBorders>
            <w:shd w:val="clear" w:color="auto" w:fill="auto"/>
            <w:noWrap/>
            <w:vAlign w:val="center"/>
            <w:hideMark/>
          </w:tcPr>
          <w:p w14:paraId="1211E63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$1,186,610</w:t>
            </w:r>
          </w:p>
        </w:tc>
        <w:tc>
          <w:tcPr>
            <w:tcW w:w="417" w:type="pct"/>
            <w:tcBorders>
              <w:top w:val="nil"/>
              <w:left w:val="nil"/>
              <w:bottom w:val="nil"/>
              <w:right w:val="nil"/>
            </w:tcBorders>
            <w:shd w:val="clear" w:color="auto" w:fill="auto"/>
            <w:noWrap/>
            <w:vAlign w:val="center"/>
            <w:hideMark/>
          </w:tcPr>
          <w:p w14:paraId="53BA3442"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$1,222,208</w:t>
            </w:r>
          </w:p>
        </w:tc>
        <w:tc>
          <w:tcPr>
            <w:tcW w:w="417" w:type="pct"/>
            <w:tcBorders>
              <w:top w:val="nil"/>
              <w:left w:val="nil"/>
              <w:bottom w:val="nil"/>
              <w:right w:val="nil"/>
            </w:tcBorders>
            <w:shd w:val="clear" w:color="auto" w:fill="auto"/>
            <w:noWrap/>
            <w:vAlign w:val="center"/>
            <w:hideMark/>
          </w:tcPr>
          <w:p w14:paraId="2973A51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$1,258,875</w:t>
            </w:r>
          </w:p>
        </w:tc>
        <w:tc>
          <w:tcPr>
            <w:tcW w:w="417" w:type="pct"/>
            <w:tcBorders>
              <w:top w:val="nil"/>
              <w:left w:val="nil"/>
              <w:bottom w:val="nil"/>
              <w:right w:val="nil"/>
            </w:tcBorders>
            <w:shd w:val="clear" w:color="auto" w:fill="auto"/>
            <w:noWrap/>
            <w:vAlign w:val="center"/>
            <w:hideMark/>
          </w:tcPr>
          <w:p w14:paraId="54921AE8"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$1,296,641</w:t>
            </w:r>
          </w:p>
        </w:tc>
        <w:tc>
          <w:tcPr>
            <w:tcW w:w="417" w:type="pct"/>
            <w:tcBorders>
              <w:top w:val="nil"/>
              <w:left w:val="nil"/>
              <w:bottom w:val="nil"/>
              <w:right w:val="nil"/>
            </w:tcBorders>
            <w:shd w:val="clear" w:color="auto" w:fill="auto"/>
            <w:noWrap/>
            <w:vAlign w:val="center"/>
            <w:hideMark/>
          </w:tcPr>
          <w:p w14:paraId="041F1A2A"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$1,335,540</w:t>
            </w:r>
          </w:p>
        </w:tc>
        <w:tc>
          <w:tcPr>
            <w:tcW w:w="417" w:type="pct"/>
            <w:tcBorders>
              <w:top w:val="nil"/>
              <w:left w:val="nil"/>
              <w:bottom w:val="nil"/>
              <w:right w:val="nil"/>
            </w:tcBorders>
            <w:shd w:val="clear" w:color="auto" w:fill="auto"/>
            <w:noWrap/>
            <w:vAlign w:val="center"/>
            <w:hideMark/>
          </w:tcPr>
          <w:p w14:paraId="383B759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$1,375,606</w:t>
            </w:r>
          </w:p>
        </w:tc>
        <w:tc>
          <w:tcPr>
            <w:tcW w:w="417" w:type="pct"/>
            <w:tcBorders>
              <w:top w:val="nil"/>
              <w:left w:val="nil"/>
              <w:bottom w:val="nil"/>
              <w:right w:val="nil"/>
            </w:tcBorders>
            <w:shd w:val="clear" w:color="auto" w:fill="auto"/>
            <w:noWrap/>
            <w:vAlign w:val="center"/>
            <w:hideMark/>
          </w:tcPr>
          <w:p w14:paraId="5C1B859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$1,416,874</w:t>
            </w:r>
          </w:p>
        </w:tc>
        <w:tc>
          <w:tcPr>
            <w:tcW w:w="417" w:type="pct"/>
            <w:tcBorders>
              <w:top w:val="nil"/>
              <w:left w:val="nil"/>
              <w:bottom w:val="nil"/>
              <w:right w:val="nil"/>
            </w:tcBorders>
            <w:shd w:val="clear" w:color="auto" w:fill="auto"/>
            <w:noWrap/>
            <w:vAlign w:val="center"/>
            <w:hideMark/>
          </w:tcPr>
          <w:p w14:paraId="26DFBF6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$12,399,632</w:t>
            </w:r>
          </w:p>
        </w:tc>
      </w:tr>
      <w:tr w:rsidR="00862084" w:rsidRPr="00862084" w14:paraId="37C61FFD" w14:textId="77777777" w:rsidTr="00376685">
        <w:trPr>
          <w:trHeight w:val="288"/>
        </w:trPr>
        <w:tc>
          <w:tcPr>
            <w:tcW w:w="417" w:type="pct"/>
            <w:tcBorders>
              <w:top w:val="nil"/>
              <w:left w:val="nil"/>
              <w:bottom w:val="nil"/>
              <w:right w:val="nil"/>
            </w:tcBorders>
            <w:shd w:val="clear" w:color="auto" w:fill="auto"/>
            <w:noWrap/>
            <w:vAlign w:val="center"/>
            <w:hideMark/>
          </w:tcPr>
          <w:p w14:paraId="378DAB2B"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AIS (ACT)</w:t>
            </w:r>
          </w:p>
        </w:tc>
        <w:tc>
          <w:tcPr>
            <w:tcW w:w="417" w:type="pct"/>
            <w:tcBorders>
              <w:top w:val="nil"/>
              <w:left w:val="nil"/>
              <w:bottom w:val="nil"/>
              <w:right w:val="nil"/>
            </w:tcBorders>
            <w:shd w:val="clear" w:color="auto" w:fill="auto"/>
            <w:noWrap/>
            <w:vAlign w:val="center"/>
            <w:hideMark/>
          </w:tcPr>
          <w:p w14:paraId="50EC5FF8"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$413,319</w:t>
            </w:r>
          </w:p>
        </w:tc>
        <w:tc>
          <w:tcPr>
            <w:tcW w:w="417" w:type="pct"/>
            <w:tcBorders>
              <w:top w:val="nil"/>
              <w:left w:val="nil"/>
              <w:bottom w:val="nil"/>
              <w:right w:val="nil"/>
            </w:tcBorders>
            <w:shd w:val="clear" w:color="auto" w:fill="auto"/>
            <w:noWrap/>
            <w:vAlign w:val="center"/>
            <w:hideMark/>
          </w:tcPr>
          <w:p w14:paraId="172A94A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$425,718</w:t>
            </w:r>
          </w:p>
        </w:tc>
        <w:tc>
          <w:tcPr>
            <w:tcW w:w="417" w:type="pct"/>
            <w:tcBorders>
              <w:top w:val="nil"/>
              <w:left w:val="nil"/>
              <w:bottom w:val="nil"/>
              <w:right w:val="nil"/>
            </w:tcBorders>
            <w:shd w:val="clear" w:color="auto" w:fill="auto"/>
            <w:noWrap/>
            <w:vAlign w:val="center"/>
            <w:hideMark/>
          </w:tcPr>
          <w:p w14:paraId="579558D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$440,619</w:t>
            </w:r>
          </w:p>
        </w:tc>
        <w:tc>
          <w:tcPr>
            <w:tcW w:w="417" w:type="pct"/>
            <w:tcBorders>
              <w:top w:val="nil"/>
              <w:left w:val="nil"/>
              <w:bottom w:val="nil"/>
              <w:right w:val="nil"/>
            </w:tcBorders>
            <w:shd w:val="clear" w:color="auto" w:fill="auto"/>
            <w:noWrap/>
            <w:vAlign w:val="center"/>
            <w:hideMark/>
          </w:tcPr>
          <w:p w14:paraId="177DA38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$459,124</w:t>
            </w:r>
          </w:p>
        </w:tc>
        <w:tc>
          <w:tcPr>
            <w:tcW w:w="417" w:type="pct"/>
            <w:tcBorders>
              <w:top w:val="nil"/>
              <w:left w:val="nil"/>
              <w:bottom w:val="nil"/>
              <w:right w:val="nil"/>
            </w:tcBorders>
            <w:shd w:val="clear" w:color="auto" w:fill="auto"/>
            <w:noWrap/>
            <w:vAlign w:val="center"/>
            <w:hideMark/>
          </w:tcPr>
          <w:p w14:paraId="49F6EB6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$472,898</w:t>
            </w:r>
          </w:p>
        </w:tc>
        <w:tc>
          <w:tcPr>
            <w:tcW w:w="417" w:type="pct"/>
            <w:tcBorders>
              <w:top w:val="nil"/>
              <w:left w:val="nil"/>
              <w:bottom w:val="nil"/>
              <w:right w:val="nil"/>
            </w:tcBorders>
            <w:shd w:val="clear" w:color="auto" w:fill="auto"/>
            <w:noWrap/>
            <w:vAlign w:val="center"/>
            <w:hideMark/>
          </w:tcPr>
          <w:p w14:paraId="20B09559"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$487,085</w:t>
            </w:r>
          </w:p>
        </w:tc>
        <w:tc>
          <w:tcPr>
            <w:tcW w:w="417" w:type="pct"/>
            <w:tcBorders>
              <w:top w:val="nil"/>
              <w:left w:val="nil"/>
              <w:bottom w:val="nil"/>
              <w:right w:val="nil"/>
            </w:tcBorders>
            <w:shd w:val="clear" w:color="auto" w:fill="auto"/>
            <w:noWrap/>
            <w:vAlign w:val="center"/>
            <w:hideMark/>
          </w:tcPr>
          <w:p w14:paraId="315E3825"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$501,698</w:t>
            </w:r>
          </w:p>
        </w:tc>
        <w:tc>
          <w:tcPr>
            <w:tcW w:w="417" w:type="pct"/>
            <w:tcBorders>
              <w:top w:val="nil"/>
              <w:left w:val="nil"/>
              <w:bottom w:val="nil"/>
              <w:right w:val="nil"/>
            </w:tcBorders>
            <w:shd w:val="clear" w:color="auto" w:fill="auto"/>
            <w:noWrap/>
            <w:vAlign w:val="center"/>
            <w:hideMark/>
          </w:tcPr>
          <w:p w14:paraId="069CC1DB"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$516,749</w:t>
            </w:r>
          </w:p>
        </w:tc>
        <w:tc>
          <w:tcPr>
            <w:tcW w:w="417" w:type="pct"/>
            <w:tcBorders>
              <w:top w:val="nil"/>
              <w:left w:val="nil"/>
              <w:bottom w:val="nil"/>
              <w:right w:val="nil"/>
            </w:tcBorders>
            <w:shd w:val="clear" w:color="auto" w:fill="auto"/>
            <w:noWrap/>
            <w:vAlign w:val="center"/>
            <w:hideMark/>
          </w:tcPr>
          <w:p w14:paraId="46C59CF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$532,251</w:t>
            </w:r>
          </w:p>
        </w:tc>
        <w:tc>
          <w:tcPr>
            <w:tcW w:w="417" w:type="pct"/>
            <w:tcBorders>
              <w:top w:val="nil"/>
              <w:left w:val="nil"/>
              <w:bottom w:val="nil"/>
              <w:right w:val="nil"/>
            </w:tcBorders>
            <w:shd w:val="clear" w:color="auto" w:fill="auto"/>
            <w:noWrap/>
            <w:vAlign w:val="center"/>
            <w:hideMark/>
          </w:tcPr>
          <w:p w14:paraId="26228DBD"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$548,219</w:t>
            </w:r>
          </w:p>
        </w:tc>
        <w:tc>
          <w:tcPr>
            <w:tcW w:w="417" w:type="pct"/>
            <w:tcBorders>
              <w:top w:val="nil"/>
              <w:left w:val="nil"/>
              <w:bottom w:val="nil"/>
              <w:right w:val="nil"/>
            </w:tcBorders>
            <w:shd w:val="clear" w:color="auto" w:fill="auto"/>
            <w:noWrap/>
            <w:vAlign w:val="center"/>
            <w:hideMark/>
          </w:tcPr>
          <w:p w14:paraId="16A44A6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$4,797,680</w:t>
            </w:r>
          </w:p>
        </w:tc>
      </w:tr>
      <w:tr w:rsidR="00862084" w:rsidRPr="00862084" w14:paraId="55461655" w14:textId="77777777" w:rsidTr="00376685">
        <w:trPr>
          <w:trHeight w:val="294"/>
        </w:trPr>
        <w:tc>
          <w:tcPr>
            <w:tcW w:w="417" w:type="pct"/>
            <w:tcBorders>
              <w:top w:val="nil"/>
              <w:left w:val="nil"/>
              <w:bottom w:val="nil"/>
              <w:right w:val="nil"/>
            </w:tcBorders>
            <w:shd w:val="clear" w:color="auto" w:fill="auto"/>
            <w:noWrap/>
            <w:vAlign w:val="center"/>
            <w:hideMark/>
          </w:tcPr>
          <w:p w14:paraId="46C601F4" w14:textId="77777777" w:rsidR="00862084" w:rsidRPr="00862084" w:rsidRDefault="00862084" w:rsidP="00862084">
            <w:pPr>
              <w:spacing w:after="0" w:line="240" w:lineRule="auto"/>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AISNT (NT)</w:t>
            </w:r>
          </w:p>
        </w:tc>
        <w:tc>
          <w:tcPr>
            <w:tcW w:w="417" w:type="pct"/>
            <w:tcBorders>
              <w:top w:val="nil"/>
              <w:left w:val="nil"/>
              <w:bottom w:val="nil"/>
              <w:right w:val="nil"/>
            </w:tcBorders>
            <w:shd w:val="clear" w:color="auto" w:fill="auto"/>
            <w:noWrap/>
            <w:vAlign w:val="center"/>
            <w:hideMark/>
          </w:tcPr>
          <w:p w14:paraId="3545CDB3"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$1,343,554</w:t>
            </w:r>
          </w:p>
        </w:tc>
        <w:tc>
          <w:tcPr>
            <w:tcW w:w="417" w:type="pct"/>
            <w:tcBorders>
              <w:top w:val="nil"/>
              <w:left w:val="nil"/>
              <w:bottom w:val="nil"/>
              <w:right w:val="nil"/>
            </w:tcBorders>
            <w:shd w:val="clear" w:color="auto" w:fill="auto"/>
            <w:noWrap/>
            <w:vAlign w:val="center"/>
            <w:hideMark/>
          </w:tcPr>
          <w:p w14:paraId="51F1209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$1,383,860</w:t>
            </w:r>
          </w:p>
        </w:tc>
        <w:tc>
          <w:tcPr>
            <w:tcW w:w="417" w:type="pct"/>
            <w:tcBorders>
              <w:top w:val="nil"/>
              <w:left w:val="nil"/>
              <w:bottom w:val="nil"/>
              <w:right w:val="nil"/>
            </w:tcBorders>
            <w:shd w:val="clear" w:color="auto" w:fill="auto"/>
            <w:noWrap/>
            <w:vAlign w:val="center"/>
            <w:hideMark/>
          </w:tcPr>
          <w:p w14:paraId="2A7D506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$1,432,295</w:t>
            </w:r>
          </w:p>
        </w:tc>
        <w:tc>
          <w:tcPr>
            <w:tcW w:w="417" w:type="pct"/>
            <w:tcBorders>
              <w:top w:val="nil"/>
              <w:left w:val="nil"/>
              <w:bottom w:val="nil"/>
              <w:right w:val="nil"/>
            </w:tcBorders>
            <w:shd w:val="clear" w:color="auto" w:fill="auto"/>
            <w:noWrap/>
            <w:vAlign w:val="center"/>
            <w:hideMark/>
          </w:tcPr>
          <w:p w14:paraId="248139D6"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$1,492,458</w:t>
            </w:r>
          </w:p>
        </w:tc>
        <w:tc>
          <w:tcPr>
            <w:tcW w:w="417" w:type="pct"/>
            <w:tcBorders>
              <w:top w:val="nil"/>
              <w:left w:val="nil"/>
              <w:bottom w:val="nil"/>
              <w:right w:val="nil"/>
            </w:tcBorders>
            <w:shd w:val="clear" w:color="auto" w:fill="auto"/>
            <w:noWrap/>
            <w:vAlign w:val="center"/>
            <w:hideMark/>
          </w:tcPr>
          <w:p w14:paraId="0C947AB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$1,537,227</w:t>
            </w:r>
          </w:p>
        </w:tc>
        <w:tc>
          <w:tcPr>
            <w:tcW w:w="417" w:type="pct"/>
            <w:tcBorders>
              <w:top w:val="nil"/>
              <w:left w:val="nil"/>
              <w:bottom w:val="nil"/>
              <w:right w:val="nil"/>
            </w:tcBorders>
            <w:shd w:val="clear" w:color="auto" w:fill="auto"/>
            <w:noWrap/>
            <w:vAlign w:val="center"/>
            <w:hideMark/>
          </w:tcPr>
          <w:p w14:paraId="3735A71C"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$1,583,344</w:t>
            </w:r>
          </w:p>
        </w:tc>
        <w:tc>
          <w:tcPr>
            <w:tcW w:w="417" w:type="pct"/>
            <w:tcBorders>
              <w:top w:val="nil"/>
              <w:left w:val="nil"/>
              <w:bottom w:val="nil"/>
              <w:right w:val="nil"/>
            </w:tcBorders>
            <w:shd w:val="clear" w:color="auto" w:fill="auto"/>
            <w:noWrap/>
            <w:vAlign w:val="center"/>
            <w:hideMark/>
          </w:tcPr>
          <w:p w14:paraId="2058C014"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$1,630,844</w:t>
            </w:r>
          </w:p>
        </w:tc>
        <w:tc>
          <w:tcPr>
            <w:tcW w:w="417" w:type="pct"/>
            <w:tcBorders>
              <w:top w:val="nil"/>
              <w:left w:val="nil"/>
              <w:bottom w:val="nil"/>
              <w:right w:val="nil"/>
            </w:tcBorders>
            <w:shd w:val="clear" w:color="auto" w:fill="auto"/>
            <w:noWrap/>
            <w:vAlign w:val="center"/>
            <w:hideMark/>
          </w:tcPr>
          <w:p w14:paraId="07CD901E"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$1,679,769</w:t>
            </w:r>
          </w:p>
        </w:tc>
        <w:tc>
          <w:tcPr>
            <w:tcW w:w="417" w:type="pct"/>
            <w:tcBorders>
              <w:top w:val="nil"/>
              <w:left w:val="nil"/>
              <w:bottom w:val="nil"/>
              <w:right w:val="nil"/>
            </w:tcBorders>
            <w:shd w:val="clear" w:color="auto" w:fill="auto"/>
            <w:noWrap/>
            <w:vAlign w:val="center"/>
            <w:hideMark/>
          </w:tcPr>
          <w:p w14:paraId="741E81FF"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$1,730,162</w:t>
            </w:r>
          </w:p>
        </w:tc>
        <w:tc>
          <w:tcPr>
            <w:tcW w:w="417" w:type="pct"/>
            <w:tcBorders>
              <w:top w:val="nil"/>
              <w:left w:val="nil"/>
              <w:bottom w:val="nil"/>
              <w:right w:val="nil"/>
            </w:tcBorders>
            <w:shd w:val="clear" w:color="auto" w:fill="auto"/>
            <w:noWrap/>
            <w:vAlign w:val="center"/>
            <w:hideMark/>
          </w:tcPr>
          <w:p w14:paraId="516E0F31"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$1,782,067</w:t>
            </w:r>
          </w:p>
        </w:tc>
        <w:tc>
          <w:tcPr>
            <w:tcW w:w="417" w:type="pct"/>
            <w:tcBorders>
              <w:top w:val="nil"/>
              <w:left w:val="nil"/>
              <w:bottom w:val="nil"/>
              <w:right w:val="nil"/>
            </w:tcBorders>
            <w:shd w:val="clear" w:color="auto" w:fill="auto"/>
            <w:noWrap/>
            <w:vAlign w:val="center"/>
            <w:hideMark/>
          </w:tcPr>
          <w:p w14:paraId="0649B8E0" w14:textId="77777777" w:rsidR="00862084" w:rsidRPr="00862084" w:rsidRDefault="00862084" w:rsidP="00862084">
            <w:pPr>
              <w:spacing w:after="0" w:line="240" w:lineRule="auto"/>
              <w:jc w:val="right"/>
              <w:rPr>
                <w:rFonts w:ascii="Calibri" w:eastAsia="Times New Roman" w:hAnsi="Calibri" w:cs="Calibri"/>
                <w:color w:val="000000"/>
                <w:sz w:val="20"/>
                <w:szCs w:val="20"/>
                <w:lang w:eastAsia="en-AU"/>
              </w:rPr>
            </w:pPr>
            <w:r w:rsidRPr="00862084">
              <w:rPr>
                <w:rFonts w:ascii="Calibri" w:eastAsia="Times New Roman" w:hAnsi="Calibri" w:cs="Calibri"/>
                <w:color w:val="000000"/>
                <w:sz w:val="20"/>
                <w:szCs w:val="20"/>
                <w:lang w:eastAsia="en-AU"/>
              </w:rPr>
              <w:t>$15,595,580</w:t>
            </w:r>
          </w:p>
        </w:tc>
      </w:tr>
      <w:tr w:rsidR="00862084" w:rsidRPr="00862084" w14:paraId="1D304523" w14:textId="77777777" w:rsidTr="00376685">
        <w:trPr>
          <w:trHeight w:val="294"/>
        </w:trPr>
        <w:tc>
          <w:tcPr>
            <w:tcW w:w="417" w:type="pct"/>
            <w:tcBorders>
              <w:top w:val="single" w:sz="8" w:space="0" w:color="auto"/>
              <w:left w:val="nil"/>
              <w:bottom w:val="single" w:sz="8" w:space="0" w:color="auto"/>
              <w:right w:val="nil"/>
            </w:tcBorders>
            <w:shd w:val="clear" w:color="auto" w:fill="auto"/>
            <w:noWrap/>
            <w:vAlign w:val="center"/>
            <w:hideMark/>
          </w:tcPr>
          <w:p w14:paraId="7CD3941D" w14:textId="77777777" w:rsidR="00862084" w:rsidRPr="00862084" w:rsidRDefault="00862084" w:rsidP="00862084">
            <w:pPr>
              <w:spacing w:after="0" w:line="240" w:lineRule="auto"/>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 xml:space="preserve"> Total</w:t>
            </w:r>
          </w:p>
        </w:tc>
        <w:tc>
          <w:tcPr>
            <w:tcW w:w="417" w:type="pct"/>
            <w:tcBorders>
              <w:top w:val="single" w:sz="8" w:space="0" w:color="auto"/>
              <w:left w:val="nil"/>
              <w:bottom w:val="single" w:sz="8" w:space="0" w:color="auto"/>
              <w:right w:val="nil"/>
            </w:tcBorders>
            <w:shd w:val="clear" w:color="auto" w:fill="auto"/>
            <w:noWrap/>
            <w:vAlign w:val="center"/>
            <w:hideMark/>
          </w:tcPr>
          <w:p w14:paraId="5BE6298D"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$39,676,615</w:t>
            </w:r>
          </w:p>
        </w:tc>
        <w:tc>
          <w:tcPr>
            <w:tcW w:w="417" w:type="pct"/>
            <w:tcBorders>
              <w:top w:val="single" w:sz="8" w:space="0" w:color="auto"/>
              <w:left w:val="nil"/>
              <w:bottom w:val="single" w:sz="8" w:space="0" w:color="auto"/>
              <w:right w:val="nil"/>
            </w:tcBorders>
            <w:shd w:val="clear" w:color="auto" w:fill="auto"/>
            <w:noWrap/>
            <w:vAlign w:val="center"/>
            <w:hideMark/>
          </w:tcPr>
          <w:p w14:paraId="27D4DA5E"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$40,866,912</w:t>
            </w:r>
          </w:p>
        </w:tc>
        <w:tc>
          <w:tcPr>
            <w:tcW w:w="417" w:type="pct"/>
            <w:tcBorders>
              <w:top w:val="single" w:sz="8" w:space="0" w:color="auto"/>
              <w:left w:val="nil"/>
              <w:bottom w:val="single" w:sz="8" w:space="0" w:color="auto"/>
              <w:right w:val="nil"/>
            </w:tcBorders>
            <w:shd w:val="clear" w:color="auto" w:fill="auto"/>
            <w:noWrap/>
            <w:vAlign w:val="center"/>
            <w:hideMark/>
          </w:tcPr>
          <w:p w14:paraId="2BCA2151"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$42,297,252</w:t>
            </w:r>
          </w:p>
        </w:tc>
        <w:tc>
          <w:tcPr>
            <w:tcW w:w="417" w:type="pct"/>
            <w:tcBorders>
              <w:top w:val="single" w:sz="8" w:space="0" w:color="auto"/>
              <w:left w:val="nil"/>
              <w:bottom w:val="single" w:sz="8" w:space="0" w:color="auto"/>
              <w:right w:val="nil"/>
            </w:tcBorders>
            <w:shd w:val="clear" w:color="auto" w:fill="auto"/>
            <w:noWrap/>
            <w:vAlign w:val="center"/>
            <w:hideMark/>
          </w:tcPr>
          <w:p w14:paraId="046CD9C0"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$44,073,751</w:t>
            </w:r>
          </w:p>
        </w:tc>
        <w:tc>
          <w:tcPr>
            <w:tcW w:w="417" w:type="pct"/>
            <w:tcBorders>
              <w:top w:val="single" w:sz="8" w:space="0" w:color="auto"/>
              <w:left w:val="nil"/>
              <w:bottom w:val="single" w:sz="8" w:space="0" w:color="auto"/>
              <w:right w:val="nil"/>
            </w:tcBorders>
            <w:shd w:val="clear" w:color="auto" w:fill="auto"/>
            <w:noWrap/>
            <w:vAlign w:val="center"/>
            <w:hideMark/>
          </w:tcPr>
          <w:p w14:paraId="5EEA4C80"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$45,395,953</w:t>
            </w:r>
          </w:p>
        </w:tc>
        <w:tc>
          <w:tcPr>
            <w:tcW w:w="417" w:type="pct"/>
            <w:tcBorders>
              <w:top w:val="single" w:sz="8" w:space="0" w:color="auto"/>
              <w:left w:val="nil"/>
              <w:bottom w:val="single" w:sz="8" w:space="0" w:color="auto"/>
              <w:right w:val="nil"/>
            </w:tcBorders>
            <w:shd w:val="clear" w:color="auto" w:fill="auto"/>
            <w:noWrap/>
            <w:vAlign w:val="center"/>
            <w:hideMark/>
          </w:tcPr>
          <w:p w14:paraId="5D85BBB7"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$46,757,833</w:t>
            </w:r>
          </w:p>
        </w:tc>
        <w:tc>
          <w:tcPr>
            <w:tcW w:w="417" w:type="pct"/>
            <w:tcBorders>
              <w:top w:val="single" w:sz="8" w:space="0" w:color="auto"/>
              <w:left w:val="nil"/>
              <w:bottom w:val="single" w:sz="8" w:space="0" w:color="auto"/>
              <w:right w:val="nil"/>
            </w:tcBorders>
            <w:shd w:val="clear" w:color="auto" w:fill="auto"/>
            <w:noWrap/>
            <w:vAlign w:val="center"/>
            <w:hideMark/>
          </w:tcPr>
          <w:p w14:paraId="6E7F46ED"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$48,160,567</w:t>
            </w:r>
          </w:p>
        </w:tc>
        <w:tc>
          <w:tcPr>
            <w:tcW w:w="417" w:type="pct"/>
            <w:tcBorders>
              <w:top w:val="single" w:sz="8" w:space="0" w:color="auto"/>
              <w:left w:val="nil"/>
              <w:bottom w:val="single" w:sz="8" w:space="0" w:color="auto"/>
              <w:right w:val="nil"/>
            </w:tcBorders>
            <w:shd w:val="clear" w:color="auto" w:fill="auto"/>
            <w:noWrap/>
            <w:vAlign w:val="center"/>
            <w:hideMark/>
          </w:tcPr>
          <w:p w14:paraId="23D0DE12"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$49,605,386</w:t>
            </w:r>
          </w:p>
        </w:tc>
        <w:tc>
          <w:tcPr>
            <w:tcW w:w="417" w:type="pct"/>
            <w:tcBorders>
              <w:top w:val="single" w:sz="8" w:space="0" w:color="auto"/>
              <w:left w:val="nil"/>
              <w:bottom w:val="single" w:sz="8" w:space="0" w:color="auto"/>
              <w:right w:val="nil"/>
            </w:tcBorders>
            <w:shd w:val="clear" w:color="auto" w:fill="auto"/>
            <w:noWrap/>
            <w:vAlign w:val="center"/>
            <w:hideMark/>
          </w:tcPr>
          <w:p w14:paraId="1EE428A4"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$51,093,544</w:t>
            </w:r>
          </w:p>
        </w:tc>
        <w:tc>
          <w:tcPr>
            <w:tcW w:w="417" w:type="pct"/>
            <w:tcBorders>
              <w:top w:val="single" w:sz="8" w:space="0" w:color="auto"/>
              <w:left w:val="nil"/>
              <w:bottom w:val="single" w:sz="8" w:space="0" w:color="auto"/>
              <w:right w:val="nil"/>
            </w:tcBorders>
            <w:shd w:val="clear" w:color="auto" w:fill="auto"/>
            <w:noWrap/>
            <w:vAlign w:val="center"/>
            <w:hideMark/>
          </w:tcPr>
          <w:p w14:paraId="31F7D5B9"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$52,626,352</w:t>
            </w:r>
          </w:p>
        </w:tc>
        <w:tc>
          <w:tcPr>
            <w:tcW w:w="417" w:type="pct"/>
            <w:tcBorders>
              <w:top w:val="single" w:sz="8" w:space="0" w:color="auto"/>
              <w:left w:val="nil"/>
              <w:bottom w:val="single" w:sz="8" w:space="0" w:color="auto"/>
              <w:right w:val="nil"/>
            </w:tcBorders>
            <w:shd w:val="clear" w:color="auto" w:fill="auto"/>
            <w:noWrap/>
            <w:vAlign w:val="center"/>
            <w:hideMark/>
          </w:tcPr>
          <w:p w14:paraId="0BCEF240" w14:textId="77777777" w:rsidR="00862084" w:rsidRPr="00862084" w:rsidRDefault="00862084" w:rsidP="00862084">
            <w:pPr>
              <w:spacing w:after="0" w:line="240" w:lineRule="auto"/>
              <w:jc w:val="right"/>
              <w:rPr>
                <w:rFonts w:ascii="Calibri" w:eastAsia="Times New Roman" w:hAnsi="Calibri" w:cs="Calibri"/>
                <w:b/>
                <w:bCs/>
                <w:color w:val="000000"/>
                <w:sz w:val="20"/>
                <w:szCs w:val="20"/>
                <w:lang w:eastAsia="en-AU"/>
              </w:rPr>
            </w:pPr>
            <w:r w:rsidRPr="00862084">
              <w:rPr>
                <w:rFonts w:ascii="Calibri" w:eastAsia="Times New Roman" w:hAnsi="Calibri" w:cs="Calibri"/>
                <w:b/>
                <w:bCs/>
                <w:color w:val="000000"/>
                <w:sz w:val="20"/>
                <w:szCs w:val="20"/>
                <w:lang w:eastAsia="en-AU"/>
              </w:rPr>
              <w:t>$460,554,165</w:t>
            </w:r>
          </w:p>
        </w:tc>
      </w:tr>
    </w:tbl>
    <w:p w14:paraId="1DF3626C" w14:textId="77777777" w:rsidR="00862084" w:rsidRDefault="00862084" w:rsidP="00C26D3B">
      <w:pPr>
        <w:spacing w:after="120"/>
      </w:pPr>
    </w:p>
    <w:p w14:paraId="68042A36" w14:textId="51C8C326" w:rsidR="001D41E4" w:rsidRDefault="001D41E4" w:rsidP="00C26D3B">
      <w:pPr>
        <w:spacing w:after="120"/>
      </w:pPr>
      <w:r>
        <w:t xml:space="preserve">Note that </w:t>
      </w:r>
      <w:r w:rsidR="00042586">
        <w:t xml:space="preserve">the 2022 allocation is higher than the amount paid in 2022 as indexation above the minimum 3 per cent was applied as a top up payment in 2023. </w:t>
      </w:r>
    </w:p>
    <w:sectPr w:rsidR="001D41E4" w:rsidSect="00FD1BC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CBD2" w14:textId="77777777" w:rsidR="005F073B" w:rsidRDefault="005F073B" w:rsidP="000A6228">
      <w:pPr>
        <w:spacing w:after="0" w:line="240" w:lineRule="auto"/>
      </w:pPr>
      <w:r>
        <w:separator/>
      </w:r>
    </w:p>
  </w:endnote>
  <w:endnote w:type="continuationSeparator" w:id="0">
    <w:p w14:paraId="1F7E85EE" w14:textId="77777777" w:rsidR="005F073B" w:rsidRDefault="005F073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4463" w14:textId="23E43D7B" w:rsidR="001713AC" w:rsidRDefault="00171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F334" w14:textId="04F0C5E3" w:rsidR="001713AC" w:rsidRDefault="00171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AB08" w14:textId="155BFC75" w:rsidR="001713AC" w:rsidRDefault="001713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C46C" w14:textId="51DFE4DE" w:rsidR="00376685" w:rsidRDefault="003766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4C8A" w14:textId="5C4B5A9B" w:rsidR="00221D8F" w:rsidRDefault="00EA45CF">
    <w:pPr>
      <w:pStyle w:val="Footer"/>
    </w:pPr>
    <w:r>
      <w:t>Choice and Affordability Fund 202</w:t>
    </w:r>
    <w:r w:rsidR="008E6DA2">
      <w:t>2</w:t>
    </w:r>
    <w:r>
      <w:t xml:space="preserve"> Annual Report</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1A2BDE37" wp14:editId="1FF8A240">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3069" w14:textId="6845E411" w:rsidR="00376685" w:rsidRDefault="00376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7E6F" w14:textId="77777777" w:rsidR="005F073B" w:rsidRDefault="005F073B" w:rsidP="000A6228">
      <w:pPr>
        <w:spacing w:after="0" w:line="240" w:lineRule="auto"/>
      </w:pPr>
      <w:r>
        <w:separator/>
      </w:r>
    </w:p>
  </w:footnote>
  <w:footnote w:type="continuationSeparator" w:id="0">
    <w:p w14:paraId="29AC5C4E" w14:textId="77777777" w:rsidR="005F073B" w:rsidRDefault="005F073B" w:rsidP="000A6228">
      <w:pPr>
        <w:spacing w:after="0" w:line="240" w:lineRule="auto"/>
      </w:pPr>
      <w:r>
        <w:continuationSeparator/>
      </w:r>
    </w:p>
  </w:footnote>
  <w:footnote w:id="1">
    <w:p w14:paraId="4C564DDE" w14:textId="13B489B6" w:rsidR="00975BB9" w:rsidRDefault="00975BB9">
      <w:pPr>
        <w:pStyle w:val="FootnoteText"/>
      </w:pPr>
      <w:r>
        <w:rPr>
          <w:rStyle w:val="FootnoteReference"/>
        </w:rPr>
        <w:footnoteRef/>
      </w:r>
      <w:r>
        <w:t xml:space="preserve"> </w:t>
      </w:r>
      <w:r w:rsidRPr="00975BB9">
        <w:t>http://www.education.gov.au/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EDEB" w14:textId="2984D757" w:rsidR="001713AC" w:rsidRDefault="00171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E905" w14:textId="5B5D68A8" w:rsidR="001713AC" w:rsidRDefault="00171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4E75" w14:textId="5F730A42" w:rsidR="001713AC" w:rsidRDefault="001713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CD4E" w14:textId="1AD45950" w:rsidR="00376685" w:rsidRDefault="003766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81D8" w14:textId="139D7669" w:rsidR="00376685" w:rsidRDefault="003766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1DCC" w14:textId="78168948" w:rsidR="00376685" w:rsidRDefault="00376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86797C"/>
    <w:multiLevelType w:val="hybridMultilevel"/>
    <w:tmpl w:val="970AE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132237"/>
    <w:multiLevelType w:val="hybridMultilevel"/>
    <w:tmpl w:val="AAD08FC6"/>
    <w:lvl w:ilvl="0" w:tplc="4BB6FDF2">
      <w:start w:val="1"/>
      <w:numFmt w:val="bullet"/>
      <w:lvlText w:val="•"/>
      <w:lvlJc w:val="left"/>
      <w:pPr>
        <w:tabs>
          <w:tab w:val="num" w:pos="-1426"/>
        </w:tabs>
        <w:ind w:left="-1426" w:hanging="360"/>
      </w:pPr>
      <w:rPr>
        <w:rFonts w:ascii="Arial" w:hAnsi="Arial" w:cs="Times New Roman" w:hint="default"/>
      </w:rPr>
    </w:lvl>
    <w:lvl w:ilvl="1" w:tplc="CDCA6666">
      <w:start w:val="1599"/>
      <w:numFmt w:val="bullet"/>
      <w:lvlText w:val="o"/>
      <w:lvlJc w:val="left"/>
      <w:pPr>
        <w:tabs>
          <w:tab w:val="num" w:pos="-706"/>
        </w:tabs>
        <w:ind w:left="-706" w:hanging="360"/>
      </w:pPr>
      <w:rPr>
        <w:rFonts w:ascii="Courier New" w:hAnsi="Courier New" w:cs="Times New Roman" w:hint="default"/>
      </w:rPr>
    </w:lvl>
    <w:lvl w:ilvl="2" w:tplc="B358E15E">
      <w:start w:val="1"/>
      <w:numFmt w:val="bullet"/>
      <w:lvlText w:val="•"/>
      <w:lvlJc w:val="left"/>
      <w:pPr>
        <w:tabs>
          <w:tab w:val="num" w:pos="14"/>
        </w:tabs>
        <w:ind w:left="14" w:hanging="360"/>
      </w:pPr>
      <w:rPr>
        <w:rFonts w:ascii="Arial" w:hAnsi="Arial" w:cs="Times New Roman" w:hint="default"/>
      </w:rPr>
    </w:lvl>
    <w:lvl w:ilvl="3" w:tplc="78FCEC66">
      <w:start w:val="1"/>
      <w:numFmt w:val="bullet"/>
      <w:lvlText w:val="•"/>
      <w:lvlJc w:val="left"/>
      <w:pPr>
        <w:tabs>
          <w:tab w:val="num" w:pos="734"/>
        </w:tabs>
        <w:ind w:left="734" w:hanging="360"/>
      </w:pPr>
      <w:rPr>
        <w:rFonts w:ascii="Arial" w:hAnsi="Arial" w:cs="Times New Roman" w:hint="default"/>
      </w:rPr>
    </w:lvl>
    <w:lvl w:ilvl="4" w:tplc="9BEAF7E2">
      <w:start w:val="1"/>
      <w:numFmt w:val="bullet"/>
      <w:lvlText w:val="•"/>
      <w:lvlJc w:val="left"/>
      <w:pPr>
        <w:tabs>
          <w:tab w:val="num" w:pos="1454"/>
        </w:tabs>
        <w:ind w:left="1454" w:hanging="360"/>
      </w:pPr>
      <w:rPr>
        <w:rFonts w:ascii="Arial" w:hAnsi="Arial" w:cs="Times New Roman" w:hint="default"/>
      </w:rPr>
    </w:lvl>
    <w:lvl w:ilvl="5" w:tplc="48F2CBA6">
      <w:start w:val="1"/>
      <w:numFmt w:val="bullet"/>
      <w:lvlText w:val="•"/>
      <w:lvlJc w:val="left"/>
      <w:pPr>
        <w:tabs>
          <w:tab w:val="num" w:pos="2174"/>
        </w:tabs>
        <w:ind w:left="2174" w:hanging="360"/>
      </w:pPr>
      <w:rPr>
        <w:rFonts w:ascii="Arial" w:hAnsi="Arial" w:cs="Times New Roman" w:hint="default"/>
      </w:rPr>
    </w:lvl>
    <w:lvl w:ilvl="6" w:tplc="5170B802">
      <w:start w:val="1"/>
      <w:numFmt w:val="bullet"/>
      <w:lvlText w:val="•"/>
      <w:lvlJc w:val="left"/>
      <w:pPr>
        <w:tabs>
          <w:tab w:val="num" w:pos="2894"/>
        </w:tabs>
        <w:ind w:left="2894" w:hanging="360"/>
      </w:pPr>
      <w:rPr>
        <w:rFonts w:ascii="Arial" w:hAnsi="Arial" w:cs="Times New Roman" w:hint="default"/>
      </w:rPr>
    </w:lvl>
    <w:lvl w:ilvl="7" w:tplc="D7383C06">
      <w:start w:val="1"/>
      <w:numFmt w:val="bullet"/>
      <w:lvlText w:val="•"/>
      <w:lvlJc w:val="left"/>
      <w:pPr>
        <w:tabs>
          <w:tab w:val="num" w:pos="3614"/>
        </w:tabs>
        <w:ind w:left="3614" w:hanging="360"/>
      </w:pPr>
      <w:rPr>
        <w:rFonts w:ascii="Arial" w:hAnsi="Arial" w:cs="Times New Roman" w:hint="default"/>
      </w:rPr>
    </w:lvl>
    <w:lvl w:ilvl="8" w:tplc="1B24B4DE">
      <w:start w:val="1"/>
      <w:numFmt w:val="bullet"/>
      <w:lvlText w:val="•"/>
      <w:lvlJc w:val="left"/>
      <w:pPr>
        <w:tabs>
          <w:tab w:val="num" w:pos="4334"/>
        </w:tabs>
        <w:ind w:left="4334" w:hanging="360"/>
      </w:pPr>
      <w:rPr>
        <w:rFonts w:ascii="Arial" w:hAnsi="Arial" w:cs="Times New Roman" w:hint="default"/>
      </w:rPr>
    </w:lvl>
  </w:abstractNum>
  <w:abstractNum w:abstractNumId="12" w15:restartNumberingAfterBreak="0">
    <w:nsid w:val="15CC5D9A"/>
    <w:multiLevelType w:val="hybridMultilevel"/>
    <w:tmpl w:val="4D04F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9C1A10"/>
    <w:multiLevelType w:val="hybridMultilevel"/>
    <w:tmpl w:val="2548B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E67648"/>
    <w:multiLevelType w:val="hybridMultilevel"/>
    <w:tmpl w:val="E300F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9864CDE"/>
    <w:multiLevelType w:val="hybridMultilevel"/>
    <w:tmpl w:val="528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E1932"/>
    <w:multiLevelType w:val="hybridMultilevel"/>
    <w:tmpl w:val="DD06F2C0"/>
    <w:lvl w:ilvl="0" w:tplc="3230E3D4">
      <w:start w:val="1"/>
      <w:numFmt w:val="decimal"/>
      <w:lvlText w:val="%1."/>
      <w:lvlJc w:val="left"/>
      <w:pPr>
        <w:ind w:left="1068" w:hanging="360"/>
      </w:pPr>
      <w:rPr>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5A1871"/>
    <w:multiLevelType w:val="hybridMultilevel"/>
    <w:tmpl w:val="DB027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1B45610"/>
    <w:multiLevelType w:val="hybridMultilevel"/>
    <w:tmpl w:val="E410CE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547E63"/>
    <w:multiLevelType w:val="hybridMultilevel"/>
    <w:tmpl w:val="03CE2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B5242A"/>
    <w:multiLevelType w:val="hybridMultilevel"/>
    <w:tmpl w:val="F47849EE"/>
    <w:lvl w:ilvl="0" w:tplc="2CDEAA0C">
      <w:start w:val="1"/>
      <w:numFmt w:val="decimal"/>
      <w:pStyle w:val="ECPoint"/>
      <w:lvlText w:val="%1."/>
      <w:lvlJc w:val="left"/>
      <w:pPr>
        <w:ind w:left="-207" w:hanging="360"/>
      </w:pPr>
      <w:rPr>
        <w:rFonts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540567C">
      <w:start w:val="1"/>
      <w:numFmt w:val="lowerLetter"/>
      <w:lvlText w:val="%2."/>
      <w:lvlJc w:val="left"/>
      <w:pPr>
        <w:ind w:left="1353" w:hanging="360"/>
      </w:pPr>
    </w:lvl>
    <w:lvl w:ilvl="2" w:tplc="62F6F878">
      <w:start w:val="1"/>
      <w:numFmt w:val="lowerRoman"/>
      <w:lvlText w:val="%3."/>
      <w:lvlJc w:val="right"/>
      <w:pPr>
        <w:ind w:left="1233" w:hanging="180"/>
      </w:pPr>
    </w:lvl>
    <w:lvl w:ilvl="3" w:tplc="970EA270" w:tentative="1">
      <w:start w:val="1"/>
      <w:numFmt w:val="decimal"/>
      <w:lvlText w:val="%4."/>
      <w:lvlJc w:val="left"/>
      <w:pPr>
        <w:ind w:left="1953" w:hanging="360"/>
      </w:pPr>
    </w:lvl>
    <w:lvl w:ilvl="4" w:tplc="23C0D20A" w:tentative="1">
      <w:start w:val="1"/>
      <w:numFmt w:val="lowerLetter"/>
      <w:lvlText w:val="%5."/>
      <w:lvlJc w:val="left"/>
      <w:pPr>
        <w:ind w:left="2673" w:hanging="360"/>
      </w:pPr>
    </w:lvl>
    <w:lvl w:ilvl="5" w:tplc="7B54E7B8" w:tentative="1">
      <w:start w:val="1"/>
      <w:numFmt w:val="lowerRoman"/>
      <w:lvlText w:val="%6."/>
      <w:lvlJc w:val="right"/>
      <w:pPr>
        <w:ind w:left="3393" w:hanging="180"/>
      </w:pPr>
    </w:lvl>
    <w:lvl w:ilvl="6" w:tplc="187463C6" w:tentative="1">
      <w:start w:val="1"/>
      <w:numFmt w:val="decimal"/>
      <w:lvlText w:val="%7."/>
      <w:lvlJc w:val="left"/>
      <w:pPr>
        <w:ind w:left="4113" w:hanging="360"/>
      </w:pPr>
    </w:lvl>
    <w:lvl w:ilvl="7" w:tplc="4214436C" w:tentative="1">
      <w:start w:val="1"/>
      <w:numFmt w:val="lowerLetter"/>
      <w:lvlText w:val="%8."/>
      <w:lvlJc w:val="left"/>
      <w:pPr>
        <w:ind w:left="4833" w:hanging="360"/>
      </w:pPr>
    </w:lvl>
    <w:lvl w:ilvl="8" w:tplc="0D2A8084" w:tentative="1">
      <w:start w:val="1"/>
      <w:numFmt w:val="lowerRoman"/>
      <w:lvlText w:val="%9."/>
      <w:lvlJc w:val="right"/>
      <w:pPr>
        <w:ind w:left="5553" w:hanging="180"/>
      </w:pPr>
    </w:lvl>
  </w:abstractNum>
  <w:abstractNum w:abstractNumId="26" w15:restartNumberingAfterBreak="0">
    <w:nsid w:val="52F82CDB"/>
    <w:multiLevelType w:val="hybridMultilevel"/>
    <w:tmpl w:val="34EE0D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EE08E5"/>
    <w:multiLevelType w:val="hybridMultilevel"/>
    <w:tmpl w:val="D5D61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1018C"/>
    <w:multiLevelType w:val="hybridMultilevel"/>
    <w:tmpl w:val="8A7E8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7C5256F"/>
    <w:multiLevelType w:val="hybridMultilevel"/>
    <w:tmpl w:val="B22A8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F0541D"/>
    <w:multiLevelType w:val="hybridMultilevel"/>
    <w:tmpl w:val="2B9EB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737BC0"/>
    <w:multiLevelType w:val="hybridMultilevel"/>
    <w:tmpl w:val="A4C6E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904568"/>
    <w:multiLevelType w:val="hybridMultilevel"/>
    <w:tmpl w:val="ED7AF6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089196">
    <w:abstractNumId w:val="16"/>
  </w:num>
  <w:num w:numId="2" w16cid:durableId="526602248">
    <w:abstractNumId w:val="5"/>
  </w:num>
  <w:num w:numId="3" w16cid:durableId="1383940564">
    <w:abstractNumId w:val="4"/>
  </w:num>
  <w:num w:numId="4" w16cid:durableId="9647427">
    <w:abstractNumId w:val="3"/>
  </w:num>
  <w:num w:numId="5" w16cid:durableId="100808124">
    <w:abstractNumId w:val="20"/>
  </w:num>
  <w:num w:numId="6" w16cid:durableId="350448218">
    <w:abstractNumId w:val="2"/>
  </w:num>
  <w:num w:numId="7" w16cid:durableId="184370505">
    <w:abstractNumId w:val="1"/>
  </w:num>
  <w:num w:numId="8" w16cid:durableId="549152932">
    <w:abstractNumId w:val="0"/>
  </w:num>
  <w:num w:numId="9" w16cid:durableId="2095318490">
    <w:abstractNumId w:val="19"/>
  </w:num>
  <w:num w:numId="10" w16cid:durableId="1871646390">
    <w:abstractNumId w:val="7"/>
  </w:num>
  <w:num w:numId="11" w16cid:durableId="1274090979">
    <w:abstractNumId w:val="30"/>
  </w:num>
  <w:num w:numId="12" w16cid:durableId="1638216512">
    <w:abstractNumId w:val="14"/>
  </w:num>
  <w:num w:numId="13" w16cid:durableId="1272586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402059">
    <w:abstractNumId w:val="10"/>
  </w:num>
  <w:num w:numId="15" w16cid:durableId="1453867708">
    <w:abstractNumId w:val="6"/>
  </w:num>
  <w:num w:numId="16" w16cid:durableId="512916788">
    <w:abstractNumId w:val="31"/>
  </w:num>
  <w:num w:numId="17" w16cid:durableId="489295504">
    <w:abstractNumId w:val="21"/>
  </w:num>
  <w:num w:numId="18" w16cid:durableId="395053231">
    <w:abstractNumId w:val="9"/>
  </w:num>
  <w:num w:numId="19" w16cid:durableId="1274046595">
    <w:abstractNumId w:val="27"/>
  </w:num>
  <w:num w:numId="20" w16cid:durableId="1504397564">
    <w:abstractNumId w:val="11"/>
  </w:num>
  <w:num w:numId="21" w16cid:durableId="480118652">
    <w:abstractNumId w:val="8"/>
  </w:num>
  <w:num w:numId="22" w16cid:durableId="1439254190">
    <w:abstractNumId w:val="13"/>
  </w:num>
  <w:num w:numId="23" w16cid:durableId="973406340">
    <w:abstractNumId w:val="35"/>
  </w:num>
  <w:num w:numId="24" w16cid:durableId="138764547">
    <w:abstractNumId w:val="29"/>
  </w:num>
  <w:num w:numId="25" w16cid:durableId="1860583159">
    <w:abstractNumId w:val="15"/>
  </w:num>
  <w:num w:numId="26" w16cid:durableId="1320691314">
    <w:abstractNumId w:val="24"/>
  </w:num>
  <w:num w:numId="27" w16cid:durableId="471482047">
    <w:abstractNumId w:val="33"/>
  </w:num>
  <w:num w:numId="28" w16cid:durableId="1991789806">
    <w:abstractNumId w:val="22"/>
  </w:num>
  <w:num w:numId="29" w16cid:durableId="2122410300">
    <w:abstractNumId w:val="23"/>
  </w:num>
  <w:num w:numId="30" w16cid:durableId="1659652651">
    <w:abstractNumId w:val="34"/>
  </w:num>
  <w:num w:numId="31" w16cid:durableId="481235978">
    <w:abstractNumId w:val="25"/>
  </w:num>
  <w:num w:numId="32" w16cid:durableId="1904175001">
    <w:abstractNumId w:val="18"/>
  </w:num>
  <w:num w:numId="33" w16cid:durableId="1688210329">
    <w:abstractNumId w:val="17"/>
  </w:num>
  <w:num w:numId="34" w16cid:durableId="598873533">
    <w:abstractNumId w:val="12"/>
  </w:num>
  <w:num w:numId="35" w16cid:durableId="353456509">
    <w:abstractNumId w:val="32"/>
  </w:num>
  <w:num w:numId="36" w16cid:durableId="1693804375">
    <w:abstractNumId w:val="26"/>
  </w:num>
  <w:num w:numId="37" w16cid:durableId="62879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6F2"/>
    <w:rsid w:val="00012366"/>
    <w:rsid w:val="00021FBE"/>
    <w:rsid w:val="0003566E"/>
    <w:rsid w:val="00042586"/>
    <w:rsid w:val="000521D7"/>
    <w:rsid w:val="00061612"/>
    <w:rsid w:val="0006163B"/>
    <w:rsid w:val="00071D89"/>
    <w:rsid w:val="00082306"/>
    <w:rsid w:val="000A0B58"/>
    <w:rsid w:val="000A41B7"/>
    <w:rsid w:val="000A6228"/>
    <w:rsid w:val="000B5D40"/>
    <w:rsid w:val="000B7EC6"/>
    <w:rsid w:val="000C494F"/>
    <w:rsid w:val="000C6BBD"/>
    <w:rsid w:val="000F3F18"/>
    <w:rsid w:val="00105156"/>
    <w:rsid w:val="00107D87"/>
    <w:rsid w:val="00107DD5"/>
    <w:rsid w:val="00113E84"/>
    <w:rsid w:val="00115222"/>
    <w:rsid w:val="0012343A"/>
    <w:rsid w:val="00133B8D"/>
    <w:rsid w:val="0013611E"/>
    <w:rsid w:val="00140640"/>
    <w:rsid w:val="001515BF"/>
    <w:rsid w:val="0017134D"/>
    <w:rsid w:val="001713AC"/>
    <w:rsid w:val="0017735D"/>
    <w:rsid w:val="00182083"/>
    <w:rsid w:val="001851AF"/>
    <w:rsid w:val="001978B9"/>
    <w:rsid w:val="001A75B5"/>
    <w:rsid w:val="001B3F81"/>
    <w:rsid w:val="001B575C"/>
    <w:rsid w:val="001C1523"/>
    <w:rsid w:val="001C7A63"/>
    <w:rsid w:val="001D41E4"/>
    <w:rsid w:val="001E5038"/>
    <w:rsid w:val="001F27F9"/>
    <w:rsid w:val="001F608D"/>
    <w:rsid w:val="00213DDD"/>
    <w:rsid w:val="00221191"/>
    <w:rsid w:val="00221D8F"/>
    <w:rsid w:val="002272DB"/>
    <w:rsid w:val="002429B6"/>
    <w:rsid w:val="002504F2"/>
    <w:rsid w:val="002711BB"/>
    <w:rsid w:val="0027151F"/>
    <w:rsid w:val="00276047"/>
    <w:rsid w:val="002927AD"/>
    <w:rsid w:val="00293976"/>
    <w:rsid w:val="002A4458"/>
    <w:rsid w:val="002A45C2"/>
    <w:rsid w:val="002C5EE1"/>
    <w:rsid w:val="002D589A"/>
    <w:rsid w:val="002E1085"/>
    <w:rsid w:val="002E380A"/>
    <w:rsid w:val="00310282"/>
    <w:rsid w:val="00317D31"/>
    <w:rsid w:val="003314C8"/>
    <w:rsid w:val="00352071"/>
    <w:rsid w:val="00353460"/>
    <w:rsid w:val="00370F7B"/>
    <w:rsid w:val="00376685"/>
    <w:rsid w:val="0038456F"/>
    <w:rsid w:val="003A6BB8"/>
    <w:rsid w:val="003A77BE"/>
    <w:rsid w:val="003B4282"/>
    <w:rsid w:val="003C6738"/>
    <w:rsid w:val="003F2EF7"/>
    <w:rsid w:val="003F7B78"/>
    <w:rsid w:val="0040155D"/>
    <w:rsid w:val="004026DA"/>
    <w:rsid w:val="00406416"/>
    <w:rsid w:val="00407BB7"/>
    <w:rsid w:val="004164EB"/>
    <w:rsid w:val="0041713E"/>
    <w:rsid w:val="00421D3F"/>
    <w:rsid w:val="00423785"/>
    <w:rsid w:val="004329C4"/>
    <w:rsid w:val="00452D26"/>
    <w:rsid w:val="00463183"/>
    <w:rsid w:val="0046414C"/>
    <w:rsid w:val="00466137"/>
    <w:rsid w:val="00483F69"/>
    <w:rsid w:val="00486ECB"/>
    <w:rsid w:val="00495FFD"/>
    <w:rsid w:val="00496524"/>
    <w:rsid w:val="004A06CD"/>
    <w:rsid w:val="004A4B6F"/>
    <w:rsid w:val="004A4CF9"/>
    <w:rsid w:val="004D2965"/>
    <w:rsid w:val="004E6BA3"/>
    <w:rsid w:val="004F4507"/>
    <w:rsid w:val="0052417E"/>
    <w:rsid w:val="00525F0E"/>
    <w:rsid w:val="00526689"/>
    <w:rsid w:val="00536753"/>
    <w:rsid w:val="00544994"/>
    <w:rsid w:val="00547DF8"/>
    <w:rsid w:val="00552DF2"/>
    <w:rsid w:val="00554913"/>
    <w:rsid w:val="005579A7"/>
    <w:rsid w:val="0056671D"/>
    <w:rsid w:val="00567275"/>
    <w:rsid w:val="005A75C9"/>
    <w:rsid w:val="005B187D"/>
    <w:rsid w:val="005F073B"/>
    <w:rsid w:val="005F3571"/>
    <w:rsid w:val="006232DC"/>
    <w:rsid w:val="00626834"/>
    <w:rsid w:val="0063094F"/>
    <w:rsid w:val="0063494C"/>
    <w:rsid w:val="006365EE"/>
    <w:rsid w:val="00677FD4"/>
    <w:rsid w:val="006B455D"/>
    <w:rsid w:val="006B7854"/>
    <w:rsid w:val="006C1B24"/>
    <w:rsid w:val="006C57DA"/>
    <w:rsid w:val="006D1663"/>
    <w:rsid w:val="006D67F3"/>
    <w:rsid w:val="006D7B43"/>
    <w:rsid w:val="006E1D08"/>
    <w:rsid w:val="006E7117"/>
    <w:rsid w:val="006F1FFF"/>
    <w:rsid w:val="006F6D10"/>
    <w:rsid w:val="00712B94"/>
    <w:rsid w:val="00721BA5"/>
    <w:rsid w:val="007342A7"/>
    <w:rsid w:val="007409CC"/>
    <w:rsid w:val="007709D8"/>
    <w:rsid w:val="007918C9"/>
    <w:rsid w:val="00791C30"/>
    <w:rsid w:val="007A3644"/>
    <w:rsid w:val="007B2CA1"/>
    <w:rsid w:val="007C78BD"/>
    <w:rsid w:val="007D0ABC"/>
    <w:rsid w:val="007D2AF2"/>
    <w:rsid w:val="008042F5"/>
    <w:rsid w:val="0080446A"/>
    <w:rsid w:val="00810228"/>
    <w:rsid w:val="00813955"/>
    <w:rsid w:val="00815273"/>
    <w:rsid w:val="008259DD"/>
    <w:rsid w:val="00853BD0"/>
    <w:rsid w:val="00862084"/>
    <w:rsid w:val="0086539A"/>
    <w:rsid w:val="00886959"/>
    <w:rsid w:val="0089029D"/>
    <w:rsid w:val="008A36E1"/>
    <w:rsid w:val="008A37A7"/>
    <w:rsid w:val="008B0736"/>
    <w:rsid w:val="008D6F0F"/>
    <w:rsid w:val="008E258E"/>
    <w:rsid w:val="008E6DA2"/>
    <w:rsid w:val="008F40AC"/>
    <w:rsid w:val="00902286"/>
    <w:rsid w:val="00923363"/>
    <w:rsid w:val="00950B06"/>
    <w:rsid w:val="009656B5"/>
    <w:rsid w:val="00965895"/>
    <w:rsid w:val="00970069"/>
    <w:rsid w:val="009721EB"/>
    <w:rsid w:val="00975BB9"/>
    <w:rsid w:val="0098120A"/>
    <w:rsid w:val="0098448C"/>
    <w:rsid w:val="0099296E"/>
    <w:rsid w:val="009B706E"/>
    <w:rsid w:val="009B7176"/>
    <w:rsid w:val="009C423A"/>
    <w:rsid w:val="009D0B97"/>
    <w:rsid w:val="009D32D4"/>
    <w:rsid w:val="009E592A"/>
    <w:rsid w:val="009E79ED"/>
    <w:rsid w:val="009F43D2"/>
    <w:rsid w:val="009F7AAF"/>
    <w:rsid w:val="00A03754"/>
    <w:rsid w:val="00A046DD"/>
    <w:rsid w:val="00A07596"/>
    <w:rsid w:val="00A11895"/>
    <w:rsid w:val="00A17A08"/>
    <w:rsid w:val="00A41E02"/>
    <w:rsid w:val="00A60673"/>
    <w:rsid w:val="00AA0C62"/>
    <w:rsid w:val="00AA7E89"/>
    <w:rsid w:val="00AB5198"/>
    <w:rsid w:val="00AC1872"/>
    <w:rsid w:val="00AD631F"/>
    <w:rsid w:val="00AE21FF"/>
    <w:rsid w:val="00AF1F18"/>
    <w:rsid w:val="00B0726E"/>
    <w:rsid w:val="00B219D1"/>
    <w:rsid w:val="00B328CB"/>
    <w:rsid w:val="00B34391"/>
    <w:rsid w:val="00B452FB"/>
    <w:rsid w:val="00B6600F"/>
    <w:rsid w:val="00B664AE"/>
    <w:rsid w:val="00B71186"/>
    <w:rsid w:val="00B81FA4"/>
    <w:rsid w:val="00B82A40"/>
    <w:rsid w:val="00B8794C"/>
    <w:rsid w:val="00B95EF4"/>
    <w:rsid w:val="00BB6509"/>
    <w:rsid w:val="00BC248C"/>
    <w:rsid w:val="00C015C7"/>
    <w:rsid w:val="00C01EC0"/>
    <w:rsid w:val="00C244EE"/>
    <w:rsid w:val="00C26D3B"/>
    <w:rsid w:val="00C4222E"/>
    <w:rsid w:val="00C478E0"/>
    <w:rsid w:val="00C60786"/>
    <w:rsid w:val="00C62DF7"/>
    <w:rsid w:val="00C669A2"/>
    <w:rsid w:val="00C72224"/>
    <w:rsid w:val="00C75706"/>
    <w:rsid w:val="00C84198"/>
    <w:rsid w:val="00C874FA"/>
    <w:rsid w:val="00CA1959"/>
    <w:rsid w:val="00CA4815"/>
    <w:rsid w:val="00CA77B9"/>
    <w:rsid w:val="00CB79DF"/>
    <w:rsid w:val="00CF45AD"/>
    <w:rsid w:val="00CF6562"/>
    <w:rsid w:val="00D23BAD"/>
    <w:rsid w:val="00D26034"/>
    <w:rsid w:val="00D33691"/>
    <w:rsid w:val="00D36A9D"/>
    <w:rsid w:val="00D410DA"/>
    <w:rsid w:val="00D446FE"/>
    <w:rsid w:val="00D5688A"/>
    <w:rsid w:val="00D57A7D"/>
    <w:rsid w:val="00D63DEF"/>
    <w:rsid w:val="00D70CEB"/>
    <w:rsid w:val="00D81949"/>
    <w:rsid w:val="00D86979"/>
    <w:rsid w:val="00D86D76"/>
    <w:rsid w:val="00DA0933"/>
    <w:rsid w:val="00DB3060"/>
    <w:rsid w:val="00DB7B27"/>
    <w:rsid w:val="00DC5980"/>
    <w:rsid w:val="00DD2B46"/>
    <w:rsid w:val="00DF01C0"/>
    <w:rsid w:val="00E05684"/>
    <w:rsid w:val="00E32091"/>
    <w:rsid w:val="00E529E5"/>
    <w:rsid w:val="00E65AA1"/>
    <w:rsid w:val="00E76111"/>
    <w:rsid w:val="00E769BA"/>
    <w:rsid w:val="00EA0E37"/>
    <w:rsid w:val="00EA45CF"/>
    <w:rsid w:val="00EB4C2F"/>
    <w:rsid w:val="00EB5534"/>
    <w:rsid w:val="00EC1FF0"/>
    <w:rsid w:val="00ED0DDF"/>
    <w:rsid w:val="00EE0E4A"/>
    <w:rsid w:val="00EE1D4D"/>
    <w:rsid w:val="00EE5097"/>
    <w:rsid w:val="00EF1EA7"/>
    <w:rsid w:val="00EF42C7"/>
    <w:rsid w:val="00F1000D"/>
    <w:rsid w:val="00F27703"/>
    <w:rsid w:val="00F311A4"/>
    <w:rsid w:val="00F419A4"/>
    <w:rsid w:val="00F41E64"/>
    <w:rsid w:val="00F744F0"/>
    <w:rsid w:val="00F763F8"/>
    <w:rsid w:val="00F82C2C"/>
    <w:rsid w:val="00F852B0"/>
    <w:rsid w:val="00F85913"/>
    <w:rsid w:val="00FB7A14"/>
    <w:rsid w:val="00FC0F96"/>
    <w:rsid w:val="00FC3B60"/>
    <w:rsid w:val="00FD085A"/>
    <w:rsid w:val="00FD1BCD"/>
    <w:rsid w:val="00FD4941"/>
    <w:rsid w:val="00FD4D6E"/>
    <w:rsid w:val="00FE625A"/>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B6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C62DF7"/>
    <w:pPr>
      <w:spacing w:before="360" w:after="0" w:line="276"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FollowedHyperlink">
    <w:name w:val="FollowedHyperlink"/>
    <w:basedOn w:val="DefaultParagraphFont"/>
    <w:uiPriority w:val="99"/>
    <w:semiHidden/>
    <w:unhideWhenUsed/>
    <w:rsid w:val="00EA45CF"/>
    <w:rPr>
      <w:color w:val="CE372F" w:themeColor="followedHyperlink"/>
      <w:u w:val="single"/>
    </w:rPr>
  </w:style>
  <w:style w:type="paragraph" w:customStyle="1" w:styleId="Default">
    <w:name w:val="Default"/>
    <w:rsid w:val="007D2AF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7D2AF2"/>
    <w:pPr>
      <w:spacing w:after="200" w:line="360" w:lineRule="auto"/>
      <w:ind w:left="720"/>
      <w:contextualSpacing/>
    </w:p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7D2AF2"/>
  </w:style>
  <w:style w:type="paragraph" w:styleId="CommentText">
    <w:name w:val="annotation text"/>
    <w:basedOn w:val="Normal"/>
    <w:link w:val="CommentTextChar"/>
    <w:uiPriority w:val="99"/>
    <w:unhideWhenUsed/>
    <w:rsid w:val="007D2AF2"/>
    <w:pPr>
      <w:spacing w:after="200" w:line="240" w:lineRule="auto"/>
    </w:pPr>
    <w:rPr>
      <w:sz w:val="20"/>
      <w:szCs w:val="20"/>
    </w:rPr>
  </w:style>
  <w:style w:type="character" w:customStyle="1" w:styleId="CommentTextChar">
    <w:name w:val="Comment Text Char"/>
    <w:basedOn w:val="DefaultParagraphFont"/>
    <w:link w:val="CommentText"/>
    <w:uiPriority w:val="99"/>
    <w:rsid w:val="007D2AF2"/>
    <w:rPr>
      <w:sz w:val="20"/>
      <w:szCs w:val="20"/>
    </w:rPr>
  </w:style>
  <w:style w:type="paragraph" w:customStyle="1" w:styleId="ECPoint">
    <w:name w:val="EC Point"/>
    <w:link w:val="ECPointChar"/>
    <w:qFormat/>
    <w:rsid w:val="007D2AF2"/>
    <w:pPr>
      <w:numPr>
        <w:numId w:val="31"/>
      </w:numPr>
      <w:spacing w:after="120" w:line="240" w:lineRule="auto"/>
    </w:pPr>
    <w:rPr>
      <w:rFonts w:cs="Times New Roman"/>
      <w:szCs w:val="24"/>
    </w:rPr>
  </w:style>
  <w:style w:type="character" w:customStyle="1" w:styleId="ECPointChar">
    <w:name w:val="EC Point Char"/>
    <w:basedOn w:val="DefaultParagraphFont"/>
    <w:link w:val="ECPoint"/>
    <w:rsid w:val="007D2AF2"/>
    <w:rPr>
      <w:rFonts w:cs="Times New Roman"/>
      <w:szCs w:val="24"/>
    </w:rPr>
  </w:style>
  <w:style w:type="character" w:styleId="CommentReference">
    <w:name w:val="annotation reference"/>
    <w:basedOn w:val="DefaultParagraphFont"/>
    <w:uiPriority w:val="99"/>
    <w:semiHidden/>
    <w:unhideWhenUsed/>
    <w:rsid w:val="007D2AF2"/>
    <w:rPr>
      <w:sz w:val="16"/>
      <w:szCs w:val="16"/>
    </w:rPr>
  </w:style>
  <w:style w:type="paragraph" w:styleId="CommentSubject">
    <w:name w:val="annotation subject"/>
    <w:basedOn w:val="CommentText"/>
    <w:next w:val="CommentText"/>
    <w:link w:val="CommentSubjectChar"/>
    <w:uiPriority w:val="99"/>
    <w:semiHidden/>
    <w:unhideWhenUsed/>
    <w:rsid w:val="007D2AF2"/>
    <w:pPr>
      <w:spacing w:after="160"/>
    </w:pPr>
    <w:rPr>
      <w:b/>
      <w:bCs/>
    </w:rPr>
  </w:style>
  <w:style w:type="character" w:customStyle="1" w:styleId="CommentSubjectChar">
    <w:name w:val="Comment Subject Char"/>
    <w:basedOn w:val="CommentTextChar"/>
    <w:link w:val="CommentSubject"/>
    <w:uiPriority w:val="99"/>
    <w:semiHidden/>
    <w:rsid w:val="007D2AF2"/>
    <w:rPr>
      <w:b/>
      <w:bCs/>
      <w:sz w:val="20"/>
      <w:szCs w:val="20"/>
    </w:rPr>
  </w:style>
  <w:style w:type="paragraph" w:styleId="Revision">
    <w:name w:val="Revision"/>
    <w:hidden/>
    <w:uiPriority w:val="99"/>
    <w:semiHidden/>
    <w:rsid w:val="007D2AF2"/>
    <w:pPr>
      <w:spacing w:after="0" w:line="240" w:lineRule="auto"/>
    </w:pPr>
  </w:style>
  <w:style w:type="paragraph" w:styleId="FootnoteText">
    <w:name w:val="footnote text"/>
    <w:basedOn w:val="Normal"/>
    <w:link w:val="FootnoteTextChar"/>
    <w:uiPriority w:val="99"/>
    <w:semiHidden/>
    <w:unhideWhenUsed/>
    <w:rsid w:val="007D2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AF2"/>
    <w:rPr>
      <w:sz w:val="20"/>
      <w:szCs w:val="20"/>
    </w:rPr>
  </w:style>
  <w:style w:type="character" w:styleId="FootnoteReference">
    <w:name w:val="footnote reference"/>
    <w:basedOn w:val="DefaultParagraphFont"/>
    <w:uiPriority w:val="99"/>
    <w:semiHidden/>
    <w:unhideWhenUsed/>
    <w:rsid w:val="007D2AF2"/>
    <w:rPr>
      <w:vertAlign w:val="superscript"/>
    </w:rPr>
  </w:style>
  <w:style w:type="paragraph" w:customStyle="1" w:styleId="Featurebox">
    <w:name w:val="Feature box"/>
    <w:basedOn w:val="Normal"/>
    <w:link w:val="FeatureboxChar"/>
    <w:qFormat/>
    <w:rsid w:val="00C62DF7"/>
    <w:pPr>
      <w:pBdr>
        <w:top w:val="single" w:sz="24" w:space="4" w:color="008599" w:themeColor="accent1"/>
        <w:left w:val="single" w:sz="24" w:space="4" w:color="008599" w:themeColor="accent1"/>
        <w:bottom w:val="single" w:sz="24" w:space="4" w:color="008599" w:themeColor="accent1"/>
        <w:right w:val="single" w:sz="24" w:space="4" w:color="008599" w:themeColor="accent1"/>
      </w:pBdr>
      <w:shd w:val="clear" w:color="auto" w:fill="008599" w:themeFill="accent1"/>
      <w:ind w:left="142" w:right="119"/>
    </w:pPr>
    <w:rPr>
      <w:color w:val="FFFFFF" w:themeColor="background1"/>
    </w:rPr>
  </w:style>
  <w:style w:type="character" w:customStyle="1" w:styleId="FeatureboxChar">
    <w:name w:val="Feature box Char"/>
    <w:basedOn w:val="DefaultParagraphFont"/>
    <w:link w:val="Featurebox"/>
    <w:rsid w:val="00C62DF7"/>
    <w:rPr>
      <w:color w:val="FFFFFF" w:themeColor="background1"/>
      <w:shd w:val="clear" w:color="auto" w:fill="008599" w:themeFill="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3398">
      <w:bodyDiv w:val="1"/>
      <w:marLeft w:val="0"/>
      <w:marRight w:val="0"/>
      <w:marTop w:val="0"/>
      <w:marBottom w:val="0"/>
      <w:divBdr>
        <w:top w:val="none" w:sz="0" w:space="0" w:color="auto"/>
        <w:left w:val="none" w:sz="0" w:space="0" w:color="auto"/>
        <w:bottom w:val="none" w:sz="0" w:space="0" w:color="auto"/>
        <w:right w:val="none" w:sz="0" w:space="0" w:color="auto"/>
      </w:divBdr>
    </w:div>
    <w:div w:id="157774998">
      <w:bodyDiv w:val="1"/>
      <w:marLeft w:val="0"/>
      <w:marRight w:val="0"/>
      <w:marTop w:val="0"/>
      <w:marBottom w:val="0"/>
      <w:divBdr>
        <w:top w:val="none" w:sz="0" w:space="0" w:color="auto"/>
        <w:left w:val="none" w:sz="0" w:space="0" w:color="auto"/>
        <w:bottom w:val="none" w:sz="0" w:space="0" w:color="auto"/>
        <w:right w:val="none" w:sz="0" w:space="0" w:color="auto"/>
      </w:divBdr>
    </w:div>
    <w:div w:id="166209694">
      <w:bodyDiv w:val="1"/>
      <w:marLeft w:val="0"/>
      <w:marRight w:val="0"/>
      <w:marTop w:val="0"/>
      <w:marBottom w:val="0"/>
      <w:divBdr>
        <w:top w:val="none" w:sz="0" w:space="0" w:color="auto"/>
        <w:left w:val="none" w:sz="0" w:space="0" w:color="auto"/>
        <w:bottom w:val="none" w:sz="0" w:space="0" w:color="auto"/>
        <w:right w:val="none" w:sz="0" w:space="0" w:color="auto"/>
      </w:divBdr>
    </w:div>
    <w:div w:id="283119287">
      <w:bodyDiv w:val="1"/>
      <w:marLeft w:val="0"/>
      <w:marRight w:val="0"/>
      <w:marTop w:val="0"/>
      <w:marBottom w:val="0"/>
      <w:divBdr>
        <w:top w:val="none" w:sz="0" w:space="0" w:color="auto"/>
        <w:left w:val="none" w:sz="0" w:space="0" w:color="auto"/>
        <w:bottom w:val="none" w:sz="0" w:space="0" w:color="auto"/>
        <w:right w:val="none" w:sz="0" w:space="0" w:color="auto"/>
      </w:divBdr>
    </w:div>
    <w:div w:id="355620457">
      <w:bodyDiv w:val="1"/>
      <w:marLeft w:val="0"/>
      <w:marRight w:val="0"/>
      <w:marTop w:val="0"/>
      <w:marBottom w:val="0"/>
      <w:divBdr>
        <w:top w:val="none" w:sz="0" w:space="0" w:color="auto"/>
        <w:left w:val="none" w:sz="0" w:space="0" w:color="auto"/>
        <w:bottom w:val="none" w:sz="0" w:space="0" w:color="auto"/>
        <w:right w:val="none" w:sz="0" w:space="0" w:color="auto"/>
      </w:divBdr>
    </w:div>
    <w:div w:id="369230877">
      <w:bodyDiv w:val="1"/>
      <w:marLeft w:val="0"/>
      <w:marRight w:val="0"/>
      <w:marTop w:val="0"/>
      <w:marBottom w:val="0"/>
      <w:divBdr>
        <w:top w:val="none" w:sz="0" w:space="0" w:color="auto"/>
        <w:left w:val="none" w:sz="0" w:space="0" w:color="auto"/>
        <w:bottom w:val="none" w:sz="0" w:space="0" w:color="auto"/>
        <w:right w:val="none" w:sz="0" w:space="0" w:color="auto"/>
      </w:divBdr>
    </w:div>
    <w:div w:id="454835236">
      <w:bodyDiv w:val="1"/>
      <w:marLeft w:val="0"/>
      <w:marRight w:val="0"/>
      <w:marTop w:val="0"/>
      <w:marBottom w:val="0"/>
      <w:divBdr>
        <w:top w:val="none" w:sz="0" w:space="0" w:color="auto"/>
        <w:left w:val="none" w:sz="0" w:space="0" w:color="auto"/>
        <w:bottom w:val="none" w:sz="0" w:space="0" w:color="auto"/>
        <w:right w:val="none" w:sz="0" w:space="0" w:color="auto"/>
      </w:divBdr>
    </w:div>
    <w:div w:id="468977990">
      <w:bodyDiv w:val="1"/>
      <w:marLeft w:val="0"/>
      <w:marRight w:val="0"/>
      <w:marTop w:val="0"/>
      <w:marBottom w:val="0"/>
      <w:divBdr>
        <w:top w:val="none" w:sz="0" w:space="0" w:color="auto"/>
        <w:left w:val="none" w:sz="0" w:space="0" w:color="auto"/>
        <w:bottom w:val="none" w:sz="0" w:space="0" w:color="auto"/>
        <w:right w:val="none" w:sz="0" w:space="0" w:color="auto"/>
      </w:divBdr>
    </w:div>
    <w:div w:id="476146229">
      <w:bodyDiv w:val="1"/>
      <w:marLeft w:val="0"/>
      <w:marRight w:val="0"/>
      <w:marTop w:val="0"/>
      <w:marBottom w:val="0"/>
      <w:divBdr>
        <w:top w:val="none" w:sz="0" w:space="0" w:color="auto"/>
        <w:left w:val="none" w:sz="0" w:space="0" w:color="auto"/>
        <w:bottom w:val="none" w:sz="0" w:space="0" w:color="auto"/>
        <w:right w:val="none" w:sz="0" w:space="0" w:color="auto"/>
      </w:divBdr>
    </w:div>
    <w:div w:id="476647018">
      <w:bodyDiv w:val="1"/>
      <w:marLeft w:val="0"/>
      <w:marRight w:val="0"/>
      <w:marTop w:val="0"/>
      <w:marBottom w:val="0"/>
      <w:divBdr>
        <w:top w:val="none" w:sz="0" w:space="0" w:color="auto"/>
        <w:left w:val="none" w:sz="0" w:space="0" w:color="auto"/>
        <w:bottom w:val="none" w:sz="0" w:space="0" w:color="auto"/>
        <w:right w:val="none" w:sz="0" w:space="0" w:color="auto"/>
      </w:divBdr>
    </w:div>
    <w:div w:id="545991053">
      <w:bodyDiv w:val="1"/>
      <w:marLeft w:val="0"/>
      <w:marRight w:val="0"/>
      <w:marTop w:val="0"/>
      <w:marBottom w:val="0"/>
      <w:divBdr>
        <w:top w:val="none" w:sz="0" w:space="0" w:color="auto"/>
        <w:left w:val="none" w:sz="0" w:space="0" w:color="auto"/>
        <w:bottom w:val="none" w:sz="0" w:space="0" w:color="auto"/>
        <w:right w:val="none" w:sz="0" w:space="0" w:color="auto"/>
      </w:divBdr>
    </w:div>
    <w:div w:id="552233402">
      <w:bodyDiv w:val="1"/>
      <w:marLeft w:val="0"/>
      <w:marRight w:val="0"/>
      <w:marTop w:val="0"/>
      <w:marBottom w:val="0"/>
      <w:divBdr>
        <w:top w:val="none" w:sz="0" w:space="0" w:color="auto"/>
        <w:left w:val="none" w:sz="0" w:space="0" w:color="auto"/>
        <w:bottom w:val="none" w:sz="0" w:space="0" w:color="auto"/>
        <w:right w:val="none" w:sz="0" w:space="0" w:color="auto"/>
      </w:divBdr>
    </w:div>
    <w:div w:id="580408553">
      <w:bodyDiv w:val="1"/>
      <w:marLeft w:val="0"/>
      <w:marRight w:val="0"/>
      <w:marTop w:val="0"/>
      <w:marBottom w:val="0"/>
      <w:divBdr>
        <w:top w:val="none" w:sz="0" w:space="0" w:color="auto"/>
        <w:left w:val="none" w:sz="0" w:space="0" w:color="auto"/>
        <w:bottom w:val="none" w:sz="0" w:space="0" w:color="auto"/>
        <w:right w:val="none" w:sz="0" w:space="0" w:color="auto"/>
      </w:divBdr>
    </w:div>
    <w:div w:id="618613526">
      <w:bodyDiv w:val="1"/>
      <w:marLeft w:val="0"/>
      <w:marRight w:val="0"/>
      <w:marTop w:val="0"/>
      <w:marBottom w:val="0"/>
      <w:divBdr>
        <w:top w:val="none" w:sz="0" w:space="0" w:color="auto"/>
        <w:left w:val="none" w:sz="0" w:space="0" w:color="auto"/>
        <w:bottom w:val="none" w:sz="0" w:space="0" w:color="auto"/>
        <w:right w:val="none" w:sz="0" w:space="0" w:color="auto"/>
      </w:divBdr>
    </w:div>
    <w:div w:id="652565952">
      <w:bodyDiv w:val="1"/>
      <w:marLeft w:val="0"/>
      <w:marRight w:val="0"/>
      <w:marTop w:val="0"/>
      <w:marBottom w:val="0"/>
      <w:divBdr>
        <w:top w:val="none" w:sz="0" w:space="0" w:color="auto"/>
        <w:left w:val="none" w:sz="0" w:space="0" w:color="auto"/>
        <w:bottom w:val="none" w:sz="0" w:space="0" w:color="auto"/>
        <w:right w:val="none" w:sz="0" w:space="0" w:color="auto"/>
      </w:divBdr>
    </w:div>
    <w:div w:id="655651704">
      <w:bodyDiv w:val="1"/>
      <w:marLeft w:val="0"/>
      <w:marRight w:val="0"/>
      <w:marTop w:val="0"/>
      <w:marBottom w:val="0"/>
      <w:divBdr>
        <w:top w:val="none" w:sz="0" w:space="0" w:color="auto"/>
        <w:left w:val="none" w:sz="0" w:space="0" w:color="auto"/>
        <w:bottom w:val="none" w:sz="0" w:space="0" w:color="auto"/>
        <w:right w:val="none" w:sz="0" w:space="0" w:color="auto"/>
      </w:divBdr>
    </w:div>
    <w:div w:id="689989591">
      <w:bodyDiv w:val="1"/>
      <w:marLeft w:val="0"/>
      <w:marRight w:val="0"/>
      <w:marTop w:val="0"/>
      <w:marBottom w:val="0"/>
      <w:divBdr>
        <w:top w:val="none" w:sz="0" w:space="0" w:color="auto"/>
        <w:left w:val="none" w:sz="0" w:space="0" w:color="auto"/>
        <w:bottom w:val="none" w:sz="0" w:space="0" w:color="auto"/>
        <w:right w:val="none" w:sz="0" w:space="0" w:color="auto"/>
      </w:divBdr>
    </w:div>
    <w:div w:id="698428840">
      <w:bodyDiv w:val="1"/>
      <w:marLeft w:val="0"/>
      <w:marRight w:val="0"/>
      <w:marTop w:val="0"/>
      <w:marBottom w:val="0"/>
      <w:divBdr>
        <w:top w:val="none" w:sz="0" w:space="0" w:color="auto"/>
        <w:left w:val="none" w:sz="0" w:space="0" w:color="auto"/>
        <w:bottom w:val="none" w:sz="0" w:space="0" w:color="auto"/>
        <w:right w:val="none" w:sz="0" w:space="0" w:color="auto"/>
      </w:divBdr>
    </w:div>
    <w:div w:id="748775599">
      <w:bodyDiv w:val="1"/>
      <w:marLeft w:val="0"/>
      <w:marRight w:val="0"/>
      <w:marTop w:val="0"/>
      <w:marBottom w:val="0"/>
      <w:divBdr>
        <w:top w:val="none" w:sz="0" w:space="0" w:color="auto"/>
        <w:left w:val="none" w:sz="0" w:space="0" w:color="auto"/>
        <w:bottom w:val="none" w:sz="0" w:space="0" w:color="auto"/>
        <w:right w:val="none" w:sz="0" w:space="0" w:color="auto"/>
      </w:divBdr>
    </w:div>
    <w:div w:id="812521447">
      <w:bodyDiv w:val="1"/>
      <w:marLeft w:val="0"/>
      <w:marRight w:val="0"/>
      <w:marTop w:val="0"/>
      <w:marBottom w:val="0"/>
      <w:divBdr>
        <w:top w:val="none" w:sz="0" w:space="0" w:color="auto"/>
        <w:left w:val="none" w:sz="0" w:space="0" w:color="auto"/>
        <w:bottom w:val="none" w:sz="0" w:space="0" w:color="auto"/>
        <w:right w:val="none" w:sz="0" w:space="0" w:color="auto"/>
      </w:divBdr>
    </w:div>
    <w:div w:id="841286480">
      <w:bodyDiv w:val="1"/>
      <w:marLeft w:val="0"/>
      <w:marRight w:val="0"/>
      <w:marTop w:val="0"/>
      <w:marBottom w:val="0"/>
      <w:divBdr>
        <w:top w:val="none" w:sz="0" w:space="0" w:color="auto"/>
        <w:left w:val="none" w:sz="0" w:space="0" w:color="auto"/>
        <w:bottom w:val="none" w:sz="0" w:space="0" w:color="auto"/>
        <w:right w:val="none" w:sz="0" w:space="0" w:color="auto"/>
      </w:divBdr>
    </w:div>
    <w:div w:id="841353234">
      <w:bodyDiv w:val="1"/>
      <w:marLeft w:val="0"/>
      <w:marRight w:val="0"/>
      <w:marTop w:val="0"/>
      <w:marBottom w:val="0"/>
      <w:divBdr>
        <w:top w:val="none" w:sz="0" w:space="0" w:color="auto"/>
        <w:left w:val="none" w:sz="0" w:space="0" w:color="auto"/>
        <w:bottom w:val="none" w:sz="0" w:space="0" w:color="auto"/>
        <w:right w:val="none" w:sz="0" w:space="0" w:color="auto"/>
      </w:divBdr>
    </w:div>
    <w:div w:id="930041235">
      <w:bodyDiv w:val="1"/>
      <w:marLeft w:val="0"/>
      <w:marRight w:val="0"/>
      <w:marTop w:val="0"/>
      <w:marBottom w:val="0"/>
      <w:divBdr>
        <w:top w:val="none" w:sz="0" w:space="0" w:color="auto"/>
        <w:left w:val="none" w:sz="0" w:space="0" w:color="auto"/>
        <w:bottom w:val="none" w:sz="0" w:space="0" w:color="auto"/>
        <w:right w:val="none" w:sz="0" w:space="0" w:color="auto"/>
      </w:divBdr>
    </w:div>
    <w:div w:id="933707454">
      <w:bodyDiv w:val="1"/>
      <w:marLeft w:val="0"/>
      <w:marRight w:val="0"/>
      <w:marTop w:val="0"/>
      <w:marBottom w:val="0"/>
      <w:divBdr>
        <w:top w:val="none" w:sz="0" w:space="0" w:color="auto"/>
        <w:left w:val="none" w:sz="0" w:space="0" w:color="auto"/>
        <w:bottom w:val="none" w:sz="0" w:space="0" w:color="auto"/>
        <w:right w:val="none" w:sz="0" w:space="0" w:color="auto"/>
      </w:divBdr>
    </w:div>
    <w:div w:id="935097492">
      <w:bodyDiv w:val="1"/>
      <w:marLeft w:val="0"/>
      <w:marRight w:val="0"/>
      <w:marTop w:val="0"/>
      <w:marBottom w:val="0"/>
      <w:divBdr>
        <w:top w:val="none" w:sz="0" w:space="0" w:color="auto"/>
        <w:left w:val="none" w:sz="0" w:space="0" w:color="auto"/>
        <w:bottom w:val="none" w:sz="0" w:space="0" w:color="auto"/>
        <w:right w:val="none" w:sz="0" w:space="0" w:color="auto"/>
      </w:divBdr>
    </w:div>
    <w:div w:id="989210677">
      <w:bodyDiv w:val="1"/>
      <w:marLeft w:val="0"/>
      <w:marRight w:val="0"/>
      <w:marTop w:val="0"/>
      <w:marBottom w:val="0"/>
      <w:divBdr>
        <w:top w:val="none" w:sz="0" w:space="0" w:color="auto"/>
        <w:left w:val="none" w:sz="0" w:space="0" w:color="auto"/>
        <w:bottom w:val="none" w:sz="0" w:space="0" w:color="auto"/>
        <w:right w:val="none" w:sz="0" w:space="0" w:color="auto"/>
      </w:divBdr>
    </w:div>
    <w:div w:id="1043477943">
      <w:bodyDiv w:val="1"/>
      <w:marLeft w:val="0"/>
      <w:marRight w:val="0"/>
      <w:marTop w:val="0"/>
      <w:marBottom w:val="0"/>
      <w:divBdr>
        <w:top w:val="none" w:sz="0" w:space="0" w:color="auto"/>
        <w:left w:val="none" w:sz="0" w:space="0" w:color="auto"/>
        <w:bottom w:val="none" w:sz="0" w:space="0" w:color="auto"/>
        <w:right w:val="none" w:sz="0" w:space="0" w:color="auto"/>
      </w:divBdr>
    </w:div>
    <w:div w:id="1131945691">
      <w:bodyDiv w:val="1"/>
      <w:marLeft w:val="0"/>
      <w:marRight w:val="0"/>
      <w:marTop w:val="0"/>
      <w:marBottom w:val="0"/>
      <w:divBdr>
        <w:top w:val="none" w:sz="0" w:space="0" w:color="auto"/>
        <w:left w:val="none" w:sz="0" w:space="0" w:color="auto"/>
        <w:bottom w:val="none" w:sz="0" w:space="0" w:color="auto"/>
        <w:right w:val="none" w:sz="0" w:space="0" w:color="auto"/>
      </w:divBdr>
    </w:div>
    <w:div w:id="1216117516">
      <w:bodyDiv w:val="1"/>
      <w:marLeft w:val="0"/>
      <w:marRight w:val="0"/>
      <w:marTop w:val="0"/>
      <w:marBottom w:val="0"/>
      <w:divBdr>
        <w:top w:val="none" w:sz="0" w:space="0" w:color="auto"/>
        <w:left w:val="none" w:sz="0" w:space="0" w:color="auto"/>
        <w:bottom w:val="none" w:sz="0" w:space="0" w:color="auto"/>
        <w:right w:val="none" w:sz="0" w:space="0" w:color="auto"/>
      </w:divBdr>
    </w:div>
    <w:div w:id="1357077583">
      <w:bodyDiv w:val="1"/>
      <w:marLeft w:val="0"/>
      <w:marRight w:val="0"/>
      <w:marTop w:val="0"/>
      <w:marBottom w:val="0"/>
      <w:divBdr>
        <w:top w:val="none" w:sz="0" w:space="0" w:color="auto"/>
        <w:left w:val="none" w:sz="0" w:space="0" w:color="auto"/>
        <w:bottom w:val="none" w:sz="0" w:space="0" w:color="auto"/>
        <w:right w:val="none" w:sz="0" w:space="0" w:color="auto"/>
      </w:divBdr>
    </w:div>
    <w:div w:id="1369144832">
      <w:bodyDiv w:val="1"/>
      <w:marLeft w:val="0"/>
      <w:marRight w:val="0"/>
      <w:marTop w:val="0"/>
      <w:marBottom w:val="0"/>
      <w:divBdr>
        <w:top w:val="none" w:sz="0" w:space="0" w:color="auto"/>
        <w:left w:val="none" w:sz="0" w:space="0" w:color="auto"/>
        <w:bottom w:val="none" w:sz="0" w:space="0" w:color="auto"/>
        <w:right w:val="none" w:sz="0" w:space="0" w:color="auto"/>
      </w:divBdr>
    </w:div>
    <w:div w:id="1382705434">
      <w:bodyDiv w:val="1"/>
      <w:marLeft w:val="0"/>
      <w:marRight w:val="0"/>
      <w:marTop w:val="0"/>
      <w:marBottom w:val="0"/>
      <w:divBdr>
        <w:top w:val="none" w:sz="0" w:space="0" w:color="auto"/>
        <w:left w:val="none" w:sz="0" w:space="0" w:color="auto"/>
        <w:bottom w:val="none" w:sz="0" w:space="0" w:color="auto"/>
        <w:right w:val="none" w:sz="0" w:space="0" w:color="auto"/>
      </w:divBdr>
    </w:div>
    <w:div w:id="1451391753">
      <w:bodyDiv w:val="1"/>
      <w:marLeft w:val="0"/>
      <w:marRight w:val="0"/>
      <w:marTop w:val="0"/>
      <w:marBottom w:val="0"/>
      <w:divBdr>
        <w:top w:val="none" w:sz="0" w:space="0" w:color="auto"/>
        <w:left w:val="none" w:sz="0" w:space="0" w:color="auto"/>
        <w:bottom w:val="none" w:sz="0" w:space="0" w:color="auto"/>
        <w:right w:val="none" w:sz="0" w:space="0" w:color="auto"/>
      </w:divBdr>
    </w:div>
    <w:div w:id="1453329218">
      <w:bodyDiv w:val="1"/>
      <w:marLeft w:val="0"/>
      <w:marRight w:val="0"/>
      <w:marTop w:val="0"/>
      <w:marBottom w:val="0"/>
      <w:divBdr>
        <w:top w:val="none" w:sz="0" w:space="0" w:color="auto"/>
        <w:left w:val="none" w:sz="0" w:space="0" w:color="auto"/>
        <w:bottom w:val="none" w:sz="0" w:space="0" w:color="auto"/>
        <w:right w:val="none" w:sz="0" w:space="0" w:color="auto"/>
      </w:divBdr>
    </w:div>
    <w:div w:id="1489637078">
      <w:bodyDiv w:val="1"/>
      <w:marLeft w:val="0"/>
      <w:marRight w:val="0"/>
      <w:marTop w:val="0"/>
      <w:marBottom w:val="0"/>
      <w:divBdr>
        <w:top w:val="none" w:sz="0" w:space="0" w:color="auto"/>
        <w:left w:val="none" w:sz="0" w:space="0" w:color="auto"/>
        <w:bottom w:val="none" w:sz="0" w:space="0" w:color="auto"/>
        <w:right w:val="none" w:sz="0" w:space="0" w:color="auto"/>
      </w:divBdr>
    </w:div>
    <w:div w:id="1551067684">
      <w:bodyDiv w:val="1"/>
      <w:marLeft w:val="0"/>
      <w:marRight w:val="0"/>
      <w:marTop w:val="0"/>
      <w:marBottom w:val="0"/>
      <w:divBdr>
        <w:top w:val="none" w:sz="0" w:space="0" w:color="auto"/>
        <w:left w:val="none" w:sz="0" w:space="0" w:color="auto"/>
        <w:bottom w:val="none" w:sz="0" w:space="0" w:color="auto"/>
        <w:right w:val="none" w:sz="0" w:space="0" w:color="auto"/>
      </w:divBdr>
    </w:div>
    <w:div w:id="1559515876">
      <w:bodyDiv w:val="1"/>
      <w:marLeft w:val="0"/>
      <w:marRight w:val="0"/>
      <w:marTop w:val="0"/>
      <w:marBottom w:val="0"/>
      <w:divBdr>
        <w:top w:val="none" w:sz="0" w:space="0" w:color="auto"/>
        <w:left w:val="none" w:sz="0" w:space="0" w:color="auto"/>
        <w:bottom w:val="none" w:sz="0" w:space="0" w:color="auto"/>
        <w:right w:val="none" w:sz="0" w:space="0" w:color="auto"/>
      </w:divBdr>
    </w:div>
    <w:div w:id="1614677791">
      <w:bodyDiv w:val="1"/>
      <w:marLeft w:val="0"/>
      <w:marRight w:val="0"/>
      <w:marTop w:val="0"/>
      <w:marBottom w:val="0"/>
      <w:divBdr>
        <w:top w:val="none" w:sz="0" w:space="0" w:color="auto"/>
        <w:left w:val="none" w:sz="0" w:space="0" w:color="auto"/>
        <w:bottom w:val="none" w:sz="0" w:space="0" w:color="auto"/>
        <w:right w:val="none" w:sz="0" w:space="0" w:color="auto"/>
      </w:divBdr>
    </w:div>
    <w:div w:id="1624339008">
      <w:bodyDiv w:val="1"/>
      <w:marLeft w:val="0"/>
      <w:marRight w:val="0"/>
      <w:marTop w:val="0"/>
      <w:marBottom w:val="0"/>
      <w:divBdr>
        <w:top w:val="none" w:sz="0" w:space="0" w:color="auto"/>
        <w:left w:val="none" w:sz="0" w:space="0" w:color="auto"/>
        <w:bottom w:val="none" w:sz="0" w:space="0" w:color="auto"/>
        <w:right w:val="none" w:sz="0" w:space="0" w:color="auto"/>
      </w:divBdr>
    </w:div>
    <w:div w:id="1626737609">
      <w:bodyDiv w:val="1"/>
      <w:marLeft w:val="0"/>
      <w:marRight w:val="0"/>
      <w:marTop w:val="0"/>
      <w:marBottom w:val="0"/>
      <w:divBdr>
        <w:top w:val="none" w:sz="0" w:space="0" w:color="auto"/>
        <w:left w:val="none" w:sz="0" w:space="0" w:color="auto"/>
        <w:bottom w:val="none" w:sz="0" w:space="0" w:color="auto"/>
        <w:right w:val="none" w:sz="0" w:space="0" w:color="auto"/>
      </w:divBdr>
    </w:div>
    <w:div w:id="1632514909">
      <w:bodyDiv w:val="1"/>
      <w:marLeft w:val="0"/>
      <w:marRight w:val="0"/>
      <w:marTop w:val="0"/>
      <w:marBottom w:val="0"/>
      <w:divBdr>
        <w:top w:val="none" w:sz="0" w:space="0" w:color="auto"/>
        <w:left w:val="none" w:sz="0" w:space="0" w:color="auto"/>
        <w:bottom w:val="none" w:sz="0" w:space="0" w:color="auto"/>
        <w:right w:val="none" w:sz="0" w:space="0" w:color="auto"/>
      </w:divBdr>
    </w:div>
    <w:div w:id="1726639048">
      <w:bodyDiv w:val="1"/>
      <w:marLeft w:val="0"/>
      <w:marRight w:val="0"/>
      <w:marTop w:val="0"/>
      <w:marBottom w:val="0"/>
      <w:divBdr>
        <w:top w:val="none" w:sz="0" w:space="0" w:color="auto"/>
        <w:left w:val="none" w:sz="0" w:space="0" w:color="auto"/>
        <w:bottom w:val="none" w:sz="0" w:space="0" w:color="auto"/>
        <w:right w:val="none" w:sz="0" w:space="0" w:color="auto"/>
      </w:divBdr>
    </w:div>
    <w:div w:id="1769692949">
      <w:bodyDiv w:val="1"/>
      <w:marLeft w:val="0"/>
      <w:marRight w:val="0"/>
      <w:marTop w:val="0"/>
      <w:marBottom w:val="0"/>
      <w:divBdr>
        <w:top w:val="none" w:sz="0" w:space="0" w:color="auto"/>
        <w:left w:val="none" w:sz="0" w:space="0" w:color="auto"/>
        <w:bottom w:val="none" w:sz="0" w:space="0" w:color="auto"/>
        <w:right w:val="none" w:sz="0" w:space="0" w:color="auto"/>
      </w:divBdr>
    </w:div>
    <w:div w:id="1832678625">
      <w:bodyDiv w:val="1"/>
      <w:marLeft w:val="0"/>
      <w:marRight w:val="0"/>
      <w:marTop w:val="0"/>
      <w:marBottom w:val="0"/>
      <w:divBdr>
        <w:top w:val="none" w:sz="0" w:space="0" w:color="auto"/>
        <w:left w:val="none" w:sz="0" w:space="0" w:color="auto"/>
        <w:bottom w:val="none" w:sz="0" w:space="0" w:color="auto"/>
        <w:right w:val="none" w:sz="0" w:space="0" w:color="auto"/>
      </w:divBdr>
    </w:div>
    <w:div w:id="1851606431">
      <w:bodyDiv w:val="1"/>
      <w:marLeft w:val="0"/>
      <w:marRight w:val="0"/>
      <w:marTop w:val="0"/>
      <w:marBottom w:val="0"/>
      <w:divBdr>
        <w:top w:val="none" w:sz="0" w:space="0" w:color="auto"/>
        <w:left w:val="none" w:sz="0" w:space="0" w:color="auto"/>
        <w:bottom w:val="none" w:sz="0" w:space="0" w:color="auto"/>
        <w:right w:val="none" w:sz="0" w:space="0" w:color="auto"/>
      </w:divBdr>
    </w:div>
    <w:div w:id="1863006503">
      <w:bodyDiv w:val="1"/>
      <w:marLeft w:val="0"/>
      <w:marRight w:val="0"/>
      <w:marTop w:val="0"/>
      <w:marBottom w:val="0"/>
      <w:divBdr>
        <w:top w:val="none" w:sz="0" w:space="0" w:color="auto"/>
        <w:left w:val="none" w:sz="0" w:space="0" w:color="auto"/>
        <w:bottom w:val="none" w:sz="0" w:space="0" w:color="auto"/>
        <w:right w:val="none" w:sz="0" w:space="0" w:color="auto"/>
      </w:divBdr>
    </w:div>
    <w:div w:id="20085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chart" Target="charts/chart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education.gov.au/" TargetMode="External"/><Relationship Id="rId28" Type="http://schemas.openxmlformats.org/officeDocument/2006/relationships/chart" Target="charts/chart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chart" Target="charts/chart4.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file:///\\EDU.application.enet\50029862\2.%20School%20Funding%20Branch\24.%20Choice%20and%20Affordability%20Fund%20(CAF)%20%5bnew%5d\5.%20Data%20and%20Calculations\CAF%20Budget%20Report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DU.application.enet\50029862\2.%20School%20Funding%20Branch\24.%20Choice%20and%20Affordability%20Fund%20(CAF)%20%5bnew%5d\5.%20Data%20and%20Calculations\CAF%20Budget%20Report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DU.application.enet\50029862\2.%20School%20Funding%20Branch\24.%20Choice%20and%20Affordability%20Fund%20(CAF)%20%5bnew%5d\5.%20Data%20and%20Calculations\CAF%20Budget%20Reporti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t>CAF distributed/centralised expenditure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055555555555558E-2"/>
          <c:y val="0.20239570773077825"/>
          <c:w val="0.88888888888888884"/>
          <c:h val="0.66597891090951755"/>
        </c:manualLayout>
      </c:layout>
      <c:pieChart>
        <c:varyColors val="1"/>
        <c:ser>
          <c:idx val="0"/>
          <c:order val="0"/>
          <c:tx>
            <c:strRef>
              <c:f>'Annual Report'!$D$15</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47-4694-BA29-46AEDC7163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47-4694-BA29-46AEDC7163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47-4694-BA29-46AEDC71637C}"/>
              </c:ext>
            </c:extLst>
          </c:dPt>
          <c:dLbls>
            <c:dLbl>
              <c:idx val="0"/>
              <c:layout>
                <c:manualLayout>
                  <c:x val="-0.29988031077325172"/>
                  <c:y val="-0.1239523266992468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347-4694-BA29-46AEDC71637C}"/>
                </c:ext>
              </c:extLst>
            </c:dLbl>
            <c:dLbl>
              <c:idx val="1"/>
              <c:layout>
                <c:manualLayout>
                  <c:x val="-7.7132204253329395E-2"/>
                  <c:y val="-2.860467834828869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347-4694-BA29-46AEDC71637C}"/>
                </c:ext>
              </c:extLst>
            </c:dLbl>
            <c:dLbl>
              <c:idx val="2"/>
              <c:layout>
                <c:manualLayout>
                  <c:x val="9.97817329115713E-4"/>
                  <c:y val="1.08749701213118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347-4694-BA29-46AEDC7163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'Annual Report'!$C$16:$C$18</c:f>
              <c:strCache>
                <c:ptCount val="3"/>
                <c:pt idx="0">
                  <c:v>Distributed </c:v>
                </c:pt>
                <c:pt idx="1">
                  <c:v>Centralised </c:v>
                </c:pt>
                <c:pt idx="2">
                  <c:v>Administrative  </c:v>
                </c:pt>
              </c:strCache>
            </c:strRef>
          </c:cat>
          <c:val>
            <c:numRef>
              <c:f>'Annual Report'!$D$16:$D$18</c:f>
              <c:numCache>
                <c:formatCode>"$"#,##0</c:formatCode>
                <c:ptCount val="3"/>
                <c:pt idx="0">
                  <c:v>67236688</c:v>
                </c:pt>
                <c:pt idx="1">
                  <c:v>11071102.800000001</c:v>
                </c:pt>
                <c:pt idx="2">
                  <c:v>815449.79</c:v>
                </c:pt>
              </c:numCache>
            </c:numRef>
          </c:val>
          <c:extLst>
            <c:ext xmlns:c16="http://schemas.microsoft.com/office/drawing/2014/chart" uri="{C3380CC4-5D6E-409C-BE32-E72D297353CC}">
              <c16:uniqueId val="{00000006-8347-4694-BA29-46AEDC71637C}"/>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CAF program expenditure by priority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0"/>
          <c:tx>
            <c:strRef>
              <c:f>'Annual Report Decade'!$C$23</c:f>
              <c:strCache>
                <c:ptCount val="1"/>
                <c:pt idx="0">
                  <c:v>A – Choice and affordability </c:v>
                </c:pt>
              </c:strCache>
            </c:strRef>
          </c:tx>
          <c:spPr>
            <a:solidFill>
              <a:srgbClr val="002060"/>
            </a:solidFill>
            <a:ln>
              <a:noFill/>
            </a:ln>
            <a:effectLst/>
          </c:spPr>
          <c:invertIfNegative val="0"/>
          <c:dLbls>
            <c:delete val="1"/>
          </c:dLbls>
          <c:cat>
            <c:numRef>
              <c:f>'Annual Report Decade'!$D$22:$F$22</c:f>
              <c:numCache>
                <c:formatCode>General</c:formatCode>
                <c:ptCount val="3"/>
                <c:pt idx="0">
                  <c:v>2020</c:v>
                </c:pt>
                <c:pt idx="1">
                  <c:v>2021</c:v>
                </c:pt>
                <c:pt idx="2">
                  <c:v>2022</c:v>
                </c:pt>
              </c:numCache>
            </c:numRef>
          </c:cat>
          <c:val>
            <c:numRef>
              <c:f>'Annual Report Decade'!$D$23:$F$23</c:f>
              <c:numCache>
                <c:formatCode>"$"#,##0</c:formatCode>
                <c:ptCount val="3"/>
                <c:pt idx="0">
                  <c:v>17554613.719999999</c:v>
                </c:pt>
                <c:pt idx="1">
                  <c:v>33314379.420000002</c:v>
                </c:pt>
                <c:pt idx="2">
                  <c:v>29094126</c:v>
                </c:pt>
              </c:numCache>
            </c:numRef>
          </c:val>
          <c:extLst>
            <c:ext xmlns:c16="http://schemas.microsoft.com/office/drawing/2014/chart" uri="{C3380CC4-5D6E-409C-BE32-E72D297353CC}">
              <c16:uniqueId val="{00000001-A051-4FBB-95D6-CDA1D06C6604}"/>
            </c:ext>
          </c:extLst>
        </c:ser>
        <c:ser>
          <c:idx val="1"/>
          <c:order val="1"/>
          <c:tx>
            <c:strRef>
              <c:f>'Annual Report Decade'!$C$28</c:f>
              <c:strCache>
                <c:ptCount val="1"/>
                <c:pt idx="0">
                  <c:v>B – Transition assistance</c:v>
                </c:pt>
              </c:strCache>
            </c:strRef>
          </c:tx>
          <c:spPr>
            <a:solidFill>
              <a:srgbClr val="0070C0"/>
            </a:solidFill>
            <a:ln>
              <a:noFill/>
            </a:ln>
            <a:effectLst/>
          </c:spPr>
          <c:invertIfNegative val="0"/>
          <c:dLbls>
            <c:delete val="1"/>
          </c:dLbls>
          <c:cat>
            <c:numRef>
              <c:f>'Annual Report Decade'!$D$22:$F$22</c:f>
              <c:numCache>
                <c:formatCode>General</c:formatCode>
                <c:ptCount val="3"/>
                <c:pt idx="0">
                  <c:v>2020</c:v>
                </c:pt>
                <c:pt idx="1">
                  <c:v>2021</c:v>
                </c:pt>
                <c:pt idx="2">
                  <c:v>2022</c:v>
                </c:pt>
              </c:numCache>
            </c:numRef>
          </c:cat>
          <c:val>
            <c:numRef>
              <c:f>'Annual Report Decade'!$D$28:$F$28</c:f>
              <c:numCache>
                <c:formatCode>"$"#,##0</c:formatCode>
                <c:ptCount val="3"/>
                <c:pt idx="0">
                  <c:v>8109468.8499999996</c:v>
                </c:pt>
                <c:pt idx="1">
                  <c:v>10014145</c:v>
                </c:pt>
                <c:pt idx="2">
                  <c:v>33844034</c:v>
                </c:pt>
              </c:numCache>
            </c:numRef>
          </c:val>
          <c:extLst>
            <c:ext xmlns:c16="http://schemas.microsoft.com/office/drawing/2014/chart" uri="{C3380CC4-5D6E-409C-BE32-E72D297353CC}">
              <c16:uniqueId val="{00000002-A051-4FBB-95D6-CDA1D06C6604}"/>
            </c:ext>
          </c:extLst>
        </c:ser>
        <c:ser>
          <c:idx val="6"/>
          <c:order val="2"/>
          <c:tx>
            <c:strRef>
              <c:f>'Annual Report Decade'!$C$29</c:f>
              <c:strCache>
                <c:ptCount val="1"/>
                <c:pt idx="0">
                  <c:v>C – Special circumstances </c:v>
                </c:pt>
              </c:strCache>
            </c:strRef>
          </c:tx>
          <c:spPr>
            <a:solidFill>
              <a:srgbClr val="FFC000"/>
            </a:solidFill>
            <a:ln>
              <a:noFill/>
            </a:ln>
            <a:effectLst/>
          </c:spPr>
          <c:invertIfNegative val="0"/>
          <c:dLbls>
            <c:delete val="1"/>
          </c:dLbls>
          <c:cat>
            <c:numRef>
              <c:f>'Annual Report Decade'!$D$22:$F$22</c:f>
              <c:numCache>
                <c:formatCode>General</c:formatCode>
                <c:ptCount val="3"/>
                <c:pt idx="0">
                  <c:v>2020</c:v>
                </c:pt>
                <c:pt idx="1">
                  <c:v>2021</c:v>
                </c:pt>
                <c:pt idx="2">
                  <c:v>2022</c:v>
                </c:pt>
              </c:numCache>
            </c:numRef>
          </c:cat>
          <c:val>
            <c:numRef>
              <c:f>'Annual Report Decade'!$D$29:$F$29</c:f>
              <c:numCache>
                <c:formatCode>"$"#,##0</c:formatCode>
                <c:ptCount val="3"/>
                <c:pt idx="0">
                  <c:v>3859407</c:v>
                </c:pt>
                <c:pt idx="1">
                  <c:v>4365750</c:v>
                </c:pt>
                <c:pt idx="2">
                  <c:v>276143</c:v>
                </c:pt>
              </c:numCache>
            </c:numRef>
          </c:val>
          <c:extLst>
            <c:ext xmlns:c16="http://schemas.microsoft.com/office/drawing/2014/chart" uri="{C3380CC4-5D6E-409C-BE32-E72D297353CC}">
              <c16:uniqueId val="{00000003-A051-4FBB-95D6-CDA1D06C6604}"/>
            </c:ext>
          </c:extLst>
        </c:ser>
        <c:ser>
          <c:idx val="7"/>
          <c:order val="3"/>
          <c:tx>
            <c:strRef>
              <c:f>'Annual Report Decade'!$C$30</c:f>
              <c:strCache>
                <c:ptCount val="1"/>
                <c:pt idx="0">
                  <c:v>D – Student outcomes </c:v>
                </c:pt>
              </c:strCache>
            </c:strRef>
          </c:tx>
          <c:spPr>
            <a:solidFill>
              <a:schemeClr val="accent2"/>
            </a:solidFill>
            <a:ln>
              <a:noFill/>
            </a:ln>
            <a:effectLst/>
          </c:spPr>
          <c:invertIfNegative val="0"/>
          <c:dLbls>
            <c:delete val="1"/>
          </c:dLbls>
          <c:cat>
            <c:numRef>
              <c:f>'Annual Report Decade'!$D$22:$F$22</c:f>
              <c:numCache>
                <c:formatCode>General</c:formatCode>
                <c:ptCount val="3"/>
                <c:pt idx="0">
                  <c:v>2020</c:v>
                </c:pt>
                <c:pt idx="1">
                  <c:v>2021</c:v>
                </c:pt>
                <c:pt idx="2">
                  <c:v>2022</c:v>
                </c:pt>
              </c:numCache>
            </c:numRef>
          </c:cat>
          <c:val>
            <c:numRef>
              <c:f>'Annual Report Decade'!$D$30:$F$30</c:f>
              <c:numCache>
                <c:formatCode>"$"#,##0</c:formatCode>
                <c:ptCount val="3"/>
                <c:pt idx="0">
                  <c:v>3407975.23</c:v>
                </c:pt>
                <c:pt idx="1">
                  <c:v>9996032.6600000001</c:v>
                </c:pt>
                <c:pt idx="2">
                  <c:v>10027667.84</c:v>
                </c:pt>
              </c:numCache>
            </c:numRef>
          </c:val>
          <c:extLst>
            <c:ext xmlns:c16="http://schemas.microsoft.com/office/drawing/2014/chart" uri="{C3380CC4-5D6E-409C-BE32-E72D297353CC}">
              <c16:uniqueId val="{00000004-A051-4FBB-95D6-CDA1D06C6604}"/>
            </c:ext>
          </c:extLst>
        </c:ser>
        <c:ser>
          <c:idx val="8"/>
          <c:order val="4"/>
          <c:tx>
            <c:strRef>
              <c:f>'Annual Report Decade'!$C$31</c:f>
              <c:strCache>
                <c:ptCount val="1"/>
                <c:pt idx="0">
                  <c:v>E – Student wellbeing </c:v>
                </c:pt>
              </c:strCache>
            </c:strRef>
          </c:tx>
          <c:spPr>
            <a:solidFill>
              <a:schemeClr val="accent1"/>
            </a:solidFill>
            <a:ln>
              <a:noFill/>
            </a:ln>
            <a:effectLst/>
          </c:spPr>
          <c:invertIfNegative val="0"/>
          <c:dLbls>
            <c:delete val="1"/>
          </c:dLbls>
          <c:cat>
            <c:numRef>
              <c:f>'Annual Report Decade'!$D$22:$F$22</c:f>
              <c:numCache>
                <c:formatCode>General</c:formatCode>
                <c:ptCount val="3"/>
                <c:pt idx="0">
                  <c:v>2020</c:v>
                </c:pt>
                <c:pt idx="1">
                  <c:v>2021</c:v>
                </c:pt>
                <c:pt idx="2">
                  <c:v>2022</c:v>
                </c:pt>
              </c:numCache>
            </c:numRef>
          </c:cat>
          <c:val>
            <c:numRef>
              <c:f>'Annual Report Decade'!$D$31:$F$31</c:f>
              <c:numCache>
                <c:formatCode>"$"#,##0</c:formatCode>
                <c:ptCount val="3"/>
                <c:pt idx="0">
                  <c:v>1556060.67</c:v>
                </c:pt>
                <c:pt idx="1">
                  <c:v>3853842.06</c:v>
                </c:pt>
                <c:pt idx="2">
                  <c:v>5065819.96</c:v>
                </c:pt>
              </c:numCache>
            </c:numRef>
          </c:val>
          <c:extLst>
            <c:ext xmlns:c16="http://schemas.microsoft.com/office/drawing/2014/chart" uri="{C3380CC4-5D6E-409C-BE32-E72D297353CC}">
              <c16:uniqueId val="{00000005-A051-4FBB-95D6-CDA1D06C6604}"/>
            </c:ext>
          </c:extLst>
        </c:ser>
        <c:ser>
          <c:idx val="0"/>
          <c:order val="5"/>
          <c:tx>
            <c:strRef>
              <c:f>'Annual Report Decade'!$C$32</c:f>
              <c:strCache>
                <c:ptCount val="1"/>
                <c:pt idx="0">
                  <c:v>Administrative  </c:v>
                </c:pt>
              </c:strCache>
            </c:strRef>
          </c:tx>
          <c:spPr>
            <a:solidFill>
              <a:schemeClr val="accent5">
                <a:shade val="44000"/>
              </a:schemeClr>
            </a:solidFill>
            <a:ln>
              <a:noFill/>
            </a:ln>
            <a:effectLst/>
          </c:spPr>
          <c:invertIfNegative val="0"/>
          <c:dLbls>
            <c:delete val="1"/>
          </c:dLbls>
          <c:cat>
            <c:numRef>
              <c:f>'Annual Report Decade'!$D$22:$F$22</c:f>
              <c:numCache>
                <c:formatCode>General</c:formatCode>
                <c:ptCount val="3"/>
                <c:pt idx="0">
                  <c:v>2020</c:v>
                </c:pt>
                <c:pt idx="1">
                  <c:v>2021</c:v>
                </c:pt>
                <c:pt idx="2">
                  <c:v>2022</c:v>
                </c:pt>
              </c:numCache>
            </c:numRef>
          </c:cat>
          <c:val>
            <c:numRef>
              <c:f>'Annual Report Decade'!$D$32:$F$32</c:f>
              <c:numCache>
                <c:formatCode>"$"#,##0</c:formatCode>
                <c:ptCount val="3"/>
                <c:pt idx="0">
                  <c:v>533261</c:v>
                </c:pt>
                <c:pt idx="1">
                  <c:v>697177.5</c:v>
                </c:pt>
                <c:pt idx="2">
                  <c:v>815449.79</c:v>
                </c:pt>
              </c:numCache>
            </c:numRef>
          </c:val>
          <c:extLst>
            <c:ext xmlns:c16="http://schemas.microsoft.com/office/drawing/2014/chart" uri="{C3380CC4-5D6E-409C-BE32-E72D297353CC}">
              <c16:uniqueId val="{00000006-A051-4FBB-95D6-CDA1D06C6604}"/>
            </c:ext>
          </c:extLst>
        </c:ser>
        <c:dLbls>
          <c:dLblPos val="inEnd"/>
          <c:showLegendKey val="0"/>
          <c:showVal val="1"/>
          <c:showCatName val="0"/>
          <c:showSerName val="0"/>
          <c:showPercent val="0"/>
          <c:showBubbleSize val="0"/>
        </c:dLbls>
        <c:gapWidth val="65"/>
        <c:axId val="481186479"/>
        <c:axId val="481183599"/>
      </c:barChart>
      <c:catAx>
        <c:axId val="481186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83599"/>
        <c:crosses val="autoZero"/>
        <c:auto val="1"/>
        <c:lblAlgn val="ctr"/>
        <c:lblOffset val="100"/>
        <c:noMultiLvlLbl val="0"/>
      </c:catAx>
      <c:valAx>
        <c:axId val="481183599"/>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86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kern="1200" spc="0" baseline="0">
                <a:solidFill>
                  <a:sysClr val="windowText" lastClr="000000">
                    <a:lumMod val="65000"/>
                    <a:lumOff val="35000"/>
                  </a:sysClr>
                </a:solidFill>
              </a:rPr>
              <a:t>CAF regional transition assistance budget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'Program Report'!$C$39</c:f>
              <c:strCache>
                <c:ptCount val="1"/>
                <c:pt idx="0">
                  <c:v>Minimum expenditure</c:v>
                </c:pt>
              </c:strCache>
            </c:strRef>
          </c:tx>
          <c:spPr>
            <a:solidFill>
              <a:srgbClr val="002060"/>
            </a:solidFill>
            <a:ln>
              <a:noFill/>
            </a:ln>
            <a:effectLst/>
          </c:spPr>
          <c:invertIfNegative val="0"/>
          <c:cat>
            <c:strRef>
              <c:f>('Program Report'!$D$37:$M$37,'Program Report'!$Q$37)</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Report'!$D$39:$M$39,'Program Report'!$Q$39)</c:f>
              <c:numCache>
                <c:formatCode>"$"#,##0</c:formatCode>
                <c:ptCount val="11"/>
                <c:pt idx="0">
                  <c:v>18915590</c:v>
                </c:pt>
                <c:pt idx="1">
                  <c:v>19483058</c:v>
                </c:pt>
                <c:pt idx="2">
                  <c:v>20067548</c:v>
                </c:pt>
                <c:pt idx="3">
                  <c:v>20855978</c:v>
                </c:pt>
                <c:pt idx="4">
                  <c:v>21396696</c:v>
                </c:pt>
                <c:pt idx="5">
                  <c:v>22042627</c:v>
                </c:pt>
                <c:pt idx="6">
                  <c:v>22708074</c:v>
                </c:pt>
                <c:pt idx="7">
                  <c:v>23393625</c:v>
                </c:pt>
                <c:pt idx="8">
                  <c:v>24099890</c:v>
                </c:pt>
                <c:pt idx="9">
                  <c:v>24827495</c:v>
                </c:pt>
              </c:numCache>
            </c:numRef>
          </c:val>
          <c:extLst>
            <c:ext xmlns:c16="http://schemas.microsoft.com/office/drawing/2014/chart" uri="{C3380CC4-5D6E-409C-BE32-E72D297353CC}">
              <c16:uniqueId val="{00000000-A86D-4B5E-9EEC-AE3C78E23979}"/>
            </c:ext>
          </c:extLst>
        </c:ser>
        <c:ser>
          <c:idx val="0"/>
          <c:order val="1"/>
          <c:tx>
            <c:strRef>
              <c:f>'Program Report'!$C$38</c:f>
              <c:strCache>
                <c:ptCount val="1"/>
                <c:pt idx="0">
                  <c:v>Deferred minimum expenditure</c:v>
                </c:pt>
              </c:strCache>
            </c:strRef>
          </c:tx>
          <c:spPr>
            <a:solidFill>
              <a:srgbClr val="0070C0"/>
            </a:solidFill>
            <a:ln>
              <a:noFill/>
            </a:ln>
            <a:effectLst/>
          </c:spPr>
          <c:invertIfNegative val="0"/>
          <c:dPt>
            <c:idx val="10"/>
            <c:invertIfNegative val="0"/>
            <c:bubble3D val="0"/>
            <c:spPr>
              <a:solidFill>
                <a:srgbClr val="0070C0">
                  <a:alpha val="0"/>
                </a:srgbClr>
              </a:solidFill>
              <a:ln>
                <a:noFill/>
              </a:ln>
              <a:effectLst/>
            </c:spPr>
            <c:extLst>
              <c:ext xmlns:c16="http://schemas.microsoft.com/office/drawing/2014/chart" uri="{C3380CC4-5D6E-409C-BE32-E72D297353CC}">
                <c16:uniqueId val="{00000002-A86D-4B5E-9EEC-AE3C78E23979}"/>
              </c:ext>
            </c:extLst>
          </c:dPt>
          <c:cat>
            <c:strRef>
              <c:f>('Program Report'!$D$37:$M$37,'Program Report'!$Q$37)</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Report'!$D$38:$M$38,'Program Report'!$Q$38)</c:f>
              <c:numCache>
                <c:formatCode>"$"#,##0</c:formatCode>
                <c:ptCount val="11"/>
                <c:pt idx="0">
                  <c:v>0</c:v>
                </c:pt>
                <c:pt idx="1">
                  <c:v>17659473.199999999</c:v>
                </c:pt>
                <c:pt idx="2">
                  <c:v>31170819.200000003</c:v>
                </c:pt>
                <c:pt idx="3">
                  <c:v>33697306.200000003</c:v>
                </c:pt>
                <c:pt idx="4">
                  <c:v>33646519.200000003</c:v>
                </c:pt>
                <c:pt idx="5">
                  <c:v>32606001.200000003</c:v>
                </c:pt>
                <c:pt idx="6">
                  <c:v>29807680.200000003</c:v>
                </c:pt>
                <c:pt idx="7">
                  <c:v>25881425.200000003</c:v>
                </c:pt>
                <c:pt idx="8">
                  <c:v>20852495.200000003</c:v>
                </c:pt>
                <c:pt idx="9">
                  <c:v>14754654.200000003</c:v>
                </c:pt>
                <c:pt idx="10">
                  <c:v>55043215.200000003</c:v>
                </c:pt>
              </c:numCache>
            </c:numRef>
          </c:val>
          <c:extLst>
            <c:ext xmlns:c16="http://schemas.microsoft.com/office/drawing/2014/chart" uri="{C3380CC4-5D6E-409C-BE32-E72D297353CC}">
              <c16:uniqueId val="{00000003-A86D-4B5E-9EEC-AE3C78E23979}"/>
            </c:ext>
          </c:extLst>
        </c:ser>
        <c:dLbls>
          <c:showLegendKey val="0"/>
          <c:showVal val="0"/>
          <c:showCatName val="0"/>
          <c:showSerName val="0"/>
          <c:showPercent val="0"/>
          <c:showBubbleSize val="0"/>
        </c:dLbls>
        <c:gapWidth val="50"/>
        <c:overlap val="100"/>
        <c:axId val="529621696"/>
        <c:axId val="529622176"/>
      </c:barChart>
      <c:barChart>
        <c:barDir val="col"/>
        <c:grouping val="stacked"/>
        <c:varyColors val="0"/>
        <c:ser>
          <c:idx val="2"/>
          <c:order val="2"/>
          <c:tx>
            <c:strRef>
              <c:f>'Program Report'!$C$40</c:f>
              <c:strCache>
                <c:ptCount val="1"/>
                <c:pt idx="0">
                  <c:v>Expenditure Actual/Budgeted</c:v>
                </c:pt>
              </c:strCache>
            </c:strRef>
          </c:tx>
          <c:spPr>
            <a:solidFill>
              <a:srgbClr val="FFC000"/>
            </a:solidFill>
            <a:ln>
              <a:noFill/>
            </a:ln>
            <a:effectLst/>
          </c:spPr>
          <c:invertIfNegative val="0"/>
          <c:dPt>
            <c:idx val="10"/>
            <c:invertIfNegative val="0"/>
            <c:bubble3D val="0"/>
            <c:spPr>
              <a:solidFill>
                <a:srgbClr val="FFC000">
                  <a:alpha val="0"/>
                </a:srgbClr>
              </a:solidFill>
              <a:ln>
                <a:noFill/>
              </a:ln>
              <a:effectLst/>
            </c:spPr>
            <c:extLst>
              <c:ext xmlns:c16="http://schemas.microsoft.com/office/drawing/2014/chart" uri="{C3380CC4-5D6E-409C-BE32-E72D297353CC}">
                <c16:uniqueId val="{00000005-A86D-4B5E-9EEC-AE3C78E23979}"/>
              </c:ext>
            </c:extLst>
          </c:dPt>
          <c:cat>
            <c:strRef>
              <c:f>('Program Report'!$D$37:$M$37,'Program Report'!$Q$37)</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Report'!$D$40:$M$40,'Program Report'!$Q$40)</c:f>
              <c:numCache>
                <c:formatCode>"$"#,##0</c:formatCode>
                <c:ptCount val="11"/>
                <c:pt idx="0">
                  <c:v>1256116.8</c:v>
                </c:pt>
                <c:pt idx="1">
                  <c:v>5971712</c:v>
                </c:pt>
                <c:pt idx="2">
                  <c:v>17541061</c:v>
                </c:pt>
                <c:pt idx="3">
                  <c:v>20906765</c:v>
                </c:pt>
                <c:pt idx="4">
                  <c:v>22437214</c:v>
                </c:pt>
                <c:pt idx="5">
                  <c:v>24840948</c:v>
                </c:pt>
                <c:pt idx="6">
                  <c:v>26634329</c:v>
                </c:pt>
                <c:pt idx="7">
                  <c:v>28422555</c:v>
                </c:pt>
                <c:pt idx="8">
                  <c:v>30197731</c:v>
                </c:pt>
                <c:pt idx="9">
                  <c:v>46322453</c:v>
                </c:pt>
                <c:pt idx="10">
                  <c:v>55043215.200000003</c:v>
                </c:pt>
              </c:numCache>
            </c:numRef>
          </c:val>
          <c:extLst>
            <c:ext xmlns:c16="http://schemas.microsoft.com/office/drawing/2014/chart" uri="{C3380CC4-5D6E-409C-BE32-E72D297353CC}">
              <c16:uniqueId val="{00000006-A86D-4B5E-9EEC-AE3C78E23979}"/>
            </c:ext>
          </c:extLst>
        </c:ser>
        <c:dLbls>
          <c:showLegendKey val="0"/>
          <c:showVal val="0"/>
          <c:showCatName val="0"/>
          <c:showSerName val="0"/>
          <c:showPercent val="0"/>
          <c:showBubbleSize val="0"/>
        </c:dLbls>
        <c:gapWidth val="150"/>
        <c:overlap val="100"/>
        <c:axId val="520749152"/>
        <c:axId val="520747232"/>
      </c:barChart>
      <c:catAx>
        <c:axId val="52962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622176"/>
        <c:crosses val="autoZero"/>
        <c:auto val="1"/>
        <c:lblAlgn val="ctr"/>
        <c:lblOffset val="100"/>
        <c:noMultiLvlLbl val="0"/>
      </c:catAx>
      <c:valAx>
        <c:axId val="52962217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621696"/>
        <c:crosses val="autoZero"/>
        <c:crossBetween val="between"/>
      </c:valAx>
      <c:valAx>
        <c:axId val="520747232"/>
        <c:scaling>
          <c:orientation val="minMax"/>
        </c:scaling>
        <c:delete val="1"/>
        <c:axPos val="r"/>
        <c:numFmt formatCode="&quot;$&quot;#,##0" sourceLinked="1"/>
        <c:majorTickMark val="out"/>
        <c:minorTickMark val="none"/>
        <c:tickLblPos val="nextTo"/>
        <c:crossAx val="520749152"/>
        <c:crosses val="max"/>
        <c:crossBetween val="between"/>
      </c:valAx>
      <c:catAx>
        <c:axId val="520749152"/>
        <c:scaling>
          <c:orientation val="minMax"/>
        </c:scaling>
        <c:delete val="1"/>
        <c:axPos val="b"/>
        <c:numFmt formatCode="General" sourceLinked="1"/>
        <c:majorTickMark val="out"/>
        <c:minorTickMark val="none"/>
        <c:tickLblPos val="nextTo"/>
        <c:crossAx val="5207472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CAF program budget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'Program Report'!$C$13</c:f>
              <c:strCache>
                <c:ptCount val="1"/>
                <c:pt idx="0">
                  <c:v>Allocation</c:v>
                </c:pt>
              </c:strCache>
            </c:strRef>
          </c:tx>
          <c:spPr>
            <a:solidFill>
              <a:srgbClr val="002060"/>
            </a:solidFill>
            <a:ln>
              <a:noFill/>
            </a:ln>
            <a:effectLst/>
          </c:spPr>
          <c:invertIfNegative val="0"/>
          <c:cat>
            <c:strRef>
              <c:f>('Program Report'!$D$11:$M$11,'Program Report'!$Q$11)</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Report'!$D$13:$M$13,'Program Report'!$Q$13)</c:f>
              <c:numCache>
                <c:formatCode>"$"#,##0</c:formatCode>
                <c:ptCount val="11"/>
                <c:pt idx="0">
                  <c:v>102999998</c:v>
                </c:pt>
                <c:pt idx="1">
                  <c:v>106090000</c:v>
                </c:pt>
                <c:pt idx="2">
                  <c:v>109272694</c:v>
                </c:pt>
                <c:pt idx="3">
                  <c:v>113543663</c:v>
                </c:pt>
                <c:pt idx="4">
                  <c:v>116457080.58398159</c:v>
                </c:pt>
                <c:pt idx="5">
                  <c:v>119950795.29928944</c:v>
                </c:pt>
                <c:pt idx="6">
                  <c:v>123549316.59113593</c:v>
                </c:pt>
                <c:pt idx="7">
                  <c:v>127255796.46717688</c:v>
                </c:pt>
                <c:pt idx="8">
                  <c:v>131073471.18798575</c:v>
                </c:pt>
                <c:pt idx="9">
                  <c:v>135005671.30091631</c:v>
                </c:pt>
              </c:numCache>
            </c:numRef>
          </c:val>
          <c:extLst>
            <c:ext xmlns:c16="http://schemas.microsoft.com/office/drawing/2014/chart" uri="{C3380CC4-5D6E-409C-BE32-E72D297353CC}">
              <c16:uniqueId val="{00000000-47CD-4875-81C3-9E04EDE94D25}"/>
            </c:ext>
          </c:extLst>
        </c:ser>
        <c:ser>
          <c:idx val="0"/>
          <c:order val="1"/>
          <c:tx>
            <c:strRef>
              <c:f>'Program Report'!$C$12</c:f>
              <c:strCache>
                <c:ptCount val="1"/>
                <c:pt idx="0">
                  <c:v>Deferred previous years</c:v>
                </c:pt>
              </c:strCache>
            </c:strRef>
          </c:tx>
          <c:spPr>
            <a:solidFill>
              <a:srgbClr val="0070C0"/>
            </a:solidFill>
            <a:ln>
              <a:noFill/>
            </a:ln>
            <a:effectLst/>
          </c:spPr>
          <c:invertIfNegative val="0"/>
          <c:dPt>
            <c:idx val="10"/>
            <c:invertIfNegative val="0"/>
            <c:bubble3D val="0"/>
            <c:spPr>
              <a:solidFill>
                <a:srgbClr val="0070C0">
                  <a:alpha val="0"/>
                </a:srgbClr>
              </a:solidFill>
              <a:ln>
                <a:noFill/>
              </a:ln>
              <a:effectLst/>
            </c:spPr>
            <c:extLst>
              <c:ext xmlns:c16="http://schemas.microsoft.com/office/drawing/2014/chart" uri="{C3380CC4-5D6E-409C-BE32-E72D297353CC}">
                <c16:uniqueId val="{00000002-47CD-4875-81C3-9E04EDE94D25}"/>
              </c:ext>
            </c:extLst>
          </c:dPt>
          <c:cat>
            <c:strRef>
              <c:f>('Program Report'!$D$11:$M$11,'Program Report'!$Q$11)</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Report'!$D$12:$M$12,'Program Report'!$Q$12)</c:f>
              <c:numCache>
                <c:formatCode>"$"#,##0</c:formatCode>
                <c:ptCount val="11"/>
                <c:pt idx="0">
                  <c:v>0</c:v>
                </c:pt>
                <c:pt idx="1">
                  <c:v>68060267.99000001</c:v>
                </c:pt>
                <c:pt idx="2">
                  <c:v>112196454.94000001</c:v>
                </c:pt>
                <c:pt idx="3">
                  <c:v>144094498.16999999</c:v>
                </c:pt>
                <c:pt idx="4">
                  <c:v>165635898.69999999</c:v>
                </c:pt>
                <c:pt idx="5">
                  <c:v>150374377.77398157</c:v>
                </c:pt>
                <c:pt idx="6">
                  <c:v>129256823.69327104</c:v>
                </c:pt>
                <c:pt idx="7">
                  <c:v>105284756.43440697</c:v>
                </c:pt>
                <c:pt idx="8">
                  <c:v>77667875.721583843</c:v>
                </c:pt>
                <c:pt idx="9">
                  <c:v>47395665.949569583</c:v>
                </c:pt>
                <c:pt idx="10">
                  <c:v>181810979.00999999</c:v>
                </c:pt>
              </c:numCache>
            </c:numRef>
          </c:val>
          <c:extLst>
            <c:ext xmlns:c16="http://schemas.microsoft.com/office/drawing/2014/chart" uri="{C3380CC4-5D6E-409C-BE32-E72D297353CC}">
              <c16:uniqueId val="{00000003-47CD-4875-81C3-9E04EDE94D25}"/>
            </c:ext>
          </c:extLst>
        </c:ser>
        <c:ser>
          <c:idx val="2"/>
          <c:order val="2"/>
          <c:tx>
            <c:strRef>
              <c:f>'Program Report'!$C$14</c:f>
              <c:strCache>
                <c:ptCount val="1"/>
                <c:pt idx="0">
                  <c:v>Interest</c:v>
                </c:pt>
              </c:strCache>
            </c:strRef>
          </c:tx>
          <c:spPr>
            <a:solidFill>
              <a:srgbClr val="FF0000"/>
            </a:solidFill>
            <a:ln>
              <a:noFill/>
            </a:ln>
            <a:effectLst/>
          </c:spPr>
          <c:invertIfNegative val="0"/>
          <c:cat>
            <c:strRef>
              <c:f>('Program Report'!$D$11:$M$11,'Program Report'!$Q$11)</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Report'!$D$14:$M$14,'Program Report'!$Q$14)</c:f>
              <c:numCache>
                <c:formatCode>"$"#,##0</c:formatCode>
                <c:ptCount val="11"/>
                <c:pt idx="0">
                  <c:v>81056.47</c:v>
                </c:pt>
                <c:pt idx="1">
                  <c:v>287513.58999999997</c:v>
                </c:pt>
                <c:pt idx="2">
                  <c:v>1748589.82</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4-47CD-4875-81C3-9E04EDE94D25}"/>
            </c:ext>
          </c:extLst>
        </c:ser>
        <c:dLbls>
          <c:showLegendKey val="0"/>
          <c:showVal val="0"/>
          <c:showCatName val="0"/>
          <c:showSerName val="0"/>
          <c:showPercent val="0"/>
          <c:showBubbleSize val="0"/>
        </c:dLbls>
        <c:gapWidth val="50"/>
        <c:overlap val="100"/>
        <c:axId val="1036714320"/>
        <c:axId val="1036715280"/>
      </c:barChart>
      <c:barChart>
        <c:barDir val="col"/>
        <c:grouping val="stacked"/>
        <c:varyColors val="0"/>
        <c:ser>
          <c:idx val="3"/>
          <c:order val="3"/>
          <c:tx>
            <c:strRef>
              <c:f>'Program Report'!$C$15</c:f>
              <c:strCache>
                <c:ptCount val="1"/>
                <c:pt idx="0">
                  <c:v>Expenditure Actual/Budgeted</c:v>
                </c:pt>
              </c:strCache>
            </c:strRef>
          </c:tx>
          <c:spPr>
            <a:solidFill>
              <a:srgbClr val="FFC000"/>
            </a:solidFill>
            <a:ln>
              <a:noFill/>
            </a:ln>
            <a:effectLst/>
          </c:spPr>
          <c:invertIfNegative val="0"/>
          <c:dPt>
            <c:idx val="10"/>
            <c:invertIfNegative val="0"/>
            <c:bubble3D val="0"/>
            <c:spPr>
              <a:solidFill>
                <a:srgbClr val="FFC000">
                  <a:alpha val="0"/>
                </a:srgbClr>
              </a:solidFill>
              <a:ln>
                <a:noFill/>
              </a:ln>
              <a:effectLst/>
            </c:spPr>
            <c:extLst>
              <c:ext xmlns:c16="http://schemas.microsoft.com/office/drawing/2014/chart" uri="{C3380CC4-5D6E-409C-BE32-E72D297353CC}">
                <c16:uniqueId val="{00000006-47CD-4875-81C3-9E04EDE94D25}"/>
              </c:ext>
            </c:extLst>
          </c:dPt>
          <c:cat>
            <c:strRef>
              <c:f>('Program Report'!$D$11:$M$11,'Program Report'!$Q$11)</c:f>
              <c:strCache>
                <c:ptCount val="10"/>
                <c:pt idx="0">
                  <c:v>Actual 2020</c:v>
                </c:pt>
                <c:pt idx="1">
                  <c:v>Actual 2021</c:v>
                </c:pt>
                <c:pt idx="2">
                  <c:v>Actual 2022</c:v>
                </c:pt>
                <c:pt idx="3">
                  <c:v>Budget 2023</c:v>
                </c:pt>
                <c:pt idx="4">
                  <c:v>Budget 2024</c:v>
                </c:pt>
                <c:pt idx="5">
                  <c:v>Budget 2025</c:v>
                </c:pt>
                <c:pt idx="6">
                  <c:v>Budget 2026</c:v>
                </c:pt>
                <c:pt idx="7">
                  <c:v>Budget 2027</c:v>
                </c:pt>
                <c:pt idx="8">
                  <c:v>Budget 2028</c:v>
                </c:pt>
                <c:pt idx="9">
                  <c:v>Budget 2029</c:v>
                </c:pt>
              </c:strCache>
            </c:strRef>
          </c:cat>
          <c:val>
            <c:numRef>
              <c:f>('Program Report'!$D$15:$M$15,'Program Report'!$Q$15)</c:f>
              <c:numCache>
                <c:formatCode>"$"#,##0</c:formatCode>
                <c:ptCount val="11"/>
                <c:pt idx="0">
                  <c:v>35020786.479999997</c:v>
                </c:pt>
                <c:pt idx="1">
                  <c:v>62241326.640000001</c:v>
                </c:pt>
                <c:pt idx="2">
                  <c:v>79123240.590000004</c:v>
                </c:pt>
                <c:pt idx="3">
                  <c:v>92002262.469999999</c:v>
                </c:pt>
                <c:pt idx="4">
                  <c:v>131718601.51000001</c:v>
                </c:pt>
                <c:pt idx="5">
                  <c:v>141068349.38</c:v>
                </c:pt>
                <c:pt idx="6">
                  <c:v>147521383.84999999</c:v>
                </c:pt>
                <c:pt idx="7">
                  <c:v>154872677.18000001</c:v>
                </c:pt>
                <c:pt idx="8">
                  <c:v>161345680.96000001</c:v>
                </c:pt>
                <c:pt idx="9">
                  <c:v>181810979.00999999</c:v>
                </c:pt>
                <c:pt idx="10">
                  <c:v>282092979.28398156</c:v>
                </c:pt>
              </c:numCache>
            </c:numRef>
          </c:val>
          <c:extLst>
            <c:ext xmlns:c16="http://schemas.microsoft.com/office/drawing/2014/chart" uri="{C3380CC4-5D6E-409C-BE32-E72D297353CC}">
              <c16:uniqueId val="{00000007-47CD-4875-81C3-9E04EDE94D25}"/>
            </c:ext>
          </c:extLst>
        </c:ser>
        <c:dLbls>
          <c:showLegendKey val="0"/>
          <c:showVal val="0"/>
          <c:showCatName val="0"/>
          <c:showSerName val="0"/>
          <c:showPercent val="0"/>
          <c:showBubbleSize val="0"/>
        </c:dLbls>
        <c:gapWidth val="150"/>
        <c:overlap val="100"/>
        <c:axId val="427987552"/>
        <c:axId val="427986592"/>
      </c:barChart>
      <c:catAx>
        <c:axId val="103671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715280"/>
        <c:crosses val="autoZero"/>
        <c:auto val="1"/>
        <c:lblAlgn val="ctr"/>
        <c:lblOffset val="100"/>
        <c:noMultiLvlLbl val="0"/>
      </c:catAx>
      <c:valAx>
        <c:axId val="103671528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714320"/>
        <c:crosses val="autoZero"/>
        <c:crossBetween val="between"/>
      </c:valAx>
      <c:valAx>
        <c:axId val="427986592"/>
        <c:scaling>
          <c:orientation val="minMax"/>
        </c:scaling>
        <c:delete val="1"/>
        <c:axPos val="r"/>
        <c:numFmt formatCode="&quot;$&quot;#,##0" sourceLinked="1"/>
        <c:majorTickMark val="out"/>
        <c:minorTickMark val="none"/>
        <c:tickLblPos val="nextTo"/>
        <c:crossAx val="427987552"/>
        <c:crosses val="max"/>
        <c:crossBetween val="between"/>
      </c:valAx>
      <c:catAx>
        <c:axId val="427987552"/>
        <c:scaling>
          <c:orientation val="minMax"/>
        </c:scaling>
        <c:delete val="1"/>
        <c:axPos val="b"/>
        <c:numFmt formatCode="General" sourceLinked="1"/>
        <c:majorTickMark val="out"/>
        <c:minorTickMark val="none"/>
        <c:tickLblPos val="nextTo"/>
        <c:crossAx val="427986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effectLst/>
              </a:rPr>
              <a:t>Distributed CAF expenditure </a:t>
            </a:r>
          </a:p>
          <a:p>
            <a:pPr>
              <a:defRPr/>
            </a:pPr>
            <a:r>
              <a:rPr lang="en-AU" sz="1400" b="0" i="0" u="none" strike="noStrike" baseline="0">
                <a:effectLst/>
              </a:rPr>
              <a:t>by priority in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'Distributed Funds'!$D$9</c:f>
              <c:strCache>
                <c:ptCount val="1"/>
                <c:pt idx="0">
                  <c:v>Expenditure 2022</c:v>
                </c:pt>
              </c:strCache>
            </c:strRef>
          </c:tx>
          <c:spPr>
            <a:solidFill>
              <a:srgbClr val="002060"/>
            </a:solidFill>
            <a:ln>
              <a:noFill/>
            </a:ln>
            <a:effectLst/>
          </c:spPr>
          <c:invertIfNegative val="0"/>
          <c:cat>
            <c:strRef>
              <c:f>'Distributed Funds'!$C$20:$C$27</c:f>
              <c:strCache>
                <c:ptCount val="8"/>
                <c:pt idx="0">
                  <c:v>Priority A
Choice and affordability</c:v>
                </c:pt>
                <c:pt idx="1">
                  <c:v>Priority B
Transition assistance - regional</c:v>
                </c:pt>
                <c:pt idx="2">
                  <c:v>Priority B
Transition assistance - former NAAF schools</c:v>
                </c:pt>
                <c:pt idx="3">
                  <c:v>Priority B
Transition assistance - general</c:v>
                </c:pt>
                <c:pt idx="4">
                  <c:v>Priority C
Special circumstances</c:v>
                </c:pt>
                <c:pt idx="5">
                  <c:v>Priority D
Strengthening outcomes for schools</c:v>
                </c:pt>
                <c:pt idx="6">
                  <c:v>Priority E
Student wellbeing and support</c:v>
                </c:pt>
                <c:pt idx="7">
                  <c:v>All priorities</c:v>
                </c:pt>
              </c:strCache>
            </c:strRef>
          </c:cat>
          <c:val>
            <c:numRef>
              <c:f>'Distributed Funds'!$D$10:$D$16</c:f>
              <c:numCache>
                <c:formatCode>"$"#,##0</c:formatCode>
                <c:ptCount val="7"/>
                <c:pt idx="0">
                  <c:v>27740143.318790786</c:v>
                </c:pt>
                <c:pt idx="1">
                  <c:v>17211428.853964701</c:v>
                </c:pt>
                <c:pt idx="2">
                  <c:v>4540489.0329999998</c:v>
                </c:pt>
                <c:pt idx="3">
                  <c:v>11482645.927000007</c:v>
                </c:pt>
                <c:pt idx="4">
                  <c:v>114653</c:v>
                </c:pt>
                <c:pt idx="5">
                  <c:v>5620313</c:v>
                </c:pt>
                <c:pt idx="6">
                  <c:v>527004</c:v>
                </c:pt>
              </c:numCache>
            </c:numRef>
          </c:val>
          <c:extLst>
            <c:ext xmlns:c16="http://schemas.microsoft.com/office/drawing/2014/chart" uri="{C3380CC4-5D6E-409C-BE32-E72D297353CC}">
              <c16:uniqueId val="{00000000-96A1-4124-B639-65FE470BD2F7}"/>
            </c:ext>
          </c:extLst>
        </c:ser>
        <c:dLbls>
          <c:showLegendKey val="0"/>
          <c:showVal val="0"/>
          <c:showCatName val="0"/>
          <c:showSerName val="0"/>
          <c:showPercent val="0"/>
          <c:showBubbleSize val="0"/>
        </c:dLbls>
        <c:gapWidth val="50"/>
        <c:overlap val="-27"/>
        <c:axId val="1775362303"/>
        <c:axId val="1775363743"/>
      </c:barChart>
      <c:catAx>
        <c:axId val="177536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363743"/>
        <c:crosses val="autoZero"/>
        <c:auto val="1"/>
        <c:lblAlgn val="ctr"/>
        <c:lblOffset val="100"/>
        <c:noMultiLvlLbl val="0"/>
      </c:catAx>
      <c:valAx>
        <c:axId val="1775363743"/>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36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031847-65ec-4d5e-82c1-7ec85296dd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59F1CC4EB89D4295BCD59391A8B0F6" ma:contentTypeVersion="15" ma:contentTypeDescription="Create a new document." ma:contentTypeScope="" ma:versionID="fb8c14103a9b4fd9a70fe1dc15327f72">
  <xsd:schema xmlns:xsd="http://www.w3.org/2001/XMLSchema" xmlns:xs="http://www.w3.org/2001/XMLSchema" xmlns:p="http://schemas.microsoft.com/office/2006/metadata/properties" xmlns:ns3="09031847-65ec-4d5e-82c1-7ec85296dd01" xmlns:ns4="21bcb0b2-2c2b-4897-9200-de5c397075d5" targetNamespace="http://schemas.microsoft.com/office/2006/metadata/properties" ma:root="true" ma:fieldsID="36085487c6955b5250260aec20b90a51" ns3:_="" ns4:_="">
    <xsd:import namespace="09031847-65ec-4d5e-82c1-7ec85296dd01"/>
    <xsd:import namespace="21bcb0b2-2c2b-4897-9200-de5c397075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31847-65ec-4d5e-82c1-7ec85296d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cb0b2-2c2b-4897-9200-de5c397075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6F9E729D-026F-4FEE-BF1A-B478E77BFB8D}">
  <ds:schemaRefs>
    <ds:schemaRef ds:uri="http://schemas.microsoft.com/sharepoint/v3/contenttype/forms"/>
  </ds:schemaRefs>
</ds:datastoreItem>
</file>

<file path=customXml/itemProps3.xml><?xml version="1.0" encoding="utf-8"?>
<ds:datastoreItem xmlns:ds="http://schemas.openxmlformats.org/officeDocument/2006/customXml" ds:itemID="{5022C99A-337F-4181-9C4D-78C9AB0B9829}">
  <ds:schemaRefs>
    <ds:schemaRef ds:uri="http://schemas.openxmlformats.org/package/2006/metadata/core-properties"/>
    <ds:schemaRef ds:uri="http://schemas.microsoft.com/office/2006/metadata/properties"/>
    <ds:schemaRef ds:uri="http://purl.org/dc/dcmitype/"/>
    <ds:schemaRef ds:uri="09031847-65ec-4d5e-82c1-7ec85296dd01"/>
    <ds:schemaRef ds:uri="http://purl.org/dc/terms/"/>
    <ds:schemaRef ds:uri="http://schemas.microsoft.com/office/infopath/2007/PartnerControls"/>
    <ds:schemaRef ds:uri="http://schemas.microsoft.com/office/2006/documentManagement/types"/>
    <ds:schemaRef ds:uri="21bcb0b2-2c2b-4897-9200-de5c397075d5"/>
    <ds:schemaRef ds:uri="http://www.w3.org/XML/1998/namespace"/>
    <ds:schemaRef ds:uri="http://purl.org/dc/elements/1.1/"/>
  </ds:schemaRefs>
</ds:datastoreItem>
</file>

<file path=customXml/itemProps4.xml><?xml version="1.0" encoding="utf-8"?>
<ds:datastoreItem xmlns:ds="http://schemas.openxmlformats.org/officeDocument/2006/customXml" ds:itemID="{2AAADD81-8BA8-42F2-86C0-051F7359D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31847-65ec-4d5e-82c1-7ec85296dd01"/>
    <ds:schemaRef ds:uri="21bcb0b2-2c2b-4897-9200-de5c39707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4023</Words>
  <Characters>22935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Choice and Affordability Fund 2021 Annual Report</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and Affordability Fund 2021 Annual Report</dc:title>
  <dc:subject/>
  <dc:creator/>
  <cp:keywords/>
  <dc:description/>
  <cp:lastModifiedBy/>
  <cp:revision>1</cp:revision>
  <dcterms:created xsi:type="dcterms:W3CDTF">2023-11-23T00:17:00Z</dcterms:created>
  <dcterms:modified xsi:type="dcterms:W3CDTF">2024-01-17T23:26:00Z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0x0101000A59F1CC4EB89D4295BCD59391A8B0F6</vt:lpwstr>
  </property>
  <property fmtid="{D5CDD505-2E9C-101B-9397-08002B2CF9AE}" pid="3" name="MSIP_Label_79d889eb-932f-4752-8739-64d25806ef64_Enabled">
    <vt:lpwstr>true</vt:lpwstr>
  </property>
  <property fmtid="{D5CDD505-2E9C-101B-9397-08002B2CF9AE}" pid="4" name="MSIP_Label_79d889eb-932f-4752-8739-64d25806ef64_SetDate">
    <vt:lpwstr>2023-11-29T03:22:52Z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0b7a8256-9cba-49dd-8b73-c00e83c50f46</vt:lpwstr>
  </property>
  <property fmtid="{D5CDD505-2E9C-101B-9397-08002B2CF9AE}" pid="9" name="MSIP_Label_79d889eb-932f-4752-8739-64d25806ef64_ContentBits">
    <vt:lpwstr>0</vt:lpwstr>
  </property>
</Properties>
</file>