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5E4DCA15" w:rsidR="00107DD5" w:rsidRDefault="00221D8F" w:rsidP="00CA4815">
      <w:r w:rsidRPr="00CA4815">
        <w:rPr>
          <w:b/>
          <w:bCs/>
          <w:noProof/>
        </w:rPr>
        <w:drawing>
          <wp:anchor distT="0" distB="0" distL="114300" distR="114300" simplePos="0" relativeHeight="251658240" behindDoc="1" locked="1" layoutInCell="1" allowOverlap="1" wp14:anchorId="4A1B45CD" wp14:editId="4BC02CB6">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00166DE0" w14:textId="462E101A" w:rsidR="00221D8F" w:rsidRPr="009C7DDA" w:rsidRDefault="007F576C" w:rsidP="00893A34">
      <w:pPr>
        <w:pStyle w:val="Heading1"/>
        <w:rPr>
          <w:rFonts w:asciiTheme="minorHAnsi" w:hAnsiTheme="minorHAnsi" w:cstheme="minorHAnsi"/>
        </w:rPr>
      </w:pPr>
      <w:bookmarkStart w:id="0" w:name="_Toc126923146"/>
      <w:bookmarkStart w:id="1" w:name="_Toc126923157"/>
      <w:bookmarkEnd w:id="0"/>
      <w:bookmarkEnd w:id="1"/>
      <w:r>
        <w:rPr>
          <w:rFonts w:asciiTheme="minorHAnsi" w:hAnsiTheme="minorHAnsi" w:cstheme="minorHAnsi"/>
          <w:b w:val="0"/>
          <w:sz w:val="56"/>
          <w:szCs w:val="28"/>
          <w:lang w:eastAsia="zh-CN"/>
        </w:rPr>
        <w:t xml:space="preserve">Changes to China’s continuing education </w:t>
      </w:r>
    </w:p>
    <w:p w14:paraId="75450290" w14:textId="1F33D767" w:rsidR="00202EF2" w:rsidRDefault="006B4E6E" w:rsidP="002B1CAE">
      <w:pPr>
        <w:pStyle w:val="Heading3"/>
        <w:spacing w:before="120" w:after="120"/>
      </w:pPr>
      <w:r>
        <w:t xml:space="preserve">(Information as </w:t>
      </w:r>
      <w:proofErr w:type="gramStart"/>
      <w:r>
        <w:t>at</w:t>
      </w:r>
      <w:proofErr w:type="gramEnd"/>
      <w:r>
        <w:t xml:space="preserve"> </w:t>
      </w:r>
      <w:r w:rsidR="00BA6034">
        <w:rPr>
          <w:lang w:eastAsia="zh-CN"/>
        </w:rPr>
        <w:t>January 2024</w:t>
      </w:r>
      <w:r w:rsidR="00A72B48">
        <w:t>)</w:t>
      </w:r>
    </w:p>
    <w:p w14:paraId="3FD7F4CD" w14:textId="559EE3BE" w:rsidR="00EA18C2" w:rsidRDefault="000134C0" w:rsidP="00FD2BB7">
      <w:pPr>
        <w:rPr>
          <w:bCs/>
          <w:lang w:eastAsia="zh-CN"/>
        </w:rPr>
      </w:pPr>
      <w:r>
        <w:rPr>
          <w:bCs/>
          <w:lang w:eastAsia="zh-CN"/>
        </w:rPr>
        <w:t>Continuing education has been part of China’s formal high</w:t>
      </w:r>
      <w:r w:rsidR="007D062D">
        <w:rPr>
          <w:bCs/>
          <w:lang w:eastAsia="zh-CN"/>
        </w:rPr>
        <w:t xml:space="preserve">er education since </w:t>
      </w:r>
      <w:r w:rsidR="00CD1D0E">
        <w:rPr>
          <w:bCs/>
          <w:lang w:eastAsia="zh-CN"/>
        </w:rPr>
        <w:t xml:space="preserve">the </w:t>
      </w:r>
      <w:r w:rsidR="008577B9">
        <w:rPr>
          <w:bCs/>
          <w:lang w:eastAsia="zh-CN"/>
        </w:rPr>
        <w:t xml:space="preserve">early 1950s and </w:t>
      </w:r>
      <w:r w:rsidR="00CD1D0E">
        <w:rPr>
          <w:bCs/>
          <w:lang w:eastAsia="zh-CN"/>
        </w:rPr>
        <w:t xml:space="preserve">has </w:t>
      </w:r>
      <w:r w:rsidR="00F34516">
        <w:rPr>
          <w:bCs/>
          <w:lang w:eastAsia="zh-CN"/>
        </w:rPr>
        <w:t xml:space="preserve">served as a means of offering alternative educational pathways to individuals unable to commit to full-time </w:t>
      </w:r>
      <w:r w:rsidR="007D0A9C">
        <w:rPr>
          <w:bCs/>
          <w:lang w:eastAsia="zh-CN"/>
        </w:rPr>
        <w:t xml:space="preserve">higher education </w:t>
      </w:r>
      <w:r w:rsidR="00F34516">
        <w:rPr>
          <w:bCs/>
          <w:lang w:eastAsia="zh-CN"/>
        </w:rPr>
        <w:t>programs</w:t>
      </w:r>
      <w:r w:rsidR="008577B9">
        <w:rPr>
          <w:bCs/>
          <w:lang w:eastAsia="zh-CN"/>
        </w:rPr>
        <w:t xml:space="preserve">. </w:t>
      </w:r>
    </w:p>
    <w:p w14:paraId="538F49D3" w14:textId="28BF15FB" w:rsidR="00F34516" w:rsidRDefault="00600DDF" w:rsidP="00FD2BB7">
      <w:pPr>
        <w:rPr>
          <w:bCs/>
          <w:lang w:eastAsia="zh-CN"/>
        </w:rPr>
      </w:pPr>
      <w:r>
        <w:rPr>
          <w:bCs/>
          <w:lang w:eastAsia="zh-CN"/>
        </w:rPr>
        <w:t>In 2022,</w:t>
      </w:r>
      <w:r w:rsidR="00F34516">
        <w:rPr>
          <w:bCs/>
          <w:lang w:eastAsia="zh-CN"/>
        </w:rPr>
        <w:t xml:space="preserve"> China initiated reform </w:t>
      </w:r>
      <w:r w:rsidR="008577B9">
        <w:rPr>
          <w:bCs/>
          <w:lang w:eastAsia="zh-CN"/>
        </w:rPr>
        <w:t xml:space="preserve">of its </w:t>
      </w:r>
      <w:r w:rsidR="00F34516">
        <w:rPr>
          <w:bCs/>
          <w:lang w:eastAsia="zh-CN"/>
        </w:rPr>
        <w:t>continuing education sector</w:t>
      </w:r>
      <w:r w:rsidR="002A3168">
        <w:rPr>
          <w:bCs/>
          <w:lang w:eastAsia="zh-CN"/>
        </w:rPr>
        <w:t xml:space="preserve"> intended to </w:t>
      </w:r>
      <w:r w:rsidR="006D4711">
        <w:rPr>
          <w:bCs/>
          <w:lang w:eastAsia="zh-CN"/>
        </w:rPr>
        <w:t>align it with the evolving needs of the workforce</w:t>
      </w:r>
      <w:r w:rsidR="00B749A4">
        <w:rPr>
          <w:bCs/>
          <w:lang w:eastAsia="zh-CN"/>
        </w:rPr>
        <w:t>,</w:t>
      </w:r>
      <w:r w:rsidR="006D4711">
        <w:rPr>
          <w:bCs/>
          <w:lang w:eastAsia="zh-CN"/>
        </w:rPr>
        <w:t xml:space="preserve"> </w:t>
      </w:r>
      <w:r w:rsidR="00CD1D0E">
        <w:rPr>
          <w:bCs/>
          <w:lang w:eastAsia="zh-CN"/>
        </w:rPr>
        <w:t xml:space="preserve">as well as </w:t>
      </w:r>
      <w:r w:rsidR="006D4711">
        <w:rPr>
          <w:bCs/>
          <w:lang w:eastAsia="zh-CN"/>
        </w:rPr>
        <w:t>strengthen</w:t>
      </w:r>
      <w:r w:rsidR="00CD1D0E">
        <w:rPr>
          <w:bCs/>
          <w:lang w:eastAsia="zh-CN"/>
        </w:rPr>
        <w:t>ing</w:t>
      </w:r>
      <w:r w:rsidR="006D4711">
        <w:rPr>
          <w:bCs/>
          <w:lang w:eastAsia="zh-CN"/>
        </w:rPr>
        <w:t xml:space="preserve"> </w:t>
      </w:r>
      <w:r w:rsidR="00CD1D0E">
        <w:rPr>
          <w:bCs/>
          <w:lang w:eastAsia="zh-CN"/>
        </w:rPr>
        <w:t xml:space="preserve">the </w:t>
      </w:r>
      <w:r w:rsidR="00C80FB1">
        <w:rPr>
          <w:bCs/>
          <w:lang w:eastAsia="zh-CN"/>
        </w:rPr>
        <w:t xml:space="preserve">regulatory framework </w:t>
      </w:r>
      <w:r w:rsidR="006D4711">
        <w:rPr>
          <w:bCs/>
          <w:lang w:eastAsia="zh-CN"/>
        </w:rPr>
        <w:t xml:space="preserve">and supervision </w:t>
      </w:r>
      <w:r w:rsidR="00CD1D0E">
        <w:rPr>
          <w:bCs/>
          <w:lang w:eastAsia="zh-CN"/>
        </w:rPr>
        <w:t xml:space="preserve">of the sector </w:t>
      </w:r>
      <w:r w:rsidR="006D4711">
        <w:rPr>
          <w:bCs/>
          <w:lang w:eastAsia="zh-CN"/>
        </w:rPr>
        <w:t xml:space="preserve">to enhance education quality. </w:t>
      </w:r>
      <w:r w:rsidR="00BA6034">
        <w:rPr>
          <w:bCs/>
          <w:lang w:eastAsia="zh-CN"/>
        </w:rPr>
        <w:t>However, while d</w:t>
      </w:r>
      <w:r w:rsidR="006A7658">
        <w:rPr>
          <w:bCs/>
          <w:lang w:eastAsia="zh-CN"/>
        </w:rPr>
        <w:t>igital</w:t>
      </w:r>
      <w:r w:rsidR="006D4711">
        <w:rPr>
          <w:bCs/>
          <w:lang w:eastAsia="zh-CN"/>
        </w:rPr>
        <w:t xml:space="preserve"> transformation is high on the</w:t>
      </w:r>
      <w:r w:rsidR="00DC1930">
        <w:rPr>
          <w:bCs/>
          <w:lang w:eastAsia="zh-CN"/>
        </w:rPr>
        <w:t xml:space="preserve"> agenda</w:t>
      </w:r>
      <w:r w:rsidR="00CB1EF4">
        <w:rPr>
          <w:bCs/>
          <w:lang w:eastAsia="zh-CN"/>
        </w:rPr>
        <w:t xml:space="preserve">, programs that are </w:t>
      </w:r>
      <w:r w:rsidR="00BB2CC7">
        <w:rPr>
          <w:bCs/>
          <w:lang w:eastAsia="zh-CN"/>
        </w:rPr>
        <w:t>delivered entirely</w:t>
      </w:r>
      <w:r w:rsidR="001E34A5">
        <w:rPr>
          <w:bCs/>
          <w:lang w:eastAsia="zh-CN"/>
        </w:rPr>
        <w:t xml:space="preserve"> </w:t>
      </w:r>
      <w:r w:rsidR="00CB1EF4">
        <w:rPr>
          <w:bCs/>
          <w:lang w:eastAsia="zh-CN"/>
        </w:rPr>
        <w:t xml:space="preserve">online </w:t>
      </w:r>
      <w:r w:rsidR="00890934">
        <w:rPr>
          <w:bCs/>
          <w:lang w:eastAsia="zh-CN"/>
        </w:rPr>
        <w:t xml:space="preserve">may </w:t>
      </w:r>
      <w:r w:rsidR="0026355D">
        <w:rPr>
          <w:bCs/>
          <w:lang w:eastAsia="zh-CN"/>
        </w:rPr>
        <w:t xml:space="preserve">not be able to continue going </w:t>
      </w:r>
      <w:r w:rsidR="000A61D0">
        <w:rPr>
          <w:bCs/>
          <w:lang w:eastAsia="zh-CN"/>
        </w:rPr>
        <w:t>forward</w:t>
      </w:r>
      <w:r w:rsidR="00EE60D2">
        <w:rPr>
          <w:bCs/>
          <w:lang w:eastAsia="zh-CN"/>
        </w:rPr>
        <w:t>.</w:t>
      </w:r>
    </w:p>
    <w:p w14:paraId="0510976D" w14:textId="0C574DC4" w:rsidR="004800D5" w:rsidRDefault="008221BF" w:rsidP="004800D5">
      <w:pPr>
        <w:pStyle w:val="Heading2"/>
        <w:spacing w:before="0"/>
        <w:rPr>
          <w:lang w:eastAsia="zh-CN"/>
        </w:rPr>
      </w:pPr>
      <w:r>
        <w:rPr>
          <w:rFonts w:hint="eastAsia"/>
          <w:lang w:eastAsia="zh-CN"/>
        </w:rPr>
        <w:t>Conti</w:t>
      </w:r>
      <w:r>
        <w:rPr>
          <w:lang w:eastAsia="zh-CN"/>
        </w:rPr>
        <w:t xml:space="preserve">nuing </w:t>
      </w:r>
      <w:r w:rsidR="008577B9">
        <w:rPr>
          <w:lang w:eastAsia="zh-CN"/>
        </w:rPr>
        <w:t>education</w:t>
      </w:r>
    </w:p>
    <w:p w14:paraId="51669A5E" w14:textId="4FFC4D58" w:rsidR="00AF4F59" w:rsidRPr="000C43C6" w:rsidRDefault="004800D5" w:rsidP="000251ED">
      <w:pPr>
        <w:rPr>
          <w:bCs/>
          <w:lang w:eastAsia="zh-CN"/>
        </w:rPr>
      </w:pPr>
      <w:r>
        <w:rPr>
          <w:bCs/>
          <w:lang w:eastAsia="zh-CN"/>
        </w:rPr>
        <w:t xml:space="preserve">Higher education in China </w:t>
      </w:r>
      <w:r w:rsidR="00BA1E79">
        <w:rPr>
          <w:bCs/>
          <w:lang w:eastAsia="zh-CN"/>
        </w:rPr>
        <w:t xml:space="preserve">is </w:t>
      </w:r>
      <w:r>
        <w:rPr>
          <w:bCs/>
          <w:lang w:eastAsia="zh-CN"/>
        </w:rPr>
        <w:t>separated into “</w:t>
      </w:r>
      <w:r w:rsidRPr="00BA1E79">
        <w:rPr>
          <w:b/>
          <w:lang w:eastAsia="zh-CN"/>
        </w:rPr>
        <w:t>regular higher education</w:t>
      </w:r>
      <w:r>
        <w:rPr>
          <w:bCs/>
          <w:lang w:eastAsia="zh-CN"/>
        </w:rPr>
        <w:t xml:space="preserve">” and </w:t>
      </w:r>
      <w:r w:rsidR="005B0412">
        <w:rPr>
          <w:bCs/>
          <w:lang w:eastAsia="zh-CN"/>
        </w:rPr>
        <w:t>various forms of continuing education</w:t>
      </w:r>
      <w:r>
        <w:rPr>
          <w:bCs/>
          <w:lang w:eastAsia="zh-CN"/>
        </w:rPr>
        <w:t xml:space="preserve">. Regular higher education refers </w:t>
      </w:r>
      <w:r w:rsidR="00A94BFB">
        <w:rPr>
          <w:bCs/>
          <w:lang w:eastAsia="zh-CN"/>
        </w:rPr>
        <w:t>to</w:t>
      </w:r>
      <w:r>
        <w:rPr>
          <w:bCs/>
          <w:lang w:eastAsia="zh-CN"/>
        </w:rPr>
        <w:t xml:space="preserve"> the traditional pathway whereby </w:t>
      </w:r>
      <w:proofErr w:type="gramStart"/>
      <w:r>
        <w:rPr>
          <w:bCs/>
          <w:lang w:eastAsia="zh-CN"/>
        </w:rPr>
        <w:t>students</w:t>
      </w:r>
      <w:proofErr w:type="gramEnd"/>
      <w:r>
        <w:rPr>
          <w:bCs/>
          <w:lang w:eastAsia="zh-CN"/>
        </w:rPr>
        <w:t xml:space="preserve"> complete </w:t>
      </w:r>
      <w:r w:rsidR="00341C4C">
        <w:rPr>
          <w:bCs/>
          <w:lang w:eastAsia="zh-CN"/>
        </w:rPr>
        <w:t>higher education</w:t>
      </w:r>
      <w:r>
        <w:rPr>
          <w:bCs/>
          <w:lang w:eastAsia="zh-CN"/>
        </w:rPr>
        <w:t xml:space="preserve"> program</w:t>
      </w:r>
      <w:r w:rsidR="00CD1D0E">
        <w:rPr>
          <w:bCs/>
          <w:lang w:eastAsia="zh-CN"/>
        </w:rPr>
        <w:t>s</w:t>
      </w:r>
      <w:r>
        <w:rPr>
          <w:bCs/>
          <w:lang w:eastAsia="zh-CN"/>
        </w:rPr>
        <w:t xml:space="preserve"> through full-time </w:t>
      </w:r>
      <w:r w:rsidR="00CD1D0E">
        <w:rPr>
          <w:bCs/>
          <w:lang w:eastAsia="zh-CN"/>
        </w:rPr>
        <w:t>study</w:t>
      </w:r>
      <w:r>
        <w:rPr>
          <w:bCs/>
          <w:lang w:eastAsia="zh-CN"/>
        </w:rPr>
        <w:t xml:space="preserve">. </w:t>
      </w:r>
      <w:r w:rsidR="005B0412" w:rsidRPr="00B438BA">
        <w:rPr>
          <w:b/>
          <w:lang w:eastAsia="zh-CN"/>
        </w:rPr>
        <w:t>Cont</w:t>
      </w:r>
      <w:r w:rsidR="00903498" w:rsidRPr="00B438BA">
        <w:rPr>
          <w:b/>
          <w:lang w:eastAsia="zh-CN"/>
        </w:rPr>
        <w:t>inu</w:t>
      </w:r>
      <w:r w:rsidR="005B0412" w:rsidRPr="00B438BA">
        <w:rPr>
          <w:b/>
          <w:lang w:eastAsia="zh-CN"/>
        </w:rPr>
        <w:t xml:space="preserve">ing </w:t>
      </w:r>
      <w:r w:rsidRPr="00B438BA">
        <w:rPr>
          <w:b/>
          <w:lang w:eastAsia="zh-CN"/>
        </w:rPr>
        <w:t>education</w:t>
      </w:r>
      <w:r w:rsidR="00B0159E">
        <w:rPr>
          <w:bCs/>
          <w:lang w:eastAsia="zh-CN"/>
        </w:rPr>
        <w:t xml:space="preserve">, which accounts for roughly one </w:t>
      </w:r>
      <w:r w:rsidR="00CD1D0E">
        <w:rPr>
          <w:bCs/>
          <w:lang w:eastAsia="zh-CN"/>
        </w:rPr>
        <w:t xml:space="preserve">quarter </w:t>
      </w:r>
      <w:r w:rsidR="00B0159E">
        <w:rPr>
          <w:bCs/>
          <w:lang w:eastAsia="zh-CN"/>
        </w:rPr>
        <w:t>of higher education capacity</w:t>
      </w:r>
      <w:r w:rsidR="00B0159E">
        <w:rPr>
          <w:rStyle w:val="EndnoteReference"/>
          <w:bCs/>
          <w:lang w:eastAsia="zh-CN"/>
        </w:rPr>
        <w:endnoteReference w:id="1"/>
      </w:r>
      <w:r w:rsidR="00B0159E">
        <w:rPr>
          <w:bCs/>
          <w:lang w:eastAsia="zh-CN"/>
        </w:rPr>
        <w:t>,</w:t>
      </w:r>
      <w:r>
        <w:rPr>
          <w:bCs/>
          <w:lang w:eastAsia="zh-CN"/>
        </w:rPr>
        <w:t xml:space="preserve"> </w:t>
      </w:r>
      <w:r w:rsidR="008A2515">
        <w:rPr>
          <w:bCs/>
          <w:lang w:eastAsia="zh-CN"/>
        </w:rPr>
        <w:t>is</w:t>
      </w:r>
      <w:r w:rsidR="007C5BDD">
        <w:rPr>
          <w:bCs/>
          <w:lang w:eastAsia="zh-CN"/>
        </w:rPr>
        <w:t xml:space="preserve"> </w:t>
      </w:r>
      <w:r w:rsidR="004D0445">
        <w:rPr>
          <w:bCs/>
          <w:lang w:eastAsia="zh-CN"/>
        </w:rPr>
        <w:t xml:space="preserve">various forms </w:t>
      </w:r>
      <w:r w:rsidR="004D0445" w:rsidRPr="007C5BDD">
        <w:rPr>
          <w:bCs/>
          <w:color w:val="000000" w:themeColor="text1"/>
          <w:lang w:eastAsia="zh-CN"/>
        </w:rPr>
        <w:t xml:space="preserve">of </w:t>
      </w:r>
      <w:r w:rsidR="00903498">
        <w:rPr>
          <w:bCs/>
          <w:color w:val="000000" w:themeColor="text1"/>
          <w:lang w:eastAsia="zh-CN"/>
        </w:rPr>
        <w:t xml:space="preserve">full-time or </w:t>
      </w:r>
      <w:r w:rsidR="005922A3" w:rsidRPr="007C5BDD">
        <w:rPr>
          <w:bCs/>
          <w:color w:val="000000" w:themeColor="text1"/>
          <w:lang w:eastAsia="zh-CN"/>
        </w:rPr>
        <w:t>part-time</w:t>
      </w:r>
      <w:r w:rsidR="005922A3">
        <w:rPr>
          <w:bCs/>
          <w:lang w:eastAsia="zh-CN"/>
        </w:rPr>
        <w:t xml:space="preserve"> </w:t>
      </w:r>
      <w:r w:rsidR="000A61D0">
        <w:rPr>
          <w:bCs/>
          <w:lang w:eastAsia="zh-CN"/>
        </w:rPr>
        <w:t>education, including</w:t>
      </w:r>
      <w:r w:rsidR="00D61F1E">
        <w:rPr>
          <w:bCs/>
          <w:lang w:eastAsia="zh-CN"/>
        </w:rPr>
        <w:t xml:space="preserve"> </w:t>
      </w:r>
      <w:r w:rsidR="00903498">
        <w:rPr>
          <w:bCs/>
          <w:lang w:eastAsia="zh-CN"/>
        </w:rPr>
        <w:t xml:space="preserve">online </w:t>
      </w:r>
      <w:r w:rsidR="00D61F1E">
        <w:rPr>
          <w:bCs/>
          <w:lang w:eastAsia="zh-CN"/>
        </w:rPr>
        <w:t>education</w:t>
      </w:r>
      <w:r w:rsidR="00903498">
        <w:rPr>
          <w:rStyle w:val="EndnoteReference"/>
          <w:bCs/>
          <w:lang w:eastAsia="zh-CN"/>
        </w:rPr>
        <w:endnoteReference w:id="2"/>
      </w:r>
      <w:r w:rsidR="00D61F1E">
        <w:rPr>
          <w:bCs/>
          <w:lang w:eastAsia="zh-CN"/>
        </w:rPr>
        <w:t>, adult higher education, higher education self-study test, and open education</w:t>
      </w:r>
      <w:r w:rsidR="00F02F88">
        <w:rPr>
          <w:bCs/>
          <w:lang w:eastAsia="zh-CN"/>
        </w:rPr>
        <w:t xml:space="preserve">. </w:t>
      </w:r>
      <w:r w:rsidR="005B0412">
        <w:rPr>
          <w:bCs/>
          <w:lang w:eastAsia="zh-CN"/>
        </w:rPr>
        <w:t>Continuing</w:t>
      </w:r>
      <w:r w:rsidR="00F02F88">
        <w:rPr>
          <w:bCs/>
          <w:lang w:eastAsia="zh-CN"/>
        </w:rPr>
        <w:t xml:space="preserve"> education is </w:t>
      </w:r>
      <w:r w:rsidR="004C314D">
        <w:rPr>
          <w:bCs/>
          <w:lang w:eastAsia="zh-CN"/>
        </w:rPr>
        <w:t>usually offered by regular Chinese higher education institutions</w:t>
      </w:r>
      <w:r w:rsidR="00663407">
        <w:rPr>
          <w:bCs/>
          <w:lang w:eastAsia="zh-CN"/>
        </w:rPr>
        <w:t xml:space="preserve"> </w:t>
      </w:r>
      <w:r w:rsidR="00BA1E79">
        <w:rPr>
          <w:bCs/>
          <w:lang w:eastAsia="zh-CN"/>
        </w:rPr>
        <w:t>to cater</w:t>
      </w:r>
      <w:r w:rsidR="00500E0F">
        <w:rPr>
          <w:bCs/>
          <w:lang w:eastAsia="zh-CN"/>
        </w:rPr>
        <w:t xml:space="preserve"> for</w:t>
      </w:r>
      <w:r w:rsidR="00BA1E79">
        <w:rPr>
          <w:bCs/>
          <w:lang w:eastAsia="zh-CN"/>
        </w:rPr>
        <w:t xml:space="preserve"> groups of people who require skills uplift but </w:t>
      </w:r>
      <w:r w:rsidR="00341C4C">
        <w:rPr>
          <w:bCs/>
          <w:lang w:eastAsia="zh-CN"/>
        </w:rPr>
        <w:t xml:space="preserve">are </w:t>
      </w:r>
      <w:r w:rsidR="00BA1E79">
        <w:rPr>
          <w:bCs/>
          <w:lang w:eastAsia="zh-CN"/>
        </w:rPr>
        <w:t>not in the position to take on</w:t>
      </w:r>
      <w:r w:rsidR="004C314D">
        <w:rPr>
          <w:bCs/>
          <w:lang w:eastAsia="zh-CN"/>
        </w:rPr>
        <w:t xml:space="preserve"> full-time</w:t>
      </w:r>
      <w:r w:rsidR="00BA1E79">
        <w:rPr>
          <w:bCs/>
          <w:lang w:eastAsia="zh-CN"/>
        </w:rPr>
        <w:t xml:space="preserve"> regular higher </w:t>
      </w:r>
      <w:r w:rsidR="00BA1E79" w:rsidRPr="000C43C6">
        <w:rPr>
          <w:bCs/>
          <w:lang w:eastAsia="zh-CN"/>
        </w:rPr>
        <w:t>education</w:t>
      </w:r>
      <w:r w:rsidR="00B0159E" w:rsidRPr="000C43C6">
        <w:rPr>
          <w:bCs/>
          <w:lang w:eastAsia="zh-CN"/>
        </w:rPr>
        <w:t xml:space="preserve">. </w:t>
      </w:r>
    </w:p>
    <w:p w14:paraId="7532A0EA" w14:textId="40B39920" w:rsidR="00AF4F59" w:rsidRDefault="00AF4F59" w:rsidP="00AF4F59">
      <w:pPr>
        <w:rPr>
          <w:bCs/>
          <w:lang w:eastAsia="zh-CN"/>
        </w:rPr>
      </w:pPr>
      <w:r w:rsidRPr="000C43C6">
        <w:rPr>
          <w:bCs/>
          <w:lang w:eastAsia="zh-CN"/>
        </w:rPr>
        <w:t xml:space="preserve">It should be noted that graduates from the regular stream usually receive two credentials upon graduation – a certificate of graduation (The </w:t>
      </w:r>
      <w:r w:rsidR="00317C72" w:rsidRPr="000C43C6">
        <w:rPr>
          <w:bCs/>
          <w:lang w:eastAsia="zh-CN"/>
        </w:rPr>
        <w:t>award</w:t>
      </w:r>
      <w:r w:rsidRPr="000C43C6">
        <w:rPr>
          <w:bCs/>
          <w:lang w:eastAsia="zh-CN"/>
        </w:rPr>
        <w:t xml:space="preserve">) and a degree certificate (The degree), but those from the </w:t>
      </w:r>
      <w:r w:rsidR="005B0412" w:rsidRPr="000C43C6">
        <w:rPr>
          <w:bCs/>
          <w:lang w:eastAsia="zh-CN"/>
        </w:rPr>
        <w:t>continuing education</w:t>
      </w:r>
      <w:r w:rsidRPr="000C43C6">
        <w:rPr>
          <w:bCs/>
          <w:lang w:eastAsia="zh-CN"/>
        </w:rPr>
        <w:t xml:space="preserve"> stream usually only receive the </w:t>
      </w:r>
      <w:r w:rsidR="00317C72" w:rsidRPr="000C43C6">
        <w:rPr>
          <w:rFonts w:hint="eastAsia"/>
          <w:bCs/>
          <w:lang w:eastAsia="zh-CN"/>
        </w:rPr>
        <w:t>degree</w:t>
      </w:r>
      <w:r w:rsidR="00317C72" w:rsidRPr="000C43C6">
        <w:rPr>
          <w:bCs/>
          <w:lang w:eastAsia="zh-CN"/>
        </w:rPr>
        <w:t xml:space="preserve"> certificate</w:t>
      </w:r>
      <w:r w:rsidR="00EE60D2" w:rsidRPr="000C43C6">
        <w:rPr>
          <w:rStyle w:val="EndnoteReference"/>
          <w:bCs/>
          <w:lang w:eastAsia="zh-CN"/>
        </w:rPr>
        <w:endnoteReference w:id="3"/>
      </w:r>
      <w:r w:rsidRPr="000C43C6">
        <w:rPr>
          <w:bCs/>
          <w:lang w:eastAsia="zh-CN"/>
        </w:rPr>
        <w:t>,  with markings on the certificate stating</w:t>
      </w:r>
      <w:r w:rsidR="005B0412" w:rsidRPr="000C43C6">
        <w:rPr>
          <w:bCs/>
          <w:lang w:eastAsia="zh-CN"/>
        </w:rPr>
        <w:t xml:space="preserve"> the form of continuing education </w:t>
      </w:r>
      <w:r w:rsidRPr="000C43C6">
        <w:rPr>
          <w:bCs/>
          <w:lang w:eastAsia="zh-CN"/>
        </w:rPr>
        <w:t>program.</w:t>
      </w:r>
      <w:r>
        <w:rPr>
          <w:bCs/>
          <w:lang w:eastAsia="zh-CN"/>
        </w:rPr>
        <w:t xml:space="preserve"> </w:t>
      </w:r>
    </w:p>
    <w:p w14:paraId="32542BD1" w14:textId="5FBEAFA8" w:rsidR="00AF4F59" w:rsidRDefault="00AF4F59" w:rsidP="00AF4F59">
      <w:pPr>
        <w:rPr>
          <w:bCs/>
          <w:lang w:eastAsia="zh-CN"/>
        </w:rPr>
      </w:pPr>
      <w:r>
        <w:rPr>
          <w:bCs/>
          <w:lang w:eastAsia="zh-CN"/>
        </w:rPr>
        <w:t xml:space="preserve">Some employers require that graduates provide both </w:t>
      </w:r>
      <w:r w:rsidR="00317C72">
        <w:rPr>
          <w:bCs/>
          <w:lang w:eastAsia="zh-CN"/>
        </w:rPr>
        <w:t>award</w:t>
      </w:r>
      <w:r>
        <w:rPr>
          <w:bCs/>
          <w:lang w:eastAsia="zh-CN"/>
        </w:rPr>
        <w:t xml:space="preserve"> and degree qualifications from full-time programs when seeking employment</w:t>
      </w:r>
      <w:r w:rsidR="00AD3CE3">
        <w:rPr>
          <w:bCs/>
          <w:lang w:eastAsia="zh-CN"/>
        </w:rPr>
        <w:t>,</w:t>
      </w:r>
      <w:r>
        <w:rPr>
          <w:bCs/>
          <w:lang w:eastAsia="zh-CN"/>
        </w:rPr>
        <w:t xml:space="preserve"> and this has caused a long-held mindset that </w:t>
      </w:r>
      <w:r w:rsidR="005B0412">
        <w:rPr>
          <w:bCs/>
          <w:lang w:eastAsia="zh-CN"/>
        </w:rPr>
        <w:t>continuing</w:t>
      </w:r>
      <w:r>
        <w:rPr>
          <w:bCs/>
          <w:lang w:eastAsia="zh-CN"/>
        </w:rPr>
        <w:t xml:space="preserve"> education qualifications are second choice to a regular </w:t>
      </w:r>
      <w:r w:rsidR="00F02F88">
        <w:rPr>
          <w:bCs/>
          <w:lang w:eastAsia="zh-CN"/>
        </w:rPr>
        <w:t>higher education qualification</w:t>
      </w:r>
      <w:r>
        <w:rPr>
          <w:bCs/>
          <w:lang w:eastAsia="zh-CN"/>
        </w:rPr>
        <w:t>. This is usually not a concern for working professionals who are seeking</w:t>
      </w:r>
      <w:r w:rsidR="00EE60D2">
        <w:rPr>
          <w:bCs/>
          <w:lang w:eastAsia="zh-CN"/>
        </w:rPr>
        <w:t xml:space="preserve"> further education</w:t>
      </w:r>
      <w:r>
        <w:rPr>
          <w:bCs/>
          <w:lang w:eastAsia="zh-CN"/>
        </w:rPr>
        <w:t xml:space="preserve"> to </w:t>
      </w:r>
      <w:r w:rsidR="00F02F88">
        <w:rPr>
          <w:bCs/>
          <w:lang w:eastAsia="zh-CN"/>
        </w:rPr>
        <w:t xml:space="preserve">enhance </w:t>
      </w:r>
      <w:r>
        <w:rPr>
          <w:bCs/>
          <w:lang w:eastAsia="zh-CN"/>
        </w:rPr>
        <w:t xml:space="preserve">their skills or qualifications to advance in their careers. </w:t>
      </w:r>
    </w:p>
    <w:p w14:paraId="0D90085A" w14:textId="77777777" w:rsidR="00CB1EF4" w:rsidRPr="00AF4F59" w:rsidRDefault="00CB1EF4" w:rsidP="00CB1EF4">
      <w:pPr>
        <w:pStyle w:val="Heading2"/>
        <w:spacing w:before="0"/>
        <w:rPr>
          <w:lang w:eastAsia="zh-CN"/>
        </w:rPr>
      </w:pPr>
      <w:r w:rsidRPr="00AF4F59">
        <w:rPr>
          <w:lang w:eastAsia="zh-CN"/>
        </w:rPr>
        <w:t xml:space="preserve">The 2022 reform </w:t>
      </w:r>
    </w:p>
    <w:p w14:paraId="699D21C2" w14:textId="264E4BA5" w:rsidR="00CB1EF4" w:rsidRDefault="00CB1EF4" w:rsidP="00CB1EF4">
      <w:pPr>
        <w:rPr>
          <w:bCs/>
          <w:lang w:eastAsia="zh-CN"/>
        </w:rPr>
      </w:pPr>
      <w:r>
        <w:rPr>
          <w:bCs/>
          <w:lang w:eastAsia="zh-CN"/>
        </w:rPr>
        <w:t>In 2022, the Chinese Ministry of Education</w:t>
      </w:r>
      <w:r w:rsidR="00EE60D2">
        <w:rPr>
          <w:bCs/>
          <w:lang w:eastAsia="zh-CN"/>
        </w:rPr>
        <w:t xml:space="preserve"> (MoE)</w:t>
      </w:r>
      <w:r>
        <w:rPr>
          <w:bCs/>
          <w:lang w:eastAsia="zh-CN"/>
        </w:rPr>
        <w:t xml:space="preserve"> issued an implementation plan for the reform of continu</w:t>
      </w:r>
      <w:r w:rsidR="00D61F1E">
        <w:rPr>
          <w:bCs/>
          <w:lang w:eastAsia="zh-CN"/>
        </w:rPr>
        <w:t>ing</w:t>
      </w:r>
      <w:r>
        <w:rPr>
          <w:bCs/>
          <w:lang w:eastAsia="zh-CN"/>
        </w:rPr>
        <w:t xml:space="preserve"> education</w:t>
      </w:r>
      <w:r w:rsidR="00D61F1E">
        <w:rPr>
          <w:bCs/>
          <w:lang w:eastAsia="zh-CN"/>
        </w:rPr>
        <w:t xml:space="preserve"> courses that issue a qualification on completion</w:t>
      </w:r>
      <w:r>
        <w:rPr>
          <w:bCs/>
          <w:lang w:eastAsia="zh-CN"/>
        </w:rPr>
        <w:t>.</w:t>
      </w:r>
      <w:r>
        <w:rPr>
          <w:rStyle w:val="EndnoteReference"/>
          <w:bCs/>
          <w:lang w:eastAsia="zh-CN"/>
        </w:rPr>
        <w:endnoteReference w:id="4"/>
      </w:r>
      <w:r>
        <w:rPr>
          <w:bCs/>
          <w:lang w:eastAsia="zh-CN"/>
        </w:rPr>
        <w:t xml:space="preserve"> Th</w:t>
      </w:r>
      <w:r w:rsidR="00EE60D2">
        <w:rPr>
          <w:bCs/>
          <w:lang w:eastAsia="zh-CN"/>
        </w:rPr>
        <w:t>e</w:t>
      </w:r>
      <w:r>
        <w:rPr>
          <w:bCs/>
          <w:lang w:eastAsia="zh-CN"/>
        </w:rPr>
        <w:t xml:space="preserve"> reform will see the </w:t>
      </w:r>
      <w:r>
        <w:rPr>
          <w:bCs/>
          <w:lang w:eastAsia="zh-CN"/>
        </w:rPr>
        <w:lastRenderedPageBreak/>
        <w:t xml:space="preserve">previously separated forms of continuing </w:t>
      </w:r>
      <w:r w:rsidR="000A61D0">
        <w:rPr>
          <w:bCs/>
          <w:lang w:eastAsia="zh-CN"/>
        </w:rPr>
        <w:t>education merge</w:t>
      </w:r>
      <w:r>
        <w:rPr>
          <w:bCs/>
          <w:lang w:eastAsia="zh-CN"/>
        </w:rPr>
        <w:t xml:space="preserve"> to become “</w:t>
      </w:r>
      <w:r w:rsidRPr="00663407">
        <w:rPr>
          <w:b/>
          <w:lang w:eastAsia="zh-CN"/>
        </w:rPr>
        <w:t>Adult continuing education</w:t>
      </w:r>
      <w:r>
        <w:rPr>
          <w:bCs/>
          <w:lang w:eastAsia="zh-CN"/>
        </w:rPr>
        <w:t xml:space="preserve">” starting from 2025. </w:t>
      </w:r>
      <w:r w:rsidRPr="00E51475">
        <w:rPr>
          <w:rStyle w:val="EndnoteReference"/>
          <w:bCs/>
          <w:lang w:eastAsia="zh-CN"/>
        </w:rPr>
        <w:t xml:space="preserve"> </w:t>
      </w:r>
    </w:p>
    <w:p w14:paraId="4C25111A" w14:textId="3FBFFDAB" w:rsidR="00CB1EF4" w:rsidRDefault="00CB1EF4" w:rsidP="00CB1EF4">
      <w:pPr>
        <w:rPr>
          <w:bCs/>
          <w:lang w:eastAsia="zh-CN"/>
        </w:rPr>
      </w:pPr>
      <w:r>
        <w:rPr>
          <w:bCs/>
          <w:lang w:eastAsia="zh-CN"/>
        </w:rPr>
        <w:t xml:space="preserve">This reform aims to provide clear and rigorous standards and quality assurance mechanisms for continuing education. The change aligns with broader educational trends in China, shifting the focus from scale expansion to standardised, high-quality development. </w:t>
      </w:r>
    </w:p>
    <w:p w14:paraId="6F009728" w14:textId="5D282F96" w:rsidR="00CB1EF4" w:rsidRDefault="00CB1EF4" w:rsidP="00CB1EF4">
      <w:pPr>
        <w:rPr>
          <w:bCs/>
          <w:lang w:eastAsia="zh-CN"/>
        </w:rPr>
      </w:pPr>
      <w:r>
        <w:rPr>
          <w:bCs/>
          <w:lang w:eastAsia="zh-CN"/>
        </w:rPr>
        <w:t>Higher education institution</w:t>
      </w:r>
      <w:r w:rsidR="00D61F1E">
        <w:rPr>
          <w:bCs/>
          <w:lang w:eastAsia="zh-CN"/>
        </w:rPr>
        <w:t>s</w:t>
      </w:r>
      <w:r>
        <w:rPr>
          <w:bCs/>
          <w:lang w:eastAsia="zh-CN"/>
        </w:rPr>
        <w:t xml:space="preserve"> </w:t>
      </w:r>
      <w:r w:rsidR="00D61F1E">
        <w:rPr>
          <w:bCs/>
          <w:lang w:eastAsia="zh-CN"/>
        </w:rPr>
        <w:t xml:space="preserve">are being encouraged to offer courses in </w:t>
      </w:r>
      <w:r w:rsidR="00B75F52">
        <w:rPr>
          <w:bCs/>
          <w:lang w:eastAsia="zh-CN"/>
        </w:rPr>
        <w:t xml:space="preserve">their </w:t>
      </w:r>
      <w:r w:rsidR="00D61F1E">
        <w:rPr>
          <w:bCs/>
          <w:lang w:eastAsia="zh-CN"/>
        </w:rPr>
        <w:t>areas of expertise where they align with the country’s workforce need</w:t>
      </w:r>
      <w:r w:rsidR="00CF3C19">
        <w:rPr>
          <w:bCs/>
          <w:lang w:eastAsia="zh-CN"/>
        </w:rPr>
        <w:t>s</w:t>
      </w:r>
      <w:r w:rsidR="00D61F1E">
        <w:rPr>
          <w:bCs/>
          <w:lang w:eastAsia="zh-CN"/>
        </w:rPr>
        <w:t xml:space="preserve">. </w:t>
      </w:r>
      <w:r w:rsidR="00C80FB1">
        <w:rPr>
          <w:bCs/>
          <w:lang w:eastAsia="zh-CN"/>
        </w:rPr>
        <w:t>State</w:t>
      </w:r>
      <w:r w:rsidR="00CF3C19">
        <w:rPr>
          <w:bCs/>
          <w:lang w:eastAsia="zh-CN"/>
        </w:rPr>
        <w:t>-</w:t>
      </w:r>
      <w:r w:rsidR="00C80FB1">
        <w:rPr>
          <w:bCs/>
          <w:lang w:eastAsia="zh-CN"/>
        </w:rPr>
        <w:t>affiliated high performing institutions are welcome to design small</w:t>
      </w:r>
      <w:r w:rsidR="007754D5">
        <w:rPr>
          <w:bCs/>
          <w:lang w:eastAsia="zh-CN"/>
        </w:rPr>
        <w:t>-</w:t>
      </w:r>
      <w:r w:rsidR="00C80FB1">
        <w:rPr>
          <w:bCs/>
          <w:lang w:eastAsia="zh-CN"/>
        </w:rPr>
        <w:t>scale courses in specialised areas</w:t>
      </w:r>
      <w:r w:rsidR="00A55E8D">
        <w:rPr>
          <w:bCs/>
          <w:lang w:eastAsia="zh-CN"/>
        </w:rPr>
        <w:t>,</w:t>
      </w:r>
      <w:r w:rsidR="00C80FB1">
        <w:rPr>
          <w:bCs/>
          <w:lang w:eastAsia="zh-CN"/>
        </w:rPr>
        <w:t xml:space="preserve"> while higher vocational institutions are encouraged to design and offer courses in key manufacturing industries, modern servicing </w:t>
      </w:r>
      <w:r w:rsidR="00EE60D2">
        <w:rPr>
          <w:bCs/>
          <w:lang w:eastAsia="zh-CN"/>
        </w:rPr>
        <w:t>industries</w:t>
      </w:r>
      <w:r w:rsidR="007754D5">
        <w:rPr>
          <w:bCs/>
          <w:lang w:eastAsia="zh-CN"/>
        </w:rPr>
        <w:t>,</w:t>
      </w:r>
      <w:r w:rsidR="00C80FB1">
        <w:rPr>
          <w:bCs/>
          <w:lang w:eastAsia="zh-CN"/>
        </w:rPr>
        <w:t xml:space="preserve"> and areas in need</w:t>
      </w:r>
      <w:r w:rsidR="00EE60D2">
        <w:rPr>
          <w:bCs/>
          <w:lang w:eastAsia="zh-CN"/>
        </w:rPr>
        <w:t xml:space="preserve"> </w:t>
      </w:r>
      <w:r w:rsidR="00D27B21">
        <w:rPr>
          <w:bCs/>
          <w:lang w:eastAsia="zh-CN"/>
        </w:rPr>
        <w:t>for</w:t>
      </w:r>
      <w:r w:rsidR="00F02F88">
        <w:rPr>
          <w:bCs/>
          <w:lang w:eastAsia="zh-CN"/>
        </w:rPr>
        <w:t xml:space="preserve"> </w:t>
      </w:r>
      <w:r w:rsidR="00EE60D2">
        <w:rPr>
          <w:bCs/>
          <w:lang w:eastAsia="zh-CN"/>
        </w:rPr>
        <w:t xml:space="preserve">rural development. </w:t>
      </w:r>
    </w:p>
    <w:p w14:paraId="50D28FD6" w14:textId="69B67677" w:rsidR="00606E0B" w:rsidRDefault="00606E0B" w:rsidP="00CB1EF4">
      <w:pPr>
        <w:rPr>
          <w:bCs/>
          <w:lang w:eastAsia="zh-CN"/>
        </w:rPr>
      </w:pPr>
      <w:r>
        <w:rPr>
          <w:bCs/>
          <w:lang w:eastAsia="zh-CN"/>
        </w:rPr>
        <w:t>The reform highlights the importance of promoting</w:t>
      </w:r>
      <w:r w:rsidR="00B82711">
        <w:rPr>
          <w:bCs/>
          <w:lang w:eastAsia="zh-CN"/>
        </w:rPr>
        <w:t xml:space="preserve"> adequate use of online</w:t>
      </w:r>
      <w:r>
        <w:rPr>
          <w:bCs/>
          <w:lang w:eastAsia="zh-CN"/>
        </w:rPr>
        <w:t xml:space="preserve"> education</w:t>
      </w:r>
      <w:r w:rsidR="00B82711">
        <w:rPr>
          <w:bCs/>
          <w:lang w:eastAsia="zh-CN"/>
        </w:rPr>
        <w:t xml:space="preserve"> by utilising digital technology.</w:t>
      </w:r>
      <w:r w:rsidR="00F02F88">
        <w:rPr>
          <w:bCs/>
          <w:lang w:eastAsia="zh-CN"/>
        </w:rPr>
        <w:t xml:space="preserve"> </w:t>
      </w:r>
      <w:r w:rsidR="00B82711">
        <w:rPr>
          <w:bCs/>
          <w:lang w:eastAsia="zh-CN"/>
        </w:rPr>
        <w:t>This includes asking</w:t>
      </w:r>
      <w:r>
        <w:rPr>
          <w:bCs/>
          <w:lang w:eastAsia="zh-CN"/>
        </w:rPr>
        <w:t xml:space="preserve"> higher education institutions and education agencies to design high-quality educational courses</w:t>
      </w:r>
      <w:r w:rsidR="00334D85">
        <w:rPr>
          <w:bCs/>
          <w:lang w:eastAsia="zh-CN"/>
        </w:rPr>
        <w:t xml:space="preserve"> and resources</w:t>
      </w:r>
      <w:r>
        <w:rPr>
          <w:bCs/>
          <w:lang w:eastAsia="zh-CN"/>
        </w:rPr>
        <w:t xml:space="preserve"> </w:t>
      </w:r>
      <w:r w:rsidR="00B82711">
        <w:rPr>
          <w:bCs/>
          <w:lang w:eastAsia="zh-CN"/>
        </w:rPr>
        <w:t xml:space="preserve">to share </w:t>
      </w:r>
      <w:r>
        <w:rPr>
          <w:bCs/>
          <w:lang w:eastAsia="zh-CN"/>
        </w:rPr>
        <w:t xml:space="preserve">and potentially trade in a market-driven approach. </w:t>
      </w:r>
    </w:p>
    <w:p w14:paraId="283FB0FF" w14:textId="05E14225" w:rsidR="00EE60D2" w:rsidRDefault="00606E0B" w:rsidP="00CB1EF4">
      <w:pPr>
        <w:rPr>
          <w:bCs/>
          <w:lang w:eastAsia="zh-CN"/>
        </w:rPr>
      </w:pPr>
      <w:r>
        <w:rPr>
          <w:bCs/>
          <w:lang w:eastAsia="zh-CN"/>
        </w:rPr>
        <w:t>Additionally, the reform will explore the potential of offering</w:t>
      </w:r>
      <w:r w:rsidR="00DC1930">
        <w:rPr>
          <w:bCs/>
          <w:lang w:eastAsia="zh-CN"/>
        </w:rPr>
        <w:t xml:space="preserve"> Chinese qualifications</w:t>
      </w:r>
      <w:r>
        <w:rPr>
          <w:bCs/>
          <w:lang w:eastAsia="zh-CN"/>
        </w:rPr>
        <w:t xml:space="preserve"> </w:t>
      </w:r>
      <w:r w:rsidR="00BA6034">
        <w:rPr>
          <w:bCs/>
          <w:lang w:eastAsia="zh-CN"/>
        </w:rPr>
        <w:t xml:space="preserve">in </w:t>
      </w:r>
      <w:r>
        <w:rPr>
          <w:bCs/>
          <w:lang w:eastAsia="zh-CN"/>
        </w:rPr>
        <w:t>continuing education</w:t>
      </w:r>
      <w:r w:rsidR="00DC1930">
        <w:rPr>
          <w:bCs/>
          <w:lang w:eastAsia="zh-CN"/>
        </w:rPr>
        <w:t xml:space="preserve"> </w:t>
      </w:r>
      <w:r w:rsidR="00BA6034">
        <w:rPr>
          <w:bCs/>
          <w:lang w:eastAsia="zh-CN"/>
        </w:rPr>
        <w:t>abroad</w:t>
      </w:r>
      <w:r>
        <w:rPr>
          <w:bCs/>
          <w:lang w:eastAsia="zh-CN"/>
        </w:rPr>
        <w:t xml:space="preserve">, </w:t>
      </w:r>
      <w:r w:rsidR="009D4420">
        <w:rPr>
          <w:bCs/>
          <w:lang w:eastAsia="zh-CN"/>
        </w:rPr>
        <w:t>aimed at enhancing</w:t>
      </w:r>
      <w:r>
        <w:rPr>
          <w:bCs/>
          <w:lang w:eastAsia="zh-CN"/>
        </w:rPr>
        <w:t xml:space="preserve"> China’s global </w:t>
      </w:r>
      <w:r w:rsidR="00DC1930">
        <w:rPr>
          <w:bCs/>
          <w:lang w:eastAsia="zh-CN"/>
        </w:rPr>
        <w:t>stand</w:t>
      </w:r>
      <w:r w:rsidR="00C30F2A">
        <w:rPr>
          <w:bCs/>
          <w:lang w:eastAsia="zh-CN"/>
        </w:rPr>
        <w:t>ing</w:t>
      </w:r>
      <w:r>
        <w:rPr>
          <w:bCs/>
          <w:lang w:eastAsia="zh-CN"/>
        </w:rPr>
        <w:t xml:space="preserve"> in the sector. </w:t>
      </w:r>
    </w:p>
    <w:p w14:paraId="0B6DFDED" w14:textId="147E90A1" w:rsidR="008577B9" w:rsidRDefault="008577B9" w:rsidP="00AF4F59">
      <w:pPr>
        <w:pStyle w:val="Heading2"/>
        <w:spacing w:before="0"/>
        <w:rPr>
          <w:lang w:eastAsia="zh-CN"/>
        </w:rPr>
      </w:pPr>
      <w:r>
        <w:rPr>
          <w:lang w:eastAsia="zh-CN"/>
        </w:rPr>
        <w:t>Online education</w:t>
      </w:r>
      <w:r w:rsidR="009D4420">
        <w:rPr>
          <w:lang w:eastAsia="zh-CN"/>
        </w:rPr>
        <w:t xml:space="preserve"> in </w:t>
      </w:r>
      <w:r w:rsidR="005D403A">
        <w:rPr>
          <w:lang w:eastAsia="zh-CN"/>
        </w:rPr>
        <w:t>continuing education</w:t>
      </w:r>
      <w:r>
        <w:rPr>
          <w:lang w:eastAsia="zh-CN"/>
        </w:rPr>
        <w:t xml:space="preserve"> </w:t>
      </w:r>
    </w:p>
    <w:p w14:paraId="1A919D81" w14:textId="17EB9F6E" w:rsidR="008577B9" w:rsidRDefault="008577B9" w:rsidP="008577B9">
      <w:pPr>
        <w:rPr>
          <w:bCs/>
          <w:lang w:eastAsia="zh-CN"/>
        </w:rPr>
      </w:pPr>
      <w:r>
        <w:rPr>
          <w:bCs/>
          <w:lang w:eastAsia="zh-CN"/>
        </w:rPr>
        <w:t xml:space="preserve">Online learning has been integrated </w:t>
      </w:r>
      <w:r w:rsidR="006A7658">
        <w:rPr>
          <w:bCs/>
          <w:lang w:eastAsia="zh-CN"/>
        </w:rPr>
        <w:t xml:space="preserve">into </w:t>
      </w:r>
      <w:r w:rsidR="00161F34">
        <w:rPr>
          <w:bCs/>
          <w:lang w:eastAsia="zh-CN"/>
        </w:rPr>
        <w:t>continuing</w:t>
      </w:r>
      <w:r w:rsidR="006A7658">
        <w:rPr>
          <w:bCs/>
          <w:lang w:eastAsia="zh-CN"/>
        </w:rPr>
        <w:t xml:space="preserve"> education</w:t>
      </w:r>
      <w:r>
        <w:rPr>
          <w:bCs/>
          <w:lang w:eastAsia="zh-CN"/>
        </w:rPr>
        <w:t xml:space="preserve"> since the late 1990s as part of a pilot initiative implemented at 68 Chinese higher education institutions. In 2022, China enrolled 17.35 million students in higher diploma and undergraduate courses, of which 2.8 million were enrolled in</w:t>
      </w:r>
      <w:r w:rsidR="00B82711">
        <w:rPr>
          <w:bCs/>
          <w:lang w:eastAsia="zh-CN"/>
        </w:rPr>
        <w:t xml:space="preserve"> the</w:t>
      </w:r>
      <w:r>
        <w:rPr>
          <w:bCs/>
          <w:lang w:eastAsia="zh-CN"/>
        </w:rPr>
        <w:t xml:space="preserve"> “online education” stream.</w:t>
      </w:r>
      <w:r>
        <w:rPr>
          <w:rStyle w:val="EndnoteReference"/>
          <w:bCs/>
          <w:lang w:eastAsia="zh-CN"/>
        </w:rPr>
        <w:endnoteReference w:id="5"/>
      </w:r>
    </w:p>
    <w:p w14:paraId="13D01AC2" w14:textId="28BDF139" w:rsidR="008577B9" w:rsidRDefault="008577B9" w:rsidP="001A2D9B">
      <w:pPr>
        <w:rPr>
          <w:bCs/>
          <w:lang w:eastAsia="zh-CN"/>
        </w:rPr>
      </w:pPr>
      <w:r>
        <w:rPr>
          <w:bCs/>
          <w:lang w:eastAsia="zh-CN"/>
        </w:rPr>
        <w:t>This</w:t>
      </w:r>
      <w:r w:rsidR="001A2D9B">
        <w:rPr>
          <w:bCs/>
          <w:lang w:eastAsia="zh-CN"/>
        </w:rPr>
        <w:t xml:space="preserve"> latest</w:t>
      </w:r>
      <w:r>
        <w:rPr>
          <w:bCs/>
          <w:lang w:eastAsia="zh-CN"/>
        </w:rPr>
        <w:t xml:space="preserve"> reform marks the formal conclusion of the pilot phase for online education, as it becomes </w:t>
      </w:r>
      <w:r w:rsidR="006A7658">
        <w:rPr>
          <w:bCs/>
          <w:lang w:eastAsia="zh-CN"/>
        </w:rPr>
        <w:t>an</w:t>
      </w:r>
      <w:r>
        <w:rPr>
          <w:bCs/>
          <w:lang w:eastAsia="zh-CN"/>
        </w:rPr>
        <w:t xml:space="preserve"> integral part of the comprehensive </w:t>
      </w:r>
      <w:r w:rsidR="005257A5">
        <w:rPr>
          <w:bCs/>
          <w:lang w:eastAsia="zh-CN"/>
        </w:rPr>
        <w:t xml:space="preserve">reform </w:t>
      </w:r>
      <w:r>
        <w:rPr>
          <w:bCs/>
          <w:lang w:eastAsia="zh-CN"/>
        </w:rPr>
        <w:t>of adult continuing education</w:t>
      </w:r>
      <w:r w:rsidR="00EE60D2">
        <w:rPr>
          <w:bCs/>
          <w:lang w:eastAsia="zh-CN"/>
        </w:rPr>
        <w:t xml:space="preserve">. </w:t>
      </w:r>
    </w:p>
    <w:p w14:paraId="750FF563" w14:textId="51A854D8" w:rsidR="00890934" w:rsidRDefault="00CB1EF4" w:rsidP="001A2D9B">
      <w:pPr>
        <w:rPr>
          <w:bCs/>
          <w:lang w:eastAsia="zh-CN"/>
        </w:rPr>
      </w:pPr>
      <w:r>
        <w:rPr>
          <w:bCs/>
          <w:lang w:eastAsia="zh-CN"/>
        </w:rPr>
        <w:t xml:space="preserve">However, according to the </w:t>
      </w:r>
      <w:r w:rsidR="00EE60D2">
        <w:rPr>
          <w:bCs/>
          <w:lang w:eastAsia="zh-CN"/>
        </w:rPr>
        <w:t>reform agenda, face-to-face learning</w:t>
      </w:r>
      <w:r w:rsidR="00C80FB9">
        <w:rPr>
          <w:bCs/>
          <w:lang w:eastAsia="zh-CN"/>
        </w:rPr>
        <w:t xml:space="preserve"> (</w:t>
      </w:r>
      <w:r w:rsidR="00EE60D2">
        <w:rPr>
          <w:bCs/>
          <w:lang w:eastAsia="zh-CN"/>
        </w:rPr>
        <w:t>including practical instruction components</w:t>
      </w:r>
      <w:r w:rsidR="00C80FB9">
        <w:rPr>
          <w:bCs/>
          <w:lang w:eastAsia="zh-CN"/>
        </w:rPr>
        <w:t>)</w:t>
      </w:r>
      <w:r w:rsidR="00EE60D2">
        <w:rPr>
          <w:bCs/>
          <w:lang w:eastAsia="zh-CN"/>
        </w:rPr>
        <w:t xml:space="preserve"> should in theory account for </w:t>
      </w:r>
      <w:r w:rsidR="00A643FE">
        <w:rPr>
          <w:bCs/>
          <w:lang w:eastAsia="zh-CN"/>
        </w:rPr>
        <w:t xml:space="preserve">at least </w:t>
      </w:r>
      <w:r w:rsidR="00EE60D2">
        <w:rPr>
          <w:bCs/>
          <w:lang w:eastAsia="zh-CN"/>
        </w:rPr>
        <w:t xml:space="preserve">20% of the total teaching hours of the program. Institutions are encouraged to design interactive </w:t>
      </w:r>
      <w:r w:rsidR="00606E0B">
        <w:rPr>
          <w:bCs/>
          <w:lang w:eastAsia="zh-CN"/>
        </w:rPr>
        <w:t xml:space="preserve">activities to engage students and enhance their learning experience. </w:t>
      </w:r>
    </w:p>
    <w:p w14:paraId="1A3A6DDB" w14:textId="2C5879DF" w:rsidR="00CB1EF4" w:rsidRPr="001A2D9B" w:rsidRDefault="00606E0B" w:rsidP="001A2D9B">
      <w:pPr>
        <w:rPr>
          <w:bCs/>
          <w:lang w:eastAsia="zh-CN"/>
        </w:rPr>
      </w:pPr>
      <w:r>
        <w:rPr>
          <w:bCs/>
          <w:lang w:eastAsia="zh-CN"/>
        </w:rPr>
        <w:t xml:space="preserve">Based on this change, programs delivered entirely online, which was feasible during the pilot phase, </w:t>
      </w:r>
      <w:r w:rsidR="00544F64">
        <w:rPr>
          <w:bCs/>
          <w:lang w:eastAsia="zh-CN"/>
        </w:rPr>
        <w:t>may not be able to continue under this arrangement</w:t>
      </w:r>
      <w:r>
        <w:rPr>
          <w:bCs/>
          <w:lang w:eastAsia="zh-CN"/>
        </w:rPr>
        <w:t xml:space="preserve"> in the future</w:t>
      </w:r>
      <w:r w:rsidR="006305AA">
        <w:rPr>
          <w:bCs/>
          <w:lang w:eastAsia="zh-CN"/>
        </w:rPr>
        <w:t>,</w:t>
      </w:r>
      <w:r w:rsidR="009D4420">
        <w:rPr>
          <w:bCs/>
          <w:lang w:eastAsia="zh-CN"/>
        </w:rPr>
        <w:t xml:space="preserve"> and programs will likely need to include blended </w:t>
      </w:r>
      <w:r w:rsidR="006305AA">
        <w:rPr>
          <w:bCs/>
          <w:lang w:eastAsia="zh-CN"/>
        </w:rPr>
        <w:t xml:space="preserve">online and face-to-face </w:t>
      </w:r>
      <w:r w:rsidR="009D4420">
        <w:rPr>
          <w:bCs/>
          <w:lang w:eastAsia="zh-CN"/>
        </w:rPr>
        <w:t>delivery</w:t>
      </w:r>
      <w:r>
        <w:rPr>
          <w:bCs/>
          <w:lang w:eastAsia="zh-CN"/>
        </w:rPr>
        <w:t xml:space="preserve">. </w:t>
      </w:r>
    </w:p>
    <w:p w14:paraId="3E306686" w14:textId="6ADA2CF7" w:rsidR="007C5BDD" w:rsidRPr="00D83150" w:rsidRDefault="00D83150" w:rsidP="00D83150">
      <w:pPr>
        <w:pStyle w:val="Heading2"/>
        <w:spacing w:before="0"/>
        <w:rPr>
          <w:lang w:eastAsia="zh-CN"/>
        </w:rPr>
      </w:pPr>
      <w:r w:rsidRPr="00D83150">
        <w:rPr>
          <w:lang w:eastAsia="zh-CN"/>
        </w:rPr>
        <w:t>Conclusion</w:t>
      </w:r>
    </w:p>
    <w:p w14:paraId="4EFBFFC8" w14:textId="41CBCC0B" w:rsidR="00D83150" w:rsidRDefault="00D83150" w:rsidP="00BA1E79">
      <w:pPr>
        <w:rPr>
          <w:bCs/>
          <w:lang w:eastAsia="zh-CN"/>
        </w:rPr>
      </w:pPr>
      <w:r>
        <w:rPr>
          <w:bCs/>
          <w:lang w:eastAsia="zh-CN"/>
        </w:rPr>
        <w:t xml:space="preserve">China’s latest reform for continuing education is part of the country’s comprehensive higher education reform. The plan marks a significant change from the previously fragmented paths within the sector, streamlining them into a unified and cohesive system. The reform </w:t>
      </w:r>
      <w:r w:rsidR="009D4420">
        <w:rPr>
          <w:bCs/>
          <w:lang w:eastAsia="zh-CN"/>
        </w:rPr>
        <w:t xml:space="preserve">places </w:t>
      </w:r>
      <w:r>
        <w:rPr>
          <w:bCs/>
          <w:lang w:eastAsia="zh-CN"/>
        </w:rPr>
        <w:t xml:space="preserve">emphasis on standard setting and quality assurance, which aligns with the broader trends in China’s education reform </w:t>
      </w:r>
      <w:r w:rsidR="00F355C2">
        <w:rPr>
          <w:bCs/>
          <w:lang w:eastAsia="zh-CN"/>
        </w:rPr>
        <w:t xml:space="preserve">of </w:t>
      </w:r>
      <w:r>
        <w:rPr>
          <w:bCs/>
          <w:lang w:eastAsia="zh-CN"/>
        </w:rPr>
        <w:t xml:space="preserve">steadily shifting from </w:t>
      </w:r>
      <w:r w:rsidR="009D4420">
        <w:rPr>
          <w:bCs/>
          <w:lang w:eastAsia="zh-CN"/>
        </w:rPr>
        <w:t>a quantity to quality</w:t>
      </w:r>
      <w:r>
        <w:rPr>
          <w:bCs/>
          <w:lang w:eastAsia="zh-CN"/>
        </w:rPr>
        <w:t xml:space="preserve"> focus. </w:t>
      </w:r>
    </w:p>
    <w:p w14:paraId="20F149D0" w14:textId="3E53D28F" w:rsidR="006361E0" w:rsidRPr="006361E0" w:rsidRDefault="006361E0" w:rsidP="006361E0">
      <w:pPr>
        <w:rPr>
          <w:bCs/>
          <w:lang w:eastAsia="zh-CN"/>
        </w:rPr>
      </w:pPr>
      <w:r w:rsidRPr="006361E0">
        <w:rPr>
          <w:bCs/>
          <w:lang w:eastAsia="zh-CN"/>
        </w:rPr>
        <w:t xml:space="preserve">For further enquiries, please contact the </w:t>
      </w:r>
      <w:hyperlink r:id="rId14" w:history="1">
        <w:r w:rsidRPr="006361E0">
          <w:rPr>
            <w:rStyle w:val="Hyperlink"/>
            <w:bCs/>
            <w:lang w:eastAsia="zh-CN"/>
          </w:rPr>
          <w:t>Education and Research Section</w:t>
        </w:r>
      </w:hyperlink>
      <w:r w:rsidRPr="006361E0">
        <w:rPr>
          <w:bCs/>
          <w:lang w:eastAsia="zh-CN"/>
        </w:rPr>
        <w:t xml:space="preserve"> of the Australian Embassy in Beijing. </w:t>
      </w:r>
    </w:p>
    <w:p w14:paraId="025F29A5" w14:textId="39EA457A" w:rsidR="006361E0" w:rsidRDefault="006361E0">
      <w:pPr>
        <w:spacing w:after="160"/>
        <w:rPr>
          <w:b/>
          <w:iCs/>
          <w:color w:val="00254A" w:themeColor="text2"/>
          <w:szCs w:val="18"/>
          <w:lang w:eastAsia="zh-CN"/>
        </w:rPr>
      </w:pPr>
    </w:p>
    <w:sectPr w:rsidR="006361E0" w:rsidSect="008577B9">
      <w:headerReference w:type="even" r:id="rId15"/>
      <w:headerReference w:type="default" r:id="rId16"/>
      <w:footerReference w:type="even" r:id="rId17"/>
      <w:footerReference w:type="default" r:id="rId18"/>
      <w:headerReference w:type="first" r:id="rId19"/>
      <w:footerReference w:type="first" r:id="rId20"/>
      <w:pgSz w:w="11906" w:h="16838"/>
      <w:pgMar w:top="1223" w:right="1196" w:bottom="135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DE1E6" w14:textId="77777777" w:rsidR="009640D0" w:rsidRDefault="009640D0" w:rsidP="000A6228">
      <w:pPr>
        <w:spacing w:after="0" w:line="240" w:lineRule="auto"/>
      </w:pPr>
      <w:r>
        <w:separator/>
      </w:r>
    </w:p>
  </w:endnote>
  <w:endnote w:type="continuationSeparator" w:id="0">
    <w:p w14:paraId="2F909440" w14:textId="77777777" w:rsidR="009640D0" w:rsidRDefault="009640D0" w:rsidP="000A6228">
      <w:pPr>
        <w:spacing w:after="0" w:line="240" w:lineRule="auto"/>
      </w:pPr>
      <w:r>
        <w:continuationSeparator/>
      </w:r>
    </w:p>
  </w:endnote>
  <w:endnote w:id="1">
    <w:p w14:paraId="644AB326" w14:textId="5F85BE8D" w:rsidR="00B0159E" w:rsidRDefault="00B0159E">
      <w:pPr>
        <w:pStyle w:val="EndnoteText"/>
        <w:rPr>
          <w:lang w:eastAsia="zh-CN"/>
        </w:rPr>
      </w:pPr>
      <w:r>
        <w:rPr>
          <w:rStyle w:val="EndnoteReference"/>
        </w:rPr>
        <w:endnoteRef/>
      </w:r>
      <w:r>
        <w:t xml:space="preserve"> </w:t>
      </w:r>
      <w:r w:rsidR="00C2111C" w:rsidRPr="00C2111C">
        <w:rPr>
          <w:rFonts w:hint="eastAsia"/>
        </w:rPr>
        <w:t xml:space="preserve">Ou, Mei, and Xu Cheng. </w:t>
      </w:r>
      <w:r w:rsidR="00C2111C" w:rsidRPr="00C2111C">
        <w:rPr>
          <w:rFonts w:hint="eastAsia"/>
        </w:rPr>
        <w:t>“</w:t>
      </w:r>
      <w:proofErr w:type="spellStart"/>
      <w:proofErr w:type="gramStart"/>
      <w:r w:rsidR="00C2111C" w:rsidRPr="00C2111C">
        <w:rPr>
          <w:rFonts w:hint="eastAsia"/>
        </w:rPr>
        <w:t>高等学历继续教育改革将带来什么</w:t>
      </w:r>
      <w:proofErr w:type="spellEnd"/>
      <w:r w:rsidR="00C2111C" w:rsidRPr="00C2111C">
        <w:rPr>
          <w:rFonts w:hint="eastAsia"/>
        </w:rPr>
        <w:t>(</w:t>
      </w:r>
      <w:proofErr w:type="gramEnd"/>
      <w:r w:rsidR="00C2111C" w:rsidRPr="00C2111C">
        <w:rPr>
          <w:rFonts w:hint="eastAsia"/>
        </w:rPr>
        <w:t>What Will the Reform of Higher Education Continuing Education Bring?).</w:t>
      </w:r>
      <w:r w:rsidR="00C2111C" w:rsidRPr="00C2111C">
        <w:rPr>
          <w:rFonts w:hint="eastAsia"/>
        </w:rPr>
        <w:t>”</w:t>
      </w:r>
      <w:r w:rsidR="00C2111C" w:rsidRPr="00C2111C">
        <w:rPr>
          <w:rFonts w:hint="eastAsia"/>
        </w:rPr>
        <w:t xml:space="preserve"> Ministry of Education of the People</w:t>
      </w:r>
      <w:r w:rsidR="00C2111C" w:rsidRPr="00C2111C">
        <w:rPr>
          <w:rFonts w:hint="eastAsia"/>
        </w:rPr>
        <w:t>’</w:t>
      </w:r>
      <w:r w:rsidR="00C2111C" w:rsidRPr="00C2111C">
        <w:rPr>
          <w:rFonts w:hint="eastAsia"/>
        </w:rPr>
        <w:t xml:space="preserve">s Republic of China, 18 Aug. 2022, </w:t>
      </w:r>
      <w:hyperlink r:id="rId1" w:history="1">
        <w:r w:rsidR="00C2111C" w:rsidRPr="00B61AC7">
          <w:rPr>
            <w:rStyle w:val="Hyperlink"/>
            <w:rFonts w:hint="eastAsia"/>
          </w:rPr>
          <w:t>www.moe.gov.cn/jyb_xwfb/s5147/202208/t20220818_653608.html</w:t>
        </w:r>
      </w:hyperlink>
      <w:r w:rsidR="00C2111C">
        <w:t xml:space="preserve"> </w:t>
      </w:r>
    </w:p>
  </w:endnote>
  <w:endnote w:id="2">
    <w:p w14:paraId="1D2414C2" w14:textId="771CECA4" w:rsidR="00903498" w:rsidRPr="00903498" w:rsidRDefault="00903498">
      <w:pPr>
        <w:pStyle w:val="EndnoteText"/>
        <w:rPr>
          <w:lang w:eastAsia="zh-CN"/>
        </w:rPr>
      </w:pPr>
      <w:r>
        <w:rPr>
          <w:rStyle w:val="EndnoteReference"/>
        </w:rPr>
        <w:endnoteRef/>
      </w:r>
      <w:r>
        <w:t xml:space="preserve"> </w:t>
      </w:r>
      <w:r>
        <w:rPr>
          <w:lang w:eastAsia="zh-CN"/>
        </w:rPr>
        <w:t xml:space="preserve">Sometimes referred to as web-based education. </w:t>
      </w:r>
    </w:p>
  </w:endnote>
  <w:endnote w:id="3">
    <w:p w14:paraId="28C4CD7F" w14:textId="33AC1693" w:rsidR="00EE60D2" w:rsidRPr="00EE60D2" w:rsidRDefault="00EE60D2">
      <w:pPr>
        <w:pStyle w:val="EndnoteText"/>
        <w:rPr>
          <w:lang w:eastAsia="zh-CN"/>
        </w:rPr>
      </w:pPr>
      <w:r>
        <w:rPr>
          <w:rStyle w:val="EndnoteReference"/>
        </w:rPr>
        <w:endnoteRef/>
      </w:r>
      <w:r>
        <w:t xml:space="preserve"> </w:t>
      </w:r>
      <w:r>
        <w:rPr>
          <w:rFonts w:hint="eastAsia"/>
          <w:lang w:eastAsia="zh-CN"/>
        </w:rPr>
        <w:t>Some</w:t>
      </w:r>
      <w:r>
        <w:rPr>
          <w:lang w:eastAsia="zh-CN"/>
        </w:rPr>
        <w:t xml:space="preserve"> </w:t>
      </w:r>
      <w:r>
        <w:rPr>
          <w:rFonts w:hint="eastAsia"/>
          <w:lang w:eastAsia="zh-CN"/>
        </w:rPr>
        <w:t>pr</w:t>
      </w:r>
      <w:r>
        <w:rPr>
          <w:lang w:eastAsia="zh-CN"/>
        </w:rPr>
        <w:t>ograms allow students to apply for</w:t>
      </w:r>
      <w:r w:rsidR="000E2C59">
        <w:rPr>
          <w:lang w:eastAsia="zh-CN"/>
        </w:rPr>
        <w:t xml:space="preserve"> an award</w:t>
      </w:r>
      <w:r>
        <w:rPr>
          <w:lang w:eastAsia="zh-CN"/>
        </w:rPr>
        <w:t xml:space="preserve"> certificate by passing a certain grade and/or submit</w:t>
      </w:r>
      <w:r w:rsidR="00554CCE">
        <w:rPr>
          <w:lang w:eastAsia="zh-CN"/>
        </w:rPr>
        <w:t>ting a</w:t>
      </w:r>
      <w:r>
        <w:rPr>
          <w:lang w:eastAsia="zh-CN"/>
        </w:rPr>
        <w:t xml:space="preserve"> thesis paper, but this is not the majority. </w:t>
      </w:r>
    </w:p>
  </w:endnote>
  <w:endnote w:id="4">
    <w:p w14:paraId="450DF56D" w14:textId="4D422B12" w:rsidR="00CB1EF4" w:rsidRDefault="00CB1EF4" w:rsidP="00CB1EF4">
      <w:pPr>
        <w:pStyle w:val="EndnoteText"/>
        <w:rPr>
          <w:lang w:eastAsia="zh-CN"/>
        </w:rPr>
      </w:pPr>
      <w:r>
        <w:rPr>
          <w:rStyle w:val="EndnoteReference"/>
        </w:rPr>
        <w:endnoteRef/>
      </w:r>
      <w:r>
        <w:rPr>
          <w:lang w:eastAsia="zh-CN"/>
        </w:rPr>
        <w:t xml:space="preserve"> </w:t>
      </w:r>
      <w:proofErr w:type="spellStart"/>
      <w:r w:rsidR="006D5E5A" w:rsidRPr="006D5E5A">
        <w:rPr>
          <w:rFonts w:hint="eastAsia"/>
        </w:rPr>
        <w:t>教育部关于推进新时代普通高等学校学历继续教育改革的实施意见</w:t>
      </w:r>
      <w:proofErr w:type="spellEnd"/>
      <w:r w:rsidR="006D5E5A">
        <w:rPr>
          <w:rFonts w:hint="eastAsia"/>
          <w:lang w:eastAsia="zh-CN"/>
        </w:rPr>
        <w:t xml:space="preserve"> </w:t>
      </w:r>
      <w:r w:rsidR="006D5E5A" w:rsidRPr="006D5E5A">
        <w:rPr>
          <w:rFonts w:hint="eastAsia"/>
        </w:rPr>
        <w:t>(the Ministry of Education</w:t>
      </w:r>
      <w:r w:rsidR="006D5E5A" w:rsidRPr="006D5E5A">
        <w:rPr>
          <w:rFonts w:hint="eastAsia"/>
        </w:rPr>
        <w:t>’</w:t>
      </w:r>
      <w:r w:rsidR="006D5E5A" w:rsidRPr="006D5E5A">
        <w:rPr>
          <w:rFonts w:hint="eastAsia"/>
        </w:rPr>
        <w:t>s Implementation Opinions on Promoting the Reform of Academic Continuing Education in General Colleges and Universities in the New Era). Ministry of Education of the People</w:t>
      </w:r>
      <w:r w:rsidR="006D5E5A" w:rsidRPr="006D5E5A">
        <w:rPr>
          <w:rFonts w:hint="eastAsia"/>
        </w:rPr>
        <w:t>’</w:t>
      </w:r>
      <w:r w:rsidR="006D5E5A" w:rsidRPr="006D5E5A">
        <w:rPr>
          <w:rFonts w:hint="eastAsia"/>
        </w:rPr>
        <w:t>s Republic of China, 17 Aug</w:t>
      </w:r>
      <w:r w:rsidR="006D5E5A" w:rsidRPr="006D5E5A">
        <w:t xml:space="preserve">. 2022, </w:t>
      </w:r>
      <w:hyperlink r:id="rId2" w:history="1">
        <w:r w:rsidR="006D5E5A" w:rsidRPr="00B61AC7">
          <w:rPr>
            <w:rStyle w:val="Hyperlink"/>
          </w:rPr>
          <w:t>www.moe.gov.cn/srcsite/A07/moe_743/202208/t20220816_653132.html</w:t>
        </w:r>
      </w:hyperlink>
      <w:r w:rsidR="006D5E5A">
        <w:t xml:space="preserve"> </w:t>
      </w:r>
      <w:hyperlink w:history="1"/>
    </w:p>
  </w:endnote>
  <w:endnote w:id="5">
    <w:p w14:paraId="5627704A" w14:textId="587AE00B" w:rsidR="008577B9" w:rsidRPr="00A73DD4" w:rsidRDefault="008577B9" w:rsidP="008577B9">
      <w:pPr>
        <w:pStyle w:val="EndnoteText"/>
        <w:rPr>
          <w:lang w:eastAsia="zh-CN"/>
        </w:rPr>
      </w:pPr>
      <w:r>
        <w:rPr>
          <w:rStyle w:val="EndnoteReference"/>
        </w:rPr>
        <w:endnoteRef/>
      </w:r>
      <w:r>
        <w:rPr>
          <w:lang w:eastAsia="zh-CN"/>
        </w:rPr>
        <w:t xml:space="preserve"> </w:t>
      </w:r>
      <w:r w:rsidR="00CF5F78" w:rsidRPr="00CF5F78">
        <w:rPr>
          <w:rFonts w:hint="eastAsia"/>
        </w:rPr>
        <w:t>“</w:t>
      </w:r>
      <w:r w:rsidR="00CF5F78" w:rsidRPr="00CF5F78">
        <w:rPr>
          <w:rFonts w:hint="eastAsia"/>
        </w:rPr>
        <w:t>2022</w:t>
      </w:r>
      <w:proofErr w:type="spellStart"/>
      <w:r w:rsidR="00CF5F78" w:rsidRPr="00CF5F78">
        <w:rPr>
          <w:rFonts w:hint="eastAsia"/>
        </w:rPr>
        <w:t>年全国教育事业发展统计公报</w:t>
      </w:r>
      <w:proofErr w:type="spellEnd"/>
      <w:r w:rsidR="00CF5F78" w:rsidRPr="00CF5F78">
        <w:rPr>
          <w:rFonts w:hint="eastAsia"/>
        </w:rPr>
        <w:t xml:space="preserve"> (2022 National Education Development Statistics).</w:t>
      </w:r>
      <w:r w:rsidR="00CF5F78" w:rsidRPr="00CF5F78">
        <w:rPr>
          <w:rFonts w:hint="eastAsia"/>
        </w:rPr>
        <w:t>”</w:t>
      </w:r>
      <w:r w:rsidR="00CF5F78" w:rsidRPr="00CF5F78">
        <w:rPr>
          <w:rFonts w:hint="eastAsia"/>
        </w:rPr>
        <w:t xml:space="preserve"> Ministry of Education of the People</w:t>
      </w:r>
      <w:r w:rsidR="00CF5F78" w:rsidRPr="00CF5F78">
        <w:rPr>
          <w:rFonts w:hint="eastAsia"/>
        </w:rPr>
        <w:t>’</w:t>
      </w:r>
      <w:r w:rsidR="00CF5F78" w:rsidRPr="00CF5F78">
        <w:rPr>
          <w:rFonts w:hint="eastAsia"/>
        </w:rPr>
        <w:t xml:space="preserve">s Republic of China, 5 July 2023, </w:t>
      </w:r>
      <w:hyperlink r:id="rId3" w:history="1">
        <w:r w:rsidR="00CF5F78" w:rsidRPr="00B61AC7">
          <w:rPr>
            <w:rStyle w:val="Hyperlink"/>
            <w:rFonts w:hint="eastAsia"/>
          </w:rPr>
          <w:t>www.moe.gov.cn/jyb_sjzl/sjzl_fztjgb/202307/t20230705_1067278.html</w:t>
        </w:r>
      </w:hyperlink>
      <w:r w:rsidR="00CF5F78">
        <w:t xml:space="preserve"> </w:t>
      </w:r>
      <w:r w:rsidR="00CF5F78">
        <w:rPr>
          <w:lang w:eastAsia="zh-C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61CB" w14:textId="77777777" w:rsidR="006B4E6E" w:rsidRDefault="006B4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4C76" w14:textId="32C5A28D" w:rsidR="00D86284" w:rsidRDefault="00D86284">
    <w:pPr>
      <w:pStyle w:val="Footer"/>
    </w:pPr>
    <w:r>
      <w:rPr>
        <w:noProof/>
      </w:rPr>
      <w:drawing>
        <wp:anchor distT="0" distB="0" distL="114300" distR="114300" simplePos="0" relativeHeight="251657216"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51A3" w14:textId="77777777" w:rsidR="006B4E6E" w:rsidRDefault="006B4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59E37" w14:textId="77777777" w:rsidR="009640D0" w:rsidRDefault="009640D0" w:rsidP="000A6228">
      <w:pPr>
        <w:spacing w:after="0" w:line="240" w:lineRule="auto"/>
      </w:pPr>
      <w:r>
        <w:separator/>
      </w:r>
    </w:p>
  </w:footnote>
  <w:footnote w:type="continuationSeparator" w:id="0">
    <w:p w14:paraId="1D2CDC67" w14:textId="77777777" w:rsidR="009640D0" w:rsidRDefault="009640D0"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9F1D" w14:textId="2206CE52" w:rsidR="006B4E6E" w:rsidRDefault="006B4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23F5" w14:textId="7A25DD60" w:rsidR="006B4E6E" w:rsidRDefault="006B4E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CA90" w14:textId="6677EE88" w:rsidR="006B4E6E" w:rsidRDefault="006B4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1320CD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9D2791"/>
    <w:multiLevelType w:val="hybridMultilevel"/>
    <w:tmpl w:val="FDDA5878"/>
    <w:lvl w:ilvl="0" w:tplc="D8BE72A0">
      <w:start w:val="5"/>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4E69F1"/>
    <w:multiLevelType w:val="hybridMultilevel"/>
    <w:tmpl w:val="443E4B52"/>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23105391">
    <w:abstractNumId w:val="11"/>
  </w:num>
  <w:num w:numId="2" w16cid:durableId="1036662661">
    <w:abstractNumId w:val="5"/>
  </w:num>
  <w:num w:numId="3" w16cid:durableId="226114273">
    <w:abstractNumId w:val="4"/>
  </w:num>
  <w:num w:numId="4" w16cid:durableId="367025091">
    <w:abstractNumId w:val="3"/>
  </w:num>
  <w:num w:numId="5" w16cid:durableId="18356579">
    <w:abstractNumId w:val="13"/>
  </w:num>
  <w:num w:numId="6" w16cid:durableId="97063260">
    <w:abstractNumId w:val="2"/>
  </w:num>
  <w:num w:numId="7" w16cid:durableId="1948348180">
    <w:abstractNumId w:val="1"/>
  </w:num>
  <w:num w:numId="8" w16cid:durableId="73011971">
    <w:abstractNumId w:val="0"/>
  </w:num>
  <w:num w:numId="9" w16cid:durableId="1010447023">
    <w:abstractNumId w:val="12"/>
  </w:num>
  <w:num w:numId="10" w16cid:durableId="1309096590">
    <w:abstractNumId w:val="7"/>
  </w:num>
  <w:num w:numId="11" w16cid:durableId="2117213803">
    <w:abstractNumId w:val="18"/>
  </w:num>
  <w:num w:numId="12" w16cid:durableId="832910460">
    <w:abstractNumId w:val="10"/>
  </w:num>
  <w:num w:numId="13" w16cid:durableId="1678649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5851488">
    <w:abstractNumId w:val="9"/>
  </w:num>
  <w:num w:numId="15" w16cid:durableId="1363752659">
    <w:abstractNumId w:val="6"/>
  </w:num>
  <w:num w:numId="16" w16cid:durableId="1250433632">
    <w:abstractNumId w:val="19"/>
  </w:num>
  <w:num w:numId="17" w16cid:durableId="1517309863">
    <w:abstractNumId w:val="14"/>
  </w:num>
  <w:num w:numId="18" w16cid:durableId="1039158898">
    <w:abstractNumId w:val="8"/>
  </w:num>
  <w:num w:numId="19" w16cid:durableId="1730416862">
    <w:abstractNumId w:val="17"/>
  </w:num>
  <w:num w:numId="20" w16cid:durableId="51540345">
    <w:abstractNumId w:val="15"/>
  </w:num>
  <w:num w:numId="21" w16cid:durableId="791173996">
    <w:abstractNumId w:val="16"/>
  </w:num>
  <w:num w:numId="22" w16cid:durableId="1754621035">
    <w:abstractNumId w:val="13"/>
  </w:num>
  <w:num w:numId="23" w16cid:durableId="6799661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5743"/>
    <w:rsid w:val="00006DAD"/>
    <w:rsid w:val="00012366"/>
    <w:rsid w:val="000134C0"/>
    <w:rsid w:val="00021FBE"/>
    <w:rsid w:val="000251ED"/>
    <w:rsid w:val="00025C95"/>
    <w:rsid w:val="0002699A"/>
    <w:rsid w:val="00033EB3"/>
    <w:rsid w:val="000354B0"/>
    <w:rsid w:val="000427C7"/>
    <w:rsid w:val="00051225"/>
    <w:rsid w:val="000521D7"/>
    <w:rsid w:val="000531DF"/>
    <w:rsid w:val="00053D3A"/>
    <w:rsid w:val="00054732"/>
    <w:rsid w:val="0006370A"/>
    <w:rsid w:val="00076257"/>
    <w:rsid w:val="0008501F"/>
    <w:rsid w:val="0009058B"/>
    <w:rsid w:val="00090B0E"/>
    <w:rsid w:val="000A0B58"/>
    <w:rsid w:val="000A36E6"/>
    <w:rsid w:val="000A5654"/>
    <w:rsid w:val="000A61D0"/>
    <w:rsid w:val="000A6228"/>
    <w:rsid w:val="000B27D4"/>
    <w:rsid w:val="000B5D40"/>
    <w:rsid w:val="000B7EC6"/>
    <w:rsid w:val="000C1E2B"/>
    <w:rsid w:val="000C43C6"/>
    <w:rsid w:val="000C5701"/>
    <w:rsid w:val="000E2C59"/>
    <w:rsid w:val="000E7958"/>
    <w:rsid w:val="000F2753"/>
    <w:rsid w:val="000F2E7E"/>
    <w:rsid w:val="000F3961"/>
    <w:rsid w:val="000F5053"/>
    <w:rsid w:val="00104824"/>
    <w:rsid w:val="00107D87"/>
    <w:rsid w:val="00107DD5"/>
    <w:rsid w:val="00112540"/>
    <w:rsid w:val="00123104"/>
    <w:rsid w:val="0012343A"/>
    <w:rsid w:val="001234C4"/>
    <w:rsid w:val="0012604F"/>
    <w:rsid w:val="001323E0"/>
    <w:rsid w:val="00133B8D"/>
    <w:rsid w:val="00135827"/>
    <w:rsid w:val="0013611E"/>
    <w:rsid w:val="0014241A"/>
    <w:rsid w:val="001515BF"/>
    <w:rsid w:val="0015384D"/>
    <w:rsid w:val="0015713B"/>
    <w:rsid w:val="00161F34"/>
    <w:rsid w:val="0017134D"/>
    <w:rsid w:val="00175B80"/>
    <w:rsid w:val="00183F35"/>
    <w:rsid w:val="00192EB7"/>
    <w:rsid w:val="00194490"/>
    <w:rsid w:val="001A2D9B"/>
    <w:rsid w:val="001A4ABD"/>
    <w:rsid w:val="001A4C01"/>
    <w:rsid w:val="001B1A7C"/>
    <w:rsid w:val="001B3FB1"/>
    <w:rsid w:val="001C1523"/>
    <w:rsid w:val="001C322B"/>
    <w:rsid w:val="001C3A64"/>
    <w:rsid w:val="001E0FB9"/>
    <w:rsid w:val="001E34A5"/>
    <w:rsid w:val="001F3AAB"/>
    <w:rsid w:val="00202EF2"/>
    <w:rsid w:val="00205592"/>
    <w:rsid w:val="00207BB0"/>
    <w:rsid w:val="00217DA7"/>
    <w:rsid w:val="00221D8F"/>
    <w:rsid w:val="002260E0"/>
    <w:rsid w:val="0022631B"/>
    <w:rsid w:val="002272DB"/>
    <w:rsid w:val="00233C60"/>
    <w:rsid w:val="00243D4B"/>
    <w:rsid w:val="00251D45"/>
    <w:rsid w:val="00256219"/>
    <w:rsid w:val="0026355D"/>
    <w:rsid w:val="00264466"/>
    <w:rsid w:val="00276047"/>
    <w:rsid w:val="00276BD8"/>
    <w:rsid w:val="00282EA3"/>
    <w:rsid w:val="00294038"/>
    <w:rsid w:val="00294B8D"/>
    <w:rsid w:val="002A3168"/>
    <w:rsid w:val="002A4458"/>
    <w:rsid w:val="002B0CD7"/>
    <w:rsid w:val="002B1CAE"/>
    <w:rsid w:val="002B5238"/>
    <w:rsid w:val="002C5A07"/>
    <w:rsid w:val="002C6549"/>
    <w:rsid w:val="002D25A2"/>
    <w:rsid w:val="002D4944"/>
    <w:rsid w:val="002D589A"/>
    <w:rsid w:val="002E491A"/>
    <w:rsid w:val="002F65D2"/>
    <w:rsid w:val="002F65E0"/>
    <w:rsid w:val="0030033B"/>
    <w:rsid w:val="00317C72"/>
    <w:rsid w:val="00334D85"/>
    <w:rsid w:val="00341C4C"/>
    <w:rsid w:val="003420D6"/>
    <w:rsid w:val="00347CD3"/>
    <w:rsid w:val="0035257F"/>
    <w:rsid w:val="00352DB3"/>
    <w:rsid w:val="00357994"/>
    <w:rsid w:val="00375E75"/>
    <w:rsid w:val="00382058"/>
    <w:rsid w:val="00392596"/>
    <w:rsid w:val="00392C94"/>
    <w:rsid w:val="003A5E65"/>
    <w:rsid w:val="003B2566"/>
    <w:rsid w:val="003B3604"/>
    <w:rsid w:val="003B4E3B"/>
    <w:rsid w:val="003B746D"/>
    <w:rsid w:val="003D030B"/>
    <w:rsid w:val="003D0757"/>
    <w:rsid w:val="003F3BA4"/>
    <w:rsid w:val="0040155D"/>
    <w:rsid w:val="00410E35"/>
    <w:rsid w:val="00415471"/>
    <w:rsid w:val="0041713E"/>
    <w:rsid w:val="00421D3F"/>
    <w:rsid w:val="00423785"/>
    <w:rsid w:val="00425E6E"/>
    <w:rsid w:val="00452D26"/>
    <w:rsid w:val="004544F0"/>
    <w:rsid w:val="004572B8"/>
    <w:rsid w:val="00473CFC"/>
    <w:rsid w:val="004778F6"/>
    <w:rsid w:val="004800D5"/>
    <w:rsid w:val="00490050"/>
    <w:rsid w:val="0049011C"/>
    <w:rsid w:val="0049441E"/>
    <w:rsid w:val="004A06CD"/>
    <w:rsid w:val="004A4B6F"/>
    <w:rsid w:val="004A4CF9"/>
    <w:rsid w:val="004B0E9C"/>
    <w:rsid w:val="004B2044"/>
    <w:rsid w:val="004B57F9"/>
    <w:rsid w:val="004C0A73"/>
    <w:rsid w:val="004C314D"/>
    <w:rsid w:val="004D0445"/>
    <w:rsid w:val="004D2965"/>
    <w:rsid w:val="004D2D9D"/>
    <w:rsid w:val="004D6FAF"/>
    <w:rsid w:val="004E15A0"/>
    <w:rsid w:val="00500E0F"/>
    <w:rsid w:val="005013C3"/>
    <w:rsid w:val="005122B4"/>
    <w:rsid w:val="00517146"/>
    <w:rsid w:val="0052195F"/>
    <w:rsid w:val="005257A5"/>
    <w:rsid w:val="00544F64"/>
    <w:rsid w:val="00545775"/>
    <w:rsid w:val="00552D57"/>
    <w:rsid w:val="00554CCE"/>
    <w:rsid w:val="00556CF6"/>
    <w:rsid w:val="0056252E"/>
    <w:rsid w:val="00564B30"/>
    <w:rsid w:val="005707C0"/>
    <w:rsid w:val="00576416"/>
    <w:rsid w:val="00576EB1"/>
    <w:rsid w:val="00582C1D"/>
    <w:rsid w:val="005922A3"/>
    <w:rsid w:val="005A11A0"/>
    <w:rsid w:val="005A534A"/>
    <w:rsid w:val="005A75C9"/>
    <w:rsid w:val="005B0412"/>
    <w:rsid w:val="005B187D"/>
    <w:rsid w:val="005C3436"/>
    <w:rsid w:val="005D0BED"/>
    <w:rsid w:val="005D403A"/>
    <w:rsid w:val="005D54EC"/>
    <w:rsid w:val="005D6AB1"/>
    <w:rsid w:val="006000F8"/>
    <w:rsid w:val="00600DDF"/>
    <w:rsid w:val="00600FE6"/>
    <w:rsid w:val="00606B3B"/>
    <w:rsid w:val="00606E0B"/>
    <w:rsid w:val="00611E20"/>
    <w:rsid w:val="00613327"/>
    <w:rsid w:val="00621DB1"/>
    <w:rsid w:val="006232DC"/>
    <w:rsid w:val="00625F5F"/>
    <w:rsid w:val="00626F8D"/>
    <w:rsid w:val="006305AA"/>
    <w:rsid w:val="0063094F"/>
    <w:rsid w:val="0063376B"/>
    <w:rsid w:val="006361E0"/>
    <w:rsid w:val="00637FAF"/>
    <w:rsid w:val="00642117"/>
    <w:rsid w:val="00663407"/>
    <w:rsid w:val="006661A2"/>
    <w:rsid w:val="006A03F4"/>
    <w:rsid w:val="006A7658"/>
    <w:rsid w:val="006B4E6E"/>
    <w:rsid w:val="006B5BB2"/>
    <w:rsid w:val="006C0402"/>
    <w:rsid w:val="006C7BEB"/>
    <w:rsid w:val="006D3191"/>
    <w:rsid w:val="006D4711"/>
    <w:rsid w:val="006D4D54"/>
    <w:rsid w:val="006D5E5A"/>
    <w:rsid w:val="006D67F3"/>
    <w:rsid w:val="006E10BA"/>
    <w:rsid w:val="006E15C7"/>
    <w:rsid w:val="006E1CBD"/>
    <w:rsid w:val="006E5625"/>
    <w:rsid w:val="006F1FFF"/>
    <w:rsid w:val="006F6D10"/>
    <w:rsid w:val="00711207"/>
    <w:rsid w:val="00712B94"/>
    <w:rsid w:val="007166A4"/>
    <w:rsid w:val="007225AD"/>
    <w:rsid w:val="00731A3C"/>
    <w:rsid w:val="00762215"/>
    <w:rsid w:val="00763CEC"/>
    <w:rsid w:val="007754D5"/>
    <w:rsid w:val="00781D7D"/>
    <w:rsid w:val="007A2AA3"/>
    <w:rsid w:val="007B2CA1"/>
    <w:rsid w:val="007C5BDD"/>
    <w:rsid w:val="007C7222"/>
    <w:rsid w:val="007D0485"/>
    <w:rsid w:val="007D062D"/>
    <w:rsid w:val="007D0A9C"/>
    <w:rsid w:val="007D0ABC"/>
    <w:rsid w:val="007D6F0A"/>
    <w:rsid w:val="007E0A8C"/>
    <w:rsid w:val="007F576C"/>
    <w:rsid w:val="008042F5"/>
    <w:rsid w:val="00807D16"/>
    <w:rsid w:val="008221BF"/>
    <w:rsid w:val="00824D88"/>
    <w:rsid w:val="00826223"/>
    <w:rsid w:val="00834EF4"/>
    <w:rsid w:val="00846A13"/>
    <w:rsid w:val="008577B9"/>
    <w:rsid w:val="00857C38"/>
    <w:rsid w:val="00864192"/>
    <w:rsid w:val="00880F45"/>
    <w:rsid w:val="00886959"/>
    <w:rsid w:val="00890934"/>
    <w:rsid w:val="00893A34"/>
    <w:rsid w:val="008A2515"/>
    <w:rsid w:val="008A36E1"/>
    <w:rsid w:val="008A37A7"/>
    <w:rsid w:val="008A5FC8"/>
    <w:rsid w:val="008B0736"/>
    <w:rsid w:val="008C5B7F"/>
    <w:rsid w:val="008D0629"/>
    <w:rsid w:val="008E4181"/>
    <w:rsid w:val="008E70F5"/>
    <w:rsid w:val="008F7988"/>
    <w:rsid w:val="009005D3"/>
    <w:rsid w:val="0090183F"/>
    <w:rsid w:val="00903498"/>
    <w:rsid w:val="00914552"/>
    <w:rsid w:val="00924439"/>
    <w:rsid w:val="00925390"/>
    <w:rsid w:val="0092721E"/>
    <w:rsid w:val="009339C2"/>
    <w:rsid w:val="00934BAF"/>
    <w:rsid w:val="00934DC7"/>
    <w:rsid w:val="009353AD"/>
    <w:rsid w:val="0094147C"/>
    <w:rsid w:val="0094299B"/>
    <w:rsid w:val="00950B06"/>
    <w:rsid w:val="00952414"/>
    <w:rsid w:val="00956A87"/>
    <w:rsid w:val="00957296"/>
    <w:rsid w:val="009640D0"/>
    <w:rsid w:val="0096530B"/>
    <w:rsid w:val="00967632"/>
    <w:rsid w:val="00970069"/>
    <w:rsid w:val="009721EB"/>
    <w:rsid w:val="0098163F"/>
    <w:rsid w:val="00984D2E"/>
    <w:rsid w:val="009A7DDA"/>
    <w:rsid w:val="009B3A30"/>
    <w:rsid w:val="009B706E"/>
    <w:rsid w:val="009C1F3D"/>
    <w:rsid w:val="009C423A"/>
    <w:rsid w:val="009C7DDA"/>
    <w:rsid w:val="009D4420"/>
    <w:rsid w:val="009D6879"/>
    <w:rsid w:val="009E51ED"/>
    <w:rsid w:val="009E79ED"/>
    <w:rsid w:val="009F78D2"/>
    <w:rsid w:val="00A07596"/>
    <w:rsid w:val="00A15C92"/>
    <w:rsid w:val="00A17A08"/>
    <w:rsid w:val="00A30CA5"/>
    <w:rsid w:val="00A31135"/>
    <w:rsid w:val="00A36874"/>
    <w:rsid w:val="00A55E8D"/>
    <w:rsid w:val="00A60673"/>
    <w:rsid w:val="00A61A22"/>
    <w:rsid w:val="00A643FE"/>
    <w:rsid w:val="00A64B5A"/>
    <w:rsid w:val="00A6587A"/>
    <w:rsid w:val="00A72B48"/>
    <w:rsid w:val="00A73DD4"/>
    <w:rsid w:val="00A776D4"/>
    <w:rsid w:val="00A83176"/>
    <w:rsid w:val="00A86267"/>
    <w:rsid w:val="00A94BFB"/>
    <w:rsid w:val="00AA2A29"/>
    <w:rsid w:val="00AA5D56"/>
    <w:rsid w:val="00AB18C2"/>
    <w:rsid w:val="00AB1C2A"/>
    <w:rsid w:val="00AB26A5"/>
    <w:rsid w:val="00AB7844"/>
    <w:rsid w:val="00AC1872"/>
    <w:rsid w:val="00AC1928"/>
    <w:rsid w:val="00AD3CE3"/>
    <w:rsid w:val="00AD631F"/>
    <w:rsid w:val="00AE21FF"/>
    <w:rsid w:val="00AE3F25"/>
    <w:rsid w:val="00AE64F1"/>
    <w:rsid w:val="00AF0C87"/>
    <w:rsid w:val="00AF1F18"/>
    <w:rsid w:val="00AF2705"/>
    <w:rsid w:val="00AF4F59"/>
    <w:rsid w:val="00B0159E"/>
    <w:rsid w:val="00B06563"/>
    <w:rsid w:val="00B07044"/>
    <w:rsid w:val="00B0726E"/>
    <w:rsid w:val="00B219D1"/>
    <w:rsid w:val="00B438BA"/>
    <w:rsid w:val="00B638B7"/>
    <w:rsid w:val="00B65093"/>
    <w:rsid w:val="00B70029"/>
    <w:rsid w:val="00B749A4"/>
    <w:rsid w:val="00B75F52"/>
    <w:rsid w:val="00B7745F"/>
    <w:rsid w:val="00B81FA4"/>
    <w:rsid w:val="00B82711"/>
    <w:rsid w:val="00B8794C"/>
    <w:rsid w:val="00B95EF4"/>
    <w:rsid w:val="00BA1E79"/>
    <w:rsid w:val="00BA6034"/>
    <w:rsid w:val="00BB2CC7"/>
    <w:rsid w:val="00BB3C92"/>
    <w:rsid w:val="00BB6509"/>
    <w:rsid w:val="00BC0F0B"/>
    <w:rsid w:val="00BC248C"/>
    <w:rsid w:val="00BC2A46"/>
    <w:rsid w:val="00BC628D"/>
    <w:rsid w:val="00BD08D8"/>
    <w:rsid w:val="00BD4207"/>
    <w:rsid w:val="00BE1CE8"/>
    <w:rsid w:val="00BF5328"/>
    <w:rsid w:val="00BF653C"/>
    <w:rsid w:val="00BF73B7"/>
    <w:rsid w:val="00C01EC0"/>
    <w:rsid w:val="00C05817"/>
    <w:rsid w:val="00C12933"/>
    <w:rsid w:val="00C14EAE"/>
    <w:rsid w:val="00C1500F"/>
    <w:rsid w:val="00C2078C"/>
    <w:rsid w:val="00C2111C"/>
    <w:rsid w:val="00C244EE"/>
    <w:rsid w:val="00C30F2A"/>
    <w:rsid w:val="00C42638"/>
    <w:rsid w:val="00C57177"/>
    <w:rsid w:val="00C6043B"/>
    <w:rsid w:val="00C6182F"/>
    <w:rsid w:val="00C65303"/>
    <w:rsid w:val="00C67289"/>
    <w:rsid w:val="00C72224"/>
    <w:rsid w:val="00C75706"/>
    <w:rsid w:val="00C80FB1"/>
    <w:rsid w:val="00C80FB9"/>
    <w:rsid w:val="00C81E89"/>
    <w:rsid w:val="00C86223"/>
    <w:rsid w:val="00C87325"/>
    <w:rsid w:val="00C87961"/>
    <w:rsid w:val="00C92A4E"/>
    <w:rsid w:val="00CA27F8"/>
    <w:rsid w:val="00CA2C30"/>
    <w:rsid w:val="00CA4815"/>
    <w:rsid w:val="00CA629A"/>
    <w:rsid w:val="00CB1E4B"/>
    <w:rsid w:val="00CB1EF4"/>
    <w:rsid w:val="00CC7CA1"/>
    <w:rsid w:val="00CD1D0E"/>
    <w:rsid w:val="00CD46BE"/>
    <w:rsid w:val="00CF3C19"/>
    <w:rsid w:val="00CF41B1"/>
    <w:rsid w:val="00CF5F78"/>
    <w:rsid w:val="00CF6562"/>
    <w:rsid w:val="00D0569D"/>
    <w:rsid w:val="00D27B21"/>
    <w:rsid w:val="00D3559C"/>
    <w:rsid w:val="00D413EA"/>
    <w:rsid w:val="00D46CA8"/>
    <w:rsid w:val="00D537F8"/>
    <w:rsid w:val="00D5688A"/>
    <w:rsid w:val="00D61F1E"/>
    <w:rsid w:val="00D72EB6"/>
    <w:rsid w:val="00D83150"/>
    <w:rsid w:val="00D86284"/>
    <w:rsid w:val="00D9492E"/>
    <w:rsid w:val="00DB2083"/>
    <w:rsid w:val="00DB5FB5"/>
    <w:rsid w:val="00DB7D48"/>
    <w:rsid w:val="00DC130F"/>
    <w:rsid w:val="00DC1930"/>
    <w:rsid w:val="00DC5980"/>
    <w:rsid w:val="00DC68D8"/>
    <w:rsid w:val="00DD2B46"/>
    <w:rsid w:val="00DE190A"/>
    <w:rsid w:val="00DE2A6E"/>
    <w:rsid w:val="00DE4037"/>
    <w:rsid w:val="00DF075F"/>
    <w:rsid w:val="00E06ED6"/>
    <w:rsid w:val="00E14DD4"/>
    <w:rsid w:val="00E200BA"/>
    <w:rsid w:val="00E259F5"/>
    <w:rsid w:val="00E50EA6"/>
    <w:rsid w:val="00E51475"/>
    <w:rsid w:val="00E529E5"/>
    <w:rsid w:val="00E53562"/>
    <w:rsid w:val="00E555AF"/>
    <w:rsid w:val="00E666E2"/>
    <w:rsid w:val="00E81D17"/>
    <w:rsid w:val="00E873DC"/>
    <w:rsid w:val="00EA18C2"/>
    <w:rsid w:val="00EB0506"/>
    <w:rsid w:val="00EB4C2F"/>
    <w:rsid w:val="00EB51F3"/>
    <w:rsid w:val="00EC23AE"/>
    <w:rsid w:val="00EC4AF1"/>
    <w:rsid w:val="00ED0DDF"/>
    <w:rsid w:val="00ED612B"/>
    <w:rsid w:val="00EE2F58"/>
    <w:rsid w:val="00EE51CB"/>
    <w:rsid w:val="00EE60D2"/>
    <w:rsid w:val="00EE6CD3"/>
    <w:rsid w:val="00EE7F64"/>
    <w:rsid w:val="00EF3535"/>
    <w:rsid w:val="00EF6EF5"/>
    <w:rsid w:val="00F02F88"/>
    <w:rsid w:val="00F1000D"/>
    <w:rsid w:val="00F11834"/>
    <w:rsid w:val="00F271EC"/>
    <w:rsid w:val="00F311A4"/>
    <w:rsid w:val="00F34516"/>
    <w:rsid w:val="00F355C2"/>
    <w:rsid w:val="00F42DCD"/>
    <w:rsid w:val="00F43A26"/>
    <w:rsid w:val="00F6566D"/>
    <w:rsid w:val="00F70E76"/>
    <w:rsid w:val="00F76F87"/>
    <w:rsid w:val="00F7712F"/>
    <w:rsid w:val="00F77D22"/>
    <w:rsid w:val="00F80BA6"/>
    <w:rsid w:val="00F81EA4"/>
    <w:rsid w:val="00F82C2C"/>
    <w:rsid w:val="00F85913"/>
    <w:rsid w:val="00F91511"/>
    <w:rsid w:val="00FA3789"/>
    <w:rsid w:val="00FB487C"/>
    <w:rsid w:val="00FB5477"/>
    <w:rsid w:val="00FC2BA2"/>
    <w:rsid w:val="00FD2BB7"/>
    <w:rsid w:val="00FD4D6E"/>
    <w:rsid w:val="00FD6383"/>
    <w:rsid w:val="00FD70AD"/>
    <w:rsid w:val="00FE7058"/>
    <w:rsid w:val="00FF5BC8"/>
    <w:rsid w:val="00FF76B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docId w15:val="{4600E126-2AA0-464C-A861-C818B691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EndnoteText">
    <w:name w:val="endnote text"/>
    <w:basedOn w:val="Normal"/>
    <w:link w:val="EndnoteTextChar"/>
    <w:uiPriority w:val="99"/>
    <w:semiHidden/>
    <w:unhideWhenUsed/>
    <w:rsid w:val="00243D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D4B"/>
    <w:rPr>
      <w:sz w:val="20"/>
      <w:szCs w:val="20"/>
    </w:rPr>
  </w:style>
  <w:style w:type="character" w:styleId="EndnoteReference">
    <w:name w:val="endnote reference"/>
    <w:basedOn w:val="DefaultParagraphFont"/>
    <w:uiPriority w:val="99"/>
    <w:semiHidden/>
    <w:unhideWhenUsed/>
    <w:rsid w:val="00243D4B"/>
    <w:rPr>
      <w:vertAlign w:val="superscript"/>
    </w:rPr>
  </w:style>
  <w:style w:type="paragraph" w:styleId="Revision">
    <w:name w:val="Revision"/>
    <w:hidden/>
    <w:uiPriority w:val="99"/>
    <w:semiHidden/>
    <w:rsid w:val="00762215"/>
    <w:pPr>
      <w:spacing w:after="0" w:line="240" w:lineRule="auto"/>
    </w:pPr>
  </w:style>
  <w:style w:type="character" w:styleId="CommentReference">
    <w:name w:val="annotation reference"/>
    <w:basedOn w:val="DefaultParagraphFont"/>
    <w:uiPriority w:val="99"/>
    <w:semiHidden/>
    <w:unhideWhenUsed/>
    <w:rsid w:val="003B746D"/>
    <w:rPr>
      <w:sz w:val="16"/>
      <w:szCs w:val="16"/>
    </w:rPr>
  </w:style>
  <w:style w:type="paragraph" w:styleId="CommentText">
    <w:name w:val="annotation text"/>
    <w:basedOn w:val="Normal"/>
    <w:link w:val="CommentTextChar"/>
    <w:uiPriority w:val="99"/>
    <w:unhideWhenUsed/>
    <w:rsid w:val="003B746D"/>
    <w:pPr>
      <w:spacing w:line="240" w:lineRule="auto"/>
    </w:pPr>
    <w:rPr>
      <w:sz w:val="20"/>
      <w:szCs w:val="20"/>
    </w:rPr>
  </w:style>
  <w:style w:type="character" w:customStyle="1" w:styleId="CommentTextChar">
    <w:name w:val="Comment Text Char"/>
    <w:basedOn w:val="DefaultParagraphFont"/>
    <w:link w:val="CommentText"/>
    <w:uiPriority w:val="99"/>
    <w:rsid w:val="003B746D"/>
    <w:rPr>
      <w:sz w:val="20"/>
      <w:szCs w:val="20"/>
    </w:rPr>
  </w:style>
  <w:style w:type="paragraph" w:styleId="CommentSubject">
    <w:name w:val="annotation subject"/>
    <w:basedOn w:val="CommentText"/>
    <w:next w:val="CommentText"/>
    <w:link w:val="CommentSubjectChar"/>
    <w:uiPriority w:val="99"/>
    <w:semiHidden/>
    <w:unhideWhenUsed/>
    <w:rsid w:val="003B746D"/>
    <w:rPr>
      <w:b/>
      <w:bCs/>
    </w:rPr>
  </w:style>
  <w:style w:type="character" w:customStyle="1" w:styleId="CommentSubjectChar">
    <w:name w:val="Comment Subject Char"/>
    <w:basedOn w:val="CommentTextChar"/>
    <w:link w:val="CommentSubject"/>
    <w:uiPriority w:val="99"/>
    <w:semiHidden/>
    <w:rsid w:val="003B746D"/>
    <w:rPr>
      <w:b/>
      <w:bCs/>
      <w:sz w:val="20"/>
      <w:szCs w:val="20"/>
    </w:rPr>
  </w:style>
  <w:style w:type="character" w:styleId="FollowedHyperlink">
    <w:name w:val="FollowedHyperlink"/>
    <w:basedOn w:val="DefaultParagraphFont"/>
    <w:uiPriority w:val="99"/>
    <w:semiHidden/>
    <w:unhideWhenUsed/>
    <w:rsid w:val="0009058B"/>
    <w:rPr>
      <w:color w:val="CE372F" w:themeColor="followedHyperlink"/>
      <w:u w:val="single"/>
    </w:rPr>
  </w:style>
  <w:style w:type="paragraph" w:styleId="NormalWeb">
    <w:name w:val="Normal (Web)"/>
    <w:basedOn w:val="Normal"/>
    <w:uiPriority w:val="99"/>
    <w:semiHidden/>
    <w:unhideWhenUsed/>
    <w:rsid w:val="00626F8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7C5B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5BDD"/>
    <w:rPr>
      <w:sz w:val="20"/>
      <w:szCs w:val="20"/>
    </w:rPr>
  </w:style>
  <w:style w:type="character" w:styleId="FootnoteReference">
    <w:name w:val="footnote reference"/>
    <w:basedOn w:val="DefaultParagraphFont"/>
    <w:uiPriority w:val="99"/>
    <w:semiHidden/>
    <w:unhideWhenUsed/>
    <w:rsid w:val="007C5B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1688">
      <w:bodyDiv w:val="1"/>
      <w:marLeft w:val="0"/>
      <w:marRight w:val="0"/>
      <w:marTop w:val="0"/>
      <w:marBottom w:val="0"/>
      <w:divBdr>
        <w:top w:val="none" w:sz="0" w:space="0" w:color="auto"/>
        <w:left w:val="none" w:sz="0" w:space="0" w:color="auto"/>
        <w:bottom w:val="none" w:sz="0" w:space="0" w:color="auto"/>
        <w:right w:val="none" w:sz="0" w:space="0" w:color="auto"/>
      </w:divBdr>
    </w:div>
    <w:div w:id="401374927">
      <w:bodyDiv w:val="1"/>
      <w:marLeft w:val="0"/>
      <w:marRight w:val="0"/>
      <w:marTop w:val="0"/>
      <w:marBottom w:val="0"/>
      <w:divBdr>
        <w:top w:val="none" w:sz="0" w:space="0" w:color="auto"/>
        <w:left w:val="none" w:sz="0" w:space="0" w:color="auto"/>
        <w:bottom w:val="none" w:sz="0" w:space="0" w:color="auto"/>
        <w:right w:val="none" w:sz="0" w:space="0" w:color="auto"/>
      </w:divBdr>
    </w:div>
    <w:div w:id="528907935">
      <w:bodyDiv w:val="1"/>
      <w:marLeft w:val="0"/>
      <w:marRight w:val="0"/>
      <w:marTop w:val="0"/>
      <w:marBottom w:val="0"/>
      <w:divBdr>
        <w:top w:val="none" w:sz="0" w:space="0" w:color="auto"/>
        <w:left w:val="none" w:sz="0" w:space="0" w:color="auto"/>
        <w:bottom w:val="none" w:sz="0" w:space="0" w:color="auto"/>
        <w:right w:val="none" w:sz="0" w:space="0" w:color="auto"/>
      </w:divBdr>
    </w:div>
    <w:div w:id="1698386686">
      <w:bodyDiv w:val="1"/>
      <w:marLeft w:val="0"/>
      <w:marRight w:val="0"/>
      <w:marTop w:val="0"/>
      <w:marBottom w:val="0"/>
      <w:divBdr>
        <w:top w:val="none" w:sz="0" w:space="0" w:color="auto"/>
        <w:left w:val="none" w:sz="0" w:space="0" w:color="auto"/>
        <w:bottom w:val="none" w:sz="0" w:space="0" w:color="auto"/>
        <w:right w:val="none" w:sz="0" w:space="0" w:color="auto"/>
      </w:divBdr>
    </w:div>
    <w:div w:id="1844203371">
      <w:bodyDiv w:val="1"/>
      <w:marLeft w:val="0"/>
      <w:marRight w:val="0"/>
      <w:marTop w:val="0"/>
      <w:marBottom w:val="0"/>
      <w:divBdr>
        <w:top w:val="none" w:sz="0" w:space="0" w:color="auto"/>
        <w:left w:val="none" w:sz="0" w:space="0" w:color="auto"/>
        <w:bottom w:val="none" w:sz="0" w:space="0" w:color="auto"/>
        <w:right w:val="none" w:sz="0" w:space="0" w:color="auto"/>
      </w:divBdr>
    </w:div>
    <w:div w:id="1884714103">
      <w:bodyDiv w:val="1"/>
      <w:marLeft w:val="0"/>
      <w:marRight w:val="0"/>
      <w:marTop w:val="0"/>
      <w:marBottom w:val="0"/>
      <w:divBdr>
        <w:top w:val="none" w:sz="0" w:space="0" w:color="auto"/>
        <w:left w:val="none" w:sz="0" w:space="0" w:color="auto"/>
        <w:bottom w:val="none" w:sz="0" w:space="0" w:color="auto"/>
        <w:right w:val="none" w:sz="0" w:space="0" w:color="auto"/>
      </w:divBdr>
    </w:div>
    <w:div w:id="1891964040">
      <w:bodyDiv w:val="1"/>
      <w:marLeft w:val="0"/>
      <w:marRight w:val="0"/>
      <w:marTop w:val="0"/>
      <w:marBottom w:val="0"/>
      <w:divBdr>
        <w:top w:val="none" w:sz="0" w:space="0" w:color="auto"/>
        <w:left w:val="none" w:sz="0" w:space="0" w:color="auto"/>
        <w:bottom w:val="none" w:sz="0" w:space="0" w:color="auto"/>
        <w:right w:val="none" w:sz="0" w:space="0" w:color="auto"/>
      </w:divBdr>
    </w:div>
    <w:div w:id="1946690125">
      <w:bodyDiv w:val="1"/>
      <w:marLeft w:val="0"/>
      <w:marRight w:val="0"/>
      <w:marTop w:val="0"/>
      <w:marBottom w:val="0"/>
      <w:divBdr>
        <w:top w:val="none" w:sz="0" w:space="0" w:color="auto"/>
        <w:left w:val="none" w:sz="0" w:space="0" w:color="auto"/>
        <w:bottom w:val="none" w:sz="0" w:space="0" w:color="auto"/>
        <w:right w:val="none" w:sz="0" w:space="0" w:color="auto"/>
      </w:divBdr>
    </w:div>
    <w:div w:id="1988782157">
      <w:bodyDiv w:val="1"/>
      <w:marLeft w:val="0"/>
      <w:marRight w:val="0"/>
      <w:marTop w:val="0"/>
      <w:marBottom w:val="0"/>
      <w:divBdr>
        <w:top w:val="none" w:sz="0" w:space="0" w:color="auto"/>
        <w:left w:val="none" w:sz="0" w:space="0" w:color="auto"/>
        <w:bottom w:val="none" w:sz="0" w:space="0" w:color="auto"/>
        <w:right w:val="none" w:sz="0" w:space="0" w:color="auto"/>
      </w:divBdr>
    </w:div>
    <w:div w:id="2053653529">
      <w:bodyDiv w:val="1"/>
      <w:marLeft w:val="0"/>
      <w:marRight w:val="0"/>
      <w:marTop w:val="0"/>
      <w:marBottom w:val="0"/>
      <w:divBdr>
        <w:top w:val="none" w:sz="0" w:space="0" w:color="auto"/>
        <w:left w:val="none" w:sz="0" w:space="0" w:color="auto"/>
        <w:bottom w:val="none" w:sz="0" w:space="0" w:color="auto"/>
        <w:right w:val="none" w:sz="0" w:space="0" w:color="auto"/>
      </w:divBdr>
      <w:divsChild>
        <w:div w:id="1869443356">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research@dfat.gov.au"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moe.gov.cn/jyb_sjzl/sjzl_fztjgb/202307/t20230705_1067278.html" TargetMode="External"/><Relationship Id="rId2" Type="http://schemas.openxmlformats.org/officeDocument/2006/relationships/hyperlink" Target="http://www.moe.gov.cn/srcsite/A07/moe_743/202208/t20220816_653132.html" TargetMode="External"/><Relationship Id="rId1" Type="http://schemas.openxmlformats.org/officeDocument/2006/relationships/hyperlink" Target="http://www.moe.gov.cn/jyb_xwfb/s5147/202208/t20220818_653608.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4815</Value>
      <Value>1997</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9d48c734-296f-4c38-a097-1a4a0c51f0a4</TermId>
        </TermInfo>
      </Terms>
    </idf49b01858c4ab7b49fec8a6554c79a>
    <DepartmentStream xmlns="ac66cff4-b0ee-4863-94d2-8c70a4f03800">Education</DepartmentStream>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Visual Identity</TermName>
          <TermId xmlns="http://schemas.microsoft.com/office/infopath/2007/PartnerControls">e356a4d3-ae31-4b16-8b18-d31fd86ccf3d</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2023-02-16T13:00:00+00:00</ItemPublishedDate>
    <PublishingExpirationDate xmlns="http://schemas.microsoft.com/sharepoint/v3" xsi:nil="true"/>
    <RoutingRuleDescription xmlns="http://schemas.microsoft.com/sharepoint/v3">Education A4 Portrait Fact Sheet Template - Dark</RoutingRuleDescription>
    <PublishingStartDate xmlns="http://schemas.microsoft.com/sharepoint/v3" xsi:nil="true"/>
    <ItemSubFunction xmlns="e72c3662-d489-4d5c-a678-b18c0e8aeb72">Resources</ItemSubFun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4" ma:contentTypeDescription="Create a new document." ma:contentTypeScope="" ma:versionID="c0a768f10c2f090369a7c31e1f606d3b">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288109fd22367927cb173c96ba5078d4"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ma:taxonomy="true" ma:internalName="la020d86e283469abb02d1589f8af8a1" ma:taxonomyFieldName="ItemFunction" ma:displayName="ItemFunction" ma:readOnly="false"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EWR Resources"/>
          <xsd:enumeration value="Domestic and family violence support"/>
          <xsd:enumeration value="Domestic travel"/>
          <xsd:enumeration value="Education Credit Card"/>
          <xsd:enumeration value="Education Resources"/>
          <xsd:enumeration value="Education Travel and Expenses"/>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alth and performance"/>
          <xsd:enumeration value="Help guides"/>
          <xsd:enumeration value="HUB"/>
          <xsd:enumeration value="HR strategy and operations"/>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enumeration value="Workforce planning and analytics"/>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ma:displayName="Department Stream" ma:format="RadioButtons" ma:internalName="DepartmentStream" ma:readOnly="false">
      <xsd:simpleType>
        <xsd:restriction base="dms:Choice">
          <xsd:enumeration value="DEWR"/>
          <xsd:enumeration value="Education"/>
          <xsd:enumeration value="Both (ED &amp; DEWR)"/>
          <xsd:enumeration value="DES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9861E2CB-9092-4F75-8CCA-4223D12398A0}">
  <ds:schemaRefs>
    <ds:schemaRef ds:uri="http://purl.org/dc/terms/"/>
    <ds:schemaRef ds:uri="http://schemas.microsoft.com/office/2006/documentManagement/types"/>
    <ds:schemaRef ds:uri="ac66cff4-b0ee-4863-94d2-8c70a4f03800"/>
    <ds:schemaRef ds:uri="http://schemas.microsoft.com/sharepoint/v3"/>
    <ds:schemaRef ds:uri="http://purl.org/dc/elements/1.1/"/>
    <ds:schemaRef ds:uri="http://schemas.openxmlformats.org/package/2006/metadata/core-properties"/>
    <ds:schemaRef ds:uri="http://schemas.microsoft.com/office/infopath/2007/PartnerControls"/>
    <ds:schemaRef ds:uri="e72c3662-d489-4d5c-a678-b18c0e8aeb72"/>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53A1ED0-6207-4D1C-8C61-7B8CF3618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780</Words>
  <Characters>4655</Characters>
  <Application>Microsoft Office Word</Application>
  <DocSecurity>0</DocSecurity>
  <Lines>68</Lines>
  <Paragraphs>22</Paragraphs>
  <ScaleCrop>false</ScaleCrop>
  <HeadingPairs>
    <vt:vector size="2" baseType="variant">
      <vt:variant>
        <vt:lpstr>Title</vt:lpstr>
      </vt:variant>
      <vt:variant>
        <vt:i4>1</vt:i4>
      </vt:variant>
    </vt:vector>
  </HeadingPairs>
  <TitlesOfParts>
    <vt:vector size="1" baseType="lpstr">
      <vt:lpstr>China’s Hukou system and its impact on study abroad</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China’s Hukou system and its impact on study abroad</dc:title>
  <dc:subject/>
  <dc:creator>Huayi Jin</dc:creator>
  <cp:keywords>A4; Fact Sheet; Template; Education [SEC=OFFICIAL]</cp:keywords>
  <dc:description/>
  <cp:lastModifiedBy>Rachel Lynch</cp:lastModifiedBy>
  <cp:revision>4</cp:revision>
  <cp:lastPrinted>2024-01-16T03:13:00Z</cp:lastPrinted>
  <dcterms:created xsi:type="dcterms:W3CDTF">2024-01-12T08:47:00Z</dcterms:created>
  <dcterms:modified xsi:type="dcterms:W3CDTF">2024-01-16T03:13:00Z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0x01010079A1FA163F83FC4DA7B02D4604972D30</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y fmtid="{D5CDD505-2E9C-101B-9397-08002B2CF9AE}" pid="13" name="PM_OriginatorDomainName_SHA256">
    <vt:lpwstr>6F3591835F3B2A8A025B00B5BA6418010DA3A17C9C26EA9C049FFD28039489A2</vt:lpwstr>
  </property>
  <property fmtid="{D5CDD505-2E9C-101B-9397-08002B2CF9AE}" pid="14" name="PM_Hash_Salt">
    <vt:lpwstr>B782118A5EF5F9D3B8A1D8F96F844BFA</vt:lpwstr>
  </property>
  <property fmtid="{D5CDD505-2E9C-101B-9397-08002B2CF9AE}" pid="15" name="PM_Caveats_Count">
    <vt:lpwstr>0</vt:lpwstr>
  </property>
  <property fmtid="{D5CDD505-2E9C-101B-9397-08002B2CF9AE}" pid="16" name="PM_SecurityClassification">
    <vt:lpwstr>OFFICIAL</vt:lpwstr>
  </property>
  <property fmtid="{D5CDD505-2E9C-101B-9397-08002B2CF9AE}" pid="17" name="PM_Qualifier">
    <vt:lpwstr/>
  </property>
  <property fmtid="{D5CDD505-2E9C-101B-9397-08002B2CF9AE}" pid="18" name="PM_DisplayValueSecClassificationWithQualifier">
    <vt:lpwstr>OFFICIAL</vt:lpwstr>
  </property>
  <property fmtid="{D5CDD505-2E9C-101B-9397-08002B2CF9AE}" pid="19" name="PM_InsertionValue">
    <vt:lpwstr>OFFICIAL</vt:lpwstr>
  </property>
  <property fmtid="{D5CDD505-2E9C-101B-9397-08002B2CF9AE}" pid="20" name="PM_Originator_Hash_SHA1">
    <vt:lpwstr>68CD5924082C6BC2B63F62C1F2ECD9B498A9A1E4</vt:lpwstr>
  </property>
  <property fmtid="{D5CDD505-2E9C-101B-9397-08002B2CF9AE}" pid="21" name="PM_OriginationTimeStamp">
    <vt:lpwstr>2023-06-08T08:40:10Z</vt:lpwstr>
  </property>
  <property fmtid="{D5CDD505-2E9C-101B-9397-08002B2CF9AE}" pid="22" name="PM_ProtectiveMarkingValue_Header">
    <vt:lpwstr>OFFICIAL</vt:lpwstr>
  </property>
  <property fmtid="{D5CDD505-2E9C-101B-9397-08002B2CF9AE}" pid="23" name="PM_Originating_FileId">
    <vt:lpwstr>D8109B2457BD4C6BA2A0B9A47DF44E37</vt:lpwstr>
  </property>
  <property fmtid="{D5CDD505-2E9C-101B-9397-08002B2CF9AE}" pid="24" name="PM_ProtectiveMarkingValue_Footer">
    <vt:lpwstr>OFFICIAL</vt:lpwstr>
  </property>
  <property fmtid="{D5CDD505-2E9C-101B-9397-08002B2CF9AE}" pid="25" name="PM_ProtectiveMarkingImage_Header">
    <vt:lpwstr>C:\Program Files (x86)\Common Files\janusNET Shared\janusSEAL\Images\DocumentSlashBlue.png</vt:lpwstr>
  </property>
  <property fmtid="{D5CDD505-2E9C-101B-9397-08002B2CF9AE}" pid="26" name="PM_ProtectiveMarkingImage_Footer">
    <vt:lpwstr>C:\Program Files (x86)\Common Files\janusNET Shared\janusSEAL\Images\DocumentSlashBlue.png</vt:lpwstr>
  </property>
  <property fmtid="{D5CDD505-2E9C-101B-9397-08002B2CF9AE}" pid="27" name="PM_Namespace">
    <vt:lpwstr>gov.au</vt:lpwstr>
  </property>
  <property fmtid="{D5CDD505-2E9C-101B-9397-08002B2CF9AE}" pid="28" name="PM_Version">
    <vt:lpwstr>2018.4</vt:lpwstr>
  </property>
  <property fmtid="{D5CDD505-2E9C-101B-9397-08002B2CF9AE}" pid="29" name="PM_Note">
    <vt:lpwstr/>
  </property>
  <property fmtid="{D5CDD505-2E9C-101B-9397-08002B2CF9AE}" pid="30" name="PM_Markers">
    <vt:lpwstr/>
  </property>
  <property fmtid="{D5CDD505-2E9C-101B-9397-08002B2CF9AE}" pid="31" name="PM_Display">
    <vt:lpwstr>OFFICIAL</vt:lpwstr>
  </property>
  <property fmtid="{D5CDD505-2E9C-101B-9397-08002B2CF9AE}" pid="32" name="PMUuid">
    <vt:lpwstr>v=2022.2;d=gov.au;g=46DD6D7C-8107-577B-BC6E-F348953B2E44</vt:lpwstr>
  </property>
  <property fmtid="{D5CDD505-2E9C-101B-9397-08002B2CF9AE}" pid="33" name="PM_Hash_Version">
    <vt:lpwstr>2022.1</vt:lpwstr>
  </property>
  <property fmtid="{D5CDD505-2E9C-101B-9397-08002B2CF9AE}" pid="34" name="PM_Hash_Salt_Prev">
    <vt:lpwstr>060C3F4A39E96883C51EA66B5502F2F3</vt:lpwstr>
  </property>
  <property fmtid="{D5CDD505-2E9C-101B-9397-08002B2CF9AE}" pid="35" name="PM_Hash_SHA1">
    <vt:lpwstr>6C1A8A8B2163530D409EAE5B3EB29C3503FE8451</vt:lpwstr>
  </property>
  <property fmtid="{D5CDD505-2E9C-101B-9397-08002B2CF9AE}" pid="36" name="PM_OriginatorUserAccountName_SHA256">
    <vt:lpwstr>8AF59F97CBA2AA29F3CC849F7042D8A03151F1762AEBBC905B23367821121192</vt:lpwstr>
  </property>
  <property fmtid="{D5CDD505-2E9C-101B-9397-08002B2CF9AE}" pid="37" name="PM_SecurityClassification_Prev">
    <vt:lpwstr>OFFICIAL</vt:lpwstr>
  </property>
  <property fmtid="{D5CDD505-2E9C-101B-9397-08002B2CF9AE}" pid="38" name="PM_Qualifier_Prev">
    <vt:lpwstr/>
  </property>
  <property fmtid="{D5CDD505-2E9C-101B-9397-08002B2CF9AE}" pid="39" name="PMHMAC">
    <vt:lpwstr>v=2022.1;a=SHA256;h=5BAF3286B8272189578425732842DEC27DACABC63BBC087BDBEC6E538BADA121</vt:lpwstr>
  </property>
</Properties>
</file>