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3FB570A3" w:rsidR="005A7163" w:rsidRPr="003337FC" w:rsidRDefault="005279AE" w:rsidP="00DA01EC">
      <w:pPr>
        <w:spacing w:before="480"/>
        <w:jc w:val="center"/>
        <w:rPr>
          <w:rFonts w:ascii="Calibri" w:hAnsi="Calibri" w:cs="Arial"/>
          <w:b/>
          <w:bCs/>
          <w:iCs/>
          <w:noProof/>
          <w:sz w:val="36"/>
        </w:rPr>
      </w:pPr>
      <w:r w:rsidRPr="006A271B">
        <w:rPr>
          <w:rFonts w:ascii="Calibri" w:hAnsi="Calibri" w:cs="Arial"/>
          <w:b/>
          <w:bCs/>
          <w:iCs/>
          <w:noProof/>
          <w:sz w:val="36"/>
        </w:rPr>
        <w:t>James Cook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11B2993F" w:rsidR="009310C3" w:rsidRPr="006A271B" w:rsidRDefault="005279AE" w:rsidP="009310C3">
      <w:pPr>
        <w:rPr>
          <w:rFonts w:ascii="Calibri" w:hAnsi="Calibri" w:cs="Calibri"/>
          <w:b/>
          <w:bCs/>
          <w:color w:val="000000"/>
          <w:sz w:val="22"/>
          <w:szCs w:val="22"/>
        </w:rPr>
      </w:pPr>
      <w:r w:rsidRPr="006A271B">
        <w:rPr>
          <w:rFonts w:ascii="Calibri" w:hAnsi="Calibri" w:cs="Calibri"/>
          <w:b/>
          <w:bCs/>
          <w:color w:val="000000"/>
          <w:sz w:val="22"/>
          <w:szCs w:val="22"/>
        </w:rPr>
        <w:t>James Cook University</w:t>
      </w:r>
      <w:r w:rsidR="009310C3" w:rsidRPr="006A271B">
        <w:rPr>
          <w:rFonts w:cstheme="minorHAnsi"/>
          <w:sz w:val="22"/>
          <w:szCs w:val="22"/>
        </w:rPr>
        <w:t>,</w:t>
      </w:r>
      <w:r w:rsidR="009310C3" w:rsidRPr="006A271B">
        <w:rPr>
          <w:rFonts w:cstheme="minorHAnsi"/>
          <w:bCs/>
          <w:sz w:val="22"/>
          <w:szCs w:val="22"/>
        </w:rPr>
        <w:t xml:space="preserve"> </w:t>
      </w:r>
      <w:r w:rsidRPr="006A271B">
        <w:rPr>
          <w:rFonts w:cstheme="minorHAnsi"/>
          <w:bCs/>
          <w:sz w:val="22"/>
          <w:szCs w:val="22"/>
        </w:rPr>
        <w:t>Rm 328</w:t>
      </w:r>
      <w:bookmarkStart w:id="0" w:name="AddLine2_1"/>
      <w:r w:rsidR="009310C3" w:rsidRPr="006A271B">
        <w:rPr>
          <w:rFonts w:cstheme="minorHAnsi"/>
          <w:bCs/>
          <w:sz w:val="22"/>
          <w:szCs w:val="22"/>
        </w:rPr>
        <w:t>,</w:t>
      </w:r>
      <w:r w:rsidR="009310C3" w:rsidRPr="006A271B">
        <w:rPr>
          <w:rFonts w:cstheme="minorHAnsi"/>
          <w:bCs/>
          <w:noProof/>
          <w:sz w:val="22"/>
          <w:szCs w:val="22"/>
        </w:rPr>
        <w:t xml:space="preserve"> </w:t>
      </w:r>
      <w:r w:rsidRPr="006A271B">
        <w:rPr>
          <w:rFonts w:cstheme="minorHAnsi"/>
          <w:bCs/>
          <w:noProof/>
          <w:sz w:val="22"/>
          <w:szCs w:val="22"/>
        </w:rPr>
        <w:t>Ken Back Chancellery Bldg</w:t>
      </w:r>
      <w:bookmarkEnd w:id="0"/>
      <w:r w:rsidR="009310C3" w:rsidRPr="006A271B">
        <w:rPr>
          <w:rFonts w:cstheme="minorHAnsi"/>
          <w:bCs/>
          <w:noProof/>
          <w:sz w:val="22"/>
          <w:szCs w:val="22"/>
        </w:rPr>
        <w:t xml:space="preserve">, </w:t>
      </w:r>
      <w:r w:rsidRPr="006A271B">
        <w:rPr>
          <w:rFonts w:cstheme="minorHAnsi"/>
          <w:bCs/>
          <w:noProof/>
          <w:sz w:val="22"/>
          <w:szCs w:val="22"/>
        </w:rPr>
        <w:t>TOWNSVILLE QLD 4811</w:t>
      </w:r>
      <w:r w:rsidR="009310C3" w:rsidRPr="006A271B">
        <w:rPr>
          <w:rFonts w:cstheme="minorHAnsi"/>
          <w:noProof/>
          <w:sz w:val="22"/>
          <w:szCs w:val="22"/>
        </w:rPr>
        <w:t xml:space="preserve"> </w:t>
      </w:r>
      <w:r w:rsidR="009310C3" w:rsidRPr="006A271B">
        <w:rPr>
          <w:rFonts w:cstheme="minorHAnsi"/>
          <w:sz w:val="22"/>
        </w:rPr>
        <w:t xml:space="preserve">(‘Provider’) </w:t>
      </w:r>
    </w:p>
    <w:p w14:paraId="7AB6E022" w14:textId="052130CA" w:rsidR="009310C3" w:rsidRPr="00BA1317" w:rsidRDefault="009310C3" w:rsidP="009310C3">
      <w:pPr>
        <w:spacing w:after="240"/>
        <w:rPr>
          <w:rFonts w:cstheme="minorHAnsi"/>
          <w:sz w:val="22"/>
          <w:szCs w:val="22"/>
        </w:rPr>
      </w:pPr>
      <w:r w:rsidRPr="006A271B">
        <w:rPr>
          <w:rFonts w:cstheme="minorHAnsi"/>
          <w:sz w:val="22"/>
        </w:rPr>
        <w:t xml:space="preserve">[ABN </w:t>
      </w:r>
      <w:r w:rsidR="005279AE" w:rsidRPr="006A271B">
        <w:rPr>
          <w:rFonts w:cstheme="minorHAnsi"/>
          <w:sz w:val="22"/>
        </w:rPr>
        <w:t>46 253 211 955</w:t>
      </w:r>
      <w:r w:rsidRPr="006A271B">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5F52CAE6" w:rsidR="00221829" w:rsidRPr="00896372" w:rsidRDefault="00686799" w:rsidP="00896372">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896372">
        <w:rPr>
          <w:rFonts w:ascii="Calibri" w:hAnsi="Calibri" w:cs="Arial"/>
          <w:sz w:val="22"/>
          <w:szCs w:val="22"/>
        </w:rPr>
        <w:t xml:space="preserve">any </w:t>
      </w:r>
      <w:r w:rsidRPr="00896372">
        <w:rPr>
          <w:rFonts w:ascii="Calibri" w:hAnsi="Calibri" w:cs="Arial"/>
          <w:sz w:val="22"/>
          <w:szCs w:val="22"/>
        </w:rPr>
        <w:t>amounts equivalent to any unspent Part 2-2 grant funding in the 2024 and 2025 grant years.</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5279AE" w14:paraId="6452427A" w14:textId="77777777" w:rsidTr="00BC26D9">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6A1F966" w14:textId="77777777" w:rsidR="005279AE" w:rsidRDefault="005279AE">
            <w:pPr>
              <w:jc w:val="center"/>
              <w:rPr>
                <w:rFonts w:ascii="Calibri" w:hAnsi="Calibri" w:cs="Calibri"/>
                <w:b/>
                <w:bCs/>
                <w:color w:val="000000"/>
                <w:sz w:val="22"/>
                <w:szCs w:val="22"/>
              </w:rPr>
            </w:pPr>
            <w:bookmarkStart w:id="1" w:name="FundingTable"/>
            <w:bookmarkEnd w:id="1"/>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EE98636"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FCE9C62"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2025</w:t>
            </w:r>
          </w:p>
        </w:tc>
      </w:tr>
      <w:tr w:rsidR="005279AE" w14:paraId="5402C871" w14:textId="77777777" w:rsidTr="00BC26D9">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2CD2B4C" w14:textId="77777777" w:rsidR="005279AE" w:rsidRDefault="005279AE">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5279AE" w14:paraId="037BEE11" w14:textId="77777777" w:rsidTr="00BC26D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9D07BFC" w14:textId="77777777" w:rsidR="005279AE" w:rsidRDefault="005279AE">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1E31195D" w14:textId="77777777" w:rsidR="005279AE" w:rsidRDefault="005279AE">
            <w:pPr>
              <w:jc w:val="right"/>
              <w:rPr>
                <w:rFonts w:ascii="Calibri" w:hAnsi="Calibri" w:cs="Calibri"/>
                <w:color w:val="000000"/>
                <w:sz w:val="20"/>
                <w:szCs w:val="20"/>
              </w:rPr>
            </w:pPr>
            <w:r>
              <w:rPr>
                <w:rFonts w:ascii="Calibri" w:hAnsi="Calibri" w:cs="Calibri"/>
                <w:color w:val="000000"/>
                <w:sz w:val="20"/>
                <w:szCs w:val="20"/>
              </w:rPr>
              <w:t>$129,504,383</w:t>
            </w:r>
          </w:p>
        </w:tc>
        <w:tc>
          <w:tcPr>
            <w:tcW w:w="1077" w:type="pct"/>
            <w:tcBorders>
              <w:top w:val="nil"/>
              <w:left w:val="nil"/>
              <w:bottom w:val="single" w:sz="4" w:space="0" w:color="auto"/>
              <w:right w:val="single" w:sz="4" w:space="0" w:color="auto"/>
            </w:tcBorders>
            <w:shd w:val="clear" w:color="auto" w:fill="auto"/>
            <w:vAlign w:val="center"/>
            <w:hideMark/>
          </w:tcPr>
          <w:p w14:paraId="4FFE1C43" w14:textId="77777777" w:rsidR="007206A2" w:rsidRPr="00581731" w:rsidRDefault="007206A2" w:rsidP="007206A2">
            <w:pPr>
              <w:jc w:val="right"/>
              <w:rPr>
                <w:rFonts w:ascii="Calibri" w:hAnsi="Calibri" w:cs="Calibri"/>
                <w:sz w:val="20"/>
                <w:szCs w:val="20"/>
              </w:rPr>
            </w:pPr>
            <w:r w:rsidRPr="00581731">
              <w:rPr>
                <w:rFonts w:ascii="Calibri" w:hAnsi="Calibri" w:cs="Calibri"/>
                <w:sz w:val="20"/>
                <w:szCs w:val="20"/>
              </w:rPr>
              <w:t>$139,163,985</w:t>
            </w:r>
          </w:p>
          <w:p w14:paraId="5CA6BBB5" w14:textId="1BD2033B" w:rsidR="005279AE" w:rsidRDefault="005279AE">
            <w:pPr>
              <w:jc w:val="right"/>
              <w:rPr>
                <w:rFonts w:ascii="Calibri" w:hAnsi="Calibri" w:cs="Calibri"/>
                <w:color w:val="000000"/>
                <w:sz w:val="20"/>
                <w:szCs w:val="20"/>
              </w:rPr>
            </w:pPr>
          </w:p>
        </w:tc>
      </w:tr>
      <w:tr w:rsidR="005279AE" w14:paraId="55EFC4BB" w14:textId="77777777" w:rsidTr="00BC26D9">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468B773" w14:textId="77777777" w:rsidR="005279AE" w:rsidRDefault="005279AE">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052963D" w14:textId="4E947841" w:rsidR="005279AE" w:rsidRDefault="000500BD">
            <w:pPr>
              <w:jc w:val="right"/>
              <w:rPr>
                <w:rFonts w:ascii="Calibri" w:hAnsi="Calibri" w:cs="Calibri"/>
                <w:i/>
                <w:iCs/>
                <w:color w:val="000000"/>
                <w:sz w:val="20"/>
                <w:szCs w:val="20"/>
              </w:rPr>
            </w:pPr>
            <w:r w:rsidRPr="000500BD">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B5A655E" w14:textId="62D2B3CE" w:rsidR="005279AE" w:rsidRDefault="002C4611">
            <w:pPr>
              <w:jc w:val="right"/>
              <w:rPr>
                <w:rFonts w:ascii="Calibri" w:hAnsi="Calibri" w:cs="Calibri"/>
                <w:i/>
                <w:iCs/>
                <w:color w:val="000000"/>
                <w:sz w:val="20"/>
                <w:szCs w:val="20"/>
              </w:rPr>
            </w:pPr>
            <w:r>
              <w:rPr>
                <w:rFonts w:ascii="Calibri" w:hAnsi="Calibri" w:cs="Calibri"/>
                <w:i/>
                <w:iCs/>
                <w:color w:val="000000"/>
                <w:sz w:val="20"/>
                <w:szCs w:val="20"/>
              </w:rPr>
              <w:t>$0</w:t>
            </w:r>
          </w:p>
        </w:tc>
      </w:tr>
      <w:tr w:rsidR="005279AE" w14:paraId="5BC9FA30" w14:textId="77777777" w:rsidTr="00BC26D9">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A5B0C47" w14:textId="77777777" w:rsidR="005279AE" w:rsidRDefault="005279AE">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41F2F189" w14:textId="77777777" w:rsidR="005279AE" w:rsidRDefault="005279AE">
            <w:pPr>
              <w:jc w:val="right"/>
              <w:rPr>
                <w:rFonts w:ascii="Calibri" w:hAnsi="Calibri" w:cs="Calibri"/>
                <w:i/>
                <w:iCs/>
                <w:color w:val="000000"/>
                <w:sz w:val="20"/>
                <w:szCs w:val="20"/>
              </w:rPr>
            </w:pPr>
            <w:r>
              <w:rPr>
                <w:rFonts w:ascii="Calibri" w:hAnsi="Calibri" w:cs="Calibri"/>
                <w:i/>
                <w:iCs/>
                <w:color w:val="000000"/>
                <w:sz w:val="20"/>
                <w:szCs w:val="20"/>
              </w:rPr>
              <w:t>$2,249,916</w:t>
            </w:r>
          </w:p>
        </w:tc>
        <w:tc>
          <w:tcPr>
            <w:tcW w:w="1077" w:type="pct"/>
            <w:tcBorders>
              <w:top w:val="nil"/>
              <w:left w:val="nil"/>
              <w:bottom w:val="single" w:sz="4" w:space="0" w:color="auto"/>
              <w:right w:val="single" w:sz="4" w:space="0" w:color="auto"/>
            </w:tcBorders>
            <w:shd w:val="clear" w:color="auto" w:fill="auto"/>
            <w:vAlign w:val="center"/>
            <w:hideMark/>
          </w:tcPr>
          <w:p w14:paraId="2028E445" w14:textId="5DE85649" w:rsidR="005279AE" w:rsidRDefault="005E73AE">
            <w:pPr>
              <w:jc w:val="right"/>
              <w:rPr>
                <w:rFonts w:ascii="Calibri" w:hAnsi="Calibri" w:cs="Calibri"/>
                <w:i/>
                <w:iCs/>
                <w:color w:val="000000"/>
                <w:sz w:val="20"/>
                <w:szCs w:val="20"/>
              </w:rPr>
            </w:pPr>
            <w:r w:rsidRPr="005E73AE">
              <w:rPr>
                <w:rFonts w:ascii="Calibri" w:hAnsi="Calibri" w:cs="Calibri"/>
                <w:i/>
                <w:iCs/>
                <w:color w:val="000000"/>
                <w:sz w:val="20"/>
                <w:szCs w:val="20"/>
              </w:rPr>
              <w:t>$1,756,532</w:t>
            </w:r>
          </w:p>
        </w:tc>
      </w:tr>
      <w:tr w:rsidR="005279AE" w14:paraId="75691A13" w14:textId="77777777" w:rsidTr="00BC26D9">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E8FFC72" w14:textId="77777777" w:rsidR="005279AE" w:rsidRDefault="005279AE">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4D488AB" w14:textId="77777777" w:rsidR="005279AE" w:rsidRDefault="005279AE">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088BC74A" w14:textId="35432415" w:rsidR="005279AE" w:rsidRDefault="00B320F4">
            <w:pPr>
              <w:jc w:val="right"/>
              <w:rPr>
                <w:rFonts w:ascii="Calibri" w:hAnsi="Calibri" w:cs="Calibri"/>
                <w:i/>
                <w:iCs/>
                <w:color w:val="000000"/>
                <w:sz w:val="20"/>
                <w:szCs w:val="20"/>
              </w:rPr>
            </w:pPr>
            <w:r>
              <w:rPr>
                <w:rFonts w:ascii="Calibri" w:hAnsi="Calibri" w:cs="Calibri"/>
                <w:i/>
                <w:iCs/>
                <w:color w:val="000000"/>
                <w:sz w:val="20"/>
                <w:szCs w:val="20"/>
              </w:rPr>
              <w:t>$0</w:t>
            </w:r>
          </w:p>
        </w:tc>
      </w:tr>
      <w:tr w:rsidR="005279AE" w14:paraId="4C122CF2" w14:textId="77777777" w:rsidTr="00BC26D9">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C1A53F2" w14:textId="77777777" w:rsidR="005279AE" w:rsidRDefault="005279AE">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79134D4B" w14:textId="77777777" w:rsidR="005279AE" w:rsidRDefault="005279AE">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489230A" w14:textId="77777777" w:rsidR="005279AE" w:rsidRDefault="005279AE">
            <w:pPr>
              <w:jc w:val="right"/>
              <w:rPr>
                <w:rFonts w:ascii="Calibri" w:hAnsi="Calibri" w:cs="Calibri"/>
                <w:i/>
                <w:iCs/>
                <w:color w:val="000000"/>
                <w:sz w:val="20"/>
                <w:szCs w:val="20"/>
              </w:rPr>
            </w:pPr>
            <w:r>
              <w:rPr>
                <w:rFonts w:ascii="Calibri" w:hAnsi="Calibri" w:cs="Calibri"/>
                <w:i/>
                <w:iCs/>
                <w:color w:val="000000"/>
                <w:sz w:val="20"/>
                <w:szCs w:val="20"/>
              </w:rPr>
              <w:t>N/A</w:t>
            </w:r>
          </w:p>
        </w:tc>
      </w:tr>
      <w:tr w:rsidR="005279AE" w14:paraId="7D6630A4" w14:textId="77777777" w:rsidTr="00BC26D9">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053128F" w14:textId="77777777" w:rsidR="005279AE" w:rsidRDefault="005279AE">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3DFBDF33" w14:textId="77777777" w:rsidR="005279AE" w:rsidRDefault="005279AE">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02AE8D0F" w14:textId="6BCC133E" w:rsidR="005279AE" w:rsidRDefault="005E73AE">
            <w:pPr>
              <w:jc w:val="right"/>
              <w:rPr>
                <w:rFonts w:ascii="Calibri" w:hAnsi="Calibri" w:cs="Calibri"/>
                <w:i/>
                <w:iCs/>
                <w:color w:val="000000"/>
                <w:sz w:val="20"/>
                <w:szCs w:val="20"/>
              </w:rPr>
            </w:pPr>
            <w:r>
              <w:rPr>
                <w:rFonts w:ascii="Calibri" w:hAnsi="Calibri" w:cs="Calibri"/>
                <w:i/>
                <w:iCs/>
                <w:color w:val="000000"/>
                <w:sz w:val="20"/>
                <w:szCs w:val="20"/>
              </w:rPr>
              <w:t>$0</w:t>
            </w:r>
          </w:p>
        </w:tc>
      </w:tr>
      <w:tr w:rsidR="005279AE" w14:paraId="289082DE" w14:textId="77777777" w:rsidTr="00BC26D9">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4650CA0" w14:textId="77777777" w:rsidR="005279AE" w:rsidRDefault="005279AE">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43A22912" w14:textId="309AD214" w:rsidR="005279AE" w:rsidRDefault="000500BD">
            <w:pPr>
              <w:jc w:val="right"/>
              <w:rPr>
                <w:rFonts w:ascii="Calibri" w:hAnsi="Calibri" w:cs="Calibri"/>
                <w:color w:val="000000"/>
                <w:sz w:val="20"/>
                <w:szCs w:val="20"/>
              </w:rPr>
            </w:pPr>
            <w:r w:rsidRPr="000500BD">
              <w:rPr>
                <w:rFonts w:ascii="Calibri" w:hAnsi="Calibri" w:cs="Calibri"/>
                <w:color w:val="000000"/>
                <w:sz w:val="20"/>
                <w:szCs w:val="20"/>
              </w:rPr>
              <w:t>$28,447,426</w:t>
            </w:r>
          </w:p>
        </w:tc>
        <w:tc>
          <w:tcPr>
            <w:tcW w:w="1077" w:type="pct"/>
            <w:tcBorders>
              <w:top w:val="nil"/>
              <w:left w:val="nil"/>
              <w:bottom w:val="single" w:sz="4" w:space="0" w:color="auto"/>
              <w:right w:val="single" w:sz="4" w:space="0" w:color="auto"/>
            </w:tcBorders>
            <w:shd w:val="clear" w:color="auto" w:fill="auto"/>
            <w:vAlign w:val="center"/>
            <w:hideMark/>
          </w:tcPr>
          <w:p w14:paraId="3F0E744D" w14:textId="0F0B14A8" w:rsidR="005279AE" w:rsidRDefault="00310B48">
            <w:pPr>
              <w:jc w:val="right"/>
              <w:rPr>
                <w:rFonts w:ascii="Calibri" w:hAnsi="Calibri" w:cs="Calibri"/>
                <w:color w:val="000000"/>
                <w:sz w:val="20"/>
                <w:szCs w:val="20"/>
              </w:rPr>
            </w:pPr>
            <w:r>
              <w:rPr>
                <w:rFonts w:ascii="Calibri" w:hAnsi="Calibri" w:cs="Calibri"/>
                <w:color w:val="000000"/>
                <w:sz w:val="20"/>
                <w:szCs w:val="20"/>
              </w:rPr>
              <w:t>$30,122,232</w:t>
            </w:r>
          </w:p>
        </w:tc>
      </w:tr>
      <w:tr w:rsidR="005279AE" w14:paraId="11805929" w14:textId="77777777" w:rsidTr="00BC26D9">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AF950C5" w14:textId="77777777" w:rsidR="005279AE" w:rsidRDefault="005279AE">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599C7267" w14:textId="77777777" w:rsidR="005279AE" w:rsidRDefault="005279AE">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61DDB547" w14:textId="77777777" w:rsidR="005279AE" w:rsidRDefault="005279AE">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5279AE" w14:paraId="02E46F96" w14:textId="77777777" w:rsidTr="00BC26D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3E930BF" w14:textId="77777777" w:rsidR="005279AE" w:rsidRDefault="005279AE">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23FFC15E" w14:textId="6BCE3E57" w:rsidR="005279AE" w:rsidRDefault="0003561D">
            <w:pPr>
              <w:jc w:val="right"/>
              <w:rPr>
                <w:rFonts w:ascii="Calibri" w:hAnsi="Calibri" w:cs="Calibri"/>
                <w:color w:val="000000"/>
                <w:sz w:val="20"/>
                <w:szCs w:val="20"/>
              </w:rPr>
            </w:pPr>
            <w:r>
              <w:rPr>
                <w:rFonts w:ascii="Calibri" w:hAnsi="Calibri" w:cs="Calibri"/>
                <w:color w:val="000000"/>
                <w:sz w:val="20"/>
                <w:szCs w:val="20"/>
              </w:rPr>
              <w:t>$1,566,318</w:t>
            </w:r>
          </w:p>
        </w:tc>
        <w:tc>
          <w:tcPr>
            <w:tcW w:w="1077" w:type="pct"/>
            <w:tcBorders>
              <w:top w:val="nil"/>
              <w:left w:val="nil"/>
              <w:bottom w:val="single" w:sz="4" w:space="0" w:color="auto"/>
              <w:right w:val="single" w:sz="4" w:space="0" w:color="auto"/>
            </w:tcBorders>
            <w:shd w:val="clear" w:color="auto" w:fill="auto"/>
            <w:vAlign w:val="center"/>
            <w:hideMark/>
          </w:tcPr>
          <w:p w14:paraId="25A9EC8C" w14:textId="7862D038" w:rsidR="005279AE" w:rsidRDefault="00C44912">
            <w:pPr>
              <w:jc w:val="right"/>
              <w:rPr>
                <w:rFonts w:ascii="Calibri" w:hAnsi="Calibri" w:cs="Calibri"/>
                <w:color w:val="000000"/>
                <w:sz w:val="20"/>
                <w:szCs w:val="20"/>
              </w:rPr>
            </w:pPr>
            <w:r w:rsidRPr="00C44912">
              <w:rPr>
                <w:rFonts w:ascii="Calibri" w:hAnsi="Calibri" w:cs="Calibri"/>
                <w:color w:val="000000"/>
                <w:sz w:val="20"/>
                <w:szCs w:val="20"/>
              </w:rPr>
              <w:t>$1,661,240</w:t>
            </w:r>
          </w:p>
        </w:tc>
      </w:tr>
      <w:tr w:rsidR="005279AE" w14:paraId="69187CBE" w14:textId="77777777" w:rsidTr="00BC26D9">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0996DDD" w14:textId="77777777" w:rsidR="005279AE" w:rsidRDefault="005279AE">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5279AE" w14:paraId="6D6603B4" w14:textId="77777777" w:rsidTr="00BC26D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B768479" w14:textId="77777777" w:rsidR="005279AE" w:rsidRDefault="005279AE">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3CC51509" w14:textId="2CB43124" w:rsidR="005279AE" w:rsidRDefault="000500BD">
            <w:pPr>
              <w:jc w:val="right"/>
              <w:rPr>
                <w:rFonts w:ascii="Calibri" w:hAnsi="Calibri" w:cs="Calibri"/>
                <w:color w:val="000000"/>
                <w:sz w:val="20"/>
                <w:szCs w:val="20"/>
              </w:rPr>
            </w:pPr>
            <w:r w:rsidRPr="000500BD">
              <w:rPr>
                <w:rFonts w:ascii="Calibri" w:hAnsi="Calibri" w:cs="Calibri"/>
                <w:color w:val="000000"/>
                <w:sz w:val="20"/>
                <w:szCs w:val="20"/>
              </w:rPr>
              <w:t>$12,198,540</w:t>
            </w:r>
          </w:p>
        </w:tc>
        <w:tc>
          <w:tcPr>
            <w:tcW w:w="1077" w:type="pct"/>
            <w:tcBorders>
              <w:top w:val="nil"/>
              <w:left w:val="nil"/>
              <w:bottom w:val="single" w:sz="4" w:space="0" w:color="auto"/>
              <w:right w:val="single" w:sz="4" w:space="0" w:color="auto"/>
            </w:tcBorders>
            <w:shd w:val="clear" w:color="auto" w:fill="auto"/>
            <w:vAlign w:val="center"/>
            <w:hideMark/>
          </w:tcPr>
          <w:p w14:paraId="6FC4D681" w14:textId="4848DE6F" w:rsidR="005279AE" w:rsidRDefault="00A745B9">
            <w:pPr>
              <w:jc w:val="right"/>
              <w:rPr>
                <w:rFonts w:ascii="Calibri" w:hAnsi="Calibri" w:cs="Calibri"/>
                <w:color w:val="000000"/>
                <w:sz w:val="20"/>
                <w:szCs w:val="20"/>
              </w:rPr>
            </w:pPr>
            <w:r>
              <w:rPr>
                <w:rFonts w:ascii="Calibri" w:hAnsi="Calibri" w:cs="Calibri"/>
                <w:color w:val="000000"/>
                <w:sz w:val="20"/>
                <w:szCs w:val="20"/>
              </w:rPr>
              <w:t>$13,332,946</w:t>
            </w:r>
          </w:p>
        </w:tc>
      </w:tr>
      <w:tr w:rsidR="005279AE" w14:paraId="2B0B2A1A" w14:textId="77777777" w:rsidTr="00BC26D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DA8FF81" w14:textId="77777777" w:rsidR="005279AE" w:rsidRDefault="005279AE">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575F0673" w14:textId="7ABC102E" w:rsidR="005279AE" w:rsidRDefault="000500BD">
            <w:pPr>
              <w:jc w:val="right"/>
              <w:rPr>
                <w:rFonts w:ascii="Calibri" w:hAnsi="Calibri" w:cs="Calibri"/>
                <w:color w:val="000000"/>
                <w:sz w:val="20"/>
                <w:szCs w:val="20"/>
              </w:rPr>
            </w:pPr>
            <w:r w:rsidRPr="000500BD">
              <w:rPr>
                <w:rFonts w:ascii="Calibri" w:hAnsi="Calibri" w:cs="Calibri"/>
                <w:color w:val="000000"/>
                <w:sz w:val="20"/>
                <w:szCs w:val="20"/>
              </w:rPr>
              <w:t>$8,847,217</w:t>
            </w:r>
          </w:p>
        </w:tc>
        <w:tc>
          <w:tcPr>
            <w:tcW w:w="1077" w:type="pct"/>
            <w:tcBorders>
              <w:top w:val="nil"/>
              <w:left w:val="nil"/>
              <w:bottom w:val="single" w:sz="4" w:space="0" w:color="auto"/>
              <w:right w:val="single" w:sz="4" w:space="0" w:color="auto"/>
            </w:tcBorders>
            <w:shd w:val="clear" w:color="auto" w:fill="auto"/>
            <w:vAlign w:val="center"/>
            <w:hideMark/>
          </w:tcPr>
          <w:p w14:paraId="73875D17" w14:textId="2E8A1C65" w:rsidR="005279AE" w:rsidRDefault="00A745B9">
            <w:pPr>
              <w:jc w:val="right"/>
              <w:rPr>
                <w:rFonts w:ascii="Calibri" w:hAnsi="Calibri" w:cs="Calibri"/>
                <w:color w:val="000000"/>
                <w:sz w:val="20"/>
                <w:szCs w:val="20"/>
              </w:rPr>
            </w:pPr>
            <w:r>
              <w:rPr>
                <w:rFonts w:ascii="Calibri" w:hAnsi="Calibri" w:cs="Calibri"/>
                <w:color w:val="000000"/>
                <w:sz w:val="20"/>
                <w:szCs w:val="20"/>
              </w:rPr>
              <w:t>$10,201,709</w:t>
            </w:r>
          </w:p>
        </w:tc>
      </w:tr>
      <w:tr w:rsidR="005279AE" w14:paraId="493F425E" w14:textId="77777777" w:rsidTr="00BC26D9">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65AECE7" w14:textId="77777777" w:rsidR="005279AE" w:rsidRDefault="005279AE">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5279AE" w14:paraId="7084AB08" w14:textId="77777777" w:rsidTr="00BC26D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AE1F1EF" w14:textId="77777777" w:rsidR="005279AE" w:rsidRDefault="005279AE">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690B12DF" w14:textId="2F40DB69" w:rsidR="005279AE" w:rsidRDefault="000500BD">
            <w:pPr>
              <w:jc w:val="right"/>
              <w:rPr>
                <w:rFonts w:ascii="Calibri" w:hAnsi="Calibri" w:cs="Calibri"/>
                <w:color w:val="000000"/>
                <w:sz w:val="20"/>
                <w:szCs w:val="20"/>
              </w:rPr>
            </w:pPr>
            <w:r w:rsidRPr="000500BD">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shd w:val="clear" w:color="auto" w:fill="auto"/>
            <w:vAlign w:val="center"/>
            <w:hideMark/>
          </w:tcPr>
          <w:p w14:paraId="68DFE5ED" w14:textId="037020E4" w:rsidR="005279AE" w:rsidRDefault="00717285">
            <w:pPr>
              <w:jc w:val="right"/>
              <w:rPr>
                <w:rFonts w:ascii="Calibri" w:hAnsi="Calibri" w:cs="Calibri"/>
                <w:color w:val="000000"/>
                <w:sz w:val="20"/>
                <w:szCs w:val="20"/>
              </w:rPr>
            </w:pPr>
            <w:r>
              <w:rPr>
                <w:rFonts w:ascii="Calibri" w:hAnsi="Calibri" w:cs="Calibri"/>
                <w:color w:val="000000"/>
                <w:sz w:val="20"/>
                <w:szCs w:val="20"/>
              </w:rPr>
              <w:t>$3,808,765</w:t>
            </w:r>
          </w:p>
        </w:tc>
      </w:tr>
      <w:tr w:rsidR="005279AE" w14:paraId="4BF175E6" w14:textId="77777777" w:rsidTr="00BC26D9">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CA24E5D" w14:textId="77777777" w:rsidR="005279AE" w:rsidRDefault="005279AE">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69A51462" w14:textId="1057239C" w:rsidR="005279AE" w:rsidRDefault="000500BD">
            <w:pPr>
              <w:jc w:val="right"/>
              <w:rPr>
                <w:rFonts w:ascii="Calibri" w:hAnsi="Calibri" w:cs="Calibri"/>
                <w:color w:val="000000"/>
                <w:sz w:val="20"/>
                <w:szCs w:val="20"/>
              </w:rPr>
            </w:pPr>
            <w:r w:rsidRPr="000500BD">
              <w:rPr>
                <w:rFonts w:ascii="Calibri" w:hAnsi="Calibri" w:cs="Calibri"/>
                <w:color w:val="000000"/>
                <w:sz w:val="20"/>
                <w:szCs w:val="20"/>
              </w:rPr>
              <w:t>$5,596,864</w:t>
            </w:r>
          </w:p>
        </w:tc>
        <w:tc>
          <w:tcPr>
            <w:tcW w:w="1077" w:type="pct"/>
            <w:tcBorders>
              <w:top w:val="nil"/>
              <w:left w:val="nil"/>
              <w:bottom w:val="single" w:sz="4" w:space="0" w:color="auto"/>
              <w:right w:val="single" w:sz="4" w:space="0" w:color="auto"/>
            </w:tcBorders>
            <w:shd w:val="clear" w:color="auto" w:fill="auto"/>
            <w:vAlign w:val="center"/>
            <w:hideMark/>
          </w:tcPr>
          <w:p w14:paraId="7D0BE231" w14:textId="5835A08D" w:rsidR="005279AE" w:rsidRDefault="004A53B0">
            <w:pPr>
              <w:jc w:val="right"/>
              <w:rPr>
                <w:rFonts w:ascii="Calibri" w:hAnsi="Calibri" w:cs="Calibri"/>
                <w:color w:val="000000"/>
                <w:sz w:val="20"/>
                <w:szCs w:val="20"/>
              </w:rPr>
            </w:pPr>
            <w:r w:rsidRPr="004A53B0">
              <w:rPr>
                <w:rFonts w:ascii="Calibri" w:hAnsi="Calibri" w:cs="Calibri"/>
                <w:color w:val="000000"/>
                <w:sz w:val="20"/>
                <w:szCs w:val="20"/>
              </w:rPr>
              <w:t>$5,824,994</w:t>
            </w:r>
          </w:p>
        </w:tc>
      </w:tr>
      <w:tr w:rsidR="005279AE" w14:paraId="79E8D7E7" w14:textId="77777777" w:rsidTr="00BC26D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944DB64" w14:textId="77777777" w:rsidR="005279AE" w:rsidRDefault="005279AE">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31A12ED8" w14:textId="77777777" w:rsidR="005279AE" w:rsidRDefault="005279AE">
            <w:pPr>
              <w:jc w:val="right"/>
              <w:rPr>
                <w:rFonts w:ascii="Calibri" w:hAnsi="Calibri" w:cs="Calibri"/>
                <w:color w:val="000000"/>
                <w:sz w:val="20"/>
                <w:szCs w:val="20"/>
              </w:rPr>
            </w:pPr>
            <w:r>
              <w:rPr>
                <w:rFonts w:ascii="Calibri" w:hAnsi="Calibri" w:cs="Calibri"/>
                <w:color w:val="000000"/>
                <w:sz w:val="20"/>
                <w:szCs w:val="20"/>
              </w:rPr>
              <w:t>$15,551,016</w:t>
            </w:r>
          </w:p>
        </w:tc>
        <w:tc>
          <w:tcPr>
            <w:tcW w:w="1077" w:type="pct"/>
            <w:tcBorders>
              <w:top w:val="nil"/>
              <w:left w:val="nil"/>
              <w:bottom w:val="single" w:sz="4" w:space="0" w:color="auto"/>
              <w:right w:val="single" w:sz="4" w:space="0" w:color="auto"/>
            </w:tcBorders>
            <w:shd w:val="clear" w:color="auto" w:fill="auto"/>
            <w:vAlign w:val="center"/>
            <w:hideMark/>
          </w:tcPr>
          <w:p w14:paraId="0F8EF20F" w14:textId="77777777" w:rsidR="005279AE" w:rsidRDefault="005279AE">
            <w:pPr>
              <w:jc w:val="right"/>
              <w:rPr>
                <w:rFonts w:ascii="Calibri" w:hAnsi="Calibri" w:cs="Calibri"/>
                <w:color w:val="000000"/>
                <w:sz w:val="20"/>
                <w:szCs w:val="20"/>
              </w:rPr>
            </w:pPr>
            <w:r>
              <w:rPr>
                <w:rFonts w:ascii="Calibri" w:hAnsi="Calibri" w:cs="Calibri"/>
                <w:color w:val="000000"/>
                <w:sz w:val="20"/>
                <w:szCs w:val="20"/>
              </w:rPr>
              <w:t>TBA</w:t>
            </w:r>
          </w:p>
        </w:tc>
      </w:tr>
      <w:tr w:rsidR="005279AE" w14:paraId="56A4F339" w14:textId="77777777" w:rsidTr="00BC26D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4AFAA6E" w14:textId="77777777" w:rsidR="005279AE" w:rsidRDefault="005279AE">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122A455C" w14:textId="77777777" w:rsidR="005279AE" w:rsidRDefault="005279AE">
            <w:pPr>
              <w:jc w:val="right"/>
              <w:rPr>
                <w:rFonts w:ascii="Calibri" w:hAnsi="Calibri" w:cs="Calibri"/>
                <w:color w:val="000000"/>
                <w:sz w:val="20"/>
                <w:szCs w:val="20"/>
              </w:rPr>
            </w:pPr>
            <w:r>
              <w:rPr>
                <w:rFonts w:ascii="Calibri" w:hAnsi="Calibri" w:cs="Calibri"/>
                <w:color w:val="000000"/>
                <w:sz w:val="20"/>
                <w:szCs w:val="20"/>
              </w:rPr>
              <w:t>$371,890</w:t>
            </w:r>
          </w:p>
        </w:tc>
        <w:tc>
          <w:tcPr>
            <w:tcW w:w="1077" w:type="pct"/>
            <w:tcBorders>
              <w:top w:val="nil"/>
              <w:left w:val="nil"/>
              <w:bottom w:val="single" w:sz="4" w:space="0" w:color="auto"/>
              <w:right w:val="single" w:sz="4" w:space="0" w:color="auto"/>
            </w:tcBorders>
            <w:shd w:val="clear" w:color="auto" w:fill="auto"/>
            <w:vAlign w:val="center"/>
            <w:hideMark/>
          </w:tcPr>
          <w:p w14:paraId="7AB39696" w14:textId="7FAA8844" w:rsidR="005279AE" w:rsidRDefault="007206A2">
            <w:pPr>
              <w:jc w:val="right"/>
              <w:rPr>
                <w:rFonts w:ascii="Calibri" w:hAnsi="Calibri" w:cs="Calibri"/>
                <w:color w:val="000000"/>
                <w:sz w:val="20"/>
                <w:szCs w:val="20"/>
              </w:rPr>
            </w:pPr>
            <w:r>
              <w:rPr>
                <w:rFonts w:ascii="Calibri" w:hAnsi="Calibri" w:cs="Calibri"/>
                <w:color w:val="000000"/>
                <w:sz w:val="20"/>
                <w:szCs w:val="20"/>
              </w:rPr>
              <w:t>N/A</w:t>
            </w:r>
          </w:p>
        </w:tc>
      </w:tr>
      <w:tr w:rsidR="005279AE" w14:paraId="7F0E2C7C" w14:textId="77777777" w:rsidTr="00BC26D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113BFEE" w14:textId="77777777" w:rsidR="005279AE" w:rsidRDefault="005279AE">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3DB6C85B" w14:textId="77777777" w:rsidR="005279AE" w:rsidRDefault="005279AE">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8311C0F" w14:textId="02654C36" w:rsidR="005279AE" w:rsidRDefault="00C05063">
            <w:pPr>
              <w:jc w:val="right"/>
              <w:rPr>
                <w:rFonts w:ascii="Calibri" w:hAnsi="Calibri" w:cs="Calibri"/>
                <w:color w:val="000000"/>
                <w:sz w:val="20"/>
                <w:szCs w:val="20"/>
              </w:rPr>
            </w:pPr>
            <w:r>
              <w:rPr>
                <w:rFonts w:ascii="Calibri" w:hAnsi="Calibri" w:cs="Calibri"/>
                <w:color w:val="000000"/>
                <w:sz w:val="20"/>
                <w:szCs w:val="20"/>
              </w:rPr>
              <w:t>$0</w:t>
            </w:r>
          </w:p>
        </w:tc>
      </w:tr>
      <w:tr w:rsidR="005279AE" w14:paraId="336B98DE" w14:textId="77777777" w:rsidTr="00BC26D9">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5DCD845C" w14:textId="77777777" w:rsidR="005279AE" w:rsidRDefault="005279AE">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305BAC3E" w14:textId="1B253173" w:rsidR="005279AE" w:rsidRDefault="005279AE">
            <w:pPr>
              <w:jc w:val="right"/>
              <w:rPr>
                <w:rFonts w:ascii="Calibri" w:hAnsi="Calibri" w:cs="Calibri"/>
                <w:b/>
                <w:bCs/>
                <w:color w:val="000000"/>
                <w:sz w:val="20"/>
                <w:szCs w:val="20"/>
              </w:rPr>
            </w:pPr>
            <w:r>
              <w:rPr>
                <w:rFonts w:ascii="Calibri" w:hAnsi="Calibri" w:cs="Calibri"/>
                <w:b/>
                <w:bCs/>
                <w:color w:val="000000"/>
                <w:sz w:val="20"/>
                <w:szCs w:val="20"/>
              </w:rPr>
              <w:t>$</w:t>
            </w:r>
            <w:r w:rsidR="00711BC5">
              <w:rPr>
                <w:rFonts w:ascii="Calibri" w:hAnsi="Calibri" w:cs="Calibri"/>
                <w:b/>
                <w:bCs/>
                <w:color w:val="000000"/>
                <w:sz w:val="20"/>
                <w:szCs w:val="20"/>
              </w:rPr>
              <w:t>205,742,410</w:t>
            </w:r>
          </w:p>
        </w:tc>
        <w:tc>
          <w:tcPr>
            <w:tcW w:w="1077" w:type="pct"/>
            <w:tcBorders>
              <w:top w:val="nil"/>
              <w:left w:val="nil"/>
              <w:bottom w:val="single" w:sz="4" w:space="0" w:color="auto"/>
              <w:right w:val="single" w:sz="4" w:space="0" w:color="auto"/>
            </w:tcBorders>
            <w:shd w:val="clear" w:color="000000" w:fill="F2F2F2"/>
            <w:vAlign w:val="center"/>
            <w:hideMark/>
          </w:tcPr>
          <w:p w14:paraId="47EB92CD" w14:textId="77777777" w:rsidR="005279AE" w:rsidRDefault="005279AE">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2" w:name="_Hlk59012843"/>
      <w:bookmarkStart w:id="3" w:name="_Hlk58926145"/>
      <w:r w:rsidDel="00590941">
        <w:rPr>
          <w:lang w:val="en-GB"/>
        </w:rPr>
        <w:br w:type="page"/>
      </w:r>
      <w:bookmarkEnd w:id="2"/>
      <w:bookmarkEnd w:id="3"/>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higher education courses;</w:t>
      </w:r>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bookmarkStart w:id="4" w:name="medical_clauses"/>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5399CE3B" w:rsidR="005A7163" w:rsidRPr="004A35E5"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9310C3" w:rsidRPr="004A35E5">
        <w:rPr>
          <w:rFonts w:ascii="Calibri" w:hAnsi="Calibri" w:cs="Arial"/>
          <w:sz w:val="22"/>
          <w:szCs w:val="22"/>
        </w:rPr>
        <w:t>Table 2</w:t>
      </w:r>
      <w:r w:rsidRPr="004A35E5">
        <w:rPr>
          <w:rFonts w:ascii="Calibri" w:hAnsi="Calibri" w:cs="Arial"/>
          <w:sz w:val="22"/>
          <w:szCs w:val="22"/>
        </w:rPr>
        <w:t>.</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6FE70B66" w14:textId="4EC6A4E7" w:rsidR="004F7CBE" w:rsidRPr="00B42EE3" w:rsidRDefault="4808A976" w:rsidP="00584AC0">
      <w:pPr>
        <w:widowControl w:val="0"/>
        <w:numPr>
          <w:ilvl w:val="0"/>
          <w:numId w:val="2"/>
        </w:numPr>
        <w:tabs>
          <w:tab w:val="left" w:pos="567"/>
          <w:tab w:val="left" w:pos="8222"/>
        </w:tabs>
        <w:spacing w:before="120" w:after="120"/>
        <w:rPr>
          <w:rFonts w:ascii="Calibri" w:hAnsi="Calibri" w:cs="Arial"/>
          <w:bCs/>
          <w:sz w:val="22"/>
          <w:szCs w:val="22"/>
        </w:rPr>
      </w:pPr>
      <w:bookmarkStart w:id="5" w:name="mdmsn"/>
      <w:r w:rsidRPr="5FFDBAB4">
        <w:rPr>
          <w:rFonts w:ascii="Calibri" w:hAnsi="Calibri" w:cs="Arial"/>
          <w:sz w:val="22"/>
          <w:szCs w:val="22"/>
        </w:rPr>
        <w:t xml:space="preserve">Of the number of Commonwealth supported places in medicine allocated to the Provider under </w:t>
      </w:r>
      <w:r w:rsidR="00B42EE3" w:rsidRPr="5FFDBAB4">
        <w:rPr>
          <w:rFonts w:ascii="Calibri" w:hAnsi="Calibri" w:cs="Arial"/>
          <w:sz w:val="22"/>
          <w:szCs w:val="22"/>
        </w:rPr>
        <w:t>clause</w:t>
      </w:r>
      <w:r w:rsidR="00B42EE3">
        <w:rPr>
          <w:rFonts w:ascii="Calibri" w:hAnsi="Calibri" w:cs="Arial"/>
          <w:sz w:val="22"/>
          <w:szCs w:val="22"/>
        </w:rPr>
        <w:t> 1</w:t>
      </w:r>
      <w:r w:rsidR="00B85CA0">
        <w:rPr>
          <w:rFonts w:ascii="Calibri" w:hAnsi="Calibri" w:cs="Arial"/>
          <w:sz w:val="22"/>
          <w:szCs w:val="22"/>
        </w:rPr>
        <w:t>3</w:t>
      </w:r>
      <w:r w:rsidRPr="5FFDBAB4">
        <w:rPr>
          <w:rFonts w:ascii="Calibri" w:hAnsi="Calibri" w:cs="Arial"/>
          <w:sz w:val="22"/>
          <w:szCs w:val="22"/>
        </w:rPr>
        <w:t xml:space="preserve">, the </w:t>
      </w:r>
      <w:r w:rsidRPr="00B42EE3">
        <w:rPr>
          <w:rFonts w:ascii="Calibri" w:hAnsi="Calibri" w:cs="Arial"/>
          <w:sz w:val="22"/>
          <w:szCs w:val="22"/>
        </w:rPr>
        <w:t xml:space="preserve">Provider must deliver </w:t>
      </w:r>
      <w:r w:rsidR="005279AE" w:rsidRPr="006A271B">
        <w:rPr>
          <w:rFonts w:ascii="Calibri" w:hAnsi="Calibri" w:cs="Arial"/>
          <w:bCs/>
          <w:sz w:val="22"/>
          <w:szCs w:val="22"/>
        </w:rPr>
        <w:t>20</w:t>
      </w:r>
      <w:r w:rsidRPr="00B42EE3">
        <w:rPr>
          <w:rFonts w:ascii="Calibri" w:hAnsi="Calibri" w:cs="Arial"/>
          <w:sz w:val="22"/>
          <w:szCs w:val="22"/>
        </w:rPr>
        <w:t xml:space="preserve"> EFTSL in 2024, </w:t>
      </w:r>
      <w:r w:rsidRPr="00A7594A">
        <w:rPr>
          <w:rFonts w:ascii="Calibri" w:hAnsi="Calibri" w:cs="Arial"/>
          <w:color w:val="000000" w:themeColor="text1"/>
          <w:sz w:val="22"/>
          <w:szCs w:val="22"/>
        </w:rPr>
        <w:t xml:space="preserve">and </w:t>
      </w:r>
      <w:r w:rsidR="005279AE" w:rsidRPr="00A7594A">
        <w:rPr>
          <w:rFonts w:ascii="Calibri" w:hAnsi="Calibri" w:cs="Arial"/>
          <w:bCs/>
          <w:noProof/>
          <w:color w:val="000000" w:themeColor="text1"/>
          <w:sz w:val="22"/>
          <w:szCs w:val="22"/>
        </w:rPr>
        <w:t>40</w:t>
      </w:r>
      <w:r w:rsidR="00676E64" w:rsidRPr="00A7594A">
        <w:rPr>
          <w:rFonts w:ascii="Calibri" w:hAnsi="Calibri" w:cs="Arial"/>
          <w:color w:val="000000" w:themeColor="text1"/>
          <w:sz w:val="22"/>
          <w:szCs w:val="22"/>
        </w:rPr>
        <w:t xml:space="preserve"> </w:t>
      </w:r>
      <w:r w:rsidRPr="00A7594A">
        <w:rPr>
          <w:rFonts w:ascii="Calibri" w:hAnsi="Calibri" w:cs="Arial"/>
          <w:color w:val="000000" w:themeColor="text1"/>
          <w:sz w:val="22"/>
          <w:szCs w:val="22"/>
        </w:rPr>
        <w:t xml:space="preserve">EFTSL </w:t>
      </w:r>
      <w:r w:rsidRPr="00B42EE3">
        <w:rPr>
          <w:rFonts w:ascii="Calibri" w:hAnsi="Calibri" w:cs="Arial"/>
          <w:sz w:val="22"/>
          <w:szCs w:val="22"/>
        </w:rPr>
        <w:t xml:space="preserve">in 2025 at the </w:t>
      </w:r>
      <w:r w:rsidR="005279AE" w:rsidRPr="006A271B">
        <w:rPr>
          <w:rFonts w:ascii="Calibri" w:hAnsi="Calibri" w:cs="Arial"/>
          <w:bCs/>
          <w:noProof/>
          <w:sz w:val="22"/>
          <w:szCs w:val="22"/>
        </w:rPr>
        <w:t>Cairns, QLD</w:t>
      </w:r>
      <w:r w:rsidRPr="00B42EE3">
        <w:rPr>
          <w:rFonts w:ascii="Calibri" w:hAnsi="Calibri" w:cs="Arial"/>
          <w:sz w:val="22"/>
          <w:szCs w:val="22"/>
        </w:rPr>
        <w:t xml:space="preserve"> campus.</w:t>
      </w:r>
    </w:p>
    <w:bookmarkEnd w:id="5"/>
    <w:p w14:paraId="73A4C7FF" w14:textId="62DB20B4" w:rsidR="005A7163" w:rsidRPr="003337FC"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sidR="00345277">
        <w:rPr>
          <w:rFonts w:ascii="Calibri" w:hAnsi="Calibri" w:cs="Arial"/>
          <w:sz w:val="22"/>
          <w:szCs w:val="22"/>
        </w:rPr>
        <w:t xml:space="preserve"> in</w:t>
      </w:r>
      <w:r w:rsidRPr="5FFDBAB4">
        <w:rPr>
          <w:rFonts w:ascii="Calibri" w:hAnsi="Calibri" w:cs="Arial"/>
          <w:sz w:val="22"/>
          <w:szCs w:val="22"/>
        </w:rPr>
        <w:t xml:space="preserve"> </w:t>
      </w:r>
      <w:r w:rsidR="6EFABCBD" w:rsidRPr="097E5536">
        <w:rPr>
          <w:rFonts w:ascii="Calibri" w:hAnsi="Calibri" w:cs="Arial"/>
          <w:sz w:val="22"/>
          <w:szCs w:val="22"/>
        </w:rPr>
        <w:t>202</w:t>
      </w:r>
      <w:r w:rsidR="2828B562" w:rsidRPr="097E5536">
        <w:rPr>
          <w:rFonts w:ascii="Calibri" w:hAnsi="Calibri" w:cs="Arial"/>
          <w:sz w:val="22"/>
          <w:szCs w:val="22"/>
        </w:rPr>
        <w:t>4</w:t>
      </w:r>
      <w:r w:rsidRPr="5FFDBAB4" w:rsidDel="005A7163">
        <w:rPr>
          <w:rFonts w:ascii="Calibri" w:hAnsi="Calibri" w:cs="Arial"/>
          <w:sz w:val="22"/>
          <w:szCs w:val="22"/>
        </w:rPr>
        <w:t xml:space="preserve"> </w:t>
      </w:r>
      <w:r w:rsidRPr="5FFDBAB4">
        <w:rPr>
          <w:rFonts w:ascii="Calibri" w:hAnsi="Calibri" w:cs="Arial"/>
          <w:sz w:val="22"/>
          <w:szCs w:val="22"/>
        </w:rPr>
        <w:t xml:space="preserve">and </w:t>
      </w:r>
      <w:r w:rsidR="6D855250" w:rsidRPr="5FFDBAB4">
        <w:rPr>
          <w:rFonts w:ascii="Calibri" w:hAnsi="Calibri" w:cs="Arial"/>
          <w:sz w:val="22"/>
          <w:szCs w:val="22"/>
        </w:rPr>
        <w:t>2025 is</w:t>
      </w:r>
      <w:r w:rsidRPr="5FFDBAB4" w:rsidDel="005A7163">
        <w:rPr>
          <w:rFonts w:ascii="Calibri" w:hAnsi="Calibri" w:cs="Arial"/>
          <w:sz w:val="22"/>
          <w:szCs w:val="22"/>
        </w:rPr>
        <w:t xml:space="preserve"> </w:t>
      </w:r>
      <w:r w:rsidR="3416A5D9" w:rsidRPr="5FFDBAB4">
        <w:rPr>
          <w:rFonts w:ascii="Calibri" w:hAnsi="Calibri" w:cs="Arial"/>
          <w:noProof/>
          <w:sz w:val="22"/>
          <w:szCs w:val="22"/>
        </w:rPr>
        <w:t xml:space="preserve">outlined </w:t>
      </w:r>
      <w:r w:rsidR="3416A5D9" w:rsidRPr="004A35E5">
        <w:rPr>
          <w:rFonts w:ascii="Calibri" w:hAnsi="Calibri" w:cs="Arial"/>
          <w:noProof/>
          <w:sz w:val="22"/>
          <w:szCs w:val="22"/>
        </w:rPr>
        <w:t xml:space="preserve">in Table </w:t>
      </w:r>
      <w:r w:rsidR="00694917" w:rsidRPr="004A35E5">
        <w:rPr>
          <w:rFonts w:ascii="Calibri" w:hAnsi="Calibri" w:cs="Arial"/>
          <w:noProof/>
          <w:sz w:val="22"/>
          <w:szCs w:val="22"/>
        </w:rPr>
        <w:t>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1A0920CC" w14:textId="77777777" w:rsidR="009310C3"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6" w:name="dffp_disallowed"/>
      <w:r w:rsidRPr="7704FC00">
        <w:rPr>
          <w:rFonts w:ascii="Calibri" w:hAnsi="Calibri" w:cs="Arial"/>
          <w:sz w:val="22"/>
          <w:szCs w:val="22"/>
        </w:rPr>
        <w:t xml:space="preserve">The Provider must not admit commencing domestic </w:t>
      </w:r>
      <w:r w:rsidR="74193382" w:rsidRPr="7704FC00">
        <w:rPr>
          <w:rFonts w:ascii="Calibri" w:hAnsi="Calibri" w:cs="Arial"/>
          <w:sz w:val="22"/>
          <w:szCs w:val="22"/>
        </w:rPr>
        <w:t>full fee</w:t>
      </w:r>
      <w:r w:rsidRPr="7704FC00">
        <w:rPr>
          <w:rFonts w:ascii="Calibri" w:hAnsi="Calibri" w:cs="Arial"/>
          <w:sz w:val="22"/>
          <w:szCs w:val="22"/>
        </w:rPr>
        <w:t xml:space="preserve"> paying students in its designated higher education courses in medicine.</w:t>
      </w:r>
    </w:p>
    <w:bookmarkEnd w:id="6"/>
    <w:p w14:paraId="78DBA976" w14:textId="0B8293E7" w:rsidR="00A6065B" w:rsidRPr="000E0A52" w:rsidRDefault="00A6065B" w:rsidP="00A6065B">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5279AE" w14:paraId="18F607CD" w14:textId="77777777" w:rsidTr="00BC26D9">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9B9596E" w14:textId="77777777" w:rsidR="005279AE" w:rsidRDefault="005279AE">
            <w:pPr>
              <w:jc w:val="center"/>
              <w:rPr>
                <w:rFonts w:ascii="Calibri" w:hAnsi="Calibri" w:cs="Calibri"/>
                <w:b/>
                <w:bCs/>
                <w:color w:val="000000"/>
                <w:sz w:val="22"/>
                <w:szCs w:val="22"/>
              </w:rPr>
            </w:pPr>
            <w:bookmarkStart w:id="7" w:name="MedTable"/>
            <w:bookmarkEnd w:id="7"/>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76A880D6"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39639491"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3C475E36"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5279AE" w14:paraId="3D72F8E0" w14:textId="77777777" w:rsidTr="00BC26D9">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3195F035"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602CE596" w14:textId="34E0C81A" w:rsidR="005279AE" w:rsidRDefault="005279AE">
            <w:pPr>
              <w:jc w:val="center"/>
              <w:rPr>
                <w:rFonts w:ascii="Calibri" w:hAnsi="Calibri" w:cs="Calibri"/>
                <w:color w:val="000000"/>
                <w:sz w:val="22"/>
                <w:szCs w:val="22"/>
              </w:rPr>
            </w:pPr>
            <w:r>
              <w:rPr>
                <w:rFonts w:ascii="Calibri" w:hAnsi="Calibri" w:cs="Calibri"/>
                <w:color w:val="000000"/>
                <w:sz w:val="22"/>
                <w:szCs w:val="22"/>
              </w:rPr>
              <w:t>9</w:t>
            </w:r>
            <w:r w:rsidR="00D3022B">
              <w:rPr>
                <w:rFonts w:ascii="Calibri" w:hAnsi="Calibri" w:cs="Calibri"/>
                <w:color w:val="000000"/>
                <w:sz w:val="22"/>
                <w:szCs w:val="22"/>
              </w:rPr>
              <w:t>34</w:t>
            </w:r>
          </w:p>
        </w:tc>
        <w:tc>
          <w:tcPr>
            <w:tcW w:w="1525" w:type="pct"/>
            <w:tcBorders>
              <w:top w:val="nil"/>
              <w:left w:val="nil"/>
              <w:bottom w:val="single" w:sz="4" w:space="0" w:color="auto"/>
              <w:right w:val="single" w:sz="4" w:space="0" w:color="auto"/>
            </w:tcBorders>
            <w:shd w:val="clear" w:color="auto" w:fill="auto"/>
            <w:noWrap/>
            <w:vAlign w:val="center"/>
            <w:hideMark/>
          </w:tcPr>
          <w:p w14:paraId="35709E82"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154</w:t>
            </w:r>
          </w:p>
        </w:tc>
        <w:tc>
          <w:tcPr>
            <w:tcW w:w="1525" w:type="pct"/>
            <w:tcBorders>
              <w:top w:val="nil"/>
              <w:left w:val="nil"/>
              <w:bottom w:val="single" w:sz="4" w:space="0" w:color="auto"/>
              <w:right w:val="single" w:sz="4" w:space="0" w:color="auto"/>
            </w:tcBorders>
            <w:shd w:val="clear" w:color="auto" w:fill="auto"/>
            <w:noWrap/>
            <w:vAlign w:val="center"/>
            <w:hideMark/>
          </w:tcPr>
          <w:p w14:paraId="3C7DB419" w14:textId="0F280A6D" w:rsidR="005279AE" w:rsidRDefault="00BD1053">
            <w:pPr>
              <w:jc w:val="center"/>
              <w:rPr>
                <w:rFonts w:ascii="Calibri" w:hAnsi="Calibri" w:cs="Calibri"/>
                <w:color w:val="000000"/>
                <w:sz w:val="22"/>
                <w:szCs w:val="22"/>
              </w:rPr>
            </w:pPr>
            <w:r w:rsidRPr="00BD1053">
              <w:rPr>
                <w:rFonts w:ascii="Calibri" w:hAnsi="Calibri" w:cs="Calibri"/>
                <w:color w:val="000000"/>
                <w:sz w:val="22"/>
                <w:szCs w:val="22"/>
              </w:rPr>
              <w:t>$28,447,426</w:t>
            </w:r>
          </w:p>
        </w:tc>
      </w:tr>
      <w:tr w:rsidR="005279AE" w14:paraId="2FA9B86F" w14:textId="77777777" w:rsidTr="00BC26D9">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7EC28263"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07110814" w14:textId="03295F74" w:rsidR="005279AE" w:rsidRDefault="00310B48">
            <w:pPr>
              <w:jc w:val="center"/>
              <w:rPr>
                <w:rFonts w:ascii="Calibri" w:hAnsi="Calibri" w:cs="Calibri"/>
                <w:color w:val="000000"/>
                <w:sz w:val="22"/>
                <w:szCs w:val="22"/>
              </w:rPr>
            </w:pPr>
            <w:r>
              <w:rPr>
                <w:rFonts w:ascii="Calibri" w:hAnsi="Calibri" w:cs="Calibri"/>
                <w:color w:val="000000"/>
                <w:sz w:val="22"/>
                <w:szCs w:val="22"/>
              </w:rPr>
              <w:t>952</w:t>
            </w:r>
          </w:p>
        </w:tc>
        <w:tc>
          <w:tcPr>
            <w:tcW w:w="1525" w:type="pct"/>
            <w:tcBorders>
              <w:top w:val="nil"/>
              <w:left w:val="nil"/>
              <w:bottom w:val="single" w:sz="4" w:space="0" w:color="auto"/>
              <w:right w:val="single" w:sz="4" w:space="0" w:color="auto"/>
            </w:tcBorders>
            <w:shd w:val="clear" w:color="auto" w:fill="auto"/>
            <w:noWrap/>
            <w:vAlign w:val="center"/>
            <w:hideMark/>
          </w:tcPr>
          <w:p w14:paraId="336FA156" w14:textId="653FA295" w:rsidR="005279AE" w:rsidRDefault="00310B48">
            <w:pPr>
              <w:jc w:val="center"/>
              <w:rPr>
                <w:rFonts w:ascii="Calibri" w:hAnsi="Calibri" w:cs="Calibri"/>
                <w:color w:val="000000"/>
                <w:sz w:val="22"/>
                <w:szCs w:val="22"/>
              </w:rPr>
            </w:pPr>
            <w:r>
              <w:rPr>
                <w:rFonts w:ascii="Calibri" w:hAnsi="Calibri" w:cs="Calibri"/>
                <w:color w:val="000000"/>
                <w:sz w:val="22"/>
                <w:szCs w:val="22"/>
              </w:rPr>
              <w:t>154</w:t>
            </w:r>
          </w:p>
        </w:tc>
        <w:tc>
          <w:tcPr>
            <w:tcW w:w="1525" w:type="pct"/>
            <w:tcBorders>
              <w:top w:val="nil"/>
              <w:left w:val="nil"/>
              <w:bottom w:val="single" w:sz="4" w:space="0" w:color="auto"/>
              <w:right w:val="single" w:sz="4" w:space="0" w:color="auto"/>
            </w:tcBorders>
            <w:shd w:val="clear" w:color="auto" w:fill="auto"/>
            <w:noWrap/>
            <w:vAlign w:val="center"/>
            <w:hideMark/>
          </w:tcPr>
          <w:p w14:paraId="5C8D3150" w14:textId="554D1CDE" w:rsidR="005279AE" w:rsidRDefault="00310B48">
            <w:pPr>
              <w:jc w:val="center"/>
              <w:rPr>
                <w:rFonts w:ascii="Calibri" w:hAnsi="Calibri" w:cs="Calibri"/>
                <w:color w:val="000000"/>
                <w:sz w:val="22"/>
                <w:szCs w:val="22"/>
              </w:rPr>
            </w:pPr>
            <w:r>
              <w:rPr>
                <w:rFonts w:ascii="Calibri" w:hAnsi="Calibri" w:cs="Calibri"/>
                <w:color w:val="000000"/>
                <w:sz w:val="22"/>
                <w:szCs w:val="22"/>
              </w:rPr>
              <w:t>$30,122,232</w:t>
            </w:r>
          </w:p>
        </w:tc>
      </w:tr>
    </w:tbl>
    <w:p w14:paraId="3DA9FB66" w14:textId="0FE2F826" w:rsidR="000E0A52" w:rsidRPr="00DE7034" w:rsidRDefault="000E0A52" w:rsidP="000E0A52">
      <w:pPr>
        <w:rPr>
          <w:iCs/>
        </w:rPr>
      </w:pPr>
    </w:p>
    <w:p w14:paraId="4148F02F" w14:textId="4962C331" w:rsidR="009F1ECB" w:rsidRDefault="009F1ECB">
      <w:pPr>
        <w:rPr>
          <w:i/>
        </w:rPr>
      </w:pPr>
      <w:r>
        <w:rPr>
          <w:i/>
        </w:rPr>
        <w:br w:type="page"/>
      </w:r>
    </w:p>
    <w:p w14:paraId="3C28FC7F" w14:textId="0F7A2619" w:rsidR="005A7163"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B6B57CD" w14:textId="77777777" w:rsidR="005A7163" w:rsidRPr="00B26E3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0A02F578" w14:textId="23344F35" w:rsidR="005A7163" w:rsidRPr="00B26E33"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bookmarkEnd w:id="4"/>
      <w:r w:rsidRPr="003337FC">
        <w:rPr>
          <w:rFonts w:cs="Arial"/>
        </w:rPr>
        <w:lastRenderedPageBreak/>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Year 11 students;</w:t>
      </w:r>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46D2358E" w:rsidR="005A7163" w:rsidRPr="006A271B"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8" w:name="_Hlk152863018"/>
      <w:r w:rsidR="001179E5" w:rsidRPr="005870A9">
        <w:rPr>
          <w:rFonts w:ascii="Calibri" w:hAnsi="Calibri" w:cs="Arial"/>
          <w:sz w:val="22"/>
          <w:szCs w:val="22"/>
        </w:rPr>
        <w:t xml:space="preserve">or approved educational facilities </w:t>
      </w:r>
      <w:bookmarkEnd w:id="8"/>
      <w:r w:rsidRPr="5FFDBAB4">
        <w:rPr>
          <w:rFonts w:ascii="Calibri" w:hAnsi="Calibri" w:cs="Arial"/>
          <w:sz w:val="22"/>
          <w:szCs w:val="22"/>
        </w:rPr>
        <w:t xml:space="preserve">listed below in </w:t>
      </w:r>
      <w:r w:rsidRPr="006A271B">
        <w:rPr>
          <w:rFonts w:ascii="Calibri" w:hAnsi="Calibri" w:cs="Arial"/>
          <w:sz w:val="22"/>
          <w:szCs w:val="22"/>
        </w:rPr>
        <w:t xml:space="preserve">Table </w:t>
      </w:r>
      <w:r w:rsidR="005279AE" w:rsidRPr="006A271B">
        <w:rPr>
          <w:rFonts w:ascii="Calibri" w:hAnsi="Calibri" w:cs="Arial"/>
          <w:sz w:val="22"/>
          <w:szCs w:val="22"/>
        </w:rPr>
        <w:t>3</w:t>
      </w:r>
      <w:r w:rsidR="001179E5" w:rsidRPr="006A271B">
        <w:rPr>
          <w:rFonts w:ascii="Calibri" w:hAnsi="Calibri" w:cs="Arial"/>
          <w:sz w:val="22"/>
          <w:szCs w:val="22"/>
        </w:rPr>
        <w:t>.</w:t>
      </w:r>
    </w:p>
    <w:p w14:paraId="2C0391AE" w14:textId="55592C28" w:rsidR="005A7163" w:rsidRPr="006A271B"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6A271B">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60B508D3" w:rsidR="005A7163" w:rsidRDefault="005A7163" w:rsidP="0069202F">
      <w:pPr>
        <w:spacing w:before="120" w:after="120"/>
        <w:rPr>
          <w:rFonts w:cstheme="minorBidi"/>
          <w:b/>
          <w:sz w:val="22"/>
          <w:szCs w:val="22"/>
        </w:rPr>
      </w:pPr>
      <w:r w:rsidRPr="006A271B">
        <w:rPr>
          <w:rFonts w:ascii="Calibri" w:hAnsi="Calibri"/>
          <w:b/>
          <w:sz w:val="22"/>
          <w:szCs w:val="22"/>
        </w:rPr>
        <w:t xml:space="preserve">Table </w:t>
      </w:r>
      <w:r w:rsidR="005279AE" w:rsidRPr="006A271B">
        <w:rPr>
          <w:rFonts w:ascii="Calibri" w:hAnsi="Calibri"/>
          <w:b/>
          <w:bCs/>
          <w:noProof/>
          <w:sz w:val="22"/>
          <w:szCs w:val="22"/>
        </w:rPr>
        <w:t>3</w:t>
      </w:r>
      <w:r w:rsidRPr="006A271B">
        <w:rPr>
          <w:rFonts w:cstheme="minorBidi"/>
          <w:b/>
          <w:sz w:val="22"/>
          <w:szCs w:val="22"/>
        </w:rPr>
        <w:t xml:space="preserve">: </w:t>
      </w:r>
      <w:r w:rsidRPr="006A271B">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5279AE" w14:paraId="6E80E7AD" w14:textId="77777777" w:rsidTr="00BC26D9">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C98DA37" w14:textId="77777777" w:rsidR="005279AE" w:rsidRDefault="005279AE">
            <w:pPr>
              <w:jc w:val="center"/>
              <w:rPr>
                <w:rFonts w:ascii="Calibri" w:hAnsi="Calibri" w:cs="Calibri"/>
                <w:b/>
                <w:bCs/>
                <w:color w:val="000000"/>
                <w:sz w:val="22"/>
                <w:szCs w:val="22"/>
              </w:rPr>
            </w:pPr>
            <w:bookmarkStart w:id="9" w:name="CampusTable"/>
            <w:bookmarkEnd w:id="9"/>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5EF8166B"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Type</w:t>
            </w:r>
          </w:p>
        </w:tc>
      </w:tr>
      <w:tr w:rsidR="005279AE" w14:paraId="1EFDD1E3" w14:textId="77777777" w:rsidTr="00BC26D9">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244CBC3" w14:textId="77777777" w:rsidR="005279AE" w:rsidRDefault="005279AE">
            <w:pPr>
              <w:rPr>
                <w:rFonts w:ascii="Calibri" w:hAnsi="Calibri" w:cs="Calibri"/>
                <w:color w:val="000000"/>
                <w:sz w:val="22"/>
                <w:szCs w:val="22"/>
              </w:rPr>
            </w:pPr>
            <w:r>
              <w:rPr>
                <w:rFonts w:ascii="Calibri" w:hAnsi="Calibri" w:cs="Calibri"/>
                <w:color w:val="000000"/>
                <w:sz w:val="22"/>
                <w:szCs w:val="22"/>
              </w:rPr>
              <w:t>Brisbane</w:t>
            </w:r>
          </w:p>
        </w:tc>
        <w:tc>
          <w:tcPr>
            <w:tcW w:w="1030" w:type="pct"/>
            <w:tcBorders>
              <w:top w:val="nil"/>
              <w:left w:val="nil"/>
              <w:bottom w:val="single" w:sz="4" w:space="0" w:color="auto"/>
              <w:right w:val="single" w:sz="4" w:space="0" w:color="auto"/>
            </w:tcBorders>
            <w:shd w:val="clear" w:color="auto" w:fill="auto"/>
            <w:noWrap/>
            <w:vAlign w:val="center"/>
            <w:hideMark/>
          </w:tcPr>
          <w:p w14:paraId="0449D1AF"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Campus</w:t>
            </w:r>
          </w:p>
        </w:tc>
      </w:tr>
      <w:tr w:rsidR="005279AE" w14:paraId="30B57FC1" w14:textId="77777777" w:rsidTr="00BC26D9">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A69A47F" w14:textId="77777777" w:rsidR="005279AE" w:rsidRDefault="005279AE">
            <w:pPr>
              <w:rPr>
                <w:rFonts w:ascii="Calibri" w:hAnsi="Calibri" w:cs="Calibri"/>
                <w:color w:val="000000"/>
                <w:sz w:val="22"/>
                <w:szCs w:val="22"/>
              </w:rPr>
            </w:pPr>
            <w:r>
              <w:rPr>
                <w:rFonts w:ascii="Calibri" w:hAnsi="Calibri" w:cs="Calibri"/>
                <w:color w:val="000000"/>
                <w:sz w:val="22"/>
                <w:szCs w:val="22"/>
              </w:rPr>
              <w:t>Cairns</w:t>
            </w:r>
          </w:p>
        </w:tc>
        <w:tc>
          <w:tcPr>
            <w:tcW w:w="1030" w:type="pct"/>
            <w:tcBorders>
              <w:top w:val="nil"/>
              <w:left w:val="nil"/>
              <w:bottom w:val="single" w:sz="4" w:space="0" w:color="auto"/>
              <w:right w:val="single" w:sz="4" w:space="0" w:color="auto"/>
            </w:tcBorders>
            <w:shd w:val="clear" w:color="auto" w:fill="auto"/>
            <w:noWrap/>
            <w:vAlign w:val="center"/>
            <w:hideMark/>
          </w:tcPr>
          <w:p w14:paraId="11D84400"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Campus</w:t>
            </w:r>
          </w:p>
        </w:tc>
      </w:tr>
      <w:tr w:rsidR="005279AE" w14:paraId="30B312AE" w14:textId="77777777" w:rsidTr="00BC26D9">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DF2DB17" w14:textId="77777777" w:rsidR="005279AE" w:rsidRDefault="005279AE">
            <w:pPr>
              <w:rPr>
                <w:rFonts w:ascii="Calibri" w:hAnsi="Calibri" w:cs="Calibri"/>
                <w:color w:val="000000"/>
                <w:sz w:val="22"/>
                <w:szCs w:val="22"/>
              </w:rPr>
            </w:pPr>
            <w:r>
              <w:rPr>
                <w:rFonts w:ascii="Calibri" w:hAnsi="Calibri" w:cs="Calibri"/>
                <w:color w:val="000000"/>
                <w:sz w:val="22"/>
                <w:szCs w:val="22"/>
              </w:rPr>
              <w:t>Mackay</w:t>
            </w:r>
          </w:p>
        </w:tc>
        <w:tc>
          <w:tcPr>
            <w:tcW w:w="1030" w:type="pct"/>
            <w:tcBorders>
              <w:top w:val="nil"/>
              <w:left w:val="nil"/>
              <w:bottom w:val="single" w:sz="4" w:space="0" w:color="auto"/>
              <w:right w:val="single" w:sz="4" w:space="0" w:color="auto"/>
            </w:tcBorders>
            <w:shd w:val="clear" w:color="auto" w:fill="auto"/>
            <w:noWrap/>
            <w:vAlign w:val="center"/>
            <w:hideMark/>
          </w:tcPr>
          <w:p w14:paraId="28CBE23D"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Campus</w:t>
            </w:r>
          </w:p>
        </w:tc>
      </w:tr>
      <w:tr w:rsidR="005279AE" w14:paraId="12427535" w14:textId="77777777" w:rsidTr="00BC26D9">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0E072DA" w14:textId="77777777" w:rsidR="005279AE" w:rsidRDefault="005279AE">
            <w:pPr>
              <w:rPr>
                <w:rFonts w:ascii="Calibri" w:hAnsi="Calibri" w:cs="Calibri"/>
                <w:color w:val="000000"/>
                <w:sz w:val="22"/>
                <w:szCs w:val="22"/>
              </w:rPr>
            </w:pPr>
            <w:r>
              <w:rPr>
                <w:rFonts w:ascii="Calibri" w:hAnsi="Calibri" w:cs="Calibri"/>
                <w:color w:val="000000"/>
                <w:sz w:val="22"/>
                <w:szCs w:val="22"/>
              </w:rPr>
              <w:t>Mount Isa</w:t>
            </w:r>
          </w:p>
        </w:tc>
        <w:tc>
          <w:tcPr>
            <w:tcW w:w="1030" w:type="pct"/>
            <w:tcBorders>
              <w:top w:val="nil"/>
              <w:left w:val="nil"/>
              <w:bottom w:val="single" w:sz="4" w:space="0" w:color="auto"/>
              <w:right w:val="single" w:sz="4" w:space="0" w:color="auto"/>
            </w:tcBorders>
            <w:shd w:val="clear" w:color="auto" w:fill="auto"/>
            <w:noWrap/>
            <w:vAlign w:val="center"/>
            <w:hideMark/>
          </w:tcPr>
          <w:p w14:paraId="1DA306A4"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Campus</w:t>
            </w:r>
          </w:p>
        </w:tc>
      </w:tr>
      <w:tr w:rsidR="005279AE" w14:paraId="460F1547" w14:textId="77777777" w:rsidTr="00BC26D9">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A972B80" w14:textId="77777777" w:rsidR="005279AE" w:rsidRDefault="005279AE">
            <w:pPr>
              <w:rPr>
                <w:rFonts w:ascii="Calibri" w:hAnsi="Calibri" w:cs="Calibri"/>
                <w:color w:val="000000"/>
                <w:sz w:val="22"/>
                <w:szCs w:val="22"/>
              </w:rPr>
            </w:pPr>
            <w:r>
              <w:rPr>
                <w:rFonts w:ascii="Calibri" w:hAnsi="Calibri" w:cs="Calibri"/>
                <w:color w:val="000000"/>
                <w:sz w:val="22"/>
                <w:szCs w:val="22"/>
              </w:rPr>
              <w:t>Thursday Island</w:t>
            </w:r>
          </w:p>
        </w:tc>
        <w:tc>
          <w:tcPr>
            <w:tcW w:w="1030" w:type="pct"/>
            <w:tcBorders>
              <w:top w:val="nil"/>
              <w:left w:val="nil"/>
              <w:bottom w:val="single" w:sz="4" w:space="0" w:color="auto"/>
              <w:right w:val="single" w:sz="4" w:space="0" w:color="auto"/>
            </w:tcBorders>
            <w:shd w:val="clear" w:color="auto" w:fill="auto"/>
            <w:noWrap/>
            <w:vAlign w:val="center"/>
            <w:hideMark/>
          </w:tcPr>
          <w:p w14:paraId="346C9EA6"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Campus</w:t>
            </w:r>
          </w:p>
        </w:tc>
      </w:tr>
      <w:tr w:rsidR="005279AE" w14:paraId="61DB56EC" w14:textId="77777777" w:rsidTr="00BC26D9">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BB02FDD" w14:textId="77777777" w:rsidR="005279AE" w:rsidRDefault="005279AE">
            <w:pPr>
              <w:rPr>
                <w:rFonts w:ascii="Calibri" w:hAnsi="Calibri" w:cs="Calibri"/>
                <w:color w:val="000000"/>
                <w:sz w:val="22"/>
                <w:szCs w:val="22"/>
              </w:rPr>
            </w:pPr>
            <w:r>
              <w:rPr>
                <w:rFonts w:ascii="Calibri" w:hAnsi="Calibri" w:cs="Calibri"/>
                <w:color w:val="000000"/>
                <w:sz w:val="22"/>
                <w:szCs w:val="22"/>
              </w:rPr>
              <w:t>Townsville</w:t>
            </w:r>
          </w:p>
        </w:tc>
        <w:tc>
          <w:tcPr>
            <w:tcW w:w="1030" w:type="pct"/>
            <w:tcBorders>
              <w:top w:val="nil"/>
              <w:left w:val="nil"/>
              <w:bottom w:val="single" w:sz="4" w:space="0" w:color="auto"/>
              <w:right w:val="single" w:sz="4" w:space="0" w:color="auto"/>
            </w:tcBorders>
            <w:shd w:val="clear" w:color="auto" w:fill="auto"/>
            <w:noWrap/>
            <w:vAlign w:val="center"/>
            <w:hideMark/>
          </w:tcPr>
          <w:p w14:paraId="412920C7"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Campus</w:t>
            </w:r>
          </w:p>
        </w:tc>
      </w:tr>
    </w:tbl>
    <w:p w14:paraId="734F0B2A" w14:textId="77777777" w:rsidR="00BF45EF" w:rsidRPr="003337FC" w:rsidRDefault="00BF45EF" w:rsidP="0069202F">
      <w:pPr>
        <w:spacing w:before="120" w:after="120"/>
        <w:rPr>
          <w:rFonts w:cstheme="minorBidi"/>
          <w:b/>
          <w:sz w:val="22"/>
          <w:szCs w:val="22"/>
        </w:rPr>
      </w:pPr>
    </w:p>
    <w:p w14:paraId="151E26A9" w14:textId="77777777" w:rsidR="00AC42B9" w:rsidRDefault="00AC42B9">
      <w:pPr>
        <w:rPr>
          <w:rFonts w:ascii="Calibri" w:hAnsi="Calibri" w:cs="Arial"/>
          <w:bCs/>
          <w:i/>
          <w:sz w:val="22"/>
          <w:szCs w:val="22"/>
        </w:rPr>
      </w:pPr>
      <w:bookmarkStart w:id="10" w:name="_Hlk59445729"/>
      <w:bookmarkStart w:id="11" w:name="_Hlk59182235"/>
      <w:bookmarkStart w:id="12" w:name="_Hlk58846875"/>
      <w:bookmarkStart w:id="13" w:name="_Hlk152001205"/>
      <w:r>
        <w:rPr>
          <w:rFonts w:ascii="Calibri" w:hAnsi="Calibri" w:cs="Arial"/>
          <w:bCs/>
          <w:i/>
          <w:sz w:val="22"/>
          <w:szCs w:val="22"/>
        </w:rPr>
        <w:br w:type="page"/>
      </w:r>
    </w:p>
    <w:p w14:paraId="274D6FA7" w14:textId="77626734" w:rsidR="00810F00" w:rsidRDefault="00810F00" w:rsidP="00810F00">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lastRenderedPageBreak/>
        <w:t>Closures of courses</w:t>
      </w:r>
    </w:p>
    <w:p w14:paraId="2FD410B9" w14:textId="23BB6B7A" w:rsidR="006C70C4" w:rsidRDefault="006C70C4" w:rsidP="00810F00">
      <w:pPr>
        <w:widowControl w:val="0"/>
        <w:numPr>
          <w:ilvl w:val="0"/>
          <w:numId w:val="2"/>
        </w:numPr>
        <w:tabs>
          <w:tab w:val="left" w:pos="567"/>
          <w:tab w:val="left" w:pos="8222"/>
        </w:tabs>
        <w:spacing w:before="120" w:after="120"/>
        <w:rPr>
          <w:rFonts w:ascii="Calibri" w:hAnsi="Calibri" w:cs="Arial"/>
          <w:bCs/>
          <w:sz w:val="22"/>
          <w:szCs w:val="22"/>
        </w:rPr>
      </w:pPr>
      <w:bookmarkStart w:id="14" w:name="_Ref58341938"/>
      <w:r>
        <w:rPr>
          <w:rFonts w:ascii="Calibri" w:hAnsi="Calibri" w:cs="Arial"/>
          <w:bCs/>
          <w:sz w:val="22"/>
          <w:szCs w:val="22"/>
        </w:rPr>
        <w:t>The interpretation of ‘Closing a Course’ or ‘Closure’ is set out in</w:t>
      </w:r>
      <w:r w:rsidR="00196874">
        <w:rPr>
          <w:rFonts w:ascii="Calibri" w:hAnsi="Calibri" w:cs="Arial"/>
          <w:bCs/>
          <w:sz w:val="22"/>
          <w:szCs w:val="22"/>
        </w:rPr>
        <w:t xml:space="preserve"> c</w:t>
      </w:r>
      <w:r>
        <w:rPr>
          <w:rFonts w:ascii="Calibri" w:hAnsi="Calibri" w:cs="Arial"/>
          <w:bCs/>
          <w:sz w:val="22"/>
          <w:szCs w:val="22"/>
        </w:rPr>
        <w:t>lause 39</w:t>
      </w:r>
      <w:r w:rsidR="00CD1628">
        <w:rPr>
          <w:rFonts w:ascii="Calibri" w:hAnsi="Calibri" w:cs="Arial"/>
          <w:bCs/>
          <w:sz w:val="22"/>
          <w:szCs w:val="22"/>
        </w:rPr>
        <w:t>.</w:t>
      </w:r>
    </w:p>
    <w:p w14:paraId="60866879" w14:textId="7E94DC4A"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4"/>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5"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5CA53E69" w:rsidR="00604A74"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6" w:name="equity_closure"/>
      <w:bookmarkStart w:id="17" w:name="Equity_nps_ref2"/>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6A271B">
        <w:rPr>
          <w:rFonts w:ascii="Calibri" w:hAnsi="Calibri" w:cs="Arial"/>
          <w:bCs/>
          <w:sz w:val="22"/>
          <w:szCs w:val="22"/>
        </w:rPr>
        <w:t xml:space="preserve">listed in </w:t>
      </w:r>
      <w:bookmarkStart w:id="18" w:name="_Hlk120281310"/>
      <w:r w:rsidR="00604A74" w:rsidRPr="006A271B">
        <w:rPr>
          <w:rFonts w:ascii="Calibri" w:hAnsi="Calibri" w:cs="Arial"/>
          <w:bCs/>
          <w:sz w:val="22"/>
          <w:szCs w:val="22"/>
          <w:u w:val="single"/>
        </w:rPr>
        <w:t xml:space="preserve">Table </w:t>
      </w:r>
      <w:r w:rsidR="00F27837" w:rsidRPr="006A271B">
        <w:rPr>
          <w:rFonts w:ascii="Calibri" w:hAnsi="Calibri" w:cs="Arial"/>
          <w:bCs/>
          <w:sz w:val="22"/>
          <w:szCs w:val="22"/>
          <w:u w:val="single"/>
        </w:rPr>
        <w:t>1b</w:t>
      </w:r>
      <w:r w:rsidR="00604A74" w:rsidRPr="006A271B">
        <w:rPr>
          <w:rFonts w:ascii="Calibri" w:hAnsi="Calibri" w:cs="Arial"/>
          <w:bCs/>
          <w:sz w:val="22"/>
          <w:szCs w:val="22"/>
        </w:rPr>
        <w:t xml:space="preserve"> of Appendix</w:t>
      </w:r>
      <w:r w:rsidR="00604A74">
        <w:rPr>
          <w:rFonts w:ascii="Calibri" w:hAnsi="Calibri" w:cs="Arial"/>
          <w:bCs/>
          <w:sz w:val="22"/>
          <w:szCs w:val="22"/>
        </w:rPr>
        <w:t xml:space="preserve"> 1</w:t>
      </w:r>
      <w:bookmarkEnd w:id="18"/>
      <w:r w:rsidR="000059EF">
        <w:rPr>
          <w:rFonts w:ascii="Calibri" w:hAnsi="Calibri" w:cs="Arial"/>
          <w:bCs/>
          <w:sz w:val="22"/>
          <w:szCs w:val="22"/>
        </w:rPr>
        <w:t>,</w:t>
      </w:r>
      <w:r w:rsidR="00545BE6">
        <w:rPr>
          <w:rFonts w:ascii="Calibri" w:hAnsi="Calibri" w:cs="Arial"/>
          <w:bCs/>
          <w:sz w:val="22"/>
          <w:szCs w:val="22"/>
        </w:rPr>
        <w:t xml:space="preserve"> as a course</w:t>
      </w:r>
      <w:r w:rsidR="00604A74">
        <w:rPr>
          <w:rFonts w:ascii="Calibri" w:hAnsi="Calibri" w:cs="Arial"/>
          <w:bCs/>
          <w:sz w:val="22"/>
          <w:szCs w:val="22"/>
        </w:rPr>
        <w:t xml:space="preserve"> in which students are enrolled in Commonwealth supported places</w:t>
      </w:r>
      <w:bookmarkEnd w:id="15"/>
    </w:p>
    <w:bookmarkEnd w:id="16"/>
    <w:bookmarkEnd w:id="17"/>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59034201"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265E49">
        <w:rPr>
          <w:rFonts w:ascii="Calibri" w:hAnsi="Calibri" w:cs="Arial"/>
          <w:sz w:val="22"/>
          <w:szCs w:val="22"/>
        </w:rPr>
        <w:t xml:space="preserve">clause </w:t>
      </w:r>
      <w:r w:rsidR="005279AE" w:rsidRPr="006A271B">
        <w:rPr>
          <w:rFonts w:ascii="Calibri" w:hAnsi="Calibri" w:cs="Arial"/>
          <w:sz w:val="22"/>
          <w:szCs w:val="22"/>
        </w:rPr>
        <w:t>2</w:t>
      </w:r>
      <w:r w:rsidR="00196874">
        <w:rPr>
          <w:rFonts w:ascii="Calibri" w:hAnsi="Calibri" w:cs="Arial"/>
          <w:sz w:val="22"/>
          <w:szCs w:val="22"/>
        </w:rPr>
        <w:t>9</w:t>
      </w:r>
      <w:r w:rsidR="004D2BDD" w:rsidRPr="006A271B">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r w:rsidR="009A56FD" w:rsidRPr="00114ACF">
        <w:rPr>
          <w:rFonts w:ascii="Calibri" w:hAnsi="Calibri" w:cs="Arial"/>
          <w:sz w:val="22"/>
          <w:szCs w:val="22"/>
        </w:rPr>
        <w:t xml:space="preserve">enter into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r w:rsidR="00C86304">
        <w:rPr>
          <w:rFonts w:ascii="Calibri" w:hAnsi="Calibri" w:cs="Arial"/>
          <w:bCs/>
          <w:sz w:val="22"/>
          <w:szCs w:val="22"/>
        </w:rPr>
        <w:t>with</w:t>
      </w:r>
      <w:r w:rsidR="00810F00" w:rsidRPr="003337FC">
        <w:rPr>
          <w:rFonts w:ascii="Calibri" w:hAnsi="Calibri" w:cs="Arial"/>
          <w:bCs/>
          <w:sz w:val="22"/>
          <w:szCs w:val="22"/>
        </w:rPr>
        <w:t xml:space="preserve"> regard to the Provider’s overall financial status.</w:t>
      </w:r>
      <w:bookmarkEnd w:id="10"/>
      <w:bookmarkEnd w:id="11"/>
      <w:bookmarkEnd w:id="12"/>
    </w:p>
    <w:bookmarkEnd w:id="13"/>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0EC02E3" w14:textId="77777777" w:rsidR="00AC42B9" w:rsidRDefault="00AC42B9">
      <w:pPr>
        <w:rPr>
          <w:rFonts w:ascii="Calibri" w:hAnsi="Calibri" w:cs="Arial"/>
          <w:bCs/>
          <w:i/>
          <w:sz w:val="22"/>
          <w:szCs w:val="22"/>
        </w:rPr>
      </w:pPr>
      <w:r>
        <w:rPr>
          <w:rFonts w:ascii="Calibri" w:hAnsi="Calibri" w:cs="Arial"/>
          <w:bCs/>
          <w:i/>
          <w:sz w:val="22"/>
          <w:szCs w:val="22"/>
        </w:rPr>
        <w:br w:type="page"/>
      </w:r>
    </w:p>
    <w:p w14:paraId="67ADA7BC" w14:textId="5DE90EDC"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lastRenderedPageBreak/>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CANBERRA  ACT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3C880120" w:rsidR="00845BE4" w:rsidRPr="006A271B" w:rsidRDefault="005279AE" w:rsidP="00845BE4">
      <w:pPr>
        <w:pStyle w:val="sub-paraxChar"/>
        <w:numPr>
          <w:ilvl w:val="0"/>
          <w:numId w:val="0"/>
        </w:numPr>
        <w:ind w:left="1134"/>
        <w:rPr>
          <w:rFonts w:ascii="Calibri" w:hAnsi="Calibri" w:cs="Arial"/>
          <w:noProof/>
          <w:sz w:val="22"/>
          <w:szCs w:val="22"/>
        </w:rPr>
      </w:pPr>
      <w:r w:rsidRPr="006A271B">
        <w:rPr>
          <w:rFonts w:ascii="Calibri" w:hAnsi="Calibri" w:cs="Arial"/>
          <w:noProof/>
          <w:sz w:val="22"/>
          <w:szCs w:val="22"/>
        </w:rPr>
        <w:t>Rm 328</w:t>
      </w:r>
      <w:r w:rsidR="00845BE4" w:rsidRPr="006A271B">
        <w:rPr>
          <w:rFonts w:ascii="Calibri" w:hAnsi="Calibri" w:cs="Arial"/>
          <w:noProof/>
          <w:sz w:val="22"/>
          <w:szCs w:val="22"/>
        </w:rPr>
        <w:t xml:space="preserve"> </w:t>
      </w:r>
    </w:p>
    <w:p w14:paraId="0483CFFC" w14:textId="645F7514" w:rsidR="00845BE4" w:rsidRPr="006A271B" w:rsidRDefault="005279AE" w:rsidP="00845BE4">
      <w:pPr>
        <w:pStyle w:val="sub-paraxChar"/>
        <w:numPr>
          <w:ilvl w:val="0"/>
          <w:numId w:val="0"/>
        </w:numPr>
        <w:ind w:left="1134"/>
        <w:rPr>
          <w:rFonts w:ascii="Calibri" w:hAnsi="Calibri" w:cs="Arial"/>
          <w:sz w:val="22"/>
          <w:szCs w:val="22"/>
        </w:rPr>
      </w:pPr>
      <w:bookmarkStart w:id="19" w:name="AddLine2_2"/>
      <w:r w:rsidRPr="006A271B">
        <w:rPr>
          <w:rFonts w:ascii="Calibri" w:hAnsi="Calibri" w:cs="Arial"/>
          <w:sz w:val="22"/>
          <w:szCs w:val="22"/>
        </w:rPr>
        <w:t>Ken Back Chancellery Bldg</w:t>
      </w:r>
    </w:p>
    <w:bookmarkEnd w:id="19"/>
    <w:p w14:paraId="4FCEA5FA" w14:textId="233CAFFE" w:rsidR="00845BE4" w:rsidRPr="006A271B" w:rsidRDefault="005279AE" w:rsidP="00845BE4">
      <w:pPr>
        <w:pStyle w:val="sub-paraxChar"/>
        <w:numPr>
          <w:ilvl w:val="0"/>
          <w:numId w:val="0"/>
        </w:numPr>
        <w:ind w:left="1134"/>
        <w:rPr>
          <w:rFonts w:ascii="Calibri" w:hAnsi="Calibri" w:cs="Arial"/>
          <w:sz w:val="22"/>
          <w:szCs w:val="22"/>
        </w:rPr>
      </w:pPr>
      <w:r w:rsidRPr="006A271B">
        <w:rPr>
          <w:rFonts w:ascii="Calibri" w:hAnsi="Calibri" w:cs="Arial"/>
          <w:sz w:val="22"/>
          <w:szCs w:val="22"/>
        </w:rPr>
        <w:t>TOWNSVILLE QLD 4811</w:t>
      </w:r>
    </w:p>
    <w:p w14:paraId="73AEA943" w14:textId="32D58C5E" w:rsidR="005A7163" w:rsidRPr="006A271B"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6A271B">
        <w:rPr>
          <w:rFonts w:ascii="Calibri" w:hAnsi="Calibri" w:cs="Arial"/>
          <w:sz w:val="22"/>
          <w:szCs w:val="22"/>
        </w:rPr>
        <w:t xml:space="preserve">A notice given under clause </w:t>
      </w:r>
      <w:r w:rsidR="005279AE" w:rsidRPr="006A271B">
        <w:rPr>
          <w:rFonts w:ascii="Calibri" w:hAnsi="Calibri" w:cs="Arial"/>
          <w:bCs/>
          <w:sz w:val="22"/>
          <w:szCs w:val="22"/>
        </w:rPr>
        <w:t>3</w:t>
      </w:r>
      <w:r w:rsidR="00B320F4">
        <w:rPr>
          <w:rFonts w:ascii="Calibri" w:hAnsi="Calibri" w:cs="Arial"/>
          <w:bCs/>
          <w:sz w:val="22"/>
          <w:szCs w:val="22"/>
        </w:rPr>
        <w:t>7</w:t>
      </w:r>
      <w:r w:rsidRPr="006A271B">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hand delivered, on delivery;</w:t>
      </w:r>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Pr>
          <w:rFonts w:ascii="Calibri" w:hAnsi="Calibri"/>
          <w:bCs/>
          <w:sz w:val="22"/>
          <w:szCs w:val="22"/>
        </w:rPr>
        <w:t>;</w:t>
      </w:r>
    </w:p>
    <w:p w14:paraId="05F8DDAD" w14:textId="77777777" w:rsidR="00AC42B9" w:rsidRDefault="00AC42B9">
      <w:pPr>
        <w:rPr>
          <w:rFonts w:ascii="Calibri" w:hAnsi="Calibri"/>
          <w:b/>
          <w:sz w:val="22"/>
          <w:szCs w:val="22"/>
        </w:rPr>
      </w:pPr>
      <w:r>
        <w:rPr>
          <w:rFonts w:ascii="Calibri" w:hAnsi="Calibri"/>
          <w:b/>
          <w:sz w:val="22"/>
          <w:szCs w:val="22"/>
        </w:rPr>
        <w:br w:type="page"/>
      </w:r>
    </w:p>
    <w:p w14:paraId="08A40580" w14:textId="4CAF8E74"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lastRenderedPageBreak/>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c</w:t>
      </w:r>
      <w:r w:rsidRPr="003337FC">
        <w:rPr>
          <w:rFonts w:ascii="Calibri" w:hAnsi="Calibri"/>
          <w:b/>
          <w:sz w:val="22"/>
          <w:szCs w:val="22"/>
        </w:rPr>
        <w:t>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emand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esignated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09212890" w14:textId="0BA7DF53" w:rsidR="00604A74" w:rsidRDefault="00604A74" w:rsidP="00954B3F">
      <w:pPr>
        <w:pStyle w:val="Interpretation"/>
        <w:ind w:left="426"/>
        <w:rPr>
          <w:rFonts w:ascii="Calibri" w:hAnsi="Calibri"/>
          <w:bCs/>
          <w:sz w:val="22"/>
          <w:szCs w:val="22"/>
        </w:rPr>
      </w:pPr>
      <w:bookmarkStart w:id="20"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20"/>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for the purposes of supporting equity outcomes for under-represented groups</w:t>
      </w:r>
      <w:r w:rsidR="00686799" w:rsidRPr="5FFDBAB4">
        <w:rPr>
          <w:rFonts w:ascii="Calibri" w:hAnsi="Calibri"/>
          <w:sz w:val="22"/>
          <w:szCs w:val="22"/>
        </w:rPr>
        <w:t>;</w:t>
      </w:r>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r w:rsidR="00810F00" w:rsidRPr="003337FC">
        <w:rPr>
          <w:rFonts w:ascii="Calibri" w:hAnsi="Calibri"/>
          <w:b/>
          <w:sz w:val="22"/>
          <w:szCs w:val="22"/>
        </w:rPr>
        <w:t>f</w:t>
      </w:r>
      <w:r w:rsidRPr="003337FC">
        <w:rPr>
          <w:rFonts w:ascii="Calibri" w:hAnsi="Calibri"/>
          <w:b/>
          <w:sz w:val="22"/>
          <w:szCs w:val="22"/>
        </w:rPr>
        <w:t xml:space="preserve">unding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r w:rsidR="00810F00" w:rsidRPr="003337FC">
        <w:rPr>
          <w:rFonts w:ascii="Calibri" w:hAnsi="Calibri" w:cs="Arial"/>
          <w:b/>
          <w:sz w:val="22"/>
          <w:szCs w:val="22"/>
        </w:rPr>
        <w:t>h</w:t>
      </w:r>
      <w:r w:rsidRPr="003337FC">
        <w:rPr>
          <w:rFonts w:ascii="Calibri" w:hAnsi="Calibri" w:cs="Arial"/>
          <w:b/>
          <w:sz w:val="22"/>
          <w:szCs w:val="22"/>
        </w:rPr>
        <w:t xml:space="preserve">igher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m</w:t>
      </w:r>
      <w:r w:rsidRPr="003337FC">
        <w:rPr>
          <w:rFonts w:ascii="Calibri" w:hAnsi="Calibri"/>
          <w:b/>
          <w:sz w:val="22"/>
          <w:szCs w:val="22"/>
        </w:rPr>
        <w:t xml:space="preserve">aximum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21"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2024</w:t>
      </w:r>
      <w:r>
        <w:rPr>
          <w:rFonts w:ascii="Calibri" w:hAnsi="Calibri"/>
          <w:bCs/>
          <w:sz w:val="22"/>
          <w:szCs w:val="22"/>
        </w:rPr>
        <w:t>;</w:t>
      </w:r>
      <w:bookmarkEnd w:id="21"/>
    </w:p>
    <w:p w14:paraId="4EBC2603" w14:textId="54492053" w:rsidR="005A7163" w:rsidRPr="003337FC" w:rsidRDefault="005A7163" w:rsidP="00E35C11">
      <w:pPr>
        <w:spacing w:after="120"/>
        <w:ind w:left="426"/>
      </w:pPr>
      <w:r w:rsidRPr="003337FC">
        <w:rPr>
          <w:rFonts w:ascii="Calibri" w:hAnsi="Calibri" w:cs="Arial"/>
          <w:b/>
          <w:sz w:val="22"/>
          <w:szCs w:val="22"/>
        </w:rPr>
        <w:t>‘</w:t>
      </w:r>
      <w:r w:rsidR="00810F00" w:rsidRPr="003337FC">
        <w:rPr>
          <w:rFonts w:ascii="Calibri" w:hAnsi="Calibri" w:cs="Arial"/>
          <w:b/>
          <w:sz w:val="22"/>
          <w:szCs w:val="22"/>
        </w:rPr>
        <w:t>n</w:t>
      </w:r>
      <w:r w:rsidRPr="003337FC">
        <w:rPr>
          <w:rFonts w:ascii="Calibri" w:hAnsi="Calibri" w:cs="Arial"/>
          <w:b/>
          <w:sz w:val="22"/>
          <w:szCs w:val="22"/>
        </w:rPr>
        <w:t>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egional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emote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r w:rsidR="00810F00" w:rsidRPr="003337FC">
        <w:rPr>
          <w:rFonts w:ascii="Calibri" w:hAnsi="Calibri"/>
          <w:b/>
          <w:sz w:val="22"/>
          <w:szCs w:val="22"/>
        </w:rPr>
        <w:t>t</w:t>
      </w:r>
      <w:r w:rsidRPr="003337FC">
        <w:rPr>
          <w:rFonts w:ascii="Calibri" w:hAnsi="Calibri"/>
          <w:b/>
          <w:sz w:val="22"/>
          <w:szCs w:val="22"/>
        </w:rPr>
        <w:t>otal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all references to dollars are to Australian dollars;</w:t>
      </w:r>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7CE70832" w:rsidR="00C16EAC" w:rsidRPr="007C3AED" w:rsidRDefault="00B508FF">
            <w:pPr>
              <w:rPr>
                <w:rFonts w:ascii="Calibri" w:hAnsi="Calibri" w:cs="Arial"/>
                <w:sz w:val="22"/>
                <w:szCs w:val="22"/>
              </w:rPr>
            </w:pPr>
            <w:r>
              <w:rPr>
                <w:rFonts w:ascii="Calibri" w:hAnsi="Calibri" w:cs="Arial"/>
                <w:sz w:val="22"/>
                <w:szCs w:val="22"/>
              </w:rPr>
              <w:t>Danielle Donegan</w:t>
            </w:r>
            <w:r w:rsidR="00F61EEC">
              <w:rPr>
                <w:rFonts w:ascii="Calibri" w:hAnsi="Calibri" w:cs="Arial"/>
                <w:sz w:val="22"/>
                <w:szCs w:val="22"/>
              </w:rPr>
              <w:t xml:space="preserve">        </w:t>
            </w:r>
          </w:p>
          <w:p w14:paraId="2B2C9884" w14:textId="77777777" w:rsidR="00C16EAC" w:rsidRPr="007C3AED" w:rsidRDefault="00B508FF">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6067ACC9" w14:textId="17CF1305" w:rsidR="00C16EAC" w:rsidRPr="00B508FF" w:rsidRDefault="00B508FF">
            <w:pPr>
              <w:rPr>
                <w:rFonts w:ascii="Calibri" w:hAnsi="Calibri" w:cs="Arial"/>
              </w:rPr>
            </w:pPr>
            <w:r>
              <w:rPr>
                <w:rFonts w:ascii="Calibri" w:hAnsi="Calibri" w:cs="Arial"/>
              </w:rPr>
              <w:t>Clae Hyde-Tully</w:t>
            </w:r>
          </w:p>
          <w:p w14:paraId="045C80A0" w14:textId="77777777" w:rsidR="00C16EAC" w:rsidRPr="007C3AED" w:rsidRDefault="00B508FF">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3DA2569C" w14:textId="78384EC4" w:rsidR="00282AB6" w:rsidRPr="00B508FF" w:rsidRDefault="00B508FF">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1FBA0018" w:rsidR="00C16EAC" w:rsidRPr="007C3AED" w:rsidRDefault="00B508FF">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6CE19774" w14:textId="77777777" w:rsidR="00B508FF" w:rsidRPr="00C35FE9" w:rsidRDefault="00B508FF" w:rsidP="00B508FF">
            <w:pPr>
              <w:rPr>
                <w:rFonts w:ascii="Calibri" w:hAnsi="Calibri" w:cs="Arial"/>
                <w:sz w:val="22"/>
                <w:szCs w:val="22"/>
              </w:rPr>
            </w:pPr>
            <w:r>
              <w:rPr>
                <w:rFonts w:ascii="Calibri" w:hAnsi="Calibri" w:cs="Arial"/>
                <w:sz w:val="22"/>
                <w:szCs w:val="22"/>
              </w:rPr>
              <w:t>Assistant Director, CGS Policy</w:t>
            </w:r>
          </w:p>
          <w:p w14:paraId="400CC8EF" w14:textId="77777777" w:rsidR="00282AB6" w:rsidRDefault="00282AB6">
            <w:pPr>
              <w:rPr>
                <w:rFonts w:ascii="Calibri" w:hAnsi="Calibri" w:cs="Arial"/>
                <w:sz w:val="22"/>
                <w:szCs w:val="22"/>
              </w:rPr>
            </w:pPr>
          </w:p>
          <w:p w14:paraId="4F0FEB32" w14:textId="17E179DD" w:rsidR="00C16EAC" w:rsidRPr="007C3AED" w:rsidRDefault="00B508FF">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B508FF">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B508FF">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522A35AA" w:rsidR="00C16EAC" w:rsidRPr="007C3AED" w:rsidRDefault="00C16EAC" w:rsidP="00B508FF">
            <w:pPr>
              <w:tabs>
                <w:tab w:val="center" w:pos="2247"/>
              </w:tabs>
              <w:rPr>
                <w:rFonts w:ascii="Calibri" w:hAnsi="Calibri" w:cs="Arial"/>
                <w:sz w:val="22"/>
                <w:szCs w:val="22"/>
              </w:rPr>
            </w:pPr>
            <w:r w:rsidRPr="007C3AED">
              <w:rPr>
                <w:rFonts w:ascii="Calibri" w:hAnsi="Calibri" w:cs="Arial"/>
                <w:sz w:val="22"/>
                <w:szCs w:val="22"/>
              </w:rPr>
              <w:t>Signature</w:t>
            </w:r>
            <w:r w:rsidR="00B508FF">
              <w:rPr>
                <w:rFonts w:ascii="Calibri" w:hAnsi="Calibri" w:cs="Arial"/>
                <w:sz w:val="22"/>
                <w:szCs w:val="22"/>
              </w:rPr>
              <w:tab/>
            </w:r>
            <w:r w:rsidR="00B508FF">
              <w:rPr>
                <w:rFonts w:ascii="Calibri" w:hAnsi="Calibri" w:cs="Arial"/>
                <w:sz w:val="22"/>
                <w:szCs w:val="22"/>
              </w:rPr>
              <w:t>18 March 2025</w:t>
            </w:r>
          </w:p>
          <w:p w14:paraId="778ACC83" w14:textId="77777777" w:rsidR="00C16EAC" w:rsidRPr="007C3AED" w:rsidRDefault="00B508FF">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458554C3" w:rsidR="00C16EAC" w:rsidRPr="007C3AED" w:rsidRDefault="00C16EAC">
            <w:pPr>
              <w:rPr>
                <w:rFonts w:ascii="Calibri" w:hAnsi="Calibri" w:cs="Arial"/>
                <w:sz w:val="22"/>
                <w:szCs w:val="22"/>
              </w:rPr>
            </w:pPr>
            <w:r w:rsidRPr="007C3AED">
              <w:rPr>
                <w:rFonts w:ascii="Calibri" w:hAnsi="Calibri" w:cs="Arial"/>
                <w:sz w:val="22"/>
                <w:szCs w:val="22"/>
              </w:rPr>
              <w:t>Date</w:t>
            </w:r>
            <w:r w:rsidR="00F61EEC">
              <w:rPr>
                <w:rFonts w:ascii="Calibri" w:hAnsi="Calibri" w:cs="Arial"/>
                <w:sz w:val="22"/>
                <w:szCs w:val="22"/>
              </w:rPr>
              <w:t xml:space="preserve">   </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1E7CA3A0" w:rsidR="00C16EAC" w:rsidRDefault="005279AE">
            <w:pPr>
              <w:rPr>
                <w:rFonts w:ascii="Calibri" w:hAnsi="Calibri" w:cs="Arial"/>
                <w:noProof/>
              </w:rPr>
            </w:pPr>
            <w:r w:rsidRPr="006A271B">
              <w:rPr>
                <w:rFonts w:ascii="Calibri" w:hAnsi="Calibri" w:cs="Arial"/>
                <w:noProof/>
              </w:rPr>
              <w:t>James Cook University</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68138B49" w14:textId="6240E059" w:rsidR="00282AB6" w:rsidRPr="00D8273E" w:rsidRDefault="00D8273E">
            <w:pPr>
              <w:rPr>
                <w:rFonts w:ascii="Calibri" w:hAnsi="Calibri" w:cs="Arial"/>
                <w:sz w:val="22"/>
                <w:szCs w:val="22"/>
              </w:rPr>
            </w:pPr>
            <w:r w:rsidRPr="00D8273E">
              <w:rPr>
                <w:rFonts w:ascii="Calibri" w:hAnsi="Calibri" w:cs="Arial"/>
                <w:sz w:val="22"/>
                <w:szCs w:val="22"/>
              </w:rPr>
              <w:t>Professor Simon Biggs</w:t>
            </w:r>
          </w:p>
          <w:p w14:paraId="641A6B0F" w14:textId="271191CF" w:rsidR="00C16EAC" w:rsidRPr="007C3AED" w:rsidRDefault="00B508FF">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5A46BFD1" w14:textId="03EB1460" w:rsidR="00282AB6" w:rsidRPr="00D8273E" w:rsidRDefault="00D8273E">
            <w:pPr>
              <w:rPr>
                <w:rFonts w:ascii="Calibri" w:hAnsi="Calibri" w:cs="Arial"/>
                <w:sz w:val="22"/>
                <w:szCs w:val="22"/>
              </w:rPr>
            </w:pPr>
            <w:r w:rsidRPr="00D8273E">
              <w:rPr>
                <w:rFonts w:ascii="Calibri" w:hAnsi="Calibri" w:cs="Arial"/>
                <w:sz w:val="22"/>
                <w:szCs w:val="22"/>
              </w:rPr>
              <w:t>Tianna Graham</w:t>
            </w:r>
          </w:p>
          <w:p w14:paraId="2B877AA0" w14:textId="50D36E99" w:rsidR="00C16EAC" w:rsidRPr="007C3AED" w:rsidRDefault="00B508FF">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21E653AE" w14:textId="07E4F0DA" w:rsidR="00282AB6" w:rsidRDefault="00D8273E">
            <w:pPr>
              <w:rPr>
                <w:rFonts w:ascii="Calibri" w:hAnsi="Calibri" w:cs="Arial"/>
                <w:sz w:val="22"/>
                <w:szCs w:val="22"/>
              </w:rPr>
            </w:pPr>
            <w:r w:rsidRPr="00D8273E">
              <w:rPr>
                <w:rFonts w:ascii="Calibri" w:hAnsi="Calibri" w:cs="Arial"/>
                <w:sz w:val="22"/>
                <w:szCs w:val="22"/>
              </w:rPr>
              <w:t>Vice Chancellor and President</w:t>
            </w:r>
          </w:p>
          <w:p w14:paraId="401AF776" w14:textId="77195532" w:rsidR="00C16EAC" w:rsidRPr="007C3AED" w:rsidRDefault="00B508FF">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29993F2C" w14:textId="3CB5B72F" w:rsidR="00282AB6" w:rsidRDefault="00D8273E">
            <w:pPr>
              <w:rPr>
                <w:rFonts w:ascii="Calibri" w:hAnsi="Calibri" w:cs="Arial"/>
                <w:sz w:val="22"/>
                <w:szCs w:val="22"/>
              </w:rPr>
            </w:pPr>
            <w:r w:rsidRPr="00D8273E">
              <w:rPr>
                <w:rFonts w:ascii="Calibri" w:hAnsi="Calibri" w:cs="Arial"/>
                <w:sz w:val="22"/>
                <w:szCs w:val="22"/>
              </w:rPr>
              <w:t>Executive Officer</w:t>
            </w:r>
          </w:p>
          <w:p w14:paraId="1156A798" w14:textId="6739A5C4" w:rsidR="00C16EAC" w:rsidRPr="007C3AED" w:rsidRDefault="00B508FF">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B508FF">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B508FF">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17"/>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22"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5279AE" w14:paraId="15AC2884" w14:textId="77777777" w:rsidTr="00BC26D9">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43855B1" w14:textId="77777777" w:rsidR="005279AE" w:rsidRDefault="005279AE">
            <w:pPr>
              <w:jc w:val="center"/>
              <w:rPr>
                <w:rFonts w:ascii="Calibri" w:hAnsi="Calibri" w:cs="Calibri"/>
                <w:b/>
                <w:bCs/>
                <w:color w:val="000000"/>
                <w:sz w:val="22"/>
                <w:szCs w:val="22"/>
              </w:rPr>
            </w:pPr>
            <w:bookmarkStart w:id="23" w:name="MBGATable"/>
            <w:bookmarkEnd w:id="23"/>
            <w:bookmarkEnd w:id="22"/>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703C379F"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12EC42C"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A28BE1B"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811B76C"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3AB68B1E"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0803D26C"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5279AE" w14:paraId="194C7E6A" w14:textId="77777777" w:rsidTr="00BC26D9">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089B1B09"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shd w:val="clear" w:color="auto" w:fill="auto"/>
            <w:noWrap/>
            <w:vAlign w:val="center"/>
            <w:hideMark/>
          </w:tcPr>
          <w:p w14:paraId="4168DBE5"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$127,254,467</w:t>
            </w:r>
          </w:p>
        </w:tc>
        <w:tc>
          <w:tcPr>
            <w:tcW w:w="764" w:type="pct"/>
            <w:tcBorders>
              <w:top w:val="nil"/>
              <w:left w:val="nil"/>
              <w:bottom w:val="single" w:sz="4" w:space="0" w:color="auto"/>
              <w:right w:val="single" w:sz="4" w:space="0" w:color="auto"/>
            </w:tcBorders>
            <w:shd w:val="clear" w:color="auto" w:fill="auto"/>
            <w:noWrap/>
            <w:vAlign w:val="center"/>
            <w:hideMark/>
          </w:tcPr>
          <w:p w14:paraId="6EC8BFCC"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$2,249,916</w:t>
            </w:r>
          </w:p>
        </w:tc>
        <w:tc>
          <w:tcPr>
            <w:tcW w:w="764" w:type="pct"/>
            <w:tcBorders>
              <w:top w:val="nil"/>
              <w:left w:val="nil"/>
              <w:bottom w:val="single" w:sz="4" w:space="0" w:color="auto"/>
              <w:right w:val="single" w:sz="4" w:space="0" w:color="auto"/>
            </w:tcBorders>
            <w:shd w:val="clear" w:color="auto" w:fill="auto"/>
            <w:noWrap/>
            <w:vAlign w:val="center"/>
            <w:hideMark/>
          </w:tcPr>
          <w:p w14:paraId="2672EC9F"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21EC5ED0"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03FE1D3E"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46B49888"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$129,504,383</w:t>
            </w:r>
          </w:p>
        </w:tc>
      </w:tr>
      <w:tr w:rsidR="005279AE" w14:paraId="385526FF" w14:textId="77777777" w:rsidTr="00BC26D9">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269A564A"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shd w:val="clear" w:color="auto" w:fill="auto"/>
            <w:noWrap/>
            <w:vAlign w:val="center"/>
            <w:hideMark/>
          </w:tcPr>
          <w:p w14:paraId="025BDE9C" w14:textId="77777777" w:rsidR="004A7713" w:rsidRDefault="004A7713" w:rsidP="007206A2">
            <w:pPr>
              <w:jc w:val="center"/>
              <w:rPr>
                <w:rFonts w:ascii="Calibri" w:hAnsi="Calibri" w:cs="Calibri"/>
                <w:sz w:val="22"/>
                <w:szCs w:val="22"/>
              </w:rPr>
            </w:pPr>
          </w:p>
          <w:p w14:paraId="7386CCD6" w14:textId="600386EB" w:rsidR="007206A2" w:rsidRDefault="007206A2" w:rsidP="007206A2">
            <w:pPr>
              <w:jc w:val="center"/>
              <w:rPr>
                <w:rFonts w:ascii="Calibri" w:hAnsi="Calibri" w:cs="Calibri"/>
                <w:sz w:val="22"/>
                <w:szCs w:val="22"/>
              </w:rPr>
            </w:pPr>
            <w:r>
              <w:rPr>
                <w:rFonts w:ascii="Calibri" w:hAnsi="Calibri" w:cs="Calibri"/>
                <w:sz w:val="22"/>
                <w:szCs w:val="22"/>
              </w:rPr>
              <w:t>$137,407,453</w:t>
            </w:r>
          </w:p>
          <w:p w14:paraId="09ED2E0D" w14:textId="7EB851A5" w:rsidR="005279AE" w:rsidRDefault="005279AE">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shd w:val="clear" w:color="auto" w:fill="auto"/>
            <w:noWrap/>
            <w:vAlign w:val="center"/>
            <w:hideMark/>
          </w:tcPr>
          <w:p w14:paraId="6B0C620A" w14:textId="749D296B" w:rsidR="005279AE" w:rsidRDefault="005E73AE">
            <w:pPr>
              <w:jc w:val="center"/>
              <w:rPr>
                <w:rFonts w:ascii="Calibri" w:hAnsi="Calibri" w:cs="Calibri"/>
                <w:color w:val="000000"/>
                <w:sz w:val="22"/>
                <w:szCs w:val="22"/>
              </w:rPr>
            </w:pPr>
            <w:r w:rsidRPr="005E73AE">
              <w:rPr>
                <w:rFonts w:ascii="Calibri" w:hAnsi="Calibri" w:cs="Calibri"/>
                <w:color w:val="000000"/>
                <w:sz w:val="22"/>
                <w:szCs w:val="22"/>
              </w:rPr>
              <w:t>$1,756,532</w:t>
            </w:r>
          </w:p>
        </w:tc>
        <w:tc>
          <w:tcPr>
            <w:tcW w:w="764" w:type="pct"/>
            <w:tcBorders>
              <w:top w:val="nil"/>
              <w:left w:val="nil"/>
              <w:bottom w:val="single" w:sz="4" w:space="0" w:color="auto"/>
              <w:right w:val="single" w:sz="4" w:space="0" w:color="auto"/>
            </w:tcBorders>
            <w:shd w:val="clear" w:color="auto" w:fill="auto"/>
            <w:noWrap/>
            <w:vAlign w:val="center"/>
            <w:hideMark/>
          </w:tcPr>
          <w:p w14:paraId="551A181C" w14:textId="4C4AF4AB" w:rsidR="005279AE" w:rsidRDefault="005E73A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651BDB63" w14:textId="72991544" w:rsidR="005279AE" w:rsidRDefault="00310B48">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shd w:val="clear" w:color="auto" w:fill="auto"/>
            <w:noWrap/>
            <w:vAlign w:val="center"/>
            <w:hideMark/>
          </w:tcPr>
          <w:p w14:paraId="78BC5069"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TBA</w:t>
            </w:r>
          </w:p>
        </w:tc>
        <w:tc>
          <w:tcPr>
            <w:tcW w:w="764" w:type="pct"/>
            <w:tcBorders>
              <w:top w:val="nil"/>
              <w:left w:val="nil"/>
              <w:bottom w:val="single" w:sz="4" w:space="0" w:color="auto"/>
              <w:right w:val="single" w:sz="4" w:space="0" w:color="auto"/>
            </w:tcBorders>
            <w:shd w:val="clear" w:color="auto" w:fill="auto"/>
            <w:noWrap/>
            <w:vAlign w:val="center"/>
            <w:hideMark/>
          </w:tcPr>
          <w:p w14:paraId="62DCC2F2" w14:textId="77777777" w:rsidR="004A7713" w:rsidRDefault="004A7713" w:rsidP="007206A2">
            <w:pPr>
              <w:jc w:val="center"/>
              <w:rPr>
                <w:rFonts w:ascii="Calibri" w:hAnsi="Calibri" w:cs="Calibri"/>
                <w:sz w:val="22"/>
                <w:szCs w:val="22"/>
              </w:rPr>
            </w:pPr>
          </w:p>
          <w:p w14:paraId="314D34BE" w14:textId="373762F9" w:rsidR="007206A2" w:rsidRDefault="007206A2" w:rsidP="007206A2">
            <w:pPr>
              <w:jc w:val="center"/>
              <w:rPr>
                <w:rFonts w:ascii="Calibri" w:hAnsi="Calibri" w:cs="Calibri"/>
                <w:sz w:val="22"/>
                <w:szCs w:val="22"/>
              </w:rPr>
            </w:pPr>
            <w:r>
              <w:rPr>
                <w:rFonts w:ascii="Calibri" w:hAnsi="Calibri" w:cs="Calibri"/>
                <w:sz w:val="22"/>
                <w:szCs w:val="22"/>
              </w:rPr>
              <w:t>$139,163,985</w:t>
            </w:r>
          </w:p>
          <w:p w14:paraId="6B65B81D" w14:textId="00212DF7" w:rsidR="005279AE" w:rsidRDefault="005279AE">
            <w:pPr>
              <w:jc w:val="center"/>
              <w:rPr>
                <w:rFonts w:ascii="Calibri" w:hAnsi="Calibri" w:cs="Calibri"/>
                <w:color w:val="000000"/>
                <w:sz w:val="22"/>
                <w:szCs w:val="22"/>
              </w:rPr>
            </w:pP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5279AE" w14:paraId="3FBC74CE" w14:textId="77777777" w:rsidTr="00BC26D9">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50A260E" w14:textId="77777777" w:rsidR="005279AE" w:rsidRDefault="005279AE">
            <w:pPr>
              <w:rPr>
                <w:rFonts w:ascii="Calibri" w:hAnsi="Calibri" w:cs="Calibri"/>
                <w:b/>
                <w:bCs/>
                <w:color w:val="000000"/>
                <w:sz w:val="22"/>
                <w:szCs w:val="22"/>
              </w:rPr>
            </w:pPr>
            <w:bookmarkStart w:id="24" w:name="Remoteness"/>
            <w:bookmarkEnd w:id="24"/>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2162DBD4"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6898077D"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2B643E72"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2025</w:t>
            </w:r>
          </w:p>
        </w:tc>
      </w:tr>
      <w:tr w:rsidR="002D6CAB" w14:paraId="45B8ACD1" w14:textId="77777777" w:rsidTr="00BC26D9">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BD9D110" w14:textId="77777777" w:rsidR="002D6CAB" w:rsidRDefault="002D6CAB" w:rsidP="002D6CAB">
            <w:pPr>
              <w:rPr>
                <w:rFonts w:ascii="Calibri" w:hAnsi="Calibri" w:cs="Calibri"/>
                <w:color w:val="000000"/>
                <w:sz w:val="22"/>
                <w:szCs w:val="22"/>
              </w:rPr>
            </w:pPr>
            <w:r>
              <w:rPr>
                <w:rFonts w:ascii="Calibri" w:hAnsi="Calibri" w:cs="Calibri"/>
                <w:color w:val="000000"/>
                <w:sz w:val="22"/>
                <w:szCs w:val="22"/>
              </w:rPr>
              <w:t>Mackay</w:t>
            </w:r>
          </w:p>
        </w:tc>
        <w:tc>
          <w:tcPr>
            <w:tcW w:w="781" w:type="pct"/>
            <w:tcBorders>
              <w:top w:val="nil"/>
              <w:left w:val="nil"/>
              <w:bottom w:val="single" w:sz="4" w:space="0" w:color="auto"/>
              <w:right w:val="single" w:sz="4" w:space="0" w:color="auto"/>
            </w:tcBorders>
            <w:shd w:val="clear" w:color="auto" w:fill="auto"/>
            <w:vAlign w:val="center"/>
            <w:hideMark/>
          </w:tcPr>
          <w:p w14:paraId="2E361E91" w14:textId="77777777" w:rsidR="002D6CAB" w:rsidRDefault="002D6CAB" w:rsidP="002D6CAB">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6D3F6CA7" w14:textId="77777777" w:rsidR="002D6CAB" w:rsidRDefault="002D6CAB" w:rsidP="002D6CAB">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3538238D" w14:textId="0BCDB5DC" w:rsidR="002D6CAB" w:rsidRDefault="002D6CAB" w:rsidP="002D6CAB">
            <w:pPr>
              <w:jc w:val="center"/>
              <w:rPr>
                <w:rFonts w:ascii="Calibri" w:hAnsi="Calibri" w:cs="Calibri"/>
                <w:color w:val="000000"/>
                <w:sz w:val="22"/>
                <w:szCs w:val="22"/>
              </w:rPr>
            </w:pPr>
            <w:r>
              <w:rPr>
                <w:rFonts w:ascii="Calibri" w:hAnsi="Calibri" w:cs="Calibri"/>
                <w:color w:val="000000"/>
                <w:sz w:val="22"/>
                <w:szCs w:val="22"/>
              </w:rPr>
              <w:t>3.50%</w:t>
            </w:r>
          </w:p>
        </w:tc>
      </w:tr>
      <w:tr w:rsidR="002D6CAB" w14:paraId="570C021B" w14:textId="77777777" w:rsidTr="00BC26D9">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8CAAA89" w14:textId="77777777" w:rsidR="002D6CAB" w:rsidRDefault="002D6CAB" w:rsidP="002D6CAB">
            <w:pPr>
              <w:rPr>
                <w:rFonts w:ascii="Calibri" w:hAnsi="Calibri" w:cs="Calibri"/>
                <w:color w:val="000000"/>
                <w:sz w:val="22"/>
                <w:szCs w:val="22"/>
              </w:rPr>
            </w:pPr>
            <w:r>
              <w:rPr>
                <w:rFonts w:ascii="Calibri" w:hAnsi="Calibri" w:cs="Calibri"/>
                <w:color w:val="000000"/>
                <w:sz w:val="22"/>
                <w:szCs w:val="22"/>
              </w:rPr>
              <w:t>Townsville</w:t>
            </w:r>
          </w:p>
        </w:tc>
        <w:tc>
          <w:tcPr>
            <w:tcW w:w="781" w:type="pct"/>
            <w:tcBorders>
              <w:top w:val="nil"/>
              <w:left w:val="nil"/>
              <w:bottom w:val="single" w:sz="4" w:space="0" w:color="auto"/>
              <w:right w:val="single" w:sz="4" w:space="0" w:color="auto"/>
            </w:tcBorders>
            <w:shd w:val="clear" w:color="auto" w:fill="auto"/>
            <w:vAlign w:val="center"/>
            <w:hideMark/>
          </w:tcPr>
          <w:p w14:paraId="71FD3716" w14:textId="77777777" w:rsidR="002D6CAB" w:rsidRDefault="002D6CAB" w:rsidP="002D6CAB">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1A3747B9" w14:textId="77777777" w:rsidR="002D6CAB" w:rsidRDefault="002D6CAB" w:rsidP="002D6CAB">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55C73A14" w14:textId="6DC669B3" w:rsidR="002D6CAB" w:rsidRDefault="002D6CAB" w:rsidP="002D6CAB">
            <w:pPr>
              <w:jc w:val="center"/>
              <w:rPr>
                <w:rFonts w:ascii="Calibri" w:hAnsi="Calibri" w:cs="Calibri"/>
                <w:color w:val="000000"/>
                <w:sz w:val="22"/>
                <w:szCs w:val="22"/>
              </w:rPr>
            </w:pPr>
            <w:r>
              <w:rPr>
                <w:rFonts w:ascii="Calibri" w:hAnsi="Calibri" w:cs="Calibri"/>
                <w:color w:val="000000"/>
                <w:sz w:val="22"/>
                <w:szCs w:val="22"/>
              </w:rPr>
              <w:t>3.50%</w:t>
            </w:r>
          </w:p>
        </w:tc>
      </w:tr>
      <w:tr w:rsidR="002D6CAB" w14:paraId="317B2594" w14:textId="77777777" w:rsidTr="00BC26D9">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2B9B4C8" w14:textId="77777777" w:rsidR="002D6CAB" w:rsidRDefault="002D6CAB" w:rsidP="002D6CAB">
            <w:pPr>
              <w:rPr>
                <w:rFonts w:ascii="Calibri" w:hAnsi="Calibri" w:cs="Calibri"/>
                <w:color w:val="000000"/>
                <w:sz w:val="22"/>
                <w:szCs w:val="22"/>
              </w:rPr>
            </w:pPr>
            <w:r>
              <w:rPr>
                <w:rFonts w:ascii="Calibri" w:hAnsi="Calibri" w:cs="Calibri"/>
                <w:color w:val="000000"/>
                <w:sz w:val="22"/>
                <w:szCs w:val="22"/>
              </w:rPr>
              <w:t>Mount Isa</w:t>
            </w:r>
          </w:p>
        </w:tc>
        <w:tc>
          <w:tcPr>
            <w:tcW w:w="781" w:type="pct"/>
            <w:tcBorders>
              <w:top w:val="nil"/>
              <w:left w:val="nil"/>
              <w:bottom w:val="single" w:sz="4" w:space="0" w:color="auto"/>
              <w:right w:val="single" w:sz="4" w:space="0" w:color="auto"/>
            </w:tcBorders>
            <w:shd w:val="clear" w:color="auto" w:fill="auto"/>
            <w:vAlign w:val="center"/>
            <w:hideMark/>
          </w:tcPr>
          <w:p w14:paraId="29591082" w14:textId="77777777" w:rsidR="002D6CAB" w:rsidRDefault="002D6CAB" w:rsidP="002D6CAB">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58DB1961" w14:textId="77777777" w:rsidR="002D6CAB" w:rsidRDefault="002D6CAB" w:rsidP="002D6CAB">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68697A06" w14:textId="6FD1DB61" w:rsidR="002D6CAB" w:rsidRDefault="002D6CAB" w:rsidP="002D6CAB">
            <w:pPr>
              <w:jc w:val="center"/>
              <w:rPr>
                <w:rFonts w:ascii="Calibri" w:hAnsi="Calibri" w:cs="Calibri"/>
                <w:color w:val="000000"/>
                <w:sz w:val="22"/>
                <w:szCs w:val="22"/>
              </w:rPr>
            </w:pPr>
            <w:r>
              <w:rPr>
                <w:rFonts w:ascii="Calibri" w:hAnsi="Calibri" w:cs="Calibri"/>
                <w:color w:val="000000"/>
                <w:sz w:val="22"/>
                <w:szCs w:val="22"/>
              </w:rPr>
              <w:t>3.50%</w:t>
            </w:r>
          </w:p>
        </w:tc>
      </w:tr>
      <w:tr w:rsidR="002D6CAB" w14:paraId="622F8636" w14:textId="77777777" w:rsidTr="00BC26D9">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C5D59BC" w14:textId="77777777" w:rsidR="002D6CAB" w:rsidRDefault="002D6CAB" w:rsidP="002D6CAB">
            <w:pPr>
              <w:rPr>
                <w:rFonts w:ascii="Calibri" w:hAnsi="Calibri" w:cs="Calibri"/>
                <w:color w:val="000000"/>
                <w:sz w:val="22"/>
                <w:szCs w:val="22"/>
              </w:rPr>
            </w:pPr>
            <w:r>
              <w:rPr>
                <w:rFonts w:ascii="Calibri" w:hAnsi="Calibri" w:cs="Calibri"/>
                <w:color w:val="000000"/>
                <w:sz w:val="22"/>
                <w:szCs w:val="22"/>
              </w:rPr>
              <w:t>Smithfield</w:t>
            </w:r>
          </w:p>
        </w:tc>
        <w:tc>
          <w:tcPr>
            <w:tcW w:w="781" w:type="pct"/>
            <w:tcBorders>
              <w:top w:val="nil"/>
              <w:left w:val="nil"/>
              <w:bottom w:val="single" w:sz="4" w:space="0" w:color="auto"/>
              <w:right w:val="single" w:sz="4" w:space="0" w:color="auto"/>
            </w:tcBorders>
            <w:shd w:val="clear" w:color="auto" w:fill="auto"/>
            <w:vAlign w:val="center"/>
            <w:hideMark/>
          </w:tcPr>
          <w:p w14:paraId="04485944" w14:textId="77777777" w:rsidR="002D6CAB" w:rsidRDefault="002D6CAB" w:rsidP="002D6CAB">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6695429E" w14:textId="77777777" w:rsidR="002D6CAB" w:rsidRDefault="002D6CAB" w:rsidP="002D6CAB">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07299B17" w14:textId="60DA130B" w:rsidR="002D6CAB" w:rsidRDefault="002D6CAB" w:rsidP="002D6CAB">
            <w:pPr>
              <w:jc w:val="center"/>
              <w:rPr>
                <w:rFonts w:ascii="Calibri" w:hAnsi="Calibri" w:cs="Calibri"/>
                <w:color w:val="000000"/>
                <w:sz w:val="22"/>
                <w:szCs w:val="22"/>
              </w:rPr>
            </w:pPr>
            <w:r>
              <w:rPr>
                <w:rFonts w:ascii="Calibri" w:hAnsi="Calibri" w:cs="Calibri"/>
                <w:color w:val="000000"/>
                <w:sz w:val="22"/>
                <w:szCs w:val="22"/>
              </w:rPr>
              <w:t>3.50%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25" w:name="equity"/>
      <w:r w:rsidRPr="00712123">
        <w:rPr>
          <w:rFonts w:ascii="Calibri" w:hAnsi="Calibri" w:cs="Arial"/>
          <w:bCs/>
          <w:i/>
          <w:sz w:val="22"/>
          <w:szCs w:val="22"/>
        </w:rPr>
        <w:t>Equity places</w:t>
      </w:r>
    </w:p>
    <w:p w14:paraId="130D617B" w14:textId="1A403F3A"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6" w:name="equityc2_3"/>
      <w:r w:rsidRPr="5FFDBAB4">
        <w:rPr>
          <w:rFonts w:cstheme="minorBidi"/>
          <w:sz w:val="22"/>
          <w:szCs w:val="22"/>
        </w:rPr>
        <w:t xml:space="preserve">The MBGA for higher education courses includes funding for Equity Places as specified in Table 1a. The Provider may use up to </w:t>
      </w:r>
      <w:r w:rsidR="004A35E5">
        <w:rPr>
          <w:rFonts w:cstheme="minorHAnsi"/>
          <w:sz w:val="22"/>
          <w:szCs w:val="22"/>
        </w:rPr>
        <w:t>$</w:t>
      </w:r>
      <w:r w:rsidR="00DE1035" w:rsidRPr="00DE1035">
        <w:rPr>
          <w:rFonts w:cstheme="minorHAnsi"/>
          <w:sz w:val="22"/>
          <w:szCs w:val="22"/>
        </w:rPr>
        <w:t>2,249,916</w:t>
      </w:r>
      <w:r w:rsidR="004A35E5" w:rsidRPr="37458ABB">
        <w:rPr>
          <w:rFonts w:cstheme="minorBidi"/>
          <w:sz w:val="22"/>
          <w:szCs w:val="22"/>
        </w:rPr>
        <w:t xml:space="preserve"> </w:t>
      </w:r>
      <w:r w:rsidRPr="5FFDBAB4">
        <w:rPr>
          <w:rFonts w:cstheme="minorBidi"/>
          <w:sz w:val="22"/>
          <w:szCs w:val="22"/>
        </w:rPr>
        <w:t xml:space="preserve">of the funding allocated for Equity Places in </w:t>
      </w:r>
      <w:r w:rsidR="6D855250" w:rsidRPr="5FFDBAB4">
        <w:rPr>
          <w:rFonts w:cstheme="minorBidi"/>
          <w:sz w:val="22"/>
          <w:szCs w:val="22"/>
        </w:rPr>
        <w:t xml:space="preserve">2024 </w:t>
      </w:r>
      <w:r w:rsidR="005E73AE">
        <w:rPr>
          <w:rFonts w:cstheme="minorBidi"/>
          <w:sz w:val="22"/>
          <w:szCs w:val="22"/>
        </w:rPr>
        <w:t xml:space="preserve">and </w:t>
      </w:r>
      <w:r w:rsidR="005E73AE" w:rsidRPr="005E73AE">
        <w:rPr>
          <w:rFonts w:cstheme="minorBidi"/>
          <w:sz w:val="22"/>
          <w:szCs w:val="22"/>
        </w:rPr>
        <w:t>$1,756,532</w:t>
      </w:r>
      <w:r w:rsidR="005E73AE">
        <w:rPr>
          <w:rFonts w:cstheme="minorBidi"/>
          <w:sz w:val="22"/>
          <w:szCs w:val="22"/>
        </w:rPr>
        <w:t xml:space="preserve"> of the funding allocated for Equity Places in 2025 </w:t>
      </w:r>
      <w:r w:rsidRPr="5FFDBAB4">
        <w:rPr>
          <w:rFonts w:cstheme="minorBidi"/>
          <w:sz w:val="22"/>
          <w:szCs w:val="22"/>
        </w:rPr>
        <w:t xml:space="preserve">to deliver the approved courses shown in </w:t>
      </w:r>
      <w:r w:rsidRPr="004A35E5">
        <w:rPr>
          <w:rFonts w:cstheme="minorBidi"/>
          <w:sz w:val="22"/>
          <w:szCs w:val="22"/>
        </w:rPr>
        <w:t xml:space="preserve">Table </w:t>
      </w:r>
      <w:r w:rsidR="792D8CC6" w:rsidRPr="004A35E5">
        <w:rPr>
          <w:rFonts w:cstheme="minorBidi"/>
          <w:sz w:val="22"/>
          <w:szCs w:val="22"/>
        </w:rPr>
        <w:t>1</w:t>
      </w:r>
      <w:r w:rsidR="6F3168E6" w:rsidRPr="004A35E5">
        <w:rPr>
          <w:rFonts w:cstheme="minorBidi"/>
          <w:sz w:val="22"/>
          <w:szCs w:val="22"/>
        </w:rPr>
        <w:t>b</w:t>
      </w:r>
      <w:r w:rsidRPr="004A35E5">
        <w:rPr>
          <w:rFonts w:cstheme="minorBidi"/>
          <w:sz w:val="22"/>
          <w:szCs w:val="22"/>
        </w:rPr>
        <w:t xml:space="preserve">. This funding allocation </w:t>
      </w:r>
      <w:r w:rsidR="002D4460" w:rsidRPr="004A35E5">
        <w:rPr>
          <w:rFonts w:cstheme="minorBidi"/>
          <w:sz w:val="22"/>
          <w:szCs w:val="22"/>
        </w:rPr>
        <w:t xml:space="preserve">reflects </w:t>
      </w:r>
      <w:r w:rsidRPr="004A35E5">
        <w:rPr>
          <w:rFonts w:cstheme="minorBidi"/>
          <w:sz w:val="22"/>
          <w:szCs w:val="22"/>
        </w:rPr>
        <w:t>the indicative funding amounts approved by the Minister for Education.</w:t>
      </w:r>
    </w:p>
    <w:bookmarkEnd w:id="26"/>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096E2F97"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r w:rsidR="00196874">
        <w:rPr>
          <w:rFonts w:cstheme="minorBidi"/>
          <w:sz w:val="22"/>
          <w:szCs w:val="22"/>
        </w:rPr>
        <w:t xml:space="preserve"> </w:t>
      </w:r>
      <w:r w:rsidRPr="0F55635D">
        <w:rPr>
          <w:rFonts w:cstheme="minorBidi"/>
          <w:sz w:val="22"/>
          <w:szCs w:val="22"/>
        </w:rPr>
        <w:t xml:space="preserve">indicate funding to be used for Equity Places commencing in </w:t>
      </w:r>
      <w:r w:rsidR="00C613BE">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26F094ED" w:rsidR="009F1ECB" w:rsidRDefault="00A31B03" w:rsidP="00604A74">
      <w:pPr>
        <w:widowControl w:val="0"/>
        <w:tabs>
          <w:tab w:val="left" w:pos="567"/>
          <w:tab w:val="left" w:pos="8222"/>
        </w:tabs>
        <w:spacing w:before="120" w:after="120"/>
        <w:rPr>
          <w:rFonts w:ascii="Calibri" w:hAnsi="Calibri"/>
          <w:sz w:val="22"/>
          <w:szCs w:val="22"/>
        </w:rPr>
      </w:pPr>
      <w:r w:rsidRPr="5FFDBAB4">
        <w:rPr>
          <w:rFonts w:ascii="Calibri" w:hAnsi="Calibri"/>
          <w:sz w:val="22"/>
          <w:szCs w:val="22"/>
        </w:rPr>
        <w:t>NB: 2024 and 2025 funding amounts include pipeline funding for places that commenced in 2023 and 2024.</w:t>
      </w:r>
    </w:p>
    <w:p w14:paraId="768E1007" w14:textId="77777777" w:rsidR="009F1ECB" w:rsidRDefault="009F1ECB">
      <w:pPr>
        <w:rPr>
          <w:rFonts w:ascii="Calibri" w:hAnsi="Calibri"/>
          <w:sz w:val="22"/>
          <w:szCs w:val="22"/>
        </w:rPr>
      </w:pPr>
      <w:r>
        <w:rPr>
          <w:rFonts w:ascii="Calibri" w:hAnsi="Calibri"/>
          <w:sz w:val="22"/>
          <w:szCs w:val="22"/>
        </w:rPr>
        <w:br w:type="page"/>
      </w:r>
    </w:p>
    <w:p w14:paraId="3BB54581" w14:textId="77CEBFC7" w:rsidR="00604A74" w:rsidRDefault="00604A74" w:rsidP="0F55635D">
      <w:pPr>
        <w:widowControl w:val="0"/>
        <w:tabs>
          <w:tab w:val="left" w:pos="567"/>
          <w:tab w:val="left" w:pos="8222"/>
        </w:tabs>
        <w:spacing w:before="120" w:after="120"/>
        <w:rPr>
          <w:rFonts w:ascii="Calibri" w:hAnsi="Calibri"/>
          <w:b/>
          <w:sz w:val="22"/>
          <w:szCs w:val="22"/>
        </w:rPr>
      </w:pPr>
      <w:bookmarkStart w:id="27" w:name="equityc3tables"/>
      <w:r w:rsidRPr="0F55635D">
        <w:rPr>
          <w:rFonts w:ascii="Calibri" w:hAnsi="Calibri"/>
          <w:b/>
          <w:sz w:val="22"/>
          <w:szCs w:val="22"/>
        </w:rPr>
        <w:lastRenderedPageBreak/>
        <w:t>Table 1</w:t>
      </w:r>
      <w:r w:rsidR="00C369CD" w:rsidRPr="0F55635D">
        <w:rPr>
          <w:rFonts w:ascii="Calibri" w:hAnsi="Calibri"/>
          <w:b/>
          <w:sz w:val="22"/>
          <w:szCs w:val="22"/>
        </w:rPr>
        <w:t>b</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5279AE" w14:paraId="41A64903" w14:textId="77777777" w:rsidTr="00BC26D9">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1C88B2" w14:textId="77777777" w:rsidR="005279AE" w:rsidRDefault="005279AE">
            <w:pPr>
              <w:rPr>
                <w:rFonts w:ascii="Calibri" w:hAnsi="Calibri" w:cs="Calibri"/>
                <w:b/>
                <w:bCs/>
                <w:color w:val="000000"/>
                <w:sz w:val="22"/>
                <w:szCs w:val="22"/>
              </w:rPr>
            </w:pPr>
            <w:bookmarkStart w:id="28" w:name="equity1"/>
            <w:bookmarkEnd w:id="28"/>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8B4D27B" w14:textId="77777777" w:rsidR="005279AE" w:rsidRDefault="005279AE">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BFB8CE7" w14:textId="77777777" w:rsidR="005279AE" w:rsidRDefault="005279AE">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C595A0D" w14:textId="77777777" w:rsidR="005279AE" w:rsidRDefault="005279AE">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AE08048" w14:textId="77777777" w:rsidR="005279AE" w:rsidRDefault="005279AE">
            <w:pPr>
              <w:rPr>
                <w:rFonts w:ascii="Calibri" w:hAnsi="Calibri" w:cs="Calibri"/>
                <w:b/>
                <w:bCs/>
                <w:color w:val="000000"/>
                <w:sz w:val="22"/>
                <w:szCs w:val="22"/>
              </w:rPr>
            </w:pPr>
            <w:r>
              <w:rPr>
                <w:rFonts w:ascii="Calibri" w:hAnsi="Calibri" w:cs="Calibri"/>
                <w:b/>
                <w:bCs/>
                <w:color w:val="000000"/>
                <w:sz w:val="22"/>
                <w:szCs w:val="22"/>
              </w:rPr>
              <w:t>2025 Funding</w:t>
            </w:r>
          </w:p>
        </w:tc>
      </w:tr>
      <w:tr w:rsidR="005E73AE" w14:paraId="4437CB5B" w14:textId="77777777" w:rsidTr="00BC26D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34BBF80" w14:textId="77777777" w:rsidR="005E73AE" w:rsidRDefault="005E73AE" w:rsidP="005E73AE">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2BFE48F3" w14:textId="77777777" w:rsidR="005E73AE" w:rsidRDefault="005E73AE" w:rsidP="005E7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54155A3" w14:textId="77777777" w:rsidR="005E73AE" w:rsidRDefault="005E73AE" w:rsidP="005E73AE">
            <w:pPr>
              <w:jc w:val="right"/>
              <w:rPr>
                <w:rFonts w:ascii="Calibri" w:hAnsi="Calibri" w:cs="Calibri"/>
                <w:color w:val="000000"/>
                <w:sz w:val="22"/>
                <w:szCs w:val="22"/>
              </w:rPr>
            </w:pPr>
            <w:r>
              <w:rPr>
                <w:rFonts w:ascii="Calibri" w:hAnsi="Calibri" w:cs="Calibri"/>
                <w:color w:val="000000"/>
                <w:sz w:val="22"/>
                <w:szCs w:val="22"/>
              </w:rPr>
              <w:t>100</w:t>
            </w:r>
          </w:p>
        </w:tc>
        <w:tc>
          <w:tcPr>
            <w:tcW w:w="1012" w:type="pct"/>
            <w:tcBorders>
              <w:top w:val="nil"/>
              <w:left w:val="nil"/>
              <w:bottom w:val="single" w:sz="4" w:space="0" w:color="auto"/>
              <w:right w:val="single" w:sz="4" w:space="0" w:color="auto"/>
            </w:tcBorders>
            <w:shd w:val="clear" w:color="auto" w:fill="auto"/>
            <w:vAlign w:val="center"/>
            <w:hideMark/>
          </w:tcPr>
          <w:p w14:paraId="467F335E" w14:textId="51A03F63" w:rsidR="005E73AE" w:rsidRDefault="005E73AE" w:rsidP="005E73AE">
            <w:pPr>
              <w:jc w:val="right"/>
              <w:rPr>
                <w:rFonts w:ascii="Calibri" w:hAnsi="Calibri" w:cs="Calibri"/>
                <w:color w:val="000000"/>
                <w:sz w:val="22"/>
                <w:szCs w:val="22"/>
              </w:rPr>
            </w:pPr>
            <w:r>
              <w:rPr>
                <w:rFonts w:ascii="Calibri" w:hAnsi="Calibri" w:cs="Calibri"/>
                <w:color w:val="000000"/>
                <w:sz w:val="22"/>
                <w:szCs w:val="22"/>
              </w:rPr>
              <w:t>$1,829,200</w:t>
            </w:r>
          </w:p>
        </w:tc>
        <w:tc>
          <w:tcPr>
            <w:tcW w:w="1012" w:type="pct"/>
            <w:tcBorders>
              <w:top w:val="nil"/>
              <w:left w:val="nil"/>
              <w:bottom w:val="single" w:sz="4" w:space="0" w:color="auto"/>
              <w:right w:val="single" w:sz="4" w:space="0" w:color="auto"/>
            </w:tcBorders>
            <w:shd w:val="clear" w:color="auto" w:fill="auto"/>
            <w:vAlign w:val="center"/>
            <w:hideMark/>
          </w:tcPr>
          <w:p w14:paraId="18E27F3B" w14:textId="63246BC0" w:rsidR="005E73AE" w:rsidRDefault="005E73AE" w:rsidP="00BC26D9">
            <w:pPr>
              <w:jc w:val="right"/>
              <w:rPr>
                <w:rFonts w:ascii="Calibri" w:hAnsi="Calibri" w:cs="Calibri"/>
                <w:color w:val="000000"/>
                <w:sz w:val="22"/>
                <w:szCs w:val="22"/>
              </w:rPr>
            </w:pPr>
            <w:r>
              <w:rPr>
                <w:rFonts w:ascii="Calibri" w:hAnsi="Calibri" w:cs="Calibri"/>
                <w:color w:val="000000"/>
                <w:sz w:val="22"/>
                <w:szCs w:val="22"/>
              </w:rPr>
              <w:t>$1,428,075</w:t>
            </w:r>
          </w:p>
        </w:tc>
      </w:tr>
      <w:tr w:rsidR="005E73AE" w14:paraId="0B7850C8" w14:textId="77777777" w:rsidTr="00BC26D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B81427E" w14:textId="77777777" w:rsidR="005E73AE" w:rsidRDefault="005E73AE" w:rsidP="005E73AE">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18E0ACD9" w14:textId="77777777" w:rsidR="005E73AE" w:rsidRDefault="005E73AE" w:rsidP="005E7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E53C8D6" w14:textId="77777777" w:rsidR="005E73AE" w:rsidRDefault="005E73AE" w:rsidP="005E73AE">
            <w:pPr>
              <w:jc w:val="right"/>
              <w:rPr>
                <w:rFonts w:ascii="Calibri" w:hAnsi="Calibri" w:cs="Calibri"/>
                <w:color w:val="000000"/>
                <w:sz w:val="22"/>
                <w:szCs w:val="22"/>
              </w:rPr>
            </w:pPr>
            <w:r>
              <w:rPr>
                <w:rFonts w:ascii="Calibri" w:hAnsi="Calibri" w:cs="Calibri"/>
                <w:color w:val="000000"/>
                <w:sz w:val="22"/>
                <w:szCs w:val="22"/>
              </w:rPr>
              <w:t>23</w:t>
            </w:r>
          </w:p>
        </w:tc>
        <w:tc>
          <w:tcPr>
            <w:tcW w:w="1012" w:type="pct"/>
            <w:tcBorders>
              <w:top w:val="nil"/>
              <w:left w:val="nil"/>
              <w:bottom w:val="single" w:sz="4" w:space="0" w:color="auto"/>
              <w:right w:val="single" w:sz="4" w:space="0" w:color="auto"/>
            </w:tcBorders>
            <w:shd w:val="clear" w:color="auto" w:fill="auto"/>
            <w:vAlign w:val="center"/>
            <w:hideMark/>
          </w:tcPr>
          <w:p w14:paraId="6F4CA8EF" w14:textId="458CFC08" w:rsidR="005E73AE" w:rsidRDefault="005E73AE" w:rsidP="005E73AE">
            <w:pPr>
              <w:jc w:val="right"/>
              <w:rPr>
                <w:rFonts w:ascii="Calibri" w:hAnsi="Calibri" w:cs="Calibri"/>
                <w:color w:val="000000"/>
                <w:sz w:val="22"/>
                <w:szCs w:val="22"/>
              </w:rPr>
            </w:pPr>
            <w:r>
              <w:rPr>
                <w:rFonts w:ascii="Calibri" w:hAnsi="Calibri" w:cs="Calibri"/>
                <w:color w:val="000000"/>
                <w:sz w:val="22"/>
                <w:szCs w:val="22"/>
              </w:rPr>
              <w:t>$420,716</w:t>
            </w:r>
          </w:p>
        </w:tc>
        <w:tc>
          <w:tcPr>
            <w:tcW w:w="1012" w:type="pct"/>
            <w:tcBorders>
              <w:top w:val="nil"/>
              <w:left w:val="nil"/>
              <w:bottom w:val="single" w:sz="4" w:space="0" w:color="auto"/>
              <w:right w:val="single" w:sz="4" w:space="0" w:color="auto"/>
            </w:tcBorders>
            <w:shd w:val="clear" w:color="auto" w:fill="auto"/>
            <w:vAlign w:val="center"/>
            <w:hideMark/>
          </w:tcPr>
          <w:p w14:paraId="6AF9C7F1" w14:textId="074691ED" w:rsidR="005E73AE" w:rsidRDefault="005E73AE" w:rsidP="00BC26D9">
            <w:pPr>
              <w:jc w:val="right"/>
              <w:rPr>
                <w:rFonts w:ascii="Calibri" w:hAnsi="Calibri" w:cs="Calibri"/>
                <w:color w:val="000000"/>
                <w:sz w:val="22"/>
                <w:szCs w:val="22"/>
              </w:rPr>
            </w:pPr>
            <w:r>
              <w:rPr>
                <w:rFonts w:ascii="Calibri" w:hAnsi="Calibri" w:cs="Calibri"/>
                <w:color w:val="000000"/>
                <w:sz w:val="22"/>
                <w:szCs w:val="22"/>
              </w:rPr>
              <w:t>$328,457</w:t>
            </w:r>
          </w:p>
        </w:tc>
      </w:tr>
      <w:tr w:rsidR="005E73AE" w14:paraId="466D2493" w14:textId="77777777" w:rsidTr="00BC26D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1BFAF3F" w14:textId="77777777" w:rsidR="005E73AE" w:rsidRDefault="005E73AE" w:rsidP="005E73AE">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51B2CC44" w14:textId="77777777" w:rsidR="005E73AE" w:rsidRDefault="005E73AE" w:rsidP="005E7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3533860" w14:textId="77777777" w:rsidR="005E73AE" w:rsidRDefault="005E73AE" w:rsidP="005E7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AA69564" w14:textId="77777777" w:rsidR="005E73AE" w:rsidRDefault="005E73AE" w:rsidP="005E73AE">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3BDE0FE" w14:textId="3958D729" w:rsidR="005E73AE" w:rsidRDefault="005E73AE" w:rsidP="00BC26D9">
            <w:pPr>
              <w:jc w:val="right"/>
              <w:rPr>
                <w:rFonts w:ascii="Calibri" w:hAnsi="Calibri" w:cs="Calibri"/>
                <w:color w:val="000000"/>
                <w:sz w:val="22"/>
                <w:szCs w:val="22"/>
              </w:rPr>
            </w:pPr>
            <w:r>
              <w:rPr>
                <w:rFonts w:ascii="Calibri" w:hAnsi="Calibri" w:cs="Calibri"/>
                <w:color w:val="000000"/>
                <w:sz w:val="22"/>
                <w:szCs w:val="22"/>
              </w:rPr>
              <w:t>$0</w:t>
            </w:r>
          </w:p>
        </w:tc>
      </w:tr>
      <w:tr w:rsidR="005E73AE" w14:paraId="162BC7B3" w14:textId="77777777" w:rsidTr="00BC26D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420ECFF" w14:textId="77777777" w:rsidR="005E73AE" w:rsidRDefault="005E73AE" w:rsidP="005E73AE">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5E30EB6B" w14:textId="77777777" w:rsidR="005E73AE" w:rsidRDefault="005E73AE" w:rsidP="005E73AE">
            <w:pPr>
              <w:jc w:val="right"/>
              <w:rPr>
                <w:rFonts w:ascii="Calibri" w:hAnsi="Calibri" w:cs="Calibri"/>
                <w:b/>
                <w:bCs/>
                <w:color w:val="000000"/>
                <w:sz w:val="22"/>
                <w:szCs w:val="22"/>
              </w:rPr>
            </w:pPr>
            <w:r>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5C46095" w14:textId="77777777" w:rsidR="005E73AE" w:rsidRDefault="005E73AE" w:rsidP="005E73AE">
            <w:pPr>
              <w:jc w:val="right"/>
              <w:rPr>
                <w:rFonts w:ascii="Calibri" w:hAnsi="Calibri" w:cs="Calibri"/>
                <w:b/>
                <w:bCs/>
                <w:color w:val="000000"/>
                <w:sz w:val="22"/>
                <w:szCs w:val="22"/>
              </w:rPr>
            </w:pPr>
            <w:r>
              <w:rPr>
                <w:rFonts w:ascii="Calibri" w:hAnsi="Calibri" w:cs="Calibri"/>
                <w:b/>
                <w:bCs/>
                <w:color w:val="000000"/>
                <w:sz w:val="22"/>
                <w:szCs w:val="22"/>
              </w:rPr>
              <w:t>123</w:t>
            </w:r>
          </w:p>
        </w:tc>
        <w:tc>
          <w:tcPr>
            <w:tcW w:w="1012" w:type="pct"/>
            <w:tcBorders>
              <w:top w:val="nil"/>
              <w:left w:val="nil"/>
              <w:bottom w:val="single" w:sz="4" w:space="0" w:color="auto"/>
              <w:right w:val="single" w:sz="4" w:space="0" w:color="auto"/>
            </w:tcBorders>
            <w:shd w:val="clear" w:color="auto" w:fill="auto"/>
            <w:vAlign w:val="center"/>
            <w:hideMark/>
          </w:tcPr>
          <w:p w14:paraId="29B9FF82" w14:textId="39F4174F" w:rsidR="005E73AE" w:rsidRDefault="005E73AE" w:rsidP="005E73AE">
            <w:pPr>
              <w:jc w:val="right"/>
              <w:rPr>
                <w:rFonts w:ascii="Calibri" w:hAnsi="Calibri" w:cs="Calibri"/>
                <w:b/>
                <w:bCs/>
                <w:color w:val="000000"/>
                <w:sz w:val="22"/>
                <w:szCs w:val="22"/>
              </w:rPr>
            </w:pPr>
            <w:r>
              <w:rPr>
                <w:rFonts w:ascii="Calibri" w:hAnsi="Calibri" w:cs="Calibri"/>
                <w:b/>
                <w:bCs/>
                <w:color w:val="000000"/>
                <w:sz w:val="22"/>
                <w:szCs w:val="22"/>
              </w:rPr>
              <w:t>$2,249,916</w:t>
            </w:r>
          </w:p>
        </w:tc>
        <w:tc>
          <w:tcPr>
            <w:tcW w:w="1012" w:type="pct"/>
            <w:tcBorders>
              <w:top w:val="nil"/>
              <w:left w:val="nil"/>
              <w:bottom w:val="single" w:sz="4" w:space="0" w:color="auto"/>
              <w:right w:val="single" w:sz="4" w:space="0" w:color="auto"/>
            </w:tcBorders>
            <w:shd w:val="clear" w:color="auto" w:fill="auto"/>
            <w:vAlign w:val="center"/>
            <w:hideMark/>
          </w:tcPr>
          <w:p w14:paraId="5F8BEDB9" w14:textId="2043243A" w:rsidR="005E73AE" w:rsidRDefault="005E73AE" w:rsidP="00BC26D9">
            <w:pPr>
              <w:jc w:val="right"/>
              <w:rPr>
                <w:rFonts w:ascii="Calibri" w:hAnsi="Calibri" w:cs="Calibri"/>
                <w:b/>
                <w:bCs/>
                <w:color w:val="000000"/>
                <w:sz w:val="22"/>
                <w:szCs w:val="22"/>
              </w:rPr>
            </w:pPr>
            <w:r>
              <w:rPr>
                <w:rFonts w:ascii="Calibri" w:hAnsi="Calibri" w:cs="Calibri"/>
                <w:b/>
                <w:bCs/>
                <w:color w:val="000000"/>
                <w:sz w:val="22"/>
                <w:szCs w:val="22"/>
              </w:rPr>
              <w:t>$1,756,532</w:t>
            </w:r>
          </w:p>
        </w:tc>
      </w:tr>
      <w:tr w:rsidR="005279AE" w14:paraId="025492A9" w14:textId="77777777" w:rsidTr="00BC26D9">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2898CA50" w14:textId="77777777" w:rsidR="005279AE" w:rsidRDefault="005279AE">
            <w:pPr>
              <w:rPr>
                <w:rFonts w:ascii="Calibri" w:hAnsi="Calibri" w:cs="Calibri"/>
                <w:b/>
                <w:bCs/>
                <w:color w:val="000000"/>
                <w:sz w:val="22"/>
                <w:szCs w:val="22"/>
              </w:rPr>
            </w:pPr>
            <w:bookmarkStart w:id="29" w:name="RANGE!A7"/>
            <w:r>
              <w:rPr>
                <w:rFonts w:ascii="Calibri" w:hAnsi="Calibri" w:cs="Calibri"/>
                <w:b/>
                <w:bCs/>
                <w:color w:val="000000"/>
                <w:sz w:val="22"/>
                <w:szCs w:val="22"/>
              </w:rPr>
              <w:t>Course Type</w:t>
            </w:r>
            <w:bookmarkEnd w:id="29"/>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08961FF4" w14:textId="77777777" w:rsidR="005279AE" w:rsidRDefault="005279AE">
            <w:pPr>
              <w:rPr>
                <w:rFonts w:ascii="Calibri" w:hAnsi="Calibri" w:cs="Calibri"/>
                <w:b/>
                <w:bCs/>
                <w:color w:val="000000"/>
                <w:sz w:val="22"/>
                <w:szCs w:val="22"/>
              </w:rPr>
            </w:pPr>
            <w:r>
              <w:rPr>
                <w:rFonts w:ascii="Calibri" w:hAnsi="Calibri" w:cs="Calibri"/>
                <w:b/>
                <w:bCs/>
                <w:color w:val="000000"/>
                <w:sz w:val="22"/>
                <w:szCs w:val="22"/>
              </w:rPr>
              <w:t>Course Name</w:t>
            </w:r>
          </w:p>
        </w:tc>
      </w:tr>
      <w:tr w:rsidR="005279AE" w14:paraId="2D05A569" w14:textId="77777777" w:rsidTr="00BC26D9">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18B07A9" w14:textId="77777777" w:rsidR="005279AE" w:rsidRDefault="005279AE">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DB17C98" w14:textId="77777777" w:rsidR="005279AE" w:rsidRDefault="005279AE">
            <w:pPr>
              <w:rPr>
                <w:rFonts w:ascii="Calibri" w:hAnsi="Calibri" w:cs="Calibri"/>
                <w:color w:val="000000"/>
                <w:sz w:val="22"/>
                <w:szCs w:val="22"/>
              </w:rPr>
            </w:pPr>
            <w:r>
              <w:rPr>
                <w:rFonts w:ascii="Calibri" w:hAnsi="Calibri" w:cs="Calibri"/>
                <w:color w:val="000000"/>
                <w:sz w:val="22"/>
                <w:szCs w:val="22"/>
              </w:rPr>
              <w:t>Bachelor of Nursing Science</w:t>
            </w:r>
          </w:p>
        </w:tc>
      </w:tr>
      <w:tr w:rsidR="005279AE" w14:paraId="487B1E12" w14:textId="77777777" w:rsidTr="00BC26D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CA77DD8" w14:textId="77777777" w:rsidR="005279AE" w:rsidRDefault="005279AE">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09392FF" w14:textId="77777777" w:rsidR="005279AE" w:rsidRDefault="005279AE">
            <w:pPr>
              <w:rPr>
                <w:rFonts w:ascii="Calibri" w:hAnsi="Calibri" w:cs="Calibri"/>
                <w:color w:val="000000"/>
                <w:sz w:val="22"/>
                <w:szCs w:val="22"/>
              </w:rPr>
            </w:pPr>
            <w:r>
              <w:rPr>
                <w:rFonts w:ascii="Calibri" w:hAnsi="Calibri" w:cs="Calibri"/>
                <w:color w:val="000000"/>
                <w:sz w:val="22"/>
                <w:szCs w:val="22"/>
              </w:rPr>
              <w:t>Diploma in Health (Nursing)</w:t>
            </w:r>
          </w:p>
        </w:tc>
      </w:tr>
      <w:tr w:rsidR="005279AE" w14:paraId="162119B8" w14:textId="77777777" w:rsidTr="00BC26D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63D85C9" w14:textId="77777777" w:rsidR="005279AE" w:rsidRDefault="005279AE">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1424369" w14:textId="15F2914C" w:rsidR="005279AE" w:rsidRDefault="005279AE">
            <w:pPr>
              <w:rPr>
                <w:rFonts w:ascii="Calibri" w:hAnsi="Calibri" w:cs="Calibri"/>
                <w:color w:val="000000"/>
                <w:sz w:val="22"/>
                <w:szCs w:val="22"/>
              </w:rPr>
            </w:pPr>
            <w:r>
              <w:rPr>
                <w:rFonts w:ascii="Calibri" w:hAnsi="Calibri" w:cs="Calibri"/>
                <w:color w:val="000000"/>
                <w:sz w:val="22"/>
                <w:szCs w:val="22"/>
              </w:rPr>
              <w:t>Certificate in Applied Engineering Technologies</w:t>
            </w:r>
          </w:p>
        </w:tc>
      </w:tr>
      <w:tr w:rsidR="005279AE" w14:paraId="52A1C593" w14:textId="77777777" w:rsidTr="00BC26D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EE46404" w14:textId="77777777" w:rsidR="005279AE" w:rsidRDefault="005279AE">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ADD9B75" w14:textId="77777777" w:rsidR="005279AE" w:rsidRDefault="005279AE">
            <w:pPr>
              <w:rPr>
                <w:rFonts w:ascii="Calibri" w:hAnsi="Calibri" w:cs="Calibri"/>
                <w:color w:val="000000"/>
                <w:sz w:val="22"/>
                <w:szCs w:val="22"/>
              </w:rPr>
            </w:pPr>
            <w:r>
              <w:rPr>
                <w:rFonts w:ascii="Calibri" w:hAnsi="Calibri" w:cs="Calibri"/>
                <w:color w:val="000000"/>
                <w:sz w:val="22"/>
                <w:szCs w:val="22"/>
              </w:rPr>
              <w:t>Diploma in Engineering</w:t>
            </w:r>
          </w:p>
        </w:tc>
      </w:tr>
      <w:tr w:rsidR="005279AE" w14:paraId="7A2D72F4" w14:textId="77777777" w:rsidTr="00BC26D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3256BCD" w14:textId="77777777" w:rsidR="005279AE" w:rsidRDefault="005279AE">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DA55151" w14:textId="15BCBC5F" w:rsidR="005279AE" w:rsidRDefault="005279AE">
            <w:pPr>
              <w:rPr>
                <w:rFonts w:ascii="Calibri" w:hAnsi="Calibri" w:cs="Calibri"/>
                <w:color w:val="000000"/>
                <w:sz w:val="22"/>
                <w:szCs w:val="22"/>
              </w:rPr>
            </w:pPr>
            <w:r>
              <w:rPr>
                <w:rFonts w:ascii="Calibri" w:hAnsi="Calibri" w:cs="Calibri"/>
                <w:color w:val="000000"/>
                <w:sz w:val="22"/>
                <w:szCs w:val="22"/>
              </w:rPr>
              <w:t xml:space="preserve">Diploma in Applied Engineering Technologies </w:t>
            </w:r>
          </w:p>
        </w:tc>
      </w:tr>
      <w:tr w:rsidR="005279AE" w14:paraId="66FF1035" w14:textId="77777777" w:rsidTr="00BC26D9">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C9FF573" w14:textId="77777777" w:rsidR="005279AE" w:rsidRDefault="005279AE">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F980B86" w14:textId="77777777" w:rsidR="005279AE" w:rsidRDefault="005279AE">
            <w:pPr>
              <w:rPr>
                <w:rFonts w:ascii="Calibri" w:hAnsi="Calibri" w:cs="Calibri"/>
                <w:color w:val="000000"/>
                <w:sz w:val="22"/>
                <w:szCs w:val="22"/>
              </w:rPr>
            </w:pPr>
            <w:r>
              <w:rPr>
                <w:rFonts w:ascii="Calibri" w:hAnsi="Calibri" w:cs="Calibri"/>
                <w:color w:val="000000"/>
                <w:sz w:val="22"/>
                <w:szCs w:val="22"/>
              </w:rPr>
              <w:t>Diploma in Science</w:t>
            </w:r>
          </w:p>
        </w:tc>
      </w:tr>
    </w:tbl>
    <w:p w14:paraId="618482AD" w14:textId="77777777" w:rsidR="00BF45EF" w:rsidRPr="00BF45EF" w:rsidRDefault="00BF45EF" w:rsidP="00411A15">
      <w:pPr>
        <w:widowControl w:val="0"/>
        <w:spacing w:before="120" w:after="120"/>
        <w:rPr>
          <w:rFonts w:ascii="Calibri" w:hAnsi="Calibri"/>
          <w:sz w:val="22"/>
        </w:rPr>
      </w:pPr>
      <w:bookmarkStart w:id="30" w:name="equity2"/>
      <w:bookmarkStart w:id="31" w:name="equity3"/>
      <w:bookmarkStart w:id="32" w:name="equityc1tables"/>
      <w:bookmarkEnd w:id="27"/>
      <w:bookmarkEnd w:id="30"/>
      <w:bookmarkEnd w:id="31"/>
    </w:p>
    <w:bookmarkEnd w:id="25"/>
    <w:bookmarkEnd w:id="32"/>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559DD1BB" w:rsidR="00686799" w:rsidRPr="001A6067" w:rsidRDefault="00E7110E" w:rsidP="00686799">
      <w:pPr>
        <w:widowControl w:val="0"/>
        <w:numPr>
          <w:ilvl w:val="0"/>
          <w:numId w:val="7"/>
        </w:numPr>
        <w:tabs>
          <w:tab w:val="left" w:pos="567"/>
          <w:tab w:val="left" w:pos="8222"/>
        </w:tabs>
        <w:spacing w:before="120" w:after="120"/>
        <w:rPr>
          <w:rFonts w:cstheme="minorBidi"/>
          <w:sz w:val="22"/>
          <w:szCs w:val="22"/>
        </w:rPr>
      </w:pPr>
      <w:r w:rsidRPr="00E7110E">
        <w:rPr>
          <w:rFonts w:cstheme="minorBidi"/>
          <w:sz w:val="22"/>
          <w:szCs w:val="22"/>
        </w:rPr>
        <w:t>Providers will be required to have an Equity Plan to be eligible for future grants under the ‘Higher Education Continuity Guarantee – Equity’ program</w:t>
      </w:r>
      <w:r>
        <w:rPr>
          <w:rFonts w:cstheme="minorBidi"/>
          <w:sz w:val="22"/>
          <w:szCs w:val="22"/>
        </w:rPr>
        <w:t>.</w:t>
      </w:r>
      <w:r w:rsidRPr="00E7110E" w:rsidDel="00E7110E">
        <w:rPr>
          <w:rFonts w:cstheme="minorBidi"/>
          <w:sz w:val="22"/>
          <w:szCs w:val="22"/>
        </w:rPr>
        <w:t xml:space="preserve"> </w:t>
      </w:r>
      <w:r w:rsidR="00686799" w:rsidRPr="001A6067">
        <w:rPr>
          <w:rFonts w:cstheme="minorBid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156865E6"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D3022B">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3"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4"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5279AE" w14:paraId="5CC2A716" w14:textId="77777777" w:rsidTr="00BC26D9">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A81640C" w14:textId="77777777" w:rsidR="005279AE" w:rsidRDefault="005279AE">
            <w:pPr>
              <w:rPr>
                <w:rFonts w:ascii="Calibri" w:hAnsi="Calibri" w:cs="Calibri"/>
                <w:b/>
                <w:bCs/>
                <w:color w:val="000000"/>
                <w:sz w:val="22"/>
                <w:szCs w:val="22"/>
              </w:rPr>
            </w:pPr>
            <w:bookmarkStart w:id="35" w:name="IRLSAFTable"/>
            <w:bookmarkEnd w:id="35"/>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0E7F806"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E22EBF3" w14:textId="77777777" w:rsidR="005279AE" w:rsidRDefault="005279AE">
            <w:pPr>
              <w:jc w:val="center"/>
              <w:rPr>
                <w:rFonts w:ascii="Calibri" w:hAnsi="Calibri" w:cs="Calibri"/>
                <w:b/>
                <w:bCs/>
                <w:color w:val="000000"/>
                <w:sz w:val="22"/>
                <w:szCs w:val="22"/>
              </w:rPr>
            </w:pPr>
            <w:r>
              <w:rPr>
                <w:rFonts w:ascii="Calibri" w:hAnsi="Calibri" w:cs="Calibri"/>
                <w:b/>
                <w:bCs/>
                <w:color w:val="000000"/>
                <w:sz w:val="22"/>
                <w:szCs w:val="22"/>
              </w:rPr>
              <w:t>2025</w:t>
            </w:r>
          </w:p>
        </w:tc>
      </w:tr>
      <w:tr w:rsidR="005279AE" w14:paraId="4CE922D2" w14:textId="77777777" w:rsidTr="00BC26D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290E0B8" w14:textId="77777777" w:rsidR="005279AE" w:rsidRDefault="005279AE">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7B09B1A1" w14:textId="2DB03A5F" w:rsidR="005279AE" w:rsidRDefault="00AC42B9">
            <w:pPr>
              <w:jc w:val="center"/>
              <w:rPr>
                <w:rFonts w:ascii="Calibri" w:hAnsi="Calibri" w:cs="Calibri"/>
                <w:color w:val="000000"/>
                <w:sz w:val="22"/>
                <w:szCs w:val="22"/>
              </w:rPr>
            </w:pPr>
            <w:r w:rsidRPr="00AC42B9">
              <w:rPr>
                <w:rFonts w:ascii="Calibri" w:hAnsi="Calibri" w:cs="Calibri"/>
                <w:color w:val="000000"/>
                <w:sz w:val="22"/>
                <w:szCs w:val="22"/>
              </w:rPr>
              <w:t>$5,596,864</w:t>
            </w:r>
          </w:p>
        </w:tc>
        <w:tc>
          <w:tcPr>
            <w:tcW w:w="1077" w:type="pct"/>
            <w:tcBorders>
              <w:top w:val="nil"/>
              <w:left w:val="nil"/>
              <w:bottom w:val="single" w:sz="4" w:space="0" w:color="auto"/>
              <w:right w:val="single" w:sz="4" w:space="0" w:color="auto"/>
            </w:tcBorders>
            <w:shd w:val="clear" w:color="auto" w:fill="auto"/>
            <w:vAlign w:val="center"/>
            <w:hideMark/>
          </w:tcPr>
          <w:p w14:paraId="3DF075EF" w14:textId="6CDD46AC" w:rsidR="005279AE" w:rsidRDefault="00282AB6" w:rsidP="00282AB6">
            <w:pPr>
              <w:jc w:val="center"/>
              <w:rPr>
                <w:rFonts w:ascii="Calibri" w:hAnsi="Calibri" w:cs="Calibri"/>
                <w:color w:val="000000"/>
                <w:sz w:val="22"/>
                <w:szCs w:val="22"/>
              </w:rPr>
            </w:pPr>
            <w:r>
              <w:rPr>
                <w:rFonts w:ascii="Calibri" w:hAnsi="Calibri" w:cs="Calibri"/>
                <w:color w:val="000000"/>
                <w:sz w:val="22"/>
                <w:szCs w:val="22"/>
              </w:rPr>
              <w:t>$5,824,994</w:t>
            </w:r>
          </w:p>
        </w:tc>
      </w:tr>
      <w:tr w:rsidR="005279AE" w14:paraId="675F1518" w14:textId="77777777" w:rsidTr="00BC26D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6E9B9B1" w14:textId="77777777" w:rsidR="005279AE" w:rsidRDefault="005279AE">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6F858840"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$15,551,016</w:t>
            </w:r>
          </w:p>
        </w:tc>
        <w:tc>
          <w:tcPr>
            <w:tcW w:w="1077" w:type="pct"/>
            <w:tcBorders>
              <w:top w:val="nil"/>
              <w:left w:val="nil"/>
              <w:bottom w:val="single" w:sz="4" w:space="0" w:color="auto"/>
              <w:right w:val="single" w:sz="4" w:space="0" w:color="auto"/>
            </w:tcBorders>
            <w:shd w:val="clear" w:color="auto" w:fill="auto"/>
            <w:vAlign w:val="center"/>
            <w:hideMark/>
          </w:tcPr>
          <w:p w14:paraId="70C8EDFE"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TBA</w:t>
            </w:r>
          </w:p>
        </w:tc>
      </w:tr>
      <w:tr w:rsidR="005279AE" w14:paraId="235CBD23" w14:textId="77777777" w:rsidTr="00BC26D9">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5B9223E" w14:textId="77777777" w:rsidR="005279AE" w:rsidRDefault="005279AE">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6A638D45" w14:textId="77777777" w:rsidR="005279AE" w:rsidRDefault="005279AE">
            <w:pPr>
              <w:jc w:val="center"/>
              <w:rPr>
                <w:rFonts w:ascii="Calibri" w:hAnsi="Calibri" w:cs="Calibri"/>
                <w:color w:val="000000"/>
                <w:sz w:val="22"/>
                <w:szCs w:val="22"/>
              </w:rPr>
            </w:pPr>
            <w:r>
              <w:rPr>
                <w:rFonts w:ascii="Calibri" w:hAnsi="Calibri" w:cs="Calibri"/>
                <w:color w:val="000000"/>
                <w:sz w:val="22"/>
                <w:szCs w:val="22"/>
              </w:rPr>
              <w:t>$371,890</w:t>
            </w:r>
          </w:p>
        </w:tc>
        <w:tc>
          <w:tcPr>
            <w:tcW w:w="1077" w:type="pct"/>
            <w:tcBorders>
              <w:top w:val="nil"/>
              <w:left w:val="nil"/>
              <w:bottom w:val="single" w:sz="4" w:space="0" w:color="auto"/>
              <w:right w:val="single" w:sz="4" w:space="0" w:color="auto"/>
            </w:tcBorders>
            <w:shd w:val="clear" w:color="auto" w:fill="auto"/>
            <w:vAlign w:val="center"/>
            <w:hideMark/>
          </w:tcPr>
          <w:p w14:paraId="082F8DBA" w14:textId="13ED1C7F" w:rsidR="005279AE" w:rsidRDefault="007206A2">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36" w:name="Enabling"/>
      <w:bookmarkEnd w:id="34"/>
      <w:r w:rsidRPr="003337FC">
        <w:rPr>
          <w:rFonts w:cstheme="minorHAnsi"/>
          <w:b/>
          <w:bCs/>
          <w:sz w:val="22"/>
          <w:szCs w:val="22"/>
        </w:rPr>
        <w:t>Allocation of places for the purposes of the ELP</w:t>
      </w:r>
    </w:p>
    <w:p w14:paraId="59C652A7" w14:textId="65318517" w:rsidR="0010294C" w:rsidRDefault="30F70AC9"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is </w:t>
      </w:r>
      <w:r w:rsidR="005279AE" w:rsidRPr="006A271B">
        <w:rPr>
          <w:rFonts w:ascii="Calibri" w:hAnsi="Calibri"/>
          <w:sz w:val="22"/>
        </w:rPr>
        <w:t>95.7</w:t>
      </w:r>
      <w:r w:rsidR="004A35E5" w:rsidRPr="006A271B">
        <w:rPr>
          <w:rFonts w:ascii="Calibri" w:hAnsi="Calibri"/>
          <w:sz w:val="22"/>
          <w:szCs w:val="22"/>
        </w:rPr>
        <w:t xml:space="preserve"> </w:t>
      </w:r>
      <w:r w:rsidR="00686799" w:rsidRPr="001A6067">
        <w:rPr>
          <w:rFonts w:ascii="Calibri" w:hAnsi="Calibri"/>
          <w:sz w:val="22"/>
          <w:szCs w:val="22"/>
        </w:rPr>
        <w:t xml:space="preserve">in </w:t>
      </w:r>
      <w:r w:rsidR="00686799">
        <w:rPr>
          <w:rFonts w:ascii="Calibri" w:hAnsi="Calibri"/>
          <w:sz w:val="22"/>
          <w:szCs w:val="22"/>
        </w:rPr>
        <w:t>2024</w:t>
      </w:r>
      <w:r w:rsidR="00686799"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36"/>
    <w:p w14:paraId="6B718E73" w14:textId="77777777" w:rsidR="006A271B" w:rsidRDefault="006A271B">
      <w:pPr>
        <w:rPr>
          <w:rFonts w:ascii="Calibri" w:hAnsi="Calibri" w:cs="Arial"/>
          <w:b/>
          <w:sz w:val="22"/>
          <w:szCs w:val="22"/>
        </w:rPr>
      </w:pPr>
      <w:r>
        <w:rPr>
          <w:rFonts w:ascii="Calibri" w:hAnsi="Calibri" w:cs="Arial"/>
          <w:b/>
          <w:sz w:val="22"/>
          <w:szCs w:val="22"/>
        </w:rPr>
        <w:br w:type="page"/>
      </w:r>
    </w:p>
    <w:p w14:paraId="584556F0" w14:textId="44EDA220"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lastRenderedPageBreak/>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54156EF4" w:rsidR="009F1ECB" w:rsidRDefault="30F70AC9" w:rsidP="00712123">
      <w:pPr>
        <w:pStyle w:val="ListParagraph"/>
        <w:widowControl w:val="0"/>
        <w:numPr>
          <w:ilvl w:val="0"/>
          <w:numId w:val="7"/>
        </w:numPr>
        <w:spacing w:before="120" w:after="120"/>
        <w:contextualSpacing w:val="0"/>
        <w:rPr>
          <w:rFonts w:ascii="Calibri" w:hAnsi="Calibri"/>
          <w:sz w:val="22"/>
          <w:szCs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3"/>
    </w:p>
    <w:p w14:paraId="0CD5D875" w14:textId="30F05532" w:rsidR="00CB7A1E" w:rsidRPr="009F1ECB" w:rsidRDefault="009F1ECB" w:rsidP="009F1ECB">
      <w:pPr>
        <w:rPr>
          <w:rFonts w:ascii="Calibri" w:hAnsi="Calibri"/>
          <w:sz w:val="22"/>
          <w:szCs w:val="22"/>
        </w:rPr>
      </w:pPr>
      <w:r>
        <w:rPr>
          <w:rFonts w:ascii="Calibri" w:hAnsi="Calibri"/>
          <w:sz w:val="22"/>
          <w:szCs w:val="22"/>
        </w:rPr>
        <w:br w:type="page"/>
      </w: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7F7BA172" w:rsidR="009A6FDC" w:rsidRPr="006B29B6" w:rsidRDefault="009A6FDC" w:rsidP="00A71995">
            <w:pPr>
              <w:tabs>
                <w:tab w:val="left" w:pos="567"/>
                <w:tab w:val="left" w:pos="8222"/>
              </w:tabs>
              <w:spacing w:before="120" w:after="120"/>
              <w:rPr>
                <w:rFonts w:ascii="Calibri" w:hAnsi="Calibri" w:cs="Arial"/>
                <w:bCs/>
                <w:sz w:val="22"/>
                <w:szCs w:val="22"/>
              </w:rPr>
            </w:pPr>
            <w:bookmarkStart w:id="37" w:name="Equity_nps_ref" w:colFirst="0" w:colLast="1"/>
            <w:r w:rsidRPr="006B29B6">
              <w:rPr>
                <w:rFonts w:ascii="Calibri" w:hAnsi="Calibri" w:cs="Arial"/>
                <w:bCs/>
                <w:sz w:val="22"/>
                <w:szCs w:val="22"/>
              </w:rPr>
              <w:t xml:space="preserve">Is the course </w:t>
            </w:r>
            <w:r w:rsidRPr="006A271B">
              <w:rPr>
                <w:rFonts w:ascii="Calibri" w:hAnsi="Calibri" w:cs="Arial"/>
                <w:bCs/>
                <w:sz w:val="22"/>
                <w:szCs w:val="22"/>
              </w:rPr>
              <w:t xml:space="preserve">listed in </w:t>
            </w:r>
            <w:r w:rsidRPr="006A271B">
              <w:rPr>
                <w:rFonts w:ascii="Calibri" w:hAnsi="Calibri" w:cs="Arial"/>
                <w:bCs/>
                <w:sz w:val="22"/>
                <w:szCs w:val="22"/>
                <w:u w:val="single"/>
              </w:rPr>
              <w:t>Table 1b</w:t>
            </w:r>
            <w:r w:rsidRPr="006A271B">
              <w:rPr>
                <w:rFonts w:ascii="Calibri" w:hAnsi="Calibri" w:cs="Arial"/>
                <w:bCs/>
                <w:sz w:val="22"/>
                <w:szCs w:val="22"/>
              </w:rPr>
              <w:t xml:space="preserve"> of</w:t>
            </w:r>
            <w:r w:rsidRPr="00C25790">
              <w:rPr>
                <w:rFonts w:ascii="Calibri" w:hAnsi="Calibri" w:cs="Arial"/>
                <w:bCs/>
                <w:sz w:val="22"/>
                <w:szCs w:val="22"/>
              </w:rPr>
              <w:t xml:space="preserve"> App</w:t>
            </w:r>
            <w:r w:rsidRPr="006B29B6">
              <w:rPr>
                <w:rFonts w:ascii="Calibri" w:hAnsi="Calibri" w:cs="Arial"/>
                <w:bCs/>
                <w:sz w:val="22"/>
                <w:szCs w:val="22"/>
              </w:rPr>
              <w:t>endix 1 in which students are enrolled in Commonwealth supported places</w:t>
            </w:r>
            <w:r w:rsidR="00E500C8">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37"/>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5C606F43" w:rsidR="00AF4A16" w:rsidRPr="0088616E" w:rsidRDefault="00E836A1"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James Cook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11A1BAA0" w:rsidR="00AF4A16" w:rsidRPr="0088616E" w:rsidRDefault="00E836A1"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James Cook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66F74291" w:rsidR="00AF4A16" w:rsidRPr="0088616E" w:rsidRDefault="00E836A1"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James Cook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4872"/>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10EE"/>
    <w:rsid w:val="0002402C"/>
    <w:rsid w:val="00024EA7"/>
    <w:rsid w:val="000265E8"/>
    <w:rsid w:val="0002718E"/>
    <w:rsid w:val="0002730D"/>
    <w:rsid w:val="0002758A"/>
    <w:rsid w:val="00030C21"/>
    <w:rsid w:val="00032811"/>
    <w:rsid w:val="00032CF5"/>
    <w:rsid w:val="0003335C"/>
    <w:rsid w:val="00033632"/>
    <w:rsid w:val="00033D05"/>
    <w:rsid w:val="00034A01"/>
    <w:rsid w:val="0003561D"/>
    <w:rsid w:val="00035D45"/>
    <w:rsid w:val="00036DB2"/>
    <w:rsid w:val="00036EE0"/>
    <w:rsid w:val="00040662"/>
    <w:rsid w:val="0004144B"/>
    <w:rsid w:val="00041BF5"/>
    <w:rsid w:val="00041E9F"/>
    <w:rsid w:val="00043EBB"/>
    <w:rsid w:val="000449F0"/>
    <w:rsid w:val="00044E47"/>
    <w:rsid w:val="000453EB"/>
    <w:rsid w:val="00045B70"/>
    <w:rsid w:val="00045C74"/>
    <w:rsid w:val="000500BD"/>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26B"/>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149"/>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6874"/>
    <w:rsid w:val="0019723F"/>
    <w:rsid w:val="001978A5"/>
    <w:rsid w:val="001A0902"/>
    <w:rsid w:val="001A15D0"/>
    <w:rsid w:val="001A27A2"/>
    <w:rsid w:val="001A2DA8"/>
    <w:rsid w:val="001A34BA"/>
    <w:rsid w:val="001A3668"/>
    <w:rsid w:val="001A5834"/>
    <w:rsid w:val="001A63B5"/>
    <w:rsid w:val="001A7218"/>
    <w:rsid w:val="001B09CB"/>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0F0"/>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81F"/>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2AB6"/>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71"/>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611"/>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6CAB"/>
    <w:rsid w:val="002D730D"/>
    <w:rsid w:val="002E0334"/>
    <w:rsid w:val="002E0E5F"/>
    <w:rsid w:val="002E215D"/>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1EF1"/>
    <w:rsid w:val="00302A9E"/>
    <w:rsid w:val="00302EE2"/>
    <w:rsid w:val="003033C6"/>
    <w:rsid w:val="00304C3E"/>
    <w:rsid w:val="00306F0E"/>
    <w:rsid w:val="0030790D"/>
    <w:rsid w:val="00310B48"/>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46"/>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3DB"/>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2D6"/>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3B0"/>
    <w:rsid w:val="004A5E08"/>
    <w:rsid w:val="004A64A1"/>
    <w:rsid w:val="004A6776"/>
    <w:rsid w:val="004A6A19"/>
    <w:rsid w:val="004A6B2F"/>
    <w:rsid w:val="004A714A"/>
    <w:rsid w:val="004A7713"/>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427"/>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9AE"/>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731"/>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0D08"/>
    <w:rsid w:val="00591E4D"/>
    <w:rsid w:val="00592897"/>
    <w:rsid w:val="00593568"/>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47D2"/>
    <w:rsid w:val="005C5901"/>
    <w:rsid w:val="005C6EB2"/>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3AE"/>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650"/>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71B"/>
    <w:rsid w:val="006A2B0D"/>
    <w:rsid w:val="006A35B3"/>
    <w:rsid w:val="006A3699"/>
    <w:rsid w:val="006A394C"/>
    <w:rsid w:val="006A3B76"/>
    <w:rsid w:val="006A3CC0"/>
    <w:rsid w:val="006A3F7E"/>
    <w:rsid w:val="006A46DB"/>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C70C4"/>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44D2"/>
    <w:rsid w:val="006F56BC"/>
    <w:rsid w:val="006F6826"/>
    <w:rsid w:val="006F77F0"/>
    <w:rsid w:val="00702047"/>
    <w:rsid w:val="007048A8"/>
    <w:rsid w:val="00704FAE"/>
    <w:rsid w:val="00705671"/>
    <w:rsid w:val="00705715"/>
    <w:rsid w:val="00705DFD"/>
    <w:rsid w:val="00706F9D"/>
    <w:rsid w:val="00707145"/>
    <w:rsid w:val="00707AC2"/>
    <w:rsid w:val="00711BC5"/>
    <w:rsid w:val="00711C08"/>
    <w:rsid w:val="00712123"/>
    <w:rsid w:val="007131E7"/>
    <w:rsid w:val="00713A30"/>
    <w:rsid w:val="007143BC"/>
    <w:rsid w:val="007148DA"/>
    <w:rsid w:val="007148EC"/>
    <w:rsid w:val="00714E1C"/>
    <w:rsid w:val="0071557B"/>
    <w:rsid w:val="007155E4"/>
    <w:rsid w:val="0071599E"/>
    <w:rsid w:val="00715D8B"/>
    <w:rsid w:val="00716DA7"/>
    <w:rsid w:val="00717285"/>
    <w:rsid w:val="00717971"/>
    <w:rsid w:val="007206A2"/>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5BDD"/>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05D9"/>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3E5C"/>
    <w:rsid w:val="00844411"/>
    <w:rsid w:val="0084492D"/>
    <w:rsid w:val="00845B2D"/>
    <w:rsid w:val="00845BE4"/>
    <w:rsid w:val="008462AD"/>
    <w:rsid w:val="0084644A"/>
    <w:rsid w:val="00847891"/>
    <w:rsid w:val="0085217A"/>
    <w:rsid w:val="00852D07"/>
    <w:rsid w:val="00856106"/>
    <w:rsid w:val="0085623A"/>
    <w:rsid w:val="00857D9A"/>
    <w:rsid w:val="00860AF1"/>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372"/>
    <w:rsid w:val="00896D49"/>
    <w:rsid w:val="00897183"/>
    <w:rsid w:val="00897F55"/>
    <w:rsid w:val="008A0C62"/>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086"/>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C70"/>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5638"/>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1ECB"/>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2B0"/>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5B9"/>
    <w:rsid w:val="00A74CEE"/>
    <w:rsid w:val="00A7594A"/>
    <w:rsid w:val="00A761E3"/>
    <w:rsid w:val="00A76623"/>
    <w:rsid w:val="00A77E11"/>
    <w:rsid w:val="00A8008B"/>
    <w:rsid w:val="00A80479"/>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42B9"/>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733"/>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20F4"/>
    <w:rsid w:val="00B33163"/>
    <w:rsid w:val="00B3417D"/>
    <w:rsid w:val="00B354CD"/>
    <w:rsid w:val="00B36658"/>
    <w:rsid w:val="00B366E5"/>
    <w:rsid w:val="00B41F1B"/>
    <w:rsid w:val="00B421A6"/>
    <w:rsid w:val="00B42C95"/>
    <w:rsid w:val="00B42EE3"/>
    <w:rsid w:val="00B43EFD"/>
    <w:rsid w:val="00B470F8"/>
    <w:rsid w:val="00B47AC5"/>
    <w:rsid w:val="00B47B27"/>
    <w:rsid w:val="00B503A3"/>
    <w:rsid w:val="00B508FF"/>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5921"/>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5CA0"/>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6D9"/>
    <w:rsid w:val="00BC2926"/>
    <w:rsid w:val="00BC3041"/>
    <w:rsid w:val="00BC3FD3"/>
    <w:rsid w:val="00BC5CDD"/>
    <w:rsid w:val="00BC61E9"/>
    <w:rsid w:val="00BC6723"/>
    <w:rsid w:val="00BC79DE"/>
    <w:rsid w:val="00BD018B"/>
    <w:rsid w:val="00BD1053"/>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063"/>
    <w:rsid w:val="00C05C68"/>
    <w:rsid w:val="00C05F45"/>
    <w:rsid w:val="00C06491"/>
    <w:rsid w:val="00C06799"/>
    <w:rsid w:val="00C110E0"/>
    <w:rsid w:val="00C115AD"/>
    <w:rsid w:val="00C1211F"/>
    <w:rsid w:val="00C124F7"/>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4912"/>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3BE"/>
    <w:rsid w:val="00C61AD9"/>
    <w:rsid w:val="00C61FE7"/>
    <w:rsid w:val="00C62487"/>
    <w:rsid w:val="00C62607"/>
    <w:rsid w:val="00C62805"/>
    <w:rsid w:val="00C6368A"/>
    <w:rsid w:val="00C63B6B"/>
    <w:rsid w:val="00C643CD"/>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77CDC"/>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1B9"/>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1628"/>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22B"/>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273E"/>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5FA9"/>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1035"/>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10E"/>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6A1"/>
    <w:rsid w:val="00E83FDB"/>
    <w:rsid w:val="00E84690"/>
    <w:rsid w:val="00E850D9"/>
    <w:rsid w:val="00E85BD2"/>
    <w:rsid w:val="00E87D40"/>
    <w:rsid w:val="00E92301"/>
    <w:rsid w:val="00E941BF"/>
    <w:rsid w:val="00E94467"/>
    <w:rsid w:val="00E94F2F"/>
    <w:rsid w:val="00E96C09"/>
    <w:rsid w:val="00E96DE2"/>
    <w:rsid w:val="00E97885"/>
    <w:rsid w:val="00EA08D9"/>
    <w:rsid w:val="00EA22DD"/>
    <w:rsid w:val="00EA265F"/>
    <w:rsid w:val="00EA2CC7"/>
    <w:rsid w:val="00EA3655"/>
    <w:rsid w:val="00EA3B72"/>
    <w:rsid w:val="00EA471D"/>
    <w:rsid w:val="00EA510B"/>
    <w:rsid w:val="00EA6A01"/>
    <w:rsid w:val="00EB2341"/>
    <w:rsid w:val="00EB414E"/>
    <w:rsid w:val="00EB459A"/>
    <w:rsid w:val="00EB4AB3"/>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2AF"/>
    <w:rsid w:val="00EE07B7"/>
    <w:rsid w:val="00EE1D1F"/>
    <w:rsid w:val="00EE1E9C"/>
    <w:rsid w:val="00EE21D9"/>
    <w:rsid w:val="00EE264B"/>
    <w:rsid w:val="00EE2A00"/>
    <w:rsid w:val="00EE3567"/>
    <w:rsid w:val="00EE4244"/>
    <w:rsid w:val="00EE4CF9"/>
    <w:rsid w:val="00EE5208"/>
    <w:rsid w:val="00EE7243"/>
    <w:rsid w:val="00EE7295"/>
    <w:rsid w:val="00EE76E8"/>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69EC"/>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1EEC"/>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06A"/>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320">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61552823">
      <w:bodyDiv w:val="1"/>
      <w:marLeft w:val="0"/>
      <w:marRight w:val="0"/>
      <w:marTop w:val="0"/>
      <w:marBottom w:val="0"/>
      <w:divBdr>
        <w:top w:val="none" w:sz="0" w:space="0" w:color="auto"/>
        <w:left w:val="none" w:sz="0" w:space="0" w:color="auto"/>
        <w:bottom w:val="none" w:sz="0" w:space="0" w:color="auto"/>
        <w:right w:val="none" w:sz="0" w:space="0" w:color="auto"/>
      </w:divBdr>
    </w:div>
    <w:div w:id="18968974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7082294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78750888">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0074474">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697589734">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5174602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96899829">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80199815">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1861977">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3391407">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40957408">
      <w:bodyDiv w:val="1"/>
      <w:marLeft w:val="0"/>
      <w:marRight w:val="0"/>
      <w:marTop w:val="0"/>
      <w:marBottom w:val="0"/>
      <w:divBdr>
        <w:top w:val="none" w:sz="0" w:space="0" w:color="auto"/>
        <w:left w:val="none" w:sz="0" w:space="0" w:color="auto"/>
        <w:bottom w:val="none" w:sz="0" w:space="0" w:color="auto"/>
        <w:right w:val="none" w:sz="0" w:space="0" w:color="auto"/>
      </w:divBdr>
    </w:div>
    <w:div w:id="1653410977">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84704949">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http://www.w3.org/XML/1998/namespace"/>
    <ds:schemaRef ds:uri="798DC259-F43D-4156-8F26-44EBBEFE304B"/>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20</Pages>
  <Words>5601</Words>
  <Characters>31927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26</cp:revision>
  <cp:lastPrinted>2022-05-10T20:07:00Z</cp:lastPrinted>
  <dcterms:created xsi:type="dcterms:W3CDTF">2024-05-13T04:44:00Z</dcterms:created>
  <dcterms:modified xsi:type="dcterms:W3CDTF">2025-03-24T23:40:00Z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